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BD0DA" w14:textId="39E1325E" w:rsidR="006A3DBC" w:rsidRPr="00FA4B2D" w:rsidRDefault="00FA4B2D" w:rsidP="00811897">
      <w:pPr>
        <w:pStyle w:val="Sinespaciado"/>
        <w:rPr>
          <w:rFonts w:ascii="Arial" w:eastAsia="Arial" w:hAnsi="Arial" w:cs="Arial"/>
          <w:b/>
          <w:bCs/>
          <w:color w:val="767171" w:themeColor="background2" w:themeShade="80"/>
          <w:bdr w:val="none" w:sz="0" w:space="0" w:color="auto" w:frame="1"/>
          <w:lang w:val="es-ES" w:eastAsia="fr-FR"/>
        </w:rPr>
      </w:pPr>
      <w:bookmarkStart w:id="0" w:name="_Hlk528255513"/>
      <w:bookmarkStart w:id="1" w:name="_Hlk528228906"/>
      <w:r w:rsidRPr="00FA4B2D">
        <w:rPr>
          <w:rFonts w:ascii="Arial" w:hAnsi="Arial" w:cs="Arial"/>
          <w:noProof/>
          <w:lang w:val="es-HN" w:eastAsia="es-HN"/>
        </w:rPr>
        <mc:AlternateContent>
          <mc:Choice Requires="wps">
            <w:drawing>
              <wp:anchor distT="45720" distB="45720" distL="114300" distR="114300" simplePos="0" relativeHeight="251658248" behindDoc="0" locked="0" layoutInCell="1" allowOverlap="1" wp14:anchorId="673AF15B" wp14:editId="4DAECB83">
                <wp:simplePos x="0" y="0"/>
                <wp:positionH relativeFrom="page">
                  <wp:posOffset>335280</wp:posOffset>
                </wp:positionH>
                <wp:positionV relativeFrom="paragraph">
                  <wp:posOffset>5211445</wp:posOffset>
                </wp:positionV>
                <wp:extent cx="7124700" cy="327660"/>
                <wp:effectExtent l="0" t="0" r="0" b="0"/>
                <wp:wrapSquare wrapText="bothSides"/>
                <wp:docPr id="19589584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327660"/>
                        </a:xfrm>
                        <a:prstGeom prst="rect">
                          <a:avLst/>
                        </a:prstGeom>
                        <a:noFill/>
                        <a:ln w="9525">
                          <a:noFill/>
                          <a:miter lim="800000"/>
                          <a:headEnd/>
                          <a:tailEnd/>
                        </a:ln>
                      </wps:spPr>
                      <wps:txbx>
                        <w:txbxContent>
                          <w:p w14:paraId="42677636" w14:textId="77777777" w:rsidR="000C062F" w:rsidRPr="00FA4B2D" w:rsidRDefault="000C062F" w:rsidP="009A4773">
                            <w:pPr>
                              <w:jc w:val="center"/>
                              <w:rPr>
                                <w:rFonts w:cs="Arial"/>
                                <w:b/>
                                <w:bCs/>
                                <w:sz w:val="36"/>
                                <w:szCs w:val="36"/>
                                <w:lang w:val="es-HN"/>
                              </w:rPr>
                            </w:pPr>
                            <w:r w:rsidRPr="00FA4B2D">
                              <w:rPr>
                                <w:rFonts w:cs="Arial"/>
                                <w:b/>
                                <w:bCs/>
                                <w:sz w:val="36"/>
                                <w:szCs w:val="36"/>
                                <w:lang w:val="es-HN"/>
                              </w:rPr>
                              <w:t>PROYECTO COMRURAL III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3AF15B" id="_x0000_t202" coordsize="21600,21600" o:spt="202" path="m,l,21600r21600,l21600,xe">
                <v:stroke joinstyle="miter"/>
                <v:path gradientshapeok="t" o:connecttype="rect"/>
              </v:shapetype>
              <v:shape id="Cuadro de texto 2" o:spid="_x0000_s1026" type="#_x0000_t202" style="position:absolute;margin-left:26.4pt;margin-top:410.35pt;width:561pt;height:25.8pt;z-index:251658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LW2+AEAAM0DAAAOAAAAZHJzL2Uyb0RvYy54bWysU9tu3CAQfa/Uf0C8d33pXhJrvVGaNFWl&#10;9CKl/QCM8RoVGArs2tuv74Cdzap9q+oHNHjgzJwzh+3NqBU5CuclmJoWi5wSYTi00uxr+v3bw5sr&#10;SnxgpmUKjKjpSXh6s3v9ajvYSpTQg2qFIwhifDXYmvYh2CrLPO+FZn4BVhhMduA0C7h1+6x1bEB0&#10;rbIyz9fZAK61DrjwHv/eT0m6S/hdJ3j40nVeBKJqir2FtLq0NnHNdltW7R2zveRzG+wfutBMGix6&#10;hrpngZGDk39BackdeOjCgoPOoOskF4kDsinyP9g89cyKxAXF8fYsk/9/sPzz8cl+dSSM72DEASYS&#10;3j4C/+GJgbuemb24dQ6GXrAWCxdRsmywvpqvRql95SNIM3yCFofMDgES0Ng5HVVBngTRcQCns+hi&#10;DITjz01RLjc5pjjm3pab9TpNJWPV823rfPggQJMY1NThUBM6Oz76ELth1fORWMzAg1QqDVYZMtT0&#10;elWu0oWLjJYBfaekrulVHr/JCZHke9Omy4FJNcVYQJmZdSQ6UQ5jM+LByL6B9oT8HUz+wveAQQ/u&#10;FyUDequm/ueBOUGJ+mhQw+tiuYxmTJvlalPixl1mmssMMxyhahoomcK7kAw8cb1FrTuZZHjpZO4V&#10;PZPUmf0dTXm5T6deXuHuNwAAAP//AwBQSwMEFAAGAAgAAAAhAFTT5sHeAAAACwEAAA8AAABkcnMv&#10;ZG93bnJldi54bWxMj01PwkAQhu8m/ofNmHiTXSpYKN0So/GKEZWE29Id2sbubNNdaP33DCc9vh95&#10;55l8PbpWnLEPjScN04kCgVR621Cl4evz7WEBIkRD1rSeUMMvBlgXtze5yawf6APP21gJHqGQGQ11&#10;jF0mZShrdCZMfIfE2dH3zkSWfSVtbwYed61MlHqSzjTEF2rT4UuN5c/25DR8b4773Uy9V69u3g1+&#10;VJLcUmp9fzc+r0BEHONfGa74jA4FMx38iWwQrYZ5wuRRwyJRKYhrYZrO2DqwlSaPIItc/v+huAAA&#10;AP//AwBQSwECLQAUAAYACAAAACEAtoM4kv4AAADhAQAAEwAAAAAAAAAAAAAAAAAAAAAAW0NvbnRl&#10;bnRfVHlwZXNdLnhtbFBLAQItABQABgAIAAAAIQA4/SH/1gAAAJQBAAALAAAAAAAAAAAAAAAAAC8B&#10;AABfcmVscy8ucmVsc1BLAQItABQABgAIAAAAIQA2ALW2+AEAAM0DAAAOAAAAAAAAAAAAAAAAAC4C&#10;AABkcnMvZTJvRG9jLnhtbFBLAQItABQABgAIAAAAIQBU0+bB3gAAAAsBAAAPAAAAAAAAAAAAAAAA&#10;AFIEAABkcnMvZG93bnJldi54bWxQSwUGAAAAAAQABADzAAAAXQUAAAAA&#10;" filled="f" stroked="f">
                <v:textbox>
                  <w:txbxContent>
                    <w:p w14:paraId="42677636" w14:textId="77777777" w:rsidR="000C062F" w:rsidRPr="00FA4B2D" w:rsidRDefault="000C062F" w:rsidP="009A4773">
                      <w:pPr>
                        <w:jc w:val="center"/>
                        <w:rPr>
                          <w:rFonts w:cs="Arial"/>
                          <w:b/>
                          <w:bCs/>
                          <w:sz w:val="36"/>
                          <w:szCs w:val="36"/>
                          <w:lang w:val="es-HN"/>
                        </w:rPr>
                      </w:pPr>
                      <w:r w:rsidRPr="00FA4B2D">
                        <w:rPr>
                          <w:rFonts w:cs="Arial"/>
                          <w:b/>
                          <w:bCs/>
                          <w:sz w:val="36"/>
                          <w:szCs w:val="36"/>
                          <w:lang w:val="es-HN"/>
                        </w:rPr>
                        <w:t>PROYECTO COMRURAL III</w:t>
                      </w:r>
                    </w:p>
                  </w:txbxContent>
                </v:textbox>
                <w10:wrap type="square" anchorx="page"/>
              </v:shape>
            </w:pict>
          </mc:Fallback>
        </mc:AlternateContent>
      </w:r>
      <w:r w:rsidR="009A4773" w:rsidRPr="00FA4B2D">
        <w:rPr>
          <w:rFonts w:ascii="Arial" w:hAnsi="Arial" w:cs="Arial"/>
          <w:noProof/>
          <w:lang w:val="es-HN" w:eastAsia="es-HN"/>
        </w:rPr>
        <mc:AlternateContent>
          <mc:Choice Requires="wps">
            <w:drawing>
              <wp:anchor distT="45720" distB="45720" distL="114300" distR="114300" simplePos="0" relativeHeight="251658249" behindDoc="0" locked="0" layoutInCell="1" allowOverlap="1" wp14:anchorId="08FFFF9B" wp14:editId="123325A6">
                <wp:simplePos x="0" y="0"/>
                <wp:positionH relativeFrom="page">
                  <wp:posOffset>2371725</wp:posOffset>
                </wp:positionH>
                <wp:positionV relativeFrom="paragraph">
                  <wp:posOffset>7839075</wp:posOffset>
                </wp:positionV>
                <wp:extent cx="3084195" cy="327660"/>
                <wp:effectExtent l="0" t="0" r="0" b="0"/>
                <wp:wrapSquare wrapText="bothSides"/>
                <wp:docPr id="14360801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195" cy="327660"/>
                        </a:xfrm>
                        <a:prstGeom prst="rect">
                          <a:avLst/>
                        </a:prstGeom>
                        <a:noFill/>
                        <a:ln w="9525">
                          <a:noFill/>
                          <a:miter lim="800000"/>
                          <a:headEnd/>
                          <a:tailEnd/>
                        </a:ln>
                      </wps:spPr>
                      <wps:txbx>
                        <w:txbxContent>
                          <w:p w14:paraId="75589393" w14:textId="2070ADB8" w:rsidR="000C062F" w:rsidRPr="00FA4B2D" w:rsidRDefault="00B348AC" w:rsidP="009A4773">
                            <w:pPr>
                              <w:jc w:val="center"/>
                              <w:rPr>
                                <w:rFonts w:cs="Arial"/>
                                <w:color w:val="595959" w:themeColor="text1" w:themeTint="A6"/>
                                <w:szCs w:val="24"/>
                                <w:lang w:val="es-HN"/>
                              </w:rPr>
                            </w:pPr>
                            <w:r w:rsidRPr="00FA4B2D">
                              <w:rPr>
                                <w:rFonts w:cs="Arial"/>
                                <w:color w:val="595959" w:themeColor="text1" w:themeTint="A6"/>
                                <w:szCs w:val="24"/>
                                <w:lang w:val="es-HN"/>
                              </w:rPr>
                              <w:t>JUNIO</w:t>
                            </w:r>
                            <w:r w:rsidR="000C062F" w:rsidRPr="00FA4B2D">
                              <w:rPr>
                                <w:rFonts w:cs="Arial"/>
                                <w:color w:val="595959" w:themeColor="text1" w:themeTint="A6"/>
                                <w:szCs w:val="24"/>
                                <w:lang w:val="es-HN"/>
                              </w:rPr>
                              <w:t xml:space="preserve"> 202</w:t>
                            </w:r>
                            <w:r w:rsidRPr="00FA4B2D">
                              <w:rPr>
                                <w:rFonts w:cs="Arial"/>
                                <w:color w:val="595959" w:themeColor="text1" w:themeTint="A6"/>
                                <w:szCs w:val="24"/>
                                <w:lang w:val="es-HN"/>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FFF9B" id="_x0000_s1027" type="#_x0000_t202" style="position:absolute;margin-left:186.75pt;margin-top:617.25pt;width:242.85pt;height:25.8pt;z-index:25165824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ktC/AEAANQDAAAOAAAAZHJzL2Uyb0RvYy54bWysU11v2yAUfZ+0/4B4X+y4SZpYcaquXadJ&#10;3YfU7QdgjGM04DIgsbNf3wt202h7m+YHdOH6Hu4597C9GbQiR+G8BFPR+SynRBgOjTT7iv74/vBu&#10;TYkPzDRMgREVPQlPb3Zv32x7W4oCOlCNcARBjC97W9EuBFtmmeed0MzPwAqDyRacZgG3bp81jvWI&#10;rlVW5Pkq68E11gEX3uPp/Ziku4TftoKHr23rRSCqothbSKtLax3XbLdl5d4x20k+tcH+oQvNpMFL&#10;z1D3LDBycPIvKC25Aw9tmHHQGbSt5CJxQDbz/A82Tx2zInFBcbw9y+T/Hyz/cnyy3xwJw3sYcICJ&#10;hLePwH96YuCuY2Yvbp2DvhOswYvnUbKst76cSqPUvvQRpO4/Q4NDZocACWhonY6qIE+C6DiA01l0&#10;MQTC8fAqXy/mmyUlHHNXxfVqlaaSsfKl2jofPgrQJAYVdTjUhM6Ojz7Eblj58ku8zMCDVCoNVhnS&#10;V3SzLJap4CKjZUDfKakrus7jNzohkvxgmlQcmFRjjBcoM7GOREfKYagHIptJkihCDc0JZXAw2gyf&#10;BQYduN+U9GixivpfB+YEJeqTQSk388UiejJtFsvrAjfuMlNfZpjhCFXRQMkY3oXk45HyLUreyqTG&#10;aydTy2idJNJk8+jNy3366/Ux7p4BAAD//wMAUEsDBBQABgAIAAAAIQBHqjHp4AAAAA0BAAAPAAAA&#10;ZHJzL2Rvd25yZXYueG1sTI/NTsMwEITvSLyDtUjcqN2kKWmIUyEQVxDlR+LmxtskIl5HsduEt2d7&#10;gtvuzmj2m3I7u16ccAydJw3LhQKBVHvbUaPh/e3pJgcRoiFrek+o4QcDbKvLi9IU1k/0iqddbASH&#10;UCiMhjbGoZAy1C06ExZ+QGLt4EdnIq9jI+1oJg53vUyUWktnOuIPrRnwocX6e3d0Gj6eD1+fK/XS&#10;PLpsmPysJLmN1Pr6ar6/AxFxjn9mOOMzOlTMtPdHskH0GtLbNGMrC0m64oktebZJQOzPp3y9BFmV&#10;8n+L6hcAAP//AwBQSwECLQAUAAYACAAAACEAtoM4kv4AAADhAQAAEwAAAAAAAAAAAAAAAAAAAAAA&#10;W0NvbnRlbnRfVHlwZXNdLnhtbFBLAQItABQABgAIAAAAIQA4/SH/1gAAAJQBAAALAAAAAAAAAAAA&#10;AAAAAC8BAABfcmVscy8ucmVsc1BLAQItABQABgAIAAAAIQDnSktC/AEAANQDAAAOAAAAAAAAAAAA&#10;AAAAAC4CAABkcnMvZTJvRG9jLnhtbFBLAQItABQABgAIAAAAIQBHqjHp4AAAAA0BAAAPAAAAAAAA&#10;AAAAAAAAAFYEAABkcnMvZG93bnJldi54bWxQSwUGAAAAAAQABADzAAAAYwUAAAAA&#10;" filled="f" stroked="f">
                <v:textbox>
                  <w:txbxContent>
                    <w:p w14:paraId="75589393" w14:textId="2070ADB8" w:rsidR="000C062F" w:rsidRPr="00FA4B2D" w:rsidRDefault="00B348AC" w:rsidP="009A4773">
                      <w:pPr>
                        <w:jc w:val="center"/>
                        <w:rPr>
                          <w:rFonts w:cs="Arial"/>
                          <w:color w:val="595959" w:themeColor="text1" w:themeTint="A6"/>
                          <w:szCs w:val="24"/>
                          <w:lang w:val="es-HN"/>
                        </w:rPr>
                      </w:pPr>
                      <w:r w:rsidRPr="00FA4B2D">
                        <w:rPr>
                          <w:rFonts w:cs="Arial"/>
                          <w:color w:val="595959" w:themeColor="text1" w:themeTint="A6"/>
                          <w:szCs w:val="24"/>
                          <w:lang w:val="es-HN"/>
                        </w:rPr>
                        <w:t>JUNIO</w:t>
                      </w:r>
                      <w:r w:rsidR="000C062F" w:rsidRPr="00FA4B2D">
                        <w:rPr>
                          <w:rFonts w:cs="Arial"/>
                          <w:color w:val="595959" w:themeColor="text1" w:themeTint="A6"/>
                          <w:szCs w:val="24"/>
                          <w:lang w:val="es-HN"/>
                        </w:rPr>
                        <w:t xml:space="preserve"> 202</w:t>
                      </w:r>
                      <w:r w:rsidRPr="00FA4B2D">
                        <w:rPr>
                          <w:rFonts w:cs="Arial"/>
                          <w:color w:val="595959" w:themeColor="text1" w:themeTint="A6"/>
                          <w:szCs w:val="24"/>
                          <w:lang w:val="es-HN"/>
                        </w:rPr>
                        <w:t>5</w:t>
                      </w:r>
                    </w:p>
                  </w:txbxContent>
                </v:textbox>
                <w10:wrap type="square" anchorx="page"/>
              </v:shape>
            </w:pict>
          </mc:Fallback>
        </mc:AlternateContent>
      </w:r>
      <w:r w:rsidR="009A4773" w:rsidRPr="00FA4B2D">
        <w:rPr>
          <w:rFonts w:ascii="Arial" w:hAnsi="Arial" w:cs="Arial"/>
          <w:noProof/>
          <w:lang w:val="es-HN" w:eastAsia="es-HN"/>
        </w:rPr>
        <mc:AlternateContent>
          <mc:Choice Requires="wps">
            <w:drawing>
              <wp:anchor distT="45720" distB="45720" distL="114300" distR="114300" simplePos="0" relativeHeight="251658247" behindDoc="0" locked="0" layoutInCell="1" allowOverlap="1" wp14:anchorId="10DB8540" wp14:editId="62D62419">
                <wp:simplePos x="0" y="0"/>
                <wp:positionH relativeFrom="column">
                  <wp:posOffset>-9525</wp:posOffset>
                </wp:positionH>
                <wp:positionV relativeFrom="paragraph">
                  <wp:posOffset>3657600</wp:posOffset>
                </wp:positionV>
                <wp:extent cx="5707380" cy="1043940"/>
                <wp:effectExtent l="0" t="0" r="0" b="38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1043940"/>
                        </a:xfrm>
                        <a:prstGeom prst="rect">
                          <a:avLst/>
                        </a:prstGeom>
                        <a:noFill/>
                        <a:ln w="9525">
                          <a:noFill/>
                          <a:miter lim="800000"/>
                          <a:headEnd/>
                          <a:tailEnd/>
                        </a:ln>
                      </wps:spPr>
                      <wps:txbx>
                        <w:txbxContent>
                          <w:p w14:paraId="61D9FC99" w14:textId="77777777" w:rsidR="000C062F" w:rsidRPr="003B078D" w:rsidRDefault="000C062F" w:rsidP="009A4773">
                            <w:pPr>
                              <w:jc w:val="center"/>
                              <w:rPr>
                                <w:rFonts w:ascii="Pluto Bold" w:hAnsi="Pluto Bold"/>
                                <w:color w:val="FFFFFF" w:themeColor="background1"/>
                                <w:sz w:val="48"/>
                                <w:szCs w:val="48"/>
                                <w:lang w:val="es-HN"/>
                              </w:rPr>
                            </w:pPr>
                            <w:r>
                              <w:rPr>
                                <w:rFonts w:ascii="Pluto Bold" w:hAnsi="Pluto Bold"/>
                                <w:color w:val="FFFFFF" w:themeColor="background1"/>
                                <w:sz w:val="48"/>
                                <w:szCs w:val="48"/>
                                <w:lang w:val="es-HN"/>
                              </w:rPr>
                              <w:t>Marco de Gestión Ambiental y Social (MGAS)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B8540" id="_x0000_s1028" type="#_x0000_t202" style="position:absolute;margin-left:-.75pt;margin-top:4in;width:449.4pt;height:82.2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qFN/gEAANUDAAAOAAAAZHJzL2Uyb0RvYy54bWysU9tu2zAMfR+wfxD0vthJkyUxohRduw4D&#10;ugvQ7gMUWY6FSaImKbGzrx8lu2mwvRXzg0CK5iHPIbW57o0mR+mDAsvodFJSIq2AWtk9oz+e7t+t&#10;KAmR25prsJLRkwz0evv2zaZzlZxBC7qWniCIDVXnGG1jdFVRBNFKw8MEnLQYbMAbHtH1+6L2vEN0&#10;o4tZWb4vOvC18yBkCHh7NwTpNuM3jRTxW9MEGYlmFHuL+fT53KWz2G54tffctUqMbfBXdGG4slj0&#10;DHXHIycHr/6BMkp4CNDEiQBTQNMoITMHZDMt/2Lz2HInMxcUJ7izTOH/wYqvx0f33ZPYf4AeB5hJ&#10;BPcA4mcgFm5bbvfyxnvoWslrLDxNkhWdC9WYmqQOVUggu+4L1DhkfoiQgfrGm6QK8iSIjgM4nUWX&#10;fSQCLxfLcnm1wpDA2LScX63neSwFr57TnQ/xkwRDksGox6lmeH58CDG1w6vnX1I1C/dK6zxZbUnH&#10;6HoxW+SEi4hRERdPK8PoqkzfsAqJ5Udb5+TIlR5sLKDtSDsxHTjHftcTVTM6S7lJhR3UJ9TBw7Bn&#10;+C7QaMH/pqTDHWM0/DpwLynRny1quZ7OkSuJ2ZkvljN0/GVkdxnhViAUo5GSwbyNeZEHyjeoeaOy&#10;Gi+djC3j7mSRxj1Py3np579eXuP2DwAAAP//AwBQSwMEFAAGAAgAAAAhAK1iuS3fAAAACgEAAA8A&#10;AABkcnMvZG93bnJldi54bWxMj8FOwzAQRO9I/IO1SNxau5A0bcimQiCuoBao1Jsbb5OIeB3FbhP+&#10;HnOC42qfZt4Um8l24kKDbx0jLOYKBHHlTMs1wsf7y2wFwgfNRneOCeGbPGzK66tC58aNvKXLLtQi&#10;hrDPNUITQp9L6auGrPZz1xPH38kNVod4DrU0gx5juO3knVJLaXXLsaHRPT01VH3tzhbh8/V02Cfq&#10;rX62aT+6SUm2a4l4ezM9PoAINIU/GH71ozqU0enozmy86BBmizSSCGm2jJsisFpn9yCOCFmiEpBl&#10;If9PKH8AAAD//wMAUEsBAi0AFAAGAAgAAAAhALaDOJL+AAAA4QEAABMAAAAAAAAAAAAAAAAAAAAA&#10;AFtDb250ZW50X1R5cGVzXS54bWxQSwECLQAUAAYACAAAACEAOP0h/9YAAACUAQAACwAAAAAAAAAA&#10;AAAAAAAvAQAAX3JlbHMvLnJlbHNQSwECLQAUAAYACAAAACEAsF6hTf4BAADVAwAADgAAAAAAAAAA&#10;AAAAAAAuAgAAZHJzL2Uyb0RvYy54bWxQSwECLQAUAAYACAAAACEArWK5Ld8AAAAKAQAADwAAAAAA&#10;AAAAAAAAAABYBAAAZHJzL2Rvd25yZXYueG1sUEsFBgAAAAAEAAQA8wAAAGQFAAAAAA==&#10;" filled="f" stroked="f">
                <v:textbox>
                  <w:txbxContent>
                    <w:p w14:paraId="61D9FC99" w14:textId="77777777" w:rsidR="000C062F" w:rsidRPr="003B078D" w:rsidRDefault="000C062F" w:rsidP="009A4773">
                      <w:pPr>
                        <w:jc w:val="center"/>
                        <w:rPr>
                          <w:rFonts w:ascii="Pluto Bold" w:hAnsi="Pluto Bold"/>
                          <w:color w:val="FFFFFF" w:themeColor="background1"/>
                          <w:sz w:val="48"/>
                          <w:szCs w:val="48"/>
                          <w:lang w:val="es-HN"/>
                        </w:rPr>
                      </w:pPr>
                      <w:r>
                        <w:rPr>
                          <w:rFonts w:ascii="Pluto Bold" w:hAnsi="Pluto Bold"/>
                          <w:color w:val="FFFFFF" w:themeColor="background1"/>
                          <w:sz w:val="48"/>
                          <w:szCs w:val="48"/>
                          <w:lang w:val="es-HN"/>
                        </w:rPr>
                        <w:t>Marco de Gestión Ambiental y Social (MGAS)</w:t>
                      </w:r>
                    </w:p>
                  </w:txbxContent>
                </v:textbox>
                <w10:wrap type="square"/>
              </v:shape>
            </w:pict>
          </mc:Fallback>
        </mc:AlternateContent>
      </w:r>
      <w:r w:rsidR="009A4773" w:rsidRPr="00FA4B2D">
        <w:rPr>
          <w:rFonts w:ascii="Arial" w:hAnsi="Arial" w:cs="Arial"/>
          <w:noProof/>
          <w:lang w:val="es-HN" w:eastAsia="es-HN"/>
        </w:rPr>
        <w:drawing>
          <wp:anchor distT="0" distB="0" distL="114300" distR="114300" simplePos="0" relativeHeight="251658246" behindDoc="1" locked="0" layoutInCell="1" allowOverlap="1" wp14:anchorId="41988E57" wp14:editId="7F97E9CC">
            <wp:simplePos x="0" y="0"/>
            <wp:positionH relativeFrom="page">
              <wp:align>right</wp:align>
            </wp:positionH>
            <wp:positionV relativeFrom="paragraph">
              <wp:posOffset>-895350</wp:posOffset>
            </wp:positionV>
            <wp:extent cx="7772400" cy="10058400"/>
            <wp:effectExtent l="0" t="0" r="0" b="0"/>
            <wp:wrapNone/>
            <wp:docPr id="558439926" name="Imagen 558439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3DBC" w:rsidRPr="00FA4B2D">
        <w:rPr>
          <w:rFonts w:ascii="Arial" w:eastAsia="Arial" w:hAnsi="Arial" w:cs="Arial"/>
          <w:b/>
          <w:bCs/>
          <w:color w:val="767171" w:themeColor="background2" w:themeShade="80"/>
          <w:bdr w:val="none" w:sz="0" w:space="0" w:color="auto" w:frame="1"/>
          <w:lang w:val="es-ES" w:eastAsia="fr-FR"/>
        </w:rPr>
        <w:br w:type="page"/>
      </w:r>
    </w:p>
    <w:bookmarkEnd w:id="1" w:displacedByCustomXml="next"/>
    <w:bookmarkEnd w:id="0" w:displacedByCustomXml="next"/>
    <w:sdt>
      <w:sdtPr>
        <w:rPr>
          <w:rFonts w:ascii="Arial" w:eastAsiaTheme="minorEastAsia" w:hAnsi="Arial" w:cs="Arial"/>
          <w:color w:val="767171" w:themeColor="background2" w:themeShade="80"/>
          <w:sz w:val="20"/>
          <w:szCs w:val="20"/>
          <w:lang w:val="es-ES" w:eastAsia="en-US"/>
        </w:rPr>
        <w:id w:val="276764176"/>
        <w:docPartObj>
          <w:docPartGallery w:val="Table of Contents"/>
          <w:docPartUnique/>
        </w:docPartObj>
      </w:sdtPr>
      <w:sdtEndPr>
        <w:rPr>
          <w:b/>
          <w:bCs/>
        </w:rPr>
      </w:sdtEndPr>
      <w:sdtContent>
        <w:p w14:paraId="10680BBF" w14:textId="77777777" w:rsidR="006A3DBC" w:rsidRPr="00FA4B2D" w:rsidRDefault="006A3DBC" w:rsidP="006A3DBC">
          <w:pPr>
            <w:pStyle w:val="TtuloTDC"/>
            <w:spacing w:before="0" w:line="240" w:lineRule="auto"/>
            <w:jc w:val="center"/>
            <w:rPr>
              <w:rFonts w:ascii="Arial" w:hAnsi="Arial" w:cs="Arial"/>
              <w:color w:val="767171" w:themeColor="background2" w:themeShade="80"/>
              <w:sz w:val="20"/>
              <w:szCs w:val="20"/>
            </w:rPr>
          </w:pPr>
          <w:r w:rsidRPr="00FA4B2D">
            <w:rPr>
              <w:rFonts w:ascii="Arial" w:hAnsi="Arial" w:cs="Arial"/>
              <w:color w:val="767171" w:themeColor="background2" w:themeShade="80"/>
              <w:sz w:val="20"/>
              <w:szCs w:val="20"/>
              <w:lang w:val="es-ES"/>
            </w:rPr>
            <w:t>Contenido</w:t>
          </w:r>
        </w:p>
        <w:p w14:paraId="7B50D736" w14:textId="63225B10" w:rsidR="000B7B90" w:rsidRDefault="006A3DBC">
          <w:pPr>
            <w:pStyle w:val="TDC1"/>
            <w:rPr>
              <w:rFonts w:asciiTheme="minorHAnsi" w:eastAsiaTheme="minorEastAsia" w:hAnsiTheme="minorHAnsi" w:cstheme="minorBidi"/>
              <w:b w:val="0"/>
              <w:bCs w:val="0"/>
              <w:color w:val="auto"/>
              <w:kern w:val="2"/>
              <w:sz w:val="22"/>
              <w:lang w:val="es-HN" w:eastAsia="es-HN"/>
              <w14:ligatures w14:val="standardContextual"/>
            </w:rPr>
          </w:pPr>
          <w:r w:rsidRPr="00FA4B2D">
            <w:rPr>
              <w:sz w:val="22"/>
            </w:rPr>
            <w:fldChar w:fldCharType="begin"/>
          </w:r>
          <w:r w:rsidRPr="00FA4B2D">
            <w:instrText xml:space="preserve"> TOC \o "1-3" \h \z \u </w:instrText>
          </w:r>
          <w:r w:rsidRPr="00FA4B2D">
            <w:rPr>
              <w:sz w:val="22"/>
            </w:rPr>
            <w:fldChar w:fldCharType="separate"/>
          </w:r>
          <w:hyperlink w:anchor="_Toc202456895" w:history="1">
            <w:r w:rsidR="000B7B90" w:rsidRPr="003C7F62">
              <w:rPr>
                <w:rStyle w:val="Hipervnculo"/>
                <w:color w:val="023160" w:themeColor="hyperlink" w:themeShade="80"/>
              </w:rPr>
              <w:t>1.</w:t>
            </w:r>
            <w:r w:rsidR="000B7B90">
              <w:rPr>
                <w:rFonts w:asciiTheme="minorHAnsi" w:eastAsiaTheme="minorEastAsia" w:hAnsiTheme="minorHAnsi" w:cstheme="minorBidi"/>
                <w:b w:val="0"/>
                <w:bCs w:val="0"/>
                <w:color w:val="auto"/>
                <w:kern w:val="2"/>
                <w:sz w:val="22"/>
                <w:lang w:val="es-HN" w:eastAsia="es-HN"/>
                <w14:ligatures w14:val="standardContextual"/>
              </w:rPr>
              <w:tab/>
            </w:r>
            <w:r w:rsidR="000B7B90" w:rsidRPr="003C7F62">
              <w:rPr>
                <w:rStyle w:val="Hipervnculo"/>
                <w:color w:val="023160" w:themeColor="hyperlink" w:themeShade="80"/>
              </w:rPr>
              <w:t>Introducción</w:t>
            </w:r>
            <w:r w:rsidR="000B7B90">
              <w:rPr>
                <w:webHidden/>
              </w:rPr>
              <w:tab/>
            </w:r>
            <w:r w:rsidR="000B7B90">
              <w:rPr>
                <w:webHidden/>
              </w:rPr>
              <w:fldChar w:fldCharType="begin"/>
            </w:r>
            <w:r w:rsidR="000B7B90">
              <w:rPr>
                <w:webHidden/>
              </w:rPr>
              <w:instrText xml:space="preserve"> PAGEREF _Toc202456895 \h </w:instrText>
            </w:r>
            <w:r w:rsidR="000B7B90">
              <w:rPr>
                <w:webHidden/>
              </w:rPr>
            </w:r>
            <w:r w:rsidR="000B7B90">
              <w:rPr>
                <w:webHidden/>
              </w:rPr>
              <w:fldChar w:fldCharType="separate"/>
            </w:r>
            <w:r w:rsidR="000B7B90">
              <w:rPr>
                <w:webHidden/>
              </w:rPr>
              <w:t>11</w:t>
            </w:r>
            <w:r w:rsidR="000B7B90">
              <w:rPr>
                <w:webHidden/>
              </w:rPr>
              <w:fldChar w:fldCharType="end"/>
            </w:r>
          </w:hyperlink>
        </w:p>
        <w:p w14:paraId="675D29D3" w14:textId="4C953723" w:rsidR="000B7B90" w:rsidRDefault="00000000">
          <w:pPr>
            <w:pStyle w:val="TDC1"/>
            <w:rPr>
              <w:rFonts w:asciiTheme="minorHAnsi" w:eastAsiaTheme="minorEastAsia" w:hAnsiTheme="minorHAnsi" w:cstheme="minorBidi"/>
              <w:b w:val="0"/>
              <w:bCs w:val="0"/>
              <w:color w:val="auto"/>
              <w:kern w:val="2"/>
              <w:sz w:val="22"/>
              <w:lang w:val="es-HN" w:eastAsia="es-HN"/>
              <w14:ligatures w14:val="standardContextual"/>
            </w:rPr>
          </w:pPr>
          <w:hyperlink w:anchor="_Toc202456896" w:history="1">
            <w:r w:rsidR="000B7B90" w:rsidRPr="003C7F62">
              <w:rPr>
                <w:rStyle w:val="Hipervnculo"/>
                <w:color w:val="023160" w:themeColor="hyperlink" w:themeShade="80"/>
              </w:rPr>
              <w:t>2.</w:t>
            </w:r>
            <w:r w:rsidR="000B7B90">
              <w:rPr>
                <w:rFonts w:asciiTheme="minorHAnsi" w:eastAsiaTheme="minorEastAsia" w:hAnsiTheme="minorHAnsi" w:cstheme="minorBidi"/>
                <w:b w:val="0"/>
                <w:bCs w:val="0"/>
                <w:color w:val="auto"/>
                <w:kern w:val="2"/>
                <w:sz w:val="22"/>
                <w:lang w:val="es-HN" w:eastAsia="es-HN"/>
                <w14:ligatures w14:val="standardContextual"/>
              </w:rPr>
              <w:tab/>
            </w:r>
            <w:r w:rsidR="000B7B90" w:rsidRPr="003C7F62">
              <w:rPr>
                <w:rStyle w:val="Hipervnculo"/>
                <w:color w:val="023160" w:themeColor="hyperlink" w:themeShade="80"/>
              </w:rPr>
              <w:t>Descripción del Proyecto</w:t>
            </w:r>
            <w:r w:rsidR="000B7B90">
              <w:rPr>
                <w:webHidden/>
              </w:rPr>
              <w:tab/>
            </w:r>
            <w:r w:rsidR="000B7B90">
              <w:rPr>
                <w:webHidden/>
              </w:rPr>
              <w:fldChar w:fldCharType="begin"/>
            </w:r>
            <w:r w:rsidR="000B7B90">
              <w:rPr>
                <w:webHidden/>
              </w:rPr>
              <w:instrText xml:space="preserve"> PAGEREF _Toc202456896 \h </w:instrText>
            </w:r>
            <w:r w:rsidR="000B7B90">
              <w:rPr>
                <w:webHidden/>
              </w:rPr>
            </w:r>
            <w:r w:rsidR="000B7B90">
              <w:rPr>
                <w:webHidden/>
              </w:rPr>
              <w:fldChar w:fldCharType="separate"/>
            </w:r>
            <w:r w:rsidR="000B7B90">
              <w:rPr>
                <w:webHidden/>
              </w:rPr>
              <w:t>11</w:t>
            </w:r>
            <w:r w:rsidR="000B7B90">
              <w:rPr>
                <w:webHidden/>
              </w:rPr>
              <w:fldChar w:fldCharType="end"/>
            </w:r>
          </w:hyperlink>
        </w:p>
        <w:p w14:paraId="7C1A838D" w14:textId="1D2C96F3" w:rsidR="000B7B90" w:rsidRDefault="00000000">
          <w:pPr>
            <w:pStyle w:val="TDC1"/>
            <w:rPr>
              <w:rFonts w:asciiTheme="minorHAnsi" w:eastAsiaTheme="minorEastAsia" w:hAnsiTheme="minorHAnsi" w:cstheme="minorBidi"/>
              <w:b w:val="0"/>
              <w:bCs w:val="0"/>
              <w:color w:val="auto"/>
              <w:kern w:val="2"/>
              <w:sz w:val="22"/>
              <w:lang w:val="es-HN" w:eastAsia="es-HN"/>
              <w14:ligatures w14:val="standardContextual"/>
            </w:rPr>
          </w:pPr>
          <w:hyperlink w:anchor="_Toc202456897" w:history="1">
            <w:r w:rsidR="000B7B90" w:rsidRPr="003C7F62">
              <w:rPr>
                <w:rStyle w:val="Hipervnculo"/>
                <w:color w:val="023160" w:themeColor="hyperlink" w:themeShade="80"/>
              </w:rPr>
              <w:t>3.</w:t>
            </w:r>
            <w:r w:rsidR="000B7B90">
              <w:rPr>
                <w:rFonts w:asciiTheme="minorHAnsi" w:eastAsiaTheme="minorEastAsia" w:hAnsiTheme="minorHAnsi" w:cstheme="minorBidi"/>
                <w:b w:val="0"/>
                <w:bCs w:val="0"/>
                <w:color w:val="auto"/>
                <w:kern w:val="2"/>
                <w:sz w:val="22"/>
                <w:lang w:val="es-HN" w:eastAsia="es-HN"/>
                <w14:ligatures w14:val="standardContextual"/>
              </w:rPr>
              <w:tab/>
            </w:r>
            <w:r w:rsidR="000B7B90" w:rsidRPr="003C7F62">
              <w:rPr>
                <w:rStyle w:val="Hipervnculo"/>
                <w:color w:val="023160" w:themeColor="hyperlink" w:themeShade="80"/>
              </w:rPr>
              <w:t>Marco legal nacional y normativa del Banco Mundial aplicable</w:t>
            </w:r>
            <w:r w:rsidR="000B7B90">
              <w:rPr>
                <w:webHidden/>
              </w:rPr>
              <w:tab/>
            </w:r>
            <w:r w:rsidR="000B7B90">
              <w:rPr>
                <w:webHidden/>
              </w:rPr>
              <w:fldChar w:fldCharType="begin"/>
            </w:r>
            <w:r w:rsidR="000B7B90">
              <w:rPr>
                <w:webHidden/>
              </w:rPr>
              <w:instrText xml:space="preserve"> PAGEREF _Toc202456897 \h </w:instrText>
            </w:r>
            <w:r w:rsidR="000B7B90">
              <w:rPr>
                <w:webHidden/>
              </w:rPr>
            </w:r>
            <w:r w:rsidR="000B7B90">
              <w:rPr>
                <w:webHidden/>
              </w:rPr>
              <w:fldChar w:fldCharType="separate"/>
            </w:r>
            <w:r w:rsidR="000B7B90">
              <w:rPr>
                <w:webHidden/>
              </w:rPr>
              <w:t>19</w:t>
            </w:r>
            <w:r w:rsidR="000B7B90">
              <w:rPr>
                <w:webHidden/>
              </w:rPr>
              <w:fldChar w:fldCharType="end"/>
            </w:r>
          </w:hyperlink>
        </w:p>
        <w:p w14:paraId="2035BAC0" w14:textId="633A4B0A" w:rsidR="000B7B90" w:rsidRDefault="00000000" w:rsidP="000B7B90">
          <w:pPr>
            <w:pStyle w:val="TDC2"/>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pPr>
          <w:hyperlink w:anchor="_Toc202456901" w:history="1">
            <w:r w:rsidR="000B7B90" w:rsidRPr="003C7F62">
              <w:rPr>
                <w:rStyle w:val="Hipervnculo"/>
                <w:color w:val="023160" w:themeColor="hyperlink" w:themeShade="80"/>
              </w:rPr>
              <w:t>3.1.</w:t>
            </w:r>
            <w:r w:rsidR="000B7B90">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tab/>
            </w:r>
            <w:r w:rsidR="000B7B90" w:rsidRPr="003C7F62">
              <w:rPr>
                <w:rStyle w:val="Hipervnculo"/>
                <w:color w:val="023160" w:themeColor="hyperlink" w:themeShade="80"/>
              </w:rPr>
              <w:t>Estándares Ambientales y Sociales del Banco Mundial</w:t>
            </w:r>
            <w:r w:rsidR="000B7B90">
              <w:rPr>
                <w:webHidden/>
              </w:rPr>
              <w:tab/>
            </w:r>
            <w:r w:rsidR="000B7B90">
              <w:rPr>
                <w:webHidden/>
              </w:rPr>
              <w:fldChar w:fldCharType="begin"/>
            </w:r>
            <w:r w:rsidR="000B7B90">
              <w:rPr>
                <w:webHidden/>
              </w:rPr>
              <w:instrText xml:space="preserve"> PAGEREF _Toc202456901 \h </w:instrText>
            </w:r>
            <w:r w:rsidR="000B7B90">
              <w:rPr>
                <w:webHidden/>
              </w:rPr>
            </w:r>
            <w:r w:rsidR="000B7B90">
              <w:rPr>
                <w:webHidden/>
              </w:rPr>
              <w:fldChar w:fldCharType="separate"/>
            </w:r>
            <w:r w:rsidR="000B7B90">
              <w:rPr>
                <w:webHidden/>
              </w:rPr>
              <w:t>19</w:t>
            </w:r>
            <w:r w:rsidR="000B7B90">
              <w:rPr>
                <w:webHidden/>
              </w:rPr>
              <w:fldChar w:fldCharType="end"/>
            </w:r>
          </w:hyperlink>
        </w:p>
        <w:p w14:paraId="484A1B69" w14:textId="73C384F9" w:rsidR="000B7B90" w:rsidRDefault="00000000" w:rsidP="000B7B90">
          <w:pPr>
            <w:pStyle w:val="TDC2"/>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pPr>
          <w:hyperlink w:anchor="_Toc202456902" w:history="1">
            <w:r w:rsidR="000B7B90" w:rsidRPr="003C7F62">
              <w:rPr>
                <w:rStyle w:val="Hipervnculo"/>
                <w:color w:val="023160" w:themeColor="hyperlink" w:themeShade="80"/>
              </w:rPr>
              <w:t>3.3.</w:t>
            </w:r>
            <w:r w:rsidR="000B7B90">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tab/>
            </w:r>
            <w:r w:rsidR="000B7B90" w:rsidRPr="003C7F62">
              <w:rPr>
                <w:rStyle w:val="Hipervnculo"/>
                <w:color w:val="023160" w:themeColor="hyperlink" w:themeShade="80"/>
              </w:rPr>
              <w:t>Marco Legal Nacional</w:t>
            </w:r>
            <w:r w:rsidR="000B7B90">
              <w:rPr>
                <w:webHidden/>
              </w:rPr>
              <w:tab/>
            </w:r>
            <w:r w:rsidR="000B7B90">
              <w:rPr>
                <w:webHidden/>
              </w:rPr>
              <w:fldChar w:fldCharType="begin"/>
            </w:r>
            <w:r w:rsidR="000B7B90">
              <w:rPr>
                <w:webHidden/>
              </w:rPr>
              <w:instrText xml:space="preserve"> PAGEREF _Toc202456902 \h </w:instrText>
            </w:r>
            <w:r w:rsidR="000B7B90">
              <w:rPr>
                <w:webHidden/>
              </w:rPr>
            </w:r>
            <w:r w:rsidR="000B7B90">
              <w:rPr>
                <w:webHidden/>
              </w:rPr>
              <w:fldChar w:fldCharType="separate"/>
            </w:r>
            <w:r w:rsidR="000B7B90">
              <w:rPr>
                <w:webHidden/>
              </w:rPr>
              <w:t>23</w:t>
            </w:r>
            <w:r w:rsidR="000B7B90">
              <w:rPr>
                <w:webHidden/>
              </w:rPr>
              <w:fldChar w:fldCharType="end"/>
            </w:r>
          </w:hyperlink>
        </w:p>
        <w:p w14:paraId="5E0A65CE" w14:textId="4AB7858D" w:rsidR="000B7B90" w:rsidRDefault="00000000">
          <w:pPr>
            <w:pStyle w:val="TDC1"/>
            <w:rPr>
              <w:rFonts w:asciiTheme="minorHAnsi" w:eastAsiaTheme="minorEastAsia" w:hAnsiTheme="minorHAnsi" w:cstheme="minorBidi"/>
              <w:b w:val="0"/>
              <w:bCs w:val="0"/>
              <w:color w:val="auto"/>
              <w:kern w:val="2"/>
              <w:sz w:val="22"/>
              <w:lang w:val="es-HN" w:eastAsia="es-HN"/>
              <w14:ligatures w14:val="standardContextual"/>
            </w:rPr>
          </w:pPr>
          <w:hyperlink w:anchor="_Toc202456903" w:history="1">
            <w:r w:rsidR="000B7B90" w:rsidRPr="003C7F62">
              <w:rPr>
                <w:rStyle w:val="Hipervnculo"/>
                <w:color w:val="023160" w:themeColor="hyperlink" w:themeShade="80"/>
              </w:rPr>
              <w:t>4.</w:t>
            </w:r>
            <w:r w:rsidR="000B7B90">
              <w:rPr>
                <w:rFonts w:asciiTheme="minorHAnsi" w:eastAsiaTheme="minorEastAsia" w:hAnsiTheme="minorHAnsi" w:cstheme="minorBidi"/>
                <w:b w:val="0"/>
                <w:bCs w:val="0"/>
                <w:color w:val="auto"/>
                <w:kern w:val="2"/>
                <w:sz w:val="22"/>
                <w:lang w:val="es-HN" w:eastAsia="es-HN"/>
                <w14:ligatures w14:val="standardContextual"/>
              </w:rPr>
              <w:tab/>
            </w:r>
            <w:r w:rsidR="000B7B90" w:rsidRPr="003C7F62">
              <w:rPr>
                <w:rStyle w:val="Hipervnculo"/>
                <w:color w:val="023160" w:themeColor="hyperlink" w:themeShade="80"/>
              </w:rPr>
              <w:t>Marco institucional del COMRURAL III</w:t>
            </w:r>
            <w:r w:rsidR="000B7B90">
              <w:rPr>
                <w:webHidden/>
              </w:rPr>
              <w:tab/>
            </w:r>
            <w:r w:rsidR="000B7B90">
              <w:rPr>
                <w:webHidden/>
              </w:rPr>
              <w:fldChar w:fldCharType="begin"/>
            </w:r>
            <w:r w:rsidR="000B7B90">
              <w:rPr>
                <w:webHidden/>
              </w:rPr>
              <w:instrText xml:space="preserve"> PAGEREF _Toc202456903 \h </w:instrText>
            </w:r>
            <w:r w:rsidR="000B7B90">
              <w:rPr>
                <w:webHidden/>
              </w:rPr>
            </w:r>
            <w:r w:rsidR="000B7B90">
              <w:rPr>
                <w:webHidden/>
              </w:rPr>
              <w:fldChar w:fldCharType="separate"/>
            </w:r>
            <w:r w:rsidR="000B7B90">
              <w:rPr>
                <w:webHidden/>
              </w:rPr>
              <w:t>48</w:t>
            </w:r>
            <w:r w:rsidR="000B7B90">
              <w:rPr>
                <w:webHidden/>
              </w:rPr>
              <w:fldChar w:fldCharType="end"/>
            </w:r>
          </w:hyperlink>
        </w:p>
        <w:p w14:paraId="4FF087CC" w14:textId="5AF2A808" w:rsidR="000B7B90" w:rsidRDefault="00000000">
          <w:pPr>
            <w:pStyle w:val="TDC1"/>
            <w:rPr>
              <w:rFonts w:asciiTheme="minorHAnsi" w:eastAsiaTheme="minorEastAsia" w:hAnsiTheme="minorHAnsi" w:cstheme="minorBidi"/>
              <w:b w:val="0"/>
              <w:bCs w:val="0"/>
              <w:color w:val="auto"/>
              <w:kern w:val="2"/>
              <w:sz w:val="22"/>
              <w:lang w:val="es-HN" w:eastAsia="es-HN"/>
              <w14:ligatures w14:val="standardContextual"/>
            </w:rPr>
          </w:pPr>
          <w:hyperlink w:anchor="_Toc202456904" w:history="1">
            <w:r w:rsidR="000B7B90" w:rsidRPr="003C7F62">
              <w:rPr>
                <w:rStyle w:val="Hipervnculo"/>
                <w:color w:val="023160" w:themeColor="hyperlink" w:themeShade="80"/>
              </w:rPr>
              <w:t>5.</w:t>
            </w:r>
            <w:r w:rsidR="000B7B90">
              <w:rPr>
                <w:rFonts w:asciiTheme="minorHAnsi" w:eastAsiaTheme="minorEastAsia" w:hAnsiTheme="minorHAnsi" w:cstheme="minorBidi"/>
                <w:b w:val="0"/>
                <w:bCs w:val="0"/>
                <w:color w:val="auto"/>
                <w:kern w:val="2"/>
                <w:sz w:val="22"/>
                <w:lang w:val="es-HN" w:eastAsia="es-HN"/>
                <w14:ligatures w14:val="standardContextual"/>
              </w:rPr>
              <w:tab/>
            </w:r>
            <w:r w:rsidR="000B7B90" w:rsidRPr="003C7F62">
              <w:rPr>
                <w:rStyle w:val="Hipervnculo"/>
                <w:color w:val="023160" w:themeColor="hyperlink" w:themeShade="80"/>
              </w:rPr>
              <w:t>Caracterización Ambiental de las áreas de intervención y sus zonas de influencia</w:t>
            </w:r>
            <w:r w:rsidR="000B7B90">
              <w:rPr>
                <w:webHidden/>
              </w:rPr>
              <w:tab/>
            </w:r>
            <w:r w:rsidR="000B7B90">
              <w:rPr>
                <w:webHidden/>
              </w:rPr>
              <w:fldChar w:fldCharType="begin"/>
            </w:r>
            <w:r w:rsidR="000B7B90">
              <w:rPr>
                <w:webHidden/>
              </w:rPr>
              <w:instrText xml:space="preserve"> PAGEREF _Toc202456904 \h </w:instrText>
            </w:r>
            <w:r w:rsidR="000B7B90">
              <w:rPr>
                <w:webHidden/>
              </w:rPr>
            </w:r>
            <w:r w:rsidR="000B7B90">
              <w:rPr>
                <w:webHidden/>
              </w:rPr>
              <w:fldChar w:fldCharType="separate"/>
            </w:r>
            <w:r w:rsidR="000B7B90">
              <w:rPr>
                <w:webHidden/>
              </w:rPr>
              <w:t>51</w:t>
            </w:r>
            <w:r w:rsidR="000B7B90">
              <w:rPr>
                <w:webHidden/>
              </w:rPr>
              <w:fldChar w:fldCharType="end"/>
            </w:r>
          </w:hyperlink>
        </w:p>
        <w:p w14:paraId="59966F87" w14:textId="786799C5" w:rsidR="000B7B90" w:rsidRDefault="00000000" w:rsidP="000B7B90">
          <w:pPr>
            <w:pStyle w:val="TDC2"/>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pPr>
          <w:hyperlink w:anchor="_Toc202456906" w:history="1">
            <w:r w:rsidR="000B7B90" w:rsidRPr="003C7F62">
              <w:rPr>
                <w:rStyle w:val="Hipervnculo"/>
                <w:bCs/>
                <w:color w:val="023160" w:themeColor="hyperlink" w:themeShade="80"/>
              </w:rPr>
              <w:t>5.1 Hidrología</w:t>
            </w:r>
            <w:r w:rsidR="000B7B90">
              <w:rPr>
                <w:webHidden/>
              </w:rPr>
              <w:tab/>
            </w:r>
            <w:r w:rsidR="000B7B90">
              <w:rPr>
                <w:webHidden/>
              </w:rPr>
              <w:fldChar w:fldCharType="begin"/>
            </w:r>
            <w:r w:rsidR="000B7B90">
              <w:rPr>
                <w:webHidden/>
              </w:rPr>
              <w:instrText xml:space="preserve"> PAGEREF _Toc202456906 \h </w:instrText>
            </w:r>
            <w:r w:rsidR="000B7B90">
              <w:rPr>
                <w:webHidden/>
              </w:rPr>
            </w:r>
            <w:r w:rsidR="000B7B90">
              <w:rPr>
                <w:webHidden/>
              </w:rPr>
              <w:fldChar w:fldCharType="separate"/>
            </w:r>
            <w:r w:rsidR="000B7B90">
              <w:rPr>
                <w:webHidden/>
              </w:rPr>
              <w:t>51</w:t>
            </w:r>
            <w:r w:rsidR="000B7B90">
              <w:rPr>
                <w:webHidden/>
              </w:rPr>
              <w:fldChar w:fldCharType="end"/>
            </w:r>
          </w:hyperlink>
        </w:p>
        <w:p w14:paraId="7B4186C0" w14:textId="7B9B2CF8" w:rsidR="000B7B90" w:rsidRDefault="00000000" w:rsidP="000B7B90">
          <w:pPr>
            <w:pStyle w:val="TDC2"/>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pPr>
          <w:hyperlink w:anchor="_Toc202456907" w:history="1">
            <w:r w:rsidR="000B7B90" w:rsidRPr="003C7F62">
              <w:rPr>
                <w:rStyle w:val="Hipervnculo"/>
                <w:bCs/>
                <w:color w:val="023160" w:themeColor="hyperlink" w:themeShade="80"/>
              </w:rPr>
              <w:t>5.2 Orografía</w:t>
            </w:r>
            <w:r w:rsidR="000B7B90">
              <w:rPr>
                <w:webHidden/>
              </w:rPr>
              <w:tab/>
            </w:r>
            <w:r w:rsidR="000B7B90">
              <w:rPr>
                <w:webHidden/>
              </w:rPr>
              <w:fldChar w:fldCharType="begin"/>
            </w:r>
            <w:r w:rsidR="000B7B90">
              <w:rPr>
                <w:webHidden/>
              </w:rPr>
              <w:instrText xml:space="preserve"> PAGEREF _Toc202456907 \h </w:instrText>
            </w:r>
            <w:r w:rsidR="000B7B90">
              <w:rPr>
                <w:webHidden/>
              </w:rPr>
            </w:r>
            <w:r w:rsidR="000B7B90">
              <w:rPr>
                <w:webHidden/>
              </w:rPr>
              <w:fldChar w:fldCharType="separate"/>
            </w:r>
            <w:r w:rsidR="000B7B90">
              <w:rPr>
                <w:webHidden/>
              </w:rPr>
              <w:t>53</w:t>
            </w:r>
            <w:r w:rsidR="000B7B90">
              <w:rPr>
                <w:webHidden/>
              </w:rPr>
              <w:fldChar w:fldCharType="end"/>
            </w:r>
          </w:hyperlink>
        </w:p>
        <w:p w14:paraId="1BDB657E" w14:textId="1F405DF9" w:rsidR="000B7B90" w:rsidRDefault="00000000" w:rsidP="000B7B90">
          <w:pPr>
            <w:pStyle w:val="TDC2"/>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pPr>
          <w:hyperlink w:anchor="_Toc202456908" w:history="1">
            <w:r w:rsidR="000B7B90" w:rsidRPr="003C7F62">
              <w:rPr>
                <w:rStyle w:val="Hipervnculo"/>
                <w:bCs/>
                <w:color w:val="023160" w:themeColor="hyperlink" w:themeShade="80"/>
              </w:rPr>
              <w:t>5.3 Clima</w:t>
            </w:r>
            <w:r w:rsidR="000B7B90">
              <w:rPr>
                <w:webHidden/>
              </w:rPr>
              <w:tab/>
            </w:r>
            <w:r w:rsidR="000B7B90">
              <w:rPr>
                <w:webHidden/>
              </w:rPr>
              <w:fldChar w:fldCharType="begin"/>
            </w:r>
            <w:r w:rsidR="000B7B90">
              <w:rPr>
                <w:webHidden/>
              </w:rPr>
              <w:instrText xml:space="preserve"> PAGEREF _Toc202456908 \h </w:instrText>
            </w:r>
            <w:r w:rsidR="000B7B90">
              <w:rPr>
                <w:webHidden/>
              </w:rPr>
            </w:r>
            <w:r w:rsidR="000B7B90">
              <w:rPr>
                <w:webHidden/>
              </w:rPr>
              <w:fldChar w:fldCharType="separate"/>
            </w:r>
            <w:r w:rsidR="000B7B90">
              <w:rPr>
                <w:webHidden/>
              </w:rPr>
              <w:t>54</w:t>
            </w:r>
            <w:r w:rsidR="000B7B90">
              <w:rPr>
                <w:webHidden/>
              </w:rPr>
              <w:fldChar w:fldCharType="end"/>
            </w:r>
          </w:hyperlink>
        </w:p>
        <w:p w14:paraId="4AD1626C" w14:textId="31633450" w:rsidR="000B7B90" w:rsidRDefault="00000000" w:rsidP="000B7B90">
          <w:pPr>
            <w:pStyle w:val="TDC2"/>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pPr>
          <w:hyperlink w:anchor="_Toc202456909" w:history="1">
            <w:r w:rsidR="000B7B90" w:rsidRPr="003C7F62">
              <w:rPr>
                <w:rStyle w:val="Hipervnculo"/>
                <w:bCs/>
                <w:color w:val="023160" w:themeColor="hyperlink" w:themeShade="80"/>
              </w:rPr>
              <w:t>5.4 Biodiversidad y Áreas Protegidas</w:t>
            </w:r>
            <w:r w:rsidR="000B7B90">
              <w:rPr>
                <w:webHidden/>
              </w:rPr>
              <w:tab/>
            </w:r>
            <w:r w:rsidR="000B7B90">
              <w:rPr>
                <w:webHidden/>
              </w:rPr>
              <w:fldChar w:fldCharType="begin"/>
            </w:r>
            <w:r w:rsidR="000B7B90">
              <w:rPr>
                <w:webHidden/>
              </w:rPr>
              <w:instrText xml:space="preserve"> PAGEREF _Toc202456909 \h </w:instrText>
            </w:r>
            <w:r w:rsidR="000B7B90">
              <w:rPr>
                <w:webHidden/>
              </w:rPr>
            </w:r>
            <w:r w:rsidR="000B7B90">
              <w:rPr>
                <w:webHidden/>
              </w:rPr>
              <w:fldChar w:fldCharType="separate"/>
            </w:r>
            <w:r w:rsidR="000B7B90">
              <w:rPr>
                <w:webHidden/>
              </w:rPr>
              <w:t>57</w:t>
            </w:r>
            <w:r w:rsidR="000B7B90">
              <w:rPr>
                <w:webHidden/>
              </w:rPr>
              <w:fldChar w:fldCharType="end"/>
            </w:r>
          </w:hyperlink>
        </w:p>
        <w:p w14:paraId="5DB9A64B" w14:textId="75357217" w:rsidR="000B7B90" w:rsidRDefault="00000000">
          <w:pPr>
            <w:pStyle w:val="TDC1"/>
            <w:rPr>
              <w:rFonts w:asciiTheme="minorHAnsi" w:eastAsiaTheme="minorEastAsia" w:hAnsiTheme="minorHAnsi" w:cstheme="minorBidi"/>
              <w:b w:val="0"/>
              <w:bCs w:val="0"/>
              <w:color w:val="auto"/>
              <w:kern w:val="2"/>
              <w:sz w:val="22"/>
              <w:lang w:val="es-HN" w:eastAsia="es-HN"/>
              <w14:ligatures w14:val="standardContextual"/>
            </w:rPr>
          </w:pPr>
          <w:hyperlink w:anchor="_Toc202456910" w:history="1">
            <w:r w:rsidR="000B7B90" w:rsidRPr="003C7F62">
              <w:rPr>
                <w:rStyle w:val="Hipervnculo"/>
                <w:color w:val="023160" w:themeColor="hyperlink" w:themeShade="80"/>
              </w:rPr>
              <w:t>6.</w:t>
            </w:r>
            <w:r w:rsidR="000B7B90">
              <w:rPr>
                <w:rFonts w:asciiTheme="minorHAnsi" w:eastAsiaTheme="minorEastAsia" w:hAnsiTheme="minorHAnsi" w:cstheme="minorBidi"/>
                <w:b w:val="0"/>
                <w:bCs w:val="0"/>
                <w:color w:val="auto"/>
                <w:kern w:val="2"/>
                <w:sz w:val="22"/>
                <w:lang w:val="es-HN" w:eastAsia="es-HN"/>
                <w14:ligatures w14:val="standardContextual"/>
              </w:rPr>
              <w:tab/>
            </w:r>
            <w:r w:rsidR="000B7B90" w:rsidRPr="003C7F62">
              <w:rPr>
                <w:rStyle w:val="Hipervnculo"/>
                <w:color w:val="023160" w:themeColor="hyperlink" w:themeShade="80"/>
              </w:rPr>
              <w:t>Caracterización socioeconómica de las áreas de intervención</w:t>
            </w:r>
            <w:r w:rsidR="000B7B90">
              <w:rPr>
                <w:webHidden/>
              </w:rPr>
              <w:tab/>
            </w:r>
            <w:r w:rsidR="000B7B90">
              <w:rPr>
                <w:webHidden/>
              </w:rPr>
              <w:fldChar w:fldCharType="begin"/>
            </w:r>
            <w:r w:rsidR="000B7B90">
              <w:rPr>
                <w:webHidden/>
              </w:rPr>
              <w:instrText xml:space="preserve"> PAGEREF _Toc202456910 \h </w:instrText>
            </w:r>
            <w:r w:rsidR="000B7B90">
              <w:rPr>
                <w:webHidden/>
              </w:rPr>
            </w:r>
            <w:r w:rsidR="000B7B90">
              <w:rPr>
                <w:webHidden/>
              </w:rPr>
              <w:fldChar w:fldCharType="separate"/>
            </w:r>
            <w:r w:rsidR="000B7B90">
              <w:rPr>
                <w:webHidden/>
              </w:rPr>
              <w:t>83</w:t>
            </w:r>
            <w:r w:rsidR="000B7B90">
              <w:rPr>
                <w:webHidden/>
              </w:rPr>
              <w:fldChar w:fldCharType="end"/>
            </w:r>
          </w:hyperlink>
        </w:p>
        <w:p w14:paraId="362D7C04" w14:textId="0B836D44" w:rsidR="000B7B90" w:rsidRDefault="00000000" w:rsidP="000B7B90">
          <w:pPr>
            <w:pStyle w:val="TDC2"/>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pPr>
          <w:hyperlink w:anchor="_Toc202456913" w:history="1">
            <w:r w:rsidR="000B7B90" w:rsidRPr="003C7F62">
              <w:rPr>
                <w:rStyle w:val="Hipervnculo"/>
                <w:bCs/>
                <w:color w:val="023160" w:themeColor="hyperlink" w:themeShade="80"/>
              </w:rPr>
              <w:t>6.1 Descripción General</w:t>
            </w:r>
            <w:r w:rsidR="000B7B90">
              <w:rPr>
                <w:webHidden/>
              </w:rPr>
              <w:tab/>
            </w:r>
            <w:r w:rsidR="000B7B90">
              <w:rPr>
                <w:webHidden/>
              </w:rPr>
              <w:fldChar w:fldCharType="begin"/>
            </w:r>
            <w:r w:rsidR="000B7B90">
              <w:rPr>
                <w:webHidden/>
              </w:rPr>
              <w:instrText xml:space="preserve"> PAGEREF _Toc202456913 \h </w:instrText>
            </w:r>
            <w:r w:rsidR="000B7B90">
              <w:rPr>
                <w:webHidden/>
              </w:rPr>
            </w:r>
            <w:r w:rsidR="000B7B90">
              <w:rPr>
                <w:webHidden/>
              </w:rPr>
              <w:fldChar w:fldCharType="separate"/>
            </w:r>
            <w:r w:rsidR="000B7B90">
              <w:rPr>
                <w:webHidden/>
              </w:rPr>
              <w:t>83</w:t>
            </w:r>
            <w:r w:rsidR="000B7B90">
              <w:rPr>
                <w:webHidden/>
              </w:rPr>
              <w:fldChar w:fldCharType="end"/>
            </w:r>
          </w:hyperlink>
        </w:p>
        <w:p w14:paraId="09FB6718" w14:textId="51F28D34" w:rsidR="000B7B90" w:rsidRDefault="00000000" w:rsidP="000B7B90">
          <w:pPr>
            <w:pStyle w:val="TDC2"/>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pPr>
          <w:hyperlink w:anchor="_Toc202456921" w:history="1">
            <w:r w:rsidR="000B7B90" w:rsidRPr="003C7F62">
              <w:rPr>
                <w:rStyle w:val="Hipervnculo"/>
                <w:bCs/>
                <w:color w:val="023160" w:themeColor="hyperlink" w:themeShade="80"/>
              </w:rPr>
              <w:t>6.1.1.</w:t>
            </w:r>
            <w:r w:rsidR="000B7B90">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tab/>
            </w:r>
            <w:r w:rsidR="000B7B90" w:rsidRPr="003C7F62">
              <w:rPr>
                <w:rStyle w:val="Hipervnculo"/>
                <w:bCs/>
                <w:color w:val="023160" w:themeColor="hyperlink" w:themeShade="80"/>
              </w:rPr>
              <w:t>Caracterización Demográfica</w:t>
            </w:r>
            <w:r w:rsidR="000B7B90">
              <w:rPr>
                <w:webHidden/>
              </w:rPr>
              <w:tab/>
            </w:r>
            <w:r w:rsidR="000B7B90">
              <w:rPr>
                <w:webHidden/>
              </w:rPr>
              <w:fldChar w:fldCharType="begin"/>
            </w:r>
            <w:r w:rsidR="000B7B90">
              <w:rPr>
                <w:webHidden/>
              </w:rPr>
              <w:instrText xml:space="preserve"> PAGEREF _Toc202456921 \h </w:instrText>
            </w:r>
            <w:r w:rsidR="000B7B90">
              <w:rPr>
                <w:webHidden/>
              </w:rPr>
            </w:r>
            <w:r w:rsidR="000B7B90">
              <w:rPr>
                <w:webHidden/>
              </w:rPr>
              <w:fldChar w:fldCharType="separate"/>
            </w:r>
            <w:r w:rsidR="000B7B90">
              <w:rPr>
                <w:webHidden/>
              </w:rPr>
              <w:t>91</w:t>
            </w:r>
            <w:r w:rsidR="000B7B90">
              <w:rPr>
                <w:webHidden/>
              </w:rPr>
              <w:fldChar w:fldCharType="end"/>
            </w:r>
          </w:hyperlink>
        </w:p>
        <w:p w14:paraId="0CAEBBB2" w14:textId="3249ECBE" w:rsidR="000B7B90" w:rsidRDefault="00000000" w:rsidP="000B7B90">
          <w:pPr>
            <w:pStyle w:val="TDC2"/>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pPr>
          <w:hyperlink w:anchor="_Toc202456922" w:history="1">
            <w:r w:rsidR="000B7B90" w:rsidRPr="003C7F62">
              <w:rPr>
                <w:rStyle w:val="Hipervnculo"/>
                <w:bCs/>
                <w:color w:val="023160" w:themeColor="hyperlink" w:themeShade="80"/>
              </w:rPr>
              <w:t>6.1.2.</w:t>
            </w:r>
            <w:r w:rsidR="000B7B90">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tab/>
            </w:r>
            <w:r w:rsidR="000B7B90" w:rsidRPr="003C7F62">
              <w:rPr>
                <w:rStyle w:val="Hipervnculo"/>
                <w:bCs/>
                <w:color w:val="023160" w:themeColor="hyperlink" w:themeShade="80"/>
              </w:rPr>
              <w:t>Caracterización Económico-productiva</w:t>
            </w:r>
            <w:r w:rsidR="000B7B90">
              <w:rPr>
                <w:webHidden/>
              </w:rPr>
              <w:tab/>
            </w:r>
            <w:r w:rsidR="000B7B90">
              <w:rPr>
                <w:webHidden/>
              </w:rPr>
              <w:fldChar w:fldCharType="begin"/>
            </w:r>
            <w:r w:rsidR="000B7B90">
              <w:rPr>
                <w:webHidden/>
              </w:rPr>
              <w:instrText xml:space="preserve"> PAGEREF _Toc202456922 \h </w:instrText>
            </w:r>
            <w:r w:rsidR="000B7B90">
              <w:rPr>
                <w:webHidden/>
              </w:rPr>
            </w:r>
            <w:r w:rsidR="000B7B90">
              <w:rPr>
                <w:webHidden/>
              </w:rPr>
              <w:fldChar w:fldCharType="separate"/>
            </w:r>
            <w:r w:rsidR="000B7B90">
              <w:rPr>
                <w:webHidden/>
              </w:rPr>
              <w:t>91</w:t>
            </w:r>
            <w:r w:rsidR="000B7B90">
              <w:rPr>
                <w:webHidden/>
              </w:rPr>
              <w:fldChar w:fldCharType="end"/>
            </w:r>
          </w:hyperlink>
        </w:p>
        <w:p w14:paraId="26634314" w14:textId="4E732993" w:rsidR="000B7B90" w:rsidRDefault="00000000" w:rsidP="000B7B90">
          <w:pPr>
            <w:pStyle w:val="TDC2"/>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pPr>
          <w:hyperlink w:anchor="_Toc202456923" w:history="1">
            <w:r w:rsidR="000B7B90" w:rsidRPr="003C7F62">
              <w:rPr>
                <w:rStyle w:val="Hipervnculo"/>
                <w:bCs/>
                <w:color w:val="023160" w:themeColor="hyperlink" w:themeShade="80"/>
              </w:rPr>
              <w:t>6.1.3.</w:t>
            </w:r>
            <w:r w:rsidR="000B7B90">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tab/>
            </w:r>
            <w:r w:rsidR="000B7B90" w:rsidRPr="003C7F62">
              <w:rPr>
                <w:rStyle w:val="Hipervnculo"/>
                <w:bCs/>
                <w:color w:val="023160" w:themeColor="hyperlink" w:themeShade="80"/>
              </w:rPr>
              <w:t>Desarrollo humano</w:t>
            </w:r>
            <w:r w:rsidR="000B7B90">
              <w:rPr>
                <w:webHidden/>
              </w:rPr>
              <w:tab/>
            </w:r>
            <w:r w:rsidR="000B7B90">
              <w:rPr>
                <w:webHidden/>
              </w:rPr>
              <w:fldChar w:fldCharType="begin"/>
            </w:r>
            <w:r w:rsidR="000B7B90">
              <w:rPr>
                <w:webHidden/>
              </w:rPr>
              <w:instrText xml:space="preserve"> PAGEREF _Toc202456923 \h </w:instrText>
            </w:r>
            <w:r w:rsidR="000B7B90">
              <w:rPr>
                <w:webHidden/>
              </w:rPr>
            </w:r>
            <w:r w:rsidR="000B7B90">
              <w:rPr>
                <w:webHidden/>
              </w:rPr>
              <w:fldChar w:fldCharType="separate"/>
            </w:r>
            <w:r w:rsidR="000B7B90">
              <w:rPr>
                <w:webHidden/>
              </w:rPr>
              <w:t>97</w:t>
            </w:r>
            <w:r w:rsidR="000B7B90">
              <w:rPr>
                <w:webHidden/>
              </w:rPr>
              <w:fldChar w:fldCharType="end"/>
            </w:r>
          </w:hyperlink>
        </w:p>
        <w:p w14:paraId="49111E92" w14:textId="04875574" w:rsidR="000B7B90" w:rsidRDefault="00000000" w:rsidP="000B7B90">
          <w:pPr>
            <w:pStyle w:val="TDC2"/>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pPr>
          <w:hyperlink w:anchor="_Toc202456924" w:history="1">
            <w:r w:rsidR="000B7B90" w:rsidRPr="003C7F62">
              <w:rPr>
                <w:rStyle w:val="Hipervnculo"/>
                <w:bCs/>
                <w:color w:val="023160" w:themeColor="hyperlink" w:themeShade="80"/>
              </w:rPr>
              <w:t>6.1.4.</w:t>
            </w:r>
            <w:r w:rsidR="000B7B90">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tab/>
            </w:r>
            <w:r w:rsidR="000B7B90" w:rsidRPr="003C7F62">
              <w:rPr>
                <w:rStyle w:val="Hipervnculo"/>
                <w:bCs/>
                <w:color w:val="023160" w:themeColor="hyperlink" w:themeShade="80"/>
              </w:rPr>
              <w:t>Migración y sus Implicaciones Socioeconómicas</w:t>
            </w:r>
            <w:r w:rsidR="000B7B90">
              <w:rPr>
                <w:webHidden/>
              </w:rPr>
              <w:tab/>
            </w:r>
            <w:r w:rsidR="000B7B90">
              <w:rPr>
                <w:webHidden/>
              </w:rPr>
              <w:fldChar w:fldCharType="begin"/>
            </w:r>
            <w:r w:rsidR="000B7B90">
              <w:rPr>
                <w:webHidden/>
              </w:rPr>
              <w:instrText xml:space="preserve"> PAGEREF _Toc202456924 \h </w:instrText>
            </w:r>
            <w:r w:rsidR="000B7B90">
              <w:rPr>
                <w:webHidden/>
              </w:rPr>
            </w:r>
            <w:r w:rsidR="000B7B90">
              <w:rPr>
                <w:webHidden/>
              </w:rPr>
              <w:fldChar w:fldCharType="separate"/>
            </w:r>
            <w:r w:rsidR="000B7B90">
              <w:rPr>
                <w:webHidden/>
              </w:rPr>
              <w:t>99</w:t>
            </w:r>
            <w:r w:rsidR="000B7B90">
              <w:rPr>
                <w:webHidden/>
              </w:rPr>
              <w:fldChar w:fldCharType="end"/>
            </w:r>
          </w:hyperlink>
        </w:p>
        <w:p w14:paraId="30CEABBE" w14:textId="734ABB55" w:rsidR="000B7B90" w:rsidRDefault="00000000" w:rsidP="000B7B90">
          <w:pPr>
            <w:pStyle w:val="TDC2"/>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pPr>
          <w:hyperlink w:anchor="_Toc202456925" w:history="1">
            <w:r w:rsidR="000B7B90" w:rsidRPr="003C7F62">
              <w:rPr>
                <w:rStyle w:val="Hipervnculo"/>
                <w:bCs/>
                <w:color w:val="023160" w:themeColor="hyperlink" w:themeShade="80"/>
              </w:rPr>
              <w:t>6.1.5.</w:t>
            </w:r>
            <w:r w:rsidR="000B7B90">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tab/>
            </w:r>
            <w:r w:rsidR="000B7B90" w:rsidRPr="003C7F62">
              <w:rPr>
                <w:rStyle w:val="Hipervnculo"/>
                <w:bCs/>
                <w:color w:val="023160" w:themeColor="hyperlink" w:themeShade="80"/>
              </w:rPr>
              <w:t>Contexto de Crimen y Violencia</w:t>
            </w:r>
            <w:r w:rsidR="000B7B90">
              <w:rPr>
                <w:webHidden/>
              </w:rPr>
              <w:tab/>
            </w:r>
            <w:r w:rsidR="000B7B90">
              <w:rPr>
                <w:webHidden/>
              </w:rPr>
              <w:fldChar w:fldCharType="begin"/>
            </w:r>
            <w:r w:rsidR="000B7B90">
              <w:rPr>
                <w:webHidden/>
              </w:rPr>
              <w:instrText xml:space="preserve"> PAGEREF _Toc202456925 \h </w:instrText>
            </w:r>
            <w:r w:rsidR="000B7B90">
              <w:rPr>
                <w:webHidden/>
              </w:rPr>
            </w:r>
            <w:r w:rsidR="000B7B90">
              <w:rPr>
                <w:webHidden/>
              </w:rPr>
              <w:fldChar w:fldCharType="separate"/>
            </w:r>
            <w:r w:rsidR="000B7B90">
              <w:rPr>
                <w:webHidden/>
              </w:rPr>
              <w:t>102</w:t>
            </w:r>
            <w:r w:rsidR="000B7B90">
              <w:rPr>
                <w:webHidden/>
              </w:rPr>
              <w:fldChar w:fldCharType="end"/>
            </w:r>
          </w:hyperlink>
        </w:p>
        <w:p w14:paraId="039F76A9" w14:textId="35FD4D14" w:rsidR="000B7B90" w:rsidRDefault="00000000" w:rsidP="000B7B90">
          <w:pPr>
            <w:pStyle w:val="TDC2"/>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pPr>
          <w:hyperlink w:anchor="_Toc202456926" w:history="1">
            <w:r w:rsidR="000B7B90" w:rsidRPr="003C7F62">
              <w:rPr>
                <w:rStyle w:val="Hipervnculo"/>
                <w:bCs/>
                <w:color w:val="023160" w:themeColor="hyperlink" w:themeShade="80"/>
              </w:rPr>
              <w:t>6.1.6.</w:t>
            </w:r>
            <w:r w:rsidR="000B7B90">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tab/>
            </w:r>
            <w:r w:rsidR="000B7B90" w:rsidRPr="003C7F62">
              <w:rPr>
                <w:rStyle w:val="Hipervnculo"/>
                <w:bCs/>
                <w:color w:val="023160" w:themeColor="hyperlink" w:themeShade="80"/>
              </w:rPr>
              <w:t>Situacional territorial</w:t>
            </w:r>
            <w:r w:rsidR="000B7B90">
              <w:rPr>
                <w:webHidden/>
              </w:rPr>
              <w:tab/>
            </w:r>
            <w:r w:rsidR="000B7B90">
              <w:rPr>
                <w:webHidden/>
              </w:rPr>
              <w:fldChar w:fldCharType="begin"/>
            </w:r>
            <w:r w:rsidR="000B7B90">
              <w:rPr>
                <w:webHidden/>
              </w:rPr>
              <w:instrText xml:space="preserve"> PAGEREF _Toc202456926 \h </w:instrText>
            </w:r>
            <w:r w:rsidR="000B7B90">
              <w:rPr>
                <w:webHidden/>
              </w:rPr>
            </w:r>
            <w:r w:rsidR="000B7B90">
              <w:rPr>
                <w:webHidden/>
              </w:rPr>
              <w:fldChar w:fldCharType="separate"/>
            </w:r>
            <w:r w:rsidR="000B7B90">
              <w:rPr>
                <w:webHidden/>
              </w:rPr>
              <w:t>105</w:t>
            </w:r>
            <w:r w:rsidR="000B7B90">
              <w:rPr>
                <w:webHidden/>
              </w:rPr>
              <w:fldChar w:fldCharType="end"/>
            </w:r>
          </w:hyperlink>
        </w:p>
        <w:p w14:paraId="1797F4AF" w14:textId="4D80F0C2" w:rsidR="000B7B90" w:rsidRDefault="00000000" w:rsidP="000B7B90">
          <w:pPr>
            <w:pStyle w:val="TDC2"/>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pPr>
          <w:hyperlink w:anchor="_Toc202456927" w:history="1">
            <w:r w:rsidR="000B7B90" w:rsidRPr="003C7F62">
              <w:rPr>
                <w:rStyle w:val="Hipervnculo"/>
                <w:bCs/>
                <w:color w:val="023160" w:themeColor="hyperlink" w:themeShade="80"/>
              </w:rPr>
              <w:t>6.1.7.</w:t>
            </w:r>
            <w:r w:rsidR="000B7B90">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tab/>
            </w:r>
            <w:r w:rsidR="000B7B90" w:rsidRPr="003C7F62">
              <w:rPr>
                <w:rStyle w:val="Hipervnculo"/>
                <w:bCs/>
                <w:color w:val="023160" w:themeColor="hyperlink" w:themeShade="80"/>
              </w:rPr>
              <w:t>Infraestructura y equipamiento</w:t>
            </w:r>
            <w:r w:rsidR="000B7B90">
              <w:rPr>
                <w:webHidden/>
              </w:rPr>
              <w:tab/>
            </w:r>
            <w:r w:rsidR="000B7B90">
              <w:rPr>
                <w:webHidden/>
              </w:rPr>
              <w:fldChar w:fldCharType="begin"/>
            </w:r>
            <w:r w:rsidR="000B7B90">
              <w:rPr>
                <w:webHidden/>
              </w:rPr>
              <w:instrText xml:space="preserve"> PAGEREF _Toc202456927 \h </w:instrText>
            </w:r>
            <w:r w:rsidR="000B7B90">
              <w:rPr>
                <w:webHidden/>
              </w:rPr>
            </w:r>
            <w:r w:rsidR="000B7B90">
              <w:rPr>
                <w:webHidden/>
              </w:rPr>
              <w:fldChar w:fldCharType="separate"/>
            </w:r>
            <w:r w:rsidR="000B7B90">
              <w:rPr>
                <w:webHidden/>
              </w:rPr>
              <w:t>108</w:t>
            </w:r>
            <w:r w:rsidR="000B7B90">
              <w:rPr>
                <w:webHidden/>
              </w:rPr>
              <w:fldChar w:fldCharType="end"/>
            </w:r>
          </w:hyperlink>
        </w:p>
        <w:p w14:paraId="3B929565" w14:textId="5A58B4DD" w:rsidR="000B7B90" w:rsidRDefault="00000000" w:rsidP="000B7B90">
          <w:pPr>
            <w:pStyle w:val="TDC2"/>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pPr>
          <w:hyperlink w:anchor="_Toc202456928" w:history="1">
            <w:r w:rsidR="000B7B90" w:rsidRPr="003C7F62">
              <w:rPr>
                <w:rStyle w:val="Hipervnculo"/>
                <w:bCs/>
                <w:color w:val="023160" w:themeColor="hyperlink" w:themeShade="80"/>
              </w:rPr>
              <w:t>6.1.8.</w:t>
            </w:r>
            <w:r w:rsidR="000B7B90">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tab/>
            </w:r>
            <w:r w:rsidR="000B7B90" w:rsidRPr="003C7F62">
              <w:rPr>
                <w:rStyle w:val="Hipervnculo"/>
                <w:bCs/>
                <w:color w:val="023160" w:themeColor="hyperlink" w:themeShade="80"/>
              </w:rPr>
              <w:t>Situaciones de género</w:t>
            </w:r>
            <w:r w:rsidR="000B7B90">
              <w:rPr>
                <w:webHidden/>
              </w:rPr>
              <w:tab/>
            </w:r>
            <w:r w:rsidR="000B7B90">
              <w:rPr>
                <w:webHidden/>
              </w:rPr>
              <w:fldChar w:fldCharType="begin"/>
            </w:r>
            <w:r w:rsidR="000B7B90">
              <w:rPr>
                <w:webHidden/>
              </w:rPr>
              <w:instrText xml:space="preserve"> PAGEREF _Toc202456928 \h </w:instrText>
            </w:r>
            <w:r w:rsidR="000B7B90">
              <w:rPr>
                <w:webHidden/>
              </w:rPr>
            </w:r>
            <w:r w:rsidR="000B7B90">
              <w:rPr>
                <w:webHidden/>
              </w:rPr>
              <w:fldChar w:fldCharType="separate"/>
            </w:r>
            <w:r w:rsidR="000B7B90">
              <w:rPr>
                <w:webHidden/>
              </w:rPr>
              <w:t>109</w:t>
            </w:r>
            <w:r w:rsidR="000B7B90">
              <w:rPr>
                <w:webHidden/>
              </w:rPr>
              <w:fldChar w:fldCharType="end"/>
            </w:r>
          </w:hyperlink>
        </w:p>
        <w:p w14:paraId="017A29E6" w14:textId="701C01EA" w:rsidR="000B7B90" w:rsidRDefault="00000000" w:rsidP="000B7B90">
          <w:pPr>
            <w:pStyle w:val="TDC2"/>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pPr>
          <w:hyperlink w:anchor="_Toc202456929" w:history="1">
            <w:r w:rsidR="000B7B90" w:rsidRPr="003C7F62">
              <w:rPr>
                <w:rStyle w:val="Hipervnculo"/>
                <w:bCs/>
                <w:color w:val="023160" w:themeColor="hyperlink" w:themeShade="80"/>
              </w:rPr>
              <w:t>6.3</w:t>
            </w:r>
            <w:r w:rsidR="000B7B90">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tab/>
            </w:r>
            <w:r w:rsidR="000B7B90" w:rsidRPr="003C7F62">
              <w:rPr>
                <w:rStyle w:val="Hipervnculo"/>
                <w:bCs/>
                <w:color w:val="023160" w:themeColor="hyperlink" w:themeShade="80"/>
              </w:rPr>
              <w:t>Caracterización de los Departamentos que se incorporar en COMRURAL III: Valle, Yoro y Olancho</w:t>
            </w:r>
            <w:r w:rsidR="000B7B90">
              <w:rPr>
                <w:webHidden/>
              </w:rPr>
              <w:tab/>
            </w:r>
            <w:r w:rsidR="000B7B90">
              <w:rPr>
                <w:webHidden/>
              </w:rPr>
              <w:fldChar w:fldCharType="begin"/>
            </w:r>
            <w:r w:rsidR="000B7B90">
              <w:rPr>
                <w:webHidden/>
              </w:rPr>
              <w:instrText xml:space="preserve"> PAGEREF _Toc202456929 \h </w:instrText>
            </w:r>
            <w:r w:rsidR="000B7B90">
              <w:rPr>
                <w:webHidden/>
              </w:rPr>
            </w:r>
            <w:r w:rsidR="000B7B90">
              <w:rPr>
                <w:webHidden/>
              </w:rPr>
              <w:fldChar w:fldCharType="separate"/>
            </w:r>
            <w:r w:rsidR="000B7B90">
              <w:rPr>
                <w:webHidden/>
              </w:rPr>
              <w:t>111</w:t>
            </w:r>
            <w:r w:rsidR="000B7B90">
              <w:rPr>
                <w:webHidden/>
              </w:rPr>
              <w:fldChar w:fldCharType="end"/>
            </w:r>
          </w:hyperlink>
        </w:p>
        <w:p w14:paraId="46A606BD" w14:textId="4BA3BD92" w:rsidR="000B7B90" w:rsidRDefault="00000000" w:rsidP="000B7B90">
          <w:pPr>
            <w:pStyle w:val="TDC2"/>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pPr>
          <w:hyperlink w:anchor="_Toc202456930" w:history="1">
            <w:r w:rsidR="000B7B90" w:rsidRPr="003C7F62">
              <w:rPr>
                <w:rStyle w:val="Hipervnculo"/>
                <w:color w:val="023160" w:themeColor="hyperlink" w:themeShade="80"/>
              </w:rPr>
              <w:t>6.3.1</w:t>
            </w:r>
            <w:r w:rsidR="000B7B90">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tab/>
            </w:r>
            <w:r w:rsidR="000B7B90" w:rsidRPr="003C7F62">
              <w:rPr>
                <w:rStyle w:val="Hipervnculo"/>
                <w:color w:val="023160" w:themeColor="hyperlink" w:themeShade="80"/>
              </w:rPr>
              <w:t>Población de las áreas de intervención</w:t>
            </w:r>
            <w:r w:rsidR="000B7B90">
              <w:rPr>
                <w:webHidden/>
              </w:rPr>
              <w:tab/>
            </w:r>
            <w:r w:rsidR="000B7B90">
              <w:rPr>
                <w:webHidden/>
              </w:rPr>
              <w:fldChar w:fldCharType="begin"/>
            </w:r>
            <w:r w:rsidR="000B7B90">
              <w:rPr>
                <w:webHidden/>
              </w:rPr>
              <w:instrText xml:space="preserve"> PAGEREF _Toc202456930 \h </w:instrText>
            </w:r>
            <w:r w:rsidR="000B7B90">
              <w:rPr>
                <w:webHidden/>
              </w:rPr>
            </w:r>
            <w:r w:rsidR="000B7B90">
              <w:rPr>
                <w:webHidden/>
              </w:rPr>
              <w:fldChar w:fldCharType="separate"/>
            </w:r>
            <w:r w:rsidR="000B7B90">
              <w:rPr>
                <w:webHidden/>
              </w:rPr>
              <w:t>111</w:t>
            </w:r>
            <w:r w:rsidR="000B7B90">
              <w:rPr>
                <w:webHidden/>
              </w:rPr>
              <w:fldChar w:fldCharType="end"/>
            </w:r>
          </w:hyperlink>
        </w:p>
        <w:p w14:paraId="6A5D649D" w14:textId="6EECECC5" w:rsidR="000B7B90" w:rsidRDefault="00000000" w:rsidP="000B7B90">
          <w:pPr>
            <w:pStyle w:val="TDC2"/>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pPr>
          <w:hyperlink w:anchor="_Toc202456931" w:history="1">
            <w:r w:rsidR="000B7B90" w:rsidRPr="003C7F62">
              <w:rPr>
                <w:rStyle w:val="Hipervnculo"/>
                <w:color w:val="023160" w:themeColor="hyperlink" w:themeShade="80"/>
              </w:rPr>
              <w:t>6.3.2</w:t>
            </w:r>
            <w:r w:rsidR="000B7B90">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tab/>
            </w:r>
            <w:r w:rsidR="000B7B90" w:rsidRPr="003C7F62">
              <w:rPr>
                <w:rStyle w:val="Hipervnculo"/>
                <w:color w:val="023160" w:themeColor="hyperlink" w:themeShade="80"/>
              </w:rPr>
              <w:t>Situación educativa de la población</w:t>
            </w:r>
            <w:r w:rsidR="000B7B90">
              <w:rPr>
                <w:webHidden/>
              </w:rPr>
              <w:tab/>
            </w:r>
            <w:r w:rsidR="000B7B90">
              <w:rPr>
                <w:webHidden/>
              </w:rPr>
              <w:fldChar w:fldCharType="begin"/>
            </w:r>
            <w:r w:rsidR="000B7B90">
              <w:rPr>
                <w:webHidden/>
              </w:rPr>
              <w:instrText xml:space="preserve"> PAGEREF _Toc202456931 \h </w:instrText>
            </w:r>
            <w:r w:rsidR="000B7B90">
              <w:rPr>
                <w:webHidden/>
              </w:rPr>
            </w:r>
            <w:r w:rsidR="000B7B90">
              <w:rPr>
                <w:webHidden/>
              </w:rPr>
              <w:fldChar w:fldCharType="separate"/>
            </w:r>
            <w:r w:rsidR="000B7B90">
              <w:rPr>
                <w:webHidden/>
              </w:rPr>
              <w:t>119</w:t>
            </w:r>
            <w:r w:rsidR="000B7B90">
              <w:rPr>
                <w:webHidden/>
              </w:rPr>
              <w:fldChar w:fldCharType="end"/>
            </w:r>
          </w:hyperlink>
        </w:p>
        <w:p w14:paraId="1BE9CC2E" w14:textId="6F2BD08B" w:rsidR="000B7B90" w:rsidRDefault="00000000" w:rsidP="000B7B90">
          <w:pPr>
            <w:pStyle w:val="TDC2"/>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pPr>
          <w:hyperlink w:anchor="_Toc202456932" w:history="1">
            <w:r w:rsidR="000B7B90" w:rsidRPr="003C7F62">
              <w:rPr>
                <w:rStyle w:val="Hipervnculo"/>
                <w:color w:val="023160" w:themeColor="hyperlink" w:themeShade="80"/>
              </w:rPr>
              <w:t>6.3.3</w:t>
            </w:r>
            <w:r w:rsidR="000B7B90">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tab/>
            </w:r>
            <w:r w:rsidR="000B7B90" w:rsidRPr="003C7F62">
              <w:rPr>
                <w:rStyle w:val="Hipervnculo"/>
                <w:color w:val="023160" w:themeColor="hyperlink" w:themeShade="80"/>
              </w:rPr>
              <w:t>Hogares en condición de pobreza y necesidades básicas insatisfechas</w:t>
            </w:r>
            <w:r w:rsidR="000B7B90">
              <w:rPr>
                <w:webHidden/>
              </w:rPr>
              <w:tab/>
            </w:r>
            <w:r w:rsidR="000B7B90">
              <w:rPr>
                <w:webHidden/>
              </w:rPr>
              <w:fldChar w:fldCharType="begin"/>
            </w:r>
            <w:r w:rsidR="000B7B90">
              <w:rPr>
                <w:webHidden/>
              </w:rPr>
              <w:instrText xml:space="preserve"> PAGEREF _Toc202456932 \h </w:instrText>
            </w:r>
            <w:r w:rsidR="000B7B90">
              <w:rPr>
                <w:webHidden/>
              </w:rPr>
            </w:r>
            <w:r w:rsidR="000B7B90">
              <w:rPr>
                <w:webHidden/>
              </w:rPr>
              <w:fldChar w:fldCharType="separate"/>
            </w:r>
            <w:r w:rsidR="000B7B90">
              <w:rPr>
                <w:webHidden/>
              </w:rPr>
              <w:t>120</w:t>
            </w:r>
            <w:r w:rsidR="000B7B90">
              <w:rPr>
                <w:webHidden/>
              </w:rPr>
              <w:fldChar w:fldCharType="end"/>
            </w:r>
          </w:hyperlink>
        </w:p>
        <w:p w14:paraId="734ABED3" w14:textId="699552F3" w:rsidR="000B7B90" w:rsidRDefault="00000000" w:rsidP="000B7B90">
          <w:pPr>
            <w:pStyle w:val="TDC2"/>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pPr>
          <w:hyperlink w:anchor="_Toc202456933" w:history="1">
            <w:r w:rsidR="000B7B90" w:rsidRPr="003C7F62">
              <w:rPr>
                <w:rStyle w:val="Hipervnculo"/>
                <w:color w:val="023160" w:themeColor="hyperlink" w:themeShade="80"/>
              </w:rPr>
              <w:t>6.3.4</w:t>
            </w:r>
            <w:r w:rsidR="000B7B90">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tab/>
            </w:r>
            <w:r w:rsidR="000B7B90" w:rsidRPr="003C7F62">
              <w:rPr>
                <w:rStyle w:val="Hipervnculo"/>
                <w:color w:val="023160" w:themeColor="hyperlink" w:themeShade="80"/>
              </w:rPr>
              <w:t>Situación de la vivienda o el hogar</w:t>
            </w:r>
            <w:r w:rsidR="000B7B90">
              <w:rPr>
                <w:webHidden/>
              </w:rPr>
              <w:tab/>
            </w:r>
            <w:r w:rsidR="000B7B90">
              <w:rPr>
                <w:webHidden/>
              </w:rPr>
              <w:fldChar w:fldCharType="begin"/>
            </w:r>
            <w:r w:rsidR="000B7B90">
              <w:rPr>
                <w:webHidden/>
              </w:rPr>
              <w:instrText xml:space="preserve"> PAGEREF _Toc202456933 \h </w:instrText>
            </w:r>
            <w:r w:rsidR="000B7B90">
              <w:rPr>
                <w:webHidden/>
              </w:rPr>
            </w:r>
            <w:r w:rsidR="000B7B90">
              <w:rPr>
                <w:webHidden/>
              </w:rPr>
              <w:fldChar w:fldCharType="separate"/>
            </w:r>
            <w:r w:rsidR="000B7B90">
              <w:rPr>
                <w:webHidden/>
              </w:rPr>
              <w:t>121</w:t>
            </w:r>
            <w:r w:rsidR="000B7B90">
              <w:rPr>
                <w:webHidden/>
              </w:rPr>
              <w:fldChar w:fldCharType="end"/>
            </w:r>
          </w:hyperlink>
        </w:p>
        <w:p w14:paraId="158794BF" w14:textId="52D75C32" w:rsidR="000B7B90" w:rsidRDefault="00000000" w:rsidP="000B7B90">
          <w:pPr>
            <w:pStyle w:val="TDC2"/>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pPr>
          <w:hyperlink w:anchor="_Toc202456934" w:history="1">
            <w:r w:rsidR="000B7B90" w:rsidRPr="003C7F62">
              <w:rPr>
                <w:rStyle w:val="Hipervnculo"/>
                <w:color w:val="023160" w:themeColor="hyperlink" w:themeShade="80"/>
              </w:rPr>
              <w:t>6.3.5</w:t>
            </w:r>
            <w:r w:rsidR="000B7B90">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tab/>
            </w:r>
            <w:r w:rsidR="000B7B90" w:rsidRPr="003C7F62">
              <w:rPr>
                <w:rStyle w:val="Hipervnculo"/>
                <w:color w:val="023160" w:themeColor="hyperlink" w:themeShade="80"/>
              </w:rPr>
              <w:t>Personas en condición de pobreza</w:t>
            </w:r>
            <w:r w:rsidR="000B7B90">
              <w:rPr>
                <w:webHidden/>
              </w:rPr>
              <w:tab/>
            </w:r>
            <w:r w:rsidR="000B7B90">
              <w:rPr>
                <w:webHidden/>
              </w:rPr>
              <w:fldChar w:fldCharType="begin"/>
            </w:r>
            <w:r w:rsidR="000B7B90">
              <w:rPr>
                <w:webHidden/>
              </w:rPr>
              <w:instrText xml:space="preserve"> PAGEREF _Toc202456934 \h </w:instrText>
            </w:r>
            <w:r w:rsidR="000B7B90">
              <w:rPr>
                <w:webHidden/>
              </w:rPr>
            </w:r>
            <w:r w:rsidR="000B7B90">
              <w:rPr>
                <w:webHidden/>
              </w:rPr>
              <w:fldChar w:fldCharType="separate"/>
            </w:r>
            <w:r w:rsidR="000B7B90">
              <w:rPr>
                <w:webHidden/>
              </w:rPr>
              <w:t>126</w:t>
            </w:r>
            <w:r w:rsidR="000B7B90">
              <w:rPr>
                <w:webHidden/>
              </w:rPr>
              <w:fldChar w:fldCharType="end"/>
            </w:r>
          </w:hyperlink>
        </w:p>
        <w:p w14:paraId="0D62330A" w14:textId="7D5BF471" w:rsidR="000B7B90" w:rsidRDefault="00000000" w:rsidP="000B7B90">
          <w:pPr>
            <w:pStyle w:val="TDC2"/>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pPr>
          <w:hyperlink w:anchor="_Toc202456935" w:history="1">
            <w:r w:rsidR="000B7B90" w:rsidRPr="003C7F62">
              <w:rPr>
                <w:rStyle w:val="Hipervnculo"/>
                <w:color w:val="023160" w:themeColor="hyperlink" w:themeShade="80"/>
              </w:rPr>
              <w:t>6.3.6</w:t>
            </w:r>
            <w:r w:rsidR="000B7B90">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tab/>
            </w:r>
            <w:r w:rsidR="000B7B90" w:rsidRPr="003C7F62">
              <w:rPr>
                <w:rStyle w:val="Hipervnculo"/>
                <w:color w:val="023160" w:themeColor="hyperlink" w:themeShade="80"/>
              </w:rPr>
              <w:t>Situación del empleo juvenil</w:t>
            </w:r>
            <w:r w:rsidR="000B7B90">
              <w:rPr>
                <w:webHidden/>
              </w:rPr>
              <w:tab/>
            </w:r>
            <w:r w:rsidR="000B7B90">
              <w:rPr>
                <w:webHidden/>
              </w:rPr>
              <w:fldChar w:fldCharType="begin"/>
            </w:r>
            <w:r w:rsidR="000B7B90">
              <w:rPr>
                <w:webHidden/>
              </w:rPr>
              <w:instrText xml:space="preserve"> PAGEREF _Toc202456935 \h </w:instrText>
            </w:r>
            <w:r w:rsidR="000B7B90">
              <w:rPr>
                <w:webHidden/>
              </w:rPr>
            </w:r>
            <w:r w:rsidR="000B7B90">
              <w:rPr>
                <w:webHidden/>
              </w:rPr>
              <w:fldChar w:fldCharType="separate"/>
            </w:r>
            <w:r w:rsidR="000B7B90">
              <w:rPr>
                <w:webHidden/>
              </w:rPr>
              <w:t>127</w:t>
            </w:r>
            <w:r w:rsidR="000B7B90">
              <w:rPr>
                <w:webHidden/>
              </w:rPr>
              <w:fldChar w:fldCharType="end"/>
            </w:r>
          </w:hyperlink>
        </w:p>
        <w:p w14:paraId="0B4CBD56" w14:textId="133BDF83" w:rsidR="000B7B90" w:rsidRDefault="00000000" w:rsidP="000B7B90">
          <w:pPr>
            <w:pStyle w:val="TDC2"/>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pPr>
          <w:hyperlink w:anchor="_Toc202456936" w:history="1">
            <w:r w:rsidR="000B7B90" w:rsidRPr="003C7F62">
              <w:rPr>
                <w:rStyle w:val="Hipervnculo"/>
                <w:bCs/>
                <w:color w:val="023160" w:themeColor="hyperlink" w:themeShade="80"/>
              </w:rPr>
              <w:t>6.3.7</w:t>
            </w:r>
            <w:r w:rsidR="000B7B90">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tab/>
            </w:r>
            <w:r w:rsidR="000B7B90" w:rsidRPr="003C7F62">
              <w:rPr>
                <w:rStyle w:val="Hipervnculo"/>
                <w:bCs/>
                <w:color w:val="023160" w:themeColor="hyperlink" w:themeShade="80"/>
              </w:rPr>
              <w:t>Situación del Trabajo infantil</w:t>
            </w:r>
            <w:r w:rsidR="000B7B90">
              <w:rPr>
                <w:webHidden/>
              </w:rPr>
              <w:tab/>
            </w:r>
            <w:r w:rsidR="000B7B90">
              <w:rPr>
                <w:webHidden/>
              </w:rPr>
              <w:fldChar w:fldCharType="begin"/>
            </w:r>
            <w:r w:rsidR="000B7B90">
              <w:rPr>
                <w:webHidden/>
              </w:rPr>
              <w:instrText xml:space="preserve"> PAGEREF _Toc202456936 \h </w:instrText>
            </w:r>
            <w:r w:rsidR="000B7B90">
              <w:rPr>
                <w:webHidden/>
              </w:rPr>
            </w:r>
            <w:r w:rsidR="000B7B90">
              <w:rPr>
                <w:webHidden/>
              </w:rPr>
              <w:fldChar w:fldCharType="separate"/>
            </w:r>
            <w:r w:rsidR="000B7B90">
              <w:rPr>
                <w:webHidden/>
              </w:rPr>
              <w:t>128</w:t>
            </w:r>
            <w:r w:rsidR="000B7B90">
              <w:rPr>
                <w:webHidden/>
              </w:rPr>
              <w:fldChar w:fldCharType="end"/>
            </w:r>
          </w:hyperlink>
        </w:p>
        <w:p w14:paraId="1A083049" w14:textId="09A64183" w:rsidR="000B7B90" w:rsidRDefault="00000000" w:rsidP="000B7B90">
          <w:pPr>
            <w:pStyle w:val="TDC2"/>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pPr>
          <w:hyperlink w:anchor="_Toc202456937" w:history="1">
            <w:r w:rsidR="000B7B90" w:rsidRPr="003C7F62">
              <w:rPr>
                <w:rStyle w:val="Hipervnculo"/>
                <w:bCs/>
                <w:color w:val="023160" w:themeColor="hyperlink" w:themeShade="80"/>
              </w:rPr>
              <w:t>6.3.8</w:t>
            </w:r>
            <w:r w:rsidR="000B7B90">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tab/>
            </w:r>
            <w:r w:rsidR="000B7B90" w:rsidRPr="003C7F62">
              <w:rPr>
                <w:rStyle w:val="Hipervnculo"/>
                <w:bCs/>
                <w:color w:val="023160" w:themeColor="hyperlink" w:themeShade="80"/>
              </w:rPr>
              <w:t>Situacional nutricional y de salud</w:t>
            </w:r>
            <w:r w:rsidR="000B7B90">
              <w:rPr>
                <w:webHidden/>
              </w:rPr>
              <w:tab/>
            </w:r>
            <w:r w:rsidR="000B7B90">
              <w:rPr>
                <w:webHidden/>
              </w:rPr>
              <w:fldChar w:fldCharType="begin"/>
            </w:r>
            <w:r w:rsidR="000B7B90">
              <w:rPr>
                <w:webHidden/>
              </w:rPr>
              <w:instrText xml:space="preserve"> PAGEREF _Toc202456937 \h </w:instrText>
            </w:r>
            <w:r w:rsidR="000B7B90">
              <w:rPr>
                <w:webHidden/>
              </w:rPr>
            </w:r>
            <w:r w:rsidR="000B7B90">
              <w:rPr>
                <w:webHidden/>
              </w:rPr>
              <w:fldChar w:fldCharType="separate"/>
            </w:r>
            <w:r w:rsidR="000B7B90">
              <w:rPr>
                <w:webHidden/>
              </w:rPr>
              <w:t>129</w:t>
            </w:r>
            <w:r w:rsidR="000B7B90">
              <w:rPr>
                <w:webHidden/>
              </w:rPr>
              <w:fldChar w:fldCharType="end"/>
            </w:r>
          </w:hyperlink>
        </w:p>
        <w:p w14:paraId="47312228" w14:textId="7B56B979" w:rsidR="000B7B90" w:rsidRDefault="00000000" w:rsidP="000B7B90">
          <w:pPr>
            <w:pStyle w:val="TDC2"/>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pPr>
          <w:hyperlink w:anchor="_Toc202456938" w:history="1">
            <w:r w:rsidR="000B7B90" w:rsidRPr="003C7F62">
              <w:rPr>
                <w:rStyle w:val="Hipervnculo"/>
                <w:bCs/>
                <w:color w:val="023160" w:themeColor="hyperlink" w:themeShade="80"/>
              </w:rPr>
              <w:t>6.3.9</w:t>
            </w:r>
            <w:r w:rsidR="000B7B90">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tab/>
            </w:r>
            <w:r w:rsidR="000B7B90" w:rsidRPr="003C7F62">
              <w:rPr>
                <w:rStyle w:val="Hipervnculo"/>
                <w:bCs/>
                <w:color w:val="023160" w:themeColor="hyperlink" w:themeShade="80"/>
              </w:rPr>
              <w:t>Situacional de crimen y violencia</w:t>
            </w:r>
            <w:r w:rsidR="000B7B90">
              <w:rPr>
                <w:webHidden/>
              </w:rPr>
              <w:tab/>
            </w:r>
            <w:r w:rsidR="000B7B90">
              <w:rPr>
                <w:webHidden/>
              </w:rPr>
              <w:fldChar w:fldCharType="begin"/>
            </w:r>
            <w:r w:rsidR="000B7B90">
              <w:rPr>
                <w:webHidden/>
              </w:rPr>
              <w:instrText xml:space="preserve"> PAGEREF _Toc202456938 \h </w:instrText>
            </w:r>
            <w:r w:rsidR="000B7B90">
              <w:rPr>
                <w:webHidden/>
              </w:rPr>
            </w:r>
            <w:r w:rsidR="000B7B90">
              <w:rPr>
                <w:webHidden/>
              </w:rPr>
              <w:fldChar w:fldCharType="separate"/>
            </w:r>
            <w:r w:rsidR="000B7B90">
              <w:rPr>
                <w:webHidden/>
              </w:rPr>
              <w:t>130</w:t>
            </w:r>
            <w:r w:rsidR="000B7B90">
              <w:rPr>
                <w:webHidden/>
              </w:rPr>
              <w:fldChar w:fldCharType="end"/>
            </w:r>
          </w:hyperlink>
        </w:p>
        <w:p w14:paraId="42F836DE" w14:textId="5FE32D45" w:rsidR="000B7B90" w:rsidRDefault="00000000" w:rsidP="000B7B90">
          <w:pPr>
            <w:pStyle w:val="TDC2"/>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pPr>
          <w:hyperlink w:anchor="_Toc202456939" w:history="1">
            <w:r w:rsidR="000B7B90" w:rsidRPr="003C7F62">
              <w:rPr>
                <w:rStyle w:val="Hipervnculo"/>
                <w:color w:val="023160" w:themeColor="hyperlink" w:themeShade="80"/>
              </w:rPr>
              <w:t>6.3.10</w:t>
            </w:r>
            <w:r w:rsidR="000B7B90">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tab/>
            </w:r>
            <w:r w:rsidR="000B7B90" w:rsidRPr="003C7F62">
              <w:rPr>
                <w:rStyle w:val="Hipervnculo"/>
                <w:color w:val="023160" w:themeColor="hyperlink" w:themeShade="80"/>
              </w:rPr>
              <w:t>Identificación de características de grupos considerados vulnerables</w:t>
            </w:r>
            <w:r w:rsidR="000B7B90">
              <w:rPr>
                <w:webHidden/>
              </w:rPr>
              <w:tab/>
            </w:r>
            <w:r w:rsidR="000B7B90">
              <w:rPr>
                <w:webHidden/>
              </w:rPr>
              <w:fldChar w:fldCharType="begin"/>
            </w:r>
            <w:r w:rsidR="000B7B90">
              <w:rPr>
                <w:webHidden/>
              </w:rPr>
              <w:instrText xml:space="preserve"> PAGEREF _Toc202456939 \h </w:instrText>
            </w:r>
            <w:r w:rsidR="000B7B90">
              <w:rPr>
                <w:webHidden/>
              </w:rPr>
            </w:r>
            <w:r w:rsidR="000B7B90">
              <w:rPr>
                <w:webHidden/>
              </w:rPr>
              <w:fldChar w:fldCharType="separate"/>
            </w:r>
            <w:r w:rsidR="000B7B90">
              <w:rPr>
                <w:webHidden/>
              </w:rPr>
              <w:t>135</w:t>
            </w:r>
            <w:r w:rsidR="000B7B90">
              <w:rPr>
                <w:webHidden/>
              </w:rPr>
              <w:fldChar w:fldCharType="end"/>
            </w:r>
          </w:hyperlink>
        </w:p>
        <w:p w14:paraId="475DB06D" w14:textId="6FA36FC8" w:rsidR="000B7B90" w:rsidRDefault="00000000" w:rsidP="000B7B90">
          <w:pPr>
            <w:pStyle w:val="TDC2"/>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pPr>
          <w:hyperlink w:anchor="_Toc202456940" w:history="1">
            <w:r w:rsidR="000B7B90" w:rsidRPr="003C7F62">
              <w:rPr>
                <w:rStyle w:val="Hipervnculo"/>
                <w:bCs/>
                <w:color w:val="023160" w:themeColor="hyperlink" w:themeShade="80"/>
              </w:rPr>
              <w:t>6.3.11</w:t>
            </w:r>
            <w:r w:rsidR="000B7B90">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tab/>
            </w:r>
            <w:r w:rsidR="000B7B90" w:rsidRPr="003C7F62">
              <w:rPr>
                <w:rStyle w:val="Hipervnculo"/>
                <w:bCs/>
                <w:color w:val="023160" w:themeColor="hyperlink" w:themeShade="80"/>
              </w:rPr>
              <w:t>Estrategia y acciones afirmativas para asegurar la participación de grupos vulnerables durante la implementación del Proyecto</w:t>
            </w:r>
            <w:r w:rsidR="000B7B90">
              <w:rPr>
                <w:webHidden/>
              </w:rPr>
              <w:tab/>
            </w:r>
            <w:r w:rsidR="000B7B90">
              <w:rPr>
                <w:webHidden/>
              </w:rPr>
              <w:fldChar w:fldCharType="begin"/>
            </w:r>
            <w:r w:rsidR="000B7B90">
              <w:rPr>
                <w:webHidden/>
              </w:rPr>
              <w:instrText xml:space="preserve"> PAGEREF _Toc202456940 \h </w:instrText>
            </w:r>
            <w:r w:rsidR="000B7B90">
              <w:rPr>
                <w:webHidden/>
              </w:rPr>
            </w:r>
            <w:r w:rsidR="000B7B90">
              <w:rPr>
                <w:webHidden/>
              </w:rPr>
              <w:fldChar w:fldCharType="separate"/>
            </w:r>
            <w:r w:rsidR="000B7B90">
              <w:rPr>
                <w:webHidden/>
              </w:rPr>
              <w:t>146</w:t>
            </w:r>
            <w:r w:rsidR="000B7B90">
              <w:rPr>
                <w:webHidden/>
              </w:rPr>
              <w:fldChar w:fldCharType="end"/>
            </w:r>
          </w:hyperlink>
        </w:p>
        <w:p w14:paraId="70460DE7" w14:textId="0D349026" w:rsidR="000B7B90" w:rsidRDefault="00000000">
          <w:pPr>
            <w:pStyle w:val="TDC1"/>
            <w:rPr>
              <w:rFonts w:asciiTheme="minorHAnsi" w:eastAsiaTheme="minorEastAsia" w:hAnsiTheme="minorHAnsi" w:cstheme="minorBidi"/>
              <w:b w:val="0"/>
              <w:bCs w:val="0"/>
              <w:color w:val="auto"/>
              <w:kern w:val="2"/>
              <w:sz w:val="22"/>
              <w:lang w:val="es-HN" w:eastAsia="es-HN"/>
              <w14:ligatures w14:val="standardContextual"/>
            </w:rPr>
          </w:pPr>
          <w:hyperlink w:anchor="_Toc202456941" w:history="1">
            <w:r w:rsidR="000B7B90" w:rsidRPr="003C7F62">
              <w:rPr>
                <w:rStyle w:val="Hipervnculo"/>
                <w:color w:val="023160" w:themeColor="hyperlink" w:themeShade="80"/>
              </w:rPr>
              <w:t>7</w:t>
            </w:r>
            <w:r w:rsidR="000B7B90">
              <w:rPr>
                <w:rFonts w:asciiTheme="minorHAnsi" w:eastAsiaTheme="minorEastAsia" w:hAnsiTheme="minorHAnsi" w:cstheme="minorBidi"/>
                <w:b w:val="0"/>
                <w:bCs w:val="0"/>
                <w:color w:val="auto"/>
                <w:kern w:val="2"/>
                <w:sz w:val="22"/>
                <w:lang w:val="es-HN" w:eastAsia="es-HN"/>
                <w14:ligatures w14:val="standardContextual"/>
              </w:rPr>
              <w:tab/>
            </w:r>
            <w:r w:rsidR="000B7B90" w:rsidRPr="003C7F62">
              <w:rPr>
                <w:rStyle w:val="Hipervnculo"/>
                <w:color w:val="023160" w:themeColor="hyperlink" w:themeShade="80"/>
              </w:rPr>
              <w:t>Principales Riesgos e Impactos Ambientales y Sociales Identificados y Medidas de Mitigación</w:t>
            </w:r>
            <w:r w:rsidR="000B7B90">
              <w:rPr>
                <w:webHidden/>
              </w:rPr>
              <w:tab/>
            </w:r>
            <w:r w:rsidR="000B7B90">
              <w:rPr>
                <w:webHidden/>
              </w:rPr>
              <w:fldChar w:fldCharType="begin"/>
            </w:r>
            <w:r w:rsidR="000B7B90">
              <w:rPr>
                <w:webHidden/>
              </w:rPr>
              <w:instrText xml:space="preserve"> PAGEREF _Toc202456941 \h </w:instrText>
            </w:r>
            <w:r w:rsidR="000B7B90">
              <w:rPr>
                <w:webHidden/>
              </w:rPr>
            </w:r>
            <w:r w:rsidR="000B7B90">
              <w:rPr>
                <w:webHidden/>
              </w:rPr>
              <w:fldChar w:fldCharType="separate"/>
            </w:r>
            <w:r w:rsidR="000B7B90">
              <w:rPr>
                <w:webHidden/>
              </w:rPr>
              <w:t>154</w:t>
            </w:r>
            <w:r w:rsidR="000B7B90">
              <w:rPr>
                <w:webHidden/>
              </w:rPr>
              <w:fldChar w:fldCharType="end"/>
            </w:r>
          </w:hyperlink>
        </w:p>
        <w:p w14:paraId="4A903B9F" w14:textId="6E6F9D0E" w:rsidR="000B7B90" w:rsidRDefault="00000000">
          <w:pPr>
            <w:pStyle w:val="TDC1"/>
            <w:rPr>
              <w:rFonts w:asciiTheme="minorHAnsi" w:eastAsiaTheme="minorEastAsia" w:hAnsiTheme="minorHAnsi" w:cstheme="minorBidi"/>
              <w:b w:val="0"/>
              <w:bCs w:val="0"/>
              <w:color w:val="auto"/>
              <w:kern w:val="2"/>
              <w:sz w:val="22"/>
              <w:lang w:val="es-HN" w:eastAsia="es-HN"/>
              <w14:ligatures w14:val="standardContextual"/>
            </w:rPr>
          </w:pPr>
          <w:hyperlink w:anchor="_Toc202456942" w:history="1">
            <w:r w:rsidR="000B7B90" w:rsidRPr="003C7F62">
              <w:rPr>
                <w:rStyle w:val="Hipervnculo"/>
                <w:color w:val="023160" w:themeColor="hyperlink" w:themeShade="80"/>
              </w:rPr>
              <w:t>7.3</w:t>
            </w:r>
            <w:r w:rsidR="000B7B90">
              <w:rPr>
                <w:rFonts w:asciiTheme="minorHAnsi" w:eastAsiaTheme="minorEastAsia" w:hAnsiTheme="minorHAnsi" w:cstheme="minorBidi"/>
                <w:b w:val="0"/>
                <w:bCs w:val="0"/>
                <w:color w:val="auto"/>
                <w:kern w:val="2"/>
                <w:sz w:val="22"/>
                <w:lang w:val="es-HN" w:eastAsia="es-HN"/>
                <w14:ligatures w14:val="standardContextual"/>
              </w:rPr>
              <w:tab/>
            </w:r>
            <w:r w:rsidR="000B7B90" w:rsidRPr="003C7F62">
              <w:rPr>
                <w:rStyle w:val="Hipervnculo"/>
                <w:color w:val="023160" w:themeColor="hyperlink" w:themeShade="80"/>
              </w:rPr>
              <w:t>Beneficios e Impactos socio ambientales positivos</w:t>
            </w:r>
            <w:r w:rsidR="000B7B90">
              <w:rPr>
                <w:webHidden/>
              </w:rPr>
              <w:tab/>
            </w:r>
            <w:r w:rsidR="000B7B90">
              <w:rPr>
                <w:webHidden/>
              </w:rPr>
              <w:fldChar w:fldCharType="begin"/>
            </w:r>
            <w:r w:rsidR="000B7B90">
              <w:rPr>
                <w:webHidden/>
              </w:rPr>
              <w:instrText xml:space="preserve"> PAGEREF _Toc202456942 \h </w:instrText>
            </w:r>
            <w:r w:rsidR="000B7B90">
              <w:rPr>
                <w:webHidden/>
              </w:rPr>
            </w:r>
            <w:r w:rsidR="000B7B90">
              <w:rPr>
                <w:webHidden/>
              </w:rPr>
              <w:fldChar w:fldCharType="separate"/>
            </w:r>
            <w:r w:rsidR="000B7B90">
              <w:rPr>
                <w:webHidden/>
              </w:rPr>
              <w:t>154</w:t>
            </w:r>
            <w:r w:rsidR="000B7B90">
              <w:rPr>
                <w:webHidden/>
              </w:rPr>
              <w:fldChar w:fldCharType="end"/>
            </w:r>
          </w:hyperlink>
        </w:p>
        <w:p w14:paraId="1A4C2166" w14:textId="785562F0" w:rsidR="000B7B90" w:rsidRDefault="00000000">
          <w:pPr>
            <w:pStyle w:val="TDC1"/>
            <w:tabs>
              <w:tab w:val="left" w:pos="1182"/>
            </w:tabs>
            <w:rPr>
              <w:rFonts w:asciiTheme="minorHAnsi" w:eastAsiaTheme="minorEastAsia" w:hAnsiTheme="minorHAnsi" w:cstheme="minorBidi"/>
              <w:b w:val="0"/>
              <w:bCs w:val="0"/>
              <w:color w:val="auto"/>
              <w:kern w:val="2"/>
              <w:sz w:val="22"/>
              <w:lang w:val="es-HN" w:eastAsia="es-HN"/>
              <w14:ligatures w14:val="standardContextual"/>
            </w:rPr>
          </w:pPr>
          <w:hyperlink w:anchor="_Toc202456943" w:history="1">
            <w:r w:rsidR="000B7B90" w:rsidRPr="003C7F62">
              <w:rPr>
                <w:rStyle w:val="Hipervnculo"/>
                <w:color w:val="023160" w:themeColor="hyperlink" w:themeShade="80"/>
              </w:rPr>
              <w:t>7.3.1</w:t>
            </w:r>
            <w:r w:rsidR="000B7B90">
              <w:rPr>
                <w:rFonts w:asciiTheme="minorHAnsi" w:eastAsiaTheme="minorEastAsia" w:hAnsiTheme="minorHAnsi" w:cstheme="minorBidi"/>
                <w:b w:val="0"/>
                <w:bCs w:val="0"/>
                <w:color w:val="auto"/>
                <w:kern w:val="2"/>
                <w:sz w:val="22"/>
                <w:lang w:val="es-HN" w:eastAsia="es-HN"/>
                <w14:ligatures w14:val="standardContextual"/>
              </w:rPr>
              <w:tab/>
            </w:r>
            <w:r w:rsidR="000B7B90" w:rsidRPr="003C7F62">
              <w:rPr>
                <w:rStyle w:val="Hipervnculo"/>
                <w:color w:val="023160" w:themeColor="hyperlink" w:themeShade="80"/>
              </w:rPr>
              <w:t>Riesgos e impactos ambientales y sociales</w:t>
            </w:r>
            <w:r w:rsidR="000B7B90">
              <w:rPr>
                <w:webHidden/>
              </w:rPr>
              <w:tab/>
            </w:r>
            <w:r w:rsidR="000B7B90">
              <w:rPr>
                <w:webHidden/>
              </w:rPr>
              <w:fldChar w:fldCharType="begin"/>
            </w:r>
            <w:r w:rsidR="000B7B90">
              <w:rPr>
                <w:webHidden/>
              </w:rPr>
              <w:instrText xml:space="preserve"> PAGEREF _Toc202456943 \h </w:instrText>
            </w:r>
            <w:r w:rsidR="000B7B90">
              <w:rPr>
                <w:webHidden/>
              </w:rPr>
            </w:r>
            <w:r w:rsidR="000B7B90">
              <w:rPr>
                <w:webHidden/>
              </w:rPr>
              <w:fldChar w:fldCharType="separate"/>
            </w:r>
            <w:r w:rsidR="000B7B90">
              <w:rPr>
                <w:webHidden/>
              </w:rPr>
              <w:t>160</w:t>
            </w:r>
            <w:r w:rsidR="000B7B90">
              <w:rPr>
                <w:webHidden/>
              </w:rPr>
              <w:fldChar w:fldCharType="end"/>
            </w:r>
          </w:hyperlink>
        </w:p>
        <w:p w14:paraId="75AA0956" w14:textId="0CE7CC7C" w:rsidR="000B7B90" w:rsidRDefault="00000000">
          <w:pPr>
            <w:pStyle w:val="TDC1"/>
            <w:rPr>
              <w:rFonts w:asciiTheme="minorHAnsi" w:eastAsiaTheme="minorEastAsia" w:hAnsiTheme="minorHAnsi" w:cstheme="minorBidi"/>
              <w:b w:val="0"/>
              <w:bCs w:val="0"/>
              <w:color w:val="auto"/>
              <w:kern w:val="2"/>
              <w:sz w:val="22"/>
              <w:lang w:val="es-HN" w:eastAsia="es-HN"/>
              <w14:ligatures w14:val="standardContextual"/>
            </w:rPr>
          </w:pPr>
          <w:hyperlink w:anchor="_Toc202456945" w:history="1">
            <w:r w:rsidR="000B7B90" w:rsidRPr="003C7F62">
              <w:rPr>
                <w:rStyle w:val="Hipervnculo"/>
                <w:color w:val="023160" w:themeColor="hyperlink" w:themeShade="80"/>
              </w:rPr>
              <w:t>8</w:t>
            </w:r>
            <w:r w:rsidR="000B7B90">
              <w:rPr>
                <w:rFonts w:asciiTheme="minorHAnsi" w:eastAsiaTheme="minorEastAsia" w:hAnsiTheme="minorHAnsi" w:cstheme="minorBidi"/>
                <w:b w:val="0"/>
                <w:bCs w:val="0"/>
                <w:color w:val="auto"/>
                <w:kern w:val="2"/>
                <w:sz w:val="22"/>
                <w:lang w:val="es-HN" w:eastAsia="es-HN"/>
                <w14:ligatures w14:val="standardContextual"/>
              </w:rPr>
              <w:tab/>
            </w:r>
            <w:r w:rsidR="000B7B90" w:rsidRPr="003C7F62">
              <w:rPr>
                <w:rStyle w:val="Hipervnculo"/>
                <w:color w:val="023160" w:themeColor="hyperlink" w:themeShade="80"/>
              </w:rPr>
              <w:t>. Gestión Ambiental y Social</w:t>
            </w:r>
            <w:r w:rsidR="000B7B90">
              <w:rPr>
                <w:webHidden/>
              </w:rPr>
              <w:tab/>
            </w:r>
            <w:r w:rsidR="000B7B90">
              <w:rPr>
                <w:webHidden/>
              </w:rPr>
              <w:fldChar w:fldCharType="begin"/>
            </w:r>
            <w:r w:rsidR="000B7B90">
              <w:rPr>
                <w:webHidden/>
              </w:rPr>
              <w:instrText xml:space="preserve"> PAGEREF _Toc202456945 \h </w:instrText>
            </w:r>
            <w:r w:rsidR="000B7B90">
              <w:rPr>
                <w:webHidden/>
              </w:rPr>
            </w:r>
            <w:r w:rsidR="000B7B90">
              <w:rPr>
                <w:webHidden/>
              </w:rPr>
              <w:fldChar w:fldCharType="separate"/>
            </w:r>
            <w:r w:rsidR="000B7B90">
              <w:rPr>
                <w:webHidden/>
              </w:rPr>
              <w:t>203</w:t>
            </w:r>
            <w:r w:rsidR="000B7B90">
              <w:rPr>
                <w:webHidden/>
              </w:rPr>
              <w:fldChar w:fldCharType="end"/>
            </w:r>
          </w:hyperlink>
        </w:p>
        <w:p w14:paraId="17352CCB" w14:textId="77C94FA8" w:rsidR="000B7B90" w:rsidRDefault="00000000" w:rsidP="000B7B90">
          <w:pPr>
            <w:pStyle w:val="TDC2"/>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pPr>
          <w:hyperlink w:anchor="_Toc202456954" w:history="1">
            <w:r w:rsidR="000B7B90" w:rsidRPr="003C7F62">
              <w:rPr>
                <w:rStyle w:val="Hipervnculo"/>
                <w:bCs/>
                <w:color w:val="023160" w:themeColor="hyperlink" w:themeShade="80"/>
              </w:rPr>
              <w:t>8.1.</w:t>
            </w:r>
            <w:r w:rsidR="000B7B90">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tab/>
            </w:r>
            <w:r w:rsidR="000B7B90" w:rsidRPr="003C7F62">
              <w:rPr>
                <w:rStyle w:val="Hipervnculo"/>
                <w:bCs/>
                <w:color w:val="023160" w:themeColor="hyperlink" w:themeShade="80"/>
              </w:rPr>
              <w:t>Licenciamiento ambiental de subproyectos, obras o actividades</w:t>
            </w:r>
            <w:r w:rsidR="000B7B90">
              <w:rPr>
                <w:webHidden/>
              </w:rPr>
              <w:tab/>
            </w:r>
            <w:r w:rsidR="000B7B90">
              <w:rPr>
                <w:webHidden/>
              </w:rPr>
              <w:fldChar w:fldCharType="begin"/>
            </w:r>
            <w:r w:rsidR="000B7B90">
              <w:rPr>
                <w:webHidden/>
              </w:rPr>
              <w:instrText xml:space="preserve"> PAGEREF _Toc202456954 \h </w:instrText>
            </w:r>
            <w:r w:rsidR="000B7B90">
              <w:rPr>
                <w:webHidden/>
              </w:rPr>
            </w:r>
            <w:r w:rsidR="000B7B90">
              <w:rPr>
                <w:webHidden/>
              </w:rPr>
              <w:fldChar w:fldCharType="separate"/>
            </w:r>
            <w:r w:rsidR="000B7B90">
              <w:rPr>
                <w:webHidden/>
              </w:rPr>
              <w:t>203</w:t>
            </w:r>
            <w:r w:rsidR="000B7B90">
              <w:rPr>
                <w:webHidden/>
              </w:rPr>
              <w:fldChar w:fldCharType="end"/>
            </w:r>
          </w:hyperlink>
        </w:p>
        <w:p w14:paraId="6E0427A8" w14:textId="6BAEF8B3" w:rsidR="000B7B90" w:rsidRDefault="00000000" w:rsidP="000B7B90">
          <w:pPr>
            <w:pStyle w:val="TDC2"/>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pPr>
          <w:hyperlink w:anchor="_Toc202456955" w:history="1">
            <w:r w:rsidR="000B7B90" w:rsidRPr="003C7F62">
              <w:rPr>
                <w:rStyle w:val="Hipervnculo"/>
                <w:color w:val="023160" w:themeColor="hyperlink" w:themeShade="80"/>
              </w:rPr>
              <w:t>8.2.</w:t>
            </w:r>
            <w:r w:rsidR="000B7B90">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tab/>
            </w:r>
            <w:r w:rsidR="000B7B90" w:rsidRPr="003C7F62">
              <w:rPr>
                <w:rStyle w:val="Hipervnculo"/>
                <w:color w:val="023160" w:themeColor="hyperlink" w:themeShade="80"/>
              </w:rPr>
              <w:t>Lista de exclusión de subproyectos</w:t>
            </w:r>
            <w:r w:rsidR="000B7B90">
              <w:rPr>
                <w:webHidden/>
              </w:rPr>
              <w:tab/>
            </w:r>
            <w:r w:rsidR="000B7B90">
              <w:rPr>
                <w:webHidden/>
              </w:rPr>
              <w:fldChar w:fldCharType="begin"/>
            </w:r>
            <w:r w:rsidR="000B7B90">
              <w:rPr>
                <w:webHidden/>
              </w:rPr>
              <w:instrText xml:space="preserve"> PAGEREF _Toc202456955 \h </w:instrText>
            </w:r>
            <w:r w:rsidR="000B7B90">
              <w:rPr>
                <w:webHidden/>
              </w:rPr>
            </w:r>
            <w:r w:rsidR="000B7B90">
              <w:rPr>
                <w:webHidden/>
              </w:rPr>
              <w:fldChar w:fldCharType="separate"/>
            </w:r>
            <w:r w:rsidR="000B7B90">
              <w:rPr>
                <w:webHidden/>
              </w:rPr>
              <w:t>206</w:t>
            </w:r>
            <w:r w:rsidR="000B7B90">
              <w:rPr>
                <w:webHidden/>
              </w:rPr>
              <w:fldChar w:fldCharType="end"/>
            </w:r>
          </w:hyperlink>
        </w:p>
        <w:p w14:paraId="307255E9" w14:textId="190165A7" w:rsidR="000B7B90" w:rsidRDefault="00000000" w:rsidP="000B7B90">
          <w:pPr>
            <w:pStyle w:val="TDC2"/>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pPr>
          <w:hyperlink w:anchor="_Toc202456956" w:history="1">
            <w:r w:rsidR="000B7B90" w:rsidRPr="003C7F62">
              <w:rPr>
                <w:rStyle w:val="Hipervnculo"/>
                <w:bCs/>
                <w:color w:val="023160" w:themeColor="hyperlink" w:themeShade="80"/>
              </w:rPr>
              <w:t>8.3.</w:t>
            </w:r>
            <w:r w:rsidR="000B7B90">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tab/>
            </w:r>
            <w:r w:rsidR="000B7B90" w:rsidRPr="003C7F62">
              <w:rPr>
                <w:rStyle w:val="Hipervnculo"/>
                <w:bCs/>
                <w:color w:val="023160" w:themeColor="hyperlink" w:themeShade="80"/>
              </w:rPr>
              <w:t>Procedimientos de evaluación ambiental y social</w:t>
            </w:r>
            <w:r w:rsidR="000B7B90">
              <w:rPr>
                <w:webHidden/>
              </w:rPr>
              <w:tab/>
            </w:r>
            <w:r w:rsidR="000B7B90">
              <w:rPr>
                <w:webHidden/>
              </w:rPr>
              <w:fldChar w:fldCharType="begin"/>
            </w:r>
            <w:r w:rsidR="000B7B90">
              <w:rPr>
                <w:webHidden/>
              </w:rPr>
              <w:instrText xml:space="preserve"> PAGEREF _Toc202456956 \h </w:instrText>
            </w:r>
            <w:r w:rsidR="000B7B90">
              <w:rPr>
                <w:webHidden/>
              </w:rPr>
            </w:r>
            <w:r w:rsidR="000B7B90">
              <w:rPr>
                <w:webHidden/>
              </w:rPr>
              <w:fldChar w:fldCharType="separate"/>
            </w:r>
            <w:r w:rsidR="000B7B90">
              <w:rPr>
                <w:webHidden/>
              </w:rPr>
              <w:t>207</w:t>
            </w:r>
            <w:r w:rsidR="000B7B90">
              <w:rPr>
                <w:webHidden/>
              </w:rPr>
              <w:fldChar w:fldCharType="end"/>
            </w:r>
          </w:hyperlink>
        </w:p>
        <w:p w14:paraId="2D56AB7B" w14:textId="2378A326" w:rsidR="000B7B90" w:rsidRDefault="00000000" w:rsidP="000B7B90">
          <w:pPr>
            <w:pStyle w:val="TDC2"/>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pPr>
          <w:hyperlink w:anchor="_Toc202456957" w:history="1">
            <w:r w:rsidR="000B7B90" w:rsidRPr="003C7F62">
              <w:rPr>
                <w:rStyle w:val="Hipervnculo"/>
                <w:color w:val="023160" w:themeColor="hyperlink" w:themeShade="80"/>
              </w:rPr>
              <w:t>8.4.</w:t>
            </w:r>
            <w:r w:rsidR="000B7B90">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tab/>
            </w:r>
            <w:r w:rsidR="000B7B90" w:rsidRPr="003C7F62">
              <w:rPr>
                <w:rStyle w:val="Hipervnculo"/>
                <w:color w:val="023160" w:themeColor="hyperlink" w:themeShade="80"/>
              </w:rPr>
              <w:t>Protección del Patrimonio Cultural</w:t>
            </w:r>
            <w:r w:rsidR="000B7B90">
              <w:rPr>
                <w:webHidden/>
              </w:rPr>
              <w:tab/>
            </w:r>
            <w:r w:rsidR="000B7B90">
              <w:rPr>
                <w:webHidden/>
              </w:rPr>
              <w:fldChar w:fldCharType="begin"/>
            </w:r>
            <w:r w:rsidR="000B7B90">
              <w:rPr>
                <w:webHidden/>
              </w:rPr>
              <w:instrText xml:space="preserve"> PAGEREF _Toc202456957 \h </w:instrText>
            </w:r>
            <w:r w:rsidR="000B7B90">
              <w:rPr>
                <w:webHidden/>
              </w:rPr>
            </w:r>
            <w:r w:rsidR="000B7B90">
              <w:rPr>
                <w:webHidden/>
              </w:rPr>
              <w:fldChar w:fldCharType="separate"/>
            </w:r>
            <w:r w:rsidR="000B7B90">
              <w:rPr>
                <w:webHidden/>
              </w:rPr>
              <w:t>216</w:t>
            </w:r>
            <w:r w:rsidR="000B7B90">
              <w:rPr>
                <w:webHidden/>
              </w:rPr>
              <w:fldChar w:fldCharType="end"/>
            </w:r>
          </w:hyperlink>
        </w:p>
        <w:p w14:paraId="70FD4D5F" w14:textId="33198675" w:rsidR="000B7B90" w:rsidRDefault="00000000" w:rsidP="000B7B90">
          <w:pPr>
            <w:pStyle w:val="TDC2"/>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pPr>
          <w:hyperlink w:anchor="_Toc202456958" w:history="1">
            <w:r w:rsidR="000B7B90" w:rsidRPr="003C7F62">
              <w:rPr>
                <w:rStyle w:val="Hipervnculo"/>
                <w:color w:val="023160" w:themeColor="hyperlink" w:themeShade="80"/>
              </w:rPr>
              <w:t>8.5.</w:t>
            </w:r>
            <w:r w:rsidR="000B7B90">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tab/>
            </w:r>
            <w:r w:rsidR="000B7B90" w:rsidRPr="003C7F62">
              <w:rPr>
                <w:rStyle w:val="Hipervnculo"/>
                <w:color w:val="023160" w:themeColor="hyperlink" w:themeShade="80"/>
              </w:rPr>
              <w:t>Estrategia de Género</w:t>
            </w:r>
            <w:r w:rsidR="000B7B90">
              <w:rPr>
                <w:webHidden/>
              </w:rPr>
              <w:tab/>
            </w:r>
            <w:r w:rsidR="000B7B90">
              <w:rPr>
                <w:webHidden/>
              </w:rPr>
              <w:fldChar w:fldCharType="begin"/>
            </w:r>
            <w:r w:rsidR="000B7B90">
              <w:rPr>
                <w:webHidden/>
              </w:rPr>
              <w:instrText xml:space="preserve"> PAGEREF _Toc202456958 \h </w:instrText>
            </w:r>
            <w:r w:rsidR="000B7B90">
              <w:rPr>
                <w:webHidden/>
              </w:rPr>
            </w:r>
            <w:r w:rsidR="000B7B90">
              <w:rPr>
                <w:webHidden/>
              </w:rPr>
              <w:fldChar w:fldCharType="separate"/>
            </w:r>
            <w:r w:rsidR="000B7B90">
              <w:rPr>
                <w:webHidden/>
              </w:rPr>
              <w:t>217</w:t>
            </w:r>
            <w:r w:rsidR="000B7B90">
              <w:rPr>
                <w:webHidden/>
              </w:rPr>
              <w:fldChar w:fldCharType="end"/>
            </w:r>
          </w:hyperlink>
        </w:p>
        <w:p w14:paraId="408E1E7D" w14:textId="0ED70650" w:rsidR="000B7B90" w:rsidRDefault="00000000" w:rsidP="000B7B90">
          <w:pPr>
            <w:pStyle w:val="TDC2"/>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pPr>
          <w:hyperlink w:anchor="_Toc202456959" w:history="1">
            <w:r w:rsidR="000B7B90" w:rsidRPr="003C7F62">
              <w:rPr>
                <w:rStyle w:val="Hipervnculo"/>
                <w:bCs/>
                <w:color w:val="023160" w:themeColor="hyperlink" w:themeShade="80"/>
              </w:rPr>
              <w:t>8.6.</w:t>
            </w:r>
            <w:r w:rsidR="000B7B90">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tab/>
            </w:r>
            <w:r w:rsidR="000B7B90" w:rsidRPr="003C7F62">
              <w:rPr>
                <w:rStyle w:val="Hipervnculo"/>
                <w:bCs/>
                <w:color w:val="023160" w:themeColor="hyperlink" w:themeShade="80"/>
              </w:rPr>
              <w:t>Gestión de riesgos para la prevención de la violencia basada en género</w:t>
            </w:r>
            <w:r w:rsidR="000B7B90">
              <w:rPr>
                <w:webHidden/>
              </w:rPr>
              <w:tab/>
            </w:r>
            <w:r w:rsidR="000B7B90">
              <w:rPr>
                <w:webHidden/>
              </w:rPr>
              <w:fldChar w:fldCharType="begin"/>
            </w:r>
            <w:r w:rsidR="000B7B90">
              <w:rPr>
                <w:webHidden/>
              </w:rPr>
              <w:instrText xml:space="preserve"> PAGEREF _Toc202456959 \h </w:instrText>
            </w:r>
            <w:r w:rsidR="000B7B90">
              <w:rPr>
                <w:webHidden/>
              </w:rPr>
            </w:r>
            <w:r w:rsidR="000B7B90">
              <w:rPr>
                <w:webHidden/>
              </w:rPr>
              <w:fldChar w:fldCharType="separate"/>
            </w:r>
            <w:r w:rsidR="000B7B90">
              <w:rPr>
                <w:webHidden/>
              </w:rPr>
              <w:t>220</w:t>
            </w:r>
            <w:r w:rsidR="000B7B90">
              <w:rPr>
                <w:webHidden/>
              </w:rPr>
              <w:fldChar w:fldCharType="end"/>
            </w:r>
          </w:hyperlink>
        </w:p>
        <w:p w14:paraId="27346752" w14:textId="62A090C6" w:rsidR="000B7B90" w:rsidRDefault="00000000" w:rsidP="000B7B90">
          <w:pPr>
            <w:pStyle w:val="TDC2"/>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pPr>
          <w:hyperlink w:anchor="_Toc202456960" w:history="1">
            <w:r w:rsidR="000B7B90" w:rsidRPr="003C7F62">
              <w:rPr>
                <w:rStyle w:val="Hipervnculo"/>
                <w:color w:val="023160" w:themeColor="hyperlink" w:themeShade="80"/>
              </w:rPr>
              <w:t>8.7.</w:t>
            </w:r>
            <w:r w:rsidR="000B7B90">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tab/>
            </w:r>
            <w:r w:rsidR="000B7B90" w:rsidRPr="003C7F62">
              <w:rPr>
                <w:rStyle w:val="Hipervnculo"/>
                <w:color w:val="023160" w:themeColor="hyperlink" w:themeShade="80"/>
              </w:rPr>
              <w:t>Gestión de riesgos asociados al contexto de crimen y violencia</w:t>
            </w:r>
            <w:r w:rsidR="000B7B90">
              <w:rPr>
                <w:webHidden/>
              </w:rPr>
              <w:tab/>
            </w:r>
            <w:r w:rsidR="000B7B90">
              <w:rPr>
                <w:webHidden/>
              </w:rPr>
              <w:fldChar w:fldCharType="begin"/>
            </w:r>
            <w:r w:rsidR="000B7B90">
              <w:rPr>
                <w:webHidden/>
              </w:rPr>
              <w:instrText xml:space="preserve"> PAGEREF _Toc202456960 \h </w:instrText>
            </w:r>
            <w:r w:rsidR="000B7B90">
              <w:rPr>
                <w:webHidden/>
              </w:rPr>
            </w:r>
            <w:r w:rsidR="000B7B90">
              <w:rPr>
                <w:webHidden/>
              </w:rPr>
              <w:fldChar w:fldCharType="separate"/>
            </w:r>
            <w:r w:rsidR="000B7B90">
              <w:rPr>
                <w:webHidden/>
              </w:rPr>
              <w:t>222</w:t>
            </w:r>
            <w:r w:rsidR="000B7B90">
              <w:rPr>
                <w:webHidden/>
              </w:rPr>
              <w:fldChar w:fldCharType="end"/>
            </w:r>
          </w:hyperlink>
        </w:p>
        <w:p w14:paraId="206C7A53" w14:textId="1219BE3F" w:rsidR="000B7B90" w:rsidRDefault="00000000" w:rsidP="000B7B90">
          <w:pPr>
            <w:pStyle w:val="TDC2"/>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pPr>
          <w:hyperlink w:anchor="_Toc202456961" w:history="1">
            <w:r w:rsidR="000B7B90" w:rsidRPr="003C7F62">
              <w:rPr>
                <w:rStyle w:val="Hipervnculo"/>
                <w:color w:val="023160" w:themeColor="hyperlink" w:themeShade="80"/>
              </w:rPr>
              <w:t>8.8.</w:t>
            </w:r>
            <w:r w:rsidR="000B7B90">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tab/>
            </w:r>
            <w:r w:rsidR="000B7B90" w:rsidRPr="003C7F62">
              <w:rPr>
                <w:rStyle w:val="Hipervnculo"/>
                <w:color w:val="023160" w:themeColor="hyperlink" w:themeShade="80"/>
              </w:rPr>
              <w:t>Consideraciones de Cambio Climático y Riesgo de Desastres</w:t>
            </w:r>
            <w:r w:rsidR="000B7B90">
              <w:rPr>
                <w:webHidden/>
              </w:rPr>
              <w:tab/>
            </w:r>
            <w:r w:rsidR="000B7B90">
              <w:rPr>
                <w:webHidden/>
              </w:rPr>
              <w:fldChar w:fldCharType="begin"/>
            </w:r>
            <w:r w:rsidR="000B7B90">
              <w:rPr>
                <w:webHidden/>
              </w:rPr>
              <w:instrText xml:space="preserve"> PAGEREF _Toc202456961 \h </w:instrText>
            </w:r>
            <w:r w:rsidR="000B7B90">
              <w:rPr>
                <w:webHidden/>
              </w:rPr>
            </w:r>
            <w:r w:rsidR="000B7B90">
              <w:rPr>
                <w:webHidden/>
              </w:rPr>
              <w:fldChar w:fldCharType="separate"/>
            </w:r>
            <w:r w:rsidR="000B7B90">
              <w:rPr>
                <w:webHidden/>
              </w:rPr>
              <w:t>222</w:t>
            </w:r>
            <w:r w:rsidR="000B7B90">
              <w:rPr>
                <w:webHidden/>
              </w:rPr>
              <w:fldChar w:fldCharType="end"/>
            </w:r>
          </w:hyperlink>
        </w:p>
        <w:p w14:paraId="7C9D8B34" w14:textId="2D771F4A" w:rsidR="000B7B90" w:rsidRDefault="00000000" w:rsidP="000B7B90">
          <w:pPr>
            <w:pStyle w:val="TDC2"/>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pPr>
          <w:hyperlink w:anchor="_Toc202456962" w:history="1">
            <w:r w:rsidR="000B7B90" w:rsidRPr="003C7F62">
              <w:rPr>
                <w:rStyle w:val="Hipervnculo"/>
                <w:color w:val="023160" w:themeColor="hyperlink" w:themeShade="80"/>
              </w:rPr>
              <w:t>8.9.</w:t>
            </w:r>
            <w:r w:rsidR="000B7B90">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tab/>
            </w:r>
            <w:r w:rsidR="000B7B90" w:rsidRPr="003C7F62">
              <w:rPr>
                <w:rStyle w:val="Hipervnculo"/>
                <w:color w:val="023160" w:themeColor="hyperlink" w:themeShade="80"/>
              </w:rPr>
              <w:t>Medidas de Seguridad y Salud, Laboral y Comunitaria</w:t>
            </w:r>
            <w:r w:rsidR="000B7B90">
              <w:rPr>
                <w:webHidden/>
              </w:rPr>
              <w:tab/>
            </w:r>
            <w:r w:rsidR="000B7B90">
              <w:rPr>
                <w:webHidden/>
              </w:rPr>
              <w:fldChar w:fldCharType="begin"/>
            </w:r>
            <w:r w:rsidR="000B7B90">
              <w:rPr>
                <w:webHidden/>
              </w:rPr>
              <w:instrText xml:space="preserve"> PAGEREF _Toc202456962 \h </w:instrText>
            </w:r>
            <w:r w:rsidR="000B7B90">
              <w:rPr>
                <w:webHidden/>
              </w:rPr>
            </w:r>
            <w:r w:rsidR="000B7B90">
              <w:rPr>
                <w:webHidden/>
              </w:rPr>
              <w:fldChar w:fldCharType="separate"/>
            </w:r>
            <w:r w:rsidR="000B7B90">
              <w:rPr>
                <w:webHidden/>
              </w:rPr>
              <w:t>223</w:t>
            </w:r>
            <w:r w:rsidR="000B7B90">
              <w:rPr>
                <w:webHidden/>
              </w:rPr>
              <w:fldChar w:fldCharType="end"/>
            </w:r>
          </w:hyperlink>
        </w:p>
        <w:p w14:paraId="42F24DEA" w14:textId="61109731" w:rsidR="000B7B90" w:rsidRDefault="00000000" w:rsidP="000B7B90">
          <w:pPr>
            <w:pStyle w:val="TDC2"/>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pPr>
          <w:hyperlink w:anchor="_Toc202456963" w:history="1">
            <w:r w:rsidR="000B7B90" w:rsidRPr="003C7F62">
              <w:rPr>
                <w:rStyle w:val="Hipervnculo"/>
                <w:color w:val="023160" w:themeColor="hyperlink" w:themeShade="80"/>
              </w:rPr>
              <w:t>8.10.</w:t>
            </w:r>
            <w:r w:rsidR="000B7B90">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tab/>
            </w:r>
            <w:r w:rsidR="000B7B90" w:rsidRPr="003C7F62">
              <w:rPr>
                <w:rStyle w:val="Hipervnculo"/>
                <w:color w:val="023160" w:themeColor="hyperlink" w:themeShade="80"/>
              </w:rPr>
              <w:t>Medidas de Salud y seguridad en el trabajo asociadas e pandemias, otras enfermedades incidentes en la salud humana.</w:t>
            </w:r>
            <w:r w:rsidR="000B7B90">
              <w:rPr>
                <w:webHidden/>
              </w:rPr>
              <w:tab/>
            </w:r>
            <w:r w:rsidR="000B7B90">
              <w:rPr>
                <w:webHidden/>
              </w:rPr>
              <w:fldChar w:fldCharType="begin"/>
            </w:r>
            <w:r w:rsidR="000B7B90">
              <w:rPr>
                <w:webHidden/>
              </w:rPr>
              <w:instrText xml:space="preserve"> PAGEREF _Toc202456963 \h </w:instrText>
            </w:r>
            <w:r w:rsidR="000B7B90">
              <w:rPr>
                <w:webHidden/>
              </w:rPr>
            </w:r>
            <w:r w:rsidR="000B7B90">
              <w:rPr>
                <w:webHidden/>
              </w:rPr>
              <w:fldChar w:fldCharType="separate"/>
            </w:r>
            <w:r w:rsidR="000B7B90">
              <w:rPr>
                <w:webHidden/>
              </w:rPr>
              <w:t>223</w:t>
            </w:r>
            <w:r w:rsidR="000B7B90">
              <w:rPr>
                <w:webHidden/>
              </w:rPr>
              <w:fldChar w:fldCharType="end"/>
            </w:r>
          </w:hyperlink>
        </w:p>
        <w:p w14:paraId="64A3E5F1" w14:textId="22017648" w:rsidR="000B7B90" w:rsidRDefault="00000000" w:rsidP="000B7B90">
          <w:pPr>
            <w:pStyle w:val="TDC2"/>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pPr>
          <w:hyperlink w:anchor="_Toc202456964" w:history="1">
            <w:r w:rsidR="000B7B90" w:rsidRPr="003C7F62">
              <w:rPr>
                <w:rStyle w:val="Hipervnculo"/>
                <w:bCs/>
                <w:color w:val="023160" w:themeColor="hyperlink" w:themeShade="80"/>
              </w:rPr>
              <w:t>8.11.</w:t>
            </w:r>
            <w:r w:rsidR="000B7B90">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tab/>
            </w:r>
            <w:r w:rsidR="000B7B90" w:rsidRPr="003C7F62">
              <w:rPr>
                <w:rStyle w:val="Hipervnculo"/>
                <w:bCs/>
                <w:color w:val="023160" w:themeColor="hyperlink" w:themeShade="80"/>
              </w:rPr>
              <w:t>Mecanismo de Comunicación de Consultas, Quejas, Reclamos y Sugerencias (MCQRS)</w:t>
            </w:r>
            <w:r w:rsidR="000B7B90">
              <w:rPr>
                <w:webHidden/>
              </w:rPr>
              <w:tab/>
            </w:r>
            <w:r w:rsidR="000B7B90">
              <w:rPr>
                <w:webHidden/>
              </w:rPr>
              <w:fldChar w:fldCharType="begin"/>
            </w:r>
            <w:r w:rsidR="000B7B90">
              <w:rPr>
                <w:webHidden/>
              </w:rPr>
              <w:instrText xml:space="preserve"> PAGEREF _Toc202456964 \h </w:instrText>
            </w:r>
            <w:r w:rsidR="000B7B90">
              <w:rPr>
                <w:webHidden/>
              </w:rPr>
            </w:r>
            <w:r w:rsidR="000B7B90">
              <w:rPr>
                <w:webHidden/>
              </w:rPr>
              <w:fldChar w:fldCharType="separate"/>
            </w:r>
            <w:r w:rsidR="000B7B90">
              <w:rPr>
                <w:webHidden/>
              </w:rPr>
              <w:t>226</w:t>
            </w:r>
            <w:r w:rsidR="000B7B90">
              <w:rPr>
                <w:webHidden/>
              </w:rPr>
              <w:fldChar w:fldCharType="end"/>
            </w:r>
          </w:hyperlink>
        </w:p>
        <w:p w14:paraId="7EB949E1" w14:textId="5D172F26" w:rsidR="000B7B90" w:rsidRPr="000B7B90" w:rsidRDefault="00000000" w:rsidP="000B7B90">
          <w:pPr>
            <w:pStyle w:val="TDC2"/>
            <w:rPr>
              <w:rFonts w:asciiTheme="minorHAnsi" w:eastAsiaTheme="minorEastAsia" w:hAnsiTheme="minorHAnsi"/>
              <w:kern w:val="2"/>
              <w:sz w:val="22"/>
              <w:lang w:val="es-HN" w:eastAsia="es-HN"/>
              <w14:ligatures w14:val="standardContextual"/>
            </w:rPr>
          </w:pPr>
          <w:hyperlink w:anchor="_Toc202456965" w:history="1">
            <w:r w:rsidR="000B7B90" w:rsidRPr="000B7B90">
              <w:rPr>
                <w:rStyle w:val="Hipervnculo"/>
                <w:color w:val="767171" w:themeColor="background2" w:themeShade="80"/>
              </w:rPr>
              <w:t>8.12.</w:t>
            </w:r>
            <w:r w:rsidR="000B7B90" w:rsidRPr="000B7B90">
              <w:rPr>
                <w:rFonts w:asciiTheme="minorHAnsi" w:eastAsiaTheme="minorEastAsia" w:hAnsiTheme="minorHAnsi"/>
                <w:kern w:val="2"/>
                <w:sz w:val="22"/>
                <w:lang w:val="es-HN" w:eastAsia="es-HN"/>
                <w14:ligatures w14:val="standardContextual"/>
              </w:rPr>
              <w:tab/>
            </w:r>
            <w:r w:rsidR="000B7B90" w:rsidRPr="000B7B90">
              <w:rPr>
                <w:rStyle w:val="Hipervnculo"/>
                <w:color w:val="767171" w:themeColor="background2" w:themeShade="80"/>
              </w:rPr>
              <w:t>Lineamientos para la gestión de riesgos vinculados a la acción y empleo de fuerzas de seguridad</w:t>
            </w:r>
            <w:r w:rsidR="000B7B90" w:rsidRPr="000B7B90">
              <w:rPr>
                <w:webHidden/>
              </w:rPr>
              <w:tab/>
            </w:r>
            <w:r w:rsidR="000B7B90" w:rsidRPr="000B7B90">
              <w:rPr>
                <w:webHidden/>
              </w:rPr>
              <w:fldChar w:fldCharType="begin"/>
            </w:r>
            <w:r w:rsidR="000B7B90" w:rsidRPr="000B7B90">
              <w:rPr>
                <w:webHidden/>
              </w:rPr>
              <w:instrText xml:space="preserve"> PAGEREF _Toc202456965 \h </w:instrText>
            </w:r>
            <w:r w:rsidR="000B7B90" w:rsidRPr="000B7B90">
              <w:rPr>
                <w:webHidden/>
              </w:rPr>
            </w:r>
            <w:r w:rsidR="000B7B90" w:rsidRPr="000B7B90">
              <w:rPr>
                <w:webHidden/>
              </w:rPr>
              <w:fldChar w:fldCharType="separate"/>
            </w:r>
            <w:r w:rsidR="000B7B90" w:rsidRPr="000B7B90">
              <w:rPr>
                <w:webHidden/>
              </w:rPr>
              <w:t>231</w:t>
            </w:r>
            <w:r w:rsidR="000B7B90" w:rsidRPr="000B7B90">
              <w:rPr>
                <w:webHidden/>
              </w:rPr>
              <w:fldChar w:fldCharType="end"/>
            </w:r>
          </w:hyperlink>
        </w:p>
        <w:p w14:paraId="25543C31" w14:textId="5C093EC8" w:rsidR="000B7B90" w:rsidRDefault="00000000">
          <w:pPr>
            <w:pStyle w:val="TDC1"/>
            <w:rPr>
              <w:rFonts w:asciiTheme="minorHAnsi" w:eastAsiaTheme="minorEastAsia" w:hAnsiTheme="minorHAnsi" w:cstheme="minorBidi"/>
              <w:b w:val="0"/>
              <w:bCs w:val="0"/>
              <w:color w:val="auto"/>
              <w:kern w:val="2"/>
              <w:sz w:val="22"/>
              <w:lang w:val="es-HN" w:eastAsia="es-HN"/>
              <w14:ligatures w14:val="standardContextual"/>
            </w:rPr>
          </w:pPr>
          <w:hyperlink w:anchor="_Toc202456966" w:history="1">
            <w:r w:rsidR="000B7B90" w:rsidRPr="003C7F62">
              <w:rPr>
                <w:rStyle w:val="Hipervnculo"/>
                <w:color w:val="023160" w:themeColor="hyperlink" w:themeShade="80"/>
              </w:rPr>
              <w:t>9</w:t>
            </w:r>
            <w:r w:rsidR="000B7B90">
              <w:rPr>
                <w:rFonts w:asciiTheme="minorHAnsi" w:eastAsiaTheme="minorEastAsia" w:hAnsiTheme="minorHAnsi" w:cstheme="minorBidi"/>
                <w:b w:val="0"/>
                <w:bCs w:val="0"/>
                <w:color w:val="auto"/>
                <w:kern w:val="2"/>
                <w:sz w:val="22"/>
                <w:lang w:val="es-HN" w:eastAsia="es-HN"/>
                <w14:ligatures w14:val="standardContextual"/>
              </w:rPr>
              <w:tab/>
            </w:r>
            <w:r w:rsidR="000B7B90" w:rsidRPr="003C7F62">
              <w:rPr>
                <w:rStyle w:val="Hipervnculo"/>
                <w:color w:val="023160" w:themeColor="hyperlink" w:themeShade="80"/>
              </w:rPr>
              <w:t>Información y consulta del MGAS</w:t>
            </w:r>
            <w:r w:rsidR="000B7B90">
              <w:rPr>
                <w:webHidden/>
              </w:rPr>
              <w:tab/>
            </w:r>
            <w:r w:rsidR="000B7B90">
              <w:rPr>
                <w:webHidden/>
              </w:rPr>
              <w:fldChar w:fldCharType="begin"/>
            </w:r>
            <w:r w:rsidR="000B7B90">
              <w:rPr>
                <w:webHidden/>
              </w:rPr>
              <w:instrText xml:space="preserve"> PAGEREF _Toc202456966 \h </w:instrText>
            </w:r>
            <w:r w:rsidR="000B7B90">
              <w:rPr>
                <w:webHidden/>
              </w:rPr>
            </w:r>
            <w:r w:rsidR="000B7B90">
              <w:rPr>
                <w:webHidden/>
              </w:rPr>
              <w:fldChar w:fldCharType="separate"/>
            </w:r>
            <w:r w:rsidR="000B7B90">
              <w:rPr>
                <w:webHidden/>
              </w:rPr>
              <w:t>234</w:t>
            </w:r>
            <w:r w:rsidR="000B7B90">
              <w:rPr>
                <w:webHidden/>
              </w:rPr>
              <w:fldChar w:fldCharType="end"/>
            </w:r>
          </w:hyperlink>
        </w:p>
        <w:p w14:paraId="2B95FC98" w14:textId="6DBE5729" w:rsidR="000B7B90" w:rsidRDefault="00000000" w:rsidP="000B7B90">
          <w:pPr>
            <w:pStyle w:val="TDC2"/>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pPr>
          <w:hyperlink w:anchor="_Toc202456976" w:history="1">
            <w:r w:rsidR="000B7B90" w:rsidRPr="003C7F62">
              <w:rPr>
                <w:rStyle w:val="Hipervnculo"/>
                <w:bCs/>
                <w:color w:val="023160" w:themeColor="hyperlink" w:themeShade="80"/>
              </w:rPr>
              <w:t>9.1.</w:t>
            </w:r>
            <w:r w:rsidR="000B7B90">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tab/>
            </w:r>
            <w:r w:rsidR="000B7B90" w:rsidRPr="003C7F62">
              <w:rPr>
                <w:rStyle w:val="Hipervnculo"/>
                <w:bCs/>
                <w:color w:val="023160" w:themeColor="hyperlink" w:themeShade="80"/>
              </w:rPr>
              <w:t>Objetivos de la consulta</w:t>
            </w:r>
            <w:r w:rsidR="000B7B90">
              <w:rPr>
                <w:webHidden/>
              </w:rPr>
              <w:tab/>
            </w:r>
            <w:r w:rsidR="000B7B90">
              <w:rPr>
                <w:webHidden/>
              </w:rPr>
              <w:fldChar w:fldCharType="begin"/>
            </w:r>
            <w:r w:rsidR="000B7B90">
              <w:rPr>
                <w:webHidden/>
              </w:rPr>
              <w:instrText xml:space="preserve"> PAGEREF _Toc202456976 \h </w:instrText>
            </w:r>
            <w:r w:rsidR="000B7B90">
              <w:rPr>
                <w:webHidden/>
              </w:rPr>
            </w:r>
            <w:r w:rsidR="000B7B90">
              <w:rPr>
                <w:webHidden/>
              </w:rPr>
              <w:fldChar w:fldCharType="separate"/>
            </w:r>
            <w:r w:rsidR="000B7B90">
              <w:rPr>
                <w:webHidden/>
              </w:rPr>
              <w:t>234</w:t>
            </w:r>
            <w:r w:rsidR="000B7B90">
              <w:rPr>
                <w:webHidden/>
              </w:rPr>
              <w:fldChar w:fldCharType="end"/>
            </w:r>
          </w:hyperlink>
        </w:p>
        <w:p w14:paraId="34081010" w14:textId="050B1A42" w:rsidR="000B7B90" w:rsidRDefault="00000000" w:rsidP="000B7B90">
          <w:pPr>
            <w:pStyle w:val="TDC2"/>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pPr>
          <w:hyperlink w:anchor="_Toc202456977" w:history="1">
            <w:r w:rsidR="000B7B90" w:rsidRPr="003C7F62">
              <w:rPr>
                <w:rStyle w:val="Hipervnculo"/>
                <w:bCs/>
                <w:color w:val="023160" w:themeColor="hyperlink" w:themeShade="80"/>
              </w:rPr>
              <w:t>9.2.</w:t>
            </w:r>
            <w:r w:rsidR="000B7B90">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tab/>
            </w:r>
            <w:r w:rsidR="000B7B90" w:rsidRPr="003C7F62">
              <w:rPr>
                <w:rStyle w:val="Hipervnculo"/>
                <w:bCs/>
                <w:color w:val="023160" w:themeColor="hyperlink" w:themeShade="80"/>
              </w:rPr>
              <w:t>Metodología de la consulta</w:t>
            </w:r>
            <w:r w:rsidR="000B7B90">
              <w:rPr>
                <w:webHidden/>
              </w:rPr>
              <w:tab/>
            </w:r>
            <w:r w:rsidR="000B7B90">
              <w:rPr>
                <w:webHidden/>
              </w:rPr>
              <w:fldChar w:fldCharType="begin"/>
            </w:r>
            <w:r w:rsidR="000B7B90">
              <w:rPr>
                <w:webHidden/>
              </w:rPr>
              <w:instrText xml:space="preserve"> PAGEREF _Toc202456977 \h </w:instrText>
            </w:r>
            <w:r w:rsidR="000B7B90">
              <w:rPr>
                <w:webHidden/>
              </w:rPr>
            </w:r>
            <w:r w:rsidR="000B7B90">
              <w:rPr>
                <w:webHidden/>
              </w:rPr>
              <w:fldChar w:fldCharType="separate"/>
            </w:r>
            <w:r w:rsidR="000B7B90">
              <w:rPr>
                <w:webHidden/>
              </w:rPr>
              <w:t>234</w:t>
            </w:r>
            <w:r w:rsidR="000B7B90">
              <w:rPr>
                <w:webHidden/>
              </w:rPr>
              <w:fldChar w:fldCharType="end"/>
            </w:r>
          </w:hyperlink>
        </w:p>
        <w:p w14:paraId="345CFC2C" w14:textId="0A67F7BC" w:rsidR="000B7B90" w:rsidRDefault="00000000" w:rsidP="000B7B90">
          <w:pPr>
            <w:pStyle w:val="TDC2"/>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pPr>
          <w:hyperlink w:anchor="_Toc202456978" w:history="1">
            <w:r w:rsidR="000B7B90" w:rsidRPr="003C7F62">
              <w:rPr>
                <w:rStyle w:val="Hipervnculo"/>
                <w:bCs/>
                <w:color w:val="023160" w:themeColor="hyperlink" w:themeShade="80"/>
              </w:rPr>
              <w:t>9.3.</w:t>
            </w:r>
            <w:r w:rsidR="000B7B90">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tab/>
            </w:r>
            <w:r w:rsidR="000B7B90" w:rsidRPr="003C7F62">
              <w:rPr>
                <w:rStyle w:val="Hipervnculo"/>
                <w:bCs/>
                <w:color w:val="023160" w:themeColor="hyperlink" w:themeShade="80"/>
              </w:rPr>
              <w:t>Información sobre aspectos ambientales y sociales relevados</w:t>
            </w:r>
            <w:r w:rsidR="000B7B90">
              <w:rPr>
                <w:webHidden/>
              </w:rPr>
              <w:tab/>
            </w:r>
            <w:r w:rsidR="000B7B90">
              <w:rPr>
                <w:webHidden/>
              </w:rPr>
              <w:fldChar w:fldCharType="begin"/>
            </w:r>
            <w:r w:rsidR="000B7B90">
              <w:rPr>
                <w:webHidden/>
              </w:rPr>
              <w:instrText xml:space="preserve"> PAGEREF _Toc202456978 \h </w:instrText>
            </w:r>
            <w:r w:rsidR="000B7B90">
              <w:rPr>
                <w:webHidden/>
              </w:rPr>
            </w:r>
            <w:r w:rsidR="000B7B90">
              <w:rPr>
                <w:webHidden/>
              </w:rPr>
              <w:fldChar w:fldCharType="separate"/>
            </w:r>
            <w:r w:rsidR="000B7B90">
              <w:rPr>
                <w:webHidden/>
              </w:rPr>
              <w:t>235</w:t>
            </w:r>
            <w:r w:rsidR="000B7B90">
              <w:rPr>
                <w:webHidden/>
              </w:rPr>
              <w:fldChar w:fldCharType="end"/>
            </w:r>
          </w:hyperlink>
        </w:p>
        <w:p w14:paraId="6E42ECF6" w14:textId="69C8B132" w:rsidR="000B7B90" w:rsidRDefault="00000000" w:rsidP="000B7B90">
          <w:pPr>
            <w:pStyle w:val="TDC2"/>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pPr>
          <w:hyperlink w:anchor="_Toc202456979" w:history="1">
            <w:r w:rsidR="000B7B90" w:rsidRPr="003C7F62">
              <w:rPr>
                <w:rStyle w:val="Hipervnculo"/>
                <w:bCs/>
                <w:color w:val="023160" w:themeColor="hyperlink" w:themeShade="80"/>
              </w:rPr>
              <w:t>9.4.</w:t>
            </w:r>
            <w:r w:rsidR="000B7B90">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tab/>
            </w:r>
            <w:r w:rsidR="000B7B90" w:rsidRPr="003C7F62">
              <w:rPr>
                <w:rStyle w:val="Hipervnculo"/>
                <w:bCs/>
                <w:color w:val="023160" w:themeColor="hyperlink" w:themeShade="80"/>
              </w:rPr>
              <w:t>Implementación de la consulta</w:t>
            </w:r>
            <w:r w:rsidR="000B7B90">
              <w:rPr>
                <w:webHidden/>
              </w:rPr>
              <w:tab/>
            </w:r>
            <w:r w:rsidR="000B7B90">
              <w:rPr>
                <w:webHidden/>
              </w:rPr>
              <w:fldChar w:fldCharType="begin"/>
            </w:r>
            <w:r w:rsidR="000B7B90">
              <w:rPr>
                <w:webHidden/>
              </w:rPr>
              <w:instrText xml:space="preserve"> PAGEREF _Toc202456979 \h </w:instrText>
            </w:r>
            <w:r w:rsidR="000B7B90">
              <w:rPr>
                <w:webHidden/>
              </w:rPr>
            </w:r>
            <w:r w:rsidR="000B7B90">
              <w:rPr>
                <w:webHidden/>
              </w:rPr>
              <w:fldChar w:fldCharType="separate"/>
            </w:r>
            <w:r w:rsidR="000B7B90">
              <w:rPr>
                <w:webHidden/>
              </w:rPr>
              <w:t>236</w:t>
            </w:r>
            <w:r w:rsidR="000B7B90">
              <w:rPr>
                <w:webHidden/>
              </w:rPr>
              <w:fldChar w:fldCharType="end"/>
            </w:r>
          </w:hyperlink>
        </w:p>
        <w:p w14:paraId="1889966D" w14:textId="7FB9EEE9" w:rsidR="000B7B90" w:rsidRDefault="00000000" w:rsidP="000B7B90">
          <w:pPr>
            <w:pStyle w:val="TDC2"/>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pPr>
          <w:hyperlink w:anchor="_Toc202456980" w:history="1">
            <w:r w:rsidR="000B7B90" w:rsidRPr="003C7F62">
              <w:rPr>
                <w:rStyle w:val="Hipervnculo"/>
                <w:bCs/>
                <w:color w:val="023160" w:themeColor="hyperlink" w:themeShade="80"/>
              </w:rPr>
              <w:t>9.5.</w:t>
            </w:r>
            <w:r w:rsidR="000B7B90">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tab/>
            </w:r>
            <w:r w:rsidR="000B7B90" w:rsidRPr="003C7F62">
              <w:rPr>
                <w:rStyle w:val="Hipervnculo"/>
                <w:bCs/>
                <w:color w:val="023160" w:themeColor="hyperlink" w:themeShade="80"/>
              </w:rPr>
              <w:t>Resultados de consulta</w:t>
            </w:r>
            <w:r w:rsidR="000B7B90">
              <w:rPr>
                <w:webHidden/>
              </w:rPr>
              <w:tab/>
            </w:r>
            <w:r w:rsidR="000B7B90">
              <w:rPr>
                <w:webHidden/>
              </w:rPr>
              <w:fldChar w:fldCharType="begin"/>
            </w:r>
            <w:r w:rsidR="000B7B90">
              <w:rPr>
                <w:webHidden/>
              </w:rPr>
              <w:instrText xml:space="preserve"> PAGEREF _Toc202456980 \h </w:instrText>
            </w:r>
            <w:r w:rsidR="000B7B90">
              <w:rPr>
                <w:webHidden/>
              </w:rPr>
            </w:r>
            <w:r w:rsidR="000B7B90">
              <w:rPr>
                <w:webHidden/>
              </w:rPr>
              <w:fldChar w:fldCharType="separate"/>
            </w:r>
            <w:r w:rsidR="000B7B90">
              <w:rPr>
                <w:webHidden/>
              </w:rPr>
              <w:t>237</w:t>
            </w:r>
            <w:r w:rsidR="000B7B90">
              <w:rPr>
                <w:webHidden/>
              </w:rPr>
              <w:fldChar w:fldCharType="end"/>
            </w:r>
          </w:hyperlink>
        </w:p>
        <w:p w14:paraId="715C8D37" w14:textId="6ADE5B72" w:rsidR="000B7B90" w:rsidRDefault="00000000">
          <w:pPr>
            <w:pStyle w:val="TDC1"/>
            <w:rPr>
              <w:rFonts w:asciiTheme="minorHAnsi" w:eastAsiaTheme="minorEastAsia" w:hAnsiTheme="minorHAnsi" w:cstheme="minorBidi"/>
              <w:b w:val="0"/>
              <w:bCs w:val="0"/>
              <w:color w:val="auto"/>
              <w:kern w:val="2"/>
              <w:sz w:val="22"/>
              <w:lang w:val="es-HN" w:eastAsia="es-HN"/>
              <w14:ligatures w14:val="standardContextual"/>
            </w:rPr>
          </w:pPr>
          <w:hyperlink w:anchor="_Toc202456981" w:history="1">
            <w:r w:rsidR="000B7B90" w:rsidRPr="003C7F62">
              <w:rPr>
                <w:rStyle w:val="Hipervnculo"/>
                <w:color w:val="023160" w:themeColor="hyperlink" w:themeShade="80"/>
              </w:rPr>
              <w:t>10</w:t>
            </w:r>
            <w:r w:rsidR="000B7B90">
              <w:rPr>
                <w:rFonts w:asciiTheme="minorHAnsi" w:eastAsiaTheme="minorEastAsia" w:hAnsiTheme="minorHAnsi" w:cstheme="minorBidi"/>
                <w:b w:val="0"/>
                <w:bCs w:val="0"/>
                <w:color w:val="auto"/>
                <w:kern w:val="2"/>
                <w:sz w:val="22"/>
                <w:lang w:val="es-HN" w:eastAsia="es-HN"/>
                <w14:ligatures w14:val="standardContextual"/>
              </w:rPr>
              <w:tab/>
            </w:r>
            <w:r w:rsidR="000B7B90" w:rsidRPr="003C7F62">
              <w:rPr>
                <w:rStyle w:val="Hipervnculo"/>
                <w:color w:val="023160" w:themeColor="hyperlink" w:themeShade="80"/>
              </w:rPr>
              <w:t>Arreglos institucionales para la implementación del MGAS</w:t>
            </w:r>
            <w:r w:rsidR="000B7B90">
              <w:rPr>
                <w:webHidden/>
              </w:rPr>
              <w:tab/>
            </w:r>
            <w:r w:rsidR="000B7B90">
              <w:rPr>
                <w:webHidden/>
              </w:rPr>
              <w:fldChar w:fldCharType="begin"/>
            </w:r>
            <w:r w:rsidR="000B7B90">
              <w:rPr>
                <w:webHidden/>
              </w:rPr>
              <w:instrText xml:space="preserve"> PAGEREF _Toc202456981 \h </w:instrText>
            </w:r>
            <w:r w:rsidR="000B7B90">
              <w:rPr>
                <w:webHidden/>
              </w:rPr>
            </w:r>
            <w:r w:rsidR="000B7B90">
              <w:rPr>
                <w:webHidden/>
              </w:rPr>
              <w:fldChar w:fldCharType="separate"/>
            </w:r>
            <w:r w:rsidR="000B7B90">
              <w:rPr>
                <w:webHidden/>
              </w:rPr>
              <w:t>243</w:t>
            </w:r>
            <w:r w:rsidR="000B7B90">
              <w:rPr>
                <w:webHidden/>
              </w:rPr>
              <w:fldChar w:fldCharType="end"/>
            </w:r>
          </w:hyperlink>
        </w:p>
        <w:p w14:paraId="06A26AF9" w14:textId="1F9111D4" w:rsidR="000B7B90" w:rsidRDefault="00000000" w:rsidP="000B7B90">
          <w:pPr>
            <w:pStyle w:val="TDC2"/>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pPr>
          <w:hyperlink w:anchor="_Toc202456983" w:history="1">
            <w:r w:rsidR="000B7B90" w:rsidRPr="003C7F62">
              <w:rPr>
                <w:rStyle w:val="Hipervnculo"/>
                <w:bCs/>
                <w:color w:val="023160" w:themeColor="hyperlink" w:themeShade="80"/>
              </w:rPr>
              <w:t>10.1.</w:t>
            </w:r>
            <w:r w:rsidR="000B7B90">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tab/>
            </w:r>
            <w:r w:rsidR="000B7B90" w:rsidRPr="003C7F62">
              <w:rPr>
                <w:rStyle w:val="Hipervnculo"/>
                <w:bCs/>
                <w:color w:val="023160" w:themeColor="hyperlink" w:themeShade="80"/>
              </w:rPr>
              <w:t>Responsabilidades para la Gestión Ambiental y Social</w:t>
            </w:r>
            <w:r w:rsidR="000B7B90">
              <w:rPr>
                <w:webHidden/>
              </w:rPr>
              <w:tab/>
            </w:r>
            <w:r w:rsidR="000B7B90">
              <w:rPr>
                <w:webHidden/>
              </w:rPr>
              <w:fldChar w:fldCharType="begin"/>
            </w:r>
            <w:r w:rsidR="000B7B90">
              <w:rPr>
                <w:webHidden/>
              </w:rPr>
              <w:instrText xml:space="preserve"> PAGEREF _Toc202456983 \h </w:instrText>
            </w:r>
            <w:r w:rsidR="000B7B90">
              <w:rPr>
                <w:webHidden/>
              </w:rPr>
            </w:r>
            <w:r w:rsidR="000B7B90">
              <w:rPr>
                <w:webHidden/>
              </w:rPr>
              <w:fldChar w:fldCharType="separate"/>
            </w:r>
            <w:r w:rsidR="000B7B90">
              <w:rPr>
                <w:webHidden/>
              </w:rPr>
              <w:t>243</w:t>
            </w:r>
            <w:r w:rsidR="000B7B90">
              <w:rPr>
                <w:webHidden/>
              </w:rPr>
              <w:fldChar w:fldCharType="end"/>
            </w:r>
          </w:hyperlink>
        </w:p>
        <w:p w14:paraId="1FEE8CD4" w14:textId="7FE84072" w:rsidR="000B7B90" w:rsidRDefault="00000000" w:rsidP="000B7B90">
          <w:pPr>
            <w:pStyle w:val="TDC2"/>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pPr>
          <w:hyperlink w:anchor="_Toc202456984" w:history="1">
            <w:r w:rsidR="000B7B90" w:rsidRPr="003C7F62">
              <w:rPr>
                <w:rStyle w:val="Hipervnculo"/>
                <w:color w:val="023160" w:themeColor="hyperlink" w:themeShade="80"/>
              </w:rPr>
              <w:t>10.2.</w:t>
            </w:r>
            <w:r w:rsidR="000B7B90">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tab/>
            </w:r>
            <w:r w:rsidR="000B7B90" w:rsidRPr="003C7F62">
              <w:rPr>
                <w:rStyle w:val="Hipervnculo"/>
                <w:color w:val="023160" w:themeColor="hyperlink" w:themeShade="80"/>
              </w:rPr>
              <w:t>Seguimiento y Monitoreo</w:t>
            </w:r>
            <w:r w:rsidR="000B7B90">
              <w:rPr>
                <w:webHidden/>
              </w:rPr>
              <w:tab/>
            </w:r>
            <w:r w:rsidR="000B7B90">
              <w:rPr>
                <w:webHidden/>
              </w:rPr>
              <w:fldChar w:fldCharType="begin"/>
            </w:r>
            <w:r w:rsidR="000B7B90">
              <w:rPr>
                <w:webHidden/>
              </w:rPr>
              <w:instrText xml:space="preserve"> PAGEREF _Toc202456984 \h </w:instrText>
            </w:r>
            <w:r w:rsidR="000B7B90">
              <w:rPr>
                <w:webHidden/>
              </w:rPr>
            </w:r>
            <w:r w:rsidR="000B7B90">
              <w:rPr>
                <w:webHidden/>
              </w:rPr>
              <w:fldChar w:fldCharType="separate"/>
            </w:r>
            <w:r w:rsidR="000B7B90">
              <w:rPr>
                <w:webHidden/>
              </w:rPr>
              <w:t>246</w:t>
            </w:r>
            <w:r w:rsidR="000B7B90">
              <w:rPr>
                <w:webHidden/>
              </w:rPr>
              <w:fldChar w:fldCharType="end"/>
            </w:r>
          </w:hyperlink>
        </w:p>
        <w:p w14:paraId="1D9D679A" w14:textId="4EC91AF3" w:rsidR="000B7B90" w:rsidRDefault="00000000" w:rsidP="000B7B90">
          <w:pPr>
            <w:pStyle w:val="TDC2"/>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pPr>
          <w:hyperlink w:anchor="_Toc202456985" w:history="1">
            <w:r w:rsidR="000B7B90" w:rsidRPr="003C7F62">
              <w:rPr>
                <w:rStyle w:val="Hipervnculo"/>
                <w:color w:val="023160" w:themeColor="hyperlink" w:themeShade="80"/>
              </w:rPr>
              <w:t>10.3.</w:t>
            </w:r>
            <w:r w:rsidR="000B7B90">
              <w:rPr>
                <w:rFonts w:asciiTheme="minorHAnsi" w:eastAsiaTheme="minorEastAsia" w:hAnsiTheme="minorHAnsi"/>
                <w:color w:val="000000"/>
                <w:kern w:val="2"/>
                <w:sz w:val="22"/>
                <w:lang w:val="es-HN" w:eastAsia="es-HN"/>
                <w14:textFill>
                  <w14:solidFill>
                    <w14:srgbClr w14:val="000000">
                      <w14:lumMod w14:val="50000"/>
                    </w14:srgbClr>
                  </w14:solidFill>
                </w14:textFill>
                <w14:ligatures w14:val="standardContextual"/>
              </w:rPr>
              <w:tab/>
            </w:r>
            <w:r w:rsidR="000B7B90" w:rsidRPr="003C7F62">
              <w:rPr>
                <w:rStyle w:val="Hipervnculo"/>
                <w:color w:val="023160" w:themeColor="hyperlink" w:themeShade="80"/>
              </w:rPr>
              <w:t>Mecanismos de Respuesta a Emergencias de Contingencia (CERC)</w:t>
            </w:r>
            <w:r w:rsidR="000B7B90">
              <w:rPr>
                <w:webHidden/>
              </w:rPr>
              <w:tab/>
            </w:r>
            <w:r w:rsidR="000B7B90">
              <w:rPr>
                <w:webHidden/>
              </w:rPr>
              <w:fldChar w:fldCharType="begin"/>
            </w:r>
            <w:r w:rsidR="000B7B90">
              <w:rPr>
                <w:webHidden/>
              </w:rPr>
              <w:instrText xml:space="preserve"> PAGEREF _Toc202456985 \h </w:instrText>
            </w:r>
            <w:r w:rsidR="000B7B90">
              <w:rPr>
                <w:webHidden/>
              </w:rPr>
            </w:r>
            <w:r w:rsidR="000B7B90">
              <w:rPr>
                <w:webHidden/>
              </w:rPr>
              <w:fldChar w:fldCharType="separate"/>
            </w:r>
            <w:r w:rsidR="000B7B90">
              <w:rPr>
                <w:webHidden/>
              </w:rPr>
              <w:t>248</w:t>
            </w:r>
            <w:r w:rsidR="000B7B90">
              <w:rPr>
                <w:webHidden/>
              </w:rPr>
              <w:fldChar w:fldCharType="end"/>
            </w:r>
          </w:hyperlink>
        </w:p>
        <w:p w14:paraId="3A9C3678" w14:textId="7F0A6F30" w:rsidR="000B7B90" w:rsidRDefault="00000000">
          <w:pPr>
            <w:pStyle w:val="TDC1"/>
            <w:rPr>
              <w:rFonts w:asciiTheme="minorHAnsi" w:eastAsiaTheme="minorEastAsia" w:hAnsiTheme="minorHAnsi" w:cstheme="minorBidi"/>
              <w:b w:val="0"/>
              <w:bCs w:val="0"/>
              <w:color w:val="auto"/>
              <w:kern w:val="2"/>
              <w:sz w:val="22"/>
              <w:lang w:val="es-HN" w:eastAsia="es-HN"/>
              <w14:ligatures w14:val="standardContextual"/>
            </w:rPr>
          </w:pPr>
          <w:hyperlink w:anchor="_Toc202456986" w:history="1">
            <w:r w:rsidR="000B7B90" w:rsidRPr="003C7F62">
              <w:rPr>
                <w:rStyle w:val="Hipervnculo"/>
                <w:color w:val="023160" w:themeColor="hyperlink" w:themeShade="80"/>
              </w:rPr>
              <w:t>11.</w:t>
            </w:r>
            <w:r w:rsidR="000B7B90">
              <w:rPr>
                <w:rFonts w:asciiTheme="minorHAnsi" w:eastAsiaTheme="minorEastAsia" w:hAnsiTheme="minorHAnsi" w:cstheme="minorBidi"/>
                <w:b w:val="0"/>
                <w:bCs w:val="0"/>
                <w:color w:val="auto"/>
                <w:kern w:val="2"/>
                <w:sz w:val="22"/>
                <w:lang w:val="es-HN" w:eastAsia="es-HN"/>
                <w14:ligatures w14:val="standardContextual"/>
              </w:rPr>
              <w:tab/>
            </w:r>
            <w:r w:rsidR="000B7B90" w:rsidRPr="003C7F62">
              <w:rPr>
                <w:rStyle w:val="Hipervnculo"/>
                <w:color w:val="023160" w:themeColor="hyperlink" w:themeShade="80"/>
              </w:rPr>
              <w:t>Presupuesto</w:t>
            </w:r>
            <w:r w:rsidR="000B7B90">
              <w:rPr>
                <w:webHidden/>
              </w:rPr>
              <w:tab/>
            </w:r>
            <w:r w:rsidR="000B7B90">
              <w:rPr>
                <w:webHidden/>
              </w:rPr>
              <w:fldChar w:fldCharType="begin"/>
            </w:r>
            <w:r w:rsidR="000B7B90">
              <w:rPr>
                <w:webHidden/>
              </w:rPr>
              <w:instrText xml:space="preserve"> PAGEREF _Toc202456986 \h </w:instrText>
            </w:r>
            <w:r w:rsidR="000B7B90">
              <w:rPr>
                <w:webHidden/>
              </w:rPr>
            </w:r>
            <w:r w:rsidR="000B7B90">
              <w:rPr>
                <w:webHidden/>
              </w:rPr>
              <w:fldChar w:fldCharType="separate"/>
            </w:r>
            <w:r w:rsidR="000B7B90">
              <w:rPr>
                <w:webHidden/>
              </w:rPr>
              <w:t>250</w:t>
            </w:r>
            <w:r w:rsidR="000B7B90">
              <w:rPr>
                <w:webHidden/>
              </w:rPr>
              <w:fldChar w:fldCharType="end"/>
            </w:r>
          </w:hyperlink>
        </w:p>
        <w:p w14:paraId="15E263ED" w14:textId="34950A56" w:rsidR="000B7B90" w:rsidRDefault="00000000">
          <w:pPr>
            <w:pStyle w:val="TDC1"/>
            <w:rPr>
              <w:rFonts w:asciiTheme="minorHAnsi" w:eastAsiaTheme="minorEastAsia" w:hAnsiTheme="minorHAnsi" w:cstheme="minorBidi"/>
              <w:b w:val="0"/>
              <w:bCs w:val="0"/>
              <w:color w:val="auto"/>
              <w:kern w:val="2"/>
              <w:sz w:val="22"/>
              <w:lang w:val="es-HN" w:eastAsia="es-HN"/>
              <w14:ligatures w14:val="standardContextual"/>
            </w:rPr>
          </w:pPr>
          <w:hyperlink w:anchor="_Toc202456987" w:history="1">
            <w:r w:rsidR="000B7B90" w:rsidRPr="003C7F62">
              <w:rPr>
                <w:rStyle w:val="Hipervnculo"/>
                <w:color w:val="023160" w:themeColor="hyperlink" w:themeShade="80"/>
              </w:rPr>
              <w:t>12.</w:t>
            </w:r>
            <w:r w:rsidR="000B7B90">
              <w:rPr>
                <w:rFonts w:asciiTheme="minorHAnsi" w:eastAsiaTheme="minorEastAsia" w:hAnsiTheme="minorHAnsi" w:cstheme="minorBidi"/>
                <w:b w:val="0"/>
                <w:bCs w:val="0"/>
                <w:color w:val="auto"/>
                <w:kern w:val="2"/>
                <w:sz w:val="22"/>
                <w:lang w:val="es-HN" w:eastAsia="es-HN"/>
                <w14:ligatures w14:val="standardContextual"/>
              </w:rPr>
              <w:tab/>
            </w:r>
            <w:r w:rsidR="000B7B90" w:rsidRPr="003C7F62">
              <w:rPr>
                <w:rStyle w:val="Hipervnculo"/>
                <w:color w:val="023160" w:themeColor="hyperlink" w:themeShade="80"/>
              </w:rPr>
              <w:t>Formulario de Pre-evaluación Ambiental y Social</w:t>
            </w:r>
            <w:r w:rsidR="000B7B90">
              <w:rPr>
                <w:webHidden/>
              </w:rPr>
              <w:tab/>
            </w:r>
            <w:r w:rsidR="000B7B90">
              <w:rPr>
                <w:webHidden/>
              </w:rPr>
              <w:fldChar w:fldCharType="begin"/>
            </w:r>
            <w:r w:rsidR="000B7B90">
              <w:rPr>
                <w:webHidden/>
              </w:rPr>
              <w:instrText xml:space="preserve"> PAGEREF _Toc202456987 \h </w:instrText>
            </w:r>
            <w:r w:rsidR="000B7B90">
              <w:rPr>
                <w:webHidden/>
              </w:rPr>
            </w:r>
            <w:r w:rsidR="000B7B90">
              <w:rPr>
                <w:webHidden/>
              </w:rPr>
              <w:fldChar w:fldCharType="separate"/>
            </w:r>
            <w:r w:rsidR="000B7B90">
              <w:rPr>
                <w:webHidden/>
              </w:rPr>
              <w:t>252</w:t>
            </w:r>
            <w:r w:rsidR="000B7B90">
              <w:rPr>
                <w:webHidden/>
              </w:rPr>
              <w:fldChar w:fldCharType="end"/>
            </w:r>
          </w:hyperlink>
        </w:p>
        <w:p w14:paraId="292035C5" w14:textId="55E07FD5" w:rsidR="000B7B90" w:rsidRDefault="00000000">
          <w:pPr>
            <w:pStyle w:val="TDC1"/>
            <w:rPr>
              <w:rFonts w:asciiTheme="minorHAnsi" w:eastAsiaTheme="minorEastAsia" w:hAnsiTheme="minorHAnsi" w:cstheme="minorBidi"/>
              <w:b w:val="0"/>
              <w:bCs w:val="0"/>
              <w:color w:val="auto"/>
              <w:kern w:val="2"/>
              <w:sz w:val="22"/>
              <w:lang w:val="es-HN" w:eastAsia="es-HN"/>
              <w14:ligatures w14:val="standardContextual"/>
            </w:rPr>
          </w:pPr>
          <w:hyperlink w:anchor="_Toc202456988" w:history="1">
            <w:r w:rsidR="000B7B90" w:rsidRPr="003C7F62">
              <w:rPr>
                <w:rStyle w:val="Hipervnculo"/>
                <w:color w:val="023160" w:themeColor="hyperlink" w:themeShade="80"/>
              </w:rPr>
              <w:t>13.</w:t>
            </w:r>
            <w:r w:rsidR="000B7B90">
              <w:rPr>
                <w:rFonts w:asciiTheme="minorHAnsi" w:eastAsiaTheme="minorEastAsia" w:hAnsiTheme="minorHAnsi" w:cstheme="minorBidi"/>
                <w:b w:val="0"/>
                <w:bCs w:val="0"/>
                <w:color w:val="auto"/>
                <w:kern w:val="2"/>
                <w:sz w:val="22"/>
                <w:lang w:val="es-HN" w:eastAsia="es-HN"/>
                <w14:ligatures w14:val="standardContextual"/>
              </w:rPr>
              <w:tab/>
            </w:r>
            <w:r w:rsidR="000B7B90" w:rsidRPr="003C7F62">
              <w:rPr>
                <w:rStyle w:val="Hipervnculo"/>
                <w:color w:val="023160" w:themeColor="hyperlink" w:themeShade="80"/>
              </w:rPr>
              <w:t>Bibliografía</w:t>
            </w:r>
            <w:r w:rsidR="000B7B90">
              <w:rPr>
                <w:webHidden/>
              </w:rPr>
              <w:tab/>
            </w:r>
            <w:r w:rsidR="000B7B90">
              <w:rPr>
                <w:webHidden/>
              </w:rPr>
              <w:fldChar w:fldCharType="begin"/>
            </w:r>
            <w:r w:rsidR="000B7B90">
              <w:rPr>
                <w:webHidden/>
              </w:rPr>
              <w:instrText xml:space="preserve"> PAGEREF _Toc202456988 \h </w:instrText>
            </w:r>
            <w:r w:rsidR="000B7B90">
              <w:rPr>
                <w:webHidden/>
              </w:rPr>
            </w:r>
            <w:r w:rsidR="000B7B90">
              <w:rPr>
                <w:webHidden/>
              </w:rPr>
              <w:fldChar w:fldCharType="separate"/>
            </w:r>
            <w:r w:rsidR="000B7B90">
              <w:rPr>
                <w:webHidden/>
              </w:rPr>
              <w:t>260</w:t>
            </w:r>
            <w:r w:rsidR="000B7B90">
              <w:rPr>
                <w:webHidden/>
              </w:rPr>
              <w:fldChar w:fldCharType="end"/>
            </w:r>
          </w:hyperlink>
        </w:p>
        <w:p w14:paraId="53BB82A8" w14:textId="16971024" w:rsidR="000B7B90" w:rsidRDefault="00000000">
          <w:pPr>
            <w:pStyle w:val="TDC1"/>
            <w:rPr>
              <w:rFonts w:asciiTheme="minorHAnsi" w:eastAsiaTheme="minorEastAsia" w:hAnsiTheme="minorHAnsi" w:cstheme="minorBidi"/>
              <w:b w:val="0"/>
              <w:bCs w:val="0"/>
              <w:color w:val="auto"/>
              <w:kern w:val="2"/>
              <w:sz w:val="22"/>
              <w:lang w:val="es-HN" w:eastAsia="es-HN"/>
              <w14:ligatures w14:val="standardContextual"/>
            </w:rPr>
          </w:pPr>
          <w:hyperlink w:anchor="_Toc202456989" w:history="1">
            <w:r w:rsidR="000B7B90" w:rsidRPr="003C7F62">
              <w:rPr>
                <w:rStyle w:val="Hipervnculo"/>
                <w:color w:val="023160" w:themeColor="hyperlink" w:themeShade="80"/>
              </w:rPr>
              <w:t>14.</w:t>
            </w:r>
            <w:r w:rsidR="000B7B90">
              <w:rPr>
                <w:rFonts w:asciiTheme="minorHAnsi" w:eastAsiaTheme="minorEastAsia" w:hAnsiTheme="minorHAnsi" w:cstheme="minorBidi"/>
                <w:b w:val="0"/>
                <w:bCs w:val="0"/>
                <w:color w:val="auto"/>
                <w:kern w:val="2"/>
                <w:sz w:val="22"/>
                <w:lang w:val="es-HN" w:eastAsia="es-HN"/>
                <w14:ligatures w14:val="standardContextual"/>
              </w:rPr>
              <w:tab/>
            </w:r>
            <w:r w:rsidR="000B7B90" w:rsidRPr="003C7F62">
              <w:rPr>
                <w:rStyle w:val="Hipervnculo"/>
                <w:color w:val="023160" w:themeColor="hyperlink" w:themeShade="80"/>
              </w:rPr>
              <w:t>Anexo I - Lista de especies de plantas y vertebrados globalmente amenazadas de la lista roja de la UICN para Honduras, 2017.</w:t>
            </w:r>
            <w:r w:rsidR="000B7B90">
              <w:rPr>
                <w:webHidden/>
              </w:rPr>
              <w:tab/>
            </w:r>
            <w:r w:rsidR="000B7B90">
              <w:rPr>
                <w:webHidden/>
              </w:rPr>
              <w:fldChar w:fldCharType="begin"/>
            </w:r>
            <w:r w:rsidR="000B7B90">
              <w:rPr>
                <w:webHidden/>
              </w:rPr>
              <w:instrText xml:space="preserve"> PAGEREF _Toc202456989 \h </w:instrText>
            </w:r>
            <w:r w:rsidR="000B7B90">
              <w:rPr>
                <w:webHidden/>
              </w:rPr>
            </w:r>
            <w:r w:rsidR="000B7B90">
              <w:rPr>
                <w:webHidden/>
              </w:rPr>
              <w:fldChar w:fldCharType="separate"/>
            </w:r>
            <w:r w:rsidR="000B7B90">
              <w:rPr>
                <w:webHidden/>
              </w:rPr>
              <w:t>261</w:t>
            </w:r>
            <w:r w:rsidR="000B7B90">
              <w:rPr>
                <w:webHidden/>
              </w:rPr>
              <w:fldChar w:fldCharType="end"/>
            </w:r>
          </w:hyperlink>
        </w:p>
        <w:p w14:paraId="5B905ACB" w14:textId="65DBD9CD" w:rsidR="000B7B90" w:rsidRDefault="00000000">
          <w:pPr>
            <w:pStyle w:val="TDC1"/>
            <w:rPr>
              <w:rFonts w:asciiTheme="minorHAnsi" w:eastAsiaTheme="minorEastAsia" w:hAnsiTheme="minorHAnsi" w:cstheme="minorBidi"/>
              <w:b w:val="0"/>
              <w:bCs w:val="0"/>
              <w:color w:val="auto"/>
              <w:kern w:val="2"/>
              <w:sz w:val="22"/>
              <w:lang w:val="es-HN" w:eastAsia="es-HN"/>
              <w14:ligatures w14:val="standardContextual"/>
            </w:rPr>
          </w:pPr>
          <w:hyperlink w:anchor="_Toc202456990" w:history="1">
            <w:r w:rsidR="000B7B90" w:rsidRPr="003C7F62">
              <w:rPr>
                <w:rStyle w:val="Hipervnculo"/>
                <w:color w:val="023160" w:themeColor="hyperlink" w:themeShade="80"/>
              </w:rPr>
              <w:t>14</w:t>
            </w:r>
            <w:r w:rsidR="000B7B90">
              <w:rPr>
                <w:rFonts w:asciiTheme="minorHAnsi" w:eastAsiaTheme="minorEastAsia" w:hAnsiTheme="minorHAnsi" w:cstheme="minorBidi"/>
                <w:b w:val="0"/>
                <w:bCs w:val="0"/>
                <w:color w:val="auto"/>
                <w:kern w:val="2"/>
                <w:sz w:val="22"/>
                <w:lang w:val="es-HN" w:eastAsia="es-HN"/>
                <w14:ligatures w14:val="standardContextual"/>
              </w:rPr>
              <w:tab/>
            </w:r>
            <w:r w:rsidR="000B7B90" w:rsidRPr="003C7F62">
              <w:rPr>
                <w:rStyle w:val="Hipervnculo"/>
                <w:color w:val="023160" w:themeColor="hyperlink" w:themeShade="80"/>
              </w:rPr>
              <w:t>Anexo II – Lista de especies incluidas en los apéndices CITES para Honduras.</w:t>
            </w:r>
            <w:r w:rsidR="000B7B90">
              <w:rPr>
                <w:webHidden/>
              </w:rPr>
              <w:tab/>
            </w:r>
            <w:r w:rsidR="000B7B90">
              <w:rPr>
                <w:webHidden/>
              </w:rPr>
              <w:fldChar w:fldCharType="begin"/>
            </w:r>
            <w:r w:rsidR="000B7B90">
              <w:rPr>
                <w:webHidden/>
              </w:rPr>
              <w:instrText xml:space="preserve"> PAGEREF _Toc202456990 \h </w:instrText>
            </w:r>
            <w:r w:rsidR="000B7B90">
              <w:rPr>
                <w:webHidden/>
              </w:rPr>
            </w:r>
            <w:r w:rsidR="000B7B90">
              <w:rPr>
                <w:webHidden/>
              </w:rPr>
              <w:fldChar w:fldCharType="separate"/>
            </w:r>
            <w:r w:rsidR="000B7B90">
              <w:rPr>
                <w:webHidden/>
              </w:rPr>
              <w:t>1</w:t>
            </w:r>
            <w:r w:rsidR="000B7B90">
              <w:rPr>
                <w:webHidden/>
              </w:rPr>
              <w:fldChar w:fldCharType="end"/>
            </w:r>
          </w:hyperlink>
        </w:p>
        <w:p w14:paraId="4BF80FF0" w14:textId="7C3FC2D3" w:rsidR="000B7B90" w:rsidRDefault="00000000">
          <w:pPr>
            <w:pStyle w:val="TDC1"/>
            <w:rPr>
              <w:rFonts w:asciiTheme="minorHAnsi" w:eastAsiaTheme="minorEastAsia" w:hAnsiTheme="minorHAnsi" w:cstheme="minorBidi"/>
              <w:b w:val="0"/>
              <w:bCs w:val="0"/>
              <w:color w:val="auto"/>
              <w:kern w:val="2"/>
              <w:sz w:val="22"/>
              <w:lang w:val="es-HN" w:eastAsia="es-HN"/>
              <w14:ligatures w14:val="standardContextual"/>
            </w:rPr>
          </w:pPr>
          <w:hyperlink w:anchor="_Toc202456991" w:history="1">
            <w:r w:rsidR="000B7B90" w:rsidRPr="003C7F62">
              <w:rPr>
                <w:rStyle w:val="Hipervnculo"/>
                <w:color w:val="023160" w:themeColor="hyperlink" w:themeShade="80"/>
              </w:rPr>
              <w:t>14.</w:t>
            </w:r>
            <w:r w:rsidR="000B7B90">
              <w:rPr>
                <w:rFonts w:asciiTheme="minorHAnsi" w:eastAsiaTheme="minorEastAsia" w:hAnsiTheme="minorHAnsi" w:cstheme="minorBidi"/>
                <w:b w:val="0"/>
                <w:bCs w:val="0"/>
                <w:color w:val="auto"/>
                <w:kern w:val="2"/>
                <w:sz w:val="22"/>
                <w:lang w:val="es-HN" w:eastAsia="es-HN"/>
                <w14:ligatures w14:val="standardContextual"/>
              </w:rPr>
              <w:tab/>
            </w:r>
            <w:r w:rsidR="000B7B90" w:rsidRPr="003C7F62">
              <w:rPr>
                <w:rStyle w:val="Hipervnculo"/>
                <w:color w:val="023160" w:themeColor="hyperlink" w:themeShade="80"/>
              </w:rPr>
              <w:t>Anexo III - Normas de calidad para la descarga de aguas residuales a cuerpos receptores y alcantarillado sanitario</w:t>
            </w:r>
            <w:r w:rsidR="000B7B90">
              <w:rPr>
                <w:webHidden/>
              </w:rPr>
              <w:tab/>
            </w:r>
            <w:r w:rsidR="000B7B90">
              <w:rPr>
                <w:webHidden/>
              </w:rPr>
              <w:fldChar w:fldCharType="begin"/>
            </w:r>
            <w:r w:rsidR="000B7B90">
              <w:rPr>
                <w:webHidden/>
              </w:rPr>
              <w:instrText xml:space="preserve"> PAGEREF _Toc202456991 \h </w:instrText>
            </w:r>
            <w:r w:rsidR="000B7B90">
              <w:rPr>
                <w:webHidden/>
              </w:rPr>
            </w:r>
            <w:r w:rsidR="000B7B90">
              <w:rPr>
                <w:webHidden/>
              </w:rPr>
              <w:fldChar w:fldCharType="separate"/>
            </w:r>
            <w:r w:rsidR="000B7B90">
              <w:rPr>
                <w:webHidden/>
              </w:rPr>
              <w:t>14</w:t>
            </w:r>
            <w:r w:rsidR="000B7B90">
              <w:rPr>
                <w:webHidden/>
              </w:rPr>
              <w:fldChar w:fldCharType="end"/>
            </w:r>
          </w:hyperlink>
        </w:p>
        <w:p w14:paraId="06883D23" w14:textId="651AAB58" w:rsidR="000B7B90" w:rsidRDefault="00000000">
          <w:pPr>
            <w:pStyle w:val="TDC1"/>
            <w:rPr>
              <w:rFonts w:asciiTheme="minorHAnsi" w:eastAsiaTheme="minorEastAsia" w:hAnsiTheme="minorHAnsi" w:cstheme="minorBidi"/>
              <w:b w:val="0"/>
              <w:bCs w:val="0"/>
              <w:color w:val="auto"/>
              <w:kern w:val="2"/>
              <w:sz w:val="22"/>
              <w:lang w:val="es-HN" w:eastAsia="es-HN"/>
              <w14:ligatures w14:val="standardContextual"/>
            </w:rPr>
          </w:pPr>
          <w:hyperlink w:anchor="_Toc202456992" w:history="1">
            <w:r w:rsidR="000B7B90" w:rsidRPr="003C7F62">
              <w:rPr>
                <w:rStyle w:val="Hipervnculo"/>
                <w:color w:val="023160" w:themeColor="hyperlink" w:themeShade="80"/>
              </w:rPr>
              <w:t>14.</w:t>
            </w:r>
            <w:r w:rsidR="000B7B90">
              <w:rPr>
                <w:rFonts w:asciiTheme="minorHAnsi" w:eastAsiaTheme="minorEastAsia" w:hAnsiTheme="minorHAnsi" w:cstheme="minorBidi"/>
                <w:b w:val="0"/>
                <w:bCs w:val="0"/>
                <w:color w:val="auto"/>
                <w:kern w:val="2"/>
                <w:sz w:val="22"/>
                <w:lang w:val="es-HN" w:eastAsia="es-HN"/>
                <w14:ligatures w14:val="standardContextual"/>
              </w:rPr>
              <w:tab/>
            </w:r>
            <w:r w:rsidR="000B7B90" w:rsidRPr="003C7F62">
              <w:rPr>
                <w:rStyle w:val="Hipervnculo"/>
                <w:color w:val="023160" w:themeColor="hyperlink" w:themeShade="80"/>
              </w:rPr>
              <w:t>Anexo IV - Áreas ambientalmente frágiles</w:t>
            </w:r>
            <w:r w:rsidR="000B7B90">
              <w:rPr>
                <w:webHidden/>
              </w:rPr>
              <w:tab/>
            </w:r>
            <w:r w:rsidR="000B7B90">
              <w:rPr>
                <w:webHidden/>
              </w:rPr>
              <w:fldChar w:fldCharType="begin"/>
            </w:r>
            <w:r w:rsidR="000B7B90">
              <w:rPr>
                <w:webHidden/>
              </w:rPr>
              <w:instrText xml:space="preserve"> PAGEREF _Toc202456992 \h </w:instrText>
            </w:r>
            <w:r w:rsidR="000B7B90">
              <w:rPr>
                <w:webHidden/>
              </w:rPr>
            </w:r>
            <w:r w:rsidR="000B7B90">
              <w:rPr>
                <w:webHidden/>
              </w:rPr>
              <w:fldChar w:fldCharType="separate"/>
            </w:r>
            <w:r w:rsidR="000B7B90">
              <w:rPr>
                <w:webHidden/>
              </w:rPr>
              <w:t>18</w:t>
            </w:r>
            <w:r w:rsidR="000B7B90">
              <w:rPr>
                <w:webHidden/>
              </w:rPr>
              <w:fldChar w:fldCharType="end"/>
            </w:r>
          </w:hyperlink>
        </w:p>
        <w:p w14:paraId="339E1E1D" w14:textId="52B257AB" w:rsidR="000B7B90" w:rsidRDefault="00000000">
          <w:pPr>
            <w:pStyle w:val="TDC1"/>
            <w:rPr>
              <w:rFonts w:asciiTheme="minorHAnsi" w:eastAsiaTheme="minorEastAsia" w:hAnsiTheme="minorHAnsi" w:cstheme="minorBidi"/>
              <w:b w:val="0"/>
              <w:bCs w:val="0"/>
              <w:color w:val="auto"/>
              <w:kern w:val="2"/>
              <w:sz w:val="22"/>
              <w:lang w:val="es-HN" w:eastAsia="es-HN"/>
              <w14:ligatures w14:val="standardContextual"/>
            </w:rPr>
          </w:pPr>
          <w:hyperlink w:anchor="_Toc202456993" w:history="1">
            <w:r w:rsidR="000B7B90" w:rsidRPr="003C7F62">
              <w:rPr>
                <w:rStyle w:val="Hipervnculo"/>
                <w:color w:val="023160" w:themeColor="hyperlink" w:themeShade="80"/>
              </w:rPr>
              <w:t>14.  Anexo V – Formato del Perfil de Negocios (PdN)</w:t>
            </w:r>
            <w:r w:rsidR="000B7B90">
              <w:rPr>
                <w:webHidden/>
              </w:rPr>
              <w:tab/>
            </w:r>
            <w:r w:rsidR="000B7B90">
              <w:rPr>
                <w:webHidden/>
              </w:rPr>
              <w:fldChar w:fldCharType="begin"/>
            </w:r>
            <w:r w:rsidR="000B7B90">
              <w:rPr>
                <w:webHidden/>
              </w:rPr>
              <w:instrText xml:space="preserve"> PAGEREF _Toc202456993 \h </w:instrText>
            </w:r>
            <w:r w:rsidR="000B7B90">
              <w:rPr>
                <w:webHidden/>
              </w:rPr>
            </w:r>
            <w:r w:rsidR="000B7B90">
              <w:rPr>
                <w:webHidden/>
              </w:rPr>
              <w:fldChar w:fldCharType="separate"/>
            </w:r>
            <w:r w:rsidR="000B7B90">
              <w:rPr>
                <w:webHidden/>
              </w:rPr>
              <w:t>19</w:t>
            </w:r>
            <w:r w:rsidR="000B7B90">
              <w:rPr>
                <w:webHidden/>
              </w:rPr>
              <w:fldChar w:fldCharType="end"/>
            </w:r>
          </w:hyperlink>
        </w:p>
        <w:p w14:paraId="53F6136E" w14:textId="56876F1F" w:rsidR="000B7B90" w:rsidRDefault="00000000">
          <w:pPr>
            <w:pStyle w:val="TDC1"/>
            <w:rPr>
              <w:rFonts w:asciiTheme="minorHAnsi" w:eastAsiaTheme="minorEastAsia" w:hAnsiTheme="minorHAnsi" w:cstheme="minorBidi"/>
              <w:b w:val="0"/>
              <w:bCs w:val="0"/>
              <w:color w:val="auto"/>
              <w:kern w:val="2"/>
              <w:sz w:val="22"/>
              <w:lang w:val="es-HN" w:eastAsia="es-HN"/>
              <w14:ligatures w14:val="standardContextual"/>
            </w:rPr>
          </w:pPr>
          <w:hyperlink w:anchor="_Toc202456994" w:history="1">
            <w:r w:rsidR="000B7B90" w:rsidRPr="003C7F62">
              <w:rPr>
                <w:rStyle w:val="Hipervnculo"/>
                <w:rFonts w:eastAsia="Calibri"/>
                <w:color w:val="023160" w:themeColor="hyperlink" w:themeShade="80"/>
              </w:rPr>
              <w:t>1. Siglas Y Acrónimos</w:t>
            </w:r>
            <w:r w:rsidR="000B7B90">
              <w:rPr>
                <w:webHidden/>
              </w:rPr>
              <w:tab/>
            </w:r>
            <w:r w:rsidR="000B7B90">
              <w:rPr>
                <w:webHidden/>
              </w:rPr>
              <w:fldChar w:fldCharType="begin"/>
            </w:r>
            <w:r w:rsidR="000B7B90">
              <w:rPr>
                <w:webHidden/>
              </w:rPr>
              <w:instrText xml:space="preserve"> PAGEREF _Toc202456994 \h </w:instrText>
            </w:r>
            <w:r w:rsidR="000B7B90">
              <w:rPr>
                <w:webHidden/>
              </w:rPr>
            </w:r>
            <w:r w:rsidR="000B7B90">
              <w:rPr>
                <w:webHidden/>
              </w:rPr>
              <w:fldChar w:fldCharType="separate"/>
            </w:r>
            <w:r w:rsidR="000B7B90">
              <w:rPr>
                <w:webHidden/>
              </w:rPr>
              <w:t>24</w:t>
            </w:r>
            <w:r w:rsidR="000B7B90">
              <w:rPr>
                <w:webHidden/>
              </w:rPr>
              <w:fldChar w:fldCharType="end"/>
            </w:r>
          </w:hyperlink>
        </w:p>
        <w:p w14:paraId="22543516" w14:textId="28FCDBB5" w:rsidR="000B7B90" w:rsidRDefault="00000000">
          <w:pPr>
            <w:pStyle w:val="TDC1"/>
            <w:rPr>
              <w:rFonts w:asciiTheme="minorHAnsi" w:eastAsiaTheme="minorEastAsia" w:hAnsiTheme="minorHAnsi" w:cstheme="minorBidi"/>
              <w:b w:val="0"/>
              <w:bCs w:val="0"/>
              <w:color w:val="auto"/>
              <w:kern w:val="2"/>
              <w:sz w:val="22"/>
              <w:lang w:val="es-HN" w:eastAsia="es-HN"/>
              <w14:ligatures w14:val="standardContextual"/>
            </w:rPr>
          </w:pPr>
          <w:hyperlink w:anchor="_Toc202456995" w:history="1">
            <w:r w:rsidR="000B7B90" w:rsidRPr="003C7F62">
              <w:rPr>
                <w:rStyle w:val="Hipervnculo"/>
                <w:rFonts w:eastAsia="Calibri"/>
                <w:color w:val="023160" w:themeColor="hyperlink" w:themeShade="80"/>
              </w:rPr>
              <w:t>2. Introducción</w:t>
            </w:r>
            <w:r w:rsidR="000B7B90">
              <w:rPr>
                <w:webHidden/>
              </w:rPr>
              <w:tab/>
            </w:r>
            <w:r w:rsidR="000B7B90">
              <w:rPr>
                <w:webHidden/>
              </w:rPr>
              <w:fldChar w:fldCharType="begin"/>
            </w:r>
            <w:r w:rsidR="000B7B90">
              <w:rPr>
                <w:webHidden/>
              </w:rPr>
              <w:instrText xml:space="preserve"> PAGEREF _Toc202456995 \h </w:instrText>
            </w:r>
            <w:r w:rsidR="000B7B90">
              <w:rPr>
                <w:webHidden/>
              </w:rPr>
            </w:r>
            <w:r w:rsidR="000B7B90">
              <w:rPr>
                <w:webHidden/>
              </w:rPr>
              <w:fldChar w:fldCharType="separate"/>
            </w:r>
            <w:r w:rsidR="000B7B90">
              <w:rPr>
                <w:webHidden/>
              </w:rPr>
              <w:t>24</w:t>
            </w:r>
            <w:r w:rsidR="000B7B90">
              <w:rPr>
                <w:webHidden/>
              </w:rPr>
              <w:fldChar w:fldCharType="end"/>
            </w:r>
          </w:hyperlink>
        </w:p>
        <w:p w14:paraId="13854378" w14:textId="25396F48" w:rsidR="000B7B90" w:rsidRDefault="00000000">
          <w:pPr>
            <w:pStyle w:val="TDC1"/>
            <w:rPr>
              <w:rFonts w:asciiTheme="minorHAnsi" w:eastAsiaTheme="minorEastAsia" w:hAnsiTheme="minorHAnsi" w:cstheme="minorBidi"/>
              <w:b w:val="0"/>
              <w:bCs w:val="0"/>
              <w:color w:val="auto"/>
              <w:kern w:val="2"/>
              <w:sz w:val="22"/>
              <w:lang w:val="es-HN" w:eastAsia="es-HN"/>
              <w14:ligatures w14:val="standardContextual"/>
            </w:rPr>
          </w:pPr>
          <w:hyperlink w:anchor="_Toc202456996" w:history="1">
            <w:r w:rsidR="000B7B90" w:rsidRPr="003C7F62">
              <w:rPr>
                <w:rStyle w:val="Hipervnculo"/>
                <w:rFonts w:eastAsia="Calibri"/>
                <w:color w:val="023160" w:themeColor="hyperlink" w:themeShade="80"/>
              </w:rPr>
              <w:t>3. Ficha técnica de datos del plan de negocios y La OPR</w:t>
            </w:r>
            <w:r w:rsidR="000B7B90">
              <w:rPr>
                <w:webHidden/>
              </w:rPr>
              <w:tab/>
            </w:r>
            <w:r w:rsidR="000B7B90">
              <w:rPr>
                <w:webHidden/>
              </w:rPr>
              <w:fldChar w:fldCharType="begin"/>
            </w:r>
            <w:r w:rsidR="000B7B90">
              <w:rPr>
                <w:webHidden/>
              </w:rPr>
              <w:instrText xml:space="preserve"> PAGEREF _Toc202456996 \h </w:instrText>
            </w:r>
            <w:r w:rsidR="000B7B90">
              <w:rPr>
                <w:webHidden/>
              </w:rPr>
            </w:r>
            <w:r w:rsidR="000B7B90">
              <w:rPr>
                <w:webHidden/>
              </w:rPr>
              <w:fldChar w:fldCharType="separate"/>
            </w:r>
            <w:r w:rsidR="000B7B90">
              <w:rPr>
                <w:webHidden/>
              </w:rPr>
              <w:t>24</w:t>
            </w:r>
            <w:r w:rsidR="000B7B90">
              <w:rPr>
                <w:webHidden/>
              </w:rPr>
              <w:fldChar w:fldCharType="end"/>
            </w:r>
          </w:hyperlink>
        </w:p>
        <w:p w14:paraId="7A7A0817" w14:textId="686BB857" w:rsidR="000B7B90" w:rsidRDefault="00000000">
          <w:pPr>
            <w:pStyle w:val="TDC1"/>
            <w:rPr>
              <w:rFonts w:asciiTheme="minorHAnsi" w:eastAsiaTheme="minorEastAsia" w:hAnsiTheme="minorHAnsi" w:cstheme="minorBidi"/>
              <w:b w:val="0"/>
              <w:bCs w:val="0"/>
              <w:color w:val="auto"/>
              <w:kern w:val="2"/>
              <w:sz w:val="22"/>
              <w:lang w:val="es-HN" w:eastAsia="es-HN"/>
              <w14:ligatures w14:val="standardContextual"/>
            </w:rPr>
          </w:pPr>
          <w:hyperlink w:anchor="_Toc202456997" w:history="1">
            <w:r w:rsidR="000B7B90" w:rsidRPr="003C7F62">
              <w:rPr>
                <w:rStyle w:val="Hipervnculo"/>
                <w:rFonts w:eastAsia="Calibri"/>
                <w:color w:val="023160" w:themeColor="hyperlink" w:themeShade="80"/>
              </w:rPr>
              <w:t>4. Descripción de actividades del subproyecto</w:t>
            </w:r>
            <w:r w:rsidR="000B7B90">
              <w:rPr>
                <w:webHidden/>
              </w:rPr>
              <w:tab/>
            </w:r>
            <w:r w:rsidR="000B7B90">
              <w:rPr>
                <w:webHidden/>
              </w:rPr>
              <w:fldChar w:fldCharType="begin"/>
            </w:r>
            <w:r w:rsidR="000B7B90">
              <w:rPr>
                <w:webHidden/>
              </w:rPr>
              <w:instrText xml:space="preserve"> PAGEREF _Toc202456997 \h </w:instrText>
            </w:r>
            <w:r w:rsidR="000B7B90">
              <w:rPr>
                <w:webHidden/>
              </w:rPr>
            </w:r>
            <w:r w:rsidR="000B7B90">
              <w:rPr>
                <w:webHidden/>
              </w:rPr>
              <w:fldChar w:fldCharType="separate"/>
            </w:r>
            <w:r w:rsidR="000B7B90">
              <w:rPr>
                <w:webHidden/>
              </w:rPr>
              <w:t>25</w:t>
            </w:r>
            <w:r w:rsidR="000B7B90">
              <w:rPr>
                <w:webHidden/>
              </w:rPr>
              <w:fldChar w:fldCharType="end"/>
            </w:r>
          </w:hyperlink>
        </w:p>
        <w:p w14:paraId="36954EB8" w14:textId="0EF4C9AF" w:rsidR="000B7B90" w:rsidRDefault="00000000">
          <w:pPr>
            <w:pStyle w:val="TDC1"/>
            <w:rPr>
              <w:rFonts w:asciiTheme="minorHAnsi" w:eastAsiaTheme="minorEastAsia" w:hAnsiTheme="minorHAnsi" w:cstheme="minorBidi"/>
              <w:b w:val="0"/>
              <w:bCs w:val="0"/>
              <w:color w:val="auto"/>
              <w:kern w:val="2"/>
              <w:sz w:val="22"/>
              <w:lang w:val="es-HN" w:eastAsia="es-HN"/>
              <w14:ligatures w14:val="standardContextual"/>
            </w:rPr>
          </w:pPr>
          <w:hyperlink w:anchor="_Toc202456998" w:history="1">
            <w:r w:rsidR="000B7B90" w:rsidRPr="003C7F62">
              <w:rPr>
                <w:rStyle w:val="Hipervnculo"/>
                <w:rFonts w:eastAsia="Calibri"/>
                <w:color w:val="023160" w:themeColor="hyperlink" w:themeShade="80"/>
              </w:rPr>
              <w:t>5.fases del plan de negocios</w:t>
            </w:r>
            <w:r w:rsidR="000B7B90">
              <w:rPr>
                <w:webHidden/>
              </w:rPr>
              <w:tab/>
            </w:r>
            <w:r w:rsidR="000B7B90">
              <w:rPr>
                <w:webHidden/>
              </w:rPr>
              <w:fldChar w:fldCharType="begin"/>
            </w:r>
            <w:r w:rsidR="000B7B90">
              <w:rPr>
                <w:webHidden/>
              </w:rPr>
              <w:instrText xml:space="preserve"> PAGEREF _Toc202456998 \h </w:instrText>
            </w:r>
            <w:r w:rsidR="000B7B90">
              <w:rPr>
                <w:webHidden/>
              </w:rPr>
            </w:r>
            <w:r w:rsidR="000B7B90">
              <w:rPr>
                <w:webHidden/>
              </w:rPr>
              <w:fldChar w:fldCharType="separate"/>
            </w:r>
            <w:r w:rsidR="000B7B90">
              <w:rPr>
                <w:webHidden/>
              </w:rPr>
              <w:t>25</w:t>
            </w:r>
            <w:r w:rsidR="000B7B90">
              <w:rPr>
                <w:webHidden/>
              </w:rPr>
              <w:fldChar w:fldCharType="end"/>
            </w:r>
          </w:hyperlink>
        </w:p>
        <w:p w14:paraId="18F9C622" w14:textId="07D57471" w:rsidR="000B7B90" w:rsidRDefault="00000000">
          <w:pPr>
            <w:pStyle w:val="TDC1"/>
            <w:rPr>
              <w:rFonts w:asciiTheme="minorHAnsi" w:eastAsiaTheme="minorEastAsia" w:hAnsiTheme="minorHAnsi" w:cstheme="minorBidi"/>
              <w:b w:val="0"/>
              <w:bCs w:val="0"/>
              <w:color w:val="auto"/>
              <w:kern w:val="2"/>
              <w:sz w:val="22"/>
              <w:lang w:val="es-HN" w:eastAsia="es-HN"/>
              <w14:ligatures w14:val="standardContextual"/>
            </w:rPr>
          </w:pPr>
          <w:hyperlink w:anchor="_Toc202456999" w:history="1">
            <w:r w:rsidR="000B7B90" w:rsidRPr="003C7F62">
              <w:rPr>
                <w:rStyle w:val="Hipervnculo"/>
                <w:rFonts w:eastAsia="Calibri"/>
                <w:color w:val="023160" w:themeColor="hyperlink" w:themeShade="80"/>
              </w:rPr>
              <w:t>6. Contexto ambiental y social</w:t>
            </w:r>
            <w:r w:rsidR="000B7B90">
              <w:rPr>
                <w:webHidden/>
              </w:rPr>
              <w:tab/>
            </w:r>
            <w:r w:rsidR="000B7B90">
              <w:rPr>
                <w:webHidden/>
              </w:rPr>
              <w:fldChar w:fldCharType="begin"/>
            </w:r>
            <w:r w:rsidR="000B7B90">
              <w:rPr>
                <w:webHidden/>
              </w:rPr>
              <w:instrText xml:space="preserve"> PAGEREF _Toc202456999 \h </w:instrText>
            </w:r>
            <w:r w:rsidR="000B7B90">
              <w:rPr>
                <w:webHidden/>
              </w:rPr>
            </w:r>
            <w:r w:rsidR="000B7B90">
              <w:rPr>
                <w:webHidden/>
              </w:rPr>
              <w:fldChar w:fldCharType="separate"/>
            </w:r>
            <w:r w:rsidR="000B7B90">
              <w:rPr>
                <w:webHidden/>
              </w:rPr>
              <w:t>25</w:t>
            </w:r>
            <w:r w:rsidR="000B7B90">
              <w:rPr>
                <w:webHidden/>
              </w:rPr>
              <w:fldChar w:fldCharType="end"/>
            </w:r>
          </w:hyperlink>
        </w:p>
        <w:p w14:paraId="4132BF4C" w14:textId="53650E9C" w:rsidR="000B7B90" w:rsidRDefault="00000000">
          <w:pPr>
            <w:pStyle w:val="TDC1"/>
            <w:rPr>
              <w:rFonts w:asciiTheme="minorHAnsi" w:eastAsiaTheme="minorEastAsia" w:hAnsiTheme="minorHAnsi" w:cstheme="minorBidi"/>
              <w:b w:val="0"/>
              <w:bCs w:val="0"/>
              <w:color w:val="auto"/>
              <w:kern w:val="2"/>
              <w:sz w:val="22"/>
              <w:lang w:val="es-HN" w:eastAsia="es-HN"/>
              <w14:ligatures w14:val="standardContextual"/>
            </w:rPr>
          </w:pPr>
          <w:hyperlink w:anchor="_Toc202457000" w:history="1">
            <w:r w:rsidR="000B7B90" w:rsidRPr="003C7F62">
              <w:rPr>
                <w:rStyle w:val="Hipervnculo"/>
                <w:rFonts w:eastAsia="Calibri"/>
                <w:color w:val="023160" w:themeColor="hyperlink" w:themeShade="80"/>
              </w:rPr>
              <w:t>7. Resumen de actividades participativas realizadas</w:t>
            </w:r>
            <w:r w:rsidR="000B7B90">
              <w:rPr>
                <w:webHidden/>
              </w:rPr>
              <w:tab/>
            </w:r>
            <w:r w:rsidR="000B7B90">
              <w:rPr>
                <w:webHidden/>
              </w:rPr>
              <w:fldChar w:fldCharType="begin"/>
            </w:r>
            <w:r w:rsidR="000B7B90">
              <w:rPr>
                <w:webHidden/>
              </w:rPr>
              <w:instrText xml:space="preserve"> PAGEREF _Toc202457000 \h </w:instrText>
            </w:r>
            <w:r w:rsidR="000B7B90">
              <w:rPr>
                <w:webHidden/>
              </w:rPr>
            </w:r>
            <w:r w:rsidR="000B7B90">
              <w:rPr>
                <w:webHidden/>
              </w:rPr>
              <w:fldChar w:fldCharType="separate"/>
            </w:r>
            <w:r w:rsidR="000B7B90">
              <w:rPr>
                <w:webHidden/>
              </w:rPr>
              <w:t>26</w:t>
            </w:r>
            <w:r w:rsidR="000B7B90">
              <w:rPr>
                <w:webHidden/>
              </w:rPr>
              <w:fldChar w:fldCharType="end"/>
            </w:r>
          </w:hyperlink>
        </w:p>
        <w:p w14:paraId="52E1A23F" w14:textId="1CEA8773" w:rsidR="000B7B90" w:rsidRDefault="00000000">
          <w:pPr>
            <w:pStyle w:val="TDC1"/>
            <w:rPr>
              <w:rFonts w:asciiTheme="minorHAnsi" w:eastAsiaTheme="minorEastAsia" w:hAnsiTheme="minorHAnsi" w:cstheme="minorBidi"/>
              <w:b w:val="0"/>
              <w:bCs w:val="0"/>
              <w:color w:val="auto"/>
              <w:kern w:val="2"/>
              <w:sz w:val="22"/>
              <w:lang w:val="es-HN" w:eastAsia="es-HN"/>
              <w14:ligatures w14:val="standardContextual"/>
            </w:rPr>
          </w:pPr>
          <w:hyperlink w:anchor="_Toc202457001" w:history="1">
            <w:r w:rsidR="000B7B90" w:rsidRPr="003C7F62">
              <w:rPr>
                <w:rStyle w:val="Hipervnculo"/>
                <w:rFonts w:eastAsia="Calibri"/>
                <w:color w:val="023160" w:themeColor="hyperlink" w:themeShade="80"/>
              </w:rPr>
              <w:t>8. Matriz de identificación de Riesgos e impactos, mitigación, seguimiento</w:t>
            </w:r>
            <w:r w:rsidR="000B7B90">
              <w:rPr>
                <w:webHidden/>
              </w:rPr>
              <w:tab/>
            </w:r>
            <w:r w:rsidR="000B7B90">
              <w:rPr>
                <w:webHidden/>
              </w:rPr>
              <w:fldChar w:fldCharType="begin"/>
            </w:r>
            <w:r w:rsidR="000B7B90">
              <w:rPr>
                <w:webHidden/>
              </w:rPr>
              <w:instrText xml:space="preserve"> PAGEREF _Toc202457001 \h </w:instrText>
            </w:r>
            <w:r w:rsidR="000B7B90">
              <w:rPr>
                <w:webHidden/>
              </w:rPr>
            </w:r>
            <w:r w:rsidR="000B7B90">
              <w:rPr>
                <w:webHidden/>
              </w:rPr>
              <w:fldChar w:fldCharType="separate"/>
            </w:r>
            <w:r w:rsidR="000B7B90">
              <w:rPr>
                <w:webHidden/>
              </w:rPr>
              <w:t>27</w:t>
            </w:r>
            <w:r w:rsidR="000B7B90">
              <w:rPr>
                <w:webHidden/>
              </w:rPr>
              <w:fldChar w:fldCharType="end"/>
            </w:r>
          </w:hyperlink>
        </w:p>
        <w:p w14:paraId="351A2A59" w14:textId="175DD162" w:rsidR="000B7B90" w:rsidRDefault="00000000">
          <w:pPr>
            <w:pStyle w:val="TDC1"/>
            <w:rPr>
              <w:rFonts w:asciiTheme="minorHAnsi" w:eastAsiaTheme="minorEastAsia" w:hAnsiTheme="minorHAnsi" w:cstheme="minorBidi"/>
              <w:b w:val="0"/>
              <w:bCs w:val="0"/>
              <w:color w:val="auto"/>
              <w:kern w:val="2"/>
              <w:sz w:val="22"/>
              <w:lang w:val="es-HN" w:eastAsia="es-HN"/>
              <w14:ligatures w14:val="standardContextual"/>
            </w:rPr>
          </w:pPr>
          <w:hyperlink w:anchor="_Toc202457002" w:history="1">
            <w:r w:rsidR="000B7B90" w:rsidRPr="003C7F62">
              <w:rPr>
                <w:rStyle w:val="Hipervnculo"/>
                <w:rFonts w:eastAsia="Calibri"/>
                <w:color w:val="023160" w:themeColor="hyperlink" w:themeShade="80"/>
              </w:rPr>
              <w:t>9. Cronograma de implementación y estimación de costos</w:t>
            </w:r>
            <w:r w:rsidR="000B7B90">
              <w:rPr>
                <w:webHidden/>
              </w:rPr>
              <w:tab/>
            </w:r>
            <w:r w:rsidR="000B7B90">
              <w:rPr>
                <w:webHidden/>
              </w:rPr>
              <w:fldChar w:fldCharType="begin"/>
            </w:r>
            <w:r w:rsidR="000B7B90">
              <w:rPr>
                <w:webHidden/>
              </w:rPr>
              <w:instrText xml:space="preserve"> PAGEREF _Toc202457002 \h </w:instrText>
            </w:r>
            <w:r w:rsidR="000B7B90">
              <w:rPr>
                <w:webHidden/>
              </w:rPr>
            </w:r>
            <w:r w:rsidR="000B7B90">
              <w:rPr>
                <w:webHidden/>
              </w:rPr>
              <w:fldChar w:fldCharType="separate"/>
            </w:r>
            <w:r w:rsidR="000B7B90">
              <w:rPr>
                <w:webHidden/>
              </w:rPr>
              <w:t>28</w:t>
            </w:r>
            <w:r w:rsidR="000B7B90">
              <w:rPr>
                <w:webHidden/>
              </w:rPr>
              <w:fldChar w:fldCharType="end"/>
            </w:r>
          </w:hyperlink>
        </w:p>
        <w:p w14:paraId="47D75B8B" w14:textId="7A6971C2" w:rsidR="000B7B90" w:rsidRDefault="00000000">
          <w:pPr>
            <w:pStyle w:val="TDC1"/>
            <w:rPr>
              <w:rFonts w:asciiTheme="minorHAnsi" w:eastAsiaTheme="minorEastAsia" w:hAnsiTheme="minorHAnsi" w:cstheme="minorBidi"/>
              <w:b w:val="0"/>
              <w:bCs w:val="0"/>
              <w:color w:val="auto"/>
              <w:kern w:val="2"/>
              <w:sz w:val="22"/>
              <w:lang w:val="es-HN" w:eastAsia="es-HN"/>
              <w14:ligatures w14:val="standardContextual"/>
            </w:rPr>
          </w:pPr>
          <w:hyperlink w:anchor="_Toc202457003" w:history="1">
            <w:r w:rsidR="000B7B90" w:rsidRPr="003C7F62">
              <w:rPr>
                <w:rStyle w:val="Hipervnculo"/>
                <w:rFonts w:eastAsia="Calibri"/>
                <w:color w:val="023160" w:themeColor="hyperlink" w:themeShade="80"/>
              </w:rPr>
              <w:t>10. Anexos al PGAS</w:t>
            </w:r>
            <w:r w:rsidR="000B7B90">
              <w:rPr>
                <w:webHidden/>
              </w:rPr>
              <w:tab/>
            </w:r>
            <w:r w:rsidR="000B7B90">
              <w:rPr>
                <w:webHidden/>
              </w:rPr>
              <w:fldChar w:fldCharType="begin"/>
            </w:r>
            <w:r w:rsidR="000B7B90">
              <w:rPr>
                <w:webHidden/>
              </w:rPr>
              <w:instrText xml:space="preserve"> PAGEREF _Toc202457003 \h </w:instrText>
            </w:r>
            <w:r w:rsidR="000B7B90">
              <w:rPr>
                <w:webHidden/>
              </w:rPr>
            </w:r>
            <w:r w:rsidR="000B7B90">
              <w:rPr>
                <w:webHidden/>
              </w:rPr>
              <w:fldChar w:fldCharType="separate"/>
            </w:r>
            <w:r w:rsidR="000B7B90">
              <w:rPr>
                <w:webHidden/>
              </w:rPr>
              <w:t>28</w:t>
            </w:r>
            <w:r w:rsidR="000B7B90">
              <w:rPr>
                <w:webHidden/>
              </w:rPr>
              <w:fldChar w:fldCharType="end"/>
            </w:r>
          </w:hyperlink>
        </w:p>
        <w:p w14:paraId="7574BE66" w14:textId="2BDFBAB7" w:rsidR="006A3DBC" w:rsidRPr="00FA4B2D" w:rsidRDefault="006A3DBC" w:rsidP="006A3DBC">
          <w:pPr>
            <w:spacing w:after="0" w:line="240" w:lineRule="auto"/>
            <w:rPr>
              <w:rFonts w:cs="Arial"/>
              <w:b/>
              <w:bCs/>
              <w:sz w:val="20"/>
              <w:szCs w:val="20"/>
            </w:rPr>
          </w:pPr>
          <w:r w:rsidRPr="00FA4B2D">
            <w:rPr>
              <w:rFonts w:cs="Arial"/>
              <w:b/>
              <w:bCs/>
              <w:sz w:val="20"/>
              <w:szCs w:val="20"/>
              <w:lang w:val="es-ES"/>
            </w:rPr>
            <w:fldChar w:fldCharType="end"/>
          </w:r>
        </w:p>
      </w:sdtContent>
    </w:sdt>
    <w:p w14:paraId="1AB94ECB" w14:textId="77777777" w:rsidR="006A3DBC" w:rsidRPr="00FA4B2D" w:rsidRDefault="006A3DBC" w:rsidP="006A3DBC">
      <w:pPr>
        <w:spacing w:after="0" w:line="240" w:lineRule="auto"/>
        <w:rPr>
          <w:rFonts w:cs="Arial"/>
        </w:rPr>
      </w:pPr>
    </w:p>
    <w:p w14:paraId="2F291A48" w14:textId="77777777" w:rsidR="006A3DBC" w:rsidRPr="00CF0F96" w:rsidRDefault="006A3DBC" w:rsidP="006A3DBC">
      <w:pPr>
        <w:spacing w:after="0" w:line="240" w:lineRule="auto"/>
        <w:rPr>
          <w:rFonts w:cs="Arial"/>
          <w:b/>
          <w:bCs/>
          <w:sz w:val="22"/>
        </w:rPr>
      </w:pPr>
    </w:p>
    <w:p w14:paraId="56E1F5ED" w14:textId="77777777" w:rsidR="006A3DBC" w:rsidRPr="00CF0F96" w:rsidRDefault="006A3DBC" w:rsidP="006A3DBC">
      <w:pPr>
        <w:spacing w:after="0" w:line="240" w:lineRule="auto"/>
        <w:jc w:val="center"/>
        <w:rPr>
          <w:rFonts w:cs="Arial"/>
          <w:b/>
          <w:bCs/>
          <w:sz w:val="22"/>
          <w:u w:val="single"/>
        </w:rPr>
      </w:pPr>
      <w:r w:rsidRPr="00CF0F96">
        <w:rPr>
          <w:rFonts w:cs="Arial"/>
          <w:b/>
          <w:bCs/>
          <w:sz w:val="22"/>
          <w:u w:val="single"/>
        </w:rPr>
        <w:t>TABLAS</w:t>
      </w:r>
    </w:p>
    <w:p w14:paraId="35A460A9" w14:textId="77777777" w:rsidR="006A3DBC" w:rsidRPr="00CF0F96" w:rsidRDefault="006A3DBC" w:rsidP="006A3DBC">
      <w:pPr>
        <w:spacing w:after="0" w:line="240" w:lineRule="auto"/>
        <w:jc w:val="center"/>
        <w:rPr>
          <w:rFonts w:cs="Arial"/>
          <w:b/>
          <w:bCs/>
          <w:sz w:val="22"/>
        </w:rPr>
      </w:pPr>
    </w:p>
    <w:p w14:paraId="565A59F0" w14:textId="42938C36" w:rsidR="00CF0F96" w:rsidRPr="00CF0F96" w:rsidRDefault="00CF0F96">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r w:rsidRPr="00CF0F96">
        <w:rPr>
          <w:rFonts w:cs="Arial"/>
          <w:i/>
          <w:iCs/>
          <w:sz w:val="22"/>
        </w:rPr>
        <w:fldChar w:fldCharType="begin"/>
      </w:r>
      <w:r w:rsidRPr="00CF0F96">
        <w:rPr>
          <w:rFonts w:cs="Arial"/>
          <w:i/>
          <w:iCs/>
          <w:sz w:val="22"/>
        </w:rPr>
        <w:instrText xml:space="preserve"> TOC \h \z \c "Tabla" </w:instrText>
      </w:r>
      <w:r w:rsidRPr="00CF0F96">
        <w:rPr>
          <w:rFonts w:cs="Arial"/>
          <w:i/>
          <w:iCs/>
          <w:sz w:val="22"/>
        </w:rPr>
        <w:fldChar w:fldCharType="separate"/>
      </w:r>
      <w:hyperlink w:anchor="_Toc202455427" w:history="1">
        <w:r w:rsidRPr="00CF0F96">
          <w:rPr>
            <w:rStyle w:val="Hipervnculo"/>
            <w:noProof/>
            <w:sz w:val="22"/>
          </w:rPr>
          <w:t>Tabla 1 Resumen del Marco Legal Nacional Aplicables al Marco de Gestión Ambiental y Social (MGAS)</w:t>
        </w:r>
        <w:r w:rsidRPr="00CF0F96">
          <w:rPr>
            <w:noProof/>
            <w:webHidden/>
            <w:sz w:val="22"/>
          </w:rPr>
          <w:tab/>
        </w:r>
        <w:r w:rsidRPr="00CF0F96">
          <w:rPr>
            <w:noProof/>
            <w:webHidden/>
            <w:sz w:val="22"/>
          </w:rPr>
          <w:fldChar w:fldCharType="begin"/>
        </w:r>
        <w:r w:rsidRPr="00CF0F96">
          <w:rPr>
            <w:noProof/>
            <w:webHidden/>
            <w:sz w:val="22"/>
          </w:rPr>
          <w:instrText xml:space="preserve"> PAGEREF _Toc202455427 \h </w:instrText>
        </w:r>
        <w:r w:rsidRPr="00CF0F96">
          <w:rPr>
            <w:noProof/>
            <w:webHidden/>
            <w:sz w:val="22"/>
          </w:rPr>
        </w:r>
        <w:r w:rsidRPr="00CF0F96">
          <w:rPr>
            <w:noProof/>
            <w:webHidden/>
            <w:sz w:val="22"/>
          </w:rPr>
          <w:fldChar w:fldCharType="separate"/>
        </w:r>
        <w:r w:rsidRPr="00CF0F96">
          <w:rPr>
            <w:noProof/>
            <w:webHidden/>
            <w:sz w:val="22"/>
          </w:rPr>
          <w:t>23</w:t>
        </w:r>
        <w:r w:rsidRPr="00CF0F96">
          <w:rPr>
            <w:noProof/>
            <w:webHidden/>
            <w:sz w:val="22"/>
          </w:rPr>
          <w:fldChar w:fldCharType="end"/>
        </w:r>
      </w:hyperlink>
    </w:p>
    <w:p w14:paraId="63392CC5" w14:textId="45DC62D1"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28" w:history="1">
        <w:r w:rsidR="00CF0F96" w:rsidRPr="00CF0F96">
          <w:rPr>
            <w:rStyle w:val="Hipervnculo"/>
            <w:noProof/>
            <w:sz w:val="22"/>
          </w:rPr>
          <w:t>Tabla 2 Convenios Internacionales ratificados por el Gobierno de Honduras aplicables al MGAS</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_Toc202455428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30</w:t>
        </w:r>
        <w:r w:rsidR="00CF0F96" w:rsidRPr="00CF0F96">
          <w:rPr>
            <w:noProof/>
            <w:webHidden/>
            <w:sz w:val="22"/>
          </w:rPr>
          <w:fldChar w:fldCharType="end"/>
        </w:r>
      </w:hyperlink>
    </w:p>
    <w:p w14:paraId="23776094" w14:textId="62291F19"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29" w:history="1">
        <w:r w:rsidR="00CF0F96" w:rsidRPr="00CF0F96">
          <w:rPr>
            <w:rStyle w:val="Hipervnculo"/>
            <w:noProof/>
            <w:sz w:val="22"/>
          </w:rPr>
          <w:t>Tabla 3 Análisis de correspondencia entre la normativa nacional y los EAS de BM</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_Toc202455429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33</w:t>
        </w:r>
        <w:r w:rsidR="00CF0F96" w:rsidRPr="00CF0F96">
          <w:rPr>
            <w:noProof/>
            <w:webHidden/>
            <w:sz w:val="22"/>
          </w:rPr>
          <w:fldChar w:fldCharType="end"/>
        </w:r>
      </w:hyperlink>
    </w:p>
    <w:p w14:paraId="35C0CD88" w14:textId="10E4A4DA"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30" w:history="1">
        <w:r w:rsidR="00CF0F96" w:rsidRPr="00CF0F96">
          <w:rPr>
            <w:rStyle w:val="Hipervnculo"/>
            <w:noProof/>
            <w:sz w:val="22"/>
          </w:rPr>
          <w:t>Tabla 4: Macro categorías de Bosque</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_Toc202455430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58</w:t>
        </w:r>
        <w:r w:rsidR="00CF0F96" w:rsidRPr="00CF0F96">
          <w:rPr>
            <w:noProof/>
            <w:webHidden/>
            <w:sz w:val="22"/>
          </w:rPr>
          <w:fldChar w:fldCharType="end"/>
        </w:r>
      </w:hyperlink>
    </w:p>
    <w:p w14:paraId="4099A3FC" w14:textId="1EF71B3C"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31" w:history="1">
        <w:r w:rsidR="00CF0F96" w:rsidRPr="00CF0F96">
          <w:rPr>
            <w:rStyle w:val="Hipervnculo"/>
            <w:noProof/>
            <w:sz w:val="22"/>
          </w:rPr>
          <w:t>Tabla 5: Áreas clave para la biodiversidad propuestas para Honduras</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_Toc202455431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60</w:t>
        </w:r>
        <w:r w:rsidR="00CF0F96" w:rsidRPr="00CF0F96">
          <w:rPr>
            <w:noProof/>
            <w:webHidden/>
            <w:sz w:val="22"/>
          </w:rPr>
          <w:fldChar w:fldCharType="end"/>
        </w:r>
      </w:hyperlink>
    </w:p>
    <w:p w14:paraId="6134E29F" w14:textId="1793CB5D"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32" w:history="1">
        <w:r w:rsidR="00CF0F96" w:rsidRPr="00CF0F96">
          <w:rPr>
            <w:rStyle w:val="Hipervnculo"/>
            <w:noProof/>
            <w:sz w:val="22"/>
          </w:rPr>
          <w:t>Tabla 6: Sitios propuestos por la Alianza Cero Extinción (AZE)</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_Toc202455432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61</w:t>
        </w:r>
        <w:r w:rsidR="00CF0F96" w:rsidRPr="00CF0F96">
          <w:rPr>
            <w:noProof/>
            <w:webHidden/>
            <w:sz w:val="22"/>
          </w:rPr>
          <w:fldChar w:fldCharType="end"/>
        </w:r>
      </w:hyperlink>
    </w:p>
    <w:p w14:paraId="44E6D311" w14:textId="73E9BD05"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33" w:history="1">
        <w:r w:rsidR="00CF0F96" w:rsidRPr="00CF0F96">
          <w:rPr>
            <w:rStyle w:val="Hipervnculo"/>
            <w:noProof/>
            <w:sz w:val="22"/>
          </w:rPr>
          <w:t>Tabla 7: Áreas de Importancia para la Conservación de Aves de Honduras (Propuestas)</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_Toc202455433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63</w:t>
        </w:r>
        <w:r w:rsidR="00CF0F96" w:rsidRPr="00CF0F96">
          <w:rPr>
            <w:noProof/>
            <w:webHidden/>
            <w:sz w:val="22"/>
          </w:rPr>
          <w:fldChar w:fldCharType="end"/>
        </w:r>
      </w:hyperlink>
    </w:p>
    <w:p w14:paraId="663BFCD4" w14:textId="65370192"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34" w:history="1">
        <w:r w:rsidR="00CF0F96" w:rsidRPr="00CF0F96">
          <w:rPr>
            <w:rStyle w:val="Hipervnculo"/>
            <w:noProof/>
            <w:sz w:val="22"/>
          </w:rPr>
          <w:t>Tabla 8: Porcentaje de Cobertura de las Áreas protegidas por departamentos donde interviene COMRURAL III</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_Toc202455434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68</w:t>
        </w:r>
        <w:r w:rsidR="00CF0F96" w:rsidRPr="00CF0F96">
          <w:rPr>
            <w:noProof/>
            <w:webHidden/>
            <w:sz w:val="22"/>
          </w:rPr>
          <w:fldChar w:fldCharType="end"/>
        </w:r>
      </w:hyperlink>
    </w:p>
    <w:p w14:paraId="265F4010" w14:textId="27354D8C"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35" w:history="1">
        <w:r w:rsidR="00CF0F96" w:rsidRPr="00CF0F96">
          <w:rPr>
            <w:rStyle w:val="Hipervnculo"/>
            <w:noProof/>
            <w:sz w:val="22"/>
          </w:rPr>
          <w:t>Tabla 9: Áreas protegidas por departamentos donde intervienen COMRURAL III</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_Toc202455435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68</w:t>
        </w:r>
        <w:r w:rsidR="00CF0F96" w:rsidRPr="00CF0F96">
          <w:rPr>
            <w:noProof/>
            <w:webHidden/>
            <w:sz w:val="22"/>
          </w:rPr>
          <w:fldChar w:fldCharType="end"/>
        </w:r>
      </w:hyperlink>
    </w:p>
    <w:p w14:paraId="2F2960A2" w14:textId="10669E40"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36" w:history="1">
        <w:r w:rsidR="00CF0F96" w:rsidRPr="00CF0F96">
          <w:rPr>
            <w:rStyle w:val="Hipervnculo"/>
            <w:noProof/>
            <w:sz w:val="22"/>
          </w:rPr>
          <w:t>Tabla 10: Sitios RAMSAR por departamentos donde interviene COMRURAL III</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_Toc202455436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72</w:t>
        </w:r>
        <w:r w:rsidR="00CF0F96" w:rsidRPr="00CF0F96">
          <w:rPr>
            <w:noProof/>
            <w:webHidden/>
            <w:sz w:val="22"/>
          </w:rPr>
          <w:fldChar w:fldCharType="end"/>
        </w:r>
      </w:hyperlink>
    </w:p>
    <w:p w14:paraId="616CF0E1" w14:textId="0888B015"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37" w:history="1">
        <w:r w:rsidR="00CF0F96" w:rsidRPr="00CF0F96">
          <w:rPr>
            <w:rStyle w:val="Hipervnculo"/>
            <w:noProof/>
            <w:sz w:val="22"/>
          </w:rPr>
          <w:t>Tabla 11: Población Total por Área Geográfica y Sexo</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_Toc202455437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84</w:t>
        </w:r>
        <w:r w:rsidR="00CF0F96" w:rsidRPr="00CF0F96">
          <w:rPr>
            <w:noProof/>
            <w:webHidden/>
            <w:sz w:val="22"/>
          </w:rPr>
          <w:fldChar w:fldCharType="end"/>
        </w:r>
      </w:hyperlink>
    </w:p>
    <w:p w14:paraId="2B61D343" w14:textId="7DFA2109"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38" w:history="1">
        <w:r w:rsidR="00CF0F96" w:rsidRPr="00CF0F96">
          <w:rPr>
            <w:rStyle w:val="Hipervnculo"/>
            <w:noProof/>
            <w:sz w:val="22"/>
          </w:rPr>
          <w:t>Tabla 12: Resumen de Características Sociales y Productivas de los 16 Departamentos Según Fase de COMRURAL más Gracias a Dios</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_Toc202455438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88</w:t>
        </w:r>
        <w:r w:rsidR="00CF0F96" w:rsidRPr="00CF0F96">
          <w:rPr>
            <w:noProof/>
            <w:webHidden/>
            <w:sz w:val="22"/>
          </w:rPr>
          <w:fldChar w:fldCharType="end"/>
        </w:r>
      </w:hyperlink>
    </w:p>
    <w:p w14:paraId="62F27DEA" w14:textId="16574B5E"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39" w:history="1">
        <w:r w:rsidR="00CF0F96" w:rsidRPr="00CF0F96">
          <w:rPr>
            <w:rStyle w:val="Hipervnculo"/>
            <w:noProof/>
            <w:sz w:val="22"/>
          </w:rPr>
          <w:t>Tabla 13: Proyección Población de Honduras Según Sexo y Sector por Departamento. Año 2018</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_Toc202455439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91</w:t>
        </w:r>
        <w:r w:rsidR="00CF0F96" w:rsidRPr="00CF0F96">
          <w:rPr>
            <w:noProof/>
            <w:webHidden/>
            <w:sz w:val="22"/>
          </w:rPr>
          <w:fldChar w:fldCharType="end"/>
        </w:r>
      </w:hyperlink>
    </w:p>
    <w:p w14:paraId="0BD56C47" w14:textId="7A04ECAB"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40" w:history="1">
        <w:r w:rsidR="00CF0F96" w:rsidRPr="00CF0F96">
          <w:rPr>
            <w:rStyle w:val="Hipervnculo"/>
            <w:noProof/>
            <w:sz w:val="22"/>
          </w:rPr>
          <w:t>Tabla 14: Índice de Desarrollo Humano por Departamento. Honduras 2022</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_Toc202455440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98</w:t>
        </w:r>
        <w:r w:rsidR="00CF0F96" w:rsidRPr="00CF0F96">
          <w:rPr>
            <w:noProof/>
            <w:webHidden/>
            <w:sz w:val="22"/>
          </w:rPr>
          <w:fldChar w:fldCharType="end"/>
        </w:r>
      </w:hyperlink>
    </w:p>
    <w:p w14:paraId="15A79359" w14:textId="446E76BA"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41" w:history="1">
        <w:r w:rsidR="00CF0F96" w:rsidRPr="00CF0F96">
          <w:rPr>
            <w:rStyle w:val="Hipervnculo"/>
            <w:noProof/>
            <w:sz w:val="22"/>
          </w:rPr>
          <w:t>Tabla 15: Honduras. Emigrantes totales</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_Toc202455441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101</w:t>
        </w:r>
        <w:r w:rsidR="00CF0F96" w:rsidRPr="00CF0F96">
          <w:rPr>
            <w:noProof/>
            <w:webHidden/>
            <w:sz w:val="22"/>
          </w:rPr>
          <w:fldChar w:fldCharType="end"/>
        </w:r>
      </w:hyperlink>
    </w:p>
    <w:p w14:paraId="58CC6F9C" w14:textId="1E1E7358"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42" w:history="1">
        <w:r w:rsidR="00CF0F96" w:rsidRPr="00CF0F96">
          <w:rPr>
            <w:rStyle w:val="Hipervnculo"/>
            <w:noProof/>
            <w:sz w:val="22"/>
          </w:rPr>
          <w:t>Tabla 16: Muertes por Homicidio Según Zona de Ocurrencia de los Hechos</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_Toc202455442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103</w:t>
        </w:r>
        <w:r w:rsidR="00CF0F96" w:rsidRPr="00CF0F96">
          <w:rPr>
            <w:noProof/>
            <w:webHidden/>
            <w:sz w:val="22"/>
          </w:rPr>
          <w:fldChar w:fldCharType="end"/>
        </w:r>
      </w:hyperlink>
    </w:p>
    <w:p w14:paraId="35E288F1" w14:textId="394F7D81"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43" w:history="1">
        <w:r w:rsidR="00CF0F96" w:rsidRPr="00CF0F96">
          <w:rPr>
            <w:rStyle w:val="Hipervnculo"/>
            <w:noProof/>
            <w:sz w:val="22"/>
          </w:rPr>
          <w:t>Tabla 17: Uso de Suelo en Honduras</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_Toc202455443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107</w:t>
        </w:r>
        <w:r w:rsidR="00CF0F96" w:rsidRPr="00CF0F96">
          <w:rPr>
            <w:noProof/>
            <w:webHidden/>
            <w:sz w:val="22"/>
          </w:rPr>
          <w:fldChar w:fldCharType="end"/>
        </w:r>
      </w:hyperlink>
    </w:p>
    <w:p w14:paraId="4EAC5426" w14:textId="25ADD7B3"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44" w:history="1">
        <w:r w:rsidR="00CF0F96" w:rsidRPr="00CF0F96">
          <w:rPr>
            <w:rStyle w:val="Hipervnculo"/>
            <w:noProof/>
            <w:sz w:val="22"/>
          </w:rPr>
          <w:t>Tabla 18: Red Vial por Departamento Año 2017</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_Toc202455444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108</w:t>
        </w:r>
        <w:r w:rsidR="00CF0F96" w:rsidRPr="00CF0F96">
          <w:rPr>
            <w:noProof/>
            <w:webHidden/>
            <w:sz w:val="22"/>
          </w:rPr>
          <w:fldChar w:fldCharType="end"/>
        </w:r>
      </w:hyperlink>
    </w:p>
    <w:p w14:paraId="44252466" w14:textId="07C57FA1"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45" w:history="1">
        <w:r w:rsidR="00CF0F96" w:rsidRPr="00CF0F96">
          <w:rPr>
            <w:rStyle w:val="Hipervnculo"/>
            <w:noProof/>
            <w:sz w:val="22"/>
          </w:rPr>
          <w:t>Tabla 19: Composición de la población de los tres Departamentos de intervención</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_Toc202455445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111</w:t>
        </w:r>
        <w:r w:rsidR="00CF0F96" w:rsidRPr="00CF0F96">
          <w:rPr>
            <w:noProof/>
            <w:webHidden/>
            <w:sz w:val="22"/>
          </w:rPr>
          <w:fldChar w:fldCharType="end"/>
        </w:r>
      </w:hyperlink>
    </w:p>
    <w:p w14:paraId="5FF23ACA" w14:textId="5775E009"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46" w:history="1">
        <w:r w:rsidR="00CF0F96" w:rsidRPr="00CF0F96">
          <w:rPr>
            <w:rStyle w:val="Hipervnculo"/>
            <w:noProof/>
            <w:sz w:val="22"/>
          </w:rPr>
          <w:t>Tabla 20: Distribución de hogares por área geográfica en los 3 Departamentos</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_Toc202455446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112</w:t>
        </w:r>
        <w:r w:rsidR="00CF0F96" w:rsidRPr="00CF0F96">
          <w:rPr>
            <w:noProof/>
            <w:webHidden/>
            <w:sz w:val="22"/>
          </w:rPr>
          <w:fldChar w:fldCharType="end"/>
        </w:r>
      </w:hyperlink>
    </w:p>
    <w:p w14:paraId="6AC63A23" w14:textId="5CEF5DE8"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47" w:history="1">
        <w:r w:rsidR="00CF0F96" w:rsidRPr="00CF0F96">
          <w:rPr>
            <w:rStyle w:val="Hipervnculo"/>
            <w:noProof/>
            <w:sz w:val="22"/>
          </w:rPr>
          <w:t>Tabla 21: Actividades productivas u ocupaciones principales. Departamento de Olancho 2019</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_Toc202455447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114</w:t>
        </w:r>
        <w:r w:rsidR="00CF0F96" w:rsidRPr="00CF0F96">
          <w:rPr>
            <w:noProof/>
            <w:webHidden/>
            <w:sz w:val="22"/>
          </w:rPr>
          <w:fldChar w:fldCharType="end"/>
        </w:r>
      </w:hyperlink>
    </w:p>
    <w:p w14:paraId="51B139FD" w14:textId="1CEE7E6A"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48" w:history="1">
        <w:r w:rsidR="00CF0F96" w:rsidRPr="00CF0F96">
          <w:rPr>
            <w:rStyle w:val="Hipervnculo"/>
            <w:noProof/>
            <w:sz w:val="22"/>
          </w:rPr>
          <w:t>Tabla 22: Actividades productivas u ocupaciones principales. Yoro 2019</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_Toc202455448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115</w:t>
        </w:r>
        <w:r w:rsidR="00CF0F96" w:rsidRPr="00CF0F96">
          <w:rPr>
            <w:noProof/>
            <w:webHidden/>
            <w:sz w:val="22"/>
          </w:rPr>
          <w:fldChar w:fldCharType="end"/>
        </w:r>
      </w:hyperlink>
    </w:p>
    <w:p w14:paraId="170A80B2" w14:textId="106898A4"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49" w:history="1">
        <w:r w:rsidR="00CF0F96" w:rsidRPr="00CF0F96">
          <w:rPr>
            <w:rStyle w:val="Hipervnculo"/>
            <w:noProof/>
            <w:sz w:val="22"/>
          </w:rPr>
          <w:t>Tabla 23: Actividades productivas u ocupaciones principales. Valle 2019</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_Toc202455449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117</w:t>
        </w:r>
        <w:r w:rsidR="00CF0F96" w:rsidRPr="00CF0F96">
          <w:rPr>
            <w:noProof/>
            <w:webHidden/>
            <w:sz w:val="22"/>
          </w:rPr>
          <w:fldChar w:fldCharType="end"/>
        </w:r>
      </w:hyperlink>
    </w:p>
    <w:p w14:paraId="08F7E1B8" w14:textId="3D968A91"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50" w:history="1">
        <w:r w:rsidR="00CF0F96" w:rsidRPr="00CF0F96">
          <w:rPr>
            <w:rStyle w:val="Hipervnculo"/>
            <w:noProof/>
            <w:sz w:val="22"/>
          </w:rPr>
          <w:t>Tabla 24: Actividades productivas u ocupaciones principales. Tres Departamentos agregados, 2019</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_Toc202455450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118</w:t>
        </w:r>
        <w:r w:rsidR="00CF0F96" w:rsidRPr="00CF0F96">
          <w:rPr>
            <w:noProof/>
            <w:webHidden/>
            <w:sz w:val="22"/>
          </w:rPr>
          <w:fldChar w:fldCharType="end"/>
        </w:r>
      </w:hyperlink>
    </w:p>
    <w:p w14:paraId="289AF409" w14:textId="68877581"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51" w:history="1">
        <w:r w:rsidR="00CF0F96" w:rsidRPr="00CF0F96">
          <w:rPr>
            <w:rStyle w:val="Hipervnculo"/>
            <w:noProof/>
            <w:sz w:val="22"/>
          </w:rPr>
          <w:t>Tabla 25: Nivel educativo más alto alcanzado</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_Toc202455451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119</w:t>
        </w:r>
        <w:r w:rsidR="00CF0F96" w:rsidRPr="00CF0F96">
          <w:rPr>
            <w:noProof/>
            <w:webHidden/>
            <w:sz w:val="22"/>
          </w:rPr>
          <w:fldChar w:fldCharType="end"/>
        </w:r>
      </w:hyperlink>
    </w:p>
    <w:p w14:paraId="5B90CCD8" w14:textId="4A586077"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52" w:history="1">
        <w:r w:rsidR="00CF0F96" w:rsidRPr="00CF0F96">
          <w:rPr>
            <w:rStyle w:val="Hipervnculo"/>
            <w:noProof/>
            <w:sz w:val="22"/>
          </w:rPr>
          <w:t>Tabla 26: Personas en condición de analfabetismo en los 3 departamentos</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_Toc202455452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120</w:t>
        </w:r>
        <w:r w:rsidR="00CF0F96" w:rsidRPr="00CF0F96">
          <w:rPr>
            <w:noProof/>
            <w:webHidden/>
            <w:sz w:val="22"/>
          </w:rPr>
          <w:fldChar w:fldCharType="end"/>
        </w:r>
      </w:hyperlink>
    </w:p>
    <w:p w14:paraId="5D0F508F" w14:textId="224D9F36"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53" w:history="1">
        <w:r w:rsidR="00CF0F96" w:rsidRPr="00CF0F96">
          <w:rPr>
            <w:rStyle w:val="Hipervnculo"/>
            <w:noProof/>
            <w:sz w:val="22"/>
          </w:rPr>
          <w:t>Tabla 27: Hogares rurales en condición de pobreza o no pobres</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_Toc202455453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120</w:t>
        </w:r>
        <w:r w:rsidR="00CF0F96" w:rsidRPr="00CF0F96">
          <w:rPr>
            <w:noProof/>
            <w:webHidden/>
            <w:sz w:val="22"/>
          </w:rPr>
          <w:fldChar w:fldCharType="end"/>
        </w:r>
      </w:hyperlink>
    </w:p>
    <w:p w14:paraId="2F9272D7" w14:textId="65CDC0B2"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54" w:history="1">
        <w:r w:rsidR="00CF0F96" w:rsidRPr="00CF0F96">
          <w:rPr>
            <w:rStyle w:val="Hipervnculo"/>
            <w:noProof/>
            <w:sz w:val="22"/>
          </w:rPr>
          <w:t>Tabla 28: Posesión de la escritura de vivienda. Tres departamentos</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_Toc202455454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121</w:t>
        </w:r>
        <w:r w:rsidR="00CF0F96" w:rsidRPr="00CF0F96">
          <w:rPr>
            <w:noProof/>
            <w:webHidden/>
            <w:sz w:val="22"/>
          </w:rPr>
          <w:fldChar w:fldCharType="end"/>
        </w:r>
      </w:hyperlink>
    </w:p>
    <w:p w14:paraId="204C635F" w14:textId="45790EF8"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55" w:history="1">
        <w:r w:rsidR="00CF0F96" w:rsidRPr="00CF0F96">
          <w:rPr>
            <w:rStyle w:val="Hipervnculo"/>
            <w:noProof/>
            <w:sz w:val="22"/>
          </w:rPr>
          <w:t>Tabla 29: Material predominante en la construcción de las paredes</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_Toc202455455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122</w:t>
        </w:r>
        <w:r w:rsidR="00CF0F96" w:rsidRPr="00CF0F96">
          <w:rPr>
            <w:noProof/>
            <w:webHidden/>
            <w:sz w:val="22"/>
          </w:rPr>
          <w:fldChar w:fldCharType="end"/>
        </w:r>
      </w:hyperlink>
    </w:p>
    <w:p w14:paraId="2D8CEF02" w14:textId="2DB87877"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56" w:history="1">
        <w:r w:rsidR="00CF0F96" w:rsidRPr="00CF0F96">
          <w:rPr>
            <w:rStyle w:val="Hipervnculo"/>
            <w:noProof/>
            <w:sz w:val="22"/>
          </w:rPr>
          <w:t>Tabla 30: Materiales predominantes del piso de las viviendas en los 3 departamentos</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_Toc202455456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122</w:t>
        </w:r>
        <w:r w:rsidR="00CF0F96" w:rsidRPr="00CF0F96">
          <w:rPr>
            <w:noProof/>
            <w:webHidden/>
            <w:sz w:val="22"/>
          </w:rPr>
          <w:fldChar w:fldCharType="end"/>
        </w:r>
      </w:hyperlink>
    </w:p>
    <w:p w14:paraId="12B9DBBF" w14:textId="5CD012A2"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57" w:history="1">
        <w:r w:rsidR="00CF0F96" w:rsidRPr="00CF0F96">
          <w:rPr>
            <w:rStyle w:val="Hipervnculo"/>
            <w:noProof/>
            <w:sz w:val="22"/>
          </w:rPr>
          <w:t>Tabla 31: Tipo de servicio sanitario o letrina por área geográfica</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_Toc202455457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123</w:t>
        </w:r>
        <w:r w:rsidR="00CF0F96" w:rsidRPr="00CF0F96">
          <w:rPr>
            <w:noProof/>
            <w:webHidden/>
            <w:sz w:val="22"/>
          </w:rPr>
          <w:fldChar w:fldCharType="end"/>
        </w:r>
      </w:hyperlink>
    </w:p>
    <w:p w14:paraId="7F2FF4D1" w14:textId="04436B04"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58" w:history="1">
        <w:r w:rsidR="00CF0F96" w:rsidRPr="00CF0F96">
          <w:rPr>
            <w:rStyle w:val="Hipervnculo"/>
            <w:noProof/>
            <w:sz w:val="22"/>
          </w:rPr>
          <w:t>Tabla 32: Fuentes de abastecimiento de agua para los hogares/viviendas</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_Toc202455458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123</w:t>
        </w:r>
        <w:r w:rsidR="00CF0F96" w:rsidRPr="00CF0F96">
          <w:rPr>
            <w:noProof/>
            <w:webHidden/>
            <w:sz w:val="22"/>
          </w:rPr>
          <w:fldChar w:fldCharType="end"/>
        </w:r>
      </w:hyperlink>
    </w:p>
    <w:p w14:paraId="6DCFEC3C" w14:textId="0C11F07A"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59" w:history="1">
        <w:r w:rsidR="00CF0F96" w:rsidRPr="00CF0F96">
          <w:rPr>
            <w:rStyle w:val="Hipervnculo"/>
            <w:noProof/>
            <w:sz w:val="22"/>
          </w:rPr>
          <w:t>Tabla 33: Métodos de eliminación de desechos (basura) en las viviendas</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_Toc202455459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124</w:t>
        </w:r>
        <w:r w:rsidR="00CF0F96" w:rsidRPr="00CF0F96">
          <w:rPr>
            <w:noProof/>
            <w:webHidden/>
            <w:sz w:val="22"/>
          </w:rPr>
          <w:fldChar w:fldCharType="end"/>
        </w:r>
      </w:hyperlink>
    </w:p>
    <w:p w14:paraId="5CA6B2CE" w14:textId="01E725AC"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60" w:history="1">
        <w:r w:rsidR="00CF0F96" w:rsidRPr="00CF0F96">
          <w:rPr>
            <w:rStyle w:val="Hipervnculo"/>
            <w:noProof/>
            <w:sz w:val="22"/>
          </w:rPr>
          <w:t>Tabla 34: Fenómenos naturales que han afectado o causado daños en viviendas, 2019</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_Toc202455460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124</w:t>
        </w:r>
        <w:r w:rsidR="00CF0F96" w:rsidRPr="00CF0F96">
          <w:rPr>
            <w:noProof/>
            <w:webHidden/>
            <w:sz w:val="22"/>
          </w:rPr>
          <w:fldChar w:fldCharType="end"/>
        </w:r>
      </w:hyperlink>
    </w:p>
    <w:p w14:paraId="0226702B" w14:textId="3836681A"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61" w:history="1">
        <w:r w:rsidR="00CF0F96" w:rsidRPr="00CF0F96">
          <w:rPr>
            <w:rStyle w:val="Hipervnculo"/>
            <w:noProof/>
            <w:sz w:val="22"/>
          </w:rPr>
          <w:t>Tabla 35: Uso de combustibles para cocinar</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_Toc202455461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125</w:t>
        </w:r>
        <w:r w:rsidR="00CF0F96" w:rsidRPr="00CF0F96">
          <w:rPr>
            <w:noProof/>
            <w:webHidden/>
            <w:sz w:val="22"/>
          </w:rPr>
          <w:fldChar w:fldCharType="end"/>
        </w:r>
      </w:hyperlink>
    </w:p>
    <w:p w14:paraId="17A9C13E" w14:textId="3D0509A7"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62" w:history="1">
        <w:r w:rsidR="00CF0F96" w:rsidRPr="00CF0F96">
          <w:rPr>
            <w:rStyle w:val="Hipervnculo"/>
            <w:noProof/>
            <w:sz w:val="22"/>
          </w:rPr>
          <w:t>Tabla 36: Personas con acceso a servicios de internet en los últimos tres meses</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_Toc202455462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126</w:t>
        </w:r>
        <w:r w:rsidR="00CF0F96" w:rsidRPr="00CF0F96">
          <w:rPr>
            <w:noProof/>
            <w:webHidden/>
            <w:sz w:val="22"/>
          </w:rPr>
          <w:fldChar w:fldCharType="end"/>
        </w:r>
      </w:hyperlink>
    </w:p>
    <w:p w14:paraId="66673407" w14:textId="27AA4A3E"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63" w:history="1">
        <w:r w:rsidR="00CF0F96" w:rsidRPr="00CF0F96">
          <w:rPr>
            <w:rStyle w:val="Hipervnculo"/>
            <w:noProof/>
            <w:sz w:val="22"/>
          </w:rPr>
          <w:t>Tabla 37: Tipo de ocupación de las personas por sexo. Tres departamentos</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_Toc202455463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127</w:t>
        </w:r>
        <w:r w:rsidR="00CF0F96" w:rsidRPr="00CF0F96">
          <w:rPr>
            <w:noProof/>
            <w:webHidden/>
            <w:sz w:val="22"/>
          </w:rPr>
          <w:fldChar w:fldCharType="end"/>
        </w:r>
      </w:hyperlink>
    </w:p>
    <w:p w14:paraId="2043CC7B" w14:textId="3412A952"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64" w:history="1">
        <w:r w:rsidR="00CF0F96" w:rsidRPr="00CF0F96">
          <w:rPr>
            <w:rStyle w:val="Hipervnculo"/>
            <w:noProof/>
            <w:sz w:val="22"/>
          </w:rPr>
          <w:t>Tabla 38: Situación del subempleo visible e invisible</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_Toc202455464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127</w:t>
        </w:r>
        <w:r w:rsidR="00CF0F96" w:rsidRPr="00CF0F96">
          <w:rPr>
            <w:noProof/>
            <w:webHidden/>
            <w:sz w:val="22"/>
          </w:rPr>
          <w:fldChar w:fldCharType="end"/>
        </w:r>
      </w:hyperlink>
    </w:p>
    <w:p w14:paraId="64085FA7" w14:textId="2DAB316E"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65" w:history="1">
        <w:r w:rsidR="00CF0F96" w:rsidRPr="00CF0F96">
          <w:rPr>
            <w:rStyle w:val="Hipervnculo"/>
            <w:noProof/>
            <w:sz w:val="22"/>
          </w:rPr>
          <w:t>Tabla 39: Situación del empleo</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_Toc202455465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128</w:t>
        </w:r>
        <w:r w:rsidR="00CF0F96" w:rsidRPr="00CF0F96">
          <w:rPr>
            <w:noProof/>
            <w:webHidden/>
            <w:sz w:val="22"/>
          </w:rPr>
          <w:fldChar w:fldCharType="end"/>
        </w:r>
      </w:hyperlink>
    </w:p>
    <w:p w14:paraId="304A62C2" w14:textId="5344AD42"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66" w:history="1">
        <w:r w:rsidR="00CF0F96" w:rsidRPr="00CF0F96">
          <w:rPr>
            <w:rStyle w:val="Hipervnculo"/>
            <w:noProof/>
            <w:sz w:val="22"/>
          </w:rPr>
          <w:t>Tabla 40: Situación del trabajo infantil. Tres departamentos</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_Toc202455466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128</w:t>
        </w:r>
        <w:r w:rsidR="00CF0F96" w:rsidRPr="00CF0F96">
          <w:rPr>
            <w:noProof/>
            <w:webHidden/>
            <w:sz w:val="22"/>
          </w:rPr>
          <w:fldChar w:fldCharType="end"/>
        </w:r>
      </w:hyperlink>
    </w:p>
    <w:p w14:paraId="30BB8531" w14:textId="5B88C51D"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67" w:history="1">
        <w:r w:rsidR="00CF0F96" w:rsidRPr="00CF0F96">
          <w:rPr>
            <w:rStyle w:val="Hipervnculo"/>
            <w:noProof/>
            <w:sz w:val="22"/>
          </w:rPr>
          <w:t>Tabla 41: Registro de porcentaje de niñez con supervisión inadecuada por departamentos</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_Toc202455467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129</w:t>
        </w:r>
        <w:r w:rsidR="00CF0F96" w:rsidRPr="00CF0F96">
          <w:rPr>
            <w:noProof/>
            <w:webHidden/>
            <w:sz w:val="22"/>
          </w:rPr>
          <w:fldChar w:fldCharType="end"/>
        </w:r>
      </w:hyperlink>
    </w:p>
    <w:p w14:paraId="24F1850A" w14:textId="4E0A0FB2"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68" w:history="1">
        <w:r w:rsidR="00CF0F96" w:rsidRPr="00CF0F96">
          <w:rPr>
            <w:rStyle w:val="Hipervnculo"/>
            <w:noProof/>
            <w:sz w:val="22"/>
          </w:rPr>
          <w:t>Tabla 42: Datos departamentales sobre alimentación del lactante y niño pequeño</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_Toc202455468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129</w:t>
        </w:r>
        <w:r w:rsidR="00CF0F96" w:rsidRPr="00CF0F96">
          <w:rPr>
            <w:noProof/>
            <w:webHidden/>
            <w:sz w:val="22"/>
          </w:rPr>
          <w:fldChar w:fldCharType="end"/>
        </w:r>
      </w:hyperlink>
    </w:p>
    <w:p w14:paraId="60899B1C" w14:textId="589B3160"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69" w:history="1">
        <w:r w:rsidR="00CF0F96" w:rsidRPr="00CF0F96">
          <w:rPr>
            <w:rStyle w:val="Hipervnculo"/>
            <w:noProof/>
            <w:sz w:val="22"/>
          </w:rPr>
          <w:t>Tabla 43: Situación del crecimiento y desarrollo</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_Toc202455469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130</w:t>
        </w:r>
        <w:r w:rsidR="00CF0F96" w:rsidRPr="00CF0F96">
          <w:rPr>
            <w:noProof/>
            <w:webHidden/>
            <w:sz w:val="22"/>
          </w:rPr>
          <w:fldChar w:fldCharType="end"/>
        </w:r>
      </w:hyperlink>
    </w:p>
    <w:p w14:paraId="1A107025" w14:textId="363B290E"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70" w:history="1">
        <w:r w:rsidR="00CF0F96" w:rsidRPr="00CF0F96">
          <w:rPr>
            <w:rStyle w:val="Hipervnculo"/>
            <w:noProof/>
            <w:sz w:val="22"/>
          </w:rPr>
          <w:t>Tabla 44: Porcentaje de mujeres y hombres según sensación de seguridad 3 departamentos</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_Toc202455470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131</w:t>
        </w:r>
        <w:r w:rsidR="00CF0F96" w:rsidRPr="00CF0F96">
          <w:rPr>
            <w:noProof/>
            <w:webHidden/>
            <w:sz w:val="22"/>
          </w:rPr>
          <w:fldChar w:fldCharType="end"/>
        </w:r>
      </w:hyperlink>
    </w:p>
    <w:p w14:paraId="03AAEF4C" w14:textId="6686FC54"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71" w:history="1">
        <w:r w:rsidR="00CF0F96" w:rsidRPr="00CF0F96">
          <w:rPr>
            <w:rStyle w:val="Hipervnculo"/>
            <w:noProof/>
            <w:sz w:val="22"/>
          </w:rPr>
          <w:t>Tabla 45: Porcentajes de mujeres víctimas de diversos tipos de violencia de pareja intima en el hogar</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_Toc202455471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132</w:t>
        </w:r>
        <w:r w:rsidR="00CF0F96" w:rsidRPr="00CF0F96">
          <w:rPr>
            <w:noProof/>
            <w:webHidden/>
            <w:sz w:val="22"/>
          </w:rPr>
          <w:fldChar w:fldCharType="end"/>
        </w:r>
      </w:hyperlink>
    </w:p>
    <w:p w14:paraId="4FAADE65" w14:textId="2413F962"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72" w:history="1">
        <w:r w:rsidR="00CF0F96" w:rsidRPr="00CF0F96">
          <w:rPr>
            <w:rStyle w:val="Hipervnculo"/>
            <w:noProof/>
            <w:sz w:val="22"/>
          </w:rPr>
          <w:t>Tabla 46: Registro de porcentaje de casos de abuso antes y después de los 12 años de edad</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_Toc202455472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133</w:t>
        </w:r>
        <w:r w:rsidR="00CF0F96" w:rsidRPr="00CF0F96">
          <w:rPr>
            <w:noProof/>
            <w:webHidden/>
            <w:sz w:val="22"/>
          </w:rPr>
          <w:fldChar w:fldCharType="end"/>
        </w:r>
      </w:hyperlink>
    </w:p>
    <w:p w14:paraId="6922B3D6" w14:textId="022634F9"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73" w:history="1">
        <w:r w:rsidR="00CF0F96" w:rsidRPr="00CF0F96">
          <w:rPr>
            <w:rStyle w:val="Hipervnculo"/>
            <w:noProof/>
            <w:sz w:val="22"/>
          </w:rPr>
          <w:t>Tabla 47: Resumen de clasificación de partes interesadas identificadas</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_Toc202455473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134</w:t>
        </w:r>
        <w:r w:rsidR="00CF0F96" w:rsidRPr="00CF0F96">
          <w:rPr>
            <w:noProof/>
            <w:webHidden/>
            <w:sz w:val="22"/>
          </w:rPr>
          <w:fldChar w:fldCharType="end"/>
        </w:r>
      </w:hyperlink>
    </w:p>
    <w:p w14:paraId="735A0F33" w14:textId="17E0225E"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74" w:history="1">
        <w:r w:rsidR="00CF0F96" w:rsidRPr="00CF0F96">
          <w:rPr>
            <w:rStyle w:val="Hipervnculo"/>
            <w:noProof/>
            <w:sz w:val="22"/>
          </w:rPr>
          <w:t>Tabla 48: Tipo de Violencia Declarada Por el Juez</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_Toc202455474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136</w:t>
        </w:r>
        <w:r w:rsidR="00CF0F96" w:rsidRPr="00CF0F96">
          <w:rPr>
            <w:noProof/>
            <w:webHidden/>
            <w:sz w:val="22"/>
          </w:rPr>
          <w:fldChar w:fldCharType="end"/>
        </w:r>
      </w:hyperlink>
    </w:p>
    <w:p w14:paraId="61061E66" w14:textId="403567D4"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75" w:history="1">
        <w:r w:rsidR="00CF0F96" w:rsidRPr="00CF0F96">
          <w:rPr>
            <w:rStyle w:val="Hipervnculo"/>
            <w:noProof/>
            <w:sz w:val="22"/>
          </w:rPr>
          <w:t>Tabla 49: Infracciones de Mayor Frecuencia Entre la Niñez y Adolescencia</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_Toc202455475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138</w:t>
        </w:r>
        <w:r w:rsidR="00CF0F96" w:rsidRPr="00CF0F96">
          <w:rPr>
            <w:noProof/>
            <w:webHidden/>
            <w:sz w:val="22"/>
          </w:rPr>
          <w:fldChar w:fldCharType="end"/>
        </w:r>
      </w:hyperlink>
    </w:p>
    <w:p w14:paraId="42C90718" w14:textId="0D4AA76A"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76" w:history="1">
        <w:r w:rsidR="00CF0F96" w:rsidRPr="00CF0F96">
          <w:rPr>
            <w:rStyle w:val="Hipervnculo"/>
            <w:noProof/>
            <w:sz w:val="22"/>
          </w:rPr>
          <w:t>Tabla 50: Criterios EAS 7 para identificación de Pueblos Indígenas</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_Toc202455476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142</w:t>
        </w:r>
        <w:r w:rsidR="00CF0F96" w:rsidRPr="00CF0F96">
          <w:rPr>
            <w:noProof/>
            <w:webHidden/>
            <w:sz w:val="22"/>
          </w:rPr>
          <w:fldChar w:fldCharType="end"/>
        </w:r>
      </w:hyperlink>
    </w:p>
    <w:p w14:paraId="35220DF8" w14:textId="762C7AA7"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77" w:history="1">
        <w:r w:rsidR="00CF0F96" w:rsidRPr="00CF0F96">
          <w:rPr>
            <w:rStyle w:val="Hipervnculo"/>
            <w:noProof/>
            <w:sz w:val="22"/>
          </w:rPr>
          <w:t>Tabla 51: Acciones propuestas para promover la participación equitativa de mujeres y posibles acciones afirmativas</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_Toc202455477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147</w:t>
        </w:r>
        <w:r w:rsidR="00CF0F96" w:rsidRPr="00CF0F96">
          <w:rPr>
            <w:noProof/>
            <w:webHidden/>
            <w:sz w:val="22"/>
          </w:rPr>
          <w:fldChar w:fldCharType="end"/>
        </w:r>
      </w:hyperlink>
    </w:p>
    <w:p w14:paraId="767EAC4C" w14:textId="78D40564"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78" w:history="1">
        <w:r w:rsidR="00CF0F96" w:rsidRPr="00CF0F96">
          <w:rPr>
            <w:rStyle w:val="Hipervnculo"/>
            <w:noProof/>
            <w:sz w:val="22"/>
          </w:rPr>
          <w:t>Tabla 52: Acciones propuestas para promover la participación de población indígena y afrodescendiente y posibles medidas</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_Toc202455478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149</w:t>
        </w:r>
        <w:r w:rsidR="00CF0F96" w:rsidRPr="00CF0F96">
          <w:rPr>
            <w:noProof/>
            <w:webHidden/>
            <w:sz w:val="22"/>
          </w:rPr>
          <w:fldChar w:fldCharType="end"/>
        </w:r>
      </w:hyperlink>
    </w:p>
    <w:p w14:paraId="74A4CB34" w14:textId="55520862"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79" w:history="1">
        <w:r w:rsidR="00CF0F96" w:rsidRPr="00CF0F96">
          <w:rPr>
            <w:rStyle w:val="Hipervnculo"/>
            <w:noProof/>
            <w:sz w:val="22"/>
          </w:rPr>
          <w:t>Tabla 53: Acciones propuestas para promover la participación personas jóvenes y posibles medidas</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_Toc202455479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151</w:t>
        </w:r>
        <w:r w:rsidR="00CF0F96" w:rsidRPr="00CF0F96">
          <w:rPr>
            <w:noProof/>
            <w:webHidden/>
            <w:sz w:val="22"/>
          </w:rPr>
          <w:fldChar w:fldCharType="end"/>
        </w:r>
      </w:hyperlink>
    </w:p>
    <w:p w14:paraId="711483CC" w14:textId="74A6C94B"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80" w:history="1">
        <w:r w:rsidR="00CF0F96" w:rsidRPr="00CF0F96">
          <w:rPr>
            <w:rStyle w:val="Hipervnculo"/>
            <w:noProof/>
            <w:sz w:val="22"/>
          </w:rPr>
          <w:t>Tabla 54: Obstáculos generales que limitan la participación equitativa de personas con discapacidades y posibles medidas o acciones afirmativas</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_Toc202455480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153</w:t>
        </w:r>
        <w:r w:rsidR="00CF0F96" w:rsidRPr="00CF0F96">
          <w:rPr>
            <w:noProof/>
            <w:webHidden/>
            <w:sz w:val="22"/>
          </w:rPr>
          <w:fldChar w:fldCharType="end"/>
        </w:r>
      </w:hyperlink>
    </w:p>
    <w:p w14:paraId="3B111754" w14:textId="2B5EDF80"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81" w:history="1">
        <w:r w:rsidR="00CF0F96" w:rsidRPr="00CF0F96">
          <w:rPr>
            <w:rStyle w:val="Hipervnculo"/>
            <w:noProof/>
            <w:sz w:val="22"/>
          </w:rPr>
          <w:t>Tabla 55: Resumen de Impactos Positivos en las Principales Cadenas Productivas del COMRURAL III</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_Toc202455481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157</w:t>
        </w:r>
        <w:r w:rsidR="00CF0F96" w:rsidRPr="00CF0F96">
          <w:rPr>
            <w:noProof/>
            <w:webHidden/>
            <w:sz w:val="22"/>
          </w:rPr>
          <w:fldChar w:fldCharType="end"/>
        </w:r>
      </w:hyperlink>
    </w:p>
    <w:p w14:paraId="19B8D2DA" w14:textId="3B373FA4"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82" w:history="1">
        <w:r w:rsidR="00CF0F96" w:rsidRPr="00CF0F96">
          <w:rPr>
            <w:rStyle w:val="Hipervnculo"/>
            <w:noProof/>
            <w:sz w:val="22"/>
          </w:rPr>
          <w:t>Tabla 56: Análisis de riesgos e impactos ambientales negativos y medidas de mitigación</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_Toc202455482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161</w:t>
        </w:r>
        <w:r w:rsidR="00CF0F96" w:rsidRPr="00CF0F96">
          <w:rPr>
            <w:noProof/>
            <w:webHidden/>
            <w:sz w:val="22"/>
          </w:rPr>
          <w:fldChar w:fldCharType="end"/>
        </w:r>
      </w:hyperlink>
    </w:p>
    <w:p w14:paraId="627DA6CC" w14:textId="76F61C10"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83" w:history="1">
        <w:r w:rsidR="00CF0F96" w:rsidRPr="00CF0F96">
          <w:rPr>
            <w:rStyle w:val="Hipervnculo"/>
            <w:noProof/>
            <w:sz w:val="22"/>
          </w:rPr>
          <w:t>Tabla 57: Identificación de riesgos sociolaborales de los Departamentos de Yoro, Valle y Olancho</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_Toc202455483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185</w:t>
        </w:r>
        <w:r w:rsidR="00CF0F96" w:rsidRPr="00CF0F96">
          <w:rPr>
            <w:noProof/>
            <w:webHidden/>
            <w:sz w:val="22"/>
          </w:rPr>
          <w:fldChar w:fldCharType="end"/>
        </w:r>
      </w:hyperlink>
    </w:p>
    <w:p w14:paraId="0974C365" w14:textId="04CB75B0"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84" w:history="1">
        <w:r w:rsidR="00CF0F96" w:rsidRPr="00CF0F96">
          <w:rPr>
            <w:rStyle w:val="Hipervnculo"/>
            <w:noProof/>
            <w:sz w:val="22"/>
          </w:rPr>
          <w:t>Tabla 58: Instrumentos de gestión ambiental y social del COMRURAL III</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_Toc202455484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203</w:t>
        </w:r>
        <w:r w:rsidR="00CF0F96" w:rsidRPr="00CF0F96">
          <w:rPr>
            <w:noProof/>
            <w:webHidden/>
            <w:sz w:val="22"/>
          </w:rPr>
          <w:fldChar w:fldCharType="end"/>
        </w:r>
      </w:hyperlink>
    </w:p>
    <w:p w14:paraId="5F78A0A7" w14:textId="4A42C822"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85" w:history="1">
        <w:r w:rsidR="00CF0F96" w:rsidRPr="00CF0F96">
          <w:rPr>
            <w:rStyle w:val="Hipervnculo"/>
            <w:noProof/>
            <w:sz w:val="22"/>
          </w:rPr>
          <w:t>Tabla 59: Categorización según Normativa Nacional</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_Toc202455485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204</w:t>
        </w:r>
        <w:r w:rsidR="00CF0F96" w:rsidRPr="00CF0F96">
          <w:rPr>
            <w:noProof/>
            <w:webHidden/>
            <w:sz w:val="22"/>
          </w:rPr>
          <w:fldChar w:fldCharType="end"/>
        </w:r>
      </w:hyperlink>
    </w:p>
    <w:p w14:paraId="31B811E4" w14:textId="75F5E786"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86" w:history="1">
        <w:r w:rsidR="00CF0F96" w:rsidRPr="00CF0F96">
          <w:rPr>
            <w:rStyle w:val="Hipervnculo"/>
            <w:noProof/>
            <w:sz w:val="22"/>
          </w:rPr>
          <w:t>Tabla 60: Tipo de instrumento técnico de evaluación por categoría ambiental</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_Toc202455486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205</w:t>
        </w:r>
        <w:r w:rsidR="00CF0F96" w:rsidRPr="00CF0F96">
          <w:rPr>
            <w:noProof/>
            <w:webHidden/>
            <w:sz w:val="22"/>
          </w:rPr>
          <w:fldChar w:fldCharType="end"/>
        </w:r>
      </w:hyperlink>
    </w:p>
    <w:p w14:paraId="7D932EE4" w14:textId="23C74D7E"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87" w:history="1">
        <w:r w:rsidR="00CF0F96" w:rsidRPr="00CF0F96">
          <w:rPr>
            <w:rStyle w:val="Hipervnculo"/>
            <w:noProof/>
            <w:sz w:val="22"/>
          </w:rPr>
          <w:t>Tabla 61: Tabla para la determinación de la Sensibilidad Ambiental</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_Toc202455487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208</w:t>
        </w:r>
        <w:r w:rsidR="00CF0F96" w:rsidRPr="00CF0F96">
          <w:rPr>
            <w:noProof/>
            <w:webHidden/>
            <w:sz w:val="22"/>
          </w:rPr>
          <w:fldChar w:fldCharType="end"/>
        </w:r>
      </w:hyperlink>
    </w:p>
    <w:p w14:paraId="127AE395" w14:textId="59E3E703"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88" w:history="1">
        <w:r w:rsidR="00CF0F96" w:rsidRPr="00CF0F96">
          <w:rPr>
            <w:rStyle w:val="Hipervnculo"/>
            <w:noProof/>
            <w:sz w:val="22"/>
          </w:rPr>
          <w:t>Tabla 62: Resumen de Procedimientos y Responsabilidades de Evaluación Ambiental según Etapa</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_Toc202455488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213</w:t>
        </w:r>
        <w:r w:rsidR="00CF0F96" w:rsidRPr="00CF0F96">
          <w:rPr>
            <w:noProof/>
            <w:webHidden/>
            <w:sz w:val="22"/>
          </w:rPr>
          <w:fldChar w:fldCharType="end"/>
        </w:r>
      </w:hyperlink>
    </w:p>
    <w:p w14:paraId="0F797D42" w14:textId="1320E92A"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89" w:history="1">
        <w:r w:rsidR="00CF0F96" w:rsidRPr="00CF0F96">
          <w:rPr>
            <w:rStyle w:val="Hipervnculo"/>
            <w:noProof/>
            <w:sz w:val="22"/>
          </w:rPr>
          <w:t>Tabla 63: Resumen de Contenido de las Estrategias de Género y Relevo Generacional, sugerido a cada Organización participante:</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_Toc202455489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219</w:t>
        </w:r>
        <w:r w:rsidR="00CF0F96" w:rsidRPr="00CF0F96">
          <w:rPr>
            <w:noProof/>
            <w:webHidden/>
            <w:sz w:val="22"/>
          </w:rPr>
          <w:fldChar w:fldCharType="end"/>
        </w:r>
      </w:hyperlink>
    </w:p>
    <w:p w14:paraId="42C7144F" w14:textId="3B7B208C"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90" w:history="1">
        <w:r w:rsidR="00CF0F96" w:rsidRPr="00CF0F96">
          <w:rPr>
            <w:rStyle w:val="Hipervnculo"/>
            <w:noProof/>
            <w:sz w:val="22"/>
          </w:rPr>
          <w:t>Tabla 64: La violencia basada en género</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_Toc202455490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221</w:t>
        </w:r>
        <w:r w:rsidR="00CF0F96" w:rsidRPr="00CF0F96">
          <w:rPr>
            <w:noProof/>
            <w:webHidden/>
            <w:sz w:val="22"/>
          </w:rPr>
          <w:fldChar w:fldCharType="end"/>
        </w:r>
      </w:hyperlink>
    </w:p>
    <w:p w14:paraId="6A62F18A" w14:textId="026E6E04"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91" w:history="1">
        <w:r w:rsidR="00CF0F96" w:rsidRPr="00CF0F96">
          <w:rPr>
            <w:rStyle w:val="Hipervnculo"/>
            <w:noProof/>
            <w:sz w:val="22"/>
          </w:rPr>
          <w:t>Tabla 65: Participantes consulta externa significativa. Valle, Yoro y Olancho</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_Toc202455491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241</w:t>
        </w:r>
        <w:r w:rsidR="00CF0F96" w:rsidRPr="00CF0F96">
          <w:rPr>
            <w:noProof/>
            <w:webHidden/>
            <w:sz w:val="22"/>
          </w:rPr>
          <w:fldChar w:fldCharType="end"/>
        </w:r>
      </w:hyperlink>
    </w:p>
    <w:p w14:paraId="70D928FA" w14:textId="78A1B38D" w:rsidR="00CF0F96" w:rsidRPr="00CF0F96" w:rsidRDefault="00000000">
      <w:pPr>
        <w:pStyle w:val="Tabladeilustraciones"/>
        <w:tabs>
          <w:tab w:val="right" w:leader="dot" w:pos="8920"/>
        </w:tabs>
        <w:rPr>
          <w:rFonts w:asciiTheme="minorHAnsi" w:eastAsiaTheme="minorEastAsia" w:hAnsiTheme="minorHAnsi"/>
          <w:noProof/>
          <w:color w:val="auto"/>
          <w:kern w:val="2"/>
          <w:sz w:val="22"/>
          <w:lang w:val="es-HN" w:eastAsia="es-HN"/>
          <w14:ligatures w14:val="standardContextual"/>
        </w:rPr>
      </w:pPr>
      <w:hyperlink w:anchor="_Toc202455492" w:history="1">
        <w:r w:rsidR="00CF0F96" w:rsidRPr="00CF0F96">
          <w:rPr>
            <w:rStyle w:val="Hipervnculo"/>
            <w:noProof/>
            <w:sz w:val="22"/>
          </w:rPr>
          <w:t>Tabla 66: Principales funciones de los especialistas social y ambiental</w:t>
        </w:r>
        <w:r w:rsidR="00CF0F96" w:rsidRPr="00CF0F96">
          <w:rPr>
            <w:noProof/>
            <w:webHidden/>
            <w:sz w:val="22"/>
          </w:rPr>
          <w:tab/>
        </w:r>
        <w:r w:rsidR="00CF0F96" w:rsidRPr="00CF0F96">
          <w:rPr>
            <w:noProof/>
            <w:webHidden/>
            <w:sz w:val="22"/>
          </w:rPr>
          <w:fldChar w:fldCharType="begin"/>
        </w:r>
        <w:r w:rsidR="00CF0F96" w:rsidRPr="00CF0F96">
          <w:rPr>
            <w:noProof/>
            <w:webHidden/>
            <w:sz w:val="22"/>
          </w:rPr>
          <w:instrText xml:space="preserve"> PAGEREF _Toc202455492 \h </w:instrText>
        </w:r>
        <w:r w:rsidR="00CF0F96" w:rsidRPr="00CF0F96">
          <w:rPr>
            <w:noProof/>
            <w:webHidden/>
            <w:sz w:val="22"/>
          </w:rPr>
        </w:r>
        <w:r w:rsidR="00CF0F96" w:rsidRPr="00CF0F96">
          <w:rPr>
            <w:noProof/>
            <w:webHidden/>
            <w:sz w:val="22"/>
          </w:rPr>
          <w:fldChar w:fldCharType="separate"/>
        </w:r>
        <w:r w:rsidR="00CF0F96" w:rsidRPr="00CF0F96">
          <w:rPr>
            <w:noProof/>
            <w:webHidden/>
            <w:sz w:val="22"/>
          </w:rPr>
          <w:t>243</w:t>
        </w:r>
        <w:r w:rsidR="00CF0F96" w:rsidRPr="00CF0F96">
          <w:rPr>
            <w:noProof/>
            <w:webHidden/>
            <w:sz w:val="22"/>
          </w:rPr>
          <w:fldChar w:fldCharType="end"/>
        </w:r>
      </w:hyperlink>
    </w:p>
    <w:p w14:paraId="6544855C" w14:textId="5605E399" w:rsidR="006A3DBC" w:rsidRPr="00FA4B2D" w:rsidRDefault="00CF0F96" w:rsidP="006A3DBC">
      <w:pPr>
        <w:spacing w:after="0" w:line="240" w:lineRule="auto"/>
        <w:rPr>
          <w:rFonts w:cs="Arial"/>
          <w:i/>
          <w:iCs/>
          <w:sz w:val="20"/>
          <w:szCs w:val="20"/>
        </w:rPr>
      </w:pPr>
      <w:r w:rsidRPr="00CF0F96">
        <w:rPr>
          <w:rFonts w:cs="Arial"/>
          <w:i/>
          <w:iCs/>
          <w:sz w:val="22"/>
        </w:rPr>
        <w:fldChar w:fldCharType="end"/>
      </w:r>
    </w:p>
    <w:p w14:paraId="2938EFF1" w14:textId="574E05A2" w:rsidR="00CF0F96" w:rsidRDefault="00CF0F96" w:rsidP="006A3DBC">
      <w:pPr>
        <w:spacing w:after="0" w:line="240" w:lineRule="auto"/>
        <w:rPr>
          <w:rFonts w:cs="Arial"/>
        </w:rPr>
      </w:pPr>
    </w:p>
    <w:p w14:paraId="673AF8CF" w14:textId="77777777" w:rsidR="00CF0F96" w:rsidRDefault="00CF0F96">
      <w:pPr>
        <w:rPr>
          <w:rFonts w:cs="Arial"/>
        </w:rPr>
      </w:pPr>
      <w:r>
        <w:rPr>
          <w:rFonts w:cs="Arial"/>
        </w:rPr>
        <w:br w:type="page"/>
      </w:r>
    </w:p>
    <w:p w14:paraId="6366B8EC" w14:textId="7C8F11CC" w:rsidR="00CF0F96" w:rsidRDefault="00CF0F96">
      <w:pPr>
        <w:pStyle w:val="Tabladeilustraciones"/>
        <w:tabs>
          <w:tab w:val="right" w:leader="dot" w:pos="8920"/>
        </w:tabs>
        <w:rPr>
          <w:rFonts w:cs="Arial"/>
          <w:sz w:val="22"/>
          <w:szCs w:val="20"/>
        </w:rPr>
      </w:pPr>
      <w:r>
        <w:rPr>
          <w:rFonts w:cs="Arial"/>
          <w:sz w:val="22"/>
          <w:szCs w:val="20"/>
        </w:rPr>
        <w:lastRenderedPageBreak/>
        <w:t xml:space="preserve">Indice de Ilustraciones </w:t>
      </w:r>
    </w:p>
    <w:p w14:paraId="0DFB607C" w14:textId="77777777" w:rsidR="00CF0F96" w:rsidRPr="00CF0F96" w:rsidRDefault="00CF0F96" w:rsidP="00CF0F96"/>
    <w:p w14:paraId="1C1171C2" w14:textId="10B3F911" w:rsidR="00CF0F96" w:rsidRPr="00CF0F96" w:rsidRDefault="00CF0F96">
      <w:pPr>
        <w:pStyle w:val="Tabladeilustraciones"/>
        <w:tabs>
          <w:tab w:val="right" w:leader="dot" w:pos="8920"/>
        </w:tabs>
        <w:rPr>
          <w:rFonts w:asciiTheme="minorHAnsi" w:eastAsiaTheme="minorEastAsia" w:hAnsiTheme="minorHAnsi"/>
          <w:noProof/>
          <w:color w:val="auto"/>
          <w:kern w:val="2"/>
          <w:sz w:val="20"/>
          <w:szCs w:val="20"/>
          <w:lang w:val="es-HN" w:eastAsia="es-HN"/>
          <w14:ligatures w14:val="standardContextual"/>
        </w:rPr>
      </w:pPr>
      <w:r w:rsidRPr="00CF0F96">
        <w:rPr>
          <w:rFonts w:cs="Arial"/>
          <w:sz w:val="22"/>
          <w:szCs w:val="20"/>
        </w:rPr>
        <w:fldChar w:fldCharType="begin"/>
      </w:r>
      <w:r w:rsidRPr="00CF0F96">
        <w:rPr>
          <w:rFonts w:cs="Arial"/>
          <w:sz w:val="22"/>
          <w:szCs w:val="20"/>
        </w:rPr>
        <w:instrText xml:space="preserve"> TOC \h \z \c "Ilustración" </w:instrText>
      </w:r>
      <w:r w:rsidRPr="00CF0F96">
        <w:rPr>
          <w:rFonts w:cs="Arial"/>
          <w:sz w:val="22"/>
          <w:szCs w:val="20"/>
        </w:rPr>
        <w:fldChar w:fldCharType="separate"/>
      </w:r>
      <w:hyperlink w:anchor="_Toc202455563" w:history="1">
        <w:r w:rsidRPr="00CF0F96">
          <w:rPr>
            <w:rStyle w:val="Hipervnculo"/>
            <w:noProof/>
            <w:sz w:val="22"/>
            <w:szCs w:val="20"/>
          </w:rPr>
          <w:t>Ilustración 1 Mapa de Pueblos Indígenas de Honduras</w:t>
        </w:r>
        <w:r w:rsidRPr="00CF0F96">
          <w:rPr>
            <w:noProof/>
            <w:webHidden/>
            <w:sz w:val="22"/>
            <w:szCs w:val="20"/>
          </w:rPr>
          <w:tab/>
        </w:r>
        <w:r w:rsidRPr="00CF0F96">
          <w:rPr>
            <w:noProof/>
            <w:webHidden/>
            <w:sz w:val="22"/>
            <w:szCs w:val="20"/>
          </w:rPr>
          <w:fldChar w:fldCharType="begin"/>
        </w:r>
        <w:r w:rsidRPr="00CF0F96">
          <w:rPr>
            <w:noProof/>
            <w:webHidden/>
            <w:sz w:val="22"/>
            <w:szCs w:val="20"/>
          </w:rPr>
          <w:instrText xml:space="preserve"> PAGEREF _Toc202455563 \h </w:instrText>
        </w:r>
        <w:r w:rsidRPr="00CF0F96">
          <w:rPr>
            <w:noProof/>
            <w:webHidden/>
            <w:sz w:val="22"/>
            <w:szCs w:val="20"/>
          </w:rPr>
        </w:r>
        <w:r w:rsidRPr="00CF0F96">
          <w:rPr>
            <w:noProof/>
            <w:webHidden/>
            <w:sz w:val="22"/>
            <w:szCs w:val="20"/>
          </w:rPr>
          <w:fldChar w:fldCharType="separate"/>
        </w:r>
        <w:r w:rsidRPr="00CF0F96">
          <w:rPr>
            <w:noProof/>
            <w:webHidden/>
            <w:sz w:val="22"/>
            <w:szCs w:val="20"/>
          </w:rPr>
          <w:t>13</w:t>
        </w:r>
        <w:r w:rsidRPr="00CF0F96">
          <w:rPr>
            <w:noProof/>
            <w:webHidden/>
            <w:sz w:val="22"/>
            <w:szCs w:val="20"/>
          </w:rPr>
          <w:fldChar w:fldCharType="end"/>
        </w:r>
      </w:hyperlink>
    </w:p>
    <w:p w14:paraId="6445DD24" w14:textId="24F8224C" w:rsidR="00CF0F96" w:rsidRPr="00CF0F96" w:rsidRDefault="00000000">
      <w:pPr>
        <w:pStyle w:val="Tabladeilustraciones"/>
        <w:tabs>
          <w:tab w:val="right" w:leader="dot" w:pos="8920"/>
        </w:tabs>
        <w:rPr>
          <w:rFonts w:asciiTheme="minorHAnsi" w:eastAsiaTheme="minorEastAsia" w:hAnsiTheme="minorHAnsi"/>
          <w:noProof/>
          <w:color w:val="auto"/>
          <w:kern w:val="2"/>
          <w:sz w:val="20"/>
          <w:szCs w:val="20"/>
          <w:lang w:val="es-HN" w:eastAsia="es-HN"/>
          <w14:ligatures w14:val="standardContextual"/>
        </w:rPr>
      </w:pPr>
      <w:hyperlink w:anchor="_Toc202455564" w:history="1">
        <w:r w:rsidR="00CF0F96" w:rsidRPr="00CF0F96">
          <w:rPr>
            <w:rStyle w:val="Hipervnculo"/>
            <w:noProof/>
            <w:sz w:val="22"/>
            <w:szCs w:val="20"/>
          </w:rPr>
          <w:t>Ilustración 2 Flujograma del proceso de identificación, aprobación e implementación de Planes de Negocios</w:t>
        </w:r>
        <w:r w:rsidR="00CF0F96" w:rsidRPr="00CF0F96">
          <w:rPr>
            <w:noProof/>
            <w:webHidden/>
            <w:sz w:val="22"/>
            <w:szCs w:val="20"/>
          </w:rPr>
          <w:tab/>
        </w:r>
        <w:r w:rsidR="00CF0F96" w:rsidRPr="00CF0F96">
          <w:rPr>
            <w:noProof/>
            <w:webHidden/>
            <w:sz w:val="22"/>
            <w:szCs w:val="20"/>
          </w:rPr>
          <w:fldChar w:fldCharType="begin"/>
        </w:r>
        <w:r w:rsidR="00CF0F96" w:rsidRPr="00CF0F96">
          <w:rPr>
            <w:noProof/>
            <w:webHidden/>
            <w:sz w:val="22"/>
            <w:szCs w:val="20"/>
          </w:rPr>
          <w:instrText xml:space="preserve"> PAGEREF _Toc202455564 \h </w:instrText>
        </w:r>
        <w:r w:rsidR="00CF0F96" w:rsidRPr="00CF0F96">
          <w:rPr>
            <w:noProof/>
            <w:webHidden/>
            <w:sz w:val="22"/>
            <w:szCs w:val="20"/>
          </w:rPr>
        </w:r>
        <w:r w:rsidR="00CF0F96" w:rsidRPr="00CF0F96">
          <w:rPr>
            <w:noProof/>
            <w:webHidden/>
            <w:sz w:val="22"/>
            <w:szCs w:val="20"/>
          </w:rPr>
          <w:fldChar w:fldCharType="separate"/>
        </w:r>
        <w:r w:rsidR="00CF0F96" w:rsidRPr="00CF0F96">
          <w:rPr>
            <w:noProof/>
            <w:webHidden/>
            <w:sz w:val="22"/>
            <w:szCs w:val="20"/>
          </w:rPr>
          <w:t>16</w:t>
        </w:r>
        <w:r w:rsidR="00CF0F96" w:rsidRPr="00CF0F96">
          <w:rPr>
            <w:noProof/>
            <w:webHidden/>
            <w:sz w:val="22"/>
            <w:szCs w:val="20"/>
          </w:rPr>
          <w:fldChar w:fldCharType="end"/>
        </w:r>
      </w:hyperlink>
    </w:p>
    <w:p w14:paraId="67419AB9" w14:textId="0D164CE3" w:rsidR="00CF0F96" w:rsidRPr="00CF0F96" w:rsidRDefault="00000000">
      <w:pPr>
        <w:pStyle w:val="Tabladeilustraciones"/>
        <w:tabs>
          <w:tab w:val="right" w:leader="dot" w:pos="8920"/>
        </w:tabs>
        <w:rPr>
          <w:rFonts w:asciiTheme="minorHAnsi" w:eastAsiaTheme="minorEastAsia" w:hAnsiTheme="minorHAnsi"/>
          <w:noProof/>
          <w:color w:val="auto"/>
          <w:kern w:val="2"/>
          <w:sz w:val="20"/>
          <w:szCs w:val="20"/>
          <w:lang w:val="es-HN" w:eastAsia="es-HN"/>
          <w14:ligatures w14:val="standardContextual"/>
        </w:rPr>
      </w:pPr>
      <w:hyperlink w:anchor="_Toc202455565" w:history="1">
        <w:r w:rsidR="00CF0F96" w:rsidRPr="00CF0F96">
          <w:rPr>
            <w:rStyle w:val="Hipervnculo"/>
            <w:noProof/>
            <w:sz w:val="22"/>
            <w:szCs w:val="20"/>
          </w:rPr>
          <w:t>Ilustración 3 Cuencas que se encuentran en los Departamentos de Influencia del COMRURAL III</w:t>
        </w:r>
        <w:r w:rsidR="00CF0F96" w:rsidRPr="00CF0F96">
          <w:rPr>
            <w:noProof/>
            <w:webHidden/>
            <w:sz w:val="22"/>
            <w:szCs w:val="20"/>
          </w:rPr>
          <w:tab/>
        </w:r>
        <w:r w:rsidR="00CF0F96" w:rsidRPr="00CF0F96">
          <w:rPr>
            <w:noProof/>
            <w:webHidden/>
            <w:sz w:val="22"/>
            <w:szCs w:val="20"/>
          </w:rPr>
          <w:fldChar w:fldCharType="begin"/>
        </w:r>
        <w:r w:rsidR="00CF0F96" w:rsidRPr="00CF0F96">
          <w:rPr>
            <w:noProof/>
            <w:webHidden/>
            <w:sz w:val="22"/>
            <w:szCs w:val="20"/>
          </w:rPr>
          <w:instrText xml:space="preserve"> PAGEREF _Toc202455565 \h </w:instrText>
        </w:r>
        <w:r w:rsidR="00CF0F96" w:rsidRPr="00CF0F96">
          <w:rPr>
            <w:noProof/>
            <w:webHidden/>
            <w:sz w:val="22"/>
            <w:szCs w:val="20"/>
          </w:rPr>
        </w:r>
        <w:r w:rsidR="00CF0F96" w:rsidRPr="00CF0F96">
          <w:rPr>
            <w:noProof/>
            <w:webHidden/>
            <w:sz w:val="22"/>
            <w:szCs w:val="20"/>
          </w:rPr>
          <w:fldChar w:fldCharType="separate"/>
        </w:r>
        <w:r w:rsidR="00CF0F96" w:rsidRPr="00CF0F96">
          <w:rPr>
            <w:noProof/>
            <w:webHidden/>
            <w:sz w:val="22"/>
            <w:szCs w:val="20"/>
          </w:rPr>
          <w:t>53</w:t>
        </w:r>
        <w:r w:rsidR="00CF0F96" w:rsidRPr="00CF0F96">
          <w:rPr>
            <w:noProof/>
            <w:webHidden/>
            <w:sz w:val="22"/>
            <w:szCs w:val="20"/>
          </w:rPr>
          <w:fldChar w:fldCharType="end"/>
        </w:r>
      </w:hyperlink>
    </w:p>
    <w:p w14:paraId="5AD99395" w14:textId="7B5DBBA6" w:rsidR="00CF0F96" w:rsidRPr="00CF0F96" w:rsidRDefault="00000000">
      <w:pPr>
        <w:pStyle w:val="Tabladeilustraciones"/>
        <w:tabs>
          <w:tab w:val="right" w:leader="dot" w:pos="8920"/>
        </w:tabs>
        <w:rPr>
          <w:rFonts w:asciiTheme="minorHAnsi" w:eastAsiaTheme="minorEastAsia" w:hAnsiTheme="minorHAnsi"/>
          <w:noProof/>
          <w:color w:val="auto"/>
          <w:kern w:val="2"/>
          <w:sz w:val="20"/>
          <w:szCs w:val="20"/>
          <w:lang w:val="es-HN" w:eastAsia="es-HN"/>
          <w14:ligatures w14:val="standardContextual"/>
        </w:rPr>
      </w:pPr>
      <w:hyperlink w:anchor="_Toc202455566" w:history="1">
        <w:r w:rsidR="00CF0F96" w:rsidRPr="00CF0F96">
          <w:rPr>
            <w:rStyle w:val="Hipervnculo"/>
            <w:noProof/>
            <w:sz w:val="22"/>
            <w:szCs w:val="20"/>
          </w:rPr>
          <w:t>Ilustración 4 Mapa orográfico de Honduras</w:t>
        </w:r>
        <w:r w:rsidR="00CF0F96" w:rsidRPr="00CF0F96">
          <w:rPr>
            <w:noProof/>
            <w:webHidden/>
            <w:sz w:val="22"/>
            <w:szCs w:val="20"/>
          </w:rPr>
          <w:tab/>
        </w:r>
        <w:r w:rsidR="00CF0F96" w:rsidRPr="00CF0F96">
          <w:rPr>
            <w:noProof/>
            <w:webHidden/>
            <w:sz w:val="22"/>
            <w:szCs w:val="20"/>
          </w:rPr>
          <w:fldChar w:fldCharType="begin"/>
        </w:r>
        <w:r w:rsidR="00CF0F96" w:rsidRPr="00CF0F96">
          <w:rPr>
            <w:noProof/>
            <w:webHidden/>
            <w:sz w:val="22"/>
            <w:szCs w:val="20"/>
          </w:rPr>
          <w:instrText xml:space="preserve"> PAGEREF _Toc202455566 \h </w:instrText>
        </w:r>
        <w:r w:rsidR="00CF0F96" w:rsidRPr="00CF0F96">
          <w:rPr>
            <w:noProof/>
            <w:webHidden/>
            <w:sz w:val="22"/>
            <w:szCs w:val="20"/>
          </w:rPr>
        </w:r>
        <w:r w:rsidR="00CF0F96" w:rsidRPr="00CF0F96">
          <w:rPr>
            <w:noProof/>
            <w:webHidden/>
            <w:sz w:val="22"/>
            <w:szCs w:val="20"/>
          </w:rPr>
          <w:fldChar w:fldCharType="separate"/>
        </w:r>
        <w:r w:rsidR="00CF0F96" w:rsidRPr="00CF0F96">
          <w:rPr>
            <w:noProof/>
            <w:webHidden/>
            <w:sz w:val="22"/>
            <w:szCs w:val="20"/>
          </w:rPr>
          <w:t>55</w:t>
        </w:r>
        <w:r w:rsidR="00CF0F96" w:rsidRPr="00CF0F96">
          <w:rPr>
            <w:noProof/>
            <w:webHidden/>
            <w:sz w:val="22"/>
            <w:szCs w:val="20"/>
          </w:rPr>
          <w:fldChar w:fldCharType="end"/>
        </w:r>
      </w:hyperlink>
    </w:p>
    <w:p w14:paraId="67FF95F1" w14:textId="5122667E" w:rsidR="00CF0F96" w:rsidRPr="00CF0F96" w:rsidRDefault="00000000">
      <w:pPr>
        <w:pStyle w:val="Tabladeilustraciones"/>
        <w:tabs>
          <w:tab w:val="right" w:leader="dot" w:pos="8920"/>
        </w:tabs>
        <w:rPr>
          <w:rFonts w:asciiTheme="minorHAnsi" w:eastAsiaTheme="minorEastAsia" w:hAnsiTheme="minorHAnsi"/>
          <w:noProof/>
          <w:color w:val="auto"/>
          <w:kern w:val="2"/>
          <w:sz w:val="20"/>
          <w:szCs w:val="20"/>
          <w:lang w:val="es-HN" w:eastAsia="es-HN"/>
          <w14:ligatures w14:val="standardContextual"/>
        </w:rPr>
      </w:pPr>
      <w:hyperlink w:anchor="_Toc202455567" w:history="1">
        <w:r w:rsidR="00CF0F96" w:rsidRPr="00CF0F96">
          <w:rPr>
            <w:rStyle w:val="Hipervnculo"/>
            <w:noProof/>
            <w:sz w:val="22"/>
            <w:szCs w:val="20"/>
          </w:rPr>
          <w:t>Ilustración 5: Mapa Forestal y Cobertura de la Tierra</w:t>
        </w:r>
        <w:r w:rsidR="00CF0F96" w:rsidRPr="00CF0F96">
          <w:rPr>
            <w:noProof/>
            <w:webHidden/>
            <w:sz w:val="22"/>
            <w:szCs w:val="20"/>
          </w:rPr>
          <w:tab/>
        </w:r>
        <w:r w:rsidR="00CF0F96" w:rsidRPr="00CF0F96">
          <w:rPr>
            <w:noProof/>
            <w:webHidden/>
            <w:sz w:val="22"/>
            <w:szCs w:val="20"/>
          </w:rPr>
          <w:fldChar w:fldCharType="begin"/>
        </w:r>
        <w:r w:rsidR="00CF0F96" w:rsidRPr="00CF0F96">
          <w:rPr>
            <w:noProof/>
            <w:webHidden/>
            <w:sz w:val="22"/>
            <w:szCs w:val="20"/>
          </w:rPr>
          <w:instrText xml:space="preserve"> PAGEREF _Toc202455567 \h </w:instrText>
        </w:r>
        <w:r w:rsidR="00CF0F96" w:rsidRPr="00CF0F96">
          <w:rPr>
            <w:noProof/>
            <w:webHidden/>
            <w:sz w:val="22"/>
            <w:szCs w:val="20"/>
          </w:rPr>
        </w:r>
        <w:r w:rsidR="00CF0F96" w:rsidRPr="00CF0F96">
          <w:rPr>
            <w:noProof/>
            <w:webHidden/>
            <w:sz w:val="22"/>
            <w:szCs w:val="20"/>
          </w:rPr>
          <w:fldChar w:fldCharType="separate"/>
        </w:r>
        <w:r w:rsidR="00CF0F96" w:rsidRPr="00CF0F96">
          <w:rPr>
            <w:noProof/>
            <w:webHidden/>
            <w:sz w:val="22"/>
            <w:szCs w:val="20"/>
          </w:rPr>
          <w:t>60</w:t>
        </w:r>
        <w:r w:rsidR="00CF0F96" w:rsidRPr="00CF0F96">
          <w:rPr>
            <w:noProof/>
            <w:webHidden/>
            <w:sz w:val="22"/>
            <w:szCs w:val="20"/>
          </w:rPr>
          <w:fldChar w:fldCharType="end"/>
        </w:r>
      </w:hyperlink>
    </w:p>
    <w:p w14:paraId="53281E15" w14:textId="4AE89A8E" w:rsidR="00CF0F96" w:rsidRPr="00CF0F96" w:rsidRDefault="00000000">
      <w:pPr>
        <w:pStyle w:val="Tabladeilustraciones"/>
        <w:tabs>
          <w:tab w:val="right" w:leader="dot" w:pos="8920"/>
        </w:tabs>
        <w:rPr>
          <w:rFonts w:asciiTheme="minorHAnsi" w:eastAsiaTheme="minorEastAsia" w:hAnsiTheme="minorHAnsi"/>
          <w:noProof/>
          <w:color w:val="auto"/>
          <w:kern w:val="2"/>
          <w:sz w:val="20"/>
          <w:szCs w:val="20"/>
          <w:lang w:val="es-HN" w:eastAsia="es-HN"/>
          <w14:ligatures w14:val="standardContextual"/>
        </w:rPr>
      </w:pPr>
      <w:hyperlink w:anchor="_Toc202455568" w:history="1">
        <w:r w:rsidR="00CF0F96" w:rsidRPr="00CF0F96">
          <w:rPr>
            <w:rStyle w:val="Hipervnculo"/>
            <w:noProof/>
            <w:sz w:val="22"/>
            <w:szCs w:val="20"/>
          </w:rPr>
          <w:t>Ilustración 6: Mapa Áreas Clave para la Biodiversidad en Honduras</w:t>
        </w:r>
        <w:r w:rsidR="00CF0F96" w:rsidRPr="00CF0F96">
          <w:rPr>
            <w:noProof/>
            <w:webHidden/>
            <w:sz w:val="22"/>
            <w:szCs w:val="20"/>
          </w:rPr>
          <w:tab/>
        </w:r>
        <w:r w:rsidR="00CF0F96" w:rsidRPr="00CF0F96">
          <w:rPr>
            <w:noProof/>
            <w:webHidden/>
            <w:sz w:val="22"/>
            <w:szCs w:val="20"/>
          </w:rPr>
          <w:fldChar w:fldCharType="begin"/>
        </w:r>
        <w:r w:rsidR="00CF0F96" w:rsidRPr="00CF0F96">
          <w:rPr>
            <w:noProof/>
            <w:webHidden/>
            <w:sz w:val="22"/>
            <w:szCs w:val="20"/>
          </w:rPr>
          <w:instrText xml:space="preserve"> PAGEREF _Toc202455568 \h </w:instrText>
        </w:r>
        <w:r w:rsidR="00CF0F96" w:rsidRPr="00CF0F96">
          <w:rPr>
            <w:noProof/>
            <w:webHidden/>
            <w:sz w:val="22"/>
            <w:szCs w:val="20"/>
          </w:rPr>
        </w:r>
        <w:r w:rsidR="00CF0F96" w:rsidRPr="00CF0F96">
          <w:rPr>
            <w:noProof/>
            <w:webHidden/>
            <w:sz w:val="22"/>
            <w:szCs w:val="20"/>
          </w:rPr>
          <w:fldChar w:fldCharType="separate"/>
        </w:r>
        <w:r w:rsidR="00CF0F96" w:rsidRPr="00CF0F96">
          <w:rPr>
            <w:noProof/>
            <w:webHidden/>
            <w:sz w:val="22"/>
            <w:szCs w:val="20"/>
          </w:rPr>
          <w:t>62</w:t>
        </w:r>
        <w:r w:rsidR="00CF0F96" w:rsidRPr="00CF0F96">
          <w:rPr>
            <w:noProof/>
            <w:webHidden/>
            <w:sz w:val="22"/>
            <w:szCs w:val="20"/>
          </w:rPr>
          <w:fldChar w:fldCharType="end"/>
        </w:r>
      </w:hyperlink>
    </w:p>
    <w:p w14:paraId="4516FC2C" w14:textId="00CD9B70" w:rsidR="00CF0F96" w:rsidRPr="00CF0F96" w:rsidRDefault="00000000">
      <w:pPr>
        <w:pStyle w:val="Tabladeilustraciones"/>
        <w:tabs>
          <w:tab w:val="right" w:leader="dot" w:pos="8920"/>
        </w:tabs>
        <w:rPr>
          <w:rFonts w:asciiTheme="minorHAnsi" w:eastAsiaTheme="minorEastAsia" w:hAnsiTheme="minorHAnsi"/>
          <w:noProof/>
          <w:color w:val="auto"/>
          <w:kern w:val="2"/>
          <w:sz w:val="20"/>
          <w:szCs w:val="20"/>
          <w:lang w:val="es-HN" w:eastAsia="es-HN"/>
          <w14:ligatures w14:val="standardContextual"/>
        </w:rPr>
      </w:pPr>
      <w:hyperlink w:anchor="_Toc202455569" w:history="1">
        <w:r w:rsidR="00CF0F96" w:rsidRPr="00CF0F96">
          <w:rPr>
            <w:rStyle w:val="Hipervnculo"/>
            <w:noProof/>
            <w:sz w:val="22"/>
            <w:szCs w:val="20"/>
          </w:rPr>
          <w:t>Ilustración 7: Mapa de Sitios Propuestos por la Alianza Cero Extinción</w:t>
        </w:r>
        <w:r w:rsidR="00CF0F96" w:rsidRPr="00CF0F96">
          <w:rPr>
            <w:noProof/>
            <w:webHidden/>
            <w:sz w:val="22"/>
            <w:szCs w:val="20"/>
          </w:rPr>
          <w:tab/>
        </w:r>
        <w:r w:rsidR="00CF0F96" w:rsidRPr="00CF0F96">
          <w:rPr>
            <w:noProof/>
            <w:webHidden/>
            <w:sz w:val="22"/>
            <w:szCs w:val="20"/>
          </w:rPr>
          <w:fldChar w:fldCharType="begin"/>
        </w:r>
        <w:r w:rsidR="00CF0F96" w:rsidRPr="00CF0F96">
          <w:rPr>
            <w:noProof/>
            <w:webHidden/>
            <w:sz w:val="22"/>
            <w:szCs w:val="20"/>
          </w:rPr>
          <w:instrText xml:space="preserve"> PAGEREF _Toc202455569 \h </w:instrText>
        </w:r>
        <w:r w:rsidR="00CF0F96" w:rsidRPr="00CF0F96">
          <w:rPr>
            <w:noProof/>
            <w:webHidden/>
            <w:sz w:val="22"/>
            <w:szCs w:val="20"/>
          </w:rPr>
        </w:r>
        <w:r w:rsidR="00CF0F96" w:rsidRPr="00CF0F96">
          <w:rPr>
            <w:noProof/>
            <w:webHidden/>
            <w:sz w:val="22"/>
            <w:szCs w:val="20"/>
          </w:rPr>
          <w:fldChar w:fldCharType="separate"/>
        </w:r>
        <w:r w:rsidR="00CF0F96" w:rsidRPr="00CF0F96">
          <w:rPr>
            <w:noProof/>
            <w:webHidden/>
            <w:sz w:val="22"/>
            <w:szCs w:val="20"/>
          </w:rPr>
          <w:t>63</w:t>
        </w:r>
        <w:r w:rsidR="00CF0F96" w:rsidRPr="00CF0F96">
          <w:rPr>
            <w:noProof/>
            <w:webHidden/>
            <w:sz w:val="22"/>
            <w:szCs w:val="20"/>
          </w:rPr>
          <w:fldChar w:fldCharType="end"/>
        </w:r>
      </w:hyperlink>
    </w:p>
    <w:p w14:paraId="1DD4F715" w14:textId="02B43A47" w:rsidR="00CF0F96" w:rsidRPr="00CF0F96" w:rsidRDefault="00000000">
      <w:pPr>
        <w:pStyle w:val="Tabladeilustraciones"/>
        <w:tabs>
          <w:tab w:val="right" w:leader="dot" w:pos="8920"/>
        </w:tabs>
        <w:rPr>
          <w:rFonts w:asciiTheme="minorHAnsi" w:eastAsiaTheme="minorEastAsia" w:hAnsiTheme="minorHAnsi"/>
          <w:noProof/>
          <w:color w:val="auto"/>
          <w:kern w:val="2"/>
          <w:sz w:val="20"/>
          <w:szCs w:val="20"/>
          <w:lang w:val="es-HN" w:eastAsia="es-HN"/>
          <w14:ligatures w14:val="standardContextual"/>
        </w:rPr>
      </w:pPr>
      <w:hyperlink w:anchor="_Toc202455570" w:history="1">
        <w:r w:rsidR="00CF0F96" w:rsidRPr="00CF0F96">
          <w:rPr>
            <w:rStyle w:val="Hipervnculo"/>
            <w:noProof/>
            <w:sz w:val="22"/>
            <w:szCs w:val="20"/>
          </w:rPr>
          <w:t>Ilustración 8: Mapa de Áreas Importantes para las Aves y la Biodiversidad</w:t>
        </w:r>
        <w:r w:rsidR="00CF0F96" w:rsidRPr="00CF0F96">
          <w:rPr>
            <w:noProof/>
            <w:webHidden/>
            <w:sz w:val="22"/>
            <w:szCs w:val="20"/>
          </w:rPr>
          <w:tab/>
        </w:r>
        <w:r w:rsidR="00CF0F96" w:rsidRPr="00CF0F96">
          <w:rPr>
            <w:noProof/>
            <w:webHidden/>
            <w:sz w:val="22"/>
            <w:szCs w:val="20"/>
          </w:rPr>
          <w:fldChar w:fldCharType="begin"/>
        </w:r>
        <w:r w:rsidR="00CF0F96" w:rsidRPr="00CF0F96">
          <w:rPr>
            <w:noProof/>
            <w:webHidden/>
            <w:sz w:val="22"/>
            <w:szCs w:val="20"/>
          </w:rPr>
          <w:instrText xml:space="preserve"> PAGEREF _Toc202455570 \h </w:instrText>
        </w:r>
        <w:r w:rsidR="00CF0F96" w:rsidRPr="00CF0F96">
          <w:rPr>
            <w:noProof/>
            <w:webHidden/>
            <w:sz w:val="22"/>
            <w:szCs w:val="20"/>
          </w:rPr>
        </w:r>
        <w:r w:rsidR="00CF0F96" w:rsidRPr="00CF0F96">
          <w:rPr>
            <w:noProof/>
            <w:webHidden/>
            <w:sz w:val="22"/>
            <w:szCs w:val="20"/>
          </w:rPr>
          <w:fldChar w:fldCharType="separate"/>
        </w:r>
        <w:r w:rsidR="00CF0F96" w:rsidRPr="00CF0F96">
          <w:rPr>
            <w:noProof/>
            <w:webHidden/>
            <w:sz w:val="22"/>
            <w:szCs w:val="20"/>
          </w:rPr>
          <w:t>65</w:t>
        </w:r>
        <w:r w:rsidR="00CF0F96" w:rsidRPr="00CF0F96">
          <w:rPr>
            <w:noProof/>
            <w:webHidden/>
            <w:sz w:val="22"/>
            <w:szCs w:val="20"/>
          </w:rPr>
          <w:fldChar w:fldCharType="end"/>
        </w:r>
      </w:hyperlink>
    </w:p>
    <w:p w14:paraId="0E17A4F8" w14:textId="5BCF4FE6" w:rsidR="00CF0F96" w:rsidRPr="00CF0F96" w:rsidRDefault="00000000">
      <w:pPr>
        <w:pStyle w:val="Tabladeilustraciones"/>
        <w:tabs>
          <w:tab w:val="right" w:leader="dot" w:pos="8920"/>
        </w:tabs>
        <w:rPr>
          <w:rFonts w:asciiTheme="minorHAnsi" w:eastAsiaTheme="minorEastAsia" w:hAnsiTheme="minorHAnsi"/>
          <w:noProof/>
          <w:color w:val="auto"/>
          <w:kern w:val="2"/>
          <w:sz w:val="20"/>
          <w:szCs w:val="20"/>
          <w:lang w:val="es-HN" w:eastAsia="es-HN"/>
          <w14:ligatures w14:val="standardContextual"/>
        </w:rPr>
      </w:pPr>
      <w:hyperlink w:anchor="_Toc202455571" w:history="1">
        <w:r w:rsidR="00CF0F96" w:rsidRPr="00CF0F96">
          <w:rPr>
            <w:rStyle w:val="Hipervnculo"/>
            <w:noProof/>
            <w:sz w:val="22"/>
            <w:szCs w:val="20"/>
          </w:rPr>
          <w:t>Ilustración 9: Mapa de Áreas Protegidas por Categoría en los Departamentos de Influencia de COMRURAL III</w:t>
        </w:r>
        <w:r w:rsidR="00CF0F96" w:rsidRPr="00CF0F96">
          <w:rPr>
            <w:noProof/>
            <w:webHidden/>
            <w:sz w:val="22"/>
            <w:szCs w:val="20"/>
          </w:rPr>
          <w:tab/>
        </w:r>
        <w:r w:rsidR="00CF0F96" w:rsidRPr="00CF0F96">
          <w:rPr>
            <w:noProof/>
            <w:webHidden/>
            <w:sz w:val="22"/>
            <w:szCs w:val="20"/>
          </w:rPr>
          <w:fldChar w:fldCharType="begin"/>
        </w:r>
        <w:r w:rsidR="00CF0F96" w:rsidRPr="00CF0F96">
          <w:rPr>
            <w:noProof/>
            <w:webHidden/>
            <w:sz w:val="22"/>
            <w:szCs w:val="20"/>
          </w:rPr>
          <w:instrText xml:space="preserve"> PAGEREF _Toc202455571 \h </w:instrText>
        </w:r>
        <w:r w:rsidR="00CF0F96" w:rsidRPr="00CF0F96">
          <w:rPr>
            <w:noProof/>
            <w:webHidden/>
            <w:sz w:val="22"/>
            <w:szCs w:val="20"/>
          </w:rPr>
        </w:r>
        <w:r w:rsidR="00CF0F96" w:rsidRPr="00CF0F96">
          <w:rPr>
            <w:noProof/>
            <w:webHidden/>
            <w:sz w:val="22"/>
            <w:szCs w:val="20"/>
          </w:rPr>
          <w:fldChar w:fldCharType="separate"/>
        </w:r>
        <w:r w:rsidR="00CF0F96" w:rsidRPr="00CF0F96">
          <w:rPr>
            <w:noProof/>
            <w:webHidden/>
            <w:sz w:val="22"/>
            <w:szCs w:val="20"/>
          </w:rPr>
          <w:t>66</w:t>
        </w:r>
        <w:r w:rsidR="00CF0F96" w:rsidRPr="00CF0F96">
          <w:rPr>
            <w:noProof/>
            <w:webHidden/>
            <w:sz w:val="22"/>
            <w:szCs w:val="20"/>
          </w:rPr>
          <w:fldChar w:fldCharType="end"/>
        </w:r>
      </w:hyperlink>
    </w:p>
    <w:p w14:paraId="3C206462" w14:textId="0024EAAE" w:rsidR="00CF0F96" w:rsidRPr="00CF0F96" w:rsidRDefault="00000000">
      <w:pPr>
        <w:pStyle w:val="Tabladeilustraciones"/>
        <w:tabs>
          <w:tab w:val="right" w:leader="dot" w:pos="8920"/>
        </w:tabs>
        <w:rPr>
          <w:rFonts w:asciiTheme="minorHAnsi" w:eastAsiaTheme="minorEastAsia" w:hAnsiTheme="minorHAnsi"/>
          <w:noProof/>
          <w:color w:val="auto"/>
          <w:kern w:val="2"/>
          <w:sz w:val="20"/>
          <w:szCs w:val="20"/>
          <w:lang w:val="es-HN" w:eastAsia="es-HN"/>
          <w14:ligatures w14:val="standardContextual"/>
        </w:rPr>
      </w:pPr>
      <w:hyperlink w:anchor="_Toc202455572" w:history="1">
        <w:r w:rsidR="00CF0F96" w:rsidRPr="00CF0F96">
          <w:rPr>
            <w:rStyle w:val="Hipervnculo"/>
            <w:noProof/>
            <w:sz w:val="22"/>
            <w:szCs w:val="20"/>
          </w:rPr>
          <w:t>Ilustración 10: Mapa de Áreas Protegidas Privadas en los Departamentos de Influencia de COMRURAL III</w:t>
        </w:r>
        <w:r w:rsidR="00CF0F96" w:rsidRPr="00CF0F96">
          <w:rPr>
            <w:noProof/>
            <w:webHidden/>
            <w:sz w:val="22"/>
            <w:szCs w:val="20"/>
          </w:rPr>
          <w:tab/>
        </w:r>
        <w:r w:rsidR="00CF0F96" w:rsidRPr="00CF0F96">
          <w:rPr>
            <w:noProof/>
            <w:webHidden/>
            <w:sz w:val="22"/>
            <w:szCs w:val="20"/>
          </w:rPr>
          <w:fldChar w:fldCharType="begin"/>
        </w:r>
        <w:r w:rsidR="00CF0F96" w:rsidRPr="00CF0F96">
          <w:rPr>
            <w:noProof/>
            <w:webHidden/>
            <w:sz w:val="22"/>
            <w:szCs w:val="20"/>
          </w:rPr>
          <w:instrText xml:space="preserve"> PAGEREF _Toc202455572 \h </w:instrText>
        </w:r>
        <w:r w:rsidR="00CF0F96" w:rsidRPr="00CF0F96">
          <w:rPr>
            <w:noProof/>
            <w:webHidden/>
            <w:sz w:val="22"/>
            <w:szCs w:val="20"/>
          </w:rPr>
        </w:r>
        <w:r w:rsidR="00CF0F96" w:rsidRPr="00CF0F96">
          <w:rPr>
            <w:noProof/>
            <w:webHidden/>
            <w:sz w:val="22"/>
            <w:szCs w:val="20"/>
          </w:rPr>
          <w:fldChar w:fldCharType="separate"/>
        </w:r>
        <w:r w:rsidR="00CF0F96" w:rsidRPr="00CF0F96">
          <w:rPr>
            <w:noProof/>
            <w:webHidden/>
            <w:sz w:val="22"/>
            <w:szCs w:val="20"/>
          </w:rPr>
          <w:t>68</w:t>
        </w:r>
        <w:r w:rsidR="00CF0F96" w:rsidRPr="00CF0F96">
          <w:rPr>
            <w:noProof/>
            <w:webHidden/>
            <w:sz w:val="22"/>
            <w:szCs w:val="20"/>
          </w:rPr>
          <w:fldChar w:fldCharType="end"/>
        </w:r>
      </w:hyperlink>
    </w:p>
    <w:p w14:paraId="41B7D679" w14:textId="4C999FD1" w:rsidR="00CF0F96" w:rsidRPr="00CF0F96" w:rsidRDefault="00000000">
      <w:pPr>
        <w:pStyle w:val="Tabladeilustraciones"/>
        <w:tabs>
          <w:tab w:val="right" w:leader="dot" w:pos="8920"/>
        </w:tabs>
        <w:rPr>
          <w:rFonts w:asciiTheme="minorHAnsi" w:eastAsiaTheme="minorEastAsia" w:hAnsiTheme="minorHAnsi"/>
          <w:noProof/>
          <w:color w:val="auto"/>
          <w:kern w:val="2"/>
          <w:sz w:val="20"/>
          <w:szCs w:val="20"/>
          <w:lang w:val="es-HN" w:eastAsia="es-HN"/>
          <w14:ligatures w14:val="standardContextual"/>
        </w:rPr>
      </w:pPr>
      <w:hyperlink w:anchor="_Toc202455573" w:history="1">
        <w:r w:rsidR="00CF0F96" w:rsidRPr="00CF0F96">
          <w:rPr>
            <w:rStyle w:val="Hipervnculo"/>
            <w:noProof/>
            <w:sz w:val="22"/>
            <w:szCs w:val="20"/>
          </w:rPr>
          <w:t>Ilustración 11: Mapa de Áreas Protegidas y Corredores Biológicos de Honduras</w:t>
        </w:r>
        <w:r w:rsidR="00CF0F96" w:rsidRPr="00CF0F96">
          <w:rPr>
            <w:noProof/>
            <w:webHidden/>
            <w:sz w:val="22"/>
            <w:szCs w:val="20"/>
          </w:rPr>
          <w:tab/>
        </w:r>
        <w:r w:rsidR="00CF0F96" w:rsidRPr="00CF0F96">
          <w:rPr>
            <w:noProof/>
            <w:webHidden/>
            <w:sz w:val="22"/>
            <w:szCs w:val="20"/>
          </w:rPr>
          <w:fldChar w:fldCharType="begin"/>
        </w:r>
        <w:r w:rsidR="00CF0F96" w:rsidRPr="00CF0F96">
          <w:rPr>
            <w:noProof/>
            <w:webHidden/>
            <w:sz w:val="22"/>
            <w:szCs w:val="20"/>
          </w:rPr>
          <w:instrText xml:space="preserve"> PAGEREF _Toc202455573 \h </w:instrText>
        </w:r>
        <w:r w:rsidR="00CF0F96" w:rsidRPr="00CF0F96">
          <w:rPr>
            <w:noProof/>
            <w:webHidden/>
            <w:sz w:val="22"/>
            <w:szCs w:val="20"/>
          </w:rPr>
        </w:r>
        <w:r w:rsidR="00CF0F96" w:rsidRPr="00CF0F96">
          <w:rPr>
            <w:noProof/>
            <w:webHidden/>
            <w:sz w:val="22"/>
            <w:szCs w:val="20"/>
          </w:rPr>
          <w:fldChar w:fldCharType="separate"/>
        </w:r>
        <w:r w:rsidR="00CF0F96" w:rsidRPr="00CF0F96">
          <w:rPr>
            <w:noProof/>
            <w:webHidden/>
            <w:sz w:val="22"/>
            <w:szCs w:val="20"/>
          </w:rPr>
          <w:t>72</w:t>
        </w:r>
        <w:r w:rsidR="00CF0F96" w:rsidRPr="00CF0F96">
          <w:rPr>
            <w:noProof/>
            <w:webHidden/>
            <w:sz w:val="22"/>
            <w:szCs w:val="20"/>
          </w:rPr>
          <w:fldChar w:fldCharType="end"/>
        </w:r>
      </w:hyperlink>
    </w:p>
    <w:p w14:paraId="44ABB5C0" w14:textId="3FA63E97" w:rsidR="00CF0F96" w:rsidRPr="00CF0F96" w:rsidRDefault="00000000">
      <w:pPr>
        <w:pStyle w:val="Tabladeilustraciones"/>
        <w:tabs>
          <w:tab w:val="right" w:leader="dot" w:pos="8920"/>
        </w:tabs>
        <w:rPr>
          <w:rFonts w:asciiTheme="minorHAnsi" w:eastAsiaTheme="minorEastAsia" w:hAnsiTheme="minorHAnsi"/>
          <w:noProof/>
          <w:color w:val="auto"/>
          <w:kern w:val="2"/>
          <w:sz w:val="20"/>
          <w:szCs w:val="20"/>
          <w:lang w:val="es-HN" w:eastAsia="es-HN"/>
          <w14:ligatures w14:val="standardContextual"/>
        </w:rPr>
      </w:pPr>
      <w:hyperlink w:anchor="_Toc202455574" w:history="1">
        <w:r w:rsidR="00CF0F96" w:rsidRPr="00CF0F96">
          <w:rPr>
            <w:rStyle w:val="Hipervnculo"/>
            <w:noProof/>
            <w:sz w:val="22"/>
            <w:szCs w:val="20"/>
          </w:rPr>
          <w:t>Ilustración 12: Mapa Sitio Ramsar Laguna de Zambuco</w:t>
        </w:r>
        <w:r w:rsidR="00CF0F96" w:rsidRPr="00CF0F96">
          <w:rPr>
            <w:noProof/>
            <w:webHidden/>
            <w:sz w:val="22"/>
            <w:szCs w:val="20"/>
          </w:rPr>
          <w:tab/>
        </w:r>
        <w:r w:rsidR="00CF0F96" w:rsidRPr="00CF0F96">
          <w:rPr>
            <w:noProof/>
            <w:webHidden/>
            <w:sz w:val="22"/>
            <w:szCs w:val="20"/>
          </w:rPr>
          <w:fldChar w:fldCharType="begin"/>
        </w:r>
        <w:r w:rsidR="00CF0F96" w:rsidRPr="00CF0F96">
          <w:rPr>
            <w:noProof/>
            <w:webHidden/>
            <w:sz w:val="22"/>
            <w:szCs w:val="20"/>
          </w:rPr>
          <w:instrText xml:space="preserve"> PAGEREF _Toc202455574 \h </w:instrText>
        </w:r>
        <w:r w:rsidR="00CF0F96" w:rsidRPr="00CF0F96">
          <w:rPr>
            <w:noProof/>
            <w:webHidden/>
            <w:sz w:val="22"/>
            <w:szCs w:val="20"/>
          </w:rPr>
        </w:r>
        <w:r w:rsidR="00CF0F96" w:rsidRPr="00CF0F96">
          <w:rPr>
            <w:noProof/>
            <w:webHidden/>
            <w:sz w:val="22"/>
            <w:szCs w:val="20"/>
          </w:rPr>
          <w:fldChar w:fldCharType="separate"/>
        </w:r>
        <w:r w:rsidR="00CF0F96" w:rsidRPr="00CF0F96">
          <w:rPr>
            <w:noProof/>
            <w:webHidden/>
            <w:sz w:val="22"/>
            <w:szCs w:val="20"/>
          </w:rPr>
          <w:t>75</w:t>
        </w:r>
        <w:r w:rsidR="00CF0F96" w:rsidRPr="00CF0F96">
          <w:rPr>
            <w:noProof/>
            <w:webHidden/>
            <w:sz w:val="22"/>
            <w:szCs w:val="20"/>
          </w:rPr>
          <w:fldChar w:fldCharType="end"/>
        </w:r>
      </w:hyperlink>
    </w:p>
    <w:p w14:paraId="0A685FC5" w14:textId="79D1CABB" w:rsidR="00CF0F96" w:rsidRPr="00CF0F96" w:rsidRDefault="00000000">
      <w:pPr>
        <w:pStyle w:val="Tabladeilustraciones"/>
        <w:tabs>
          <w:tab w:val="right" w:leader="dot" w:pos="8920"/>
        </w:tabs>
        <w:rPr>
          <w:rFonts w:asciiTheme="minorHAnsi" w:eastAsiaTheme="minorEastAsia" w:hAnsiTheme="minorHAnsi"/>
          <w:noProof/>
          <w:color w:val="auto"/>
          <w:kern w:val="2"/>
          <w:sz w:val="20"/>
          <w:szCs w:val="20"/>
          <w:lang w:val="es-HN" w:eastAsia="es-HN"/>
          <w14:ligatures w14:val="standardContextual"/>
        </w:rPr>
      </w:pPr>
      <w:hyperlink w:anchor="_Toc202455575" w:history="1">
        <w:r w:rsidR="00CF0F96" w:rsidRPr="00CF0F96">
          <w:rPr>
            <w:rStyle w:val="Hipervnculo"/>
            <w:noProof/>
            <w:sz w:val="22"/>
            <w:szCs w:val="20"/>
          </w:rPr>
          <w:t>Ilustración 13: Mapa Sitio Ramsar Cuyamel Omoa</w:t>
        </w:r>
        <w:r w:rsidR="00CF0F96" w:rsidRPr="00CF0F96">
          <w:rPr>
            <w:noProof/>
            <w:webHidden/>
            <w:sz w:val="22"/>
            <w:szCs w:val="20"/>
          </w:rPr>
          <w:tab/>
        </w:r>
        <w:r w:rsidR="00CF0F96" w:rsidRPr="00CF0F96">
          <w:rPr>
            <w:noProof/>
            <w:webHidden/>
            <w:sz w:val="22"/>
            <w:szCs w:val="20"/>
          </w:rPr>
          <w:fldChar w:fldCharType="begin"/>
        </w:r>
        <w:r w:rsidR="00CF0F96" w:rsidRPr="00CF0F96">
          <w:rPr>
            <w:noProof/>
            <w:webHidden/>
            <w:sz w:val="22"/>
            <w:szCs w:val="20"/>
          </w:rPr>
          <w:instrText xml:space="preserve"> PAGEREF _Toc202455575 \h </w:instrText>
        </w:r>
        <w:r w:rsidR="00CF0F96" w:rsidRPr="00CF0F96">
          <w:rPr>
            <w:noProof/>
            <w:webHidden/>
            <w:sz w:val="22"/>
            <w:szCs w:val="20"/>
          </w:rPr>
        </w:r>
        <w:r w:rsidR="00CF0F96" w:rsidRPr="00CF0F96">
          <w:rPr>
            <w:noProof/>
            <w:webHidden/>
            <w:sz w:val="22"/>
            <w:szCs w:val="20"/>
          </w:rPr>
          <w:fldChar w:fldCharType="separate"/>
        </w:r>
        <w:r w:rsidR="00CF0F96" w:rsidRPr="00CF0F96">
          <w:rPr>
            <w:noProof/>
            <w:webHidden/>
            <w:sz w:val="22"/>
            <w:szCs w:val="20"/>
          </w:rPr>
          <w:t>76</w:t>
        </w:r>
        <w:r w:rsidR="00CF0F96" w:rsidRPr="00CF0F96">
          <w:rPr>
            <w:noProof/>
            <w:webHidden/>
            <w:sz w:val="22"/>
            <w:szCs w:val="20"/>
          </w:rPr>
          <w:fldChar w:fldCharType="end"/>
        </w:r>
      </w:hyperlink>
    </w:p>
    <w:p w14:paraId="612EB3F3" w14:textId="1AA0A283" w:rsidR="00CF0F96" w:rsidRPr="00CF0F96" w:rsidRDefault="00000000">
      <w:pPr>
        <w:pStyle w:val="Tabladeilustraciones"/>
        <w:tabs>
          <w:tab w:val="right" w:leader="dot" w:pos="8920"/>
        </w:tabs>
        <w:rPr>
          <w:rFonts w:asciiTheme="minorHAnsi" w:eastAsiaTheme="minorEastAsia" w:hAnsiTheme="minorHAnsi"/>
          <w:noProof/>
          <w:color w:val="auto"/>
          <w:kern w:val="2"/>
          <w:sz w:val="20"/>
          <w:szCs w:val="20"/>
          <w:lang w:val="es-HN" w:eastAsia="es-HN"/>
          <w14:ligatures w14:val="standardContextual"/>
        </w:rPr>
      </w:pPr>
      <w:hyperlink w:anchor="_Toc202455576" w:history="1">
        <w:r w:rsidR="00CF0F96" w:rsidRPr="00CF0F96">
          <w:rPr>
            <w:rStyle w:val="Hipervnculo"/>
            <w:noProof/>
            <w:sz w:val="22"/>
            <w:szCs w:val="20"/>
          </w:rPr>
          <w:t>Ilustración 14: Mapa SItio Ramsar Layo de Yojoa</w:t>
        </w:r>
        <w:r w:rsidR="00CF0F96" w:rsidRPr="00CF0F96">
          <w:rPr>
            <w:noProof/>
            <w:webHidden/>
            <w:sz w:val="22"/>
            <w:szCs w:val="20"/>
          </w:rPr>
          <w:tab/>
        </w:r>
        <w:r w:rsidR="00CF0F96" w:rsidRPr="00CF0F96">
          <w:rPr>
            <w:noProof/>
            <w:webHidden/>
            <w:sz w:val="22"/>
            <w:szCs w:val="20"/>
          </w:rPr>
          <w:fldChar w:fldCharType="begin"/>
        </w:r>
        <w:r w:rsidR="00CF0F96" w:rsidRPr="00CF0F96">
          <w:rPr>
            <w:noProof/>
            <w:webHidden/>
            <w:sz w:val="22"/>
            <w:szCs w:val="20"/>
          </w:rPr>
          <w:instrText xml:space="preserve"> PAGEREF _Toc202455576 \h </w:instrText>
        </w:r>
        <w:r w:rsidR="00CF0F96" w:rsidRPr="00CF0F96">
          <w:rPr>
            <w:noProof/>
            <w:webHidden/>
            <w:sz w:val="22"/>
            <w:szCs w:val="20"/>
          </w:rPr>
        </w:r>
        <w:r w:rsidR="00CF0F96" w:rsidRPr="00CF0F96">
          <w:rPr>
            <w:noProof/>
            <w:webHidden/>
            <w:sz w:val="22"/>
            <w:szCs w:val="20"/>
          </w:rPr>
          <w:fldChar w:fldCharType="separate"/>
        </w:r>
        <w:r w:rsidR="00CF0F96" w:rsidRPr="00CF0F96">
          <w:rPr>
            <w:noProof/>
            <w:webHidden/>
            <w:sz w:val="22"/>
            <w:szCs w:val="20"/>
          </w:rPr>
          <w:t>77</w:t>
        </w:r>
        <w:r w:rsidR="00CF0F96" w:rsidRPr="00CF0F96">
          <w:rPr>
            <w:noProof/>
            <w:webHidden/>
            <w:sz w:val="22"/>
            <w:szCs w:val="20"/>
          </w:rPr>
          <w:fldChar w:fldCharType="end"/>
        </w:r>
      </w:hyperlink>
    </w:p>
    <w:p w14:paraId="57BA51A2" w14:textId="45475EFB" w:rsidR="00CF0F96" w:rsidRPr="00CF0F96" w:rsidRDefault="00000000">
      <w:pPr>
        <w:pStyle w:val="Tabladeilustraciones"/>
        <w:tabs>
          <w:tab w:val="right" w:leader="dot" w:pos="8920"/>
        </w:tabs>
        <w:rPr>
          <w:rFonts w:asciiTheme="minorHAnsi" w:eastAsiaTheme="minorEastAsia" w:hAnsiTheme="minorHAnsi"/>
          <w:noProof/>
          <w:color w:val="auto"/>
          <w:kern w:val="2"/>
          <w:sz w:val="20"/>
          <w:szCs w:val="20"/>
          <w:lang w:val="es-HN" w:eastAsia="es-HN"/>
          <w14:ligatures w14:val="standardContextual"/>
        </w:rPr>
      </w:pPr>
      <w:hyperlink w:anchor="_Toc202455577" w:history="1">
        <w:r w:rsidR="00CF0F96" w:rsidRPr="00CF0F96">
          <w:rPr>
            <w:rStyle w:val="Hipervnculo"/>
            <w:noProof/>
            <w:sz w:val="22"/>
            <w:szCs w:val="20"/>
          </w:rPr>
          <w:t>Ilustración 15: Mapa de Humedales Zona Sur</w:t>
        </w:r>
        <w:r w:rsidR="00CF0F96" w:rsidRPr="00CF0F96">
          <w:rPr>
            <w:noProof/>
            <w:webHidden/>
            <w:sz w:val="22"/>
            <w:szCs w:val="20"/>
          </w:rPr>
          <w:tab/>
        </w:r>
        <w:r w:rsidR="00CF0F96" w:rsidRPr="00CF0F96">
          <w:rPr>
            <w:noProof/>
            <w:webHidden/>
            <w:sz w:val="22"/>
            <w:szCs w:val="20"/>
          </w:rPr>
          <w:fldChar w:fldCharType="begin"/>
        </w:r>
        <w:r w:rsidR="00CF0F96" w:rsidRPr="00CF0F96">
          <w:rPr>
            <w:noProof/>
            <w:webHidden/>
            <w:sz w:val="22"/>
            <w:szCs w:val="20"/>
          </w:rPr>
          <w:instrText xml:space="preserve"> PAGEREF _Toc202455577 \h </w:instrText>
        </w:r>
        <w:r w:rsidR="00CF0F96" w:rsidRPr="00CF0F96">
          <w:rPr>
            <w:noProof/>
            <w:webHidden/>
            <w:sz w:val="22"/>
            <w:szCs w:val="20"/>
          </w:rPr>
        </w:r>
        <w:r w:rsidR="00CF0F96" w:rsidRPr="00CF0F96">
          <w:rPr>
            <w:noProof/>
            <w:webHidden/>
            <w:sz w:val="22"/>
            <w:szCs w:val="20"/>
          </w:rPr>
          <w:fldChar w:fldCharType="separate"/>
        </w:r>
        <w:r w:rsidR="00CF0F96" w:rsidRPr="00CF0F96">
          <w:rPr>
            <w:noProof/>
            <w:webHidden/>
            <w:sz w:val="22"/>
            <w:szCs w:val="20"/>
          </w:rPr>
          <w:t>78</w:t>
        </w:r>
        <w:r w:rsidR="00CF0F96" w:rsidRPr="00CF0F96">
          <w:rPr>
            <w:noProof/>
            <w:webHidden/>
            <w:sz w:val="22"/>
            <w:szCs w:val="20"/>
          </w:rPr>
          <w:fldChar w:fldCharType="end"/>
        </w:r>
      </w:hyperlink>
    </w:p>
    <w:p w14:paraId="21DAA452" w14:textId="01C3DAB5" w:rsidR="00CF0F96" w:rsidRPr="00CF0F96" w:rsidRDefault="00000000">
      <w:pPr>
        <w:pStyle w:val="Tabladeilustraciones"/>
        <w:tabs>
          <w:tab w:val="right" w:leader="dot" w:pos="8920"/>
        </w:tabs>
        <w:rPr>
          <w:rFonts w:asciiTheme="minorHAnsi" w:eastAsiaTheme="minorEastAsia" w:hAnsiTheme="minorHAnsi"/>
          <w:noProof/>
          <w:color w:val="auto"/>
          <w:kern w:val="2"/>
          <w:sz w:val="20"/>
          <w:szCs w:val="20"/>
          <w:lang w:val="es-HN" w:eastAsia="es-HN"/>
          <w14:ligatures w14:val="standardContextual"/>
        </w:rPr>
      </w:pPr>
      <w:hyperlink w:anchor="_Toc202455578" w:history="1">
        <w:r w:rsidR="00CF0F96" w:rsidRPr="00CF0F96">
          <w:rPr>
            <w:rStyle w:val="Hipervnculo"/>
            <w:noProof/>
            <w:sz w:val="22"/>
            <w:szCs w:val="20"/>
          </w:rPr>
          <w:t>Ilustración 16: Mapa de Humedales en los Departamentos de Influencia de COMRURAL III</w:t>
        </w:r>
        <w:r w:rsidR="00CF0F96" w:rsidRPr="00CF0F96">
          <w:rPr>
            <w:noProof/>
            <w:webHidden/>
            <w:sz w:val="22"/>
            <w:szCs w:val="20"/>
          </w:rPr>
          <w:tab/>
        </w:r>
        <w:r w:rsidR="00CF0F96" w:rsidRPr="00CF0F96">
          <w:rPr>
            <w:noProof/>
            <w:webHidden/>
            <w:sz w:val="22"/>
            <w:szCs w:val="20"/>
          </w:rPr>
          <w:fldChar w:fldCharType="begin"/>
        </w:r>
        <w:r w:rsidR="00CF0F96" w:rsidRPr="00CF0F96">
          <w:rPr>
            <w:noProof/>
            <w:webHidden/>
            <w:sz w:val="22"/>
            <w:szCs w:val="20"/>
          </w:rPr>
          <w:instrText xml:space="preserve"> PAGEREF _Toc202455578 \h </w:instrText>
        </w:r>
        <w:r w:rsidR="00CF0F96" w:rsidRPr="00CF0F96">
          <w:rPr>
            <w:noProof/>
            <w:webHidden/>
            <w:sz w:val="22"/>
            <w:szCs w:val="20"/>
          </w:rPr>
        </w:r>
        <w:r w:rsidR="00CF0F96" w:rsidRPr="00CF0F96">
          <w:rPr>
            <w:noProof/>
            <w:webHidden/>
            <w:sz w:val="22"/>
            <w:szCs w:val="20"/>
          </w:rPr>
          <w:fldChar w:fldCharType="separate"/>
        </w:r>
        <w:r w:rsidR="00CF0F96" w:rsidRPr="00CF0F96">
          <w:rPr>
            <w:noProof/>
            <w:webHidden/>
            <w:sz w:val="22"/>
            <w:szCs w:val="20"/>
          </w:rPr>
          <w:t>78</w:t>
        </w:r>
        <w:r w:rsidR="00CF0F96" w:rsidRPr="00CF0F96">
          <w:rPr>
            <w:noProof/>
            <w:webHidden/>
            <w:sz w:val="22"/>
            <w:szCs w:val="20"/>
          </w:rPr>
          <w:fldChar w:fldCharType="end"/>
        </w:r>
      </w:hyperlink>
    </w:p>
    <w:p w14:paraId="5BDEA9EA" w14:textId="7880B942" w:rsidR="00CF0F96" w:rsidRPr="00CF0F96" w:rsidRDefault="00000000">
      <w:pPr>
        <w:pStyle w:val="Tabladeilustraciones"/>
        <w:tabs>
          <w:tab w:val="right" w:leader="dot" w:pos="8920"/>
        </w:tabs>
        <w:rPr>
          <w:rFonts w:asciiTheme="minorHAnsi" w:eastAsiaTheme="minorEastAsia" w:hAnsiTheme="minorHAnsi"/>
          <w:noProof/>
          <w:color w:val="auto"/>
          <w:kern w:val="2"/>
          <w:sz w:val="20"/>
          <w:szCs w:val="20"/>
          <w:lang w:val="es-HN" w:eastAsia="es-HN"/>
          <w14:ligatures w14:val="standardContextual"/>
        </w:rPr>
      </w:pPr>
      <w:hyperlink w:anchor="_Toc202455579" w:history="1">
        <w:r w:rsidR="00CF0F96" w:rsidRPr="00CF0F96">
          <w:rPr>
            <w:rStyle w:val="Hipervnculo"/>
            <w:noProof/>
            <w:sz w:val="22"/>
            <w:szCs w:val="20"/>
          </w:rPr>
          <w:t>Ilustración 17: Mapa de Corredores Biológicos en los Departamentos de Influencia de COMRURAL III</w:t>
        </w:r>
        <w:r w:rsidR="00CF0F96" w:rsidRPr="00CF0F96">
          <w:rPr>
            <w:noProof/>
            <w:webHidden/>
            <w:sz w:val="22"/>
            <w:szCs w:val="20"/>
          </w:rPr>
          <w:tab/>
        </w:r>
        <w:r w:rsidR="00CF0F96" w:rsidRPr="00CF0F96">
          <w:rPr>
            <w:noProof/>
            <w:webHidden/>
            <w:sz w:val="22"/>
            <w:szCs w:val="20"/>
          </w:rPr>
          <w:fldChar w:fldCharType="begin"/>
        </w:r>
        <w:r w:rsidR="00CF0F96" w:rsidRPr="00CF0F96">
          <w:rPr>
            <w:noProof/>
            <w:webHidden/>
            <w:sz w:val="22"/>
            <w:szCs w:val="20"/>
          </w:rPr>
          <w:instrText xml:space="preserve"> PAGEREF _Toc202455579 \h </w:instrText>
        </w:r>
        <w:r w:rsidR="00CF0F96" w:rsidRPr="00CF0F96">
          <w:rPr>
            <w:noProof/>
            <w:webHidden/>
            <w:sz w:val="22"/>
            <w:szCs w:val="20"/>
          </w:rPr>
        </w:r>
        <w:r w:rsidR="00CF0F96" w:rsidRPr="00CF0F96">
          <w:rPr>
            <w:noProof/>
            <w:webHidden/>
            <w:sz w:val="22"/>
            <w:szCs w:val="20"/>
          </w:rPr>
          <w:fldChar w:fldCharType="separate"/>
        </w:r>
        <w:r w:rsidR="00CF0F96" w:rsidRPr="00CF0F96">
          <w:rPr>
            <w:noProof/>
            <w:webHidden/>
            <w:sz w:val="22"/>
            <w:szCs w:val="20"/>
          </w:rPr>
          <w:t>82</w:t>
        </w:r>
        <w:r w:rsidR="00CF0F96" w:rsidRPr="00CF0F96">
          <w:rPr>
            <w:noProof/>
            <w:webHidden/>
            <w:sz w:val="22"/>
            <w:szCs w:val="20"/>
          </w:rPr>
          <w:fldChar w:fldCharType="end"/>
        </w:r>
      </w:hyperlink>
    </w:p>
    <w:p w14:paraId="082964D5" w14:textId="697B75DD" w:rsidR="00CF0F96" w:rsidRPr="00CF0F96" w:rsidRDefault="00000000">
      <w:pPr>
        <w:pStyle w:val="Tabladeilustraciones"/>
        <w:tabs>
          <w:tab w:val="right" w:leader="dot" w:pos="8920"/>
        </w:tabs>
        <w:rPr>
          <w:rFonts w:asciiTheme="minorHAnsi" w:eastAsiaTheme="minorEastAsia" w:hAnsiTheme="minorHAnsi"/>
          <w:noProof/>
          <w:color w:val="auto"/>
          <w:kern w:val="2"/>
          <w:sz w:val="20"/>
          <w:szCs w:val="20"/>
          <w:lang w:val="es-HN" w:eastAsia="es-HN"/>
          <w14:ligatures w14:val="standardContextual"/>
        </w:rPr>
      </w:pPr>
      <w:hyperlink w:anchor="_Toc202455580" w:history="1">
        <w:r w:rsidR="00CF0F96" w:rsidRPr="00CF0F96">
          <w:rPr>
            <w:rStyle w:val="Hipervnculo"/>
            <w:noProof/>
            <w:sz w:val="22"/>
            <w:szCs w:val="20"/>
          </w:rPr>
          <w:t>Ilustración 18: Mapa de Honduras y Cobertura ComRural III</w:t>
        </w:r>
        <w:r w:rsidR="00CF0F96" w:rsidRPr="00CF0F96">
          <w:rPr>
            <w:noProof/>
            <w:webHidden/>
            <w:sz w:val="22"/>
            <w:szCs w:val="20"/>
          </w:rPr>
          <w:tab/>
        </w:r>
        <w:r w:rsidR="00CF0F96" w:rsidRPr="00CF0F96">
          <w:rPr>
            <w:noProof/>
            <w:webHidden/>
            <w:sz w:val="22"/>
            <w:szCs w:val="20"/>
          </w:rPr>
          <w:fldChar w:fldCharType="begin"/>
        </w:r>
        <w:r w:rsidR="00CF0F96" w:rsidRPr="00CF0F96">
          <w:rPr>
            <w:noProof/>
            <w:webHidden/>
            <w:sz w:val="22"/>
            <w:szCs w:val="20"/>
          </w:rPr>
          <w:instrText xml:space="preserve"> PAGEREF _Toc202455580 \h </w:instrText>
        </w:r>
        <w:r w:rsidR="00CF0F96" w:rsidRPr="00CF0F96">
          <w:rPr>
            <w:noProof/>
            <w:webHidden/>
            <w:sz w:val="22"/>
            <w:szCs w:val="20"/>
          </w:rPr>
        </w:r>
        <w:r w:rsidR="00CF0F96" w:rsidRPr="00CF0F96">
          <w:rPr>
            <w:noProof/>
            <w:webHidden/>
            <w:sz w:val="22"/>
            <w:szCs w:val="20"/>
          </w:rPr>
          <w:fldChar w:fldCharType="separate"/>
        </w:r>
        <w:r w:rsidR="00CF0F96" w:rsidRPr="00CF0F96">
          <w:rPr>
            <w:noProof/>
            <w:webHidden/>
            <w:sz w:val="22"/>
            <w:szCs w:val="20"/>
          </w:rPr>
          <w:t>84</w:t>
        </w:r>
        <w:r w:rsidR="00CF0F96" w:rsidRPr="00CF0F96">
          <w:rPr>
            <w:noProof/>
            <w:webHidden/>
            <w:sz w:val="22"/>
            <w:szCs w:val="20"/>
          </w:rPr>
          <w:fldChar w:fldCharType="end"/>
        </w:r>
      </w:hyperlink>
    </w:p>
    <w:p w14:paraId="370DE54B" w14:textId="1ACCBA19" w:rsidR="00CF0F96" w:rsidRPr="00CF0F96" w:rsidRDefault="00000000">
      <w:pPr>
        <w:pStyle w:val="Tabladeilustraciones"/>
        <w:tabs>
          <w:tab w:val="right" w:leader="dot" w:pos="8920"/>
        </w:tabs>
        <w:rPr>
          <w:rFonts w:asciiTheme="minorHAnsi" w:eastAsiaTheme="minorEastAsia" w:hAnsiTheme="minorHAnsi"/>
          <w:noProof/>
          <w:color w:val="auto"/>
          <w:kern w:val="2"/>
          <w:sz w:val="20"/>
          <w:szCs w:val="20"/>
          <w:lang w:val="es-HN" w:eastAsia="es-HN"/>
          <w14:ligatures w14:val="standardContextual"/>
        </w:rPr>
      </w:pPr>
      <w:hyperlink w:anchor="_Toc202455581" w:history="1">
        <w:r w:rsidR="00CF0F96" w:rsidRPr="00CF0F96">
          <w:rPr>
            <w:rStyle w:val="Hipervnculo"/>
            <w:noProof/>
            <w:sz w:val="22"/>
            <w:szCs w:val="20"/>
          </w:rPr>
          <w:t>Ilustración 19: Fuerza de Trabajo Según Rango de Edad</w:t>
        </w:r>
        <w:r w:rsidR="00CF0F96" w:rsidRPr="00CF0F96">
          <w:rPr>
            <w:noProof/>
            <w:webHidden/>
            <w:sz w:val="22"/>
            <w:szCs w:val="20"/>
          </w:rPr>
          <w:tab/>
        </w:r>
        <w:r w:rsidR="00CF0F96" w:rsidRPr="00CF0F96">
          <w:rPr>
            <w:noProof/>
            <w:webHidden/>
            <w:sz w:val="22"/>
            <w:szCs w:val="20"/>
          </w:rPr>
          <w:fldChar w:fldCharType="begin"/>
        </w:r>
        <w:r w:rsidR="00CF0F96" w:rsidRPr="00CF0F96">
          <w:rPr>
            <w:noProof/>
            <w:webHidden/>
            <w:sz w:val="22"/>
            <w:szCs w:val="20"/>
          </w:rPr>
          <w:instrText xml:space="preserve"> PAGEREF _Toc202455581 \h </w:instrText>
        </w:r>
        <w:r w:rsidR="00CF0F96" w:rsidRPr="00CF0F96">
          <w:rPr>
            <w:noProof/>
            <w:webHidden/>
            <w:sz w:val="22"/>
            <w:szCs w:val="20"/>
          </w:rPr>
        </w:r>
        <w:r w:rsidR="00CF0F96" w:rsidRPr="00CF0F96">
          <w:rPr>
            <w:noProof/>
            <w:webHidden/>
            <w:sz w:val="22"/>
            <w:szCs w:val="20"/>
          </w:rPr>
          <w:fldChar w:fldCharType="separate"/>
        </w:r>
        <w:r w:rsidR="00CF0F96" w:rsidRPr="00CF0F96">
          <w:rPr>
            <w:noProof/>
            <w:webHidden/>
            <w:sz w:val="22"/>
            <w:szCs w:val="20"/>
          </w:rPr>
          <w:t>87</w:t>
        </w:r>
        <w:r w:rsidR="00CF0F96" w:rsidRPr="00CF0F96">
          <w:rPr>
            <w:noProof/>
            <w:webHidden/>
            <w:sz w:val="22"/>
            <w:szCs w:val="20"/>
          </w:rPr>
          <w:fldChar w:fldCharType="end"/>
        </w:r>
      </w:hyperlink>
    </w:p>
    <w:p w14:paraId="2B2244A4" w14:textId="5E13A377" w:rsidR="00CF0F96" w:rsidRPr="00CF0F96" w:rsidRDefault="00000000">
      <w:pPr>
        <w:pStyle w:val="Tabladeilustraciones"/>
        <w:tabs>
          <w:tab w:val="right" w:leader="dot" w:pos="8920"/>
        </w:tabs>
        <w:rPr>
          <w:rFonts w:asciiTheme="minorHAnsi" w:eastAsiaTheme="minorEastAsia" w:hAnsiTheme="minorHAnsi"/>
          <w:noProof/>
          <w:color w:val="auto"/>
          <w:kern w:val="2"/>
          <w:sz w:val="20"/>
          <w:szCs w:val="20"/>
          <w:lang w:val="es-HN" w:eastAsia="es-HN"/>
          <w14:ligatures w14:val="standardContextual"/>
        </w:rPr>
      </w:pPr>
      <w:hyperlink w:anchor="_Toc202455582" w:history="1">
        <w:r w:rsidR="00CF0F96" w:rsidRPr="00CF0F96">
          <w:rPr>
            <w:rStyle w:val="Hipervnculo"/>
            <w:noProof/>
            <w:sz w:val="22"/>
            <w:szCs w:val="20"/>
          </w:rPr>
          <w:t>Ilustración 20: Comparativo Anual</w:t>
        </w:r>
        <w:r w:rsidR="00CF0F96" w:rsidRPr="00CF0F96">
          <w:rPr>
            <w:noProof/>
            <w:webHidden/>
            <w:sz w:val="22"/>
            <w:szCs w:val="20"/>
          </w:rPr>
          <w:tab/>
        </w:r>
        <w:r w:rsidR="00CF0F96" w:rsidRPr="00CF0F96">
          <w:rPr>
            <w:noProof/>
            <w:webHidden/>
            <w:sz w:val="22"/>
            <w:szCs w:val="20"/>
          </w:rPr>
          <w:fldChar w:fldCharType="begin"/>
        </w:r>
        <w:r w:rsidR="00CF0F96" w:rsidRPr="00CF0F96">
          <w:rPr>
            <w:noProof/>
            <w:webHidden/>
            <w:sz w:val="22"/>
            <w:szCs w:val="20"/>
          </w:rPr>
          <w:instrText xml:space="preserve"> PAGEREF _Toc202455582 \h </w:instrText>
        </w:r>
        <w:r w:rsidR="00CF0F96" w:rsidRPr="00CF0F96">
          <w:rPr>
            <w:noProof/>
            <w:webHidden/>
            <w:sz w:val="22"/>
            <w:szCs w:val="20"/>
          </w:rPr>
        </w:r>
        <w:r w:rsidR="00CF0F96" w:rsidRPr="00CF0F96">
          <w:rPr>
            <w:noProof/>
            <w:webHidden/>
            <w:sz w:val="22"/>
            <w:szCs w:val="20"/>
          </w:rPr>
          <w:fldChar w:fldCharType="separate"/>
        </w:r>
        <w:r w:rsidR="00CF0F96" w:rsidRPr="00CF0F96">
          <w:rPr>
            <w:noProof/>
            <w:webHidden/>
            <w:sz w:val="22"/>
            <w:szCs w:val="20"/>
          </w:rPr>
          <w:t>87</w:t>
        </w:r>
        <w:r w:rsidR="00CF0F96" w:rsidRPr="00CF0F96">
          <w:rPr>
            <w:noProof/>
            <w:webHidden/>
            <w:sz w:val="22"/>
            <w:szCs w:val="20"/>
          </w:rPr>
          <w:fldChar w:fldCharType="end"/>
        </w:r>
      </w:hyperlink>
    </w:p>
    <w:p w14:paraId="5CB00B9D" w14:textId="5BDC08D1" w:rsidR="00CF0F96" w:rsidRPr="00CF0F96" w:rsidRDefault="00000000">
      <w:pPr>
        <w:pStyle w:val="Tabladeilustraciones"/>
        <w:tabs>
          <w:tab w:val="right" w:leader="dot" w:pos="8920"/>
        </w:tabs>
        <w:rPr>
          <w:rFonts w:asciiTheme="minorHAnsi" w:eastAsiaTheme="minorEastAsia" w:hAnsiTheme="minorHAnsi"/>
          <w:noProof/>
          <w:color w:val="auto"/>
          <w:kern w:val="2"/>
          <w:sz w:val="20"/>
          <w:szCs w:val="20"/>
          <w:lang w:val="es-HN" w:eastAsia="es-HN"/>
          <w14:ligatures w14:val="standardContextual"/>
        </w:rPr>
      </w:pPr>
      <w:hyperlink w:anchor="_Toc202455583" w:history="1">
        <w:r w:rsidR="00CF0F96" w:rsidRPr="00CF0F96">
          <w:rPr>
            <w:rStyle w:val="Hipervnculo"/>
            <w:noProof/>
            <w:sz w:val="22"/>
            <w:szCs w:val="20"/>
          </w:rPr>
          <w:t>Ilustración 21: Participación Laboral Según Sexo</w:t>
        </w:r>
        <w:r w:rsidR="00CF0F96" w:rsidRPr="00CF0F96">
          <w:rPr>
            <w:noProof/>
            <w:webHidden/>
            <w:sz w:val="22"/>
            <w:szCs w:val="20"/>
          </w:rPr>
          <w:tab/>
        </w:r>
        <w:r w:rsidR="00CF0F96" w:rsidRPr="00CF0F96">
          <w:rPr>
            <w:noProof/>
            <w:webHidden/>
            <w:sz w:val="22"/>
            <w:szCs w:val="20"/>
          </w:rPr>
          <w:fldChar w:fldCharType="begin"/>
        </w:r>
        <w:r w:rsidR="00CF0F96" w:rsidRPr="00CF0F96">
          <w:rPr>
            <w:noProof/>
            <w:webHidden/>
            <w:sz w:val="22"/>
            <w:szCs w:val="20"/>
          </w:rPr>
          <w:instrText xml:space="preserve"> PAGEREF _Toc202455583 \h </w:instrText>
        </w:r>
        <w:r w:rsidR="00CF0F96" w:rsidRPr="00CF0F96">
          <w:rPr>
            <w:noProof/>
            <w:webHidden/>
            <w:sz w:val="22"/>
            <w:szCs w:val="20"/>
          </w:rPr>
        </w:r>
        <w:r w:rsidR="00CF0F96" w:rsidRPr="00CF0F96">
          <w:rPr>
            <w:noProof/>
            <w:webHidden/>
            <w:sz w:val="22"/>
            <w:szCs w:val="20"/>
          </w:rPr>
          <w:fldChar w:fldCharType="separate"/>
        </w:r>
        <w:r w:rsidR="00CF0F96" w:rsidRPr="00CF0F96">
          <w:rPr>
            <w:noProof/>
            <w:webHidden/>
            <w:sz w:val="22"/>
            <w:szCs w:val="20"/>
          </w:rPr>
          <w:t>88</w:t>
        </w:r>
        <w:r w:rsidR="00CF0F96" w:rsidRPr="00CF0F96">
          <w:rPr>
            <w:noProof/>
            <w:webHidden/>
            <w:sz w:val="22"/>
            <w:szCs w:val="20"/>
          </w:rPr>
          <w:fldChar w:fldCharType="end"/>
        </w:r>
      </w:hyperlink>
    </w:p>
    <w:p w14:paraId="68BA5D2D" w14:textId="161D3A16" w:rsidR="00CF0F96" w:rsidRPr="00CF0F96" w:rsidRDefault="00000000">
      <w:pPr>
        <w:pStyle w:val="Tabladeilustraciones"/>
        <w:tabs>
          <w:tab w:val="right" w:leader="dot" w:pos="8920"/>
        </w:tabs>
        <w:rPr>
          <w:rFonts w:asciiTheme="minorHAnsi" w:eastAsiaTheme="minorEastAsia" w:hAnsiTheme="minorHAnsi"/>
          <w:noProof/>
          <w:color w:val="auto"/>
          <w:kern w:val="2"/>
          <w:sz w:val="20"/>
          <w:szCs w:val="20"/>
          <w:lang w:val="es-HN" w:eastAsia="es-HN"/>
          <w14:ligatures w14:val="standardContextual"/>
        </w:rPr>
      </w:pPr>
      <w:hyperlink w:anchor="_Toc202455584" w:history="1">
        <w:r w:rsidR="00CF0F96" w:rsidRPr="00CF0F96">
          <w:rPr>
            <w:rStyle w:val="Hipervnculo"/>
            <w:noProof/>
            <w:sz w:val="22"/>
            <w:szCs w:val="20"/>
          </w:rPr>
          <w:t>Ilustración 22: Zonas de Medios de Vida y Descripciones</w:t>
        </w:r>
        <w:r w:rsidR="00CF0F96" w:rsidRPr="00CF0F96">
          <w:rPr>
            <w:noProof/>
            <w:webHidden/>
            <w:sz w:val="22"/>
            <w:szCs w:val="20"/>
          </w:rPr>
          <w:tab/>
        </w:r>
        <w:r w:rsidR="00CF0F96" w:rsidRPr="00CF0F96">
          <w:rPr>
            <w:noProof/>
            <w:webHidden/>
            <w:sz w:val="22"/>
            <w:szCs w:val="20"/>
          </w:rPr>
          <w:fldChar w:fldCharType="begin"/>
        </w:r>
        <w:r w:rsidR="00CF0F96" w:rsidRPr="00CF0F96">
          <w:rPr>
            <w:noProof/>
            <w:webHidden/>
            <w:sz w:val="22"/>
            <w:szCs w:val="20"/>
          </w:rPr>
          <w:instrText xml:space="preserve"> PAGEREF _Toc202455584 \h </w:instrText>
        </w:r>
        <w:r w:rsidR="00CF0F96" w:rsidRPr="00CF0F96">
          <w:rPr>
            <w:noProof/>
            <w:webHidden/>
            <w:sz w:val="22"/>
            <w:szCs w:val="20"/>
          </w:rPr>
        </w:r>
        <w:r w:rsidR="00CF0F96" w:rsidRPr="00CF0F96">
          <w:rPr>
            <w:noProof/>
            <w:webHidden/>
            <w:sz w:val="22"/>
            <w:szCs w:val="20"/>
          </w:rPr>
          <w:fldChar w:fldCharType="separate"/>
        </w:r>
        <w:r w:rsidR="00CF0F96" w:rsidRPr="00CF0F96">
          <w:rPr>
            <w:noProof/>
            <w:webHidden/>
            <w:sz w:val="22"/>
            <w:szCs w:val="20"/>
          </w:rPr>
          <w:t>93</w:t>
        </w:r>
        <w:r w:rsidR="00CF0F96" w:rsidRPr="00CF0F96">
          <w:rPr>
            <w:noProof/>
            <w:webHidden/>
            <w:sz w:val="22"/>
            <w:szCs w:val="20"/>
          </w:rPr>
          <w:fldChar w:fldCharType="end"/>
        </w:r>
      </w:hyperlink>
    </w:p>
    <w:p w14:paraId="50956AB4" w14:textId="47803CB1" w:rsidR="00CF0F96" w:rsidRPr="00CF0F96" w:rsidRDefault="00000000">
      <w:pPr>
        <w:pStyle w:val="Tabladeilustraciones"/>
        <w:tabs>
          <w:tab w:val="right" w:leader="dot" w:pos="8920"/>
        </w:tabs>
        <w:rPr>
          <w:rFonts w:asciiTheme="minorHAnsi" w:eastAsiaTheme="minorEastAsia" w:hAnsiTheme="minorHAnsi"/>
          <w:noProof/>
          <w:color w:val="auto"/>
          <w:kern w:val="2"/>
          <w:sz w:val="20"/>
          <w:szCs w:val="20"/>
          <w:lang w:val="es-HN" w:eastAsia="es-HN"/>
          <w14:ligatures w14:val="standardContextual"/>
        </w:rPr>
      </w:pPr>
      <w:hyperlink w:anchor="_Toc202455585" w:history="1">
        <w:r w:rsidR="00CF0F96" w:rsidRPr="00CF0F96">
          <w:rPr>
            <w:rStyle w:val="Hipervnculo"/>
            <w:noProof/>
            <w:sz w:val="22"/>
            <w:szCs w:val="20"/>
          </w:rPr>
          <w:t>Ilustración 23: Tasa de Homicidios por Departamento</w:t>
        </w:r>
        <w:r w:rsidR="00CF0F96" w:rsidRPr="00CF0F96">
          <w:rPr>
            <w:noProof/>
            <w:webHidden/>
            <w:sz w:val="22"/>
            <w:szCs w:val="20"/>
          </w:rPr>
          <w:tab/>
        </w:r>
        <w:r w:rsidR="00CF0F96" w:rsidRPr="00CF0F96">
          <w:rPr>
            <w:noProof/>
            <w:webHidden/>
            <w:sz w:val="22"/>
            <w:szCs w:val="20"/>
          </w:rPr>
          <w:fldChar w:fldCharType="begin"/>
        </w:r>
        <w:r w:rsidR="00CF0F96" w:rsidRPr="00CF0F96">
          <w:rPr>
            <w:noProof/>
            <w:webHidden/>
            <w:sz w:val="22"/>
            <w:szCs w:val="20"/>
          </w:rPr>
          <w:instrText xml:space="preserve"> PAGEREF _Toc202455585 \h </w:instrText>
        </w:r>
        <w:r w:rsidR="00CF0F96" w:rsidRPr="00CF0F96">
          <w:rPr>
            <w:noProof/>
            <w:webHidden/>
            <w:sz w:val="22"/>
            <w:szCs w:val="20"/>
          </w:rPr>
        </w:r>
        <w:r w:rsidR="00CF0F96" w:rsidRPr="00CF0F96">
          <w:rPr>
            <w:noProof/>
            <w:webHidden/>
            <w:sz w:val="22"/>
            <w:szCs w:val="20"/>
          </w:rPr>
          <w:fldChar w:fldCharType="separate"/>
        </w:r>
        <w:r w:rsidR="00CF0F96" w:rsidRPr="00CF0F96">
          <w:rPr>
            <w:noProof/>
            <w:webHidden/>
            <w:sz w:val="22"/>
            <w:szCs w:val="20"/>
          </w:rPr>
          <w:t>104</w:t>
        </w:r>
        <w:r w:rsidR="00CF0F96" w:rsidRPr="00CF0F96">
          <w:rPr>
            <w:noProof/>
            <w:webHidden/>
            <w:sz w:val="22"/>
            <w:szCs w:val="20"/>
          </w:rPr>
          <w:fldChar w:fldCharType="end"/>
        </w:r>
      </w:hyperlink>
    </w:p>
    <w:p w14:paraId="0F2B4FB0" w14:textId="38B17681" w:rsidR="00CF0F96" w:rsidRPr="00CF0F96" w:rsidRDefault="00000000">
      <w:pPr>
        <w:pStyle w:val="Tabladeilustraciones"/>
        <w:tabs>
          <w:tab w:val="right" w:leader="dot" w:pos="8920"/>
        </w:tabs>
        <w:rPr>
          <w:rFonts w:asciiTheme="minorHAnsi" w:eastAsiaTheme="minorEastAsia" w:hAnsiTheme="minorHAnsi"/>
          <w:noProof/>
          <w:color w:val="auto"/>
          <w:kern w:val="2"/>
          <w:sz w:val="20"/>
          <w:szCs w:val="20"/>
          <w:lang w:val="es-HN" w:eastAsia="es-HN"/>
          <w14:ligatures w14:val="standardContextual"/>
        </w:rPr>
      </w:pPr>
      <w:hyperlink w:anchor="_Toc202455586" w:history="1">
        <w:r w:rsidR="00CF0F96" w:rsidRPr="00CF0F96">
          <w:rPr>
            <w:rStyle w:val="Hipervnculo"/>
            <w:noProof/>
            <w:sz w:val="22"/>
            <w:szCs w:val="20"/>
          </w:rPr>
          <w:t>Ilustración 24: Mapa del departamento de Olancho</w:t>
        </w:r>
        <w:r w:rsidR="00CF0F96" w:rsidRPr="00CF0F96">
          <w:rPr>
            <w:noProof/>
            <w:webHidden/>
            <w:sz w:val="22"/>
            <w:szCs w:val="20"/>
          </w:rPr>
          <w:tab/>
        </w:r>
        <w:r w:rsidR="00CF0F96" w:rsidRPr="00CF0F96">
          <w:rPr>
            <w:noProof/>
            <w:webHidden/>
            <w:sz w:val="22"/>
            <w:szCs w:val="20"/>
          </w:rPr>
          <w:fldChar w:fldCharType="begin"/>
        </w:r>
        <w:r w:rsidR="00CF0F96" w:rsidRPr="00CF0F96">
          <w:rPr>
            <w:noProof/>
            <w:webHidden/>
            <w:sz w:val="22"/>
            <w:szCs w:val="20"/>
          </w:rPr>
          <w:instrText xml:space="preserve"> PAGEREF _Toc202455586 \h </w:instrText>
        </w:r>
        <w:r w:rsidR="00CF0F96" w:rsidRPr="00CF0F96">
          <w:rPr>
            <w:noProof/>
            <w:webHidden/>
            <w:sz w:val="22"/>
            <w:szCs w:val="20"/>
          </w:rPr>
        </w:r>
        <w:r w:rsidR="00CF0F96" w:rsidRPr="00CF0F96">
          <w:rPr>
            <w:noProof/>
            <w:webHidden/>
            <w:sz w:val="22"/>
            <w:szCs w:val="20"/>
          </w:rPr>
          <w:fldChar w:fldCharType="separate"/>
        </w:r>
        <w:r w:rsidR="00CF0F96" w:rsidRPr="00CF0F96">
          <w:rPr>
            <w:noProof/>
            <w:webHidden/>
            <w:sz w:val="22"/>
            <w:szCs w:val="20"/>
          </w:rPr>
          <w:t>113</w:t>
        </w:r>
        <w:r w:rsidR="00CF0F96" w:rsidRPr="00CF0F96">
          <w:rPr>
            <w:noProof/>
            <w:webHidden/>
            <w:sz w:val="22"/>
            <w:szCs w:val="20"/>
          </w:rPr>
          <w:fldChar w:fldCharType="end"/>
        </w:r>
      </w:hyperlink>
    </w:p>
    <w:p w14:paraId="0B9CD3AE" w14:textId="17B6E7F2" w:rsidR="00CF0F96" w:rsidRPr="00CF0F96" w:rsidRDefault="00000000">
      <w:pPr>
        <w:pStyle w:val="Tabladeilustraciones"/>
        <w:tabs>
          <w:tab w:val="right" w:leader="dot" w:pos="8920"/>
        </w:tabs>
        <w:rPr>
          <w:rFonts w:asciiTheme="minorHAnsi" w:eastAsiaTheme="minorEastAsia" w:hAnsiTheme="minorHAnsi"/>
          <w:noProof/>
          <w:color w:val="auto"/>
          <w:kern w:val="2"/>
          <w:sz w:val="20"/>
          <w:szCs w:val="20"/>
          <w:lang w:val="es-HN" w:eastAsia="es-HN"/>
          <w14:ligatures w14:val="standardContextual"/>
        </w:rPr>
      </w:pPr>
      <w:hyperlink w:anchor="_Toc202455587" w:history="1">
        <w:r w:rsidR="00CF0F96" w:rsidRPr="00CF0F96">
          <w:rPr>
            <w:rStyle w:val="Hipervnculo"/>
            <w:noProof/>
            <w:sz w:val="22"/>
            <w:szCs w:val="20"/>
          </w:rPr>
          <w:t>Ilustración 25: Mapa del departamento de Yoro</w:t>
        </w:r>
        <w:r w:rsidR="00CF0F96" w:rsidRPr="00CF0F96">
          <w:rPr>
            <w:noProof/>
            <w:webHidden/>
            <w:sz w:val="22"/>
            <w:szCs w:val="20"/>
          </w:rPr>
          <w:tab/>
        </w:r>
        <w:r w:rsidR="00CF0F96" w:rsidRPr="00CF0F96">
          <w:rPr>
            <w:noProof/>
            <w:webHidden/>
            <w:sz w:val="22"/>
            <w:szCs w:val="20"/>
          </w:rPr>
          <w:fldChar w:fldCharType="begin"/>
        </w:r>
        <w:r w:rsidR="00CF0F96" w:rsidRPr="00CF0F96">
          <w:rPr>
            <w:noProof/>
            <w:webHidden/>
            <w:sz w:val="22"/>
            <w:szCs w:val="20"/>
          </w:rPr>
          <w:instrText xml:space="preserve"> PAGEREF _Toc202455587 \h </w:instrText>
        </w:r>
        <w:r w:rsidR="00CF0F96" w:rsidRPr="00CF0F96">
          <w:rPr>
            <w:noProof/>
            <w:webHidden/>
            <w:sz w:val="22"/>
            <w:szCs w:val="20"/>
          </w:rPr>
        </w:r>
        <w:r w:rsidR="00CF0F96" w:rsidRPr="00CF0F96">
          <w:rPr>
            <w:noProof/>
            <w:webHidden/>
            <w:sz w:val="22"/>
            <w:szCs w:val="20"/>
          </w:rPr>
          <w:fldChar w:fldCharType="separate"/>
        </w:r>
        <w:r w:rsidR="00CF0F96" w:rsidRPr="00CF0F96">
          <w:rPr>
            <w:noProof/>
            <w:webHidden/>
            <w:sz w:val="22"/>
            <w:szCs w:val="20"/>
          </w:rPr>
          <w:t>116</w:t>
        </w:r>
        <w:r w:rsidR="00CF0F96" w:rsidRPr="00CF0F96">
          <w:rPr>
            <w:noProof/>
            <w:webHidden/>
            <w:sz w:val="22"/>
            <w:szCs w:val="20"/>
          </w:rPr>
          <w:fldChar w:fldCharType="end"/>
        </w:r>
      </w:hyperlink>
    </w:p>
    <w:p w14:paraId="1A716B4B" w14:textId="2958D118" w:rsidR="00CF0F96" w:rsidRPr="00CF0F96" w:rsidRDefault="00000000">
      <w:pPr>
        <w:pStyle w:val="Tabladeilustraciones"/>
        <w:tabs>
          <w:tab w:val="right" w:leader="dot" w:pos="8920"/>
        </w:tabs>
        <w:rPr>
          <w:rFonts w:asciiTheme="minorHAnsi" w:eastAsiaTheme="minorEastAsia" w:hAnsiTheme="minorHAnsi"/>
          <w:noProof/>
          <w:color w:val="auto"/>
          <w:kern w:val="2"/>
          <w:sz w:val="20"/>
          <w:szCs w:val="20"/>
          <w:lang w:val="es-HN" w:eastAsia="es-HN"/>
          <w14:ligatures w14:val="standardContextual"/>
        </w:rPr>
      </w:pPr>
      <w:hyperlink w:anchor="_Toc202455588" w:history="1">
        <w:r w:rsidR="00CF0F96" w:rsidRPr="00CF0F96">
          <w:rPr>
            <w:rStyle w:val="Hipervnculo"/>
            <w:noProof/>
            <w:sz w:val="22"/>
            <w:szCs w:val="20"/>
          </w:rPr>
          <w:t>Ilustración 26:Mapa del departamento de Valle</w:t>
        </w:r>
        <w:r w:rsidR="00CF0F96" w:rsidRPr="00CF0F96">
          <w:rPr>
            <w:noProof/>
            <w:webHidden/>
            <w:sz w:val="22"/>
            <w:szCs w:val="20"/>
          </w:rPr>
          <w:tab/>
        </w:r>
        <w:r w:rsidR="00CF0F96" w:rsidRPr="00CF0F96">
          <w:rPr>
            <w:noProof/>
            <w:webHidden/>
            <w:sz w:val="22"/>
            <w:szCs w:val="20"/>
          </w:rPr>
          <w:fldChar w:fldCharType="begin"/>
        </w:r>
        <w:r w:rsidR="00CF0F96" w:rsidRPr="00CF0F96">
          <w:rPr>
            <w:noProof/>
            <w:webHidden/>
            <w:sz w:val="22"/>
            <w:szCs w:val="20"/>
          </w:rPr>
          <w:instrText xml:space="preserve"> PAGEREF _Toc202455588 \h </w:instrText>
        </w:r>
        <w:r w:rsidR="00CF0F96" w:rsidRPr="00CF0F96">
          <w:rPr>
            <w:noProof/>
            <w:webHidden/>
            <w:sz w:val="22"/>
            <w:szCs w:val="20"/>
          </w:rPr>
        </w:r>
        <w:r w:rsidR="00CF0F96" w:rsidRPr="00CF0F96">
          <w:rPr>
            <w:noProof/>
            <w:webHidden/>
            <w:sz w:val="22"/>
            <w:szCs w:val="20"/>
          </w:rPr>
          <w:fldChar w:fldCharType="separate"/>
        </w:r>
        <w:r w:rsidR="00CF0F96" w:rsidRPr="00CF0F96">
          <w:rPr>
            <w:noProof/>
            <w:webHidden/>
            <w:sz w:val="22"/>
            <w:szCs w:val="20"/>
          </w:rPr>
          <w:t>117</w:t>
        </w:r>
        <w:r w:rsidR="00CF0F96" w:rsidRPr="00CF0F96">
          <w:rPr>
            <w:noProof/>
            <w:webHidden/>
            <w:sz w:val="22"/>
            <w:szCs w:val="20"/>
          </w:rPr>
          <w:fldChar w:fldCharType="end"/>
        </w:r>
      </w:hyperlink>
    </w:p>
    <w:p w14:paraId="0C2DCEC0" w14:textId="6946789E" w:rsidR="00CF0F96" w:rsidRPr="00CF0F96" w:rsidRDefault="00000000">
      <w:pPr>
        <w:pStyle w:val="Tabladeilustraciones"/>
        <w:tabs>
          <w:tab w:val="right" w:leader="dot" w:pos="8920"/>
        </w:tabs>
        <w:rPr>
          <w:rFonts w:asciiTheme="minorHAnsi" w:eastAsiaTheme="minorEastAsia" w:hAnsiTheme="minorHAnsi"/>
          <w:noProof/>
          <w:color w:val="auto"/>
          <w:kern w:val="2"/>
          <w:sz w:val="20"/>
          <w:szCs w:val="20"/>
          <w:lang w:val="es-HN" w:eastAsia="es-HN"/>
          <w14:ligatures w14:val="standardContextual"/>
        </w:rPr>
      </w:pPr>
      <w:hyperlink w:anchor="_Toc202455589" w:history="1">
        <w:r w:rsidR="00CF0F96" w:rsidRPr="00CF0F96">
          <w:rPr>
            <w:rStyle w:val="Hipervnculo"/>
            <w:noProof/>
            <w:sz w:val="22"/>
            <w:szCs w:val="20"/>
          </w:rPr>
          <w:t>Ilustración 27: Mapa de Pueblos Indigenas en Honduras</w:t>
        </w:r>
        <w:r w:rsidR="00CF0F96" w:rsidRPr="00CF0F96">
          <w:rPr>
            <w:noProof/>
            <w:webHidden/>
            <w:sz w:val="22"/>
            <w:szCs w:val="20"/>
          </w:rPr>
          <w:tab/>
        </w:r>
        <w:r w:rsidR="00CF0F96" w:rsidRPr="00CF0F96">
          <w:rPr>
            <w:noProof/>
            <w:webHidden/>
            <w:sz w:val="22"/>
            <w:szCs w:val="20"/>
          </w:rPr>
          <w:fldChar w:fldCharType="begin"/>
        </w:r>
        <w:r w:rsidR="00CF0F96" w:rsidRPr="00CF0F96">
          <w:rPr>
            <w:noProof/>
            <w:webHidden/>
            <w:sz w:val="22"/>
            <w:szCs w:val="20"/>
          </w:rPr>
          <w:instrText xml:space="preserve"> PAGEREF _Toc202455589 \h </w:instrText>
        </w:r>
        <w:r w:rsidR="00CF0F96" w:rsidRPr="00CF0F96">
          <w:rPr>
            <w:noProof/>
            <w:webHidden/>
            <w:sz w:val="22"/>
            <w:szCs w:val="20"/>
          </w:rPr>
        </w:r>
        <w:r w:rsidR="00CF0F96" w:rsidRPr="00CF0F96">
          <w:rPr>
            <w:noProof/>
            <w:webHidden/>
            <w:sz w:val="22"/>
            <w:szCs w:val="20"/>
          </w:rPr>
          <w:fldChar w:fldCharType="separate"/>
        </w:r>
        <w:r w:rsidR="00CF0F96" w:rsidRPr="00CF0F96">
          <w:rPr>
            <w:noProof/>
            <w:webHidden/>
            <w:sz w:val="22"/>
            <w:szCs w:val="20"/>
          </w:rPr>
          <w:t>144</w:t>
        </w:r>
        <w:r w:rsidR="00CF0F96" w:rsidRPr="00CF0F96">
          <w:rPr>
            <w:noProof/>
            <w:webHidden/>
            <w:sz w:val="22"/>
            <w:szCs w:val="20"/>
          </w:rPr>
          <w:fldChar w:fldCharType="end"/>
        </w:r>
      </w:hyperlink>
    </w:p>
    <w:p w14:paraId="410426B7" w14:textId="54615F8F" w:rsidR="006A3DBC" w:rsidRPr="00CF0F96" w:rsidRDefault="00CF0F96" w:rsidP="006A3DBC">
      <w:pPr>
        <w:spacing w:after="0" w:line="240" w:lineRule="auto"/>
        <w:rPr>
          <w:rFonts w:cs="Arial"/>
          <w:sz w:val="22"/>
          <w:szCs w:val="20"/>
        </w:rPr>
      </w:pPr>
      <w:r w:rsidRPr="00CF0F96">
        <w:rPr>
          <w:rFonts w:cs="Arial"/>
          <w:sz w:val="22"/>
          <w:szCs w:val="20"/>
        </w:rPr>
        <w:fldChar w:fldCharType="end"/>
      </w:r>
    </w:p>
    <w:p w14:paraId="0859C7C5" w14:textId="77777777" w:rsidR="006A3DBC" w:rsidRPr="00FA4B2D" w:rsidRDefault="006A3DBC" w:rsidP="006A3DBC">
      <w:pPr>
        <w:spacing w:after="0" w:line="240" w:lineRule="auto"/>
        <w:rPr>
          <w:rFonts w:cs="Arial"/>
        </w:rPr>
      </w:pPr>
    </w:p>
    <w:p w14:paraId="77519486" w14:textId="77777777" w:rsidR="006A3DBC" w:rsidRPr="00FA4B2D" w:rsidRDefault="006A3DBC" w:rsidP="006A3DBC">
      <w:pPr>
        <w:spacing w:after="0" w:line="240" w:lineRule="auto"/>
        <w:jc w:val="center"/>
        <w:rPr>
          <w:rFonts w:cs="Arial"/>
          <w:b/>
        </w:rPr>
      </w:pPr>
      <w:r w:rsidRPr="00FA4B2D">
        <w:rPr>
          <w:rFonts w:cs="Arial"/>
          <w:b/>
        </w:rPr>
        <w:br w:type="column"/>
      </w:r>
      <w:r w:rsidRPr="00FA4B2D">
        <w:rPr>
          <w:rFonts w:cs="Arial"/>
          <w:b/>
        </w:rPr>
        <w:lastRenderedPageBreak/>
        <w:t>SIGLAS Y ACRÓNIMOS</w:t>
      </w:r>
    </w:p>
    <w:p w14:paraId="0FBBCF38" w14:textId="77777777" w:rsidR="006A3DBC" w:rsidRPr="00FA4B2D" w:rsidRDefault="006A3DBC" w:rsidP="006A3DBC">
      <w:pPr>
        <w:spacing w:after="0" w:line="240" w:lineRule="auto"/>
        <w:jc w:val="center"/>
        <w:rPr>
          <w:rFonts w:cs="Arial"/>
          <w:b/>
        </w:rPr>
      </w:pPr>
    </w:p>
    <w:tbl>
      <w:tblPr>
        <w:tblStyle w:val="TableGrid11"/>
        <w:tblW w:w="8926" w:type="dxa"/>
        <w:tblLayout w:type="fixed"/>
        <w:tblLook w:val="01E0" w:firstRow="1" w:lastRow="1" w:firstColumn="1" w:lastColumn="1" w:noHBand="0" w:noVBand="0"/>
      </w:tblPr>
      <w:tblGrid>
        <w:gridCol w:w="2155"/>
        <w:gridCol w:w="6771"/>
      </w:tblGrid>
      <w:tr w:rsidR="006A3DBC" w:rsidRPr="00FA4B2D" w14:paraId="73A771A3" w14:textId="77777777" w:rsidTr="006A3DBC">
        <w:trPr>
          <w:trHeight w:hRule="exact" w:val="495"/>
          <w:tblHeader/>
        </w:trPr>
        <w:tc>
          <w:tcPr>
            <w:tcW w:w="2155" w:type="dxa"/>
            <w:vAlign w:val="center"/>
          </w:tcPr>
          <w:p w14:paraId="3309589B" w14:textId="77777777" w:rsidR="006A3DBC" w:rsidRPr="00FA4B2D" w:rsidRDefault="006A3DBC" w:rsidP="005F4A92">
            <w:pPr>
              <w:widowControl w:val="0"/>
              <w:ind w:left="407"/>
              <w:jc w:val="center"/>
              <w:rPr>
                <w:rFonts w:eastAsia="Arial" w:cs="Arial"/>
                <w:sz w:val="20"/>
                <w:szCs w:val="20"/>
                <w:lang w:val="es-ES_tradnl"/>
              </w:rPr>
            </w:pPr>
            <w:r w:rsidRPr="00FA4B2D">
              <w:rPr>
                <w:rFonts w:eastAsia="Calibri" w:cs="Arial"/>
                <w:b/>
                <w:sz w:val="20"/>
                <w:szCs w:val="20"/>
                <w:lang w:val="es-ES_tradnl"/>
              </w:rPr>
              <w:t>Siglas y Acrónimos</w:t>
            </w:r>
          </w:p>
        </w:tc>
        <w:tc>
          <w:tcPr>
            <w:tcW w:w="6771" w:type="dxa"/>
            <w:vAlign w:val="center"/>
          </w:tcPr>
          <w:p w14:paraId="0899142B" w14:textId="77777777" w:rsidR="006A3DBC" w:rsidRPr="00FA4B2D" w:rsidRDefault="006A3DBC" w:rsidP="005F4A92">
            <w:pPr>
              <w:widowControl w:val="0"/>
              <w:ind w:right="3302"/>
              <w:jc w:val="center"/>
              <w:rPr>
                <w:rFonts w:eastAsia="Arial" w:cs="Arial"/>
                <w:sz w:val="20"/>
                <w:szCs w:val="20"/>
                <w:lang w:val="es-ES_tradnl"/>
              </w:rPr>
            </w:pPr>
            <w:r w:rsidRPr="00FA4B2D">
              <w:rPr>
                <w:rFonts w:eastAsia="Calibri" w:cs="Arial"/>
                <w:b/>
                <w:sz w:val="20"/>
                <w:szCs w:val="20"/>
                <w:lang w:val="es-ES_tradnl"/>
              </w:rPr>
              <w:t>Significado</w:t>
            </w:r>
          </w:p>
        </w:tc>
      </w:tr>
      <w:tr w:rsidR="006A3DBC" w:rsidRPr="00FA4B2D" w14:paraId="26248848" w14:textId="77777777" w:rsidTr="006A3DBC">
        <w:trPr>
          <w:trHeight w:hRule="exact" w:val="264"/>
        </w:trPr>
        <w:tc>
          <w:tcPr>
            <w:tcW w:w="2155" w:type="dxa"/>
          </w:tcPr>
          <w:p w14:paraId="79BF6702" w14:textId="77777777" w:rsidR="006A3DBC" w:rsidRPr="00FA4B2D" w:rsidRDefault="006A3DBC" w:rsidP="005F4A92">
            <w:pPr>
              <w:widowControl w:val="0"/>
              <w:ind w:right="519"/>
              <w:rPr>
                <w:rFonts w:eastAsia="Times New Roman" w:cs="Arial"/>
                <w:sz w:val="20"/>
                <w:szCs w:val="20"/>
                <w:lang w:val="es-ES_tradnl"/>
              </w:rPr>
            </w:pPr>
            <w:r w:rsidRPr="00FA4B2D">
              <w:rPr>
                <w:rFonts w:eastAsia="Calibri" w:cs="Arial"/>
                <w:sz w:val="20"/>
                <w:szCs w:val="20"/>
                <w:lang w:val="es-ES_tradnl"/>
              </w:rPr>
              <w:t>ACS</w:t>
            </w:r>
          </w:p>
        </w:tc>
        <w:tc>
          <w:tcPr>
            <w:tcW w:w="6771" w:type="dxa"/>
          </w:tcPr>
          <w:p w14:paraId="3EDFAE0A" w14:textId="77777777" w:rsidR="006A3DBC" w:rsidRPr="00FA4B2D" w:rsidRDefault="006A3DBC" w:rsidP="005F4A92">
            <w:pPr>
              <w:widowControl w:val="0"/>
              <w:ind w:left="100" w:right="385"/>
              <w:rPr>
                <w:rFonts w:eastAsia="Times New Roman" w:cs="Arial"/>
                <w:sz w:val="20"/>
                <w:szCs w:val="20"/>
                <w:lang w:val="es-ES_tradnl"/>
              </w:rPr>
            </w:pPr>
            <w:r w:rsidRPr="00FA4B2D">
              <w:rPr>
                <w:rFonts w:eastAsia="Calibri" w:cs="Arial"/>
                <w:sz w:val="20"/>
                <w:szCs w:val="20"/>
                <w:lang w:val="es-ES"/>
              </w:rPr>
              <w:t>Alianza para el Corredor Seco</w:t>
            </w:r>
          </w:p>
        </w:tc>
      </w:tr>
      <w:tr w:rsidR="006A3DBC" w:rsidRPr="00FA4B2D" w14:paraId="680C4C3C" w14:textId="77777777" w:rsidTr="006A3DBC">
        <w:trPr>
          <w:trHeight w:hRule="exact" w:val="553"/>
        </w:trPr>
        <w:tc>
          <w:tcPr>
            <w:tcW w:w="2155" w:type="dxa"/>
          </w:tcPr>
          <w:p w14:paraId="01365C10" w14:textId="77777777" w:rsidR="006A3DBC" w:rsidRPr="00FA4B2D" w:rsidRDefault="006A3DBC" w:rsidP="005F4A92">
            <w:pPr>
              <w:widowControl w:val="0"/>
              <w:rPr>
                <w:rFonts w:eastAsia="Calibri" w:cs="Arial"/>
                <w:sz w:val="20"/>
                <w:szCs w:val="20"/>
                <w:lang w:val="es-ES_tradnl"/>
              </w:rPr>
            </w:pPr>
            <w:r w:rsidRPr="00FA4B2D">
              <w:rPr>
                <w:rFonts w:eastAsia="Calibri" w:cs="Arial"/>
                <w:sz w:val="20"/>
                <w:szCs w:val="20"/>
                <w:lang w:val="es-ES_tradnl"/>
              </w:rPr>
              <w:t>ACICAFOC</w:t>
            </w:r>
          </w:p>
        </w:tc>
        <w:tc>
          <w:tcPr>
            <w:tcW w:w="6771" w:type="dxa"/>
          </w:tcPr>
          <w:p w14:paraId="1D768D02" w14:textId="77777777" w:rsidR="006A3DBC" w:rsidRPr="00FA4B2D" w:rsidRDefault="006A3DBC" w:rsidP="005F4A92">
            <w:pPr>
              <w:widowControl w:val="0"/>
              <w:ind w:left="100" w:right="385"/>
              <w:rPr>
                <w:rFonts w:eastAsia="Calibri" w:cs="Arial"/>
                <w:sz w:val="20"/>
                <w:szCs w:val="20"/>
                <w:lang w:val="es-ES_tradnl"/>
              </w:rPr>
            </w:pPr>
            <w:r w:rsidRPr="00FA4B2D">
              <w:rPr>
                <w:rFonts w:eastAsia="Calibri" w:cs="Arial"/>
                <w:sz w:val="20"/>
                <w:szCs w:val="20"/>
                <w:lang w:val="es-ES_tradnl"/>
              </w:rPr>
              <w:t>Asociación Coordinadora Indígena y Campesina de Agroforestería Comunitaria de Centroamérica</w:t>
            </w:r>
          </w:p>
        </w:tc>
      </w:tr>
      <w:tr w:rsidR="006A3DBC" w:rsidRPr="00FA4B2D" w14:paraId="65E59B66" w14:textId="77777777" w:rsidTr="006A3DBC">
        <w:trPr>
          <w:trHeight w:hRule="exact" w:val="305"/>
        </w:trPr>
        <w:tc>
          <w:tcPr>
            <w:tcW w:w="2155" w:type="dxa"/>
          </w:tcPr>
          <w:p w14:paraId="3AD57C37" w14:textId="77777777" w:rsidR="006A3DBC" w:rsidRPr="00FA4B2D" w:rsidRDefault="006A3DBC" w:rsidP="005F4A92">
            <w:pPr>
              <w:widowControl w:val="0"/>
              <w:rPr>
                <w:rFonts w:eastAsia="Calibri" w:cs="Arial"/>
                <w:sz w:val="20"/>
                <w:szCs w:val="20"/>
                <w:lang w:val="es-ES_tradnl"/>
              </w:rPr>
            </w:pPr>
            <w:r w:rsidRPr="00FA4B2D">
              <w:rPr>
                <w:rFonts w:eastAsia="Calibri" w:cs="Arial"/>
                <w:sz w:val="20"/>
                <w:szCs w:val="20"/>
                <w:lang w:val="es-ES_tradnl"/>
              </w:rPr>
              <w:t>AFP</w:t>
            </w:r>
          </w:p>
        </w:tc>
        <w:tc>
          <w:tcPr>
            <w:tcW w:w="6771" w:type="dxa"/>
          </w:tcPr>
          <w:p w14:paraId="2B0B270B" w14:textId="77777777" w:rsidR="006A3DBC" w:rsidRPr="00FA4B2D" w:rsidRDefault="006A3DBC" w:rsidP="005F4A92">
            <w:pPr>
              <w:widowControl w:val="0"/>
              <w:ind w:left="100" w:right="385"/>
              <w:rPr>
                <w:rFonts w:eastAsia="Calibri" w:cs="Arial"/>
                <w:sz w:val="20"/>
                <w:szCs w:val="20"/>
              </w:rPr>
            </w:pPr>
            <w:r w:rsidRPr="00FA4B2D">
              <w:rPr>
                <w:rFonts w:eastAsia="Calibri" w:cs="Arial"/>
                <w:sz w:val="20"/>
                <w:szCs w:val="20"/>
              </w:rPr>
              <w:t>Aliado Financiero Privado</w:t>
            </w:r>
          </w:p>
        </w:tc>
      </w:tr>
      <w:tr w:rsidR="006A3DBC" w:rsidRPr="00FA4B2D" w14:paraId="701A3802" w14:textId="77777777" w:rsidTr="006A3DBC">
        <w:trPr>
          <w:trHeight w:hRule="exact" w:val="305"/>
        </w:trPr>
        <w:tc>
          <w:tcPr>
            <w:tcW w:w="2155" w:type="dxa"/>
          </w:tcPr>
          <w:p w14:paraId="3487800E" w14:textId="77777777" w:rsidR="006A3DBC" w:rsidRPr="00FA4B2D" w:rsidRDefault="006A3DBC" w:rsidP="005F4A92">
            <w:pPr>
              <w:widowControl w:val="0"/>
              <w:rPr>
                <w:rFonts w:eastAsia="Calibri" w:cs="Arial"/>
                <w:sz w:val="20"/>
                <w:szCs w:val="20"/>
                <w:lang w:val="es-ES_tradnl"/>
              </w:rPr>
            </w:pPr>
            <w:r w:rsidRPr="00FA4B2D">
              <w:rPr>
                <w:rFonts w:eastAsia="Calibri" w:cs="Arial"/>
                <w:sz w:val="20"/>
                <w:szCs w:val="20"/>
                <w:lang w:val="es-ES_tradnl"/>
              </w:rPr>
              <w:t>ARSA</w:t>
            </w:r>
          </w:p>
        </w:tc>
        <w:tc>
          <w:tcPr>
            <w:tcW w:w="6771" w:type="dxa"/>
          </w:tcPr>
          <w:p w14:paraId="4D48776C" w14:textId="77777777" w:rsidR="006A3DBC" w:rsidRPr="00FA4B2D" w:rsidRDefault="006A3DBC" w:rsidP="005F4A92">
            <w:pPr>
              <w:widowControl w:val="0"/>
              <w:ind w:left="100" w:right="385"/>
              <w:rPr>
                <w:rFonts w:eastAsia="Calibri" w:cs="Arial"/>
                <w:sz w:val="20"/>
                <w:szCs w:val="20"/>
              </w:rPr>
            </w:pPr>
            <w:r w:rsidRPr="00FA4B2D">
              <w:rPr>
                <w:rFonts w:eastAsia="Calibri" w:cs="Arial"/>
                <w:sz w:val="20"/>
                <w:szCs w:val="20"/>
              </w:rPr>
              <w:t>Agencia De Regulación Sanitaria de Honduras</w:t>
            </w:r>
          </w:p>
        </w:tc>
      </w:tr>
      <w:tr w:rsidR="008D411D" w:rsidRPr="00FA4B2D" w14:paraId="66D67042" w14:textId="77777777" w:rsidTr="006A3DBC">
        <w:trPr>
          <w:trHeight w:hRule="exact" w:val="305"/>
        </w:trPr>
        <w:tc>
          <w:tcPr>
            <w:tcW w:w="2155" w:type="dxa"/>
          </w:tcPr>
          <w:p w14:paraId="6F4B015B" w14:textId="34FF5322" w:rsidR="008D411D" w:rsidRPr="00FA4B2D" w:rsidRDefault="008D411D" w:rsidP="005F4A92">
            <w:pPr>
              <w:widowControl w:val="0"/>
              <w:rPr>
                <w:rFonts w:eastAsia="Calibri" w:cs="Arial"/>
                <w:sz w:val="20"/>
                <w:szCs w:val="20"/>
                <w:lang w:val="es-ES"/>
              </w:rPr>
            </w:pPr>
            <w:r w:rsidRPr="00FA4B2D">
              <w:rPr>
                <w:rFonts w:eastAsia="Calibri" w:cs="Arial"/>
                <w:sz w:val="20"/>
                <w:szCs w:val="20"/>
                <w:lang w:val="es-ES"/>
              </w:rPr>
              <w:t>ASx</w:t>
            </w:r>
          </w:p>
        </w:tc>
        <w:tc>
          <w:tcPr>
            <w:tcW w:w="6771" w:type="dxa"/>
          </w:tcPr>
          <w:p w14:paraId="2B7FF493" w14:textId="56E81E53" w:rsidR="008D411D" w:rsidRPr="00FA4B2D" w:rsidRDefault="008D411D" w:rsidP="005F4A92">
            <w:pPr>
              <w:widowControl w:val="0"/>
              <w:ind w:left="100" w:right="385"/>
              <w:rPr>
                <w:rFonts w:eastAsia="Calibri" w:cs="Arial"/>
                <w:sz w:val="20"/>
                <w:szCs w:val="20"/>
              </w:rPr>
            </w:pPr>
            <w:r w:rsidRPr="00FA4B2D">
              <w:rPr>
                <w:rFonts w:eastAsia="Calibri" w:cs="Arial"/>
                <w:sz w:val="20"/>
                <w:szCs w:val="20"/>
              </w:rPr>
              <w:t>Acoso Sexual</w:t>
            </w:r>
          </w:p>
        </w:tc>
      </w:tr>
      <w:tr w:rsidR="006A3DBC" w:rsidRPr="00FA4B2D" w14:paraId="788CD732" w14:textId="77777777" w:rsidTr="006A3DBC">
        <w:trPr>
          <w:trHeight w:hRule="exact" w:val="264"/>
        </w:trPr>
        <w:tc>
          <w:tcPr>
            <w:tcW w:w="2155" w:type="dxa"/>
          </w:tcPr>
          <w:p w14:paraId="38E39365" w14:textId="77777777" w:rsidR="006A3DBC" w:rsidRPr="00FA4B2D" w:rsidRDefault="006A3DBC" w:rsidP="005F4A92">
            <w:pPr>
              <w:widowControl w:val="0"/>
              <w:ind w:right="519"/>
              <w:rPr>
                <w:rFonts w:eastAsia="Times New Roman" w:cs="Arial"/>
                <w:sz w:val="20"/>
                <w:szCs w:val="20"/>
                <w:lang w:val="es-ES_tradnl"/>
              </w:rPr>
            </w:pPr>
            <w:r w:rsidRPr="00FA4B2D">
              <w:rPr>
                <w:rFonts w:eastAsia="Calibri" w:cs="Arial"/>
                <w:sz w:val="20"/>
                <w:szCs w:val="20"/>
                <w:lang w:val="es-ES_tradnl"/>
              </w:rPr>
              <w:t>BM</w:t>
            </w:r>
          </w:p>
        </w:tc>
        <w:tc>
          <w:tcPr>
            <w:tcW w:w="6771" w:type="dxa"/>
          </w:tcPr>
          <w:p w14:paraId="0D9A6E79" w14:textId="77777777" w:rsidR="006A3DBC" w:rsidRPr="00FA4B2D" w:rsidRDefault="006A3DBC" w:rsidP="005F4A92">
            <w:pPr>
              <w:widowControl w:val="0"/>
              <w:ind w:left="100" w:right="385"/>
              <w:rPr>
                <w:rFonts w:eastAsia="Times New Roman" w:cs="Arial"/>
                <w:sz w:val="20"/>
                <w:szCs w:val="20"/>
                <w:lang w:val="es-ES_tradnl"/>
              </w:rPr>
            </w:pPr>
            <w:r w:rsidRPr="00FA4B2D">
              <w:rPr>
                <w:rFonts w:eastAsia="Calibri" w:cs="Arial"/>
                <w:sz w:val="20"/>
                <w:szCs w:val="20"/>
                <w:lang w:val="es-ES_tradnl"/>
              </w:rPr>
              <w:t>Banco</w:t>
            </w:r>
            <w:r w:rsidRPr="00FA4B2D">
              <w:rPr>
                <w:rFonts w:eastAsia="Calibri" w:cs="Arial"/>
                <w:spacing w:val="-1"/>
                <w:sz w:val="20"/>
                <w:szCs w:val="20"/>
                <w:lang w:val="es-ES_tradnl"/>
              </w:rPr>
              <w:t xml:space="preserve"> </w:t>
            </w:r>
            <w:r w:rsidRPr="00FA4B2D">
              <w:rPr>
                <w:rFonts w:eastAsia="Calibri" w:cs="Arial"/>
                <w:sz w:val="20"/>
                <w:szCs w:val="20"/>
                <w:lang w:val="es-ES_tradnl"/>
              </w:rPr>
              <w:t>Mundial</w:t>
            </w:r>
          </w:p>
        </w:tc>
      </w:tr>
      <w:tr w:rsidR="006A3DBC" w:rsidRPr="00FA4B2D" w14:paraId="1628FC7A" w14:textId="77777777" w:rsidTr="006A3DBC">
        <w:trPr>
          <w:trHeight w:hRule="exact" w:val="262"/>
        </w:trPr>
        <w:tc>
          <w:tcPr>
            <w:tcW w:w="2155" w:type="dxa"/>
          </w:tcPr>
          <w:p w14:paraId="4E287EB1" w14:textId="77777777" w:rsidR="006A3DBC" w:rsidRPr="00FA4B2D" w:rsidRDefault="006A3DBC" w:rsidP="005F4A92">
            <w:pPr>
              <w:widowControl w:val="0"/>
              <w:ind w:right="519"/>
              <w:rPr>
                <w:rFonts w:eastAsia="Times New Roman" w:cs="Arial"/>
                <w:sz w:val="20"/>
                <w:szCs w:val="20"/>
                <w:lang w:val="es-ES_tradnl"/>
              </w:rPr>
            </w:pPr>
            <w:r w:rsidRPr="00FA4B2D">
              <w:rPr>
                <w:rFonts w:eastAsia="Calibri" w:cs="Arial"/>
                <w:sz w:val="20"/>
                <w:szCs w:val="20"/>
                <w:lang w:val="es-ES_tradnl"/>
              </w:rPr>
              <w:t>BPA</w:t>
            </w:r>
          </w:p>
        </w:tc>
        <w:tc>
          <w:tcPr>
            <w:tcW w:w="6771" w:type="dxa"/>
          </w:tcPr>
          <w:p w14:paraId="02912AF0" w14:textId="77777777" w:rsidR="006A3DBC" w:rsidRPr="00FA4B2D" w:rsidRDefault="006A3DBC" w:rsidP="005F4A92">
            <w:pPr>
              <w:widowControl w:val="0"/>
              <w:ind w:left="100" w:right="385"/>
              <w:rPr>
                <w:rFonts w:eastAsia="Times New Roman" w:cs="Arial"/>
                <w:sz w:val="20"/>
                <w:szCs w:val="20"/>
                <w:lang w:val="es-ES_tradnl"/>
              </w:rPr>
            </w:pPr>
            <w:r w:rsidRPr="00FA4B2D">
              <w:rPr>
                <w:rFonts w:eastAsia="Calibri" w:cs="Arial"/>
                <w:sz w:val="20"/>
                <w:szCs w:val="20"/>
                <w:lang w:val="es-ES_tradnl"/>
              </w:rPr>
              <w:t>Buenas Prácticas</w:t>
            </w:r>
            <w:r w:rsidRPr="00FA4B2D">
              <w:rPr>
                <w:rFonts w:eastAsia="Calibri" w:cs="Arial"/>
                <w:spacing w:val="-9"/>
                <w:sz w:val="20"/>
                <w:szCs w:val="20"/>
                <w:lang w:val="es-ES_tradnl"/>
              </w:rPr>
              <w:t xml:space="preserve"> </w:t>
            </w:r>
            <w:r w:rsidRPr="00FA4B2D">
              <w:rPr>
                <w:rFonts w:eastAsia="Calibri" w:cs="Arial"/>
                <w:sz w:val="20"/>
                <w:szCs w:val="20"/>
                <w:lang w:val="es-ES_tradnl"/>
              </w:rPr>
              <w:t>Agrícolas</w:t>
            </w:r>
          </w:p>
        </w:tc>
      </w:tr>
      <w:tr w:rsidR="006A3DBC" w:rsidRPr="00FA4B2D" w14:paraId="01553E01" w14:textId="77777777" w:rsidTr="006A3DBC">
        <w:trPr>
          <w:trHeight w:hRule="exact" w:val="262"/>
        </w:trPr>
        <w:tc>
          <w:tcPr>
            <w:tcW w:w="2155" w:type="dxa"/>
          </w:tcPr>
          <w:p w14:paraId="3D6A8C25" w14:textId="77777777" w:rsidR="006A3DBC" w:rsidRPr="00FA4B2D" w:rsidRDefault="006A3DBC" w:rsidP="005F4A92">
            <w:pPr>
              <w:widowControl w:val="0"/>
              <w:ind w:right="519"/>
              <w:rPr>
                <w:rFonts w:eastAsia="Calibri" w:cs="Arial"/>
                <w:sz w:val="20"/>
                <w:szCs w:val="20"/>
                <w:lang w:val="es-ES_tradnl"/>
              </w:rPr>
            </w:pPr>
            <w:r w:rsidRPr="00FA4B2D">
              <w:rPr>
                <w:rFonts w:eastAsia="Calibri" w:cs="Arial"/>
                <w:sz w:val="20"/>
                <w:szCs w:val="20"/>
                <w:lang w:val="es-ES_tradnl"/>
              </w:rPr>
              <w:t>BPII</w:t>
            </w:r>
          </w:p>
        </w:tc>
        <w:tc>
          <w:tcPr>
            <w:tcW w:w="6771" w:type="dxa"/>
          </w:tcPr>
          <w:p w14:paraId="3B8F3E49" w14:textId="77777777" w:rsidR="006A3DBC" w:rsidRPr="00FA4B2D" w:rsidRDefault="006A3DBC" w:rsidP="005F4A92">
            <w:pPr>
              <w:widowControl w:val="0"/>
              <w:ind w:left="100" w:right="385"/>
              <w:rPr>
                <w:rFonts w:eastAsia="Calibri" w:cs="Arial"/>
                <w:sz w:val="20"/>
                <w:szCs w:val="20"/>
                <w:lang w:val="es-ES_tradnl"/>
              </w:rPr>
            </w:pPr>
            <w:r w:rsidRPr="00FA4B2D">
              <w:rPr>
                <w:rFonts w:eastAsia="Calibri" w:cs="Arial"/>
                <w:sz w:val="20"/>
                <w:szCs w:val="20"/>
                <w:lang w:val="es-ES_tradnl"/>
              </w:rPr>
              <w:t>Buenas Prácticas Internacionales de la Industria</w:t>
            </w:r>
          </w:p>
        </w:tc>
      </w:tr>
      <w:tr w:rsidR="006A3DBC" w:rsidRPr="00FA4B2D" w14:paraId="676AF72E" w14:textId="77777777" w:rsidTr="006A3DBC">
        <w:trPr>
          <w:trHeight w:hRule="exact" w:val="262"/>
        </w:trPr>
        <w:tc>
          <w:tcPr>
            <w:tcW w:w="2155" w:type="dxa"/>
          </w:tcPr>
          <w:p w14:paraId="3E386AC7" w14:textId="77777777" w:rsidR="006A3DBC" w:rsidRPr="00FA4B2D" w:rsidRDefault="006A3DBC" w:rsidP="005F4A92">
            <w:pPr>
              <w:widowControl w:val="0"/>
              <w:ind w:right="519"/>
              <w:rPr>
                <w:rFonts w:eastAsia="Calibri" w:cs="Arial"/>
                <w:sz w:val="20"/>
                <w:szCs w:val="20"/>
                <w:lang w:val="es-ES_tradnl"/>
              </w:rPr>
            </w:pPr>
            <w:r w:rsidRPr="00FA4B2D">
              <w:rPr>
                <w:rFonts w:eastAsia="Calibri" w:cs="Arial"/>
                <w:sz w:val="20"/>
                <w:szCs w:val="20"/>
                <w:lang w:val="es-ES_tradnl"/>
              </w:rPr>
              <w:t>BPM</w:t>
            </w:r>
          </w:p>
        </w:tc>
        <w:tc>
          <w:tcPr>
            <w:tcW w:w="6771" w:type="dxa"/>
          </w:tcPr>
          <w:p w14:paraId="156539E6" w14:textId="77777777" w:rsidR="006A3DBC" w:rsidRPr="00FA4B2D" w:rsidRDefault="006A3DBC" w:rsidP="005F4A92">
            <w:pPr>
              <w:widowControl w:val="0"/>
              <w:ind w:left="100" w:right="385"/>
              <w:rPr>
                <w:rFonts w:eastAsia="Calibri" w:cs="Arial"/>
                <w:sz w:val="20"/>
                <w:szCs w:val="20"/>
                <w:lang w:val="es-ES_tradnl"/>
              </w:rPr>
            </w:pPr>
            <w:r w:rsidRPr="00FA4B2D">
              <w:rPr>
                <w:rFonts w:eastAsia="Calibri" w:cs="Arial"/>
                <w:sz w:val="20"/>
                <w:szCs w:val="20"/>
                <w:lang w:val="es-ES_tradnl"/>
              </w:rPr>
              <w:t>Buenas Prácticas de Manufactura</w:t>
            </w:r>
          </w:p>
        </w:tc>
      </w:tr>
      <w:tr w:rsidR="006A3DBC" w:rsidRPr="00FA4B2D" w14:paraId="5BFEAA69" w14:textId="77777777" w:rsidTr="006A3DBC">
        <w:trPr>
          <w:trHeight w:hRule="exact" w:val="263"/>
        </w:trPr>
        <w:tc>
          <w:tcPr>
            <w:tcW w:w="2155" w:type="dxa"/>
          </w:tcPr>
          <w:p w14:paraId="0D999C9F" w14:textId="77777777" w:rsidR="006A3DBC" w:rsidRPr="00FA4B2D" w:rsidRDefault="006A3DBC" w:rsidP="005F4A92">
            <w:pPr>
              <w:widowControl w:val="0"/>
              <w:ind w:right="519"/>
              <w:rPr>
                <w:rFonts w:eastAsia="Calibri" w:cs="Arial"/>
                <w:sz w:val="20"/>
                <w:szCs w:val="20"/>
                <w:lang w:val="es-ES_tradnl"/>
              </w:rPr>
            </w:pPr>
            <w:r w:rsidRPr="00FA4B2D">
              <w:rPr>
                <w:rFonts w:eastAsia="Calibri" w:cs="Arial"/>
                <w:sz w:val="20"/>
                <w:szCs w:val="20"/>
                <w:lang w:val="es-ES_tradnl"/>
              </w:rPr>
              <w:t>CBM</w:t>
            </w:r>
          </w:p>
        </w:tc>
        <w:tc>
          <w:tcPr>
            <w:tcW w:w="6771" w:type="dxa"/>
          </w:tcPr>
          <w:p w14:paraId="591A2B5E" w14:textId="77777777" w:rsidR="006A3DBC" w:rsidRPr="00FA4B2D" w:rsidRDefault="006A3DBC" w:rsidP="005F4A92">
            <w:pPr>
              <w:widowControl w:val="0"/>
              <w:ind w:left="100" w:right="385"/>
              <w:rPr>
                <w:rFonts w:eastAsia="Calibri" w:cs="Arial"/>
                <w:sz w:val="20"/>
                <w:szCs w:val="20"/>
                <w:lang w:val="es-ES_tradnl"/>
              </w:rPr>
            </w:pPr>
            <w:r w:rsidRPr="00FA4B2D">
              <w:rPr>
                <w:rFonts w:eastAsia="Calibri" w:cs="Arial"/>
                <w:sz w:val="20"/>
                <w:szCs w:val="20"/>
                <w:lang w:val="es-ES_tradnl"/>
              </w:rPr>
              <w:t>Corredor Biológico Mesoamericano</w:t>
            </w:r>
          </w:p>
        </w:tc>
      </w:tr>
      <w:tr w:rsidR="006A3DBC" w:rsidRPr="00FA4B2D" w14:paraId="6F7D58C0" w14:textId="77777777" w:rsidTr="006A3DBC">
        <w:trPr>
          <w:trHeight w:hRule="exact" w:val="263"/>
        </w:trPr>
        <w:tc>
          <w:tcPr>
            <w:tcW w:w="2155" w:type="dxa"/>
          </w:tcPr>
          <w:p w14:paraId="53DC623F" w14:textId="77777777" w:rsidR="006A3DBC" w:rsidRPr="00FA4B2D" w:rsidRDefault="006A3DBC" w:rsidP="005F4A92">
            <w:pPr>
              <w:widowControl w:val="0"/>
              <w:ind w:right="519"/>
              <w:rPr>
                <w:rFonts w:eastAsia="Calibri" w:cs="Arial"/>
                <w:sz w:val="20"/>
                <w:szCs w:val="20"/>
                <w:lang w:val="es-ES_tradnl"/>
              </w:rPr>
            </w:pPr>
            <w:r w:rsidRPr="00FA4B2D">
              <w:rPr>
                <w:rFonts w:eastAsia="Calibri" w:cs="Arial"/>
                <w:sz w:val="20"/>
                <w:szCs w:val="20"/>
                <w:lang w:val="es-ES_tradnl"/>
              </w:rPr>
              <w:t>CITES</w:t>
            </w:r>
          </w:p>
        </w:tc>
        <w:tc>
          <w:tcPr>
            <w:tcW w:w="6771" w:type="dxa"/>
          </w:tcPr>
          <w:p w14:paraId="48B1FE80" w14:textId="77777777" w:rsidR="006A3DBC" w:rsidRPr="00FA4B2D" w:rsidRDefault="006A3DBC" w:rsidP="005F4A92">
            <w:pPr>
              <w:widowControl w:val="0"/>
              <w:ind w:left="100" w:right="385"/>
              <w:rPr>
                <w:rFonts w:eastAsia="Calibri" w:cs="Arial"/>
                <w:sz w:val="20"/>
                <w:szCs w:val="20"/>
                <w:lang w:val="es-ES_tradnl"/>
              </w:rPr>
            </w:pPr>
            <w:r w:rsidRPr="00FA4B2D">
              <w:rPr>
                <w:rFonts w:eastAsia="Calibri" w:cs="Arial"/>
                <w:sz w:val="20"/>
                <w:szCs w:val="20"/>
                <w:lang w:val="es-ES_tradnl"/>
              </w:rPr>
              <w:t>Convención sobre el Comercio Internacional de Especies Amenazadas de Fauna y Flora Silvestres</w:t>
            </w:r>
          </w:p>
        </w:tc>
      </w:tr>
      <w:tr w:rsidR="006A3DBC" w:rsidRPr="00FA4B2D" w14:paraId="58FB275A" w14:textId="77777777" w:rsidTr="006A3DBC">
        <w:trPr>
          <w:trHeight w:hRule="exact" w:val="263"/>
        </w:trPr>
        <w:tc>
          <w:tcPr>
            <w:tcW w:w="2155" w:type="dxa"/>
          </w:tcPr>
          <w:p w14:paraId="36C2BF4D" w14:textId="77777777" w:rsidR="006A3DBC" w:rsidRPr="00FA4B2D" w:rsidRDefault="006A3DBC" w:rsidP="005F4A92">
            <w:pPr>
              <w:widowControl w:val="0"/>
              <w:ind w:right="519"/>
              <w:rPr>
                <w:rFonts w:eastAsia="Calibri" w:cs="Arial"/>
                <w:sz w:val="20"/>
                <w:szCs w:val="20"/>
                <w:lang w:val="es-ES_tradnl"/>
              </w:rPr>
            </w:pPr>
            <w:r w:rsidRPr="00FA4B2D">
              <w:rPr>
                <w:rFonts w:eastAsia="Calibri" w:cs="Arial"/>
                <w:sz w:val="20"/>
                <w:szCs w:val="20"/>
                <w:lang w:val="es-ES_tradnl"/>
              </w:rPr>
              <w:t>CLPI</w:t>
            </w:r>
          </w:p>
        </w:tc>
        <w:tc>
          <w:tcPr>
            <w:tcW w:w="6771" w:type="dxa"/>
          </w:tcPr>
          <w:p w14:paraId="6831C90F" w14:textId="77777777" w:rsidR="006A3DBC" w:rsidRPr="00FA4B2D" w:rsidRDefault="006A3DBC" w:rsidP="005F4A92">
            <w:pPr>
              <w:widowControl w:val="0"/>
              <w:ind w:left="100" w:right="385"/>
              <w:rPr>
                <w:rFonts w:eastAsia="Calibri" w:cs="Arial"/>
                <w:sz w:val="20"/>
                <w:szCs w:val="20"/>
                <w:lang w:val="es-ES_tradnl"/>
              </w:rPr>
            </w:pPr>
            <w:r w:rsidRPr="00FA4B2D">
              <w:rPr>
                <w:rFonts w:eastAsia="Calibri" w:cs="Arial"/>
                <w:sz w:val="20"/>
                <w:szCs w:val="20"/>
                <w:lang w:val="es-ES_tradnl"/>
              </w:rPr>
              <w:t xml:space="preserve">Consentimiento libre, previo e informado </w:t>
            </w:r>
          </w:p>
        </w:tc>
      </w:tr>
      <w:tr w:rsidR="006A3DBC" w:rsidRPr="00FA4B2D" w14:paraId="40CE8B95" w14:textId="77777777" w:rsidTr="006A3DBC">
        <w:trPr>
          <w:trHeight w:hRule="exact" w:val="263"/>
        </w:trPr>
        <w:tc>
          <w:tcPr>
            <w:tcW w:w="2155" w:type="dxa"/>
          </w:tcPr>
          <w:p w14:paraId="36219EE8" w14:textId="77777777" w:rsidR="006A3DBC" w:rsidRPr="00FA4B2D" w:rsidRDefault="006A3DBC" w:rsidP="005F4A92">
            <w:pPr>
              <w:widowControl w:val="0"/>
              <w:ind w:right="519"/>
              <w:rPr>
                <w:rFonts w:eastAsia="Times New Roman" w:cs="Arial"/>
                <w:sz w:val="20"/>
                <w:szCs w:val="20"/>
                <w:lang w:val="es-ES_tradnl"/>
              </w:rPr>
            </w:pPr>
            <w:r w:rsidRPr="00FA4B2D">
              <w:rPr>
                <w:rFonts w:eastAsia="Calibri" w:cs="Arial"/>
                <w:sz w:val="20"/>
                <w:szCs w:val="20"/>
                <w:lang w:val="es-ES_tradnl"/>
              </w:rPr>
              <w:t>CIIU</w:t>
            </w:r>
          </w:p>
        </w:tc>
        <w:tc>
          <w:tcPr>
            <w:tcW w:w="6771" w:type="dxa"/>
          </w:tcPr>
          <w:p w14:paraId="42DA03BF" w14:textId="77777777" w:rsidR="006A3DBC" w:rsidRPr="00FA4B2D" w:rsidRDefault="006A3DBC" w:rsidP="005F4A92">
            <w:pPr>
              <w:widowControl w:val="0"/>
              <w:ind w:left="100" w:right="385"/>
              <w:rPr>
                <w:rFonts w:eastAsia="Times New Roman" w:cs="Arial"/>
                <w:sz w:val="20"/>
                <w:szCs w:val="20"/>
                <w:lang w:val="es-ES_tradnl"/>
              </w:rPr>
            </w:pPr>
            <w:r w:rsidRPr="00FA4B2D">
              <w:rPr>
                <w:rFonts w:eastAsia="Calibri" w:cs="Arial"/>
                <w:sz w:val="20"/>
                <w:szCs w:val="20"/>
                <w:lang w:val="es-ES_tradnl"/>
              </w:rPr>
              <w:t>Clasificación Internacional Industrial</w:t>
            </w:r>
            <w:r w:rsidRPr="00FA4B2D">
              <w:rPr>
                <w:rFonts w:eastAsia="Calibri" w:cs="Arial"/>
                <w:spacing w:val="-17"/>
                <w:sz w:val="20"/>
                <w:szCs w:val="20"/>
                <w:lang w:val="es-ES_tradnl"/>
              </w:rPr>
              <w:t xml:space="preserve"> </w:t>
            </w:r>
            <w:r w:rsidRPr="00FA4B2D">
              <w:rPr>
                <w:rFonts w:eastAsia="Calibri" w:cs="Arial"/>
                <w:sz w:val="20"/>
                <w:szCs w:val="20"/>
                <w:lang w:val="es-ES_tradnl"/>
              </w:rPr>
              <w:t>Uniforme</w:t>
            </w:r>
          </w:p>
        </w:tc>
      </w:tr>
      <w:tr w:rsidR="006A3DBC" w:rsidRPr="00FA4B2D" w14:paraId="4635F029" w14:textId="77777777" w:rsidTr="006A3DBC">
        <w:trPr>
          <w:trHeight w:hRule="exact" w:val="263"/>
        </w:trPr>
        <w:tc>
          <w:tcPr>
            <w:tcW w:w="2155" w:type="dxa"/>
          </w:tcPr>
          <w:p w14:paraId="4ECD9AC3" w14:textId="77777777" w:rsidR="006A3DBC" w:rsidRPr="00FA4B2D" w:rsidRDefault="006A3DBC" w:rsidP="005F4A92">
            <w:pPr>
              <w:widowControl w:val="0"/>
              <w:rPr>
                <w:rFonts w:eastAsia="Times New Roman" w:cs="Arial"/>
                <w:sz w:val="20"/>
                <w:szCs w:val="20"/>
                <w:lang w:val="es-ES_tradnl"/>
              </w:rPr>
            </w:pPr>
            <w:r w:rsidRPr="00FA4B2D">
              <w:rPr>
                <w:rFonts w:eastAsia="Calibri" w:cs="Arial"/>
                <w:sz w:val="20"/>
                <w:szCs w:val="20"/>
                <w:lang w:val="es-ES_tradnl"/>
              </w:rPr>
              <w:t>CONMILH</w:t>
            </w:r>
          </w:p>
        </w:tc>
        <w:tc>
          <w:tcPr>
            <w:tcW w:w="6771" w:type="dxa"/>
          </w:tcPr>
          <w:p w14:paraId="40B6F731" w14:textId="77777777" w:rsidR="006A3DBC" w:rsidRPr="00FA4B2D" w:rsidRDefault="006A3DBC" w:rsidP="005F4A92">
            <w:pPr>
              <w:widowControl w:val="0"/>
              <w:ind w:left="100" w:right="385"/>
              <w:rPr>
                <w:rFonts w:eastAsia="Times New Roman" w:cs="Arial"/>
                <w:sz w:val="20"/>
                <w:szCs w:val="20"/>
                <w:lang w:val="es-ES_tradnl"/>
              </w:rPr>
            </w:pPr>
            <w:r w:rsidRPr="00FA4B2D">
              <w:rPr>
                <w:rFonts w:eastAsia="Calibri" w:cs="Arial"/>
                <w:sz w:val="20"/>
                <w:szCs w:val="20"/>
                <w:lang w:val="es-ES_tradnl"/>
              </w:rPr>
              <w:t>Consejo Nacional de Mujeres Indígenas Lencas de</w:t>
            </w:r>
            <w:r w:rsidRPr="00FA4B2D">
              <w:rPr>
                <w:rFonts w:eastAsia="Calibri" w:cs="Arial"/>
                <w:spacing w:val="-13"/>
                <w:sz w:val="20"/>
                <w:szCs w:val="20"/>
                <w:lang w:val="es-ES_tradnl"/>
              </w:rPr>
              <w:t xml:space="preserve"> </w:t>
            </w:r>
            <w:r w:rsidRPr="00FA4B2D">
              <w:rPr>
                <w:rFonts w:eastAsia="Calibri" w:cs="Arial"/>
                <w:sz w:val="20"/>
                <w:szCs w:val="20"/>
                <w:lang w:val="es-ES_tradnl"/>
              </w:rPr>
              <w:t>Honduras</w:t>
            </w:r>
          </w:p>
        </w:tc>
      </w:tr>
      <w:tr w:rsidR="006A3DBC" w:rsidRPr="00FA4B2D" w14:paraId="2C49B456" w14:textId="77777777" w:rsidTr="006A3DBC">
        <w:trPr>
          <w:trHeight w:hRule="exact" w:val="263"/>
        </w:trPr>
        <w:tc>
          <w:tcPr>
            <w:tcW w:w="2155" w:type="dxa"/>
          </w:tcPr>
          <w:p w14:paraId="1E4B3B2D" w14:textId="77777777" w:rsidR="006A3DBC" w:rsidRPr="00FA4B2D" w:rsidRDefault="006A3DBC" w:rsidP="005F4A92">
            <w:pPr>
              <w:widowControl w:val="0"/>
              <w:rPr>
                <w:rFonts w:eastAsia="Calibri" w:cs="Arial"/>
                <w:sz w:val="20"/>
                <w:szCs w:val="20"/>
                <w:lang w:val="es-ES_tradnl"/>
              </w:rPr>
            </w:pPr>
            <w:r w:rsidRPr="00FA4B2D">
              <w:rPr>
                <w:rFonts w:eastAsia="Calibri" w:cs="Arial"/>
                <w:sz w:val="20"/>
                <w:szCs w:val="20"/>
                <w:lang w:val="es-ES_tradnl"/>
              </w:rPr>
              <w:t>CERC</w:t>
            </w:r>
          </w:p>
        </w:tc>
        <w:tc>
          <w:tcPr>
            <w:tcW w:w="6771" w:type="dxa"/>
          </w:tcPr>
          <w:p w14:paraId="4729DE80" w14:textId="77777777" w:rsidR="006A3DBC" w:rsidRPr="00FA4B2D" w:rsidRDefault="006A3DBC" w:rsidP="005F4A92">
            <w:pPr>
              <w:widowControl w:val="0"/>
              <w:ind w:left="100" w:right="385"/>
              <w:rPr>
                <w:rFonts w:eastAsia="Calibri" w:cs="Arial"/>
                <w:sz w:val="20"/>
                <w:szCs w:val="20"/>
                <w:lang w:val="es-ES_tradnl"/>
              </w:rPr>
            </w:pPr>
            <w:r w:rsidRPr="00FA4B2D">
              <w:rPr>
                <w:rFonts w:eastAsia="Calibri" w:cs="Arial"/>
                <w:sz w:val="20"/>
                <w:szCs w:val="20"/>
                <w:lang w:val="es-ES_tradnl"/>
              </w:rPr>
              <w:t>Componente de Respuesta a Emergencias y Contingencias.</w:t>
            </w:r>
          </w:p>
        </w:tc>
      </w:tr>
      <w:tr w:rsidR="006A3DBC" w:rsidRPr="00FA4B2D" w14:paraId="115FAB86" w14:textId="77777777" w:rsidTr="006A3DBC">
        <w:trPr>
          <w:trHeight w:hRule="exact" w:val="263"/>
        </w:trPr>
        <w:tc>
          <w:tcPr>
            <w:tcW w:w="2155" w:type="dxa"/>
          </w:tcPr>
          <w:p w14:paraId="229806EF" w14:textId="77777777" w:rsidR="006A3DBC" w:rsidRPr="00FA4B2D" w:rsidRDefault="006A3DBC" w:rsidP="005F4A92">
            <w:pPr>
              <w:widowControl w:val="0"/>
              <w:rPr>
                <w:rFonts w:eastAsia="Calibri" w:cs="Arial"/>
                <w:sz w:val="20"/>
                <w:szCs w:val="20"/>
                <w:lang w:val="es-ES_tradnl"/>
              </w:rPr>
            </w:pPr>
            <w:r w:rsidRPr="00FA4B2D">
              <w:rPr>
                <w:rFonts w:eastAsia="Calibri" w:cs="Arial"/>
                <w:sz w:val="20"/>
                <w:szCs w:val="20"/>
                <w:lang w:val="es-ES_tradnl"/>
              </w:rPr>
              <w:t>CEDIJ</w:t>
            </w:r>
          </w:p>
        </w:tc>
        <w:tc>
          <w:tcPr>
            <w:tcW w:w="6771" w:type="dxa"/>
          </w:tcPr>
          <w:p w14:paraId="3D4EC170" w14:textId="77777777" w:rsidR="006A3DBC" w:rsidRPr="00FA4B2D" w:rsidRDefault="006A3DBC" w:rsidP="005F4A92">
            <w:pPr>
              <w:widowControl w:val="0"/>
              <w:ind w:left="100" w:right="385"/>
              <w:rPr>
                <w:rFonts w:eastAsia="Calibri" w:cs="Arial"/>
                <w:sz w:val="20"/>
                <w:szCs w:val="20"/>
                <w:lang w:val="es-ES_tradnl"/>
              </w:rPr>
            </w:pPr>
            <w:r w:rsidRPr="00FA4B2D">
              <w:rPr>
                <w:rFonts w:eastAsia="Calibri" w:cs="Arial"/>
                <w:sz w:val="20"/>
                <w:szCs w:val="20"/>
                <w:lang w:val="es-ES_tradnl"/>
              </w:rPr>
              <w:t>Centro Electrónico de Documentación e Información Judicial</w:t>
            </w:r>
          </w:p>
        </w:tc>
      </w:tr>
      <w:tr w:rsidR="006A3DBC" w:rsidRPr="00FA4B2D" w14:paraId="3A5ACB19" w14:textId="77777777" w:rsidTr="006A3DBC">
        <w:trPr>
          <w:trHeight w:hRule="exact" w:val="263"/>
        </w:trPr>
        <w:tc>
          <w:tcPr>
            <w:tcW w:w="2155" w:type="dxa"/>
          </w:tcPr>
          <w:p w14:paraId="1E43F23F" w14:textId="77777777" w:rsidR="006A3DBC" w:rsidRPr="00FA4B2D" w:rsidRDefault="006A3DBC" w:rsidP="005F4A92">
            <w:pPr>
              <w:widowControl w:val="0"/>
              <w:rPr>
                <w:rFonts w:eastAsia="Calibri" w:cs="Arial"/>
                <w:sz w:val="20"/>
                <w:szCs w:val="20"/>
                <w:lang w:val="es-ES_tradnl"/>
              </w:rPr>
            </w:pPr>
            <w:r w:rsidRPr="00FA4B2D">
              <w:rPr>
                <w:rFonts w:eastAsia="Calibri" w:cs="Arial"/>
                <w:sz w:val="20"/>
                <w:szCs w:val="20"/>
                <w:lang w:val="es-ES_tradnl"/>
              </w:rPr>
              <w:t>CNBS</w:t>
            </w:r>
          </w:p>
        </w:tc>
        <w:tc>
          <w:tcPr>
            <w:tcW w:w="6771" w:type="dxa"/>
          </w:tcPr>
          <w:p w14:paraId="2FB12810" w14:textId="77777777" w:rsidR="006A3DBC" w:rsidRPr="00FA4B2D" w:rsidRDefault="006A3DBC" w:rsidP="005F4A92">
            <w:pPr>
              <w:widowControl w:val="0"/>
              <w:ind w:left="100" w:right="385"/>
              <w:rPr>
                <w:rFonts w:eastAsia="Calibri" w:cs="Arial"/>
                <w:sz w:val="20"/>
                <w:szCs w:val="20"/>
                <w:lang w:val="es-ES_tradnl"/>
              </w:rPr>
            </w:pPr>
            <w:r w:rsidRPr="00FA4B2D">
              <w:rPr>
                <w:rFonts w:eastAsia="Calibri" w:cs="Arial"/>
                <w:sz w:val="20"/>
                <w:szCs w:val="20"/>
                <w:lang w:val="es-ES_tradnl"/>
              </w:rPr>
              <w:t>Comisión Nacional de Banca y Seguros</w:t>
            </w:r>
          </w:p>
        </w:tc>
      </w:tr>
      <w:tr w:rsidR="006A3DBC" w:rsidRPr="00FA4B2D" w14:paraId="60490330" w14:textId="77777777" w:rsidTr="006A3DBC">
        <w:trPr>
          <w:trHeight w:hRule="exact" w:val="263"/>
        </w:trPr>
        <w:tc>
          <w:tcPr>
            <w:tcW w:w="2155" w:type="dxa"/>
          </w:tcPr>
          <w:p w14:paraId="482E5D64" w14:textId="77777777" w:rsidR="006A3DBC" w:rsidRPr="00FA4B2D" w:rsidRDefault="006A3DBC" w:rsidP="005F4A92">
            <w:pPr>
              <w:widowControl w:val="0"/>
              <w:rPr>
                <w:rFonts w:eastAsia="Times New Roman" w:cs="Arial"/>
                <w:sz w:val="20"/>
                <w:szCs w:val="20"/>
                <w:lang w:val="es-ES_tradnl"/>
              </w:rPr>
            </w:pPr>
            <w:r w:rsidRPr="00FA4B2D">
              <w:rPr>
                <w:rFonts w:eastAsia="Calibri" w:cs="Arial"/>
                <w:sz w:val="20"/>
                <w:szCs w:val="20"/>
                <w:lang w:val="es-ES_tradnl"/>
              </w:rPr>
              <w:t>COPINH</w:t>
            </w:r>
          </w:p>
        </w:tc>
        <w:tc>
          <w:tcPr>
            <w:tcW w:w="6771" w:type="dxa"/>
          </w:tcPr>
          <w:p w14:paraId="35C1A0F7" w14:textId="77777777" w:rsidR="006A3DBC" w:rsidRPr="00FA4B2D" w:rsidRDefault="006A3DBC" w:rsidP="005F4A92">
            <w:pPr>
              <w:widowControl w:val="0"/>
              <w:ind w:left="100" w:right="385"/>
              <w:rPr>
                <w:rFonts w:eastAsia="Times New Roman" w:cs="Arial"/>
                <w:sz w:val="20"/>
                <w:szCs w:val="20"/>
                <w:lang w:val="es-ES_tradnl"/>
              </w:rPr>
            </w:pPr>
            <w:r w:rsidRPr="00FA4B2D">
              <w:rPr>
                <w:rFonts w:eastAsia="Calibri" w:cs="Arial"/>
                <w:sz w:val="20"/>
                <w:szCs w:val="20"/>
                <w:lang w:val="es-ES_tradnl"/>
              </w:rPr>
              <w:t>Consejo Cívico de Organizaciones Populares e</w:t>
            </w:r>
            <w:r w:rsidRPr="00FA4B2D">
              <w:rPr>
                <w:rFonts w:eastAsia="Calibri" w:cs="Arial"/>
                <w:spacing w:val="-15"/>
                <w:sz w:val="20"/>
                <w:szCs w:val="20"/>
                <w:lang w:val="es-ES_tradnl"/>
              </w:rPr>
              <w:t xml:space="preserve"> </w:t>
            </w:r>
            <w:r w:rsidRPr="00FA4B2D">
              <w:rPr>
                <w:rFonts w:eastAsia="Calibri" w:cs="Arial"/>
                <w:sz w:val="20"/>
                <w:szCs w:val="20"/>
                <w:lang w:val="es-ES_tradnl"/>
              </w:rPr>
              <w:t>Indígenas</w:t>
            </w:r>
          </w:p>
        </w:tc>
      </w:tr>
      <w:tr w:rsidR="006A3DBC" w:rsidRPr="00FA4B2D" w14:paraId="0C65BEAA" w14:textId="77777777" w:rsidTr="006A3DBC">
        <w:trPr>
          <w:trHeight w:hRule="exact" w:val="263"/>
        </w:trPr>
        <w:tc>
          <w:tcPr>
            <w:tcW w:w="2155" w:type="dxa"/>
          </w:tcPr>
          <w:p w14:paraId="6C0C3202" w14:textId="77777777" w:rsidR="006A3DBC" w:rsidRPr="00FA4B2D" w:rsidRDefault="006A3DBC" w:rsidP="005F4A92">
            <w:pPr>
              <w:widowControl w:val="0"/>
              <w:rPr>
                <w:rFonts w:eastAsia="Calibri" w:cs="Arial"/>
                <w:sz w:val="20"/>
                <w:szCs w:val="20"/>
                <w:lang w:val="es-ES_tradnl"/>
              </w:rPr>
            </w:pPr>
            <w:r w:rsidRPr="00FA4B2D">
              <w:rPr>
                <w:rFonts w:eastAsia="Calibri" w:cs="Arial"/>
                <w:sz w:val="20"/>
                <w:szCs w:val="20"/>
                <w:lang w:val="es-ES_tradnl"/>
              </w:rPr>
              <w:t>CONPAH</w:t>
            </w:r>
          </w:p>
        </w:tc>
        <w:tc>
          <w:tcPr>
            <w:tcW w:w="6771" w:type="dxa"/>
          </w:tcPr>
          <w:p w14:paraId="2AE7744F" w14:textId="77777777" w:rsidR="006A3DBC" w:rsidRPr="00FA4B2D" w:rsidRDefault="006A3DBC" w:rsidP="005F4A92">
            <w:pPr>
              <w:widowControl w:val="0"/>
              <w:ind w:left="100" w:right="385"/>
              <w:rPr>
                <w:rFonts w:eastAsia="Calibri" w:cs="Arial"/>
                <w:sz w:val="20"/>
                <w:szCs w:val="20"/>
                <w:lang w:val="es-ES_tradnl"/>
              </w:rPr>
            </w:pPr>
            <w:r w:rsidRPr="00FA4B2D">
              <w:rPr>
                <w:rFonts w:eastAsia="Calibri" w:cs="Arial"/>
                <w:sz w:val="20"/>
                <w:szCs w:val="20"/>
                <w:lang w:val="es-ES_tradnl"/>
              </w:rPr>
              <w:t>Confederación de Pueblos Autóctonos de Honduras</w:t>
            </w:r>
          </w:p>
        </w:tc>
      </w:tr>
      <w:tr w:rsidR="006A3DBC" w:rsidRPr="00FA4B2D" w14:paraId="04E8B717" w14:textId="77777777" w:rsidTr="006A3DBC">
        <w:trPr>
          <w:trHeight w:hRule="exact" w:val="263"/>
        </w:trPr>
        <w:tc>
          <w:tcPr>
            <w:tcW w:w="2155" w:type="dxa"/>
          </w:tcPr>
          <w:p w14:paraId="36502992" w14:textId="77777777" w:rsidR="006A3DBC" w:rsidRPr="00FA4B2D" w:rsidRDefault="006A3DBC" w:rsidP="005F4A92">
            <w:pPr>
              <w:widowControl w:val="0"/>
              <w:rPr>
                <w:rFonts w:eastAsia="Calibri" w:cs="Arial"/>
                <w:sz w:val="20"/>
                <w:szCs w:val="20"/>
                <w:lang w:val="es-ES_tradnl"/>
              </w:rPr>
            </w:pPr>
            <w:r w:rsidRPr="00FA4B2D">
              <w:rPr>
                <w:rFonts w:eastAsia="Calibri" w:cs="Arial"/>
                <w:sz w:val="20"/>
                <w:szCs w:val="20"/>
                <w:lang w:val="es-ES_tradnl"/>
              </w:rPr>
              <w:t>CONSUCOOP</w:t>
            </w:r>
          </w:p>
        </w:tc>
        <w:tc>
          <w:tcPr>
            <w:tcW w:w="6771" w:type="dxa"/>
          </w:tcPr>
          <w:p w14:paraId="3C578727" w14:textId="77777777" w:rsidR="006A3DBC" w:rsidRPr="00FA4B2D" w:rsidRDefault="006A3DBC" w:rsidP="005F4A92">
            <w:pPr>
              <w:widowControl w:val="0"/>
              <w:ind w:left="100" w:right="385"/>
              <w:rPr>
                <w:rFonts w:eastAsia="Calibri" w:cs="Arial"/>
                <w:sz w:val="20"/>
                <w:szCs w:val="20"/>
                <w:lang w:val="es-ES_tradnl"/>
              </w:rPr>
            </w:pPr>
            <w:r w:rsidRPr="00FA4B2D">
              <w:rPr>
                <w:rFonts w:eastAsia="Calibri" w:cs="Arial"/>
                <w:sz w:val="20"/>
                <w:szCs w:val="20"/>
                <w:lang w:val="es-ES_tradnl"/>
              </w:rPr>
              <w:t>Consejo Nacional Supervisor de Cooperativas</w:t>
            </w:r>
          </w:p>
        </w:tc>
      </w:tr>
      <w:tr w:rsidR="006A3DBC" w:rsidRPr="00FA4B2D" w14:paraId="155A71A6" w14:textId="77777777" w:rsidTr="006A3DBC">
        <w:trPr>
          <w:trHeight w:hRule="exact" w:val="263"/>
        </w:trPr>
        <w:tc>
          <w:tcPr>
            <w:tcW w:w="2155" w:type="dxa"/>
          </w:tcPr>
          <w:p w14:paraId="0C05B4ED" w14:textId="77777777" w:rsidR="006A3DBC" w:rsidRPr="00FA4B2D" w:rsidRDefault="006A3DBC" w:rsidP="005F4A92">
            <w:pPr>
              <w:widowControl w:val="0"/>
              <w:rPr>
                <w:rFonts w:eastAsia="Calibri" w:cs="Arial"/>
                <w:sz w:val="20"/>
                <w:szCs w:val="20"/>
                <w:lang w:val="es-ES_tradnl"/>
              </w:rPr>
            </w:pPr>
            <w:r w:rsidRPr="00FA4B2D">
              <w:rPr>
                <w:rFonts w:eastAsia="Calibri" w:cs="Arial"/>
                <w:sz w:val="20"/>
                <w:szCs w:val="20"/>
                <w:lang w:val="es-ES_tradnl"/>
              </w:rPr>
              <w:t>COMRURAL</w:t>
            </w:r>
          </w:p>
        </w:tc>
        <w:tc>
          <w:tcPr>
            <w:tcW w:w="6771" w:type="dxa"/>
          </w:tcPr>
          <w:p w14:paraId="51FA9607" w14:textId="77777777" w:rsidR="006A3DBC" w:rsidRPr="00FA4B2D" w:rsidRDefault="006A3DBC" w:rsidP="005F4A92">
            <w:pPr>
              <w:widowControl w:val="0"/>
              <w:ind w:left="100" w:right="385"/>
              <w:rPr>
                <w:rFonts w:eastAsia="Calibri" w:cs="Arial"/>
                <w:sz w:val="20"/>
                <w:szCs w:val="20"/>
                <w:lang w:val="es-ES_tradnl"/>
              </w:rPr>
            </w:pPr>
            <w:r w:rsidRPr="00FA4B2D">
              <w:rPr>
                <w:rFonts w:eastAsia="Calibri" w:cs="Arial"/>
                <w:sz w:val="20"/>
                <w:szCs w:val="20"/>
                <w:lang w:val="es-ES_tradnl"/>
              </w:rPr>
              <w:t>Proyecto de Competitividad Rural</w:t>
            </w:r>
          </w:p>
        </w:tc>
      </w:tr>
      <w:tr w:rsidR="006A3DBC" w:rsidRPr="00FA4B2D" w14:paraId="7BE73567" w14:textId="77777777" w:rsidTr="006A3DBC">
        <w:trPr>
          <w:trHeight w:hRule="exact" w:val="263"/>
        </w:trPr>
        <w:tc>
          <w:tcPr>
            <w:tcW w:w="2155" w:type="dxa"/>
          </w:tcPr>
          <w:p w14:paraId="49C69E62" w14:textId="77777777" w:rsidR="006A3DBC" w:rsidRPr="00FA4B2D" w:rsidRDefault="006A3DBC" w:rsidP="005F4A92">
            <w:pPr>
              <w:widowControl w:val="0"/>
              <w:rPr>
                <w:rFonts w:eastAsia="Calibri" w:cs="Arial"/>
                <w:sz w:val="20"/>
                <w:szCs w:val="20"/>
                <w:lang w:val="es-ES_tradnl"/>
              </w:rPr>
            </w:pPr>
            <w:r w:rsidRPr="00FA4B2D">
              <w:rPr>
                <w:rFonts w:eastAsia="Calibri" w:cs="Arial"/>
                <w:sz w:val="20"/>
                <w:szCs w:val="20"/>
                <w:lang w:val="es-ES_tradnl"/>
              </w:rPr>
              <w:t>COP</w:t>
            </w:r>
          </w:p>
        </w:tc>
        <w:tc>
          <w:tcPr>
            <w:tcW w:w="6771" w:type="dxa"/>
          </w:tcPr>
          <w:p w14:paraId="63B6EE77" w14:textId="77777777" w:rsidR="006A3DBC" w:rsidRPr="00FA4B2D" w:rsidRDefault="006A3DBC" w:rsidP="005F4A92">
            <w:pPr>
              <w:widowControl w:val="0"/>
              <w:ind w:left="100" w:right="385"/>
              <w:rPr>
                <w:rFonts w:eastAsia="Calibri" w:cs="Arial"/>
                <w:sz w:val="20"/>
                <w:szCs w:val="20"/>
                <w:lang w:val="es-ES_tradnl"/>
              </w:rPr>
            </w:pPr>
            <w:r w:rsidRPr="00FA4B2D">
              <w:rPr>
                <w:rFonts w:eastAsia="Calibri" w:cs="Arial"/>
                <w:sz w:val="20"/>
                <w:szCs w:val="20"/>
                <w:lang w:val="es-ES_tradnl"/>
              </w:rPr>
              <w:t>Consejo Orientador del Proyecto</w:t>
            </w:r>
          </w:p>
        </w:tc>
      </w:tr>
      <w:tr w:rsidR="006A3DBC" w:rsidRPr="00FA4B2D" w14:paraId="0B79513C" w14:textId="77777777" w:rsidTr="006A3DBC">
        <w:trPr>
          <w:trHeight w:hRule="exact" w:val="263"/>
        </w:trPr>
        <w:tc>
          <w:tcPr>
            <w:tcW w:w="2155" w:type="dxa"/>
          </w:tcPr>
          <w:p w14:paraId="6FF89904" w14:textId="77777777" w:rsidR="006A3DBC" w:rsidRPr="00FA4B2D" w:rsidRDefault="006A3DBC" w:rsidP="005F4A92">
            <w:pPr>
              <w:widowControl w:val="0"/>
              <w:rPr>
                <w:rFonts w:eastAsia="Calibri" w:cs="Arial"/>
                <w:sz w:val="20"/>
                <w:szCs w:val="20"/>
                <w:lang w:val="es-ES_tradnl"/>
              </w:rPr>
            </w:pPr>
            <w:r w:rsidRPr="00FA4B2D">
              <w:rPr>
                <w:rFonts w:eastAsia="Calibri" w:cs="Arial"/>
                <w:sz w:val="20"/>
                <w:szCs w:val="20"/>
                <w:lang w:val="es-ES_tradnl"/>
              </w:rPr>
              <w:t>COPS</w:t>
            </w:r>
          </w:p>
        </w:tc>
        <w:tc>
          <w:tcPr>
            <w:tcW w:w="6771" w:type="dxa"/>
          </w:tcPr>
          <w:p w14:paraId="2F131E2C" w14:textId="77777777" w:rsidR="006A3DBC" w:rsidRPr="00FA4B2D" w:rsidRDefault="006A3DBC" w:rsidP="005F4A92">
            <w:pPr>
              <w:widowControl w:val="0"/>
              <w:ind w:left="100" w:right="385"/>
              <w:rPr>
                <w:rFonts w:eastAsia="Calibri" w:cs="Arial"/>
                <w:sz w:val="20"/>
                <w:szCs w:val="20"/>
                <w:lang w:val="es-ES_tradnl"/>
              </w:rPr>
            </w:pPr>
            <w:r w:rsidRPr="00FA4B2D">
              <w:rPr>
                <w:rFonts w:eastAsia="Calibri" w:cs="Arial"/>
                <w:sz w:val="20"/>
                <w:szCs w:val="20"/>
                <w:lang w:val="es-ES_tradnl"/>
              </w:rPr>
              <w:t>Compuestos Orgánicos Persistentes</w:t>
            </w:r>
          </w:p>
        </w:tc>
      </w:tr>
      <w:tr w:rsidR="006A3DBC" w:rsidRPr="00FA4B2D" w14:paraId="00D638E2" w14:textId="77777777" w:rsidTr="006A3DBC">
        <w:trPr>
          <w:trHeight w:hRule="exact" w:val="263"/>
        </w:trPr>
        <w:tc>
          <w:tcPr>
            <w:tcW w:w="2155" w:type="dxa"/>
          </w:tcPr>
          <w:p w14:paraId="482E16B4" w14:textId="77777777" w:rsidR="006A3DBC" w:rsidRPr="00FA4B2D" w:rsidRDefault="006A3DBC" w:rsidP="005F4A92">
            <w:pPr>
              <w:widowControl w:val="0"/>
              <w:rPr>
                <w:rFonts w:eastAsia="Calibri" w:cs="Arial"/>
                <w:sz w:val="20"/>
                <w:szCs w:val="20"/>
                <w:lang w:val="es-ES_tradnl"/>
              </w:rPr>
            </w:pPr>
            <w:r w:rsidRPr="00FA4B2D">
              <w:rPr>
                <w:rFonts w:eastAsia="Calibri" w:cs="Arial"/>
                <w:sz w:val="20"/>
                <w:szCs w:val="20"/>
                <w:lang w:val="es-ES_tradnl"/>
              </w:rPr>
              <w:t>COPECO</w:t>
            </w:r>
          </w:p>
        </w:tc>
        <w:tc>
          <w:tcPr>
            <w:tcW w:w="6771" w:type="dxa"/>
          </w:tcPr>
          <w:p w14:paraId="2B29E22A" w14:textId="77777777" w:rsidR="006A3DBC" w:rsidRPr="00FA4B2D" w:rsidRDefault="006A3DBC" w:rsidP="005F4A92">
            <w:pPr>
              <w:widowControl w:val="0"/>
              <w:ind w:left="100" w:right="385"/>
              <w:rPr>
                <w:rFonts w:eastAsia="Calibri" w:cs="Arial"/>
                <w:sz w:val="20"/>
                <w:szCs w:val="20"/>
                <w:lang w:val="es-ES_tradnl"/>
              </w:rPr>
            </w:pPr>
            <w:r w:rsidRPr="00FA4B2D">
              <w:rPr>
                <w:rFonts w:eastAsia="Calibri" w:cs="Arial"/>
                <w:sz w:val="20"/>
                <w:szCs w:val="20"/>
                <w:lang w:val="es-ES_tradnl"/>
              </w:rPr>
              <w:t>Comisión Permanente de Contingencias</w:t>
            </w:r>
          </w:p>
        </w:tc>
      </w:tr>
      <w:tr w:rsidR="006A3DBC" w:rsidRPr="00FA4B2D" w14:paraId="578509C2" w14:textId="77777777" w:rsidTr="006A3DBC">
        <w:trPr>
          <w:trHeight w:hRule="exact" w:val="264"/>
        </w:trPr>
        <w:tc>
          <w:tcPr>
            <w:tcW w:w="2155" w:type="dxa"/>
          </w:tcPr>
          <w:p w14:paraId="3550DE7D" w14:textId="77777777" w:rsidR="006A3DBC" w:rsidRPr="00FA4B2D" w:rsidRDefault="006A3DBC" w:rsidP="005F4A92">
            <w:pPr>
              <w:widowControl w:val="0"/>
              <w:ind w:right="519"/>
              <w:rPr>
                <w:rFonts w:eastAsia="Calibri" w:cs="Arial"/>
                <w:sz w:val="20"/>
                <w:szCs w:val="20"/>
                <w:lang w:val="es-ES_tradnl"/>
              </w:rPr>
            </w:pPr>
            <w:r w:rsidRPr="00FA4B2D">
              <w:rPr>
                <w:rFonts w:eastAsia="Calibri" w:cs="Arial"/>
                <w:sz w:val="20"/>
                <w:szCs w:val="20"/>
                <w:lang w:val="es-ES_tradnl"/>
              </w:rPr>
              <w:t>DAPVS</w:t>
            </w:r>
          </w:p>
        </w:tc>
        <w:tc>
          <w:tcPr>
            <w:tcW w:w="6771" w:type="dxa"/>
          </w:tcPr>
          <w:p w14:paraId="7A743793" w14:textId="77777777" w:rsidR="006A3DBC" w:rsidRPr="00FA4B2D" w:rsidRDefault="006A3DBC" w:rsidP="005F4A92">
            <w:pPr>
              <w:widowControl w:val="0"/>
              <w:ind w:left="100" w:right="385"/>
              <w:rPr>
                <w:rFonts w:eastAsia="Calibri" w:cs="Arial"/>
                <w:sz w:val="20"/>
                <w:szCs w:val="20"/>
                <w:lang w:val="es-ES_tradnl"/>
              </w:rPr>
            </w:pPr>
            <w:r w:rsidRPr="00FA4B2D">
              <w:rPr>
                <w:rFonts w:eastAsia="Calibri" w:cs="Arial"/>
                <w:sz w:val="20"/>
                <w:szCs w:val="20"/>
                <w:lang w:val="es-ES_tradnl"/>
              </w:rPr>
              <w:t xml:space="preserve">Departamento de Áreas Protegidas y Vida Silvestre </w:t>
            </w:r>
          </w:p>
        </w:tc>
      </w:tr>
      <w:tr w:rsidR="006A3DBC" w:rsidRPr="00FA4B2D" w14:paraId="7FF1EAD3" w14:textId="77777777" w:rsidTr="006A3DBC">
        <w:trPr>
          <w:trHeight w:hRule="exact" w:val="264"/>
        </w:trPr>
        <w:tc>
          <w:tcPr>
            <w:tcW w:w="2155" w:type="dxa"/>
          </w:tcPr>
          <w:p w14:paraId="25D449BE" w14:textId="77777777" w:rsidR="006A3DBC" w:rsidRPr="00FA4B2D" w:rsidRDefault="006A3DBC" w:rsidP="005F4A92">
            <w:pPr>
              <w:widowControl w:val="0"/>
              <w:ind w:right="519"/>
              <w:rPr>
                <w:rFonts w:eastAsia="Calibri" w:cs="Arial"/>
                <w:sz w:val="20"/>
                <w:szCs w:val="20"/>
                <w:lang w:val="es-ES_tradnl"/>
              </w:rPr>
            </w:pPr>
            <w:r w:rsidRPr="00FA4B2D">
              <w:rPr>
                <w:rFonts w:eastAsia="Calibri" w:cs="Arial"/>
                <w:sz w:val="20"/>
                <w:szCs w:val="20"/>
                <w:lang w:val="es-ES_tradnl"/>
              </w:rPr>
              <w:t>DECA</w:t>
            </w:r>
          </w:p>
        </w:tc>
        <w:tc>
          <w:tcPr>
            <w:tcW w:w="6771" w:type="dxa"/>
          </w:tcPr>
          <w:p w14:paraId="5C1DD7F0" w14:textId="77777777" w:rsidR="006A3DBC" w:rsidRPr="00FA4B2D" w:rsidRDefault="006A3DBC" w:rsidP="005F4A92">
            <w:pPr>
              <w:widowControl w:val="0"/>
              <w:ind w:left="100" w:right="385"/>
              <w:rPr>
                <w:rFonts w:eastAsia="Calibri" w:cs="Arial"/>
                <w:sz w:val="20"/>
                <w:szCs w:val="20"/>
                <w:lang w:val="es-ES_tradnl"/>
              </w:rPr>
            </w:pPr>
            <w:r w:rsidRPr="00FA4B2D">
              <w:rPr>
                <w:rFonts w:eastAsia="Calibri" w:cs="Arial"/>
                <w:sz w:val="20"/>
                <w:szCs w:val="20"/>
                <w:lang w:val="es-ES_tradnl"/>
              </w:rPr>
              <w:t>Dirección de Evaluación y Control Ambiental</w:t>
            </w:r>
          </w:p>
        </w:tc>
      </w:tr>
      <w:tr w:rsidR="006A3DBC" w:rsidRPr="00FA4B2D" w14:paraId="7F520C4E" w14:textId="77777777" w:rsidTr="006A3DBC">
        <w:trPr>
          <w:trHeight w:hRule="exact" w:val="264"/>
        </w:trPr>
        <w:tc>
          <w:tcPr>
            <w:tcW w:w="2155" w:type="dxa"/>
          </w:tcPr>
          <w:p w14:paraId="7ECA9C48" w14:textId="77777777" w:rsidR="006A3DBC" w:rsidRPr="00FA4B2D" w:rsidRDefault="006A3DBC" w:rsidP="005F4A92">
            <w:pPr>
              <w:widowControl w:val="0"/>
              <w:ind w:right="519"/>
              <w:rPr>
                <w:rFonts w:eastAsia="Calibri" w:cs="Arial"/>
                <w:sz w:val="20"/>
                <w:szCs w:val="20"/>
                <w:lang w:val="es-ES_tradnl"/>
              </w:rPr>
            </w:pPr>
            <w:r w:rsidRPr="00FA4B2D">
              <w:rPr>
                <w:rFonts w:eastAsia="Calibri" w:cs="Arial"/>
                <w:sz w:val="20"/>
                <w:szCs w:val="20"/>
                <w:lang w:val="es-ES_tradnl"/>
              </w:rPr>
              <w:t>DICTA</w:t>
            </w:r>
          </w:p>
        </w:tc>
        <w:tc>
          <w:tcPr>
            <w:tcW w:w="6771" w:type="dxa"/>
          </w:tcPr>
          <w:p w14:paraId="3DDA6B45" w14:textId="77777777" w:rsidR="006A3DBC" w:rsidRPr="00FA4B2D" w:rsidRDefault="006A3DBC" w:rsidP="005F4A92">
            <w:pPr>
              <w:widowControl w:val="0"/>
              <w:ind w:left="100" w:right="385"/>
              <w:rPr>
                <w:rFonts w:eastAsia="Calibri" w:cs="Arial"/>
                <w:sz w:val="20"/>
                <w:szCs w:val="20"/>
                <w:lang w:val="es-ES_tradnl"/>
              </w:rPr>
            </w:pPr>
            <w:r w:rsidRPr="00FA4B2D">
              <w:rPr>
                <w:rFonts w:eastAsia="Calibri" w:cs="Arial"/>
                <w:sz w:val="20"/>
                <w:szCs w:val="20"/>
                <w:lang w:val="es-ES_tradnl"/>
              </w:rPr>
              <w:t>Dirección de Ciencia y Tecnología Agropecuaria</w:t>
            </w:r>
          </w:p>
        </w:tc>
      </w:tr>
      <w:tr w:rsidR="006A3DBC" w:rsidRPr="00FA4B2D" w14:paraId="4D238124" w14:textId="77777777" w:rsidTr="006A3DBC">
        <w:trPr>
          <w:trHeight w:hRule="exact" w:val="264"/>
        </w:trPr>
        <w:tc>
          <w:tcPr>
            <w:tcW w:w="2155" w:type="dxa"/>
          </w:tcPr>
          <w:p w14:paraId="09AF0F2A" w14:textId="77777777" w:rsidR="006A3DBC" w:rsidRPr="00FA4B2D" w:rsidRDefault="006A3DBC" w:rsidP="005F4A92">
            <w:pPr>
              <w:widowControl w:val="0"/>
              <w:ind w:right="519"/>
              <w:rPr>
                <w:rFonts w:eastAsia="Calibri" w:cs="Arial"/>
                <w:sz w:val="20"/>
                <w:szCs w:val="20"/>
              </w:rPr>
            </w:pPr>
            <w:r w:rsidRPr="00FA4B2D">
              <w:rPr>
                <w:rFonts w:eastAsia="Calibri" w:cs="Arial"/>
                <w:sz w:val="20"/>
                <w:szCs w:val="20"/>
              </w:rPr>
              <w:t>EAS</w:t>
            </w:r>
          </w:p>
        </w:tc>
        <w:tc>
          <w:tcPr>
            <w:tcW w:w="6771" w:type="dxa"/>
          </w:tcPr>
          <w:p w14:paraId="1BE5776E" w14:textId="77777777" w:rsidR="006A3DBC" w:rsidRPr="00FA4B2D" w:rsidRDefault="006A3DBC" w:rsidP="005F4A92">
            <w:pPr>
              <w:widowControl w:val="0"/>
              <w:ind w:left="100" w:right="385"/>
              <w:rPr>
                <w:rFonts w:eastAsia="Calibri" w:cs="Arial"/>
                <w:sz w:val="20"/>
                <w:szCs w:val="20"/>
                <w:lang w:val="es-ES_tradnl"/>
              </w:rPr>
            </w:pPr>
            <w:r w:rsidRPr="00FA4B2D">
              <w:rPr>
                <w:rFonts w:eastAsia="Calibri" w:cs="Arial"/>
                <w:sz w:val="20"/>
                <w:szCs w:val="20"/>
                <w:lang w:val="es-ES_tradnl"/>
              </w:rPr>
              <w:t>Estándar Ambiental y Social</w:t>
            </w:r>
          </w:p>
        </w:tc>
      </w:tr>
      <w:tr w:rsidR="006A3DBC" w:rsidRPr="00FA4B2D" w14:paraId="64A8BD39" w14:textId="77777777" w:rsidTr="006A3DBC">
        <w:trPr>
          <w:trHeight w:hRule="exact" w:val="264"/>
        </w:trPr>
        <w:tc>
          <w:tcPr>
            <w:tcW w:w="2155" w:type="dxa"/>
          </w:tcPr>
          <w:p w14:paraId="661E152C" w14:textId="77777777" w:rsidR="006A3DBC" w:rsidRPr="00FA4B2D" w:rsidRDefault="006A3DBC" w:rsidP="005F4A92">
            <w:pPr>
              <w:widowControl w:val="0"/>
              <w:ind w:right="519"/>
              <w:rPr>
                <w:rFonts w:eastAsia="Calibri" w:cs="Arial"/>
                <w:sz w:val="20"/>
                <w:szCs w:val="20"/>
                <w:lang w:val="es-ES"/>
              </w:rPr>
            </w:pPr>
            <w:r w:rsidRPr="00FA4B2D">
              <w:rPr>
                <w:rFonts w:eastAsia="Calibri" w:cs="Arial"/>
                <w:sz w:val="20"/>
                <w:szCs w:val="20"/>
                <w:lang w:val="es-ES"/>
              </w:rPr>
              <w:t>EASs</w:t>
            </w:r>
          </w:p>
        </w:tc>
        <w:tc>
          <w:tcPr>
            <w:tcW w:w="6771" w:type="dxa"/>
          </w:tcPr>
          <w:p w14:paraId="2B1F23AF" w14:textId="77777777" w:rsidR="006A3DBC" w:rsidRPr="00FA4B2D" w:rsidRDefault="006A3DBC" w:rsidP="005F4A92">
            <w:pPr>
              <w:widowControl w:val="0"/>
              <w:ind w:left="100" w:right="385"/>
              <w:rPr>
                <w:rFonts w:eastAsia="Calibri" w:cs="Arial"/>
                <w:sz w:val="20"/>
                <w:szCs w:val="20"/>
                <w:lang w:val="es-ES_tradnl"/>
              </w:rPr>
            </w:pPr>
            <w:r w:rsidRPr="00FA4B2D">
              <w:rPr>
                <w:rFonts w:eastAsia="Calibri" w:cs="Arial"/>
                <w:sz w:val="20"/>
                <w:szCs w:val="20"/>
                <w:lang w:val="es-ES_tradnl"/>
              </w:rPr>
              <w:t>Estándares Ambientales y Sociales</w:t>
            </w:r>
          </w:p>
        </w:tc>
      </w:tr>
      <w:tr w:rsidR="006A3DBC" w:rsidRPr="00FA4B2D" w14:paraId="3482DBFC" w14:textId="77777777" w:rsidTr="006A3DBC">
        <w:trPr>
          <w:trHeight w:hRule="exact" w:val="263"/>
        </w:trPr>
        <w:tc>
          <w:tcPr>
            <w:tcW w:w="2155" w:type="dxa"/>
          </w:tcPr>
          <w:p w14:paraId="38702CF1" w14:textId="77777777" w:rsidR="006A3DBC" w:rsidRPr="00FA4B2D" w:rsidRDefault="006A3DBC" w:rsidP="005F4A92">
            <w:pPr>
              <w:widowControl w:val="0"/>
              <w:ind w:right="519"/>
              <w:rPr>
                <w:rFonts w:eastAsia="Times New Roman" w:cs="Arial"/>
                <w:sz w:val="20"/>
                <w:szCs w:val="20"/>
                <w:lang w:val="es-ES_tradnl"/>
              </w:rPr>
            </w:pPr>
            <w:r w:rsidRPr="00FA4B2D">
              <w:rPr>
                <w:rFonts w:eastAsia="Calibri" w:cs="Arial"/>
                <w:sz w:val="20"/>
                <w:szCs w:val="20"/>
                <w:lang w:val="es-ES_tradnl"/>
              </w:rPr>
              <w:t>EIA</w:t>
            </w:r>
          </w:p>
        </w:tc>
        <w:tc>
          <w:tcPr>
            <w:tcW w:w="6771" w:type="dxa"/>
          </w:tcPr>
          <w:p w14:paraId="4278EF58" w14:textId="5B1C395D" w:rsidR="006A3DBC" w:rsidRPr="00FA4B2D" w:rsidRDefault="00B441C9" w:rsidP="005F4A92">
            <w:pPr>
              <w:widowControl w:val="0"/>
              <w:ind w:left="100" w:right="385"/>
              <w:rPr>
                <w:rFonts w:eastAsia="Times New Roman" w:cs="Arial"/>
                <w:sz w:val="20"/>
                <w:szCs w:val="20"/>
                <w:lang w:val="es-ES_tradnl"/>
              </w:rPr>
            </w:pPr>
            <w:r w:rsidRPr="00FA4B2D">
              <w:rPr>
                <w:rFonts w:eastAsia="Calibri" w:cs="Arial"/>
                <w:sz w:val="20"/>
                <w:szCs w:val="20"/>
                <w:lang w:val="es-ES_tradnl"/>
              </w:rPr>
              <w:t xml:space="preserve">Evaluación </w:t>
            </w:r>
            <w:r w:rsidR="006A3DBC" w:rsidRPr="00FA4B2D">
              <w:rPr>
                <w:rFonts w:eastAsia="Calibri" w:cs="Arial"/>
                <w:sz w:val="20"/>
                <w:szCs w:val="20"/>
                <w:lang w:val="es-ES_tradnl"/>
              </w:rPr>
              <w:t>de Impacto</w:t>
            </w:r>
            <w:r w:rsidR="006A3DBC" w:rsidRPr="00FA4B2D">
              <w:rPr>
                <w:rFonts w:eastAsia="Calibri" w:cs="Arial"/>
                <w:spacing w:val="-9"/>
                <w:sz w:val="20"/>
                <w:szCs w:val="20"/>
                <w:lang w:val="es-ES_tradnl"/>
              </w:rPr>
              <w:t xml:space="preserve"> </w:t>
            </w:r>
            <w:r w:rsidR="006A3DBC" w:rsidRPr="00FA4B2D">
              <w:rPr>
                <w:rFonts w:eastAsia="Calibri" w:cs="Arial"/>
                <w:sz w:val="20"/>
                <w:szCs w:val="20"/>
                <w:lang w:val="es-ES_tradnl"/>
              </w:rPr>
              <w:t>Ambiental</w:t>
            </w:r>
          </w:p>
        </w:tc>
      </w:tr>
      <w:tr w:rsidR="006A3DBC" w:rsidRPr="00FA4B2D" w14:paraId="2792D16A" w14:textId="77777777" w:rsidTr="006A3DBC">
        <w:trPr>
          <w:trHeight w:hRule="exact" w:val="263"/>
        </w:trPr>
        <w:tc>
          <w:tcPr>
            <w:tcW w:w="2155" w:type="dxa"/>
          </w:tcPr>
          <w:p w14:paraId="1B3E244C" w14:textId="77777777" w:rsidR="006A3DBC" w:rsidRPr="00FA4B2D" w:rsidRDefault="006A3DBC" w:rsidP="005F4A92">
            <w:pPr>
              <w:widowControl w:val="0"/>
              <w:ind w:right="519"/>
              <w:rPr>
                <w:rFonts w:eastAsia="Calibri" w:cs="Arial"/>
                <w:sz w:val="20"/>
                <w:szCs w:val="20"/>
                <w:lang w:val="es-ES_tradnl"/>
              </w:rPr>
            </w:pPr>
            <w:r w:rsidRPr="00FA4B2D">
              <w:rPr>
                <w:rFonts w:eastAsia="Calibri" w:cs="Arial"/>
                <w:sz w:val="20"/>
                <w:szCs w:val="20"/>
                <w:lang w:val="es-ES_tradnl"/>
              </w:rPr>
              <w:t>ENDESA</w:t>
            </w:r>
          </w:p>
        </w:tc>
        <w:tc>
          <w:tcPr>
            <w:tcW w:w="6771" w:type="dxa"/>
          </w:tcPr>
          <w:p w14:paraId="3A03319B" w14:textId="77777777" w:rsidR="006A3DBC" w:rsidRPr="00FA4B2D" w:rsidRDefault="006A3DBC" w:rsidP="005F4A92">
            <w:pPr>
              <w:widowControl w:val="0"/>
              <w:ind w:left="100" w:right="385"/>
              <w:rPr>
                <w:rFonts w:eastAsia="Calibri" w:cs="Arial"/>
                <w:sz w:val="20"/>
                <w:szCs w:val="20"/>
                <w:lang w:val="es-ES_tradnl"/>
              </w:rPr>
            </w:pPr>
            <w:r w:rsidRPr="00FA4B2D">
              <w:rPr>
                <w:rFonts w:eastAsia="Calibri" w:cs="Arial"/>
                <w:sz w:val="20"/>
                <w:szCs w:val="20"/>
                <w:lang w:val="es-ES_tradnl"/>
              </w:rPr>
              <w:t>Encuesta Nacional de Salud</w:t>
            </w:r>
          </w:p>
        </w:tc>
      </w:tr>
      <w:tr w:rsidR="008A114D" w:rsidRPr="00FA4B2D" w14:paraId="0AEF3874" w14:textId="77777777" w:rsidTr="006A3DBC">
        <w:trPr>
          <w:trHeight w:hRule="exact" w:val="263"/>
        </w:trPr>
        <w:tc>
          <w:tcPr>
            <w:tcW w:w="2155" w:type="dxa"/>
          </w:tcPr>
          <w:p w14:paraId="4304F75F" w14:textId="2A396D1A" w:rsidR="008A114D" w:rsidRPr="00FA4B2D" w:rsidRDefault="008A114D" w:rsidP="005F4A92">
            <w:pPr>
              <w:widowControl w:val="0"/>
              <w:ind w:right="519"/>
              <w:rPr>
                <w:rFonts w:eastAsia="Calibri" w:cs="Arial"/>
                <w:sz w:val="20"/>
                <w:szCs w:val="20"/>
                <w:lang w:val="es-ES_tradnl"/>
              </w:rPr>
            </w:pPr>
            <w:r w:rsidRPr="00FA4B2D">
              <w:rPr>
                <w:rFonts w:eastAsia="Calibri" w:cs="Arial"/>
                <w:sz w:val="20"/>
                <w:szCs w:val="20"/>
                <w:lang w:val="es-ES_tradnl"/>
              </w:rPr>
              <w:t>EPP</w:t>
            </w:r>
          </w:p>
        </w:tc>
        <w:tc>
          <w:tcPr>
            <w:tcW w:w="6771" w:type="dxa"/>
          </w:tcPr>
          <w:p w14:paraId="3092CDD5" w14:textId="6D5320F6" w:rsidR="008A114D" w:rsidRPr="00FA4B2D" w:rsidRDefault="008A114D" w:rsidP="005F4A92">
            <w:pPr>
              <w:widowControl w:val="0"/>
              <w:ind w:left="100" w:right="385"/>
              <w:rPr>
                <w:rFonts w:eastAsia="Calibri" w:cs="Arial"/>
                <w:sz w:val="20"/>
                <w:szCs w:val="20"/>
                <w:lang w:val="es-ES_tradnl"/>
              </w:rPr>
            </w:pPr>
            <w:r w:rsidRPr="00FA4B2D">
              <w:rPr>
                <w:rFonts w:eastAsia="Calibri" w:cs="Arial"/>
                <w:sz w:val="20"/>
                <w:szCs w:val="20"/>
                <w:lang w:val="es-ES_tradnl"/>
              </w:rPr>
              <w:t>Equipo de Protección Personal</w:t>
            </w:r>
          </w:p>
        </w:tc>
      </w:tr>
      <w:tr w:rsidR="006A3DBC" w:rsidRPr="00FA4B2D" w14:paraId="01A986C4" w14:textId="77777777" w:rsidTr="006A3DBC">
        <w:trPr>
          <w:trHeight w:hRule="exact" w:val="263"/>
        </w:trPr>
        <w:tc>
          <w:tcPr>
            <w:tcW w:w="2155" w:type="dxa"/>
          </w:tcPr>
          <w:p w14:paraId="46789BA3" w14:textId="77777777" w:rsidR="006A3DBC" w:rsidRPr="00FA4B2D" w:rsidRDefault="006A3DBC" w:rsidP="005F4A92">
            <w:pPr>
              <w:widowControl w:val="0"/>
              <w:ind w:right="519"/>
              <w:rPr>
                <w:rFonts w:eastAsia="Calibri" w:cs="Arial"/>
                <w:sz w:val="20"/>
                <w:szCs w:val="20"/>
                <w:lang w:val="es-ES_tradnl"/>
              </w:rPr>
            </w:pPr>
            <w:r w:rsidRPr="00FA4B2D">
              <w:rPr>
                <w:rFonts w:cs="Arial"/>
                <w:sz w:val="20"/>
                <w:szCs w:val="20"/>
              </w:rPr>
              <w:t>ESSAF</w:t>
            </w:r>
          </w:p>
        </w:tc>
        <w:tc>
          <w:tcPr>
            <w:tcW w:w="6771" w:type="dxa"/>
          </w:tcPr>
          <w:p w14:paraId="1BF784AC" w14:textId="77777777" w:rsidR="006A3DBC" w:rsidRPr="00FA4B2D" w:rsidRDefault="006A3DBC" w:rsidP="005F4A92">
            <w:pPr>
              <w:widowControl w:val="0"/>
              <w:ind w:left="100" w:right="385"/>
              <w:rPr>
                <w:rFonts w:eastAsia="Calibri" w:cs="Arial"/>
                <w:sz w:val="20"/>
                <w:szCs w:val="20"/>
                <w:lang w:val="es-ES_tradnl"/>
              </w:rPr>
            </w:pPr>
            <w:r w:rsidRPr="00FA4B2D">
              <w:rPr>
                <w:rFonts w:cs="Arial"/>
                <w:sz w:val="20"/>
                <w:szCs w:val="20"/>
              </w:rPr>
              <w:t>Marco de Evaluación y Cribado Ambiental y Social</w:t>
            </w:r>
          </w:p>
        </w:tc>
      </w:tr>
      <w:tr w:rsidR="008D411D" w:rsidRPr="00FA4B2D" w14:paraId="2CF22F7A" w14:textId="77777777" w:rsidTr="006A3DBC">
        <w:trPr>
          <w:trHeight w:hRule="exact" w:val="263"/>
        </w:trPr>
        <w:tc>
          <w:tcPr>
            <w:tcW w:w="2155" w:type="dxa"/>
          </w:tcPr>
          <w:p w14:paraId="2BEF8950" w14:textId="27421BB4" w:rsidR="008D411D" w:rsidRPr="00FA4B2D" w:rsidRDefault="008D411D" w:rsidP="005F4A92">
            <w:pPr>
              <w:widowControl w:val="0"/>
              <w:ind w:right="519"/>
              <w:rPr>
                <w:rFonts w:cs="Arial"/>
                <w:sz w:val="20"/>
                <w:szCs w:val="20"/>
              </w:rPr>
            </w:pPr>
            <w:r w:rsidRPr="00FA4B2D">
              <w:rPr>
                <w:rFonts w:cs="Arial"/>
                <w:sz w:val="20"/>
                <w:szCs w:val="20"/>
              </w:rPr>
              <w:t>EyAS</w:t>
            </w:r>
          </w:p>
        </w:tc>
        <w:tc>
          <w:tcPr>
            <w:tcW w:w="6771" w:type="dxa"/>
          </w:tcPr>
          <w:p w14:paraId="1F737F95" w14:textId="4E3B5C91" w:rsidR="008D411D" w:rsidRPr="00FA4B2D" w:rsidRDefault="008D411D" w:rsidP="005F4A92">
            <w:pPr>
              <w:widowControl w:val="0"/>
              <w:ind w:left="100" w:right="385"/>
              <w:rPr>
                <w:rFonts w:cs="Arial"/>
                <w:sz w:val="20"/>
                <w:szCs w:val="20"/>
              </w:rPr>
            </w:pPr>
            <w:r w:rsidRPr="00FA4B2D">
              <w:rPr>
                <w:rFonts w:cs="Arial"/>
                <w:sz w:val="20"/>
                <w:szCs w:val="20"/>
              </w:rPr>
              <w:t>Explotación y Abuso Sexual</w:t>
            </w:r>
          </w:p>
        </w:tc>
      </w:tr>
      <w:tr w:rsidR="006A3DBC" w:rsidRPr="00FA4B2D" w14:paraId="29D24FFC" w14:textId="77777777" w:rsidTr="006A3DBC">
        <w:trPr>
          <w:trHeight w:hRule="exact" w:val="263"/>
        </w:trPr>
        <w:tc>
          <w:tcPr>
            <w:tcW w:w="2155" w:type="dxa"/>
          </w:tcPr>
          <w:p w14:paraId="5FA3BD3B" w14:textId="77777777" w:rsidR="006A3DBC" w:rsidRPr="00FA4B2D" w:rsidRDefault="006A3DBC" w:rsidP="005F4A92">
            <w:pPr>
              <w:widowControl w:val="0"/>
              <w:ind w:right="519"/>
              <w:rPr>
                <w:rFonts w:cs="Arial"/>
                <w:sz w:val="20"/>
                <w:szCs w:val="20"/>
              </w:rPr>
            </w:pPr>
            <w:r w:rsidRPr="00FA4B2D">
              <w:rPr>
                <w:rFonts w:cs="Arial"/>
                <w:sz w:val="20"/>
                <w:szCs w:val="20"/>
              </w:rPr>
              <w:t>FA</w:t>
            </w:r>
          </w:p>
        </w:tc>
        <w:tc>
          <w:tcPr>
            <w:tcW w:w="6771" w:type="dxa"/>
          </w:tcPr>
          <w:p w14:paraId="279F6AD6" w14:textId="77777777" w:rsidR="006A3DBC" w:rsidRPr="00FA4B2D" w:rsidRDefault="006A3DBC" w:rsidP="005F4A92">
            <w:pPr>
              <w:widowControl w:val="0"/>
              <w:ind w:left="100" w:right="385"/>
              <w:rPr>
                <w:rFonts w:cs="Arial"/>
                <w:sz w:val="20"/>
                <w:szCs w:val="20"/>
              </w:rPr>
            </w:pPr>
            <w:r w:rsidRPr="00FA4B2D">
              <w:rPr>
                <w:rFonts w:cs="Arial"/>
                <w:sz w:val="20"/>
                <w:szCs w:val="20"/>
              </w:rPr>
              <w:t>Financiamiento Adicional</w:t>
            </w:r>
          </w:p>
        </w:tc>
      </w:tr>
      <w:tr w:rsidR="006A3DBC" w:rsidRPr="00FA4B2D" w14:paraId="43F5076B" w14:textId="77777777" w:rsidTr="006A3DBC">
        <w:trPr>
          <w:trHeight w:hRule="exact" w:val="276"/>
        </w:trPr>
        <w:tc>
          <w:tcPr>
            <w:tcW w:w="2155" w:type="dxa"/>
          </w:tcPr>
          <w:p w14:paraId="045351E3" w14:textId="77777777" w:rsidR="006A3DBC" w:rsidRPr="00FA4B2D" w:rsidRDefault="006A3DBC" w:rsidP="005F4A92">
            <w:pPr>
              <w:widowControl w:val="0"/>
              <w:ind w:right="519"/>
              <w:rPr>
                <w:rFonts w:cs="Arial"/>
                <w:sz w:val="20"/>
                <w:szCs w:val="20"/>
              </w:rPr>
            </w:pPr>
            <w:r w:rsidRPr="00FA4B2D">
              <w:rPr>
                <w:rFonts w:cs="Arial"/>
                <w:sz w:val="20"/>
                <w:szCs w:val="20"/>
              </w:rPr>
              <w:t>FAO</w:t>
            </w:r>
          </w:p>
        </w:tc>
        <w:tc>
          <w:tcPr>
            <w:tcW w:w="6771" w:type="dxa"/>
          </w:tcPr>
          <w:p w14:paraId="0B79350E" w14:textId="77777777" w:rsidR="006A3DBC" w:rsidRPr="00FA4B2D" w:rsidRDefault="006A3DBC" w:rsidP="005F4A92">
            <w:pPr>
              <w:widowControl w:val="0"/>
              <w:ind w:left="100" w:right="519"/>
              <w:rPr>
                <w:rFonts w:cs="Arial"/>
                <w:sz w:val="20"/>
                <w:szCs w:val="20"/>
              </w:rPr>
            </w:pPr>
            <w:r w:rsidRPr="00FA4B2D">
              <w:rPr>
                <w:rFonts w:cs="Arial"/>
                <w:sz w:val="20"/>
                <w:szCs w:val="20"/>
              </w:rPr>
              <w:t xml:space="preserve">Organización Naciones Unidas para Alimentación y la Agricultura </w:t>
            </w:r>
          </w:p>
        </w:tc>
      </w:tr>
      <w:tr w:rsidR="006A3DBC" w:rsidRPr="00FA4B2D" w14:paraId="7BCD4EC8" w14:textId="77777777" w:rsidTr="006A3DBC">
        <w:trPr>
          <w:trHeight w:hRule="exact" w:val="263"/>
        </w:trPr>
        <w:tc>
          <w:tcPr>
            <w:tcW w:w="2155" w:type="dxa"/>
          </w:tcPr>
          <w:p w14:paraId="2A2A6997" w14:textId="77777777" w:rsidR="006A3DBC" w:rsidRPr="00FA4B2D" w:rsidRDefault="006A3DBC" w:rsidP="005F4A92">
            <w:pPr>
              <w:widowControl w:val="0"/>
              <w:ind w:right="519"/>
              <w:rPr>
                <w:rFonts w:eastAsia="Times New Roman" w:cs="Arial"/>
                <w:sz w:val="20"/>
                <w:szCs w:val="20"/>
                <w:lang w:val="es-ES_tradnl"/>
              </w:rPr>
            </w:pPr>
            <w:r w:rsidRPr="00FA4B2D">
              <w:rPr>
                <w:rFonts w:eastAsia="Calibri" w:cs="Arial"/>
                <w:sz w:val="20"/>
                <w:szCs w:val="20"/>
                <w:lang w:val="es-ES_tradnl"/>
              </w:rPr>
              <w:t>FHIS</w:t>
            </w:r>
          </w:p>
        </w:tc>
        <w:tc>
          <w:tcPr>
            <w:tcW w:w="6771" w:type="dxa"/>
          </w:tcPr>
          <w:p w14:paraId="382197E7" w14:textId="77777777" w:rsidR="006A3DBC" w:rsidRPr="00FA4B2D" w:rsidRDefault="006A3DBC" w:rsidP="005F4A92">
            <w:pPr>
              <w:widowControl w:val="0"/>
              <w:ind w:left="100" w:right="385"/>
              <w:rPr>
                <w:rFonts w:eastAsia="Times New Roman" w:cs="Arial"/>
                <w:sz w:val="20"/>
                <w:szCs w:val="20"/>
                <w:lang w:val="es-ES_tradnl"/>
              </w:rPr>
            </w:pPr>
            <w:r w:rsidRPr="00FA4B2D">
              <w:rPr>
                <w:rFonts w:eastAsia="Calibri" w:cs="Arial"/>
                <w:sz w:val="20"/>
                <w:szCs w:val="20"/>
                <w:lang w:val="es-ES_tradnl"/>
              </w:rPr>
              <w:t>Fondo Hondureño de Inversión</w:t>
            </w:r>
            <w:r w:rsidRPr="00FA4B2D">
              <w:rPr>
                <w:rFonts w:eastAsia="Calibri" w:cs="Arial"/>
                <w:spacing w:val="-6"/>
                <w:sz w:val="20"/>
                <w:szCs w:val="20"/>
                <w:lang w:val="es-ES_tradnl"/>
              </w:rPr>
              <w:t xml:space="preserve"> </w:t>
            </w:r>
            <w:r w:rsidRPr="00FA4B2D">
              <w:rPr>
                <w:rFonts w:eastAsia="Calibri" w:cs="Arial"/>
                <w:sz w:val="20"/>
                <w:szCs w:val="20"/>
                <w:lang w:val="es-ES_tradnl"/>
              </w:rPr>
              <w:t>Social</w:t>
            </w:r>
          </w:p>
        </w:tc>
      </w:tr>
      <w:tr w:rsidR="006A3DBC" w:rsidRPr="00FA4B2D" w14:paraId="48F3AE83" w14:textId="77777777" w:rsidTr="006A3DBC">
        <w:trPr>
          <w:trHeight w:hRule="exact" w:val="263"/>
        </w:trPr>
        <w:tc>
          <w:tcPr>
            <w:tcW w:w="2155" w:type="dxa"/>
          </w:tcPr>
          <w:p w14:paraId="0E545502" w14:textId="77777777" w:rsidR="006A3DBC" w:rsidRPr="00FA4B2D" w:rsidRDefault="006A3DBC" w:rsidP="005F4A92">
            <w:pPr>
              <w:widowControl w:val="0"/>
              <w:ind w:right="519"/>
              <w:rPr>
                <w:rFonts w:eastAsia="Calibri" w:cs="Arial"/>
                <w:sz w:val="20"/>
                <w:szCs w:val="20"/>
                <w:lang w:val="es-ES_tradnl"/>
              </w:rPr>
            </w:pPr>
            <w:r w:rsidRPr="00FA4B2D">
              <w:rPr>
                <w:rFonts w:eastAsia="Calibri" w:cs="Arial"/>
                <w:sz w:val="20"/>
                <w:szCs w:val="20"/>
                <w:lang w:val="es-ES_tradnl"/>
              </w:rPr>
              <w:t>FHIA</w:t>
            </w:r>
          </w:p>
        </w:tc>
        <w:tc>
          <w:tcPr>
            <w:tcW w:w="6771" w:type="dxa"/>
          </w:tcPr>
          <w:p w14:paraId="544DD510" w14:textId="77777777" w:rsidR="006A3DBC" w:rsidRPr="00FA4B2D" w:rsidRDefault="006A3DBC" w:rsidP="005F4A92">
            <w:pPr>
              <w:widowControl w:val="0"/>
              <w:ind w:left="100" w:right="385"/>
              <w:rPr>
                <w:rFonts w:eastAsia="Calibri" w:cs="Arial"/>
                <w:sz w:val="20"/>
                <w:szCs w:val="20"/>
                <w:lang w:val="es-ES_tradnl"/>
              </w:rPr>
            </w:pPr>
            <w:r w:rsidRPr="00FA4B2D">
              <w:rPr>
                <w:rFonts w:eastAsia="Calibri" w:cs="Arial"/>
                <w:sz w:val="20"/>
                <w:szCs w:val="20"/>
                <w:lang w:val="es-ES_tradnl"/>
              </w:rPr>
              <w:t>Fundación Hondureña de Investigación Agrícola</w:t>
            </w:r>
          </w:p>
        </w:tc>
      </w:tr>
      <w:tr w:rsidR="00C344FD" w:rsidRPr="00FA4B2D" w14:paraId="4C465143" w14:textId="77777777" w:rsidTr="006A3DBC">
        <w:trPr>
          <w:trHeight w:hRule="exact" w:val="263"/>
        </w:trPr>
        <w:tc>
          <w:tcPr>
            <w:tcW w:w="2155" w:type="dxa"/>
          </w:tcPr>
          <w:p w14:paraId="72C39122" w14:textId="395048D7" w:rsidR="00C344FD" w:rsidRPr="00FA4B2D" w:rsidRDefault="00C344FD" w:rsidP="005F4A92">
            <w:pPr>
              <w:widowControl w:val="0"/>
              <w:ind w:right="519"/>
              <w:rPr>
                <w:rFonts w:eastAsia="Calibri" w:cs="Arial"/>
                <w:sz w:val="20"/>
                <w:szCs w:val="20"/>
                <w:lang w:val="es-ES_tradnl"/>
              </w:rPr>
            </w:pPr>
            <w:r w:rsidRPr="00FA4B2D">
              <w:rPr>
                <w:rFonts w:eastAsia="Calibri" w:cs="Arial"/>
                <w:sz w:val="20"/>
                <w:szCs w:val="20"/>
                <w:lang w:val="es-ES_tradnl"/>
              </w:rPr>
              <w:t>GBM</w:t>
            </w:r>
          </w:p>
        </w:tc>
        <w:tc>
          <w:tcPr>
            <w:tcW w:w="6771" w:type="dxa"/>
          </w:tcPr>
          <w:p w14:paraId="53A3C195" w14:textId="16B2CBBC" w:rsidR="00C344FD" w:rsidRPr="00FA4B2D" w:rsidRDefault="00C344FD" w:rsidP="005F4A92">
            <w:pPr>
              <w:widowControl w:val="0"/>
              <w:ind w:left="100" w:right="385"/>
              <w:rPr>
                <w:rFonts w:eastAsia="Calibri" w:cs="Arial"/>
                <w:sz w:val="20"/>
                <w:szCs w:val="20"/>
                <w:lang w:val="es-ES"/>
              </w:rPr>
            </w:pPr>
            <w:r w:rsidRPr="00FA4B2D">
              <w:rPr>
                <w:rFonts w:eastAsia="Calibri" w:cs="Arial"/>
                <w:sz w:val="20"/>
                <w:szCs w:val="20"/>
                <w:lang w:val="es-ES"/>
              </w:rPr>
              <w:t>Grupo Banco Mundial</w:t>
            </w:r>
          </w:p>
        </w:tc>
      </w:tr>
      <w:tr w:rsidR="006A3DBC" w:rsidRPr="00FA4B2D" w14:paraId="383CCC60" w14:textId="77777777" w:rsidTr="006A3DBC">
        <w:trPr>
          <w:trHeight w:hRule="exact" w:val="262"/>
        </w:trPr>
        <w:tc>
          <w:tcPr>
            <w:tcW w:w="2155" w:type="dxa"/>
          </w:tcPr>
          <w:p w14:paraId="477AC06A" w14:textId="77777777" w:rsidR="006A3DBC" w:rsidRPr="00FA4B2D" w:rsidRDefault="006A3DBC" w:rsidP="005F4A92">
            <w:pPr>
              <w:widowControl w:val="0"/>
              <w:ind w:right="519"/>
              <w:rPr>
                <w:rFonts w:eastAsia="Times New Roman" w:cs="Arial"/>
                <w:sz w:val="20"/>
                <w:szCs w:val="20"/>
                <w:lang w:val="es-ES"/>
              </w:rPr>
            </w:pPr>
            <w:r w:rsidRPr="00FA4B2D">
              <w:rPr>
                <w:rFonts w:eastAsia="Calibri" w:cs="Arial"/>
                <w:sz w:val="20"/>
                <w:szCs w:val="20"/>
                <w:lang w:val="es-ES"/>
              </w:rPr>
              <w:t>GdH</w:t>
            </w:r>
          </w:p>
        </w:tc>
        <w:tc>
          <w:tcPr>
            <w:tcW w:w="6771" w:type="dxa"/>
          </w:tcPr>
          <w:p w14:paraId="4B3480C4" w14:textId="77777777" w:rsidR="006A3DBC" w:rsidRPr="00FA4B2D" w:rsidRDefault="006A3DBC" w:rsidP="005F4A92">
            <w:pPr>
              <w:widowControl w:val="0"/>
              <w:ind w:left="100" w:right="385"/>
              <w:rPr>
                <w:rFonts w:eastAsia="Times New Roman" w:cs="Arial"/>
                <w:sz w:val="20"/>
                <w:szCs w:val="20"/>
                <w:lang w:val="es-ES_tradnl"/>
              </w:rPr>
            </w:pPr>
            <w:r w:rsidRPr="00FA4B2D">
              <w:rPr>
                <w:rFonts w:eastAsia="Calibri" w:cs="Arial"/>
                <w:sz w:val="20"/>
                <w:szCs w:val="20"/>
                <w:lang w:val="es-ES_tradnl"/>
              </w:rPr>
              <w:t>Gobierno de</w:t>
            </w:r>
            <w:r w:rsidRPr="00FA4B2D">
              <w:rPr>
                <w:rFonts w:eastAsia="Calibri" w:cs="Arial"/>
                <w:spacing w:val="-4"/>
                <w:sz w:val="20"/>
                <w:szCs w:val="20"/>
                <w:lang w:val="es-ES_tradnl"/>
              </w:rPr>
              <w:t xml:space="preserve"> </w:t>
            </w:r>
            <w:r w:rsidRPr="00FA4B2D">
              <w:rPr>
                <w:rFonts w:eastAsia="Calibri" w:cs="Arial"/>
                <w:sz w:val="20"/>
                <w:szCs w:val="20"/>
                <w:lang w:val="es-ES_tradnl"/>
              </w:rPr>
              <w:t>Honduras</w:t>
            </w:r>
          </w:p>
        </w:tc>
      </w:tr>
      <w:tr w:rsidR="006A3DBC" w:rsidRPr="00FA4B2D" w14:paraId="3AE74521" w14:textId="77777777" w:rsidTr="006A3DBC">
        <w:trPr>
          <w:trHeight w:val="262"/>
        </w:trPr>
        <w:tc>
          <w:tcPr>
            <w:tcW w:w="2155" w:type="dxa"/>
          </w:tcPr>
          <w:p w14:paraId="0F794B4E" w14:textId="77777777" w:rsidR="006A3DBC" w:rsidRPr="00FA4B2D" w:rsidRDefault="006A3DBC" w:rsidP="005F4A92">
            <w:pPr>
              <w:rPr>
                <w:rFonts w:eastAsia="Calibri" w:cs="Arial"/>
                <w:sz w:val="20"/>
                <w:szCs w:val="20"/>
                <w:lang w:val="es-ES"/>
              </w:rPr>
            </w:pPr>
            <w:r w:rsidRPr="00FA4B2D">
              <w:rPr>
                <w:rFonts w:eastAsia="Calibri" w:cs="Arial"/>
                <w:sz w:val="20"/>
                <w:szCs w:val="20"/>
                <w:lang w:val="es-ES"/>
              </w:rPr>
              <w:t>GEI</w:t>
            </w:r>
          </w:p>
        </w:tc>
        <w:tc>
          <w:tcPr>
            <w:tcW w:w="6771" w:type="dxa"/>
          </w:tcPr>
          <w:p w14:paraId="3B4AAD4D" w14:textId="77777777" w:rsidR="006A3DBC" w:rsidRPr="00FA4B2D" w:rsidRDefault="006A3DBC" w:rsidP="005F4A92">
            <w:pPr>
              <w:rPr>
                <w:rFonts w:eastAsia="Calibri" w:cs="Arial"/>
                <w:sz w:val="20"/>
                <w:szCs w:val="20"/>
                <w:lang w:val="es-ES"/>
              </w:rPr>
            </w:pPr>
            <w:r w:rsidRPr="00FA4B2D">
              <w:rPr>
                <w:rFonts w:eastAsia="Calibri" w:cs="Arial"/>
                <w:sz w:val="20"/>
                <w:szCs w:val="20"/>
                <w:lang w:val="es-ES"/>
              </w:rPr>
              <w:t xml:space="preserve">  Gases de Efecto Invernadero</w:t>
            </w:r>
          </w:p>
        </w:tc>
      </w:tr>
      <w:tr w:rsidR="006A3DBC" w:rsidRPr="00FA4B2D" w14:paraId="71BAB22B" w14:textId="77777777" w:rsidTr="006A3DBC">
        <w:trPr>
          <w:trHeight w:hRule="exact" w:val="262"/>
        </w:trPr>
        <w:tc>
          <w:tcPr>
            <w:tcW w:w="2155" w:type="dxa"/>
          </w:tcPr>
          <w:p w14:paraId="5553DAE1" w14:textId="77777777" w:rsidR="006A3DBC" w:rsidRPr="00FA4B2D" w:rsidRDefault="006A3DBC" w:rsidP="005F4A92">
            <w:pPr>
              <w:widowControl w:val="0"/>
              <w:ind w:right="519"/>
              <w:rPr>
                <w:rFonts w:eastAsia="Calibri" w:cs="Arial"/>
                <w:sz w:val="20"/>
                <w:szCs w:val="20"/>
                <w:lang w:val="es-ES"/>
              </w:rPr>
            </w:pPr>
            <w:r w:rsidRPr="00FA4B2D">
              <w:rPr>
                <w:rFonts w:eastAsia="Calibri" w:cs="Arial"/>
                <w:sz w:val="20"/>
                <w:szCs w:val="20"/>
                <w:lang w:val="es-ES"/>
              </w:rPr>
              <w:t>GMASS</w:t>
            </w:r>
          </w:p>
        </w:tc>
        <w:tc>
          <w:tcPr>
            <w:tcW w:w="6771" w:type="dxa"/>
          </w:tcPr>
          <w:p w14:paraId="0D00C60E" w14:textId="77777777" w:rsidR="006A3DBC" w:rsidRPr="00FA4B2D" w:rsidRDefault="006A3DBC" w:rsidP="005F4A92">
            <w:pPr>
              <w:widowControl w:val="0"/>
              <w:ind w:left="100" w:right="385"/>
              <w:rPr>
                <w:rFonts w:eastAsia="Calibri" w:cs="Arial"/>
                <w:sz w:val="20"/>
                <w:szCs w:val="20"/>
                <w:lang w:val="es-ES_tradnl"/>
              </w:rPr>
            </w:pPr>
            <w:r w:rsidRPr="00FA4B2D">
              <w:rPr>
                <w:rFonts w:eastAsia="Calibri" w:cs="Arial"/>
                <w:sz w:val="20"/>
                <w:szCs w:val="20"/>
                <w:lang w:val="es-ES_tradnl"/>
              </w:rPr>
              <w:t>Guías sobre medio ambiente, salud y seguridad</w:t>
            </w:r>
          </w:p>
        </w:tc>
      </w:tr>
      <w:tr w:rsidR="006A3DBC" w:rsidRPr="00FA4B2D" w14:paraId="03E60973" w14:textId="77777777" w:rsidTr="006A3DBC">
        <w:trPr>
          <w:trHeight w:hRule="exact" w:val="262"/>
        </w:trPr>
        <w:tc>
          <w:tcPr>
            <w:tcW w:w="2155" w:type="dxa"/>
          </w:tcPr>
          <w:p w14:paraId="22520679" w14:textId="77777777" w:rsidR="006A3DBC" w:rsidRPr="00FA4B2D" w:rsidRDefault="006A3DBC" w:rsidP="005F4A92">
            <w:pPr>
              <w:widowControl w:val="0"/>
              <w:ind w:right="519"/>
              <w:rPr>
                <w:rFonts w:eastAsia="Calibri" w:cs="Arial"/>
                <w:sz w:val="20"/>
                <w:szCs w:val="20"/>
                <w:lang w:val="es-ES_tradnl"/>
              </w:rPr>
            </w:pPr>
            <w:r w:rsidRPr="00FA4B2D">
              <w:rPr>
                <w:rFonts w:eastAsia="Calibri" w:cs="Arial"/>
                <w:sz w:val="20"/>
                <w:szCs w:val="20"/>
                <w:lang w:val="es-ES_tradnl"/>
              </w:rPr>
              <w:t>HEA</w:t>
            </w:r>
          </w:p>
        </w:tc>
        <w:tc>
          <w:tcPr>
            <w:tcW w:w="6771" w:type="dxa"/>
          </w:tcPr>
          <w:p w14:paraId="3FCF0455" w14:textId="77777777" w:rsidR="006A3DBC" w:rsidRPr="00FA4B2D" w:rsidRDefault="006A3DBC" w:rsidP="005F4A92">
            <w:pPr>
              <w:widowControl w:val="0"/>
              <w:ind w:left="100" w:right="385"/>
              <w:rPr>
                <w:rFonts w:eastAsia="Calibri" w:cs="Arial"/>
                <w:sz w:val="20"/>
                <w:szCs w:val="20"/>
                <w:lang w:val="es-ES_tradnl"/>
              </w:rPr>
            </w:pPr>
            <w:r w:rsidRPr="00FA4B2D">
              <w:rPr>
                <w:rFonts w:eastAsia="Calibri" w:cs="Arial"/>
                <w:sz w:val="20"/>
                <w:szCs w:val="20"/>
                <w:lang w:val="es-ES_tradnl"/>
              </w:rPr>
              <w:t>Enfoque de Economía de Hogar</w:t>
            </w:r>
          </w:p>
        </w:tc>
      </w:tr>
      <w:tr w:rsidR="006A3DBC" w:rsidRPr="00FA4B2D" w14:paraId="5FA1DDBF" w14:textId="77777777" w:rsidTr="006A3DBC">
        <w:trPr>
          <w:trHeight w:hRule="exact" w:val="556"/>
        </w:trPr>
        <w:tc>
          <w:tcPr>
            <w:tcW w:w="2155" w:type="dxa"/>
          </w:tcPr>
          <w:p w14:paraId="2B0528B7" w14:textId="77777777" w:rsidR="006A3DBC" w:rsidRPr="00FA4B2D" w:rsidRDefault="006A3DBC" w:rsidP="005F4A92">
            <w:pPr>
              <w:widowControl w:val="0"/>
              <w:ind w:right="519"/>
              <w:rPr>
                <w:rFonts w:eastAsia="Times New Roman" w:cs="Arial"/>
                <w:sz w:val="20"/>
                <w:szCs w:val="20"/>
                <w:lang w:val="es-ES_tradnl"/>
              </w:rPr>
            </w:pPr>
            <w:r w:rsidRPr="00FA4B2D">
              <w:rPr>
                <w:rFonts w:eastAsia="Calibri" w:cs="Arial"/>
                <w:sz w:val="20"/>
                <w:szCs w:val="20"/>
                <w:lang w:val="es-ES_tradnl"/>
              </w:rPr>
              <w:lastRenderedPageBreak/>
              <w:t>ICF</w:t>
            </w:r>
          </w:p>
        </w:tc>
        <w:tc>
          <w:tcPr>
            <w:tcW w:w="6771" w:type="dxa"/>
          </w:tcPr>
          <w:p w14:paraId="7FF7C733" w14:textId="1A77A2BD" w:rsidR="006A3DBC" w:rsidRPr="00FA4B2D" w:rsidRDefault="006A3DBC" w:rsidP="005F4A92">
            <w:pPr>
              <w:widowControl w:val="0"/>
              <w:ind w:left="100" w:right="385"/>
              <w:rPr>
                <w:rFonts w:eastAsia="Times New Roman" w:cs="Arial"/>
                <w:sz w:val="20"/>
                <w:szCs w:val="20"/>
                <w:lang w:val="es-ES_tradnl"/>
              </w:rPr>
            </w:pPr>
            <w:r w:rsidRPr="00FA4B2D">
              <w:rPr>
                <w:rFonts w:eastAsia="Calibri" w:cs="Arial"/>
                <w:sz w:val="20"/>
                <w:szCs w:val="20"/>
                <w:lang w:val="es-ES_tradnl"/>
              </w:rPr>
              <w:t>Instituto Nacional de Conservación y Desarrollo Forestal</w:t>
            </w:r>
            <w:r w:rsidR="003D4667" w:rsidRPr="00FA4B2D">
              <w:rPr>
                <w:rFonts w:eastAsia="Calibri" w:cs="Arial"/>
                <w:sz w:val="20"/>
                <w:szCs w:val="20"/>
                <w:lang w:val="es-ES_tradnl"/>
              </w:rPr>
              <w:t>,</w:t>
            </w:r>
            <w:r w:rsidRPr="00FA4B2D">
              <w:rPr>
                <w:rFonts w:eastAsia="Calibri" w:cs="Arial"/>
                <w:sz w:val="20"/>
                <w:szCs w:val="20"/>
                <w:lang w:val="es-ES_tradnl"/>
              </w:rPr>
              <w:t xml:space="preserve"> Áreas Protegidas y Vida</w:t>
            </w:r>
            <w:r w:rsidRPr="00FA4B2D">
              <w:rPr>
                <w:rFonts w:eastAsia="Calibri" w:cs="Arial"/>
                <w:spacing w:val="-18"/>
                <w:sz w:val="20"/>
                <w:szCs w:val="20"/>
                <w:lang w:val="es-ES_tradnl"/>
              </w:rPr>
              <w:t xml:space="preserve"> </w:t>
            </w:r>
            <w:r w:rsidRPr="00FA4B2D">
              <w:rPr>
                <w:rFonts w:eastAsia="Calibri" w:cs="Arial"/>
                <w:sz w:val="20"/>
                <w:szCs w:val="20"/>
                <w:lang w:val="es-ES_tradnl"/>
              </w:rPr>
              <w:t>Silvestre</w:t>
            </w:r>
          </w:p>
        </w:tc>
      </w:tr>
      <w:tr w:rsidR="00045FFB" w:rsidRPr="00FA4B2D" w14:paraId="739B3FA4" w14:textId="77777777" w:rsidTr="003029D7">
        <w:trPr>
          <w:trHeight w:hRule="exact" w:val="225"/>
        </w:trPr>
        <w:tc>
          <w:tcPr>
            <w:tcW w:w="2155" w:type="dxa"/>
          </w:tcPr>
          <w:p w14:paraId="21C8D2FC" w14:textId="530F9E61" w:rsidR="00045FFB" w:rsidRPr="00FA4B2D" w:rsidRDefault="00045FFB" w:rsidP="005F4A92">
            <w:pPr>
              <w:widowControl w:val="0"/>
              <w:ind w:right="519"/>
              <w:rPr>
                <w:rFonts w:eastAsia="Calibri" w:cs="Arial"/>
                <w:sz w:val="20"/>
                <w:szCs w:val="20"/>
                <w:lang w:val="es-ES_tradnl"/>
              </w:rPr>
            </w:pPr>
            <w:r w:rsidRPr="00FA4B2D">
              <w:rPr>
                <w:rFonts w:eastAsia="Calibri" w:cs="Arial"/>
                <w:sz w:val="20"/>
                <w:szCs w:val="20"/>
                <w:lang w:val="es-ES_tradnl"/>
              </w:rPr>
              <w:t>ICMA</w:t>
            </w:r>
          </w:p>
        </w:tc>
        <w:tc>
          <w:tcPr>
            <w:tcW w:w="6771" w:type="dxa"/>
          </w:tcPr>
          <w:p w14:paraId="3052CD50" w14:textId="55ED27C1" w:rsidR="00045FFB" w:rsidRPr="00FA4B2D" w:rsidRDefault="00045FFB" w:rsidP="005F4A92">
            <w:pPr>
              <w:widowControl w:val="0"/>
              <w:ind w:left="100" w:right="385"/>
              <w:rPr>
                <w:rFonts w:eastAsia="Calibri" w:cs="Arial"/>
                <w:sz w:val="20"/>
                <w:szCs w:val="20"/>
                <w:lang w:val="es-ES_tradnl"/>
              </w:rPr>
            </w:pPr>
            <w:r w:rsidRPr="00FA4B2D">
              <w:rPr>
                <w:rFonts w:eastAsia="Calibri" w:cs="Arial"/>
                <w:sz w:val="20"/>
                <w:szCs w:val="20"/>
                <w:lang w:val="es-ES_tradnl"/>
              </w:rPr>
              <w:t>Informe de Cumplimiento de Medidas Ambientales</w:t>
            </w:r>
          </w:p>
        </w:tc>
      </w:tr>
      <w:tr w:rsidR="006A3DBC" w:rsidRPr="00FA4B2D" w14:paraId="697D3B7A" w14:textId="77777777" w:rsidTr="006A3DBC">
        <w:trPr>
          <w:trHeight w:hRule="exact" w:val="262"/>
        </w:trPr>
        <w:tc>
          <w:tcPr>
            <w:tcW w:w="2155" w:type="dxa"/>
          </w:tcPr>
          <w:p w14:paraId="5FC4C9B8" w14:textId="77777777" w:rsidR="006A3DBC" w:rsidRPr="00FA4B2D" w:rsidRDefault="006A3DBC" w:rsidP="005F4A92">
            <w:pPr>
              <w:widowControl w:val="0"/>
              <w:ind w:right="519"/>
              <w:rPr>
                <w:rFonts w:eastAsia="Calibri" w:cs="Arial"/>
                <w:sz w:val="20"/>
                <w:szCs w:val="20"/>
                <w:lang w:val="es-ES_tradnl"/>
              </w:rPr>
            </w:pPr>
            <w:r w:rsidRPr="00FA4B2D">
              <w:rPr>
                <w:rFonts w:eastAsia="Calibri" w:cs="Arial"/>
                <w:sz w:val="20"/>
                <w:szCs w:val="20"/>
                <w:lang w:val="es-ES_tradnl"/>
              </w:rPr>
              <w:t>ICO</w:t>
            </w:r>
          </w:p>
        </w:tc>
        <w:tc>
          <w:tcPr>
            <w:tcW w:w="6771" w:type="dxa"/>
          </w:tcPr>
          <w:p w14:paraId="1B7B6FD0" w14:textId="77777777" w:rsidR="006A3DBC" w:rsidRPr="00FA4B2D" w:rsidRDefault="006A3DBC" w:rsidP="005F4A92">
            <w:pPr>
              <w:widowControl w:val="0"/>
              <w:ind w:left="100" w:right="385"/>
              <w:rPr>
                <w:rFonts w:eastAsia="Calibri" w:cs="Arial"/>
                <w:sz w:val="20"/>
                <w:szCs w:val="20"/>
                <w:lang w:val="es-ES_tradnl"/>
              </w:rPr>
            </w:pPr>
            <w:r w:rsidRPr="00FA4B2D">
              <w:rPr>
                <w:rFonts w:eastAsia="Calibri" w:cs="Arial"/>
                <w:sz w:val="20"/>
                <w:szCs w:val="20"/>
                <w:lang w:val="es-ES_tradnl"/>
              </w:rPr>
              <w:t>Índice de Capacidad Organizacional</w:t>
            </w:r>
          </w:p>
        </w:tc>
      </w:tr>
      <w:tr w:rsidR="006A3DBC" w:rsidRPr="00FA4B2D" w14:paraId="0A847F59" w14:textId="77777777" w:rsidTr="006A3DBC">
        <w:trPr>
          <w:trHeight w:hRule="exact" w:val="264"/>
        </w:trPr>
        <w:tc>
          <w:tcPr>
            <w:tcW w:w="2155" w:type="dxa"/>
          </w:tcPr>
          <w:p w14:paraId="045FAB03" w14:textId="77777777" w:rsidR="006A3DBC" w:rsidRPr="00FA4B2D" w:rsidRDefault="006A3DBC" w:rsidP="005F4A92">
            <w:pPr>
              <w:widowControl w:val="0"/>
              <w:ind w:right="519"/>
              <w:rPr>
                <w:rFonts w:eastAsia="Times New Roman" w:cs="Arial"/>
                <w:sz w:val="20"/>
                <w:szCs w:val="20"/>
                <w:lang w:val="es-ES_tradnl"/>
              </w:rPr>
            </w:pPr>
            <w:r w:rsidRPr="00FA4B2D">
              <w:rPr>
                <w:rFonts w:eastAsia="Calibri" w:cs="Arial"/>
                <w:sz w:val="20"/>
                <w:szCs w:val="20"/>
                <w:lang w:val="es-ES_tradnl"/>
              </w:rPr>
              <w:t>IDH</w:t>
            </w:r>
          </w:p>
        </w:tc>
        <w:tc>
          <w:tcPr>
            <w:tcW w:w="6771" w:type="dxa"/>
          </w:tcPr>
          <w:p w14:paraId="653056F2" w14:textId="77777777" w:rsidR="006A3DBC" w:rsidRPr="00FA4B2D" w:rsidRDefault="006A3DBC" w:rsidP="005F4A92">
            <w:pPr>
              <w:widowControl w:val="0"/>
              <w:ind w:left="100" w:right="385"/>
              <w:rPr>
                <w:rFonts w:eastAsia="Times New Roman" w:cs="Arial"/>
                <w:sz w:val="20"/>
                <w:szCs w:val="20"/>
                <w:lang w:val="es-ES_tradnl"/>
              </w:rPr>
            </w:pPr>
            <w:r w:rsidRPr="00FA4B2D">
              <w:rPr>
                <w:rFonts w:eastAsia="Calibri" w:cs="Arial"/>
                <w:sz w:val="20"/>
                <w:szCs w:val="20"/>
                <w:lang w:val="es-ES_tradnl"/>
              </w:rPr>
              <w:t>Índice de Desarrollo</w:t>
            </w:r>
            <w:r w:rsidRPr="00FA4B2D">
              <w:rPr>
                <w:rFonts w:eastAsia="Calibri" w:cs="Arial"/>
                <w:spacing w:val="-8"/>
                <w:sz w:val="20"/>
                <w:szCs w:val="20"/>
                <w:lang w:val="es-ES_tradnl"/>
              </w:rPr>
              <w:t xml:space="preserve"> </w:t>
            </w:r>
            <w:r w:rsidRPr="00FA4B2D">
              <w:rPr>
                <w:rFonts w:eastAsia="Calibri" w:cs="Arial"/>
                <w:sz w:val="20"/>
                <w:szCs w:val="20"/>
                <w:lang w:val="es-ES_tradnl"/>
              </w:rPr>
              <w:t>Humano</w:t>
            </w:r>
          </w:p>
        </w:tc>
      </w:tr>
      <w:tr w:rsidR="006A3DBC" w:rsidRPr="00FA4B2D" w14:paraId="3D1D9EAF" w14:textId="77777777" w:rsidTr="006A3DBC">
        <w:trPr>
          <w:trHeight w:hRule="exact" w:val="263"/>
        </w:trPr>
        <w:tc>
          <w:tcPr>
            <w:tcW w:w="2155" w:type="dxa"/>
          </w:tcPr>
          <w:p w14:paraId="18162F5C" w14:textId="77777777" w:rsidR="006A3DBC" w:rsidRPr="00FA4B2D" w:rsidRDefault="006A3DBC" w:rsidP="005F4A92">
            <w:pPr>
              <w:widowControl w:val="0"/>
              <w:rPr>
                <w:rFonts w:eastAsia="Times New Roman" w:cs="Arial"/>
                <w:sz w:val="20"/>
                <w:szCs w:val="20"/>
                <w:lang w:val="es-ES_tradnl"/>
              </w:rPr>
            </w:pPr>
            <w:r w:rsidRPr="00FA4B2D">
              <w:rPr>
                <w:rFonts w:eastAsia="Calibri" w:cs="Arial"/>
                <w:sz w:val="20"/>
                <w:szCs w:val="20"/>
                <w:lang w:val="es-ES_tradnl"/>
              </w:rPr>
              <w:t>IHAH</w:t>
            </w:r>
          </w:p>
        </w:tc>
        <w:tc>
          <w:tcPr>
            <w:tcW w:w="6771" w:type="dxa"/>
          </w:tcPr>
          <w:p w14:paraId="26238E7A" w14:textId="77777777" w:rsidR="006A3DBC" w:rsidRPr="00FA4B2D" w:rsidRDefault="006A3DBC" w:rsidP="005F4A92">
            <w:pPr>
              <w:widowControl w:val="0"/>
              <w:ind w:left="100" w:right="385"/>
              <w:rPr>
                <w:rFonts w:eastAsia="Times New Roman" w:cs="Arial"/>
                <w:sz w:val="20"/>
                <w:szCs w:val="20"/>
                <w:lang w:val="es-ES_tradnl"/>
              </w:rPr>
            </w:pPr>
            <w:r w:rsidRPr="00FA4B2D">
              <w:rPr>
                <w:rFonts w:eastAsia="Calibri" w:cs="Arial"/>
                <w:sz w:val="20"/>
                <w:szCs w:val="20"/>
                <w:lang w:val="es-ES_tradnl"/>
              </w:rPr>
              <w:t>Instituto Hondureño de Antropología e</w:t>
            </w:r>
            <w:r w:rsidRPr="00FA4B2D">
              <w:rPr>
                <w:rFonts w:eastAsia="Calibri" w:cs="Arial"/>
                <w:spacing w:val="-13"/>
                <w:sz w:val="20"/>
                <w:szCs w:val="20"/>
                <w:lang w:val="es-ES_tradnl"/>
              </w:rPr>
              <w:t xml:space="preserve"> </w:t>
            </w:r>
            <w:r w:rsidRPr="00FA4B2D">
              <w:rPr>
                <w:rFonts w:eastAsia="Calibri" w:cs="Arial"/>
                <w:sz w:val="20"/>
                <w:szCs w:val="20"/>
                <w:lang w:val="es-ES_tradnl"/>
              </w:rPr>
              <w:t>Historia</w:t>
            </w:r>
          </w:p>
        </w:tc>
      </w:tr>
      <w:tr w:rsidR="006A3DBC" w:rsidRPr="00FA4B2D" w14:paraId="14125777" w14:textId="77777777" w:rsidTr="006A3DBC">
        <w:trPr>
          <w:trHeight w:hRule="exact" w:val="263"/>
        </w:trPr>
        <w:tc>
          <w:tcPr>
            <w:tcW w:w="2155" w:type="dxa"/>
          </w:tcPr>
          <w:p w14:paraId="345D7A8A" w14:textId="77777777" w:rsidR="006A3DBC" w:rsidRPr="00FA4B2D" w:rsidRDefault="006A3DBC" w:rsidP="005F4A92">
            <w:pPr>
              <w:widowControl w:val="0"/>
              <w:rPr>
                <w:rFonts w:eastAsia="Calibri" w:cs="Arial"/>
                <w:sz w:val="20"/>
                <w:szCs w:val="20"/>
                <w:lang w:val="es-ES_tradnl"/>
              </w:rPr>
            </w:pPr>
            <w:r w:rsidRPr="00FA4B2D">
              <w:rPr>
                <w:rFonts w:eastAsia="Calibri" w:cs="Arial"/>
                <w:sz w:val="20"/>
                <w:szCs w:val="20"/>
                <w:lang w:val="es-ES_tradnl"/>
              </w:rPr>
              <w:t>IHSS</w:t>
            </w:r>
          </w:p>
        </w:tc>
        <w:tc>
          <w:tcPr>
            <w:tcW w:w="6771" w:type="dxa"/>
          </w:tcPr>
          <w:p w14:paraId="0132C73E" w14:textId="77777777" w:rsidR="006A3DBC" w:rsidRPr="00FA4B2D" w:rsidRDefault="006A3DBC" w:rsidP="005F4A92">
            <w:pPr>
              <w:widowControl w:val="0"/>
              <w:ind w:left="100" w:right="385"/>
              <w:rPr>
                <w:rFonts w:eastAsia="Calibri" w:cs="Arial"/>
                <w:sz w:val="20"/>
                <w:szCs w:val="20"/>
                <w:lang w:val="es-ES_tradnl"/>
              </w:rPr>
            </w:pPr>
            <w:r w:rsidRPr="00FA4B2D">
              <w:rPr>
                <w:rFonts w:eastAsia="Calibri" w:cs="Arial"/>
                <w:sz w:val="20"/>
                <w:szCs w:val="20"/>
                <w:lang w:val="es-ES_tradnl"/>
              </w:rPr>
              <w:t xml:space="preserve">Instituto Hondureño de Seguridad Social </w:t>
            </w:r>
          </w:p>
        </w:tc>
      </w:tr>
      <w:tr w:rsidR="006A3DBC" w:rsidRPr="00FA4B2D" w14:paraId="1D1BC422" w14:textId="77777777" w:rsidTr="006A3DBC">
        <w:trPr>
          <w:trHeight w:hRule="exact" w:val="263"/>
        </w:trPr>
        <w:tc>
          <w:tcPr>
            <w:tcW w:w="2155" w:type="dxa"/>
          </w:tcPr>
          <w:p w14:paraId="1EB21DB7" w14:textId="77777777" w:rsidR="006A3DBC" w:rsidRPr="00FA4B2D" w:rsidRDefault="006A3DBC" w:rsidP="005F4A92">
            <w:pPr>
              <w:widowControl w:val="0"/>
              <w:rPr>
                <w:rFonts w:eastAsia="Calibri" w:cs="Arial"/>
                <w:sz w:val="20"/>
                <w:szCs w:val="20"/>
                <w:lang w:val="es-ES_tradnl"/>
              </w:rPr>
            </w:pPr>
            <w:r w:rsidRPr="00FA4B2D">
              <w:rPr>
                <w:rFonts w:eastAsia="Calibri" w:cs="Arial"/>
                <w:sz w:val="20"/>
                <w:szCs w:val="20"/>
                <w:lang w:val="es-ES_tradnl"/>
              </w:rPr>
              <w:t>IICA</w:t>
            </w:r>
          </w:p>
        </w:tc>
        <w:tc>
          <w:tcPr>
            <w:tcW w:w="6771" w:type="dxa"/>
          </w:tcPr>
          <w:p w14:paraId="322ABE46" w14:textId="77777777" w:rsidR="006A3DBC" w:rsidRPr="00FA4B2D" w:rsidRDefault="006A3DBC" w:rsidP="005F4A92">
            <w:pPr>
              <w:widowControl w:val="0"/>
              <w:ind w:left="100" w:right="385"/>
              <w:rPr>
                <w:rFonts w:eastAsia="Calibri" w:cs="Arial"/>
                <w:sz w:val="20"/>
                <w:szCs w:val="20"/>
                <w:lang w:val="es-ES_tradnl"/>
              </w:rPr>
            </w:pPr>
            <w:r w:rsidRPr="00FA4B2D">
              <w:rPr>
                <w:rFonts w:eastAsia="Calibri" w:cs="Arial"/>
                <w:sz w:val="20"/>
                <w:szCs w:val="20"/>
                <w:lang w:val="es-ES_tradnl"/>
              </w:rPr>
              <w:t>Instituto Interamericano de Cooperación para la Agricultura</w:t>
            </w:r>
          </w:p>
          <w:p w14:paraId="2CD25BE2" w14:textId="77777777" w:rsidR="006A3DBC" w:rsidRPr="00FA4B2D" w:rsidRDefault="006A3DBC" w:rsidP="005F4A92">
            <w:pPr>
              <w:widowControl w:val="0"/>
              <w:ind w:left="100" w:right="385"/>
              <w:rPr>
                <w:rFonts w:eastAsia="Calibri" w:cs="Arial"/>
                <w:sz w:val="20"/>
                <w:szCs w:val="20"/>
                <w:lang w:val="es-ES_tradnl"/>
              </w:rPr>
            </w:pPr>
          </w:p>
        </w:tc>
      </w:tr>
      <w:tr w:rsidR="006A3DBC" w:rsidRPr="00FA4B2D" w14:paraId="3331F7E3" w14:textId="77777777" w:rsidTr="006A3DBC">
        <w:trPr>
          <w:trHeight w:hRule="exact" w:val="263"/>
        </w:trPr>
        <w:tc>
          <w:tcPr>
            <w:tcW w:w="2155" w:type="dxa"/>
          </w:tcPr>
          <w:p w14:paraId="071BB42F" w14:textId="77777777" w:rsidR="006A3DBC" w:rsidRPr="00FA4B2D" w:rsidRDefault="006A3DBC" w:rsidP="005F4A92">
            <w:pPr>
              <w:widowControl w:val="0"/>
              <w:rPr>
                <w:rFonts w:eastAsia="Calibri" w:cs="Arial"/>
                <w:sz w:val="20"/>
                <w:szCs w:val="20"/>
                <w:lang w:val="es-ES_tradnl"/>
              </w:rPr>
            </w:pPr>
            <w:r w:rsidRPr="00FA4B2D">
              <w:rPr>
                <w:rFonts w:eastAsia="Calibri" w:cs="Arial"/>
                <w:sz w:val="20"/>
                <w:szCs w:val="20"/>
                <w:lang w:val="es-ES_tradnl"/>
              </w:rPr>
              <w:t>INE</w:t>
            </w:r>
          </w:p>
        </w:tc>
        <w:tc>
          <w:tcPr>
            <w:tcW w:w="6771" w:type="dxa"/>
          </w:tcPr>
          <w:p w14:paraId="4CDC1C2E" w14:textId="77777777" w:rsidR="006A3DBC" w:rsidRPr="00FA4B2D" w:rsidRDefault="006A3DBC" w:rsidP="005F4A92">
            <w:pPr>
              <w:widowControl w:val="0"/>
              <w:ind w:left="100" w:right="385"/>
              <w:rPr>
                <w:rFonts w:eastAsia="Calibri" w:cs="Arial"/>
                <w:sz w:val="20"/>
                <w:szCs w:val="20"/>
                <w:lang w:val="es-ES_tradnl"/>
              </w:rPr>
            </w:pPr>
            <w:r w:rsidRPr="00FA4B2D">
              <w:rPr>
                <w:rFonts w:eastAsia="Calibri" w:cs="Arial"/>
                <w:sz w:val="20"/>
                <w:szCs w:val="20"/>
                <w:lang w:val="es-ES_tradnl"/>
              </w:rPr>
              <w:t>Instituto Nacional de Estadísticas</w:t>
            </w:r>
          </w:p>
        </w:tc>
      </w:tr>
      <w:tr w:rsidR="006A3DBC" w:rsidRPr="00FA4B2D" w14:paraId="0EABBC73" w14:textId="77777777" w:rsidTr="006A3DBC">
        <w:trPr>
          <w:trHeight w:hRule="exact" w:val="263"/>
        </w:trPr>
        <w:tc>
          <w:tcPr>
            <w:tcW w:w="2155" w:type="dxa"/>
          </w:tcPr>
          <w:p w14:paraId="1EFF9DE0" w14:textId="77777777" w:rsidR="006A3DBC" w:rsidRPr="00FA4B2D" w:rsidRDefault="006A3DBC" w:rsidP="005F4A92">
            <w:pPr>
              <w:widowControl w:val="0"/>
              <w:ind w:right="519"/>
              <w:rPr>
                <w:rFonts w:eastAsia="Times New Roman" w:cs="Arial"/>
                <w:sz w:val="20"/>
                <w:szCs w:val="20"/>
                <w:lang w:val="es-ES_tradnl"/>
              </w:rPr>
            </w:pPr>
            <w:r w:rsidRPr="00FA4B2D">
              <w:rPr>
                <w:rFonts w:eastAsia="Calibri" w:cs="Arial"/>
                <w:sz w:val="20"/>
                <w:szCs w:val="20"/>
                <w:lang w:val="es-ES_tradnl"/>
              </w:rPr>
              <w:t>INAM</w:t>
            </w:r>
          </w:p>
        </w:tc>
        <w:tc>
          <w:tcPr>
            <w:tcW w:w="6771" w:type="dxa"/>
          </w:tcPr>
          <w:p w14:paraId="4F586F1E" w14:textId="77777777" w:rsidR="006A3DBC" w:rsidRPr="00FA4B2D" w:rsidRDefault="006A3DBC" w:rsidP="005F4A92">
            <w:pPr>
              <w:widowControl w:val="0"/>
              <w:ind w:left="100" w:right="385"/>
              <w:rPr>
                <w:rFonts w:eastAsia="Times New Roman" w:cs="Arial"/>
                <w:sz w:val="20"/>
                <w:szCs w:val="20"/>
                <w:lang w:val="es-ES_tradnl"/>
              </w:rPr>
            </w:pPr>
            <w:r w:rsidRPr="00FA4B2D">
              <w:rPr>
                <w:rFonts w:eastAsia="Calibri" w:cs="Arial"/>
                <w:sz w:val="20"/>
                <w:szCs w:val="20"/>
                <w:lang w:val="es-ES_tradnl"/>
              </w:rPr>
              <w:t>Instituto Nacional de la</w:t>
            </w:r>
            <w:r w:rsidRPr="00FA4B2D">
              <w:rPr>
                <w:rFonts w:eastAsia="Calibri" w:cs="Arial"/>
                <w:spacing w:val="-6"/>
                <w:sz w:val="20"/>
                <w:szCs w:val="20"/>
                <w:lang w:val="es-ES_tradnl"/>
              </w:rPr>
              <w:t xml:space="preserve"> </w:t>
            </w:r>
            <w:r w:rsidRPr="00FA4B2D">
              <w:rPr>
                <w:rFonts w:eastAsia="Calibri" w:cs="Arial"/>
                <w:sz w:val="20"/>
                <w:szCs w:val="20"/>
                <w:lang w:val="es-ES_tradnl"/>
              </w:rPr>
              <w:t>Mujer</w:t>
            </w:r>
          </w:p>
        </w:tc>
      </w:tr>
      <w:tr w:rsidR="006A3DBC" w:rsidRPr="00FA4B2D" w14:paraId="05F41B83" w14:textId="77777777" w:rsidTr="006A3DBC">
        <w:trPr>
          <w:trHeight w:hRule="exact" w:val="264"/>
        </w:trPr>
        <w:tc>
          <w:tcPr>
            <w:tcW w:w="2155" w:type="dxa"/>
          </w:tcPr>
          <w:p w14:paraId="6D69467D" w14:textId="77777777" w:rsidR="006A3DBC" w:rsidRPr="00FA4B2D" w:rsidRDefault="006A3DBC" w:rsidP="005F4A92">
            <w:pPr>
              <w:widowControl w:val="0"/>
              <w:rPr>
                <w:rFonts w:eastAsia="Times New Roman" w:cs="Arial"/>
                <w:sz w:val="20"/>
                <w:szCs w:val="20"/>
                <w:lang w:val="es-ES_tradnl"/>
              </w:rPr>
            </w:pPr>
            <w:r w:rsidRPr="00FA4B2D">
              <w:rPr>
                <w:rFonts w:eastAsia="Calibri" w:cs="Arial"/>
                <w:sz w:val="20"/>
                <w:szCs w:val="20"/>
                <w:lang w:val="es-ES_tradnl"/>
              </w:rPr>
              <w:t>INVEST-H</w:t>
            </w:r>
          </w:p>
        </w:tc>
        <w:tc>
          <w:tcPr>
            <w:tcW w:w="6771" w:type="dxa"/>
          </w:tcPr>
          <w:p w14:paraId="7AC22AE2" w14:textId="77777777" w:rsidR="006A3DBC" w:rsidRPr="00FA4B2D" w:rsidRDefault="006A3DBC" w:rsidP="005F4A92">
            <w:pPr>
              <w:widowControl w:val="0"/>
              <w:ind w:left="100" w:right="385"/>
              <w:rPr>
                <w:rFonts w:eastAsia="Times New Roman" w:cs="Arial"/>
                <w:sz w:val="20"/>
                <w:szCs w:val="20"/>
                <w:lang w:val="es-ES_tradnl"/>
              </w:rPr>
            </w:pPr>
            <w:r w:rsidRPr="00FA4B2D">
              <w:rPr>
                <w:rFonts w:eastAsia="Calibri" w:cs="Arial"/>
                <w:sz w:val="20"/>
                <w:szCs w:val="20"/>
                <w:lang w:val="es-ES_tradnl"/>
              </w:rPr>
              <w:t>Inversión Estratégica de</w:t>
            </w:r>
            <w:r w:rsidRPr="00FA4B2D">
              <w:rPr>
                <w:rFonts w:eastAsia="Calibri" w:cs="Arial"/>
                <w:spacing w:val="-8"/>
                <w:sz w:val="20"/>
                <w:szCs w:val="20"/>
                <w:lang w:val="es-ES_tradnl"/>
              </w:rPr>
              <w:t xml:space="preserve"> </w:t>
            </w:r>
            <w:r w:rsidRPr="00FA4B2D">
              <w:rPr>
                <w:rFonts w:eastAsia="Calibri" w:cs="Arial"/>
                <w:sz w:val="20"/>
                <w:szCs w:val="20"/>
                <w:lang w:val="es-ES_tradnl"/>
              </w:rPr>
              <w:t>Honduras</w:t>
            </w:r>
          </w:p>
        </w:tc>
      </w:tr>
      <w:tr w:rsidR="006A3DBC" w:rsidRPr="00FA4B2D" w14:paraId="10AB2A0B" w14:textId="77777777" w:rsidTr="006A3DBC">
        <w:trPr>
          <w:trHeight w:hRule="exact" w:val="262"/>
        </w:trPr>
        <w:tc>
          <w:tcPr>
            <w:tcW w:w="2155" w:type="dxa"/>
          </w:tcPr>
          <w:p w14:paraId="00D02A5D" w14:textId="77777777" w:rsidR="006A3DBC" w:rsidRPr="00FA4B2D" w:rsidRDefault="006A3DBC" w:rsidP="005F4A92">
            <w:pPr>
              <w:widowControl w:val="0"/>
              <w:ind w:right="519"/>
              <w:rPr>
                <w:rFonts w:eastAsia="Times New Roman" w:cs="Arial"/>
                <w:sz w:val="20"/>
                <w:szCs w:val="20"/>
                <w:lang w:val="es-ES_tradnl"/>
              </w:rPr>
            </w:pPr>
            <w:r w:rsidRPr="00FA4B2D">
              <w:rPr>
                <w:rFonts w:eastAsia="Calibri" w:cs="Arial"/>
                <w:sz w:val="20"/>
                <w:szCs w:val="20"/>
                <w:lang w:val="es-ES_tradnl"/>
              </w:rPr>
              <w:t>INSEP</w:t>
            </w:r>
          </w:p>
        </w:tc>
        <w:tc>
          <w:tcPr>
            <w:tcW w:w="6771" w:type="dxa"/>
          </w:tcPr>
          <w:p w14:paraId="4CF5E6FC" w14:textId="77777777" w:rsidR="006A3DBC" w:rsidRPr="00FA4B2D" w:rsidRDefault="006A3DBC" w:rsidP="005F4A92">
            <w:pPr>
              <w:widowControl w:val="0"/>
              <w:ind w:left="100" w:right="385"/>
              <w:rPr>
                <w:rFonts w:eastAsia="Times New Roman" w:cs="Arial"/>
                <w:sz w:val="20"/>
                <w:szCs w:val="20"/>
                <w:lang w:val="es-ES_tradnl"/>
              </w:rPr>
            </w:pPr>
            <w:r w:rsidRPr="00FA4B2D">
              <w:rPr>
                <w:rFonts w:eastAsia="Calibri" w:cs="Arial"/>
                <w:sz w:val="20"/>
                <w:szCs w:val="20"/>
                <w:lang w:val="es-ES_tradnl"/>
              </w:rPr>
              <w:t>Infraestructura y Servicios</w:t>
            </w:r>
            <w:r w:rsidRPr="00FA4B2D">
              <w:rPr>
                <w:rFonts w:eastAsia="Calibri" w:cs="Arial"/>
                <w:spacing w:val="-10"/>
                <w:sz w:val="20"/>
                <w:szCs w:val="20"/>
                <w:lang w:val="es-ES_tradnl"/>
              </w:rPr>
              <w:t xml:space="preserve"> </w:t>
            </w:r>
            <w:r w:rsidRPr="00FA4B2D">
              <w:rPr>
                <w:rFonts w:eastAsia="Calibri" w:cs="Arial"/>
                <w:sz w:val="20"/>
                <w:szCs w:val="20"/>
                <w:lang w:val="es-ES_tradnl"/>
              </w:rPr>
              <w:t>Públicos</w:t>
            </w:r>
          </w:p>
        </w:tc>
      </w:tr>
      <w:tr w:rsidR="00DF7059" w:rsidRPr="00FA4B2D" w14:paraId="11FB6944" w14:textId="77777777" w:rsidTr="006A3DBC">
        <w:trPr>
          <w:trHeight w:hRule="exact" w:val="262"/>
        </w:trPr>
        <w:tc>
          <w:tcPr>
            <w:tcW w:w="2155" w:type="dxa"/>
          </w:tcPr>
          <w:p w14:paraId="31FA9C73" w14:textId="77221439" w:rsidR="00DF7059" w:rsidRPr="00FA4B2D" w:rsidRDefault="00DF7059" w:rsidP="005F4A92">
            <w:pPr>
              <w:widowControl w:val="0"/>
              <w:ind w:right="519"/>
              <w:rPr>
                <w:rFonts w:eastAsia="Calibri" w:cs="Arial"/>
                <w:sz w:val="20"/>
                <w:szCs w:val="20"/>
                <w:lang w:val="es-ES_tradnl"/>
              </w:rPr>
            </w:pPr>
            <w:r w:rsidRPr="00FA4B2D">
              <w:rPr>
                <w:rFonts w:eastAsia="Calibri" w:cs="Arial"/>
                <w:sz w:val="20"/>
                <w:szCs w:val="20"/>
                <w:lang w:val="es-ES_tradnl"/>
              </w:rPr>
              <w:t>IP</w:t>
            </w:r>
          </w:p>
        </w:tc>
        <w:tc>
          <w:tcPr>
            <w:tcW w:w="6771" w:type="dxa"/>
          </w:tcPr>
          <w:p w14:paraId="7650B9F8" w14:textId="12BDAC57" w:rsidR="00DF7059" w:rsidRPr="00FA4B2D" w:rsidRDefault="00DF7059" w:rsidP="005F4A92">
            <w:pPr>
              <w:widowControl w:val="0"/>
              <w:ind w:left="100" w:right="385"/>
              <w:rPr>
                <w:rFonts w:eastAsia="Calibri" w:cs="Arial"/>
                <w:sz w:val="20"/>
                <w:szCs w:val="20"/>
                <w:lang w:val="es-ES_tradnl"/>
              </w:rPr>
            </w:pPr>
            <w:r w:rsidRPr="00FA4B2D">
              <w:rPr>
                <w:rFonts w:eastAsia="Calibri" w:cs="Arial"/>
                <w:sz w:val="20"/>
                <w:szCs w:val="20"/>
                <w:lang w:val="es-ES_tradnl"/>
              </w:rPr>
              <w:t>Instituto de la Propiedad</w:t>
            </w:r>
          </w:p>
        </w:tc>
      </w:tr>
      <w:tr w:rsidR="006A3DBC" w:rsidRPr="00FA4B2D" w14:paraId="6BE7EE8F" w14:textId="77777777" w:rsidTr="006A3DBC">
        <w:trPr>
          <w:trHeight w:hRule="exact" w:val="262"/>
        </w:trPr>
        <w:tc>
          <w:tcPr>
            <w:tcW w:w="2155" w:type="dxa"/>
          </w:tcPr>
          <w:p w14:paraId="01B459E8" w14:textId="77777777" w:rsidR="006A3DBC" w:rsidRPr="00FA4B2D" w:rsidRDefault="006A3DBC" w:rsidP="005F4A92">
            <w:pPr>
              <w:widowControl w:val="0"/>
              <w:ind w:right="519"/>
              <w:rPr>
                <w:rFonts w:eastAsia="Calibri" w:cs="Arial"/>
                <w:sz w:val="20"/>
                <w:szCs w:val="20"/>
                <w:lang w:val="es-ES_tradnl"/>
              </w:rPr>
            </w:pPr>
            <w:r w:rsidRPr="00FA4B2D">
              <w:rPr>
                <w:rFonts w:eastAsia="Calibri" w:cs="Arial"/>
                <w:sz w:val="20"/>
                <w:szCs w:val="20"/>
                <w:lang w:val="es-ES_tradnl"/>
              </w:rPr>
              <w:t>IUDPAS</w:t>
            </w:r>
          </w:p>
        </w:tc>
        <w:tc>
          <w:tcPr>
            <w:tcW w:w="6771" w:type="dxa"/>
          </w:tcPr>
          <w:p w14:paraId="7EE9D6F2" w14:textId="77777777" w:rsidR="006A3DBC" w:rsidRPr="00FA4B2D" w:rsidRDefault="006A3DBC" w:rsidP="005F4A92">
            <w:pPr>
              <w:widowControl w:val="0"/>
              <w:ind w:left="100" w:right="385"/>
              <w:rPr>
                <w:rFonts w:eastAsia="Calibri" w:cs="Arial"/>
                <w:iCs/>
                <w:sz w:val="20"/>
                <w:szCs w:val="20"/>
                <w:lang w:val="es-ES_tradnl"/>
              </w:rPr>
            </w:pPr>
            <w:r w:rsidRPr="00FA4B2D">
              <w:rPr>
                <w:rFonts w:eastAsia="Calibri" w:cs="Arial"/>
                <w:iCs/>
                <w:sz w:val="20"/>
                <w:szCs w:val="20"/>
                <w:lang w:val="es-ES_tradnl"/>
              </w:rPr>
              <w:t xml:space="preserve">Instituto Universitario en Democracia, Paz y Seguridad. </w:t>
            </w:r>
          </w:p>
        </w:tc>
      </w:tr>
      <w:tr w:rsidR="006A3DBC" w:rsidRPr="00FA4B2D" w14:paraId="072FDBE7" w14:textId="77777777" w:rsidTr="006A3DBC">
        <w:trPr>
          <w:trHeight w:hRule="exact" w:val="264"/>
        </w:trPr>
        <w:tc>
          <w:tcPr>
            <w:tcW w:w="2155" w:type="dxa"/>
          </w:tcPr>
          <w:p w14:paraId="0001C16C" w14:textId="77777777" w:rsidR="006A3DBC" w:rsidRPr="00FA4B2D" w:rsidRDefault="006A3DBC" w:rsidP="005F4A92">
            <w:pPr>
              <w:widowControl w:val="0"/>
              <w:ind w:right="518"/>
              <w:rPr>
                <w:rFonts w:eastAsia="Calibri" w:cs="Arial"/>
                <w:sz w:val="20"/>
                <w:szCs w:val="20"/>
                <w:lang w:val="es-ES_tradnl"/>
              </w:rPr>
            </w:pPr>
            <w:r w:rsidRPr="00FA4B2D">
              <w:rPr>
                <w:rFonts w:eastAsia="Calibri" w:cs="Arial"/>
                <w:sz w:val="20"/>
                <w:szCs w:val="20"/>
                <w:lang w:val="es-ES_tradnl"/>
              </w:rPr>
              <w:t>MAS</w:t>
            </w:r>
          </w:p>
        </w:tc>
        <w:tc>
          <w:tcPr>
            <w:tcW w:w="6771" w:type="dxa"/>
          </w:tcPr>
          <w:p w14:paraId="5E65EC87" w14:textId="77777777" w:rsidR="006A3DBC" w:rsidRPr="00FA4B2D" w:rsidRDefault="006A3DBC" w:rsidP="005F4A92">
            <w:pPr>
              <w:widowControl w:val="0"/>
              <w:ind w:left="100" w:right="385"/>
              <w:rPr>
                <w:rFonts w:eastAsia="Calibri" w:cs="Arial"/>
                <w:sz w:val="20"/>
                <w:szCs w:val="20"/>
                <w:lang w:val="es-ES_tradnl"/>
              </w:rPr>
            </w:pPr>
            <w:r w:rsidRPr="00FA4B2D">
              <w:rPr>
                <w:rFonts w:eastAsia="Calibri" w:cs="Arial"/>
                <w:sz w:val="20"/>
                <w:szCs w:val="20"/>
                <w:lang w:val="es-ES_tradnl"/>
              </w:rPr>
              <w:t>Marco Ambiental y Social</w:t>
            </w:r>
          </w:p>
        </w:tc>
      </w:tr>
      <w:tr w:rsidR="006A3DBC" w:rsidRPr="00FA4B2D" w14:paraId="2D477398" w14:textId="77777777" w:rsidTr="006A3DBC">
        <w:trPr>
          <w:trHeight w:val="264"/>
        </w:trPr>
        <w:tc>
          <w:tcPr>
            <w:tcW w:w="2155" w:type="dxa"/>
          </w:tcPr>
          <w:p w14:paraId="5213DAA0" w14:textId="77777777" w:rsidR="006A3DBC" w:rsidRPr="00FA4B2D" w:rsidRDefault="006A3DBC" w:rsidP="005F4A92">
            <w:pPr>
              <w:rPr>
                <w:rFonts w:eastAsia="Calibri" w:cs="Arial"/>
                <w:sz w:val="20"/>
                <w:szCs w:val="20"/>
                <w:lang w:val="es-ES"/>
              </w:rPr>
            </w:pPr>
            <w:r w:rsidRPr="00FA4B2D">
              <w:rPr>
                <w:rFonts w:eastAsia="Calibri" w:cs="Arial"/>
                <w:sz w:val="20"/>
                <w:szCs w:val="20"/>
                <w:lang w:val="es-ES"/>
              </w:rPr>
              <w:t>MCQRS</w:t>
            </w:r>
          </w:p>
        </w:tc>
        <w:tc>
          <w:tcPr>
            <w:tcW w:w="6771" w:type="dxa"/>
          </w:tcPr>
          <w:p w14:paraId="5EB6FE52" w14:textId="77777777" w:rsidR="006A3DBC" w:rsidRPr="00FA4B2D" w:rsidRDefault="006A3DBC" w:rsidP="005F4A92">
            <w:pPr>
              <w:rPr>
                <w:rFonts w:eastAsia="Calibri" w:cs="Arial"/>
                <w:sz w:val="20"/>
                <w:szCs w:val="20"/>
                <w:lang w:val="es-ES"/>
              </w:rPr>
            </w:pPr>
            <w:r w:rsidRPr="00FA4B2D">
              <w:rPr>
                <w:rFonts w:eastAsia="Calibri" w:cs="Arial"/>
                <w:sz w:val="20"/>
                <w:szCs w:val="20"/>
                <w:lang w:val="es-ES"/>
              </w:rPr>
              <w:t xml:space="preserve">  Mecanismo para Comunicación de Consulta, Quejas, Reclamos y   Sugerencias</w:t>
            </w:r>
          </w:p>
        </w:tc>
      </w:tr>
      <w:tr w:rsidR="006A3DBC" w:rsidRPr="00FA4B2D" w14:paraId="5570BEB6" w14:textId="77777777" w:rsidTr="006A3DBC">
        <w:trPr>
          <w:trHeight w:hRule="exact" w:val="264"/>
        </w:trPr>
        <w:tc>
          <w:tcPr>
            <w:tcW w:w="2155" w:type="dxa"/>
          </w:tcPr>
          <w:p w14:paraId="292A65F6" w14:textId="77777777" w:rsidR="006A3DBC" w:rsidRPr="00FA4B2D" w:rsidRDefault="006A3DBC" w:rsidP="005F4A92">
            <w:pPr>
              <w:widowControl w:val="0"/>
              <w:ind w:right="518"/>
              <w:rPr>
                <w:rFonts w:eastAsia="Times New Roman" w:cs="Arial"/>
                <w:sz w:val="20"/>
                <w:szCs w:val="20"/>
                <w:lang w:val="es-ES_tradnl"/>
              </w:rPr>
            </w:pPr>
            <w:r w:rsidRPr="00FA4B2D">
              <w:rPr>
                <w:rFonts w:eastAsia="Calibri" w:cs="Arial"/>
                <w:sz w:val="20"/>
                <w:szCs w:val="20"/>
                <w:lang w:val="es-ES_tradnl"/>
              </w:rPr>
              <w:t>MGAS</w:t>
            </w:r>
          </w:p>
        </w:tc>
        <w:tc>
          <w:tcPr>
            <w:tcW w:w="6771" w:type="dxa"/>
          </w:tcPr>
          <w:p w14:paraId="5A965CBE" w14:textId="77777777" w:rsidR="006A3DBC" w:rsidRPr="00FA4B2D" w:rsidRDefault="006A3DBC" w:rsidP="005F4A92">
            <w:pPr>
              <w:widowControl w:val="0"/>
              <w:ind w:left="100" w:right="385"/>
              <w:rPr>
                <w:rFonts w:eastAsia="Times New Roman" w:cs="Arial"/>
                <w:sz w:val="20"/>
                <w:szCs w:val="20"/>
                <w:lang w:val="es-ES_tradnl"/>
              </w:rPr>
            </w:pPr>
            <w:r w:rsidRPr="00FA4B2D">
              <w:rPr>
                <w:rFonts w:eastAsia="Calibri" w:cs="Arial"/>
                <w:sz w:val="20"/>
                <w:szCs w:val="20"/>
                <w:lang w:val="es-ES_tradnl"/>
              </w:rPr>
              <w:t>Marco Gestión Ambiental y</w:t>
            </w:r>
            <w:r w:rsidRPr="00FA4B2D">
              <w:rPr>
                <w:rFonts w:eastAsia="Calibri" w:cs="Arial"/>
                <w:spacing w:val="47"/>
                <w:sz w:val="20"/>
                <w:szCs w:val="20"/>
                <w:lang w:val="es-ES_tradnl"/>
              </w:rPr>
              <w:t xml:space="preserve"> </w:t>
            </w:r>
            <w:r w:rsidRPr="00FA4B2D">
              <w:rPr>
                <w:rFonts w:eastAsia="Calibri" w:cs="Arial"/>
                <w:sz w:val="20"/>
                <w:szCs w:val="20"/>
                <w:lang w:val="es-ES_tradnl"/>
              </w:rPr>
              <w:t>Social</w:t>
            </w:r>
          </w:p>
        </w:tc>
      </w:tr>
      <w:tr w:rsidR="006A3DBC" w:rsidRPr="00FA4B2D" w14:paraId="3C0BFD83" w14:textId="77777777" w:rsidTr="006A3DBC">
        <w:trPr>
          <w:trHeight w:hRule="exact" w:val="262"/>
        </w:trPr>
        <w:tc>
          <w:tcPr>
            <w:tcW w:w="2155" w:type="dxa"/>
          </w:tcPr>
          <w:p w14:paraId="61513637" w14:textId="77777777" w:rsidR="006A3DBC" w:rsidRPr="00FA4B2D" w:rsidRDefault="006A3DBC" w:rsidP="005F4A92">
            <w:pPr>
              <w:widowControl w:val="0"/>
              <w:ind w:right="519"/>
              <w:rPr>
                <w:rFonts w:eastAsia="Times New Roman" w:cs="Arial"/>
                <w:sz w:val="20"/>
                <w:szCs w:val="20"/>
                <w:lang w:val="es-ES_tradnl"/>
              </w:rPr>
            </w:pPr>
            <w:r w:rsidRPr="00FA4B2D">
              <w:rPr>
                <w:rFonts w:eastAsia="Calibri" w:cs="Arial"/>
                <w:sz w:val="20"/>
                <w:szCs w:val="20"/>
                <w:lang w:val="es-ES_tradnl"/>
              </w:rPr>
              <w:t>M&amp;E</w:t>
            </w:r>
          </w:p>
        </w:tc>
        <w:tc>
          <w:tcPr>
            <w:tcW w:w="6771" w:type="dxa"/>
          </w:tcPr>
          <w:p w14:paraId="0399BD9E" w14:textId="77777777" w:rsidR="006A3DBC" w:rsidRPr="00FA4B2D" w:rsidRDefault="006A3DBC" w:rsidP="005F4A92">
            <w:pPr>
              <w:widowControl w:val="0"/>
              <w:ind w:left="100" w:right="385"/>
              <w:rPr>
                <w:rFonts w:eastAsia="Times New Roman" w:cs="Arial"/>
                <w:sz w:val="20"/>
                <w:szCs w:val="20"/>
                <w:lang w:val="es-ES_tradnl"/>
              </w:rPr>
            </w:pPr>
            <w:r w:rsidRPr="00FA4B2D">
              <w:rPr>
                <w:rFonts w:eastAsia="Calibri" w:cs="Arial"/>
                <w:sz w:val="20"/>
                <w:szCs w:val="20"/>
                <w:lang w:val="es-ES_tradnl"/>
              </w:rPr>
              <w:t>Monitoreo y</w:t>
            </w:r>
            <w:r w:rsidRPr="00FA4B2D">
              <w:rPr>
                <w:rFonts w:eastAsia="Calibri" w:cs="Arial"/>
                <w:spacing w:val="-3"/>
                <w:sz w:val="20"/>
                <w:szCs w:val="20"/>
                <w:lang w:val="es-ES_tradnl"/>
              </w:rPr>
              <w:t xml:space="preserve"> </w:t>
            </w:r>
            <w:r w:rsidRPr="00FA4B2D">
              <w:rPr>
                <w:rFonts w:eastAsia="Calibri" w:cs="Arial"/>
                <w:sz w:val="20"/>
                <w:szCs w:val="20"/>
                <w:lang w:val="es-ES_tradnl"/>
              </w:rPr>
              <w:t>Evaluación</w:t>
            </w:r>
          </w:p>
        </w:tc>
      </w:tr>
      <w:tr w:rsidR="006A3DBC" w:rsidRPr="00FA4B2D" w14:paraId="6D90BB84" w14:textId="77777777" w:rsidTr="006A3DBC">
        <w:trPr>
          <w:trHeight w:hRule="exact" w:val="265"/>
        </w:trPr>
        <w:tc>
          <w:tcPr>
            <w:tcW w:w="2155" w:type="dxa"/>
          </w:tcPr>
          <w:p w14:paraId="33095D63" w14:textId="77777777" w:rsidR="006A3DBC" w:rsidRPr="00FA4B2D" w:rsidRDefault="006A3DBC" w:rsidP="005F4A92">
            <w:pPr>
              <w:widowControl w:val="0"/>
              <w:ind w:right="519"/>
              <w:rPr>
                <w:rFonts w:eastAsia="Times New Roman" w:cs="Arial"/>
                <w:sz w:val="20"/>
                <w:szCs w:val="20"/>
                <w:lang w:val="es-ES_tradnl"/>
              </w:rPr>
            </w:pPr>
            <w:r w:rsidRPr="00FA4B2D">
              <w:rPr>
                <w:rFonts w:eastAsia="Calibri" w:cs="Arial"/>
                <w:sz w:val="20"/>
                <w:szCs w:val="20"/>
                <w:lang w:val="es-ES_tradnl"/>
              </w:rPr>
              <w:t>MIP</w:t>
            </w:r>
          </w:p>
        </w:tc>
        <w:tc>
          <w:tcPr>
            <w:tcW w:w="6771" w:type="dxa"/>
          </w:tcPr>
          <w:p w14:paraId="09506DCB" w14:textId="77777777" w:rsidR="006A3DBC" w:rsidRPr="00FA4B2D" w:rsidRDefault="006A3DBC" w:rsidP="005F4A92">
            <w:pPr>
              <w:widowControl w:val="0"/>
              <w:ind w:left="100" w:right="385"/>
              <w:rPr>
                <w:rFonts w:eastAsia="Times New Roman" w:cs="Arial"/>
                <w:sz w:val="20"/>
                <w:szCs w:val="20"/>
                <w:lang w:val="es-ES_tradnl"/>
              </w:rPr>
            </w:pPr>
            <w:r w:rsidRPr="00FA4B2D">
              <w:rPr>
                <w:rFonts w:eastAsia="Calibri" w:cs="Arial"/>
                <w:sz w:val="20"/>
                <w:szCs w:val="20"/>
                <w:lang w:val="es-ES_tradnl"/>
              </w:rPr>
              <w:t>Manejo Integrado de</w:t>
            </w:r>
            <w:r w:rsidRPr="00FA4B2D">
              <w:rPr>
                <w:rFonts w:eastAsia="Calibri" w:cs="Arial"/>
                <w:spacing w:val="-7"/>
                <w:sz w:val="20"/>
                <w:szCs w:val="20"/>
                <w:lang w:val="es-ES_tradnl"/>
              </w:rPr>
              <w:t xml:space="preserve"> </w:t>
            </w:r>
            <w:r w:rsidRPr="00FA4B2D">
              <w:rPr>
                <w:rFonts w:eastAsia="Calibri" w:cs="Arial"/>
                <w:sz w:val="20"/>
                <w:szCs w:val="20"/>
                <w:lang w:val="es-ES_tradnl"/>
              </w:rPr>
              <w:t>Plagas</w:t>
            </w:r>
          </w:p>
        </w:tc>
      </w:tr>
      <w:tr w:rsidR="006A3DBC" w:rsidRPr="00FA4B2D" w14:paraId="1E0BE561" w14:textId="77777777" w:rsidTr="006A3DBC">
        <w:trPr>
          <w:trHeight w:hRule="exact" w:val="265"/>
        </w:trPr>
        <w:tc>
          <w:tcPr>
            <w:tcW w:w="2155" w:type="dxa"/>
          </w:tcPr>
          <w:p w14:paraId="6476AEB0" w14:textId="77777777" w:rsidR="006A3DBC" w:rsidRPr="00FA4B2D" w:rsidRDefault="006A3DBC" w:rsidP="005F4A92">
            <w:pPr>
              <w:widowControl w:val="0"/>
              <w:ind w:right="519"/>
              <w:rPr>
                <w:rFonts w:eastAsia="Calibri" w:cs="Arial"/>
                <w:sz w:val="20"/>
                <w:szCs w:val="20"/>
                <w:lang w:val="es-ES_tradnl"/>
              </w:rPr>
            </w:pPr>
            <w:r w:rsidRPr="00FA4B2D">
              <w:rPr>
                <w:rFonts w:eastAsia="Calibri" w:cs="Arial"/>
                <w:sz w:val="20"/>
                <w:szCs w:val="20"/>
                <w:lang w:val="es-ES_tradnl"/>
              </w:rPr>
              <w:t>MIC</w:t>
            </w:r>
          </w:p>
        </w:tc>
        <w:tc>
          <w:tcPr>
            <w:tcW w:w="6771" w:type="dxa"/>
          </w:tcPr>
          <w:p w14:paraId="381879F8" w14:textId="64D18D4F" w:rsidR="006A3DBC" w:rsidRPr="00FA4B2D" w:rsidRDefault="006A3DBC" w:rsidP="005F4A92">
            <w:pPr>
              <w:widowControl w:val="0"/>
              <w:ind w:left="100" w:right="385"/>
              <w:rPr>
                <w:rFonts w:eastAsia="Calibri" w:cs="Arial"/>
                <w:sz w:val="20"/>
                <w:szCs w:val="20"/>
                <w:lang w:val="es-ES_tradnl"/>
              </w:rPr>
            </w:pPr>
            <w:r w:rsidRPr="00FA4B2D">
              <w:rPr>
                <w:rFonts w:eastAsia="Calibri" w:cs="Arial"/>
                <w:sz w:val="20"/>
                <w:szCs w:val="20"/>
                <w:lang w:val="es-ES_tradnl"/>
              </w:rPr>
              <w:t xml:space="preserve">Manejo Integrado de </w:t>
            </w:r>
            <w:r w:rsidR="00DD7838" w:rsidRPr="00FA4B2D">
              <w:rPr>
                <w:rFonts w:eastAsia="Calibri" w:cs="Arial"/>
                <w:sz w:val="20"/>
                <w:szCs w:val="20"/>
                <w:lang w:val="es-ES_tradnl"/>
              </w:rPr>
              <w:t>Cultivos</w:t>
            </w:r>
          </w:p>
        </w:tc>
      </w:tr>
      <w:tr w:rsidR="006A3DBC" w:rsidRPr="00FA4B2D" w14:paraId="4B130B59" w14:textId="77777777" w:rsidTr="006A3DBC">
        <w:trPr>
          <w:trHeight w:hRule="exact" w:val="265"/>
        </w:trPr>
        <w:tc>
          <w:tcPr>
            <w:tcW w:w="2155" w:type="dxa"/>
          </w:tcPr>
          <w:p w14:paraId="496B7C40" w14:textId="19C27DE6" w:rsidR="006A3DBC" w:rsidRPr="00FA4B2D" w:rsidRDefault="006A3DBC" w:rsidP="005F4A92">
            <w:pPr>
              <w:widowControl w:val="0"/>
              <w:ind w:right="519"/>
              <w:rPr>
                <w:rFonts w:eastAsia="Calibri" w:cs="Arial"/>
                <w:sz w:val="20"/>
                <w:szCs w:val="20"/>
                <w:lang w:val="es-ES"/>
              </w:rPr>
            </w:pPr>
            <w:r w:rsidRPr="00FA4B2D">
              <w:rPr>
                <w:rFonts w:eastAsia="Calibri" w:cs="Arial"/>
                <w:sz w:val="20"/>
                <w:szCs w:val="20"/>
                <w:lang w:val="es-ES"/>
              </w:rPr>
              <w:t>MiAMBIENTE</w:t>
            </w:r>
            <w:r w:rsidR="00045FFB" w:rsidRPr="00FA4B2D">
              <w:rPr>
                <w:rFonts w:eastAsia="Calibri" w:cs="Arial"/>
                <w:sz w:val="20"/>
                <w:szCs w:val="20"/>
                <w:lang w:val="es-ES"/>
              </w:rPr>
              <w:t>+</w:t>
            </w:r>
          </w:p>
        </w:tc>
        <w:tc>
          <w:tcPr>
            <w:tcW w:w="6771" w:type="dxa"/>
          </w:tcPr>
          <w:p w14:paraId="3B8A7E10" w14:textId="5626F873" w:rsidR="006A3DBC" w:rsidRPr="00FA4B2D" w:rsidRDefault="006A3DBC" w:rsidP="005F4A92">
            <w:pPr>
              <w:widowControl w:val="0"/>
              <w:ind w:left="100" w:right="385"/>
              <w:rPr>
                <w:rFonts w:eastAsia="Calibri" w:cs="Arial"/>
                <w:sz w:val="20"/>
                <w:szCs w:val="20"/>
              </w:rPr>
            </w:pPr>
            <w:r w:rsidRPr="00FA4B2D">
              <w:rPr>
                <w:rFonts w:eastAsia="Calibri" w:cs="Arial"/>
                <w:sz w:val="20"/>
                <w:szCs w:val="20"/>
              </w:rPr>
              <w:t xml:space="preserve">Secretaría </w:t>
            </w:r>
            <w:r w:rsidR="00045FFB" w:rsidRPr="00FA4B2D">
              <w:rPr>
                <w:rFonts w:eastAsia="Calibri" w:cs="Arial"/>
                <w:sz w:val="20"/>
                <w:szCs w:val="20"/>
              </w:rPr>
              <w:t>d</w:t>
            </w:r>
            <w:r w:rsidRPr="00FA4B2D">
              <w:rPr>
                <w:rFonts w:eastAsia="Calibri" w:cs="Arial"/>
                <w:sz w:val="20"/>
                <w:szCs w:val="20"/>
              </w:rPr>
              <w:t>e Energía, Recursos Naturales, Ambiente y Minas</w:t>
            </w:r>
          </w:p>
        </w:tc>
      </w:tr>
      <w:tr w:rsidR="006A3DBC" w:rsidRPr="00FA4B2D" w14:paraId="21439F46" w14:textId="77777777" w:rsidTr="006A3DBC">
        <w:trPr>
          <w:trHeight w:hRule="exact" w:val="263"/>
        </w:trPr>
        <w:tc>
          <w:tcPr>
            <w:tcW w:w="2155" w:type="dxa"/>
          </w:tcPr>
          <w:p w14:paraId="34A71F83" w14:textId="77777777" w:rsidR="006A3DBC" w:rsidRPr="00FA4B2D" w:rsidRDefault="006A3DBC" w:rsidP="005F4A92">
            <w:pPr>
              <w:widowControl w:val="0"/>
              <w:ind w:right="519"/>
              <w:rPr>
                <w:rFonts w:eastAsia="Calibri" w:cs="Arial"/>
                <w:sz w:val="20"/>
                <w:szCs w:val="20"/>
                <w:lang w:val="es-ES_tradnl"/>
              </w:rPr>
            </w:pPr>
            <w:r w:rsidRPr="00FA4B2D">
              <w:rPr>
                <w:rFonts w:eastAsia="Calibri" w:cs="Arial"/>
                <w:sz w:val="20"/>
                <w:szCs w:val="20"/>
                <w:lang w:val="es-ES_tradnl"/>
              </w:rPr>
              <w:t>MOP</w:t>
            </w:r>
          </w:p>
        </w:tc>
        <w:tc>
          <w:tcPr>
            <w:tcW w:w="6771" w:type="dxa"/>
          </w:tcPr>
          <w:p w14:paraId="0A70B7B0" w14:textId="77777777" w:rsidR="006A3DBC" w:rsidRPr="00FA4B2D" w:rsidRDefault="006A3DBC" w:rsidP="005F4A92">
            <w:pPr>
              <w:widowControl w:val="0"/>
              <w:ind w:left="100" w:right="385"/>
              <w:rPr>
                <w:rFonts w:eastAsia="Calibri" w:cs="Arial"/>
                <w:sz w:val="20"/>
                <w:szCs w:val="20"/>
                <w:lang w:val="es-ES_tradnl"/>
              </w:rPr>
            </w:pPr>
            <w:r w:rsidRPr="00FA4B2D">
              <w:rPr>
                <w:rFonts w:eastAsia="Calibri" w:cs="Arial"/>
                <w:sz w:val="20"/>
                <w:szCs w:val="20"/>
                <w:lang w:val="es-ES_tradnl"/>
              </w:rPr>
              <w:t>Manual de Operaciones del Proyecto</w:t>
            </w:r>
          </w:p>
        </w:tc>
      </w:tr>
      <w:tr w:rsidR="006A3DBC" w:rsidRPr="00FA4B2D" w14:paraId="0332514C" w14:textId="77777777" w:rsidTr="006A3DBC">
        <w:trPr>
          <w:trHeight w:hRule="exact" w:val="263"/>
        </w:trPr>
        <w:tc>
          <w:tcPr>
            <w:tcW w:w="2155" w:type="dxa"/>
          </w:tcPr>
          <w:p w14:paraId="3A420D15" w14:textId="77777777" w:rsidR="006A3DBC" w:rsidRPr="00FA4B2D" w:rsidRDefault="006A3DBC" w:rsidP="005F4A92">
            <w:pPr>
              <w:widowControl w:val="0"/>
              <w:ind w:right="519"/>
              <w:rPr>
                <w:rFonts w:eastAsia="Calibri" w:cs="Arial"/>
                <w:sz w:val="20"/>
                <w:szCs w:val="20"/>
                <w:lang w:val="es-ES_tradnl"/>
              </w:rPr>
            </w:pPr>
            <w:r w:rsidRPr="00FA4B2D">
              <w:rPr>
                <w:rFonts w:eastAsia="Calibri" w:cs="Arial"/>
                <w:sz w:val="20"/>
                <w:szCs w:val="20"/>
                <w:lang w:val="es-ES_tradnl"/>
              </w:rPr>
              <w:t>MP</w:t>
            </w:r>
          </w:p>
        </w:tc>
        <w:tc>
          <w:tcPr>
            <w:tcW w:w="6771" w:type="dxa"/>
          </w:tcPr>
          <w:p w14:paraId="12FCB181" w14:textId="77777777" w:rsidR="006A3DBC" w:rsidRPr="00FA4B2D" w:rsidRDefault="006A3DBC" w:rsidP="005F4A92">
            <w:pPr>
              <w:widowControl w:val="0"/>
              <w:ind w:left="100" w:right="385"/>
              <w:rPr>
                <w:rFonts w:eastAsia="Calibri" w:cs="Arial"/>
                <w:sz w:val="20"/>
                <w:szCs w:val="20"/>
                <w:lang w:val="es-ES_tradnl"/>
              </w:rPr>
            </w:pPr>
            <w:r w:rsidRPr="00FA4B2D">
              <w:rPr>
                <w:rFonts w:eastAsia="Calibri" w:cs="Arial"/>
                <w:sz w:val="20"/>
                <w:szCs w:val="20"/>
                <w:lang w:val="es-ES_tradnl"/>
              </w:rPr>
              <w:t>Marco de Proceso</w:t>
            </w:r>
          </w:p>
        </w:tc>
      </w:tr>
      <w:tr w:rsidR="006A3DBC" w:rsidRPr="00FA4B2D" w14:paraId="71710A5A" w14:textId="77777777" w:rsidTr="006A3DBC">
        <w:trPr>
          <w:trHeight w:hRule="exact" w:val="263"/>
        </w:trPr>
        <w:tc>
          <w:tcPr>
            <w:tcW w:w="2155" w:type="dxa"/>
          </w:tcPr>
          <w:p w14:paraId="3C658343" w14:textId="77777777" w:rsidR="006A3DBC" w:rsidRPr="00FA4B2D" w:rsidRDefault="006A3DBC" w:rsidP="005F4A92">
            <w:pPr>
              <w:widowControl w:val="0"/>
              <w:ind w:right="519"/>
              <w:rPr>
                <w:rFonts w:eastAsia="Calibri" w:cs="Arial"/>
                <w:sz w:val="20"/>
                <w:szCs w:val="20"/>
              </w:rPr>
            </w:pPr>
            <w:r w:rsidRPr="00FA4B2D">
              <w:rPr>
                <w:rFonts w:eastAsia="Calibri" w:cs="Arial"/>
                <w:sz w:val="20"/>
                <w:szCs w:val="20"/>
              </w:rPr>
              <w:t>MPPI</w:t>
            </w:r>
          </w:p>
        </w:tc>
        <w:tc>
          <w:tcPr>
            <w:tcW w:w="6771" w:type="dxa"/>
          </w:tcPr>
          <w:p w14:paraId="1D697317" w14:textId="77777777" w:rsidR="006A3DBC" w:rsidRPr="00FA4B2D" w:rsidRDefault="006A3DBC" w:rsidP="005F4A92">
            <w:pPr>
              <w:widowControl w:val="0"/>
              <w:ind w:left="100" w:right="385"/>
              <w:rPr>
                <w:rFonts w:eastAsia="Times New Roman" w:cs="Arial"/>
                <w:sz w:val="20"/>
                <w:szCs w:val="20"/>
                <w:lang w:eastAsia="es-HN"/>
              </w:rPr>
            </w:pPr>
            <w:r w:rsidRPr="00FA4B2D">
              <w:rPr>
                <w:rFonts w:eastAsia="Times New Roman" w:cs="Arial"/>
                <w:sz w:val="20"/>
                <w:szCs w:val="20"/>
                <w:lang w:eastAsia="es-HN"/>
              </w:rPr>
              <w:t>Marco de Planificación para Pueblos Indígenas</w:t>
            </w:r>
          </w:p>
        </w:tc>
      </w:tr>
      <w:tr w:rsidR="006A3DBC" w:rsidRPr="00FA4B2D" w14:paraId="096AB3A7" w14:textId="77777777" w:rsidTr="006A3DBC">
        <w:trPr>
          <w:trHeight w:hRule="exact" w:val="263"/>
        </w:trPr>
        <w:tc>
          <w:tcPr>
            <w:tcW w:w="2155" w:type="dxa"/>
          </w:tcPr>
          <w:p w14:paraId="18A70619" w14:textId="77777777" w:rsidR="006A3DBC" w:rsidRPr="00FA4B2D" w:rsidRDefault="006A3DBC" w:rsidP="005F4A92">
            <w:pPr>
              <w:widowControl w:val="0"/>
              <w:ind w:right="519"/>
              <w:rPr>
                <w:rFonts w:eastAsia="Calibri" w:cs="Arial"/>
                <w:sz w:val="20"/>
                <w:szCs w:val="20"/>
                <w:lang w:val="es-ES_tradnl"/>
              </w:rPr>
            </w:pPr>
            <w:r w:rsidRPr="00FA4B2D">
              <w:rPr>
                <w:rFonts w:eastAsia="Calibri" w:cs="Arial"/>
                <w:sz w:val="20"/>
                <w:szCs w:val="20"/>
              </w:rPr>
              <w:t>MPR</w:t>
            </w:r>
          </w:p>
        </w:tc>
        <w:tc>
          <w:tcPr>
            <w:tcW w:w="6771" w:type="dxa"/>
          </w:tcPr>
          <w:p w14:paraId="5AA1BA08" w14:textId="77777777" w:rsidR="006A3DBC" w:rsidRPr="00FA4B2D" w:rsidRDefault="006A3DBC" w:rsidP="005F4A92">
            <w:pPr>
              <w:widowControl w:val="0"/>
              <w:ind w:left="100" w:right="385"/>
              <w:rPr>
                <w:rFonts w:eastAsia="Calibri" w:cs="Arial"/>
                <w:sz w:val="20"/>
                <w:szCs w:val="20"/>
                <w:lang w:val="es-ES_tradnl"/>
              </w:rPr>
            </w:pPr>
            <w:r w:rsidRPr="00FA4B2D">
              <w:rPr>
                <w:rFonts w:eastAsia="Times New Roman" w:cs="Arial"/>
                <w:sz w:val="20"/>
                <w:szCs w:val="20"/>
                <w:lang w:eastAsia="es-HN"/>
              </w:rPr>
              <w:t>Marco de Política de Reasentamiento</w:t>
            </w:r>
          </w:p>
        </w:tc>
      </w:tr>
      <w:tr w:rsidR="006A3DBC" w:rsidRPr="00FA4B2D" w14:paraId="34DFF5E7" w14:textId="77777777" w:rsidTr="006A3DBC">
        <w:trPr>
          <w:trHeight w:hRule="exact" w:val="263"/>
        </w:trPr>
        <w:tc>
          <w:tcPr>
            <w:tcW w:w="2155" w:type="dxa"/>
          </w:tcPr>
          <w:p w14:paraId="5D7AD2FA" w14:textId="77777777" w:rsidR="006A3DBC" w:rsidRPr="00FA4B2D" w:rsidRDefault="006A3DBC" w:rsidP="005F4A92">
            <w:pPr>
              <w:widowControl w:val="0"/>
              <w:ind w:right="519"/>
              <w:rPr>
                <w:rFonts w:eastAsia="Calibri" w:cs="Arial"/>
                <w:sz w:val="20"/>
                <w:szCs w:val="20"/>
              </w:rPr>
            </w:pPr>
            <w:r w:rsidRPr="00FA4B2D">
              <w:rPr>
                <w:rFonts w:eastAsia="Calibri" w:cs="Arial"/>
                <w:sz w:val="20"/>
                <w:szCs w:val="20"/>
              </w:rPr>
              <w:t>MRI</w:t>
            </w:r>
          </w:p>
        </w:tc>
        <w:tc>
          <w:tcPr>
            <w:tcW w:w="6771" w:type="dxa"/>
          </w:tcPr>
          <w:p w14:paraId="4BFC9B55" w14:textId="77777777" w:rsidR="006A3DBC" w:rsidRPr="00FA4B2D" w:rsidRDefault="006A3DBC" w:rsidP="005F4A92">
            <w:pPr>
              <w:widowControl w:val="0"/>
              <w:ind w:left="100" w:right="385"/>
              <w:rPr>
                <w:rFonts w:eastAsia="Times New Roman" w:cs="Arial"/>
                <w:sz w:val="20"/>
                <w:szCs w:val="20"/>
                <w:lang w:eastAsia="es-HN"/>
              </w:rPr>
            </w:pPr>
            <w:r w:rsidRPr="00FA4B2D">
              <w:rPr>
                <w:rFonts w:eastAsia="Times New Roman" w:cs="Arial"/>
                <w:sz w:val="20"/>
                <w:szCs w:val="20"/>
                <w:lang w:eastAsia="es-HN"/>
              </w:rPr>
              <w:t>Marco de Reasentamiento Involuntario</w:t>
            </w:r>
          </w:p>
        </w:tc>
      </w:tr>
      <w:tr w:rsidR="006A3DBC" w:rsidRPr="00FA4B2D" w14:paraId="091023FF" w14:textId="77777777" w:rsidTr="006A3DBC">
        <w:trPr>
          <w:trHeight w:hRule="exact" w:val="263"/>
        </w:trPr>
        <w:tc>
          <w:tcPr>
            <w:tcW w:w="2155" w:type="dxa"/>
          </w:tcPr>
          <w:p w14:paraId="0EE97996" w14:textId="77777777" w:rsidR="006A3DBC" w:rsidRPr="00FA4B2D" w:rsidRDefault="006A3DBC" w:rsidP="005F4A92">
            <w:pPr>
              <w:widowControl w:val="0"/>
              <w:ind w:right="519"/>
              <w:rPr>
                <w:rFonts w:eastAsia="Calibri" w:cs="Arial"/>
                <w:sz w:val="20"/>
                <w:szCs w:val="20"/>
              </w:rPr>
            </w:pPr>
            <w:r w:rsidRPr="00FA4B2D">
              <w:rPr>
                <w:rFonts w:eastAsia="Calibri" w:cs="Arial"/>
                <w:sz w:val="20"/>
                <w:szCs w:val="20"/>
              </w:rPr>
              <w:t>OEA</w:t>
            </w:r>
          </w:p>
        </w:tc>
        <w:tc>
          <w:tcPr>
            <w:tcW w:w="6771" w:type="dxa"/>
          </w:tcPr>
          <w:p w14:paraId="2DEA1ABA" w14:textId="77777777" w:rsidR="006A3DBC" w:rsidRPr="00FA4B2D" w:rsidRDefault="006A3DBC" w:rsidP="005F4A92">
            <w:pPr>
              <w:widowControl w:val="0"/>
              <w:ind w:left="100" w:right="385"/>
              <w:rPr>
                <w:rFonts w:eastAsia="Times New Roman" w:cs="Arial"/>
                <w:sz w:val="20"/>
                <w:szCs w:val="20"/>
                <w:lang w:eastAsia="es-HN"/>
              </w:rPr>
            </w:pPr>
            <w:r w:rsidRPr="00FA4B2D">
              <w:rPr>
                <w:rFonts w:eastAsia="Times New Roman" w:cs="Arial"/>
                <w:sz w:val="20"/>
                <w:szCs w:val="20"/>
                <w:lang w:eastAsia="es-HN"/>
              </w:rPr>
              <w:t>Organización de Estados Americanos</w:t>
            </w:r>
          </w:p>
        </w:tc>
      </w:tr>
      <w:tr w:rsidR="006A3DBC" w:rsidRPr="00FA4B2D" w14:paraId="12701895" w14:textId="77777777" w:rsidTr="006A3DBC">
        <w:trPr>
          <w:trHeight w:hRule="exact" w:val="263"/>
        </w:trPr>
        <w:tc>
          <w:tcPr>
            <w:tcW w:w="2155" w:type="dxa"/>
          </w:tcPr>
          <w:p w14:paraId="4B41999F" w14:textId="77777777" w:rsidR="006A3DBC" w:rsidRPr="00FA4B2D" w:rsidRDefault="006A3DBC" w:rsidP="005F4A92">
            <w:pPr>
              <w:widowControl w:val="0"/>
              <w:ind w:right="519"/>
              <w:rPr>
                <w:rFonts w:eastAsia="Calibri" w:cs="Arial"/>
                <w:sz w:val="20"/>
                <w:szCs w:val="20"/>
              </w:rPr>
            </w:pPr>
            <w:r w:rsidRPr="00FA4B2D">
              <w:rPr>
                <w:rFonts w:eastAsia="Calibri" w:cs="Arial"/>
                <w:sz w:val="20"/>
                <w:szCs w:val="20"/>
              </w:rPr>
              <w:t>OIM</w:t>
            </w:r>
          </w:p>
        </w:tc>
        <w:tc>
          <w:tcPr>
            <w:tcW w:w="6771" w:type="dxa"/>
          </w:tcPr>
          <w:p w14:paraId="2EAF3424" w14:textId="77777777" w:rsidR="006A3DBC" w:rsidRPr="00FA4B2D" w:rsidRDefault="006A3DBC" w:rsidP="005F4A92">
            <w:pPr>
              <w:widowControl w:val="0"/>
              <w:ind w:left="100" w:right="385"/>
              <w:rPr>
                <w:rFonts w:eastAsia="Times New Roman" w:cs="Arial"/>
                <w:sz w:val="20"/>
                <w:szCs w:val="20"/>
                <w:lang w:eastAsia="es-HN"/>
              </w:rPr>
            </w:pPr>
            <w:r w:rsidRPr="00FA4B2D">
              <w:rPr>
                <w:rFonts w:eastAsia="Times New Roman" w:cs="Arial"/>
                <w:sz w:val="20"/>
                <w:szCs w:val="20"/>
                <w:lang w:eastAsia="es-HN"/>
              </w:rPr>
              <w:t>Organismo Internacional de Migración</w:t>
            </w:r>
          </w:p>
        </w:tc>
      </w:tr>
      <w:tr w:rsidR="006A3DBC" w:rsidRPr="00FA4B2D" w14:paraId="52334648" w14:textId="77777777" w:rsidTr="006A3DBC">
        <w:trPr>
          <w:trHeight w:hRule="exact" w:val="263"/>
        </w:trPr>
        <w:tc>
          <w:tcPr>
            <w:tcW w:w="2155" w:type="dxa"/>
          </w:tcPr>
          <w:p w14:paraId="716BB4E3" w14:textId="77777777" w:rsidR="006A3DBC" w:rsidRPr="00FA4B2D" w:rsidRDefault="006A3DBC" w:rsidP="005F4A92">
            <w:pPr>
              <w:widowControl w:val="0"/>
              <w:ind w:right="519"/>
              <w:rPr>
                <w:rFonts w:eastAsia="Calibri" w:cs="Arial"/>
                <w:sz w:val="20"/>
                <w:szCs w:val="20"/>
              </w:rPr>
            </w:pPr>
            <w:r w:rsidRPr="00FA4B2D">
              <w:rPr>
                <w:rFonts w:eastAsia="Calibri" w:cs="Arial"/>
                <w:sz w:val="20"/>
                <w:szCs w:val="20"/>
                <w:lang w:val="es-ES_tradnl"/>
              </w:rPr>
              <w:t>OIT</w:t>
            </w:r>
          </w:p>
        </w:tc>
        <w:tc>
          <w:tcPr>
            <w:tcW w:w="6771" w:type="dxa"/>
          </w:tcPr>
          <w:p w14:paraId="4C076179" w14:textId="77777777" w:rsidR="006A3DBC" w:rsidRPr="00FA4B2D" w:rsidRDefault="006A3DBC" w:rsidP="005F4A92">
            <w:pPr>
              <w:widowControl w:val="0"/>
              <w:ind w:left="100" w:right="385"/>
              <w:rPr>
                <w:rFonts w:eastAsia="Times New Roman" w:cs="Arial"/>
                <w:sz w:val="20"/>
                <w:szCs w:val="20"/>
                <w:lang w:eastAsia="es-HN"/>
              </w:rPr>
            </w:pPr>
            <w:r w:rsidRPr="00FA4B2D">
              <w:rPr>
                <w:rFonts w:eastAsia="Calibri" w:cs="Arial"/>
                <w:sz w:val="20"/>
                <w:szCs w:val="20"/>
                <w:lang w:val="es-ES_tradnl"/>
              </w:rPr>
              <w:t>Organización Internacional del Trabajo</w:t>
            </w:r>
          </w:p>
        </w:tc>
      </w:tr>
      <w:tr w:rsidR="006A3DBC" w:rsidRPr="00FA4B2D" w14:paraId="27591C16" w14:textId="77777777" w:rsidTr="006A3DBC">
        <w:trPr>
          <w:trHeight w:hRule="exact" w:val="263"/>
        </w:trPr>
        <w:tc>
          <w:tcPr>
            <w:tcW w:w="2155" w:type="dxa"/>
          </w:tcPr>
          <w:p w14:paraId="141C2481" w14:textId="77777777" w:rsidR="006A3DBC" w:rsidRPr="00FA4B2D" w:rsidRDefault="006A3DBC" w:rsidP="005F4A92">
            <w:pPr>
              <w:widowControl w:val="0"/>
              <w:ind w:right="519"/>
              <w:rPr>
                <w:rFonts w:eastAsia="Calibri" w:cs="Arial"/>
                <w:sz w:val="20"/>
                <w:szCs w:val="20"/>
              </w:rPr>
            </w:pPr>
            <w:r w:rsidRPr="00FA4B2D">
              <w:rPr>
                <w:rFonts w:eastAsia="Calibri" w:cs="Arial"/>
                <w:sz w:val="20"/>
                <w:szCs w:val="20"/>
                <w:lang w:val="es-ES_tradnl"/>
              </w:rPr>
              <w:t>OIRSA</w:t>
            </w:r>
          </w:p>
        </w:tc>
        <w:tc>
          <w:tcPr>
            <w:tcW w:w="6771" w:type="dxa"/>
          </w:tcPr>
          <w:p w14:paraId="16B1355E" w14:textId="77777777" w:rsidR="006A3DBC" w:rsidRPr="00FA4B2D" w:rsidRDefault="006A3DBC" w:rsidP="005F4A92">
            <w:pPr>
              <w:widowControl w:val="0"/>
              <w:ind w:left="100" w:right="385"/>
              <w:rPr>
                <w:rFonts w:eastAsia="Times New Roman" w:cs="Arial"/>
                <w:sz w:val="20"/>
                <w:szCs w:val="20"/>
                <w:lang w:eastAsia="es-HN"/>
              </w:rPr>
            </w:pPr>
            <w:r w:rsidRPr="00FA4B2D">
              <w:rPr>
                <w:rFonts w:eastAsia="Calibri" w:cs="Arial"/>
                <w:iCs/>
                <w:sz w:val="20"/>
                <w:szCs w:val="20"/>
              </w:rPr>
              <w:t>Organismo Internacional Regional de Sanidad Agropecuaria</w:t>
            </w:r>
          </w:p>
        </w:tc>
      </w:tr>
      <w:tr w:rsidR="006A3DBC" w:rsidRPr="00FA4B2D" w14:paraId="6D8C6FF8" w14:textId="77777777" w:rsidTr="006A3DBC">
        <w:trPr>
          <w:trHeight w:hRule="exact" w:val="263"/>
        </w:trPr>
        <w:tc>
          <w:tcPr>
            <w:tcW w:w="2155" w:type="dxa"/>
          </w:tcPr>
          <w:p w14:paraId="20972FAB" w14:textId="77777777" w:rsidR="006A3DBC" w:rsidRPr="00FA4B2D" w:rsidRDefault="006A3DBC" w:rsidP="005F4A92">
            <w:pPr>
              <w:widowControl w:val="0"/>
              <w:ind w:right="519"/>
              <w:rPr>
                <w:rFonts w:eastAsia="Times New Roman" w:cs="Arial"/>
                <w:sz w:val="20"/>
                <w:szCs w:val="20"/>
                <w:lang w:val="es-ES_tradnl"/>
              </w:rPr>
            </w:pPr>
            <w:r w:rsidRPr="00FA4B2D">
              <w:rPr>
                <w:rFonts w:eastAsia="Calibri" w:cs="Arial"/>
                <w:sz w:val="20"/>
                <w:szCs w:val="20"/>
                <w:lang w:val="es-ES_tradnl"/>
              </w:rPr>
              <w:t>ONU</w:t>
            </w:r>
          </w:p>
        </w:tc>
        <w:tc>
          <w:tcPr>
            <w:tcW w:w="6771" w:type="dxa"/>
          </w:tcPr>
          <w:p w14:paraId="630C6506" w14:textId="77777777" w:rsidR="006A3DBC" w:rsidRPr="00FA4B2D" w:rsidRDefault="006A3DBC" w:rsidP="005F4A92">
            <w:pPr>
              <w:widowControl w:val="0"/>
              <w:ind w:left="100" w:right="385"/>
              <w:rPr>
                <w:rFonts w:eastAsia="Times New Roman" w:cs="Arial"/>
                <w:sz w:val="20"/>
                <w:szCs w:val="20"/>
                <w:lang w:val="es-ES_tradnl"/>
              </w:rPr>
            </w:pPr>
            <w:r w:rsidRPr="00FA4B2D">
              <w:rPr>
                <w:rFonts w:eastAsia="Calibri" w:cs="Arial"/>
                <w:sz w:val="20"/>
                <w:szCs w:val="20"/>
                <w:lang w:val="es-ES_tradnl"/>
              </w:rPr>
              <w:t>Organización Naciones</w:t>
            </w:r>
            <w:r w:rsidRPr="00FA4B2D">
              <w:rPr>
                <w:rFonts w:eastAsia="Calibri" w:cs="Arial"/>
                <w:spacing w:val="-10"/>
                <w:sz w:val="20"/>
                <w:szCs w:val="20"/>
                <w:lang w:val="es-ES_tradnl"/>
              </w:rPr>
              <w:t xml:space="preserve"> </w:t>
            </w:r>
            <w:r w:rsidRPr="00FA4B2D">
              <w:rPr>
                <w:rFonts w:eastAsia="Calibri" w:cs="Arial"/>
                <w:sz w:val="20"/>
                <w:szCs w:val="20"/>
                <w:lang w:val="es-ES_tradnl"/>
              </w:rPr>
              <w:t>Unidas</w:t>
            </w:r>
          </w:p>
        </w:tc>
      </w:tr>
      <w:tr w:rsidR="006A3DBC" w:rsidRPr="00FA4B2D" w14:paraId="6729F5DB" w14:textId="77777777" w:rsidTr="006A3DBC">
        <w:trPr>
          <w:trHeight w:hRule="exact" w:val="263"/>
        </w:trPr>
        <w:tc>
          <w:tcPr>
            <w:tcW w:w="2155" w:type="dxa"/>
          </w:tcPr>
          <w:p w14:paraId="3FB0604D" w14:textId="77777777" w:rsidR="006A3DBC" w:rsidRPr="00FA4B2D" w:rsidRDefault="006A3DBC" w:rsidP="005F4A92">
            <w:pPr>
              <w:widowControl w:val="0"/>
              <w:ind w:right="519"/>
              <w:rPr>
                <w:rFonts w:eastAsia="Times New Roman" w:cs="Arial"/>
                <w:sz w:val="20"/>
                <w:szCs w:val="20"/>
                <w:lang w:val="es-ES_tradnl"/>
              </w:rPr>
            </w:pPr>
            <w:r w:rsidRPr="00FA4B2D">
              <w:rPr>
                <w:rFonts w:eastAsia="Calibri" w:cs="Arial"/>
                <w:sz w:val="20"/>
                <w:szCs w:val="20"/>
                <w:lang w:val="es-ES_tradnl"/>
              </w:rPr>
              <w:t>ONG</w:t>
            </w:r>
          </w:p>
        </w:tc>
        <w:tc>
          <w:tcPr>
            <w:tcW w:w="6771" w:type="dxa"/>
          </w:tcPr>
          <w:p w14:paraId="6C6B3054" w14:textId="77777777" w:rsidR="006A3DBC" w:rsidRPr="00FA4B2D" w:rsidRDefault="006A3DBC" w:rsidP="005F4A92">
            <w:pPr>
              <w:widowControl w:val="0"/>
              <w:ind w:left="100" w:right="385"/>
              <w:rPr>
                <w:rFonts w:eastAsia="Times New Roman" w:cs="Arial"/>
                <w:sz w:val="20"/>
                <w:szCs w:val="20"/>
                <w:lang w:val="es-ES_tradnl"/>
              </w:rPr>
            </w:pPr>
            <w:r w:rsidRPr="00FA4B2D">
              <w:rPr>
                <w:rFonts w:eastAsia="Calibri" w:cs="Arial"/>
                <w:sz w:val="20"/>
                <w:szCs w:val="20"/>
                <w:lang w:val="es-ES_tradnl"/>
              </w:rPr>
              <w:t>Organización No</w:t>
            </w:r>
            <w:r w:rsidRPr="00FA4B2D">
              <w:rPr>
                <w:rFonts w:eastAsia="Calibri" w:cs="Arial"/>
                <w:spacing w:val="-7"/>
                <w:sz w:val="20"/>
                <w:szCs w:val="20"/>
                <w:lang w:val="es-ES_tradnl"/>
              </w:rPr>
              <w:t xml:space="preserve"> </w:t>
            </w:r>
            <w:r w:rsidRPr="00FA4B2D">
              <w:rPr>
                <w:rFonts w:eastAsia="Calibri" w:cs="Arial"/>
                <w:sz w:val="20"/>
                <w:szCs w:val="20"/>
                <w:lang w:val="es-ES_tradnl"/>
              </w:rPr>
              <w:t>Gubernamental</w:t>
            </w:r>
          </w:p>
        </w:tc>
      </w:tr>
      <w:tr w:rsidR="006A3DBC" w:rsidRPr="00FA4B2D" w14:paraId="4F61735A" w14:textId="77777777" w:rsidTr="006A3DBC">
        <w:trPr>
          <w:trHeight w:hRule="exact" w:val="263"/>
        </w:trPr>
        <w:tc>
          <w:tcPr>
            <w:tcW w:w="2155" w:type="dxa"/>
          </w:tcPr>
          <w:p w14:paraId="4FC9CFC3" w14:textId="77777777" w:rsidR="006A3DBC" w:rsidRPr="00FA4B2D" w:rsidRDefault="006A3DBC" w:rsidP="005F4A92">
            <w:pPr>
              <w:widowControl w:val="0"/>
              <w:ind w:right="519"/>
              <w:rPr>
                <w:rFonts w:eastAsia="Calibri" w:cs="Arial"/>
                <w:sz w:val="20"/>
                <w:szCs w:val="20"/>
                <w:lang w:val="es-ES_tradnl"/>
              </w:rPr>
            </w:pPr>
            <w:r w:rsidRPr="00FA4B2D">
              <w:rPr>
                <w:rFonts w:eastAsia="Calibri" w:cs="Arial"/>
                <w:sz w:val="20"/>
                <w:szCs w:val="20"/>
                <w:lang w:val="es-ES_tradnl"/>
              </w:rPr>
              <w:t>ONV</w:t>
            </w:r>
          </w:p>
        </w:tc>
        <w:tc>
          <w:tcPr>
            <w:tcW w:w="6771" w:type="dxa"/>
          </w:tcPr>
          <w:p w14:paraId="0C3459B0" w14:textId="77777777" w:rsidR="006A3DBC" w:rsidRPr="00FA4B2D" w:rsidRDefault="006A3DBC" w:rsidP="005F4A92">
            <w:pPr>
              <w:widowControl w:val="0"/>
              <w:ind w:left="100" w:right="385"/>
              <w:rPr>
                <w:rFonts w:eastAsia="Calibri" w:cs="Arial"/>
                <w:sz w:val="20"/>
                <w:szCs w:val="20"/>
                <w:lang w:val="es-ES_tradnl"/>
              </w:rPr>
            </w:pPr>
            <w:r w:rsidRPr="00FA4B2D">
              <w:rPr>
                <w:rFonts w:eastAsia="Calibri" w:cs="Arial"/>
                <w:sz w:val="20"/>
                <w:szCs w:val="20"/>
                <w:lang w:val="es-ES_tradnl"/>
              </w:rPr>
              <w:t>Organización Nacional de la Violencia</w:t>
            </w:r>
          </w:p>
        </w:tc>
      </w:tr>
      <w:tr w:rsidR="006A3DBC" w:rsidRPr="00FA4B2D" w14:paraId="658AD346" w14:textId="77777777" w:rsidTr="006A3DBC">
        <w:trPr>
          <w:trHeight w:hRule="exact" w:val="263"/>
        </w:trPr>
        <w:tc>
          <w:tcPr>
            <w:tcW w:w="2155" w:type="dxa"/>
          </w:tcPr>
          <w:p w14:paraId="6893294C" w14:textId="77777777" w:rsidR="006A3DBC" w:rsidRPr="00FA4B2D" w:rsidRDefault="006A3DBC" w:rsidP="005F4A92">
            <w:pPr>
              <w:widowControl w:val="0"/>
              <w:ind w:right="519"/>
              <w:rPr>
                <w:rFonts w:eastAsia="Calibri" w:cs="Arial"/>
                <w:sz w:val="20"/>
                <w:szCs w:val="20"/>
                <w:lang w:val="es-ES_tradnl"/>
              </w:rPr>
            </w:pPr>
            <w:r w:rsidRPr="00FA4B2D">
              <w:rPr>
                <w:rFonts w:eastAsia="Calibri" w:cs="Arial"/>
                <w:sz w:val="20"/>
                <w:szCs w:val="20"/>
                <w:lang w:val="es-ES_tradnl"/>
              </w:rPr>
              <w:t>OPR</w:t>
            </w:r>
          </w:p>
        </w:tc>
        <w:tc>
          <w:tcPr>
            <w:tcW w:w="6771" w:type="dxa"/>
          </w:tcPr>
          <w:p w14:paraId="70A42E22" w14:textId="77777777" w:rsidR="006A3DBC" w:rsidRPr="00FA4B2D" w:rsidRDefault="006A3DBC" w:rsidP="005F4A92">
            <w:pPr>
              <w:widowControl w:val="0"/>
              <w:ind w:left="100" w:right="385"/>
              <w:rPr>
                <w:rFonts w:eastAsia="Calibri" w:cs="Arial"/>
                <w:sz w:val="20"/>
                <w:szCs w:val="20"/>
                <w:lang w:val="es-ES_tradnl"/>
              </w:rPr>
            </w:pPr>
            <w:r w:rsidRPr="00FA4B2D">
              <w:rPr>
                <w:rFonts w:eastAsia="Calibri" w:cs="Arial"/>
                <w:sz w:val="20"/>
                <w:szCs w:val="20"/>
                <w:lang w:val="es-ES_tradnl"/>
              </w:rPr>
              <w:t>Organización de Productores Rurales</w:t>
            </w:r>
          </w:p>
        </w:tc>
      </w:tr>
      <w:tr w:rsidR="006A3DBC" w:rsidRPr="00FA4B2D" w14:paraId="56A0C4EE" w14:textId="77777777" w:rsidTr="006A3DBC">
        <w:trPr>
          <w:trHeight w:hRule="exact" w:val="263"/>
        </w:trPr>
        <w:tc>
          <w:tcPr>
            <w:tcW w:w="2155" w:type="dxa"/>
          </w:tcPr>
          <w:p w14:paraId="19D80743" w14:textId="77777777" w:rsidR="006A3DBC" w:rsidRPr="00FA4B2D" w:rsidRDefault="006A3DBC" w:rsidP="005F4A92">
            <w:pPr>
              <w:widowControl w:val="0"/>
              <w:ind w:right="519"/>
              <w:rPr>
                <w:rFonts w:eastAsia="Calibri" w:cs="Arial"/>
                <w:sz w:val="20"/>
                <w:szCs w:val="20"/>
                <w:lang w:val="es-ES"/>
              </w:rPr>
            </w:pPr>
            <w:r w:rsidRPr="00FA4B2D">
              <w:rPr>
                <w:rFonts w:eastAsia="Calibri" w:cs="Arial"/>
                <w:sz w:val="20"/>
                <w:szCs w:val="20"/>
                <w:lang w:val="es-ES"/>
              </w:rPr>
              <w:t>OPRs</w:t>
            </w:r>
          </w:p>
        </w:tc>
        <w:tc>
          <w:tcPr>
            <w:tcW w:w="6771" w:type="dxa"/>
          </w:tcPr>
          <w:p w14:paraId="0F9B5F39" w14:textId="77777777" w:rsidR="006A3DBC" w:rsidRPr="00FA4B2D" w:rsidRDefault="006A3DBC" w:rsidP="005F4A92">
            <w:pPr>
              <w:widowControl w:val="0"/>
              <w:ind w:left="100" w:right="385"/>
              <w:rPr>
                <w:rFonts w:eastAsia="Calibri" w:cs="Arial"/>
                <w:sz w:val="20"/>
                <w:szCs w:val="20"/>
                <w:lang w:val="es-ES_tradnl"/>
              </w:rPr>
            </w:pPr>
            <w:r w:rsidRPr="00FA4B2D">
              <w:rPr>
                <w:rFonts w:eastAsia="Calibri" w:cs="Arial"/>
                <w:sz w:val="20"/>
                <w:szCs w:val="20"/>
                <w:lang w:val="es-ES_tradnl"/>
              </w:rPr>
              <w:t>Organizaciones de Productores Rurales</w:t>
            </w:r>
          </w:p>
        </w:tc>
      </w:tr>
      <w:tr w:rsidR="006A3DBC" w:rsidRPr="00FA4B2D" w14:paraId="30E263BC" w14:textId="77777777" w:rsidTr="006A3DBC">
        <w:trPr>
          <w:trHeight w:hRule="exact" w:val="263"/>
        </w:trPr>
        <w:tc>
          <w:tcPr>
            <w:tcW w:w="2155" w:type="dxa"/>
          </w:tcPr>
          <w:p w14:paraId="70AFB347" w14:textId="77777777" w:rsidR="006A3DBC" w:rsidRPr="00FA4B2D" w:rsidRDefault="006A3DBC" w:rsidP="005F4A92">
            <w:pPr>
              <w:widowControl w:val="0"/>
              <w:ind w:right="519"/>
              <w:rPr>
                <w:rFonts w:eastAsia="Calibri" w:cs="Arial"/>
                <w:sz w:val="20"/>
                <w:szCs w:val="20"/>
                <w:lang w:val="es-ES_tradnl"/>
              </w:rPr>
            </w:pPr>
            <w:r w:rsidRPr="00FA4B2D">
              <w:rPr>
                <w:rFonts w:eastAsia="Calibri" w:cs="Arial"/>
                <w:sz w:val="20"/>
                <w:szCs w:val="20"/>
                <w:lang w:val="es-ES_tradnl"/>
              </w:rPr>
              <w:t>OPD</w:t>
            </w:r>
          </w:p>
        </w:tc>
        <w:tc>
          <w:tcPr>
            <w:tcW w:w="6771" w:type="dxa"/>
          </w:tcPr>
          <w:p w14:paraId="1F7D9C50" w14:textId="77777777" w:rsidR="006A3DBC" w:rsidRPr="00FA4B2D" w:rsidRDefault="006A3DBC" w:rsidP="005F4A92">
            <w:pPr>
              <w:widowControl w:val="0"/>
              <w:ind w:left="100" w:right="385"/>
              <w:rPr>
                <w:rFonts w:eastAsia="Calibri" w:cs="Arial"/>
                <w:sz w:val="20"/>
                <w:szCs w:val="20"/>
                <w:lang w:val="es-ES_tradnl"/>
              </w:rPr>
            </w:pPr>
            <w:r w:rsidRPr="00FA4B2D">
              <w:rPr>
                <w:rFonts w:eastAsia="Calibri" w:cs="Arial"/>
                <w:sz w:val="20"/>
                <w:szCs w:val="20"/>
                <w:lang w:val="es-ES_tradnl"/>
              </w:rPr>
              <w:t>Organización Privada de Desarrollo</w:t>
            </w:r>
          </w:p>
        </w:tc>
      </w:tr>
      <w:tr w:rsidR="006A3DBC" w:rsidRPr="00FA4B2D" w14:paraId="1D40EDD7" w14:textId="77777777" w:rsidTr="006A3DBC">
        <w:trPr>
          <w:trHeight w:hRule="exact" w:val="263"/>
        </w:trPr>
        <w:tc>
          <w:tcPr>
            <w:tcW w:w="2155" w:type="dxa"/>
          </w:tcPr>
          <w:p w14:paraId="7818DF63" w14:textId="77777777" w:rsidR="006A3DBC" w:rsidRPr="00FA4B2D" w:rsidRDefault="006A3DBC" w:rsidP="005F4A92">
            <w:pPr>
              <w:widowControl w:val="0"/>
              <w:ind w:right="519"/>
              <w:rPr>
                <w:rFonts w:eastAsia="Calibri" w:cs="Arial"/>
                <w:sz w:val="20"/>
                <w:szCs w:val="20"/>
                <w:lang w:val="es-ES_tradnl"/>
              </w:rPr>
            </w:pPr>
            <w:r w:rsidRPr="00FA4B2D">
              <w:rPr>
                <w:rFonts w:eastAsia="Calibri" w:cs="Arial"/>
                <w:sz w:val="20"/>
                <w:szCs w:val="20"/>
                <w:lang w:val="es-ES_tradnl"/>
              </w:rPr>
              <w:t>OPDF</w:t>
            </w:r>
          </w:p>
        </w:tc>
        <w:tc>
          <w:tcPr>
            <w:tcW w:w="6771" w:type="dxa"/>
          </w:tcPr>
          <w:p w14:paraId="6D3ECCBA" w14:textId="77777777" w:rsidR="006A3DBC" w:rsidRPr="00FA4B2D" w:rsidRDefault="006A3DBC" w:rsidP="005F4A92">
            <w:pPr>
              <w:widowControl w:val="0"/>
              <w:ind w:left="100" w:right="385"/>
              <w:rPr>
                <w:rFonts w:eastAsia="Calibri" w:cs="Arial"/>
                <w:sz w:val="20"/>
                <w:szCs w:val="20"/>
                <w:lang w:val="es-ES_tradnl"/>
              </w:rPr>
            </w:pPr>
            <w:r w:rsidRPr="00FA4B2D">
              <w:rPr>
                <w:rFonts w:eastAsia="Calibri" w:cs="Arial"/>
                <w:sz w:val="20"/>
                <w:szCs w:val="20"/>
                <w:lang w:val="es-ES_tradnl"/>
              </w:rPr>
              <w:t>Organización Privada de Desarrollo Financiero</w:t>
            </w:r>
          </w:p>
        </w:tc>
      </w:tr>
      <w:tr w:rsidR="00B07AF6" w:rsidRPr="00FA4B2D" w14:paraId="17183BEB" w14:textId="77777777" w:rsidTr="006A3DBC">
        <w:trPr>
          <w:trHeight w:hRule="exact" w:val="263"/>
        </w:trPr>
        <w:tc>
          <w:tcPr>
            <w:tcW w:w="2155" w:type="dxa"/>
          </w:tcPr>
          <w:p w14:paraId="3624E18C" w14:textId="346D039B" w:rsidR="00B07AF6" w:rsidRPr="00FA4B2D" w:rsidRDefault="00B07AF6" w:rsidP="005F4A92">
            <w:pPr>
              <w:widowControl w:val="0"/>
              <w:ind w:right="519"/>
              <w:rPr>
                <w:rFonts w:eastAsia="Calibri" w:cs="Arial"/>
                <w:sz w:val="20"/>
                <w:szCs w:val="20"/>
                <w:lang w:val="es-ES_tradnl"/>
              </w:rPr>
            </w:pPr>
            <w:r w:rsidRPr="00FA4B2D">
              <w:rPr>
                <w:rFonts w:eastAsia="Calibri" w:cs="Arial"/>
                <w:sz w:val="20"/>
                <w:szCs w:val="20"/>
                <w:lang w:val="es-ES_tradnl"/>
              </w:rPr>
              <w:t>PAE</w:t>
            </w:r>
          </w:p>
        </w:tc>
        <w:tc>
          <w:tcPr>
            <w:tcW w:w="6771" w:type="dxa"/>
          </w:tcPr>
          <w:p w14:paraId="3FED8BC8" w14:textId="1E3C3B09" w:rsidR="00B07AF6" w:rsidRPr="00FA4B2D" w:rsidRDefault="00B07AF6" w:rsidP="005F4A92">
            <w:pPr>
              <w:widowControl w:val="0"/>
              <w:ind w:left="100" w:right="385"/>
              <w:rPr>
                <w:rFonts w:eastAsia="Calibri" w:cs="Arial"/>
                <w:sz w:val="20"/>
                <w:szCs w:val="20"/>
                <w:lang w:val="es-ES_tradnl"/>
              </w:rPr>
            </w:pPr>
            <w:r w:rsidRPr="00FA4B2D">
              <w:rPr>
                <w:rFonts w:eastAsia="Calibri" w:cs="Arial"/>
                <w:sz w:val="20"/>
                <w:szCs w:val="20"/>
                <w:lang w:val="es-ES_tradnl"/>
              </w:rPr>
              <w:t>Plan de Atención de Emergencias</w:t>
            </w:r>
          </w:p>
        </w:tc>
      </w:tr>
      <w:tr w:rsidR="003C6C8B" w:rsidRPr="00FA4B2D" w14:paraId="019E7808" w14:textId="77777777" w:rsidTr="006A3DBC">
        <w:trPr>
          <w:trHeight w:hRule="exact" w:val="263"/>
        </w:trPr>
        <w:tc>
          <w:tcPr>
            <w:tcW w:w="2155" w:type="dxa"/>
          </w:tcPr>
          <w:p w14:paraId="123B9684" w14:textId="66D4DF62" w:rsidR="003C6C8B" w:rsidRPr="00FA4B2D" w:rsidRDefault="003C6C8B" w:rsidP="005F4A92">
            <w:pPr>
              <w:widowControl w:val="0"/>
              <w:ind w:right="519"/>
              <w:rPr>
                <w:rFonts w:eastAsia="Times New Roman" w:cs="Arial"/>
                <w:sz w:val="20"/>
                <w:szCs w:val="20"/>
              </w:rPr>
            </w:pPr>
            <w:r w:rsidRPr="00FA4B2D">
              <w:rPr>
                <w:rFonts w:eastAsia="Times New Roman" w:cs="Arial"/>
                <w:sz w:val="20"/>
                <w:szCs w:val="20"/>
              </w:rPr>
              <w:t>PCAS</w:t>
            </w:r>
          </w:p>
        </w:tc>
        <w:tc>
          <w:tcPr>
            <w:tcW w:w="6771" w:type="dxa"/>
          </w:tcPr>
          <w:p w14:paraId="1309FF93" w14:textId="12B8B989" w:rsidR="003C6C8B" w:rsidRPr="00FA4B2D" w:rsidRDefault="003C6C8B" w:rsidP="005F4A92">
            <w:pPr>
              <w:widowControl w:val="0"/>
              <w:ind w:left="100" w:right="385"/>
              <w:rPr>
                <w:rFonts w:eastAsia="Calibri" w:cs="Arial"/>
                <w:sz w:val="20"/>
                <w:szCs w:val="20"/>
                <w:lang w:val="es-ES_tradnl"/>
              </w:rPr>
            </w:pPr>
            <w:r w:rsidRPr="00FA4B2D">
              <w:rPr>
                <w:rFonts w:eastAsia="Calibri" w:cs="Arial"/>
                <w:sz w:val="20"/>
                <w:szCs w:val="20"/>
                <w:lang w:val="es-ES_tradnl"/>
              </w:rPr>
              <w:t>Plan de Compromiso Ambiental y Social</w:t>
            </w:r>
          </w:p>
        </w:tc>
      </w:tr>
      <w:tr w:rsidR="006A3DBC" w:rsidRPr="00FA4B2D" w14:paraId="022AFAA6" w14:textId="77777777" w:rsidTr="006A3DBC">
        <w:trPr>
          <w:trHeight w:hRule="exact" w:val="263"/>
        </w:trPr>
        <w:tc>
          <w:tcPr>
            <w:tcW w:w="2155" w:type="dxa"/>
          </w:tcPr>
          <w:p w14:paraId="5EF104BB" w14:textId="77777777" w:rsidR="006A3DBC" w:rsidRPr="00FA4B2D" w:rsidRDefault="006A3DBC" w:rsidP="005F4A92">
            <w:pPr>
              <w:widowControl w:val="0"/>
              <w:ind w:right="519"/>
              <w:rPr>
                <w:rFonts w:eastAsia="Calibri" w:cs="Arial"/>
                <w:sz w:val="20"/>
                <w:szCs w:val="20"/>
                <w:lang w:val="es-ES_tradnl"/>
              </w:rPr>
            </w:pPr>
            <w:r w:rsidRPr="00FA4B2D">
              <w:rPr>
                <w:rFonts w:eastAsia="Times New Roman" w:cs="Arial"/>
                <w:sz w:val="20"/>
                <w:szCs w:val="20"/>
              </w:rPr>
              <w:t>PdN</w:t>
            </w:r>
          </w:p>
        </w:tc>
        <w:tc>
          <w:tcPr>
            <w:tcW w:w="6771" w:type="dxa"/>
          </w:tcPr>
          <w:p w14:paraId="5F4F598A" w14:textId="77777777" w:rsidR="006A3DBC" w:rsidRPr="00FA4B2D" w:rsidRDefault="006A3DBC" w:rsidP="005F4A92">
            <w:pPr>
              <w:widowControl w:val="0"/>
              <w:ind w:left="100" w:right="385"/>
              <w:rPr>
                <w:rFonts w:eastAsia="Calibri" w:cs="Arial"/>
                <w:sz w:val="20"/>
                <w:szCs w:val="20"/>
                <w:lang w:val="es-ES_tradnl"/>
              </w:rPr>
            </w:pPr>
            <w:r w:rsidRPr="00FA4B2D">
              <w:rPr>
                <w:rFonts w:eastAsia="Calibri" w:cs="Arial"/>
                <w:sz w:val="20"/>
                <w:szCs w:val="20"/>
                <w:lang w:val="es-ES_tradnl"/>
              </w:rPr>
              <w:t>Plan de Negocios</w:t>
            </w:r>
          </w:p>
        </w:tc>
      </w:tr>
      <w:tr w:rsidR="006A3DBC" w:rsidRPr="00FA4B2D" w14:paraId="44ED3BC3" w14:textId="77777777" w:rsidTr="006A3DBC">
        <w:trPr>
          <w:trHeight w:hRule="exact" w:val="263"/>
        </w:trPr>
        <w:tc>
          <w:tcPr>
            <w:tcW w:w="2155" w:type="dxa"/>
          </w:tcPr>
          <w:p w14:paraId="45DE5AEA" w14:textId="77777777" w:rsidR="006A3DBC" w:rsidRPr="00FA4B2D" w:rsidRDefault="006A3DBC" w:rsidP="005F4A92">
            <w:pPr>
              <w:widowControl w:val="0"/>
              <w:ind w:right="519"/>
              <w:rPr>
                <w:rFonts w:eastAsia="Calibri" w:cs="Arial"/>
                <w:sz w:val="20"/>
                <w:szCs w:val="20"/>
                <w:lang w:val="es-ES_tradnl"/>
              </w:rPr>
            </w:pPr>
            <w:r w:rsidRPr="00FA4B2D">
              <w:rPr>
                <w:rFonts w:eastAsia="Times New Roman" w:cs="Arial"/>
                <w:sz w:val="20"/>
                <w:szCs w:val="20"/>
              </w:rPr>
              <w:t>PdNs</w:t>
            </w:r>
          </w:p>
        </w:tc>
        <w:tc>
          <w:tcPr>
            <w:tcW w:w="6771" w:type="dxa"/>
          </w:tcPr>
          <w:p w14:paraId="7E52AE14" w14:textId="77777777" w:rsidR="006A3DBC" w:rsidRPr="00FA4B2D" w:rsidRDefault="006A3DBC" w:rsidP="005F4A92">
            <w:pPr>
              <w:widowControl w:val="0"/>
              <w:ind w:left="100" w:right="385"/>
              <w:rPr>
                <w:rFonts w:eastAsia="Calibri" w:cs="Arial"/>
                <w:sz w:val="20"/>
                <w:szCs w:val="20"/>
                <w:lang w:val="es-ES_tradnl"/>
              </w:rPr>
            </w:pPr>
            <w:r w:rsidRPr="00FA4B2D">
              <w:rPr>
                <w:rFonts w:eastAsia="Calibri" w:cs="Arial"/>
                <w:sz w:val="20"/>
                <w:szCs w:val="20"/>
                <w:lang w:val="es-ES_tradnl"/>
              </w:rPr>
              <w:t>Planes de Negocios</w:t>
            </w:r>
          </w:p>
        </w:tc>
      </w:tr>
      <w:tr w:rsidR="006A3DBC" w:rsidRPr="00FA4B2D" w14:paraId="35CDC1DE" w14:textId="77777777" w:rsidTr="006A3DBC">
        <w:trPr>
          <w:trHeight w:hRule="exact" w:val="263"/>
        </w:trPr>
        <w:tc>
          <w:tcPr>
            <w:tcW w:w="2155" w:type="dxa"/>
          </w:tcPr>
          <w:p w14:paraId="5C1A837A" w14:textId="77777777" w:rsidR="006A3DBC" w:rsidRPr="00FA4B2D" w:rsidRDefault="006A3DBC" w:rsidP="005F4A92">
            <w:pPr>
              <w:widowControl w:val="0"/>
              <w:ind w:right="519"/>
              <w:rPr>
                <w:rFonts w:eastAsia="Calibri" w:cs="Arial"/>
                <w:sz w:val="20"/>
                <w:szCs w:val="20"/>
                <w:lang w:val="es-ES_tradnl"/>
              </w:rPr>
            </w:pPr>
            <w:r w:rsidRPr="00FA4B2D">
              <w:rPr>
                <w:rFonts w:eastAsia="Calibri" w:cs="Arial"/>
                <w:sz w:val="20"/>
                <w:szCs w:val="20"/>
                <w:lang w:val="es-ES_tradnl"/>
              </w:rPr>
              <w:t>PIB</w:t>
            </w:r>
          </w:p>
        </w:tc>
        <w:tc>
          <w:tcPr>
            <w:tcW w:w="6771" w:type="dxa"/>
          </w:tcPr>
          <w:p w14:paraId="0032BEC8" w14:textId="77777777" w:rsidR="006A3DBC" w:rsidRPr="00FA4B2D" w:rsidRDefault="006A3DBC" w:rsidP="005F4A92">
            <w:pPr>
              <w:widowControl w:val="0"/>
              <w:ind w:left="100" w:right="385"/>
              <w:rPr>
                <w:rFonts w:eastAsia="Calibri" w:cs="Arial"/>
                <w:sz w:val="20"/>
                <w:szCs w:val="20"/>
                <w:lang w:val="es-ES_tradnl"/>
              </w:rPr>
            </w:pPr>
            <w:r w:rsidRPr="00FA4B2D">
              <w:rPr>
                <w:rFonts w:eastAsia="Calibri" w:cs="Arial"/>
                <w:sz w:val="20"/>
                <w:szCs w:val="20"/>
                <w:lang w:val="es-ES_tradnl"/>
              </w:rPr>
              <w:t>Producto Interno</w:t>
            </w:r>
            <w:r w:rsidRPr="00FA4B2D">
              <w:rPr>
                <w:rFonts w:eastAsia="Calibri" w:cs="Arial"/>
                <w:spacing w:val="-4"/>
                <w:sz w:val="20"/>
                <w:szCs w:val="20"/>
                <w:lang w:val="es-ES_tradnl"/>
              </w:rPr>
              <w:t xml:space="preserve"> </w:t>
            </w:r>
            <w:r w:rsidRPr="00FA4B2D">
              <w:rPr>
                <w:rFonts w:eastAsia="Calibri" w:cs="Arial"/>
                <w:sz w:val="20"/>
                <w:szCs w:val="20"/>
                <w:lang w:val="es-ES_tradnl"/>
              </w:rPr>
              <w:t>Bruto</w:t>
            </w:r>
            <w:r w:rsidRPr="00FA4B2D">
              <w:rPr>
                <w:rFonts w:eastAsia="Calibri" w:cs="Arial"/>
                <w:sz w:val="20"/>
                <w:szCs w:val="20"/>
                <w:lang w:val="es-ES_tradnl"/>
              </w:rPr>
              <w:tab/>
            </w:r>
          </w:p>
        </w:tc>
      </w:tr>
      <w:tr w:rsidR="006A3DBC" w:rsidRPr="00FA4B2D" w14:paraId="3723F804" w14:textId="77777777" w:rsidTr="006A3DBC">
        <w:trPr>
          <w:trHeight w:hRule="exact" w:val="263"/>
        </w:trPr>
        <w:tc>
          <w:tcPr>
            <w:tcW w:w="2155" w:type="dxa"/>
          </w:tcPr>
          <w:p w14:paraId="319338DE" w14:textId="77777777" w:rsidR="006A3DBC" w:rsidRPr="00FA4B2D" w:rsidRDefault="006A3DBC" w:rsidP="005F4A92">
            <w:pPr>
              <w:widowControl w:val="0"/>
              <w:ind w:right="519"/>
              <w:rPr>
                <w:rFonts w:eastAsia="Calibri" w:cs="Arial"/>
                <w:sz w:val="20"/>
                <w:szCs w:val="20"/>
                <w:lang w:val="es-ES_tradnl"/>
              </w:rPr>
            </w:pPr>
            <w:r w:rsidRPr="00FA4B2D">
              <w:rPr>
                <w:rFonts w:eastAsia="Calibri" w:cs="Arial"/>
                <w:sz w:val="20"/>
                <w:szCs w:val="20"/>
                <w:lang w:val="es-ES_tradnl"/>
              </w:rPr>
              <w:t>PGA</w:t>
            </w:r>
          </w:p>
        </w:tc>
        <w:tc>
          <w:tcPr>
            <w:tcW w:w="6771" w:type="dxa"/>
          </w:tcPr>
          <w:p w14:paraId="77F96EFE" w14:textId="77777777" w:rsidR="006A3DBC" w:rsidRPr="00FA4B2D" w:rsidRDefault="006A3DBC" w:rsidP="005F4A92">
            <w:pPr>
              <w:widowControl w:val="0"/>
              <w:ind w:left="100" w:right="385"/>
              <w:rPr>
                <w:rFonts w:eastAsia="Calibri" w:cs="Arial"/>
                <w:sz w:val="20"/>
                <w:szCs w:val="20"/>
                <w:lang w:val="es-ES_tradnl"/>
              </w:rPr>
            </w:pPr>
            <w:r w:rsidRPr="00FA4B2D">
              <w:rPr>
                <w:rFonts w:eastAsia="Calibri" w:cs="Arial"/>
                <w:sz w:val="20"/>
                <w:szCs w:val="20"/>
                <w:lang w:val="es-ES_tradnl"/>
              </w:rPr>
              <w:t xml:space="preserve">Plan de Gestión Ambiental </w:t>
            </w:r>
          </w:p>
        </w:tc>
      </w:tr>
      <w:tr w:rsidR="006A3DBC" w:rsidRPr="00FA4B2D" w14:paraId="7D8308C7" w14:textId="77777777" w:rsidTr="006A3DBC">
        <w:trPr>
          <w:trHeight w:hRule="exact" w:val="263"/>
        </w:trPr>
        <w:tc>
          <w:tcPr>
            <w:tcW w:w="2155" w:type="dxa"/>
          </w:tcPr>
          <w:p w14:paraId="79EE8119" w14:textId="77777777" w:rsidR="006A3DBC" w:rsidRPr="00FA4B2D" w:rsidRDefault="006A3DBC" w:rsidP="005F4A92">
            <w:pPr>
              <w:widowControl w:val="0"/>
              <w:ind w:right="519"/>
              <w:rPr>
                <w:rFonts w:eastAsia="Calibri" w:cs="Arial"/>
                <w:sz w:val="20"/>
                <w:szCs w:val="20"/>
                <w:lang w:val="es-ES_tradnl"/>
              </w:rPr>
            </w:pPr>
            <w:r w:rsidRPr="00FA4B2D">
              <w:rPr>
                <w:rFonts w:eastAsia="Calibri" w:cs="Arial"/>
                <w:sz w:val="20"/>
                <w:szCs w:val="20"/>
                <w:lang w:val="es-ES_tradnl"/>
              </w:rPr>
              <w:t>PGPS</w:t>
            </w:r>
          </w:p>
        </w:tc>
        <w:tc>
          <w:tcPr>
            <w:tcW w:w="6771" w:type="dxa"/>
          </w:tcPr>
          <w:p w14:paraId="4DDB9F81" w14:textId="77777777" w:rsidR="006A3DBC" w:rsidRPr="00FA4B2D" w:rsidRDefault="006A3DBC" w:rsidP="005F4A92">
            <w:pPr>
              <w:widowControl w:val="0"/>
              <w:ind w:left="100" w:right="385"/>
              <w:rPr>
                <w:rFonts w:eastAsia="Calibri" w:cs="Arial"/>
                <w:sz w:val="20"/>
                <w:szCs w:val="20"/>
                <w:lang w:val="es-ES_tradnl"/>
              </w:rPr>
            </w:pPr>
            <w:r w:rsidRPr="00FA4B2D">
              <w:rPr>
                <w:rFonts w:eastAsia="Calibri" w:cs="Arial"/>
                <w:sz w:val="20"/>
                <w:szCs w:val="20"/>
                <w:lang w:val="es-ES_tradnl"/>
              </w:rPr>
              <w:t>Plan de Gestión/Participación Social</w:t>
            </w:r>
          </w:p>
        </w:tc>
      </w:tr>
      <w:tr w:rsidR="006A3DBC" w:rsidRPr="00FA4B2D" w14:paraId="35C2D24F" w14:textId="77777777" w:rsidTr="006A3DBC">
        <w:trPr>
          <w:trHeight w:hRule="exact" w:val="263"/>
        </w:trPr>
        <w:tc>
          <w:tcPr>
            <w:tcW w:w="2155" w:type="dxa"/>
          </w:tcPr>
          <w:p w14:paraId="26F4B03B" w14:textId="77777777" w:rsidR="006A3DBC" w:rsidRPr="00FA4B2D" w:rsidRDefault="006A3DBC" w:rsidP="005F4A92">
            <w:pPr>
              <w:widowControl w:val="0"/>
              <w:ind w:right="519"/>
              <w:rPr>
                <w:rFonts w:eastAsia="Calibri" w:cs="Arial"/>
                <w:sz w:val="20"/>
                <w:szCs w:val="20"/>
                <w:lang w:val="es-ES_tradnl"/>
              </w:rPr>
            </w:pPr>
            <w:r w:rsidRPr="00FA4B2D">
              <w:rPr>
                <w:rFonts w:eastAsia="Calibri" w:cs="Arial"/>
                <w:sz w:val="20"/>
                <w:szCs w:val="20"/>
                <w:lang w:val="es-ES_tradnl"/>
              </w:rPr>
              <w:t>PGAS</w:t>
            </w:r>
          </w:p>
        </w:tc>
        <w:tc>
          <w:tcPr>
            <w:tcW w:w="6771" w:type="dxa"/>
          </w:tcPr>
          <w:p w14:paraId="14199DAE" w14:textId="77777777" w:rsidR="006A3DBC" w:rsidRPr="00FA4B2D" w:rsidRDefault="006A3DBC" w:rsidP="005F4A92">
            <w:pPr>
              <w:widowControl w:val="0"/>
              <w:ind w:left="100" w:right="385"/>
              <w:rPr>
                <w:rFonts w:eastAsia="Calibri" w:cs="Arial"/>
                <w:sz w:val="20"/>
                <w:szCs w:val="20"/>
                <w:lang w:val="es-ES_tradnl"/>
              </w:rPr>
            </w:pPr>
            <w:r w:rsidRPr="00FA4B2D">
              <w:rPr>
                <w:rFonts w:eastAsia="Calibri" w:cs="Arial"/>
                <w:sz w:val="20"/>
                <w:szCs w:val="20"/>
                <w:lang w:val="es-ES_tradnl"/>
              </w:rPr>
              <w:t>Plan de Gestión Ambiental y</w:t>
            </w:r>
            <w:r w:rsidRPr="00FA4B2D">
              <w:rPr>
                <w:rFonts w:eastAsia="Calibri" w:cs="Arial"/>
                <w:spacing w:val="-10"/>
                <w:sz w:val="20"/>
                <w:szCs w:val="20"/>
                <w:lang w:val="es-ES_tradnl"/>
              </w:rPr>
              <w:t xml:space="preserve"> </w:t>
            </w:r>
            <w:r w:rsidRPr="00FA4B2D">
              <w:rPr>
                <w:rFonts w:eastAsia="Calibri" w:cs="Arial"/>
                <w:sz w:val="20"/>
                <w:szCs w:val="20"/>
                <w:lang w:val="es-ES_tradnl"/>
              </w:rPr>
              <w:t>Social</w:t>
            </w:r>
          </w:p>
        </w:tc>
      </w:tr>
      <w:tr w:rsidR="006A3DBC" w:rsidRPr="00FA4B2D" w14:paraId="76BBC122" w14:textId="77777777" w:rsidTr="006A3DBC">
        <w:trPr>
          <w:trHeight w:hRule="exact" w:val="263"/>
        </w:trPr>
        <w:tc>
          <w:tcPr>
            <w:tcW w:w="2155" w:type="dxa"/>
          </w:tcPr>
          <w:p w14:paraId="0E0B0016" w14:textId="77777777" w:rsidR="006A3DBC" w:rsidRPr="00FA4B2D" w:rsidRDefault="006A3DBC" w:rsidP="005F4A92">
            <w:pPr>
              <w:widowControl w:val="0"/>
              <w:ind w:right="519"/>
              <w:rPr>
                <w:rFonts w:eastAsia="Calibri" w:cs="Arial"/>
                <w:sz w:val="20"/>
                <w:szCs w:val="20"/>
                <w:lang w:val="es-ES_tradnl"/>
              </w:rPr>
            </w:pPr>
            <w:r w:rsidRPr="00FA4B2D">
              <w:rPr>
                <w:rFonts w:eastAsia="Calibri" w:cs="Arial"/>
                <w:sz w:val="20"/>
                <w:szCs w:val="20"/>
                <w:lang w:val="es-ES_tradnl"/>
              </w:rPr>
              <w:t>PGMO</w:t>
            </w:r>
          </w:p>
        </w:tc>
        <w:tc>
          <w:tcPr>
            <w:tcW w:w="6771" w:type="dxa"/>
          </w:tcPr>
          <w:p w14:paraId="570F083C" w14:textId="77777777" w:rsidR="006A3DBC" w:rsidRPr="00FA4B2D" w:rsidRDefault="006A3DBC" w:rsidP="005F4A92">
            <w:pPr>
              <w:widowControl w:val="0"/>
              <w:ind w:left="100" w:right="385"/>
              <w:rPr>
                <w:rFonts w:eastAsia="Calibri" w:cs="Arial"/>
                <w:sz w:val="20"/>
                <w:szCs w:val="20"/>
                <w:lang w:val="es-ES_tradnl"/>
              </w:rPr>
            </w:pPr>
            <w:r w:rsidRPr="00FA4B2D">
              <w:rPr>
                <w:rFonts w:eastAsia="Calibri" w:cs="Arial"/>
                <w:sz w:val="20"/>
                <w:szCs w:val="20"/>
                <w:lang w:val="es-ES_tradnl"/>
              </w:rPr>
              <w:t>Procedimientos de Gestión de Mano de Obra</w:t>
            </w:r>
          </w:p>
        </w:tc>
      </w:tr>
      <w:tr w:rsidR="006A3DBC" w:rsidRPr="00FA4B2D" w14:paraId="2EE45595" w14:textId="77777777" w:rsidTr="006A3DBC">
        <w:trPr>
          <w:trHeight w:hRule="exact" w:val="263"/>
        </w:trPr>
        <w:tc>
          <w:tcPr>
            <w:tcW w:w="2155" w:type="dxa"/>
          </w:tcPr>
          <w:p w14:paraId="1BED1F4D" w14:textId="77777777" w:rsidR="006A3DBC" w:rsidRPr="00FA4B2D" w:rsidRDefault="006A3DBC" w:rsidP="005F4A92">
            <w:pPr>
              <w:widowControl w:val="0"/>
              <w:ind w:right="519"/>
              <w:rPr>
                <w:rFonts w:eastAsia="Calibri" w:cs="Arial"/>
                <w:sz w:val="20"/>
                <w:szCs w:val="20"/>
                <w:lang w:val="es-ES_tradnl"/>
              </w:rPr>
            </w:pPr>
            <w:r w:rsidRPr="00FA4B2D">
              <w:rPr>
                <w:rFonts w:eastAsia="Calibri" w:cs="Arial"/>
                <w:sz w:val="20"/>
                <w:szCs w:val="20"/>
                <w:lang w:val="es-ES_tradnl"/>
              </w:rPr>
              <w:lastRenderedPageBreak/>
              <w:t>PNUD</w:t>
            </w:r>
          </w:p>
        </w:tc>
        <w:tc>
          <w:tcPr>
            <w:tcW w:w="6771" w:type="dxa"/>
          </w:tcPr>
          <w:p w14:paraId="72D6A0D1" w14:textId="77777777" w:rsidR="006A3DBC" w:rsidRPr="00FA4B2D" w:rsidRDefault="006A3DBC" w:rsidP="005F4A92">
            <w:pPr>
              <w:widowControl w:val="0"/>
              <w:ind w:left="100" w:right="385"/>
              <w:rPr>
                <w:rFonts w:eastAsia="Calibri" w:cs="Arial"/>
                <w:sz w:val="20"/>
                <w:szCs w:val="20"/>
                <w:lang w:val="es-ES_tradnl"/>
              </w:rPr>
            </w:pPr>
            <w:r w:rsidRPr="00FA4B2D">
              <w:rPr>
                <w:rFonts w:eastAsia="Calibri" w:cs="Arial"/>
                <w:sz w:val="20"/>
                <w:szCs w:val="20"/>
                <w:lang w:val="es-ES_tradnl"/>
              </w:rPr>
              <w:t>Programa de las Naciones Unidas para el Desarrollo</w:t>
            </w:r>
          </w:p>
        </w:tc>
      </w:tr>
      <w:tr w:rsidR="006A3DBC" w:rsidRPr="00FA4B2D" w14:paraId="4AF9B4C6" w14:textId="77777777" w:rsidTr="006A3DBC">
        <w:trPr>
          <w:trHeight w:hRule="exact" w:val="263"/>
        </w:trPr>
        <w:tc>
          <w:tcPr>
            <w:tcW w:w="2155" w:type="dxa"/>
          </w:tcPr>
          <w:p w14:paraId="08B3FF16" w14:textId="77777777" w:rsidR="006A3DBC" w:rsidRPr="00FA4B2D" w:rsidRDefault="006A3DBC" w:rsidP="005F4A92">
            <w:pPr>
              <w:widowControl w:val="0"/>
              <w:ind w:right="519"/>
              <w:rPr>
                <w:rFonts w:eastAsia="Calibri" w:cs="Arial"/>
                <w:sz w:val="20"/>
                <w:szCs w:val="20"/>
                <w:lang w:val="es-ES_tradnl"/>
              </w:rPr>
            </w:pPr>
            <w:r w:rsidRPr="00FA4B2D">
              <w:rPr>
                <w:rFonts w:eastAsia="Calibri" w:cs="Arial"/>
                <w:sz w:val="20"/>
                <w:szCs w:val="20"/>
                <w:lang w:val="es-ES_tradnl"/>
              </w:rPr>
              <w:t>PSDE</w:t>
            </w:r>
          </w:p>
        </w:tc>
        <w:tc>
          <w:tcPr>
            <w:tcW w:w="6771" w:type="dxa"/>
          </w:tcPr>
          <w:p w14:paraId="7C4DAD2E" w14:textId="77777777" w:rsidR="006A3DBC" w:rsidRPr="00FA4B2D" w:rsidRDefault="006A3DBC" w:rsidP="005F4A92">
            <w:pPr>
              <w:widowControl w:val="0"/>
              <w:ind w:left="100" w:right="385"/>
              <w:rPr>
                <w:rFonts w:eastAsia="Calibri" w:cs="Arial"/>
                <w:iCs/>
                <w:sz w:val="20"/>
                <w:szCs w:val="20"/>
              </w:rPr>
            </w:pPr>
            <w:r w:rsidRPr="00FA4B2D">
              <w:rPr>
                <w:rFonts w:eastAsia="Calibri" w:cs="Arial"/>
                <w:iCs/>
                <w:sz w:val="20"/>
                <w:szCs w:val="20"/>
              </w:rPr>
              <w:t>Prestador de Servicios de Desarrollo Empresarial</w:t>
            </w:r>
          </w:p>
        </w:tc>
      </w:tr>
      <w:tr w:rsidR="006A3DBC" w:rsidRPr="00FA4B2D" w14:paraId="4532F253" w14:textId="77777777" w:rsidTr="006A3DBC">
        <w:trPr>
          <w:trHeight w:hRule="exact" w:val="263"/>
        </w:trPr>
        <w:tc>
          <w:tcPr>
            <w:tcW w:w="2155" w:type="dxa"/>
          </w:tcPr>
          <w:p w14:paraId="6898DB88" w14:textId="77777777" w:rsidR="006A3DBC" w:rsidRPr="00FA4B2D" w:rsidRDefault="006A3DBC" w:rsidP="005F4A92">
            <w:pPr>
              <w:widowControl w:val="0"/>
              <w:ind w:right="519"/>
              <w:rPr>
                <w:rFonts w:eastAsia="Calibri" w:cs="Arial"/>
                <w:sz w:val="20"/>
                <w:szCs w:val="20"/>
                <w:lang w:val="es-ES"/>
              </w:rPr>
            </w:pPr>
            <w:r w:rsidRPr="00FA4B2D">
              <w:rPr>
                <w:rFonts w:eastAsia="Calibri" w:cs="Arial"/>
                <w:sz w:val="20"/>
                <w:szCs w:val="20"/>
                <w:lang w:val="es-ES"/>
              </w:rPr>
              <w:t>PSDEs</w:t>
            </w:r>
          </w:p>
        </w:tc>
        <w:tc>
          <w:tcPr>
            <w:tcW w:w="6771" w:type="dxa"/>
          </w:tcPr>
          <w:p w14:paraId="4B2AD4CF" w14:textId="77777777" w:rsidR="006A3DBC" w:rsidRPr="00FA4B2D" w:rsidRDefault="006A3DBC" w:rsidP="005F4A92">
            <w:pPr>
              <w:widowControl w:val="0"/>
              <w:ind w:left="100" w:right="385"/>
              <w:rPr>
                <w:rFonts w:eastAsia="Calibri" w:cs="Arial"/>
                <w:sz w:val="20"/>
                <w:szCs w:val="20"/>
                <w:lang w:val="es-ES_tradnl"/>
              </w:rPr>
            </w:pPr>
            <w:r w:rsidRPr="00FA4B2D">
              <w:rPr>
                <w:rFonts w:eastAsia="Calibri" w:cs="Arial"/>
                <w:sz w:val="20"/>
                <w:szCs w:val="20"/>
                <w:lang w:val="es-ES_tradnl"/>
              </w:rPr>
              <w:t>Prestadores de Servicios de Desarrollo Empresarial</w:t>
            </w:r>
          </w:p>
        </w:tc>
      </w:tr>
      <w:tr w:rsidR="006A3DBC" w:rsidRPr="00FA4B2D" w14:paraId="2B996429" w14:textId="77777777" w:rsidTr="006A3DBC">
        <w:trPr>
          <w:trHeight w:hRule="exact" w:val="262"/>
        </w:trPr>
        <w:tc>
          <w:tcPr>
            <w:tcW w:w="2155" w:type="dxa"/>
          </w:tcPr>
          <w:p w14:paraId="4E872DEC" w14:textId="77777777" w:rsidR="006A3DBC" w:rsidRPr="00FA4B2D" w:rsidRDefault="006A3DBC" w:rsidP="005F4A92">
            <w:pPr>
              <w:widowControl w:val="0"/>
              <w:ind w:right="519"/>
              <w:rPr>
                <w:rFonts w:eastAsia="Calibri" w:cs="Arial"/>
                <w:sz w:val="20"/>
                <w:szCs w:val="20"/>
                <w:lang w:val="es-ES_tradnl"/>
              </w:rPr>
            </w:pPr>
            <w:r w:rsidRPr="00FA4B2D">
              <w:rPr>
                <w:rFonts w:eastAsia="Calibri" w:cs="Arial"/>
                <w:sz w:val="20"/>
                <w:szCs w:val="20"/>
                <w:lang w:val="es-ES_tradnl"/>
              </w:rPr>
              <w:t>PDNPRRS</w:t>
            </w:r>
          </w:p>
        </w:tc>
        <w:tc>
          <w:tcPr>
            <w:tcW w:w="6771" w:type="dxa"/>
          </w:tcPr>
          <w:p w14:paraId="32F9936C" w14:textId="77777777" w:rsidR="006A3DBC" w:rsidRPr="00FA4B2D" w:rsidRDefault="006A3DBC" w:rsidP="005F4A92">
            <w:pPr>
              <w:widowControl w:val="0"/>
              <w:ind w:left="100" w:right="385"/>
              <w:rPr>
                <w:rFonts w:eastAsia="Calibri" w:cs="Arial"/>
                <w:sz w:val="20"/>
                <w:szCs w:val="20"/>
                <w:lang w:val="es-ES_tradnl"/>
              </w:rPr>
            </w:pPr>
            <w:r w:rsidRPr="00FA4B2D">
              <w:rPr>
                <w:rFonts w:eastAsia="Calibri" w:cs="Arial"/>
                <w:sz w:val="20"/>
                <w:szCs w:val="20"/>
                <w:lang w:val="es-ES_tradnl"/>
              </w:rPr>
              <w:t>Programa Nacional de Prevención y Reinserción Social</w:t>
            </w:r>
          </w:p>
        </w:tc>
      </w:tr>
      <w:tr w:rsidR="006A3DBC" w:rsidRPr="00FA4B2D" w14:paraId="46FE73BB" w14:textId="77777777" w:rsidTr="006A3DBC">
        <w:trPr>
          <w:trHeight w:hRule="exact" w:val="262"/>
        </w:trPr>
        <w:tc>
          <w:tcPr>
            <w:tcW w:w="2155" w:type="dxa"/>
          </w:tcPr>
          <w:p w14:paraId="36A44F23" w14:textId="77777777" w:rsidR="006A3DBC" w:rsidRPr="00FA4B2D" w:rsidRDefault="006A3DBC" w:rsidP="005F4A92">
            <w:pPr>
              <w:widowControl w:val="0"/>
              <w:ind w:right="519"/>
              <w:rPr>
                <w:rFonts w:eastAsia="Calibri" w:cs="Arial"/>
                <w:sz w:val="20"/>
                <w:szCs w:val="20"/>
                <w:lang w:val="es-ES_tradnl"/>
              </w:rPr>
            </w:pPr>
            <w:r w:rsidRPr="00FA4B2D">
              <w:rPr>
                <w:rFonts w:eastAsia="Calibri" w:cs="Arial"/>
                <w:sz w:val="20"/>
                <w:szCs w:val="20"/>
                <w:lang w:val="es-ES_tradnl"/>
              </w:rPr>
              <w:t>PNAE</w:t>
            </w:r>
          </w:p>
        </w:tc>
        <w:tc>
          <w:tcPr>
            <w:tcW w:w="6771" w:type="dxa"/>
          </w:tcPr>
          <w:p w14:paraId="587CCE2D" w14:textId="77777777" w:rsidR="006A3DBC" w:rsidRPr="00FA4B2D" w:rsidRDefault="006A3DBC" w:rsidP="005F4A92">
            <w:pPr>
              <w:widowControl w:val="0"/>
              <w:ind w:left="100" w:right="385"/>
              <w:rPr>
                <w:rFonts w:eastAsia="Calibri" w:cs="Arial"/>
                <w:sz w:val="20"/>
                <w:szCs w:val="20"/>
                <w:lang w:val="es-ES_tradnl"/>
              </w:rPr>
            </w:pPr>
            <w:r w:rsidRPr="00FA4B2D">
              <w:rPr>
                <w:rFonts w:eastAsia="Calibri" w:cs="Arial"/>
                <w:sz w:val="20"/>
                <w:szCs w:val="20"/>
                <w:lang w:val="es-ES_tradnl"/>
              </w:rPr>
              <w:t>Programa Nacional de Alimentación Escolar</w:t>
            </w:r>
          </w:p>
        </w:tc>
      </w:tr>
      <w:tr w:rsidR="006A3DBC" w:rsidRPr="00FA4B2D" w14:paraId="04DA118C" w14:textId="77777777" w:rsidTr="006A3DBC">
        <w:trPr>
          <w:trHeight w:hRule="exact" w:val="262"/>
        </w:trPr>
        <w:tc>
          <w:tcPr>
            <w:tcW w:w="2155" w:type="dxa"/>
          </w:tcPr>
          <w:p w14:paraId="2AAAAF8A" w14:textId="77777777" w:rsidR="006A3DBC" w:rsidRPr="00FA4B2D" w:rsidRDefault="006A3DBC" w:rsidP="005F4A92">
            <w:pPr>
              <w:widowControl w:val="0"/>
              <w:rPr>
                <w:rFonts w:eastAsia="Calibri" w:cs="Arial"/>
                <w:sz w:val="20"/>
                <w:szCs w:val="20"/>
                <w:lang w:val="es-ES_tradnl"/>
              </w:rPr>
            </w:pPr>
            <w:r w:rsidRPr="00FA4B2D">
              <w:rPr>
                <w:rFonts w:eastAsia="Calibri" w:cs="Arial"/>
                <w:sz w:val="20"/>
                <w:szCs w:val="20"/>
                <w:lang w:val="es-ES_tradnl"/>
              </w:rPr>
              <w:t>PRONAGRO</w:t>
            </w:r>
          </w:p>
        </w:tc>
        <w:tc>
          <w:tcPr>
            <w:tcW w:w="6771" w:type="dxa"/>
          </w:tcPr>
          <w:p w14:paraId="711D1C78" w14:textId="77777777" w:rsidR="006A3DBC" w:rsidRPr="00FA4B2D" w:rsidRDefault="006A3DBC" w:rsidP="005F4A92">
            <w:pPr>
              <w:widowControl w:val="0"/>
              <w:ind w:left="100" w:right="385"/>
              <w:rPr>
                <w:rFonts w:eastAsia="Calibri" w:cs="Arial"/>
                <w:sz w:val="20"/>
                <w:szCs w:val="20"/>
                <w:lang w:val="es-ES_tradnl"/>
              </w:rPr>
            </w:pPr>
            <w:r w:rsidRPr="00FA4B2D">
              <w:rPr>
                <w:rFonts w:eastAsia="Calibri" w:cs="Arial"/>
                <w:sz w:val="20"/>
                <w:szCs w:val="20"/>
                <w:lang w:val="es-ES_tradnl"/>
              </w:rPr>
              <w:t>Programa Nacional Agroalimentario</w:t>
            </w:r>
          </w:p>
        </w:tc>
      </w:tr>
      <w:tr w:rsidR="003029D7" w:rsidRPr="00FA4B2D" w14:paraId="70CCC47C" w14:textId="77777777" w:rsidTr="006A3DBC">
        <w:trPr>
          <w:trHeight w:hRule="exact" w:val="262"/>
        </w:trPr>
        <w:tc>
          <w:tcPr>
            <w:tcW w:w="2155" w:type="dxa"/>
          </w:tcPr>
          <w:p w14:paraId="4AC17CCA" w14:textId="4EE2B12D" w:rsidR="003029D7" w:rsidRPr="00FA4B2D" w:rsidRDefault="003029D7" w:rsidP="005F4A92">
            <w:pPr>
              <w:widowControl w:val="0"/>
              <w:rPr>
                <w:rFonts w:eastAsia="Calibri" w:cs="Arial"/>
                <w:sz w:val="20"/>
                <w:szCs w:val="20"/>
                <w:lang w:val="es-ES_tradnl"/>
              </w:rPr>
            </w:pPr>
            <w:r w:rsidRPr="00FA4B2D">
              <w:rPr>
                <w:rFonts w:eastAsia="Calibri" w:cs="Arial"/>
                <w:sz w:val="20"/>
                <w:szCs w:val="20"/>
                <w:lang w:val="es-ES_tradnl"/>
              </w:rPr>
              <w:t>PROSASUR</w:t>
            </w:r>
          </w:p>
        </w:tc>
        <w:tc>
          <w:tcPr>
            <w:tcW w:w="6771" w:type="dxa"/>
          </w:tcPr>
          <w:p w14:paraId="7BDD387B" w14:textId="00C2C7EC" w:rsidR="003029D7" w:rsidRPr="00FA4B2D" w:rsidRDefault="003029D7" w:rsidP="005F4A92">
            <w:pPr>
              <w:widowControl w:val="0"/>
              <w:ind w:left="100" w:right="385"/>
              <w:rPr>
                <w:rFonts w:eastAsia="Calibri" w:cs="Arial"/>
                <w:sz w:val="20"/>
                <w:szCs w:val="20"/>
                <w:lang w:val="es-ES_tradnl"/>
              </w:rPr>
            </w:pPr>
            <w:r w:rsidRPr="00FA4B2D">
              <w:rPr>
                <w:rFonts w:eastAsia="Calibri" w:cs="Arial"/>
                <w:sz w:val="20"/>
                <w:szCs w:val="20"/>
                <w:lang w:val="es-ES"/>
              </w:rPr>
              <w:t>Proyecto de Seguridad Alimentaria en el Corredor Seco</w:t>
            </w:r>
          </w:p>
        </w:tc>
      </w:tr>
      <w:tr w:rsidR="006A3DBC" w:rsidRPr="00FA4B2D" w14:paraId="43AF2A25" w14:textId="77777777" w:rsidTr="006A3DBC">
        <w:trPr>
          <w:trHeight w:hRule="exact" w:val="262"/>
        </w:trPr>
        <w:tc>
          <w:tcPr>
            <w:tcW w:w="2155" w:type="dxa"/>
          </w:tcPr>
          <w:p w14:paraId="3CDFD557" w14:textId="77777777" w:rsidR="006A3DBC" w:rsidRPr="00FA4B2D" w:rsidRDefault="006A3DBC" w:rsidP="005F4A92">
            <w:pPr>
              <w:widowControl w:val="0"/>
              <w:rPr>
                <w:rFonts w:eastAsia="Calibri" w:cs="Arial"/>
                <w:sz w:val="20"/>
                <w:szCs w:val="20"/>
                <w:lang w:val="es-ES_tradnl"/>
              </w:rPr>
            </w:pPr>
            <w:r w:rsidRPr="00FA4B2D">
              <w:rPr>
                <w:rFonts w:eastAsia="Calibri" w:cs="Arial"/>
                <w:sz w:val="20"/>
                <w:szCs w:val="20"/>
                <w:lang w:val="es-ES_tradnl"/>
              </w:rPr>
              <w:t>REHNAP</w:t>
            </w:r>
          </w:p>
        </w:tc>
        <w:tc>
          <w:tcPr>
            <w:tcW w:w="6771" w:type="dxa"/>
          </w:tcPr>
          <w:p w14:paraId="72084E42" w14:textId="77777777" w:rsidR="006A3DBC" w:rsidRPr="00FA4B2D" w:rsidRDefault="006A3DBC" w:rsidP="005F4A92">
            <w:pPr>
              <w:widowControl w:val="0"/>
              <w:ind w:left="100" w:right="385"/>
              <w:rPr>
                <w:rFonts w:eastAsia="Calibri" w:cs="Arial"/>
                <w:sz w:val="20"/>
                <w:szCs w:val="20"/>
                <w:lang w:val="es-ES_tradnl"/>
              </w:rPr>
            </w:pPr>
            <w:r w:rsidRPr="00FA4B2D">
              <w:rPr>
                <w:rFonts w:eastAsia="Calibri" w:cs="Arial"/>
                <w:sz w:val="20"/>
                <w:szCs w:val="20"/>
                <w:lang w:val="es-ES_tradnl"/>
              </w:rPr>
              <w:t xml:space="preserve">Red Hondureña de Reservas Naturales Privadas </w:t>
            </w:r>
          </w:p>
        </w:tc>
      </w:tr>
      <w:tr w:rsidR="006A3DBC" w:rsidRPr="00FA4B2D" w14:paraId="5672ACFF" w14:textId="77777777" w:rsidTr="006A3DBC">
        <w:trPr>
          <w:trHeight w:hRule="exact" w:val="262"/>
        </w:trPr>
        <w:tc>
          <w:tcPr>
            <w:tcW w:w="2155" w:type="dxa"/>
          </w:tcPr>
          <w:p w14:paraId="31F0A422" w14:textId="77777777" w:rsidR="006A3DBC" w:rsidRPr="00FA4B2D" w:rsidRDefault="006A3DBC" w:rsidP="005F4A92">
            <w:pPr>
              <w:widowControl w:val="0"/>
              <w:rPr>
                <w:rFonts w:eastAsia="Calibri" w:cs="Arial"/>
                <w:sz w:val="20"/>
                <w:szCs w:val="20"/>
                <w:lang w:val="es-ES_tradnl"/>
              </w:rPr>
            </w:pPr>
            <w:r w:rsidRPr="00FA4B2D">
              <w:rPr>
                <w:rFonts w:eastAsia="Calibri" w:cs="Arial"/>
                <w:sz w:val="20"/>
                <w:szCs w:val="20"/>
                <w:lang w:val="en-US"/>
              </w:rPr>
              <w:t>SAG</w:t>
            </w:r>
          </w:p>
        </w:tc>
        <w:tc>
          <w:tcPr>
            <w:tcW w:w="6771" w:type="dxa"/>
          </w:tcPr>
          <w:p w14:paraId="77D58C42" w14:textId="77777777" w:rsidR="006A3DBC" w:rsidRPr="00FA4B2D" w:rsidRDefault="006A3DBC" w:rsidP="005F4A92">
            <w:pPr>
              <w:widowControl w:val="0"/>
              <w:ind w:left="100" w:right="385"/>
              <w:rPr>
                <w:rFonts w:eastAsia="Calibri" w:cs="Arial"/>
                <w:sz w:val="20"/>
                <w:szCs w:val="20"/>
                <w:lang w:val="es-ES_tradnl"/>
              </w:rPr>
            </w:pPr>
            <w:r w:rsidRPr="00FA4B2D">
              <w:rPr>
                <w:rFonts w:eastAsia="Calibri" w:cs="Arial"/>
                <w:sz w:val="20"/>
                <w:szCs w:val="20"/>
              </w:rPr>
              <w:t>Secretaría de Agricultura y</w:t>
            </w:r>
            <w:r w:rsidRPr="00FA4B2D">
              <w:rPr>
                <w:rFonts w:eastAsia="Calibri" w:cs="Arial"/>
                <w:spacing w:val="-11"/>
                <w:sz w:val="20"/>
                <w:szCs w:val="20"/>
              </w:rPr>
              <w:t xml:space="preserve"> </w:t>
            </w:r>
            <w:r w:rsidRPr="00FA4B2D">
              <w:rPr>
                <w:rFonts w:eastAsia="Calibri" w:cs="Arial"/>
                <w:sz w:val="20"/>
                <w:szCs w:val="20"/>
              </w:rPr>
              <w:t>Ganadería</w:t>
            </w:r>
          </w:p>
        </w:tc>
      </w:tr>
      <w:tr w:rsidR="006A3DBC" w:rsidRPr="00FA4B2D" w14:paraId="5C6F227B" w14:textId="77777777" w:rsidTr="006A3DBC">
        <w:trPr>
          <w:trHeight w:hRule="exact" w:val="262"/>
        </w:trPr>
        <w:tc>
          <w:tcPr>
            <w:tcW w:w="2155" w:type="dxa"/>
          </w:tcPr>
          <w:p w14:paraId="08639792" w14:textId="77777777" w:rsidR="006A3DBC" w:rsidRPr="00FA4B2D" w:rsidRDefault="006A3DBC" w:rsidP="005F4A92">
            <w:pPr>
              <w:widowControl w:val="0"/>
              <w:rPr>
                <w:rFonts w:eastAsia="Calibri" w:cs="Arial"/>
                <w:sz w:val="20"/>
                <w:szCs w:val="20"/>
                <w:lang w:val="en-US"/>
              </w:rPr>
            </w:pPr>
            <w:r w:rsidRPr="00FA4B2D">
              <w:rPr>
                <w:rFonts w:eastAsia="Calibri" w:cs="Arial"/>
                <w:sz w:val="20"/>
                <w:szCs w:val="20"/>
                <w:lang w:val="en-US"/>
              </w:rPr>
              <w:t>SEDESOL</w:t>
            </w:r>
          </w:p>
        </w:tc>
        <w:tc>
          <w:tcPr>
            <w:tcW w:w="6771" w:type="dxa"/>
          </w:tcPr>
          <w:p w14:paraId="6FBA62D9" w14:textId="77777777" w:rsidR="006A3DBC" w:rsidRPr="00FA4B2D" w:rsidRDefault="006A3DBC" w:rsidP="005F4A92">
            <w:pPr>
              <w:widowControl w:val="0"/>
              <w:ind w:left="100" w:right="385"/>
              <w:rPr>
                <w:rFonts w:eastAsia="Calibri" w:cs="Arial"/>
                <w:sz w:val="20"/>
                <w:szCs w:val="20"/>
              </w:rPr>
            </w:pPr>
            <w:r w:rsidRPr="00FA4B2D">
              <w:rPr>
                <w:rFonts w:eastAsia="Calibri" w:cs="Arial"/>
                <w:sz w:val="20"/>
                <w:szCs w:val="20"/>
              </w:rPr>
              <w:t>Secretaría de Desarrollo Social</w:t>
            </w:r>
          </w:p>
        </w:tc>
      </w:tr>
      <w:tr w:rsidR="00221FA5" w:rsidRPr="00FA4B2D" w14:paraId="0BF7BC20" w14:textId="77777777" w:rsidTr="006A3DBC">
        <w:trPr>
          <w:trHeight w:hRule="exact" w:val="262"/>
        </w:trPr>
        <w:tc>
          <w:tcPr>
            <w:tcW w:w="2155" w:type="dxa"/>
          </w:tcPr>
          <w:p w14:paraId="3B69F318" w14:textId="2455BB33" w:rsidR="00221FA5" w:rsidRPr="00FA4B2D" w:rsidRDefault="00221FA5" w:rsidP="005F4A92">
            <w:pPr>
              <w:widowControl w:val="0"/>
              <w:rPr>
                <w:rFonts w:eastAsia="Calibri" w:cs="Arial"/>
                <w:sz w:val="20"/>
                <w:szCs w:val="20"/>
                <w:lang w:val="en-US"/>
              </w:rPr>
            </w:pPr>
            <w:r w:rsidRPr="00FA4B2D">
              <w:rPr>
                <w:rFonts w:eastAsia="Calibri" w:cs="Arial"/>
                <w:sz w:val="20"/>
                <w:szCs w:val="20"/>
                <w:lang w:val="en-US"/>
              </w:rPr>
              <w:t>SEMPRENDE</w:t>
            </w:r>
          </w:p>
        </w:tc>
        <w:tc>
          <w:tcPr>
            <w:tcW w:w="6771" w:type="dxa"/>
          </w:tcPr>
          <w:p w14:paraId="6A9FB536" w14:textId="3D1B85FE" w:rsidR="00221FA5" w:rsidRPr="00FA4B2D" w:rsidRDefault="00221FA5" w:rsidP="005F4A92">
            <w:pPr>
              <w:widowControl w:val="0"/>
              <w:ind w:left="100" w:right="385"/>
              <w:rPr>
                <w:rFonts w:eastAsia="Calibri" w:cs="Arial"/>
                <w:sz w:val="20"/>
                <w:szCs w:val="20"/>
              </w:rPr>
            </w:pPr>
            <w:r w:rsidRPr="00FA4B2D">
              <w:rPr>
                <w:rFonts w:eastAsia="Calibri" w:cs="Arial"/>
                <w:sz w:val="20"/>
                <w:szCs w:val="20"/>
              </w:rPr>
              <w:t>Servicio Nacional de Emprendimiento de Pequeños Negocios</w:t>
            </w:r>
          </w:p>
        </w:tc>
      </w:tr>
      <w:tr w:rsidR="006A3DBC" w:rsidRPr="00FA4B2D" w14:paraId="7AFFB1FE" w14:textId="77777777" w:rsidTr="006A3DBC">
        <w:trPr>
          <w:trHeight w:hRule="exact" w:val="262"/>
        </w:trPr>
        <w:tc>
          <w:tcPr>
            <w:tcW w:w="2155" w:type="dxa"/>
          </w:tcPr>
          <w:p w14:paraId="2E8AA812" w14:textId="77777777" w:rsidR="006A3DBC" w:rsidRPr="00FA4B2D" w:rsidRDefault="006A3DBC" w:rsidP="005F4A92">
            <w:pPr>
              <w:widowControl w:val="0"/>
              <w:rPr>
                <w:rFonts w:eastAsia="Calibri" w:cs="Arial"/>
                <w:sz w:val="20"/>
                <w:szCs w:val="20"/>
                <w:lang w:val="es-ES_tradnl"/>
              </w:rPr>
            </w:pPr>
            <w:r w:rsidRPr="00FA4B2D">
              <w:rPr>
                <w:rFonts w:eastAsia="Calibri" w:cs="Arial"/>
                <w:sz w:val="20"/>
                <w:szCs w:val="20"/>
                <w:lang w:val="en-US"/>
              </w:rPr>
              <w:t>SENASA</w:t>
            </w:r>
          </w:p>
        </w:tc>
        <w:tc>
          <w:tcPr>
            <w:tcW w:w="6771" w:type="dxa"/>
          </w:tcPr>
          <w:p w14:paraId="185E76C9" w14:textId="77777777" w:rsidR="006A3DBC" w:rsidRPr="00FA4B2D" w:rsidRDefault="006A3DBC" w:rsidP="005F4A92">
            <w:pPr>
              <w:widowControl w:val="0"/>
              <w:ind w:left="100" w:right="385"/>
              <w:rPr>
                <w:rFonts w:eastAsia="Calibri" w:cs="Arial"/>
                <w:sz w:val="20"/>
                <w:szCs w:val="20"/>
                <w:lang w:val="es-ES_tradnl"/>
              </w:rPr>
            </w:pPr>
            <w:r w:rsidRPr="00FA4B2D">
              <w:rPr>
                <w:rFonts w:eastAsia="Calibri" w:cs="Arial"/>
                <w:sz w:val="20"/>
                <w:szCs w:val="20"/>
                <w:lang w:val="es-ES_tradnl"/>
              </w:rPr>
              <w:t>Servicio Nacional Sanidad</w:t>
            </w:r>
            <w:r w:rsidRPr="00FA4B2D">
              <w:rPr>
                <w:rFonts w:eastAsia="Calibri" w:cs="Arial"/>
                <w:spacing w:val="-13"/>
                <w:sz w:val="20"/>
                <w:szCs w:val="20"/>
                <w:lang w:val="es-ES_tradnl"/>
              </w:rPr>
              <w:t xml:space="preserve"> </w:t>
            </w:r>
            <w:r w:rsidRPr="00FA4B2D">
              <w:rPr>
                <w:rFonts w:eastAsia="Calibri" w:cs="Arial"/>
                <w:sz w:val="20"/>
                <w:szCs w:val="20"/>
                <w:lang w:val="es-ES_tradnl"/>
              </w:rPr>
              <w:t>Agropecuaria</w:t>
            </w:r>
          </w:p>
        </w:tc>
      </w:tr>
      <w:tr w:rsidR="006A3DBC" w:rsidRPr="00FA4B2D" w14:paraId="2DB7E9E1" w14:textId="77777777" w:rsidTr="006A3DBC">
        <w:trPr>
          <w:trHeight w:hRule="exact" w:val="262"/>
        </w:trPr>
        <w:tc>
          <w:tcPr>
            <w:tcW w:w="2155" w:type="dxa"/>
          </w:tcPr>
          <w:p w14:paraId="3E5C4739" w14:textId="77777777" w:rsidR="006A3DBC" w:rsidRPr="00FA4B2D" w:rsidRDefault="006A3DBC" w:rsidP="005F4A92">
            <w:pPr>
              <w:widowControl w:val="0"/>
              <w:rPr>
                <w:rFonts w:eastAsia="Calibri" w:cs="Arial"/>
                <w:sz w:val="20"/>
                <w:szCs w:val="20"/>
                <w:lang w:val="en-US"/>
              </w:rPr>
            </w:pPr>
            <w:r w:rsidRPr="00FA4B2D">
              <w:rPr>
                <w:rFonts w:eastAsia="Calibri" w:cs="Arial"/>
                <w:sz w:val="20"/>
                <w:szCs w:val="20"/>
                <w:lang w:val="en-US"/>
              </w:rPr>
              <w:t>SERNA</w:t>
            </w:r>
          </w:p>
        </w:tc>
        <w:tc>
          <w:tcPr>
            <w:tcW w:w="6771" w:type="dxa"/>
          </w:tcPr>
          <w:p w14:paraId="7525298D" w14:textId="77777777" w:rsidR="006A3DBC" w:rsidRPr="00FA4B2D" w:rsidRDefault="006A3DBC" w:rsidP="005F4A92">
            <w:pPr>
              <w:widowControl w:val="0"/>
              <w:ind w:left="100" w:right="385"/>
              <w:rPr>
                <w:rFonts w:eastAsia="Calibri" w:cs="Arial"/>
                <w:sz w:val="20"/>
                <w:szCs w:val="20"/>
                <w:lang w:val="es-ES_tradnl"/>
              </w:rPr>
            </w:pPr>
            <w:r w:rsidRPr="00FA4B2D">
              <w:rPr>
                <w:rFonts w:eastAsia="Calibri" w:cs="Arial"/>
                <w:sz w:val="20"/>
                <w:szCs w:val="20"/>
                <w:lang w:val="es-ES_tradnl"/>
              </w:rPr>
              <w:t>Secretaría de Recursos Naturales y Ambiente</w:t>
            </w:r>
          </w:p>
        </w:tc>
      </w:tr>
      <w:tr w:rsidR="006A3DBC" w:rsidRPr="00FA4B2D" w14:paraId="5B9AFA41" w14:textId="77777777" w:rsidTr="006A3DBC">
        <w:trPr>
          <w:trHeight w:hRule="exact" w:val="262"/>
        </w:trPr>
        <w:tc>
          <w:tcPr>
            <w:tcW w:w="2155" w:type="dxa"/>
          </w:tcPr>
          <w:p w14:paraId="039426B2" w14:textId="77777777" w:rsidR="006A3DBC" w:rsidRPr="00FA4B2D" w:rsidRDefault="006A3DBC" w:rsidP="005F4A92">
            <w:pPr>
              <w:widowControl w:val="0"/>
              <w:rPr>
                <w:rFonts w:eastAsia="Calibri" w:cs="Arial"/>
                <w:sz w:val="20"/>
                <w:szCs w:val="20"/>
                <w:lang w:val="en-US"/>
              </w:rPr>
            </w:pPr>
            <w:r w:rsidRPr="00FA4B2D">
              <w:rPr>
                <w:rFonts w:eastAsia="Calibri" w:cs="Arial"/>
                <w:sz w:val="20"/>
                <w:szCs w:val="20"/>
                <w:lang w:val="en-US"/>
              </w:rPr>
              <w:t>SESAL</w:t>
            </w:r>
          </w:p>
        </w:tc>
        <w:tc>
          <w:tcPr>
            <w:tcW w:w="6771" w:type="dxa"/>
          </w:tcPr>
          <w:p w14:paraId="659D38DA" w14:textId="77777777" w:rsidR="006A3DBC" w:rsidRPr="00FA4B2D" w:rsidRDefault="006A3DBC" w:rsidP="005F4A92">
            <w:pPr>
              <w:widowControl w:val="0"/>
              <w:ind w:left="100" w:right="385"/>
              <w:rPr>
                <w:rFonts w:eastAsia="Calibri" w:cs="Arial"/>
                <w:sz w:val="20"/>
                <w:szCs w:val="20"/>
                <w:lang w:val="es-ES_tradnl"/>
              </w:rPr>
            </w:pPr>
            <w:r w:rsidRPr="00FA4B2D">
              <w:rPr>
                <w:rFonts w:eastAsia="Calibri" w:cs="Arial"/>
                <w:sz w:val="20"/>
                <w:szCs w:val="20"/>
                <w:lang w:val="es-ES_tradnl"/>
              </w:rPr>
              <w:t>Secretaría de Salud</w:t>
            </w:r>
          </w:p>
        </w:tc>
      </w:tr>
      <w:tr w:rsidR="006A3DBC" w:rsidRPr="00FA4B2D" w14:paraId="3D8FC3DB" w14:textId="77777777" w:rsidTr="006A3DBC">
        <w:trPr>
          <w:trHeight w:hRule="exact" w:val="262"/>
        </w:trPr>
        <w:tc>
          <w:tcPr>
            <w:tcW w:w="2155" w:type="dxa"/>
          </w:tcPr>
          <w:p w14:paraId="637F8181" w14:textId="77777777" w:rsidR="006A3DBC" w:rsidRPr="00FA4B2D" w:rsidRDefault="006A3DBC" w:rsidP="005F4A92">
            <w:pPr>
              <w:widowControl w:val="0"/>
              <w:rPr>
                <w:rFonts w:eastAsia="Calibri" w:cs="Arial"/>
                <w:sz w:val="20"/>
                <w:szCs w:val="20"/>
                <w:lang w:val="en-US"/>
              </w:rPr>
            </w:pPr>
            <w:r w:rsidRPr="00FA4B2D">
              <w:rPr>
                <w:rFonts w:eastAsia="Calibri" w:cs="Arial"/>
                <w:sz w:val="20"/>
                <w:szCs w:val="20"/>
                <w:lang w:val="en-US"/>
              </w:rPr>
              <w:t>SINAPH</w:t>
            </w:r>
          </w:p>
        </w:tc>
        <w:tc>
          <w:tcPr>
            <w:tcW w:w="6771" w:type="dxa"/>
          </w:tcPr>
          <w:p w14:paraId="2D980F4D" w14:textId="77777777" w:rsidR="006A3DBC" w:rsidRPr="00FA4B2D" w:rsidRDefault="006A3DBC" w:rsidP="005F4A92">
            <w:pPr>
              <w:widowControl w:val="0"/>
              <w:ind w:left="100" w:right="385"/>
              <w:rPr>
                <w:rFonts w:eastAsia="Calibri" w:cs="Arial"/>
                <w:sz w:val="20"/>
                <w:szCs w:val="20"/>
                <w:lang w:val="es-ES_tradnl"/>
              </w:rPr>
            </w:pPr>
            <w:r w:rsidRPr="00FA4B2D">
              <w:rPr>
                <w:rFonts w:eastAsia="Calibri" w:cs="Arial"/>
                <w:sz w:val="20"/>
                <w:szCs w:val="20"/>
                <w:lang w:val="es-ES_tradnl"/>
              </w:rPr>
              <w:t>Sistema Nacional de Áreas Protegidas de Honduras</w:t>
            </w:r>
          </w:p>
        </w:tc>
      </w:tr>
      <w:tr w:rsidR="006A3DBC" w:rsidRPr="00FA4B2D" w14:paraId="74D3AA5C" w14:textId="77777777" w:rsidTr="006A3DBC">
        <w:trPr>
          <w:trHeight w:hRule="exact" w:val="262"/>
        </w:trPr>
        <w:tc>
          <w:tcPr>
            <w:tcW w:w="2155" w:type="dxa"/>
          </w:tcPr>
          <w:p w14:paraId="4F597BF4" w14:textId="77777777" w:rsidR="006A3DBC" w:rsidRPr="00FA4B2D" w:rsidRDefault="006A3DBC" w:rsidP="005F4A92">
            <w:pPr>
              <w:widowControl w:val="0"/>
              <w:rPr>
                <w:rFonts w:eastAsia="Calibri" w:cs="Arial"/>
                <w:sz w:val="20"/>
                <w:szCs w:val="20"/>
                <w:lang w:val="es-ES_tradnl"/>
              </w:rPr>
            </w:pPr>
            <w:r w:rsidRPr="00FA4B2D">
              <w:rPr>
                <w:rFonts w:eastAsia="Calibri" w:cs="Arial"/>
                <w:sz w:val="20"/>
                <w:szCs w:val="20"/>
                <w:lang w:val="en-US"/>
              </w:rPr>
              <w:t>SINEIA</w:t>
            </w:r>
          </w:p>
        </w:tc>
        <w:tc>
          <w:tcPr>
            <w:tcW w:w="6771" w:type="dxa"/>
          </w:tcPr>
          <w:p w14:paraId="36F51FD9" w14:textId="77777777" w:rsidR="006A3DBC" w:rsidRPr="00FA4B2D" w:rsidRDefault="006A3DBC" w:rsidP="005F4A92">
            <w:pPr>
              <w:widowControl w:val="0"/>
              <w:ind w:left="100" w:right="385"/>
              <w:rPr>
                <w:rFonts w:eastAsia="Calibri" w:cs="Arial"/>
                <w:sz w:val="20"/>
                <w:szCs w:val="20"/>
                <w:lang w:val="es-ES_tradnl"/>
              </w:rPr>
            </w:pPr>
            <w:r w:rsidRPr="00FA4B2D">
              <w:rPr>
                <w:rFonts w:eastAsia="Calibri" w:cs="Arial"/>
                <w:sz w:val="20"/>
                <w:szCs w:val="20"/>
                <w:lang w:val="es-ES_tradnl"/>
              </w:rPr>
              <w:t>Sistema Nacional Evaluación Impacto</w:t>
            </w:r>
            <w:r w:rsidRPr="00FA4B2D">
              <w:rPr>
                <w:rFonts w:eastAsia="Calibri" w:cs="Arial"/>
                <w:spacing w:val="-9"/>
                <w:sz w:val="20"/>
                <w:szCs w:val="20"/>
                <w:lang w:val="es-ES_tradnl"/>
              </w:rPr>
              <w:t xml:space="preserve"> </w:t>
            </w:r>
            <w:r w:rsidRPr="00FA4B2D">
              <w:rPr>
                <w:rFonts w:eastAsia="Calibri" w:cs="Arial"/>
                <w:sz w:val="20"/>
                <w:szCs w:val="20"/>
                <w:lang w:val="es-ES_tradnl"/>
              </w:rPr>
              <w:t>Ambiental</w:t>
            </w:r>
          </w:p>
        </w:tc>
      </w:tr>
      <w:tr w:rsidR="006A3DBC" w:rsidRPr="00FA4B2D" w14:paraId="43FBDB4C" w14:textId="77777777" w:rsidTr="006A3DBC">
        <w:trPr>
          <w:trHeight w:hRule="exact" w:val="262"/>
        </w:trPr>
        <w:tc>
          <w:tcPr>
            <w:tcW w:w="2155" w:type="dxa"/>
          </w:tcPr>
          <w:p w14:paraId="773B8627" w14:textId="77777777" w:rsidR="006A3DBC" w:rsidRPr="00FA4B2D" w:rsidRDefault="006A3DBC" w:rsidP="005F4A92">
            <w:pPr>
              <w:widowControl w:val="0"/>
              <w:rPr>
                <w:rFonts w:eastAsia="Calibri" w:cs="Arial"/>
                <w:sz w:val="20"/>
                <w:szCs w:val="20"/>
              </w:rPr>
            </w:pPr>
            <w:r w:rsidRPr="00FA4B2D">
              <w:rPr>
                <w:rFonts w:cs="Arial"/>
                <w:sz w:val="20"/>
                <w:szCs w:val="20"/>
              </w:rPr>
              <w:t>SINAGER</w:t>
            </w:r>
          </w:p>
        </w:tc>
        <w:tc>
          <w:tcPr>
            <w:tcW w:w="6771" w:type="dxa"/>
          </w:tcPr>
          <w:p w14:paraId="41967463" w14:textId="77777777" w:rsidR="006A3DBC" w:rsidRPr="00FA4B2D" w:rsidRDefault="006A3DBC" w:rsidP="005F4A92">
            <w:pPr>
              <w:widowControl w:val="0"/>
              <w:ind w:left="100" w:right="385"/>
              <w:rPr>
                <w:rFonts w:eastAsia="Calibri" w:cs="Arial"/>
                <w:sz w:val="20"/>
                <w:szCs w:val="20"/>
                <w:lang w:val="es-ES_tradnl"/>
              </w:rPr>
            </w:pPr>
            <w:r w:rsidRPr="00FA4B2D">
              <w:rPr>
                <w:rFonts w:cs="Arial"/>
                <w:sz w:val="20"/>
                <w:szCs w:val="20"/>
              </w:rPr>
              <w:t>Sistema Nacional de Gestión de Riesgos</w:t>
            </w:r>
          </w:p>
        </w:tc>
      </w:tr>
      <w:tr w:rsidR="006A3DBC" w:rsidRPr="00FA4B2D" w14:paraId="6C2AA2E6" w14:textId="77777777" w:rsidTr="006A3DBC">
        <w:trPr>
          <w:trHeight w:hRule="exact" w:val="262"/>
        </w:trPr>
        <w:tc>
          <w:tcPr>
            <w:tcW w:w="2155" w:type="dxa"/>
          </w:tcPr>
          <w:p w14:paraId="3018CA94" w14:textId="77777777" w:rsidR="006A3DBC" w:rsidRPr="00FA4B2D" w:rsidRDefault="006A3DBC" w:rsidP="005F4A92">
            <w:pPr>
              <w:widowControl w:val="0"/>
              <w:rPr>
                <w:rFonts w:cs="Arial"/>
                <w:sz w:val="20"/>
                <w:szCs w:val="20"/>
              </w:rPr>
            </w:pPr>
            <w:r w:rsidRPr="00FA4B2D">
              <w:rPr>
                <w:rFonts w:cs="Arial"/>
                <w:sz w:val="20"/>
                <w:szCs w:val="20"/>
              </w:rPr>
              <w:t>STSS</w:t>
            </w:r>
          </w:p>
        </w:tc>
        <w:tc>
          <w:tcPr>
            <w:tcW w:w="6771" w:type="dxa"/>
          </w:tcPr>
          <w:p w14:paraId="42204CAF" w14:textId="77777777" w:rsidR="006A3DBC" w:rsidRPr="00FA4B2D" w:rsidRDefault="006A3DBC" w:rsidP="005F4A92">
            <w:pPr>
              <w:widowControl w:val="0"/>
              <w:ind w:left="100" w:right="385"/>
              <w:rPr>
                <w:rFonts w:cs="Arial"/>
                <w:sz w:val="20"/>
                <w:szCs w:val="20"/>
              </w:rPr>
            </w:pPr>
            <w:r w:rsidRPr="00FA4B2D">
              <w:rPr>
                <w:rFonts w:cs="Arial"/>
                <w:sz w:val="20"/>
                <w:szCs w:val="20"/>
              </w:rPr>
              <w:t>Secretaría de Trabajo y Seguridad Social</w:t>
            </w:r>
          </w:p>
        </w:tc>
      </w:tr>
      <w:tr w:rsidR="006A3DBC" w:rsidRPr="00FA4B2D" w14:paraId="31A606AE" w14:textId="77777777" w:rsidTr="006A3DBC">
        <w:trPr>
          <w:trHeight w:hRule="exact" w:val="262"/>
        </w:trPr>
        <w:tc>
          <w:tcPr>
            <w:tcW w:w="2155" w:type="dxa"/>
          </w:tcPr>
          <w:p w14:paraId="3AB83CC7" w14:textId="77777777" w:rsidR="006A3DBC" w:rsidRPr="00FA4B2D" w:rsidRDefault="006A3DBC" w:rsidP="005F4A92">
            <w:pPr>
              <w:widowControl w:val="0"/>
              <w:rPr>
                <w:rFonts w:cs="Arial"/>
                <w:sz w:val="20"/>
                <w:szCs w:val="20"/>
              </w:rPr>
            </w:pPr>
            <w:r w:rsidRPr="00FA4B2D">
              <w:rPr>
                <w:rFonts w:cs="Arial"/>
                <w:sz w:val="20"/>
                <w:szCs w:val="20"/>
              </w:rPr>
              <w:t>TdR</w:t>
            </w:r>
          </w:p>
        </w:tc>
        <w:tc>
          <w:tcPr>
            <w:tcW w:w="6771" w:type="dxa"/>
          </w:tcPr>
          <w:p w14:paraId="4900756F" w14:textId="77777777" w:rsidR="006A3DBC" w:rsidRPr="00FA4B2D" w:rsidRDefault="006A3DBC" w:rsidP="005F4A92">
            <w:pPr>
              <w:widowControl w:val="0"/>
              <w:ind w:left="100" w:right="385"/>
              <w:rPr>
                <w:rFonts w:cs="Arial"/>
                <w:sz w:val="20"/>
                <w:szCs w:val="20"/>
              </w:rPr>
            </w:pPr>
            <w:r w:rsidRPr="00FA4B2D">
              <w:rPr>
                <w:rFonts w:cs="Arial"/>
                <w:sz w:val="20"/>
                <w:szCs w:val="20"/>
              </w:rPr>
              <w:t>Términos de Referencia</w:t>
            </w:r>
          </w:p>
        </w:tc>
      </w:tr>
      <w:tr w:rsidR="006A3DBC" w:rsidRPr="00FA4B2D" w14:paraId="40ADC72C" w14:textId="77777777" w:rsidTr="006A3DBC">
        <w:trPr>
          <w:trHeight w:hRule="exact" w:val="262"/>
        </w:trPr>
        <w:tc>
          <w:tcPr>
            <w:tcW w:w="2155" w:type="dxa"/>
          </w:tcPr>
          <w:p w14:paraId="495B1581" w14:textId="77777777" w:rsidR="006A3DBC" w:rsidRPr="00FA4B2D" w:rsidRDefault="006A3DBC" w:rsidP="005F4A92">
            <w:pPr>
              <w:widowControl w:val="0"/>
              <w:rPr>
                <w:rFonts w:eastAsia="Calibri" w:cs="Arial"/>
                <w:sz w:val="20"/>
                <w:szCs w:val="20"/>
                <w:lang w:val="en-US"/>
              </w:rPr>
            </w:pPr>
            <w:r w:rsidRPr="00FA4B2D">
              <w:rPr>
                <w:rFonts w:eastAsia="Calibri" w:cs="Arial"/>
                <w:sz w:val="20"/>
                <w:szCs w:val="20"/>
                <w:lang w:val="en-US"/>
              </w:rPr>
              <w:t>TNR</w:t>
            </w:r>
          </w:p>
        </w:tc>
        <w:tc>
          <w:tcPr>
            <w:tcW w:w="6771" w:type="dxa"/>
          </w:tcPr>
          <w:p w14:paraId="4654DCF7" w14:textId="77777777" w:rsidR="006A3DBC" w:rsidRPr="00FA4B2D" w:rsidRDefault="006A3DBC" w:rsidP="005F4A92">
            <w:pPr>
              <w:widowControl w:val="0"/>
              <w:ind w:left="100" w:right="385"/>
              <w:rPr>
                <w:rFonts w:eastAsia="Calibri" w:cs="Arial"/>
                <w:sz w:val="20"/>
                <w:szCs w:val="20"/>
                <w:lang w:val="es-ES_tradnl"/>
              </w:rPr>
            </w:pPr>
            <w:r w:rsidRPr="00FA4B2D">
              <w:rPr>
                <w:rFonts w:eastAsia="Calibri" w:cs="Arial"/>
                <w:sz w:val="20"/>
                <w:szCs w:val="20"/>
                <w:lang w:val="es-ES_tradnl"/>
              </w:rPr>
              <w:t>Transferencia No Reembolsable</w:t>
            </w:r>
          </w:p>
        </w:tc>
      </w:tr>
      <w:tr w:rsidR="006A3DBC" w:rsidRPr="00FA4B2D" w14:paraId="70D834F6" w14:textId="77777777" w:rsidTr="006A3DBC">
        <w:trPr>
          <w:trHeight w:hRule="exact" w:val="262"/>
        </w:trPr>
        <w:tc>
          <w:tcPr>
            <w:tcW w:w="2155" w:type="dxa"/>
          </w:tcPr>
          <w:p w14:paraId="65BEBBD9" w14:textId="77777777" w:rsidR="006A3DBC" w:rsidRPr="00FA4B2D" w:rsidRDefault="006A3DBC" w:rsidP="005F4A92">
            <w:pPr>
              <w:widowControl w:val="0"/>
              <w:rPr>
                <w:rFonts w:eastAsia="Calibri" w:cs="Arial"/>
                <w:sz w:val="20"/>
                <w:szCs w:val="20"/>
                <w:lang w:val="en-US"/>
              </w:rPr>
            </w:pPr>
            <w:r w:rsidRPr="00FA4B2D">
              <w:rPr>
                <w:rFonts w:eastAsia="Calibri" w:cs="Arial"/>
                <w:sz w:val="20"/>
                <w:szCs w:val="20"/>
                <w:lang w:val="en-US"/>
              </w:rPr>
              <w:t>UICN</w:t>
            </w:r>
          </w:p>
        </w:tc>
        <w:tc>
          <w:tcPr>
            <w:tcW w:w="6771" w:type="dxa"/>
          </w:tcPr>
          <w:p w14:paraId="61395E01" w14:textId="77777777" w:rsidR="006A3DBC" w:rsidRPr="00FA4B2D" w:rsidRDefault="006A3DBC" w:rsidP="005F4A92">
            <w:pPr>
              <w:widowControl w:val="0"/>
              <w:ind w:left="100" w:right="385"/>
              <w:rPr>
                <w:rFonts w:eastAsia="Calibri" w:cs="Arial"/>
                <w:sz w:val="20"/>
                <w:szCs w:val="20"/>
                <w:lang w:val="es-ES_tradnl"/>
              </w:rPr>
            </w:pPr>
            <w:r w:rsidRPr="00FA4B2D">
              <w:rPr>
                <w:rFonts w:eastAsia="Calibri" w:cs="Arial"/>
                <w:sz w:val="20"/>
                <w:szCs w:val="20"/>
                <w:lang w:val="es-ES_tradnl"/>
              </w:rPr>
              <w:t>Unión Internacional para la Conservación de la Naturaleza</w:t>
            </w:r>
          </w:p>
        </w:tc>
      </w:tr>
      <w:tr w:rsidR="006A3DBC" w:rsidRPr="00FA4B2D" w14:paraId="5ED7326E" w14:textId="77777777" w:rsidTr="006A3DBC">
        <w:trPr>
          <w:trHeight w:hRule="exact" w:val="262"/>
        </w:trPr>
        <w:tc>
          <w:tcPr>
            <w:tcW w:w="2155" w:type="dxa"/>
          </w:tcPr>
          <w:p w14:paraId="3174B116" w14:textId="77777777" w:rsidR="006A3DBC" w:rsidRPr="00FA4B2D" w:rsidRDefault="006A3DBC" w:rsidP="005F4A92">
            <w:pPr>
              <w:widowControl w:val="0"/>
              <w:rPr>
                <w:rFonts w:eastAsia="Calibri" w:cs="Arial"/>
                <w:sz w:val="20"/>
                <w:szCs w:val="20"/>
                <w:lang w:val="es-ES_tradnl"/>
              </w:rPr>
            </w:pPr>
            <w:r w:rsidRPr="00FA4B2D">
              <w:rPr>
                <w:rFonts w:eastAsia="Calibri" w:cs="Arial"/>
                <w:sz w:val="20"/>
                <w:szCs w:val="20"/>
                <w:lang w:val="es-ES_tradnl"/>
              </w:rPr>
              <w:t>UNAH</w:t>
            </w:r>
          </w:p>
        </w:tc>
        <w:tc>
          <w:tcPr>
            <w:tcW w:w="6771" w:type="dxa"/>
          </w:tcPr>
          <w:p w14:paraId="64BA6C3C" w14:textId="77777777" w:rsidR="006A3DBC" w:rsidRPr="00FA4B2D" w:rsidRDefault="006A3DBC" w:rsidP="005F4A92">
            <w:pPr>
              <w:widowControl w:val="0"/>
              <w:ind w:right="385"/>
              <w:rPr>
                <w:rFonts w:eastAsia="Calibri" w:cs="Arial"/>
                <w:sz w:val="20"/>
                <w:szCs w:val="20"/>
                <w:lang w:val="es-ES_tradnl"/>
              </w:rPr>
            </w:pPr>
            <w:r w:rsidRPr="00FA4B2D">
              <w:rPr>
                <w:rFonts w:eastAsia="Calibri" w:cs="Arial"/>
                <w:sz w:val="20"/>
                <w:szCs w:val="20"/>
                <w:lang w:val="es-ES_tradnl"/>
              </w:rPr>
              <w:t xml:space="preserve">  Universidad Nacional Autónoma de Honduras</w:t>
            </w:r>
          </w:p>
        </w:tc>
      </w:tr>
      <w:tr w:rsidR="006A3DBC" w:rsidRPr="00FA4B2D" w14:paraId="5695B91F" w14:textId="77777777" w:rsidTr="006A3DBC">
        <w:trPr>
          <w:trHeight w:hRule="exact" w:val="262"/>
        </w:trPr>
        <w:tc>
          <w:tcPr>
            <w:tcW w:w="2155" w:type="dxa"/>
          </w:tcPr>
          <w:p w14:paraId="00B690BD" w14:textId="77777777" w:rsidR="006A3DBC" w:rsidRPr="00FA4B2D" w:rsidRDefault="006A3DBC" w:rsidP="005F4A92">
            <w:pPr>
              <w:widowControl w:val="0"/>
              <w:rPr>
                <w:rFonts w:eastAsia="Calibri" w:cs="Arial"/>
                <w:sz w:val="20"/>
                <w:szCs w:val="20"/>
                <w:lang w:val="es-ES_tradnl"/>
              </w:rPr>
            </w:pPr>
            <w:r w:rsidRPr="00FA4B2D">
              <w:rPr>
                <w:rFonts w:eastAsia="Calibri" w:cs="Arial"/>
                <w:sz w:val="20"/>
                <w:szCs w:val="20"/>
                <w:lang w:val="es-ES_tradnl"/>
              </w:rPr>
              <w:t>UNESCO</w:t>
            </w:r>
          </w:p>
        </w:tc>
        <w:tc>
          <w:tcPr>
            <w:tcW w:w="6771" w:type="dxa"/>
          </w:tcPr>
          <w:p w14:paraId="76DB4FEA" w14:textId="77777777" w:rsidR="006A3DBC" w:rsidRPr="00FA4B2D" w:rsidRDefault="006A3DBC" w:rsidP="005F4A92">
            <w:pPr>
              <w:widowControl w:val="0"/>
              <w:ind w:right="385"/>
              <w:rPr>
                <w:rFonts w:eastAsia="Calibri" w:cs="Arial"/>
                <w:sz w:val="20"/>
                <w:szCs w:val="20"/>
                <w:lang w:val="es-ES_tradnl"/>
              </w:rPr>
            </w:pPr>
            <w:r w:rsidRPr="00FA4B2D">
              <w:rPr>
                <w:rFonts w:eastAsia="Calibri" w:cs="Arial"/>
                <w:sz w:val="20"/>
                <w:szCs w:val="20"/>
                <w:lang w:val="es-ES_tradnl"/>
              </w:rPr>
              <w:t xml:space="preserve">  Organización de las Naciones Unidas para la Educación, la Ciencia y la Cultura</w:t>
            </w:r>
          </w:p>
        </w:tc>
      </w:tr>
      <w:tr w:rsidR="006A3DBC" w:rsidRPr="00FA4B2D" w14:paraId="2569FFB3" w14:textId="77777777" w:rsidTr="006A3DBC">
        <w:trPr>
          <w:trHeight w:hRule="exact" w:val="262"/>
        </w:trPr>
        <w:tc>
          <w:tcPr>
            <w:tcW w:w="2155" w:type="dxa"/>
          </w:tcPr>
          <w:p w14:paraId="48EBBC0B" w14:textId="77777777" w:rsidR="006A3DBC" w:rsidRPr="00FA4B2D" w:rsidRDefault="006A3DBC" w:rsidP="005F4A92">
            <w:pPr>
              <w:widowControl w:val="0"/>
              <w:rPr>
                <w:rFonts w:eastAsia="Calibri" w:cs="Arial"/>
                <w:sz w:val="20"/>
                <w:szCs w:val="20"/>
                <w:lang w:val="es-ES_tradnl"/>
              </w:rPr>
            </w:pPr>
            <w:r w:rsidRPr="00FA4B2D">
              <w:rPr>
                <w:rFonts w:eastAsia="Calibri" w:cs="Arial"/>
                <w:sz w:val="20"/>
                <w:szCs w:val="20"/>
                <w:lang w:val="es-ES_tradnl"/>
              </w:rPr>
              <w:t>UAP</w:t>
            </w:r>
          </w:p>
        </w:tc>
        <w:tc>
          <w:tcPr>
            <w:tcW w:w="6771" w:type="dxa"/>
          </w:tcPr>
          <w:p w14:paraId="1699CD69" w14:textId="77777777" w:rsidR="006A3DBC" w:rsidRPr="00FA4B2D" w:rsidRDefault="006A3DBC" w:rsidP="005F4A92">
            <w:pPr>
              <w:widowControl w:val="0"/>
              <w:ind w:right="385"/>
              <w:rPr>
                <w:rFonts w:eastAsia="Calibri" w:cs="Arial"/>
                <w:sz w:val="20"/>
                <w:szCs w:val="20"/>
                <w:lang w:val="es-ES_tradnl"/>
              </w:rPr>
            </w:pPr>
            <w:r w:rsidRPr="00FA4B2D">
              <w:rPr>
                <w:rFonts w:eastAsia="Calibri" w:cs="Arial"/>
                <w:sz w:val="20"/>
                <w:szCs w:val="20"/>
                <w:lang w:val="es-ES_tradnl"/>
              </w:rPr>
              <w:t xml:space="preserve">  Unidad Administradora de Proyectos</w:t>
            </w:r>
          </w:p>
        </w:tc>
      </w:tr>
      <w:tr w:rsidR="006A3DBC" w:rsidRPr="00FA4B2D" w14:paraId="75D87D3B" w14:textId="77777777" w:rsidTr="006A3DBC">
        <w:trPr>
          <w:trHeight w:hRule="exact" w:val="262"/>
        </w:trPr>
        <w:tc>
          <w:tcPr>
            <w:tcW w:w="2155" w:type="dxa"/>
          </w:tcPr>
          <w:p w14:paraId="6E834599" w14:textId="77777777" w:rsidR="006A3DBC" w:rsidRPr="00FA4B2D" w:rsidRDefault="006A3DBC" w:rsidP="005F4A92">
            <w:pPr>
              <w:widowControl w:val="0"/>
              <w:rPr>
                <w:rFonts w:eastAsia="Calibri" w:cs="Arial"/>
                <w:sz w:val="20"/>
                <w:szCs w:val="20"/>
                <w:lang w:val="es-ES_tradnl"/>
              </w:rPr>
            </w:pPr>
            <w:r w:rsidRPr="00FA4B2D">
              <w:rPr>
                <w:rFonts w:eastAsia="Calibri" w:cs="Arial"/>
                <w:sz w:val="20"/>
                <w:szCs w:val="20"/>
                <w:lang w:val="es-ES_tradnl"/>
              </w:rPr>
              <w:t>UEP</w:t>
            </w:r>
          </w:p>
        </w:tc>
        <w:tc>
          <w:tcPr>
            <w:tcW w:w="6771" w:type="dxa"/>
          </w:tcPr>
          <w:p w14:paraId="3D11FB0A" w14:textId="77777777" w:rsidR="006A3DBC" w:rsidRPr="00FA4B2D" w:rsidRDefault="006A3DBC" w:rsidP="005F4A92">
            <w:pPr>
              <w:widowControl w:val="0"/>
              <w:ind w:right="385"/>
              <w:rPr>
                <w:rFonts w:eastAsia="Calibri" w:cs="Arial"/>
                <w:sz w:val="20"/>
                <w:szCs w:val="20"/>
                <w:lang w:val="es-ES_tradnl"/>
              </w:rPr>
            </w:pPr>
            <w:r w:rsidRPr="00FA4B2D">
              <w:rPr>
                <w:rFonts w:eastAsia="Calibri" w:cs="Arial"/>
                <w:sz w:val="20"/>
                <w:szCs w:val="20"/>
                <w:lang w:val="es-ES_tradnl"/>
              </w:rPr>
              <w:t xml:space="preserve">  Unidad Ejecutora del Proyecto</w:t>
            </w:r>
          </w:p>
        </w:tc>
      </w:tr>
      <w:tr w:rsidR="008D411D" w:rsidRPr="00FA4B2D" w14:paraId="4A87DB5B" w14:textId="77777777" w:rsidTr="006A3DBC">
        <w:trPr>
          <w:trHeight w:hRule="exact" w:val="262"/>
        </w:trPr>
        <w:tc>
          <w:tcPr>
            <w:tcW w:w="2155" w:type="dxa"/>
          </w:tcPr>
          <w:p w14:paraId="37CF6ADB" w14:textId="7BF136FF" w:rsidR="008D411D" w:rsidRPr="00FA4B2D" w:rsidRDefault="008D411D" w:rsidP="005F4A92">
            <w:pPr>
              <w:widowControl w:val="0"/>
              <w:rPr>
                <w:rFonts w:eastAsia="Calibri" w:cs="Arial"/>
                <w:sz w:val="20"/>
                <w:szCs w:val="20"/>
                <w:lang w:val="es-ES_tradnl"/>
              </w:rPr>
            </w:pPr>
            <w:r w:rsidRPr="00FA4B2D">
              <w:rPr>
                <w:rFonts w:eastAsia="Calibri" w:cs="Arial"/>
                <w:sz w:val="20"/>
                <w:szCs w:val="20"/>
                <w:lang w:val="es-ES_tradnl"/>
              </w:rPr>
              <w:t>VBG</w:t>
            </w:r>
          </w:p>
        </w:tc>
        <w:tc>
          <w:tcPr>
            <w:tcW w:w="6771" w:type="dxa"/>
          </w:tcPr>
          <w:p w14:paraId="2B4328FA" w14:textId="3765F029" w:rsidR="008D411D" w:rsidRPr="00FA4B2D" w:rsidRDefault="008D411D" w:rsidP="005F4A92">
            <w:pPr>
              <w:widowControl w:val="0"/>
              <w:ind w:right="385"/>
              <w:rPr>
                <w:rFonts w:eastAsia="Calibri" w:cs="Arial"/>
                <w:sz w:val="20"/>
                <w:szCs w:val="20"/>
                <w:lang w:val="es-ES_tradnl"/>
              </w:rPr>
            </w:pPr>
            <w:r w:rsidRPr="00FA4B2D">
              <w:rPr>
                <w:rFonts w:eastAsia="Calibri" w:cs="Arial"/>
                <w:sz w:val="20"/>
                <w:szCs w:val="20"/>
                <w:lang w:val="es-ES_tradnl"/>
              </w:rPr>
              <w:t>Violencia Basada en Género</w:t>
            </w:r>
          </w:p>
        </w:tc>
      </w:tr>
    </w:tbl>
    <w:p w14:paraId="0D492F08" w14:textId="77777777" w:rsidR="006A3DBC" w:rsidRPr="00FA4B2D" w:rsidRDefault="006A3DBC" w:rsidP="006A3DBC">
      <w:pPr>
        <w:spacing w:after="0" w:line="240" w:lineRule="auto"/>
        <w:rPr>
          <w:rFonts w:cs="Arial"/>
        </w:rPr>
      </w:pPr>
    </w:p>
    <w:p w14:paraId="4B9DFD47" w14:textId="77777777" w:rsidR="006A3DBC" w:rsidRPr="00FA4B2D" w:rsidRDefault="006A3DBC" w:rsidP="006A3DBC">
      <w:pPr>
        <w:spacing w:after="0" w:line="240" w:lineRule="auto"/>
        <w:rPr>
          <w:rFonts w:cs="Arial"/>
        </w:rPr>
      </w:pPr>
    </w:p>
    <w:p w14:paraId="070A6F8D" w14:textId="77777777" w:rsidR="006A3DBC" w:rsidRPr="00FA4B2D" w:rsidRDefault="006A3DBC" w:rsidP="006A3DBC">
      <w:pPr>
        <w:spacing w:after="0" w:line="240" w:lineRule="auto"/>
        <w:rPr>
          <w:rFonts w:cs="Arial"/>
        </w:rPr>
      </w:pPr>
    </w:p>
    <w:p w14:paraId="36663722" w14:textId="77777777" w:rsidR="006A3DBC" w:rsidRPr="00FA4B2D" w:rsidRDefault="006A3DBC" w:rsidP="006A3DBC">
      <w:pPr>
        <w:spacing w:after="0" w:line="240" w:lineRule="auto"/>
        <w:rPr>
          <w:rFonts w:cs="Arial"/>
        </w:rPr>
      </w:pPr>
    </w:p>
    <w:p w14:paraId="0A5DF510" w14:textId="77777777" w:rsidR="006A3DBC" w:rsidRPr="00FA4B2D" w:rsidRDefault="006A3DBC" w:rsidP="006A3DBC">
      <w:pPr>
        <w:spacing w:after="0" w:line="240" w:lineRule="auto"/>
        <w:rPr>
          <w:rFonts w:cs="Arial"/>
        </w:rPr>
      </w:pPr>
    </w:p>
    <w:p w14:paraId="518F14E5" w14:textId="77777777" w:rsidR="006A3DBC" w:rsidRPr="00FA4B2D" w:rsidRDefault="006A3DBC" w:rsidP="006A3DBC">
      <w:pPr>
        <w:spacing w:after="0" w:line="240" w:lineRule="auto"/>
        <w:rPr>
          <w:rFonts w:cs="Arial"/>
        </w:rPr>
      </w:pPr>
    </w:p>
    <w:p w14:paraId="792163DD" w14:textId="77777777" w:rsidR="006A3DBC" w:rsidRPr="00FA4B2D" w:rsidRDefault="006A3DBC" w:rsidP="006A3DBC">
      <w:pPr>
        <w:spacing w:after="0" w:line="240" w:lineRule="auto"/>
        <w:rPr>
          <w:rFonts w:cs="Arial"/>
        </w:rPr>
      </w:pPr>
    </w:p>
    <w:p w14:paraId="11010ADA" w14:textId="77777777" w:rsidR="006A3DBC" w:rsidRPr="00FA4B2D" w:rsidRDefault="006A3DBC" w:rsidP="006A3DBC">
      <w:pPr>
        <w:spacing w:after="0" w:line="240" w:lineRule="auto"/>
        <w:rPr>
          <w:rFonts w:cs="Arial"/>
        </w:rPr>
      </w:pPr>
    </w:p>
    <w:p w14:paraId="700A0085" w14:textId="77777777" w:rsidR="006A3DBC" w:rsidRPr="00FA4B2D" w:rsidRDefault="006A3DBC" w:rsidP="006A3DBC">
      <w:pPr>
        <w:spacing w:after="0" w:line="240" w:lineRule="auto"/>
        <w:rPr>
          <w:rFonts w:cs="Arial"/>
        </w:rPr>
      </w:pPr>
    </w:p>
    <w:p w14:paraId="4AC2D86A" w14:textId="77777777" w:rsidR="006A3DBC" w:rsidRPr="00FA4B2D" w:rsidRDefault="006A3DBC" w:rsidP="006A3DBC">
      <w:pPr>
        <w:spacing w:after="0" w:line="240" w:lineRule="auto"/>
        <w:rPr>
          <w:rFonts w:cs="Arial"/>
        </w:rPr>
      </w:pPr>
    </w:p>
    <w:p w14:paraId="2FF53C24" w14:textId="77777777" w:rsidR="006A3DBC" w:rsidRPr="00FA4B2D" w:rsidRDefault="006A3DBC" w:rsidP="006A3DBC">
      <w:pPr>
        <w:spacing w:after="0" w:line="240" w:lineRule="auto"/>
        <w:rPr>
          <w:rFonts w:cs="Arial"/>
        </w:rPr>
      </w:pPr>
    </w:p>
    <w:p w14:paraId="6E10FE8D" w14:textId="77777777" w:rsidR="006A3DBC" w:rsidRPr="00FA4B2D" w:rsidRDefault="006A3DBC" w:rsidP="006A3DBC">
      <w:pPr>
        <w:spacing w:after="0" w:line="240" w:lineRule="auto"/>
        <w:rPr>
          <w:rFonts w:cs="Arial"/>
        </w:rPr>
      </w:pPr>
    </w:p>
    <w:p w14:paraId="1D026062" w14:textId="77777777" w:rsidR="006A3DBC" w:rsidRPr="00FA4B2D" w:rsidRDefault="006A3DBC" w:rsidP="006A3DBC">
      <w:pPr>
        <w:spacing w:after="0" w:line="240" w:lineRule="auto"/>
        <w:rPr>
          <w:rFonts w:cs="Arial"/>
        </w:rPr>
      </w:pPr>
    </w:p>
    <w:p w14:paraId="7F385E7F" w14:textId="77777777" w:rsidR="006A3DBC" w:rsidRPr="00FA4B2D" w:rsidRDefault="006A3DBC" w:rsidP="006A3DBC">
      <w:pPr>
        <w:spacing w:after="0" w:line="240" w:lineRule="auto"/>
        <w:rPr>
          <w:rFonts w:cs="Arial"/>
        </w:rPr>
      </w:pPr>
    </w:p>
    <w:p w14:paraId="308E389B" w14:textId="77777777" w:rsidR="006A3DBC" w:rsidRPr="00FA4B2D" w:rsidRDefault="006A3DBC" w:rsidP="006A3DBC">
      <w:pPr>
        <w:spacing w:after="0" w:line="240" w:lineRule="auto"/>
        <w:rPr>
          <w:rFonts w:cs="Arial"/>
        </w:rPr>
      </w:pPr>
    </w:p>
    <w:p w14:paraId="5B1E5F8F" w14:textId="77777777" w:rsidR="006A3DBC" w:rsidRPr="00FA4B2D" w:rsidRDefault="006A3DBC" w:rsidP="006A3DBC">
      <w:pPr>
        <w:pStyle w:val="Ttulo1"/>
        <w:numPr>
          <w:ilvl w:val="0"/>
          <w:numId w:val="1"/>
        </w:numPr>
        <w:spacing w:before="0" w:line="240" w:lineRule="auto"/>
        <w:ind w:firstLine="0"/>
        <w:jc w:val="both"/>
        <w:rPr>
          <w:rFonts w:ascii="Arial" w:hAnsi="Arial" w:cs="Arial"/>
          <w:b/>
          <w:color w:val="767171" w:themeColor="background2" w:themeShade="80"/>
          <w:sz w:val="22"/>
          <w:szCs w:val="22"/>
        </w:rPr>
      </w:pPr>
      <w:r w:rsidRPr="00FA4B2D">
        <w:rPr>
          <w:rFonts w:ascii="Arial" w:hAnsi="Arial" w:cs="Arial"/>
          <w:b/>
          <w:color w:val="767171" w:themeColor="background2" w:themeShade="80"/>
          <w:sz w:val="22"/>
          <w:szCs w:val="22"/>
        </w:rPr>
        <w:br w:type="column"/>
      </w:r>
      <w:bookmarkStart w:id="2" w:name="_Toc65884158"/>
      <w:bookmarkStart w:id="3" w:name="_Toc67573374"/>
      <w:bookmarkStart w:id="4" w:name="_Toc202456895"/>
      <w:r w:rsidRPr="00FA4B2D">
        <w:rPr>
          <w:rFonts w:ascii="Arial" w:hAnsi="Arial" w:cs="Arial"/>
          <w:b/>
          <w:color w:val="767171" w:themeColor="background2" w:themeShade="80"/>
          <w:sz w:val="22"/>
          <w:szCs w:val="22"/>
        </w:rPr>
        <w:lastRenderedPageBreak/>
        <w:t>Introducción</w:t>
      </w:r>
      <w:bookmarkEnd w:id="2"/>
      <w:bookmarkEnd w:id="3"/>
      <w:bookmarkEnd w:id="4"/>
    </w:p>
    <w:p w14:paraId="3744D534" w14:textId="77777777" w:rsidR="006A3DBC" w:rsidRPr="00FA4B2D" w:rsidRDefault="006A3DBC" w:rsidP="006A3DBC">
      <w:pPr>
        <w:tabs>
          <w:tab w:val="left" w:pos="1498"/>
        </w:tabs>
        <w:spacing w:after="0" w:line="240" w:lineRule="auto"/>
        <w:jc w:val="both"/>
        <w:rPr>
          <w:rFonts w:cs="Arial"/>
        </w:rPr>
      </w:pPr>
    </w:p>
    <w:p w14:paraId="66B40714" w14:textId="77777777" w:rsidR="006A3DBC" w:rsidRPr="00FA4B2D" w:rsidRDefault="006A3DBC" w:rsidP="006A3DBC">
      <w:pPr>
        <w:spacing w:after="131"/>
        <w:ind w:left="25" w:right="1"/>
        <w:jc w:val="both"/>
        <w:rPr>
          <w:rFonts w:cs="Arial"/>
        </w:rPr>
      </w:pPr>
      <w:r w:rsidRPr="00FA4B2D">
        <w:rPr>
          <w:rFonts w:cs="Arial"/>
        </w:rPr>
        <w:t xml:space="preserve">El presente documento corresponde al Marco de Gestión Ambiental y Social (MGAS) del Proyecto Integrando la Innovación para la Competitividad Rural en Honduras, que en adelante se abreviará como COMRURAL III.  </w:t>
      </w:r>
    </w:p>
    <w:p w14:paraId="23806648" w14:textId="77777777" w:rsidR="006A3DBC" w:rsidRPr="00FA4B2D" w:rsidRDefault="006A3DBC" w:rsidP="006A3DBC">
      <w:pPr>
        <w:spacing w:after="131"/>
        <w:ind w:left="25" w:right="1"/>
        <w:jc w:val="both"/>
        <w:rPr>
          <w:rFonts w:cs="Arial"/>
        </w:rPr>
      </w:pPr>
      <w:r w:rsidRPr="00FA4B2D">
        <w:rPr>
          <w:rFonts w:cs="Arial"/>
        </w:rPr>
        <w:t xml:space="preserve">Ampliando el enfoque y el área de intervención de COMRURAL II, el Proyecto se enfoca en hacer operativos los procesos y mecanismos que faciliten las alianzas productivas, la promoción de la organización, la capacitación, asesoría y acompañamiento técnico, infraestructura e inversiones productivas para propiciar un ambiente de inversión de pequeños y medianos </w:t>
      </w:r>
      <w:proofErr w:type="gramStart"/>
      <w:r w:rsidRPr="00FA4B2D">
        <w:rPr>
          <w:rFonts w:cs="Arial"/>
        </w:rPr>
        <w:t>productores y productoras</w:t>
      </w:r>
      <w:proofErr w:type="gramEnd"/>
      <w:r w:rsidRPr="00FA4B2D">
        <w:rPr>
          <w:rFonts w:cs="Arial"/>
        </w:rPr>
        <w:t xml:space="preserve"> en alianzas productivas. La modalidad de cofinanciamiento a las organizaciones de productores se realiza a través de transferencias en calidad de capital semilla a los subproyectos de los planes de negocio viables, orientados por la demanda y definidos en base a mecanismos de mercado (criterio de rentabilidad), además de un enfoque de inclusión social para los sectores habitados por pueblos indígenas y afrodescendientes.  </w:t>
      </w:r>
    </w:p>
    <w:p w14:paraId="0FE08DBC" w14:textId="77777777" w:rsidR="006A3DBC" w:rsidRPr="00FA4B2D" w:rsidRDefault="006A3DBC" w:rsidP="006A3DBC">
      <w:pPr>
        <w:spacing w:after="131"/>
        <w:ind w:left="25" w:right="1"/>
        <w:jc w:val="both"/>
        <w:rPr>
          <w:rFonts w:cs="Arial"/>
        </w:rPr>
      </w:pPr>
      <w:r w:rsidRPr="00FA4B2D">
        <w:rPr>
          <w:rFonts w:cs="Arial"/>
        </w:rPr>
        <w:t xml:space="preserve">En cumplimiento de los requerimientos regulatorios nacionales y de los Estándares Ambiental y Sociales (EASs) del Marco Ambiental y Social (MAS) del Banco Mundial (BM), este MGAS y sus anexos recogen las medidas de mitigación que el país aplicará de acuerdo con su legislación nacional y su aparato institucional, que son consideradas como adecuadas para evitar, mitigar o minimizar los riesgos ambientales y sociales identificados. Este MGAS se complementa con los siguientes instrumentos asociados que fueron diseñados a partir de los requisitos de los EASs del BM: Marco de Reasentamiento Involuntario (MRI) y Marco de Proceso (MP), Marco de Planificación para Pueblos Indígenas (MPPI), un Plan de Participación de Partes Interesadas (PPPI), y Procedimientos de Gestión de Mano de Obra (PGMO). </w:t>
      </w:r>
    </w:p>
    <w:p w14:paraId="34AA13E7" w14:textId="77777777" w:rsidR="006A3DBC" w:rsidRPr="00FA4B2D" w:rsidRDefault="006A3DBC" w:rsidP="006A3DBC">
      <w:pPr>
        <w:tabs>
          <w:tab w:val="left" w:pos="1498"/>
        </w:tabs>
        <w:spacing w:after="0" w:line="240" w:lineRule="auto"/>
        <w:jc w:val="both"/>
        <w:rPr>
          <w:rFonts w:cs="Arial"/>
        </w:rPr>
      </w:pPr>
      <w:r w:rsidRPr="00FA4B2D">
        <w:rPr>
          <w:rFonts w:cs="Arial"/>
        </w:rPr>
        <w:tab/>
      </w:r>
    </w:p>
    <w:p w14:paraId="7BCA5E01" w14:textId="77777777" w:rsidR="006A3DBC" w:rsidRPr="00FA4B2D" w:rsidRDefault="006A3DBC" w:rsidP="006A3DBC">
      <w:pPr>
        <w:pStyle w:val="Ttulo1"/>
        <w:numPr>
          <w:ilvl w:val="0"/>
          <w:numId w:val="1"/>
        </w:numPr>
        <w:spacing w:before="0" w:line="240" w:lineRule="auto"/>
        <w:ind w:firstLine="0"/>
        <w:jc w:val="both"/>
        <w:rPr>
          <w:rFonts w:ascii="Arial" w:hAnsi="Arial" w:cs="Arial"/>
          <w:b/>
          <w:color w:val="767171" w:themeColor="background2" w:themeShade="80"/>
          <w:sz w:val="22"/>
          <w:szCs w:val="22"/>
        </w:rPr>
      </w:pPr>
      <w:bookmarkStart w:id="5" w:name="_Toc65884159"/>
      <w:bookmarkStart w:id="6" w:name="_Toc67573375"/>
      <w:bookmarkStart w:id="7" w:name="_Toc202456896"/>
      <w:r w:rsidRPr="00FA4B2D">
        <w:rPr>
          <w:rFonts w:ascii="Arial" w:hAnsi="Arial" w:cs="Arial"/>
          <w:b/>
          <w:color w:val="767171" w:themeColor="background2" w:themeShade="80"/>
          <w:sz w:val="22"/>
          <w:szCs w:val="22"/>
        </w:rPr>
        <w:t>Descripción del Proyecto</w:t>
      </w:r>
      <w:bookmarkEnd w:id="5"/>
      <w:bookmarkEnd w:id="6"/>
      <w:bookmarkEnd w:id="7"/>
      <w:r w:rsidRPr="00FA4B2D">
        <w:rPr>
          <w:rFonts w:ascii="Arial" w:hAnsi="Arial" w:cs="Arial"/>
          <w:b/>
          <w:color w:val="767171" w:themeColor="background2" w:themeShade="80"/>
          <w:sz w:val="22"/>
          <w:szCs w:val="22"/>
        </w:rPr>
        <w:t xml:space="preserve"> </w:t>
      </w:r>
    </w:p>
    <w:p w14:paraId="1D854B72" w14:textId="77777777" w:rsidR="006A3DBC" w:rsidRPr="00FA4B2D" w:rsidRDefault="006A3DBC" w:rsidP="006A3DBC">
      <w:pPr>
        <w:spacing w:after="0" w:line="240" w:lineRule="auto"/>
        <w:jc w:val="both"/>
        <w:rPr>
          <w:rFonts w:cs="Arial"/>
        </w:rPr>
      </w:pPr>
    </w:p>
    <w:p w14:paraId="1DAC0A4A" w14:textId="2A30F10A" w:rsidR="006A3DBC" w:rsidRPr="00FA4B2D" w:rsidRDefault="006A3DBC" w:rsidP="006A3DBC">
      <w:pPr>
        <w:pStyle w:val="Prrafodelista"/>
        <w:tabs>
          <w:tab w:val="left" w:pos="0"/>
        </w:tabs>
        <w:spacing w:after="60" w:line="240" w:lineRule="auto"/>
        <w:ind w:left="0"/>
        <w:contextualSpacing w:val="0"/>
        <w:jc w:val="both"/>
        <w:rPr>
          <w:rFonts w:cs="Arial"/>
          <w:bCs/>
        </w:rPr>
      </w:pPr>
      <w:r w:rsidRPr="00FA4B2D">
        <w:rPr>
          <w:rFonts w:cs="Arial"/>
          <w:bCs/>
        </w:rPr>
        <w:t>El objetivo de desarrollo del Proyecto es: “(i) Contribuir a la generación de puestos de trabajo, al acceso de mercados y a la adopción de tecnologías y prácticas climáticamente inteligentes en las cadenas de valor agroalimentarias seleccionadas”</w:t>
      </w:r>
      <w:r w:rsidR="00C344FD" w:rsidRPr="00FA4B2D">
        <w:rPr>
          <w:rFonts w:cs="Arial"/>
          <w:bCs/>
        </w:rPr>
        <w:t>;</w:t>
      </w:r>
      <w:r w:rsidRPr="00FA4B2D">
        <w:rPr>
          <w:rFonts w:cs="Arial"/>
          <w:bCs/>
        </w:rPr>
        <w:t xml:space="preserve"> y (ii) en caso de una Crisis o Emergencia Elegible, responder de forma efectiva ante la misma”.</w:t>
      </w:r>
    </w:p>
    <w:p w14:paraId="6C13835C" w14:textId="77777777" w:rsidR="006A3DBC" w:rsidRPr="00FA4B2D" w:rsidRDefault="006A3DBC" w:rsidP="006A3DBC">
      <w:pPr>
        <w:pStyle w:val="Prrafodelista"/>
        <w:tabs>
          <w:tab w:val="left" w:pos="0"/>
        </w:tabs>
        <w:spacing w:after="60" w:line="240" w:lineRule="auto"/>
        <w:ind w:left="0"/>
        <w:contextualSpacing w:val="0"/>
        <w:jc w:val="both"/>
        <w:rPr>
          <w:rFonts w:cs="Arial"/>
          <w:bCs/>
        </w:rPr>
      </w:pPr>
    </w:p>
    <w:p w14:paraId="43A34F64" w14:textId="77777777" w:rsidR="006A3DBC" w:rsidRPr="00FA4B2D" w:rsidRDefault="006A3DBC" w:rsidP="006A3DBC">
      <w:pPr>
        <w:pStyle w:val="Prrafodelista"/>
        <w:spacing w:after="60" w:line="240" w:lineRule="auto"/>
        <w:ind w:left="0"/>
        <w:jc w:val="both"/>
        <w:rPr>
          <w:rFonts w:eastAsia="Times New Roman" w:cs="Arial"/>
          <w:lang w:val="es-GT"/>
        </w:rPr>
      </w:pPr>
      <w:r w:rsidRPr="00FA4B2D">
        <w:rPr>
          <w:rFonts w:cs="Arial"/>
          <w:bCs/>
        </w:rPr>
        <w:t xml:space="preserve">El Proyecto original con el fondo de crédito se focalizó en 16 de los 18 Departamentos de Honduras: Comayagua, La Paz, Intibucá, Santa Bárbara, Lempira, Copán, Ocotepeque, Francisco Morazán, El Paraíso, Choluteca, Cortés, Atlántida, Colón, Olancho, Valle y Yoro cubriendo casi la totalidad del territorio nacional. </w:t>
      </w:r>
      <w:r w:rsidRPr="00FA4B2D">
        <w:rPr>
          <w:rFonts w:eastAsia="Times New Roman" w:cs="Arial"/>
          <w:lang w:val="es-GT"/>
        </w:rPr>
        <w:t xml:space="preserve">El Financiamiento Adicional (FA) en categoría de donación se enfoca, además, en el Departamento de Gracias a Dios, logrando ampliar a 17 departamentos. La zona de influencia de ComRural III y su FA comprende territorio donde habita población indígena Lencas, Maya Chortí, Pech, Tolupanes, Nahua, Miskitu, Tawahka, y </w:t>
      </w:r>
      <w:r w:rsidRPr="00FA4B2D">
        <w:rPr>
          <w:rFonts w:eastAsia="Times New Roman" w:cs="Arial"/>
          <w:lang w:val="es-GT"/>
        </w:rPr>
        <w:lastRenderedPageBreak/>
        <w:t>afrodescendientes Garífunas y Negros de habla inglesa.  En el mapa se puede ver los Pueblos Indígenas en los 17 departamentos que conforman el área de influencia del Proyecto.</w:t>
      </w:r>
    </w:p>
    <w:p w14:paraId="19E30E57" w14:textId="77777777" w:rsidR="003029D7" w:rsidRPr="00FA4B2D" w:rsidRDefault="003029D7" w:rsidP="006A3DBC">
      <w:pPr>
        <w:pStyle w:val="Prrafodelista"/>
        <w:spacing w:after="60" w:line="240" w:lineRule="auto"/>
        <w:ind w:left="0"/>
        <w:jc w:val="both"/>
        <w:rPr>
          <w:rFonts w:eastAsia="Times New Roman" w:cs="Arial"/>
          <w:lang w:val="es-GT"/>
        </w:rPr>
      </w:pPr>
    </w:p>
    <w:p w14:paraId="32F27232" w14:textId="7C2DC21B" w:rsidR="00FA4B2D" w:rsidRDefault="00FA4B2D" w:rsidP="00FA4B2D">
      <w:pPr>
        <w:pStyle w:val="Descripcin"/>
        <w:keepNext/>
        <w:jc w:val="center"/>
      </w:pPr>
      <w:bookmarkStart w:id="8" w:name="_Toc202455563"/>
      <w:r>
        <w:t xml:space="preserve">Ilustración </w:t>
      </w:r>
      <w:r>
        <w:fldChar w:fldCharType="begin"/>
      </w:r>
      <w:r>
        <w:instrText xml:space="preserve"> SEQ Ilustración \* ARABIC </w:instrText>
      </w:r>
      <w:r>
        <w:fldChar w:fldCharType="separate"/>
      </w:r>
      <w:r w:rsidR="00F94AC4">
        <w:rPr>
          <w:noProof/>
        </w:rPr>
        <w:t>1</w:t>
      </w:r>
      <w:r>
        <w:fldChar w:fldCharType="end"/>
      </w:r>
      <w:r>
        <w:t xml:space="preserve"> Mapa de Pueblos Indígenas de Honduras</w:t>
      </w:r>
      <w:bookmarkEnd w:id="8"/>
    </w:p>
    <w:p w14:paraId="7A9FB53B" w14:textId="0DBCC965" w:rsidR="00813A52" w:rsidRPr="00FA4B2D" w:rsidRDefault="00813A52" w:rsidP="003029D7">
      <w:pPr>
        <w:pStyle w:val="Prrafodelista"/>
        <w:tabs>
          <w:tab w:val="left" w:pos="0"/>
        </w:tabs>
        <w:spacing w:after="60"/>
        <w:ind w:left="0" w:right="-38"/>
        <w:contextualSpacing w:val="0"/>
        <w:jc w:val="center"/>
        <w:rPr>
          <w:rFonts w:cs="Arial"/>
          <w:b/>
          <w:i/>
          <w:iCs/>
          <w:sz w:val="20"/>
          <w:szCs w:val="20"/>
        </w:rPr>
      </w:pPr>
      <w:r w:rsidRPr="00FA4B2D">
        <w:rPr>
          <w:rFonts w:eastAsia="Times New Roman" w:cs="Arial"/>
          <w:noProof/>
          <w:lang w:val="es-HN" w:eastAsia="es-HN"/>
        </w:rPr>
        <w:drawing>
          <wp:inline distT="0" distB="0" distL="0" distR="0" wp14:anchorId="1E86E450" wp14:editId="37F18284">
            <wp:extent cx="5028940" cy="2540000"/>
            <wp:effectExtent l="0" t="0" r="635" b="0"/>
            <wp:docPr id="20"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061163" cy="2556275"/>
                    </a:xfrm>
                    <a:prstGeom prst="rect">
                      <a:avLst/>
                    </a:prstGeom>
                  </pic:spPr>
                </pic:pic>
              </a:graphicData>
            </a:graphic>
          </wp:inline>
        </w:drawing>
      </w:r>
    </w:p>
    <w:p w14:paraId="677179FA" w14:textId="330CF869" w:rsidR="006A3DBC" w:rsidRPr="00FA4B2D" w:rsidRDefault="00813A52" w:rsidP="00C720D8">
      <w:pPr>
        <w:pStyle w:val="Prrafodelista"/>
        <w:spacing w:after="60"/>
        <w:ind w:left="0"/>
        <w:jc w:val="both"/>
        <w:rPr>
          <w:rFonts w:eastAsia="Times New Roman" w:cs="Arial"/>
          <w:sz w:val="18"/>
          <w:szCs w:val="18"/>
        </w:rPr>
      </w:pPr>
      <w:r w:rsidRPr="00FA4B2D">
        <w:rPr>
          <w:rFonts w:eastAsia="Times New Roman" w:cs="Arial"/>
          <w:sz w:val="18"/>
          <w:szCs w:val="18"/>
        </w:rPr>
        <w:t xml:space="preserve">República de Honduras, Secretaría de Estado en el Despacho de Educación, Subsecretaría de Asuntos </w:t>
      </w:r>
      <w:r w:rsidR="00C720D8" w:rsidRPr="00FA4B2D">
        <w:rPr>
          <w:rFonts w:eastAsia="Times New Roman" w:cs="Arial"/>
          <w:sz w:val="18"/>
          <w:szCs w:val="18"/>
        </w:rPr>
        <w:t>Técnico-Pedagógicos</w:t>
      </w:r>
      <w:r w:rsidRPr="00FA4B2D">
        <w:rPr>
          <w:rFonts w:eastAsia="Times New Roman" w:cs="Arial"/>
          <w:sz w:val="18"/>
          <w:szCs w:val="18"/>
        </w:rPr>
        <w:t>, Proyecto Mejoramiento de la Calidad en la Educación Prebásica. Año 2019.</w:t>
      </w:r>
    </w:p>
    <w:p w14:paraId="41DE20DD" w14:textId="77777777" w:rsidR="00813A52" w:rsidRPr="00FA4B2D" w:rsidRDefault="00813A52" w:rsidP="006A3DBC">
      <w:pPr>
        <w:spacing w:after="60" w:line="240" w:lineRule="auto"/>
        <w:jc w:val="both"/>
        <w:rPr>
          <w:rFonts w:eastAsia="Times New Roman" w:cs="Arial"/>
          <w:lang w:val="es-GT"/>
        </w:rPr>
      </w:pPr>
    </w:p>
    <w:p w14:paraId="076162A9" w14:textId="4F595663" w:rsidR="006A3DBC" w:rsidRPr="00FA4B2D" w:rsidRDefault="006A3DBC" w:rsidP="006A3DBC">
      <w:pPr>
        <w:spacing w:after="60" w:line="240" w:lineRule="auto"/>
        <w:jc w:val="both"/>
        <w:rPr>
          <w:rFonts w:eastAsia="Times New Roman" w:cs="Arial"/>
          <w:lang w:val="es-GT"/>
        </w:rPr>
      </w:pPr>
      <w:r w:rsidRPr="00FA4B2D">
        <w:rPr>
          <w:rFonts w:eastAsia="Times New Roman" w:cs="Arial"/>
          <w:lang w:val="es-GT"/>
        </w:rPr>
        <w:t xml:space="preserve">El Proyecto Integrando la Innovación para la Competitividad Rural en Honduras (COMRURAL III), forma parte de las iniciativas del Gobierno de Honduras (GdH). Fue diseñado e impulsado por Inversión Estratégica de Honduras (INVEST-Honduras) y, desde 02 de junio de 2022 mediante Acuerdo No. 0003, es administrado e implementado por la Secretaría de Agricultura y Ganadería (SAG), luego de la liquidación de INVEST-H mediante los Decretos Ejecutivos (PCM-05-2002 y PCM-011-2022). </w:t>
      </w:r>
    </w:p>
    <w:p w14:paraId="3E12A405" w14:textId="77777777" w:rsidR="006A3DBC" w:rsidRPr="00FA4B2D" w:rsidRDefault="006A3DBC" w:rsidP="006A3DBC">
      <w:pPr>
        <w:spacing w:after="60" w:line="240" w:lineRule="auto"/>
        <w:jc w:val="both"/>
        <w:rPr>
          <w:rFonts w:eastAsia="Times New Roman" w:cs="Arial"/>
          <w:lang w:val="es-GT"/>
        </w:rPr>
      </w:pPr>
    </w:p>
    <w:p w14:paraId="6C2B1740" w14:textId="17809A74" w:rsidR="006A3DBC" w:rsidRPr="00FA4B2D" w:rsidRDefault="006A3DBC" w:rsidP="006A3DBC">
      <w:pPr>
        <w:tabs>
          <w:tab w:val="left" w:pos="0"/>
        </w:tabs>
        <w:spacing w:after="60" w:line="240" w:lineRule="auto"/>
        <w:jc w:val="both"/>
        <w:rPr>
          <w:rFonts w:cs="Arial"/>
        </w:rPr>
      </w:pPr>
      <w:r w:rsidRPr="00FA4B2D">
        <w:rPr>
          <w:rFonts w:eastAsia="Times New Roman" w:cs="Arial"/>
          <w:lang w:val="es-GT"/>
        </w:rPr>
        <w:t xml:space="preserve">La SAG, como nueva agencia implementadora del Proyecto, ha </w:t>
      </w:r>
      <w:r w:rsidR="006623A4" w:rsidRPr="00FA4B2D">
        <w:rPr>
          <w:rFonts w:eastAsia="Times New Roman" w:cs="Arial"/>
          <w:lang w:val="es-GT"/>
        </w:rPr>
        <w:t>asumido el compromiso</w:t>
      </w:r>
      <w:r w:rsidRPr="00FA4B2D">
        <w:rPr>
          <w:rFonts w:eastAsia="Times New Roman" w:cs="Arial"/>
          <w:lang w:val="es-GT"/>
        </w:rPr>
        <w:t xml:space="preserve"> </w:t>
      </w:r>
      <w:r w:rsidR="00717B04" w:rsidRPr="00FA4B2D">
        <w:rPr>
          <w:rFonts w:eastAsia="Times New Roman" w:cs="Arial"/>
          <w:lang w:val="es-GT"/>
        </w:rPr>
        <w:t xml:space="preserve">de dar </w:t>
      </w:r>
      <w:r w:rsidRPr="00FA4B2D">
        <w:rPr>
          <w:rFonts w:eastAsia="Times New Roman" w:cs="Arial"/>
          <w:lang w:val="es-GT"/>
        </w:rPr>
        <w:t xml:space="preserve">cumplimiento </w:t>
      </w:r>
      <w:r w:rsidR="00717B04" w:rsidRPr="00FA4B2D">
        <w:rPr>
          <w:rFonts w:eastAsia="Times New Roman" w:cs="Arial"/>
          <w:lang w:val="es-GT"/>
        </w:rPr>
        <w:t xml:space="preserve">al </w:t>
      </w:r>
      <w:r w:rsidRPr="00FA4B2D">
        <w:rPr>
          <w:rFonts w:eastAsia="Times New Roman" w:cs="Arial"/>
          <w:lang w:val="es-GT"/>
        </w:rPr>
        <w:t xml:space="preserve">Plan de Compromiso Ambiental y Social (PCAS), donde se incluye </w:t>
      </w:r>
      <w:r w:rsidR="00346D1C" w:rsidRPr="00FA4B2D">
        <w:rPr>
          <w:rFonts w:eastAsia="Times New Roman" w:cs="Arial"/>
          <w:lang w:val="es-GT"/>
        </w:rPr>
        <w:t>la implementación d</w:t>
      </w:r>
      <w:r w:rsidRPr="00FA4B2D">
        <w:rPr>
          <w:rFonts w:eastAsia="Times New Roman" w:cs="Arial"/>
          <w:lang w:val="es-GT"/>
        </w:rPr>
        <w:t>el (MGAS, as</w:t>
      </w:r>
      <w:r w:rsidR="000D7FA0" w:rsidRPr="00FA4B2D">
        <w:rPr>
          <w:rFonts w:eastAsia="Times New Roman" w:cs="Arial"/>
          <w:lang w:val="es-GT"/>
        </w:rPr>
        <w:t xml:space="preserve">í </w:t>
      </w:r>
      <w:r w:rsidR="00526050" w:rsidRPr="00FA4B2D">
        <w:rPr>
          <w:rFonts w:eastAsia="Times New Roman" w:cs="Arial"/>
          <w:lang w:val="es-GT"/>
        </w:rPr>
        <w:t>como</w:t>
      </w:r>
      <w:r w:rsidRPr="00FA4B2D">
        <w:rPr>
          <w:rFonts w:eastAsia="Times New Roman" w:cs="Arial"/>
          <w:lang w:val="es-GT"/>
        </w:rPr>
        <w:t xml:space="preserve"> </w:t>
      </w:r>
      <w:r w:rsidR="00306562" w:rsidRPr="00FA4B2D">
        <w:rPr>
          <w:rFonts w:eastAsia="Times New Roman" w:cs="Arial"/>
          <w:lang w:val="es-GT"/>
        </w:rPr>
        <w:t>el</w:t>
      </w:r>
      <w:r w:rsidRPr="00FA4B2D">
        <w:rPr>
          <w:rFonts w:eastAsia="Times New Roman" w:cs="Arial"/>
          <w:lang w:val="es-GT"/>
        </w:rPr>
        <w:t xml:space="preserve"> PPPI, MPPI, </w:t>
      </w:r>
      <w:r w:rsidR="001D2A9D" w:rsidRPr="00FA4B2D">
        <w:rPr>
          <w:rFonts w:eastAsia="Times New Roman" w:cs="Arial"/>
          <w:lang w:val="es-GT"/>
        </w:rPr>
        <w:t>M</w:t>
      </w:r>
      <w:r w:rsidRPr="00FA4B2D">
        <w:rPr>
          <w:rFonts w:eastAsia="Times New Roman" w:cs="Arial"/>
          <w:lang w:val="es-GT"/>
        </w:rPr>
        <w:t>PPI, MRI</w:t>
      </w:r>
      <w:r w:rsidR="00405AAF" w:rsidRPr="00FA4B2D">
        <w:rPr>
          <w:rFonts w:eastAsia="Times New Roman" w:cs="Arial"/>
          <w:lang w:val="es-GT"/>
        </w:rPr>
        <w:t xml:space="preserve"> y MP</w:t>
      </w:r>
      <w:r w:rsidRPr="00FA4B2D">
        <w:rPr>
          <w:rFonts w:eastAsia="Times New Roman" w:cs="Arial"/>
          <w:lang w:val="es-GT"/>
        </w:rPr>
        <w:t xml:space="preserve">, </w:t>
      </w:r>
      <w:r w:rsidR="00315957" w:rsidRPr="00FA4B2D">
        <w:rPr>
          <w:rFonts w:eastAsia="Times New Roman" w:cs="Arial"/>
          <w:lang w:val="es-GT"/>
        </w:rPr>
        <w:t>y</w:t>
      </w:r>
      <w:r w:rsidRPr="00FA4B2D">
        <w:rPr>
          <w:rFonts w:eastAsia="Times New Roman" w:cs="Arial"/>
          <w:lang w:val="es-GT"/>
        </w:rPr>
        <w:t>PGMO durante todas las etapas del Proyecto a través de la Unidad Ejecutora del Proyecto (UEP). Parte fundamental de dicho compromiso, es la actualización del MGAS, PPPI y demás instrumentos pertinentes con los ajustes incluidos en el Proyecto COMRURAL III.</w:t>
      </w:r>
    </w:p>
    <w:p w14:paraId="4C27DE5F" w14:textId="77777777" w:rsidR="006A3DBC" w:rsidRPr="00FA4B2D" w:rsidRDefault="006A3DBC" w:rsidP="006A3DBC">
      <w:pPr>
        <w:tabs>
          <w:tab w:val="left" w:pos="0"/>
        </w:tabs>
        <w:spacing w:after="60"/>
        <w:jc w:val="both"/>
        <w:rPr>
          <w:rFonts w:cs="Arial"/>
        </w:rPr>
      </w:pPr>
    </w:p>
    <w:p w14:paraId="2ECF66D7" w14:textId="18DD19DA" w:rsidR="006A3DBC" w:rsidRPr="00FA4B2D" w:rsidRDefault="006A3DBC" w:rsidP="006A3DBC">
      <w:pPr>
        <w:pStyle w:val="Prrafodelista"/>
        <w:spacing w:after="60" w:line="240" w:lineRule="auto"/>
        <w:ind w:left="0"/>
        <w:contextualSpacing w:val="0"/>
        <w:jc w:val="both"/>
        <w:rPr>
          <w:rFonts w:cs="Arial"/>
          <w:b/>
        </w:rPr>
      </w:pPr>
      <w:r w:rsidRPr="00FA4B2D">
        <w:rPr>
          <w:rFonts w:cs="Arial"/>
        </w:rPr>
        <w:t>Para su implementación, el Proyecto consta de los siguientes cinco (5) componentes:</w:t>
      </w:r>
    </w:p>
    <w:p w14:paraId="65A90F15" w14:textId="77777777" w:rsidR="006A3DBC" w:rsidRPr="00FA4B2D" w:rsidRDefault="006A3DBC" w:rsidP="006A3DBC">
      <w:pPr>
        <w:pStyle w:val="Prrafodelista"/>
        <w:spacing w:after="60" w:line="240" w:lineRule="auto"/>
        <w:ind w:left="0"/>
        <w:contextualSpacing w:val="0"/>
        <w:jc w:val="both"/>
        <w:rPr>
          <w:rFonts w:cs="Arial"/>
          <w:b/>
        </w:rPr>
      </w:pPr>
      <w:r w:rsidRPr="00FA4B2D">
        <w:rPr>
          <w:rFonts w:cs="Arial"/>
          <w:b/>
        </w:rPr>
        <w:t xml:space="preserve">Componente 1 - Mejora de la competitividad y la resiliencia en las cadenas de valor priorizadas. </w:t>
      </w:r>
    </w:p>
    <w:p w14:paraId="21B495B0" w14:textId="77777777" w:rsidR="006A3DBC" w:rsidRPr="00FA4B2D" w:rsidRDefault="006A3DBC" w:rsidP="006A3DBC">
      <w:pPr>
        <w:pStyle w:val="Prrafodelista"/>
        <w:spacing w:after="60" w:line="240" w:lineRule="auto"/>
        <w:ind w:left="0"/>
        <w:contextualSpacing w:val="0"/>
        <w:jc w:val="both"/>
        <w:rPr>
          <w:rFonts w:cs="Arial"/>
          <w:b/>
        </w:rPr>
      </w:pPr>
    </w:p>
    <w:p w14:paraId="27DF3A7C" w14:textId="77777777" w:rsidR="006A3DBC" w:rsidRPr="00FA4B2D" w:rsidRDefault="006A3DBC" w:rsidP="006A3DBC">
      <w:pPr>
        <w:pStyle w:val="Prrafodelista"/>
        <w:spacing w:after="60" w:line="240" w:lineRule="auto"/>
        <w:ind w:left="0"/>
        <w:jc w:val="both"/>
        <w:rPr>
          <w:rFonts w:cs="Arial"/>
          <w:b/>
        </w:rPr>
      </w:pPr>
      <w:r w:rsidRPr="00FA4B2D">
        <w:rPr>
          <w:rFonts w:cs="Arial"/>
          <w:bCs/>
        </w:rPr>
        <w:lastRenderedPageBreak/>
        <w:t>El objetivo del Componente 1 es apoyar iniciativas agroindustriales competitivas, innovadoras, resilientes al clima y sensibles a la nutrición</w:t>
      </w:r>
      <w:r w:rsidRPr="00FA4B2D">
        <w:rPr>
          <w:rFonts w:cs="Arial"/>
          <w:b/>
          <w:lang w:val="es-NI"/>
        </w:rPr>
        <w:t xml:space="preserve"> </w:t>
      </w:r>
      <w:r w:rsidRPr="00FA4B2D">
        <w:rPr>
          <w:rFonts w:cs="Arial"/>
          <w:bCs/>
        </w:rPr>
        <w:t xml:space="preserve">(subproyectos o planes de negocios), en cadenas de valor agroalimentarias selectas bajo un modelo de alianza productiva. Los subproyectos serán identificados y seleccionados mediante un mecanismo transparente impulsado por la demanda. Las alianzas productivas impulsadas por el Proyecto facilitarán la participación de financiadores de cadenas de valor no bancarias para ventana 1 y 4 y el cofinanciamiento de planes de negocios por parte de instituciones financieras privadas, siguiendo el enfoque de Movilización del Financiamiento Privado para las ventanas 2 y 3 </w:t>
      </w:r>
      <w:r w:rsidRPr="00FA4B2D">
        <w:rPr>
          <w:rFonts w:cs="Arial"/>
        </w:rPr>
        <w:t>específicamente.</w:t>
      </w:r>
      <w:r w:rsidRPr="00FA4B2D">
        <w:rPr>
          <w:rFonts w:cs="Arial"/>
          <w:bCs/>
        </w:rPr>
        <w:t xml:space="preserve"> El componente incorpora inversiones y asistencia técnica para fomentar la asociatividad y la formalización de grupos de productores, así como el fortalecimiento gerencial de las (micro) empresas nuevas impulsadas por el Proyecto. </w:t>
      </w:r>
    </w:p>
    <w:p w14:paraId="39D36DB4" w14:textId="77777777" w:rsidR="006A3DBC" w:rsidRPr="00FA4B2D" w:rsidRDefault="006A3DBC" w:rsidP="006A3DBC">
      <w:pPr>
        <w:pStyle w:val="Prrafodelista"/>
        <w:spacing w:after="60" w:line="240" w:lineRule="auto"/>
        <w:ind w:left="0"/>
        <w:contextualSpacing w:val="0"/>
        <w:jc w:val="both"/>
        <w:rPr>
          <w:rFonts w:cs="Arial"/>
          <w:bCs/>
        </w:rPr>
      </w:pPr>
    </w:p>
    <w:p w14:paraId="7F24773E" w14:textId="6CB3A8F3" w:rsidR="006A3DBC" w:rsidRPr="00FA4B2D" w:rsidRDefault="006A3DBC" w:rsidP="006A3DBC">
      <w:pPr>
        <w:pStyle w:val="Prrafodelista"/>
        <w:spacing w:after="60" w:line="240" w:lineRule="auto"/>
        <w:ind w:left="0"/>
        <w:contextualSpacing w:val="0"/>
        <w:jc w:val="both"/>
        <w:rPr>
          <w:rFonts w:cs="Arial"/>
          <w:bCs/>
        </w:rPr>
      </w:pPr>
      <w:r w:rsidRPr="00FA4B2D">
        <w:rPr>
          <w:rFonts w:cs="Arial"/>
          <w:bCs/>
        </w:rPr>
        <w:t xml:space="preserve">Las inversiones en finca en planes de negocios con grupos de agricultores de las diferentes ventanas facilitarán la adopción y la ampliación de prácticas de gestión de recursos naturales sostenibles y resilientes al clima, reduciendo de esa manera las emisiones de gases de efecto invernadero (GEI) de las cadenas de valor (por ejemplo, mediante sistemas silvopastoril, agroforestal, técnicas de uso eficiente del agua </w:t>
      </w:r>
      <w:r w:rsidRPr="00FA4B2D">
        <w:rPr>
          <w:rFonts w:cs="Arial"/>
        </w:rPr>
        <w:t xml:space="preserve">y energía </w:t>
      </w:r>
      <w:r w:rsidRPr="00FA4B2D">
        <w:rPr>
          <w:rFonts w:cs="Arial"/>
          <w:bCs/>
        </w:rPr>
        <w:t>para la agricultura; prácticas de manejo de suelo que reducen la erosión y la evapotranspiración); el desarrollo de riego por parte de agricultores y de sistemas de riego colectivo de pequeña escala que aumentan la resiliencia de la agricultura de secano (recolección y almacenamiento de agua; construcción de sistemas de riego y drenaje de pequeña escala de gestión colectiva); tecnologías de riego en finca que aumentan la productividad y el ahorro de agua (principalmente por goteo) y sistemas de bombeo de bajo costo (alimentados por energía solar). Las innovaciones tecnológicas promovidas en el marco del Proyecto serán accesibles para una amplia audiencia a pesar de las brechas educativas, de recursos y de habilidades enfrentadas por los usuarios más vulnerables.</w:t>
      </w:r>
    </w:p>
    <w:p w14:paraId="34FF7218" w14:textId="77777777" w:rsidR="006A3DBC" w:rsidRPr="00FA4B2D" w:rsidRDefault="006A3DBC" w:rsidP="006A3DBC">
      <w:pPr>
        <w:pStyle w:val="Prrafodelista"/>
        <w:spacing w:after="60" w:line="240" w:lineRule="auto"/>
        <w:ind w:left="0"/>
        <w:contextualSpacing w:val="0"/>
        <w:jc w:val="both"/>
        <w:rPr>
          <w:rFonts w:cs="Arial"/>
          <w:bCs/>
        </w:rPr>
      </w:pPr>
    </w:p>
    <w:p w14:paraId="46C8E433" w14:textId="77777777" w:rsidR="006A3DBC" w:rsidRPr="00FA4B2D" w:rsidRDefault="006A3DBC" w:rsidP="006A3DBC">
      <w:pPr>
        <w:pStyle w:val="Prrafodelista"/>
        <w:spacing w:after="60" w:line="240" w:lineRule="auto"/>
        <w:ind w:left="0"/>
        <w:contextualSpacing w:val="0"/>
        <w:jc w:val="both"/>
        <w:rPr>
          <w:rFonts w:cs="Arial"/>
          <w:bCs/>
        </w:rPr>
      </w:pPr>
      <w:r w:rsidRPr="00FA4B2D">
        <w:rPr>
          <w:rFonts w:cs="Arial"/>
          <w:bCs/>
        </w:rPr>
        <w:t xml:space="preserve">Al mismo tiempo, las inversiones facilitarán la adopción de tecnologías y prácticas de agricultura inteligente con respecto a la nutrición, incluyendo: (i) el fomento de la adopción de nuevas técnicas de producción, procesamiento y postcosecha en cadenas de valor y cultivos específicos como frijol, aves domésticas, huevo, verduras y frutas con alto valor nutricional, y hortalizas biofortificadas para aumentar el valor nutricional con una dieta balanceada que incluya  micronutrientes, aumentan el consumo de proteínas y mejoran el estado nutricional general; y (ii) la mejora de capacidades locales en temas de seguridad alimentaria, pérdida y desperdicio de alimentos, procesamiento postcosecha, y comportamientos y prácticas de nutrición e higiene, a fin de diversificar las dietas y producir una mayor cantidad de alimentos nutricionales en menor tiempo (lo cual permitirá también construir reservas de alimentos). </w:t>
      </w:r>
    </w:p>
    <w:p w14:paraId="23E75E6F" w14:textId="77777777" w:rsidR="006A3DBC" w:rsidRPr="00FA4B2D" w:rsidRDefault="006A3DBC" w:rsidP="006A3DBC">
      <w:pPr>
        <w:tabs>
          <w:tab w:val="left" w:pos="0"/>
        </w:tabs>
        <w:spacing w:after="60" w:line="240" w:lineRule="auto"/>
        <w:jc w:val="both"/>
        <w:rPr>
          <w:rFonts w:cs="Arial"/>
          <w:bCs/>
        </w:rPr>
      </w:pPr>
    </w:p>
    <w:p w14:paraId="7E1E7CFF" w14:textId="77777777" w:rsidR="006A3DBC" w:rsidRPr="00FA4B2D" w:rsidRDefault="006A3DBC" w:rsidP="006A3DBC">
      <w:pPr>
        <w:tabs>
          <w:tab w:val="left" w:pos="0"/>
        </w:tabs>
        <w:spacing w:after="60" w:line="240" w:lineRule="auto"/>
        <w:jc w:val="both"/>
        <w:rPr>
          <w:rFonts w:cs="Arial"/>
          <w:bCs/>
        </w:rPr>
      </w:pPr>
      <w:r w:rsidRPr="00FA4B2D">
        <w:rPr>
          <w:rFonts w:cs="Arial"/>
          <w:bCs/>
        </w:rPr>
        <w:t>El componente contará con dos subcomponentes:</w:t>
      </w:r>
    </w:p>
    <w:p w14:paraId="72AE3713" w14:textId="77777777" w:rsidR="006A3DBC" w:rsidRPr="00FA4B2D" w:rsidRDefault="006A3DBC" w:rsidP="00411720">
      <w:pPr>
        <w:pStyle w:val="Prrafodelista"/>
        <w:numPr>
          <w:ilvl w:val="0"/>
          <w:numId w:val="95"/>
        </w:numPr>
        <w:tabs>
          <w:tab w:val="left" w:pos="0"/>
        </w:tabs>
        <w:spacing w:after="60" w:line="240" w:lineRule="auto"/>
        <w:contextualSpacing w:val="0"/>
        <w:jc w:val="both"/>
        <w:rPr>
          <w:rFonts w:cs="Arial"/>
          <w:bCs/>
        </w:rPr>
      </w:pPr>
      <w:r w:rsidRPr="00FA4B2D">
        <w:rPr>
          <w:rFonts w:cs="Arial"/>
          <w:b/>
        </w:rPr>
        <w:t>Subcomponente 1.1</w:t>
      </w:r>
      <w:r w:rsidRPr="00FA4B2D">
        <w:rPr>
          <w:rFonts w:cs="Arial"/>
          <w:bCs/>
        </w:rPr>
        <w:t xml:space="preserve"> de pre-inversión para la elaboración de subproyectos;</w:t>
      </w:r>
    </w:p>
    <w:p w14:paraId="2083B83C" w14:textId="77777777" w:rsidR="006A3DBC" w:rsidRPr="00FA4B2D" w:rsidRDefault="006A3DBC" w:rsidP="00411720">
      <w:pPr>
        <w:pStyle w:val="Prrafodelista"/>
        <w:numPr>
          <w:ilvl w:val="0"/>
          <w:numId w:val="95"/>
        </w:numPr>
        <w:tabs>
          <w:tab w:val="left" w:pos="0"/>
        </w:tabs>
        <w:spacing w:after="60" w:line="240" w:lineRule="auto"/>
        <w:contextualSpacing w:val="0"/>
        <w:jc w:val="both"/>
        <w:rPr>
          <w:rFonts w:cs="Arial"/>
          <w:bCs/>
        </w:rPr>
      </w:pPr>
      <w:r w:rsidRPr="00FA4B2D">
        <w:rPr>
          <w:rFonts w:cs="Arial"/>
          <w:b/>
        </w:rPr>
        <w:lastRenderedPageBreak/>
        <w:t>Subcomponente 1.2</w:t>
      </w:r>
      <w:r w:rsidRPr="00FA4B2D">
        <w:rPr>
          <w:rFonts w:cs="Arial"/>
          <w:bCs/>
        </w:rPr>
        <w:t xml:space="preserve"> para inversiones productivas en la implementación de subproyectos.</w:t>
      </w:r>
    </w:p>
    <w:p w14:paraId="783F91A9" w14:textId="43655555" w:rsidR="006A3DBC" w:rsidRPr="00FA4B2D" w:rsidRDefault="006A3DBC" w:rsidP="6A9CA2EB">
      <w:pPr>
        <w:pStyle w:val="Prrafodelista"/>
        <w:spacing w:after="60" w:line="240" w:lineRule="auto"/>
        <w:ind w:left="0"/>
        <w:jc w:val="both"/>
        <w:rPr>
          <w:rFonts w:cs="Arial"/>
        </w:rPr>
      </w:pPr>
      <w:r w:rsidRPr="00FA4B2D">
        <w:rPr>
          <w:rFonts w:cs="Arial"/>
        </w:rPr>
        <w:t>ComRural III promoverá y fortalecerá una estrategia de inclusión económica para los beneficiarios mediante</w:t>
      </w:r>
      <w:r w:rsidR="00EA5078" w:rsidRPr="00FA4B2D">
        <w:rPr>
          <w:rFonts w:cs="Arial"/>
        </w:rPr>
        <w:t>:</w:t>
      </w:r>
      <w:r w:rsidRPr="00FA4B2D">
        <w:rPr>
          <w:rFonts w:cs="Arial"/>
        </w:rPr>
        <w:t xml:space="preserve"> (i) un sistema de graduación de tres ventanas/tipos de subproyectos principales de aportes de contrapartida</w:t>
      </w:r>
      <w:r w:rsidR="00EA5078" w:rsidRPr="00FA4B2D">
        <w:rPr>
          <w:rFonts w:cs="Arial"/>
        </w:rPr>
        <w:t>;</w:t>
      </w:r>
      <w:r w:rsidRPr="00FA4B2D">
        <w:rPr>
          <w:rFonts w:cs="Arial"/>
        </w:rPr>
        <w:t xml:space="preserve"> y (ii) una nueva ventana/tipo de subproyecto para fomentar proyectos de agrologística de servicios complementarios a la producción.</w:t>
      </w:r>
    </w:p>
    <w:p w14:paraId="39C4059E" w14:textId="77777777" w:rsidR="006A3DBC" w:rsidRPr="00FA4B2D" w:rsidRDefault="006A3DBC" w:rsidP="006A3DBC">
      <w:pPr>
        <w:spacing w:after="60" w:line="240" w:lineRule="auto"/>
        <w:jc w:val="both"/>
        <w:rPr>
          <w:rFonts w:cs="Arial"/>
          <w:b/>
          <w:i/>
          <w:iCs/>
        </w:rPr>
      </w:pPr>
    </w:p>
    <w:p w14:paraId="301856BD" w14:textId="77777777" w:rsidR="006A3DBC" w:rsidRPr="00FA4B2D" w:rsidRDefault="006A3DBC" w:rsidP="006A3DBC">
      <w:pPr>
        <w:spacing w:after="60" w:line="240" w:lineRule="auto"/>
        <w:jc w:val="both"/>
        <w:rPr>
          <w:rFonts w:cs="Arial"/>
          <w:bCs/>
        </w:rPr>
      </w:pPr>
      <w:r w:rsidRPr="00FA4B2D">
        <w:rPr>
          <w:rFonts w:cs="Arial"/>
          <w:b/>
          <w:i/>
          <w:iCs/>
        </w:rPr>
        <w:t>Ventana 1: Agricultura de subsistencia</w:t>
      </w:r>
      <w:r w:rsidRPr="00FA4B2D">
        <w:rPr>
          <w:rFonts w:cs="Arial"/>
          <w:bCs/>
        </w:rPr>
        <w:t>. Esta ventana estará dirigida a los beneficiarios, grupos informales de agricultores de subsistencia quienes contarán con la posibilidad de realizar inversiones productivas que les permitan incrementar su volumen de producción, su productividad y, en consecuencia, dar inicio a una comercialización incipiente de sus excedentes; por su naturaleza de apoyar a segmentos de productores vulnerables, dicha ventana no requiere cofinanciamiento de instituciones financieras privadas, ofreciendo un 85% de matching grants/aportes no reembolsables a los beneficiarios objetivos, para la ejecución de inversiones a nivel de producción primaria, y el 15% de aporte del Grupo de productores; sin perjuicio de lo anterior, las inversiones dentro de la presente ventana de financiamiento facilitarán la formalización de grupos de productores, así como su crecimiento productivo y fortalecimiento organizacional, con el propósito de que puedan acceder, en un futuro próximo y bajo un modelo de graduación/escalabilidad continuada, a los recursos de la Ventana 2 del modelo ComRural.</w:t>
      </w:r>
    </w:p>
    <w:p w14:paraId="30C4706B" w14:textId="77777777" w:rsidR="006A3DBC" w:rsidRPr="00FA4B2D" w:rsidRDefault="006A3DBC" w:rsidP="006A3DBC">
      <w:pPr>
        <w:spacing w:after="60" w:line="240" w:lineRule="auto"/>
        <w:jc w:val="both"/>
        <w:rPr>
          <w:rFonts w:cs="Arial"/>
          <w:b/>
          <w:i/>
          <w:iCs/>
        </w:rPr>
      </w:pPr>
    </w:p>
    <w:p w14:paraId="7B1997F4" w14:textId="77777777" w:rsidR="006A3DBC" w:rsidRPr="00FA4B2D" w:rsidRDefault="006A3DBC" w:rsidP="006A3DBC">
      <w:pPr>
        <w:spacing w:after="60" w:line="240" w:lineRule="auto"/>
        <w:jc w:val="both"/>
        <w:rPr>
          <w:rFonts w:cs="Arial"/>
          <w:bCs/>
        </w:rPr>
      </w:pPr>
      <w:r w:rsidRPr="00FA4B2D">
        <w:rPr>
          <w:rFonts w:cs="Arial"/>
          <w:b/>
          <w:i/>
          <w:iCs/>
        </w:rPr>
        <w:t>Ventana 2: Agricultura de transición</w:t>
      </w:r>
      <w:r w:rsidRPr="00FA4B2D">
        <w:rPr>
          <w:rFonts w:cs="Arial"/>
          <w:bCs/>
        </w:rPr>
        <w:t xml:space="preserve">. Esta ventana se dirigirá a los productores que practican la agricultura como su principal medio de vida y aspiran a la transición de la producción de subsistencia, organizados en Organizaciones de Productores Rurales (OPRs) formales con orientación a la producción comercial. El préstamo privado como aporte por un aliado </w:t>
      </w:r>
      <w:r w:rsidRPr="00FA4B2D">
        <w:rPr>
          <w:rFonts w:cs="Arial"/>
        </w:rPr>
        <w:t>financiero</w:t>
      </w:r>
      <w:r w:rsidRPr="00FA4B2D">
        <w:rPr>
          <w:rFonts w:cs="Arial"/>
          <w:bCs/>
        </w:rPr>
        <w:t xml:space="preserve"> será de por lo menos un 30% del presupuesto total del plan de negocios.</w:t>
      </w:r>
    </w:p>
    <w:p w14:paraId="1FE758BD" w14:textId="77777777" w:rsidR="006A3DBC" w:rsidRPr="00FA4B2D" w:rsidRDefault="006A3DBC" w:rsidP="006A3DBC">
      <w:pPr>
        <w:spacing w:after="60" w:line="240" w:lineRule="auto"/>
        <w:jc w:val="both"/>
        <w:rPr>
          <w:rFonts w:cs="Arial"/>
          <w:b/>
          <w:i/>
          <w:iCs/>
        </w:rPr>
      </w:pPr>
    </w:p>
    <w:p w14:paraId="0944101F" w14:textId="77777777" w:rsidR="006A3DBC" w:rsidRPr="00FA4B2D" w:rsidRDefault="006A3DBC" w:rsidP="006A3DBC">
      <w:pPr>
        <w:spacing w:after="60" w:line="240" w:lineRule="auto"/>
        <w:jc w:val="both"/>
        <w:rPr>
          <w:rFonts w:cs="Arial"/>
          <w:bCs/>
        </w:rPr>
      </w:pPr>
      <w:r w:rsidRPr="00FA4B2D">
        <w:rPr>
          <w:rFonts w:cs="Arial"/>
          <w:b/>
          <w:i/>
          <w:iCs/>
        </w:rPr>
        <w:t>Ventana 3: Agricultura con orientación comercial</w:t>
      </w:r>
      <w:r w:rsidRPr="00FA4B2D">
        <w:rPr>
          <w:rFonts w:cs="Arial"/>
          <w:bCs/>
        </w:rPr>
        <w:t>. Esta ventana se dirigirá a los grupos formales dedicados a la agricultura con fines comerciales, y con potencial para crecer y contribuir a la generación de empleo y al crecimiento económico rural; en la ventana 3 el préstamo privado será de por los menos el 60% del presupuesto total del plan de negocios.</w:t>
      </w:r>
    </w:p>
    <w:p w14:paraId="132B375A" w14:textId="77777777" w:rsidR="006A3DBC" w:rsidRPr="00FA4B2D" w:rsidRDefault="006A3DBC" w:rsidP="006A3DBC">
      <w:pPr>
        <w:spacing w:after="60" w:line="240" w:lineRule="auto"/>
        <w:jc w:val="both"/>
        <w:rPr>
          <w:rFonts w:cs="Arial"/>
          <w:b/>
          <w:i/>
          <w:iCs/>
        </w:rPr>
      </w:pPr>
    </w:p>
    <w:p w14:paraId="7BF7331C" w14:textId="77777777" w:rsidR="006A3DBC" w:rsidRPr="00FA4B2D" w:rsidRDefault="006A3DBC" w:rsidP="006A3DBC">
      <w:pPr>
        <w:spacing w:after="60" w:line="240" w:lineRule="auto"/>
        <w:jc w:val="both"/>
        <w:rPr>
          <w:rFonts w:cs="Arial"/>
        </w:rPr>
      </w:pPr>
      <w:r w:rsidRPr="00FA4B2D">
        <w:rPr>
          <w:rFonts w:cs="Arial"/>
          <w:b/>
          <w:i/>
          <w:iCs/>
        </w:rPr>
        <w:t>Ventana 4: Servicios de agro logística en pequeña escala complementarios a la producción</w:t>
      </w:r>
      <w:r w:rsidRPr="00FA4B2D">
        <w:rPr>
          <w:rFonts w:cs="Arial"/>
          <w:bCs/>
        </w:rPr>
        <w:t>. Esta ventana se centrará en subproyectos de agro logística de servicios y complementarios a la producción</w:t>
      </w:r>
      <w:r w:rsidRPr="00FA4B2D">
        <w:rPr>
          <w:rFonts w:cs="Arial"/>
        </w:rPr>
        <w:t xml:space="preserve"> que permitan mejorar los procesos logísticos que los productos precisan entre la salida del campo hasta la venta minorista. El objetivo es dar herramientas que permitan cosechar, procesar, trasladar y vender los productos de forma eficiente, y de manera formalizada, en el momento justo y así los productores obtener mejores ingresos por mayor precio de venta. Los criterios de selección y financiación de los planes de negocios garantizarán la participación e inclusión de las mujeres, los jóvenes, los pueblos indígenas, los </w:t>
      </w:r>
      <w:r w:rsidRPr="00FA4B2D">
        <w:rPr>
          <w:rFonts w:cs="Arial"/>
        </w:rPr>
        <w:lastRenderedPageBreak/>
        <w:t xml:space="preserve">afrodescendientes y las personas con discapacidad, y priorizarán las inversiones climáticamente inteligentes para reducir las emisiones de GEI y contribuir a los beneficios colaterales climáticos. </w:t>
      </w:r>
    </w:p>
    <w:p w14:paraId="0E7D8FEB" w14:textId="77777777" w:rsidR="006A3DBC" w:rsidRPr="00FA4B2D" w:rsidRDefault="006A3DBC" w:rsidP="006A3DBC">
      <w:pPr>
        <w:spacing w:after="60" w:line="240" w:lineRule="auto"/>
        <w:jc w:val="both"/>
        <w:rPr>
          <w:rFonts w:cs="Arial"/>
          <w:b/>
        </w:rPr>
      </w:pPr>
    </w:p>
    <w:p w14:paraId="5DB4A872" w14:textId="718781C5" w:rsidR="00E11023" w:rsidRDefault="00E11023" w:rsidP="00E11023">
      <w:pPr>
        <w:pStyle w:val="Descripcin"/>
        <w:keepNext/>
        <w:jc w:val="center"/>
      </w:pPr>
      <w:bookmarkStart w:id="9" w:name="_Toc202455564"/>
      <w:r>
        <w:t xml:space="preserve">Ilustración </w:t>
      </w:r>
      <w:r>
        <w:fldChar w:fldCharType="begin"/>
      </w:r>
      <w:r>
        <w:instrText xml:space="preserve"> SEQ Ilustración \* ARABIC </w:instrText>
      </w:r>
      <w:r>
        <w:fldChar w:fldCharType="separate"/>
      </w:r>
      <w:r w:rsidR="00F94AC4">
        <w:rPr>
          <w:noProof/>
        </w:rPr>
        <w:t>2</w:t>
      </w:r>
      <w:r>
        <w:fldChar w:fldCharType="end"/>
      </w:r>
      <w:r>
        <w:t xml:space="preserve"> </w:t>
      </w:r>
      <w:r w:rsidRPr="008A335E">
        <w:t>Flujograma del proceso de identificación, aprobación e implementación de Planes de Negocios</w:t>
      </w:r>
      <w:bookmarkEnd w:id="9"/>
    </w:p>
    <w:p w14:paraId="2461B58A" w14:textId="77777777" w:rsidR="006A3DBC" w:rsidRPr="00FA4B2D" w:rsidRDefault="006A3DBC" w:rsidP="006A3DBC">
      <w:pPr>
        <w:pStyle w:val="Prrafodelista"/>
        <w:keepNext/>
        <w:tabs>
          <w:tab w:val="left" w:pos="0"/>
        </w:tabs>
        <w:spacing w:after="60"/>
        <w:ind w:left="0"/>
        <w:contextualSpacing w:val="0"/>
        <w:jc w:val="center"/>
        <w:rPr>
          <w:rFonts w:cs="Arial"/>
        </w:rPr>
      </w:pPr>
      <w:r w:rsidRPr="00FA4B2D">
        <w:rPr>
          <w:rFonts w:cs="Arial"/>
          <w:noProof/>
          <w:lang w:val="es-HN" w:eastAsia="es-HN"/>
        </w:rPr>
        <w:drawing>
          <wp:inline distT="0" distB="0" distL="0" distR="0" wp14:anchorId="6335188F" wp14:editId="64092A90">
            <wp:extent cx="5314950" cy="28346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4950" cy="2834640"/>
                    </a:xfrm>
                    <a:prstGeom prst="rect">
                      <a:avLst/>
                    </a:prstGeom>
                    <a:noFill/>
                  </pic:spPr>
                </pic:pic>
              </a:graphicData>
            </a:graphic>
          </wp:inline>
        </w:drawing>
      </w:r>
    </w:p>
    <w:p w14:paraId="537E38A3" w14:textId="77777777" w:rsidR="006A3DBC" w:rsidRPr="00FA4B2D" w:rsidRDefault="006A3DBC" w:rsidP="006A3DBC">
      <w:pPr>
        <w:spacing w:after="60"/>
        <w:jc w:val="both"/>
        <w:rPr>
          <w:rFonts w:cs="Arial"/>
          <w:b/>
          <w:i/>
        </w:rPr>
      </w:pPr>
    </w:p>
    <w:p w14:paraId="2C4FA653" w14:textId="77777777" w:rsidR="006A3DBC" w:rsidRPr="00FA4B2D" w:rsidRDefault="006A3DBC" w:rsidP="006A3DBC">
      <w:pPr>
        <w:spacing w:after="60" w:line="240" w:lineRule="auto"/>
        <w:jc w:val="both"/>
        <w:rPr>
          <w:rFonts w:cs="Arial"/>
          <w:b/>
          <w:lang w:val="es-NI"/>
        </w:rPr>
      </w:pPr>
      <w:r w:rsidRPr="00FA4B2D">
        <w:rPr>
          <w:rFonts w:cs="Arial"/>
          <w:b/>
        </w:rPr>
        <w:t>Componente 2. Fortalecimiento Institucional para Mejorar el Entorno de los Agronegocios.</w:t>
      </w:r>
      <w:r w:rsidRPr="00FA4B2D">
        <w:rPr>
          <w:rFonts w:cs="Arial"/>
          <w:b/>
          <w:lang w:val="es-NI"/>
        </w:rPr>
        <w:t xml:space="preserve"> </w:t>
      </w:r>
    </w:p>
    <w:p w14:paraId="06AC8138" w14:textId="77777777" w:rsidR="006A3DBC" w:rsidRPr="00FA4B2D" w:rsidRDefault="006A3DBC" w:rsidP="006A3DBC">
      <w:pPr>
        <w:spacing w:after="60" w:line="240" w:lineRule="auto"/>
        <w:jc w:val="both"/>
        <w:rPr>
          <w:rFonts w:cs="Arial"/>
          <w:b/>
          <w:lang w:val="es-NI"/>
        </w:rPr>
      </w:pPr>
    </w:p>
    <w:p w14:paraId="22E5E443" w14:textId="77777777" w:rsidR="006A3DBC" w:rsidRPr="00FA4B2D" w:rsidRDefault="006A3DBC" w:rsidP="006A3DBC">
      <w:pPr>
        <w:spacing w:after="60" w:line="240" w:lineRule="auto"/>
        <w:jc w:val="both"/>
        <w:rPr>
          <w:rFonts w:cs="Arial"/>
          <w:bCs/>
        </w:rPr>
      </w:pPr>
      <w:r w:rsidRPr="00FA4B2D">
        <w:rPr>
          <w:rFonts w:cs="Arial"/>
        </w:rPr>
        <w:t xml:space="preserve">Este componente continuará apoyando la modernización y el fortalecimiento de determinados servicios públicos, </w:t>
      </w:r>
      <w:r w:rsidRPr="00FA4B2D">
        <w:rPr>
          <w:rFonts w:cs="Arial"/>
          <w:lang w:val="es-NI"/>
        </w:rPr>
        <w:t>mediante el mejoramiento d</w:t>
      </w:r>
      <w:r w:rsidRPr="00FA4B2D">
        <w:rPr>
          <w:rFonts w:cs="Arial"/>
        </w:rPr>
        <w:t>el mediante el mejoramiento del marco normativo de la agroindustria y la capacidad institucional del sector público para posibilitar la competitividad agroindustrial. Las actividades de este componente incluyen inversiones priorizadas en COMRURAL II</w:t>
      </w:r>
      <w:r w:rsidRPr="00FA4B2D">
        <w:rPr>
          <w:rFonts w:cs="Arial"/>
          <w:bCs/>
        </w:rPr>
        <w:t xml:space="preserve"> y pospuestas</w:t>
      </w:r>
      <w:r w:rsidRPr="00FA4B2D">
        <w:rPr>
          <w:rFonts w:cs="Arial"/>
        </w:rPr>
        <w:t xml:space="preserve"> debido a la activación del Componente de Respuesta a Emergencias de Contingencia</w:t>
      </w:r>
      <w:r w:rsidRPr="00FA4B2D">
        <w:rPr>
          <w:rFonts w:cs="Arial"/>
          <w:bCs/>
        </w:rPr>
        <w:t xml:space="preserve">, así como </w:t>
      </w:r>
      <w:r w:rsidRPr="00FA4B2D">
        <w:rPr>
          <w:rFonts w:cs="Arial"/>
        </w:rPr>
        <w:t xml:space="preserve">otras inversiones </w:t>
      </w:r>
      <w:r w:rsidRPr="00FA4B2D">
        <w:rPr>
          <w:rFonts w:cs="Arial"/>
          <w:bCs/>
        </w:rPr>
        <w:t>que faciliten el otorgamiento de servicios públicos para la mejora del entorno de agronegocios.</w:t>
      </w:r>
      <w:r w:rsidRPr="00FA4B2D">
        <w:rPr>
          <w:rFonts w:cs="Arial"/>
        </w:rPr>
        <w:t xml:space="preserve"> Los beneficiarios directos de este componente son las instituciones del sector público, entre las cuales se incluyen la SAG, el Servicio Nacional de Sanidad e Inocuidad Agroalimentaria (SENASA), la Agencia de Regulación Sanitaria (ARSA)</w:t>
      </w:r>
      <w:r w:rsidRPr="00FA4B2D">
        <w:rPr>
          <w:rFonts w:cs="Arial"/>
          <w:bCs/>
        </w:rPr>
        <w:t>, Servicio Nacional de Emprendimiento de Pequeños Negocios (SEMPRENDE), Secretaría de Recursos Naturales y Ambiente (SERNA), Instituto de la Propiedad (IP) y la Asociación de Municipios de Honduras (AMHON).</w:t>
      </w:r>
    </w:p>
    <w:p w14:paraId="6872AA8A" w14:textId="77777777" w:rsidR="006A3DBC" w:rsidRPr="00FA4B2D" w:rsidRDefault="006A3DBC" w:rsidP="006A3DBC">
      <w:pPr>
        <w:spacing w:after="60" w:line="240" w:lineRule="auto"/>
        <w:jc w:val="both"/>
        <w:rPr>
          <w:rFonts w:cs="Arial"/>
        </w:rPr>
      </w:pPr>
    </w:p>
    <w:p w14:paraId="120565EC" w14:textId="77777777" w:rsidR="006A3DBC" w:rsidRPr="00FA4B2D" w:rsidRDefault="006A3DBC" w:rsidP="00411720">
      <w:pPr>
        <w:pStyle w:val="Prrafodelista"/>
        <w:numPr>
          <w:ilvl w:val="0"/>
          <w:numId w:val="94"/>
        </w:numPr>
        <w:tabs>
          <w:tab w:val="left" w:pos="0"/>
        </w:tabs>
        <w:spacing w:after="60" w:line="240" w:lineRule="auto"/>
        <w:contextualSpacing w:val="0"/>
        <w:jc w:val="both"/>
        <w:rPr>
          <w:rFonts w:cs="Arial"/>
        </w:rPr>
      </w:pPr>
      <w:r w:rsidRPr="00FA4B2D">
        <w:rPr>
          <w:rFonts w:cs="Arial"/>
        </w:rPr>
        <w:t>Para la SAG, el componente brindará asistencia técnica para:</w:t>
      </w:r>
    </w:p>
    <w:p w14:paraId="7423D6E3" w14:textId="77777777" w:rsidR="006A3DBC" w:rsidRPr="00FA4B2D" w:rsidRDefault="006A3DBC" w:rsidP="00411720">
      <w:pPr>
        <w:numPr>
          <w:ilvl w:val="1"/>
          <w:numId w:val="94"/>
        </w:numPr>
        <w:tabs>
          <w:tab w:val="left" w:pos="0"/>
        </w:tabs>
        <w:spacing w:after="60" w:line="240" w:lineRule="auto"/>
        <w:jc w:val="both"/>
        <w:rPr>
          <w:rFonts w:cs="Arial"/>
        </w:rPr>
      </w:pPr>
      <w:r w:rsidRPr="00FA4B2D">
        <w:rPr>
          <w:rFonts w:cs="Arial"/>
        </w:rPr>
        <w:t xml:space="preserve">diseñar la estructura de gobernanza y las funciones operativas de un </w:t>
      </w:r>
      <w:bookmarkStart w:id="10" w:name="_Hlk67395647"/>
      <w:r w:rsidRPr="00FA4B2D">
        <w:rPr>
          <w:rFonts w:cs="Arial"/>
        </w:rPr>
        <w:t xml:space="preserve">Consejo Nacional Agropecuario (CNA) </w:t>
      </w:r>
      <w:bookmarkEnd w:id="10"/>
      <w:r w:rsidRPr="00FA4B2D">
        <w:rPr>
          <w:rFonts w:cs="Arial"/>
        </w:rPr>
        <w:t xml:space="preserve">y una Unidad Técnica de Inteligencia de Mercados y de Negocios. </w:t>
      </w:r>
    </w:p>
    <w:p w14:paraId="1DF7BF99" w14:textId="77777777" w:rsidR="006A3DBC" w:rsidRPr="00FA4B2D" w:rsidRDefault="006A3DBC" w:rsidP="00411720">
      <w:pPr>
        <w:numPr>
          <w:ilvl w:val="1"/>
          <w:numId w:val="94"/>
        </w:numPr>
        <w:tabs>
          <w:tab w:val="left" w:pos="0"/>
        </w:tabs>
        <w:spacing w:after="60" w:line="240" w:lineRule="auto"/>
        <w:jc w:val="both"/>
        <w:rPr>
          <w:rFonts w:cs="Arial"/>
        </w:rPr>
      </w:pPr>
      <w:r w:rsidRPr="00FA4B2D">
        <w:rPr>
          <w:rFonts w:cs="Arial"/>
        </w:rPr>
        <w:lastRenderedPageBreak/>
        <w:t>elaborar una Estrategia Nacional de Agro-logística bajo el CNA (la estrategia identificará cuellos de botella en base a la demanda existente y proyecciones sólidas del desarrollo de las principales cadenas de valor, para identificar áreas prioritarias de inversión).</w:t>
      </w:r>
    </w:p>
    <w:p w14:paraId="447E113F" w14:textId="77777777" w:rsidR="006A3DBC" w:rsidRPr="00FA4B2D" w:rsidRDefault="006A3DBC" w:rsidP="00411720">
      <w:pPr>
        <w:pStyle w:val="Prrafodelista"/>
        <w:numPr>
          <w:ilvl w:val="1"/>
          <w:numId w:val="94"/>
        </w:numPr>
        <w:tabs>
          <w:tab w:val="left" w:pos="0"/>
        </w:tabs>
        <w:spacing w:after="60" w:line="240" w:lineRule="auto"/>
        <w:contextualSpacing w:val="0"/>
        <w:jc w:val="both"/>
        <w:rPr>
          <w:rFonts w:cs="Arial"/>
        </w:rPr>
      </w:pPr>
      <w:r w:rsidRPr="00FA4B2D">
        <w:rPr>
          <w:rFonts w:cs="Arial"/>
        </w:rPr>
        <w:t xml:space="preserve">diseño de un </w:t>
      </w:r>
      <w:bookmarkStart w:id="11" w:name="_Hlk67395662"/>
      <w:r w:rsidRPr="00FA4B2D">
        <w:rPr>
          <w:rFonts w:cs="Arial"/>
        </w:rPr>
        <w:t xml:space="preserve">Sistema Nacional de Información Agroclimática (SNIAC) </w:t>
      </w:r>
      <w:bookmarkEnd w:id="11"/>
      <w:r w:rsidRPr="00FA4B2D">
        <w:rPr>
          <w:rFonts w:cs="Arial"/>
        </w:rPr>
        <w:t>bajo el CNA. El SNIAC combinará información biofísica a partir de sensores remotos/datos meteorológicos en tiempo real con información sobre el contexto agrícola local (como calendarios de cultivo locales), para brindar información relevante para las decisiones de las partes interesadas a nivel distrital y nacional.</w:t>
      </w:r>
    </w:p>
    <w:p w14:paraId="33686E5C" w14:textId="77777777" w:rsidR="006A3DBC" w:rsidRPr="00FA4B2D" w:rsidRDefault="006A3DBC" w:rsidP="00411720">
      <w:pPr>
        <w:pStyle w:val="Prrafodelista"/>
        <w:numPr>
          <w:ilvl w:val="1"/>
          <w:numId w:val="94"/>
        </w:numPr>
        <w:tabs>
          <w:tab w:val="left" w:pos="0"/>
        </w:tabs>
        <w:spacing w:after="60" w:line="240" w:lineRule="auto"/>
        <w:contextualSpacing w:val="0"/>
        <w:jc w:val="both"/>
        <w:rPr>
          <w:rFonts w:cs="Arial"/>
        </w:rPr>
      </w:pPr>
      <w:r w:rsidRPr="00FA4B2D">
        <w:rPr>
          <w:rFonts w:cs="Arial"/>
        </w:rPr>
        <w:t>crear un registro nacional de productores en cadenas de valor agrícolas, para apoyar la formalización y la toma de decisiones efectiva. Al mismo tiempo, el fortalecimiento de los sistemas de datos agrícolas permitirá monitorear las dimensiones climáticas relevantes, como las prácticas agrícolas sostenibles y las estrategias rurales resilientes, para informar la toma de decisiones en estas áreas. De manera similar, se asegurará de que las herramientas estadísticas se revisen para proporcionar información confiable y sistemática sobre la participación en las cadenas de valor agrícolas por motivos de género y etnia.</w:t>
      </w:r>
    </w:p>
    <w:p w14:paraId="485E9C68" w14:textId="35EAAFFD" w:rsidR="006A3DBC" w:rsidRPr="00FA4B2D" w:rsidRDefault="006A3DBC" w:rsidP="6A9CA2EB">
      <w:pPr>
        <w:pStyle w:val="Prrafodelista"/>
        <w:numPr>
          <w:ilvl w:val="0"/>
          <w:numId w:val="94"/>
        </w:numPr>
        <w:spacing w:after="60" w:line="240" w:lineRule="auto"/>
        <w:jc w:val="both"/>
        <w:rPr>
          <w:rFonts w:cs="Arial"/>
        </w:rPr>
      </w:pPr>
      <w:r w:rsidRPr="00FA4B2D">
        <w:rPr>
          <w:rFonts w:cs="Arial"/>
        </w:rPr>
        <w:t>En el caso del SENASA, estas actividades incluirán, entre otras, el apoyo a la implementación de un sistema de Tecnolog</w:t>
      </w:r>
      <w:r w:rsidR="00001CD7" w:rsidRPr="00FA4B2D">
        <w:rPr>
          <w:rFonts w:cs="Arial"/>
        </w:rPr>
        <w:t>í</w:t>
      </w:r>
      <w:r w:rsidRPr="00FA4B2D">
        <w:rPr>
          <w:rFonts w:cs="Arial"/>
        </w:rPr>
        <w:t xml:space="preserve">a de Información y Comunicación (TIC) para certificaciones fitosanitarias y zoosanitarias y un sistema nacional de trazabilidad y registro agrícola, acuícola y pesquero. </w:t>
      </w:r>
    </w:p>
    <w:p w14:paraId="70A32B94" w14:textId="77777777" w:rsidR="006A3DBC" w:rsidRPr="00FA4B2D" w:rsidRDefault="006A3DBC" w:rsidP="00411720">
      <w:pPr>
        <w:pStyle w:val="Prrafodelista"/>
        <w:numPr>
          <w:ilvl w:val="0"/>
          <w:numId w:val="94"/>
        </w:numPr>
        <w:spacing w:after="60" w:line="240" w:lineRule="auto"/>
        <w:contextualSpacing w:val="0"/>
        <w:jc w:val="both"/>
        <w:rPr>
          <w:rFonts w:cs="Arial"/>
        </w:rPr>
      </w:pPr>
      <w:r w:rsidRPr="00FA4B2D">
        <w:rPr>
          <w:rFonts w:cs="Arial"/>
        </w:rPr>
        <w:t>En cuanto a la ARSA, el componente apoyará la construcción y el equipamiento de un laboratorio nacional acreditado internacionalmente, con procesos certificados internacionalmente para el análisis de alimentos y bebidas procesados y de suelos, y el desarrollo de laboratorios móviles para el análisis rápido de alimentos y bebidas.</w:t>
      </w:r>
    </w:p>
    <w:p w14:paraId="3ECBB8E3" w14:textId="77777777" w:rsidR="006A3DBC" w:rsidRPr="00FA4B2D" w:rsidRDefault="006A3DBC" w:rsidP="00411720">
      <w:pPr>
        <w:pStyle w:val="Prrafodelista"/>
        <w:numPr>
          <w:ilvl w:val="0"/>
          <w:numId w:val="94"/>
        </w:numPr>
        <w:spacing w:after="60" w:line="240" w:lineRule="auto"/>
        <w:jc w:val="both"/>
        <w:rPr>
          <w:rFonts w:cs="Arial"/>
          <w:b/>
        </w:rPr>
      </w:pPr>
      <w:r w:rsidRPr="00FA4B2D">
        <w:rPr>
          <w:rFonts w:cs="Arial"/>
        </w:rPr>
        <w:t>En cuanto a otras instituciones que podrían beneficiarse del apoyo del Proyecto, posibles candidatas (a ser validadas con el gobierno en fase de implementación) incluyen: (i) SEMPRENDE, con apoyo a la digitalización de procesos de registro, licencias y certificaciones, entre ellas licencias de emisión de personería jurídica o certificaciones ambientales, entre otras; y (ii) Dirección de Ciencia y Tecnología Agropecuaria (DICTA) de la SAG, con apoyo a la capacitación y reforzamiento de los laboratorios, para fortalecer el sistema nacional de validación de tecnologías.</w:t>
      </w:r>
    </w:p>
    <w:p w14:paraId="2880BA80" w14:textId="4ECEF76B" w:rsidR="006A3DBC" w:rsidRPr="00FA4B2D" w:rsidRDefault="006A3DBC" w:rsidP="6A9CA2EB">
      <w:pPr>
        <w:pStyle w:val="Prrafodelista"/>
        <w:numPr>
          <w:ilvl w:val="0"/>
          <w:numId w:val="94"/>
        </w:numPr>
        <w:spacing w:after="60" w:line="240" w:lineRule="auto"/>
        <w:jc w:val="both"/>
        <w:rPr>
          <w:rFonts w:cs="Arial"/>
          <w:b/>
          <w:bCs/>
        </w:rPr>
      </w:pPr>
      <w:r w:rsidRPr="00FA4B2D">
        <w:rPr>
          <w:rFonts w:cs="Arial"/>
        </w:rPr>
        <w:t xml:space="preserve">Considerando la premisa de cumplimiento de </w:t>
      </w:r>
      <w:r w:rsidR="008B204B" w:rsidRPr="00FA4B2D">
        <w:rPr>
          <w:rFonts w:cs="Arial"/>
        </w:rPr>
        <w:t>los EASs del BM</w:t>
      </w:r>
      <w:r w:rsidRPr="00FA4B2D">
        <w:rPr>
          <w:rFonts w:cs="Arial"/>
        </w:rPr>
        <w:t xml:space="preserve"> y la legislación ambiental nacional y previo a aprobar las inversiones; es imperativo agilizar los procesos de licenciamiento ambiental, </w:t>
      </w:r>
      <w:r w:rsidR="00DF7059" w:rsidRPr="00FA4B2D">
        <w:rPr>
          <w:rFonts w:cs="Arial"/>
        </w:rPr>
        <w:t xml:space="preserve">por lo que </w:t>
      </w:r>
      <w:r w:rsidRPr="00FA4B2D">
        <w:rPr>
          <w:rFonts w:cs="Arial"/>
        </w:rPr>
        <w:t xml:space="preserve">la SERNA deberá apoyar la simplificación de los procesos o mecanismos de revisión mediante apoyo con recursos humanos y/o equipamiento que impulsen la modernización del </w:t>
      </w:r>
      <w:r w:rsidR="008B204B" w:rsidRPr="00FA4B2D">
        <w:rPr>
          <w:rFonts w:cs="Arial"/>
        </w:rPr>
        <w:t>S</w:t>
      </w:r>
      <w:r w:rsidRPr="00FA4B2D">
        <w:rPr>
          <w:rFonts w:cs="Arial"/>
        </w:rPr>
        <w:t xml:space="preserve">istema de </w:t>
      </w:r>
      <w:r w:rsidR="008B204B" w:rsidRPr="00FA4B2D">
        <w:rPr>
          <w:rFonts w:cs="Arial"/>
        </w:rPr>
        <w:t>L</w:t>
      </w:r>
      <w:r w:rsidRPr="00FA4B2D">
        <w:rPr>
          <w:rFonts w:cs="Arial"/>
        </w:rPr>
        <w:t xml:space="preserve">icenciamiento </w:t>
      </w:r>
      <w:r w:rsidR="008B204B" w:rsidRPr="00FA4B2D">
        <w:rPr>
          <w:rFonts w:cs="Arial"/>
        </w:rPr>
        <w:t>A</w:t>
      </w:r>
      <w:r w:rsidRPr="00FA4B2D">
        <w:rPr>
          <w:rFonts w:cs="Arial"/>
        </w:rPr>
        <w:t xml:space="preserve">mbiental </w:t>
      </w:r>
      <w:r w:rsidR="008B204B" w:rsidRPr="00FA4B2D">
        <w:rPr>
          <w:rFonts w:cs="Arial"/>
        </w:rPr>
        <w:t xml:space="preserve">Simplificado </w:t>
      </w:r>
      <w:r w:rsidRPr="00FA4B2D">
        <w:rPr>
          <w:rFonts w:cs="Arial"/>
        </w:rPr>
        <w:t>(SLAS), con ello se fomentará y facilitará las inversiones productivas nacionales.</w:t>
      </w:r>
    </w:p>
    <w:p w14:paraId="6D7F98C3" w14:textId="77777777" w:rsidR="006A3DBC" w:rsidRPr="00FA4B2D" w:rsidRDefault="006A3DBC" w:rsidP="006A3DBC">
      <w:pPr>
        <w:spacing w:after="60" w:line="240" w:lineRule="auto"/>
        <w:jc w:val="both"/>
        <w:rPr>
          <w:rFonts w:cs="Arial"/>
          <w:bCs/>
        </w:rPr>
      </w:pPr>
    </w:p>
    <w:p w14:paraId="53146FFE" w14:textId="05EF5B49" w:rsidR="006A3DBC" w:rsidRPr="00FA4B2D" w:rsidRDefault="006A3DBC" w:rsidP="006A3DBC">
      <w:pPr>
        <w:spacing w:after="60" w:line="240" w:lineRule="auto"/>
        <w:jc w:val="both"/>
        <w:rPr>
          <w:rFonts w:cs="Arial"/>
          <w:bCs/>
        </w:rPr>
      </w:pPr>
      <w:r w:rsidRPr="00FA4B2D">
        <w:rPr>
          <w:rFonts w:ascii="Segoe UI Symbol" w:hAnsi="Segoe UI Symbol" w:cs="Segoe UI Symbol"/>
          <w:bCs/>
        </w:rPr>
        <w:lastRenderedPageBreak/>
        <w:t>✔</w:t>
      </w:r>
      <w:r w:rsidRPr="00FA4B2D">
        <w:rPr>
          <w:rFonts w:cs="Arial"/>
        </w:rPr>
        <w:tab/>
      </w:r>
      <w:r w:rsidRPr="00FA4B2D">
        <w:rPr>
          <w:rFonts w:cs="Arial"/>
          <w:bCs/>
        </w:rPr>
        <w:t>En el caso de</w:t>
      </w:r>
      <w:r w:rsidR="00DF7059" w:rsidRPr="00FA4B2D">
        <w:rPr>
          <w:rFonts w:cs="Arial"/>
          <w:bCs/>
        </w:rPr>
        <w:t>l</w:t>
      </w:r>
      <w:r w:rsidRPr="00FA4B2D">
        <w:rPr>
          <w:rFonts w:cs="Arial"/>
          <w:bCs/>
        </w:rPr>
        <w:t xml:space="preserve"> IP, se financiará el la re-</w:t>
      </w:r>
      <w:r w:rsidRPr="00FA4B2D">
        <w:rPr>
          <w:rFonts w:cs="Arial"/>
        </w:rPr>
        <w:t>c</w:t>
      </w:r>
      <w:r w:rsidRPr="00FA4B2D">
        <w:rPr>
          <w:rFonts w:cs="Arial"/>
          <w:bCs/>
        </w:rPr>
        <w:t xml:space="preserve">ertificación del sistema de gestión de la calidad, bajo el Estándar internacional de la norma ISO, la mejora de la plataforma digital para el registro de bienes, la plataforma digital e inversiones conexas para el enlace funcional con el Instituto Nacional Agrario (INA) o institución que cumpla las funciones de esta, e inversiones en logística lo que permitirá facilitar el acceso a los servicio de registro de bienes, por ende, mejorar los servicios al sector agronegocios. </w:t>
      </w:r>
    </w:p>
    <w:p w14:paraId="5219468D" w14:textId="77777777" w:rsidR="006A3DBC" w:rsidRPr="00FA4B2D" w:rsidRDefault="006A3DBC" w:rsidP="006A3DBC">
      <w:pPr>
        <w:spacing w:after="60" w:line="240" w:lineRule="auto"/>
        <w:jc w:val="both"/>
        <w:rPr>
          <w:rFonts w:cs="Arial"/>
          <w:bCs/>
        </w:rPr>
      </w:pPr>
    </w:p>
    <w:p w14:paraId="2EB482EA" w14:textId="77777777" w:rsidR="006A3DBC" w:rsidRPr="00FA4B2D" w:rsidRDefault="006A3DBC" w:rsidP="006A3DBC">
      <w:pPr>
        <w:spacing w:after="60" w:line="240" w:lineRule="auto"/>
        <w:jc w:val="both"/>
        <w:rPr>
          <w:rFonts w:cs="Arial"/>
          <w:bCs/>
        </w:rPr>
      </w:pPr>
      <w:r w:rsidRPr="00FA4B2D">
        <w:rPr>
          <w:rFonts w:ascii="Segoe UI Symbol" w:hAnsi="Segoe UI Symbol" w:cs="Segoe UI Symbol"/>
          <w:bCs/>
        </w:rPr>
        <w:t>✔</w:t>
      </w:r>
      <w:r w:rsidRPr="00FA4B2D">
        <w:rPr>
          <w:rFonts w:cs="Arial"/>
          <w:bCs/>
        </w:rPr>
        <w:tab/>
        <w:t>En la AMHON, el fortalecimiento de sus procesos digitales y logísticos, y el acondicionamiento de sus oficinas orientadas a la prestación de servicios, que permita mejorar el ambiente del sector agronegocios; vinculando la prestación de servicios que brindan las Unidades ambientales municipales, y que están faciliten la emisión de constancias de factibilidad ambiental</w:t>
      </w:r>
    </w:p>
    <w:p w14:paraId="5E0F0FDE" w14:textId="77777777" w:rsidR="006A3DBC" w:rsidRPr="00FA4B2D" w:rsidRDefault="006A3DBC" w:rsidP="006A3DBC">
      <w:pPr>
        <w:spacing w:after="60" w:line="240" w:lineRule="auto"/>
        <w:jc w:val="both"/>
        <w:rPr>
          <w:rFonts w:cs="Arial"/>
          <w:b/>
        </w:rPr>
      </w:pPr>
    </w:p>
    <w:p w14:paraId="02E08EB8" w14:textId="77777777" w:rsidR="006A3DBC" w:rsidRPr="00FA4B2D" w:rsidRDefault="006A3DBC" w:rsidP="006A3DBC">
      <w:pPr>
        <w:spacing w:after="60" w:line="240" w:lineRule="auto"/>
        <w:jc w:val="both"/>
        <w:rPr>
          <w:rFonts w:cs="Arial"/>
          <w:bCs/>
        </w:rPr>
      </w:pPr>
      <w:r w:rsidRPr="00FA4B2D">
        <w:rPr>
          <w:rFonts w:cs="Arial"/>
          <w:b/>
        </w:rPr>
        <w:t xml:space="preserve">Componente 3. Apoyo a la gestión del Proyecto. </w:t>
      </w:r>
      <w:r w:rsidRPr="00FA4B2D">
        <w:rPr>
          <w:rFonts w:cs="Arial"/>
          <w:bCs/>
        </w:rPr>
        <w:t xml:space="preserve">Este componente financiará bienes, capacitaciones, costos operativos y servicios de consultoría y no consultoría para la gestión, coordinación e implementación general del Proyecto, incluyendo los siguientes aspectos: (i) gestión y coordinación del Proyecto entre los diferentes actores; (ii) seguimiento, evaluación de resultados y evaluación de impacto de las actividades del Proyecto, incluyendo encuestas periódicas de satisfacción de los beneficiarios; (iii) administración fiduciaria, controles internos y auditorías del Proyecto; (iv) gestión de riesgos e implementación de salvaguardas ambientales y sociales del Proyecto; (v) un mecanismo de participación ciudadana; y (vi) estudios y diagnósticos para la </w:t>
      </w:r>
      <w:r w:rsidRPr="00FA4B2D">
        <w:rPr>
          <w:rFonts w:cs="Arial"/>
        </w:rPr>
        <w:t>transformación agroindustrial y para la promoción de la adaptación y mitigación del cambio climático.</w:t>
      </w:r>
    </w:p>
    <w:p w14:paraId="7BCFDEDD" w14:textId="77777777" w:rsidR="006A3DBC" w:rsidRPr="00FA4B2D" w:rsidRDefault="006A3DBC" w:rsidP="006A3DBC">
      <w:pPr>
        <w:spacing w:after="60" w:line="240" w:lineRule="auto"/>
        <w:jc w:val="both"/>
        <w:rPr>
          <w:rFonts w:cs="Arial"/>
          <w:bCs/>
        </w:rPr>
      </w:pPr>
    </w:p>
    <w:p w14:paraId="70A5C310" w14:textId="77777777" w:rsidR="006A3DBC" w:rsidRPr="00FA4B2D" w:rsidRDefault="006A3DBC" w:rsidP="006A3DBC">
      <w:pPr>
        <w:spacing w:after="240" w:line="276" w:lineRule="auto"/>
        <w:jc w:val="both"/>
        <w:rPr>
          <w:rFonts w:cs="Arial"/>
          <w:b/>
        </w:rPr>
      </w:pPr>
      <w:r w:rsidRPr="00FA4B2D">
        <w:rPr>
          <w:rFonts w:cs="Arial"/>
          <w:b/>
        </w:rPr>
        <w:t xml:space="preserve">Componente 5 - Fortalecimiento de la Seguridad Alimentaria y la Inclusión Productiva en la Moskitia y la Costa Atlántica de Honduras (FA US$8 millones, donación del GAFSP) </w:t>
      </w:r>
    </w:p>
    <w:p w14:paraId="22393A9F" w14:textId="74F6A9FF" w:rsidR="006A3DBC" w:rsidRPr="00FA4B2D" w:rsidRDefault="006A3DBC" w:rsidP="006A3DBC">
      <w:pPr>
        <w:jc w:val="both"/>
        <w:rPr>
          <w:rFonts w:cs="Arial"/>
          <w:bCs/>
        </w:rPr>
      </w:pPr>
      <w:r w:rsidRPr="00FA4B2D">
        <w:rPr>
          <w:rFonts w:cs="Arial"/>
          <w:bCs/>
        </w:rPr>
        <w:t>El objetivo del FA es el Fortalecimiento de la Seguridad Alimentaria y la Inclusión Productiva en la Moskitia y costa Atlántica en Honduras. El FA ampliará el modelo ComRural para dirigirse a la región de Moskitia-Costa Atlántica y cubrir una brecha importante de inversión para complementar las transformaciones en curso en el sector agrícola y la seguridad alimentaria de esta región.</w:t>
      </w:r>
    </w:p>
    <w:p w14:paraId="088A9858" w14:textId="77777777" w:rsidR="006A3DBC" w:rsidRPr="00FA4B2D" w:rsidRDefault="006A3DBC" w:rsidP="006A3DBC">
      <w:pPr>
        <w:jc w:val="both"/>
        <w:rPr>
          <w:rFonts w:cs="Arial"/>
          <w:bCs/>
        </w:rPr>
      </w:pPr>
      <w:r w:rsidRPr="00FA4B2D">
        <w:rPr>
          <w:rFonts w:cs="Arial"/>
          <w:bCs/>
        </w:rPr>
        <w:t>Dadas las particularidades del contexto de La Moskitia en aspectos sociales, culturales y de su vida económica, el FA cuenta con su propio MGAS, mismo que forma parte del MGAS del ComRural III.</w:t>
      </w:r>
    </w:p>
    <w:p w14:paraId="5FFF0EF0" w14:textId="05748B3F" w:rsidR="00691217" w:rsidRPr="00FA4B2D" w:rsidRDefault="006A3DBC" w:rsidP="006A3DBC">
      <w:pPr>
        <w:spacing w:after="240" w:line="276" w:lineRule="auto"/>
        <w:jc w:val="both"/>
        <w:rPr>
          <w:rFonts w:cs="Arial"/>
          <w:b/>
        </w:rPr>
      </w:pPr>
      <w:r w:rsidRPr="00FA4B2D">
        <w:rPr>
          <w:rFonts w:cs="Arial"/>
          <w:b/>
        </w:rPr>
        <w:t xml:space="preserve">Subcomponente 5.1 – Fortalecimiento Organizativo y Alianzas Productivas. </w:t>
      </w:r>
    </w:p>
    <w:p w14:paraId="2FF1A2A8" w14:textId="384231CB" w:rsidR="00691217" w:rsidRPr="00FA4B2D" w:rsidRDefault="00691217" w:rsidP="006A3DBC">
      <w:pPr>
        <w:spacing w:after="240" w:line="276" w:lineRule="auto"/>
        <w:jc w:val="both"/>
        <w:rPr>
          <w:rFonts w:cs="Arial"/>
          <w:bCs/>
        </w:rPr>
      </w:pPr>
      <w:r w:rsidRPr="00FA4B2D">
        <w:rPr>
          <w:rFonts w:cs="Arial"/>
          <w:bCs/>
        </w:rPr>
        <w:t xml:space="preserve">Este subcomponente tiene como objetivo fortalecer las capacidades de las organizaciones/grupos de productores de subsistencia en la Moskitia-Costa </w:t>
      </w:r>
      <w:r w:rsidRPr="00FA4B2D">
        <w:rPr>
          <w:rFonts w:cs="Arial"/>
          <w:bCs/>
        </w:rPr>
        <w:lastRenderedPageBreak/>
        <w:t>Atlántica, departamento de Gracias a Dios, mediante un proceso gradual de mejora en sus capacidades productivas y comerciales</w:t>
      </w:r>
      <w:r w:rsidR="008B204B" w:rsidRPr="00FA4B2D">
        <w:rPr>
          <w:rFonts w:cs="Arial"/>
          <w:bCs/>
        </w:rPr>
        <w:t>,</w:t>
      </w:r>
      <w:r w:rsidRPr="00FA4B2D">
        <w:rPr>
          <w:rFonts w:cs="Arial"/>
          <w:bCs/>
        </w:rPr>
        <w:t xml:space="preserve"> </w:t>
      </w:r>
      <w:r w:rsidR="008B204B" w:rsidRPr="00FA4B2D">
        <w:rPr>
          <w:rFonts w:cs="Arial"/>
          <w:bCs/>
        </w:rPr>
        <w:t>el</w:t>
      </w:r>
      <w:r w:rsidRPr="00FA4B2D">
        <w:rPr>
          <w:rFonts w:cs="Arial"/>
          <w:bCs/>
        </w:rPr>
        <w:t xml:space="preserve"> </w:t>
      </w:r>
      <w:r w:rsidR="008B204B" w:rsidRPr="00FA4B2D">
        <w:rPr>
          <w:rFonts w:cs="Arial"/>
          <w:bCs/>
        </w:rPr>
        <w:t>c</w:t>
      </w:r>
      <w:r w:rsidRPr="00FA4B2D">
        <w:rPr>
          <w:rFonts w:cs="Arial"/>
          <w:bCs/>
        </w:rPr>
        <w:t>ual se centrará en:</w:t>
      </w:r>
    </w:p>
    <w:p w14:paraId="37FEF015" w14:textId="5E7D0F83" w:rsidR="006A3DBC" w:rsidRPr="00FA4B2D" w:rsidRDefault="008A6560" w:rsidP="6A9CA2EB">
      <w:pPr>
        <w:pStyle w:val="Prrafodelista"/>
        <w:numPr>
          <w:ilvl w:val="0"/>
          <w:numId w:val="123"/>
        </w:numPr>
        <w:tabs>
          <w:tab w:val="left" w:pos="426"/>
        </w:tabs>
        <w:spacing w:after="240" w:line="276" w:lineRule="auto"/>
        <w:ind w:left="142" w:hanging="284"/>
        <w:jc w:val="both"/>
        <w:rPr>
          <w:rFonts w:cs="Arial"/>
        </w:rPr>
      </w:pPr>
      <w:r w:rsidRPr="00FA4B2D">
        <w:rPr>
          <w:rFonts w:cs="Arial"/>
        </w:rPr>
        <w:t>Consulta comunitaria y formación de capacidades, para</w:t>
      </w:r>
      <w:r w:rsidR="00025FC1" w:rsidRPr="00FA4B2D">
        <w:rPr>
          <w:rFonts w:cs="Arial"/>
        </w:rPr>
        <w:t>:</w:t>
      </w:r>
      <w:r w:rsidR="00025FC1" w:rsidRPr="00FA4B2D">
        <w:rPr>
          <w:rFonts w:cs="Arial"/>
          <w:lang w:val="es-ES"/>
        </w:rPr>
        <w:t xml:space="preserve"> </w:t>
      </w:r>
      <w:r w:rsidR="006A3DBC" w:rsidRPr="00FA4B2D">
        <w:rPr>
          <w:rFonts w:cs="Arial"/>
        </w:rPr>
        <w:t>(i) identificar las necesidades e inversiones requeridas en cada Comunidad; (ii) apoyar la creación, formalización y fortalecimiento de Beneficiarios Elegibles en cumplimiento de los requerimientos necesarios para la elaboración de los planes de negocios elegibles correspondientes a los Subproyectos Agro</w:t>
      </w:r>
      <w:r w:rsidR="6605B117" w:rsidRPr="00FA4B2D">
        <w:rPr>
          <w:rFonts w:cs="Arial"/>
        </w:rPr>
        <w:t>-</w:t>
      </w:r>
      <w:r w:rsidR="006A3DBC" w:rsidRPr="00FA4B2D">
        <w:rPr>
          <w:rFonts w:cs="Arial"/>
        </w:rPr>
        <w:t xml:space="preserve">costeros; (iii) identificar a los potenciales beneficiarios del Proyecto y crear espacios de diálogo intercomunitario e intercultural; (iv) planificar y realizar talleres participativos y evaluaciones de riesgo comunitario; (iii) fortalecer las capacidades de las organizaciones indígenas y afrohondureñas para su participación en los subproyectos de inversión y en las iniciativas de seguridad alimentaria y respuesta de emergencia ante crisis climáticas o de otra índole; y (iv) generar conocimientos culturalmente apropiados, que incluyan un análisis detallado de los usos culturales de la tierra, y metodologías indígenas para la gestión territorial. </w:t>
      </w:r>
    </w:p>
    <w:p w14:paraId="53C6DB27" w14:textId="378CF038" w:rsidR="008A6560" w:rsidRPr="00FA4B2D" w:rsidRDefault="008A6560" w:rsidP="6A9CA2EB">
      <w:pPr>
        <w:pStyle w:val="ModelNrmlSingle"/>
        <w:numPr>
          <w:ilvl w:val="0"/>
          <w:numId w:val="123"/>
        </w:numPr>
        <w:ind w:left="142" w:hanging="426"/>
        <w:rPr>
          <w:rFonts w:ascii="Arial" w:eastAsiaTheme="minorHAnsi" w:hAnsi="Arial" w:cs="Arial"/>
          <w:szCs w:val="22"/>
          <w:lang w:val="es-AR"/>
        </w:rPr>
      </w:pPr>
      <w:r w:rsidRPr="00FA4B2D">
        <w:rPr>
          <w:rFonts w:ascii="Arial" w:eastAsiaTheme="minorHAnsi" w:hAnsi="Arial" w:cs="Arial"/>
          <w:szCs w:val="22"/>
          <w:lang w:val="es-AR"/>
        </w:rPr>
        <w:t xml:space="preserve">Apoyo a la implementación de </w:t>
      </w:r>
      <w:r w:rsidR="008B204B" w:rsidRPr="00FA4B2D">
        <w:rPr>
          <w:rFonts w:ascii="Arial" w:eastAsiaTheme="minorHAnsi" w:hAnsi="Arial" w:cs="Arial"/>
          <w:szCs w:val="22"/>
          <w:lang w:val="es-AR"/>
        </w:rPr>
        <w:t>PdNs</w:t>
      </w:r>
      <w:r w:rsidRPr="00FA4B2D">
        <w:rPr>
          <w:rFonts w:ascii="Arial" w:eastAsiaTheme="minorHAnsi" w:hAnsi="Arial" w:cs="Arial"/>
          <w:szCs w:val="22"/>
          <w:lang w:val="es-AR"/>
        </w:rPr>
        <w:t xml:space="preserve"> inteligentes climáticamente y en cuestiones de nutrición, incluso a través de, entre otras cosas: (i) ejecución de los Subproyectos Agro</w:t>
      </w:r>
      <w:r w:rsidR="6147F20F" w:rsidRPr="00FA4B2D">
        <w:rPr>
          <w:rFonts w:ascii="Arial" w:eastAsiaTheme="minorHAnsi" w:hAnsi="Arial" w:cs="Arial"/>
          <w:szCs w:val="22"/>
          <w:lang w:val="es-AR"/>
        </w:rPr>
        <w:t>-</w:t>
      </w:r>
      <w:r w:rsidRPr="00FA4B2D">
        <w:rPr>
          <w:rFonts w:ascii="Arial" w:eastAsiaTheme="minorHAnsi" w:hAnsi="Arial" w:cs="Arial"/>
          <w:szCs w:val="22"/>
          <w:lang w:val="es-AR"/>
        </w:rPr>
        <w:t>costeros en beneficio de los Beneficiarios Elegibles</w:t>
      </w:r>
      <w:r w:rsidR="00954618" w:rsidRPr="00FA4B2D">
        <w:rPr>
          <w:rFonts w:ascii="Arial" w:eastAsiaTheme="minorHAnsi" w:hAnsi="Arial" w:cs="Arial"/>
          <w:szCs w:val="22"/>
          <w:lang w:val="es-AR"/>
        </w:rPr>
        <w:t>;</w:t>
      </w:r>
      <w:r w:rsidRPr="00FA4B2D">
        <w:rPr>
          <w:rFonts w:ascii="Arial" w:eastAsiaTheme="minorHAnsi" w:hAnsi="Arial" w:cs="Arial"/>
          <w:szCs w:val="22"/>
          <w:lang w:val="es-AR"/>
        </w:rPr>
        <w:t xml:space="preserve"> (ii) el desarrollo de vínculos de mercado entre productores y consumidores locales</w:t>
      </w:r>
      <w:r w:rsidR="00954618" w:rsidRPr="00FA4B2D">
        <w:rPr>
          <w:rFonts w:ascii="Arial" w:eastAsiaTheme="minorHAnsi" w:hAnsi="Arial" w:cs="Arial"/>
          <w:szCs w:val="22"/>
          <w:lang w:val="es-AR"/>
        </w:rPr>
        <w:t>;</w:t>
      </w:r>
      <w:r w:rsidRPr="00FA4B2D">
        <w:rPr>
          <w:rFonts w:ascii="Arial" w:eastAsiaTheme="minorHAnsi" w:hAnsi="Arial" w:cs="Arial"/>
          <w:szCs w:val="22"/>
          <w:lang w:val="es-AR"/>
        </w:rPr>
        <w:t xml:space="preserve"> y (iii) la prestación de asistencia técnica a los Beneficiarios Elegibles cuyo Subproyecto Agro</w:t>
      </w:r>
      <w:r w:rsidR="073354F9" w:rsidRPr="00FA4B2D">
        <w:rPr>
          <w:rFonts w:ascii="Arial" w:eastAsiaTheme="minorHAnsi" w:hAnsi="Arial" w:cs="Arial"/>
          <w:szCs w:val="22"/>
          <w:lang w:val="es-AR"/>
        </w:rPr>
        <w:t>-</w:t>
      </w:r>
      <w:r w:rsidRPr="00FA4B2D">
        <w:rPr>
          <w:rFonts w:ascii="Arial" w:eastAsiaTheme="minorHAnsi" w:hAnsi="Arial" w:cs="Arial"/>
          <w:szCs w:val="22"/>
          <w:lang w:val="es-AR"/>
        </w:rPr>
        <w:t xml:space="preserve">costero haya sido considerado elegible para su ejecución en virtud de la Parte 5.1. (b)(i) en el proceso de abastecimiento de alimentos a las Escuelas Elegibles como parte del </w:t>
      </w:r>
      <w:r w:rsidR="00AA7B5C" w:rsidRPr="00FA4B2D">
        <w:rPr>
          <w:rFonts w:ascii="Arial" w:eastAsiaTheme="minorHAnsi" w:hAnsi="Arial" w:cs="Arial"/>
          <w:szCs w:val="22"/>
          <w:lang w:val="es-AR"/>
        </w:rPr>
        <w:t>P</w:t>
      </w:r>
      <w:r w:rsidR="0085016B" w:rsidRPr="00FA4B2D">
        <w:rPr>
          <w:rFonts w:ascii="Arial" w:eastAsiaTheme="minorHAnsi" w:hAnsi="Arial" w:cs="Arial"/>
          <w:szCs w:val="22"/>
          <w:lang w:val="es-AR"/>
        </w:rPr>
        <w:t>rograma</w:t>
      </w:r>
      <w:r w:rsidR="00AA7B5C" w:rsidRPr="00FA4B2D">
        <w:rPr>
          <w:rFonts w:ascii="Arial" w:eastAsiaTheme="minorHAnsi" w:hAnsi="Arial" w:cs="Arial"/>
          <w:szCs w:val="22"/>
          <w:lang w:val="es-AR"/>
        </w:rPr>
        <w:t xml:space="preserve"> Nacional de Alimentación </w:t>
      </w:r>
      <w:r w:rsidR="00E74505" w:rsidRPr="00FA4B2D">
        <w:rPr>
          <w:rFonts w:ascii="Arial" w:eastAsiaTheme="minorHAnsi" w:hAnsi="Arial" w:cs="Arial"/>
          <w:szCs w:val="22"/>
          <w:lang w:val="es-AR"/>
        </w:rPr>
        <w:t>Escolar (</w:t>
      </w:r>
      <w:r w:rsidRPr="00FA4B2D">
        <w:rPr>
          <w:rFonts w:ascii="Arial" w:eastAsiaTheme="minorHAnsi" w:hAnsi="Arial" w:cs="Arial"/>
          <w:szCs w:val="22"/>
          <w:lang w:val="es-AR"/>
        </w:rPr>
        <w:t>P</w:t>
      </w:r>
      <w:r w:rsidR="00AA7B5C" w:rsidRPr="00FA4B2D">
        <w:rPr>
          <w:rFonts w:ascii="Arial" w:eastAsiaTheme="minorHAnsi" w:hAnsi="Arial" w:cs="Arial"/>
          <w:szCs w:val="22"/>
          <w:lang w:val="es-AR"/>
        </w:rPr>
        <w:t>N</w:t>
      </w:r>
      <w:r w:rsidRPr="00FA4B2D">
        <w:rPr>
          <w:rFonts w:ascii="Arial" w:eastAsiaTheme="minorHAnsi" w:hAnsi="Arial" w:cs="Arial"/>
          <w:szCs w:val="22"/>
          <w:lang w:val="es-AR"/>
        </w:rPr>
        <w:t>AE</w:t>
      </w:r>
      <w:r w:rsidR="00E74505" w:rsidRPr="00FA4B2D">
        <w:rPr>
          <w:rFonts w:ascii="Arial" w:eastAsiaTheme="minorHAnsi" w:hAnsi="Arial" w:cs="Arial"/>
          <w:szCs w:val="22"/>
          <w:lang w:val="es-AR"/>
        </w:rPr>
        <w:t>)</w:t>
      </w:r>
      <w:r w:rsidRPr="00FA4B2D">
        <w:rPr>
          <w:rFonts w:ascii="Arial" w:eastAsiaTheme="minorHAnsi" w:hAnsi="Arial" w:cs="Arial"/>
          <w:szCs w:val="22"/>
          <w:lang w:val="es-AR"/>
        </w:rPr>
        <w:t>.</w:t>
      </w:r>
    </w:p>
    <w:p w14:paraId="4A4D1F5C" w14:textId="01B89C12" w:rsidR="006A3DBC" w:rsidRPr="00FA4B2D" w:rsidRDefault="006A3DBC" w:rsidP="006A3DBC">
      <w:pPr>
        <w:spacing w:after="240" w:line="276" w:lineRule="auto"/>
        <w:jc w:val="both"/>
        <w:rPr>
          <w:rFonts w:cs="Arial"/>
        </w:rPr>
      </w:pPr>
      <w:r w:rsidRPr="00FA4B2D">
        <w:rPr>
          <w:rFonts w:cs="Arial"/>
          <w:b/>
        </w:rPr>
        <w:t>Subcomponente 5.2: Mejora del estado nutricional e inversión en las comunidades locales</w:t>
      </w:r>
      <w:r w:rsidR="00025FC1" w:rsidRPr="00FA4B2D">
        <w:rPr>
          <w:rFonts w:cs="Arial"/>
          <w:b/>
        </w:rPr>
        <w:t>.</w:t>
      </w:r>
    </w:p>
    <w:p w14:paraId="323F337B" w14:textId="22480E6C" w:rsidR="00025FC1" w:rsidRPr="00FA4B2D" w:rsidRDefault="00025FC1" w:rsidP="00C863B8">
      <w:pPr>
        <w:numPr>
          <w:ilvl w:val="0"/>
          <w:numId w:val="124"/>
        </w:numPr>
        <w:spacing w:after="240" w:line="240" w:lineRule="auto"/>
        <w:ind w:left="142" w:hanging="426"/>
        <w:jc w:val="both"/>
        <w:rPr>
          <w:rFonts w:eastAsia="Times New Roman" w:cs="Arial"/>
          <w:lang w:val="es-ES"/>
        </w:rPr>
      </w:pPr>
      <w:r w:rsidRPr="00FA4B2D">
        <w:rPr>
          <w:rFonts w:eastAsia="Times New Roman" w:cs="Arial"/>
          <w:lang w:val="es-ES"/>
        </w:rPr>
        <w:t>(i) la ejecución de Subproyectos Comunitarios de Nutrición e Higiene en beneficio de las Comunidades</w:t>
      </w:r>
      <w:r w:rsidR="00954618" w:rsidRPr="00FA4B2D">
        <w:rPr>
          <w:rFonts w:eastAsia="Times New Roman" w:cs="Arial"/>
          <w:lang w:val="es-ES"/>
        </w:rPr>
        <w:t>;</w:t>
      </w:r>
      <w:r w:rsidRPr="00FA4B2D">
        <w:rPr>
          <w:rFonts w:eastAsia="Times New Roman" w:cs="Arial"/>
          <w:lang w:val="es-ES"/>
        </w:rPr>
        <w:t xml:space="preserve"> y (ii) la provisión de capacitación en temas relacionados con la nutrición. </w:t>
      </w:r>
    </w:p>
    <w:p w14:paraId="3DA6C99B" w14:textId="415DFB56" w:rsidR="00025FC1" w:rsidRPr="00FA4B2D" w:rsidRDefault="00025FC1" w:rsidP="00025FC1">
      <w:pPr>
        <w:numPr>
          <w:ilvl w:val="0"/>
          <w:numId w:val="124"/>
        </w:numPr>
        <w:spacing w:after="240" w:line="240" w:lineRule="auto"/>
        <w:ind w:left="142" w:hanging="426"/>
        <w:jc w:val="both"/>
        <w:rPr>
          <w:rFonts w:eastAsia="Times New Roman" w:cs="Arial"/>
          <w:lang w:val="es-ES"/>
        </w:rPr>
      </w:pPr>
      <w:r w:rsidRPr="00FA4B2D">
        <w:rPr>
          <w:rFonts w:eastAsia="Times New Roman" w:cs="Arial"/>
          <w:lang w:val="es-ES"/>
        </w:rPr>
        <w:t>Fortalecimiento del P</w:t>
      </w:r>
      <w:r w:rsidR="00E74505" w:rsidRPr="00FA4B2D">
        <w:rPr>
          <w:rFonts w:eastAsia="Times New Roman" w:cs="Arial"/>
          <w:lang w:val="es-ES"/>
        </w:rPr>
        <w:t>N</w:t>
      </w:r>
      <w:r w:rsidRPr="00FA4B2D">
        <w:rPr>
          <w:rFonts w:eastAsia="Times New Roman" w:cs="Arial"/>
          <w:lang w:val="es-ES"/>
        </w:rPr>
        <w:t>AE del Beneficiario a través de, entre otras cosas: (i) el otorgamiento de Subvenciones del P</w:t>
      </w:r>
      <w:r w:rsidR="00E74505" w:rsidRPr="00FA4B2D">
        <w:rPr>
          <w:rFonts w:eastAsia="Times New Roman" w:cs="Arial"/>
          <w:lang w:val="es-ES"/>
        </w:rPr>
        <w:t>N</w:t>
      </w:r>
      <w:r w:rsidRPr="00FA4B2D">
        <w:rPr>
          <w:rFonts w:eastAsia="Times New Roman" w:cs="Arial"/>
          <w:lang w:val="es-ES"/>
        </w:rPr>
        <w:t>AE a Escuelas Seleccionadas para la compra de alimentos frescos durante el despliegue del P</w:t>
      </w:r>
      <w:r w:rsidR="00E74505" w:rsidRPr="00FA4B2D">
        <w:rPr>
          <w:rFonts w:eastAsia="Times New Roman" w:cs="Arial"/>
          <w:lang w:val="es-ES"/>
        </w:rPr>
        <w:t>N</w:t>
      </w:r>
      <w:r w:rsidRPr="00FA4B2D">
        <w:rPr>
          <w:rFonts w:eastAsia="Times New Roman" w:cs="Arial"/>
          <w:lang w:val="es-ES"/>
        </w:rPr>
        <w:t>AE</w:t>
      </w:r>
      <w:r w:rsidR="00E0513E" w:rsidRPr="00FA4B2D">
        <w:rPr>
          <w:rFonts w:eastAsia="Times New Roman" w:cs="Arial"/>
          <w:lang w:val="es-ES"/>
        </w:rPr>
        <w:t>;</w:t>
      </w:r>
      <w:r w:rsidRPr="00FA4B2D">
        <w:rPr>
          <w:rFonts w:eastAsia="Times New Roman" w:cs="Arial"/>
          <w:lang w:val="es-ES"/>
        </w:rPr>
        <w:t xml:space="preserve"> (ii) la dotación de Capacitación a los Comités de Alimentación Escolar y a los jefes de hogar en educación alimentaria y nutricional, seguridad y almacenamiento de alimentos, higiene y preparación de alimentos, con especial énfasis en cultivos nativos y alimentos frescos producidos a nivel local; (iii) la prestación de asistencia técnica para la mejora de la eficiencia del P</w:t>
      </w:r>
      <w:r w:rsidR="00E74505" w:rsidRPr="00FA4B2D">
        <w:rPr>
          <w:rFonts w:eastAsia="Times New Roman" w:cs="Arial"/>
          <w:lang w:val="es-ES"/>
        </w:rPr>
        <w:t>N</w:t>
      </w:r>
      <w:r w:rsidRPr="00FA4B2D">
        <w:rPr>
          <w:rFonts w:eastAsia="Times New Roman" w:cs="Arial"/>
          <w:lang w:val="es-ES"/>
        </w:rPr>
        <w:t>AE en el Área Seleccionada; y (iv) la ejecución de Subproyectos P</w:t>
      </w:r>
      <w:r w:rsidR="00E74505" w:rsidRPr="00FA4B2D">
        <w:rPr>
          <w:rFonts w:eastAsia="Times New Roman" w:cs="Arial"/>
          <w:lang w:val="es-ES"/>
        </w:rPr>
        <w:t>N</w:t>
      </w:r>
      <w:r w:rsidRPr="00FA4B2D">
        <w:rPr>
          <w:rFonts w:eastAsia="Times New Roman" w:cs="Arial"/>
          <w:lang w:val="es-ES"/>
        </w:rPr>
        <w:t>AE en beneficio de Escuelas Específicas que incluyan la prestación de asistencia técnica y la realización de obras civiles menores.</w:t>
      </w:r>
    </w:p>
    <w:p w14:paraId="262ED686" w14:textId="77777777" w:rsidR="00C863B8" w:rsidRPr="00FA4B2D" w:rsidRDefault="006A3DBC" w:rsidP="006A3DBC">
      <w:pPr>
        <w:spacing w:after="240" w:line="276" w:lineRule="auto"/>
        <w:jc w:val="both"/>
        <w:rPr>
          <w:rFonts w:cs="Arial"/>
          <w:bCs/>
        </w:rPr>
      </w:pPr>
      <w:r w:rsidRPr="00FA4B2D">
        <w:rPr>
          <w:rFonts w:cs="Arial"/>
          <w:b/>
        </w:rPr>
        <w:lastRenderedPageBreak/>
        <w:t>Subcomponente 5.3: Fortalecimiento Institucional multicultural y multiétnico.</w:t>
      </w:r>
      <w:r w:rsidRPr="00FA4B2D">
        <w:rPr>
          <w:rFonts w:cs="Arial"/>
        </w:rPr>
        <w:t xml:space="preserve"> </w:t>
      </w:r>
      <w:r w:rsidRPr="00FA4B2D">
        <w:rPr>
          <w:rFonts w:cs="Arial"/>
          <w:bCs/>
        </w:rPr>
        <w:t>El objetivo del subcomponente 5.3 es fortalecer las capacidades institucionales para mejorar las habilidades técnicas, multiculturales y multiétnicas tanto en las entidades gubernamentales como en la población local.</w:t>
      </w:r>
    </w:p>
    <w:p w14:paraId="610ED4A4" w14:textId="041955A1" w:rsidR="00C863B8" w:rsidRPr="00FA4B2D" w:rsidRDefault="00C863B8" w:rsidP="00E53A08">
      <w:pPr>
        <w:spacing w:after="240" w:line="240" w:lineRule="auto"/>
        <w:jc w:val="both"/>
        <w:rPr>
          <w:rFonts w:cs="Arial"/>
          <w:bCs/>
        </w:rPr>
      </w:pPr>
      <w:r w:rsidRPr="00FA4B2D">
        <w:rPr>
          <w:rFonts w:eastAsia="Times New Roman" w:cs="Arial"/>
          <w:lang w:val="es-ES"/>
        </w:rPr>
        <w:t>Apoyo para promover un entorno favorable para inversiones culturalmente apropiadas, incluyendo: (a) el desarrollo de programas de capacitación para funcionarios públicos y Partes Interesadas sobre aspectos multiculturales y multiétnicos de las intervenciones en seguridad alimentaria y nutricional; (b) la realización de Capacitaciones y entrenamiento a las Partes Interesadas sobre intervenciones en seguridad alimentaria y nutricional culturalmente apropiadas; (c) el diseño de instrumentos de monitoreo y gestión culturalmente apropiados, y el diseño e implementación de sistemas de conocimiento y comunicación, tanto para el seguimiento de la seguridad alimentaria como para la preservación de microcuencas locales;  (d) equipamiento y rehabilitación de infraestructuras físicas menores de un Centro de Innovación; (e) mejora de equipamientos menores y rehabilitación de infraestructuras menores para los Consejos Territoriales del departamento de Gracias a Dios</w:t>
      </w:r>
      <w:r w:rsidR="00836A72" w:rsidRPr="00FA4B2D">
        <w:rPr>
          <w:rFonts w:eastAsia="Times New Roman" w:cs="Arial"/>
          <w:lang w:val="es-ES"/>
        </w:rPr>
        <w:t>;</w:t>
      </w:r>
      <w:r w:rsidRPr="00FA4B2D">
        <w:rPr>
          <w:rFonts w:eastAsia="Times New Roman" w:cs="Arial"/>
          <w:lang w:val="es-ES"/>
        </w:rPr>
        <w:t xml:space="preserve"> y (f) prestación de asistencia técnica y formación a las Partes Interesadas sobre el P</w:t>
      </w:r>
      <w:r w:rsidR="00E74505" w:rsidRPr="00FA4B2D">
        <w:rPr>
          <w:rFonts w:eastAsia="Times New Roman" w:cs="Arial"/>
          <w:lang w:val="es-ES"/>
        </w:rPr>
        <w:t>N</w:t>
      </w:r>
      <w:r w:rsidRPr="00FA4B2D">
        <w:rPr>
          <w:rFonts w:eastAsia="Times New Roman" w:cs="Arial"/>
          <w:lang w:val="es-ES"/>
        </w:rPr>
        <w:t>AE.</w:t>
      </w:r>
    </w:p>
    <w:p w14:paraId="435AD637" w14:textId="77777777" w:rsidR="006A3DBC" w:rsidRPr="00FA4B2D" w:rsidRDefault="006A3DBC" w:rsidP="00E53A08">
      <w:pPr>
        <w:pStyle w:val="Ttulo1"/>
        <w:numPr>
          <w:ilvl w:val="0"/>
          <w:numId w:val="1"/>
        </w:numPr>
        <w:spacing w:before="0" w:line="240" w:lineRule="auto"/>
        <w:ind w:left="-426" w:firstLine="0"/>
        <w:jc w:val="both"/>
        <w:rPr>
          <w:rFonts w:ascii="Arial" w:hAnsi="Arial" w:cs="Arial"/>
          <w:b/>
          <w:color w:val="767171" w:themeColor="background2" w:themeShade="80"/>
          <w:sz w:val="22"/>
          <w:szCs w:val="22"/>
        </w:rPr>
      </w:pPr>
      <w:bookmarkStart w:id="12" w:name="_Toc168469245"/>
      <w:bookmarkStart w:id="13" w:name="_Toc168469432"/>
      <w:bookmarkStart w:id="14" w:name="_Toc168469246"/>
      <w:bookmarkStart w:id="15" w:name="_Toc168469433"/>
      <w:bookmarkStart w:id="16" w:name="_Toc65884160"/>
      <w:bookmarkStart w:id="17" w:name="_Toc67573376"/>
      <w:bookmarkStart w:id="18" w:name="_Toc202456897"/>
      <w:bookmarkEnd w:id="12"/>
      <w:bookmarkEnd w:id="13"/>
      <w:bookmarkEnd w:id="14"/>
      <w:bookmarkEnd w:id="15"/>
      <w:r w:rsidRPr="00FA4B2D">
        <w:rPr>
          <w:rFonts w:ascii="Arial" w:hAnsi="Arial" w:cs="Arial"/>
          <w:b/>
          <w:color w:val="767171" w:themeColor="background2" w:themeShade="80"/>
          <w:sz w:val="22"/>
          <w:szCs w:val="22"/>
        </w:rPr>
        <w:t>Marco legal nacional y normativa del Banco Mundial aplicable</w:t>
      </w:r>
      <w:bookmarkEnd w:id="16"/>
      <w:bookmarkEnd w:id="17"/>
      <w:bookmarkEnd w:id="18"/>
    </w:p>
    <w:p w14:paraId="0ED8C9C2" w14:textId="77777777" w:rsidR="006A3DBC" w:rsidRPr="00FA4B2D" w:rsidRDefault="006A3DBC" w:rsidP="006A3DBC">
      <w:pPr>
        <w:rPr>
          <w:rFonts w:cs="Arial"/>
        </w:rPr>
      </w:pPr>
    </w:p>
    <w:p w14:paraId="2DC0DFC9" w14:textId="77777777" w:rsidR="006A3DBC" w:rsidRPr="00FA4B2D" w:rsidRDefault="006A3DBC" w:rsidP="006A3DBC">
      <w:pPr>
        <w:pStyle w:val="Prrafodelista"/>
        <w:keepNext/>
        <w:keepLines/>
        <w:numPr>
          <w:ilvl w:val="0"/>
          <w:numId w:val="33"/>
        </w:numPr>
        <w:spacing w:after="0" w:line="240" w:lineRule="auto"/>
        <w:contextualSpacing w:val="0"/>
        <w:jc w:val="both"/>
        <w:outlineLvl w:val="1"/>
        <w:rPr>
          <w:rFonts w:eastAsiaTheme="majorEastAsia" w:cs="Arial"/>
          <w:b/>
          <w:vanish/>
        </w:rPr>
      </w:pPr>
      <w:bookmarkStart w:id="19" w:name="_Toc67238062"/>
      <w:bookmarkStart w:id="20" w:name="_Toc67240501"/>
      <w:bookmarkStart w:id="21" w:name="_Toc67240741"/>
      <w:bookmarkStart w:id="22" w:name="_Toc67240940"/>
      <w:bookmarkStart w:id="23" w:name="_Toc67241135"/>
      <w:bookmarkStart w:id="24" w:name="_Toc67241326"/>
      <w:bookmarkStart w:id="25" w:name="_Toc67241511"/>
      <w:bookmarkStart w:id="26" w:name="_Toc67241707"/>
      <w:bookmarkStart w:id="27" w:name="_Toc67241815"/>
      <w:bookmarkStart w:id="28" w:name="_Toc67241889"/>
      <w:bookmarkStart w:id="29" w:name="_Toc67242003"/>
      <w:bookmarkStart w:id="30" w:name="_Toc67242074"/>
      <w:bookmarkStart w:id="31" w:name="_Toc67242723"/>
      <w:bookmarkStart w:id="32" w:name="_Toc67243117"/>
      <w:bookmarkStart w:id="33" w:name="_Toc67243778"/>
      <w:bookmarkStart w:id="34" w:name="_Toc67556976"/>
      <w:bookmarkStart w:id="35" w:name="_Toc67564388"/>
      <w:bookmarkStart w:id="36" w:name="_Toc67567118"/>
      <w:bookmarkStart w:id="37" w:name="_Toc67567407"/>
      <w:bookmarkStart w:id="38" w:name="_Toc67567503"/>
      <w:bookmarkStart w:id="39" w:name="_Toc67568496"/>
      <w:bookmarkStart w:id="40" w:name="_Toc67571765"/>
      <w:bookmarkStart w:id="41" w:name="_Toc67572787"/>
      <w:bookmarkStart w:id="42" w:name="_Toc67573377"/>
      <w:bookmarkStart w:id="43" w:name="_Toc69380745"/>
      <w:bookmarkStart w:id="44" w:name="_Toc69381984"/>
      <w:bookmarkStart w:id="45" w:name="_Toc69389860"/>
      <w:bookmarkStart w:id="46" w:name="_Toc69393533"/>
      <w:bookmarkStart w:id="47" w:name="_Toc69410699"/>
      <w:bookmarkStart w:id="48" w:name="_Toc69410937"/>
      <w:bookmarkStart w:id="49" w:name="_Toc69918709"/>
      <w:bookmarkStart w:id="50" w:name="_Toc69922939"/>
      <w:bookmarkStart w:id="51" w:name="_Toc160535951"/>
      <w:bookmarkStart w:id="52" w:name="_Toc160575567"/>
      <w:bookmarkStart w:id="53" w:name="_Toc160576776"/>
      <w:bookmarkStart w:id="54" w:name="_Toc164251478"/>
      <w:bookmarkStart w:id="55" w:name="_Toc168469248"/>
      <w:bookmarkStart w:id="56" w:name="_Toc168469435"/>
      <w:bookmarkStart w:id="57" w:name="_Toc202341223"/>
      <w:bookmarkStart w:id="58" w:name="_Toc202449674"/>
      <w:bookmarkStart w:id="59" w:name="_Toc202455321"/>
      <w:bookmarkStart w:id="60" w:name="_Toc20245689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5B55E05C" w14:textId="77777777" w:rsidR="006A3DBC" w:rsidRPr="00FA4B2D" w:rsidRDefault="006A3DBC" w:rsidP="006A3DBC">
      <w:pPr>
        <w:pStyle w:val="Prrafodelista"/>
        <w:keepNext/>
        <w:keepLines/>
        <w:numPr>
          <w:ilvl w:val="0"/>
          <w:numId w:val="33"/>
        </w:numPr>
        <w:spacing w:after="0" w:line="240" w:lineRule="auto"/>
        <w:contextualSpacing w:val="0"/>
        <w:jc w:val="both"/>
        <w:outlineLvl w:val="1"/>
        <w:rPr>
          <w:rFonts w:eastAsiaTheme="majorEastAsia" w:cs="Arial"/>
          <w:b/>
          <w:vanish/>
        </w:rPr>
      </w:pPr>
      <w:bookmarkStart w:id="61" w:name="_Toc67238063"/>
      <w:bookmarkStart w:id="62" w:name="_Toc67240502"/>
      <w:bookmarkStart w:id="63" w:name="_Toc67240742"/>
      <w:bookmarkStart w:id="64" w:name="_Toc67240941"/>
      <w:bookmarkStart w:id="65" w:name="_Toc67241136"/>
      <w:bookmarkStart w:id="66" w:name="_Toc67241327"/>
      <w:bookmarkStart w:id="67" w:name="_Toc67241512"/>
      <w:bookmarkStart w:id="68" w:name="_Toc67241708"/>
      <w:bookmarkStart w:id="69" w:name="_Toc67241816"/>
      <w:bookmarkStart w:id="70" w:name="_Toc67241890"/>
      <w:bookmarkStart w:id="71" w:name="_Toc67242004"/>
      <w:bookmarkStart w:id="72" w:name="_Toc67242075"/>
      <w:bookmarkStart w:id="73" w:name="_Toc67242724"/>
      <w:bookmarkStart w:id="74" w:name="_Toc67243118"/>
      <w:bookmarkStart w:id="75" w:name="_Toc67243779"/>
      <w:bookmarkStart w:id="76" w:name="_Toc67556977"/>
      <w:bookmarkStart w:id="77" w:name="_Toc67564389"/>
      <w:bookmarkStart w:id="78" w:name="_Toc67567119"/>
      <w:bookmarkStart w:id="79" w:name="_Toc67567408"/>
      <w:bookmarkStart w:id="80" w:name="_Toc67567504"/>
      <w:bookmarkStart w:id="81" w:name="_Toc67568497"/>
      <w:bookmarkStart w:id="82" w:name="_Toc67571766"/>
      <w:bookmarkStart w:id="83" w:name="_Toc67572788"/>
      <w:bookmarkStart w:id="84" w:name="_Toc67573378"/>
      <w:bookmarkStart w:id="85" w:name="_Toc69380746"/>
      <w:bookmarkStart w:id="86" w:name="_Toc69381985"/>
      <w:bookmarkStart w:id="87" w:name="_Toc69389861"/>
      <w:bookmarkStart w:id="88" w:name="_Toc69393534"/>
      <w:bookmarkStart w:id="89" w:name="_Toc69410700"/>
      <w:bookmarkStart w:id="90" w:name="_Toc69410938"/>
      <w:bookmarkStart w:id="91" w:name="_Toc69918710"/>
      <w:bookmarkStart w:id="92" w:name="_Toc69922940"/>
      <w:bookmarkStart w:id="93" w:name="_Toc160535952"/>
      <w:bookmarkStart w:id="94" w:name="_Toc160575568"/>
      <w:bookmarkStart w:id="95" w:name="_Toc160576777"/>
      <w:bookmarkStart w:id="96" w:name="_Toc164251479"/>
      <w:bookmarkStart w:id="97" w:name="_Toc168469249"/>
      <w:bookmarkStart w:id="98" w:name="_Toc168469436"/>
      <w:bookmarkStart w:id="99" w:name="_Toc202341224"/>
      <w:bookmarkStart w:id="100" w:name="_Toc202449675"/>
      <w:bookmarkStart w:id="101" w:name="_Toc202455322"/>
      <w:bookmarkStart w:id="102" w:name="_Toc202456899"/>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088D080F" w14:textId="77777777" w:rsidR="006A3DBC" w:rsidRPr="00FA4B2D" w:rsidRDefault="006A3DBC" w:rsidP="006A3DBC">
      <w:pPr>
        <w:pStyle w:val="Prrafodelista"/>
        <w:keepNext/>
        <w:keepLines/>
        <w:numPr>
          <w:ilvl w:val="0"/>
          <w:numId w:val="33"/>
        </w:numPr>
        <w:spacing w:after="0" w:line="240" w:lineRule="auto"/>
        <w:contextualSpacing w:val="0"/>
        <w:jc w:val="both"/>
        <w:outlineLvl w:val="1"/>
        <w:rPr>
          <w:rFonts w:eastAsiaTheme="majorEastAsia" w:cs="Arial"/>
          <w:b/>
          <w:vanish/>
        </w:rPr>
      </w:pPr>
      <w:bookmarkStart w:id="103" w:name="_Toc67238064"/>
      <w:bookmarkStart w:id="104" w:name="_Toc67240503"/>
      <w:bookmarkStart w:id="105" w:name="_Toc67240743"/>
      <w:bookmarkStart w:id="106" w:name="_Toc67240942"/>
      <w:bookmarkStart w:id="107" w:name="_Toc67241137"/>
      <w:bookmarkStart w:id="108" w:name="_Toc67241328"/>
      <w:bookmarkStart w:id="109" w:name="_Toc67241513"/>
      <w:bookmarkStart w:id="110" w:name="_Toc67241709"/>
      <w:bookmarkStart w:id="111" w:name="_Toc67241817"/>
      <w:bookmarkStart w:id="112" w:name="_Toc67241891"/>
      <w:bookmarkStart w:id="113" w:name="_Toc67242005"/>
      <w:bookmarkStart w:id="114" w:name="_Toc67242076"/>
      <w:bookmarkStart w:id="115" w:name="_Toc67242725"/>
      <w:bookmarkStart w:id="116" w:name="_Toc67243119"/>
      <w:bookmarkStart w:id="117" w:name="_Toc67243780"/>
      <w:bookmarkStart w:id="118" w:name="_Toc67556978"/>
      <w:bookmarkStart w:id="119" w:name="_Toc67564390"/>
      <w:bookmarkStart w:id="120" w:name="_Toc67567120"/>
      <w:bookmarkStart w:id="121" w:name="_Toc67567409"/>
      <w:bookmarkStart w:id="122" w:name="_Toc67567505"/>
      <w:bookmarkStart w:id="123" w:name="_Toc67568498"/>
      <w:bookmarkStart w:id="124" w:name="_Toc67571767"/>
      <w:bookmarkStart w:id="125" w:name="_Toc67572789"/>
      <w:bookmarkStart w:id="126" w:name="_Toc67573379"/>
      <w:bookmarkStart w:id="127" w:name="_Toc69380747"/>
      <w:bookmarkStart w:id="128" w:name="_Toc69381986"/>
      <w:bookmarkStart w:id="129" w:name="_Toc69389862"/>
      <w:bookmarkStart w:id="130" w:name="_Toc69393535"/>
      <w:bookmarkStart w:id="131" w:name="_Toc69410701"/>
      <w:bookmarkStart w:id="132" w:name="_Toc69410939"/>
      <w:bookmarkStart w:id="133" w:name="_Toc69918711"/>
      <w:bookmarkStart w:id="134" w:name="_Toc69922941"/>
      <w:bookmarkStart w:id="135" w:name="_Toc160535953"/>
      <w:bookmarkStart w:id="136" w:name="_Toc160575569"/>
      <w:bookmarkStart w:id="137" w:name="_Toc160576778"/>
      <w:bookmarkStart w:id="138" w:name="_Toc164251480"/>
      <w:bookmarkStart w:id="139" w:name="_Toc168469250"/>
      <w:bookmarkStart w:id="140" w:name="_Toc168469437"/>
      <w:bookmarkStart w:id="141" w:name="_Toc202341225"/>
      <w:bookmarkStart w:id="142" w:name="_Toc202449676"/>
      <w:bookmarkStart w:id="143" w:name="_Toc202455323"/>
      <w:bookmarkStart w:id="144" w:name="_Toc202456900"/>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257AEABD" w14:textId="77777777" w:rsidR="006A3DBC" w:rsidRPr="00FA4B2D" w:rsidRDefault="006A3DBC" w:rsidP="00C863B8">
      <w:pPr>
        <w:pStyle w:val="Ttulo2"/>
        <w:numPr>
          <w:ilvl w:val="1"/>
          <w:numId w:val="33"/>
        </w:numPr>
        <w:tabs>
          <w:tab w:val="left" w:pos="142"/>
        </w:tabs>
        <w:spacing w:before="0" w:line="240" w:lineRule="auto"/>
        <w:ind w:left="1224" w:hanging="1508"/>
        <w:jc w:val="both"/>
        <w:rPr>
          <w:rFonts w:ascii="Arial" w:hAnsi="Arial" w:cs="Arial"/>
          <w:b/>
          <w:color w:val="767171" w:themeColor="background2" w:themeShade="80"/>
          <w:sz w:val="22"/>
          <w:szCs w:val="22"/>
        </w:rPr>
      </w:pPr>
      <w:bookmarkStart w:id="145" w:name="_Toc67573380"/>
      <w:bookmarkStart w:id="146" w:name="_Toc202456901"/>
      <w:r w:rsidRPr="00FA4B2D">
        <w:rPr>
          <w:rFonts w:ascii="Arial" w:hAnsi="Arial" w:cs="Arial"/>
          <w:b/>
          <w:color w:val="767171" w:themeColor="background2" w:themeShade="80"/>
          <w:sz w:val="22"/>
          <w:szCs w:val="22"/>
        </w:rPr>
        <w:t>Estándares Ambientales y Sociales del Banco Mundial</w:t>
      </w:r>
      <w:bookmarkEnd w:id="145"/>
      <w:bookmarkEnd w:id="146"/>
    </w:p>
    <w:p w14:paraId="778C0C7B" w14:textId="77777777" w:rsidR="006A3DBC" w:rsidRPr="00FA4B2D" w:rsidRDefault="006A3DBC" w:rsidP="006A3DBC">
      <w:pPr>
        <w:spacing w:after="0" w:line="240" w:lineRule="auto"/>
        <w:jc w:val="both"/>
        <w:rPr>
          <w:rFonts w:cs="Arial"/>
        </w:rPr>
      </w:pPr>
    </w:p>
    <w:p w14:paraId="52C7B0E3" w14:textId="074815CF" w:rsidR="006A3DBC" w:rsidRPr="00FA4B2D" w:rsidRDefault="006A3DBC" w:rsidP="006A3DBC">
      <w:pPr>
        <w:spacing w:after="0" w:line="240" w:lineRule="auto"/>
        <w:jc w:val="both"/>
        <w:rPr>
          <w:rFonts w:cs="Arial"/>
        </w:rPr>
      </w:pPr>
      <w:r w:rsidRPr="00FA4B2D">
        <w:rPr>
          <w:rFonts w:cs="Arial"/>
        </w:rPr>
        <w:t xml:space="preserve">El </w:t>
      </w:r>
      <w:hyperlink r:id="rId11">
        <w:r w:rsidRPr="00FA4B2D">
          <w:rPr>
            <w:rFonts w:cs="Arial"/>
          </w:rPr>
          <w:t>M</w:t>
        </w:r>
        <w:r w:rsidR="00E53A08" w:rsidRPr="00FA4B2D">
          <w:rPr>
            <w:rFonts w:cs="Arial"/>
          </w:rPr>
          <w:t>G</w:t>
        </w:r>
        <w:r w:rsidRPr="00FA4B2D">
          <w:rPr>
            <w:rFonts w:cs="Arial"/>
          </w:rPr>
          <w:t>AS</w:t>
        </w:r>
      </w:hyperlink>
      <w:r w:rsidRPr="00FA4B2D">
        <w:rPr>
          <w:rFonts w:cs="Arial"/>
        </w:rPr>
        <w:t xml:space="preserve"> establece los lineamientos a partir del cual se evalúan y gestionan los riesgos ambientales y sociales de los proyectos respaldados por el BM a través del financiamiento de proyectos de inversión</w:t>
      </w:r>
      <w:r w:rsidRPr="00FA4B2D">
        <w:rPr>
          <w:rStyle w:val="Refdenotaalpie"/>
          <w:rFonts w:cs="Arial"/>
        </w:rPr>
        <w:footnoteReference w:id="2"/>
      </w:r>
      <w:r w:rsidRPr="00FA4B2D">
        <w:rPr>
          <w:rFonts w:cs="Arial"/>
        </w:rPr>
        <w:t>. Está constituido por diez EASs, que establecen los requisitos que deben cumplir los Prestatarios:</w:t>
      </w:r>
    </w:p>
    <w:p w14:paraId="51D9C503" w14:textId="77777777" w:rsidR="006A3DBC" w:rsidRPr="00FA4B2D" w:rsidRDefault="006A3DBC" w:rsidP="006A3DBC">
      <w:pPr>
        <w:spacing w:after="0" w:line="240" w:lineRule="auto"/>
        <w:jc w:val="both"/>
        <w:rPr>
          <w:rFonts w:cs="Arial"/>
        </w:rPr>
      </w:pPr>
    </w:p>
    <w:p w14:paraId="2A67E80C" w14:textId="77777777" w:rsidR="006A3DBC" w:rsidRPr="00FA4B2D" w:rsidRDefault="006A3DBC" w:rsidP="00C863B8">
      <w:pPr>
        <w:pStyle w:val="Prrafodelista"/>
        <w:numPr>
          <w:ilvl w:val="0"/>
          <w:numId w:val="32"/>
        </w:numPr>
        <w:tabs>
          <w:tab w:val="left" w:pos="284"/>
        </w:tabs>
        <w:ind w:left="0" w:hanging="142"/>
        <w:rPr>
          <w:rFonts w:cs="Arial"/>
          <w:b/>
          <w:bCs/>
        </w:rPr>
      </w:pPr>
      <w:r w:rsidRPr="00FA4B2D">
        <w:rPr>
          <w:rFonts w:cs="Arial"/>
          <w:b/>
          <w:bCs/>
        </w:rPr>
        <w:t>Estándar Ambiental y Social 1: Evaluación y gestión de riesgos e impactos Ambientales y social</w:t>
      </w:r>
    </w:p>
    <w:p w14:paraId="6F3DD3AC" w14:textId="77777777" w:rsidR="006A3DBC" w:rsidRPr="00FA4B2D" w:rsidRDefault="006A3DBC" w:rsidP="006A3DBC">
      <w:pPr>
        <w:jc w:val="both"/>
        <w:rPr>
          <w:rFonts w:eastAsia="Cambria" w:cs="Arial"/>
        </w:rPr>
      </w:pPr>
      <w:r w:rsidRPr="00FA4B2D">
        <w:rPr>
          <w:rFonts w:eastAsia="Cambria" w:cs="Arial"/>
        </w:rPr>
        <w:t>Como parte de los requisitos para obtener financiamiento de proyectos de inversión, el BM requiere que todos los proyectos propuestos se sometan a una evaluación ambiental y social, que tiene como finalidad, garantizar la solidez y sostenibilidad socioambiental, así como mejorar el proceso de toma de decisiones para encontrar alternativas de gestión de los riesgos e impactos negativos y de potenciación de los beneficios.</w:t>
      </w:r>
    </w:p>
    <w:p w14:paraId="31EE59FB" w14:textId="77777777" w:rsidR="006A3DBC" w:rsidRPr="00FA4B2D" w:rsidRDefault="006A3DBC" w:rsidP="006A3DBC">
      <w:pPr>
        <w:jc w:val="both"/>
        <w:rPr>
          <w:rFonts w:cs="Arial"/>
          <w:b/>
          <w:bCs/>
        </w:rPr>
      </w:pPr>
      <w:r w:rsidRPr="00FA4B2D">
        <w:rPr>
          <w:rFonts w:eastAsia="Cambria" w:cs="Arial"/>
        </w:rPr>
        <w:t xml:space="preserve">En el marco de la evaluación social y ambiental del Proyecto se han analizado en la fase de diseño inicial y en la preparación y actualización del MGAS, potenciales </w:t>
      </w:r>
      <w:r w:rsidRPr="00FA4B2D">
        <w:rPr>
          <w:rFonts w:eastAsia="Cambria" w:cs="Arial"/>
        </w:rPr>
        <w:lastRenderedPageBreak/>
        <w:t xml:space="preserve">riesgos e impactos y se han definido desde la percepción de los actores, el Equipo Ambiental y Social del Proyecto y otras partes interesadas, las medidas de mitigación respectivas. </w:t>
      </w:r>
    </w:p>
    <w:p w14:paraId="1FFECCA0" w14:textId="77777777" w:rsidR="006A3DBC" w:rsidRPr="00FA4B2D" w:rsidRDefault="006A3DBC" w:rsidP="00C863B8">
      <w:pPr>
        <w:pStyle w:val="Prrafodelista"/>
        <w:numPr>
          <w:ilvl w:val="0"/>
          <w:numId w:val="113"/>
        </w:numPr>
        <w:ind w:left="0" w:hanging="142"/>
        <w:rPr>
          <w:rFonts w:cs="Arial"/>
          <w:b/>
          <w:bCs/>
        </w:rPr>
      </w:pPr>
      <w:r w:rsidRPr="00FA4B2D">
        <w:rPr>
          <w:rFonts w:cs="Arial"/>
          <w:b/>
          <w:bCs/>
        </w:rPr>
        <w:t xml:space="preserve">Estándar Ambiental y Social 2: Trabajo y Condiciones Laborales </w:t>
      </w:r>
    </w:p>
    <w:p w14:paraId="0CFCD2D2" w14:textId="77777777" w:rsidR="006A3DBC" w:rsidRPr="00FA4B2D" w:rsidRDefault="006A3DBC" w:rsidP="006A3DBC">
      <w:pPr>
        <w:jc w:val="both"/>
        <w:rPr>
          <w:rFonts w:eastAsia="Cambria" w:cs="Arial"/>
        </w:rPr>
      </w:pPr>
      <w:r w:rsidRPr="00FA4B2D">
        <w:rPr>
          <w:rFonts w:eastAsia="Cambria" w:cs="Arial"/>
        </w:rPr>
        <w:t>Este Estándar Ambiental y Social (EAS) reconoce la importancia de la creación de empleos y la generación de ingresos en la búsqueda de la reducción de la pobreza y el crecimiento económico inclusivo. Para que se promueva relaciones adecuadas entre los trabajadores y la gerencia, y mejorar los beneficios de desarrollo que genera un proyecto al tratar a los trabajadores del proyecto de manera justa y brindarles condiciones laborales seguras y saludables.</w:t>
      </w:r>
    </w:p>
    <w:p w14:paraId="5A307AB5" w14:textId="77777777" w:rsidR="006A3DBC" w:rsidRPr="00FA4B2D" w:rsidRDefault="006A3DBC" w:rsidP="00C863B8">
      <w:pPr>
        <w:pStyle w:val="Prrafodelista"/>
        <w:numPr>
          <w:ilvl w:val="0"/>
          <w:numId w:val="32"/>
        </w:numPr>
        <w:tabs>
          <w:tab w:val="left" w:pos="284"/>
        </w:tabs>
        <w:ind w:left="0" w:firstLine="0"/>
        <w:rPr>
          <w:rFonts w:cs="Arial"/>
          <w:b/>
          <w:bCs/>
        </w:rPr>
      </w:pPr>
      <w:r w:rsidRPr="00FA4B2D">
        <w:rPr>
          <w:rFonts w:cs="Arial"/>
          <w:b/>
          <w:bCs/>
        </w:rPr>
        <w:t xml:space="preserve">Estándar Ambiental y Social 3: Eficiencia en el Uso de los Recursos y Prevención y Gestión de la Contaminación </w:t>
      </w:r>
    </w:p>
    <w:p w14:paraId="10E06958" w14:textId="3302BF49" w:rsidR="006A3DBC" w:rsidRPr="00FA4B2D" w:rsidRDefault="006A3DBC" w:rsidP="006A3DBC">
      <w:pPr>
        <w:jc w:val="both"/>
        <w:rPr>
          <w:rFonts w:eastAsia="Cambria" w:cs="Arial"/>
        </w:rPr>
      </w:pPr>
      <w:r w:rsidRPr="00FA4B2D">
        <w:rPr>
          <w:rFonts w:eastAsia="Cambria" w:cs="Arial"/>
        </w:rPr>
        <w:t>Este estándar reconoce que la urbanización y la actividad económica a menudo generan contaminación del aire, el agua y la tierra, y consumen los recursos finitos de una manera que puede poner en peligro a las personas, los servicios ecosistémicos y el medio ambiente a nivel local, regional y mundial. Las concentraciones atmosféricas de GEI actuales y proyectadas amenazan el bienestar de las generaciones actuales y futuras. Al mismo tiempo, el uso más eficiente y eficaz de los recursos y la prevención de la contaminación y de la emisión de GEI, así como las tecnologías y las prácticas de mitigación, se han vuelto más accesibles y asequibles</w:t>
      </w:r>
    </w:p>
    <w:p w14:paraId="0C36048D" w14:textId="77777777" w:rsidR="006A3DBC" w:rsidRPr="00FA4B2D" w:rsidRDefault="006A3DBC" w:rsidP="00C863B8">
      <w:pPr>
        <w:pStyle w:val="Prrafodelista"/>
        <w:numPr>
          <w:ilvl w:val="0"/>
          <w:numId w:val="32"/>
        </w:numPr>
        <w:ind w:left="-142" w:firstLine="0"/>
        <w:rPr>
          <w:rFonts w:cs="Arial"/>
          <w:b/>
          <w:bCs/>
        </w:rPr>
      </w:pPr>
      <w:r w:rsidRPr="00FA4B2D">
        <w:rPr>
          <w:rFonts w:cs="Arial"/>
          <w:b/>
          <w:bCs/>
        </w:rPr>
        <w:t>Estándar Ambiental y Social 4: Salud y Seguridad de la Comunidad</w:t>
      </w:r>
    </w:p>
    <w:p w14:paraId="0F5955D0" w14:textId="77777777" w:rsidR="006A3DBC" w:rsidRPr="00FA4B2D" w:rsidRDefault="006A3DBC" w:rsidP="006A3DBC">
      <w:pPr>
        <w:jc w:val="both"/>
        <w:rPr>
          <w:rFonts w:eastAsia="Cambria" w:cs="Arial"/>
        </w:rPr>
      </w:pPr>
      <w:r w:rsidRPr="00FA4B2D">
        <w:rPr>
          <w:rFonts w:eastAsia="Cambria" w:cs="Arial"/>
        </w:rPr>
        <w:t>Este estándar reconoce que las actividades, los equipos y la infraestructura del proyecto pueden aumentar la exposición de la comunidad a riesgos e impactos. Además, las comunidades que ya enfrentan los impactos del cambio climático también pueden experimentar una aceleración o intensificación de esos impactos debido a actividades del proyecto.</w:t>
      </w:r>
    </w:p>
    <w:p w14:paraId="713DD611" w14:textId="77777777" w:rsidR="006A3DBC" w:rsidRPr="00FA4B2D" w:rsidRDefault="006A3DBC" w:rsidP="00C863B8">
      <w:pPr>
        <w:pStyle w:val="Prrafodelista"/>
        <w:numPr>
          <w:ilvl w:val="0"/>
          <w:numId w:val="32"/>
        </w:numPr>
        <w:ind w:left="0" w:hanging="142"/>
        <w:rPr>
          <w:rFonts w:cs="Arial"/>
          <w:b/>
          <w:bCs/>
        </w:rPr>
      </w:pPr>
      <w:r w:rsidRPr="00FA4B2D">
        <w:rPr>
          <w:rFonts w:cs="Arial"/>
          <w:b/>
          <w:bCs/>
        </w:rPr>
        <w:t xml:space="preserve">Estándar Ambiental y Social 5: Adquisición de Tierras, Restricciones sobre el Uso de la Tierra y Reasentamiento Involuntario </w:t>
      </w:r>
    </w:p>
    <w:p w14:paraId="6C4A2B48" w14:textId="7E5CDAF7" w:rsidR="006A3DBC" w:rsidRPr="00FA4B2D" w:rsidRDefault="006A3DBC" w:rsidP="006A3DBC">
      <w:pPr>
        <w:jc w:val="both"/>
        <w:rPr>
          <w:rFonts w:eastAsia="Cambria" w:cs="Arial"/>
        </w:rPr>
      </w:pPr>
      <w:r w:rsidRPr="00FA4B2D">
        <w:rPr>
          <w:rFonts w:eastAsia="Cambria" w:cs="Arial"/>
        </w:rPr>
        <w:t xml:space="preserve">Este estándar reconoce que la adquisición de tierras y las restricciones sobre el uso de </w:t>
      </w:r>
      <w:r w:rsidR="005F4A92" w:rsidRPr="00FA4B2D">
        <w:rPr>
          <w:rFonts w:eastAsia="Cambria" w:cs="Arial"/>
        </w:rPr>
        <w:t>la tierra relacionada</w:t>
      </w:r>
      <w:r w:rsidRPr="00FA4B2D">
        <w:rPr>
          <w:rFonts w:eastAsia="Cambria" w:cs="Arial"/>
        </w:rPr>
        <w:t xml:space="preserve"> con el proyecto pueden tener impactos adversos en las comunidades y las personas. La adquisición de tierras o las restricciones sobre el uso de la tierra relacionadas con el proyecto pueden causar desplazamiento físico (reubicación, pérdida de tierras o de viviendas), desplazamiento económico (pérdida de tierras, bienes o acceso a bienes, que conduzcan a la pérdida de fuentes de ingresos u otros medios de subsistencia), o ambos. El término “reasentamiento involuntario” se refiere a estos impactos. El reasentamiento se considera involuntario cuando las personas o las comunidades afectadas no tienen derecho a negarse a la </w:t>
      </w:r>
      <w:r w:rsidRPr="00FA4B2D">
        <w:rPr>
          <w:rFonts w:eastAsia="Cambria" w:cs="Arial"/>
        </w:rPr>
        <w:lastRenderedPageBreak/>
        <w:t>adquisición de tierras ni a las restricciones sobre el uso de la tierra que generan desplazamientos.</w:t>
      </w:r>
    </w:p>
    <w:p w14:paraId="746B5294" w14:textId="77777777" w:rsidR="006A3DBC" w:rsidRPr="00FA4B2D" w:rsidRDefault="006A3DBC" w:rsidP="00C863B8">
      <w:pPr>
        <w:pStyle w:val="Prrafodelista"/>
        <w:numPr>
          <w:ilvl w:val="0"/>
          <w:numId w:val="32"/>
        </w:numPr>
        <w:ind w:left="-142" w:firstLine="0"/>
        <w:jc w:val="both"/>
        <w:rPr>
          <w:rFonts w:cs="Arial"/>
          <w:b/>
          <w:bCs/>
        </w:rPr>
      </w:pPr>
      <w:r w:rsidRPr="00FA4B2D">
        <w:rPr>
          <w:rFonts w:cs="Arial"/>
          <w:b/>
          <w:bCs/>
        </w:rPr>
        <w:t xml:space="preserve">Estándar Ambiental y Social 6: Conservación de la Biodiversidad y Gestión Sostenible de los Recursos Naturales Vivos </w:t>
      </w:r>
    </w:p>
    <w:p w14:paraId="544BE77C" w14:textId="0B71263E" w:rsidR="006A3DBC" w:rsidRPr="00FA4B2D" w:rsidRDefault="006A3DBC" w:rsidP="006A3DBC">
      <w:pPr>
        <w:jc w:val="both"/>
        <w:rPr>
          <w:rFonts w:eastAsia="Cambria" w:cs="Arial"/>
        </w:rPr>
      </w:pPr>
      <w:r w:rsidRPr="00FA4B2D">
        <w:rPr>
          <w:rFonts w:eastAsia="Cambria" w:cs="Arial"/>
        </w:rPr>
        <w:t xml:space="preserve">Este estándar reconoce que la protección y conservación de la biodiversidad y la gestión sostenible de los recursos naturales son fundamentales para el desarrollo sostenible. La biodiversidad se define como la variabilidad entre los organismos vivos de todas las fuentes, lo que incluye, entre otros, los ecosistemas terrestres, marinos y otros tipos de ecosistemas acuáticos, y los complejos ecológicos de los cuales estos forman parte; esto abarca la diversidad dentro de las especies, entre especies y en los ecosistemas. La biodiversidad a menudo sirve de base a los servicios ecosistémicos valorados por los seres humanos. Por lo tanto, los impactos en la biodiversidad suelen afectar negativamente la prestación de esos servicios. </w:t>
      </w:r>
    </w:p>
    <w:p w14:paraId="7EFC534A" w14:textId="77777777" w:rsidR="006A3DBC" w:rsidRPr="00FA4B2D" w:rsidRDefault="006A3DBC" w:rsidP="00C863B8">
      <w:pPr>
        <w:pStyle w:val="Prrafodelista"/>
        <w:numPr>
          <w:ilvl w:val="0"/>
          <w:numId w:val="32"/>
        </w:numPr>
        <w:ind w:left="0" w:hanging="142"/>
        <w:jc w:val="both"/>
        <w:rPr>
          <w:rFonts w:cs="Arial"/>
          <w:b/>
          <w:bCs/>
        </w:rPr>
      </w:pPr>
      <w:r w:rsidRPr="00FA4B2D">
        <w:rPr>
          <w:rFonts w:cs="Arial"/>
          <w:b/>
          <w:bCs/>
        </w:rPr>
        <w:t>Estándar Ambiental y Social 7: Pueblos Indígenas/Comunidades Locales Tradicionales Históricamente Desatendidas de África Subsahariana</w:t>
      </w:r>
    </w:p>
    <w:p w14:paraId="31143685" w14:textId="32900118" w:rsidR="006A3DBC" w:rsidRPr="00FA4B2D" w:rsidRDefault="006A3DBC" w:rsidP="006A3DBC">
      <w:pPr>
        <w:jc w:val="both"/>
        <w:rPr>
          <w:rFonts w:eastAsia="Cambria" w:cs="Arial"/>
        </w:rPr>
      </w:pPr>
      <w:r w:rsidRPr="00FA4B2D">
        <w:rPr>
          <w:rFonts w:eastAsia="Cambria" w:cs="Arial"/>
        </w:rPr>
        <w:t xml:space="preserve">Este estándar se aplica a un grupo social y cultural específico identificado según lo dispuesto en el estándar. El EAS 7 contribuye a la reducción de la pobreza y al desarrollo sostenible garantizando que los proyectos respaldados por el Banco mejoren las oportunidades de los pueblos indígenas/comunidades locales tradicionales históricamente desatendidas de África subsahariana de participar en el proceso de desarrollo, y se beneficien de este, de maneras que no amenacen sus identidades culturales únicas ni su bienestar.  Los criterios para la consideración de un pueblo como Pueblo Indígena presentados en el EAS 7 son los siguientes: (i) </w:t>
      </w:r>
      <w:r w:rsidR="005F4A92" w:rsidRPr="00FA4B2D">
        <w:rPr>
          <w:rFonts w:eastAsia="Cambria" w:cs="Arial"/>
        </w:rPr>
        <w:t>Auto identificación</w:t>
      </w:r>
      <w:r w:rsidRPr="00FA4B2D">
        <w:rPr>
          <w:rFonts w:eastAsia="Cambria" w:cs="Arial"/>
        </w:rPr>
        <w:t xml:space="preserve"> como miembros de un grupo social y cultural indígena bien diferenciado, y reconocimiento de esta identidad por parte de otros grupos; (ii) Apego colectivo a hábitats geográficamente diferenciados, territorios ancestrales o áreas de uso u ocupación estacional, así como a los recursos naturales de esas áreas; (iii) Instituciones tradicionales culturales, económicas, sociales o políticas que están bien diferenciadas y son independientes de las de la sociedad o cultura predominante; y (iv) Una lengua o dialecto distintivos, a menudo diferente del idioma o los idiomas oficiales del país o la región en la que residen.</w:t>
      </w:r>
    </w:p>
    <w:p w14:paraId="6F7C50E0" w14:textId="77777777" w:rsidR="006A3DBC" w:rsidRPr="00FA4B2D" w:rsidRDefault="006A3DBC" w:rsidP="00C863B8">
      <w:pPr>
        <w:pStyle w:val="Prrafodelista"/>
        <w:numPr>
          <w:ilvl w:val="0"/>
          <w:numId w:val="32"/>
        </w:numPr>
        <w:ind w:left="-142" w:firstLine="0"/>
        <w:rPr>
          <w:rFonts w:cs="Arial"/>
          <w:b/>
          <w:bCs/>
        </w:rPr>
      </w:pPr>
      <w:r w:rsidRPr="00FA4B2D">
        <w:rPr>
          <w:rFonts w:cs="Arial"/>
          <w:b/>
          <w:bCs/>
        </w:rPr>
        <w:t xml:space="preserve">Estándar Ambiental y Social 8: Patrimonio Cultural </w:t>
      </w:r>
    </w:p>
    <w:p w14:paraId="0F3782EF" w14:textId="77777777" w:rsidR="006A3DBC" w:rsidRPr="00FA4B2D" w:rsidRDefault="006A3DBC" w:rsidP="006A3DBC">
      <w:pPr>
        <w:jc w:val="both"/>
        <w:rPr>
          <w:rFonts w:eastAsia="Cambria" w:cs="Arial"/>
        </w:rPr>
      </w:pPr>
      <w:r w:rsidRPr="00FA4B2D">
        <w:rPr>
          <w:rFonts w:eastAsia="Cambria" w:cs="Arial"/>
        </w:rPr>
        <w:t xml:space="preserve">Este estándar reconoce que el patrimonio cultural ofrece continuidad en formas tangibles e intangibles entre el pasado, el presente y el futuro. Las personas se identifican con el patrimonio cultural como reflejo y expresión de sus valores, creencias, conocimientos y tradiciones en constante evolución. El patrimonio cultural, en sus diferentes manifestaciones, es importante como fuente de información científica e histórica valiosa, como activo económico y social para el desarrollo, y como parte integral de la identidad cultural y las prácticas de las personas. Se </w:t>
      </w:r>
      <w:r w:rsidRPr="00FA4B2D">
        <w:rPr>
          <w:rFonts w:eastAsia="Cambria" w:cs="Arial"/>
        </w:rPr>
        <w:lastRenderedPageBreak/>
        <w:t>establece medidas diseñadas para proteger el patrimonio cultural durante el ciclo del proyecto.</w:t>
      </w:r>
    </w:p>
    <w:p w14:paraId="5FA6D17B" w14:textId="77777777" w:rsidR="006A3DBC" w:rsidRPr="00FA4B2D" w:rsidRDefault="006A3DBC" w:rsidP="00E53A08">
      <w:pPr>
        <w:pStyle w:val="Prrafodelista"/>
        <w:numPr>
          <w:ilvl w:val="0"/>
          <w:numId w:val="32"/>
        </w:numPr>
        <w:ind w:left="-142" w:firstLine="0"/>
        <w:rPr>
          <w:rFonts w:cs="Arial"/>
          <w:b/>
          <w:bCs/>
        </w:rPr>
      </w:pPr>
      <w:r w:rsidRPr="00FA4B2D">
        <w:rPr>
          <w:rFonts w:cs="Arial"/>
          <w:b/>
          <w:bCs/>
        </w:rPr>
        <w:t>Estándar Ambiental y Social 10: Participación de las Partes Interesadas y Divulgación de Información</w:t>
      </w:r>
    </w:p>
    <w:p w14:paraId="1DBF408A" w14:textId="72D3E78E" w:rsidR="006A3DBC" w:rsidRPr="00FA4B2D" w:rsidRDefault="006A3DBC" w:rsidP="006A3DBC">
      <w:pPr>
        <w:jc w:val="both"/>
        <w:rPr>
          <w:rFonts w:eastAsia="Cambria" w:cs="Arial"/>
        </w:rPr>
      </w:pPr>
      <w:r w:rsidRPr="00FA4B2D">
        <w:rPr>
          <w:rFonts w:eastAsia="Cambria" w:cs="Arial"/>
        </w:rPr>
        <w:t xml:space="preserve">Este estándar reconoce la importancia de la interacción abierta y transparente entre el Gobierno y las partes interesadas afectadas por el proyecto como elemento esencial de las buenas prácticas internacionales. La participación eficaz de las partes interesadas puede mejorar la sostenibilidad ambiental y social de los proyectos, incrementar su aceptación, y contribuir significativamente al éxito del diseño y la ejecución de los proyectos. La interacción abierta y transparente incluye un </w:t>
      </w:r>
      <w:r w:rsidR="006F765C" w:rsidRPr="00FA4B2D">
        <w:rPr>
          <w:rFonts w:eastAsia="Cambria" w:cs="Arial"/>
        </w:rPr>
        <w:t>M</w:t>
      </w:r>
      <w:r w:rsidRPr="00FA4B2D">
        <w:rPr>
          <w:rFonts w:eastAsia="Cambria" w:cs="Arial"/>
        </w:rPr>
        <w:t xml:space="preserve">ecanismo para </w:t>
      </w:r>
      <w:r w:rsidR="006F765C" w:rsidRPr="00FA4B2D">
        <w:rPr>
          <w:rFonts w:eastAsia="Cambria" w:cs="Arial"/>
        </w:rPr>
        <w:t>C</w:t>
      </w:r>
      <w:r w:rsidRPr="00FA4B2D">
        <w:rPr>
          <w:rFonts w:eastAsia="Cambria" w:cs="Arial"/>
        </w:rPr>
        <w:t xml:space="preserve">omunicación de </w:t>
      </w:r>
      <w:r w:rsidR="006F765C" w:rsidRPr="00FA4B2D">
        <w:rPr>
          <w:rFonts w:eastAsia="Cambria" w:cs="Arial"/>
        </w:rPr>
        <w:t>C</w:t>
      </w:r>
      <w:r w:rsidRPr="00FA4B2D">
        <w:rPr>
          <w:rFonts w:eastAsia="Cambria" w:cs="Arial"/>
        </w:rPr>
        <w:t xml:space="preserve">onsultas, </w:t>
      </w:r>
      <w:r w:rsidR="006F765C" w:rsidRPr="00FA4B2D">
        <w:rPr>
          <w:rFonts w:eastAsia="Cambria" w:cs="Arial"/>
        </w:rPr>
        <w:t>Q</w:t>
      </w:r>
      <w:r w:rsidRPr="00FA4B2D">
        <w:rPr>
          <w:rFonts w:eastAsia="Cambria" w:cs="Arial"/>
        </w:rPr>
        <w:t xml:space="preserve">uejas, </w:t>
      </w:r>
      <w:r w:rsidR="006F765C" w:rsidRPr="00FA4B2D">
        <w:rPr>
          <w:rFonts w:eastAsia="Cambria" w:cs="Arial"/>
        </w:rPr>
        <w:t>R</w:t>
      </w:r>
      <w:r w:rsidRPr="00FA4B2D">
        <w:rPr>
          <w:rFonts w:eastAsia="Cambria" w:cs="Arial"/>
        </w:rPr>
        <w:t xml:space="preserve">eclamos y </w:t>
      </w:r>
      <w:r w:rsidR="006F765C" w:rsidRPr="00FA4B2D">
        <w:rPr>
          <w:rFonts w:eastAsia="Cambria" w:cs="Arial"/>
        </w:rPr>
        <w:t>S</w:t>
      </w:r>
      <w:r w:rsidRPr="00FA4B2D">
        <w:rPr>
          <w:rFonts w:eastAsia="Cambria" w:cs="Arial"/>
        </w:rPr>
        <w:t xml:space="preserve">ugerencias (MCQRS) para la atención de inquietudes y reclamos de las partes afectadas del Proyecto para su pronta resolución. </w:t>
      </w:r>
    </w:p>
    <w:p w14:paraId="4D1BB457" w14:textId="5986BC3A" w:rsidR="006A3DBC" w:rsidRPr="00FA4B2D" w:rsidRDefault="006A3DBC" w:rsidP="006A3DBC">
      <w:pPr>
        <w:jc w:val="both"/>
        <w:rPr>
          <w:rFonts w:cs="Arial"/>
        </w:rPr>
      </w:pPr>
      <w:r w:rsidRPr="00FA4B2D">
        <w:rPr>
          <w:rFonts w:cs="Arial"/>
        </w:rPr>
        <w:t>Finalmente, el M</w:t>
      </w:r>
      <w:r w:rsidR="005F4A92" w:rsidRPr="00FA4B2D">
        <w:rPr>
          <w:rFonts w:cs="Arial"/>
        </w:rPr>
        <w:t>G</w:t>
      </w:r>
      <w:r w:rsidRPr="00FA4B2D">
        <w:rPr>
          <w:rFonts w:cs="Arial"/>
        </w:rPr>
        <w:t>AS resalta la importancia de identificar a los grupos vulnerables en las zonas de intervención del Proyecto a fin de asegurar su adecuada participación en la preparación e implementación de este y en los beneficios que de él se desprendan. Para ello, se han identificado medidas específicas en el PPPI, en el MPPI, en los PGMO y en el presente MGAS.</w:t>
      </w:r>
    </w:p>
    <w:p w14:paraId="16FE0507" w14:textId="7EE7D912" w:rsidR="006A3DBC" w:rsidRPr="00FA4B2D" w:rsidRDefault="006A3DBC" w:rsidP="00A75D8B">
      <w:pPr>
        <w:pStyle w:val="Prrafodelista"/>
        <w:numPr>
          <w:ilvl w:val="1"/>
          <w:numId w:val="33"/>
        </w:numPr>
        <w:ind w:left="426"/>
        <w:rPr>
          <w:rFonts w:cs="Arial"/>
          <w:b/>
          <w:bCs/>
        </w:rPr>
      </w:pPr>
      <w:r w:rsidRPr="00FA4B2D">
        <w:rPr>
          <w:rFonts w:cs="Arial"/>
          <w:b/>
          <w:bCs/>
        </w:rPr>
        <w:t xml:space="preserve">Guías generales sobre medio ambiente, salud y seguridad ocupacional del </w:t>
      </w:r>
      <w:r w:rsidR="00C344FD" w:rsidRPr="00FA4B2D">
        <w:rPr>
          <w:rFonts w:cs="Arial"/>
          <w:b/>
          <w:bCs/>
        </w:rPr>
        <w:t xml:space="preserve">Grupo </w:t>
      </w:r>
      <w:r w:rsidRPr="00FA4B2D">
        <w:rPr>
          <w:rFonts w:cs="Arial"/>
          <w:b/>
          <w:bCs/>
        </w:rPr>
        <w:t>Banco Mundial</w:t>
      </w:r>
    </w:p>
    <w:p w14:paraId="2A139657" w14:textId="7A6B1ACA" w:rsidR="006A3DBC" w:rsidRPr="00FA4B2D" w:rsidRDefault="006A3DBC" w:rsidP="006A3DBC">
      <w:pPr>
        <w:jc w:val="both"/>
        <w:rPr>
          <w:rFonts w:eastAsia="Cambria" w:cs="Arial"/>
        </w:rPr>
      </w:pPr>
      <w:r w:rsidRPr="00FA4B2D">
        <w:rPr>
          <w:rFonts w:eastAsia="Cambria" w:cs="Arial"/>
        </w:rPr>
        <w:t>Las Guías sobre medio ambiente, salud y seguridad (GMASS)</w:t>
      </w:r>
      <w:r w:rsidRPr="00FA4B2D">
        <w:rPr>
          <w:rStyle w:val="Refdenotaalpie"/>
          <w:rFonts w:eastAsia="Cambria" w:cs="Arial"/>
          <w:u w:val="single"/>
        </w:rPr>
        <w:footnoteReference w:id="3"/>
      </w:r>
      <w:r w:rsidRPr="00FA4B2D">
        <w:rPr>
          <w:rFonts w:eastAsia="Cambria" w:cs="Arial"/>
        </w:rPr>
        <w:t xml:space="preserve"> </w:t>
      </w:r>
      <w:r w:rsidR="00C344FD" w:rsidRPr="00FA4B2D">
        <w:rPr>
          <w:rFonts w:eastAsia="Cambria" w:cs="Arial"/>
        </w:rPr>
        <w:t xml:space="preserve">del Grupo Banco Mundial (GBM) </w:t>
      </w:r>
      <w:r w:rsidRPr="00FA4B2D">
        <w:rPr>
          <w:rFonts w:eastAsia="Cambria" w:cs="Arial"/>
        </w:rPr>
        <w:t>son documentos de referencia técnica que contienen ejemplos generales y específicos de las Buenas Prácticas Internacionales de la Industria (BPII).</w:t>
      </w:r>
    </w:p>
    <w:p w14:paraId="4C7B554E" w14:textId="77777777" w:rsidR="006A3DBC" w:rsidRPr="00FA4B2D" w:rsidRDefault="006A3DBC" w:rsidP="006A3DBC">
      <w:pPr>
        <w:jc w:val="both"/>
        <w:rPr>
          <w:rFonts w:eastAsia="Cambria" w:cs="Arial"/>
        </w:rPr>
      </w:pPr>
      <w:r w:rsidRPr="00FA4B2D">
        <w:rPr>
          <w:rFonts w:eastAsia="Cambria" w:cs="Arial"/>
        </w:rPr>
        <w:t>Las GMASS contienen los niveles y los indicadores de desempeño que generalmente pueden alcanzarse en instalaciones nuevas, con la tecnología existente y a costos razonables. GMASS generales deben usarse junto con las GMASS para el sector de la industria correspondiente, que ofrecen orientación a los usuarios sobre cuestiones relativas a cada sector industrial específico.</w:t>
      </w:r>
    </w:p>
    <w:p w14:paraId="3284790A" w14:textId="77777777" w:rsidR="006A3DBC" w:rsidRPr="00FA4B2D" w:rsidRDefault="006A3DBC" w:rsidP="006A3DBC">
      <w:pPr>
        <w:jc w:val="both"/>
        <w:rPr>
          <w:rFonts w:eastAsia="Cambria" w:cs="Arial"/>
        </w:rPr>
      </w:pPr>
      <w:r w:rsidRPr="00FA4B2D">
        <w:rPr>
          <w:rFonts w:eastAsia="Cambria" w:cs="Arial"/>
        </w:rPr>
        <w:t xml:space="preserve">La aplicación de las GMASS debe adaptarse a los peligros y riesgos establecidos para cada proyecto sobre la base de los resultados de evaluaciones ambientales y sociales, las circunstancias del país y del sitio, la capacidad de asimilación del medio ambiente y otros factores relativos al proyecto. </w:t>
      </w:r>
    </w:p>
    <w:p w14:paraId="20EFD3FD" w14:textId="77777777" w:rsidR="005F4A92" w:rsidRPr="00FA4B2D" w:rsidRDefault="005F4A92" w:rsidP="006A3DBC">
      <w:pPr>
        <w:jc w:val="both"/>
        <w:rPr>
          <w:rFonts w:cs="Arial"/>
        </w:rPr>
      </w:pPr>
    </w:p>
    <w:p w14:paraId="1F243719" w14:textId="77777777" w:rsidR="006A3DBC" w:rsidRPr="00CF0F96" w:rsidRDefault="006A3DBC" w:rsidP="00E53A08">
      <w:pPr>
        <w:pStyle w:val="Ttulo2"/>
        <w:numPr>
          <w:ilvl w:val="1"/>
          <w:numId w:val="33"/>
        </w:numPr>
        <w:spacing w:before="0" w:line="240" w:lineRule="auto"/>
        <w:ind w:left="142" w:hanging="142"/>
        <w:jc w:val="both"/>
        <w:rPr>
          <w:rFonts w:ascii="Arial" w:hAnsi="Arial" w:cs="Arial"/>
          <w:b/>
          <w:color w:val="767171" w:themeColor="background2" w:themeShade="80"/>
          <w:sz w:val="24"/>
          <w:szCs w:val="24"/>
        </w:rPr>
      </w:pPr>
      <w:bookmarkStart w:id="147" w:name="_Toc65847863"/>
      <w:bookmarkStart w:id="148" w:name="_Toc65848114"/>
      <w:bookmarkStart w:id="149" w:name="_Toc65848538"/>
      <w:bookmarkStart w:id="150" w:name="_Toc65849101"/>
      <w:bookmarkStart w:id="151" w:name="_Toc65850088"/>
      <w:bookmarkStart w:id="152" w:name="_Toc65852538"/>
      <w:bookmarkStart w:id="153" w:name="_Toc65855197"/>
      <w:bookmarkStart w:id="154" w:name="_Toc65855265"/>
      <w:bookmarkStart w:id="155" w:name="_Toc65855345"/>
      <w:bookmarkStart w:id="156" w:name="_Toc65855482"/>
      <w:bookmarkStart w:id="157" w:name="_Toc65855553"/>
      <w:bookmarkStart w:id="158" w:name="_Toc65857024"/>
      <w:bookmarkStart w:id="159" w:name="_Toc65857120"/>
      <w:bookmarkStart w:id="160" w:name="_Toc65857182"/>
      <w:bookmarkStart w:id="161" w:name="_Toc65857396"/>
      <w:bookmarkStart w:id="162" w:name="_Toc65865969"/>
      <w:bookmarkStart w:id="163" w:name="_Toc65877204"/>
      <w:bookmarkStart w:id="164" w:name="_Toc65877352"/>
      <w:bookmarkStart w:id="165" w:name="_Toc65881331"/>
      <w:bookmarkStart w:id="166" w:name="_Toc65882205"/>
      <w:bookmarkStart w:id="167" w:name="_Toc65884161"/>
      <w:bookmarkStart w:id="168" w:name="_Toc66035439"/>
      <w:bookmarkStart w:id="169" w:name="_Toc66037061"/>
      <w:bookmarkStart w:id="170" w:name="_Toc66038445"/>
      <w:bookmarkStart w:id="171" w:name="_Toc66038564"/>
      <w:bookmarkStart w:id="172" w:name="_Toc66038726"/>
      <w:bookmarkStart w:id="173" w:name="_Toc66039182"/>
      <w:bookmarkStart w:id="174" w:name="_Toc66223528"/>
      <w:bookmarkStart w:id="175" w:name="_Toc65884164"/>
      <w:bookmarkStart w:id="176" w:name="_Toc67573381"/>
      <w:bookmarkStart w:id="177" w:name="_Toc202456902"/>
      <w:bookmarkStart w:id="178" w:name="_Hlk6577901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sidRPr="00CF0F96">
        <w:rPr>
          <w:rFonts w:ascii="Arial" w:hAnsi="Arial" w:cs="Arial"/>
          <w:b/>
          <w:color w:val="767171" w:themeColor="background2" w:themeShade="80"/>
          <w:sz w:val="24"/>
          <w:szCs w:val="24"/>
        </w:rPr>
        <w:lastRenderedPageBreak/>
        <w:t>Marco Legal Nacional</w:t>
      </w:r>
      <w:bookmarkEnd w:id="175"/>
      <w:bookmarkEnd w:id="176"/>
      <w:bookmarkEnd w:id="177"/>
    </w:p>
    <w:bookmarkEnd w:id="178"/>
    <w:p w14:paraId="4B6271FA" w14:textId="77777777" w:rsidR="006A3DBC" w:rsidRPr="00FA4B2D" w:rsidRDefault="006A3DBC" w:rsidP="006A3DBC">
      <w:pPr>
        <w:spacing w:after="0" w:line="240" w:lineRule="auto"/>
        <w:jc w:val="both"/>
        <w:rPr>
          <w:rFonts w:cs="Arial"/>
          <w:lang w:val="es-ES_tradnl"/>
        </w:rPr>
      </w:pPr>
    </w:p>
    <w:p w14:paraId="1ABB70FE" w14:textId="77777777" w:rsidR="006A3DBC" w:rsidRPr="00FA4B2D" w:rsidRDefault="006A3DBC" w:rsidP="006A3DBC">
      <w:pPr>
        <w:spacing w:line="240" w:lineRule="auto"/>
        <w:jc w:val="both"/>
        <w:rPr>
          <w:rFonts w:cs="Arial"/>
          <w:lang w:val="es-HN"/>
        </w:rPr>
      </w:pPr>
      <w:r w:rsidRPr="00FA4B2D">
        <w:rPr>
          <w:rFonts w:cs="Arial"/>
          <w:lang w:val="es-HN"/>
        </w:rPr>
        <w:t>Honduras cuenta con una normativa legal amplia que servirá de fundamento para llevar a cabo el desarrollo de los Planes de Negocios (PdNs) en cada una de las OPRs. La legislación de Honduras</w:t>
      </w:r>
      <w:r w:rsidRPr="00FA4B2D">
        <w:rPr>
          <w:rFonts w:cs="Arial"/>
          <w:spacing w:val="-16"/>
          <w:lang w:val="es-HN"/>
        </w:rPr>
        <w:t xml:space="preserve"> </w:t>
      </w:r>
      <w:r w:rsidRPr="00FA4B2D">
        <w:rPr>
          <w:rFonts w:cs="Arial"/>
          <w:lang w:val="es-HN"/>
        </w:rPr>
        <w:t>procura</w:t>
      </w:r>
      <w:r w:rsidRPr="00FA4B2D">
        <w:rPr>
          <w:rFonts w:cs="Arial"/>
          <w:spacing w:val="-14"/>
          <w:lang w:val="es-HN"/>
        </w:rPr>
        <w:t xml:space="preserve"> </w:t>
      </w:r>
      <w:r w:rsidRPr="00FA4B2D">
        <w:rPr>
          <w:rFonts w:cs="Arial"/>
          <w:lang w:val="es-HN"/>
        </w:rPr>
        <w:t>el</w:t>
      </w:r>
      <w:r w:rsidRPr="00FA4B2D">
        <w:rPr>
          <w:rFonts w:cs="Arial"/>
          <w:spacing w:val="-15"/>
          <w:lang w:val="es-HN"/>
        </w:rPr>
        <w:t xml:space="preserve"> </w:t>
      </w:r>
      <w:r w:rsidRPr="00FA4B2D">
        <w:rPr>
          <w:rFonts w:cs="Arial"/>
          <w:lang w:val="es-HN"/>
        </w:rPr>
        <w:t>bienestar</w:t>
      </w:r>
      <w:r w:rsidRPr="00FA4B2D">
        <w:rPr>
          <w:rFonts w:cs="Arial"/>
          <w:spacing w:val="-17"/>
          <w:lang w:val="es-HN"/>
        </w:rPr>
        <w:t xml:space="preserve"> </w:t>
      </w:r>
      <w:r w:rsidRPr="00FA4B2D">
        <w:rPr>
          <w:rFonts w:cs="Arial"/>
          <w:lang w:val="es-HN"/>
        </w:rPr>
        <w:t>social,</w:t>
      </w:r>
      <w:r w:rsidRPr="00FA4B2D">
        <w:rPr>
          <w:rFonts w:cs="Arial"/>
          <w:spacing w:val="-16"/>
          <w:lang w:val="es-HN"/>
        </w:rPr>
        <w:t xml:space="preserve"> </w:t>
      </w:r>
      <w:r w:rsidRPr="00FA4B2D">
        <w:rPr>
          <w:rFonts w:cs="Arial"/>
          <w:lang w:val="es-HN"/>
        </w:rPr>
        <w:t>la</w:t>
      </w:r>
      <w:r w:rsidRPr="00FA4B2D">
        <w:rPr>
          <w:rFonts w:cs="Arial"/>
          <w:spacing w:val="-14"/>
          <w:lang w:val="es-HN"/>
        </w:rPr>
        <w:t xml:space="preserve"> </w:t>
      </w:r>
      <w:r w:rsidRPr="00FA4B2D">
        <w:rPr>
          <w:rFonts w:cs="Arial"/>
          <w:lang w:val="es-HN"/>
        </w:rPr>
        <w:t>conservación</w:t>
      </w:r>
      <w:r w:rsidRPr="00FA4B2D">
        <w:rPr>
          <w:rFonts w:cs="Arial"/>
          <w:spacing w:val="-15"/>
          <w:lang w:val="es-HN"/>
        </w:rPr>
        <w:t xml:space="preserve"> </w:t>
      </w:r>
      <w:r w:rsidRPr="00FA4B2D">
        <w:rPr>
          <w:rFonts w:cs="Arial"/>
          <w:lang w:val="es-HN"/>
        </w:rPr>
        <w:t>de</w:t>
      </w:r>
      <w:r w:rsidRPr="00FA4B2D">
        <w:rPr>
          <w:rFonts w:cs="Arial"/>
          <w:spacing w:val="-17"/>
          <w:lang w:val="es-HN"/>
        </w:rPr>
        <w:t xml:space="preserve"> </w:t>
      </w:r>
      <w:r w:rsidRPr="00FA4B2D">
        <w:rPr>
          <w:rFonts w:cs="Arial"/>
          <w:lang w:val="es-HN"/>
        </w:rPr>
        <w:t>la</w:t>
      </w:r>
      <w:r w:rsidRPr="00FA4B2D">
        <w:rPr>
          <w:rFonts w:cs="Arial"/>
          <w:spacing w:val="-17"/>
          <w:lang w:val="es-HN"/>
        </w:rPr>
        <w:t xml:space="preserve"> </w:t>
      </w:r>
      <w:r w:rsidRPr="00FA4B2D">
        <w:rPr>
          <w:rFonts w:cs="Arial"/>
          <w:lang w:val="es-HN"/>
        </w:rPr>
        <w:t>biodiversidad,</w:t>
      </w:r>
      <w:r w:rsidRPr="00FA4B2D">
        <w:rPr>
          <w:rFonts w:cs="Arial"/>
          <w:spacing w:val="-14"/>
          <w:lang w:val="es-HN"/>
        </w:rPr>
        <w:t xml:space="preserve"> </w:t>
      </w:r>
      <w:r w:rsidRPr="00FA4B2D">
        <w:rPr>
          <w:rFonts w:cs="Arial"/>
          <w:lang w:val="es-HN"/>
        </w:rPr>
        <w:t>recursos</w:t>
      </w:r>
      <w:r w:rsidRPr="00FA4B2D">
        <w:rPr>
          <w:rFonts w:cs="Arial"/>
          <w:spacing w:val="-16"/>
          <w:lang w:val="es-HN"/>
        </w:rPr>
        <w:t xml:space="preserve"> </w:t>
      </w:r>
      <w:r w:rsidRPr="00FA4B2D">
        <w:rPr>
          <w:rFonts w:cs="Arial"/>
          <w:lang w:val="es-HN"/>
        </w:rPr>
        <w:t>culturales, agua y suelo; así mismo, regula los aspectos relacionados con la extracción minera, uso del recurso hídrico, la participación ciudadana, la gestión de los residuos sólidos y líquidos, a través de las cuales se pretende asegurar el uso sostenible de los recursos naturales de las comunidades y en particular de las poblaciones rurales</w:t>
      </w:r>
      <w:r w:rsidRPr="00FA4B2D">
        <w:rPr>
          <w:rFonts w:cs="Arial"/>
          <w:spacing w:val="-10"/>
          <w:lang w:val="es-HN"/>
        </w:rPr>
        <w:t xml:space="preserve"> </w:t>
      </w:r>
      <w:r w:rsidRPr="00FA4B2D">
        <w:rPr>
          <w:rFonts w:cs="Arial"/>
          <w:lang w:val="es-HN"/>
        </w:rPr>
        <w:t>pobres, así también se dispensa de atención especial para grupos de interés por su condición de vulnerabilidad como pueblos indígenas, mujeres, jóvenes, población infantil, entre otros.</w:t>
      </w:r>
    </w:p>
    <w:p w14:paraId="23EA8CB4" w14:textId="623188EC" w:rsidR="006A3DBC" w:rsidRPr="00FA4B2D" w:rsidRDefault="006A3DBC" w:rsidP="006A3DBC">
      <w:pPr>
        <w:spacing w:line="240" w:lineRule="auto"/>
        <w:jc w:val="both"/>
        <w:rPr>
          <w:rFonts w:cs="Arial"/>
          <w:lang w:val="es-HN"/>
        </w:rPr>
      </w:pPr>
      <w:r w:rsidRPr="00FA4B2D">
        <w:rPr>
          <w:rFonts w:cs="Arial"/>
          <w:lang w:val="es-HN"/>
        </w:rPr>
        <w:t xml:space="preserve">En </w:t>
      </w:r>
      <w:r w:rsidRPr="00FA4B2D">
        <w:rPr>
          <w:rFonts w:cs="Arial"/>
          <w:lang w:val="es-HN"/>
        </w:rPr>
        <w:fldChar w:fldCharType="begin"/>
      </w:r>
      <w:r w:rsidRPr="00FA4B2D">
        <w:rPr>
          <w:rFonts w:cs="Arial"/>
          <w:lang w:val="es-HN"/>
        </w:rPr>
        <w:instrText xml:space="preserve"> REF _Ref65836925 \h  \* MERGEFORMAT </w:instrText>
      </w:r>
      <w:r w:rsidRPr="00FA4B2D">
        <w:rPr>
          <w:rFonts w:cs="Arial"/>
          <w:lang w:val="es-HN"/>
        </w:rPr>
      </w:r>
      <w:r w:rsidRPr="00FA4B2D">
        <w:rPr>
          <w:rFonts w:cs="Arial"/>
          <w:lang w:val="es-HN"/>
        </w:rPr>
        <w:fldChar w:fldCharType="separate"/>
      </w:r>
      <w:r w:rsidR="00BF4BCA" w:rsidRPr="00FA4B2D">
        <w:rPr>
          <w:rFonts w:cs="Arial"/>
          <w:b/>
          <w:bCs/>
          <w:i/>
          <w:iCs/>
        </w:rPr>
        <w:t xml:space="preserve">Tabla </w:t>
      </w:r>
      <w:r w:rsidR="00BF4BCA" w:rsidRPr="00FA4B2D">
        <w:rPr>
          <w:rFonts w:cs="Arial"/>
          <w:b/>
          <w:bCs/>
          <w:i/>
          <w:iCs/>
          <w:noProof/>
        </w:rPr>
        <w:t>1</w:t>
      </w:r>
      <w:r w:rsidRPr="00FA4B2D">
        <w:rPr>
          <w:rFonts w:cs="Arial"/>
          <w:lang w:val="es-HN"/>
        </w:rPr>
        <w:fldChar w:fldCharType="end"/>
      </w:r>
      <w:r w:rsidRPr="00FA4B2D">
        <w:rPr>
          <w:rFonts w:cs="Arial"/>
          <w:lang w:val="es-HN"/>
        </w:rPr>
        <w:t xml:space="preserve"> se detallan los tratados internacionales, leyes, reglamentos y demás normativa específica o especializada considerada de mayor relevancia/incidencia para</w:t>
      </w:r>
      <w:r w:rsidRPr="00FA4B2D">
        <w:rPr>
          <w:rFonts w:cs="Arial"/>
          <w:spacing w:val="-5"/>
          <w:lang w:val="es-HN"/>
        </w:rPr>
        <w:t xml:space="preserve"> </w:t>
      </w:r>
      <w:r w:rsidRPr="00FA4B2D">
        <w:rPr>
          <w:rFonts w:cs="Arial"/>
          <w:lang w:val="es-HN"/>
        </w:rPr>
        <w:t>los</w:t>
      </w:r>
      <w:r w:rsidRPr="00FA4B2D">
        <w:rPr>
          <w:rFonts w:cs="Arial"/>
          <w:spacing w:val="-3"/>
          <w:lang w:val="es-HN"/>
        </w:rPr>
        <w:t xml:space="preserve"> Planes de Negocio</w:t>
      </w:r>
      <w:r w:rsidRPr="00FA4B2D">
        <w:rPr>
          <w:rFonts w:cs="Arial"/>
          <w:spacing w:val="-2"/>
          <w:lang w:val="es-HN"/>
        </w:rPr>
        <w:t xml:space="preserve"> </w:t>
      </w:r>
      <w:r w:rsidRPr="00FA4B2D">
        <w:rPr>
          <w:rFonts w:cs="Arial"/>
          <w:lang w:val="es-HN"/>
        </w:rPr>
        <w:t>a</w:t>
      </w:r>
      <w:r w:rsidRPr="00FA4B2D">
        <w:rPr>
          <w:rFonts w:cs="Arial"/>
          <w:spacing w:val="-5"/>
          <w:lang w:val="es-HN"/>
        </w:rPr>
        <w:t xml:space="preserve"> </w:t>
      </w:r>
      <w:r w:rsidRPr="00FA4B2D">
        <w:rPr>
          <w:rFonts w:cs="Arial"/>
          <w:lang w:val="es-HN"/>
        </w:rPr>
        <w:t>ejecutarse</w:t>
      </w:r>
      <w:r w:rsidRPr="00FA4B2D">
        <w:rPr>
          <w:rFonts w:cs="Arial"/>
          <w:spacing w:val="-2"/>
          <w:lang w:val="es-HN"/>
        </w:rPr>
        <w:t xml:space="preserve"> </w:t>
      </w:r>
      <w:r w:rsidRPr="00FA4B2D">
        <w:rPr>
          <w:rFonts w:cs="Arial"/>
          <w:lang w:val="es-HN"/>
        </w:rPr>
        <w:t>bajo</w:t>
      </w:r>
      <w:r w:rsidRPr="00FA4B2D">
        <w:rPr>
          <w:rFonts w:cs="Arial"/>
          <w:spacing w:val="-3"/>
          <w:lang w:val="es-HN"/>
        </w:rPr>
        <w:t xml:space="preserve"> </w:t>
      </w:r>
      <w:r w:rsidRPr="00FA4B2D">
        <w:rPr>
          <w:rFonts w:cs="Arial"/>
          <w:lang w:val="es-HN"/>
        </w:rPr>
        <w:t>el COMRURAL III. Sin omitir la aplicabilidad de las leyes y reglamentos en su</w:t>
      </w:r>
      <w:r w:rsidRPr="00FA4B2D">
        <w:rPr>
          <w:rFonts w:cs="Arial"/>
          <w:spacing w:val="-4"/>
          <w:lang w:val="es-HN"/>
        </w:rPr>
        <w:t xml:space="preserve"> </w:t>
      </w:r>
      <w:r w:rsidRPr="00FA4B2D">
        <w:rPr>
          <w:rFonts w:cs="Arial"/>
          <w:lang w:val="es-HN"/>
        </w:rPr>
        <w:t>totalidad,</w:t>
      </w:r>
      <w:r w:rsidRPr="00FA4B2D">
        <w:rPr>
          <w:rFonts w:cs="Arial"/>
          <w:spacing w:val="-4"/>
          <w:lang w:val="es-HN"/>
        </w:rPr>
        <w:t xml:space="preserve"> </w:t>
      </w:r>
      <w:r w:rsidRPr="00FA4B2D">
        <w:rPr>
          <w:rFonts w:cs="Arial"/>
          <w:lang w:val="es-HN"/>
        </w:rPr>
        <w:t>en</w:t>
      </w:r>
      <w:r w:rsidRPr="00FA4B2D">
        <w:rPr>
          <w:rFonts w:cs="Arial"/>
          <w:spacing w:val="-4"/>
          <w:lang w:val="es-HN"/>
        </w:rPr>
        <w:t xml:space="preserve"> </w:t>
      </w:r>
      <w:r w:rsidRPr="00FA4B2D">
        <w:rPr>
          <w:rFonts w:cs="Arial"/>
          <w:lang w:val="es-HN"/>
        </w:rPr>
        <w:t>esta tabla</w:t>
      </w:r>
      <w:r w:rsidRPr="00FA4B2D">
        <w:rPr>
          <w:rFonts w:cs="Arial"/>
          <w:spacing w:val="-5"/>
          <w:lang w:val="es-HN"/>
        </w:rPr>
        <w:t xml:space="preserve"> </w:t>
      </w:r>
      <w:r w:rsidRPr="00FA4B2D">
        <w:rPr>
          <w:rFonts w:cs="Arial"/>
          <w:lang w:val="es-HN"/>
        </w:rPr>
        <w:t>se</w:t>
      </w:r>
      <w:r w:rsidRPr="00FA4B2D">
        <w:rPr>
          <w:rFonts w:cs="Arial"/>
          <w:spacing w:val="-5"/>
          <w:lang w:val="es-HN"/>
        </w:rPr>
        <w:t xml:space="preserve"> </w:t>
      </w:r>
      <w:r w:rsidRPr="00FA4B2D">
        <w:rPr>
          <w:rFonts w:cs="Arial"/>
          <w:lang w:val="es-HN"/>
        </w:rPr>
        <w:t>hace</w:t>
      </w:r>
      <w:r w:rsidRPr="00FA4B2D">
        <w:rPr>
          <w:rFonts w:cs="Arial"/>
          <w:spacing w:val="-3"/>
          <w:lang w:val="es-HN"/>
        </w:rPr>
        <w:t xml:space="preserve"> </w:t>
      </w:r>
      <w:r w:rsidRPr="00FA4B2D">
        <w:rPr>
          <w:rFonts w:cs="Arial"/>
          <w:lang w:val="es-HN"/>
        </w:rPr>
        <w:t>énfasis</w:t>
      </w:r>
      <w:r w:rsidRPr="00FA4B2D">
        <w:rPr>
          <w:rFonts w:cs="Arial"/>
          <w:spacing w:val="-2"/>
          <w:lang w:val="es-HN"/>
        </w:rPr>
        <w:t xml:space="preserve"> </w:t>
      </w:r>
      <w:r w:rsidRPr="00FA4B2D">
        <w:rPr>
          <w:rFonts w:cs="Arial"/>
          <w:lang w:val="es-HN"/>
        </w:rPr>
        <w:t>en</w:t>
      </w:r>
      <w:r w:rsidRPr="00FA4B2D">
        <w:rPr>
          <w:rFonts w:cs="Arial"/>
          <w:spacing w:val="-1"/>
          <w:lang w:val="es-HN"/>
        </w:rPr>
        <w:t xml:space="preserve"> </w:t>
      </w:r>
      <w:r w:rsidRPr="00FA4B2D">
        <w:rPr>
          <w:rFonts w:cs="Arial"/>
          <w:lang w:val="es-HN"/>
        </w:rPr>
        <w:t>aquellos</w:t>
      </w:r>
      <w:r w:rsidRPr="00FA4B2D">
        <w:rPr>
          <w:rFonts w:cs="Arial"/>
          <w:spacing w:val="-4"/>
          <w:lang w:val="es-HN"/>
        </w:rPr>
        <w:t xml:space="preserve"> </w:t>
      </w:r>
      <w:r w:rsidRPr="00FA4B2D">
        <w:rPr>
          <w:rFonts w:cs="Arial"/>
          <w:lang w:val="es-HN"/>
        </w:rPr>
        <w:t>artículos</w:t>
      </w:r>
      <w:r w:rsidRPr="00FA4B2D">
        <w:rPr>
          <w:rFonts w:cs="Arial"/>
          <w:spacing w:val="-3"/>
          <w:lang w:val="es-HN"/>
        </w:rPr>
        <w:t xml:space="preserve"> </w:t>
      </w:r>
      <w:r w:rsidRPr="00FA4B2D">
        <w:rPr>
          <w:rFonts w:cs="Arial"/>
          <w:lang w:val="es-HN"/>
        </w:rPr>
        <w:t>de</w:t>
      </w:r>
      <w:r w:rsidRPr="00FA4B2D">
        <w:rPr>
          <w:rFonts w:cs="Arial"/>
          <w:spacing w:val="-2"/>
          <w:lang w:val="es-HN"/>
        </w:rPr>
        <w:t xml:space="preserve"> </w:t>
      </w:r>
      <w:r w:rsidRPr="00FA4B2D">
        <w:rPr>
          <w:rFonts w:cs="Arial"/>
          <w:lang w:val="es-HN"/>
        </w:rPr>
        <w:t>especial</w:t>
      </w:r>
      <w:r w:rsidRPr="00FA4B2D">
        <w:rPr>
          <w:rFonts w:cs="Arial"/>
          <w:spacing w:val="-3"/>
          <w:lang w:val="es-HN"/>
        </w:rPr>
        <w:t xml:space="preserve"> </w:t>
      </w:r>
      <w:r w:rsidRPr="00FA4B2D">
        <w:rPr>
          <w:rFonts w:cs="Arial"/>
          <w:lang w:val="es-HN"/>
        </w:rPr>
        <w:t xml:space="preserve">interés de la gestión </w:t>
      </w:r>
      <w:r w:rsidR="005F4A92" w:rsidRPr="00FA4B2D">
        <w:rPr>
          <w:rFonts w:cs="Arial"/>
          <w:lang w:val="es-HN"/>
        </w:rPr>
        <w:t>socio ambiental</w:t>
      </w:r>
      <w:r w:rsidRPr="00FA4B2D">
        <w:rPr>
          <w:rFonts w:cs="Arial"/>
          <w:lang w:val="es-HN"/>
        </w:rPr>
        <w:t xml:space="preserve"> del Proyecto,</w:t>
      </w:r>
      <w:r w:rsidRPr="00FA4B2D">
        <w:rPr>
          <w:rFonts w:cs="Arial"/>
          <w:spacing w:val="-4"/>
          <w:lang w:val="es-HN"/>
        </w:rPr>
        <w:t xml:space="preserve"> </w:t>
      </w:r>
      <w:r w:rsidRPr="00FA4B2D">
        <w:rPr>
          <w:rFonts w:cs="Arial"/>
          <w:lang w:val="es-HN"/>
        </w:rPr>
        <w:t>debido a su especial importancia por el nivel de impacto que su incumplimiento o falta de vigilancia podría acarrear a los medios biofísicos y</w:t>
      </w:r>
      <w:r w:rsidRPr="00FA4B2D">
        <w:rPr>
          <w:rFonts w:cs="Arial"/>
          <w:spacing w:val="-10"/>
          <w:lang w:val="es-HN"/>
        </w:rPr>
        <w:t xml:space="preserve"> </w:t>
      </w:r>
      <w:r w:rsidRPr="00FA4B2D">
        <w:rPr>
          <w:rFonts w:cs="Arial"/>
          <w:lang w:val="es-HN"/>
        </w:rPr>
        <w:t>socioeconómicos. El Marco legal nacional e internacional vigente en temas laborales y los EAS 5 y 7, se presentan en los MPPI, MRI con MP y PGMO.</w:t>
      </w:r>
    </w:p>
    <w:p w14:paraId="274E7010" w14:textId="16E92A40" w:rsidR="00E11023" w:rsidRDefault="00E11023" w:rsidP="00E11023">
      <w:pPr>
        <w:pStyle w:val="Descripcin"/>
        <w:keepNext/>
      </w:pPr>
      <w:bookmarkStart w:id="179" w:name="_Toc202455427"/>
      <w:r>
        <w:t xml:space="preserve">Tabla </w:t>
      </w:r>
      <w:r>
        <w:fldChar w:fldCharType="begin"/>
      </w:r>
      <w:r>
        <w:instrText xml:space="preserve"> SEQ Tabla \* ARABIC </w:instrText>
      </w:r>
      <w:r>
        <w:fldChar w:fldCharType="separate"/>
      </w:r>
      <w:r w:rsidR="000E6D86">
        <w:rPr>
          <w:noProof/>
        </w:rPr>
        <w:t>1</w:t>
      </w:r>
      <w:r>
        <w:fldChar w:fldCharType="end"/>
      </w:r>
      <w:r>
        <w:t xml:space="preserve"> </w:t>
      </w:r>
      <w:r w:rsidRPr="00282316">
        <w:t>Resumen del Marco Legal Nacional Aplicables al Marco de Gestión Ambiental y Social (MGAS)</w:t>
      </w:r>
      <w:bookmarkEnd w:id="179"/>
    </w:p>
    <w:tbl>
      <w:tblPr>
        <w:tblW w:w="8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5"/>
        <w:gridCol w:w="5391"/>
      </w:tblGrid>
      <w:tr w:rsidR="006A3DBC" w:rsidRPr="00FA4B2D" w14:paraId="3E8CF411" w14:textId="77777777" w:rsidTr="00D536D0">
        <w:trPr>
          <w:trHeight w:val="393"/>
          <w:tblHeader/>
        </w:trPr>
        <w:tc>
          <w:tcPr>
            <w:tcW w:w="3595" w:type="dxa"/>
            <w:shd w:val="clear" w:color="auto" w:fill="5B9BD5" w:themeFill="accent1"/>
            <w:vAlign w:val="center"/>
          </w:tcPr>
          <w:p w14:paraId="2E35EC37" w14:textId="77777777" w:rsidR="006A3DBC" w:rsidRPr="00FA4B2D" w:rsidRDefault="006A3DBC" w:rsidP="005F4A92">
            <w:pPr>
              <w:jc w:val="center"/>
              <w:rPr>
                <w:rFonts w:cs="Arial"/>
                <w:sz w:val="18"/>
                <w:lang w:val="es-HN"/>
              </w:rPr>
            </w:pPr>
            <w:r w:rsidRPr="00FA4B2D">
              <w:rPr>
                <w:rFonts w:cs="Arial"/>
                <w:b/>
                <w:sz w:val="18"/>
                <w:lang w:val="es-HN"/>
              </w:rPr>
              <w:t xml:space="preserve">NORMATIVA APLICABLE Y FECHA DE PROMULGACIÓN </w:t>
            </w:r>
          </w:p>
        </w:tc>
        <w:tc>
          <w:tcPr>
            <w:tcW w:w="5391" w:type="dxa"/>
            <w:shd w:val="clear" w:color="auto" w:fill="5B9BD5" w:themeFill="accent1"/>
            <w:vAlign w:val="center"/>
          </w:tcPr>
          <w:p w14:paraId="65B3D205" w14:textId="77777777" w:rsidR="006A3DBC" w:rsidRPr="00FA4B2D" w:rsidRDefault="006A3DBC" w:rsidP="005F4A92">
            <w:pPr>
              <w:jc w:val="center"/>
              <w:rPr>
                <w:rFonts w:cs="Arial"/>
                <w:sz w:val="18"/>
                <w:lang w:val="es-HN"/>
              </w:rPr>
            </w:pPr>
            <w:r w:rsidRPr="00FA4B2D">
              <w:rPr>
                <w:rFonts w:cs="Arial"/>
                <w:b/>
                <w:sz w:val="18"/>
                <w:lang w:val="es-HN"/>
              </w:rPr>
              <w:t xml:space="preserve">CONTENIDOS Y RELEVANCIA PARA EL PROYECTO </w:t>
            </w:r>
          </w:p>
        </w:tc>
      </w:tr>
      <w:tr w:rsidR="006A3DBC" w:rsidRPr="00FA4B2D" w14:paraId="10A833FF" w14:textId="77777777" w:rsidTr="00D536D0">
        <w:tc>
          <w:tcPr>
            <w:tcW w:w="3595" w:type="dxa"/>
            <w:vAlign w:val="center"/>
          </w:tcPr>
          <w:p w14:paraId="407BF962" w14:textId="088952DC" w:rsidR="006A3DBC" w:rsidRPr="00FA4B2D" w:rsidRDefault="005F4A92" w:rsidP="008D5DD5">
            <w:pPr>
              <w:jc w:val="both"/>
              <w:rPr>
                <w:rFonts w:cs="Arial"/>
                <w:sz w:val="18"/>
                <w:lang w:val="es-HN"/>
              </w:rPr>
            </w:pPr>
            <w:r w:rsidRPr="00FA4B2D">
              <w:rPr>
                <w:rFonts w:cs="Arial"/>
                <w:sz w:val="18"/>
                <w:lang w:val="es-HN"/>
              </w:rPr>
              <w:t>Política</w:t>
            </w:r>
            <w:r w:rsidR="006A3DBC" w:rsidRPr="00FA4B2D">
              <w:rPr>
                <w:rFonts w:cs="Arial"/>
                <w:sz w:val="18"/>
                <w:lang w:val="es-HN"/>
              </w:rPr>
              <w:t xml:space="preserve"> de Estado del Sector Agroalimentario de Honduras (2023-2043)</w:t>
            </w:r>
          </w:p>
        </w:tc>
        <w:tc>
          <w:tcPr>
            <w:tcW w:w="5391" w:type="dxa"/>
            <w:vAlign w:val="center"/>
          </w:tcPr>
          <w:p w14:paraId="6F1AE9D5" w14:textId="46671E42" w:rsidR="006A3DBC" w:rsidRPr="00FA4B2D" w:rsidRDefault="006A3DBC" w:rsidP="008D5DD5">
            <w:pPr>
              <w:tabs>
                <w:tab w:val="left" w:pos="4050"/>
              </w:tabs>
              <w:jc w:val="both"/>
              <w:rPr>
                <w:rFonts w:cs="Arial"/>
                <w:sz w:val="18"/>
                <w:lang w:val="es-HN"/>
              </w:rPr>
            </w:pPr>
            <w:r w:rsidRPr="00FA4B2D">
              <w:rPr>
                <w:rFonts w:cs="Arial"/>
                <w:sz w:val="18"/>
                <w:lang w:val="es-HN"/>
              </w:rPr>
              <w:t>Eje estratégico: 5.3.1 fomento de la producción para la seguridad y soberanía alimentaria.</w:t>
            </w:r>
          </w:p>
          <w:p w14:paraId="76898A49" w14:textId="77777777" w:rsidR="006A3DBC" w:rsidRPr="00FA4B2D" w:rsidRDefault="006A3DBC" w:rsidP="008D5DD5">
            <w:pPr>
              <w:tabs>
                <w:tab w:val="left" w:pos="4050"/>
              </w:tabs>
              <w:jc w:val="both"/>
              <w:rPr>
                <w:rFonts w:cs="Arial"/>
                <w:sz w:val="18"/>
                <w:lang w:val="es-HN"/>
              </w:rPr>
            </w:pPr>
            <w:r w:rsidRPr="00FA4B2D">
              <w:rPr>
                <w:rFonts w:cs="Arial"/>
                <w:sz w:val="18"/>
                <w:lang w:val="es-HN"/>
              </w:rPr>
              <w:t>OE 4. Empresarialidad, comercialización y mercado.</w:t>
            </w:r>
          </w:p>
          <w:p w14:paraId="158B00BE" w14:textId="54C00EFA" w:rsidR="006A3DBC" w:rsidRPr="00FA4B2D" w:rsidRDefault="006A3DBC" w:rsidP="008D5DD5">
            <w:pPr>
              <w:tabs>
                <w:tab w:val="left" w:pos="4050"/>
              </w:tabs>
              <w:jc w:val="both"/>
              <w:rPr>
                <w:rFonts w:cs="Arial"/>
                <w:sz w:val="18"/>
                <w:lang w:val="es-HN"/>
              </w:rPr>
            </w:pPr>
            <w:r w:rsidRPr="00FA4B2D">
              <w:rPr>
                <w:rFonts w:cs="Arial"/>
                <w:sz w:val="18"/>
                <w:lang w:val="es-HN"/>
              </w:rPr>
              <w:t xml:space="preserve">OE5: </w:t>
            </w:r>
            <w:r w:rsidR="005F4A92" w:rsidRPr="00FA4B2D">
              <w:rPr>
                <w:rFonts w:cs="Arial"/>
                <w:sz w:val="18"/>
                <w:lang w:val="es-HN"/>
              </w:rPr>
              <w:t>Agro logística</w:t>
            </w:r>
            <w:r w:rsidRPr="00FA4B2D">
              <w:rPr>
                <w:rFonts w:cs="Arial"/>
                <w:sz w:val="18"/>
                <w:lang w:val="es-HN"/>
              </w:rPr>
              <w:t xml:space="preserve">. </w:t>
            </w:r>
          </w:p>
        </w:tc>
      </w:tr>
      <w:tr w:rsidR="006A3DBC" w:rsidRPr="00FA4B2D" w14:paraId="03896E61" w14:textId="77777777" w:rsidTr="00D536D0">
        <w:tc>
          <w:tcPr>
            <w:tcW w:w="3595" w:type="dxa"/>
            <w:vAlign w:val="center"/>
          </w:tcPr>
          <w:p w14:paraId="1FDF6F3E" w14:textId="351C6C13" w:rsidR="006A3DBC" w:rsidRPr="00FA4B2D" w:rsidRDefault="006A3DBC" w:rsidP="008D5DD5">
            <w:pPr>
              <w:jc w:val="both"/>
              <w:rPr>
                <w:rFonts w:cs="Arial"/>
                <w:sz w:val="18"/>
                <w:lang w:val="es-HN"/>
              </w:rPr>
            </w:pPr>
            <w:r w:rsidRPr="00FA4B2D">
              <w:rPr>
                <w:rFonts w:cs="Arial"/>
                <w:sz w:val="18"/>
                <w:lang w:val="es-HN"/>
              </w:rPr>
              <w:t xml:space="preserve">Estrategia Nacional de </w:t>
            </w:r>
            <w:r w:rsidR="005F4A92" w:rsidRPr="00FA4B2D">
              <w:rPr>
                <w:rFonts w:cs="Arial"/>
                <w:sz w:val="18"/>
                <w:lang w:val="es-HN"/>
              </w:rPr>
              <w:t>Adaptación</w:t>
            </w:r>
            <w:r w:rsidRPr="00FA4B2D">
              <w:rPr>
                <w:rFonts w:cs="Arial"/>
                <w:sz w:val="18"/>
                <w:lang w:val="es-HN"/>
              </w:rPr>
              <w:t xml:space="preserve"> al Cambio </w:t>
            </w:r>
            <w:r w:rsidR="005F4A92" w:rsidRPr="00FA4B2D">
              <w:rPr>
                <w:rFonts w:cs="Arial"/>
                <w:sz w:val="18"/>
                <w:lang w:val="es-HN"/>
              </w:rPr>
              <w:t>Climático</w:t>
            </w:r>
            <w:r w:rsidRPr="00FA4B2D">
              <w:rPr>
                <w:rFonts w:cs="Arial"/>
                <w:sz w:val="18"/>
                <w:lang w:val="es-HN"/>
              </w:rPr>
              <w:t xml:space="preserve"> para el sector </w:t>
            </w:r>
            <w:r w:rsidR="005F4A92" w:rsidRPr="00FA4B2D">
              <w:rPr>
                <w:rFonts w:cs="Arial"/>
                <w:sz w:val="18"/>
                <w:lang w:val="es-HN"/>
              </w:rPr>
              <w:t>Agroalimentario</w:t>
            </w:r>
            <w:r w:rsidRPr="00FA4B2D">
              <w:rPr>
                <w:rFonts w:cs="Arial"/>
                <w:sz w:val="18"/>
                <w:lang w:val="es-HN"/>
              </w:rPr>
              <w:t xml:space="preserve"> de Honduras 2015 a 2025</w:t>
            </w:r>
          </w:p>
        </w:tc>
        <w:tc>
          <w:tcPr>
            <w:tcW w:w="5391" w:type="dxa"/>
            <w:vAlign w:val="center"/>
          </w:tcPr>
          <w:p w14:paraId="59BB5A70" w14:textId="7D00A490" w:rsidR="006A3DBC" w:rsidRPr="00FA4B2D" w:rsidRDefault="006A3DBC" w:rsidP="008D5DD5">
            <w:pPr>
              <w:pStyle w:val="NormalWeb"/>
              <w:jc w:val="both"/>
              <w:rPr>
                <w:rFonts w:ascii="Arial" w:eastAsiaTheme="minorHAnsi" w:hAnsi="Arial" w:cs="Arial"/>
                <w:sz w:val="18"/>
                <w:szCs w:val="22"/>
                <w:lang w:val="es-HN" w:eastAsia="en-US"/>
              </w:rPr>
            </w:pPr>
            <w:r w:rsidRPr="00FA4B2D">
              <w:rPr>
                <w:rFonts w:ascii="Arial" w:eastAsiaTheme="minorHAnsi" w:hAnsi="Arial" w:cs="Arial"/>
                <w:sz w:val="18"/>
                <w:szCs w:val="22"/>
                <w:lang w:val="es-HN" w:eastAsia="en-US"/>
              </w:rPr>
              <w:t xml:space="preserve">La SAG cuenta con una Unidad de </w:t>
            </w:r>
            <w:r w:rsidR="005F4A92" w:rsidRPr="00FA4B2D">
              <w:rPr>
                <w:rFonts w:ascii="Arial" w:eastAsiaTheme="minorHAnsi" w:hAnsi="Arial" w:cs="Arial"/>
                <w:sz w:val="18"/>
                <w:szCs w:val="22"/>
                <w:lang w:val="es-HN" w:eastAsia="en-US"/>
              </w:rPr>
              <w:t>Agro ambiente</w:t>
            </w:r>
            <w:r w:rsidRPr="00FA4B2D">
              <w:rPr>
                <w:rFonts w:ascii="Arial" w:eastAsiaTheme="minorHAnsi" w:hAnsi="Arial" w:cs="Arial"/>
                <w:sz w:val="18"/>
                <w:szCs w:val="22"/>
                <w:lang w:val="es-HN" w:eastAsia="en-US"/>
              </w:rPr>
              <w:t xml:space="preserve">, Cambio </w:t>
            </w:r>
            <w:r w:rsidR="005F4A92" w:rsidRPr="00FA4B2D">
              <w:rPr>
                <w:rFonts w:ascii="Arial" w:eastAsiaTheme="minorHAnsi" w:hAnsi="Arial" w:cs="Arial"/>
                <w:sz w:val="18"/>
                <w:szCs w:val="22"/>
                <w:lang w:val="es-HN" w:eastAsia="en-US"/>
              </w:rPr>
              <w:t>Climático</w:t>
            </w:r>
            <w:r w:rsidRPr="00FA4B2D">
              <w:rPr>
                <w:rFonts w:ascii="Arial" w:eastAsiaTheme="minorHAnsi" w:hAnsi="Arial" w:cs="Arial"/>
                <w:sz w:val="18"/>
                <w:szCs w:val="22"/>
                <w:lang w:val="es-HN" w:eastAsia="en-US"/>
              </w:rPr>
              <w:t xml:space="preserve"> y de </w:t>
            </w:r>
            <w:r w:rsidR="005F4A92" w:rsidRPr="00FA4B2D">
              <w:rPr>
                <w:rFonts w:ascii="Arial" w:eastAsiaTheme="minorHAnsi" w:hAnsi="Arial" w:cs="Arial"/>
                <w:sz w:val="18"/>
                <w:szCs w:val="22"/>
                <w:lang w:val="es-HN" w:eastAsia="en-US"/>
              </w:rPr>
              <w:t>Gestión</w:t>
            </w:r>
            <w:r w:rsidRPr="00FA4B2D">
              <w:rPr>
                <w:rFonts w:ascii="Arial" w:eastAsiaTheme="minorHAnsi" w:hAnsi="Arial" w:cs="Arial"/>
                <w:sz w:val="18"/>
                <w:szCs w:val="22"/>
                <w:lang w:val="es-HN" w:eastAsia="en-US"/>
              </w:rPr>
              <w:t xml:space="preserve"> del Riesgo (UACC&amp;GR) como la instancia especializada que lidera y gestiona acciones sectoriales y multisectoriales para la institucionalización de la adaptación, mitigación y gestión de riesgos climáticos en benéfico de los actores el subsector agroalimentario.</w:t>
            </w:r>
          </w:p>
        </w:tc>
      </w:tr>
      <w:tr w:rsidR="006A3DBC" w:rsidRPr="00FA4B2D" w14:paraId="2F96E038" w14:textId="77777777" w:rsidTr="00D536D0">
        <w:tc>
          <w:tcPr>
            <w:tcW w:w="3595" w:type="dxa"/>
            <w:vAlign w:val="center"/>
          </w:tcPr>
          <w:p w14:paraId="4A5C4419" w14:textId="219E2E52" w:rsidR="006A3DBC" w:rsidRPr="00FA4B2D" w:rsidRDefault="006A3DBC" w:rsidP="008D5DD5">
            <w:pPr>
              <w:jc w:val="both"/>
              <w:rPr>
                <w:rFonts w:cs="Arial"/>
                <w:sz w:val="18"/>
                <w:lang w:val="es-HN"/>
              </w:rPr>
            </w:pPr>
            <w:r w:rsidRPr="00FA4B2D">
              <w:rPr>
                <w:rFonts w:cs="Arial"/>
                <w:sz w:val="18"/>
                <w:lang w:val="es-HN"/>
              </w:rPr>
              <w:t xml:space="preserve">La </w:t>
            </w:r>
            <w:r w:rsidR="005F4A92" w:rsidRPr="00FA4B2D">
              <w:rPr>
                <w:rFonts w:cs="Arial"/>
                <w:sz w:val="18"/>
                <w:lang w:val="es-HN"/>
              </w:rPr>
              <w:t>Política</w:t>
            </w:r>
            <w:r w:rsidRPr="00FA4B2D">
              <w:rPr>
                <w:rFonts w:cs="Arial"/>
                <w:sz w:val="18"/>
                <w:lang w:val="es-HN"/>
              </w:rPr>
              <w:t xml:space="preserve"> para la Seguridad Alimentaria y Nutricional de Largo Plazo (PSAN) y el Plan </w:t>
            </w:r>
            <w:r w:rsidR="005F4A92" w:rsidRPr="00FA4B2D">
              <w:rPr>
                <w:rFonts w:cs="Arial"/>
                <w:sz w:val="18"/>
                <w:lang w:val="es-HN"/>
              </w:rPr>
              <w:t>Estratégico</w:t>
            </w:r>
            <w:r w:rsidRPr="00FA4B2D">
              <w:rPr>
                <w:rFonts w:cs="Arial"/>
                <w:sz w:val="18"/>
                <w:lang w:val="es-HN"/>
              </w:rPr>
              <w:t xml:space="preserve"> para la </w:t>
            </w:r>
            <w:r w:rsidR="005F4A92" w:rsidRPr="00FA4B2D">
              <w:rPr>
                <w:rFonts w:cs="Arial"/>
                <w:sz w:val="18"/>
                <w:lang w:val="es-HN"/>
              </w:rPr>
              <w:t>Implementación</w:t>
            </w:r>
            <w:r w:rsidRPr="00FA4B2D">
              <w:rPr>
                <w:rFonts w:cs="Arial"/>
                <w:sz w:val="18"/>
                <w:lang w:val="es-HN"/>
              </w:rPr>
              <w:t xml:space="preserve"> de la </w:t>
            </w:r>
            <w:r w:rsidR="005F4A92" w:rsidRPr="00FA4B2D">
              <w:rPr>
                <w:rFonts w:cs="Arial"/>
                <w:sz w:val="18"/>
                <w:lang w:val="es-HN"/>
              </w:rPr>
              <w:t>Política</w:t>
            </w:r>
            <w:r w:rsidRPr="00FA4B2D">
              <w:rPr>
                <w:rFonts w:cs="Arial"/>
                <w:sz w:val="18"/>
                <w:lang w:val="es-HN"/>
              </w:rPr>
              <w:t xml:space="preserve"> de Seguridad Alimentaria y Nutricional (2010). </w:t>
            </w:r>
          </w:p>
        </w:tc>
        <w:tc>
          <w:tcPr>
            <w:tcW w:w="5391" w:type="dxa"/>
            <w:vAlign w:val="center"/>
          </w:tcPr>
          <w:p w14:paraId="50AD4A26" w14:textId="72B08BC4" w:rsidR="006A3DBC" w:rsidRPr="00FA4B2D" w:rsidRDefault="005F4A92" w:rsidP="008D5DD5">
            <w:pPr>
              <w:tabs>
                <w:tab w:val="left" w:pos="4050"/>
              </w:tabs>
              <w:jc w:val="both"/>
              <w:rPr>
                <w:rFonts w:cs="Arial"/>
                <w:sz w:val="18"/>
                <w:lang w:val="es-ES_tradnl"/>
              </w:rPr>
            </w:pPr>
            <w:r w:rsidRPr="00FA4B2D">
              <w:rPr>
                <w:rFonts w:cs="Arial"/>
                <w:sz w:val="18"/>
                <w:lang w:val="es-ES_tradnl"/>
              </w:rPr>
              <w:t>P</w:t>
            </w:r>
            <w:r w:rsidRPr="00FA4B2D">
              <w:rPr>
                <w:rStyle w:val="Refdecomentario"/>
                <w:rFonts w:cs="Arial"/>
              </w:rPr>
              <w:t>ro</w:t>
            </w:r>
            <w:r w:rsidRPr="00FA4B2D">
              <w:rPr>
                <w:rFonts w:cs="Arial"/>
                <w:sz w:val="18"/>
                <w:lang w:val="es-ES_tradnl"/>
              </w:rPr>
              <w:t>curar</w:t>
            </w:r>
            <w:r w:rsidR="006A3DBC" w:rsidRPr="00FA4B2D">
              <w:rPr>
                <w:rFonts w:cs="Arial"/>
                <w:sz w:val="18"/>
                <w:lang w:val="es-ES_tradnl"/>
              </w:rPr>
              <w:t xml:space="preserve"> que todas las familias hondureñas atiendan sus necesidades básicas de alimentación, en cantidad, calidad, oportunidad e inocuidad, para que cada uno de sus </w:t>
            </w:r>
            <w:r w:rsidRPr="00FA4B2D">
              <w:rPr>
                <w:rFonts w:cs="Arial"/>
                <w:sz w:val="18"/>
                <w:lang w:val="es-ES_tradnl"/>
              </w:rPr>
              <w:t>miembros</w:t>
            </w:r>
            <w:r w:rsidR="006A3DBC" w:rsidRPr="00FA4B2D">
              <w:rPr>
                <w:rFonts w:cs="Arial"/>
                <w:sz w:val="18"/>
                <w:lang w:val="es-ES_tradnl"/>
              </w:rPr>
              <w:t xml:space="preserve"> logre un adecuado estado de salud y bienestar y el pleno desarrollo de sus potenciales cognitivas y físicas. </w:t>
            </w:r>
          </w:p>
          <w:p w14:paraId="23027032" w14:textId="2A762BA2" w:rsidR="006A3DBC" w:rsidRPr="00FA4B2D" w:rsidRDefault="006A3DBC" w:rsidP="008D5DD5">
            <w:pPr>
              <w:tabs>
                <w:tab w:val="left" w:pos="4050"/>
              </w:tabs>
              <w:jc w:val="both"/>
              <w:rPr>
                <w:rFonts w:cs="Arial"/>
                <w:sz w:val="18"/>
                <w:lang w:val="es-ES_tradnl"/>
              </w:rPr>
            </w:pPr>
            <w:r w:rsidRPr="00FA4B2D">
              <w:rPr>
                <w:rFonts w:cs="Arial"/>
                <w:sz w:val="18"/>
                <w:lang w:val="es-ES_tradnl"/>
              </w:rPr>
              <w:t xml:space="preserve">Garantizar un acceso alimentario equitativo para toda la población, en particular para los grupos más vulnerables, mediante acciones de transferencias condicionadas que sean acompañadas de acciones de mediano y largo plazo dirigidas a crear igualdad de oportunidades para la generación de ingresos y mejora a la infraestructura que </w:t>
            </w:r>
            <w:r w:rsidR="005F4A92" w:rsidRPr="00FA4B2D">
              <w:rPr>
                <w:rFonts w:cs="Arial"/>
                <w:sz w:val="18"/>
                <w:lang w:val="es-ES_tradnl"/>
              </w:rPr>
              <w:t>permitan</w:t>
            </w:r>
            <w:r w:rsidRPr="00FA4B2D">
              <w:rPr>
                <w:rFonts w:cs="Arial"/>
                <w:sz w:val="18"/>
                <w:lang w:val="es-ES_tradnl"/>
              </w:rPr>
              <w:t xml:space="preserve"> su inserción gradual y sostenible en la economía.</w:t>
            </w:r>
          </w:p>
        </w:tc>
      </w:tr>
      <w:tr w:rsidR="006A3DBC" w:rsidRPr="00FA4B2D" w14:paraId="0FE9CFF4" w14:textId="77777777" w:rsidTr="00D536D0">
        <w:tc>
          <w:tcPr>
            <w:tcW w:w="3595" w:type="dxa"/>
            <w:vAlign w:val="center"/>
          </w:tcPr>
          <w:p w14:paraId="4A2484B5" w14:textId="77777777" w:rsidR="006A3DBC" w:rsidRPr="00FA4B2D" w:rsidRDefault="006A3DBC" w:rsidP="008D5DD5">
            <w:pPr>
              <w:jc w:val="both"/>
              <w:rPr>
                <w:rFonts w:cs="Arial"/>
                <w:sz w:val="18"/>
                <w:lang w:val="es-HN"/>
              </w:rPr>
            </w:pPr>
            <w:r w:rsidRPr="00FA4B2D">
              <w:rPr>
                <w:rFonts w:cs="Arial"/>
                <w:sz w:val="18"/>
                <w:lang w:val="es-HN"/>
              </w:rPr>
              <w:lastRenderedPageBreak/>
              <w:t>Constitución de la República de Honduras (</w:t>
            </w:r>
            <w:r w:rsidRPr="00FA4B2D">
              <w:rPr>
                <w:rFonts w:cs="Arial"/>
                <w:sz w:val="18"/>
              </w:rPr>
              <w:t>Decreto No. 23612; del 20 de enero de 1982).</w:t>
            </w:r>
          </w:p>
        </w:tc>
        <w:tc>
          <w:tcPr>
            <w:tcW w:w="5391" w:type="dxa"/>
            <w:vAlign w:val="center"/>
          </w:tcPr>
          <w:p w14:paraId="7603EEB7" w14:textId="7515C802" w:rsidR="006A3DBC" w:rsidRPr="00FA4B2D" w:rsidRDefault="006A3DBC" w:rsidP="008D5DD5">
            <w:pPr>
              <w:tabs>
                <w:tab w:val="left" w:pos="4050"/>
              </w:tabs>
              <w:jc w:val="both"/>
              <w:rPr>
                <w:rFonts w:cs="Arial"/>
                <w:sz w:val="18"/>
              </w:rPr>
            </w:pPr>
            <w:r w:rsidRPr="00FA4B2D">
              <w:rPr>
                <w:rFonts w:cs="Arial"/>
                <w:sz w:val="18"/>
              </w:rPr>
              <w:t>Norma suprema que rige en Honduras. Es el hacer político y legal para la organización del gobierno de Honduras, los ciudadanos y todas las personas que viven o visitan el país.</w:t>
            </w:r>
          </w:p>
        </w:tc>
      </w:tr>
      <w:tr w:rsidR="006A3DBC" w:rsidRPr="00FA4B2D" w14:paraId="10E5F7A1" w14:textId="77777777" w:rsidTr="00D536D0">
        <w:trPr>
          <w:trHeight w:val="1189"/>
        </w:trPr>
        <w:tc>
          <w:tcPr>
            <w:tcW w:w="3595" w:type="dxa"/>
            <w:vAlign w:val="center"/>
          </w:tcPr>
          <w:p w14:paraId="17DB85A8" w14:textId="77777777" w:rsidR="006A3DBC" w:rsidRPr="00FA4B2D" w:rsidRDefault="006A3DBC" w:rsidP="008D5DD5">
            <w:pPr>
              <w:jc w:val="both"/>
              <w:rPr>
                <w:rFonts w:cs="Arial"/>
                <w:sz w:val="18"/>
                <w:lang w:val="es-HN"/>
              </w:rPr>
            </w:pPr>
            <w:r w:rsidRPr="00FA4B2D">
              <w:rPr>
                <w:rFonts w:cs="Arial"/>
                <w:sz w:val="18"/>
                <w:lang w:val="es-HN"/>
              </w:rPr>
              <w:t>Ley General del Ambiente (Decreto. No.</w:t>
            </w:r>
            <w:r w:rsidRPr="00FA4B2D">
              <w:rPr>
                <w:rFonts w:cs="Arial"/>
                <w:spacing w:val="-7"/>
                <w:sz w:val="18"/>
                <w:lang w:val="es-HN"/>
              </w:rPr>
              <w:t xml:space="preserve"> </w:t>
            </w:r>
            <w:r w:rsidRPr="00FA4B2D">
              <w:rPr>
                <w:rFonts w:cs="Arial"/>
                <w:sz w:val="18"/>
                <w:lang w:val="es-HN"/>
              </w:rPr>
              <w:t>104-93; 30 de junio de</w:t>
            </w:r>
            <w:r w:rsidRPr="00FA4B2D">
              <w:rPr>
                <w:rFonts w:cs="Arial"/>
                <w:spacing w:val="-9"/>
                <w:sz w:val="18"/>
                <w:lang w:val="es-HN"/>
              </w:rPr>
              <w:t xml:space="preserve"> </w:t>
            </w:r>
            <w:r w:rsidRPr="00FA4B2D">
              <w:rPr>
                <w:rFonts w:cs="Arial"/>
                <w:sz w:val="18"/>
                <w:lang w:val="es-HN"/>
              </w:rPr>
              <w:t>1993</w:t>
            </w:r>
            <w:r w:rsidRPr="00FA4B2D">
              <w:rPr>
                <w:rFonts w:cs="Arial"/>
                <w:sz w:val="18"/>
                <w:lang w:val="es-ES"/>
              </w:rPr>
              <w:t xml:space="preserve"> y sus Reformas.</w:t>
            </w:r>
            <w:r w:rsidRPr="00FA4B2D">
              <w:rPr>
                <w:rFonts w:cs="Arial"/>
                <w:sz w:val="18"/>
                <w:lang w:val="es-HN"/>
              </w:rPr>
              <w:t xml:space="preserve"> Decreto No. 181-2007; del 16 de julio de 2010).</w:t>
            </w:r>
          </w:p>
        </w:tc>
        <w:tc>
          <w:tcPr>
            <w:tcW w:w="5391" w:type="dxa"/>
            <w:vAlign w:val="center"/>
          </w:tcPr>
          <w:p w14:paraId="3010D5C7" w14:textId="0E2E470F" w:rsidR="006A3DBC" w:rsidRPr="00FA4B2D" w:rsidRDefault="006A3DBC" w:rsidP="008D5DD5">
            <w:pPr>
              <w:jc w:val="both"/>
              <w:rPr>
                <w:rFonts w:cs="Arial"/>
                <w:sz w:val="18"/>
              </w:rPr>
            </w:pPr>
            <w:r w:rsidRPr="00FA4B2D">
              <w:rPr>
                <w:rFonts w:cs="Arial"/>
                <w:sz w:val="18"/>
              </w:rPr>
              <w:t>Establece la obligación de que todos los proyectos, obras o actividades susceptibles de contaminar o degradar el ambiente se sometan a una Evaluación de Impacto Ambiental (EIA) para evitar daños significativos, reversibles e irreversibles al ambiente.</w:t>
            </w:r>
          </w:p>
        </w:tc>
      </w:tr>
      <w:tr w:rsidR="006A3DBC" w:rsidRPr="00FA4B2D" w14:paraId="1D662313" w14:textId="77777777" w:rsidTr="00D536D0">
        <w:tc>
          <w:tcPr>
            <w:tcW w:w="3595" w:type="dxa"/>
            <w:vAlign w:val="center"/>
          </w:tcPr>
          <w:p w14:paraId="6159A823" w14:textId="77777777" w:rsidR="006A3DBC" w:rsidRPr="00FA4B2D" w:rsidRDefault="006A3DBC" w:rsidP="008D5DD5">
            <w:pPr>
              <w:jc w:val="both"/>
              <w:rPr>
                <w:rFonts w:cs="Arial"/>
                <w:sz w:val="18"/>
                <w:lang w:val="es-HN"/>
              </w:rPr>
            </w:pPr>
            <w:r w:rsidRPr="00FA4B2D">
              <w:rPr>
                <w:rFonts w:cs="Arial"/>
                <w:sz w:val="18"/>
                <w:lang w:val="es-HN"/>
              </w:rPr>
              <w:t>Reglamento de la Ley General del</w:t>
            </w:r>
            <w:r w:rsidRPr="00FA4B2D">
              <w:rPr>
                <w:rFonts w:cs="Arial"/>
                <w:spacing w:val="-9"/>
                <w:sz w:val="18"/>
                <w:lang w:val="es-HN"/>
              </w:rPr>
              <w:t xml:space="preserve"> </w:t>
            </w:r>
            <w:r w:rsidRPr="00FA4B2D">
              <w:rPr>
                <w:rFonts w:cs="Arial"/>
                <w:sz w:val="18"/>
                <w:lang w:val="es-HN"/>
              </w:rPr>
              <w:t>Ambiente (Acuerdo No.</w:t>
            </w:r>
            <w:r w:rsidRPr="00FA4B2D">
              <w:rPr>
                <w:rFonts w:cs="Arial"/>
                <w:spacing w:val="5"/>
                <w:sz w:val="18"/>
                <w:lang w:val="es-HN"/>
              </w:rPr>
              <w:t xml:space="preserve"> </w:t>
            </w:r>
            <w:r w:rsidRPr="00FA4B2D">
              <w:rPr>
                <w:rFonts w:cs="Arial"/>
                <w:sz w:val="18"/>
                <w:lang w:val="es-HN"/>
              </w:rPr>
              <w:t>189-2009; del 31 de diciembre de</w:t>
            </w:r>
            <w:r w:rsidRPr="00FA4B2D">
              <w:rPr>
                <w:rFonts w:cs="Arial"/>
                <w:spacing w:val="-6"/>
                <w:sz w:val="18"/>
                <w:lang w:val="es-HN"/>
              </w:rPr>
              <w:t xml:space="preserve"> </w:t>
            </w:r>
            <w:r w:rsidRPr="00FA4B2D">
              <w:rPr>
                <w:rFonts w:cs="Arial"/>
                <w:sz w:val="18"/>
                <w:lang w:val="es-HN"/>
              </w:rPr>
              <w:t>2009).</w:t>
            </w:r>
          </w:p>
        </w:tc>
        <w:tc>
          <w:tcPr>
            <w:tcW w:w="5391" w:type="dxa"/>
            <w:vAlign w:val="center"/>
          </w:tcPr>
          <w:p w14:paraId="47943FF3" w14:textId="487C727B" w:rsidR="006A3DBC" w:rsidRPr="00FA4B2D" w:rsidRDefault="000449A1" w:rsidP="008D5DD5">
            <w:pPr>
              <w:jc w:val="both"/>
              <w:rPr>
                <w:rFonts w:cs="Arial"/>
                <w:sz w:val="18"/>
                <w:lang w:val="es-HN"/>
              </w:rPr>
            </w:pPr>
            <w:r w:rsidRPr="00FA4B2D">
              <w:rPr>
                <w:rFonts w:cs="Arial"/>
                <w:sz w:val="18"/>
                <w:szCs w:val="18"/>
              </w:rPr>
              <w:t xml:space="preserve">Todas las actividades del Proyecto, susceptibles de contaminar o degradar el ambiente, serán objeto de una evaluación de sus riesgos e impactos ambientales y sociales. </w:t>
            </w:r>
          </w:p>
        </w:tc>
      </w:tr>
      <w:tr w:rsidR="006A3DBC" w:rsidRPr="00FA4B2D" w14:paraId="174CC223" w14:textId="77777777" w:rsidTr="00D536D0">
        <w:trPr>
          <w:trHeight w:val="344"/>
        </w:trPr>
        <w:tc>
          <w:tcPr>
            <w:tcW w:w="3595" w:type="dxa"/>
            <w:vAlign w:val="center"/>
          </w:tcPr>
          <w:p w14:paraId="58721355" w14:textId="1B3895E0" w:rsidR="006A3DBC" w:rsidRPr="00FA4B2D" w:rsidRDefault="006A3DBC" w:rsidP="008D5DD5">
            <w:pPr>
              <w:jc w:val="both"/>
              <w:rPr>
                <w:rFonts w:cs="Arial"/>
                <w:sz w:val="18"/>
                <w:lang w:val="es-HN"/>
              </w:rPr>
            </w:pPr>
            <w:r w:rsidRPr="00FA4B2D">
              <w:rPr>
                <w:rFonts w:cs="Arial"/>
                <w:sz w:val="18"/>
                <w:lang w:val="es-HN"/>
              </w:rPr>
              <w:t>Reglamento del Sistema Nacional de Evaluación de</w:t>
            </w:r>
            <w:r w:rsidRPr="00FA4B2D">
              <w:rPr>
                <w:rFonts w:cs="Arial"/>
                <w:spacing w:val="-9"/>
                <w:sz w:val="18"/>
                <w:lang w:val="es-HN"/>
              </w:rPr>
              <w:t xml:space="preserve"> </w:t>
            </w:r>
            <w:r w:rsidRPr="00FA4B2D">
              <w:rPr>
                <w:rFonts w:cs="Arial"/>
                <w:sz w:val="18"/>
                <w:lang w:val="es-HN"/>
              </w:rPr>
              <w:t>Impacto ambiental</w:t>
            </w:r>
            <w:r w:rsidR="00E24BB7" w:rsidRPr="00FA4B2D">
              <w:rPr>
                <w:rFonts w:cs="Arial"/>
                <w:sz w:val="18"/>
                <w:lang w:val="es-HN"/>
              </w:rPr>
              <w:t xml:space="preserve"> (</w:t>
            </w:r>
            <w:r w:rsidRPr="00FA4B2D">
              <w:rPr>
                <w:rFonts w:cs="Arial"/>
                <w:sz w:val="18"/>
                <w:lang w:val="es-HN"/>
              </w:rPr>
              <w:t>Acuerdo Ejecutivo No. 008-2015 del 14 de septiembre de</w:t>
            </w:r>
            <w:r w:rsidRPr="00FA4B2D">
              <w:rPr>
                <w:rFonts w:cs="Arial"/>
                <w:spacing w:val="-6"/>
                <w:sz w:val="18"/>
                <w:lang w:val="es-HN"/>
              </w:rPr>
              <w:t xml:space="preserve"> </w:t>
            </w:r>
            <w:r w:rsidRPr="00FA4B2D">
              <w:rPr>
                <w:rFonts w:cs="Arial"/>
                <w:sz w:val="18"/>
                <w:lang w:val="es-HN"/>
              </w:rPr>
              <w:t xml:space="preserve">2015) y sus </w:t>
            </w:r>
            <w:r w:rsidR="00D32C13" w:rsidRPr="00FA4B2D">
              <w:rPr>
                <w:rFonts w:cs="Arial"/>
                <w:sz w:val="18"/>
                <w:lang w:val="es-HN"/>
              </w:rPr>
              <w:t>r</w:t>
            </w:r>
            <w:r w:rsidRPr="00FA4B2D">
              <w:rPr>
                <w:rFonts w:cs="Arial"/>
                <w:sz w:val="18"/>
                <w:lang w:val="es-HN"/>
              </w:rPr>
              <w:t>eformas (Acuerdo Ejecutivo No. 005-2019; del 21 de agosto de 2019).</w:t>
            </w:r>
          </w:p>
        </w:tc>
        <w:tc>
          <w:tcPr>
            <w:tcW w:w="5391" w:type="dxa"/>
            <w:vAlign w:val="center"/>
          </w:tcPr>
          <w:p w14:paraId="2B5C8450" w14:textId="5E127549" w:rsidR="006A3DBC" w:rsidRPr="00FA4B2D" w:rsidRDefault="00906111" w:rsidP="008D5DD5">
            <w:pPr>
              <w:jc w:val="both"/>
              <w:rPr>
                <w:rFonts w:cs="Arial"/>
                <w:sz w:val="18"/>
                <w:lang w:val="es-HN"/>
              </w:rPr>
            </w:pPr>
            <w:r w:rsidRPr="00FA4B2D">
              <w:rPr>
                <w:rFonts w:cs="Arial"/>
                <w:sz w:val="18"/>
                <w:szCs w:val="18"/>
                <w:shd w:val="clear" w:color="auto" w:fill="FFFFFF"/>
              </w:rPr>
              <w:t xml:space="preserve">El </w:t>
            </w:r>
            <w:r w:rsidR="008270E2" w:rsidRPr="00FA4B2D">
              <w:rPr>
                <w:rFonts w:cs="Arial"/>
                <w:sz w:val="18"/>
                <w:szCs w:val="18"/>
                <w:shd w:val="clear" w:color="auto" w:fill="FFFFFF"/>
              </w:rPr>
              <w:t>Sistema Nacional de Evaluación de Impacto Ambiental (</w:t>
            </w:r>
            <w:r w:rsidRPr="00FA4B2D">
              <w:rPr>
                <w:rFonts w:cs="Arial"/>
                <w:sz w:val="18"/>
                <w:szCs w:val="18"/>
                <w:shd w:val="clear" w:color="auto" w:fill="FFFFFF"/>
              </w:rPr>
              <w:t>SINEIA</w:t>
            </w:r>
            <w:r w:rsidR="008270E2" w:rsidRPr="00FA4B2D">
              <w:rPr>
                <w:rFonts w:cs="Arial"/>
                <w:sz w:val="18"/>
                <w:szCs w:val="18"/>
                <w:shd w:val="clear" w:color="auto" w:fill="FFFFFF"/>
              </w:rPr>
              <w:t>)</w:t>
            </w:r>
            <w:r w:rsidRPr="00FA4B2D">
              <w:rPr>
                <w:rFonts w:cs="Arial"/>
                <w:sz w:val="18"/>
                <w:szCs w:val="18"/>
                <w:shd w:val="clear" w:color="auto" w:fill="FFFFFF"/>
              </w:rPr>
              <w:t>, establece los nexos entre La SERNA y las entidades de los sectores público, privado nacionales e internacionales; b) asegurar que los planes, políticas, programas y proyectos, instalaciones industriales o cualquier otra actividad pública o privada susceptibles de contaminar o degradar el ambiente, sean sometidos a una evaluación de impacto ambiental a fin de evitar daños significativos, reversibles e irreversibles al ambiente; c) identificar y desarrollar los procedimientos identificar y desarrollar los procedimientos y mecanismos por los cuales el SINEIA y las otras Leyes Sectoriales y Reglamentos en materia ambiental se complementan; y d) promover, gestionar y coordinar los procesos para la incorporación del público, organizaciones no gubernamentales, entidades bancarias y empresa privada e instituciones gubernamentales, centrales y locales al SINEIA.</w:t>
            </w:r>
          </w:p>
        </w:tc>
      </w:tr>
      <w:tr w:rsidR="006A3DBC" w:rsidRPr="00FA4B2D" w14:paraId="7C86781D" w14:textId="77777777" w:rsidTr="00D536D0">
        <w:tc>
          <w:tcPr>
            <w:tcW w:w="3595" w:type="dxa"/>
            <w:vAlign w:val="center"/>
          </w:tcPr>
          <w:p w14:paraId="52170209" w14:textId="5188C07A" w:rsidR="006A3DBC" w:rsidRPr="00FA4B2D" w:rsidRDefault="006A3DBC" w:rsidP="008D5DD5">
            <w:pPr>
              <w:jc w:val="both"/>
              <w:rPr>
                <w:rFonts w:cs="Arial"/>
                <w:sz w:val="18"/>
                <w:lang w:val="es-HN"/>
              </w:rPr>
            </w:pPr>
            <w:r w:rsidRPr="00FA4B2D">
              <w:rPr>
                <w:rFonts w:cs="Arial"/>
                <w:sz w:val="18"/>
                <w:lang w:val="es-US"/>
              </w:rPr>
              <w:t>Tabla de Categorización Ambiental</w:t>
            </w:r>
            <w:r w:rsidR="00D32C13" w:rsidRPr="00FA4B2D">
              <w:rPr>
                <w:rFonts w:cs="Arial"/>
                <w:sz w:val="18"/>
                <w:lang w:val="es-US"/>
              </w:rPr>
              <w:t xml:space="preserve"> </w:t>
            </w:r>
            <w:r w:rsidRPr="00FA4B2D">
              <w:rPr>
                <w:rFonts w:cs="Arial"/>
                <w:sz w:val="18"/>
                <w:lang w:val="es-HN"/>
              </w:rPr>
              <w:t xml:space="preserve">(Acuerdo Ministerial No. </w:t>
            </w:r>
            <w:r w:rsidRPr="00FA4B2D">
              <w:rPr>
                <w:rFonts w:cs="Arial"/>
                <w:sz w:val="18"/>
                <w:szCs w:val="18"/>
                <w:lang w:val="es-HN"/>
              </w:rPr>
              <w:t>705-2021</w:t>
            </w:r>
            <w:r w:rsidRPr="00FA4B2D">
              <w:rPr>
                <w:rFonts w:cs="Arial"/>
                <w:sz w:val="18"/>
                <w:lang w:val="es-HN"/>
              </w:rPr>
              <w:t xml:space="preserve"> del </w:t>
            </w:r>
            <w:r w:rsidRPr="00FA4B2D">
              <w:rPr>
                <w:rFonts w:cs="Arial"/>
                <w:sz w:val="18"/>
                <w:szCs w:val="18"/>
                <w:lang w:val="es-HN"/>
              </w:rPr>
              <w:t>10</w:t>
            </w:r>
            <w:r w:rsidRPr="00FA4B2D">
              <w:rPr>
                <w:rFonts w:cs="Arial"/>
                <w:sz w:val="18"/>
                <w:lang w:val="es-HN"/>
              </w:rPr>
              <w:t xml:space="preserve"> de </w:t>
            </w:r>
            <w:r w:rsidRPr="00FA4B2D">
              <w:rPr>
                <w:rFonts w:cs="Arial"/>
                <w:sz w:val="18"/>
                <w:szCs w:val="18"/>
                <w:lang w:val="es-HN"/>
              </w:rPr>
              <w:t>mayo de 2021).</w:t>
            </w:r>
          </w:p>
        </w:tc>
        <w:tc>
          <w:tcPr>
            <w:tcW w:w="5391" w:type="dxa"/>
            <w:vAlign w:val="center"/>
          </w:tcPr>
          <w:p w14:paraId="57B60263" w14:textId="77777777" w:rsidR="006A3DBC" w:rsidRPr="00FA4B2D" w:rsidRDefault="006A3DBC" w:rsidP="008D5DD5">
            <w:pPr>
              <w:jc w:val="both"/>
              <w:rPr>
                <w:rFonts w:cs="Arial"/>
                <w:sz w:val="18"/>
                <w:lang w:val="es-HN"/>
              </w:rPr>
            </w:pPr>
            <w:r w:rsidRPr="00FA4B2D">
              <w:rPr>
                <w:rFonts w:cs="Arial"/>
                <w:sz w:val="18"/>
                <w:lang w:val="es-HN"/>
              </w:rPr>
              <w:t>Las actividades, obras o proyectos se ordenan, en cuatro (4) diferentes Categorías (1, 2, 3, y 4) tomando en cuenta los factores o condiciones que resultan pertinentes en función de sus dimensiones, características conocidas de actividades en operación, naturaleza de las acciones que desarrolla, sus impactos ambientales potenciales o su riesgo ambiental.</w:t>
            </w:r>
          </w:p>
        </w:tc>
      </w:tr>
      <w:tr w:rsidR="006A3DBC" w:rsidRPr="00FA4B2D" w14:paraId="2FA9AB3F" w14:textId="77777777" w:rsidTr="00D536D0">
        <w:tc>
          <w:tcPr>
            <w:tcW w:w="3595" w:type="dxa"/>
            <w:vAlign w:val="center"/>
          </w:tcPr>
          <w:p w14:paraId="4DBADCCE" w14:textId="77777777" w:rsidR="006A3DBC" w:rsidRPr="00FA4B2D" w:rsidRDefault="006A3DBC" w:rsidP="008D5DD5">
            <w:pPr>
              <w:jc w:val="both"/>
              <w:rPr>
                <w:rFonts w:cs="Arial"/>
                <w:sz w:val="18"/>
                <w:lang w:val="es-HN"/>
              </w:rPr>
            </w:pPr>
            <w:r w:rsidRPr="00FA4B2D">
              <w:rPr>
                <w:rFonts w:cs="Arial"/>
                <w:sz w:val="18"/>
                <w:lang w:val="es-HN"/>
              </w:rPr>
              <w:t>Reglamento de Registro Nacional de Prestadores de Servicios Ambientales (Acuerdo Ministerial No.</w:t>
            </w:r>
            <w:r w:rsidRPr="00FA4B2D">
              <w:rPr>
                <w:rFonts w:cs="Arial"/>
                <w:sz w:val="18"/>
                <w:szCs w:val="18"/>
                <w:lang w:val="es-HN"/>
              </w:rPr>
              <w:t xml:space="preserve"> </w:t>
            </w:r>
            <w:r w:rsidRPr="00FA4B2D">
              <w:rPr>
                <w:rFonts w:cs="Arial"/>
                <w:sz w:val="18"/>
                <w:lang w:val="es-HN"/>
              </w:rPr>
              <w:t>0944-2015; del 30 de enero del año 2018).</w:t>
            </w:r>
          </w:p>
        </w:tc>
        <w:tc>
          <w:tcPr>
            <w:tcW w:w="5391" w:type="dxa"/>
            <w:vAlign w:val="center"/>
          </w:tcPr>
          <w:p w14:paraId="14B5B6D0" w14:textId="77777777" w:rsidR="006A3DBC" w:rsidRPr="00FA4B2D" w:rsidRDefault="006A3DBC" w:rsidP="008D5DD5">
            <w:pPr>
              <w:autoSpaceDE w:val="0"/>
              <w:autoSpaceDN w:val="0"/>
              <w:adjustRightInd w:val="0"/>
              <w:ind w:left="28"/>
              <w:jc w:val="both"/>
              <w:rPr>
                <w:rFonts w:cs="Arial"/>
                <w:sz w:val="18"/>
              </w:rPr>
            </w:pPr>
            <w:r w:rsidRPr="00FA4B2D">
              <w:rPr>
                <w:rFonts w:cs="Arial"/>
                <w:sz w:val="18"/>
              </w:rPr>
              <w:t>Establece los mecanismos para regular las actividades de los Prestadores de Servicios Ambientales (PSA) y asegurar la calidad de los estudios y documentos elaborados como parte del proceso de evaluación y control ambiental.</w:t>
            </w:r>
          </w:p>
          <w:p w14:paraId="1A32F33A" w14:textId="77777777" w:rsidR="006A3DBC" w:rsidRPr="00FA4B2D" w:rsidRDefault="006A3DBC" w:rsidP="008D5DD5">
            <w:pPr>
              <w:autoSpaceDE w:val="0"/>
              <w:autoSpaceDN w:val="0"/>
              <w:adjustRightInd w:val="0"/>
              <w:ind w:left="28"/>
              <w:jc w:val="both"/>
              <w:rPr>
                <w:rFonts w:cs="Arial"/>
                <w:sz w:val="18"/>
              </w:rPr>
            </w:pPr>
            <w:r w:rsidRPr="00FA4B2D">
              <w:rPr>
                <w:rFonts w:cs="Arial"/>
                <w:sz w:val="18"/>
              </w:rPr>
              <w:t>Todos los estudios y documentos elaborados como parte de los procesos de EIA, auditoría y control ambiental, requeridos por SERNA, serán elaborados por profesionales debidamente inscritos en el registro de PSA que administra la Dirección de Evaluación y Control Ambiental (DECA) en SERNA.</w:t>
            </w:r>
          </w:p>
        </w:tc>
      </w:tr>
      <w:tr w:rsidR="00721040" w:rsidRPr="00FA4B2D" w14:paraId="22E6A822" w14:textId="77777777" w:rsidTr="00D536D0">
        <w:tc>
          <w:tcPr>
            <w:tcW w:w="3595" w:type="dxa"/>
            <w:vAlign w:val="center"/>
          </w:tcPr>
          <w:p w14:paraId="790EF249" w14:textId="2E825513" w:rsidR="00721040" w:rsidRPr="00FA4B2D" w:rsidRDefault="00721040" w:rsidP="008D5DD5">
            <w:pPr>
              <w:jc w:val="both"/>
              <w:rPr>
                <w:rFonts w:cs="Arial"/>
                <w:sz w:val="18"/>
                <w:lang w:val="es-HN"/>
              </w:rPr>
            </w:pPr>
            <w:r w:rsidRPr="00FA4B2D">
              <w:rPr>
                <w:rFonts w:cs="Arial"/>
                <w:sz w:val="18"/>
                <w:lang w:val="es-ES"/>
              </w:rPr>
              <w:t>Código de Salud y sus reformas (Decreto No. 65-1991 del 06 de agosto de 1991; Decreto No. 191-1996 y 194-1996).</w:t>
            </w:r>
          </w:p>
        </w:tc>
        <w:tc>
          <w:tcPr>
            <w:tcW w:w="5391" w:type="dxa"/>
            <w:vAlign w:val="center"/>
          </w:tcPr>
          <w:p w14:paraId="4D71D434" w14:textId="21B3931A" w:rsidR="00721040" w:rsidRPr="00FA4B2D" w:rsidRDefault="00721040" w:rsidP="008D5DD5">
            <w:pPr>
              <w:autoSpaceDE w:val="0"/>
              <w:autoSpaceDN w:val="0"/>
              <w:adjustRightInd w:val="0"/>
              <w:jc w:val="both"/>
              <w:rPr>
                <w:rFonts w:cs="Arial"/>
                <w:sz w:val="18"/>
              </w:rPr>
            </w:pPr>
            <w:r w:rsidRPr="00FA4B2D">
              <w:rPr>
                <w:rFonts w:cs="Arial"/>
                <w:sz w:val="18"/>
                <w:lang w:val="es-ES"/>
              </w:rPr>
              <w:t xml:space="preserve">Establece que toda persona tiene derecho a la asistencia, rehabilitación y prestaciones necesarias para la conservación, promoción y recuperación de su salud personal y familiar; y el deber correlativo de contribuir a la salud de la comunidad. </w:t>
            </w:r>
          </w:p>
        </w:tc>
      </w:tr>
      <w:tr w:rsidR="00721040" w:rsidRPr="00FA4B2D" w14:paraId="78CF824D" w14:textId="77777777" w:rsidTr="00D536D0">
        <w:tc>
          <w:tcPr>
            <w:tcW w:w="3595" w:type="dxa"/>
            <w:vAlign w:val="center"/>
          </w:tcPr>
          <w:p w14:paraId="2E8B0258" w14:textId="63A20AE6" w:rsidR="00721040" w:rsidRPr="00FA4B2D" w:rsidRDefault="00721040" w:rsidP="008D5DD5">
            <w:pPr>
              <w:jc w:val="both"/>
              <w:rPr>
                <w:rFonts w:cs="Arial"/>
                <w:sz w:val="18"/>
                <w:lang w:val="es-HN"/>
              </w:rPr>
            </w:pPr>
            <w:r w:rsidRPr="00FA4B2D">
              <w:rPr>
                <w:rFonts w:cs="Arial"/>
                <w:sz w:val="18"/>
                <w:lang w:val="es-HN"/>
              </w:rPr>
              <w:t>Reglamento de Salud Ambiental (Acuerdo No. 0094, junio,</w:t>
            </w:r>
            <w:r w:rsidRPr="00FA4B2D">
              <w:rPr>
                <w:rFonts w:cs="Arial"/>
                <w:spacing w:val="-6"/>
                <w:sz w:val="18"/>
                <w:lang w:val="es-HN"/>
              </w:rPr>
              <w:t xml:space="preserve"> </w:t>
            </w:r>
            <w:r w:rsidRPr="00FA4B2D">
              <w:rPr>
                <w:rFonts w:cs="Arial"/>
                <w:sz w:val="18"/>
                <w:lang w:val="es-HN"/>
              </w:rPr>
              <w:t>1997).</w:t>
            </w:r>
          </w:p>
        </w:tc>
        <w:tc>
          <w:tcPr>
            <w:tcW w:w="5391" w:type="dxa"/>
            <w:vAlign w:val="center"/>
          </w:tcPr>
          <w:p w14:paraId="25E5B7F9" w14:textId="6CB04FD3" w:rsidR="00721040" w:rsidRPr="00FA4B2D" w:rsidRDefault="00721040" w:rsidP="008D5DD5">
            <w:pPr>
              <w:autoSpaceDE w:val="0"/>
              <w:autoSpaceDN w:val="0"/>
              <w:adjustRightInd w:val="0"/>
              <w:ind w:left="28"/>
              <w:jc w:val="both"/>
              <w:rPr>
                <w:rFonts w:cs="Arial"/>
                <w:sz w:val="18"/>
              </w:rPr>
            </w:pPr>
            <w:r w:rsidRPr="00FA4B2D">
              <w:rPr>
                <w:rFonts w:cs="Arial"/>
                <w:sz w:val="18"/>
                <w:lang w:val="es-ES"/>
              </w:rPr>
              <w:t>Se fomentará la protección, recuperación y rehabilitación de la salud de las personas en las áreas de trabajo en las actividades del Proyecto, de conformidad con las disposiciones aplicables de este reglamento.</w:t>
            </w:r>
          </w:p>
        </w:tc>
      </w:tr>
      <w:tr w:rsidR="006A3DBC" w:rsidRPr="00FA4B2D" w14:paraId="11E74243" w14:textId="77777777" w:rsidTr="00D536D0">
        <w:tc>
          <w:tcPr>
            <w:tcW w:w="3595" w:type="dxa"/>
            <w:vAlign w:val="center"/>
          </w:tcPr>
          <w:p w14:paraId="4963273C" w14:textId="70DAA098" w:rsidR="006A3DBC" w:rsidRPr="00FA4B2D" w:rsidRDefault="006A3DBC" w:rsidP="008D5DD5">
            <w:pPr>
              <w:jc w:val="both"/>
              <w:rPr>
                <w:rFonts w:cs="Arial"/>
                <w:sz w:val="18"/>
                <w:lang w:val="es-HN"/>
              </w:rPr>
            </w:pPr>
            <w:r w:rsidRPr="00FA4B2D">
              <w:rPr>
                <w:rFonts w:cs="Arial"/>
                <w:sz w:val="18"/>
                <w:lang w:val="es-HN"/>
              </w:rPr>
              <w:lastRenderedPageBreak/>
              <w:t>Reglamento para el Control</w:t>
            </w:r>
            <w:r w:rsidRPr="00FA4B2D">
              <w:rPr>
                <w:rFonts w:cs="Arial"/>
                <w:spacing w:val="-9"/>
                <w:sz w:val="18"/>
                <w:lang w:val="es-HN"/>
              </w:rPr>
              <w:t xml:space="preserve"> </w:t>
            </w:r>
            <w:r w:rsidRPr="00FA4B2D">
              <w:rPr>
                <w:rFonts w:cs="Arial"/>
                <w:sz w:val="18"/>
                <w:lang w:val="es-HN"/>
              </w:rPr>
              <w:t xml:space="preserve">Sanitario de Productos y Servicios de </w:t>
            </w:r>
            <w:r w:rsidR="00D32C13" w:rsidRPr="00FA4B2D">
              <w:rPr>
                <w:rFonts w:cs="Arial"/>
                <w:sz w:val="18"/>
                <w:lang w:val="es-HN"/>
              </w:rPr>
              <w:t>E</w:t>
            </w:r>
            <w:r w:rsidRPr="00FA4B2D">
              <w:rPr>
                <w:rFonts w:cs="Arial"/>
                <w:sz w:val="18"/>
                <w:lang w:val="es-HN"/>
              </w:rPr>
              <w:t>stablecimientos de Interés</w:t>
            </w:r>
            <w:r w:rsidRPr="00FA4B2D">
              <w:rPr>
                <w:rFonts w:cs="Arial"/>
                <w:spacing w:val="-10"/>
                <w:sz w:val="18"/>
                <w:lang w:val="es-HN"/>
              </w:rPr>
              <w:t xml:space="preserve"> </w:t>
            </w:r>
            <w:r w:rsidRPr="00FA4B2D">
              <w:rPr>
                <w:rFonts w:cs="Arial"/>
                <w:sz w:val="18"/>
                <w:lang w:val="es-HN"/>
              </w:rPr>
              <w:t>Sanitario (Acuerdo No.</w:t>
            </w:r>
            <w:r w:rsidRPr="00FA4B2D">
              <w:rPr>
                <w:rFonts w:cs="Arial"/>
                <w:spacing w:val="-17"/>
                <w:sz w:val="18"/>
                <w:lang w:val="es-HN"/>
              </w:rPr>
              <w:t xml:space="preserve"> </w:t>
            </w:r>
            <w:r w:rsidRPr="00FA4B2D">
              <w:rPr>
                <w:rFonts w:cs="Arial"/>
                <w:sz w:val="18"/>
                <w:lang w:val="es-HN"/>
              </w:rPr>
              <w:t>06, del 21 de septiembre de 2005).</w:t>
            </w:r>
          </w:p>
        </w:tc>
        <w:tc>
          <w:tcPr>
            <w:tcW w:w="5391" w:type="dxa"/>
            <w:vAlign w:val="center"/>
          </w:tcPr>
          <w:p w14:paraId="1AD6E212" w14:textId="0E104246" w:rsidR="006A3DBC" w:rsidRPr="00FA4B2D" w:rsidRDefault="006A3DBC" w:rsidP="008D5DD5">
            <w:pPr>
              <w:jc w:val="both"/>
              <w:rPr>
                <w:rFonts w:cs="Arial"/>
                <w:sz w:val="18"/>
                <w:lang w:val="es-HN"/>
              </w:rPr>
            </w:pPr>
            <w:r w:rsidRPr="00FA4B2D">
              <w:rPr>
                <w:rFonts w:cs="Arial"/>
                <w:sz w:val="18"/>
                <w:lang w:val="es-HN"/>
              </w:rPr>
              <w:t xml:space="preserve">Tiene la finalidad de desarrollar y vigilar el cumplimiento para la promoción y protección de la salud en lo referente a los alimentos y bebidas.  </w:t>
            </w:r>
          </w:p>
          <w:p w14:paraId="40AB97B1" w14:textId="77777777" w:rsidR="006A3DBC" w:rsidRPr="00FA4B2D" w:rsidRDefault="006A3DBC" w:rsidP="008D5DD5">
            <w:pPr>
              <w:jc w:val="both"/>
              <w:rPr>
                <w:rFonts w:cs="Arial"/>
                <w:sz w:val="18"/>
                <w:lang w:val="es-HN"/>
              </w:rPr>
            </w:pPr>
            <w:r w:rsidRPr="00FA4B2D">
              <w:rPr>
                <w:rFonts w:cs="Arial"/>
                <w:sz w:val="18"/>
                <w:lang w:val="es-HN"/>
              </w:rPr>
              <w:t>Todas las actividades que involucren productos, servicios y establecimientos de interés sanitario, a criterio de la ARSA, deberán obtener la Licencia Sanitaria.</w:t>
            </w:r>
          </w:p>
        </w:tc>
      </w:tr>
      <w:tr w:rsidR="00CB7ADA" w:rsidRPr="00FA4B2D" w14:paraId="61E21D2D" w14:textId="77777777" w:rsidTr="008A114D">
        <w:trPr>
          <w:trHeight w:val="2267"/>
        </w:trPr>
        <w:tc>
          <w:tcPr>
            <w:tcW w:w="3595" w:type="dxa"/>
            <w:vAlign w:val="center"/>
          </w:tcPr>
          <w:p w14:paraId="5B08DBC0" w14:textId="47A97DC0" w:rsidR="00CB7ADA" w:rsidRPr="00FA4B2D" w:rsidRDefault="00CB7ADA" w:rsidP="008D5DD5">
            <w:pPr>
              <w:jc w:val="both"/>
              <w:rPr>
                <w:rFonts w:cs="Arial"/>
                <w:sz w:val="18"/>
                <w:lang w:val="es-HN"/>
              </w:rPr>
            </w:pPr>
            <w:r w:rsidRPr="00FA4B2D">
              <w:rPr>
                <w:rFonts w:cs="Arial"/>
                <w:sz w:val="18"/>
                <w:lang w:val="es-HN"/>
              </w:rPr>
              <w:t>Ley De Ordenamiento Territorial (Decreto No.180- 2003,30; diciembre del</w:t>
            </w:r>
            <w:r w:rsidRPr="00FA4B2D">
              <w:rPr>
                <w:rFonts w:cs="Arial"/>
                <w:spacing w:val="-10"/>
                <w:sz w:val="18"/>
                <w:lang w:val="es-HN"/>
              </w:rPr>
              <w:t xml:space="preserve"> </w:t>
            </w:r>
            <w:r w:rsidRPr="00FA4B2D">
              <w:rPr>
                <w:rFonts w:cs="Arial"/>
                <w:sz w:val="18"/>
                <w:lang w:val="es-HN"/>
              </w:rPr>
              <w:t>2003) y su Reglamento (Acuerdo No.25- 2004).</w:t>
            </w:r>
          </w:p>
        </w:tc>
        <w:tc>
          <w:tcPr>
            <w:tcW w:w="5391" w:type="dxa"/>
            <w:vAlign w:val="center"/>
          </w:tcPr>
          <w:p w14:paraId="1316FF25" w14:textId="25D07D81" w:rsidR="00CB7ADA" w:rsidRPr="00FA4B2D" w:rsidRDefault="00CB7ADA" w:rsidP="008D5DD5">
            <w:pPr>
              <w:jc w:val="both"/>
              <w:rPr>
                <w:rFonts w:cs="Arial"/>
                <w:sz w:val="18"/>
                <w:lang w:val="es-HN"/>
              </w:rPr>
            </w:pPr>
            <w:r w:rsidRPr="00FA4B2D">
              <w:rPr>
                <w:rFonts w:cs="Arial"/>
                <w:sz w:val="18"/>
                <w:lang w:val="es-HN"/>
              </w:rPr>
              <w:t>Establecen que el ordenamiento territorial se constituye en una política de Estado que, incorporando a la planificación nacional, promueve la gestión integral, estratégica y eficiente de todos los recursos de la Nación.</w:t>
            </w:r>
          </w:p>
          <w:p w14:paraId="7446F997" w14:textId="77777777" w:rsidR="00CB7ADA" w:rsidRPr="00FA4B2D" w:rsidRDefault="00CB7ADA" w:rsidP="008D5DD5">
            <w:pPr>
              <w:jc w:val="both"/>
              <w:rPr>
                <w:rFonts w:cs="Arial"/>
                <w:sz w:val="18"/>
                <w:lang w:val="es-HN"/>
              </w:rPr>
            </w:pPr>
            <w:r w:rsidRPr="00FA4B2D">
              <w:rPr>
                <w:rFonts w:cs="Arial"/>
                <w:sz w:val="18"/>
                <w:lang w:val="es-HN"/>
              </w:rPr>
              <w:t>Se fomentará el ordenamiento territorial por medio de las actividades del Proyecto, de conformidad con las disposiciones aplicables de esta Ley y su Reglamento.</w:t>
            </w:r>
          </w:p>
        </w:tc>
      </w:tr>
      <w:tr w:rsidR="006A3DBC" w:rsidRPr="00FA4B2D" w14:paraId="0ACBAEC3" w14:textId="77777777" w:rsidTr="00D536D0">
        <w:tc>
          <w:tcPr>
            <w:tcW w:w="3595" w:type="dxa"/>
            <w:vAlign w:val="center"/>
          </w:tcPr>
          <w:p w14:paraId="2E70E668" w14:textId="1CB6194F" w:rsidR="006A3DBC" w:rsidRPr="00FA4B2D" w:rsidRDefault="006A3DBC" w:rsidP="008D5DD5">
            <w:pPr>
              <w:jc w:val="both"/>
              <w:rPr>
                <w:rFonts w:cs="Arial"/>
                <w:sz w:val="18"/>
                <w:lang w:val="es-HN"/>
              </w:rPr>
            </w:pPr>
            <w:r w:rsidRPr="00FA4B2D">
              <w:rPr>
                <w:rFonts w:cs="Arial"/>
                <w:sz w:val="18"/>
                <w:lang w:val="es-HN"/>
              </w:rPr>
              <w:t>Ley del Sistema Nacional de Gestión de Riesgos</w:t>
            </w:r>
            <w:r w:rsidR="006676EE" w:rsidRPr="00FA4B2D">
              <w:rPr>
                <w:rFonts w:cs="Arial"/>
                <w:sz w:val="18"/>
                <w:lang w:val="es-HN"/>
              </w:rPr>
              <w:t xml:space="preserve"> </w:t>
            </w:r>
            <w:r w:rsidR="00272C4F" w:rsidRPr="00FA4B2D">
              <w:rPr>
                <w:rFonts w:cs="Arial"/>
                <w:sz w:val="18"/>
                <w:lang w:val="es-HN"/>
              </w:rPr>
              <w:t>(SINAGER)</w:t>
            </w:r>
            <w:r w:rsidRPr="00FA4B2D">
              <w:rPr>
                <w:rFonts w:cs="Arial"/>
                <w:sz w:val="18"/>
                <w:lang w:val="es-HN"/>
              </w:rPr>
              <w:t xml:space="preserve"> (Decreto 151-2009; del 26 de diciembre de 2009).</w:t>
            </w:r>
          </w:p>
        </w:tc>
        <w:tc>
          <w:tcPr>
            <w:tcW w:w="5391" w:type="dxa"/>
            <w:vAlign w:val="center"/>
          </w:tcPr>
          <w:p w14:paraId="3C43E7BE" w14:textId="77777777" w:rsidR="006A3DBC" w:rsidRPr="00FA4B2D" w:rsidRDefault="006A3DBC" w:rsidP="008D5DD5">
            <w:pPr>
              <w:jc w:val="both"/>
              <w:rPr>
                <w:rFonts w:cs="Arial"/>
                <w:sz w:val="18"/>
                <w:lang w:val="es-HN"/>
              </w:rPr>
            </w:pPr>
            <w:r w:rsidRPr="00FA4B2D">
              <w:rPr>
                <w:rFonts w:cs="Arial"/>
                <w:sz w:val="18"/>
                <w:lang w:val="es-HN"/>
              </w:rPr>
              <w:t>Tiene por objeto la prevención y disminuir de los riesgos potenciales desastres.</w:t>
            </w:r>
          </w:p>
          <w:p w14:paraId="141E3433" w14:textId="77777777" w:rsidR="006A3DBC" w:rsidRPr="00FA4B2D" w:rsidRDefault="006A3DBC" w:rsidP="008D5DD5">
            <w:pPr>
              <w:jc w:val="both"/>
              <w:rPr>
                <w:rFonts w:cs="Arial"/>
                <w:sz w:val="18"/>
                <w:lang w:val="es-HN"/>
              </w:rPr>
            </w:pPr>
          </w:p>
          <w:p w14:paraId="65C549A3" w14:textId="77777777" w:rsidR="006A3DBC" w:rsidRPr="00FA4B2D" w:rsidRDefault="006A3DBC" w:rsidP="008D5DD5">
            <w:pPr>
              <w:jc w:val="both"/>
              <w:rPr>
                <w:rFonts w:cs="Arial"/>
                <w:sz w:val="18"/>
                <w:szCs w:val="18"/>
                <w:lang w:val="es-HN"/>
              </w:rPr>
            </w:pPr>
            <w:r w:rsidRPr="00FA4B2D">
              <w:rPr>
                <w:rFonts w:cs="Arial"/>
                <w:sz w:val="18"/>
                <w:lang w:val="es-HN"/>
              </w:rPr>
              <w:t>Las actividades del Proyecto se orientarán a evitar nuevos riesgos en el contexto de la gestión del desarrollo sostenible.</w:t>
            </w:r>
          </w:p>
          <w:p w14:paraId="5CA6EC7F" w14:textId="77777777" w:rsidR="006A3DBC" w:rsidRPr="00FA4B2D" w:rsidRDefault="006A3DBC" w:rsidP="008D5DD5">
            <w:pPr>
              <w:jc w:val="both"/>
              <w:rPr>
                <w:rFonts w:cs="Arial"/>
                <w:sz w:val="18"/>
                <w:lang w:val="es-HN"/>
              </w:rPr>
            </w:pPr>
          </w:p>
        </w:tc>
      </w:tr>
      <w:tr w:rsidR="006A3DBC" w:rsidRPr="00FA4B2D" w14:paraId="35620195" w14:textId="77777777" w:rsidTr="000449A1">
        <w:trPr>
          <w:trHeight w:val="518"/>
        </w:trPr>
        <w:tc>
          <w:tcPr>
            <w:tcW w:w="3595" w:type="dxa"/>
            <w:vAlign w:val="center"/>
          </w:tcPr>
          <w:p w14:paraId="42FC3486" w14:textId="3969D8B6" w:rsidR="006A3DBC" w:rsidRPr="00FA4B2D" w:rsidRDefault="006A3DBC" w:rsidP="005F4A92">
            <w:pPr>
              <w:rPr>
                <w:rFonts w:cs="Arial"/>
                <w:sz w:val="18"/>
                <w:lang w:val="es-HN"/>
              </w:rPr>
            </w:pPr>
            <w:r w:rsidRPr="00FA4B2D">
              <w:rPr>
                <w:rFonts w:cs="Arial"/>
                <w:sz w:val="18"/>
                <w:lang w:val="es-HN"/>
              </w:rPr>
              <w:t>Ley General de</w:t>
            </w:r>
            <w:r w:rsidRPr="00FA4B2D">
              <w:rPr>
                <w:rFonts w:cs="Arial"/>
                <w:spacing w:val="-10"/>
                <w:sz w:val="18"/>
                <w:lang w:val="es-HN"/>
              </w:rPr>
              <w:t xml:space="preserve"> </w:t>
            </w:r>
            <w:r w:rsidRPr="00FA4B2D">
              <w:rPr>
                <w:rFonts w:cs="Arial"/>
                <w:sz w:val="18"/>
                <w:lang w:val="es-HN"/>
              </w:rPr>
              <w:t xml:space="preserve">Aguas (Decreto No. 181- 2009; del 14 de diciembre del 2009) </w:t>
            </w:r>
            <w:r w:rsidR="001F0B9D" w:rsidRPr="00FA4B2D">
              <w:rPr>
                <w:rFonts w:cs="Arial"/>
                <w:sz w:val="18"/>
                <w:lang w:val="es-HN"/>
              </w:rPr>
              <w:t>y</w:t>
            </w:r>
            <w:r w:rsidRPr="00FA4B2D">
              <w:rPr>
                <w:rFonts w:cs="Arial"/>
                <w:sz w:val="18"/>
                <w:lang w:val="es-HN"/>
              </w:rPr>
              <w:t xml:space="preserve"> su </w:t>
            </w:r>
            <w:r w:rsidR="00CB7ADA" w:rsidRPr="00FA4B2D">
              <w:rPr>
                <w:rFonts w:cs="Arial"/>
                <w:sz w:val="18"/>
                <w:lang w:val="es-HN"/>
              </w:rPr>
              <w:t>R</w:t>
            </w:r>
            <w:r w:rsidRPr="00FA4B2D">
              <w:rPr>
                <w:rFonts w:cs="Arial"/>
                <w:sz w:val="18"/>
                <w:lang w:val="es-HN"/>
              </w:rPr>
              <w:t>eglamento (Acuerdo ejecutivo No.</w:t>
            </w:r>
            <w:r w:rsidRPr="00FA4B2D">
              <w:rPr>
                <w:rFonts w:cs="Arial"/>
                <w:sz w:val="20"/>
                <w:szCs w:val="20"/>
                <w:shd w:val="clear" w:color="auto" w:fill="FFFFFF"/>
              </w:rPr>
              <w:t xml:space="preserve"> No. 002-2021)</w:t>
            </w:r>
            <w:r w:rsidR="001F0B9D" w:rsidRPr="00FA4B2D">
              <w:rPr>
                <w:rFonts w:cs="Arial"/>
                <w:sz w:val="20"/>
                <w:szCs w:val="20"/>
                <w:shd w:val="clear" w:color="auto" w:fill="FFFFFF"/>
              </w:rPr>
              <w:t>.</w:t>
            </w:r>
          </w:p>
        </w:tc>
        <w:tc>
          <w:tcPr>
            <w:tcW w:w="5391" w:type="dxa"/>
            <w:vAlign w:val="center"/>
          </w:tcPr>
          <w:p w14:paraId="6077CFAB" w14:textId="77777777" w:rsidR="006A3DBC" w:rsidRPr="00FA4B2D" w:rsidRDefault="006A3DBC" w:rsidP="008D5DD5">
            <w:pPr>
              <w:jc w:val="both"/>
              <w:rPr>
                <w:rFonts w:cs="Arial"/>
                <w:sz w:val="18"/>
                <w:lang w:val="es-HN"/>
              </w:rPr>
            </w:pPr>
            <w:r w:rsidRPr="00FA4B2D">
              <w:rPr>
                <w:rFonts w:cs="Arial"/>
                <w:sz w:val="18"/>
                <w:lang w:val="es-HN"/>
              </w:rPr>
              <w:t>Establece los principios y regulaciones aplicables al manejo adecuado del recurso agua para la protección, conservación, valorización y aprovechamiento del recurso hídrico para propiciar la gestión integrada de dicho recurso a nivel nacional.</w:t>
            </w:r>
          </w:p>
          <w:p w14:paraId="6F66CEE6" w14:textId="77777777" w:rsidR="006A3DBC" w:rsidRPr="00FA4B2D" w:rsidRDefault="006A3DBC" w:rsidP="008D5DD5">
            <w:pPr>
              <w:jc w:val="both"/>
              <w:rPr>
                <w:rFonts w:cs="Arial"/>
                <w:sz w:val="18"/>
                <w:lang w:val="es-HN"/>
              </w:rPr>
            </w:pPr>
          </w:p>
          <w:p w14:paraId="561C5074" w14:textId="58853A5F" w:rsidR="006A3DBC" w:rsidRPr="00FA4B2D" w:rsidRDefault="006A3DBC" w:rsidP="008D5DD5">
            <w:pPr>
              <w:autoSpaceDE w:val="0"/>
              <w:autoSpaceDN w:val="0"/>
              <w:adjustRightInd w:val="0"/>
              <w:jc w:val="both"/>
              <w:rPr>
                <w:rFonts w:cs="Arial"/>
                <w:sz w:val="18"/>
                <w:lang w:val="es-HN"/>
              </w:rPr>
            </w:pPr>
            <w:r w:rsidRPr="00FA4B2D">
              <w:rPr>
                <w:rFonts w:cs="Arial"/>
                <w:sz w:val="18"/>
                <w:lang w:val="es-HN"/>
              </w:rPr>
              <w:t xml:space="preserve">Las actividades del Proyecto relacionadas con el uso y aprovechamiento del recurso </w:t>
            </w:r>
            <w:r w:rsidR="005F4A92" w:rsidRPr="00FA4B2D">
              <w:rPr>
                <w:rFonts w:cs="Arial"/>
                <w:sz w:val="18"/>
                <w:lang w:val="es-HN"/>
              </w:rPr>
              <w:t>agua</w:t>
            </w:r>
            <w:r w:rsidRPr="00FA4B2D">
              <w:rPr>
                <w:rFonts w:cs="Arial"/>
                <w:sz w:val="18"/>
                <w:lang w:val="es-HN"/>
              </w:rPr>
              <w:t>, deberán cumplir con los principios y regulaciones aplicables definidos en esta Ley.</w:t>
            </w:r>
          </w:p>
          <w:p w14:paraId="17475892" w14:textId="77777777" w:rsidR="006A3DBC" w:rsidRPr="00FA4B2D" w:rsidRDefault="006A3DBC" w:rsidP="008D5DD5">
            <w:pPr>
              <w:autoSpaceDE w:val="0"/>
              <w:autoSpaceDN w:val="0"/>
              <w:adjustRightInd w:val="0"/>
              <w:jc w:val="both"/>
              <w:rPr>
                <w:rFonts w:cs="Arial"/>
                <w:sz w:val="18"/>
                <w:lang w:val="es-HN"/>
              </w:rPr>
            </w:pPr>
          </w:p>
          <w:p w14:paraId="271D9821" w14:textId="77777777" w:rsidR="006A3DBC" w:rsidRPr="00FA4B2D" w:rsidRDefault="006A3DBC" w:rsidP="008D5DD5">
            <w:pPr>
              <w:autoSpaceDE w:val="0"/>
              <w:autoSpaceDN w:val="0"/>
              <w:adjustRightInd w:val="0"/>
              <w:jc w:val="both"/>
              <w:rPr>
                <w:rFonts w:cs="Arial"/>
                <w:sz w:val="18"/>
                <w:szCs w:val="18"/>
                <w:lang w:val="es-HN"/>
              </w:rPr>
            </w:pPr>
            <w:r w:rsidRPr="00FA4B2D">
              <w:rPr>
                <w:rFonts w:cs="Arial"/>
                <w:sz w:val="18"/>
                <w:szCs w:val="18"/>
                <w:shd w:val="clear" w:color="auto" w:fill="FFFFFF"/>
              </w:rPr>
              <w:t>El Reglamento es el instrumento operativo a través del cual se implementa y garantiza el uso racional del recurso hídrico y la implementación de las medidas que aseguren el cumplimiento de este uso, garantizando a la población el uso equitativo de este recurso.</w:t>
            </w:r>
          </w:p>
        </w:tc>
      </w:tr>
      <w:tr w:rsidR="00CB7ADA" w:rsidRPr="00FA4B2D" w14:paraId="36055914" w14:textId="77777777" w:rsidTr="008A114D">
        <w:trPr>
          <w:trHeight w:val="2777"/>
        </w:trPr>
        <w:tc>
          <w:tcPr>
            <w:tcW w:w="3595" w:type="dxa"/>
            <w:vAlign w:val="center"/>
          </w:tcPr>
          <w:p w14:paraId="0BE37192" w14:textId="75CB37EA" w:rsidR="00CB7ADA" w:rsidRPr="00FA4B2D" w:rsidRDefault="00CB7ADA" w:rsidP="00C67A21">
            <w:pPr>
              <w:jc w:val="both"/>
              <w:rPr>
                <w:rFonts w:cs="Arial"/>
                <w:sz w:val="18"/>
                <w:lang w:val="es-HN"/>
              </w:rPr>
            </w:pPr>
            <w:r w:rsidRPr="00FA4B2D">
              <w:rPr>
                <w:rFonts w:cs="Arial"/>
                <w:sz w:val="18"/>
                <w:lang w:val="es-HN"/>
              </w:rPr>
              <w:lastRenderedPageBreak/>
              <w:t>Ley Marco del Sector de Agua Potable (Decreto No. 118-2003; del 08 de octubre del 2003) y su Reglamento (Acuerdo No.</w:t>
            </w:r>
            <w:r w:rsidRPr="00FA4B2D">
              <w:rPr>
                <w:rFonts w:cs="Arial"/>
                <w:spacing w:val="-6"/>
                <w:sz w:val="18"/>
                <w:lang w:val="es-HN"/>
              </w:rPr>
              <w:t xml:space="preserve"> </w:t>
            </w:r>
            <w:r w:rsidRPr="00FA4B2D">
              <w:rPr>
                <w:rFonts w:cs="Arial"/>
                <w:sz w:val="18"/>
                <w:lang w:val="es-HN"/>
              </w:rPr>
              <w:t>006; del 3 de febrero de 2004).</w:t>
            </w:r>
          </w:p>
        </w:tc>
        <w:tc>
          <w:tcPr>
            <w:tcW w:w="5391" w:type="dxa"/>
            <w:vAlign w:val="center"/>
          </w:tcPr>
          <w:p w14:paraId="28DF88A9" w14:textId="5EA7B32C" w:rsidR="00CB7ADA" w:rsidRPr="00FA4B2D" w:rsidRDefault="00CB7ADA" w:rsidP="00C67A21">
            <w:pPr>
              <w:jc w:val="both"/>
              <w:rPr>
                <w:rFonts w:cs="Arial"/>
                <w:sz w:val="18"/>
                <w:lang w:val="es-HN"/>
              </w:rPr>
            </w:pPr>
            <w:r w:rsidRPr="00FA4B2D">
              <w:rPr>
                <w:rFonts w:cs="Arial"/>
                <w:sz w:val="18"/>
                <w:lang w:val="es-HN"/>
              </w:rPr>
              <w:t>Establecen el marco institucional del sector y sus roles, además de las normas aplicables a la gestión y prestación de los servicios de agua potable y saneamiento en el territorio nacional. Otorga a las municipalidades la titularidad para la prestación de servicios de agua y saneamiento entre tanto las funciones del gobierno central se focalizan en la planificación, coordinación, gestión de financiamiento, regulación, control y asistencia técnica a los prestadores urbanos y rurales y a las municipalidades.</w:t>
            </w:r>
          </w:p>
          <w:p w14:paraId="228A7DB5" w14:textId="77777777" w:rsidR="00CB7ADA" w:rsidRPr="00FA4B2D" w:rsidRDefault="00CB7ADA" w:rsidP="00C67A21">
            <w:pPr>
              <w:jc w:val="both"/>
              <w:rPr>
                <w:rFonts w:cs="Arial"/>
                <w:sz w:val="18"/>
                <w:lang w:val="es-HN"/>
              </w:rPr>
            </w:pPr>
            <w:r w:rsidRPr="00FA4B2D">
              <w:rPr>
                <w:rFonts w:cs="Arial"/>
                <w:sz w:val="18"/>
                <w:lang w:val="es-HN"/>
              </w:rPr>
              <w:t>Las actividades del Proyecto deberán cumplir con las normas aplicables definidas en esta Ley y su Reglamento General.</w:t>
            </w:r>
          </w:p>
        </w:tc>
      </w:tr>
      <w:tr w:rsidR="006A3DBC" w:rsidRPr="00FA4B2D" w14:paraId="67D6B2C4" w14:textId="77777777" w:rsidTr="00D536D0">
        <w:tc>
          <w:tcPr>
            <w:tcW w:w="3595" w:type="dxa"/>
            <w:vAlign w:val="center"/>
          </w:tcPr>
          <w:p w14:paraId="1C21D58D" w14:textId="2A4F6ECA" w:rsidR="006A3DBC" w:rsidRPr="00FA4B2D" w:rsidRDefault="006A3DBC" w:rsidP="00C67A21">
            <w:pPr>
              <w:jc w:val="both"/>
              <w:rPr>
                <w:rFonts w:cs="Arial"/>
                <w:sz w:val="18"/>
                <w:lang w:val="es-HN"/>
              </w:rPr>
            </w:pPr>
            <w:r w:rsidRPr="00FA4B2D">
              <w:rPr>
                <w:rFonts w:cs="Arial"/>
                <w:sz w:val="18"/>
                <w:lang w:val="es-HN"/>
              </w:rPr>
              <w:t>Norma Técnica Nacional para la Calidad del Agua Potable</w:t>
            </w:r>
            <w:r w:rsidR="000449A1" w:rsidRPr="00FA4B2D">
              <w:rPr>
                <w:rFonts w:cs="Arial"/>
                <w:sz w:val="18"/>
                <w:lang w:val="es-HN"/>
              </w:rPr>
              <w:t xml:space="preserve"> </w:t>
            </w:r>
            <w:r w:rsidRPr="00FA4B2D">
              <w:rPr>
                <w:rFonts w:cs="Arial"/>
                <w:sz w:val="18"/>
                <w:lang w:val="es-HN"/>
              </w:rPr>
              <w:t>(Acuerdo No. 084 del 31 de julio de 1991,</w:t>
            </w:r>
            <w:r w:rsidRPr="00FA4B2D">
              <w:rPr>
                <w:rFonts w:cs="Arial"/>
                <w:sz w:val="18"/>
                <w:szCs w:val="18"/>
                <w:lang w:val="es-HN"/>
              </w:rPr>
              <w:t xml:space="preserve"> ver sección </w:t>
            </w:r>
            <w:r w:rsidRPr="00FA4B2D">
              <w:rPr>
                <w:rFonts w:cs="Arial"/>
                <w:sz w:val="18"/>
                <w:szCs w:val="18"/>
                <w:lang w:val="es-HN"/>
              </w:rPr>
              <w:fldChar w:fldCharType="begin"/>
            </w:r>
            <w:r w:rsidRPr="00FA4B2D">
              <w:rPr>
                <w:rFonts w:cs="Arial"/>
                <w:sz w:val="18"/>
                <w:szCs w:val="18"/>
                <w:lang w:val="es-HN"/>
              </w:rPr>
              <w:instrText xml:space="preserve"> REF _Ref66035591 \r \h  \* MERGEFORMAT </w:instrText>
            </w:r>
            <w:r w:rsidRPr="00FA4B2D">
              <w:rPr>
                <w:rFonts w:cs="Arial"/>
                <w:sz w:val="18"/>
                <w:szCs w:val="18"/>
                <w:lang w:val="es-HN"/>
              </w:rPr>
            </w:r>
            <w:r w:rsidRPr="00FA4B2D">
              <w:rPr>
                <w:rFonts w:cs="Arial"/>
                <w:sz w:val="18"/>
                <w:szCs w:val="18"/>
                <w:lang w:val="es-HN"/>
              </w:rPr>
              <w:fldChar w:fldCharType="separate"/>
            </w:r>
            <w:r w:rsidR="00BF4BCA" w:rsidRPr="00FA4B2D">
              <w:rPr>
                <w:rFonts w:cs="Arial"/>
                <w:sz w:val="18"/>
                <w:szCs w:val="18"/>
                <w:lang w:val="es-HN"/>
              </w:rPr>
              <w:t>14</w:t>
            </w:r>
            <w:r w:rsidRPr="00FA4B2D">
              <w:rPr>
                <w:rFonts w:cs="Arial"/>
                <w:sz w:val="18"/>
                <w:szCs w:val="18"/>
                <w:lang w:val="es-HN"/>
              </w:rPr>
              <w:fldChar w:fldCharType="end"/>
            </w:r>
            <w:r w:rsidRPr="00FA4B2D">
              <w:rPr>
                <w:rFonts w:cs="Arial"/>
                <w:sz w:val="18"/>
                <w:szCs w:val="18"/>
                <w:lang w:val="es-HN"/>
              </w:rPr>
              <w:t>).</w:t>
            </w:r>
          </w:p>
        </w:tc>
        <w:tc>
          <w:tcPr>
            <w:tcW w:w="5391" w:type="dxa"/>
            <w:vAlign w:val="center"/>
          </w:tcPr>
          <w:p w14:paraId="79A66F95" w14:textId="6CB0096E" w:rsidR="006A3DBC" w:rsidRPr="00FA4B2D" w:rsidRDefault="006A3DBC" w:rsidP="00C67A21">
            <w:pPr>
              <w:jc w:val="both"/>
              <w:rPr>
                <w:rFonts w:cs="Arial"/>
                <w:sz w:val="18"/>
                <w:lang w:val="es-HN"/>
              </w:rPr>
            </w:pPr>
            <w:r w:rsidRPr="00FA4B2D">
              <w:rPr>
                <w:rFonts w:cs="Arial"/>
                <w:sz w:val="18"/>
                <w:lang w:val="es-HN"/>
              </w:rPr>
              <w:t>Establece los niveles adecuados o máximos que deben tener aquellos componentes o características del agua que pueden representar un riesgo para la salud de la comunidad e inconvenientes para la preservación de los sistemas de abastecimiento de agua.</w:t>
            </w:r>
          </w:p>
          <w:p w14:paraId="011398B9" w14:textId="77777777" w:rsidR="006A3DBC" w:rsidRPr="00FA4B2D" w:rsidRDefault="006A3DBC" w:rsidP="00C67A21">
            <w:pPr>
              <w:jc w:val="both"/>
              <w:rPr>
                <w:rFonts w:cs="Arial"/>
                <w:sz w:val="18"/>
                <w:lang w:val="es-HN"/>
              </w:rPr>
            </w:pPr>
            <w:r w:rsidRPr="00FA4B2D">
              <w:rPr>
                <w:rFonts w:cs="Arial"/>
                <w:sz w:val="18"/>
                <w:lang w:val="es-HN"/>
              </w:rPr>
              <w:t xml:space="preserve">Las actividades del Proyecto deberán cumplir con los niveles permisibles y demás </w:t>
            </w:r>
            <w:r w:rsidRPr="00FA4B2D">
              <w:rPr>
                <w:rFonts w:cs="Arial"/>
                <w:sz w:val="18"/>
                <w:szCs w:val="18"/>
                <w:lang w:val="es-HN"/>
              </w:rPr>
              <w:t>de</w:t>
            </w:r>
            <w:r w:rsidRPr="00FA4B2D">
              <w:rPr>
                <w:rFonts w:cs="Arial"/>
                <w:sz w:val="18"/>
                <w:lang w:val="es-HN"/>
              </w:rPr>
              <w:t xml:space="preserve"> la Norma Técnica.</w:t>
            </w:r>
          </w:p>
        </w:tc>
      </w:tr>
      <w:tr w:rsidR="006A3DBC" w:rsidRPr="00FA4B2D" w14:paraId="11E021D5" w14:textId="77777777" w:rsidTr="00D536D0">
        <w:tc>
          <w:tcPr>
            <w:tcW w:w="3595" w:type="dxa"/>
            <w:vAlign w:val="center"/>
          </w:tcPr>
          <w:p w14:paraId="1A37DC30" w14:textId="624EF8D1" w:rsidR="006A3DBC" w:rsidRPr="00FA4B2D" w:rsidRDefault="006A3DBC" w:rsidP="00C67A21">
            <w:pPr>
              <w:jc w:val="both"/>
              <w:rPr>
                <w:rFonts w:cs="Arial"/>
                <w:sz w:val="18"/>
                <w:lang w:val="es-HN"/>
              </w:rPr>
            </w:pPr>
            <w:r w:rsidRPr="00FA4B2D">
              <w:rPr>
                <w:rFonts w:cs="Arial"/>
                <w:sz w:val="18"/>
                <w:lang w:val="es-HN"/>
              </w:rPr>
              <w:t>Normas Técnicas de Descargas de Aguas Residuales a Cuerpos Receptores</w:t>
            </w:r>
            <w:r w:rsidRPr="00FA4B2D">
              <w:rPr>
                <w:rFonts w:cs="Arial"/>
                <w:sz w:val="18"/>
                <w:lang w:val="es-HN"/>
              </w:rPr>
              <w:tab/>
              <w:t>y Alcantarillado Sanitario (Acuerdo No. 058; del 9 de abril de 1996).</w:t>
            </w:r>
          </w:p>
        </w:tc>
        <w:tc>
          <w:tcPr>
            <w:tcW w:w="5391" w:type="dxa"/>
            <w:vAlign w:val="center"/>
          </w:tcPr>
          <w:p w14:paraId="6C06DD59" w14:textId="77777777" w:rsidR="006A3DBC" w:rsidRPr="00FA4B2D" w:rsidRDefault="006A3DBC" w:rsidP="00C67A21">
            <w:pPr>
              <w:autoSpaceDE w:val="0"/>
              <w:autoSpaceDN w:val="0"/>
              <w:adjustRightInd w:val="0"/>
              <w:ind w:left="-41"/>
              <w:jc w:val="both"/>
              <w:rPr>
                <w:rFonts w:cs="Arial"/>
                <w:sz w:val="18"/>
                <w:lang w:val="es-HN"/>
              </w:rPr>
            </w:pPr>
            <w:r w:rsidRPr="00FA4B2D">
              <w:rPr>
                <w:rFonts w:cs="Arial"/>
                <w:sz w:val="18"/>
                <w:lang w:val="es-HN"/>
              </w:rPr>
              <w:t>Regular las descargas de aguas residuales a los cuerpos receptores y alcantarillado sanitario.</w:t>
            </w:r>
          </w:p>
          <w:p w14:paraId="21AA0074" w14:textId="77777777" w:rsidR="006A3DBC" w:rsidRPr="00FA4B2D" w:rsidRDefault="006A3DBC" w:rsidP="00C67A21">
            <w:pPr>
              <w:jc w:val="both"/>
              <w:rPr>
                <w:rFonts w:cs="Arial"/>
                <w:sz w:val="18"/>
                <w:lang w:val="es-HN"/>
              </w:rPr>
            </w:pPr>
            <w:r w:rsidRPr="00FA4B2D">
              <w:rPr>
                <w:rFonts w:cs="Arial"/>
                <w:sz w:val="18"/>
                <w:lang w:val="es-HN"/>
              </w:rPr>
              <w:t>Las actividades del Proyecto deberán cumplir con los niveles permisibles y demás disposiciones establecidas en la Norma Técnica.</w:t>
            </w:r>
          </w:p>
        </w:tc>
      </w:tr>
      <w:tr w:rsidR="006A3DBC" w:rsidRPr="00FA4B2D" w14:paraId="7D91DDEC" w14:textId="77777777" w:rsidTr="00D536D0">
        <w:tc>
          <w:tcPr>
            <w:tcW w:w="3595" w:type="dxa"/>
            <w:vAlign w:val="center"/>
          </w:tcPr>
          <w:p w14:paraId="3C72981B" w14:textId="085A57D5" w:rsidR="006A3DBC" w:rsidRPr="00FA4B2D" w:rsidRDefault="006A3DBC" w:rsidP="00C67A21">
            <w:pPr>
              <w:jc w:val="both"/>
              <w:rPr>
                <w:rFonts w:cs="Arial"/>
                <w:sz w:val="18"/>
                <w:lang w:val="es-HN"/>
              </w:rPr>
            </w:pPr>
            <w:bookmarkStart w:id="180" w:name="_Hlk65779056"/>
            <w:r w:rsidRPr="00FA4B2D">
              <w:rPr>
                <w:rFonts w:cs="Arial"/>
                <w:sz w:val="18"/>
                <w:szCs w:val="18"/>
                <w:lang w:val="es-HN"/>
              </w:rPr>
              <w:t>Declaración de Áreas Protegidas y Bosques Nublados</w:t>
            </w:r>
            <w:r w:rsidR="000449A1" w:rsidRPr="00FA4B2D">
              <w:rPr>
                <w:rFonts w:cs="Arial"/>
                <w:sz w:val="18"/>
                <w:szCs w:val="18"/>
                <w:lang w:val="es-HN"/>
              </w:rPr>
              <w:t xml:space="preserve"> </w:t>
            </w:r>
            <w:r w:rsidRPr="00FA4B2D">
              <w:rPr>
                <w:rFonts w:cs="Arial"/>
                <w:sz w:val="18"/>
                <w:lang w:val="es-HN"/>
              </w:rPr>
              <w:t xml:space="preserve">(Decreto </w:t>
            </w:r>
            <w:r w:rsidRPr="00FA4B2D">
              <w:rPr>
                <w:rFonts w:cs="Arial"/>
                <w:sz w:val="18"/>
                <w:szCs w:val="18"/>
                <w:lang w:val="es-HN"/>
              </w:rPr>
              <w:t>87-87; del 5 de agosto de 1995).</w:t>
            </w:r>
          </w:p>
        </w:tc>
        <w:tc>
          <w:tcPr>
            <w:tcW w:w="5391" w:type="dxa"/>
            <w:vAlign w:val="center"/>
          </w:tcPr>
          <w:p w14:paraId="134228BD" w14:textId="77777777" w:rsidR="006A3DBC" w:rsidRPr="00FA4B2D" w:rsidRDefault="006A3DBC" w:rsidP="00C67A21">
            <w:pPr>
              <w:jc w:val="both"/>
              <w:rPr>
                <w:rFonts w:cs="Arial"/>
                <w:sz w:val="18"/>
                <w:szCs w:val="18"/>
                <w:lang w:val="es-HN"/>
              </w:rPr>
            </w:pPr>
            <w:r w:rsidRPr="00FA4B2D">
              <w:rPr>
                <w:rFonts w:cs="Arial"/>
                <w:sz w:val="18"/>
                <w:szCs w:val="18"/>
                <w:lang w:val="es-HN"/>
              </w:rPr>
              <w:t>Esta Ley, declara diversos bosques nublados como parques nacionales a perpetuidad, refugios de vida silvestre a perpetuidad o reservas biológicas a perpetuidad, dotando a cada uno de franjas periféricas denominadas zonas de amortiguamiento.</w:t>
            </w:r>
          </w:p>
          <w:p w14:paraId="6C21A7D5" w14:textId="77777777" w:rsidR="006A3DBC" w:rsidRPr="00FA4B2D" w:rsidRDefault="006A3DBC" w:rsidP="00C67A21">
            <w:pPr>
              <w:jc w:val="both"/>
              <w:rPr>
                <w:rFonts w:cs="Arial"/>
                <w:sz w:val="18"/>
                <w:szCs w:val="18"/>
                <w:lang w:val="es-HN"/>
              </w:rPr>
            </w:pPr>
          </w:p>
          <w:p w14:paraId="62309A07" w14:textId="77777777" w:rsidR="006A3DBC" w:rsidRPr="00FA4B2D" w:rsidRDefault="006A3DBC" w:rsidP="00C67A21">
            <w:pPr>
              <w:jc w:val="both"/>
              <w:rPr>
                <w:rFonts w:cs="Arial"/>
                <w:sz w:val="18"/>
                <w:lang w:val="es-HN"/>
              </w:rPr>
            </w:pPr>
            <w:r w:rsidRPr="00FA4B2D">
              <w:rPr>
                <w:rFonts w:cs="Arial"/>
                <w:sz w:val="18"/>
                <w:szCs w:val="18"/>
                <w:lang w:val="es-HN"/>
              </w:rPr>
              <w:t>Se garantizará la conservación y el desarrollo integral de los recursos naturales y culturales de las áreas protegidas, en</w:t>
            </w:r>
            <w:r w:rsidRPr="00FA4B2D">
              <w:rPr>
                <w:rFonts w:cs="Arial"/>
                <w:sz w:val="18"/>
                <w:lang w:val="es-HN"/>
              </w:rPr>
              <w:t xml:space="preserve"> las actividades del Proyecto.</w:t>
            </w:r>
          </w:p>
        </w:tc>
      </w:tr>
      <w:tr w:rsidR="006A3DBC" w:rsidRPr="00FA4B2D" w14:paraId="1FE83485" w14:textId="77777777" w:rsidTr="00D536D0">
        <w:tc>
          <w:tcPr>
            <w:tcW w:w="3595" w:type="dxa"/>
            <w:vAlign w:val="center"/>
          </w:tcPr>
          <w:p w14:paraId="5FFBAFB4" w14:textId="77777777" w:rsidR="006A3DBC" w:rsidRPr="00FA4B2D" w:rsidRDefault="006A3DBC" w:rsidP="00C67A21">
            <w:pPr>
              <w:jc w:val="both"/>
              <w:rPr>
                <w:rFonts w:cs="Arial"/>
                <w:sz w:val="18"/>
                <w:lang w:val="es-HN"/>
              </w:rPr>
            </w:pPr>
            <w:r w:rsidRPr="00FA4B2D">
              <w:rPr>
                <w:rFonts w:cs="Arial"/>
                <w:sz w:val="18"/>
                <w:szCs w:val="18"/>
                <w:lang w:val="es-HN"/>
              </w:rPr>
              <w:t>Reglamento del Sistema Nacional</w:t>
            </w:r>
            <w:r w:rsidRPr="00FA4B2D">
              <w:rPr>
                <w:rFonts w:cs="Arial"/>
                <w:sz w:val="18"/>
                <w:lang w:val="es-HN"/>
              </w:rPr>
              <w:t xml:space="preserve"> de Áreas Protegidas</w:t>
            </w:r>
            <w:r w:rsidRPr="00FA4B2D">
              <w:rPr>
                <w:rFonts w:cs="Arial"/>
                <w:sz w:val="18"/>
                <w:szCs w:val="18"/>
                <w:lang w:val="es-HN"/>
              </w:rPr>
              <w:t xml:space="preserve"> (Acuerdo Presidencial No. 921-97</w:t>
            </w:r>
            <w:r w:rsidRPr="00FA4B2D">
              <w:rPr>
                <w:rFonts w:cs="Arial"/>
                <w:sz w:val="18"/>
                <w:lang w:val="es-HN"/>
              </w:rPr>
              <w:t xml:space="preserve">; del </w:t>
            </w:r>
            <w:r w:rsidRPr="00FA4B2D">
              <w:rPr>
                <w:rFonts w:cs="Arial"/>
                <w:sz w:val="18"/>
                <w:szCs w:val="18"/>
                <w:lang w:val="es-HN"/>
              </w:rPr>
              <w:t>30</w:t>
            </w:r>
            <w:r w:rsidRPr="00FA4B2D">
              <w:rPr>
                <w:rFonts w:cs="Arial"/>
                <w:sz w:val="18"/>
                <w:lang w:val="es-HN"/>
              </w:rPr>
              <w:t xml:space="preserve"> de </w:t>
            </w:r>
            <w:r w:rsidRPr="00FA4B2D">
              <w:rPr>
                <w:rFonts w:cs="Arial"/>
                <w:sz w:val="18"/>
                <w:szCs w:val="18"/>
                <w:lang w:val="es-HN"/>
              </w:rPr>
              <w:t>junio</w:t>
            </w:r>
            <w:r w:rsidRPr="00FA4B2D">
              <w:rPr>
                <w:rFonts w:cs="Arial"/>
                <w:sz w:val="18"/>
                <w:lang w:val="es-HN"/>
              </w:rPr>
              <w:t xml:space="preserve"> de </w:t>
            </w:r>
            <w:r w:rsidRPr="00FA4B2D">
              <w:rPr>
                <w:rFonts w:cs="Arial"/>
                <w:sz w:val="18"/>
                <w:szCs w:val="18"/>
                <w:lang w:val="es-HN"/>
              </w:rPr>
              <w:t>1997).</w:t>
            </w:r>
          </w:p>
        </w:tc>
        <w:tc>
          <w:tcPr>
            <w:tcW w:w="5391" w:type="dxa"/>
            <w:vAlign w:val="center"/>
          </w:tcPr>
          <w:p w14:paraId="559067BA" w14:textId="2CAB8D05" w:rsidR="006A3DBC" w:rsidRPr="00FA4B2D" w:rsidRDefault="006A3DBC" w:rsidP="00C67A21">
            <w:pPr>
              <w:jc w:val="both"/>
              <w:rPr>
                <w:rFonts w:cs="Arial"/>
                <w:sz w:val="18"/>
                <w:shd w:val="clear" w:color="auto" w:fill="FFFFFF"/>
              </w:rPr>
            </w:pPr>
            <w:r w:rsidRPr="00FA4B2D">
              <w:rPr>
                <w:rFonts w:cs="Arial"/>
                <w:sz w:val="18"/>
                <w:szCs w:val="18"/>
                <w:lang w:val="es-HN"/>
              </w:rPr>
              <w:t>Establece las normas referentes</w:t>
            </w:r>
            <w:r w:rsidRPr="00FA4B2D">
              <w:rPr>
                <w:rFonts w:cs="Arial"/>
                <w:sz w:val="18"/>
                <w:lang w:val="es-HN"/>
              </w:rPr>
              <w:t xml:space="preserve"> a </w:t>
            </w:r>
            <w:r w:rsidRPr="00FA4B2D">
              <w:rPr>
                <w:rFonts w:cs="Arial"/>
                <w:sz w:val="18"/>
                <w:szCs w:val="18"/>
                <w:lang w:val="es-HN"/>
              </w:rPr>
              <w:t>la operatividad, administración y coordinación del Sistema Nacional</w:t>
            </w:r>
            <w:r w:rsidRPr="00FA4B2D">
              <w:rPr>
                <w:rFonts w:cs="Arial"/>
                <w:sz w:val="18"/>
                <w:lang w:val="es-HN"/>
              </w:rPr>
              <w:t xml:space="preserve"> de </w:t>
            </w:r>
            <w:r w:rsidRPr="00FA4B2D">
              <w:rPr>
                <w:rFonts w:cs="Arial"/>
                <w:sz w:val="18"/>
                <w:szCs w:val="18"/>
                <w:lang w:val="es-HN"/>
              </w:rPr>
              <w:t>Áreas Protegidas (SINAPH),</w:t>
            </w:r>
            <w:r w:rsidRPr="00FA4B2D">
              <w:rPr>
                <w:rFonts w:cs="Arial"/>
                <w:sz w:val="18"/>
                <w:lang w:val="es-HN"/>
              </w:rPr>
              <w:t xml:space="preserve"> a </w:t>
            </w:r>
            <w:r w:rsidRPr="00FA4B2D">
              <w:rPr>
                <w:rFonts w:cs="Arial"/>
                <w:sz w:val="18"/>
                <w:szCs w:val="18"/>
                <w:lang w:val="es-HN"/>
              </w:rPr>
              <w:t>efecto</w:t>
            </w:r>
            <w:r w:rsidRPr="00FA4B2D">
              <w:rPr>
                <w:rFonts w:cs="Arial"/>
                <w:sz w:val="18"/>
                <w:lang w:val="es-HN"/>
              </w:rPr>
              <w:t xml:space="preserve"> de </w:t>
            </w:r>
            <w:r w:rsidRPr="00FA4B2D">
              <w:rPr>
                <w:rFonts w:cs="Arial"/>
                <w:sz w:val="18"/>
                <w:szCs w:val="18"/>
                <w:lang w:val="es-HN"/>
              </w:rPr>
              <w:t>garantizar</w:t>
            </w:r>
            <w:r w:rsidRPr="00FA4B2D">
              <w:rPr>
                <w:rFonts w:cs="Arial"/>
                <w:sz w:val="18"/>
                <w:lang w:val="es-HN"/>
              </w:rPr>
              <w:t xml:space="preserve"> la conservación y el desarrollo integral de los recursos naturales y culturales de las</w:t>
            </w:r>
            <w:r w:rsidRPr="00FA4B2D">
              <w:rPr>
                <w:rFonts w:cs="Arial"/>
                <w:sz w:val="18"/>
                <w:szCs w:val="18"/>
                <w:lang w:val="es-HN"/>
              </w:rPr>
              <w:t xml:space="preserve"> </w:t>
            </w:r>
            <w:r w:rsidRPr="00FA4B2D">
              <w:rPr>
                <w:rFonts w:cs="Arial"/>
                <w:sz w:val="18"/>
                <w:lang w:val="es-HN"/>
              </w:rPr>
              <w:t>áreas protegidas.</w:t>
            </w:r>
            <w:r w:rsidRPr="00FA4B2D">
              <w:rPr>
                <w:rFonts w:cs="Arial"/>
                <w:sz w:val="18"/>
                <w:szCs w:val="18"/>
                <w:lang w:val="es-HN"/>
              </w:rPr>
              <w:t xml:space="preserve"> </w:t>
            </w:r>
          </w:p>
        </w:tc>
      </w:tr>
      <w:tr w:rsidR="006A3DBC" w:rsidRPr="00FA4B2D" w14:paraId="05CA5540" w14:textId="77777777" w:rsidTr="00D536D0">
        <w:tc>
          <w:tcPr>
            <w:tcW w:w="3595" w:type="dxa"/>
            <w:vAlign w:val="center"/>
          </w:tcPr>
          <w:p w14:paraId="2A33A603" w14:textId="77777777" w:rsidR="006A3DBC" w:rsidRPr="00FA4B2D" w:rsidRDefault="006A3DBC" w:rsidP="00C67A21">
            <w:pPr>
              <w:jc w:val="both"/>
              <w:rPr>
                <w:rFonts w:cs="Arial"/>
                <w:sz w:val="18"/>
                <w:lang w:val="es-HN"/>
              </w:rPr>
            </w:pPr>
            <w:r w:rsidRPr="00FA4B2D">
              <w:rPr>
                <w:rFonts w:cs="Arial"/>
                <w:sz w:val="18"/>
                <w:lang w:val="es-HN"/>
              </w:rPr>
              <w:t xml:space="preserve">Reglamento de </w:t>
            </w:r>
            <w:r w:rsidRPr="00FA4B2D">
              <w:rPr>
                <w:rFonts w:cs="Arial"/>
                <w:sz w:val="18"/>
                <w:szCs w:val="18"/>
                <w:lang w:val="es-HN"/>
              </w:rPr>
              <w:t>los Corredores Biológicos de Honduras (</w:t>
            </w:r>
            <w:r w:rsidRPr="00FA4B2D">
              <w:rPr>
                <w:rFonts w:cs="Arial"/>
                <w:sz w:val="18"/>
                <w:lang w:val="es-HN"/>
              </w:rPr>
              <w:t xml:space="preserve">Acuerdo No. </w:t>
            </w:r>
            <w:r w:rsidRPr="00FA4B2D">
              <w:rPr>
                <w:rFonts w:cs="Arial"/>
                <w:sz w:val="18"/>
                <w:szCs w:val="18"/>
                <w:lang w:val="es-HN"/>
              </w:rPr>
              <w:t xml:space="preserve">0632-2015). </w:t>
            </w:r>
          </w:p>
        </w:tc>
        <w:tc>
          <w:tcPr>
            <w:tcW w:w="5391" w:type="dxa"/>
            <w:vAlign w:val="center"/>
          </w:tcPr>
          <w:p w14:paraId="1A7496CF" w14:textId="77777777" w:rsidR="006A3DBC" w:rsidRPr="00FA4B2D" w:rsidRDefault="006A3DBC" w:rsidP="00C67A21">
            <w:pPr>
              <w:jc w:val="both"/>
              <w:rPr>
                <w:rFonts w:cs="Arial"/>
                <w:sz w:val="18"/>
                <w:shd w:val="clear" w:color="auto" w:fill="FFFFFF"/>
              </w:rPr>
            </w:pPr>
            <w:r w:rsidRPr="00FA4B2D">
              <w:rPr>
                <w:rFonts w:cs="Arial"/>
                <w:sz w:val="18"/>
                <w:szCs w:val="18"/>
                <w:lang w:val="es-HN"/>
              </w:rPr>
              <w:t xml:space="preserve">Tiene por objeto regular el establecimiento de los Corredores Biológicos en Honduras como parte de una estrategia para mantener la biodiversidad, disminuir la fragmentación y mejorar la conectividad entre los ecosistemas promoviendo procesos productivos sustentables que mejoren la calidad de vida de las poblaciones locales que usan, manejan y conservan la biodiversidad. </w:t>
            </w:r>
          </w:p>
        </w:tc>
      </w:tr>
      <w:bookmarkEnd w:id="180"/>
      <w:tr w:rsidR="006A3DBC" w:rsidRPr="00FA4B2D" w14:paraId="5C0E47B5" w14:textId="77777777" w:rsidTr="00D536D0">
        <w:tc>
          <w:tcPr>
            <w:tcW w:w="3595" w:type="dxa"/>
            <w:shd w:val="clear" w:color="auto" w:fill="auto"/>
            <w:vAlign w:val="center"/>
          </w:tcPr>
          <w:p w14:paraId="3E3527C1" w14:textId="6DFC63F6" w:rsidR="006A3DBC" w:rsidRPr="00FA4B2D" w:rsidRDefault="006A3DBC" w:rsidP="00C67A21">
            <w:pPr>
              <w:jc w:val="both"/>
              <w:rPr>
                <w:rFonts w:cs="Arial"/>
                <w:sz w:val="18"/>
                <w:lang w:val="es-HN"/>
              </w:rPr>
            </w:pPr>
            <w:r w:rsidRPr="00FA4B2D">
              <w:rPr>
                <w:rFonts w:cs="Arial"/>
                <w:sz w:val="18"/>
                <w:lang w:val="es-HN"/>
              </w:rPr>
              <w:t>Reglamento para el Manejo integral de Desechos Sólidos (Acuerdo Ejecutivo No.1567-2010)</w:t>
            </w:r>
            <w:r w:rsidR="000A25DD" w:rsidRPr="00FA4B2D">
              <w:rPr>
                <w:rFonts w:cs="Arial"/>
                <w:sz w:val="18"/>
                <w:lang w:val="es-HN"/>
              </w:rPr>
              <w:t>.</w:t>
            </w:r>
          </w:p>
        </w:tc>
        <w:tc>
          <w:tcPr>
            <w:tcW w:w="5391" w:type="dxa"/>
            <w:vAlign w:val="center"/>
          </w:tcPr>
          <w:p w14:paraId="1842F719" w14:textId="311C8A3B" w:rsidR="006A3DBC" w:rsidRPr="00FA4B2D" w:rsidRDefault="005F4A92" w:rsidP="00C67A21">
            <w:pPr>
              <w:jc w:val="both"/>
              <w:rPr>
                <w:rFonts w:cs="Arial"/>
                <w:sz w:val="18"/>
                <w:szCs w:val="18"/>
                <w:lang w:val="es-HN"/>
              </w:rPr>
            </w:pPr>
            <w:r w:rsidRPr="00FA4B2D">
              <w:rPr>
                <w:rFonts w:cs="Arial"/>
                <w:sz w:val="18"/>
                <w:szCs w:val="18"/>
                <w:lang w:val="es-HN"/>
              </w:rPr>
              <w:t>Regula</w:t>
            </w:r>
            <w:r w:rsidR="006A3DBC" w:rsidRPr="00FA4B2D">
              <w:rPr>
                <w:rFonts w:cs="Arial"/>
                <w:sz w:val="18"/>
                <w:szCs w:val="18"/>
                <w:lang w:val="es-HN"/>
              </w:rPr>
              <w:t xml:space="preserve"> la gestión integral de los residuos sólidos, incluyendo las operaciones de prevención, reducción, almacenamiento y acondicionamiento, transporte, tratamiento y disposición final de </w:t>
            </w:r>
            <w:r w:rsidR="006A3DBC" w:rsidRPr="00FA4B2D">
              <w:rPr>
                <w:rFonts w:cs="Arial"/>
                <w:sz w:val="18"/>
                <w:szCs w:val="18"/>
                <w:lang w:val="es-HN"/>
              </w:rPr>
              <w:lastRenderedPageBreak/>
              <w:t xml:space="preserve">dichos residuos, fomentando el </w:t>
            </w:r>
            <w:r w:rsidRPr="00FA4B2D">
              <w:rPr>
                <w:rFonts w:cs="Arial"/>
                <w:sz w:val="18"/>
                <w:szCs w:val="18"/>
                <w:lang w:val="es-HN"/>
              </w:rPr>
              <w:t>aprovechamiento de</w:t>
            </w:r>
            <w:r w:rsidR="006A3DBC" w:rsidRPr="00FA4B2D">
              <w:rPr>
                <w:rFonts w:cs="Arial"/>
                <w:sz w:val="18"/>
                <w:szCs w:val="18"/>
                <w:lang w:val="es-HN"/>
              </w:rPr>
              <w:t xml:space="preserve"> </w:t>
            </w:r>
            <w:proofErr w:type="gramStart"/>
            <w:r w:rsidR="006A3DBC" w:rsidRPr="00FA4B2D">
              <w:rPr>
                <w:rFonts w:cs="Arial"/>
                <w:sz w:val="18"/>
                <w:szCs w:val="18"/>
                <w:lang w:val="es-HN"/>
              </w:rPr>
              <w:t>los mismos</w:t>
            </w:r>
            <w:proofErr w:type="gramEnd"/>
            <w:r w:rsidR="006A3DBC" w:rsidRPr="00FA4B2D">
              <w:rPr>
                <w:rFonts w:cs="Arial"/>
                <w:sz w:val="18"/>
                <w:szCs w:val="18"/>
                <w:lang w:val="es-HN"/>
              </w:rPr>
              <w:t xml:space="preserve"> con el fin de evitar riesgos a l</w:t>
            </w:r>
            <w:r w:rsidR="006F1EFC" w:rsidRPr="00FA4B2D">
              <w:rPr>
                <w:rFonts w:cs="Arial"/>
                <w:sz w:val="18"/>
                <w:szCs w:val="18"/>
                <w:lang w:val="es-HN"/>
              </w:rPr>
              <w:t>a</w:t>
            </w:r>
            <w:r w:rsidR="006A3DBC" w:rsidRPr="00FA4B2D">
              <w:rPr>
                <w:rFonts w:cs="Arial"/>
                <w:sz w:val="18"/>
                <w:szCs w:val="18"/>
                <w:lang w:val="es-HN"/>
              </w:rPr>
              <w:t xml:space="preserve"> salud y el ambiente.  </w:t>
            </w:r>
          </w:p>
        </w:tc>
      </w:tr>
      <w:tr w:rsidR="000449A1" w:rsidRPr="00FA4B2D" w14:paraId="29321430" w14:textId="77777777" w:rsidTr="00D536D0">
        <w:tc>
          <w:tcPr>
            <w:tcW w:w="3595" w:type="dxa"/>
            <w:shd w:val="clear" w:color="auto" w:fill="auto"/>
            <w:vAlign w:val="center"/>
          </w:tcPr>
          <w:p w14:paraId="512F2081" w14:textId="1AD9FFCD" w:rsidR="000449A1" w:rsidRPr="00FA4B2D" w:rsidRDefault="000449A1" w:rsidP="00C67A21">
            <w:pPr>
              <w:jc w:val="both"/>
              <w:rPr>
                <w:rFonts w:cs="Arial"/>
                <w:sz w:val="18"/>
                <w:lang w:val="es-HN"/>
              </w:rPr>
            </w:pPr>
            <w:r w:rsidRPr="00FA4B2D">
              <w:rPr>
                <w:rFonts w:cs="Arial"/>
                <w:sz w:val="18"/>
                <w:szCs w:val="18"/>
                <w:lang w:val="es-HN"/>
              </w:rPr>
              <w:lastRenderedPageBreak/>
              <w:t xml:space="preserve">Ley Forestal, Áreas Protegidas </w:t>
            </w:r>
            <w:r w:rsidR="000A25DD" w:rsidRPr="00FA4B2D">
              <w:rPr>
                <w:rFonts w:cs="Arial"/>
                <w:sz w:val="18"/>
                <w:szCs w:val="18"/>
                <w:lang w:val="es-HN"/>
              </w:rPr>
              <w:t>y</w:t>
            </w:r>
            <w:r w:rsidRPr="00FA4B2D">
              <w:rPr>
                <w:rFonts w:cs="Arial"/>
                <w:sz w:val="18"/>
                <w:szCs w:val="18"/>
                <w:lang w:val="es-HN"/>
              </w:rPr>
              <w:t xml:space="preserve"> Vida Silvestre (Decreto</w:t>
            </w:r>
            <w:r w:rsidR="000A25DD" w:rsidRPr="00FA4B2D">
              <w:rPr>
                <w:rFonts w:cs="Arial"/>
                <w:sz w:val="18"/>
                <w:szCs w:val="18"/>
                <w:lang w:val="es-HN"/>
              </w:rPr>
              <w:t xml:space="preserve"> </w:t>
            </w:r>
            <w:r w:rsidRPr="00FA4B2D">
              <w:rPr>
                <w:rFonts w:cs="Arial"/>
                <w:sz w:val="18"/>
                <w:szCs w:val="18"/>
                <w:lang w:val="es-HN"/>
              </w:rPr>
              <w:t>No. 98- 2007; del 26 de</w:t>
            </w:r>
            <w:r w:rsidRPr="00FA4B2D">
              <w:rPr>
                <w:rFonts w:cs="Arial"/>
                <w:spacing w:val="-7"/>
                <w:sz w:val="18"/>
                <w:szCs w:val="18"/>
                <w:lang w:val="es-HN"/>
              </w:rPr>
              <w:t xml:space="preserve"> </w:t>
            </w:r>
            <w:r w:rsidRPr="00FA4B2D">
              <w:rPr>
                <w:rFonts w:cs="Arial"/>
                <w:sz w:val="18"/>
                <w:szCs w:val="18"/>
                <w:lang w:val="es-HN"/>
              </w:rPr>
              <w:t>febrero de</w:t>
            </w:r>
            <w:r w:rsidRPr="00FA4B2D">
              <w:rPr>
                <w:rFonts w:cs="Arial"/>
                <w:spacing w:val="-4"/>
                <w:sz w:val="18"/>
                <w:szCs w:val="18"/>
                <w:lang w:val="es-HN"/>
              </w:rPr>
              <w:t xml:space="preserve"> </w:t>
            </w:r>
            <w:r w:rsidRPr="00FA4B2D">
              <w:rPr>
                <w:rFonts w:cs="Arial"/>
                <w:sz w:val="18"/>
                <w:szCs w:val="18"/>
                <w:lang w:val="es-HN"/>
              </w:rPr>
              <w:t>2008).</w:t>
            </w:r>
          </w:p>
        </w:tc>
        <w:tc>
          <w:tcPr>
            <w:tcW w:w="5391" w:type="dxa"/>
            <w:vAlign w:val="center"/>
          </w:tcPr>
          <w:p w14:paraId="17FEE8B5" w14:textId="7DD80E08" w:rsidR="000449A1" w:rsidRPr="00FA4B2D" w:rsidRDefault="000449A1" w:rsidP="00C67A21">
            <w:pPr>
              <w:jc w:val="both"/>
              <w:rPr>
                <w:rFonts w:cs="Arial"/>
                <w:sz w:val="18"/>
                <w:szCs w:val="18"/>
                <w:lang w:val="es-HN"/>
              </w:rPr>
            </w:pPr>
            <w:r w:rsidRPr="00FA4B2D">
              <w:rPr>
                <w:rFonts w:cs="Arial"/>
                <w:sz w:val="18"/>
                <w:szCs w:val="18"/>
                <w:lang w:val="es-HN"/>
              </w:rPr>
              <w:t>Busca la protección, restauración, aprovechamiento, conservación y fomento de estos recursos para el desarrollo sostenible, contemplando el interés social, económico, ambiental y cultural del país</w:t>
            </w:r>
            <w:r w:rsidRPr="00FA4B2D">
              <w:rPr>
                <w:rFonts w:cs="Arial"/>
                <w:sz w:val="18"/>
                <w:lang w:val="es-HN"/>
              </w:rPr>
              <w:t>.</w:t>
            </w:r>
          </w:p>
        </w:tc>
      </w:tr>
      <w:tr w:rsidR="000449A1" w:rsidRPr="00FA4B2D" w14:paraId="41C5C323" w14:textId="77777777" w:rsidTr="00D536D0">
        <w:tc>
          <w:tcPr>
            <w:tcW w:w="3595" w:type="dxa"/>
            <w:shd w:val="clear" w:color="auto" w:fill="auto"/>
            <w:vAlign w:val="center"/>
          </w:tcPr>
          <w:p w14:paraId="08725358" w14:textId="7A63B687" w:rsidR="000449A1" w:rsidRPr="00FA4B2D" w:rsidRDefault="000449A1" w:rsidP="00C67A21">
            <w:pPr>
              <w:jc w:val="both"/>
              <w:rPr>
                <w:rFonts w:cs="Arial"/>
                <w:sz w:val="18"/>
                <w:lang w:val="es-HN"/>
              </w:rPr>
            </w:pPr>
            <w:r w:rsidRPr="00FA4B2D">
              <w:rPr>
                <w:rFonts w:cs="Arial"/>
                <w:sz w:val="18"/>
                <w:szCs w:val="18"/>
                <w:lang w:val="es-HN"/>
              </w:rPr>
              <w:t xml:space="preserve">Reglamento General de la </w:t>
            </w:r>
            <w:r w:rsidRPr="00FA4B2D">
              <w:rPr>
                <w:rFonts w:cs="Arial"/>
                <w:sz w:val="18"/>
                <w:lang w:val="es-HN"/>
              </w:rPr>
              <w:t xml:space="preserve">Ley Forestal, Áreas Protegidas </w:t>
            </w:r>
            <w:r w:rsidRPr="00FA4B2D">
              <w:rPr>
                <w:rFonts w:cs="Arial"/>
                <w:sz w:val="18"/>
                <w:szCs w:val="18"/>
                <w:lang w:val="es-HN"/>
              </w:rPr>
              <w:t>y</w:t>
            </w:r>
            <w:r w:rsidRPr="00FA4B2D">
              <w:rPr>
                <w:rFonts w:cs="Arial"/>
                <w:spacing w:val="-30"/>
                <w:sz w:val="18"/>
                <w:lang w:val="es-HN"/>
              </w:rPr>
              <w:t xml:space="preserve"> </w:t>
            </w:r>
            <w:r w:rsidRPr="00FA4B2D">
              <w:rPr>
                <w:rFonts w:cs="Arial"/>
                <w:sz w:val="18"/>
                <w:lang w:val="es-HN"/>
              </w:rPr>
              <w:t>Vida Silvestre (</w:t>
            </w:r>
            <w:r w:rsidRPr="00FA4B2D">
              <w:rPr>
                <w:rFonts w:cs="Arial"/>
                <w:sz w:val="18"/>
                <w:szCs w:val="18"/>
                <w:lang w:val="es-HN"/>
              </w:rPr>
              <w:t xml:space="preserve">Acuerdo Ejecutivo </w:t>
            </w:r>
            <w:r w:rsidRPr="00FA4B2D">
              <w:rPr>
                <w:rFonts w:cs="Arial"/>
                <w:sz w:val="18"/>
                <w:lang w:val="es-HN"/>
              </w:rPr>
              <w:t>No.</w:t>
            </w:r>
            <w:r w:rsidRPr="00FA4B2D">
              <w:rPr>
                <w:rFonts w:cs="Arial"/>
                <w:spacing w:val="-5"/>
                <w:sz w:val="18"/>
                <w:szCs w:val="18"/>
                <w:lang w:val="es-HN"/>
              </w:rPr>
              <w:t xml:space="preserve"> </w:t>
            </w:r>
            <w:r w:rsidRPr="00FA4B2D">
              <w:rPr>
                <w:rFonts w:cs="Arial"/>
                <w:sz w:val="18"/>
                <w:szCs w:val="18"/>
                <w:lang w:val="es-HN"/>
              </w:rPr>
              <w:t>031-2010).</w:t>
            </w:r>
          </w:p>
        </w:tc>
        <w:tc>
          <w:tcPr>
            <w:tcW w:w="5391" w:type="dxa"/>
            <w:vAlign w:val="center"/>
          </w:tcPr>
          <w:p w14:paraId="24F40DE5" w14:textId="07578F84" w:rsidR="000449A1" w:rsidRPr="00FA4B2D" w:rsidRDefault="000449A1" w:rsidP="00C67A21">
            <w:pPr>
              <w:jc w:val="both"/>
              <w:rPr>
                <w:rFonts w:cs="Arial"/>
                <w:sz w:val="18"/>
                <w:szCs w:val="18"/>
                <w:lang w:val="es-HN"/>
              </w:rPr>
            </w:pPr>
            <w:r w:rsidRPr="00FA4B2D">
              <w:rPr>
                <w:rFonts w:cs="Arial"/>
                <w:sz w:val="18"/>
                <w:lang w:val="es-HN"/>
              </w:rPr>
              <w:t xml:space="preserve">Las actividades del Proyecto deberán cumplir con las disposiciones establecidas en </w:t>
            </w:r>
            <w:r w:rsidRPr="00FA4B2D">
              <w:rPr>
                <w:rFonts w:cs="Arial"/>
                <w:sz w:val="18"/>
                <w:szCs w:val="18"/>
                <w:lang w:val="es-HN"/>
              </w:rPr>
              <w:t>la Ley y el reglamento.</w:t>
            </w:r>
          </w:p>
        </w:tc>
      </w:tr>
      <w:tr w:rsidR="006A3DBC" w:rsidRPr="00FA4B2D" w14:paraId="12265E60" w14:textId="77777777" w:rsidTr="00D536D0">
        <w:tc>
          <w:tcPr>
            <w:tcW w:w="3595" w:type="dxa"/>
            <w:vAlign w:val="center"/>
          </w:tcPr>
          <w:p w14:paraId="46CEE07C" w14:textId="77777777" w:rsidR="006A3DBC" w:rsidRPr="00FA4B2D" w:rsidRDefault="006A3DBC" w:rsidP="00C67A21">
            <w:pPr>
              <w:jc w:val="both"/>
              <w:rPr>
                <w:rFonts w:cs="Arial"/>
                <w:sz w:val="18"/>
                <w:lang w:val="es-HN"/>
              </w:rPr>
            </w:pPr>
            <w:bookmarkStart w:id="181" w:name="_Hlk65779140"/>
            <w:r w:rsidRPr="00FA4B2D">
              <w:rPr>
                <w:rFonts w:cs="Arial"/>
                <w:sz w:val="18"/>
                <w:lang w:val="es-HN"/>
              </w:rPr>
              <w:t xml:space="preserve">Reglamento </w:t>
            </w:r>
            <w:r w:rsidRPr="00FA4B2D">
              <w:rPr>
                <w:rFonts w:cs="Arial"/>
                <w:sz w:val="18"/>
                <w:szCs w:val="18"/>
                <w:lang w:val="es-HN"/>
              </w:rPr>
              <w:t>para la certificación</w:t>
            </w:r>
            <w:r w:rsidRPr="00FA4B2D">
              <w:rPr>
                <w:rFonts w:cs="Arial"/>
                <w:sz w:val="18"/>
                <w:lang w:val="es-HN"/>
              </w:rPr>
              <w:t xml:space="preserve"> de </w:t>
            </w:r>
            <w:r w:rsidRPr="00FA4B2D">
              <w:rPr>
                <w:rFonts w:cs="Arial"/>
                <w:sz w:val="18"/>
                <w:szCs w:val="18"/>
                <w:lang w:val="es-HN"/>
              </w:rPr>
              <w:t>Reservas Naturales Privadas</w:t>
            </w:r>
            <w:r w:rsidRPr="00FA4B2D">
              <w:rPr>
                <w:rFonts w:cs="Arial"/>
                <w:sz w:val="18"/>
                <w:lang w:val="es-HN"/>
              </w:rPr>
              <w:t xml:space="preserve"> (Acuerdo Ejecutivo </w:t>
            </w:r>
            <w:r w:rsidRPr="00FA4B2D">
              <w:rPr>
                <w:rFonts w:cs="Arial"/>
                <w:sz w:val="18"/>
                <w:szCs w:val="18"/>
                <w:lang w:val="es-HN"/>
              </w:rPr>
              <w:t>107-A-2013).</w:t>
            </w:r>
          </w:p>
        </w:tc>
        <w:tc>
          <w:tcPr>
            <w:tcW w:w="5391" w:type="dxa"/>
            <w:vAlign w:val="center"/>
          </w:tcPr>
          <w:p w14:paraId="0986C453" w14:textId="4823B2C2" w:rsidR="006A3DBC" w:rsidRPr="00FA4B2D" w:rsidRDefault="000449A1" w:rsidP="00C67A21">
            <w:pPr>
              <w:jc w:val="both"/>
              <w:rPr>
                <w:rFonts w:cs="Arial"/>
                <w:sz w:val="18"/>
                <w:lang w:val="es-HN"/>
              </w:rPr>
            </w:pPr>
            <w:r w:rsidRPr="00FA4B2D">
              <w:rPr>
                <w:rFonts w:cs="Arial"/>
                <w:sz w:val="18"/>
                <w:szCs w:val="18"/>
                <w:lang w:val="es-HN"/>
              </w:rPr>
              <w:t>El reglamento regula el proceso de certificación reservas naturales privadas por parte de Instituto Nacional de Conservación y Desarrollo Forestal, Áreas Protegidas y Vida Silvestre (ICF) a fin de obtener los beneficios que corresponden.</w:t>
            </w:r>
          </w:p>
        </w:tc>
      </w:tr>
      <w:bookmarkEnd w:id="181"/>
      <w:tr w:rsidR="006A3DBC" w:rsidRPr="00FA4B2D" w14:paraId="30B4F4DF" w14:textId="77777777" w:rsidTr="00D536D0">
        <w:trPr>
          <w:trHeight w:val="1913"/>
        </w:trPr>
        <w:tc>
          <w:tcPr>
            <w:tcW w:w="3595" w:type="dxa"/>
            <w:shd w:val="clear" w:color="auto" w:fill="auto"/>
            <w:vAlign w:val="center"/>
          </w:tcPr>
          <w:p w14:paraId="2F817172" w14:textId="1211F2A6" w:rsidR="006A3DBC" w:rsidRPr="00FA4B2D" w:rsidRDefault="006A3DBC" w:rsidP="00C67A21">
            <w:pPr>
              <w:jc w:val="both"/>
              <w:rPr>
                <w:rFonts w:cs="Arial"/>
                <w:sz w:val="18"/>
                <w:lang w:val="es-HN"/>
              </w:rPr>
            </w:pPr>
            <w:r w:rsidRPr="00FA4B2D">
              <w:rPr>
                <w:rFonts w:cs="Arial"/>
                <w:sz w:val="18"/>
                <w:szCs w:val="18"/>
                <w:lang w:val="es-HN"/>
              </w:rPr>
              <w:t>Ley Fito Zoosanitaria</w:t>
            </w:r>
            <w:r w:rsidR="006F1EFC" w:rsidRPr="00FA4B2D">
              <w:rPr>
                <w:rFonts w:cs="Arial"/>
                <w:spacing w:val="-11"/>
                <w:sz w:val="18"/>
                <w:lang w:val="es-ES_tradnl"/>
              </w:rPr>
              <w:t xml:space="preserve"> </w:t>
            </w:r>
            <w:r w:rsidRPr="00FA4B2D">
              <w:rPr>
                <w:rFonts w:cs="Arial"/>
                <w:sz w:val="18"/>
                <w:lang w:val="es-ES_tradnl"/>
              </w:rPr>
              <w:t>(Decreto</w:t>
            </w:r>
            <w:r w:rsidRPr="00FA4B2D">
              <w:rPr>
                <w:rFonts w:cs="Arial"/>
                <w:sz w:val="18"/>
                <w:szCs w:val="18"/>
                <w:lang w:val="es-ES_tradnl"/>
              </w:rPr>
              <w:t xml:space="preserve"> No.</w:t>
            </w:r>
            <w:r w:rsidRPr="00FA4B2D">
              <w:rPr>
                <w:rFonts w:cs="Arial"/>
                <w:spacing w:val="37"/>
                <w:sz w:val="18"/>
                <w:szCs w:val="18"/>
                <w:lang w:val="es-ES_tradnl"/>
              </w:rPr>
              <w:t xml:space="preserve"> </w:t>
            </w:r>
            <w:r w:rsidRPr="00FA4B2D">
              <w:rPr>
                <w:rFonts w:cs="Arial"/>
                <w:sz w:val="18"/>
                <w:szCs w:val="18"/>
                <w:lang w:val="es-ES_tradnl"/>
              </w:rPr>
              <w:t>157-94; del 13 de enero de 1995).</w:t>
            </w:r>
          </w:p>
        </w:tc>
        <w:tc>
          <w:tcPr>
            <w:tcW w:w="5391" w:type="dxa"/>
            <w:vAlign w:val="center"/>
          </w:tcPr>
          <w:p w14:paraId="100F575A" w14:textId="74DEEDDB" w:rsidR="006A3DBC" w:rsidRPr="00FA4B2D" w:rsidRDefault="006A3DBC" w:rsidP="00C67A21">
            <w:pPr>
              <w:jc w:val="both"/>
              <w:rPr>
                <w:rFonts w:cs="Arial"/>
                <w:sz w:val="18"/>
                <w:lang w:val="es-ES_tradnl"/>
              </w:rPr>
            </w:pPr>
            <w:r w:rsidRPr="00FA4B2D">
              <w:rPr>
                <w:rFonts w:cs="Arial"/>
                <w:sz w:val="18"/>
                <w:szCs w:val="18"/>
                <w:lang w:val="es-ES_tradnl"/>
              </w:rPr>
              <w:t>Su propósito es velar por la protección y sanidad de los vegetales y animales, y la conservación de sus productos y subproductos contra la acción perjudicial de las plagas y enfermedades de importancia económica, cuarentenaria y humana</w:t>
            </w:r>
            <w:r w:rsidRPr="00FA4B2D">
              <w:rPr>
                <w:rFonts w:cs="Arial"/>
                <w:sz w:val="18"/>
                <w:lang w:val="es-ES_tradnl"/>
              </w:rPr>
              <w:t>.</w:t>
            </w:r>
          </w:p>
          <w:p w14:paraId="3796D6A3" w14:textId="77777777" w:rsidR="006A3DBC" w:rsidRPr="00FA4B2D" w:rsidRDefault="006A3DBC" w:rsidP="00C67A21">
            <w:pPr>
              <w:jc w:val="both"/>
              <w:rPr>
                <w:rFonts w:cs="Arial"/>
                <w:sz w:val="18"/>
                <w:lang w:val="es-ES_tradnl"/>
              </w:rPr>
            </w:pPr>
            <w:r w:rsidRPr="00FA4B2D">
              <w:rPr>
                <w:rFonts w:cs="Arial"/>
                <w:sz w:val="18"/>
                <w:lang w:val="es-ES_tradnl"/>
              </w:rPr>
              <w:t xml:space="preserve">Las actividades del Proyecto </w:t>
            </w:r>
            <w:r w:rsidRPr="00FA4B2D">
              <w:rPr>
                <w:rFonts w:cs="Arial"/>
                <w:sz w:val="18"/>
                <w:szCs w:val="18"/>
                <w:lang w:val="es-ES_tradnl"/>
              </w:rPr>
              <w:t>se regirán por las disposiciones de esta normativa.</w:t>
            </w:r>
          </w:p>
        </w:tc>
      </w:tr>
      <w:tr w:rsidR="006A3DBC" w:rsidRPr="00FA4B2D" w14:paraId="3FCF9914" w14:textId="77777777" w:rsidTr="00D536D0">
        <w:trPr>
          <w:trHeight w:val="890"/>
        </w:trPr>
        <w:tc>
          <w:tcPr>
            <w:tcW w:w="3595" w:type="dxa"/>
            <w:shd w:val="clear" w:color="auto" w:fill="auto"/>
            <w:vAlign w:val="center"/>
          </w:tcPr>
          <w:p w14:paraId="2922D7B2" w14:textId="77777777" w:rsidR="006A3DBC" w:rsidRPr="00FA4B2D" w:rsidRDefault="006A3DBC" w:rsidP="00C67A21">
            <w:pPr>
              <w:jc w:val="both"/>
              <w:rPr>
                <w:rFonts w:cs="Arial"/>
                <w:sz w:val="18"/>
                <w:lang w:val="es-ES_tradnl"/>
              </w:rPr>
            </w:pPr>
            <w:r w:rsidRPr="00FA4B2D">
              <w:rPr>
                <w:rFonts w:cs="Arial"/>
                <w:sz w:val="18"/>
                <w:szCs w:val="18"/>
                <w:lang w:val="es-ES_tradnl"/>
              </w:rPr>
              <w:t>Reglamento sobre el registro, uso y control de plaguicidas y sustancias afines (Acuerdo</w:t>
            </w:r>
            <w:r w:rsidRPr="00FA4B2D">
              <w:rPr>
                <w:rFonts w:cs="Arial"/>
                <w:sz w:val="18"/>
                <w:lang w:val="es-ES_tradnl"/>
              </w:rPr>
              <w:t xml:space="preserve"> No. </w:t>
            </w:r>
            <w:r w:rsidRPr="00FA4B2D">
              <w:rPr>
                <w:rFonts w:cs="Arial"/>
                <w:sz w:val="18"/>
                <w:szCs w:val="18"/>
                <w:lang w:val="es-ES_tradnl"/>
              </w:rPr>
              <w:t>642-98</w:t>
            </w:r>
            <w:r w:rsidRPr="00FA4B2D">
              <w:rPr>
                <w:rFonts w:cs="Arial"/>
                <w:sz w:val="18"/>
                <w:lang w:val="es-ES_tradnl"/>
              </w:rPr>
              <w:t xml:space="preserve">; del </w:t>
            </w:r>
            <w:r w:rsidRPr="00FA4B2D">
              <w:rPr>
                <w:rFonts w:cs="Arial"/>
                <w:sz w:val="18"/>
                <w:szCs w:val="18"/>
                <w:lang w:val="es-ES_tradnl"/>
              </w:rPr>
              <w:t>27</w:t>
            </w:r>
            <w:r w:rsidRPr="00FA4B2D">
              <w:rPr>
                <w:rFonts w:cs="Arial"/>
                <w:sz w:val="18"/>
                <w:lang w:val="es-ES_tradnl"/>
              </w:rPr>
              <w:t xml:space="preserve"> de enero de </w:t>
            </w:r>
            <w:r w:rsidRPr="00FA4B2D">
              <w:rPr>
                <w:rFonts w:cs="Arial"/>
                <w:sz w:val="18"/>
                <w:szCs w:val="18"/>
                <w:lang w:val="es-ES_tradnl"/>
              </w:rPr>
              <w:t>2017).</w:t>
            </w:r>
          </w:p>
        </w:tc>
        <w:tc>
          <w:tcPr>
            <w:tcW w:w="5391" w:type="dxa"/>
            <w:vAlign w:val="center"/>
          </w:tcPr>
          <w:p w14:paraId="38B9827C" w14:textId="77777777" w:rsidR="006A3DBC" w:rsidRPr="00FA4B2D" w:rsidRDefault="006A3DBC" w:rsidP="00C67A21">
            <w:pPr>
              <w:jc w:val="both"/>
              <w:rPr>
                <w:rFonts w:cs="Arial"/>
                <w:sz w:val="18"/>
                <w:lang w:val="es-HN"/>
              </w:rPr>
            </w:pPr>
            <w:r w:rsidRPr="00FA4B2D">
              <w:rPr>
                <w:rFonts w:cs="Arial"/>
                <w:sz w:val="18"/>
                <w:lang w:val="es-HN"/>
              </w:rPr>
              <w:t xml:space="preserve">Las actividades del Proyecto </w:t>
            </w:r>
            <w:r w:rsidRPr="00FA4B2D">
              <w:rPr>
                <w:rFonts w:cs="Arial"/>
                <w:sz w:val="18"/>
                <w:szCs w:val="18"/>
                <w:lang w:val="es-HN"/>
              </w:rPr>
              <w:t xml:space="preserve">realizarán las acciones para el uso de plaguicidas y </w:t>
            </w:r>
            <w:r w:rsidRPr="00FA4B2D">
              <w:rPr>
                <w:rFonts w:cs="Arial"/>
                <w:sz w:val="18"/>
                <w:lang w:val="es-HN"/>
              </w:rPr>
              <w:t xml:space="preserve">las </w:t>
            </w:r>
            <w:r w:rsidRPr="00FA4B2D">
              <w:rPr>
                <w:rFonts w:cs="Arial"/>
                <w:sz w:val="18"/>
                <w:szCs w:val="18"/>
                <w:lang w:val="es-HN"/>
              </w:rPr>
              <w:t>sustancias afines de se realicen   de acuerdo con lo requerido por este Reglamento</w:t>
            </w:r>
            <w:r w:rsidRPr="00FA4B2D">
              <w:rPr>
                <w:rFonts w:cs="Arial"/>
                <w:sz w:val="18"/>
                <w:lang w:val="es-HN"/>
              </w:rPr>
              <w:t>.</w:t>
            </w:r>
          </w:p>
        </w:tc>
      </w:tr>
      <w:tr w:rsidR="006A3DBC" w:rsidRPr="00FA4B2D" w14:paraId="502795D3" w14:textId="77777777" w:rsidTr="00D536D0">
        <w:tc>
          <w:tcPr>
            <w:tcW w:w="3595" w:type="dxa"/>
            <w:shd w:val="clear" w:color="auto" w:fill="auto"/>
            <w:vAlign w:val="center"/>
          </w:tcPr>
          <w:p w14:paraId="4BE3772D" w14:textId="11D73FC6" w:rsidR="006A3DBC" w:rsidRPr="00FA4B2D" w:rsidRDefault="006A3DBC" w:rsidP="00C67A21">
            <w:pPr>
              <w:jc w:val="both"/>
              <w:rPr>
                <w:rFonts w:cs="Arial"/>
                <w:sz w:val="18"/>
                <w:lang w:val="es-ES_tradnl"/>
              </w:rPr>
            </w:pPr>
            <w:r w:rsidRPr="00FA4B2D">
              <w:rPr>
                <w:rFonts w:cs="Arial"/>
                <w:sz w:val="18"/>
                <w:lang w:val="es-ES_tradnl"/>
              </w:rPr>
              <w:t xml:space="preserve">Reglamento </w:t>
            </w:r>
            <w:r w:rsidRPr="00FA4B2D">
              <w:rPr>
                <w:rFonts w:cs="Arial"/>
                <w:sz w:val="18"/>
                <w:szCs w:val="18"/>
                <w:lang w:val="es-ES_tradnl"/>
              </w:rPr>
              <w:t>para la Agricultura Orgánica;</w:t>
            </w:r>
            <w:r w:rsidR="006F1EFC" w:rsidRPr="00FA4B2D">
              <w:rPr>
                <w:rFonts w:cs="Arial"/>
                <w:sz w:val="18"/>
                <w:szCs w:val="18"/>
                <w:lang w:val="es-ES_tradnl"/>
              </w:rPr>
              <w:t xml:space="preserve"> </w:t>
            </w:r>
            <w:r w:rsidRPr="00FA4B2D">
              <w:rPr>
                <w:rFonts w:cs="Arial"/>
                <w:sz w:val="18"/>
                <w:szCs w:val="18"/>
                <w:lang w:val="es-ES_tradnl"/>
              </w:rPr>
              <w:t>del 7</w:t>
            </w:r>
            <w:r w:rsidRPr="00FA4B2D">
              <w:rPr>
                <w:rFonts w:cs="Arial"/>
                <w:sz w:val="18"/>
                <w:lang w:val="es-ES_tradnl"/>
              </w:rPr>
              <w:t xml:space="preserve"> de </w:t>
            </w:r>
            <w:r w:rsidRPr="00FA4B2D">
              <w:rPr>
                <w:rFonts w:cs="Arial"/>
                <w:sz w:val="18"/>
                <w:szCs w:val="18"/>
                <w:lang w:val="es-ES_tradnl"/>
              </w:rPr>
              <w:t>marzo de 2003</w:t>
            </w:r>
            <w:r w:rsidR="006F1EFC" w:rsidRPr="00FA4B2D">
              <w:rPr>
                <w:rFonts w:cs="Arial"/>
                <w:sz w:val="18"/>
                <w:szCs w:val="18"/>
                <w:lang w:val="es-ES_tradnl"/>
              </w:rPr>
              <w:t>.</w:t>
            </w:r>
          </w:p>
        </w:tc>
        <w:tc>
          <w:tcPr>
            <w:tcW w:w="5391" w:type="dxa"/>
            <w:vAlign w:val="center"/>
          </w:tcPr>
          <w:p w14:paraId="251F022A" w14:textId="0D52D99D" w:rsidR="006A3DBC" w:rsidRPr="00FA4B2D" w:rsidRDefault="006A3DBC" w:rsidP="00C67A21">
            <w:pPr>
              <w:jc w:val="both"/>
              <w:rPr>
                <w:rFonts w:cs="Arial"/>
                <w:sz w:val="18"/>
                <w:szCs w:val="18"/>
                <w:lang w:val="es-HN"/>
              </w:rPr>
            </w:pPr>
            <w:r w:rsidRPr="00FA4B2D">
              <w:rPr>
                <w:rFonts w:cs="Arial"/>
                <w:sz w:val="18"/>
                <w:szCs w:val="18"/>
                <w:lang w:val="es-HN"/>
              </w:rPr>
              <w:t>Su objeto es regular la producción, procesamiento, comercialización y certificación de productos orgánicos agrícolas y establecer mecanismos de protección.</w:t>
            </w:r>
          </w:p>
          <w:p w14:paraId="31A2DDE6" w14:textId="77777777" w:rsidR="006A3DBC" w:rsidRPr="00FA4B2D" w:rsidRDefault="006A3DBC" w:rsidP="00C67A21">
            <w:pPr>
              <w:jc w:val="both"/>
              <w:rPr>
                <w:rFonts w:cs="Arial"/>
                <w:sz w:val="18"/>
                <w:lang w:val="es-HN"/>
              </w:rPr>
            </w:pPr>
            <w:r w:rsidRPr="00FA4B2D">
              <w:rPr>
                <w:rFonts w:cs="Arial"/>
                <w:sz w:val="18"/>
                <w:lang w:val="es-HN"/>
              </w:rPr>
              <w:t xml:space="preserve">Las actividades del Proyecto </w:t>
            </w:r>
            <w:r w:rsidRPr="00FA4B2D">
              <w:rPr>
                <w:rFonts w:cs="Arial"/>
                <w:sz w:val="18"/>
                <w:szCs w:val="18"/>
                <w:lang w:val="es-HN"/>
              </w:rPr>
              <w:t>deberán cumplir</w:t>
            </w:r>
            <w:r w:rsidRPr="00FA4B2D">
              <w:rPr>
                <w:rFonts w:cs="Arial"/>
                <w:sz w:val="18"/>
                <w:lang w:val="es-HN"/>
              </w:rPr>
              <w:t xml:space="preserve"> con </w:t>
            </w:r>
            <w:r w:rsidRPr="00FA4B2D">
              <w:rPr>
                <w:rFonts w:cs="Arial"/>
                <w:sz w:val="18"/>
                <w:szCs w:val="18"/>
                <w:lang w:val="es-HN"/>
              </w:rPr>
              <w:t>las disposiciones establecidas en</w:t>
            </w:r>
            <w:r w:rsidRPr="00FA4B2D">
              <w:rPr>
                <w:rFonts w:cs="Arial"/>
                <w:sz w:val="18"/>
                <w:lang w:val="es-HN"/>
              </w:rPr>
              <w:t xml:space="preserve"> este </w:t>
            </w:r>
            <w:r w:rsidRPr="00FA4B2D">
              <w:rPr>
                <w:rFonts w:cs="Arial"/>
                <w:sz w:val="18"/>
                <w:szCs w:val="18"/>
                <w:lang w:val="es-HN"/>
              </w:rPr>
              <w:t>reglamento</w:t>
            </w:r>
            <w:r w:rsidRPr="00FA4B2D">
              <w:rPr>
                <w:rFonts w:cs="Arial"/>
                <w:sz w:val="18"/>
                <w:lang w:val="es-HN"/>
              </w:rPr>
              <w:t>.</w:t>
            </w:r>
          </w:p>
        </w:tc>
      </w:tr>
      <w:tr w:rsidR="006A3DBC" w:rsidRPr="00FA4B2D" w14:paraId="0BA20B35" w14:textId="77777777" w:rsidTr="00D536D0">
        <w:tc>
          <w:tcPr>
            <w:tcW w:w="3595" w:type="dxa"/>
            <w:shd w:val="clear" w:color="auto" w:fill="FFFFFF" w:themeFill="background1"/>
            <w:vAlign w:val="center"/>
          </w:tcPr>
          <w:p w14:paraId="19AB8E41" w14:textId="77777777" w:rsidR="006A3DBC" w:rsidRPr="00FA4B2D" w:rsidRDefault="006A3DBC" w:rsidP="00C67A21">
            <w:pPr>
              <w:jc w:val="both"/>
              <w:rPr>
                <w:rFonts w:cs="Arial"/>
                <w:b/>
                <w:sz w:val="18"/>
                <w:lang w:val="es-HN"/>
              </w:rPr>
            </w:pPr>
            <w:r w:rsidRPr="00FA4B2D">
              <w:rPr>
                <w:rFonts w:cs="Arial"/>
                <w:sz w:val="18"/>
                <w:lang w:val="es-HN"/>
              </w:rPr>
              <w:t>Ley de Reforma Agraria (1962).</w:t>
            </w:r>
          </w:p>
        </w:tc>
        <w:tc>
          <w:tcPr>
            <w:tcW w:w="5391" w:type="dxa"/>
            <w:vAlign w:val="center"/>
          </w:tcPr>
          <w:p w14:paraId="657D1BD8" w14:textId="77777777" w:rsidR="006A3DBC" w:rsidRPr="00FA4B2D" w:rsidRDefault="006A3DBC" w:rsidP="00C67A21">
            <w:pPr>
              <w:jc w:val="both"/>
              <w:rPr>
                <w:rFonts w:cs="Arial"/>
                <w:sz w:val="18"/>
                <w:lang w:val="es-HN"/>
              </w:rPr>
            </w:pPr>
            <w:r w:rsidRPr="00FA4B2D">
              <w:rPr>
                <w:rFonts w:cs="Arial"/>
                <w:sz w:val="18"/>
                <w:szCs w:val="18"/>
              </w:rPr>
              <w:t xml:space="preserve">El EAS 1 requiere evaluación ambiental y social de cualquier actividad que puede tener impactos ambientales y sociales negativos, incluidos los impactos acumulativos. </w:t>
            </w:r>
          </w:p>
        </w:tc>
      </w:tr>
      <w:tr w:rsidR="006A3DBC" w:rsidRPr="00FA4B2D" w14:paraId="2298CE62" w14:textId="77777777" w:rsidTr="00D536D0">
        <w:tc>
          <w:tcPr>
            <w:tcW w:w="3595" w:type="dxa"/>
            <w:shd w:val="clear" w:color="auto" w:fill="FFFFFF" w:themeFill="background1"/>
            <w:vAlign w:val="center"/>
          </w:tcPr>
          <w:p w14:paraId="6294ACA5" w14:textId="77777777" w:rsidR="006A3DBC" w:rsidRPr="00FA4B2D" w:rsidRDefault="006A3DBC" w:rsidP="00C67A21">
            <w:pPr>
              <w:pStyle w:val="TableParagraph"/>
              <w:jc w:val="both"/>
              <w:rPr>
                <w:rFonts w:ascii="Arial" w:hAnsi="Arial" w:cs="Arial"/>
                <w:sz w:val="18"/>
                <w:szCs w:val="18"/>
                <w:lang w:val="es-HN"/>
              </w:rPr>
            </w:pPr>
            <w:r w:rsidRPr="00FA4B2D">
              <w:rPr>
                <w:rFonts w:ascii="Arial" w:hAnsi="Arial" w:cs="Arial"/>
                <w:sz w:val="18"/>
                <w:lang w:val="es-HN"/>
              </w:rPr>
              <w:t>Ley de Protección del Patrimonio Cultural de la Nación (</w:t>
            </w:r>
            <w:r w:rsidRPr="00FA4B2D">
              <w:rPr>
                <w:rFonts w:ascii="Arial" w:hAnsi="Arial" w:cs="Arial"/>
                <w:sz w:val="18"/>
                <w:szCs w:val="18"/>
                <w:lang w:val="es-HN"/>
              </w:rPr>
              <w:t>Decreto No.</w:t>
            </w:r>
            <w:r w:rsidRPr="00FA4B2D">
              <w:rPr>
                <w:rFonts w:ascii="Arial" w:hAnsi="Arial" w:cs="Arial"/>
                <w:spacing w:val="9"/>
                <w:sz w:val="18"/>
                <w:szCs w:val="18"/>
                <w:lang w:val="es-HN"/>
              </w:rPr>
              <w:t xml:space="preserve"> </w:t>
            </w:r>
            <w:r w:rsidRPr="00FA4B2D">
              <w:rPr>
                <w:rFonts w:ascii="Arial" w:hAnsi="Arial" w:cs="Arial"/>
                <w:sz w:val="18"/>
                <w:szCs w:val="18"/>
                <w:lang w:val="es-HN"/>
              </w:rPr>
              <w:t>81-84 / 220-1997).</w:t>
            </w:r>
          </w:p>
          <w:p w14:paraId="7CB01F36" w14:textId="77777777" w:rsidR="006A3DBC" w:rsidRPr="00FA4B2D" w:rsidRDefault="006A3DBC" w:rsidP="00C67A21">
            <w:pPr>
              <w:jc w:val="both"/>
              <w:rPr>
                <w:rFonts w:cs="Arial"/>
                <w:b/>
                <w:sz w:val="18"/>
                <w:lang w:val="es-HN"/>
              </w:rPr>
            </w:pPr>
          </w:p>
        </w:tc>
        <w:tc>
          <w:tcPr>
            <w:tcW w:w="5391" w:type="dxa"/>
            <w:vAlign w:val="center"/>
          </w:tcPr>
          <w:p w14:paraId="0BAA62B1" w14:textId="77777777" w:rsidR="006A3DBC" w:rsidRPr="00FA4B2D" w:rsidRDefault="006A3DBC" w:rsidP="00C67A21">
            <w:pPr>
              <w:jc w:val="both"/>
              <w:rPr>
                <w:rFonts w:cs="Arial"/>
                <w:sz w:val="18"/>
                <w:szCs w:val="18"/>
                <w:lang w:val="es-HN"/>
              </w:rPr>
            </w:pPr>
            <w:r w:rsidRPr="00FA4B2D">
              <w:rPr>
                <w:rFonts w:cs="Arial"/>
                <w:sz w:val="18"/>
                <w:szCs w:val="18"/>
                <w:lang w:val="es-HN"/>
              </w:rPr>
              <w:t>Las diversas manifestaciones del patrimonio cultural, asociadas a la percepción popular, sobre todo, con los bienes muebles que tienen categoría de monumentos, al igual que los sitios y tanto zonas como colecciones arqueológicas, los bienes patrimoniales, las manifestaciones culturales de las comunidades étnicas vivas, sus lenguas, sus tradiciones históricas, conocimientos y técnicas, formas de organización, sistemas de valores, prácticas religiosas y los lugares asociados con ellas.</w:t>
            </w:r>
          </w:p>
        </w:tc>
      </w:tr>
      <w:tr w:rsidR="006A3DBC" w:rsidRPr="00FA4B2D" w14:paraId="787762B0" w14:textId="77777777" w:rsidTr="00D536D0">
        <w:tc>
          <w:tcPr>
            <w:tcW w:w="3595" w:type="dxa"/>
            <w:shd w:val="clear" w:color="auto" w:fill="FFFFFF" w:themeFill="background1"/>
            <w:vAlign w:val="center"/>
          </w:tcPr>
          <w:p w14:paraId="5B325446" w14:textId="77777777" w:rsidR="006A3DBC" w:rsidRPr="00FA4B2D" w:rsidRDefault="006A3DBC" w:rsidP="00C67A21">
            <w:pPr>
              <w:jc w:val="both"/>
              <w:rPr>
                <w:rFonts w:cs="Arial"/>
                <w:sz w:val="18"/>
                <w:lang w:val="es-HN"/>
              </w:rPr>
            </w:pPr>
            <w:r w:rsidRPr="00FA4B2D">
              <w:rPr>
                <w:rFonts w:cs="Arial"/>
                <w:sz w:val="18"/>
                <w:szCs w:val="18"/>
                <w:lang w:val="es-HN"/>
              </w:rPr>
              <w:t>La Ley de Propiedad (</w:t>
            </w:r>
            <w:r w:rsidRPr="00FA4B2D">
              <w:rPr>
                <w:rFonts w:cs="Arial"/>
                <w:sz w:val="18"/>
                <w:lang w:val="es-HN"/>
              </w:rPr>
              <w:t xml:space="preserve">Decreto No. </w:t>
            </w:r>
            <w:r w:rsidRPr="00FA4B2D">
              <w:rPr>
                <w:rFonts w:cs="Arial"/>
                <w:sz w:val="18"/>
                <w:szCs w:val="18"/>
                <w:lang w:val="es-HN"/>
              </w:rPr>
              <w:t>82 – 2004; del 15 de junio de 2004).</w:t>
            </w:r>
          </w:p>
          <w:p w14:paraId="34D7F6FE" w14:textId="77777777" w:rsidR="006A3DBC" w:rsidRPr="00FA4B2D" w:rsidRDefault="006A3DBC" w:rsidP="00C67A21">
            <w:pPr>
              <w:jc w:val="both"/>
              <w:rPr>
                <w:rFonts w:cs="Arial"/>
                <w:b/>
                <w:sz w:val="18"/>
                <w:lang w:val="es-HN"/>
              </w:rPr>
            </w:pPr>
          </w:p>
        </w:tc>
        <w:tc>
          <w:tcPr>
            <w:tcW w:w="5391" w:type="dxa"/>
            <w:vAlign w:val="center"/>
          </w:tcPr>
          <w:p w14:paraId="5C2B47E3" w14:textId="2EEFB813" w:rsidR="006A3DBC" w:rsidRPr="00FA4B2D" w:rsidRDefault="006A3DBC" w:rsidP="00C67A21">
            <w:pPr>
              <w:jc w:val="both"/>
              <w:rPr>
                <w:rFonts w:cs="Arial"/>
                <w:sz w:val="18"/>
                <w:szCs w:val="18"/>
                <w:lang w:val="es-HN"/>
              </w:rPr>
            </w:pPr>
            <w:r w:rsidRPr="00FA4B2D">
              <w:rPr>
                <w:rFonts w:cs="Arial"/>
                <w:sz w:val="18"/>
                <w:szCs w:val="18"/>
                <w:lang w:val="es-HN"/>
              </w:rPr>
              <w:t>Artículo 93: Reconoce el derecho que los pueblos indígenas y afro-hondureño tienen sobre las tierras que tradicionalmente poseen y que la Ley no prohíbe.</w:t>
            </w:r>
          </w:p>
          <w:p w14:paraId="0371B299" w14:textId="77777777" w:rsidR="006A3DBC" w:rsidRPr="00FA4B2D" w:rsidRDefault="006A3DBC" w:rsidP="00C67A21">
            <w:pPr>
              <w:jc w:val="both"/>
              <w:rPr>
                <w:rFonts w:cs="Arial"/>
                <w:sz w:val="18"/>
                <w:szCs w:val="18"/>
                <w:lang w:val="es-HN"/>
              </w:rPr>
            </w:pPr>
            <w:r w:rsidRPr="00FA4B2D">
              <w:rPr>
                <w:rFonts w:cs="Arial"/>
                <w:sz w:val="18"/>
                <w:szCs w:val="18"/>
                <w:lang w:val="es-HN"/>
              </w:rPr>
              <w:t xml:space="preserve">Artículo 94: Los derechos de propiedad sobre las tierras de los pueblos indígenas afro hondureños, se titularán a su favor en forma colectiva. Los miembros de las comunidades o conjunto de </w:t>
            </w:r>
            <w:r w:rsidRPr="00FA4B2D">
              <w:rPr>
                <w:rFonts w:cs="Arial"/>
                <w:sz w:val="18"/>
                <w:szCs w:val="18"/>
                <w:lang w:val="es-HN"/>
              </w:rPr>
              <w:lastRenderedPageBreak/>
              <w:t>comunidades tienen derecho de tenencia y usufructo de acuerdo con las formas tradicionales de tenencia de la propiedad comunal.</w:t>
            </w:r>
          </w:p>
          <w:p w14:paraId="3BDD56F9" w14:textId="77777777" w:rsidR="006A3DBC" w:rsidRPr="00FA4B2D" w:rsidRDefault="006A3DBC" w:rsidP="00C67A21">
            <w:pPr>
              <w:jc w:val="both"/>
              <w:rPr>
                <w:rFonts w:cs="Arial"/>
                <w:sz w:val="18"/>
                <w:szCs w:val="18"/>
                <w:lang w:val="es-HN"/>
              </w:rPr>
            </w:pPr>
            <w:r w:rsidRPr="00FA4B2D">
              <w:rPr>
                <w:rFonts w:cs="Arial"/>
                <w:sz w:val="18"/>
                <w:szCs w:val="18"/>
                <w:lang w:val="es-HN"/>
              </w:rPr>
              <w:t>Artículo 102: Ninguna autoridad podrá expedir o registrar títulos a favor de terceros en tierras comunales. Las municipalidades que irrespeten los derechos de propiedad comunal ubicados dentro de su jurisdicción incurren en responsabilidad administrativa, civil o criminal, sin perjuicio de la nulidad de sus actos. Todo conflicto que se suscite entre estos pueblos y terceros respecto a tierras comunales se someterá al procedimiento especial creado en esta ley.</w:t>
            </w:r>
          </w:p>
          <w:p w14:paraId="7FEB5343" w14:textId="59F6FCAA" w:rsidR="006A3DBC" w:rsidRPr="00FA4B2D" w:rsidRDefault="006A3DBC" w:rsidP="00C67A21">
            <w:pPr>
              <w:jc w:val="both"/>
              <w:rPr>
                <w:rFonts w:cs="Arial"/>
                <w:b/>
                <w:sz w:val="18"/>
                <w:lang w:val="es-HN"/>
              </w:rPr>
            </w:pPr>
            <w:r w:rsidRPr="00FA4B2D">
              <w:rPr>
                <w:rFonts w:cs="Arial"/>
                <w:sz w:val="18"/>
                <w:szCs w:val="18"/>
                <w:lang w:val="es-HN"/>
              </w:rPr>
              <w:t>Artículo 125: Las zonas no catastradas el Instituto Nacional Agrario (INA) será el encargado de ejecutar los procesos de regularización a favor de los pueblos indígenas y afro hondureños. La expropiación podrá realizarse cuando se presente cualquiera de las circunstancias señaladas en el Artículo 77 de la presente ley.</w:t>
            </w:r>
          </w:p>
          <w:p w14:paraId="01E63B23" w14:textId="77777777" w:rsidR="006A3DBC" w:rsidRPr="00FA4B2D" w:rsidRDefault="006A3DBC" w:rsidP="00C67A21">
            <w:pPr>
              <w:jc w:val="both"/>
              <w:rPr>
                <w:rFonts w:cs="Arial"/>
                <w:sz w:val="18"/>
                <w:lang w:val="es-HN"/>
              </w:rPr>
            </w:pPr>
            <w:r w:rsidRPr="00FA4B2D">
              <w:rPr>
                <w:rFonts w:cs="Arial"/>
                <w:sz w:val="18"/>
                <w:lang w:val="es-HN"/>
              </w:rPr>
              <w:t>Se aplicará en las actividades que estén dirigidas a beneficiar a los pueblos indígenas</w:t>
            </w:r>
          </w:p>
        </w:tc>
      </w:tr>
      <w:tr w:rsidR="006A3DBC" w:rsidRPr="00FA4B2D" w14:paraId="100A76C6" w14:textId="77777777" w:rsidTr="00D536D0">
        <w:tc>
          <w:tcPr>
            <w:tcW w:w="3595" w:type="dxa"/>
            <w:shd w:val="clear" w:color="auto" w:fill="FFFFFF" w:themeFill="background1"/>
            <w:vAlign w:val="center"/>
          </w:tcPr>
          <w:p w14:paraId="2460663D" w14:textId="08F8EEF1" w:rsidR="006A3DBC" w:rsidRPr="00FA4B2D" w:rsidRDefault="006A3DBC" w:rsidP="00C67A21">
            <w:pPr>
              <w:jc w:val="both"/>
              <w:rPr>
                <w:rFonts w:cs="Arial"/>
                <w:b/>
                <w:sz w:val="18"/>
                <w:lang w:val="es-HN"/>
              </w:rPr>
            </w:pPr>
            <w:r w:rsidRPr="00FA4B2D">
              <w:rPr>
                <w:rFonts w:cs="Arial"/>
                <w:sz w:val="18"/>
                <w:szCs w:val="18"/>
                <w:lang w:val="es-HN"/>
              </w:rPr>
              <w:lastRenderedPageBreak/>
              <w:t>Ley de Municipalidades y sus reformas (Decreto No. 134- 90, de 01 enero de 1991; Decreto No. 48-91; y Decreto No. 177-91, Decreto Número 124-95).</w:t>
            </w:r>
          </w:p>
        </w:tc>
        <w:tc>
          <w:tcPr>
            <w:tcW w:w="5391" w:type="dxa"/>
            <w:vAlign w:val="center"/>
          </w:tcPr>
          <w:p w14:paraId="09CD9869" w14:textId="518C4C90" w:rsidR="006A3DBC" w:rsidRPr="00FA4B2D" w:rsidRDefault="006A3DBC" w:rsidP="00C67A21">
            <w:pPr>
              <w:jc w:val="both"/>
              <w:rPr>
                <w:rFonts w:cs="Arial"/>
                <w:sz w:val="18"/>
                <w:lang w:val="es-HN"/>
              </w:rPr>
            </w:pPr>
            <w:r w:rsidRPr="00FA4B2D">
              <w:rPr>
                <w:rFonts w:cs="Arial"/>
                <w:sz w:val="18"/>
                <w:szCs w:val="18"/>
                <w:lang w:val="es-HN"/>
              </w:rPr>
              <w:t>Desarrolla los principios constitucionales referentes al Régimen Departamental y Municipal.</w:t>
            </w:r>
          </w:p>
          <w:p w14:paraId="2F5CA3F3" w14:textId="77777777" w:rsidR="006A3DBC" w:rsidRPr="00FA4B2D" w:rsidRDefault="006A3DBC" w:rsidP="00C67A21">
            <w:pPr>
              <w:jc w:val="both"/>
              <w:rPr>
                <w:rFonts w:cs="Arial"/>
                <w:sz w:val="18"/>
                <w:lang w:val="es-HN"/>
              </w:rPr>
            </w:pPr>
            <w:r w:rsidRPr="00FA4B2D">
              <w:rPr>
                <w:rFonts w:cs="Arial"/>
                <w:sz w:val="18"/>
                <w:lang w:val="es-HN"/>
              </w:rPr>
              <w:t xml:space="preserve">Las actividades del </w:t>
            </w:r>
            <w:r w:rsidRPr="00FA4B2D">
              <w:rPr>
                <w:rFonts w:cs="Arial"/>
                <w:sz w:val="18"/>
                <w:szCs w:val="18"/>
                <w:lang w:val="es-HN"/>
              </w:rPr>
              <w:t>proyecto deberán respetar la autonomía y demás facultades, competencias y atracciones conferidas por Ley a la Municipalidades dentro de sus respectivas jurisdicciones.</w:t>
            </w:r>
          </w:p>
        </w:tc>
      </w:tr>
      <w:tr w:rsidR="006A3DBC" w:rsidRPr="00FA4B2D" w14:paraId="3CF9393F" w14:textId="77777777" w:rsidTr="00D536D0">
        <w:tc>
          <w:tcPr>
            <w:tcW w:w="3595" w:type="dxa"/>
            <w:shd w:val="clear" w:color="auto" w:fill="auto"/>
            <w:vAlign w:val="center"/>
          </w:tcPr>
          <w:p w14:paraId="7C7B4711" w14:textId="77777777" w:rsidR="006A3DBC" w:rsidRPr="00FA4B2D" w:rsidRDefault="006A3DBC" w:rsidP="00C67A21">
            <w:pPr>
              <w:jc w:val="both"/>
              <w:rPr>
                <w:rFonts w:cs="Arial"/>
                <w:b/>
                <w:bCs/>
                <w:sz w:val="18"/>
                <w:szCs w:val="18"/>
                <w:lang w:val="es-HN"/>
              </w:rPr>
            </w:pPr>
            <w:r w:rsidRPr="00FA4B2D">
              <w:rPr>
                <w:rFonts w:cs="Arial"/>
                <w:sz w:val="18"/>
                <w:lang w:val="es-HN"/>
              </w:rPr>
              <w:t xml:space="preserve">Ley de </w:t>
            </w:r>
            <w:r w:rsidRPr="00FA4B2D">
              <w:rPr>
                <w:rFonts w:cs="Arial"/>
                <w:sz w:val="18"/>
                <w:szCs w:val="18"/>
                <w:lang w:val="es-HN"/>
              </w:rPr>
              <w:t>igualdad de Oportunidades para la Mujer (</w:t>
            </w:r>
            <w:r w:rsidRPr="00FA4B2D">
              <w:rPr>
                <w:rFonts w:cs="Arial"/>
                <w:sz w:val="18"/>
                <w:szCs w:val="18"/>
              </w:rPr>
              <w:t>Decreto No. 34-2000; del 11 de abril del 2000).</w:t>
            </w:r>
          </w:p>
        </w:tc>
        <w:tc>
          <w:tcPr>
            <w:tcW w:w="5391" w:type="dxa"/>
            <w:shd w:val="clear" w:color="auto" w:fill="auto"/>
            <w:vAlign w:val="center"/>
          </w:tcPr>
          <w:p w14:paraId="7900E77F" w14:textId="628C12F8" w:rsidR="006A3DBC" w:rsidRPr="00FA4B2D" w:rsidRDefault="006A3DBC" w:rsidP="00C67A21">
            <w:pPr>
              <w:jc w:val="both"/>
              <w:rPr>
                <w:rFonts w:cs="Arial"/>
                <w:sz w:val="18"/>
              </w:rPr>
            </w:pPr>
            <w:r w:rsidRPr="00FA4B2D">
              <w:rPr>
                <w:rFonts w:cs="Arial"/>
                <w:sz w:val="18"/>
                <w:szCs w:val="18"/>
              </w:rPr>
              <w:t>Tiene por objeto integrar y coordinar las acciones que el Estado y la sociedad civil, tienen que ejecutar para eliminar todo tipo de discriminación contra la mujer y, obtener la igualdad de los hombres y mujeres ante la ley, priorizando las áreas de familia, salud, educación, cultura, medios de comunicación, medio ambiente, trabajo, seguridad social, crédito, tierra, vivienda y participación en la toma de decisiones dentro de las estructuras de poder</w:t>
            </w:r>
            <w:r w:rsidRPr="00FA4B2D">
              <w:rPr>
                <w:rFonts w:cs="Arial"/>
                <w:sz w:val="18"/>
              </w:rPr>
              <w:t>.</w:t>
            </w:r>
          </w:p>
          <w:p w14:paraId="32BDF8A9" w14:textId="5B67525D" w:rsidR="006A3DBC" w:rsidRPr="00FA4B2D" w:rsidRDefault="006A3DBC" w:rsidP="00C67A21">
            <w:pPr>
              <w:jc w:val="both"/>
              <w:rPr>
                <w:rFonts w:cs="Arial"/>
                <w:sz w:val="18"/>
                <w:szCs w:val="18"/>
              </w:rPr>
            </w:pPr>
            <w:r w:rsidRPr="00FA4B2D">
              <w:rPr>
                <w:rFonts w:cs="Arial"/>
                <w:sz w:val="18"/>
                <w:szCs w:val="18"/>
              </w:rPr>
              <w:t xml:space="preserve">Las actividades del Proyecto deberán garantizar el respeto a los derechos de las mujeres y promover oportunidades de empleo de mujeres en los </w:t>
            </w:r>
            <w:r w:rsidR="2AB19456" w:rsidRPr="00FA4B2D">
              <w:rPr>
                <w:rFonts w:cs="Arial"/>
                <w:sz w:val="18"/>
                <w:szCs w:val="18"/>
              </w:rPr>
              <w:t>subproyectos</w:t>
            </w:r>
            <w:r w:rsidRPr="00FA4B2D">
              <w:rPr>
                <w:rFonts w:cs="Arial"/>
                <w:sz w:val="18"/>
                <w:szCs w:val="18"/>
              </w:rPr>
              <w:t xml:space="preserve"> y actividades a ser financiadas.</w:t>
            </w:r>
          </w:p>
        </w:tc>
      </w:tr>
      <w:tr w:rsidR="006A3DBC" w:rsidRPr="00FA4B2D" w:rsidDel="003216EA" w14:paraId="15E45555" w14:textId="77777777" w:rsidTr="00D536D0">
        <w:tc>
          <w:tcPr>
            <w:tcW w:w="3595" w:type="dxa"/>
            <w:shd w:val="clear" w:color="auto" w:fill="FFFFFF" w:themeFill="background1"/>
            <w:vAlign w:val="center"/>
          </w:tcPr>
          <w:p w14:paraId="4015F529" w14:textId="271D15C6" w:rsidR="006A3DBC" w:rsidRPr="00FA4B2D" w:rsidRDefault="006A3DBC" w:rsidP="00C67A21">
            <w:pPr>
              <w:jc w:val="both"/>
              <w:rPr>
                <w:rFonts w:cs="Arial"/>
                <w:sz w:val="18"/>
                <w:lang w:val="es-HN"/>
              </w:rPr>
            </w:pPr>
            <w:r w:rsidRPr="00FA4B2D">
              <w:rPr>
                <w:rFonts w:cs="Arial"/>
                <w:sz w:val="18"/>
                <w:lang w:val="es-HN"/>
              </w:rPr>
              <w:t xml:space="preserve">Ley </w:t>
            </w:r>
            <w:r w:rsidRPr="00FA4B2D">
              <w:rPr>
                <w:rFonts w:cs="Arial"/>
                <w:sz w:val="18"/>
                <w:szCs w:val="18"/>
                <w:lang w:val="es-HN"/>
              </w:rPr>
              <w:t>contra</w:t>
            </w:r>
            <w:r w:rsidRPr="00FA4B2D">
              <w:rPr>
                <w:rFonts w:cs="Arial"/>
                <w:sz w:val="18"/>
                <w:lang w:val="es-HN"/>
              </w:rPr>
              <w:t xml:space="preserve"> la </w:t>
            </w:r>
            <w:r w:rsidRPr="00FA4B2D">
              <w:rPr>
                <w:rFonts w:cs="Arial"/>
                <w:sz w:val="18"/>
                <w:szCs w:val="18"/>
                <w:lang w:val="es-HN"/>
              </w:rPr>
              <w:t>Violencia Doméstica</w:t>
            </w:r>
            <w:r w:rsidR="002D41FB" w:rsidRPr="00FA4B2D">
              <w:rPr>
                <w:rFonts w:cs="Arial"/>
                <w:sz w:val="18"/>
                <w:szCs w:val="18"/>
                <w:lang w:val="es-HN"/>
              </w:rPr>
              <w:t xml:space="preserve"> (</w:t>
            </w:r>
            <w:r w:rsidRPr="00FA4B2D">
              <w:rPr>
                <w:rFonts w:cs="Arial"/>
                <w:sz w:val="18"/>
                <w:szCs w:val="18"/>
                <w:lang w:val="es-HN"/>
              </w:rPr>
              <w:t>Decreto 132-97</w:t>
            </w:r>
            <w:r w:rsidR="002D41FB" w:rsidRPr="00FA4B2D">
              <w:rPr>
                <w:rFonts w:cs="Arial"/>
                <w:sz w:val="18"/>
                <w:szCs w:val="18"/>
                <w:lang w:val="es-HN"/>
              </w:rPr>
              <w:t>)</w:t>
            </w:r>
            <w:r w:rsidRPr="00FA4B2D">
              <w:rPr>
                <w:rFonts w:cs="Arial"/>
                <w:sz w:val="18"/>
                <w:szCs w:val="18"/>
                <w:lang w:val="es-HN"/>
              </w:rPr>
              <w:t>.</w:t>
            </w:r>
          </w:p>
        </w:tc>
        <w:tc>
          <w:tcPr>
            <w:tcW w:w="5391" w:type="dxa"/>
            <w:shd w:val="clear" w:color="auto" w:fill="auto"/>
            <w:vAlign w:val="center"/>
          </w:tcPr>
          <w:p w14:paraId="256B067B" w14:textId="77777777" w:rsidR="006A3DBC" w:rsidRPr="00FA4B2D" w:rsidRDefault="006A3DBC" w:rsidP="00C67A21">
            <w:pPr>
              <w:jc w:val="both"/>
              <w:rPr>
                <w:rFonts w:cs="Arial"/>
                <w:sz w:val="18"/>
                <w:szCs w:val="18"/>
                <w:lang w:val="es-HN"/>
              </w:rPr>
            </w:pPr>
            <w:r w:rsidRPr="00FA4B2D">
              <w:rPr>
                <w:rFonts w:cs="Arial"/>
                <w:sz w:val="18"/>
                <w:szCs w:val="18"/>
                <w:lang w:val="es-HN"/>
              </w:rPr>
              <w:t xml:space="preserve">Decreto 132-97 Gaceta No. 28414 del 15 de noviembre de 1997: Incluye las Reformas aprobadas por el Congreso Nacional de la República el uno de septiembre de 2005, mismas que entraron en vigor a partir del día de su publicación en el Diario Oficial La Gaceta, el 11 de marzo de 2006. Contiene la sanción del acto que motiva la denuncia de violencia doméstica, la introducción de mecanismos de coordinación y seguimiento, el aumento del período de imposición de las sanciones y otros más. Es una de las leyes que establece, expresa claramente la protección hacia las mujeres de conformidad a teleología de las Convenciones paradigmáticas en la protección de los derechos humanos de las mujeres, como lo son: La Convención Interamericana para Prevenir, Sancionar y Erradicar la Violencia contra la Mujer </w:t>
            </w:r>
            <w:r w:rsidRPr="00FA4B2D">
              <w:rPr>
                <w:rFonts w:cs="Arial"/>
                <w:sz w:val="18"/>
                <w:szCs w:val="18"/>
                <w:lang w:val="es-HN"/>
              </w:rPr>
              <w:lastRenderedPageBreak/>
              <w:t>(Belem Do Para) y la Convención sobre la Eliminación de todas las Formas de Discriminación contra la Mujer (CEDAW).</w:t>
            </w:r>
          </w:p>
        </w:tc>
      </w:tr>
      <w:tr w:rsidR="006A3DBC" w:rsidRPr="00FA4B2D" w:rsidDel="003216EA" w14:paraId="54BD9750" w14:textId="77777777" w:rsidTr="000449A1">
        <w:tc>
          <w:tcPr>
            <w:tcW w:w="3595" w:type="dxa"/>
            <w:shd w:val="clear" w:color="auto" w:fill="auto"/>
            <w:vAlign w:val="center"/>
          </w:tcPr>
          <w:p w14:paraId="69D74C85" w14:textId="68D53727" w:rsidR="006A3DBC" w:rsidRPr="00FA4B2D" w:rsidRDefault="006A3DBC" w:rsidP="00C67A21">
            <w:pPr>
              <w:jc w:val="both"/>
              <w:rPr>
                <w:rFonts w:cs="Arial"/>
                <w:sz w:val="18"/>
                <w:lang w:val="es-HN"/>
              </w:rPr>
            </w:pPr>
            <w:r w:rsidRPr="00FA4B2D">
              <w:rPr>
                <w:rFonts w:cs="Arial"/>
                <w:sz w:val="18"/>
                <w:szCs w:val="18"/>
                <w:lang w:val="es-HN"/>
              </w:rPr>
              <w:lastRenderedPageBreak/>
              <w:t>Política Nacional de la Mujer II Plan de Igualdad y Equidad de Género en Honduras</w:t>
            </w:r>
            <w:r w:rsidR="001F0B9D" w:rsidRPr="00FA4B2D">
              <w:rPr>
                <w:rFonts w:cs="Arial"/>
                <w:sz w:val="18"/>
                <w:szCs w:val="18"/>
                <w:lang w:val="es-HN"/>
              </w:rPr>
              <w:t xml:space="preserve"> </w:t>
            </w:r>
            <w:r w:rsidRPr="00FA4B2D">
              <w:rPr>
                <w:rFonts w:cs="Arial"/>
                <w:sz w:val="18"/>
                <w:szCs w:val="18"/>
                <w:lang w:val="es-HN"/>
              </w:rPr>
              <w:t>(II PIEGH).</w:t>
            </w:r>
          </w:p>
        </w:tc>
        <w:tc>
          <w:tcPr>
            <w:tcW w:w="5391" w:type="dxa"/>
            <w:shd w:val="clear" w:color="auto" w:fill="auto"/>
            <w:vAlign w:val="center"/>
          </w:tcPr>
          <w:p w14:paraId="16FA0B60" w14:textId="7D58B9BA" w:rsidR="006A3DBC" w:rsidRPr="00FA4B2D" w:rsidRDefault="006A3DBC" w:rsidP="00C67A21">
            <w:pPr>
              <w:jc w:val="both"/>
              <w:rPr>
                <w:rFonts w:cs="Arial"/>
                <w:sz w:val="18"/>
                <w:szCs w:val="18"/>
              </w:rPr>
            </w:pPr>
            <w:r w:rsidRPr="00FA4B2D">
              <w:rPr>
                <w:rFonts w:cs="Arial"/>
                <w:sz w:val="18"/>
                <w:szCs w:val="18"/>
              </w:rPr>
              <w:t>Es un Decreto Ejecutivo (PCM 028-2010) aprobado en Consejo de ministros y publicado en La Gaceta Número 32275 del 28 de julio del 2010, con una vigencia de 2010 a 2022, ejecutado a través del INAM y circunscrito al Plan de Nación 2010-2022 y Visión de País 2010-2038.</w:t>
            </w:r>
          </w:p>
          <w:p w14:paraId="1193234A" w14:textId="77777777" w:rsidR="006A3DBC" w:rsidRPr="00FA4B2D" w:rsidRDefault="006A3DBC" w:rsidP="00C67A21">
            <w:pPr>
              <w:jc w:val="both"/>
              <w:rPr>
                <w:rFonts w:cs="Arial"/>
                <w:sz w:val="18"/>
                <w:lang w:val="es-HN"/>
              </w:rPr>
            </w:pPr>
            <w:r w:rsidRPr="00FA4B2D">
              <w:rPr>
                <w:rFonts w:cs="Arial"/>
                <w:sz w:val="18"/>
                <w:lang w:val="es-HN"/>
              </w:rPr>
              <w:t xml:space="preserve">El Proyecto </w:t>
            </w:r>
            <w:r w:rsidRPr="00FA4B2D">
              <w:rPr>
                <w:rFonts w:cs="Arial"/>
                <w:sz w:val="18"/>
                <w:szCs w:val="18"/>
                <w:lang w:val="es-HN"/>
              </w:rPr>
              <w:t>deberá impulsar la equidad de género, en coherencia con los lineamientos de esta</w:t>
            </w:r>
            <w:r w:rsidRPr="00FA4B2D">
              <w:rPr>
                <w:rFonts w:cs="Arial"/>
                <w:sz w:val="18"/>
                <w:lang w:val="es-HN"/>
              </w:rPr>
              <w:t xml:space="preserve"> política</w:t>
            </w:r>
            <w:r w:rsidRPr="00FA4B2D">
              <w:rPr>
                <w:rFonts w:cs="Arial"/>
                <w:sz w:val="18"/>
                <w:szCs w:val="18"/>
                <w:lang w:val="es-HN"/>
              </w:rPr>
              <w:t xml:space="preserve">.    </w:t>
            </w:r>
          </w:p>
        </w:tc>
      </w:tr>
      <w:tr w:rsidR="006A3DBC" w:rsidRPr="00FA4B2D" w14:paraId="215EDAC4" w14:textId="77777777" w:rsidTr="00D536D0">
        <w:trPr>
          <w:trHeight w:val="700"/>
        </w:trPr>
        <w:tc>
          <w:tcPr>
            <w:tcW w:w="3595" w:type="dxa"/>
            <w:shd w:val="clear" w:color="auto" w:fill="FFFFFF" w:themeFill="background1"/>
            <w:vAlign w:val="center"/>
          </w:tcPr>
          <w:p w14:paraId="0862B234" w14:textId="77777777" w:rsidR="006A3DBC" w:rsidRPr="00FA4B2D" w:rsidRDefault="006A3DBC" w:rsidP="00C67A21">
            <w:pPr>
              <w:jc w:val="both"/>
              <w:rPr>
                <w:rFonts w:cs="Arial"/>
                <w:sz w:val="18"/>
              </w:rPr>
            </w:pPr>
            <w:r w:rsidRPr="00FA4B2D">
              <w:rPr>
                <w:rFonts w:cs="Arial"/>
                <w:sz w:val="18"/>
              </w:rPr>
              <w:t xml:space="preserve">Ley Marco para el Desarrollo Integral de la Juventud (Decreto No. 260-2005; del 16 de enero de 2006).  </w:t>
            </w:r>
          </w:p>
        </w:tc>
        <w:tc>
          <w:tcPr>
            <w:tcW w:w="5391" w:type="dxa"/>
            <w:vAlign w:val="center"/>
          </w:tcPr>
          <w:p w14:paraId="401C6DCF" w14:textId="275D1997" w:rsidR="006A3DBC" w:rsidRPr="00FA4B2D" w:rsidRDefault="006A3DBC" w:rsidP="00C67A21">
            <w:pPr>
              <w:jc w:val="both"/>
              <w:rPr>
                <w:rFonts w:cs="Arial"/>
                <w:sz w:val="18"/>
              </w:rPr>
            </w:pPr>
            <w:r w:rsidRPr="00FA4B2D">
              <w:rPr>
                <w:rFonts w:cs="Arial"/>
                <w:sz w:val="18"/>
              </w:rPr>
              <w:t xml:space="preserve">Establece el marco jurídico, político e institucional que promueva el pleno desarrollo de los jóvenes. Orienta las acciones del Estado, la sociedad y la familia sobre esta materia, así como fomentar la </w:t>
            </w:r>
            <w:proofErr w:type="gramStart"/>
            <w:r w:rsidRPr="00FA4B2D">
              <w:rPr>
                <w:rFonts w:cs="Arial"/>
                <w:sz w:val="18"/>
              </w:rPr>
              <w:t>participación activa</w:t>
            </w:r>
            <w:proofErr w:type="gramEnd"/>
            <w:r w:rsidRPr="00FA4B2D">
              <w:rPr>
                <w:rFonts w:cs="Arial"/>
                <w:sz w:val="18"/>
              </w:rPr>
              <w:t xml:space="preserve"> y permanente de los jóvenes en su propio desarrollo. </w:t>
            </w:r>
          </w:p>
          <w:p w14:paraId="1DAD6DED" w14:textId="77777777" w:rsidR="006A3DBC" w:rsidRPr="00FA4B2D" w:rsidRDefault="006A3DBC" w:rsidP="00C67A21">
            <w:pPr>
              <w:jc w:val="both"/>
              <w:rPr>
                <w:rFonts w:cs="Arial"/>
                <w:sz w:val="18"/>
              </w:rPr>
            </w:pPr>
            <w:r w:rsidRPr="00FA4B2D">
              <w:rPr>
                <w:rFonts w:cs="Arial"/>
                <w:sz w:val="18"/>
              </w:rPr>
              <w:t xml:space="preserve">El Proyecto impulsará las iniciativas de apoyo a los jóvenes.   </w:t>
            </w:r>
          </w:p>
        </w:tc>
      </w:tr>
      <w:tr w:rsidR="006A3DBC" w:rsidRPr="00FA4B2D" w14:paraId="632CBC1D" w14:textId="77777777" w:rsidTr="000449A1">
        <w:trPr>
          <w:trHeight w:val="944"/>
        </w:trPr>
        <w:tc>
          <w:tcPr>
            <w:tcW w:w="3595" w:type="dxa"/>
            <w:shd w:val="clear" w:color="auto" w:fill="FFFFFF" w:themeFill="background1"/>
            <w:vAlign w:val="center"/>
          </w:tcPr>
          <w:p w14:paraId="1B58186D" w14:textId="74C87FFC" w:rsidR="006A3DBC" w:rsidRPr="00FA4B2D" w:rsidRDefault="006A3DBC" w:rsidP="00C67A21">
            <w:pPr>
              <w:jc w:val="both"/>
              <w:rPr>
                <w:rFonts w:cs="Arial"/>
                <w:sz w:val="18"/>
              </w:rPr>
            </w:pPr>
            <w:r w:rsidRPr="00FA4B2D">
              <w:rPr>
                <w:rFonts w:cs="Arial"/>
                <w:sz w:val="18"/>
                <w:lang w:val="es-HN"/>
              </w:rPr>
              <w:t>Ley del Sector Social de la Economía</w:t>
            </w:r>
            <w:r w:rsidR="001F0B9D" w:rsidRPr="00FA4B2D">
              <w:rPr>
                <w:rFonts w:cs="Arial"/>
                <w:sz w:val="18"/>
                <w:lang w:val="es-HN"/>
              </w:rPr>
              <w:t xml:space="preserve"> </w:t>
            </w:r>
            <w:r w:rsidRPr="00FA4B2D">
              <w:rPr>
                <w:rFonts w:cs="Arial"/>
                <w:sz w:val="18"/>
              </w:rPr>
              <w:t>(Decreto número 193-85 Del Congreso Nacional).</w:t>
            </w:r>
          </w:p>
          <w:p w14:paraId="1DADC20D" w14:textId="77777777" w:rsidR="006A3DBC" w:rsidRPr="00FA4B2D" w:rsidRDefault="006A3DBC" w:rsidP="00C67A21">
            <w:pPr>
              <w:jc w:val="both"/>
              <w:rPr>
                <w:rFonts w:cs="Arial"/>
                <w:sz w:val="18"/>
              </w:rPr>
            </w:pPr>
          </w:p>
          <w:p w14:paraId="2DFA25E5" w14:textId="77777777" w:rsidR="006A3DBC" w:rsidRPr="00FA4B2D" w:rsidRDefault="006A3DBC" w:rsidP="00C67A21">
            <w:pPr>
              <w:jc w:val="both"/>
              <w:rPr>
                <w:rFonts w:cs="Arial"/>
                <w:sz w:val="18"/>
                <w:lang w:val="es-HN"/>
              </w:rPr>
            </w:pPr>
          </w:p>
          <w:p w14:paraId="0DE88416" w14:textId="3036BF7E" w:rsidR="006A3DBC" w:rsidRPr="00FA4B2D" w:rsidRDefault="006A3DBC" w:rsidP="00C67A21">
            <w:pPr>
              <w:jc w:val="both"/>
              <w:rPr>
                <w:rFonts w:cs="Arial"/>
                <w:sz w:val="18"/>
              </w:rPr>
            </w:pPr>
            <w:r w:rsidRPr="00FA4B2D">
              <w:rPr>
                <w:rFonts w:cs="Arial"/>
                <w:sz w:val="18"/>
                <w:lang w:val="es-HN"/>
              </w:rPr>
              <w:t>Reglamento del Sector Social de la Economía</w:t>
            </w:r>
            <w:r w:rsidR="001F0B9D" w:rsidRPr="00FA4B2D">
              <w:rPr>
                <w:rFonts w:cs="Arial"/>
                <w:sz w:val="18"/>
                <w:lang w:val="es-HN"/>
              </w:rPr>
              <w:t xml:space="preserve"> </w:t>
            </w:r>
            <w:r w:rsidRPr="00FA4B2D">
              <w:rPr>
                <w:rFonts w:cs="Arial"/>
                <w:sz w:val="18"/>
                <w:lang w:val="es-ES"/>
              </w:rPr>
              <w:t xml:space="preserve">(Acuerdo Ejecutivo No. 254-97). </w:t>
            </w:r>
          </w:p>
        </w:tc>
        <w:tc>
          <w:tcPr>
            <w:tcW w:w="5391" w:type="dxa"/>
            <w:vAlign w:val="center"/>
          </w:tcPr>
          <w:p w14:paraId="5FDD7EFF" w14:textId="4CEB24D5" w:rsidR="006A3DBC" w:rsidRPr="00FA4B2D" w:rsidRDefault="006A3DBC" w:rsidP="00C67A21">
            <w:pPr>
              <w:jc w:val="both"/>
              <w:rPr>
                <w:rFonts w:cs="Arial"/>
                <w:sz w:val="18"/>
                <w:lang w:val="es-ES"/>
              </w:rPr>
            </w:pPr>
            <w:r w:rsidRPr="00FA4B2D">
              <w:rPr>
                <w:rFonts w:cs="Arial"/>
                <w:sz w:val="18"/>
                <w:lang w:val="es-ES"/>
              </w:rPr>
              <w:t xml:space="preserve">Declarase de interés público la organización, fomento y desarrollo del Sector Social de la Economía, para contribuir a humanizar el desarrollo económico y social del país, de acuerdo con los principios de eficiencia en la producción, justicia social en la distribución de la riqueza y el ingreso nacional, coexistencia democrática y armónica en las diversas formas de propiedad y empresas en que se sustenta el Sistema Económico de Honduras, de acuerdo con la Constitución de la República. </w:t>
            </w:r>
          </w:p>
          <w:p w14:paraId="4F5DF92B" w14:textId="77777777" w:rsidR="006A3DBC" w:rsidRPr="00FA4B2D" w:rsidRDefault="006A3DBC" w:rsidP="00C67A21">
            <w:pPr>
              <w:pStyle w:val="Textocomentario"/>
              <w:jc w:val="both"/>
              <w:rPr>
                <w:rFonts w:cs="Arial"/>
                <w:sz w:val="18"/>
              </w:rPr>
            </w:pPr>
            <w:r w:rsidRPr="00FA4B2D">
              <w:rPr>
                <w:rFonts w:cs="Arial"/>
                <w:sz w:val="18"/>
              </w:rPr>
              <w:t>El Proyecto trabaja con cooperativas y organizaciones de sector social de la economía.</w:t>
            </w:r>
          </w:p>
        </w:tc>
      </w:tr>
      <w:tr w:rsidR="006A3DBC" w:rsidRPr="00FA4B2D" w14:paraId="729C1DA1" w14:textId="77777777" w:rsidTr="00D536D0">
        <w:tc>
          <w:tcPr>
            <w:tcW w:w="3595" w:type="dxa"/>
            <w:shd w:val="clear" w:color="auto" w:fill="FFFFFF" w:themeFill="background1"/>
            <w:vAlign w:val="center"/>
          </w:tcPr>
          <w:p w14:paraId="4639880A" w14:textId="77777777" w:rsidR="006A3DBC" w:rsidRPr="00FA4B2D" w:rsidRDefault="006A3DBC" w:rsidP="00C67A21">
            <w:pPr>
              <w:jc w:val="both"/>
              <w:rPr>
                <w:rFonts w:cs="Arial"/>
                <w:sz w:val="18"/>
              </w:rPr>
            </w:pPr>
            <w:r w:rsidRPr="00FA4B2D">
              <w:rPr>
                <w:rFonts w:cs="Arial"/>
                <w:sz w:val="18"/>
                <w:szCs w:val="18"/>
              </w:rPr>
              <w:t>Código de Salud (Decreto 65-91) y sus reformas (Norma 191-91; y Norma 194-96).</w:t>
            </w:r>
          </w:p>
        </w:tc>
        <w:tc>
          <w:tcPr>
            <w:tcW w:w="5391" w:type="dxa"/>
            <w:vAlign w:val="center"/>
          </w:tcPr>
          <w:p w14:paraId="2824C9DE" w14:textId="77777777" w:rsidR="006A3DBC" w:rsidRPr="00FA4B2D" w:rsidRDefault="006A3DBC" w:rsidP="00C67A21">
            <w:pPr>
              <w:jc w:val="both"/>
              <w:rPr>
                <w:rFonts w:cs="Arial"/>
                <w:sz w:val="18"/>
              </w:rPr>
            </w:pPr>
            <w:r w:rsidRPr="00FA4B2D">
              <w:rPr>
                <w:rFonts w:cs="Arial"/>
                <w:sz w:val="18"/>
                <w:szCs w:val="18"/>
              </w:rPr>
              <w:t>Es el principal instrumento legal en materia de salud a nivel nacional</w:t>
            </w:r>
            <w:r w:rsidRPr="00FA4B2D">
              <w:rPr>
                <w:rFonts w:cs="Arial"/>
                <w:sz w:val="18"/>
              </w:rPr>
              <w:t xml:space="preserve">, incluye entre </w:t>
            </w:r>
            <w:r w:rsidRPr="00FA4B2D">
              <w:rPr>
                <w:rFonts w:cs="Arial"/>
                <w:sz w:val="18"/>
                <w:szCs w:val="18"/>
              </w:rPr>
              <w:t>sus artículos la importancia</w:t>
            </w:r>
            <w:r w:rsidRPr="00FA4B2D">
              <w:rPr>
                <w:rFonts w:cs="Arial"/>
                <w:sz w:val="18"/>
              </w:rPr>
              <w:t xml:space="preserve"> de </w:t>
            </w:r>
            <w:r w:rsidRPr="00FA4B2D">
              <w:rPr>
                <w:rFonts w:cs="Arial"/>
                <w:sz w:val="18"/>
                <w:szCs w:val="18"/>
              </w:rPr>
              <w:t>la salud ocupacional</w:t>
            </w:r>
            <w:r w:rsidRPr="00FA4B2D">
              <w:rPr>
                <w:rFonts w:cs="Arial"/>
                <w:sz w:val="18"/>
              </w:rPr>
              <w:t xml:space="preserve"> y </w:t>
            </w:r>
            <w:r w:rsidRPr="00FA4B2D">
              <w:rPr>
                <w:rFonts w:cs="Arial"/>
                <w:sz w:val="18"/>
                <w:szCs w:val="18"/>
              </w:rPr>
              <w:t>la definición</w:t>
            </w:r>
            <w:r w:rsidRPr="00FA4B2D">
              <w:rPr>
                <w:rFonts w:cs="Arial"/>
                <w:sz w:val="18"/>
              </w:rPr>
              <w:t xml:space="preserve"> de consideraciones </w:t>
            </w:r>
            <w:r w:rsidRPr="00FA4B2D">
              <w:rPr>
                <w:rFonts w:cs="Arial"/>
                <w:sz w:val="18"/>
                <w:szCs w:val="18"/>
              </w:rPr>
              <w:t>en caso</w:t>
            </w:r>
            <w:r w:rsidRPr="00FA4B2D">
              <w:rPr>
                <w:rFonts w:cs="Arial"/>
                <w:sz w:val="18"/>
              </w:rPr>
              <w:t xml:space="preserve"> de </w:t>
            </w:r>
            <w:r w:rsidRPr="00FA4B2D">
              <w:rPr>
                <w:rFonts w:cs="Arial"/>
                <w:sz w:val="18"/>
                <w:szCs w:val="18"/>
              </w:rPr>
              <w:t>emergencias</w:t>
            </w:r>
            <w:r w:rsidRPr="00FA4B2D">
              <w:rPr>
                <w:rFonts w:cs="Arial"/>
                <w:sz w:val="18"/>
              </w:rPr>
              <w:t>.</w:t>
            </w:r>
          </w:p>
          <w:p w14:paraId="26610225" w14:textId="77777777" w:rsidR="006A3DBC" w:rsidRPr="00FA4B2D" w:rsidRDefault="006A3DBC" w:rsidP="00C67A21">
            <w:pPr>
              <w:autoSpaceDE w:val="0"/>
              <w:autoSpaceDN w:val="0"/>
              <w:adjustRightInd w:val="0"/>
              <w:ind w:left="-39"/>
              <w:jc w:val="both"/>
              <w:rPr>
                <w:rFonts w:cs="Arial"/>
                <w:sz w:val="18"/>
              </w:rPr>
            </w:pPr>
            <w:r w:rsidRPr="00FA4B2D">
              <w:rPr>
                <w:rFonts w:cs="Arial"/>
                <w:sz w:val="18"/>
                <w:szCs w:val="18"/>
              </w:rPr>
              <w:t>Las actividades en respuesta a la emergencia están orientadas a contribuir a contribuir en proveer las condiciones de salud y seguridad ocupacional de los trabajadores.</w:t>
            </w:r>
          </w:p>
        </w:tc>
      </w:tr>
      <w:tr w:rsidR="006A3DBC" w:rsidRPr="00FA4B2D" w14:paraId="155383E6" w14:textId="77777777" w:rsidTr="00D536D0">
        <w:tc>
          <w:tcPr>
            <w:tcW w:w="3595" w:type="dxa"/>
            <w:shd w:val="clear" w:color="auto" w:fill="FFFFFF" w:themeFill="background1"/>
            <w:vAlign w:val="center"/>
          </w:tcPr>
          <w:p w14:paraId="6A29A1AC" w14:textId="77777777" w:rsidR="006A3DBC" w:rsidRPr="00FA4B2D" w:rsidRDefault="006A3DBC" w:rsidP="00C67A21">
            <w:pPr>
              <w:jc w:val="both"/>
              <w:rPr>
                <w:rFonts w:cs="Arial"/>
                <w:b/>
                <w:sz w:val="18"/>
                <w:lang w:val="es-HN"/>
              </w:rPr>
            </w:pPr>
            <w:r w:rsidRPr="00FA4B2D">
              <w:rPr>
                <w:rFonts w:cs="Arial"/>
                <w:sz w:val="18"/>
              </w:rPr>
              <w:t>Reglamento para el manejo integral de los residuos sólidos (Acuerdo 1567-2010).</w:t>
            </w:r>
          </w:p>
        </w:tc>
        <w:tc>
          <w:tcPr>
            <w:tcW w:w="5391" w:type="dxa"/>
            <w:vAlign w:val="center"/>
          </w:tcPr>
          <w:p w14:paraId="5A2C2ACF" w14:textId="77777777" w:rsidR="006A3DBC" w:rsidRPr="00FA4B2D" w:rsidRDefault="006A3DBC" w:rsidP="00C67A21">
            <w:pPr>
              <w:autoSpaceDE w:val="0"/>
              <w:autoSpaceDN w:val="0"/>
              <w:adjustRightInd w:val="0"/>
              <w:jc w:val="both"/>
              <w:rPr>
                <w:rFonts w:cs="Arial"/>
                <w:sz w:val="18"/>
                <w:szCs w:val="18"/>
              </w:rPr>
            </w:pPr>
            <w:r w:rsidRPr="00FA4B2D">
              <w:rPr>
                <w:rFonts w:cs="Arial"/>
                <w:sz w:val="18"/>
                <w:szCs w:val="18"/>
              </w:rPr>
              <w:t>El reglamento regula la gestión integral de los residuos sólidos</w:t>
            </w:r>
            <w:r w:rsidRPr="00FA4B2D">
              <w:rPr>
                <w:rFonts w:cs="Arial"/>
                <w:sz w:val="18"/>
              </w:rPr>
              <w:t xml:space="preserve">, incluye entre </w:t>
            </w:r>
            <w:r w:rsidRPr="00FA4B2D">
              <w:rPr>
                <w:rFonts w:cs="Arial"/>
                <w:sz w:val="18"/>
                <w:szCs w:val="18"/>
              </w:rPr>
              <w:t>los tipos</w:t>
            </w:r>
            <w:r w:rsidRPr="00FA4B2D">
              <w:rPr>
                <w:rFonts w:cs="Arial"/>
                <w:sz w:val="18"/>
              </w:rPr>
              <w:t xml:space="preserve"> de </w:t>
            </w:r>
            <w:r w:rsidRPr="00FA4B2D">
              <w:rPr>
                <w:rFonts w:cs="Arial"/>
                <w:sz w:val="18"/>
                <w:szCs w:val="18"/>
              </w:rPr>
              <w:t xml:space="preserve">residuos los especiales, clasificándolos en químicos, bioinfecciosos y radiactivos. </w:t>
            </w:r>
          </w:p>
          <w:p w14:paraId="71040ACB" w14:textId="0D720870" w:rsidR="006A3DBC" w:rsidRPr="00FA4B2D" w:rsidRDefault="006A3DBC" w:rsidP="00C67A21">
            <w:pPr>
              <w:jc w:val="both"/>
              <w:rPr>
                <w:rFonts w:cs="Arial"/>
                <w:sz w:val="18"/>
              </w:rPr>
            </w:pPr>
            <w:r w:rsidRPr="00FA4B2D">
              <w:rPr>
                <w:rFonts w:cs="Arial"/>
                <w:sz w:val="18"/>
                <w:szCs w:val="18"/>
              </w:rPr>
              <w:t xml:space="preserve">El Reglamento cuenta con un Capítulo sobre </w:t>
            </w:r>
            <w:r w:rsidRPr="00FA4B2D">
              <w:rPr>
                <w:rFonts w:cs="Arial"/>
                <w:sz w:val="18"/>
              </w:rPr>
              <w:t xml:space="preserve">la </w:t>
            </w:r>
            <w:r w:rsidRPr="00FA4B2D">
              <w:rPr>
                <w:rFonts w:cs="Arial"/>
                <w:sz w:val="18"/>
                <w:szCs w:val="18"/>
              </w:rPr>
              <w:t>gestión integral</w:t>
            </w:r>
            <w:r w:rsidRPr="00FA4B2D">
              <w:rPr>
                <w:rFonts w:cs="Arial"/>
                <w:sz w:val="18"/>
              </w:rPr>
              <w:t xml:space="preserve"> de </w:t>
            </w:r>
            <w:r w:rsidRPr="00FA4B2D">
              <w:rPr>
                <w:rFonts w:cs="Arial"/>
                <w:sz w:val="18"/>
                <w:szCs w:val="18"/>
              </w:rPr>
              <w:t xml:space="preserve">residuos sólidos especiales, enumerando y dispone las principales </w:t>
            </w:r>
            <w:r w:rsidRPr="00FA4B2D">
              <w:rPr>
                <w:rFonts w:cs="Arial"/>
                <w:sz w:val="18"/>
              </w:rPr>
              <w:t xml:space="preserve">consideraciones </w:t>
            </w:r>
            <w:r w:rsidRPr="00FA4B2D">
              <w:rPr>
                <w:rFonts w:cs="Arial"/>
                <w:sz w:val="18"/>
                <w:szCs w:val="18"/>
              </w:rPr>
              <w:t>para cada una</w:t>
            </w:r>
            <w:r w:rsidRPr="00FA4B2D">
              <w:rPr>
                <w:rFonts w:cs="Arial"/>
                <w:sz w:val="18"/>
              </w:rPr>
              <w:t xml:space="preserve"> de </w:t>
            </w:r>
            <w:r w:rsidRPr="00FA4B2D">
              <w:rPr>
                <w:rFonts w:cs="Arial"/>
                <w:sz w:val="18"/>
                <w:szCs w:val="18"/>
              </w:rPr>
              <w:t>las etapas de la gestión, que son: prevención, almacenamiento y acondicionamiento, transporte, tratamiento y disposición final</w:t>
            </w:r>
            <w:r w:rsidRPr="00FA4B2D">
              <w:rPr>
                <w:rFonts w:cs="Arial"/>
                <w:sz w:val="18"/>
              </w:rPr>
              <w:t>.</w:t>
            </w:r>
          </w:p>
          <w:p w14:paraId="431EF2C0" w14:textId="77777777" w:rsidR="006A3DBC" w:rsidRPr="00FA4B2D" w:rsidRDefault="006A3DBC" w:rsidP="00C67A21">
            <w:pPr>
              <w:jc w:val="both"/>
              <w:rPr>
                <w:rFonts w:cs="Arial"/>
                <w:sz w:val="18"/>
                <w:lang w:val="es-HN"/>
              </w:rPr>
            </w:pPr>
            <w:r w:rsidRPr="00FA4B2D">
              <w:rPr>
                <w:rFonts w:cs="Arial"/>
                <w:sz w:val="18"/>
                <w:szCs w:val="18"/>
              </w:rPr>
              <w:t>Durante la implementación del Proyecto, las organizaciones realizaran las actividades para el manejo de los residuos que se generen durante las actividades relacionadas con la emergencia, con el fin de garantizar el correcto manejo de los residuos, prevenir rebrotes de la enfermedad y preservar la salud de las personas y del medio ambiente.</w:t>
            </w:r>
          </w:p>
        </w:tc>
      </w:tr>
      <w:tr w:rsidR="006A3DBC" w:rsidRPr="00FA4B2D" w14:paraId="36967BC1" w14:textId="77777777" w:rsidTr="00D536D0">
        <w:tc>
          <w:tcPr>
            <w:tcW w:w="3595" w:type="dxa"/>
            <w:shd w:val="clear" w:color="auto" w:fill="FFFFFF" w:themeFill="background1"/>
            <w:vAlign w:val="center"/>
          </w:tcPr>
          <w:p w14:paraId="3FF7C15B" w14:textId="77777777" w:rsidR="006A3DBC" w:rsidRPr="00FA4B2D" w:rsidRDefault="006A3DBC" w:rsidP="00C67A21">
            <w:pPr>
              <w:autoSpaceDE w:val="0"/>
              <w:autoSpaceDN w:val="0"/>
              <w:adjustRightInd w:val="0"/>
              <w:ind w:left="-68"/>
              <w:jc w:val="both"/>
              <w:rPr>
                <w:rFonts w:cs="Arial"/>
                <w:sz w:val="18"/>
                <w:szCs w:val="18"/>
              </w:rPr>
            </w:pPr>
            <w:r w:rsidRPr="00FA4B2D">
              <w:rPr>
                <w:rFonts w:cs="Arial"/>
                <w:sz w:val="18"/>
                <w:szCs w:val="18"/>
              </w:rPr>
              <w:lastRenderedPageBreak/>
              <w:t xml:space="preserve">Reglamento para el Manejo de los Desechos Peligrosos Generados en los Establecimientos de Salud ( </w:t>
            </w:r>
          </w:p>
          <w:p w14:paraId="1EC19FBF" w14:textId="77777777" w:rsidR="006A3DBC" w:rsidRPr="00FA4B2D" w:rsidRDefault="006A3DBC" w:rsidP="00C67A21">
            <w:pPr>
              <w:jc w:val="both"/>
              <w:rPr>
                <w:rFonts w:cs="Arial"/>
                <w:b/>
                <w:sz w:val="18"/>
                <w:lang w:val="es-HN"/>
              </w:rPr>
            </w:pPr>
            <w:r w:rsidRPr="00FA4B2D">
              <w:rPr>
                <w:rFonts w:cs="Arial"/>
                <w:sz w:val="18"/>
                <w:szCs w:val="18"/>
              </w:rPr>
              <w:t xml:space="preserve">Acuerdo No. 07 del 28 de febrero del 2008). </w:t>
            </w:r>
          </w:p>
        </w:tc>
        <w:tc>
          <w:tcPr>
            <w:tcW w:w="5391" w:type="dxa"/>
            <w:vAlign w:val="center"/>
          </w:tcPr>
          <w:p w14:paraId="548373EE" w14:textId="3E7A2E4B" w:rsidR="006A3DBC" w:rsidRPr="00FA4B2D" w:rsidRDefault="006A3DBC" w:rsidP="00C67A21">
            <w:pPr>
              <w:autoSpaceDE w:val="0"/>
              <w:autoSpaceDN w:val="0"/>
              <w:adjustRightInd w:val="0"/>
              <w:jc w:val="both"/>
              <w:rPr>
                <w:rFonts w:cs="Arial"/>
                <w:sz w:val="18"/>
                <w:szCs w:val="18"/>
              </w:rPr>
            </w:pPr>
            <w:r w:rsidRPr="00FA4B2D">
              <w:rPr>
                <w:rFonts w:cs="Arial"/>
                <w:sz w:val="18"/>
                <w:szCs w:val="18"/>
              </w:rPr>
              <w:t>Regular las operaciones de manejo de desechos peligrosos.</w:t>
            </w:r>
          </w:p>
          <w:p w14:paraId="66101C40" w14:textId="4143940E" w:rsidR="006A3DBC" w:rsidRPr="00FA4B2D" w:rsidRDefault="006A3DBC" w:rsidP="00C67A21">
            <w:pPr>
              <w:jc w:val="both"/>
              <w:rPr>
                <w:rFonts w:cs="Arial"/>
                <w:sz w:val="18"/>
                <w:szCs w:val="18"/>
              </w:rPr>
            </w:pPr>
            <w:r w:rsidRPr="00FA4B2D">
              <w:rPr>
                <w:rFonts w:cs="Arial"/>
                <w:sz w:val="18"/>
                <w:szCs w:val="18"/>
              </w:rPr>
              <w:t xml:space="preserve">Es de orden público y obliga su cumplimiento a todas las personas naturales y jurídicas, públicas y privadas, responsables de la generación de desechos peligrosos. </w:t>
            </w:r>
          </w:p>
          <w:p w14:paraId="1318B9A4" w14:textId="77777777" w:rsidR="006A3DBC" w:rsidRPr="00FA4B2D" w:rsidRDefault="006A3DBC" w:rsidP="00C67A21">
            <w:pPr>
              <w:jc w:val="both"/>
              <w:rPr>
                <w:rFonts w:cs="Arial"/>
                <w:sz w:val="18"/>
                <w:lang w:val="es-HN"/>
              </w:rPr>
            </w:pPr>
            <w:r w:rsidRPr="00FA4B2D">
              <w:rPr>
                <w:rFonts w:cs="Arial"/>
                <w:sz w:val="18"/>
              </w:rPr>
              <w:t>Durante la implementación del Proyecto, las autoridades municipales realizaran las actividades para el manejo de los residuos que se generen durante las actividades relacionadas con la emergencia, con el fin de garantizar el correcto manejo de los residuos, prevenir rebrotes de la enfermedad y preservar la salud de las personas y del medio ambiente.</w:t>
            </w:r>
          </w:p>
        </w:tc>
      </w:tr>
    </w:tbl>
    <w:p w14:paraId="07293E16" w14:textId="77777777" w:rsidR="005F4A92" w:rsidRPr="00FA4B2D" w:rsidRDefault="005F4A92" w:rsidP="006A3DBC">
      <w:pPr>
        <w:pStyle w:val="Prrafodelista"/>
        <w:rPr>
          <w:rFonts w:cs="Arial"/>
          <w:b/>
          <w:lang w:val="es-HN"/>
        </w:rPr>
      </w:pPr>
    </w:p>
    <w:p w14:paraId="3D0BA1CC" w14:textId="7343B48F" w:rsidR="00E11023" w:rsidRDefault="00E11023" w:rsidP="00E11023">
      <w:pPr>
        <w:pStyle w:val="Descripcin"/>
        <w:keepNext/>
      </w:pPr>
      <w:bookmarkStart w:id="182" w:name="_Toc202455428"/>
      <w:r>
        <w:t xml:space="preserve">Tabla </w:t>
      </w:r>
      <w:r>
        <w:fldChar w:fldCharType="begin"/>
      </w:r>
      <w:r>
        <w:instrText xml:space="preserve"> SEQ Tabla \* ARABIC </w:instrText>
      </w:r>
      <w:r>
        <w:fldChar w:fldCharType="separate"/>
      </w:r>
      <w:r w:rsidR="000E6D86">
        <w:rPr>
          <w:noProof/>
        </w:rPr>
        <w:t>2</w:t>
      </w:r>
      <w:r>
        <w:fldChar w:fldCharType="end"/>
      </w:r>
      <w:r>
        <w:t xml:space="preserve"> </w:t>
      </w:r>
      <w:r w:rsidRPr="00B70611">
        <w:t>Convenios Internacionales ratificados por el Gobierno de Honduras aplicables al MGAS</w:t>
      </w:r>
      <w:bookmarkEnd w:id="182"/>
    </w:p>
    <w:tbl>
      <w:tblPr>
        <w:tblW w:w="89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3402"/>
        <w:gridCol w:w="5528"/>
      </w:tblGrid>
      <w:tr w:rsidR="006A3DBC" w:rsidRPr="00FA4B2D" w14:paraId="74438524" w14:textId="77777777" w:rsidTr="000449A1">
        <w:trPr>
          <w:tblHeader/>
        </w:trPr>
        <w:tc>
          <w:tcPr>
            <w:tcW w:w="3402" w:type="dxa"/>
            <w:shd w:val="clear" w:color="auto" w:fill="5B9BD5" w:themeFill="accent1"/>
            <w:vAlign w:val="center"/>
          </w:tcPr>
          <w:p w14:paraId="7B55DAA6" w14:textId="77777777" w:rsidR="006A3DBC" w:rsidRPr="00FA4B2D" w:rsidRDefault="006A3DBC" w:rsidP="005F4A92">
            <w:pPr>
              <w:jc w:val="center"/>
              <w:rPr>
                <w:rFonts w:cs="Arial"/>
                <w:b/>
                <w:sz w:val="18"/>
                <w:lang w:val="es-HN"/>
              </w:rPr>
            </w:pPr>
            <w:r w:rsidRPr="00FA4B2D">
              <w:rPr>
                <w:rFonts w:cs="Arial"/>
                <w:b/>
                <w:sz w:val="18"/>
                <w:lang w:val="es-HN"/>
              </w:rPr>
              <w:t xml:space="preserve">CONVENIOS INTERNACIONALES (Principales) </w:t>
            </w:r>
          </w:p>
        </w:tc>
        <w:tc>
          <w:tcPr>
            <w:tcW w:w="5528" w:type="dxa"/>
            <w:shd w:val="clear" w:color="auto" w:fill="5B9BD5" w:themeFill="accent1"/>
            <w:vAlign w:val="center"/>
          </w:tcPr>
          <w:p w14:paraId="27B20A57" w14:textId="77777777" w:rsidR="006A3DBC" w:rsidRPr="00FA4B2D" w:rsidRDefault="006A3DBC" w:rsidP="005F4A92">
            <w:pPr>
              <w:jc w:val="center"/>
              <w:rPr>
                <w:rFonts w:cs="Arial"/>
                <w:b/>
                <w:sz w:val="18"/>
                <w:lang w:val="es-HN"/>
              </w:rPr>
            </w:pPr>
            <w:r w:rsidRPr="00FA4B2D">
              <w:rPr>
                <w:rFonts w:cs="Arial"/>
                <w:b/>
                <w:sz w:val="18"/>
                <w:lang w:val="es-HN"/>
              </w:rPr>
              <w:t xml:space="preserve">CONTENIDOS Y RELEVANCIA PARA EL PROYECTO </w:t>
            </w:r>
          </w:p>
        </w:tc>
      </w:tr>
      <w:tr w:rsidR="006A3DBC" w:rsidRPr="00FA4B2D" w14:paraId="238A65C2" w14:textId="77777777" w:rsidTr="000449A1">
        <w:tc>
          <w:tcPr>
            <w:tcW w:w="3402" w:type="dxa"/>
            <w:vAlign w:val="center"/>
          </w:tcPr>
          <w:p w14:paraId="5D57B89A" w14:textId="77777777" w:rsidR="006A3DBC" w:rsidRPr="00FA4B2D" w:rsidRDefault="006A3DBC" w:rsidP="00C67A21">
            <w:pPr>
              <w:jc w:val="both"/>
              <w:rPr>
                <w:rFonts w:cs="Arial"/>
                <w:b/>
                <w:sz w:val="18"/>
                <w:lang w:val="es-HN"/>
              </w:rPr>
            </w:pPr>
            <w:r w:rsidRPr="00FA4B2D">
              <w:rPr>
                <w:rFonts w:cs="Arial"/>
                <w:sz w:val="18"/>
                <w:szCs w:val="18"/>
              </w:rPr>
              <w:t>Convención marco de las Naciones Unidas sobre Cambio Climático (Decreto 26-95, La Gaceta del 29 de julio de 1995).</w:t>
            </w:r>
          </w:p>
        </w:tc>
        <w:tc>
          <w:tcPr>
            <w:tcW w:w="5528" w:type="dxa"/>
            <w:vAlign w:val="center"/>
          </w:tcPr>
          <w:p w14:paraId="0951D5F9" w14:textId="5B70F1C3" w:rsidR="006A3DBC" w:rsidRPr="00FA4B2D" w:rsidRDefault="006A3DBC" w:rsidP="00C67A21">
            <w:pPr>
              <w:jc w:val="both"/>
              <w:rPr>
                <w:rFonts w:cs="Arial"/>
                <w:sz w:val="18"/>
              </w:rPr>
            </w:pPr>
            <w:r w:rsidRPr="00FA4B2D">
              <w:rPr>
                <w:rFonts w:cs="Arial"/>
                <w:sz w:val="18"/>
                <w:szCs w:val="18"/>
              </w:rPr>
              <w:t>El Proyecto orientará recursos y asistencia técnica a fin de que los productores puedan hacer frente a los riesgos que supone el cambio climá</w:t>
            </w:r>
            <w:r w:rsidR="005F4A92" w:rsidRPr="00FA4B2D">
              <w:rPr>
                <w:rFonts w:cs="Arial"/>
                <w:sz w:val="18"/>
                <w:szCs w:val="18"/>
              </w:rPr>
              <w:t xml:space="preserve">tico como: </w:t>
            </w:r>
            <w:r w:rsidRPr="00FA4B2D">
              <w:rPr>
                <w:rFonts w:cs="Arial"/>
                <w:sz w:val="18"/>
                <w:szCs w:val="18"/>
              </w:rPr>
              <w:t xml:space="preserve">sequías, inundaciones, heladas, alteraciones en los regímenes de lluvias, huracanes, deslaves y nuevas plagas y enfermedades. Las oportunidades en el uso de tecnologías y la relación con políticas de inversión novedosas son parte de la asistencia del proyecto hacia los productores a fin de fortalecer sus capacidades de resiliencia al cambio climático y reducción de emisiones de GEI. </w:t>
            </w:r>
          </w:p>
        </w:tc>
      </w:tr>
      <w:tr w:rsidR="006A3DBC" w:rsidRPr="00FA4B2D" w14:paraId="7F964EC0" w14:textId="77777777" w:rsidTr="000449A1">
        <w:tc>
          <w:tcPr>
            <w:tcW w:w="3402" w:type="dxa"/>
            <w:vAlign w:val="center"/>
          </w:tcPr>
          <w:p w14:paraId="0F6E9514" w14:textId="77777777" w:rsidR="006A3DBC" w:rsidRPr="00FA4B2D" w:rsidRDefault="006A3DBC" w:rsidP="00C67A21">
            <w:pPr>
              <w:jc w:val="both"/>
              <w:rPr>
                <w:rFonts w:cs="Arial"/>
                <w:sz w:val="18"/>
                <w:szCs w:val="18"/>
                <w:lang w:val="es-HN"/>
              </w:rPr>
            </w:pPr>
            <w:r w:rsidRPr="00FA4B2D">
              <w:rPr>
                <w:rFonts w:cs="Arial"/>
                <w:sz w:val="18"/>
                <w:szCs w:val="18"/>
              </w:rPr>
              <w:t>Convenio sobre Diversidad Biológica (Decreto 30-95, La Gaceta del 10 de junio de 1995).</w:t>
            </w:r>
          </w:p>
        </w:tc>
        <w:tc>
          <w:tcPr>
            <w:tcW w:w="5528" w:type="dxa"/>
            <w:vAlign w:val="center"/>
          </w:tcPr>
          <w:p w14:paraId="30005E80" w14:textId="6B1B0A4D" w:rsidR="006A3DBC" w:rsidRPr="00FA4B2D" w:rsidRDefault="006A3DBC" w:rsidP="00C67A21">
            <w:pPr>
              <w:jc w:val="both"/>
              <w:rPr>
                <w:rFonts w:cs="Arial"/>
                <w:sz w:val="18"/>
                <w:szCs w:val="18"/>
                <w:lang w:val="es-HN"/>
              </w:rPr>
            </w:pPr>
            <w:r w:rsidRPr="00FA4B2D">
              <w:rPr>
                <w:rFonts w:cs="Arial"/>
                <w:sz w:val="18"/>
                <w:szCs w:val="18"/>
                <w:lang w:val="es-HN"/>
              </w:rPr>
              <w:t>El Proyecto COMRURAL III, congruente con este convenio promueve la conservación de la biodiversidad y no financiará inversiones que impliquen tala de bosques, ocupación de áreas núcleos en áreas protegidas, utilización de fertilizantes ni uso de plaguicidas prohibidos.</w:t>
            </w:r>
          </w:p>
          <w:p w14:paraId="4C71CA3D" w14:textId="5D98B225" w:rsidR="006A3DBC" w:rsidRPr="00FA4B2D" w:rsidRDefault="006A3DBC" w:rsidP="00C67A21">
            <w:pPr>
              <w:jc w:val="both"/>
              <w:rPr>
                <w:rFonts w:cs="Arial"/>
                <w:sz w:val="18"/>
                <w:szCs w:val="18"/>
                <w:lang w:val="es-HN"/>
              </w:rPr>
            </w:pPr>
            <w:r w:rsidRPr="00FA4B2D">
              <w:rPr>
                <w:rFonts w:cs="Arial"/>
                <w:sz w:val="18"/>
                <w:szCs w:val="18"/>
                <w:lang w:val="es-HN"/>
              </w:rPr>
              <w:t xml:space="preserve">La </w:t>
            </w:r>
            <w:bookmarkStart w:id="183" w:name="_Toc447310023"/>
            <w:r w:rsidRPr="00FA4B2D">
              <w:rPr>
                <w:rFonts w:cs="Arial"/>
                <w:sz w:val="18"/>
                <w:szCs w:val="18"/>
                <w:lang w:val="es-HN"/>
              </w:rPr>
              <w:t>Ficha de Evaluación Ambiental y Social Preliminar para Determinar la Viabilidad Socio</w:t>
            </w:r>
            <w:r w:rsidR="000449A1" w:rsidRPr="00FA4B2D">
              <w:rPr>
                <w:rFonts w:cs="Arial"/>
                <w:sz w:val="18"/>
                <w:szCs w:val="18"/>
                <w:lang w:val="es-HN"/>
              </w:rPr>
              <w:t>a</w:t>
            </w:r>
            <w:r w:rsidRPr="00FA4B2D">
              <w:rPr>
                <w:rFonts w:cs="Arial"/>
                <w:sz w:val="18"/>
                <w:szCs w:val="18"/>
                <w:lang w:val="es-HN"/>
              </w:rPr>
              <w:t>mbiental de Planes de Negocios</w:t>
            </w:r>
            <w:bookmarkEnd w:id="183"/>
            <w:r w:rsidRPr="00FA4B2D">
              <w:rPr>
                <w:rFonts w:cs="Arial"/>
                <w:sz w:val="18"/>
                <w:szCs w:val="18"/>
                <w:lang w:val="es-HN"/>
              </w:rPr>
              <w:t xml:space="preserve">, contiene criterios para la identificación de hábitats naturales, críticos y modificados (ver sección </w:t>
            </w:r>
            <w:r w:rsidRPr="00FA4B2D">
              <w:rPr>
                <w:rFonts w:cs="Arial"/>
                <w:sz w:val="18"/>
                <w:szCs w:val="18"/>
                <w:lang w:val="es-HN"/>
              </w:rPr>
              <w:fldChar w:fldCharType="begin"/>
            </w:r>
            <w:r w:rsidRPr="00FA4B2D">
              <w:rPr>
                <w:rFonts w:cs="Arial"/>
                <w:sz w:val="18"/>
                <w:szCs w:val="18"/>
                <w:lang w:val="es-HN"/>
              </w:rPr>
              <w:instrText xml:space="preserve"> REF _Ref67242636 \n \h  \* MERGEFORMAT </w:instrText>
            </w:r>
            <w:r w:rsidRPr="00FA4B2D">
              <w:rPr>
                <w:rFonts w:cs="Arial"/>
                <w:sz w:val="18"/>
                <w:szCs w:val="18"/>
                <w:lang w:val="es-HN"/>
              </w:rPr>
            </w:r>
            <w:r w:rsidRPr="00FA4B2D">
              <w:rPr>
                <w:rFonts w:cs="Arial"/>
                <w:sz w:val="18"/>
                <w:szCs w:val="18"/>
                <w:lang w:val="es-HN"/>
              </w:rPr>
              <w:fldChar w:fldCharType="separate"/>
            </w:r>
            <w:r w:rsidR="00BF4BCA" w:rsidRPr="00FA4B2D">
              <w:rPr>
                <w:rFonts w:cs="Arial"/>
                <w:b/>
                <w:bCs/>
                <w:sz w:val="18"/>
                <w:szCs w:val="18"/>
                <w:lang w:val="es-MX"/>
              </w:rPr>
              <w:t>¡Error! No se encuentra el origen de la referencia.</w:t>
            </w:r>
            <w:r w:rsidRPr="00FA4B2D">
              <w:rPr>
                <w:rFonts w:cs="Arial"/>
                <w:sz w:val="18"/>
                <w:szCs w:val="18"/>
                <w:lang w:val="es-HN"/>
              </w:rPr>
              <w:fldChar w:fldCharType="end"/>
            </w:r>
            <w:r w:rsidRPr="00FA4B2D">
              <w:rPr>
                <w:rFonts w:cs="Arial"/>
                <w:sz w:val="18"/>
                <w:szCs w:val="18"/>
                <w:lang w:val="es-HN"/>
              </w:rPr>
              <w:t xml:space="preserve">). </w:t>
            </w:r>
          </w:p>
          <w:p w14:paraId="719CA42A" w14:textId="25A20A4D" w:rsidR="006A3DBC" w:rsidRPr="00FA4B2D" w:rsidRDefault="006A3DBC" w:rsidP="00C67A21">
            <w:pPr>
              <w:jc w:val="both"/>
              <w:rPr>
                <w:rFonts w:cs="Arial"/>
                <w:sz w:val="18"/>
                <w:szCs w:val="18"/>
                <w:lang w:val="es-HN"/>
              </w:rPr>
            </w:pPr>
            <w:r w:rsidRPr="00FA4B2D">
              <w:rPr>
                <w:rFonts w:cs="Arial"/>
                <w:sz w:val="18"/>
                <w:szCs w:val="18"/>
                <w:lang w:val="es-HN"/>
              </w:rPr>
              <w:t>COMRURAL no promoverá inversiones en hábitats naturales</w:t>
            </w:r>
            <w:r w:rsidRPr="00FA4B2D">
              <w:rPr>
                <w:rFonts w:cs="Arial"/>
                <w:sz w:val="18"/>
                <w:szCs w:val="18"/>
                <w:lang w:val="es-HN"/>
              </w:rPr>
              <w:footnoteReference w:id="4"/>
            </w:r>
            <w:r w:rsidRPr="00FA4B2D">
              <w:rPr>
                <w:rFonts w:cs="Arial"/>
                <w:sz w:val="18"/>
                <w:szCs w:val="18"/>
                <w:lang w:val="es-HN"/>
              </w:rPr>
              <w:t xml:space="preserve"> o críticos</w:t>
            </w:r>
            <w:r w:rsidRPr="00FA4B2D">
              <w:rPr>
                <w:rFonts w:cs="Arial"/>
                <w:sz w:val="18"/>
                <w:szCs w:val="18"/>
                <w:vertAlign w:val="superscript"/>
                <w:lang w:val="es-HN"/>
              </w:rPr>
              <w:footnoteReference w:id="5"/>
            </w:r>
            <w:r w:rsidRPr="00FA4B2D">
              <w:rPr>
                <w:rFonts w:cs="Arial"/>
                <w:sz w:val="18"/>
                <w:szCs w:val="18"/>
                <w:lang w:val="es-HN"/>
              </w:rPr>
              <w:t xml:space="preserve"> (Presencia de especies endémicas o en peligro de extinción, ni en zonas de protección especial).</w:t>
            </w:r>
          </w:p>
          <w:p w14:paraId="2152C683" w14:textId="77777777" w:rsidR="006A3DBC" w:rsidRPr="00FA4B2D" w:rsidRDefault="006A3DBC" w:rsidP="00C67A21">
            <w:pPr>
              <w:jc w:val="both"/>
              <w:rPr>
                <w:rFonts w:cs="Arial"/>
                <w:sz w:val="18"/>
                <w:lang w:val="es-HN"/>
              </w:rPr>
            </w:pPr>
            <w:r w:rsidRPr="00FA4B2D">
              <w:rPr>
                <w:rFonts w:cs="Arial"/>
                <w:sz w:val="18"/>
                <w:szCs w:val="18"/>
                <w:lang w:val="es-HN"/>
              </w:rPr>
              <w:lastRenderedPageBreak/>
              <w:t>En la sección 11, se adjunta la Lista Roja de Especies Amenazadas para Honduras Según la Unión Internacional para la Conservación de la Naturaleza (UICN).</w:t>
            </w:r>
          </w:p>
        </w:tc>
      </w:tr>
      <w:tr w:rsidR="006A3DBC" w:rsidRPr="00FA4B2D" w14:paraId="602FED8D" w14:textId="77777777" w:rsidTr="000449A1">
        <w:tc>
          <w:tcPr>
            <w:tcW w:w="3402" w:type="dxa"/>
            <w:vAlign w:val="center"/>
          </w:tcPr>
          <w:p w14:paraId="445820AC" w14:textId="77777777" w:rsidR="006A3DBC" w:rsidRPr="00FA4B2D" w:rsidRDefault="006A3DBC" w:rsidP="00C67A21">
            <w:pPr>
              <w:jc w:val="both"/>
              <w:rPr>
                <w:rFonts w:cs="Arial"/>
                <w:sz w:val="18"/>
              </w:rPr>
            </w:pPr>
            <w:r w:rsidRPr="00FA4B2D">
              <w:rPr>
                <w:rFonts w:cs="Arial"/>
                <w:sz w:val="18"/>
                <w:szCs w:val="18"/>
              </w:rPr>
              <w:lastRenderedPageBreak/>
              <w:t>Convenio</w:t>
            </w:r>
            <w:r w:rsidRPr="00FA4B2D">
              <w:rPr>
                <w:rFonts w:cs="Arial"/>
                <w:sz w:val="18"/>
              </w:rPr>
              <w:t xml:space="preserve"> sobre </w:t>
            </w:r>
            <w:r w:rsidRPr="00FA4B2D">
              <w:rPr>
                <w:rFonts w:cs="Arial"/>
                <w:sz w:val="18"/>
                <w:szCs w:val="18"/>
              </w:rPr>
              <w:t>el Comercio Internacional</w:t>
            </w:r>
            <w:r w:rsidRPr="00FA4B2D">
              <w:rPr>
                <w:rFonts w:cs="Arial"/>
                <w:sz w:val="18"/>
              </w:rPr>
              <w:t xml:space="preserve"> de </w:t>
            </w:r>
            <w:r w:rsidRPr="00FA4B2D">
              <w:rPr>
                <w:rFonts w:cs="Arial"/>
                <w:sz w:val="18"/>
                <w:szCs w:val="18"/>
              </w:rPr>
              <w:t>Especies Amenazadas</w:t>
            </w:r>
            <w:r w:rsidRPr="00FA4B2D">
              <w:rPr>
                <w:rFonts w:cs="Arial"/>
                <w:sz w:val="18"/>
              </w:rPr>
              <w:t xml:space="preserve"> de </w:t>
            </w:r>
            <w:r w:rsidRPr="00FA4B2D">
              <w:rPr>
                <w:rFonts w:cs="Arial"/>
                <w:sz w:val="18"/>
                <w:szCs w:val="18"/>
              </w:rPr>
              <w:t>Flora y Fauna Silvestre, CITES</w:t>
            </w:r>
            <w:r w:rsidRPr="00FA4B2D">
              <w:rPr>
                <w:rFonts w:cs="Arial"/>
                <w:sz w:val="18"/>
              </w:rPr>
              <w:t xml:space="preserve"> (Decreto </w:t>
            </w:r>
            <w:r w:rsidRPr="00FA4B2D">
              <w:rPr>
                <w:rFonts w:cs="Arial"/>
                <w:sz w:val="18"/>
                <w:szCs w:val="18"/>
              </w:rPr>
              <w:t>771, La Gaceta</w:t>
            </w:r>
            <w:r w:rsidRPr="00FA4B2D">
              <w:rPr>
                <w:rFonts w:cs="Arial"/>
                <w:sz w:val="18"/>
              </w:rPr>
              <w:t xml:space="preserve"> del </w:t>
            </w:r>
            <w:r w:rsidRPr="00FA4B2D">
              <w:rPr>
                <w:rFonts w:cs="Arial"/>
                <w:sz w:val="18"/>
                <w:szCs w:val="18"/>
              </w:rPr>
              <w:t>24</w:t>
            </w:r>
            <w:r w:rsidRPr="00FA4B2D">
              <w:rPr>
                <w:rFonts w:cs="Arial"/>
                <w:sz w:val="18"/>
              </w:rPr>
              <w:t xml:space="preserve"> de </w:t>
            </w:r>
            <w:r w:rsidRPr="00FA4B2D">
              <w:rPr>
                <w:rFonts w:cs="Arial"/>
                <w:sz w:val="18"/>
                <w:szCs w:val="18"/>
              </w:rPr>
              <w:t>septiembre</w:t>
            </w:r>
            <w:r w:rsidRPr="00FA4B2D">
              <w:rPr>
                <w:rFonts w:cs="Arial"/>
                <w:sz w:val="18"/>
              </w:rPr>
              <w:t xml:space="preserve"> de </w:t>
            </w:r>
            <w:r w:rsidRPr="00FA4B2D">
              <w:rPr>
                <w:rFonts w:cs="Arial"/>
                <w:sz w:val="18"/>
                <w:szCs w:val="18"/>
              </w:rPr>
              <w:t>1979).</w:t>
            </w:r>
          </w:p>
        </w:tc>
        <w:tc>
          <w:tcPr>
            <w:tcW w:w="5528" w:type="dxa"/>
            <w:vAlign w:val="center"/>
          </w:tcPr>
          <w:p w14:paraId="03EA4952" w14:textId="77777777" w:rsidR="006A3DBC" w:rsidRPr="00FA4B2D" w:rsidRDefault="006A3DBC" w:rsidP="00C67A21">
            <w:pPr>
              <w:jc w:val="both"/>
              <w:rPr>
                <w:rFonts w:cs="Arial"/>
                <w:sz w:val="18"/>
                <w:lang w:val="es-HN"/>
              </w:rPr>
            </w:pPr>
            <w:r w:rsidRPr="00FA4B2D">
              <w:rPr>
                <w:rFonts w:cs="Arial"/>
                <w:sz w:val="18"/>
                <w:lang w:val="es-HN"/>
              </w:rPr>
              <w:t xml:space="preserve">El Proyecto excluye el comercio de especies. </w:t>
            </w:r>
          </w:p>
          <w:p w14:paraId="4E0B724E" w14:textId="77777777" w:rsidR="006A3DBC" w:rsidRPr="00FA4B2D" w:rsidRDefault="006A3DBC" w:rsidP="00C67A21">
            <w:pPr>
              <w:jc w:val="both"/>
              <w:rPr>
                <w:rFonts w:cs="Arial"/>
                <w:sz w:val="18"/>
                <w:szCs w:val="18"/>
                <w:lang w:val="es-HN"/>
              </w:rPr>
            </w:pPr>
          </w:p>
          <w:p w14:paraId="282CF7EC" w14:textId="77777777" w:rsidR="006A3DBC" w:rsidRPr="00FA4B2D" w:rsidRDefault="006A3DBC" w:rsidP="00C67A21">
            <w:pPr>
              <w:jc w:val="both"/>
              <w:rPr>
                <w:rFonts w:cs="Arial"/>
                <w:sz w:val="18"/>
                <w:lang w:val="es-HN"/>
              </w:rPr>
            </w:pPr>
          </w:p>
        </w:tc>
      </w:tr>
      <w:tr w:rsidR="006A3DBC" w:rsidRPr="00FA4B2D" w14:paraId="509C6A78" w14:textId="77777777" w:rsidTr="000449A1">
        <w:tc>
          <w:tcPr>
            <w:tcW w:w="3402" w:type="dxa"/>
            <w:vAlign w:val="center"/>
          </w:tcPr>
          <w:p w14:paraId="19DA1FFD" w14:textId="65A0939D" w:rsidR="006A3DBC" w:rsidRPr="00FA4B2D" w:rsidRDefault="006A3DBC" w:rsidP="00C67A21">
            <w:pPr>
              <w:jc w:val="both"/>
              <w:rPr>
                <w:rFonts w:cs="Arial"/>
                <w:sz w:val="18"/>
                <w:szCs w:val="18"/>
              </w:rPr>
            </w:pPr>
            <w:r w:rsidRPr="00FA4B2D">
              <w:rPr>
                <w:rFonts w:cs="Arial"/>
                <w:sz w:val="18"/>
                <w:szCs w:val="18"/>
              </w:rPr>
              <w:t>Convención relativo a los humedales de Importancia Internacional especialmente como Hábitat de Aves Acuáticas, RAMSAR</w:t>
            </w:r>
            <w:r w:rsidR="00E41B0C" w:rsidRPr="00FA4B2D">
              <w:rPr>
                <w:rFonts w:cs="Arial"/>
                <w:sz w:val="18"/>
                <w:szCs w:val="18"/>
              </w:rPr>
              <w:t xml:space="preserve"> (</w:t>
            </w:r>
            <w:r w:rsidR="001338EF" w:rsidRPr="00FA4B2D">
              <w:rPr>
                <w:rFonts w:cs="Arial"/>
                <w:sz w:val="18"/>
                <w:szCs w:val="18"/>
              </w:rPr>
              <w:t>Honduras se adhi</w:t>
            </w:r>
            <w:r w:rsidR="003E5286" w:rsidRPr="00FA4B2D">
              <w:rPr>
                <w:rFonts w:cs="Arial"/>
                <w:sz w:val="18"/>
                <w:szCs w:val="18"/>
              </w:rPr>
              <w:t>ere</w:t>
            </w:r>
            <w:r w:rsidR="001338EF" w:rsidRPr="00FA4B2D">
              <w:rPr>
                <w:rFonts w:cs="Arial"/>
                <w:sz w:val="18"/>
                <w:szCs w:val="18"/>
              </w:rPr>
              <w:t xml:space="preserve"> </w:t>
            </w:r>
            <w:r w:rsidR="003E5286" w:rsidRPr="00FA4B2D">
              <w:rPr>
                <w:rFonts w:cs="Arial"/>
                <w:sz w:val="18"/>
                <w:szCs w:val="18"/>
              </w:rPr>
              <w:t>a partir del</w:t>
            </w:r>
            <w:r w:rsidR="001338EF" w:rsidRPr="00FA4B2D">
              <w:rPr>
                <w:rFonts w:cs="Arial"/>
                <w:sz w:val="18"/>
                <w:szCs w:val="18"/>
              </w:rPr>
              <w:t xml:space="preserve"> </w:t>
            </w:r>
            <w:r w:rsidRPr="00FA4B2D">
              <w:rPr>
                <w:rFonts w:cs="Arial"/>
                <w:sz w:val="18"/>
                <w:szCs w:val="18"/>
              </w:rPr>
              <w:t xml:space="preserve">23 de </w:t>
            </w:r>
            <w:r w:rsidR="001338EF" w:rsidRPr="00FA4B2D">
              <w:rPr>
                <w:rFonts w:cs="Arial"/>
                <w:sz w:val="18"/>
                <w:szCs w:val="18"/>
              </w:rPr>
              <w:t xml:space="preserve">octubre </w:t>
            </w:r>
            <w:r w:rsidRPr="00FA4B2D">
              <w:rPr>
                <w:rFonts w:cs="Arial"/>
                <w:sz w:val="18"/>
                <w:szCs w:val="18"/>
              </w:rPr>
              <w:t xml:space="preserve">de 1993 </w:t>
            </w:r>
            <w:r w:rsidR="003E5286" w:rsidRPr="00FA4B2D">
              <w:rPr>
                <w:rFonts w:cs="Arial"/>
                <w:sz w:val="18"/>
                <w:szCs w:val="18"/>
              </w:rPr>
              <w:t>y la ra</w:t>
            </w:r>
            <w:r w:rsidR="005145C2" w:rsidRPr="00FA4B2D">
              <w:rPr>
                <w:rFonts w:cs="Arial"/>
                <w:sz w:val="18"/>
                <w:szCs w:val="18"/>
              </w:rPr>
              <w:t xml:space="preserve">tificó el </w:t>
            </w:r>
            <w:r w:rsidRPr="00FA4B2D">
              <w:rPr>
                <w:rFonts w:cs="Arial"/>
                <w:sz w:val="18"/>
                <w:szCs w:val="18"/>
              </w:rPr>
              <w:t xml:space="preserve">18 de junio del 2007 </w:t>
            </w:r>
            <w:r w:rsidR="00E650DF" w:rsidRPr="00FA4B2D">
              <w:rPr>
                <w:rFonts w:cs="Arial"/>
                <w:sz w:val="18"/>
                <w:szCs w:val="18"/>
              </w:rPr>
              <w:t xml:space="preserve">mediante </w:t>
            </w:r>
            <w:r w:rsidRPr="00FA4B2D">
              <w:rPr>
                <w:rFonts w:cs="Arial"/>
                <w:sz w:val="18"/>
                <w:szCs w:val="18"/>
              </w:rPr>
              <w:t>Acuerdo Ejecutivo 12-DT-2007</w:t>
            </w:r>
            <w:r w:rsidR="00E650DF" w:rsidRPr="00FA4B2D">
              <w:rPr>
                <w:rFonts w:cs="Arial"/>
                <w:sz w:val="18"/>
                <w:szCs w:val="18"/>
              </w:rPr>
              <w:t>).</w:t>
            </w:r>
          </w:p>
        </w:tc>
        <w:tc>
          <w:tcPr>
            <w:tcW w:w="5528" w:type="dxa"/>
            <w:vAlign w:val="center"/>
          </w:tcPr>
          <w:p w14:paraId="22A9367F" w14:textId="5C4BEA0A" w:rsidR="006A3DBC" w:rsidRPr="00FA4B2D" w:rsidRDefault="006A3DBC" w:rsidP="00C67A21">
            <w:pPr>
              <w:jc w:val="both"/>
              <w:rPr>
                <w:rFonts w:cs="Arial"/>
                <w:sz w:val="18"/>
                <w:szCs w:val="18"/>
                <w:lang w:val="es-HN"/>
              </w:rPr>
            </w:pPr>
            <w:r w:rsidRPr="00FA4B2D">
              <w:rPr>
                <w:rFonts w:cs="Arial"/>
                <w:bCs/>
                <w:sz w:val="18"/>
                <w:szCs w:val="18"/>
                <w:lang w:val="es-HN"/>
              </w:rPr>
              <w:t xml:space="preserve">El Proyecto no financiará PdNs que afecten negativamente ecosistemas de humedales. </w:t>
            </w:r>
          </w:p>
        </w:tc>
      </w:tr>
      <w:tr w:rsidR="00D259DE" w:rsidRPr="00FA4B2D" w14:paraId="789567C8" w14:textId="77777777" w:rsidTr="000449A1">
        <w:tc>
          <w:tcPr>
            <w:tcW w:w="3402" w:type="dxa"/>
            <w:vAlign w:val="center"/>
          </w:tcPr>
          <w:p w14:paraId="131FB46C" w14:textId="26745380" w:rsidR="00D259DE" w:rsidRPr="00FA4B2D" w:rsidRDefault="00E41B0C" w:rsidP="00C67A21">
            <w:pPr>
              <w:jc w:val="both"/>
              <w:rPr>
                <w:rFonts w:cs="Arial"/>
                <w:sz w:val="18"/>
                <w:szCs w:val="18"/>
              </w:rPr>
            </w:pPr>
            <w:r w:rsidRPr="00FA4B2D">
              <w:rPr>
                <w:rFonts w:cs="Arial"/>
                <w:sz w:val="18"/>
                <w:szCs w:val="18"/>
              </w:rPr>
              <w:t>Política Nacional de Humedales y Espacios Marino Costeros de Honduras 2019 – 2029 (</w:t>
            </w:r>
            <w:r w:rsidR="00D259DE" w:rsidRPr="00FA4B2D">
              <w:rPr>
                <w:rFonts w:cs="Arial"/>
                <w:sz w:val="18"/>
                <w:szCs w:val="18"/>
              </w:rPr>
              <w:t>Acuerdo Ministerial No.770-2021</w:t>
            </w:r>
            <w:r w:rsidRPr="00FA4B2D">
              <w:rPr>
                <w:rFonts w:cs="Arial"/>
                <w:sz w:val="18"/>
                <w:szCs w:val="18"/>
              </w:rPr>
              <w:t>).</w:t>
            </w:r>
          </w:p>
        </w:tc>
        <w:tc>
          <w:tcPr>
            <w:tcW w:w="5528" w:type="dxa"/>
            <w:vAlign w:val="center"/>
          </w:tcPr>
          <w:p w14:paraId="42595818" w14:textId="4D653DA2" w:rsidR="00D259DE" w:rsidRPr="00FA4B2D" w:rsidRDefault="00D259DE" w:rsidP="00C67A21">
            <w:pPr>
              <w:jc w:val="both"/>
              <w:rPr>
                <w:rFonts w:cs="Arial"/>
                <w:bCs/>
                <w:sz w:val="18"/>
                <w:szCs w:val="18"/>
                <w:lang w:val="es-HN"/>
              </w:rPr>
            </w:pPr>
            <w:r w:rsidRPr="00FA4B2D">
              <w:rPr>
                <w:rFonts w:cs="Arial"/>
                <w:sz w:val="18"/>
                <w:szCs w:val="18"/>
                <w:shd w:val="clear" w:color="auto" w:fill="FFFFFF"/>
              </w:rPr>
              <w:t>Este instrumento a nivel nacional tiene el compromiso de elaborar e implementar una Política Nacional de Humedales y Espacios Marino Costero.</w:t>
            </w:r>
          </w:p>
        </w:tc>
      </w:tr>
      <w:tr w:rsidR="006A3DBC" w:rsidRPr="00FA4B2D" w14:paraId="2DB7214A" w14:textId="77777777" w:rsidTr="000449A1">
        <w:trPr>
          <w:trHeight w:val="1864"/>
        </w:trPr>
        <w:tc>
          <w:tcPr>
            <w:tcW w:w="3402" w:type="dxa"/>
            <w:vAlign w:val="center"/>
          </w:tcPr>
          <w:p w14:paraId="1BAD709C" w14:textId="77777777" w:rsidR="006A3DBC" w:rsidRPr="00FA4B2D" w:rsidRDefault="006A3DBC" w:rsidP="00C67A21">
            <w:pPr>
              <w:jc w:val="both"/>
              <w:rPr>
                <w:rFonts w:cs="Arial"/>
                <w:sz w:val="18"/>
              </w:rPr>
            </w:pPr>
            <w:r w:rsidRPr="00FA4B2D">
              <w:rPr>
                <w:rFonts w:cs="Arial"/>
                <w:sz w:val="18"/>
                <w:szCs w:val="18"/>
              </w:rPr>
              <w:t>Convenio</w:t>
            </w:r>
            <w:r w:rsidRPr="00FA4B2D">
              <w:rPr>
                <w:rFonts w:cs="Arial"/>
                <w:sz w:val="18"/>
              </w:rPr>
              <w:t xml:space="preserve"> de </w:t>
            </w:r>
            <w:r w:rsidRPr="00FA4B2D">
              <w:rPr>
                <w:rFonts w:cs="Arial"/>
                <w:sz w:val="18"/>
                <w:szCs w:val="18"/>
              </w:rPr>
              <w:t>Lucha</w:t>
            </w:r>
            <w:r w:rsidRPr="00FA4B2D">
              <w:rPr>
                <w:rFonts w:cs="Arial"/>
                <w:sz w:val="18"/>
              </w:rPr>
              <w:t xml:space="preserve"> contra la </w:t>
            </w:r>
            <w:r w:rsidRPr="00FA4B2D">
              <w:rPr>
                <w:rFonts w:cs="Arial"/>
                <w:sz w:val="18"/>
                <w:szCs w:val="18"/>
              </w:rPr>
              <w:t>Desertificación en los Países Afectados por la Sequía Grave o Desertificación especialmente en África (</w:t>
            </w:r>
            <w:r w:rsidRPr="00FA4B2D">
              <w:rPr>
                <w:rFonts w:cs="Arial"/>
                <w:sz w:val="18"/>
              </w:rPr>
              <w:t xml:space="preserve">Decreto </w:t>
            </w:r>
            <w:r w:rsidRPr="00FA4B2D">
              <w:rPr>
                <w:rFonts w:cs="Arial"/>
                <w:sz w:val="18"/>
                <w:szCs w:val="18"/>
              </w:rPr>
              <w:t>35-97, La Gaceta</w:t>
            </w:r>
            <w:r w:rsidRPr="00FA4B2D">
              <w:rPr>
                <w:rFonts w:cs="Arial"/>
                <w:sz w:val="18"/>
              </w:rPr>
              <w:t xml:space="preserve"> del </w:t>
            </w:r>
            <w:r w:rsidRPr="00FA4B2D">
              <w:rPr>
                <w:rFonts w:cs="Arial"/>
                <w:sz w:val="18"/>
                <w:szCs w:val="18"/>
              </w:rPr>
              <w:t>24 de junio</w:t>
            </w:r>
            <w:r w:rsidRPr="00FA4B2D">
              <w:rPr>
                <w:rFonts w:cs="Arial"/>
                <w:sz w:val="18"/>
              </w:rPr>
              <w:t xml:space="preserve"> de </w:t>
            </w:r>
            <w:r w:rsidRPr="00FA4B2D">
              <w:rPr>
                <w:rFonts w:cs="Arial"/>
                <w:sz w:val="18"/>
                <w:szCs w:val="18"/>
              </w:rPr>
              <w:t>1997).</w:t>
            </w:r>
          </w:p>
        </w:tc>
        <w:tc>
          <w:tcPr>
            <w:tcW w:w="5528" w:type="dxa"/>
            <w:vAlign w:val="center"/>
          </w:tcPr>
          <w:p w14:paraId="67C5E38A" w14:textId="77777777" w:rsidR="006A3DBC" w:rsidRPr="00FA4B2D" w:rsidRDefault="006A3DBC" w:rsidP="00C67A21">
            <w:pPr>
              <w:jc w:val="both"/>
              <w:rPr>
                <w:rFonts w:cs="Arial"/>
                <w:sz w:val="18"/>
                <w:lang w:val="es-HN"/>
              </w:rPr>
            </w:pPr>
            <w:r w:rsidRPr="00FA4B2D">
              <w:rPr>
                <w:rFonts w:cs="Arial"/>
                <w:sz w:val="18"/>
                <w:szCs w:val="18"/>
                <w:lang w:val="es-HN"/>
              </w:rPr>
              <w:t>El Proyecto potenciará la adopción de medidas eficaces en la lucha contra la desertificación y mitigar los efectos de la sequía en su área de influencia.</w:t>
            </w:r>
          </w:p>
        </w:tc>
      </w:tr>
      <w:tr w:rsidR="006A3DBC" w:rsidRPr="00FA4B2D" w14:paraId="203690C0" w14:textId="77777777" w:rsidTr="000449A1">
        <w:trPr>
          <w:trHeight w:val="1864"/>
        </w:trPr>
        <w:tc>
          <w:tcPr>
            <w:tcW w:w="3402" w:type="dxa"/>
            <w:vAlign w:val="center"/>
          </w:tcPr>
          <w:p w14:paraId="6584ECE5" w14:textId="77777777" w:rsidR="006A3DBC" w:rsidRPr="00FA4B2D" w:rsidRDefault="006A3DBC" w:rsidP="00C67A21">
            <w:pPr>
              <w:jc w:val="both"/>
              <w:rPr>
                <w:rFonts w:cs="Arial"/>
                <w:sz w:val="18"/>
                <w:szCs w:val="18"/>
                <w:lang w:val="es-HN"/>
              </w:rPr>
            </w:pPr>
            <w:r w:rsidRPr="00FA4B2D">
              <w:rPr>
                <w:rFonts w:cs="Arial"/>
                <w:sz w:val="18"/>
                <w:szCs w:val="18"/>
              </w:rPr>
              <w:t>Convenio</w:t>
            </w:r>
            <w:r w:rsidRPr="00FA4B2D">
              <w:rPr>
                <w:rFonts w:cs="Arial"/>
                <w:sz w:val="18"/>
              </w:rPr>
              <w:t xml:space="preserve"> de </w:t>
            </w:r>
            <w:r w:rsidRPr="00FA4B2D">
              <w:rPr>
                <w:rFonts w:cs="Arial"/>
                <w:sz w:val="18"/>
                <w:szCs w:val="18"/>
              </w:rPr>
              <w:t>Viena para</w:t>
            </w:r>
            <w:r w:rsidRPr="00FA4B2D">
              <w:rPr>
                <w:rFonts w:cs="Arial"/>
                <w:sz w:val="18"/>
              </w:rPr>
              <w:t xml:space="preserve"> la </w:t>
            </w:r>
            <w:r w:rsidRPr="00FA4B2D">
              <w:rPr>
                <w:rFonts w:cs="Arial"/>
                <w:sz w:val="18"/>
                <w:szCs w:val="18"/>
              </w:rPr>
              <w:t>Protección de la Capa</w:t>
            </w:r>
            <w:r w:rsidRPr="00FA4B2D">
              <w:rPr>
                <w:rFonts w:cs="Arial"/>
                <w:sz w:val="18"/>
              </w:rPr>
              <w:t xml:space="preserve"> de </w:t>
            </w:r>
            <w:r w:rsidRPr="00FA4B2D">
              <w:rPr>
                <w:rFonts w:cs="Arial"/>
                <w:sz w:val="18"/>
                <w:szCs w:val="18"/>
              </w:rPr>
              <w:t>Ozono (Decreto 73-93, La Gaceta del 21</w:t>
            </w:r>
            <w:r w:rsidRPr="00FA4B2D">
              <w:rPr>
                <w:rFonts w:cs="Arial"/>
                <w:sz w:val="18"/>
              </w:rPr>
              <w:t xml:space="preserve"> de </w:t>
            </w:r>
            <w:r w:rsidRPr="00FA4B2D">
              <w:rPr>
                <w:rFonts w:cs="Arial"/>
                <w:sz w:val="18"/>
                <w:szCs w:val="18"/>
              </w:rPr>
              <w:t>agosto</w:t>
            </w:r>
            <w:r w:rsidRPr="00FA4B2D">
              <w:rPr>
                <w:rFonts w:cs="Arial"/>
                <w:sz w:val="18"/>
              </w:rPr>
              <w:t xml:space="preserve"> de </w:t>
            </w:r>
            <w:r w:rsidRPr="00FA4B2D">
              <w:rPr>
                <w:rFonts w:cs="Arial"/>
                <w:sz w:val="18"/>
                <w:szCs w:val="18"/>
              </w:rPr>
              <w:t>1993)</w:t>
            </w:r>
            <w:r w:rsidRPr="00FA4B2D">
              <w:rPr>
                <w:rFonts w:cs="Arial"/>
                <w:sz w:val="18"/>
                <w:szCs w:val="18"/>
                <w:lang w:val="es-HN"/>
              </w:rPr>
              <w:t>.</w:t>
            </w:r>
          </w:p>
          <w:p w14:paraId="3781054D" w14:textId="77777777" w:rsidR="006A3DBC" w:rsidRPr="00FA4B2D" w:rsidRDefault="006A3DBC" w:rsidP="00C67A21">
            <w:pPr>
              <w:jc w:val="both"/>
              <w:rPr>
                <w:rFonts w:cs="Arial"/>
                <w:sz w:val="18"/>
                <w:szCs w:val="18"/>
                <w:lang w:val="es-HN"/>
              </w:rPr>
            </w:pPr>
          </w:p>
          <w:p w14:paraId="6BB53B54" w14:textId="77777777" w:rsidR="006A3DBC" w:rsidRPr="00FA4B2D" w:rsidRDefault="006A3DBC" w:rsidP="00C67A21">
            <w:pPr>
              <w:jc w:val="both"/>
              <w:rPr>
                <w:rFonts w:cs="Arial"/>
                <w:sz w:val="18"/>
                <w:lang w:val="es-HN"/>
              </w:rPr>
            </w:pPr>
            <w:r w:rsidRPr="00FA4B2D">
              <w:rPr>
                <w:rFonts w:cs="Arial"/>
                <w:sz w:val="18"/>
                <w:szCs w:val="18"/>
              </w:rPr>
              <w:t>Enmiendas al Protocolo de Montreal sobre Protección de la Capa de Ozono (Decreto 141-00, La Gaceta del 30 de noviembre de 2000).</w:t>
            </w:r>
          </w:p>
        </w:tc>
        <w:tc>
          <w:tcPr>
            <w:tcW w:w="5528" w:type="dxa"/>
            <w:vAlign w:val="center"/>
          </w:tcPr>
          <w:p w14:paraId="22B1F5FC" w14:textId="77777777" w:rsidR="006A3DBC" w:rsidRPr="00FA4B2D" w:rsidRDefault="006A3DBC" w:rsidP="00C67A21">
            <w:pPr>
              <w:jc w:val="both"/>
              <w:rPr>
                <w:rFonts w:cs="Arial"/>
                <w:sz w:val="18"/>
                <w:szCs w:val="18"/>
                <w:lang w:val="es-HN"/>
              </w:rPr>
            </w:pPr>
            <w:r w:rsidRPr="00FA4B2D">
              <w:rPr>
                <w:rFonts w:cs="Arial"/>
                <w:sz w:val="18"/>
                <w:szCs w:val="18"/>
                <w:lang w:val="es-HN"/>
              </w:rPr>
              <w:t>El Proyecto no financiará la adquisición de productos que contengan Hidrofluorocarbonos (HFC), que puedan causar efectos adversos a la capa de Ozono.</w:t>
            </w:r>
          </w:p>
        </w:tc>
      </w:tr>
      <w:tr w:rsidR="006A3DBC" w:rsidRPr="00FA4B2D" w14:paraId="762C555D" w14:textId="77777777" w:rsidTr="000449A1">
        <w:trPr>
          <w:trHeight w:val="1864"/>
        </w:trPr>
        <w:tc>
          <w:tcPr>
            <w:tcW w:w="3402" w:type="dxa"/>
            <w:vAlign w:val="center"/>
          </w:tcPr>
          <w:p w14:paraId="685BE52C" w14:textId="755DFF6F" w:rsidR="006A3DBC" w:rsidRPr="00FA4B2D" w:rsidRDefault="006A3DBC" w:rsidP="00C67A21">
            <w:pPr>
              <w:jc w:val="both"/>
              <w:rPr>
                <w:rFonts w:cs="Arial"/>
                <w:sz w:val="18"/>
              </w:rPr>
            </w:pPr>
            <w:r w:rsidRPr="00FA4B2D">
              <w:rPr>
                <w:rFonts w:cs="Arial"/>
                <w:sz w:val="18"/>
                <w:szCs w:val="18"/>
              </w:rPr>
              <w:t>Convenio de Basilea</w:t>
            </w:r>
            <w:r w:rsidRPr="00FA4B2D">
              <w:rPr>
                <w:rFonts w:cs="Arial"/>
                <w:sz w:val="18"/>
              </w:rPr>
              <w:t xml:space="preserve"> sobre </w:t>
            </w:r>
            <w:r w:rsidRPr="00FA4B2D">
              <w:rPr>
                <w:rFonts w:cs="Arial"/>
                <w:sz w:val="18"/>
                <w:szCs w:val="18"/>
              </w:rPr>
              <w:t>el Control</w:t>
            </w:r>
            <w:r w:rsidRPr="00FA4B2D">
              <w:rPr>
                <w:rFonts w:cs="Arial"/>
                <w:sz w:val="18"/>
              </w:rPr>
              <w:t xml:space="preserve"> de </w:t>
            </w:r>
            <w:r w:rsidRPr="00FA4B2D">
              <w:rPr>
                <w:rFonts w:cs="Arial"/>
                <w:sz w:val="18"/>
                <w:szCs w:val="18"/>
              </w:rPr>
              <w:t>Movimientos Transfronterizos</w:t>
            </w:r>
            <w:r w:rsidRPr="00FA4B2D">
              <w:rPr>
                <w:rFonts w:cs="Arial"/>
                <w:sz w:val="18"/>
              </w:rPr>
              <w:t xml:space="preserve"> de </w:t>
            </w:r>
            <w:r w:rsidRPr="00FA4B2D">
              <w:rPr>
                <w:rFonts w:cs="Arial"/>
                <w:sz w:val="18"/>
                <w:szCs w:val="18"/>
              </w:rPr>
              <w:t>los Desechos Peligrosos y de su Eliminación</w:t>
            </w:r>
            <w:r w:rsidRPr="00FA4B2D">
              <w:rPr>
                <w:rFonts w:cs="Arial"/>
                <w:sz w:val="18"/>
              </w:rPr>
              <w:t xml:space="preserve"> </w:t>
            </w:r>
            <w:r w:rsidR="00486091" w:rsidRPr="00FA4B2D">
              <w:rPr>
                <w:rFonts w:cs="Arial"/>
                <w:sz w:val="18"/>
              </w:rPr>
              <w:t>(</w:t>
            </w:r>
            <w:r w:rsidRPr="00FA4B2D">
              <w:rPr>
                <w:rFonts w:cs="Arial"/>
                <w:sz w:val="18"/>
              </w:rPr>
              <w:t xml:space="preserve">Decreto </w:t>
            </w:r>
            <w:r w:rsidRPr="00FA4B2D">
              <w:rPr>
                <w:rFonts w:cs="Arial"/>
                <w:sz w:val="18"/>
                <w:szCs w:val="18"/>
              </w:rPr>
              <w:t>31-95, La Gaceta del 28</w:t>
            </w:r>
            <w:r w:rsidRPr="00FA4B2D">
              <w:rPr>
                <w:rFonts w:cs="Arial"/>
                <w:sz w:val="18"/>
              </w:rPr>
              <w:t xml:space="preserve"> de </w:t>
            </w:r>
            <w:r w:rsidRPr="00FA4B2D">
              <w:rPr>
                <w:rFonts w:cs="Arial"/>
                <w:sz w:val="18"/>
                <w:szCs w:val="18"/>
              </w:rPr>
              <w:t>octubre de 1995</w:t>
            </w:r>
            <w:r w:rsidR="00546010" w:rsidRPr="00FA4B2D">
              <w:rPr>
                <w:rFonts w:cs="Arial"/>
                <w:sz w:val="18"/>
                <w:szCs w:val="18"/>
              </w:rPr>
              <w:t>).</w:t>
            </w:r>
          </w:p>
        </w:tc>
        <w:tc>
          <w:tcPr>
            <w:tcW w:w="5528" w:type="dxa"/>
            <w:vAlign w:val="center"/>
          </w:tcPr>
          <w:p w14:paraId="2873B781" w14:textId="77777777" w:rsidR="006A3DBC" w:rsidRPr="00FA4B2D" w:rsidRDefault="006A3DBC" w:rsidP="00C67A21">
            <w:pPr>
              <w:jc w:val="both"/>
              <w:rPr>
                <w:rFonts w:cs="Arial"/>
                <w:sz w:val="18"/>
                <w:szCs w:val="18"/>
                <w:lang w:val="es-HN"/>
              </w:rPr>
            </w:pPr>
            <w:r w:rsidRPr="00FA4B2D">
              <w:rPr>
                <w:rFonts w:cs="Arial"/>
                <w:sz w:val="18"/>
                <w:szCs w:val="18"/>
                <w:lang w:val="es-HN"/>
              </w:rPr>
              <w:t>El Proyecto velará por la protección del medio ambiente y la salud humana de los efectos nocivos provocados por la generación, manejo, movimientos transfronterizos y eliminación de desechos peligrosos.</w:t>
            </w:r>
          </w:p>
          <w:p w14:paraId="7A53A6A1" w14:textId="77777777" w:rsidR="006A3DBC" w:rsidRPr="00FA4B2D" w:rsidRDefault="006A3DBC" w:rsidP="00C67A21">
            <w:pPr>
              <w:jc w:val="both"/>
              <w:rPr>
                <w:rFonts w:cs="Arial"/>
                <w:sz w:val="18"/>
                <w:lang w:val="es-HN"/>
              </w:rPr>
            </w:pPr>
          </w:p>
        </w:tc>
      </w:tr>
      <w:tr w:rsidR="006A3DBC" w:rsidRPr="00FA4B2D" w14:paraId="76F01248" w14:textId="77777777" w:rsidTr="000449A1">
        <w:trPr>
          <w:trHeight w:val="697"/>
        </w:trPr>
        <w:tc>
          <w:tcPr>
            <w:tcW w:w="3402" w:type="dxa"/>
            <w:vAlign w:val="center"/>
          </w:tcPr>
          <w:p w14:paraId="1DD3B9C3" w14:textId="77777777" w:rsidR="006A3DBC" w:rsidRPr="00FA4B2D" w:rsidRDefault="006A3DBC" w:rsidP="00C67A21">
            <w:pPr>
              <w:jc w:val="both"/>
              <w:rPr>
                <w:rFonts w:cs="Arial"/>
                <w:sz w:val="18"/>
                <w:szCs w:val="18"/>
              </w:rPr>
            </w:pPr>
            <w:r w:rsidRPr="00FA4B2D">
              <w:rPr>
                <w:rFonts w:cs="Arial"/>
                <w:sz w:val="18"/>
                <w:szCs w:val="18"/>
              </w:rPr>
              <w:t>Convenio de Estocolmo sobre Contaminantes Orgánicos Persistentes</w:t>
            </w:r>
          </w:p>
        </w:tc>
        <w:tc>
          <w:tcPr>
            <w:tcW w:w="5528" w:type="dxa"/>
            <w:vAlign w:val="center"/>
          </w:tcPr>
          <w:p w14:paraId="5E8A33BF" w14:textId="77777777" w:rsidR="006A3DBC" w:rsidRPr="00FA4B2D" w:rsidRDefault="006A3DBC" w:rsidP="00C67A21">
            <w:pPr>
              <w:jc w:val="both"/>
              <w:rPr>
                <w:rFonts w:cs="Arial"/>
                <w:sz w:val="18"/>
                <w:szCs w:val="18"/>
                <w:lang w:val="es-HN"/>
              </w:rPr>
            </w:pPr>
            <w:r w:rsidRPr="00FA4B2D">
              <w:rPr>
                <w:rFonts w:cs="Arial"/>
                <w:sz w:val="18"/>
                <w:szCs w:val="18"/>
                <w:lang w:val="es-HN"/>
              </w:rPr>
              <w:t>El Proyecto evitará la adquisición y uso de equipos e insumos que contengan Compuestos Orgánicos Persistentes (COPS).</w:t>
            </w:r>
          </w:p>
        </w:tc>
      </w:tr>
      <w:tr w:rsidR="006A3DBC" w:rsidRPr="00FA4B2D" w14:paraId="2BB2ED8C" w14:textId="77777777" w:rsidTr="000449A1">
        <w:tc>
          <w:tcPr>
            <w:tcW w:w="3402" w:type="dxa"/>
            <w:vAlign w:val="center"/>
          </w:tcPr>
          <w:p w14:paraId="72FA4392" w14:textId="77777777" w:rsidR="006A3DBC" w:rsidRPr="00FA4B2D" w:rsidRDefault="006A3DBC" w:rsidP="00C67A21">
            <w:pPr>
              <w:jc w:val="both"/>
              <w:rPr>
                <w:rFonts w:cs="Arial"/>
                <w:sz w:val="18"/>
                <w:szCs w:val="18"/>
              </w:rPr>
            </w:pPr>
            <w:r w:rsidRPr="00FA4B2D">
              <w:rPr>
                <w:rFonts w:cs="Arial"/>
                <w:sz w:val="18"/>
                <w:szCs w:val="18"/>
              </w:rPr>
              <w:lastRenderedPageBreak/>
              <w:t>Convenio de Rotterdam aplicable a ciertos plaguicidas y productos químicos peligrosos objeto de comercio internacional. Adherido desde el 2002.</w:t>
            </w:r>
          </w:p>
        </w:tc>
        <w:tc>
          <w:tcPr>
            <w:tcW w:w="5528" w:type="dxa"/>
            <w:vAlign w:val="center"/>
          </w:tcPr>
          <w:p w14:paraId="05FF3C24" w14:textId="77777777" w:rsidR="006A3DBC" w:rsidRPr="00FA4B2D" w:rsidRDefault="006A3DBC" w:rsidP="00C67A21">
            <w:pPr>
              <w:jc w:val="both"/>
              <w:rPr>
                <w:rFonts w:cs="Arial"/>
                <w:sz w:val="18"/>
                <w:szCs w:val="18"/>
                <w:lang w:val="es-HN"/>
              </w:rPr>
            </w:pPr>
            <w:r w:rsidRPr="00FA4B2D">
              <w:rPr>
                <w:rFonts w:cs="Arial"/>
                <w:sz w:val="18"/>
                <w:szCs w:val="18"/>
                <w:lang w:val="es-HN"/>
              </w:rPr>
              <w:t>El Proyecto protegerá la salud humana y el medio ambiente de los peligros que representa el comercio de plaguicidas y productos químicos altamente peligrosos.</w:t>
            </w:r>
          </w:p>
        </w:tc>
      </w:tr>
      <w:tr w:rsidR="006A3DBC" w:rsidRPr="00FA4B2D" w14:paraId="080A3AB6" w14:textId="77777777" w:rsidTr="000449A1">
        <w:tc>
          <w:tcPr>
            <w:tcW w:w="3402" w:type="dxa"/>
            <w:vAlign w:val="center"/>
          </w:tcPr>
          <w:p w14:paraId="0A4FDDBE" w14:textId="77777777" w:rsidR="006A3DBC" w:rsidRPr="00FA4B2D" w:rsidRDefault="006A3DBC" w:rsidP="00C67A21">
            <w:pPr>
              <w:jc w:val="both"/>
              <w:rPr>
                <w:rFonts w:cs="Arial"/>
                <w:sz w:val="18"/>
                <w:szCs w:val="18"/>
              </w:rPr>
            </w:pPr>
            <w:r w:rsidRPr="00FA4B2D">
              <w:rPr>
                <w:rFonts w:cs="Arial"/>
                <w:sz w:val="18"/>
                <w:szCs w:val="18"/>
              </w:rPr>
              <w:t xml:space="preserve">Convenio 169 de la Organización Internacional del Trabajo (OIT) sobre pueblos indígenas y tribales; ratificado en el año 1995. </w:t>
            </w:r>
          </w:p>
        </w:tc>
        <w:tc>
          <w:tcPr>
            <w:tcW w:w="5528" w:type="dxa"/>
            <w:vAlign w:val="center"/>
          </w:tcPr>
          <w:p w14:paraId="34FA793F" w14:textId="5C606041" w:rsidR="006A3DBC" w:rsidRPr="00FA4B2D" w:rsidRDefault="006A3DBC" w:rsidP="00C67A21">
            <w:pPr>
              <w:jc w:val="both"/>
              <w:rPr>
                <w:rFonts w:cs="Arial"/>
                <w:sz w:val="18"/>
                <w:szCs w:val="18"/>
                <w:lang w:val="es-HN"/>
              </w:rPr>
            </w:pPr>
            <w:r w:rsidRPr="00FA4B2D">
              <w:rPr>
                <w:rFonts w:cs="Arial"/>
                <w:sz w:val="18"/>
                <w:szCs w:val="18"/>
                <w:lang w:val="es-HN"/>
              </w:rPr>
              <w:t>El Proyecto, trabaja con población indígena y afrohondureña, se abordarán procesos de consulta como mecanismo para el respeto a sus derechos.</w:t>
            </w:r>
          </w:p>
        </w:tc>
      </w:tr>
    </w:tbl>
    <w:p w14:paraId="0B7AFCE9" w14:textId="77777777" w:rsidR="006A3DBC" w:rsidRPr="00FA4B2D" w:rsidRDefault="006A3DBC" w:rsidP="006A3DBC">
      <w:pPr>
        <w:spacing w:after="0" w:line="240" w:lineRule="auto"/>
        <w:jc w:val="both"/>
        <w:rPr>
          <w:rFonts w:cs="Arial"/>
          <w:lang w:val="es-ES_tradnl"/>
        </w:rPr>
      </w:pPr>
    </w:p>
    <w:p w14:paraId="0845313E" w14:textId="77777777" w:rsidR="006A3DBC" w:rsidRPr="00FA4B2D" w:rsidRDefault="006A3DBC" w:rsidP="006A3DBC">
      <w:pPr>
        <w:spacing w:after="0" w:line="240" w:lineRule="auto"/>
        <w:jc w:val="both"/>
        <w:rPr>
          <w:rFonts w:cs="Arial"/>
          <w:lang w:val="es-ES_tradnl"/>
        </w:rPr>
      </w:pPr>
    </w:p>
    <w:p w14:paraId="617ECCA5" w14:textId="77777777" w:rsidR="006A3DBC" w:rsidRPr="00FA4B2D" w:rsidRDefault="006A3DBC" w:rsidP="006A3DBC">
      <w:pPr>
        <w:spacing w:after="0" w:line="240" w:lineRule="auto"/>
        <w:jc w:val="both"/>
        <w:rPr>
          <w:rFonts w:cs="Arial"/>
          <w:lang w:val="es-ES_tradnl"/>
        </w:rPr>
      </w:pPr>
    </w:p>
    <w:p w14:paraId="587DCDD3" w14:textId="77777777" w:rsidR="006A3DBC" w:rsidRPr="00FA4B2D" w:rsidRDefault="006A3DBC" w:rsidP="006A3DBC">
      <w:pPr>
        <w:jc w:val="both"/>
        <w:rPr>
          <w:rFonts w:eastAsia="Cambria" w:cs="Arial"/>
        </w:rPr>
        <w:sectPr w:rsidR="006A3DBC" w:rsidRPr="00FA4B2D" w:rsidSect="00BF4BCA">
          <w:headerReference w:type="default" r:id="rId12"/>
          <w:footerReference w:type="default" r:id="rId13"/>
          <w:pgSz w:w="12240" w:h="15840" w:code="1"/>
          <w:pgMar w:top="1417" w:right="1750" w:bottom="1417" w:left="1560" w:header="708" w:footer="708" w:gutter="0"/>
          <w:cols w:space="708"/>
          <w:docGrid w:linePitch="360"/>
        </w:sectPr>
      </w:pPr>
      <w:r w:rsidRPr="00FA4B2D">
        <w:rPr>
          <w:rFonts w:eastAsia="Cambria" w:cs="Arial"/>
        </w:rPr>
        <w:t xml:space="preserve"> </w:t>
      </w:r>
    </w:p>
    <w:p w14:paraId="3D44F466" w14:textId="4A973B6C" w:rsidR="00E11023" w:rsidRDefault="00E11023" w:rsidP="00E11023">
      <w:pPr>
        <w:pStyle w:val="Descripcin"/>
        <w:keepNext/>
      </w:pPr>
      <w:bookmarkStart w:id="184" w:name="_Toc202455429"/>
      <w:r>
        <w:lastRenderedPageBreak/>
        <w:t xml:space="preserve">Tabla </w:t>
      </w:r>
      <w:r>
        <w:fldChar w:fldCharType="begin"/>
      </w:r>
      <w:r>
        <w:instrText xml:space="preserve"> SEQ Tabla \* ARABIC </w:instrText>
      </w:r>
      <w:r>
        <w:fldChar w:fldCharType="separate"/>
      </w:r>
      <w:r w:rsidR="000E6D86">
        <w:rPr>
          <w:noProof/>
        </w:rPr>
        <w:t>3</w:t>
      </w:r>
      <w:r>
        <w:fldChar w:fldCharType="end"/>
      </w:r>
      <w:r>
        <w:t xml:space="preserve"> </w:t>
      </w:r>
      <w:r w:rsidRPr="00EA2E44">
        <w:t>Análisis de correspondencia entre la normativa nacional y los EAS de BM</w:t>
      </w:r>
      <w:bookmarkEnd w:id="184"/>
    </w:p>
    <w:tbl>
      <w:tblPr>
        <w:tblW w:w="14318"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4395"/>
        <w:gridCol w:w="4252"/>
        <w:gridCol w:w="3969"/>
      </w:tblGrid>
      <w:tr w:rsidR="00CF0F96" w:rsidRPr="00CF0F96" w14:paraId="73ED5131" w14:textId="77777777" w:rsidTr="37B44ACB">
        <w:trPr>
          <w:tblHeader/>
        </w:trPr>
        <w:tc>
          <w:tcPr>
            <w:tcW w:w="1702" w:type="dxa"/>
            <w:shd w:val="clear" w:color="auto" w:fill="5CC5DA"/>
            <w:vAlign w:val="center"/>
          </w:tcPr>
          <w:p w14:paraId="65CE170F" w14:textId="77777777" w:rsidR="006A3DBC" w:rsidRPr="00CF0F96" w:rsidRDefault="006A3DBC" w:rsidP="005F4A92">
            <w:pPr>
              <w:ind w:left="148"/>
              <w:jc w:val="center"/>
              <w:rPr>
                <w:rFonts w:cs="Arial"/>
                <w:b/>
                <w:sz w:val="18"/>
                <w:lang w:val="es-MX"/>
              </w:rPr>
            </w:pPr>
            <w:bookmarkStart w:id="185" w:name="_Hlk65779179"/>
            <w:bookmarkStart w:id="186" w:name="_Hlk65847019"/>
            <w:r w:rsidRPr="00CF0F96">
              <w:rPr>
                <w:rFonts w:cs="Arial"/>
                <w:b/>
                <w:sz w:val="18"/>
                <w:lang w:val="es-MX"/>
              </w:rPr>
              <w:t>Estándar Ambiental y Social</w:t>
            </w:r>
          </w:p>
        </w:tc>
        <w:tc>
          <w:tcPr>
            <w:tcW w:w="4395" w:type="dxa"/>
            <w:shd w:val="clear" w:color="auto" w:fill="5CC5DA"/>
            <w:vAlign w:val="center"/>
          </w:tcPr>
          <w:p w14:paraId="2E578BF8" w14:textId="77777777" w:rsidR="006A3DBC" w:rsidRPr="00CF0F96" w:rsidRDefault="006A3DBC" w:rsidP="005F4A92">
            <w:pPr>
              <w:ind w:left="75"/>
              <w:jc w:val="center"/>
              <w:rPr>
                <w:rFonts w:cs="Arial"/>
                <w:b/>
                <w:sz w:val="18"/>
                <w:lang w:val="es-MX"/>
              </w:rPr>
            </w:pPr>
            <w:r w:rsidRPr="00CF0F96">
              <w:rPr>
                <w:rFonts w:cs="Arial"/>
                <w:b/>
                <w:sz w:val="18"/>
                <w:lang w:val="es-MX"/>
              </w:rPr>
              <w:t>Elementos del Estándar</w:t>
            </w:r>
          </w:p>
        </w:tc>
        <w:tc>
          <w:tcPr>
            <w:tcW w:w="4252" w:type="dxa"/>
            <w:shd w:val="clear" w:color="auto" w:fill="5CC5DA"/>
            <w:vAlign w:val="center"/>
          </w:tcPr>
          <w:p w14:paraId="6FA163AF" w14:textId="321D3CD6" w:rsidR="006A3DBC" w:rsidRPr="00CF0F96" w:rsidRDefault="006A3DBC" w:rsidP="005F4A92">
            <w:pPr>
              <w:ind w:left="75"/>
              <w:jc w:val="center"/>
              <w:rPr>
                <w:rFonts w:cs="Arial"/>
                <w:b/>
                <w:sz w:val="18"/>
                <w:lang w:val="es-MX"/>
              </w:rPr>
            </w:pPr>
            <w:r w:rsidRPr="00CF0F96">
              <w:rPr>
                <w:rFonts w:cs="Arial"/>
                <w:b/>
                <w:sz w:val="18"/>
                <w:lang w:val="es-ES_tradnl"/>
              </w:rPr>
              <w:t xml:space="preserve">Relevancia (vinculación con las actividades del </w:t>
            </w:r>
            <w:r w:rsidR="00134AAC" w:rsidRPr="00CF0F96">
              <w:rPr>
                <w:rFonts w:cs="Arial"/>
                <w:b/>
                <w:sz w:val="18"/>
                <w:lang w:val="es-ES_tradnl"/>
              </w:rPr>
              <w:t>P</w:t>
            </w:r>
            <w:r w:rsidRPr="00CF0F96">
              <w:rPr>
                <w:rFonts w:cs="Arial"/>
                <w:b/>
                <w:sz w:val="18"/>
                <w:lang w:val="es-ES_tradnl"/>
              </w:rPr>
              <w:t>royecto)</w:t>
            </w:r>
          </w:p>
        </w:tc>
        <w:tc>
          <w:tcPr>
            <w:tcW w:w="3969" w:type="dxa"/>
            <w:shd w:val="clear" w:color="auto" w:fill="5CC5DA"/>
            <w:vAlign w:val="center"/>
          </w:tcPr>
          <w:p w14:paraId="1D7A326D" w14:textId="77777777" w:rsidR="006A3DBC" w:rsidRPr="00CF0F96" w:rsidRDefault="006A3DBC" w:rsidP="005F4A92">
            <w:pPr>
              <w:ind w:left="75"/>
              <w:jc w:val="center"/>
              <w:rPr>
                <w:rFonts w:cs="Arial"/>
                <w:b/>
                <w:sz w:val="18"/>
                <w:lang w:val="es-ES_tradnl"/>
              </w:rPr>
            </w:pPr>
            <w:r w:rsidRPr="00CF0F96">
              <w:rPr>
                <w:rFonts w:cs="Arial"/>
                <w:b/>
                <w:sz w:val="18"/>
                <w:lang w:val="es-ES_tradnl"/>
              </w:rPr>
              <w:t xml:space="preserve">Correspondencia de la Normativa con el EAS   </w:t>
            </w:r>
          </w:p>
        </w:tc>
      </w:tr>
      <w:tr w:rsidR="00CF0F96" w:rsidRPr="00CF0F96" w14:paraId="32763669" w14:textId="77777777" w:rsidTr="37B44ACB">
        <w:tc>
          <w:tcPr>
            <w:tcW w:w="1702" w:type="dxa"/>
            <w:vAlign w:val="center"/>
          </w:tcPr>
          <w:p w14:paraId="7250BD95" w14:textId="77777777" w:rsidR="006A3DBC" w:rsidRPr="00CF0F96" w:rsidRDefault="006A3DBC" w:rsidP="005F4A92">
            <w:pPr>
              <w:ind w:left="119"/>
              <w:jc w:val="center"/>
              <w:rPr>
                <w:rFonts w:cs="Arial"/>
                <w:b/>
                <w:sz w:val="18"/>
              </w:rPr>
            </w:pPr>
            <w:r w:rsidRPr="00CF0F96">
              <w:rPr>
                <w:rFonts w:cs="Arial"/>
                <w:b/>
                <w:sz w:val="18"/>
              </w:rPr>
              <w:t>EAS 1</w:t>
            </w:r>
          </w:p>
          <w:p w14:paraId="1E85F5D7" w14:textId="77777777" w:rsidR="006A3DBC" w:rsidRPr="00CF0F96" w:rsidRDefault="006A3DBC" w:rsidP="00C67A21">
            <w:pPr>
              <w:ind w:left="119"/>
              <w:jc w:val="both"/>
              <w:rPr>
                <w:rFonts w:cs="Arial"/>
                <w:b/>
                <w:sz w:val="18"/>
              </w:rPr>
            </w:pPr>
            <w:r w:rsidRPr="00CF0F96">
              <w:rPr>
                <w:rFonts w:cs="Arial"/>
                <w:b/>
                <w:sz w:val="18"/>
              </w:rPr>
              <w:t>Evaluación y Gestión de Riesgos e Impactos Ambientales y Sociales</w:t>
            </w:r>
          </w:p>
          <w:p w14:paraId="14350490" w14:textId="77777777" w:rsidR="006A3DBC" w:rsidRPr="00CF0F96" w:rsidRDefault="006A3DBC" w:rsidP="005F4A92">
            <w:pPr>
              <w:jc w:val="center"/>
              <w:rPr>
                <w:rFonts w:cs="Arial"/>
                <w:b/>
                <w:sz w:val="18"/>
                <w:lang w:val="es-MX"/>
              </w:rPr>
            </w:pPr>
          </w:p>
        </w:tc>
        <w:tc>
          <w:tcPr>
            <w:tcW w:w="4395" w:type="dxa"/>
            <w:vAlign w:val="center"/>
          </w:tcPr>
          <w:p w14:paraId="50FCB86A" w14:textId="77777777" w:rsidR="006A3DBC" w:rsidRPr="00CF0F96" w:rsidRDefault="006A3DBC" w:rsidP="005F4A92">
            <w:pPr>
              <w:pStyle w:val="Prrafodelista"/>
              <w:numPr>
                <w:ilvl w:val="0"/>
                <w:numId w:val="20"/>
              </w:numPr>
              <w:ind w:left="75" w:firstLine="0"/>
              <w:jc w:val="both"/>
              <w:rPr>
                <w:rFonts w:cs="Arial"/>
                <w:sz w:val="18"/>
                <w:lang w:val="es-MX"/>
              </w:rPr>
            </w:pPr>
            <w:r w:rsidRPr="00CF0F96">
              <w:rPr>
                <w:rFonts w:cs="Arial"/>
                <w:sz w:val="18"/>
                <w:lang w:val="es-MX"/>
              </w:rPr>
              <w:t>El EAS 1 establece las responsabilidades en relación con la evaluación, la gestión y el seguimiento de los riesgos e impactos ambientales y sociales asociados con cada etapa de un proyecto respaldado por el Banco a través del financiamiento para proyectos de inversión, a fin de lograr resultados ambientales y sociales coherentes con los EASs.</w:t>
            </w:r>
          </w:p>
          <w:p w14:paraId="0A3BABE1" w14:textId="55F8B36C" w:rsidR="006A3DBC" w:rsidRPr="00CF0F96" w:rsidRDefault="006A3DBC" w:rsidP="005F4A92">
            <w:pPr>
              <w:pStyle w:val="Prrafodelista"/>
              <w:numPr>
                <w:ilvl w:val="0"/>
                <w:numId w:val="20"/>
              </w:numPr>
              <w:ind w:left="75" w:firstLine="0"/>
              <w:jc w:val="both"/>
              <w:rPr>
                <w:rFonts w:cs="Arial"/>
                <w:sz w:val="18"/>
                <w:lang w:val="es-MX"/>
              </w:rPr>
            </w:pPr>
            <w:r w:rsidRPr="00CF0F96">
              <w:rPr>
                <w:rFonts w:cs="Arial"/>
                <w:sz w:val="18"/>
                <w:lang w:val="es-MX"/>
              </w:rPr>
              <w:t xml:space="preserve">Los </w:t>
            </w:r>
            <w:r w:rsidR="00A73790" w:rsidRPr="00CF0F96">
              <w:rPr>
                <w:rFonts w:cs="Arial"/>
                <w:sz w:val="18"/>
                <w:lang w:val="es-MX"/>
              </w:rPr>
              <w:t>g</w:t>
            </w:r>
            <w:r w:rsidRPr="00CF0F96">
              <w:rPr>
                <w:rFonts w:cs="Arial"/>
                <w:sz w:val="18"/>
                <w:lang w:val="es-MX"/>
              </w:rPr>
              <w:t xml:space="preserve">obiernos </w:t>
            </w:r>
            <w:r w:rsidR="00A73790" w:rsidRPr="00CF0F96">
              <w:rPr>
                <w:rFonts w:cs="Arial"/>
                <w:sz w:val="18"/>
                <w:lang w:val="es-MX"/>
              </w:rPr>
              <w:t>n</w:t>
            </w:r>
            <w:r w:rsidRPr="00CF0F96">
              <w:rPr>
                <w:rFonts w:cs="Arial"/>
                <w:sz w:val="18"/>
                <w:lang w:val="es-MX"/>
              </w:rPr>
              <w:t>acionales realizarán una evaluación ambiental y social de los proyectos que se proponen para recibir financiamiento del Banco a fin de ayudar a garantizar que dichos proyectos sean ambiental y socialmente adecuados y sostenibles. La evaluación ambiental y social será proporcional a los riesgos e impactos del proyecto. Servirá de base para el diseño del proyecto y se usará para identificar medidas y acciones de mitigación y para mejorar la toma de decisiones.</w:t>
            </w:r>
          </w:p>
          <w:p w14:paraId="2E3D8366" w14:textId="6FFE1C4F" w:rsidR="006A3DBC" w:rsidRPr="00CF0F96" w:rsidRDefault="006A3DBC" w:rsidP="005F4A92">
            <w:pPr>
              <w:pStyle w:val="Prrafodelista"/>
              <w:numPr>
                <w:ilvl w:val="0"/>
                <w:numId w:val="20"/>
              </w:numPr>
              <w:ind w:left="75" w:firstLine="0"/>
              <w:jc w:val="both"/>
              <w:rPr>
                <w:rFonts w:cs="Arial"/>
                <w:sz w:val="18"/>
                <w:lang w:val="es-MX"/>
              </w:rPr>
            </w:pPr>
            <w:r w:rsidRPr="00CF0F96">
              <w:rPr>
                <w:rFonts w:cs="Arial"/>
                <w:sz w:val="18"/>
                <w:lang w:val="es-MX"/>
              </w:rPr>
              <w:t xml:space="preserve">Los </w:t>
            </w:r>
            <w:r w:rsidR="00A73790" w:rsidRPr="00CF0F96">
              <w:rPr>
                <w:rFonts w:cs="Arial"/>
                <w:sz w:val="18"/>
                <w:lang w:val="es-MX"/>
              </w:rPr>
              <w:t>g</w:t>
            </w:r>
            <w:r w:rsidRPr="00CF0F96">
              <w:rPr>
                <w:rFonts w:cs="Arial"/>
                <w:sz w:val="18"/>
                <w:lang w:val="es-MX"/>
              </w:rPr>
              <w:t xml:space="preserve">obiernos </w:t>
            </w:r>
            <w:r w:rsidR="00A73790" w:rsidRPr="00CF0F96">
              <w:rPr>
                <w:rFonts w:cs="Arial"/>
                <w:sz w:val="18"/>
                <w:lang w:val="es-MX"/>
              </w:rPr>
              <w:t>n</w:t>
            </w:r>
            <w:r w:rsidRPr="00CF0F96">
              <w:rPr>
                <w:rFonts w:cs="Arial"/>
                <w:sz w:val="18"/>
                <w:lang w:val="es-MX"/>
              </w:rPr>
              <w:t>acionales gestionarán los riesgos e impactos ambientales y sociales durante todo el ciclo del proyecto de manera sistemática y proporcional a la naturaleza y la escala del proyecto y sus posibles riesgos e impactos.</w:t>
            </w:r>
          </w:p>
          <w:p w14:paraId="08E69D6D" w14:textId="77777777" w:rsidR="006A3DBC" w:rsidRPr="00CF0F96" w:rsidRDefault="006A3DBC" w:rsidP="005F4A92">
            <w:pPr>
              <w:ind w:left="75"/>
              <w:rPr>
                <w:rFonts w:cs="Arial"/>
                <w:b/>
                <w:sz w:val="18"/>
              </w:rPr>
            </w:pPr>
            <w:r w:rsidRPr="00CF0F96">
              <w:rPr>
                <w:rFonts w:cs="Arial"/>
                <w:b/>
                <w:sz w:val="18"/>
              </w:rPr>
              <w:t>Para ello el prestatario</w:t>
            </w:r>
            <w:r w:rsidRPr="00CF0F96">
              <w:rPr>
                <w:rFonts w:cs="Arial"/>
                <w:sz w:val="18"/>
              </w:rPr>
              <w:t xml:space="preserve"> </w:t>
            </w:r>
            <w:r w:rsidRPr="00CF0F96">
              <w:rPr>
                <w:rFonts w:cs="Arial"/>
                <w:b/>
                <w:sz w:val="18"/>
              </w:rPr>
              <w:t>debe realizar:</w:t>
            </w:r>
          </w:p>
          <w:p w14:paraId="12320903" w14:textId="77777777" w:rsidR="006A3DBC" w:rsidRPr="00CF0F96" w:rsidRDefault="006A3DBC" w:rsidP="005F4A92">
            <w:pPr>
              <w:pStyle w:val="Prrafodelista"/>
              <w:numPr>
                <w:ilvl w:val="0"/>
                <w:numId w:val="21"/>
              </w:numPr>
              <w:ind w:left="75" w:firstLine="0"/>
              <w:jc w:val="both"/>
              <w:rPr>
                <w:rFonts w:cs="Arial"/>
                <w:sz w:val="18"/>
                <w:lang w:val="es-GT"/>
              </w:rPr>
            </w:pPr>
            <w:r w:rsidRPr="00CF0F96">
              <w:rPr>
                <w:rFonts w:cs="Arial"/>
                <w:sz w:val="18"/>
                <w:lang w:val="es-GT"/>
              </w:rPr>
              <w:t xml:space="preserve">Una evaluación ambiental y social para determinar los riesgos e impactos y sociales, durante todo el ciclo del proyecto. La evaluación será proporcional a los posibles riesgos e impactos del proyecto y estimará de manera integrada todos los riesgos e impactos ambientales y sociales directos, indirectos y acumulativos pertinentes durante todo el ciclo del proyecto, incluso los identificados específicamente en los demás EASs </w:t>
            </w:r>
            <w:r w:rsidRPr="00CF0F96">
              <w:rPr>
                <w:rFonts w:cs="Arial"/>
                <w:sz w:val="18"/>
                <w:lang w:val="es-GT"/>
              </w:rPr>
              <w:lastRenderedPageBreak/>
              <w:t xml:space="preserve">del BM (EAS 2 a 10). En el caso que los proyectos contengan subproyectos, se deberá realizar una evaluación ambiental y social para cada uno de ellos. </w:t>
            </w:r>
          </w:p>
          <w:p w14:paraId="2490643A" w14:textId="77777777" w:rsidR="006A3DBC" w:rsidRPr="00CF0F96" w:rsidRDefault="006A3DBC" w:rsidP="005F4A92">
            <w:pPr>
              <w:pStyle w:val="Prrafodelista"/>
              <w:ind w:left="75"/>
              <w:jc w:val="both"/>
              <w:rPr>
                <w:rFonts w:cs="Arial"/>
                <w:sz w:val="18"/>
                <w:lang w:val="es-GT"/>
              </w:rPr>
            </w:pPr>
            <w:r w:rsidRPr="00CF0F96">
              <w:rPr>
                <w:rFonts w:cs="Arial"/>
                <w:sz w:val="18"/>
                <w:lang w:val="es-GT"/>
              </w:rPr>
              <w:t xml:space="preserve">En la evaluación ambiental y social se deben incluir y tomar en cuenta la coordinación y la consulta con las personas afectadas y otras partes interesadas, especialmente en las etapas iniciales, para garantizar que se identifiquen y aborden todos los riesgos e impactos ambientales y sociales potencialmente significativos. Este proceso se deberá realizar de conformidad con el EAS 10 que resalta la importancia de mantener una interacción abierta con las partes interesadas y brindar oportunidades para que se tengan en cuenta sus puntos de vista en el momento del diseño del proyecto y durante la ejecución. Esto incluye desarrollar planes de participación, divulgación de información y consultas. </w:t>
            </w:r>
          </w:p>
          <w:p w14:paraId="5261B805" w14:textId="77777777" w:rsidR="006A3DBC" w:rsidRPr="00CF0F96" w:rsidRDefault="006A3DBC" w:rsidP="005F4A92">
            <w:pPr>
              <w:pStyle w:val="Prrafodelista"/>
              <w:numPr>
                <w:ilvl w:val="0"/>
                <w:numId w:val="21"/>
              </w:numPr>
              <w:ind w:left="75" w:firstLine="0"/>
              <w:jc w:val="both"/>
              <w:rPr>
                <w:rFonts w:cs="Arial"/>
                <w:sz w:val="18"/>
                <w:lang w:val="es-GT"/>
              </w:rPr>
            </w:pPr>
            <w:r w:rsidRPr="00CF0F96">
              <w:rPr>
                <w:rFonts w:cs="Arial"/>
                <w:sz w:val="18"/>
                <w:lang w:val="es-GT"/>
              </w:rPr>
              <w:t xml:space="preserve">Efectuar el seguimiento del desempeño ambiental y social del proyecto respecto de los EASs (EAS 1 a 10) y elaborará los informes correspondientes, lo cual constituye la base para examinar el desempeño del proyecto y verificar si se cumplen el PCAS y los requisitos de los EASs. </w:t>
            </w:r>
          </w:p>
        </w:tc>
        <w:tc>
          <w:tcPr>
            <w:tcW w:w="4252" w:type="dxa"/>
            <w:vAlign w:val="center"/>
          </w:tcPr>
          <w:p w14:paraId="09DD8571" w14:textId="77777777" w:rsidR="006A3DBC" w:rsidRPr="00CF0F96" w:rsidRDefault="006A3DBC" w:rsidP="005F4A92">
            <w:pPr>
              <w:jc w:val="both"/>
              <w:rPr>
                <w:rFonts w:cs="Arial"/>
                <w:sz w:val="18"/>
                <w:lang w:val="es-ES"/>
              </w:rPr>
            </w:pPr>
            <w:r w:rsidRPr="00CF0F96">
              <w:rPr>
                <w:rFonts w:cs="Arial"/>
                <w:sz w:val="18"/>
                <w:lang w:val="es-ES"/>
              </w:rPr>
              <w:lastRenderedPageBreak/>
              <w:t>La importancia de los principios de la gestión ambiental reflejados en el EAS 1 se destaca particularmente en la ejecución de los Planes de Negocio (PdNs) que impliquen: (i) cambio de prácticas de cultivo en una misma área; (ii) diversificación incluyendo nuevos productos agrícolas; (si) posible expansión de nuevas áreas de cultivo; (iv) intensificación y cambio de sistemas tecnológicos de producción; y/o a (v) cercanía a áreas protegidas, recursos o espejos de agua.</w:t>
            </w:r>
          </w:p>
          <w:p w14:paraId="1254E990" w14:textId="5948CF6D" w:rsidR="006A3DBC" w:rsidRPr="00CF0F96" w:rsidRDefault="006A3DBC" w:rsidP="005F4A92">
            <w:pPr>
              <w:jc w:val="both"/>
              <w:rPr>
                <w:rFonts w:cs="Arial"/>
                <w:sz w:val="18"/>
                <w:lang w:val="es-ES"/>
              </w:rPr>
            </w:pPr>
            <w:r w:rsidRPr="00CF0F96">
              <w:rPr>
                <w:rFonts w:cs="Arial"/>
                <w:sz w:val="18"/>
                <w:lang w:val="es-HN"/>
              </w:rPr>
              <w:t>En el caso del Proyecto COMRURAL III, inversiones enmarcadas como de alto riesgo categoría A (categoría 4 de acuerdo con la normativa nacional) no son elegibles para financiamiento. En la práctica, hasta la fecha y frente a las perspectivas y conceptualización del COMRURAL III, los PdNs de</w:t>
            </w:r>
            <w:r w:rsidR="00A73790" w:rsidRPr="00CF0F96">
              <w:rPr>
                <w:rFonts w:cs="Arial"/>
                <w:sz w:val="18"/>
                <w:lang w:val="es-HN"/>
              </w:rPr>
              <w:t>l</w:t>
            </w:r>
            <w:r w:rsidRPr="00CF0F96">
              <w:rPr>
                <w:rFonts w:cs="Arial"/>
                <w:sz w:val="18"/>
                <w:lang w:val="es-HN"/>
              </w:rPr>
              <w:t xml:space="preserve"> </w:t>
            </w:r>
            <w:r w:rsidR="00A73790" w:rsidRPr="00CF0F96">
              <w:rPr>
                <w:rFonts w:cs="Arial"/>
                <w:sz w:val="18"/>
                <w:lang w:val="es-HN"/>
              </w:rPr>
              <w:t xml:space="preserve">programa </w:t>
            </w:r>
            <w:r w:rsidRPr="00CF0F96">
              <w:rPr>
                <w:rFonts w:cs="Arial"/>
                <w:sz w:val="18"/>
                <w:lang w:val="es-HN"/>
              </w:rPr>
              <w:t>COMRURAL presentan un nivel de impacto riesgo bajo (categoría 1); riesgo moderado (categoría 2)</w:t>
            </w:r>
            <w:r w:rsidR="00B203A5" w:rsidRPr="00CF0F96">
              <w:rPr>
                <w:rFonts w:cs="Arial"/>
                <w:sz w:val="18"/>
                <w:lang w:val="es-HN"/>
              </w:rPr>
              <w:t>;</w:t>
            </w:r>
            <w:r w:rsidRPr="00CF0F96">
              <w:rPr>
                <w:rFonts w:cs="Arial"/>
                <w:sz w:val="18"/>
                <w:lang w:val="es-HN"/>
              </w:rPr>
              <w:t xml:space="preserve"> y riesgo considerable (categoría 3) localizados en áreas agroecológicamente intervenidas</w:t>
            </w:r>
            <w:r w:rsidR="00B203A5" w:rsidRPr="00CF0F96">
              <w:rPr>
                <w:rFonts w:cs="Arial"/>
                <w:sz w:val="18"/>
                <w:lang w:val="es-HN"/>
              </w:rPr>
              <w:t>.</w:t>
            </w:r>
            <w:r w:rsidRPr="00CF0F96">
              <w:rPr>
                <w:rFonts w:cs="Arial"/>
                <w:sz w:val="18"/>
                <w:lang w:val="es-HN"/>
              </w:rPr>
              <w:t xml:space="preserve"> </w:t>
            </w:r>
          </w:p>
          <w:p w14:paraId="5E9104EA" w14:textId="77777777" w:rsidR="006A3DBC" w:rsidRPr="00CF0F96" w:rsidRDefault="006A3DBC" w:rsidP="005F4A92">
            <w:pPr>
              <w:ind w:left="-67"/>
              <w:jc w:val="both"/>
              <w:rPr>
                <w:rFonts w:cs="Arial"/>
                <w:sz w:val="18"/>
                <w:lang w:val="es-MX"/>
              </w:rPr>
            </w:pPr>
          </w:p>
        </w:tc>
        <w:tc>
          <w:tcPr>
            <w:tcW w:w="3969" w:type="dxa"/>
            <w:vAlign w:val="center"/>
          </w:tcPr>
          <w:p w14:paraId="7C766969" w14:textId="184176BF" w:rsidR="006A3DBC" w:rsidRPr="00CF0F96" w:rsidRDefault="006A3DBC" w:rsidP="005F4A92">
            <w:pPr>
              <w:pStyle w:val="Default"/>
              <w:jc w:val="both"/>
              <w:rPr>
                <w:rFonts w:ascii="Arial" w:hAnsi="Arial" w:cs="Arial"/>
                <w:color w:val="767171" w:themeColor="background2" w:themeShade="80"/>
                <w:sz w:val="18"/>
                <w:lang w:val="es-MX"/>
              </w:rPr>
            </w:pPr>
            <w:r w:rsidRPr="00CF0F96">
              <w:rPr>
                <w:rFonts w:ascii="Arial" w:hAnsi="Arial" w:cs="Arial"/>
                <w:color w:val="767171" w:themeColor="background2" w:themeShade="80"/>
                <w:sz w:val="18"/>
                <w:lang w:val="es-MX"/>
              </w:rPr>
              <w:t xml:space="preserve">La normativa nacional tiene correspondencia con lo requerido por el EAS 1, ya que establece la obligación de que todos los proyectos, obras o actividades susceptibles de contaminar o degradar el ambiente se sometan a una EIA realizada por profesionales calificados para evitar daños significativos, reversibles e irreversibles al ambiente, así como implementar las medidas y acciones de mitigación, de acuerdo con la escala del proyecto y sus posibles impactos. </w:t>
            </w:r>
          </w:p>
          <w:p w14:paraId="65B6CA44" w14:textId="77777777" w:rsidR="006A3DBC" w:rsidRPr="00CF0F96" w:rsidRDefault="006A3DBC" w:rsidP="005F4A92">
            <w:pPr>
              <w:pStyle w:val="Default"/>
              <w:jc w:val="both"/>
              <w:rPr>
                <w:rFonts w:ascii="Arial" w:hAnsi="Arial" w:cs="Arial"/>
                <w:color w:val="767171" w:themeColor="background2" w:themeShade="80"/>
                <w:sz w:val="18"/>
              </w:rPr>
            </w:pPr>
          </w:p>
          <w:p w14:paraId="307A8CEA" w14:textId="77777777" w:rsidR="006A3DBC" w:rsidRPr="00CF0F96" w:rsidRDefault="006A3DBC" w:rsidP="005F4A92">
            <w:pPr>
              <w:rPr>
                <w:rFonts w:cs="Arial"/>
                <w:sz w:val="18"/>
              </w:rPr>
            </w:pPr>
            <w:r w:rsidRPr="00CF0F96">
              <w:rPr>
                <w:rFonts w:cs="Arial"/>
                <w:sz w:val="18"/>
              </w:rPr>
              <w:t>Instrumentos normativos correspondientes:</w:t>
            </w:r>
          </w:p>
          <w:p w14:paraId="687CAA4C" w14:textId="77777777" w:rsidR="006A3DBC" w:rsidRPr="00CF0F96" w:rsidRDefault="006A3DBC" w:rsidP="005F4A92">
            <w:pPr>
              <w:pStyle w:val="Prrafodelista"/>
              <w:numPr>
                <w:ilvl w:val="0"/>
                <w:numId w:val="27"/>
              </w:numPr>
              <w:ind w:firstLine="0"/>
              <w:jc w:val="both"/>
              <w:rPr>
                <w:rFonts w:cs="Arial"/>
                <w:sz w:val="18"/>
              </w:rPr>
            </w:pPr>
            <w:r w:rsidRPr="00CF0F96">
              <w:rPr>
                <w:rFonts w:cs="Arial"/>
                <w:sz w:val="18"/>
              </w:rPr>
              <w:t>Ley General de Ambiente y su Reglamento.</w:t>
            </w:r>
          </w:p>
          <w:p w14:paraId="119E15C8" w14:textId="77777777" w:rsidR="006A3DBC" w:rsidRPr="00CF0F96" w:rsidRDefault="006A3DBC" w:rsidP="005F4A92">
            <w:pPr>
              <w:pStyle w:val="Prrafodelista"/>
              <w:numPr>
                <w:ilvl w:val="0"/>
                <w:numId w:val="27"/>
              </w:numPr>
              <w:ind w:firstLine="0"/>
              <w:jc w:val="both"/>
              <w:rPr>
                <w:rFonts w:cs="Arial"/>
                <w:sz w:val="18"/>
              </w:rPr>
            </w:pPr>
            <w:r w:rsidRPr="00CF0F96">
              <w:rPr>
                <w:rFonts w:cs="Arial"/>
                <w:sz w:val="18"/>
                <w:lang w:val="es-HN"/>
              </w:rPr>
              <w:t>Reglamento del SINEIA.</w:t>
            </w:r>
          </w:p>
          <w:p w14:paraId="78B649E8" w14:textId="77777777" w:rsidR="006A3DBC" w:rsidRPr="00CF0F96" w:rsidRDefault="006A3DBC" w:rsidP="005F4A92">
            <w:pPr>
              <w:pStyle w:val="Prrafodelista"/>
              <w:numPr>
                <w:ilvl w:val="0"/>
                <w:numId w:val="27"/>
              </w:numPr>
              <w:ind w:firstLine="0"/>
              <w:jc w:val="both"/>
              <w:rPr>
                <w:rFonts w:cs="Arial"/>
                <w:sz w:val="18"/>
                <w:lang w:val="es-HN"/>
              </w:rPr>
            </w:pPr>
            <w:r w:rsidRPr="00CF0F96">
              <w:rPr>
                <w:rFonts w:cs="Arial"/>
                <w:sz w:val="18"/>
                <w:lang w:val="es-HN"/>
              </w:rPr>
              <w:t>Tabla de Categorización Ambiental.</w:t>
            </w:r>
          </w:p>
          <w:p w14:paraId="043E4897" w14:textId="77777777" w:rsidR="006A3DBC" w:rsidRPr="00CF0F96" w:rsidRDefault="006A3DBC" w:rsidP="005F4A92">
            <w:pPr>
              <w:pStyle w:val="Prrafodelista"/>
              <w:numPr>
                <w:ilvl w:val="0"/>
                <w:numId w:val="27"/>
              </w:numPr>
              <w:ind w:firstLine="0"/>
              <w:jc w:val="both"/>
              <w:rPr>
                <w:rFonts w:cs="Arial"/>
                <w:sz w:val="18"/>
              </w:rPr>
            </w:pPr>
            <w:r w:rsidRPr="00CF0F96">
              <w:rPr>
                <w:rFonts w:cs="Arial"/>
                <w:sz w:val="18"/>
                <w:lang w:val="es-HN"/>
              </w:rPr>
              <w:t>Reglamento de Registro Nacional de PSA.</w:t>
            </w:r>
          </w:p>
          <w:p w14:paraId="64736D58" w14:textId="6E707FFB" w:rsidR="006A3DBC" w:rsidRPr="00CF0F96" w:rsidRDefault="006A3DBC" w:rsidP="005F4A92">
            <w:pPr>
              <w:pStyle w:val="Prrafodelista"/>
              <w:numPr>
                <w:ilvl w:val="0"/>
                <w:numId w:val="27"/>
              </w:numPr>
              <w:ind w:firstLine="0"/>
              <w:rPr>
                <w:rFonts w:cs="Arial"/>
                <w:sz w:val="18"/>
                <w:lang w:val="es-HN"/>
              </w:rPr>
            </w:pPr>
            <w:r w:rsidRPr="00CF0F96">
              <w:rPr>
                <w:rFonts w:cs="Arial"/>
                <w:sz w:val="18"/>
                <w:lang w:val="es-HN"/>
              </w:rPr>
              <w:t xml:space="preserve">Ley del </w:t>
            </w:r>
            <w:r w:rsidR="006676EE" w:rsidRPr="00CF0F96">
              <w:rPr>
                <w:rFonts w:cs="Arial"/>
                <w:sz w:val="18"/>
                <w:lang w:val="es-HN"/>
              </w:rPr>
              <w:t>SINAGER</w:t>
            </w:r>
            <w:r w:rsidR="005F4A92" w:rsidRPr="00CF0F96">
              <w:rPr>
                <w:rFonts w:cs="Arial"/>
                <w:sz w:val="18"/>
                <w:lang w:val="es-HN"/>
              </w:rPr>
              <w:t xml:space="preserve"> </w:t>
            </w:r>
            <w:r w:rsidR="006676EE" w:rsidRPr="00CF0F96">
              <w:rPr>
                <w:rFonts w:cs="Arial"/>
                <w:sz w:val="18"/>
                <w:lang w:val="es-HN"/>
              </w:rPr>
              <w:t>(</w:t>
            </w:r>
            <w:r w:rsidRPr="00CF0F96">
              <w:rPr>
                <w:rFonts w:cs="Arial"/>
                <w:sz w:val="18"/>
                <w:lang w:val="es-HN"/>
              </w:rPr>
              <w:t>Decreto 57-2009</w:t>
            </w:r>
            <w:r w:rsidR="006676EE" w:rsidRPr="00CF0F96">
              <w:rPr>
                <w:rFonts w:cs="Arial"/>
                <w:sz w:val="18"/>
                <w:lang w:val="es-HN"/>
              </w:rPr>
              <w:t>)</w:t>
            </w:r>
            <w:r w:rsidR="00394626" w:rsidRPr="00CF0F96">
              <w:rPr>
                <w:rFonts w:cs="Arial"/>
                <w:sz w:val="18"/>
                <w:lang w:val="es-HN"/>
              </w:rPr>
              <w:t>.</w:t>
            </w:r>
          </w:p>
          <w:p w14:paraId="3B36B46B" w14:textId="77777777" w:rsidR="006A3DBC" w:rsidRPr="00CF0F96" w:rsidRDefault="006A3DBC" w:rsidP="005F4A92">
            <w:pPr>
              <w:jc w:val="both"/>
              <w:rPr>
                <w:rFonts w:cs="Arial"/>
                <w:sz w:val="18"/>
                <w:lang w:val="es-HN"/>
              </w:rPr>
            </w:pPr>
            <w:r w:rsidRPr="00CF0F96">
              <w:rPr>
                <w:rFonts w:cs="Arial"/>
                <w:sz w:val="18"/>
                <w:lang w:val="es-HN"/>
              </w:rPr>
              <w:t xml:space="preserve">En la normativa nacional </w:t>
            </w:r>
            <w:r w:rsidRPr="00CF0F96">
              <w:rPr>
                <w:rFonts w:cs="Arial"/>
                <w:sz w:val="18"/>
              </w:rPr>
              <w:t xml:space="preserve">la consulta, información y participación de las partes interesadas; están  relacionadas a proyectos de gran envergadura y a aquellos en los cuales  están vinculados los pueblos indígenas y afrodescendientes; a diferencia del EAS 1 que establece que se </w:t>
            </w:r>
            <w:r w:rsidRPr="00CF0F96">
              <w:rPr>
                <w:rFonts w:cs="Arial"/>
                <w:sz w:val="18"/>
                <w:lang w:val="es-GT"/>
              </w:rPr>
              <w:t>deben incluir y tomar en cuenta la coordinación y la consulta con las personas afectadas y otras partes interesadas, especialmente en las etapas iniciales, para garantizar que se identifiquen y aborden todos los riesgos e impactos ambientales y sociales potencialmente significativos.</w:t>
            </w:r>
          </w:p>
          <w:p w14:paraId="3CB4327B" w14:textId="77777777" w:rsidR="006A3DBC" w:rsidRPr="00CF0F96" w:rsidRDefault="006A3DBC" w:rsidP="005F4A92">
            <w:pPr>
              <w:jc w:val="both"/>
              <w:rPr>
                <w:rFonts w:cs="Arial"/>
                <w:sz w:val="18"/>
                <w:lang w:val="es-HN"/>
              </w:rPr>
            </w:pPr>
          </w:p>
          <w:p w14:paraId="680168B4" w14:textId="77777777" w:rsidR="006A3DBC" w:rsidRPr="00CF0F96" w:rsidRDefault="006A3DBC" w:rsidP="005F4A92">
            <w:pPr>
              <w:pStyle w:val="Prrafodelista"/>
              <w:ind w:left="360"/>
              <w:rPr>
                <w:rFonts w:cs="Arial"/>
                <w:sz w:val="18"/>
                <w:lang w:val="es-HN"/>
              </w:rPr>
            </w:pPr>
          </w:p>
          <w:p w14:paraId="191AC14C" w14:textId="77777777" w:rsidR="006A3DBC" w:rsidRPr="00CF0F96" w:rsidRDefault="006A3DBC" w:rsidP="005F4A92">
            <w:pPr>
              <w:rPr>
                <w:rFonts w:cs="Arial"/>
                <w:sz w:val="18"/>
              </w:rPr>
            </w:pPr>
          </w:p>
        </w:tc>
      </w:tr>
      <w:bookmarkEnd w:id="185"/>
      <w:tr w:rsidR="00CF0F96" w:rsidRPr="00CF0F96" w14:paraId="310741A6" w14:textId="77777777" w:rsidTr="00B348AC">
        <w:trPr>
          <w:trHeight w:val="1208"/>
        </w:trPr>
        <w:tc>
          <w:tcPr>
            <w:tcW w:w="1702" w:type="dxa"/>
            <w:vAlign w:val="center"/>
          </w:tcPr>
          <w:p w14:paraId="7C121DA7" w14:textId="77777777" w:rsidR="006A3DBC" w:rsidRPr="00CF0F96" w:rsidRDefault="006A3DBC" w:rsidP="005F4A92">
            <w:pPr>
              <w:ind w:left="119"/>
              <w:jc w:val="center"/>
              <w:rPr>
                <w:rFonts w:cs="Arial"/>
                <w:b/>
                <w:sz w:val="18"/>
              </w:rPr>
            </w:pPr>
            <w:r w:rsidRPr="00CF0F96">
              <w:rPr>
                <w:rFonts w:cs="Arial"/>
                <w:b/>
                <w:sz w:val="18"/>
              </w:rPr>
              <w:lastRenderedPageBreak/>
              <w:t xml:space="preserve">EAS 2 </w:t>
            </w:r>
          </w:p>
          <w:p w14:paraId="5E0882C2" w14:textId="77777777" w:rsidR="006A3DBC" w:rsidRPr="00CF0F96" w:rsidRDefault="006A3DBC" w:rsidP="00C67A21">
            <w:pPr>
              <w:ind w:left="119"/>
              <w:jc w:val="both"/>
              <w:rPr>
                <w:rFonts w:cs="Arial"/>
                <w:b/>
                <w:sz w:val="18"/>
              </w:rPr>
            </w:pPr>
            <w:r w:rsidRPr="00CF0F96">
              <w:rPr>
                <w:rFonts w:cs="Arial"/>
                <w:b/>
                <w:sz w:val="18"/>
              </w:rPr>
              <w:t>Trabajo y Condiciones Laborales</w:t>
            </w:r>
          </w:p>
          <w:p w14:paraId="078D2652" w14:textId="77777777" w:rsidR="006A3DBC" w:rsidRPr="00CF0F96" w:rsidRDefault="006A3DBC" w:rsidP="005F4A92">
            <w:pPr>
              <w:ind w:left="119"/>
              <w:jc w:val="center"/>
              <w:rPr>
                <w:rFonts w:cs="Arial"/>
                <w:b/>
                <w:sz w:val="18"/>
              </w:rPr>
            </w:pPr>
          </w:p>
        </w:tc>
        <w:tc>
          <w:tcPr>
            <w:tcW w:w="4395" w:type="dxa"/>
            <w:vAlign w:val="center"/>
          </w:tcPr>
          <w:p w14:paraId="4D03C319" w14:textId="77777777" w:rsidR="006A3DBC" w:rsidRPr="00CF0F96" w:rsidRDefault="006A3DBC" w:rsidP="005F4A92">
            <w:pPr>
              <w:pStyle w:val="Prrafodelista"/>
              <w:numPr>
                <w:ilvl w:val="0"/>
                <w:numId w:val="22"/>
              </w:numPr>
              <w:ind w:left="75" w:firstLine="0"/>
              <w:jc w:val="both"/>
              <w:rPr>
                <w:rFonts w:cs="Arial"/>
                <w:sz w:val="18"/>
                <w:lang w:val="es-MX"/>
              </w:rPr>
            </w:pPr>
            <w:r w:rsidRPr="00CF0F96">
              <w:rPr>
                <w:rFonts w:cs="Arial"/>
                <w:sz w:val="18"/>
                <w:lang w:val="es-MX"/>
              </w:rPr>
              <w:t xml:space="preserve">El EAS 2 reconoce la importancia de la creación de empleos y la generación de ingresos en la búsqueda de la reducción de la pobreza y el crecimiento económico inclusivo. Los gobiernos nacionales pueden promover relaciones adecuadas entre los trabajadores y la gerencia, y mejorar los beneficios de desarrollo que genera un proyecto al tratar a los trabajadores del proyecto de manera </w:t>
            </w:r>
            <w:r w:rsidRPr="00CF0F96">
              <w:rPr>
                <w:rFonts w:cs="Arial"/>
                <w:sz w:val="18"/>
                <w:lang w:val="es-MX"/>
              </w:rPr>
              <w:lastRenderedPageBreak/>
              <w:t>justa y brindarles condiciones laborales seguras y saludables.</w:t>
            </w:r>
          </w:p>
          <w:p w14:paraId="24606F79" w14:textId="77777777" w:rsidR="006A3DBC" w:rsidRPr="00CF0F96" w:rsidRDefault="006A3DBC" w:rsidP="005F4A92">
            <w:pPr>
              <w:ind w:left="75"/>
              <w:rPr>
                <w:rFonts w:cs="Arial"/>
                <w:sz w:val="18"/>
                <w:lang w:val="es-MX"/>
              </w:rPr>
            </w:pPr>
            <w:r w:rsidRPr="00CF0F96">
              <w:rPr>
                <w:rFonts w:cs="Arial"/>
                <w:sz w:val="18"/>
                <w:lang w:val="es-MX"/>
              </w:rPr>
              <w:t>Para esto el prestatario deberá:</w:t>
            </w:r>
          </w:p>
          <w:p w14:paraId="22A1432F" w14:textId="77777777" w:rsidR="006A3DBC" w:rsidRPr="00CF0F96" w:rsidRDefault="006A3DBC" w:rsidP="005F4A92">
            <w:pPr>
              <w:pStyle w:val="Prrafodelista"/>
              <w:numPr>
                <w:ilvl w:val="0"/>
                <w:numId w:val="23"/>
              </w:numPr>
              <w:ind w:left="75" w:firstLine="0"/>
              <w:jc w:val="both"/>
              <w:rPr>
                <w:rFonts w:cs="Arial"/>
                <w:sz w:val="18"/>
                <w:lang w:val="es-MX"/>
              </w:rPr>
            </w:pPr>
            <w:r w:rsidRPr="00CF0F96">
              <w:rPr>
                <w:rFonts w:cs="Arial"/>
                <w:sz w:val="18"/>
              </w:rPr>
              <w:t xml:space="preserve">Promover la seguridad y la salud en el trabajo; </w:t>
            </w:r>
          </w:p>
          <w:p w14:paraId="1F9B2DD4" w14:textId="77777777" w:rsidR="006A3DBC" w:rsidRPr="00CF0F96" w:rsidRDefault="006A3DBC" w:rsidP="005F4A92">
            <w:pPr>
              <w:pStyle w:val="Prrafodelista"/>
              <w:numPr>
                <w:ilvl w:val="0"/>
                <w:numId w:val="23"/>
              </w:numPr>
              <w:ind w:left="75" w:firstLine="0"/>
              <w:jc w:val="both"/>
              <w:rPr>
                <w:rFonts w:cs="Arial"/>
                <w:sz w:val="18"/>
                <w:lang w:val="es-MX"/>
              </w:rPr>
            </w:pPr>
            <w:r w:rsidRPr="00CF0F96">
              <w:rPr>
                <w:rFonts w:cs="Arial"/>
                <w:sz w:val="18"/>
              </w:rPr>
              <w:t xml:space="preserve">Promover el trato justo, la no discriminación y la igualdad de oportunidades de los trabajadores del proyecto; </w:t>
            </w:r>
          </w:p>
          <w:p w14:paraId="1F39E9FF" w14:textId="77777777" w:rsidR="006A3DBC" w:rsidRPr="00CF0F96" w:rsidRDefault="006A3DBC" w:rsidP="005F4A92">
            <w:pPr>
              <w:pStyle w:val="Prrafodelista"/>
              <w:numPr>
                <w:ilvl w:val="0"/>
                <w:numId w:val="23"/>
              </w:numPr>
              <w:ind w:left="75" w:firstLine="0"/>
              <w:jc w:val="both"/>
              <w:rPr>
                <w:rFonts w:cs="Arial"/>
                <w:sz w:val="18"/>
                <w:lang w:val="es-MX"/>
              </w:rPr>
            </w:pPr>
            <w:r w:rsidRPr="00CF0F96">
              <w:rPr>
                <w:rFonts w:cs="Arial"/>
                <w:sz w:val="18"/>
              </w:rPr>
              <w:t>Proteger a los trabajadores del proyecto, incluidos los trabajadores vulnerables, como las mujeres, las personas con discapacidades, los niños (en edad laboral, de conformidad con este EAS) y los trabajadores migrantes, los trabajadores contratistas, los trabajadores comunitarios y los proveedores primarios, según corresponda;</w:t>
            </w:r>
          </w:p>
          <w:p w14:paraId="0BD29629" w14:textId="77777777" w:rsidR="006A3DBC" w:rsidRPr="00CF0F96" w:rsidRDefault="006A3DBC" w:rsidP="005F4A92">
            <w:pPr>
              <w:pStyle w:val="Prrafodelista"/>
              <w:numPr>
                <w:ilvl w:val="0"/>
                <w:numId w:val="23"/>
              </w:numPr>
              <w:ind w:left="75" w:firstLine="0"/>
              <w:jc w:val="both"/>
              <w:rPr>
                <w:rFonts w:cs="Arial"/>
                <w:sz w:val="18"/>
                <w:lang w:val="es-MX"/>
              </w:rPr>
            </w:pPr>
            <w:r w:rsidRPr="00CF0F96">
              <w:rPr>
                <w:rFonts w:cs="Arial"/>
                <w:sz w:val="18"/>
              </w:rPr>
              <w:t xml:space="preserve">Impedir el uso de todas las formas de trabajo forzado y trabajo infantil; </w:t>
            </w:r>
          </w:p>
          <w:p w14:paraId="28D7510D" w14:textId="77777777" w:rsidR="006A3DBC" w:rsidRPr="00CF0F96" w:rsidRDefault="006A3DBC" w:rsidP="005F4A92">
            <w:pPr>
              <w:pStyle w:val="Prrafodelista"/>
              <w:numPr>
                <w:ilvl w:val="0"/>
                <w:numId w:val="23"/>
              </w:numPr>
              <w:ind w:left="75" w:firstLine="0"/>
              <w:jc w:val="both"/>
              <w:rPr>
                <w:rFonts w:cs="Arial"/>
                <w:sz w:val="18"/>
                <w:lang w:val="es-MX"/>
              </w:rPr>
            </w:pPr>
            <w:r w:rsidRPr="00CF0F96">
              <w:rPr>
                <w:rFonts w:cs="Arial"/>
                <w:sz w:val="18"/>
              </w:rPr>
              <w:t>Apoyar los principios de libertad de asociación y negociación colectiva de los trabajadores del proyecto de conformidad con las leyes nacionales;</w:t>
            </w:r>
          </w:p>
          <w:p w14:paraId="674D355D" w14:textId="77777777" w:rsidR="006A3DBC" w:rsidRPr="00CF0F96" w:rsidRDefault="006A3DBC" w:rsidP="005F4A92">
            <w:pPr>
              <w:pStyle w:val="Prrafodelista"/>
              <w:numPr>
                <w:ilvl w:val="0"/>
                <w:numId w:val="23"/>
              </w:numPr>
              <w:ind w:left="75" w:firstLine="0"/>
              <w:jc w:val="both"/>
              <w:rPr>
                <w:rFonts w:cs="Arial"/>
                <w:sz w:val="18"/>
                <w:lang w:val="es-MX"/>
              </w:rPr>
            </w:pPr>
            <w:r w:rsidRPr="00CF0F96">
              <w:rPr>
                <w:rFonts w:cs="Arial"/>
                <w:sz w:val="18"/>
              </w:rPr>
              <w:t>Brindar a los trabajadores del proyecto medios accesibles para plantear inquietudes sobre condiciones laborales y trabajo.</w:t>
            </w:r>
          </w:p>
          <w:p w14:paraId="1805223B" w14:textId="77777777" w:rsidR="006A3DBC" w:rsidRPr="00CF0F96" w:rsidRDefault="006A3DBC" w:rsidP="005F4A92">
            <w:pPr>
              <w:pStyle w:val="Prrafodelista"/>
              <w:ind w:left="75"/>
              <w:jc w:val="both"/>
              <w:rPr>
                <w:rFonts w:cs="Arial"/>
                <w:sz w:val="18"/>
                <w:lang w:val="es-MX"/>
              </w:rPr>
            </w:pPr>
          </w:p>
        </w:tc>
        <w:tc>
          <w:tcPr>
            <w:tcW w:w="4252" w:type="dxa"/>
            <w:vAlign w:val="center"/>
          </w:tcPr>
          <w:p w14:paraId="17FEE510" w14:textId="77777777" w:rsidR="006A3DBC" w:rsidRPr="00CF0F96" w:rsidRDefault="006A3DBC" w:rsidP="005F4A92">
            <w:pPr>
              <w:jc w:val="both"/>
              <w:rPr>
                <w:rFonts w:cs="Arial"/>
                <w:sz w:val="18"/>
                <w:szCs w:val="18"/>
                <w:lang w:val="es-HN"/>
              </w:rPr>
            </w:pPr>
            <w:r w:rsidRPr="00CF0F96">
              <w:rPr>
                <w:rFonts w:cs="Arial"/>
                <w:sz w:val="18"/>
                <w:szCs w:val="18"/>
                <w:lang w:val="es-HN"/>
              </w:rPr>
              <w:lastRenderedPageBreak/>
              <w:t xml:space="preserve">En lo referente a las Condiciones de Trabajo, en Honduras los contratos de trabajo pueden ser de tipo verbal o escrito, expreso o tácito, individual o colectivo. Para probar la existencia de una relación laboral entre un patrono y un trabajador, no es indispensable la existencia de un documento escrito. Según el artículo 39 del Código del Trabajo, el contrato de trabajo puede ser verbal cuando se refiera al servicio doméstico, trabajos accidentales o temporales que no excedan de </w:t>
            </w:r>
            <w:r w:rsidRPr="00CF0F96">
              <w:rPr>
                <w:rFonts w:cs="Arial"/>
                <w:sz w:val="18"/>
                <w:szCs w:val="18"/>
                <w:lang w:val="es-HN"/>
              </w:rPr>
              <w:lastRenderedPageBreak/>
              <w:t>sesenta días; a obras determinadas donde se hubiere señalado fecha de entrega, siempre que ésta no exceda de sesenta días; y a labores agrícolas o ganaderas que no se realicen en empresas industriales.</w:t>
            </w:r>
          </w:p>
          <w:p w14:paraId="28A6500F" w14:textId="77777777" w:rsidR="006A3DBC" w:rsidRPr="00CF0F96" w:rsidRDefault="006A3DBC" w:rsidP="005F4A92">
            <w:pPr>
              <w:jc w:val="both"/>
              <w:rPr>
                <w:rFonts w:cs="Arial"/>
                <w:sz w:val="18"/>
                <w:szCs w:val="18"/>
                <w:lang w:val="es-HN"/>
              </w:rPr>
            </w:pPr>
            <w:r w:rsidRPr="00CF0F96">
              <w:rPr>
                <w:rFonts w:cs="Arial"/>
                <w:sz w:val="18"/>
                <w:szCs w:val="18"/>
                <w:lang w:val="es-HN"/>
              </w:rPr>
              <w:t>En cuanto a la jornada laboral, en el Código de trabajo se establecen dos tipos de jornada: ordinaria y extraordinaria. La ordinaria corresponde a horas establecidas que no exceden los límites establecidos por la ley. La jornada ordinaria puede ser diurna, mixta y nocturna.</w:t>
            </w:r>
          </w:p>
          <w:p w14:paraId="0F5A209A" w14:textId="77777777" w:rsidR="006A3DBC" w:rsidRPr="00CF0F96" w:rsidRDefault="006A3DBC" w:rsidP="005F4A92">
            <w:pPr>
              <w:jc w:val="both"/>
              <w:rPr>
                <w:rFonts w:cs="Arial"/>
                <w:sz w:val="18"/>
                <w:lang w:val="es-ES"/>
              </w:rPr>
            </w:pPr>
            <w:r w:rsidRPr="00CF0F96">
              <w:rPr>
                <w:rFonts w:cs="Arial"/>
                <w:sz w:val="18"/>
                <w:lang w:val="es-ES"/>
              </w:rPr>
              <w:t xml:space="preserve">La Constitución de la República de Honduras y el Código de Trabajo establecen que es de obligatorio cumplimiento las leyes y regulaciones de seguridad y salud laboral, como ser: La Ley del Seguro Social, la Ley Marco del Sistema de Protección Social, el Código de la Niñez y la Adolescencia  y el Reglamento General de Medidas Preventivas de Accidentes de Trabajo y Enfermedades Profesionales, entre otros, mediante los cuales se impone a los patronos o empleadores a tomar medidas apropiadas de seguridad para prevenir peligros laborales y proteger la salud mental de los trabajadores, brindar condiciones de salud y seguridad en las cuales se debe realizar el trabajo en el lugar de trabajo, sin prejuicios de los reglamentos que están establecidos en cada actividad particular, con el propósito de prevenir, reducir o eliminar los peligros laborales. </w:t>
            </w:r>
          </w:p>
          <w:p w14:paraId="0FA15C8F" w14:textId="77777777" w:rsidR="006A3DBC" w:rsidRPr="00CF0F96" w:rsidRDefault="006A3DBC" w:rsidP="005F4A92">
            <w:pPr>
              <w:jc w:val="both"/>
              <w:rPr>
                <w:rFonts w:cs="Arial"/>
                <w:sz w:val="18"/>
                <w:lang w:val="es-ES"/>
              </w:rPr>
            </w:pPr>
            <w:r w:rsidRPr="00CF0F96">
              <w:rPr>
                <w:rFonts w:cs="Arial"/>
                <w:sz w:val="18"/>
                <w:lang w:val="es-ES"/>
              </w:rPr>
              <w:t xml:space="preserve">También es relevante el Capítulo V de la Protección contra la explotación económica. Decreto No. 35-2013; del 6 de septiembre, 2013. El Artículo 118, menciona que el trabajo de los </w:t>
            </w:r>
            <w:r w:rsidRPr="00CF0F96">
              <w:rPr>
                <w:rFonts w:cs="Arial"/>
                <w:sz w:val="18"/>
                <w:lang w:val="es-ES"/>
              </w:rPr>
              <w:lastRenderedPageBreak/>
              <w:t>niños deberá ser adecuado a su edad, condiciones físicas y desarrollo intelectual y moral. La Secretaría en los Despachos de Trabajo y Prevención Social evitará la explotación económica de los niños y velará porque no realicen trabajos peligrosos o que entorpezcan su educación o afecten su salud o su desarrollo físico o mental. Los niños que ingresen a la fuerza laboral tendrán derecho al salario, prestaciones sociales y demás garantías que la ley y los contratos individuales o colectivos que le conceden a los trabajadores mayores de dieciocho (18) años y a los especiales que por razón de su edad y desarrollo le son reconocidos por el Código de Trabajo y por el presente. El trabajo de los niños no deberá ser limitante para su superación. Con tal fin, deberá existir una estrecha coordinación entre las Secretarías de Estado en los Despachos de Trabajo y Previsión Social y Educación Pública, a fin de lograr los objetivos anteriores.</w:t>
            </w:r>
          </w:p>
          <w:p w14:paraId="149B8287" w14:textId="1EFE8F07" w:rsidR="006A3DBC" w:rsidRPr="00CF0F96" w:rsidRDefault="006A3DBC" w:rsidP="37B44ACB">
            <w:pPr>
              <w:jc w:val="both"/>
              <w:rPr>
                <w:rFonts w:cs="Arial"/>
                <w:sz w:val="18"/>
                <w:szCs w:val="18"/>
                <w:lang w:val="es-HN"/>
              </w:rPr>
            </w:pPr>
            <w:r w:rsidRPr="00CF0F96">
              <w:rPr>
                <w:rFonts w:cs="Arial"/>
                <w:sz w:val="18"/>
                <w:lang w:val="es-ES"/>
              </w:rPr>
              <w:t xml:space="preserve">El Artículo 3 de la Ley del Seguro Social Decreto 080-2001 del 1 de junio de 2001, establece quienes que los trabajadores permanentes son sujetos al régimen obligatorio de aseguramiento, en cuya categoría solo se incluye a los trabajadores permanentes que son objeto de un contrato individual de trabajo; los consultores no tienen cobertura de seguridad social dada la naturaleza de sus servicios por lo cual se les induce en su contratación a asegurarse contra los riesgos que pueda enfrentar más frecuentemente, como ser accidentes o incapacidad. Por otra parte, según lo establecido en el Artículo 4 los trabajadores ocasionales o de temporada, como sería el caso de los empleados locales o los migrantes nacionales, </w:t>
            </w:r>
            <w:r w:rsidRPr="00CF0F96">
              <w:rPr>
                <w:rFonts w:cs="Arial"/>
                <w:sz w:val="18"/>
                <w:lang w:val="es-ES"/>
              </w:rPr>
              <w:lastRenderedPageBreak/>
              <w:t xml:space="preserve">únicamente están sujetos a una afiliación progresiva a la seguridad social, la cual está sujeta a estudios actuariales y de factibilidad del Instituto Hondureño de Seguridad Social (IHSS). </w:t>
            </w:r>
          </w:p>
        </w:tc>
        <w:tc>
          <w:tcPr>
            <w:tcW w:w="3969" w:type="dxa"/>
            <w:vAlign w:val="center"/>
          </w:tcPr>
          <w:p w14:paraId="2CEB334F" w14:textId="77777777" w:rsidR="006A3DBC" w:rsidRPr="00CF0F96" w:rsidRDefault="006A3DBC" w:rsidP="005F4A92">
            <w:pPr>
              <w:jc w:val="both"/>
              <w:rPr>
                <w:rFonts w:cs="Arial"/>
                <w:sz w:val="18"/>
                <w:szCs w:val="18"/>
                <w:lang w:val="es-MX"/>
              </w:rPr>
            </w:pPr>
            <w:r w:rsidRPr="00CF0F96">
              <w:rPr>
                <w:rFonts w:cs="Arial"/>
                <w:sz w:val="18"/>
                <w:szCs w:val="18"/>
                <w:lang w:val="es-MX"/>
              </w:rPr>
              <w:lastRenderedPageBreak/>
              <w:t>En cumplimiento con el EAS 2, el Proyecto COMRURAL III adoptará los siguientes elementos no incorporados en su normativa:</w:t>
            </w:r>
          </w:p>
          <w:p w14:paraId="561C355D" w14:textId="2B049942" w:rsidR="006A3DBC" w:rsidRPr="00CF0F96" w:rsidRDefault="3A7FC69B" w:rsidP="005F4A92">
            <w:pPr>
              <w:jc w:val="both"/>
              <w:rPr>
                <w:rFonts w:cs="Arial"/>
                <w:sz w:val="18"/>
                <w:szCs w:val="18"/>
                <w:lang w:val="es-MX"/>
              </w:rPr>
            </w:pPr>
            <w:r w:rsidRPr="00CF0F96">
              <w:rPr>
                <w:rFonts w:cs="Arial"/>
                <w:sz w:val="18"/>
                <w:szCs w:val="18"/>
                <w:lang w:val="es-MX"/>
              </w:rPr>
              <w:t>1)</w:t>
            </w:r>
            <w:r w:rsidR="006A3DBC" w:rsidRPr="00CF0F96">
              <w:rPr>
                <w:rFonts w:cs="Arial"/>
              </w:rPr>
              <w:tab/>
            </w:r>
            <w:r w:rsidRPr="00CF0F96">
              <w:rPr>
                <w:rFonts w:cs="Arial"/>
                <w:sz w:val="18"/>
                <w:szCs w:val="18"/>
                <w:lang w:val="es-MX"/>
              </w:rPr>
              <w:t>Existencia de un mecanismo de quejas y reclamos para los trabajadores, a nivel del Proyecto COMRURAL</w:t>
            </w:r>
            <w:r w:rsidR="58715FA1" w:rsidRPr="00CF0F96">
              <w:rPr>
                <w:rFonts w:cs="Arial"/>
                <w:sz w:val="18"/>
                <w:szCs w:val="18"/>
                <w:lang w:val="es-MX"/>
              </w:rPr>
              <w:t xml:space="preserve"> III</w:t>
            </w:r>
            <w:r w:rsidRPr="00CF0F96">
              <w:rPr>
                <w:rFonts w:cs="Arial"/>
                <w:sz w:val="18"/>
                <w:szCs w:val="18"/>
                <w:lang w:val="es-MX"/>
              </w:rPr>
              <w:t xml:space="preserve"> y de los subproyectos, incluyendo subcontratistas, de manera que los trabajadores del</w:t>
            </w:r>
            <w:r w:rsidR="5723B669" w:rsidRPr="00CF0F96">
              <w:rPr>
                <w:rFonts w:cs="Arial"/>
                <w:sz w:val="18"/>
                <w:szCs w:val="18"/>
                <w:lang w:val="es-MX"/>
              </w:rPr>
              <w:t xml:space="preserve"> Proyecto COMRURAL III</w:t>
            </w:r>
            <w:r w:rsidRPr="00CF0F96">
              <w:rPr>
                <w:rFonts w:cs="Arial"/>
                <w:sz w:val="18"/>
                <w:szCs w:val="18"/>
                <w:lang w:val="es-MX"/>
              </w:rPr>
              <w:t xml:space="preserve"> puedan quejarse y no ser </w:t>
            </w:r>
            <w:r w:rsidRPr="00CF0F96">
              <w:rPr>
                <w:rFonts w:cs="Arial"/>
                <w:sz w:val="18"/>
                <w:szCs w:val="18"/>
                <w:lang w:val="es-MX"/>
              </w:rPr>
              <w:lastRenderedPageBreak/>
              <w:t xml:space="preserve">sujetos de represalias, por ejemplo, sobre temas de desigualdad en los salarios debido a género, acoso sexual u hostigamiento basado en no relacionados al desempeño, entre otros. </w:t>
            </w:r>
          </w:p>
          <w:p w14:paraId="13381E8F" w14:textId="53DD7574" w:rsidR="006A3DBC" w:rsidRPr="00CF0F96" w:rsidRDefault="006A3DBC" w:rsidP="005F4A92">
            <w:pPr>
              <w:jc w:val="both"/>
              <w:rPr>
                <w:rFonts w:cs="Arial"/>
                <w:sz w:val="18"/>
                <w:szCs w:val="18"/>
                <w:lang w:val="es-MX"/>
              </w:rPr>
            </w:pPr>
            <w:r w:rsidRPr="00CF0F96">
              <w:rPr>
                <w:rFonts w:cs="Arial"/>
                <w:sz w:val="18"/>
                <w:szCs w:val="18"/>
                <w:lang w:val="es-MX"/>
              </w:rPr>
              <w:t>2)</w:t>
            </w:r>
            <w:r w:rsidRPr="00CF0F96">
              <w:rPr>
                <w:rFonts w:cs="Arial"/>
                <w:sz w:val="18"/>
                <w:szCs w:val="18"/>
                <w:lang w:val="es-MX"/>
              </w:rPr>
              <w:tab/>
              <w:t>Procedimientos para la identificación, análisis, y monitoreo del potencial trabajo infantil en actividades de los subproyectos financiados por COMRURAL</w:t>
            </w:r>
            <w:r w:rsidR="00FF6D2A" w:rsidRPr="00CF0F96">
              <w:rPr>
                <w:rFonts w:cs="Arial"/>
                <w:sz w:val="18"/>
                <w:szCs w:val="18"/>
                <w:lang w:val="es-MX"/>
              </w:rPr>
              <w:t xml:space="preserve"> III</w:t>
            </w:r>
            <w:r w:rsidRPr="00CF0F96">
              <w:rPr>
                <w:rFonts w:cs="Arial"/>
                <w:sz w:val="18"/>
                <w:szCs w:val="18"/>
                <w:lang w:val="es-MX"/>
              </w:rPr>
              <w:t>.</w:t>
            </w:r>
          </w:p>
          <w:p w14:paraId="6AF90B65" w14:textId="77777777" w:rsidR="006A3DBC" w:rsidRPr="00CF0F96" w:rsidRDefault="006A3DBC" w:rsidP="005F4A92">
            <w:pPr>
              <w:jc w:val="both"/>
              <w:rPr>
                <w:rFonts w:cs="Arial"/>
                <w:sz w:val="18"/>
                <w:szCs w:val="18"/>
                <w:lang w:val="es-MX"/>
              </w:rPr>
            </w:pPr>
            <w:r w:rsidRPr="00CF0F96">
              <w:rPr>
                <w:rFonts w:cs="Arial"/>
                <w:sz w:val="18"/>
                <w:szCs w:val="18"/>
                <w:lang w:val="es-MX"/>
              </w:rPr>
              <w:t>3)</w:t>
            </w:r>
            <w:r w:rsidRPr="00CF0F96">
              <w:rPr>
                <w:rFonts w:cs="Arial"/>
                <w:sz w:val="18"/>
                <w:szCs w:val="18"/>
                <w:lang w:val="es-MX"/>
              </w:rPr>
              <w:tab/>
              <w:t>Desarrollo de procedimientos para la gestión de temas laborales, operacionalizados en el documento PGMO, de manera que se incluyan temas como la prevención del trabajo infantil, salud y seguridad comunitaria, y el acoso sexual, en base a los siguientes lineamientos:</w:t>
            </w:r>
          </w:p>
          <w:p w14:paraId="6F370B6A" w14:textId="77777777" w:rsidR="006A3DBC" w:rsidRPr="00CF0F96" w:rsidRDefault="006A3DBC" w:rsidP="005F4A92">
            <w:pPr>
              <w:jc w:val="both"/>
              <w:rPr>
                <w:rFonts w:cs="Arial"/>
                <w:sz w:val="18"/>
                <w:szCs w:val="18"/>
                <w:lang w:val="es-MX"/>
              </w:rPr>
            </w:pPr>
            <w:r w:rsidRPr="00CF0F96">
              <w:rPr>
                <w:rFonts w:cs="Arial"/>
                <w:sz w:val="18"/>
                <w:szCs w:val="18"/>
                <w:lang w:val="es-MX"/>
              </w:rPr>
              <w:t>4)</w:t>
            </w:r>
            <w:r w:rsidRPr="00CF0F96">
              <w:rPr>
                <w:rFonts w:cs="Arial"/>
                <w:sz w:val="18"/>
                <w:szCs w:val="18"/>
                <w:lang w:val="es-MX"/>
              </w:rPr>
              <w:tab/>
              <w:t>Diseño y ejecución de un Plan de responsabilidad social empresarial en cada OPR o población participante beneficiaria, que ejecute PdNs e inversiones con fondos del COMRURAL III.</w:t>
            </w:r>
          </w:p>
          <w:p w14:paraId="2DBDC6BD" w14:textId="77777777" w:rsidR="006A3DBC" w:rsidRPr="00CF0F96" w:rsidRDefault="006A3DBC" w:rsidP="005F4A92">
            <w:pPr>
              <w:jc w:val="both"/>
              <w:rPr>
                <w:rFonts w:cs="Arial"/>
                <w:sz w:val="18"/>
                <w:szCs w:val="18"/>
                <w:lang w:val="es-MX"/>
              </w:rPr>
            </w:pPr>
            <w:r w:rsidRPr="00CF0F96">
              <w:rPr>
                <w:rFonts w:cs="Arial"/>
                <w:sz w:val="18"/>
                <w:szCs w:val="18"/>
                <w:lang w:val="es-MX"/>
              </w:rPr>
              <w:t>5)</w:t>
            </w:r>
            <w:r w:rsidRPr="00CF0F96">
              <w:rPr>
                <w:rFonts w:cs="Arial"/>
                <w:sz w:val="18"/>
                <w:szCs w:val="18"/>
                <w:lang w:val="es-MX"/>
              </w:rPr>
              <w:tab/>
              <w:t>Elaboración de un reglamento especial para prevención del trabajo infantil entre los socios y socias productoras de las OPRs, empleados de planta y finca.</w:t>
            </w:r>
          </w:p>
          <w:p w14:paraId="647E036B" w14:textId="77777777" w:rsidR="006A3DBC" w:rsidRPr="00CF0F96" w:rsidRDefault="006A3DBC" w:rsidP="005F4A92">
            <w:pPr>
              <w:jc w:val="both"/>
              <w:rPr>
                <w:rFonts w:cs="Arial"/>
                <w:sz w:val="18"/>
                <w:szCs w:val="18"/>
                <w:lang w:val="es-MX"/>
              </w:rPr>
            </w:pPr>
            <w:r w:rsidRPr="00CF0F96">
              <w:rPr>
                <w:rFonts w:cs="Arial"/>
                <w:sz w:val="18"/>
                <w:szCs w:val="18"/>
                <w:lang w:val="es-MX"/>
              </w:rPr>
              <w:t>6)</w:t>
            </w:r>
            <w:r w:rsidRPr="00CF0F96">
              <w:rPr>
                <w:rFonts w:cs="Arial"/>
                <w:sz w:val="18"/>
                <w:szCs w:val="18"/>
                <w:lang w:val="es-MX"/>
              </w:rPr>
              <w:tab/>
              <w:t>Promover el diseño y puesta en marcha de un código de ética que asegure el adecuado comportamiento y respeto a los derechos de los grupos vulnerables, especialmente mujeres y niños en los procesos de inversión y ejecución de PdNs.</w:t>
            </w:r>
          </w:p>
          <w:p w14:paraId="51561A01" w14:textId="6A783B10" w:rsidR="006A3DBC" w:rsidRPr="00CF0F96" w:rsidRDefault="006A3DBC" w:rsidP="005F4A92">
            <w:pPr>
              <w:jc w:val="both"/>
              <w:rPr>
                <w:rFonts w:cs="Arial"/>
                <w:sz w:val="18"/>
                <w:szCs w:val="18"/>
                <w:lang w:val="es-MX"/>
              </w:rPr>
            </w:pPr>
            <w:r w:rsidRPr="00CF0F96">
              <w:rPr>
                <w:rFonts w:cs="Arial"/>
                <w:sz w:val="18"/>
                <w:szCs w:val="18"/>
                <w:lang w:val="es-MX"/>
              </w:rPr>
              <w:t>7)</w:t>
            </w:r>
            <w:r w:rsidRPr="00CF0F96">
              <w:rPr>
                <w:rFonts w:cs="Arial"/>
                <w:sz w:val="18"/>
                <w:szCs w:val="18"/>
                <w:lang w:val="es-MX"/>
              </w:rPr>
              <w:tab/>
              <w:t xml:space="preserve">Formar un comité de seguimiento y apoyo interno en las organizaciones de </w:t>
            </w:r>
            <w:r w:rsidRPr="00CF0F96">
              <w:rPr>
                <w:rFonts w:cs="Arial"/>
                <w:sz w:val="18"/>
                <w:szCs w:val="18"/>
                <w:lang w:val="es-MX"/>
              </w:rPr>
              <w:lastRenderedPageBreak/>
              <w:t xml:space="preserve">productores rurales para la ejecución del </w:t>
            </w:r>
            <w:r w:rsidR="00670813" w:rsidRPr="00CF0F96">
              <w:rPr>
                <w:rFonts w:cs="Arial"/>
                <w:sz w:val="18"/>
                <w:szCs w:val="18"/>
                <w:lang w:val="es-MX"/>
              </w:rPr>
              <w:t>PdN</w:t>
            </w:r>
            <w:r w:rsidRPr="00CF0F96">
              <w:rPr>
                <w:rFonts w:cs="Arial"/>
                <w:sz w:val="18"/>
                <w:szCs w:val="18"/>
                <w:lang w:val="es-MX"/>
              </w:rPr>
              <w:t xml:space="preserve"> registrando los avances, logros y limitaciones encontradas respecto a los derechos y cuidados de grupos en condición de vulnerabilidad por género, edad o pertenecer a un pueblo indígena/ afrodescendiente.   </w:t>
            </w:r>
          </w:p>
          <w:p w14:paraId="6F30750C" w14:textId="77777777" w:rsidR="006A3DBC" w:rsidRPr="00CF0F96" w:rsidRDefault="006A3DBC" w:rsidP="005F4A92">
            <w:pPr>
              <w:jc w:val="both"/>
              <w:rPr>
                <w:rFonts w:cs="Arial"/>
                <w:sz w:val="18"/>
                <w:lang w:val="es-MX"/>
              </w:rPr>
            </w:pPr>
            <w:r w:rsidRPr="00CF0F96">
              <w:rPr>
                <w:rFonts w:cs="Arial"/>
                <w:sz w:val="18"/>
                <w:szCs w:val="18"/>
                <w:lang w:val="es-MX"/>
              </w:rPr>
              <w:t>8)</w:t>
            </w:r>
            <w:r w:rsidRPr="00CF0F96">
              <w:rPr>
                <w:rFonts w:cs="Arial"/>
                <w:sz w:val="18"/>
                <w:szCs w:val="18"/>
                <w:lang w:val="es-MX"/>
              </w:rPr>
              <w:tab/>
              <w:t>Acciones de género incorporadas al PGAS, tomando en cuenta participación equitativa en los beneficios para las mujeres productoras y promover su incorporación y aumento de mujeres rurales en la membresía de las OPRs, también en el desarrollo de competencias y su participación en órganos de dirección de las empresas, entre otras.</w:t>
            </w:r>
          </w:p>
        </w:tc>
      </w:tr>
      <w:tr w:rsidR="00CF0F96" w:rsidRPr="00CF0F96" w14:paraId="4FD5C23F" w14:textId="77777777" w:rsidTr="37B44ACB">
        <w:tc>
          <w:tcPr>
            <w:tcW w:w="1702" w:type="dxa"/>
            <w:vAlign w:val="center"/>
          </w:tcPr>
          <w:p w14:paraId="7E6E538B" w14:textId="77777777" w:rsidR="006A3DBC" w:rsidRPr="00CF0F96" w:rsidRDefault="006A3DBC" w:rsidP="001A6DAE">
            <w:pPr>
              <w:ind w:left="119"/>
              <w:jc w:val="both"/>
              <w:rPr>
                <w:rFonts w:cs="Arial"/>
                <w:b/>
                <w:sz w:val="18"/>
              </w:rPr>
            </w:pPr>
            <w:r w:rsidRPr="00CF0F96">
              <w:rPr>
                <w:rFonts w:cs="Arial"/>
                <w:b/>
                <w:sz w:val="18"/>
              </w:rPr>
              <w:lastRenderedPageBreak/>
              <w:t>EAS 3 Eficiencia en el Uso de los Recursos y Prevención y Gestión de la Contaminación</w:t>
            </w:r>
          </w:p>
          <w:p w14:paraId="6987FE52" w14:textId="77777777" w:rsidR="006A3DBC" w:rsidRPr="00CF0F96" w:rsidRDefault="006A3DBC" w:rsidP="005F4A92">
            <w:pPr>
              <w:jc w:val="center"/>
              <w:rPr>
                <w:rFonts w:cs="Arial"/>
                <w:b/>
                <w:sz w:val="18"/>
                <w:lang w:val="es-MX"/>
              </w:rPr>
            </w:pPr>
          </w:p>
        </w:tc>
        <w:tc>
          <w:tcPr>
            <w:tcW w:w="4395" w:type="dxa"/>
            <w:vAlign w:val="center"/>
          </w:tcPr>
          <w:p w14:paraId="21346F53" w14:textId="77777777" w:rsidR="006A3DBC" w:rsidRPr="00CF0F96" w:rsidRDefault="006A3DBC" w:rsidP="005F4A92">
            <w:pPr>
              <w:pStyle w:val="Prrafodelista"/>
              <w:ind w:left="75"/>
              <w:jc w:val="both"/>
              <w:rPr>
                <w:rFonts w:cs="Arial"/>
                <w:sz w:val="18"/>
                <w:lang w:val="es-MX"/>
              </w:rPr>
            </w:pPr>
            <w:r w:rsidRPr="00CF0F96">
              <w:rPr>
                <w:rFonts w:cs="Arial"/>
                <w:sz w:val="18"/>
                <w:lang w:val="es-MX"/>
              </w:rPr>
              <w:t xml:space="preserve">En este EAS se especifican los requisitos para abordar la eficiencia en el uso de los recursos y la prevención y manejo de la contaminación durante todo el ciclo del proyecto de conformidad con las buenas prácticas y tiene los siguientes objetivos: a) </w:t>
            </w:r>
            <w:r w:rsidRPr="00CF0F96">
              <w:rPr>
                <w:rFonts w:cs="Arial"/>
                <w:sz w:val="18"/>
              </w:rPr>
              <w:t>Promover el uso sostenible de los recursos, con inclusión de la energía, el agua y las materias primas; b) Evitar o minimizar los impactos adversos en la salud humana y el medio ambiente reduciendo o evitando la contaminación proveniente de las actividades del proyecto; c) Evitar o minimizar las emisiones de contaminantes climáticos de corta y larga vida vinculadas con el proyecto; d) Evitar o minimizar la generación de desechos peligrosos y no peligrosos; y e) Minimizar y gestionar los riesgos e impactos asociados con el uso de pesticidas.</w:t>
            </w:r>
          </w:p>
        </w:tc>
        <w:tc>
          <w:tcPr>
            <w:tcW w:w="4252" w:type="dxa"/>
            <w:vAlign w:val="center"/>
          </w:tcPr>
          <w:p w14:paraId="739F8D54" w14:textId="77777777" w:rsidR="006A3DBC" w:rsidRPr="00CF0F96" w:rsidRDefault="006A3DBC" w:rsidP="005F4A92">
            <w:pPr>
              <w:jc w:val="both"/>
              <w:rPr>
                <w:rFonts w:cs="Arial"/>
                <w:sz w:val="18"/>
                <w:lang w:val="es-HN"/>
              </w:rPr>
            </w:pPr>
            <w:r w:rsidRPr="00CF0F96">
              <w:rPr>
                <w:rFonts w:cs="Arial"/>
                <w:sz w:val="18"/>
                <w:lang w:val="es-HN"/>
              </w:rPr>
              <w:t xml:space="preserve">En el caso del Proyecto COMRURAL III, en los procedimientos administrativos se solicita y se verifica que se incluya dentro del plan de adquisiciones el listado y cantidades de productos agroquímicos a adquirir. Se financian primordialmente PdNs que incluyen compra de productos agroquímicos de etiquetas color verde y azul. Se puede incluir etiqueta amarilla cuando sea necesariamente requerido, si la OPR aplica procedimientos y prácticas de Manejo Integrado de Plagas (MIP) y la cantidad de productos de etiqueta amarilla no excede los porcentajes de cantidad de productos de etiqueta verde y/o azul. </w:t>
            </w:r>
          </w:p>
          <w:p w14:paraId="4AFDC8F9" w14:textId="77777777" w:rsidR="006A3DBC" w:rsidRPr="00CF0F96" w:rsidRDefault="006A3DBC" w:rsidP="005F4A92">
            <w:pPr>
              <w:ind w:left="75"/>
              <w:jc w:val="both"/>
              <w:rPr>
                <w:rFonts w:cs="Arial"/>
                <w:sz w:val="18"/>
                <w:lang w:val="es-HN"/>
              </w:rPr>
            </w:pPr>
            <w:r w:rsidRPr="00CF0F96">
              <w:rPr>
                <w:rFonts w:cs="Arial"/>
                <w:sz w:val="18"/>
                <w:lang w:val="es-HN"/>
              </w:rPr>
              <w:t xml:space="preserve">Igualmente, se promueve en conjunto con los Prestadores de Servicios de Desarrollo Empresarial (PSDEs), a través de intercambios de experiencias con tecnologías ya validadas y usadas por los productores/as, el uso de MIP, manejo cultural de los cultivos y la disposición final adecuada de envases. </w:t>
            </w:r>
          </w:p>
          <w:p w14:paraId="0513E33C" w14:textId="77777777" w:rsidR="006A3DBC" w:rsidRPr="00CF0F96" w:rsidRDefault="006A3DBC" w:rsidP="005F4A92">
            <w:pPr>
              <w:ind w:left="75"/>
              <w:jc w:val="both"/>
              <w:rPr>
                <w:rFonts w:cs="Arial"/>
                <w:sz w:val="18"/>
                <w:lang w:val="es-MX"/>
              </w:rPr>
            </w:pPr>
          </w:p>
        </w:tc>
        <w:tc>
          <w:tcPr>
            <w:tcW w:w="3969" w:type="dxa"/>
            <w:vAlign w:val="center"/>
          </w:tcPr>
          <w:p w14:paraId="6701220D" w14:textId="77777777" w:rsidR="006A3DBC" w:rsidRPr="00CF0F96" w:rsidRDefault="006A3DBC" w:rsidP="005F4A92">
            <w:pPr>
              <w:jc w:val="both"/>
              <w:rPr>
                <w:rFonts w:cs="Arial"/>
                <w:sz w:val="18"/>
                <w:lang w:val="es-HN"/>
              </w:rPr>
            </w:pPr>
            <w:r w:rsidRPr="00CF0F96">
              <w:rPr>
                <w:rFonts w:cs="Arial"/>
                <w:sz w:val="18"/>
                <w:lang w:val="es-HN"/>
              </w:rPr>
              <w:t xml:space="preserve">La normativa nacional tiene correspondencia con lo requerido por el EAS 3, ya que se cuenta con legislación para el uso sostenible de los recursos naturales.   </w:t>
            </w:r>
          </w:p>
          <w:p w14:paraId="318441D6" w14:textId="77777777" w:rsidR="006A3DBC" w:rsidRPr="00CF0F96" w:rsidRDefault="006A3DBC" w:rsidP="005F4A92">
            <w:pPr>
              <w:jc w:val="both"/>
              <w:rPr>
                <w:rFonts w:cs="Arial"/>
                <w:sz w:val="18"/>
                <w:lang w:val="es-HN"/>
              </w:rPr>
            </w:pPr>
            <w:r w:rsidRPr="00CF0F96">
              <w:rPr>
                <w:rFonts w:cs="Arial"/>
                <w:sz w:val="18"/>
                <w:lang w:val="es-HN"/>
              </w:rPr>
              <w:t xml:space="preserve">Por otra parte, hay legislación y guías de buenas prácticas ambientales, con el objeto de promover el uso racional de la energía, el agua, materias primas, la gestión de los residuos sólidos comunes y especiales, así como la que regula el uso y manejo de los pesticidas. </w:t>
            </w:r>
          </w:p>
          <w:p w14:paraId="39DE84E9" w14:textId="77777777" w:rsidR="006A3DBC" w:rsidRPr="00CF0F96" w:rsidRDefault="006A3DBC" w:rsidP="005F4A92">
            <w:pPr>
              <w:rPr>
                <w:rFonts w:cs="Arial"/>
                <w:sz w:val="18"/>
              </w:rPr>
            </w:pPr>
            <w:r w:rsidRPr="00CF0F96">
              <w:rPr>
                <w:rFonts w:cs="Arial"/>
                <w:sz w:val="18"/>
              </w:rPr>
              <w:t>Instrumentos normativos correspondientes:</w:t>
            </w:r>
          </w:p>
          <w:p w14:paraId="289DB424" w14:textId="77777777" w:rsidR="006A3DBC" w:rsidRPr="00CF0F96" w:rsidRDefault="006A3DBC" w:rsidP="005F4A92">
            <w:pPr>
              <w:pStyle w:val="Prrafodelista"/>
              <w:numPr>
                <w:ilvl w:val="0"/>
                <w:numId w:val="27"/>
              </w:numPr>
              <w:jc w:val="both"/>
              <w:rPr>
                <w:rFonts w:cs="Arial"/>
                <w:sz w:val="18"/>
                <w:lang w:val="es-HN"/>
              </w:rPr>
            </w:pPr>
            <w:r w:rsidRPr="00CF0F96">
              <w:rPr>
                <w:rFonts w:cs="Arial"/>
                <w:sz w:val="18"/>
                <w:lang w:val="es-HN"/>
              </w:rPr>
              <w:t>Norma Técnica Nacional para la Calidad del Agua Potable.</w:t>
            </w:r>
          </w:p>
          <w:p w14:paraId="45148638" w14:textId="77777777" w:rsidR="006A3DBC" w:rsidRPr="00CF0F96" w:rsidRDefault="006A3DBC" w:rsidP="005F4A92">
            <w:pPr>
              <w:pStyle w:val="Prrafodelista"/>
              <w:numPr>
                <w:ilvl w:val="0"/>
                <w:numId w:val="27"/>
              </w:numPr>
              <w:jc w:val="both"/>
              <w:rPr>
                <w:rFonts w:cs="Arial"/>
                <w:sz w:val="18"/>
                <w:lang w:val="es-HN"/>
              </w:rPr>
            </w:pPr>
            <w:r w:rsidRPr="00CF0F96">
              <w:rPr>
                <w:rFonts w:cs="Arial"/>
                <w:sz w:val="18"/>
                <w:lang w:val="es-HN"/>
              </w:rPr>
              <w:t>Normas Técnicas de Descargas de Aguas Residuales a Cuerpos Receptores</w:t>
            </w:r>
            <w:r w:rsidRPr="00CF0F96">
              <w:rPr>
                <w:rFonts w:cs="Arial"/>
                <w:sz w:val="18"/>
                <w:lang w:val="es-HN"/>
              </w:rPr>
              <w:tab/>
              <w:t>y Alcantarillado Sanitario.</w:t>
            </w:r>
          </w:p>
          <w:p w14:paraId="3F6DF493" w14:textId="77777777" w:rsidR="006A3DBC" w:rsidRPr="00CF0F96" w:rsidRDefault="006A3DBC" w:rsidP="005F4A92">
            <w:pPr>
              <w:pStyle w:val="Prrafodelista"/>
              <w:numPr>
                <w:ilvl w:val="0"/>
                <w:numId w:val="27"/>
              </w:numPr>
              <w:jc w:val="both"/>
              <w:rPr>
                <w:rFonts w:cs="Arial"/>
                <w:sz w:val="18"/>
                <w:lang w:val="es-HN"/>
              </w:rPr>
            </w:pPr>
            <w:r w:rsidRPr="00CF0F96">
              <w:rPr>
                <w:rFonts w:cs="Arial"/>
                <w:sz w:val="18"/>
                <w:lang w:val="es-HN"/>
              </w:rPr>
              <w:t xml:space="preserve">Convención sobre Comercio Internacional de Especies Amenazadas de Fauna y Flora Silvestre. </w:t>
            </w:r>
          </w:p>
          <w:p w14:paraId="784C8A42" w14:textId="77777777" w:rsidR="006A3DBC" w:rsidRPr="00CF0F96" w:rsidRDefault="006A3DBC" w:rsidP="005F4A92">
            <w:pPr>
              <w:pStyle w:val="Prrafodelista"/>
              <w:numPr>
                <w:ilvl w:val="0"/>
                <w:numId w:val="27"/>
              </w:numPr>
              <w:jc w:val="both"/>
              <w:rPr>
                <w:rFonts w:cs="Arial"/>
                <w:sz w:val="18"/>
                <w:lang w:val="es-HN"/>
              </w:rPr>
            </w:pPr>
            <w:r w:rsidRPr="00CF0F96">
              <w:rPr>
                <w:rFonts w:cs="Arial"/>
                <w:sz w:val="18"/>
                <w:lang w:val="es-HN"/>
              </w:rPr>
              <w:t>Reglamento General de la Ley Forestal, Áreas Protegidas y Vida Silvestre.</w:t>
            </w:r>
          </w:p>
          <w:p w14:paraId="2B610488" w14:textId="77777777" w:rsidR="006A3DBC" w:rsidRPr="00CF0F96" w:rsidRDefault="006A3DBC" w:rsidP="005F4A92">
            <w:pPr>
              <w:pStyle w:val="Prrafodelista"/>
              <w:numPr>
                <w:ilvl w:val="0"/>
                <w:numId w:val="27"/>
              </w:numPr>
              <w:jc w:val="both"/>
              <w:rPr>
                <w:rFonts w:cs="Arial"/>
                <w:sz w:val="18"/>
                <w:lang w:val="es-HN"/>
              </w:rPr>
            </w:pPr>
            <w:r w:rsidRPr="00CF0F96">
              <w:rPr>
                <w:rFonts w:cs="Arial"/>
                <w:sz w:val="18"/>
                <w:lang w:val="es-HN"/>
              </w:rPr>
              <w:t>Declaración de Áreas Protegidas y Bosques Nublados.</w:t>
            </w:r>
          </w:p>
          <w:p w14:paraId="43F7A74E" w14:textId="77777777" w:rsidR="006A3DBC" w:rsidRPr="00CF0F96" w:rsidRDefault="006A3DBC" w:rsidP="005F4A92">
            <w:pPr>
              <w:pStyle w:val="Prrafodelista"/>
              <w:numPr>
                <w:ilvl w:val="0"/>
                <w:numId w:val="27"/>
              </w:numPr>
              <w:rPr>
                <w:rFonts w:cs="Arial"/>
                <w:sz w:val="18"/>
                <w:lang w:val="es-HN"/>
              </w:rPr>
            </w:pPr>
            <w:r w:rsidRPr="00CF0F96">
              <w:rPr>
                <w:rFonts w:cs="Arial"/>
                <w:sz w:val="18"/>
                <w:lang w:val="es-HN"/>
              </w:rPr>
              <w:t>Ley Fito Zoosanitaria.</w:t>
            </w:r>
          </w:p>
          <w:p w14:paraId="0EDA2345" w14:textId="77777777" w:rsidR="006A3DBC" w:rsidRPr="00CF0F96" w:rsidRDefault="006A3DBC" w:rsidP="005F4A92">
            <w:pPr>
              <w:pStyle w:val="Prrafodelista"/>
              <w:numPr>
                <w:ilvl w:val="0"/>
                <w:numId w:val="27"/>
              </w:numPr>
              <w:rPr>
                <w:rFonts w:cs="Arial"/>
                <w:sz w:val="18"/>
                <w:lang w:val="es-HN"/>
              </w:rPr>
            </w:pPr>
            <w:r w:rsidRPr="00CF0F96">
              <w:rPr>
                <w:rFonts w:cs="Arial"/>
                <w:sz w:val="18"/>
                <w:lang w:val="es-HN"/>
              </w:rPr>
              <w:t>Reglamento para la Agricultura Orgánica.</w:t>
            </w:r>
          </w:p>
          <w:p w14:paraId="6187CFED" w14:textId="77777777" w:rsidR="006A3DBC" w:rsidRPr="00CF0F96" w:rsidRDefault="006A3DBC" w:rsidP="005F4A92">
            <w:pPr>
              <w:pStyle w:val="Prrafodelista"/>
              <w:numPr>
                <w:ilvl w:val="0"/>
                <w:numId w:val="27"/>
              </w:numPr>
              <w:jc w:val="both"/>
              <w:rPr>
                <w:rFonts w:cs="Arial"/>
                <w:sz w:val="18"/>
                <w:lang w:val="es-HN"/>
              </w:rPr>
            </w:pPr>
            <w:r w:rsidRPr="00CF0F96">
              <w:rPr>
                <w:rFonts w:cs="Arial"/>
                <w:sz w:val="18"/>
                <w:lang w:val="es-HN"/>
              </w:rPr>
              <w:t>Reglamento sobre el Registro, uso y control de plaguicidas y sustancias Afines.</w:t>
            </w:r>
          </w:p>
          <w:p w14:paraId="3240AA57" w14:textId="77777777" w:rsidR="006A3DBC" w:rsidRPr="00CF0F96" w:rsidRDefault="006A3DBC" w:rsidP="005F4A92">
            <w:pPr>
              <w:pStyle w:val="Prrafodelista"/>
              <w:numPr>
                <w:ilvl w:val="0"/>
                <w:numId w:val="27"/>
              </w:numPr>
              <w:jc w:val="both"/>
              <w:rPr>
                <w:rFonts w:cs="Arial"/>
                <w:sz w:val="18"/>
                <w:lang w:val="es-HN"/>
              </w:rPr>
            </w:pPr>
            <w:r w:rsidRPr="00CF0F96">
              <w:rPr>
                <w:rFonts w:cs="Arial"/>
                <w:sz w:val="18"/>
                <w:lang w:val="es-HN"/>
              </w:rPr>
              <w:lastRenderedPageBreak/>
              <w:t>Reglamento para el manejo integral de los residuos sólidos.</w:t>
            </w:r>
          </w:p>
          <w:p w14:paraId="75D38D04" w14:textId="77777777" w:rsidR="006A3DBC" w:rsidRPr="00CF0F96" w:rsidRDefault="006A3DBC" w:rsidP="005F4A92">
            <w:pPr>
              <w:pStyle w:val="Prrafodelista"/>
              <w:numPr>
                <w:ilvl w:val="0"/>
                <w:numId w:val="27"/>
              </w:numPr>
              <w:jc w:val="both"/>
              <w:rPr>
                <w:rFonts w:cs="Arial"/>
                <w:sz w:val="18"/>
                <w:lang w:val="es-HN"/>
              </w:rPr>
            </w:pPr>
            <w:r w:rsidRPr="00CF0F96">
              <w:rPr>
                <w:rFonts w:cs="Arial"/>
                <w:sz w:val="18"/>
                <w:lang w:val="es-HN"/>
              </w:rPr>
              <w:t xml:space="preserve">Reglamento para el Manejo de los Desechos Peligrosos Generados en los Establecimientos de Salud. </w:t>
            </w:r>
          </w:p>
        </w:tc>
      </w:tr>
      <w:tr w:rsidR="00CF0F96" w:rsidRPr="00CF0F96" w14:paraId="5266F658" w14:textId="77777777" w:rsidTr="37B44ACB">
        <w:tc>
          <w:tcPr>
            <w:tcW w:w="1702" w:type="dxa"/>
            <w:vAlign w:val="center"/>
          </w:tcPr>
          <w:p w14:paraId="5689C506" w14:textId="77777777" w:rsidR="006A3DBC" w:rsidRPr="00CF0F96" w:rsidRDefault="006A3DBC" w:rsidP="005F4A92">
            <w:pPr>
              <w:ind w:left="119"/>
              <w:jc w:val="center"/>
              <w:rPr>
                <w:rFonts w:cs="Arial"/>
                <w:b/>
                <w:sz w:val="18"/>
              </w:rPr>
            </w:pPr>
            <w:r w:rsidRPr="00CF0F96">
              <w:rPr>
                <w:rFonts w:cs="Arial"/>
                <w:b/>
                <w:sz w:val="18"/>
              </w:rPr>
              <w:lastRenderedPageBreak/>
              <w:t xml:space="preserve">EAS 4 </w:t>
            </w:r>
          </w:p>
          <w:p w14:paraId="7E5864B9" w14:textId="77777777" w:rsidR="006A3DBC" w:rsidRPr="00CF0F96" w:rsidRDefault="006A3DBC" w:rsidP="001A6DAE">
            <w:pPr>
              <w:ind w:left="119"/>
              <w:jc w:val="both"/>
              <w:rPr>
                <w:rFonts w:cs="Arial"/>
                <w:b/>
                <w:sz w:val="18"/>
              </w:rPr>
            </w:pPr>
            <w:r w:rsidRPr="00CF0F96">
              <w:rPr>
                <w:rFonts w:cs="Arial"/>
                <w:b/>
                <w:sz w:val="18"/>
              </w:rPr>
              <w:t>Salud y Seguridad de la Comunidad</w:t>
            </w:r>
          </w:p>
        </w:tc>
        <w:tc>
          <w:tcPr>
            <w:tcW w:w="4395" w:type="dxa"/>
            <w:vAlign w:val="center"/>
          </w:tcPr>
          <w:p w14:paraId="201CFC7A" w14:textId="77777777" w:rsidR="006A3DBC" w:rsidRPr="00CF0F96" w:rsidRDefault="006A3DBC" w:rsidP="005F4A92">
            <w:pPr>
              <w:pStyle w:val="Prrafodelista"/>
              <w:ind w:left="75"/>
              <w:jc w:val="both"/>
              <w:rPr>
                <w:rFonts w:cs="Arial"/>
                <w:sz w:val="18"/>
                <w:lang w:val="es-MX"/>
              </w:rPr>
            </w:pPr>
            <w:r w:rsidRPr="00CF0F96">
              <w:rPr>
                <w:rFonts w:cs="Arial"/>
                <w:sz w:val="18"/>
                <w:lang w:val="es-MX"/>
              </w:rPr>
              <w:t>Reconoce que las actividades, los equipos y la infraestructura del proyecto pueden aumentar la exposición de la comunidad a riesgos e impactos. Además, las comunidades que ya enfrentan los impactos del cambio climático también pueden experimentar una aceleración o intensificación de esos impactos debido a actividades del proyecto.</w:t>
            </w:r>
          </w:p>
          <w:p w14:paraId="130EA41F" w14:textId="77777777" w:rsidR="006A3DBC" w:rsidRPr="00CF0F96" w:rsidRDefault="006A3DBC" w:rsidP="005F4A92">
            <w:pPr>
              <w:ind w:left="75"/>
              <w:rPr>
                <w:rFonts w:cs="Arial"/>
                <w:sz w:val="18"/>
                <w:lang w:val="es-MX"/>
              </w:rPr>
            </w:pPr>
            <w:r w:rsidRPr="00CF0F96">
              <w:rPr>
                <w:rFonts w:cs="Arial"/>
                <w:sz w:val="18"/>
                <w:lang w:val="es-MX"/>
              </w:rPr>
              <w:t xml:space="preserve">Para esto el prestatario deberá: </w:t>
            </w:r>
          </w:p>
          <w:p w14:paraId="33BAFDE6" w14:textId="77777777" w:rsidR="006A3DBC" w:rsidRPr="00CF0F96" w:rsidRDefault="006A3DBC" w:rsidP="005F4A92">
            <w:pPr>
              <w:pStyle w:val="Prrafodelista"/>
              <w:numPr>
                <w:ilvl w:val="0"/>
                <w:numId w:val="24"/>
              </w:numPr>
              <w:ind w:left="75" w:firstLine="0"/>
              <w:jc w:val="both"/>
              <w:rPr>
                <w:rFonts w:cs="Arial"/>
                <w:sz w:val="18"/>
                <w:lang w:val="es-MX"/>
              </w:rPr>
            </w:pPr>
            <w:r w:rsidRPr="00CF0F96">
              <w:rPr>
                <w:rFonts w:cs="Arial"/>
                <w:sz w:val="18"/>
              </w:rPr>
              <w:t>Anticipar y evitar los impactos adversos en la salud y la seguridad de las comunidades afectadas por el proyecto durante todo el ciclo, tanto en circunstancias rutinarias como no rutinarias.</w:t>
            </w:r>
          </w:p>
          <w:p w14:paraId="27AB22B8" w14:textId="77777777" w:rsidR="006A3DBC" w:rsidRPr="00CF0F96" w:rsidRDefault="006A3DBC" w:rsidP="005F4A92">
            <w:pPr>
              <w:pStyle w:val="Prrafodelista"/>
              <w:numPr>
                <w:ilvl w:val="0"/>
                <w:numId w:val="24"/>
              </w:numPr>
              <w:ind w:left="75" w:firstLine="0"/>
              <w:jc w:val="both"/>
              <w:rPr>
                <w:rFonts w:cs="Arial"/>
                <w:sz w:val="18"/>
                <w:lang w:val="es-MX"/>
              </w:rPr>
            </w:pPr>
            <w:r w:rsidRPr="00CF0F96">
              <w:rPr>
                <w:rFonts w:cs="Arial"/>
                <w:sz w:val="18"/>
              </w:rPr>
              <w:t xml:space="preserve">Promover la calidad, la seguridad y la atención a consideraciones relacionadas con el cambio climático en el diseño y la construcción de obras de infraestructura, incluidas las presas. </w:t>
            </w:r>
          </w:p>
          <w:p w14:paraId="6B5FAF3A" w14:textId="77777777" w:rsidR="006A3DBC" w:rsidRPr="00CF0F96" w:rsidRDefault="006A3DBC" w:rsidP="005F4A92">
            <w:pPr>
              <w:pStyle w:val="Prrafodelista"/>
              <w:numPr>
                <w:ilvl w:val="0"/>
                <w:numId w:val="24"/>
              </w:numPr>
              <w:ind w:left="75" w:firstLine="0"/>
              <w:jc w:val="both"/>
              <w:rPr>
                <w:rFonts w:cs="Arial"/>
                <w:sz w:val="18"/>
                <w:lang w:val="es-MX"/>
              </w:rPr>
            </w:pPr>
            <w:r w:rsidRPr="00CF0F96">
              <w:rPr>
                <w:rFonts w:cs="Arial"/>
                <w:sz w:val="18"/>
              </w:rPr>
              <w:t xml:space="preserve">Evitar o minimizar la exposición de la comunidad a los riesgos que se deriven del proyecto en relación con el tráfico y la seguridad vial, enfermedades y materiales peligrosos. </w:t>
            </w:r>
          </w:p>
          <w:p w14:paraId="50D241B9" w14:textId="77777777" w:rsidR="006A3DBC" w:rsidRPr="00CF0F96" w:rsidRDefault="006A3DBC" w:rsidP="005F4A92">
            <w:pPr>
              <w:pStyle w:val="Prrafodelista"/>
              <w:numPr>
                <w:ilvl w:val="0"/>
                <w:numId w:val="24"/>
              </w:numPr>
              <w:ind w:left="75" w:firstLine="0"/>
              <w:jc w:val="both"/>
              <w:rPr>
                <w:rFonts w:cs="Arial"/>
                <w:sz w:val="18"/>
                <w:lang w:val="es-MX"/>
              </w:rPr>
            </w:pPr>
            <w:r w:rsidRPr="00CF0F96">
              <w:rPr>
                <w:rFonts w:cs="Arial"/>
                <w:sz w:val="18"/>
              </w:rPr>
              <w:t xml:space="preserve">Contar con medidas efectivas para abordar las emergencias. </w:t>
            </w:r>
          </w:p>
          <w:p w14:paraId="2D304793" w14:textId="77777777" w:rsidR="006A3DBC" w:rsidRPr="00CF0F96" w:rsidRDefault="006A3DBC" w:rsidP="005F4A92">
            <w:pPr>
              <w:pStyle w:val="Prrafodelista"/>
              <w:numPr>
                <w:ilvl w:val="0"/>
                <w:numId w:val="24"/>
              </w:numPr>
              <w:ind w:left="75" w:firstLine="0"/>
              <w:jc w:val="both"/>
              <w:rPr>
                <w:rFonts w:cs="Arial"/>
                <w:sz w:val="18"/>
                <w:lang w:val="es-MX"/>
              </w:rPr>
            </w:pPr>
            <w:r w:rsidRPr="00CF0F96">
              <w:rPr>
                <w:rFonts w:cs="Arial"/>
                <w:sz w:val="18"/>
              </w:rPr>
              <w:t>Garantizar que se proteja al personal y los bienes de manera tal de evitar o minimizar los riesgos para las comunidades afectadas por el proyecto.</w:t>
            </w:r>
          </w:p>
        </w:tc>
        <w:tc>
          <w:tcPr>
            <w:tcW w:w="4252" w:type="dxa"/>
            <w:vAlign w:val="center"/>
          </w:tcPr>
          <w:p w14:paraId="3036A56D" w14:textId="000775D9" w:rsidR="006A3DBC" w:rsidRPr="00CF0F96" w:rsidRDefault="006A3DBC" w:rsidP="005F4A92">
            <w:pPr>
              <w:jc w:val="both"/>
              <w:rPr>
                <w:rFonts w:cs="Arial"/>
                <w:sz w:val="18"/>
                <w:szCs w:val="18"/>
                <w:lang w:val="es-HN"/>
              </w:rPr>
            </w:pPr>
            <w:r w:rsidRPr="00CF0F96">
              <w:rPr>
                <w:rFonts w:cs="Arial"/>
                <w:sz w:val="18"/>
                <w:szCs w:val="18"/>
                <w:lang w:val="es-HN"/>
              </w:rPr>
              <w:t xml:space="preserve">La legislación Laboral en Honduras dispone de una normativa de cumplimiento obligatoria que establece las siguientes medidas, aplicables a los </w:t>
            </w:r>
            <w:r w:rsidR="00743DB3" w:rsidRPr="00CF0F96">
              <w:rPr>
                <w:rFonts w:cs="Arial"/>
                <w:sz w:val="18"/>
                <w:szCs w:val="18"/>
                <w:lang w:val="es-HN"/>
              </w:rPr>
              <w:t>sub</w:t>
            </w:r>
            <w:r w:rsidRPr="00CF0F96">
              <w:rPr>
                <w:rFonts w:cs="Arial"/>
                <w:sz w:val="18"/>
                <w:szCs w:val="18"/>
                <w:lang w:val="es-HN"/>
              </w:rPr>
              <w:t>proyectos financiados por el Proyecto COMRURAL</w:t>
            </w:r>
            <w:r w:rsidR="00743DB3" w:rsidRPr="00CF0F96">
              <w:rPr>
                <w:rFonts w:cs="Arial"/>
                <w:sz w:val="18"/>
                <w:szCs w:val="18"/>
                <w:lang w:val="es-HN"/>
              </w:rPr>
              <w:t xml:space="preserve"> III</w:t>
            </w:r>
            <w:r w:rsidRPr="00CF0F96">
              <w:rPr>
                <w:rFonts w:cs="Arial"/>
                <w:sz w:val="18"/>
                <w:szCs w:val="18"/>
                <w:lang w:val="es-HN"/>
              </w:rPr>
              <w:t>:</w:t>
            </w:r>
          </w:p>
          <w:p w14:paraId="3B7503F7" w14:textId="77777777" w:rsidR="006A3DBC" w:rsidRPr="00CF0F96" w:rsidRDefault="006A3DBC" w:rsidP="005F4A92">
            <w:pPr>
              <w:jc w:val="both"/>
              <w:rPr>
                <w:rFonts w:cs="Arial"/>
                <w:sz w:val="18"/>
                <w:szCs w:val="18"/>
                <w:lang w:val="es-HN"/>
              </w:rPr>
            </w:pPr>
            <w:r w:rsidRPr="00CF0F96">
              <w:rPr>
                <w:rFonts w:cs="Arial"/>
                <w:sz w:val="18"/>
                <w:szCs w:val="18"/>
                <w:lang w:val="es-HN"/>
              </w:rPr>
              <w:t>Acondicionamiento de locales y equipo:</w:t>
            </w:r>
          </w:p>
          <w:p w14:paraId="1325EB82" w14:textId="77777777" w:rsidR="006A3DBC" w:rsidRPr="00CF0F96" w:rsidRDefault="006A3DBC" w:rsidP="005F4A92">
            <w:pPr>
              <w:jc w:val="both"/>
              <w:rPr>
                <w:rFonts w:cs="Arial"/>
                <w:sz w:val="18"/>
                <w:szCs w:val="18"/>
                <w:lang w:val="es-HN"/>
              </w:rPr>
            </w:pPr>
            <w:r w:rsidRPr="00CF0F96">
              <w:rPr>
                <w:rFonts w:cs="Arial"/>
                <w:sz w:val="18"/>
                <w:szCs w:val="18"/>
                <w:lang w:val="es-HN"/>
              </w:rPr>
              <w:t>Art. 391. Todo patrono o empresa está obligado a suministrar y acondicionar locales y equipos de trabajo que garanticen la seguridad y la salud de los trabajadores.</w:t>
            </w:r>
          </w:p>
          <w:p w14:paraId="30C8865C" w14:textId="77777777" w:rsidR="006A3DBC" w:rsidRPr="00CF0F96" w:rsidRDefault="006A3DBC" w:rsidP="005F4A92">
            <w:pPr>
              <w:jc w:val="both"/>
              <w:rPr>
                <w:rFonts w:cs="Arial"/>
                <w:sz w:val="18"/>
                <w:szCs w:val="18"/>
                <w:lang w:val="es-HN"/>
              </w:rPr>
            </w:pPr>
            <w:r w:rsidRPr="00CF0F96">
              <w:rPr>
                <w:rFonts w:cs="Arial"/>
                <w:sz w:val="18"/>
                <w:szCs w:val="18"/>
                <w:lang w:val="es-HN"/>
              </w:rPr>
              <w:t>Medidas obligatorias de prevención de riesgos profesionales</w:t>
            </w:r>
          </w:p>
          <w:p w14:paraId="17D750BD" w14:textId="77777777" w:rsidR="006A3DBC" w:rsidRPr="00CF0F96" w:rsidRDefault="006A3DBC" w:rsidP="005F4A92">
            <w:pPr>
              <w:jc w:val="both"/>
              <w:rPr>
                <w:rFonts w:cs="Arial"/>
                <w:sz w:val="18"/>
                <w:szCs w:val="18"/>
                <w:lang w:val="es-HN"/>
              </w:rPr>
            </w:pPr>
            <w:r w:rsidRPr="00CF0F96">
              <w:rPr>
                <w:rFonts w:cs="Arial"/>
                <w:sz w:val="18"/>
                <w:szCs w:val="18"/>
                <w:lang w:val="es-HN"/>
              </w:rPr>
              <w:t>Art. 392. Es también obligación de todo patrono acatar y hacer cumplir las medidas de prevención de riesgos profesionales que dicte el Ministerio de Trabajo y Previsión Social.</w:t>
            </w:r>
          </w:p>
          <w:p w14:paraId="3A4129EB" w14:textId="77777777" w:rsidR="006A3DBC" w:rsidRPr="00CF0F96" w:rsidRDefault="006A3DBC" w:rsidP="005F4A92">
            <w:pPr>
              <w:jc w:val="both"/>
              <w:rPr>
                <w:rFonts w:cs="Arial"/>
                <w:sz w:val="18"/>
                <w:szCs w:val="18"/>
                <w:lang w:val="es-HN"/>
              </w:rPr>
            </w:pPr>
            <w:r w:rsidRPr="00CF0F96">
              <w:rPr>
                <w:rFonts w:cs="Arial"/>
                <w:sz w:val="18"/>
                <w:szCs w:val="18"/>
                <w:lang w:val="es-HN"/>
              </w:rPr>
              <w:t>Reglamento especial de higiene y seguridad</w:t>
            </w:r>
          </w:p>
          <w:p w14:paraId="70F1EC3E" w14:textId="77777777" w:rsidR="006A3DBC" w:rsidRPr="00CF0F96" w:rsidRDefault="006A3DBC" w:rsidP="005F4A92">
            <w:pPr>
              <w:jc w:val="both"/>
              <w:rPr>
                <w:rFonts w:cs="Arial"/>
                <w:sz w:val="18"/>
                <w:szCs w:val="18"/>
                <w:lang w:val="es-HN"/>
              </w:rPr>
            </w:pPr>
            <w:r w:rsidRPr="00CF0F96">
              <w:rPr>
                <w:rFonts w:cs="Arial"/>
                <w:sz w:val="18"/>
                <w:szCs w:val="18"/>
                <w:lang w:val="es-HN"/>
              </w:rPr>
              <w:t xml:space="preserve">Art. 397. Los patronos que tengan a su servicio diez (10) o más trabajadores permanentes deben elaborar un reglamento especial de higiene y seguridad, y someterlo a la revisión y aprobación de la Inspección General del Trabajo, a más tardar dentro de los tres (3) meses siguientes a la vigencia de este Código, o dentro de los tres (3) </w:t>
            </w:r>
            <w:r w:rsidRPr="00CF0F96">
              <w:rPr>
                <w:rFonts w:cs="Arial"/>
                <w:sz w:val="18"/>
                <w:szCs w:val="18"/>
                <w:lang w:val="es-HN"/>
              </w:rPr>
              <w:lastRenderedPageBreak/>
              <w:t>meses siguientes a la iniciación de las labores si se trata de un nuevo establecimiento.</w:t>
            </w:r>
          </w:p>
          <w:p w14:paraId="0C00F87E" w14:textId="77777777" w:rsidR="006A3DBC" w:rsidRPr="00CF0F96" w:rsidRDefault="006A3DBC" w:rsidP="005F4A92">
            <w:pPr>
              <w:jc w:val="both"/>
              <w:rPr>
                <w:rFonts w:cs="Arial"/>
                <w:sz w:val="18"/>
                <w:szCs w:val="18"/>
                <w:lang w:val="es-HN"/>
              </w:rPr>
            </w:pPr>
            <w:r w:rsidRPr="00CF0F96">
              <w:rPr>
                <w:rFonts w:cs="Arial"/>
                <w:sz w:val="18"/>
                <w:szCs w:val="18"/>
                <w:lang w:val="es-HN"/>
              </w:rPr>
              <w:t xml:space="preserve">Contenido mínimo: reglamento especial de higiene y seguridad </w:t>
            </w:r>
          </w:p>
          <w:p w14:paraId="1C49B7E4" w14:textId="77777777" w:rsidR="006A3DBC" w:rsidRPr="00CF0F96" w:rsidRDefault="006A3DBC" w:rsidP="005F4A92">
            <w:pPr>
              <w:jc w:val="both"/>
              <w:rPr>
                <w:rFonts w:cs="Arial"/>
                <w:sz w:val="18"/>
                <w:lang w:val="es-HN"/>
              </w:rPr>
            </w:pPr>
            <w:r w:rsidRPr="00CF0F96">
              <w:rPr>
                <w:rFonts w:cs="Arial"/>
                <w:sz w:val="18"/>
                <w:szCs w:val="18"/>
                <w:lang w:val="es-HN"/>
              </w:rPr>
              <w:t>Art. 398. El reglamento especial que se prescribe en el artículo anterior debe contener, por lo menos, disposiciones normativas sobre los siguientes puntos: a) Protección e higiene personal de los trabajadores; b) Prevención de accidentes y enfermedades; c) Servicio médico, sanidad del establecimiento, y salas-cunas en su caso; d) Prohibición de facilitar alojamiento en edificios de industrias peligrosas o insalubres; e) Provisión de sillas para trabajadores de tiendas, boticas, fábricas, talleres y establecimientos similares; Cuando se trate de trabajos con soldadura eléctrica, las condiciones que deben reunir los locales y los elementos de protección para los trabajadores; g) Normas especiales, cuando se trate de empresas mineras y petroleras; h) Medidas de seguridad en las empresas de energía eléctrica, en los depósitos de explosivos, de materias inflamables y demás elementos peligrosos; y i) Higiene en las empresas agrícolas, ganaderas y forestales.</w:t>
            </w:r>
          </w:p>
        </w:tc>
        <w:tc>
          <w:tcPr>
            <w:tcW w:w="3969" w:type="dxa"/>
            <w:shd w:val="clear" w:color="auto" w:fill="auto"/>
            <w:vAlign w:val="center"/>
          </w:tcPr>
          <w:p w14:paraId="53206F8F" w14:textId="217EB699" w:rsidR="006A3DBC" w:rsidRPr="00CF0F96" w:rsidRDefault="006A3DBC" w:rsidP="005F4A92">
            <w:pPr>
              <w:jc w:val="both"/>
              <w:rPr>
                <w:rFonts w:cs="Arial"/>
                <w:sz w:val="18"/>
                <w:szCs w:val="18"/>
                <w:lang w:val="es-MX"/>
              </w:rPr>
            </w:pPr>
            <w:r w:rsidRPr="00CF0F96">
              <w:rPr>
                <w:rFonts w:cs="Arial"/>
                <w:sz w:val="18"/>
                <w:szCs w:val="18"/>
                <w:lang w:val="es-MX"/>
              </w:rPr>
              <w:lastRenderedPageBreak/>
              <w:t>En cumplimiento con el EAS 4, el Proyecto COMRURAL III adoptará los siguientes elementos no incorporados en su normativa:</w:t>
            </w:r>
          </w:p>
          <w:p w14:paraId="1E64909A" w14:textId="77777777" w:rsidR="006A3DBC" w:rsidRPr="00CF0F96" w:rsidRDefault="006A3DBC" w:rsidP="005F4A92">
            <w:pPr>
              <w:jc w:val="both"/>
              <w:rPr>
                <w:rFonts w:cs="Arial"/>
                <w:sz w:val="18"/>
                <w:szCs w:val="18"/>
                <w:lang w:val="es-MX"/>
              </w:rPr>
            </w:pPr>
            <w:r w:rsidRPr="00CF0F96">
              <w:rPr>
                <w:rFonts w:cs="Arial"/>
                <w:sz w:val="18"/>
                <w:szCs w:val="18"/>
                <w:lang w:val="es-MX"/>
              </w:rPr>
              <w:t>1)</w:t>
            </w:r>
            <w:r w:rsidRPr="00CF0F96">
              <w:rPr>
                <w:rFonts w:cs="Arial"/>
                <w:sz w:val="18"/>
                <w:szCs w:val="18"/>
                <w:lang w:val="es-MX"/>
              </w:rPr>
              <w:tab/>
              <w:t>Monitoreo y gestión de los aspectos de salud y seguridad comunitaria, como contaminación, para salvaguardar la integridad y el bienestar de las personas que podrían resultar afectadas.</w:t>
            </w:r>
          </w:p>
          <w:p w14:paraId="130C1AA5" w14:textId="77777777" w:rsidR="006A3DBC" w:rsidRPr="00CF0F96" w:rsidRDefault="006A3DBC" w:rsidP="005F4A92">
            <w:pPr>
              <w:jc w:val="both"/>
              <w:rPr>
                <w:rFonts w:cs="Arial"/>
                <w:sz w:val="18"/>
                <w:lang w:val="es-MX"/>
              </w:rPr>
            </w:pPr>
          </w:p>
        </w:tc>
      </w:tr>
      <w:tr w:rsidR="00CF0F96" w:rsidRPr="00CF0F96" w14:paraId="0749D7D5" w14:textId="77777777" w:rsidTr="37B44ACB">
        <w:tc>
          <w:tcPr>
            <w:tcW w:w="1702" w:type="dxa"/>
            <w:vAlign w:val="center"/>
          </w:tcPr>
          <w:p w14:paraId="530575F8" w14:textId="77777777" w:rsidR="006A3DBC" w:rsidRPr="00CF0F96" w:rsidRDefault="006A3DBC" w:rsidP="00AC4EF4">
            <w:pPr>
              <w:ind w:left="119"/>
              <w:jc w:val="both"/>
              <w:rPr>
                <w:rFonts w:cs="Arial"/>
                <w:b/>
                <w:sz w:val="18"/>
              </w:rPr>
            </w:pPr>
            <w:r w:rsidRPr="00CF0F96">
              <w:rPr>
                <w:rFonts w:cs="Arial"/>
                <w:b/>
                <w:sz w:val="18"/>
              </w:rPr>
              <w:t>EAS 5</w:t>
            </w:r>
          </w:p>
          <w:p w14:paraId="138B896E" w14:textId="77777777" w:rsidR="006A3DBC" w:rsidRPr="00CF0F96" w:rsidRDefault="006A3DBC" w:rsidP="001A6DAE">
            <w:pPr>
              <w:ind w:left="119"/>
              <w:jc w:val="both"/>
              <w:rPr>
                <w:rFonts w:cs="Arial"/>
                <w:sz w:val="18"/>
                <w:lang w:val="es-MX"/>
              </w:rPr>
            </w:pPr>
            <w:r w:rsidRPr="00CF0F96">
              <w:rPr>
                <w:rFonts w:cs="Arial"/>
                <w:b/>
                <w:sz w:val="18"/>
              </w:rPr>
              <w:t xml:space="preserve">Estándar Ambiental y Social 5: Adquisición de Tierras, Restricciones sobre el Uso de </w:t>
            </w:r>
            <w:r w:rsidRPr="00CF0F96">
              <w:rPr>
                <w:rFonts w:cs="Arial"/>
                <w:b/>
                <w:sz w:val="18"/>
              </w:rPr>
              <w:lastRenderedPageBreak/>
              <w:t>la Tierra y Reasentamiento Involuntario.</w:t>
            </w:r>
          </w:p>
        </w:tc>
        <w:tc>
          <w:tcPr>
            <w:tcW w:w="4395" w:type="dxa"/>
            <w:vAlign w:val="center"/>
          </w:tcPr>
          <w:p w14:paraId="6B240EBC" w14:textId="41D4DB9B" w:rsidR="006A3DBC" w:rsidRPr="00CF0F96" w:rsidRDefault="006A3DBC" w:rsidP="005F4A92">
            <w:pPr>
              <w:pStyle w:val="Prrafodelista"/>
              <w:ind w:left="75"/>
              <w:jc w:val="both"/>
              <w:rPr>
                <w:rFonts w:cs="Arial"/>
                <w:sz w:val="18"/>
                <w:lang w:val="es-MX"/>
              </w:rPr>
            </w:pPr>
            <w:r w:rsidRPr="00CF0F96">
              <w:rPr>
                <w:rFonts w:cs="Arial"/>
                <w:sz w:val="18"/>
                <w:lang w:val="es-MX"/>
              </w:rPr>
              <w:lastRenderedPageBreak/>
              <w:t xml:space="preserve">Reconoce que la adquisición de tierras y las restricciones sobre el uso de </w:t>
            </w:r>
            <w:r w:rsidR="005F4A92" w:rsidRPr="00CF0F96">
              <w:rPr>
                <w:rFonts w:cs="Arial"/>
                <w:sz w:val="18"/>
                <w:lang w:val="es-MX"/>
              </w:rPr>
              <w:t>la tierra relacionada</w:t>
            </w:r>
            <w:r w:rsidRPr="00CF0F96">
              <w:rPr>
                <w:rFonts w:cs="Arial"/>
                <w:sz w:val="18"/>
                <w:lang w:val="es-MX"/>
              </w:rPr>
              <w:t xml:space="preserve"> con el proyecto pueden tener impactos adversos en las comunidades y las personas. La adquisición de tierras o las restricciones sobre el uso de la tierra relacionadas con el proyecto pueden causar desplazamiento físico (reubicación, pérdida de tierras o de viviendas), desplazamiento económico (pérdida de tierras, bienes o acceso a bienes, que </w:t>
            </w:r>
            <w:r w:rsidRPr="00CF0F96">
              <w:rPr>
                <w:rFonts w:cs="Arial"/>
                <w:sz w:val="18"/>
                <w:lang w:val="es-MX"/>
              </w:rPr>
              <w:lastRenderedPageBreak/>
              <w:t>conduzcan a la pérdida de fuentes de ingresos u otros medios de subsistencia), o ambos. El reasentamiento se considera involuntario cuando las personas o las comunidades afectadas no tienen derecho a negarse a la adquisición de tierras ni a las restricciones sobre el uso de la tierra que generan desplazamientos.</w:t>
            </w:r>
          </w:p>
          <w:p w14:paraId="615630F7" w14:textId="77777777" w:rsidR="006A3DBC" w:rsidRPr="00CF0F96" w:rsidRDefault="006A3DBC" w:rsidP="005F4A92">
            <w:pPr>
              <w:pStyle w:val="Prrafodelista"/>
              <w:ind w:left="75"/>
              <w:jc w:val="both"/>
              <w:rPr>
                <w:rFonts w:cs="Arial"/>
                <w:sz w:val="18"/>
                <w:lang w:val="es-MX"/>
              </w:rPr>
            </w:pPr>
          </w:p>
          <w:p w14:paraId="42A15882" w14:textId="77777777" w:rsidR="006A3DBC" w:rsidRPr="00CF0F96" w:rsidRDefault="006A3DBC" w:rsidP="005F4A92">
            <w:pPr>
              <w:pStyle w:val="Prrafodelista"/>
              <w:ind w:left="75"/>
              <w:jc w:val="both"/>
              <w:rPr>
                <w:rFonts w:cs="Arial"/>
                <w:sz w:val="18"/>
                <w:lang w:val="es-MX"/>
              </w:rPr>
            </w:pPr>
            <w:r w:rsidRPr="00CF0F96">
              <w:rPr>
                <w:rFonts w:cs="Arial"/>
                <w:sz w:val="18"/>
                <w:lang w:val="es-MX"/>
              </w:rPr>
              <w:t xml:space="preserve">Son elegibles para compensación las personas que cumplen con las siguientes características: (i) Tienen derechos legales formales sobre tierras y bienes; (ii) No tienen derechos legales formales sobre tierras o bienes, pero que reclaman tierras o bienes y tal reclamo es reconocido o puede ser reconocido por la legislación nacional; y (iii) No tienen ningún derecho ni reclamo legales reconocibles sobre las tierras o los bienes que ocupan o usan. </w:t>
            </w:r>
          </w:p>
          <w:p w14:paraId="42CD58D4" w14:textId="77777777" w:rsidR="006A3DBC" w:rsidRPr="00CF0F96" w:rsidRDefault="006A3DBC" w:rsidP="005F4A92">
            <w:pPr>
              <w:pStyle w:val="Prrafodelista"/>
              <w:ind w:left="75"/>
              <w:jc w:val="both"/>
              <w:rPr>
                <w:rFonts w:cs="Arial"/>
                <w:sz w:val="18"/>
                <w:lang w:val="es-MX"/>
              </w:rPr>
            </w:pPr>
          </w:p>
          <w:p w14:paraId="5AD5A28B" w14:textId="77777777" w:rsidR="006A3DBC" w:rsidRPr="00CF0F96" w:rsidRDefault="006A3DBC" w:rsidP="005F4A92">
            <w:pPr>
              <w:pStyle w:val="Prrafodelista"/>
              <w:ind w:left="75"/>
              <w:jc w:val="both"/>
              <w:rPr>
                <w:rFonts w:cs="Arial"/>
                <w:sz w:val="18"/>
                <w:lang w:val="es-MX"/>
              </w:rPr>
            </w:pPr>
            <w:r w:rsidRPr="00CF0F96">
              <w:rPr>
                <w:rFonts w:cs="Arial"/>
                <w:sz w:val="18"/>
                <w:lang w:val="es-MX"/>
              </w:rPr>
              <w:t xml:space="preserve">Se debe demostrar que la adquisición de tierras o las restricciones sobre el uso de la tierra se limitan a requerimientos directos del proyecto para fines claramente especificados dentro de un período claramente definido. </w:t>
            </w:r>
          </w:p>
          <w:p w14:paraId="50C98D0E" w14:textId="77777777" w:rsidR="006A3DBC" w:rsidRPr="00CF0F96" w:rsidRDefault="006A3DBC" w:rsidP="005F4A92">
            <w:pPr>
              <w:pStyle w:val="Prrafodelista"/>
              <w:ind w:left="75"/>
              <w:jc w:val="both"/>
              <w:rPr>
                <w:rFonts w:cs="Arial"/>
                <w:sz w:val="18"/>
                <w:lang w:val="es-MX"/>
              </w:rPr>
            </w:pPr>
          </w:p>
          <w:p w14:paraId="5F3534C4" w14:textId="77777777" w:rsidR="006A3DBC" w:rsidRPr="00CF0F96" w:rsidRDefault="006A3DBC" w:rsidP="005F4A92">
            <w:pPr>
              <w:pStyle w:val="Prrafodelista"/>
              <w:ind w:left="75"/>
              <w:jc w:val="both"/>
              <w:rPr>
                <w:rFonts w:cs="Arial"/>
                <w:sz w:val="18"/>
                <w:lang w:val="es-MX"/>
              </w:rPr>
            </w:pPr>
            <w:r w:rsidRPr="00CF0F96">
              <w:rPr>
                <w:rFonts w:cs="Arial"/>
                <w:sz w:val="18"/>
                <w:lang w:val="es-MX"/>
              </w:rPr>
              <w:t>Se debe considerar diseños alternativos del proyecto que sean viables para evitar o minimizar la adquisición de tierras o las restricciones sobre el uso de la tierra, en especial cuando ello pueda generar desplazamiento físico o económico, al tiempo que se equilibran los costos y beneficios ambientales, sociales y financieros, y se presta particular atención a los impactos de género y en las personas pobres y vulnerables.</w:t>
            </w:r>
          </w:p>
          <w:p w14:paraId="17362583" w14:textId="77777777" w:rsidR="006A3DBC" w:rsidRPr="00CF0F96" w:rsidRDefault="006A3DBC" w:rsidP="005F4A92">
            <w:pPr>
              <w:pStyle w:val="Prrafodelista"/>
              <w:ind w:left="75"/>
              <w:jc w:val="both"/>
              <w:rPr>
                <w:rFonts w:cs="Arial"/>
                <w:sz w:val="18"/>
                <w:lang w:val="es-MX"/>
              </w:rPr>
            </w:pPr>
          </w:p>
          <w:p w14:paraId="1349D20F" w14:textId="77777777" w:rsidR="006A3DBC" w:rsidRPr="00CF0F96" w:rsidRDefault="006A3DBC" w:rsidP="005F4A92">
            <w:pPr>
              <w:pStyle w:val="Prrafodelista"/>
              <w:ind w:left="75"/>
              <w:jc w:val="both"/>
              <w:rPr>
                <w:rFonts w:cs="Arial"/>
                <w:sz w:val="18"/>
                <w:lang w:val="es-MX"/>
              </w:rPr>
            </w:pPr>
            <w:r w:rsidRPr="00CF0F96">
              <w:rPr>
                <w:rFonts w:cs="Arial"/>
                <w:sz w:val="18"/>
                <w:lang w:val="es-MX"/>
              </w:rPr>
              <w:lastRenderedPageBreak/>
              <w:t xml:space="preserve">En caso no pueda evitarse la adquisición de tierras o las restricciones sobre su uso (ya sean permanentes o temporales), el Estado de Honduras deberá ofrecer a las personas afectadas compensación al costo de reposición y otro tipo de asistencia que sea necesaria para ayudarlas a mejorar o, al menos, restablecer sus estándares de vida o medios de subsistencia. </w:t>
            </w:r>
          </w:p>
          <w:p w14:paraId="120C3729" w14:textId="77777777" w:rsidR="006A3DBC" w:rsidRPr="00CF0F96" w:rsidRDefault="006A3DBC" w:rsidP="005F4A92">
            <w:pPr>
              <w:pStyle w:val="Prrafodelista"/>
              <w:ind w:left="75"/>
              <w:jc w:val="both"/>
              <w:rPr>
                <w:rFonts w:cs="Arial"/>
                <w:sz w:val="18"/>
                <w:lang w:val="es-MX"/>
              </w:rPr>
            </w:pPr>
          </w:p>
          <w:p w14:paraId="79ACCBB9" w14:textId="77777777" w:rsidR="006A3DBC" w:rsidRPr="00CF0F96" w:rsidRDefault="006A3DBC" w:rsidP="005F4A92">
            <w:pPr>
              <w:pStyle w:val="Prrafodelista"/>
              <w:ind w:left="75"/>
              <w:jc w:val="both"/>
              <w:rPr>
                <w:rFonts w:cs="Arial"/>
                <w:sz w:val="18"/>
                <w:lang w:val="es-MX"/>
              </w:rPr>
            </w:pPr>
            <w:r w:rsidRPr="00CF0F96">
              <w:rPr>
                <w:rFonts w:cs="Arial"/>
                <w:sz w:val="18"/>
                <w:lang w:val="es-MX"/>
              </w:rPr>
              <w:t xml:space="preserve">Como parte de una evaluación ambiental y social, deberá identificar a las personas que se verán afectadas por el proyecto, establecer un inventario de las tierras y los bienes que se verán afectados; determinar quiénes serán elegibles para recibir compensación y asistencia; y evitar que las personas no elegibles, como los ocupantes oportunistas, reclamen beneficios. </w:t>
            </w:r>
          </w:p>
          <w:p w14:paraId="7510825F" w14:textId="77777777" w:rsidR="006A3DBC" w:rsidRPr="00CF0F96" w:rsidRDefault="006A3DBC" w:rsidP="005F4A92">
            <w:pPr>
              <w:pStyle w:val="Prrafodelista"/>
              <w:ind w:left="75"/>
              <w:jc w:val="both"/>
              <w:rPr>
                <w:rFonts w:cs="Arial"/>
                <w:sz w:val="18"/>
                <w:lang w:val="es-MX"/>
              </w:rPr>
            </w:pPr>
          </w:p>
          <w:p w14:paraId="1566749E" w14:textId="77777777" w:rsidR="006A3DBC" w:rsidRPr="00CF0F96" w:rsidRDefault="006A3DBC" w:rsidP="005F4A92">
            <w:pPr>
              <w:pStyle w:val="Prrafodelista"/>
              <w:ind w:left="75"/>
              <w:jc w:val="both"/>
              <w:rPr>
                <w:rFonts w:cs="Arial"/>
                <w:sz w:val="18"/>
                <w:lang w:val="es-MX"/>
              </w:rPr>
            </w:pPr>
            <w:r w:rsidRPr="00CF0F96">
              <w:rPr>
                <w:rFonts w:cs="Arial"/>
                <w:sz w:val="18"/>
                <w:lang w:val="es-MX"/>
              </w:rPr>
              <w:t xml:space="preserve">Debe involucrarse a las comunidades afectadas, incluidas las comunidades anfitrionas, mediante el proceso de participación de partes interesadas de acuerdo con el EAS 10. Los procesos de toma de decisiones relacionados con el reasentamiento involuntario y el restablecimiento de los medios de subsistencia incluirán opciones y alternativas para las personas afectadas. La divulgación de información pertinente y la participación significativa de las comunidades y personas afectadas tendrán lugar durante la consideración de los diseños alternativos de proyectos, y después, durante la planificación, la implementación, el seguimiento y la evaluación del proceso de compensación, las actividades de restablecimiento de los medios de subsistencia y el proceso de reubicación. En el caso de las consultas a pueblos indígenas desplazados, </w:t>
            </w:r>
            <w:r w:rsidRPr="00CF0F96">
              <w:rPr>
                <w:rFonts w:cs="Arial"/>
                <w:sz w:val="18"/>
                <w:lang w:val="es-MX"/>
              </w:rPr>
              <w:lastRenderedPageBreak/>
              <w:t>se deberán aplicar disposiciones adicionales de conformidad con el EAS 7.</w:t>
            </w:r>
          </w:p>
          <w:p w14:paraId="16949FDA" w14:textId="77777777" w:rsidR="006A3DBC" w:rsidRPr="00CF0F96" w:rsidRDefault="006A3DBC" w:rsidP="005F4A92">
            <w:pPr>
              <w:pStyle w:val="Prrafodelista"/>
              <w:ind w:left="75"/>
              <w:jc w:val="both"/>
              <w:rPr>
                <w:rFonts w:cs="Arial"/>
                <w:sz w:val="18"/>
                <w:lang w:val="es-MX"/>
              </w:rPr>
            </w:pPr>
          </w:p>
          <w:p w14:paraId="5EC5287D" w14:textId="77777777" w:rsidR="006A3DBC" w:rsidRPr="00CF0F96" w:rsidRDefault="006A3DBC" w:rsidP="005F4A92">
            <w:pPr>
              <w:pStyle w:val="Prrafodelista"/>
              <w:ind w:left="75"/>
              <w:jc w:val="both"/>
              <w:rPr>
                <w:rFonts w:cs="Arial"/>
                <w:sz w:val="18"/>
                <w:lang w:val="es-MX"/>
              </w:rPr>
            </w:pPr>
            <w:r w:rsidRPr="00CF0F96">
              <w:rPr>
                <w:rFonts w:cs="Arial"/>
                <w:sz w:val="18"/>
                <w:lang w:val="es-MX"/>
              </w:rPr>
              <w:t xml:space="preserve">Implementar un mecanismo de atención de quejas y reclamos de conformidad con el EAS 10 lo antes posible durante el desarrollo del proyecto para abordar inquietudes específicas acerca de las medidas de compensación, reubicación y restablecimiento de los medios de subsistencia planteadas oportunamente por las personas afectadas. </w:t>
            </w:r>
          </w:p>
        </w:tc>
        <w:tc>
          <w:tcPr>
            <w:tcW w:w="4252" w:type="dxa"/>
            <w:vAlign w:val="center"/>
          </w:tcPr>
          <w:p w14:paraId="4CAF2963" w14:textId="267456EE" w:rsidR="006A3DBC" w:rsidRPr="00CF0F96" w:rsidRDefault="70F64212" w:rsidP="005F4A92">
            <w:pPr>
              <w:jc w:val="both"/>
              <w:rPr>
                <w:rFonts w:cs="Arial"/>
                <w:sz w:val="18"/>
                <w:szCs w:val="18"/>
                <w:lang w:val="es-ES"/>
              </w:rPr>
            </w:pPr>
            <w:r w:rsidRPr="00CF0F96">
              <w:rPr>
                <w:rFonts w:cs="Arial"/>
                <w:sz w:val="18"/>
                <w:szCs w:val="18"/>
                <w:lang w:val="es-ES"/>
              </w:rPr>
              <w:lastRenderedPageBreak/>
              <w:t xml:space="preserve">A lo largo de la </w:t>
            </w:r>
            <w:r w:rsidR="3A7FC69B" w:rsidRPr="00CF0F96">
              <w:rPr>
                <w:rFonts w:cs="Arial"/>
                <w:sz w:val="18"/>
                <w:szCs w:val="18"/>
                <w:lang w:val="es-ES"/>
              </w:rPr>
              <w:t xml:space="preserve">experiencia de 8 años </w:t>
            </w:r>
            <w:r w:rsidR="77C1EBA2" w:rsidRPr="00CF0F96">
              <w:rPr>
                <w:rFonts w:cs="Arial"/>
                <w:sz w:val="18"/>
                <w:szCs w:val="18"/>
                <w:lang w:val="es-ES"/>
              </w:rPr>
              <w:t>de</w:t>
            </w:r>
            <w:r w:rsidR="2C113312" w:rsidRPr="00CF0F96">
              <w:rPr>
                <w:rFonts w:cs="Arial"/>
                <w:sz w:val="18"/>
                <w:szCs w:val="18"/>
                <w:lang w:val="es-ES"/>
              </w:rPr>
              <w:t>l programa</w:t>
            </w:r>
            <w:r w:rsidR="3A7FC69B" w:rsidRPr="00CF0F96">
              <w:rPr>
                <w:rFonts w:cs="Arial"/>
                <w:sz w:val="18"/>
                <w:szCs w:val="18"/>
                <w:lang w:val="es-ES"/>
              </w:rPr>
              <w:t xml:space="preserve"> COMRURAL</w:t>
            </w:r>
            <w:r w:rsidRPr="00CF0F96">
              <w:rPr>
                <w:rFonts w:cs="Arial"/>
                <w:sz w:val="18"/>
                <w:szCs w:val="18"/>
                <w:lang w:val="es-ES"/>
              </w:rPr>
              <w:t>,</w:t>
            </w:r>
            <w:r w:rsidR="3A7FC69B" w:rsidRPr="00CF0F96">
              <w:rPr>
                <w:rFonts w:cs="Arial"/>
                <w:sz w:val="18"/>
                <w:szCs w:val="18"/>
                <w:lang w:val="es-ES"/>
              </w:rPr>
              <w:t xml:space="preserve"> no ha </w:t>
            </w:r>
            <w:r w:rsidR="5231B826" w:rsidRPr="00CF0F96">
              <w:rPr>
                <w:rFonts w:cs="Arial"/>
                <w:sz w:val="18"/>
                <w:szCs w:val="18"/>
                <w:lang w:val="es-ES"/>
              </w:rPr>
              <w:t>sido</w:t>
            </w:r>
            <w:r w:rsidR="50573AB2" w:rsidRPr="00CF0F96">
              <w:rPr>
                <w:rFonts w:cs="Arial"/>
                <w:sz w:val="18"/>
                <w:szCs w:val="18"/>
                <w:lang w:val="es-ES"/>
              </w:rPr>
              <w:t xml:space="preserve"> necesidad dar cumplimiento a los </w:t>
            </w:r>
            <w:r w:rsidR="6985E233" w:rsidRPr="00CF0F96">
              <w:rPr>
                <w:rFonts w:cs="Arial"/>
                <w:sz w:val="18"/>
                <w:szCs w:val="18"/>
                <w:lang w:val="es-ES"/>
              </w:rPr>
              <w:t>requ</w:t>
            </w:r>
            <w:r w:rsidR="743D9265" w:rsidRPr="00CF0F96">
              <w:rPr>
                <w:rFonts w:cs="Arial"/>
                <w:sz w:val="18"/>
                <w:szCs w:val="18"/>
                <w:lang w:val="es-ES"/>
              </w:rPr>
              <w:t>isitos</w:t>
            </w:r>
            <w:r w:rsidR="6985E233" w:rsidRPr="00CF0F96">
              <w:rPr>
                <w:rFonts w:cs="Arial"/>
                <w:sz w:val="18"/>
                <w:szCs w:val="18"/>
                <w:lang w:val="es-ES"/>
              </w:rPr>
              <w:t xml:space="preserve"> abordados</w:t>
            </w:r>
            <w:r w:rsidR="50573AB2" w:rsidRPr="00CF0F96">
              <w:rPr>
                <w:rFonts w:cs="Arial"/>
                <w:sz w:val="18"/>
                <w:szCs w:val="18"/>
                <w:lang w:val="es-ES"/>
              </w:rPr>
              <w:t xml:space="preserve"> en</w:t>
            </w:r>
            <w:r w:rsidR="3A7FC69B" w:rsidRPr="00CF0F96">
              <w:rPr>
                <w:rFonts w:cs="Arial"/>
                <w:sz w:val="18"/>
                <w:szCs w:val="18"/>
                <w:lang w:val="es-ES"/>
              </w:rPr>
              <w:t xml:space="preserve"> </w:t>
            </w:r>
            <w:r w:rsidR="50573AB2" w:rsidRPr="00CF0F96">
              <w:rPr>
                <w:rFonts w:cs="Arial"/>
                <w:sz w:val="18"/>
                <w:szCs w:val="18"/>
                <w:lang w:val="es-ES"/>
              </w:rPr>
              <w:t>este estándar</w:t>
            </w:r>
            <w:r w:rsidR="3A7FC69B" w:rsidRPr="00CF0F96">
              <w:rPr>
                <w:rFonts w:cs="Arial"/>
                <w:sz w:val="18"/>
                <w:szCs w:val="18"/>
                <w:lang w:val="es-ES"/>
              </w:rPr>
              <w:t xml:space="preserve">, ya que las inversiones programadas en los  </w:t>
            </w:r>
            <w:r w:rsidR="5C05089C" w:rsidRPr="00CF0F96">
              <w:rPr>
                <w:rFonts w:cs="Arial"/>
                <w:sz w:val="18"/>
                <w:szCs w:val="18"/>
                <w:lang w:val="es-ES"/>
              </w:rPr>
              <w:t>PdNs</w:t>
            </w:r>
            <w:r w:rsidR="3A7FC69B" w:rsidRPr="00CF0F96">
              <w:rPr>
                <w:rFonts w:cs="Arial"/>
                <w:sz w:val="18"/>
                <w:szCs w:val="18"/>
                <w:lang w:val="es-ES"/>
              </w:rPr>
              <w:t xml:space="preserve"> ejecutados y en ejecución, se realizan para fortalecer iniciativas locales ya establecidas y en buena medida se orientan a generar valor agregado mediante mejora de la infraestructura productiva (beneficios de secado, centros de </w:t>
            </w:r>
            <w:r w:rsidR="3A7FC69B" w:rsidRPr="00CF0F96">
              <w:rPr>
                <w:rFonts w:cs="Arial"/>
                <w:sz w:val="18"/>
                <w:szCs w:val="18"/>
                <w:lang w:val="es-ES"/>
              </w:rPr>
              <w:lastRenderedPageBreak/>
              <w:t>acopio y procesamiento, insumos adecuados, sistemas de inocuidad, entre otras) no se aprueban fondos para la extensión de cultivos agrícolas que puedan motivar el desplazamiento involuntario de familias rurales. Por otro lado, los fondos de inversión de COMRURAL no se destinan para compra de terrenos, estos forman parte de los bienes o activos que disponen las OPRs, los cuales normalmente se ubican en la periferia de asentamientos poblacionales y han sido adquiridos en transacciones de mercado de compraventa voluntarias.</w:t>
            </w:r>
          </w:p>
          <w:p w14:paraId="76D39CF8" w14:textId="19C2FA93" w:rsidR="006A3DBC" w:rsidRPr="00CF0F96" w:rsidRDefault="006A3DBC" w:rsidP="005F4A92">
            <w:pPr>
              <w:jc w:val="both"/>
              <w:rPr>
                <w:rFonts w:cs="Arial"/>
                <w:sz w:val="18"/>
                <w:szCs w:val="18"/>
                <w:lang w:val="es-ES"/>
              </w:rPr>
            </w:pPr>
            <w:r w:rsidRPr="00CF0F96">
              <w:rPr>
                <w:rFonts w:cs="Arial"/>
                <w:sz w:val="18"/>
                <w:szCs w:val="18"/>
                <w:lang w:val="es-ES"/>
              </w:rPr>
              <w:t xml:space="preserve">No obstante, lo anterior, resulta oportuno en los futuros </w:t>
            </w:r>
            <w:r w:rsidR="00C74CC2" w:rsidRPr="00CF0F96">
              <w:rPr>
                <w:rFonts w:cs="Arial"/>
                <w:sz w:val="18"/>
                <w:szCs w:val="18"/>
                <w:lang w:val="es-ES"/>
              </w:rPr>
              <w:t>sub</w:t>
            </w:r>
            <w:r w:rsidRPr="00CF0F96">
              <w:rPr>
                <w:rFonts w:cs="Arial"/>
                <w:sz w:val="18"/>
                <w:szCs w:val="18"/>
                <w:lang w:val="es-ES"/>
              </w:rPr>
              <w:t>proyectos tomar en cuenta el EAS 5 sobre Reasentamiento Involuntario como un mecanismo de prevención y valoración responsable del proyecto COMRURAL</w:t>
            </w:r>
            <w:r w:rsidR="00C74CC2" w:rsidRPr="00CF0F96">
              <w:rPr>
                <w:rFonts w:cs="Arial"/>
                <w:sz w:val="18"/>
                <w:szCs w:val="18"/>
                <w:lang w:val="es-ES"/>
              </w:rPr>
              <w:t xml:space="preserve"> III</w:t>
            </w:r>
            <w:r w:rsidRPr="00CF0F96">
              <w:rPr>
                <w:rFonts w:cs="Arial"/>
                <w:sz w:val="18"/>
                <w:szCs w:val="18"/>
                <w:lang w:val="es-ES"/>
              </w:rPr>
              <w:t>. Por ende, se ha integrado al presente MGAS un MRI y un MP que permitirá prevenir y mitigar cualquier eventual caso.</w:t>
            </w:r>
          </w:p>
        </w:tc>
        <w:tc>
          <w:tcPr>
            <w:tcW w:w="3969" w:type="dxa"/>
            <w:vAlign w:val="center"/>
          </w:tcPr>
          <w:p w14:paraId="2F39C66A" w14:textId="77777777" w:rsidR="006A3DBC" w:rsidRPr="00CF0F96" w:rsidRDefault="006A3DBC" w:rsidP="005F4A92">
            <w:pPr>
              <w:jc w:val="both"/>
              <w:rPr>
                <w:rFonts w:cs="Arial"/>
                <w:sz w:val="18"/>
                <w:lang w:val="es-ES_tradnl"/>
              </w:rPr>
            </w:pPr>
            <w:r w:rsidRPr="00CF0F96">
              <w:rPr>
                <w:rFonts w:cs="Arial"/>
                <w:sz w:val="18"/>
                <w:lang w:val="es-ES_tradnl"/>
              </w:rPr>
              <w:lastRenderedPageBreak/>
              <w:t xml:space="preserve">La República de Honduras cuenta con normas legales específicas que regulen la adquisición de tierras y también la reubicación, reasentamiento involuntario, adquisición de inmuebles, compensación y restablecimiento de los medios de subsistencia a las personas que, como consecuencia de la ejecución de proyectos, pudiesen ser desalojados de su </w:t>
            </w:r>
            <w:r w:rsidRPr="00CF0F96">
              <w:rPr>
                <w:rFonts w:cs="Arial"/>
                <w:sz w:val="18"/>
                <w:lang w:val="es-ES_tradnl"/>
              </w:rPr>
              <w:lastRenderedPageBreak/>
              <w:t xml:space="preserve">lugar de residencia habitual o lugar de actividad económica, tal como lo describe la EAS 5. </w:t>
            </w:r>
          </w:p>
          <w:p w14:paraId="567D8EC6" w14:textId="77777777" w:rsidR="006A3DBC" w:rsidRPr="00CF0F96" w:rsidRDefault="006A3DBC" w:rsidP="005F4A92">
            <w:pPr>
              <w:jc w:val="both"/>
              <w:rPr>
                <w:rFonts w:cs="Arial"/>
                <w:sz w:val="18"/>
                <w:lang w:val="es-ES_tradnl"/>
              </w:rPr>
            </w:pPr>
            <w:r w:rsidRPr="00CF0F96">
              <w:rPr>
                <w:rFonts w:cs="Arial"/>
                <w:sz w:val="18"/>
                <w:lang w:val="es-ES_tradnl"/>
              </w:rPr>
              <w:t xml:space="preserve">Sin embargo, aspectos como los métodos de evaluación, criterios para establecer las personas elegibles para recibir compensación o ayudas para el restablecimiento de las condiciones, métodos de valuación, elaboración de planes de reasentamiento, etc. deberán regularse en una normativa específica a efecto de tener una afinidad plena a lo planteado por el EAS 5. </w:t>
            </w:r>
          </w:p>
          <w:p w14:paraId="29DB1999" w14:textId="77777777" w:rsidR="006A3DBC" w:rsidRPr="00CF0F96" w:rsidRDefault="006A3DBC" w:rsidP="005F4A92">
            <w:pPr>
              <w:jc w:val="both"/>
              <w:rPr>
                <w:rFonts w:cs="Arial"/>
                <w:sz w:val="18"/>
                <w:szCs w:val="18"/>
                <w:lang w:val="es-ES"/>
              </w:rPr>
            </w:pPr>
            <w:r w:rsidRPr="00CF0F96">
              <w:rPr>
                <w:rFonts w:cs="Arial"/>
                <w:sz w:val="18"/>
                <w:szCs w:val="18"/>
                <w:lang w:val="es-ES"/>
              </w:rPr>
              <w:t>De la misma manera, Honduras cuenta con una amplia normativa legal respecto las Áreas Protegidas (creación, administración, conservación de biodiversidad, manejo, uso de los recursos en áreas protegidas y su rol ambiental, económico y social, entre otros), sin embargo, la legislación no hace referencia a restricciones de acceso a recursos naturales y el desplazamiento económico causado por ello.</w:t>
            </w:r>
          </w:p>
          <w:p w14:paraId="5571C9FD" w14:textId="77777777" w:rsidR="006A3DBC" w:rsidRPr="00CF0F96" w:rsidRDefault="006A3DBC" w:rsidP="005F4A92">
            <w:pPr>
              <w:jc w:val="both"/>
              <w:rPr>
                <w:rFonts w:cs="Arial"/>
                <w:sz w:val="18"/>
                <w:szCs w:val="18"/>
                <w:lang w:val="es-ES"/>
              </w:rPr>
            </w:pPr>
            <w:r w:rsidRPr="00CF0F96">
              <w:rPr>
                <w:rFonts w:cs="Arial"/>
                <w:sz w:val="18"/>
                <w:szCs w:val="18"/>
                <w:lang w:val="es-ES"/>
              </w:rPr>
              <w:t>Por lo que, en términos generales, se considera que la legislación hondureña soporta parcialmente el cumplimiento de lo requerido por el EAS 5 – Adquisición de Tierras, Restricciones sobre el Uso de la Tierra y Reasentamiento.</w:t>
            </w:r>
          </w:p>
          <w:p w14:paraId="095ECCB9" w14:textId="77777777" w:rsidR="006A3DBC" w:rsidRPr="00CF0F96" w:rsidRDefault="006A3DBC" w:rsidP="005F4A92">
            <w:pPr>
              <w:jc w:val="both"/>
              <w:rPr>
                <w:rFonts w:cs="Arial"/>
                <w:sz w:val="18"/>
                <w:lang w:val="es-ES_tradnl"/>
              </w:rPr>
            </w:pPr>
            <w:r w:rsidRPr="00CF0F96">
              <w:rPr>
                <w:rFonts w:cs="Arial"/>
                <w:sz w:val="18"/>
                <w:lang w:val="es-ES_tradnl"/>
              </w:rPr>
              <w:t>A modo de cubrir una brecha parcial identificada entre el EAS 5 y la legislación nacional, se elaboraron para el Proyecto un MRI con un MP.</w:t>
            </w:r>
          </w:p>
          <w:p w14:paraId="14E09892" w14:textId="77777777" w:rsidR="006A3DBC" w:rsidRPr="00CF0F96" w:rsidRDefault="006A3DBC" w:rsidP="005F4A92">
            <w:pPr>
              <w:jc w:val="both"/>
              <w:rPr>
                <w:rFonts w:cs="Arial"/>
                <w:sz w:val="18"/>
                <w:lang w:val="es-ES_tradnl"/>
              </w:rPr>
            </w:pPr>
          </w:p>
        </w:tc>
      </w:tr>
      <w:tr w:rsidR="00CF0F96" w:rsidRPr="00CF0F96" w14:paraId="529BFC36" w14:textId="77777777" w:rsidTr="37B44ACB">
        <w:tc>
          <w:tcPr>
            <w:tcW w:w="1702" w:type="dxa"/>
            <w:vAlign w:val="center"/>
          </w:tcPr>
          <w:p w14:paraId="36E9C219" w14:textId="77777777" w:rsidR="006A3DBC" w:rsidRPr="00CF0F96" w:rsidRDefault="006A3DBC" w:rsidP="001A6DAE">
            <w:pPr>
              <w:ind w:left="119"/>
              <w:jc w:val="both"/>
              <w:rPr>
                <w:rFonts w:cs="Arial"/>
                <w:b/>
                <w:sz w:val="18"/>
              </w:rPr>
            </w:pPr>
            <w:bookmarkStart w:id="187" w:name="_Hlk65779214"/>
            <w:r w:rsidRPr="00CF0F96">
              <w:rPr>
                <w:rFonts w:cs="Arial"/>
                <w:b/>
                <w:sz w:val="18"/>
              </w:rPr>
              <w:lastRenderedPageBreak/>
              <w:t>EAS 6 Conservación de la Biodiversidad y Gestión Sostenible de los Recursos Naturales Vivos</w:t>
            </w:r>
          </w:p>
          <w:p w14:paraId="40C80A01" w14:textId="77777777" w:rsidR="006A3DBC" w:rsidRPr="00CF0F96" w:rsidRDefault="006A3DBC" w:rsidP="005F4A92">
            <w:pPr>
              <w:ind w:left="119"/>
              <w:jc w:val="center"/>
              <w:rPr>
                <w:rFonts w:cs="Arial"/>
                <w:b/>
                <w:sz w:val="18"/>
                <w:lang w:val="es-MX"/>
              </w:rPr>
            </w:pPr>
          </w:p>
        </w:tc>
        <w:tc>
          <w:tcPr>
            <w:tcW w:w="4395" w:type="dxa"/>
            <w:vAlign w:val="center"/>
          </w:tcPr>
          <w:p w14:paraId="5534A8CC" w14:textId="77777777" w:rsidR="006A3DBC" w:rsidRPr="00CF0F96" w:rsidRDefault="006A3DBC" w:rsidP="005F4A92">
            <w:pPr>
              <w:ind w:left="75"/>
              <w:jc w:val="both"/>
              <w:rPr>
                <w:rFonts w:cs="Arial"/>
                <w:sz w:val="18"/>
                <w:lang w:val="es-MX"/>
              </w:rPr>
            </w:pPr>
            <w:r w:rsidRPr="00CF0F96">
              <w:rPr>
                <w:rFonts w:cs="Arial"/>
                <w:sz w:val="18"/>
                <w:lang w:val="es-MX"/>
              </w:rPr>
              <w:t>1. En el EAS 6 se reconoce que la protección y conservación de la biodiversidad y la gestión sostenible de los recursos naturales son fundamentales para el desarrollo sostenible. La biodiversidad se define como la variabilidad entre los organismos vivos de todas las fuentes, lo que incluye, entre otros, los ecosistemas terrestres, marinos y otros tipos de ecosistemas acuáticos, y los complejos ecológicos de los cuales estos forman parte; esto abarca la diversidad dentro de las especies, entre especies y en los ecosistemas. La biodiversidad a menudo sirve de base a los servicios ecosistémicos valorados por los seres humanos. Por lo tanto, los impactos en la biodiversidad suelen afectar negativamente la prestación de esos servicios.</w:t>
            </w:r>
          </w:p>
          <w:p w14:paraId="603C6B2E" w14:textId="77777777" w:rsidR="006A3DBC" w:rsidRPr="00CF0F96" w:rsidRDefault="006A3DBC" w:rsidP="005F4A92">
            <w:pPr>
              <w:ind w:left="75"/>
              <w:jc w:val="both"/>
              <w:rPr>
                <w:rFonts w:cs="Arial"/>
                <w:sz w:val="18"/>
                <w:lang w:val="es-MX"/>
              </w:rPr>
            </w:pPr>
            <w:r w:rsidRPr="00CF0F96">
              <w:rPr>
                <w:rFonts w:cs="Arial"/>
                <w:sz w:val="18"/>
                <w:lang w:val="es-MX"/>
              </w:rPr>
              <w:t xml:space="preserve">2. En el EAS 6 se reconoce la importancia de mantener las funciones ecológicas centrales de los hábitats, incluidos los bosques y la biodiversidad que éstos sustentan. El hábitat se define como una unidad geográfica terrestre, de agua dulce o marina o un ambiente aeroterrestre que sustenta conjuntos de organismos vivos y sus interacciones con el </w:t>
            </w:r>
            <w:r w:rsidRPr="00CF0F96">
              <w:rPr>
                <w:rFonts w:cs="Arial"/>
                <w:sz w:val="18"/>
                <w:lang w:val="es-MX"/>
              </w:rPr>
              <w:lastRenderedPageBreak/>
              <w:t>ambiente no vivo. Todos los hábitats sustentan complejidades de organismos vivos y varían en términos de diversidad, abundancia e importancia de las especies.</w:t>
            </w:r>
          </w:p>
          <w:p w14:paraId="08E8B216" w14:textId="77777777" w:rsidR="006A3DBC" w:rsidRPr="00CF0F96" w:rsidRDefault="006A3DBC" w:rsidP="005F4A92">
            <w:pPr>
              <w:ind w:left="75"/>
              <w:jc w:val="both"/>
              <w:rPr>
                <w:rFonts w:cs="Arial"/>
                <w:sz w:val="18"/>
                <w:lang w:val="es-MX"/>
              </w:rPr>
            </w:pPr>
            <w:r w:rsidRPr="00CF0F96">
              <w:rPr>
                <w:rFonts w:cs="Arial"/>
                <w:sz w:val="18"/>
                <w:lang w:val="es-MX"/>
              </w:rPr>
              <w:t>3. En este EAS 6 también se aborda la gestión sostenible de la producción primaria y la recolección de recursos naturales vivos.</w:t>
            </w:r>
          </w:p>
          <w:p w14:paraId="62049875" w14:textId="77777777" w:rsidR="006A3DBC" w:rsidRPr="00CF0F96" w:rsidRDefault="006A3DBC" w:rsidP="005F4A92">
            <w:pPr>
              <w:ind w:left="75"/>
              <w:jc w:val="both"/>
              <w:rPr>
                <w:rFonts w:cs="Arial"/>
                <w:sz w:val="18"/>
                <w:lang w:val="es-MX"/>
              </w:rPr>
            </w:pPr>
            <w:r w:rsidRPr="00CF0F96">
              <w:rPr>
                <w:rFonts w:cs="Arial"/>
                <w:sz w:val="18"/>
                <w:lang w:val="es-MX"/>
              </w:rPr>
              <w:t>4. Asimismo, en el EAS 6 se reconoce la necesidad de considerar los medios de subsistencia de las comunidades afectadas por los proyectos, entre ellas, los pueblos indígenas, cuyo acceso a la biodiversidad o a los recursos naturales vivos, o cuyo uso de la biodiversidad o de tales recursos, podrían verse afectados por un proyecto. También se tiene en cuenta el posible rol positivo de las comunidades afectadas, incluidos los pueblos indígenas, en la conservación de la biodiversidad y la gestión sostenible de los recursos naturales vivos.</w:t>
            </w:r>
          </w:p>
          <w:p w14:paraId="6559AF9F" w14:textId="77777777" w:rsidR="006A3DBC" w:rsidRPr="00CF0F96" w:rsidRDefault="006A3DBC" w:rsidP="005F4A92">
            <w:pPr>
              <w:ind w:left="75"/>
              <w:jc w:val="both"/>
              <w:rPr>
                <w:rFonts w:cs="Arial"/>
                <w:sz w:val="18"/>
                <w:lang w:val="es-MX"/>
              </w:rPr>
            </w:pPr>
            <w:r w:rsidRPr="00CF0F96">
              <w:rPr>
                <w:rFonts w:cs="Arial"/>
                <w:sz w:val="18"/>
                <w:lang w:val="es-MX"/>
              </w:rPr>
              <w:t>5.</w:t>
            </w:r>
            <w:r w:rsidRPr="00CF0F96" w:rsidDel="000A4C34">
              <w:rPr>
                <w:rFonts w:cs="Arial"/>
                <w:sz w:val="18"/>
                <w:lang w:val="es-MX"/>
              </w:rPr>
              <w:t xml:space="preserve"> </w:t>
            </w:r>
            <w:r w:rsidRPr="00CF0F96">
              <w:rPr>
                <w:rFonts w:cs="Arial"/>
                <w:sz w:val="18"/>
                <w:lang w:val="es-MX"/>
              </w:rPr>
              <w:t>Requiere un enfoque diferenciado de gestión de riesgos para los hábitats basado en su sensibilidad y valores. En él se abordan todos los hábitats, clasificados como “hábitats modificados”, “hábitats naturales” y “hábitats críticos”, junto con “áreas valiosas para la biodiversidad legalmente protegidas y reconocidas a nivel internacional y regional” que pueden abarcar hábitats de cualquiera de estas categorías.</w:t>
            </w:r>
          </w:p>
          <w:p w14:paraId="3CB34EEA" w14:textId="77777777" w:rsidR="006A3DBC" w:rsidRPr="00CF0F96" w:rsidRDefault="006A3DBC" w:rsidP="005F4A92">
            <w:pPr>
              <w:ind w:left="75"/>
              <w:jc w:val="both"/>
              <w:rPr>
                <w:rFonts w:cs="Arial"/>
                <w:sz w:val="18"/>
                <w:lang w:val="es-MX"/>
              </w:rPr>
            </w:pPr>
            <w:r w:rsidRPr="00CF0F96">
              <w:rPr>
                <w:rFonts w:cs="Arial"/>
                <w:sz w:val="18"/>
                <w:szCs w:val="18"/>
                <w:lang w:val="es-MX"/>
              </w:rPr>
              <w:t xml:space="preserve">6.  </w:t>
            </w:r>
            <w:r w:rsidRPr="00CF0F96">
              <w:rPr>
                <w:rFonts w:cs="Arial"/>
                <w:sz w:val="18"/>
                <w:lang w:val="es-MX"/>
              </w:rPr>
              <w:t xml:space="preserve">Para la protección y conservación de los hábitats y la biodiversidad que estos sustentan, la jerarquía de mitigación incluye compensaciones por la pérdida de biodiversidad. Estas serán consideradas como último recurso solo si, después de que se </w:t>
            </w:r>
            <w:r w:rsidRPr="00CF0F96">
              <w:rPr>
                <w:rFonts w:cs="Arial"/>
                <w:sz w:val="18"/>
                <w:lang w:val="es-MX"/>
              </w:rPr>
              <w:lastRenderedPageBreak/>
              <w:t xml:space="preserve">hayan aplicado todas las medidas técnica y financieramente posibles para evitar y minimizar los impactos, y realizar tareas de restauración, aún se observan impactos residuales adversos significativos. </w:t>
            </w:r>
          </w:p>
          <w:p w14:paraId="45E72CEA" w14:textId="77777777" w:rsidR="006A3DBC" w:rsidRPr="00CF0F96" w:rsidRDefault="006A3DBC" w:rsidP="005F4A92">
            <w:pPr>
              <w:ind w:left="75"/>
              <w:jc w:val="both"/>
              <w:rPr>
                <w:rFonts w:cs="Arial"/>
                <w:sz w:val="18"/>
                <w:lang w:val="es-MX"/>
              </w:rPr>
            </w:pPr>
            <w:r w:rsidRPr="00CF0F96">
              <w:rPr>
                <w:rFonts w:cs="Arial"/>
                <w:sz w:val="18"/>
                <w:lang w:val="es-MX"/>
              </w:rPr>
              <w:t>7. Se diseñará e implementará una compensación por la pérdida de biodiversidad para lograr resultados de conservación medibles, adicionales y de largo plazo7 de los cuales pueda esperarse razonablemente que no generen ninguna pérdida neta8, si no, preferentemente, una ganancia neta9 en términos de biodiversidad. En el caso de que se utilice una compensación como mitigación de impactos residuales adversos en alguna área de un hábitat crítico, se exigirá una ganancia neta. El diseño de una compensación por la pérdida de biodiversidad deberá adherir al principio “comparable o mejor” y se realizará de conformidad con las BPII.</w:t>
            </w:r>
            <w:r w:rsidRPr="00CF0F96" w:rsidDel="000D30EE">
              <w:rPr>
                <w:rFonts w:cs="Arial"/>
                <w:sz w:val="18"/>
                <w:lang w:val="es-MX"/>
              </w:rPr>
              <w:t xml:space="preserve"> </w:t>
            </w:r>
          </w:p>
        </w:tc>
        <w:tc>
          <w:tcPr>
            <w:tcW w:w="4252" w:type="dxa"/>
            <w:vAlign w:val="center"/>
          </w:tcPr>
          <w:p w14:paraId="50B2F8E7" w14:textId="77777777" w:rsidR="006A3DBC" w:rsidRPr="00CF0F96" w:rsidRDefault="006A3DBC" w:rsidP="005F4A92">
            <w:pPr>
              <w:jc w:val="both"/>
              <w:rPr>
                <w:rFonts w:cs="Arial"/>
                <w:sz w:val="18"/>
                <w:szCs w:val="18"/>
                <w:lang w:val="es-HN"/>
              </w:rPr>
            </w:pPr>
            <w:r w:rsidRPr="00CF0F96">
              <w:rPr>
                <w:rFonts w:cs="Arial"/>
                <w:sz w:val="18"/>
                <w:szCs w:val="18"/>
                <w:lang w:val="es-HN"/>
              </w:rPr>
              <w:lastRenderedPageBreak/>
              <w:t>El Proyecto COMRURAL III, limita la ejecución de proyectos a hábitats modificados sin valores significativos de biodiversidad. En el caso que un PdN considere actividades dentro de un área protegida, las mismas solo podrán financiarse si el área protegida cuenta con un Plan de Manejo y si dicho Plan de Manejo expresa que la actividad es compatible con sus objetivos de conservación, la categoría de manejo, y si existe la presencia institucional adecuada para supervisar dicha actividad.</w:t>
            </w:r>
          </w:p>
          <w:p w14:paraId="7D03A555" w14:textId="279EA50A" w:rsidR="006A3DBC" w:rsidRPr="00CF0F96" w:rsidRDefault="006A3DBC" w:rsidP="005F4A92">
            <w:pPr>
              <w:jc w:val="both"/>
              <w:rPr>
                <w:rFonts w:cs="Arial"/>
                <w:sz w:val="18"/>
                <w:lang w:val="es-MX"/>
              </w:rPr>
            </w:pPr>
            <w:r w:rsidRPr="00CF0F96">
              <w:rPr>
                <w:rFonts w:cs="Arial"/>
                <w:sz w:val="18"/>
                <w:lang w:val="es-HN"/>
              </w:rPr>
              <w:t xml:space="preserve">El Proyecto excluye actividades en hábitats naturales y críticos. Para la identificación de los hábitats, se aplicará la Ficha de Evaluación Ambiental y Social Preliminar para Determinar la Viabilidad </w:t>
            </w:r>
            <w:r w:rsidR="00E11023" w:rsidRPr="00CF0F96">
              <w:rPr>
                <w:rFonts w:cs="Arial"/>
                <w:sz w:val="18"/>
                <w:lang w:val="es-HN"/>
              </w:rPr>
              <w:t>Socioambiental</w:t>
            </w:r>
            <w:r w:rsidRPr="00CF0F96">
              <w:rPr>
                <w:rFonts w:cs="Arial"/>
                <w:sz w:val="18"/>
                <w:lang w:val="es-HN"/>
              </w:rPr>
              <w:t xml:space="preserve"> de Planes de Negocios </w:t>
            </w:r>
            <w:r w:rsidRPr="00CF0F96">
              <w:rPr>
                <w:rFonts w:cs="Arial"/>
                <w:sz w:val="18"/>
                <w:szCs w:val="18"/>
                <w:lang w:val="es-HN"/>
              </w:rPr>
              <w:t xml:space="preserve">(ver sección </w:t>
            </w:r>
            <w:r w:rsidRPr="00CF0F96">
              <w:rPr>
                <w:rFonts w:cs="Arial"/>
                <w:sz w:val="18"/>
                <w:szCs w:val="18"/>
                <w:lang w:val="es-HN"/>
              </w:rPr>
              <w:fldChar w:fldCharType="begin"/>
            </w:r>
            <w:r w:rsidRPr="00CF0F96">
              <w:rPr>
                <w:rFonts w:cs="Arial"/>
                <w:sz w:val="18"/>
                <w:szCs w:val="18"/>
                <w:lang w:val="es-HN"/>
              </w:rPr>
              <w:instrText xml:space="preserve"> REF _Ref67242636 \n \h  \* MERGEFORMAT </w:instrText>
            </w:r>
            <w:r w:rsidRPr="00CF0F96">
              <w:rPr>
                <w:rFonts w:cs="Arial"/>
                <w:sz w:val="18"/>
                <w:szCs w:val="18"/>
                <w:lang w:val="es-HN"/>
              </w:rPr>
            </w:r>
            <w:r w:rsidRPr="00CF0F96">
              <w:rPr>
                <w:rFonts w:cs="Arial"/>
                <w:sz w:val="18"/>
                <w:szCs w:val="18"/>
                <w:lang w:val="es-HN"/>
              </w:rPr>
              <w:fldChar w:fldCharType="separate"/>
            </w:r>
            <w:r w:rsidR="00BF4BCA" w:rsidRPr="00CF0F96">
              <w:rPr>
                <w:rFonts w:cs="Arial"/>
                <w:b/>
                <w:bCs/>
                <w:sz w:val="18"/>
                <w:szCs w:val="18"/>
                <w:lang w:val="es-MX"/>
              </w:rPr>
              <w:t>¡Error! No se encuentra el origen de la referencia.</w:t>
            </w:r>
            <w:r w:rsidRPr="00CF0F96">
              <w:rPr>
                <w:rFonts w:cs="Arial"/>
                <w:sz w:val="18"/>
                <w:szCs w:val="18"/>
                <w:lang w:val="es-HN"/>
              </w:rPr>
              <w:fldChar w:fldCharType="end"/>
            </w:r>
            <w:r w:rsidRPr="00CF0F96">
              <w:rPr>
                <w:rFonts w:cs="Arial"/>
                <w:sz w:val="18"/>
                <w:szCs w:val="18"/>
                <w:lang w:val="es-HN"/>
              </w:rPr>
              <w:t>)</w:t>
            </w:r>
            <w:r w:rsidRPr="00CF0F96">
              <w:rPr>
                <w:rFonts w:cs="Arial"/>
                <w:sz w:val="18"/>
                <w:lang w:val="es-HN"/>
              </w:rPr>
              <w:t>, que incluye la</w:t>
            </w:r>
            <w:r w:rsidRPr="00CF0F96">
              <w:rPr>
                <w:rFonts w:cs="Arial"/>
                <w:sz w:val="18"/>
                <w:lang w:val="es-MX"/>
              </w:rPr>
              <w:t xml:space="preserve"> clasificación de los hábitats, como “hábitats modificados”, “hábitats naturales” y “hábitats críticos”, junto con “áreas valiosas para la biodiversidad legalmente protegidas y reconocidas a nivel internacional y </w:t>
            </w:r>
            <w:r w:rsidRPr="00CF0F96">
              <w:rPr>
                <w:rFonts w:cs="Arial"/>
                <w:sz w:val="18"/>
                <w:lang w:val="es-MX"/>
              </w:rPr>
              <w:lastRenderedPageBreak/>
              <w:t xml:space="preserve">regional” que pueden abarcar hábitats de cualquiera de estas categorías. </w:t>
            </w:r>
          </w:p>
          <w:p w14:paraId="0FEAB1E8" w14:textId="77777777" w:rsidR="006A3DBC" w:rsidRPr="00CF0F96" w:rsidRDefault="006A3DBC" w:rsidP="005F4A92">
            <w:pPr>
              <w:jc w:val="both"/>
              <w:rPr>
                <w:rFonts w:cs="Arial"/>
                <w:sz w:val="18"/>
                <w:lang w:val="es-MX"/>
              </w:rPr>
            </w:pPr>
          </w:p>
          <w:p w14:paraId="39B7C6DB" w14:textId="77777777" w:rsidR="006A3DBC" w:rsidRPr="00CF0F96" w:rsidRDefault="006A3DBC" w:rsidP="005F4A92">
            <w:pPr>
              <w:jc w:val="both"/>
              <w:rPr>
                <w:rFonts w:cs="Arial"/>
                <w:sz w:val="18"/>
              </w:rPr>
            </w:pPr>
          </w:p>
        </w:tc>
        <w:tc>
          <w:tcPr>
            <w:tcW w:w="3969" w:type="dxa"/>
            <w:vAlign w:val="center"/>
          </w:tcPr>
          <w:p w14:paraId="5A549487" w14:textId="77777777" w:rsidR="006A3DBC" w:rsidRPr="00CF0F96" w:rsidRDefault="006A3DBC" w:rsidP="005F4A92">
            <w:pPr>
              <w:jc w:val="both"/>
              <w:rPr>
                <w:rFonts w:cs="Arial"/>
                <w:sz w:val="18"/>
                <w:lang w:val="es-HN"/>
              </w:rPr>
            </w:pPr>
            <w:r w:rsidRPr="00CF0F96">
              <w:rPr>
                <w:rFonts w:cs="Arial"/>
                <w:sz w:val="18"/>
                <w:lang w:val="es-HN"/>
              </w:rPr>
              <w:lastRenderedPageBreak/>
              <w:t xml:space="preserve">La normativa nacional tiene correspondencia con lo requerido por el EAS 6, en vista que se cuenta con normativa para la conservación de los recursos naturales, con planes de manejo para áreas protegidas que regulan las actividades que se pueden desarrollar dentro de las mismas y son aprobados por el ICF.   </w:t>
            </w:r>
          </w:p>
          <w:p w14:paraId="79D2D821" w14:textId="77777777" w:rsidR="006A3DBC" w:rsidRPr="00CF0F96" w:rsidRDefault="006A3DBC" w:rsidP="005F4A92">
            <w:pPr>
              <w:jc w:val="both"/>
              <w:rPr>
                <w:rFonts w:cs="Arial"/>
                <w:sz w:val="18"/>
                <w:lang w:val="es-HN"/>
              </w:rPr>
            </w:pPr>
            <w:r w:rsidRPr="00CF0F96">
              <w:rPr>
                <w:rFonts w:cs="Arial"/>
                <w:sz w:val="18"/>
                <w:lang w:val="es-HN"/>
              </w:rPr>
              <w:t xml:space="preserve">Por otra parte, Honduras es signatario de convenios internacionales para el uso, la protección y conservación de la biodiversidad, así como el uso y gestión de los recursos naturales vivos. </w:t>
            </w:r>
          </w:p>
          <w:p w14:paraId="28BA6912" w14:textId="77777777" w:rsidR="006A3DBC" w:rsidRPr="00CF0F96" w:rsidRDefault="006A3DBC" w:rsidP="005F4A92">
            <w:pPr>
              <w:rPr>
                <w:rFonts w:cs="Arial"/>
                <w:sz w:val="18"/>
              </w:rPr>
            </w:pPr>
            <w:r w:rsidRPr="00CF0F96">
              <w:rPr>
                <w:rFonts w:cs="Arial"/>
                <w:sz w:val="18"/>
              </w:rPr>
              <w:t>Instrumentos normativos correspondientes:</w:t>
            </w:r>
          </w:p>
          <w:p w14:paraId="125D8D6A" w14:textId="77777777" w:rsidR="006A3DBC" w:rsidRPr="00CF0F96" w:rsidRDefault="006A3DBC" w:rsidP="005F4A92">
            <w:pPr>
              <w:pStyle w:val="Prrafodelista"/>
              <w:numPr>
                <w:ilvl w:val="0"/>
                <w:numId w:val="27"/>
              </w:numPr>
              <w:ind w:firstLine="0"/>
              <w:jc w:val="both"/>
              <w:rPr>
                <w:rFonts w:cs="Arial"/>
                <w:sz w:val="18"/>
                <w:szCs w:val="18"/>
              </w:rPr>
            </w:pPr>
            <w:r w:rsidRPr="00CF0F96">
              <w:rPr>
                <w:rFonts w:cs="Arial"/>
                <w:sz w:val="18"/>
                <w:szCs w:val="18"/>
                <w:lang w:val="es-HN"/>
              </w:rPr>
              <w:t xml:space="preserve">Convenio sobre La Diversidad Biológica (CDB) de las Naciones Unidas. </w:t>
            </w:r>
            <w:r w:rsidRPr="00CF0F96">
              <w:rPr>
                <w:rFonts w:cs="Arial"/>
                <w:sz w:val="18"/>
                <w:szCs w:val="18"/>
              </w:rPr>
              <w:t xml:space="preserve">Honduras suscribió el CDB desde el 13 de junio de 1992, y lo ratificó el 21 de febrero de 1995, mediante el Decreto </w:t>
            </w:r>
            <w:r w:rsidRPr="00CF0F96">
              <w:rPr>
                <w:rFonts w:cs="Arial"/>
                <w:sz w:val="18"/>
                <w:szCs w:val="18"/>
                <w:lang w:val="es-HN"/>
              </w:rPr>
              <w:t>Legislativo</w:t>
            </w:r>
            <w:r w:rsidRPr="00CF0F96">
              <w:rPr>
                <w:rFonts w:cs="Arial"/>
                <w:sz w:val="18"/>
                <w:szCs w:val="18"/>
              </w:rPr>
              <w:t xml:space="preserve"> N° 30-95, lo que compromete a nuestro país cumplir los objetivos ligados al convenio: “la conservación de la biodiversidad, el uso sostenible de sus </w:t>
            </w:r>
            <w:r w:rsidRPr="00CF0F96">
              <w:rPr>
                <w:rFonts w:cs="Arial"/>
                <w:sz w:val="18"/>
                <w:szCs w:val="18"/>
              </w:rPr>
              <w:lastRenderedPageBreak/>
              <w:t>componentes y la participación justa y equitativa de los beneficios resultantes de la utilización de los recursos genéticos”.</w:t>
            </w:r>
          </w:p>
          <w:p w14:paraId="2A06E5FD" w14:textId="77777777" w:rsidR="006A3DBC" w:rsidRPr="00CF0F96" w:rsidRDefault="006A3DBC" w:rsidP="005F4A92">
            <w:pPr>
              <w:pStyle w:val="Prrafodelista"/>
              <w:ind w:left="360"/>
              <w:jc w:val="both"/>
              <w:rPr>
                <w:rFonts w:cs="Arial"/>
                <w:sz w:val="18"/>
                <w:szCs w:val="18"/>
              </w:rPr>
            </w:pPr>
            <w:r w:rsidRPr="00CF0F96">
              <w:rPr>
                <w:rFonts w:cs="Arial"/>
                <w:sz w:val="18"/>
                <w:szCs w:val="18"/>
              </w:rPr>
              <w:t>En el marco de los compromisos adquiridos por Honduras al firmar y ratificar el CDB, producto de la Cumbre de la Tierra celebrada en Río en 1992, específicamente en lo que se refiere al Artículo 6 de este Convenio, se elabora la Estrategia Nacional de Biodiversidad de Honduras 2018-2022, como el marco integral orientador, a largo plazo, de políticas para la conservación a través del uso sostenible de los recursos biológicos, orientados al desarrollo y a la reducción de la pobreza.</w:t>
            </w:r>
          </w:p>
          <w:p w14:paraId="65B1E384" w14:textId="77777777" w:rsidR="006A3DBC" w:rsidRPr="00CF0F96" w:rsidRDefault="006A3DBC" w:rsidP="005F4A92">
            <w:pPr>
              <w:pStyle w:val="Prrafodelista"/>
              <w:numPr>
                <w:ilvl w:val="0"/>
                <w:numId w:val="27"/>
              </w:numPr>
              <w:ind w:firstLine="0"/>
              <w:rPr>
                <w:rFonts w:cs="Arial"/>
                <w:sz w:val="18"/>
                <w:lang w:val="es-HN"/>
              </w:rPr>
            </w:pPr>
            <w:r w:rsidRPr="00CF0F96">
              <w:rPr>
                <w:rFonts w:cs="Arial"/>
                <w:sz w:val="18"/>
                <w:lang w:val="es-HN"/>
              </w:rPr>
              <w:t xml:space="preserve">CITES. </w:t>
            </w:r>
          </w:p>
          <w:p w14:paraId="7472192A" w14:textId="77777777" w:rsidR="006A3DBC" w:rsidRPr="00CF0F96" w:rsidRDefault="006A3DBC" w:rsidP="005F4A92">
            <w:pPr>
              <w:pStyle w:val="Prrafodelista"/>
              <w:numPr>
                <w:ilvl w:val="0"/>
                <w:numId w:val="27"/>
              </w:numPr>
              <w:ind w:firstLine="0"/>
              <w:jc w:val="both"/>
              <w:rPr>
                <w:rFonts w:cs="Arial"/>
                <w:sz w:val="18"/>
                <w:lang w:val="es-HN"/>
              </w:rPr>
            </w:pPr>
            <w:r w:rsidRPr="00CF0F96">
              <w:rPr>
                <w:rFonts w:cs="Arial"/>
                <w:sz w:val="18"/>
                <w:lang w:val="es-HN"/>
              </w:rPr>
              <w:t>Reglamento General de la Ley Forestal, Áreas Protegidas y Vida Silvestre.</w:t>
            </w:r>
          </w:p>
          <w:p w14:paraId="583C54C5" w14:textId="77777777" w:rsidR="006A3DBC" w:rsidRPr="00CF0F96" w:rsidRDefault="006A3DBC" w:rsidP="005F4A92">
            <w:pPr>
              <w:pStyle w:val="Prrafodelista"/>
              <w:numPr>
                <w:ilvl w:val="0"/>
                <w:numId w:val="27"/>
              </w:numPr>
              <w:ind w:firstLine="0"/>
              <w:jc w:val="both"/>
              <w:rPr>
                <w:rFonts w:cs="Arial"/>
                <w:sz w:val="18"/>
                <w:lang w:val="es-HN"/>
              </w:rPr>
            </w:pPr>
            <w:r w:rsidRPr="00CF0F96">
              <w:rPr>
                <w:rFonts w:cs="Arial"/>
                <w:sz w:val="18"/>
                <w:lang w:val="es-HN"/>
              </w:rPr>
              <w:t>Declaración de Áreas Protegidas y Bosques Nublados.</w:t>
            </w:r>
          </w:p>
          <w:p w14:paraId="1D8CF4CB" w14:textId="77777777" w:rsidR="006A3DBC" w:rsidRPr="00CF0F96" w:rsidRDefault="006A3DBC" w:rsidP="005F4A92">
            <w:pPr>
              <w:pStyle w:val="Prrafodelista"/>
              <w:numPr>
                <w:ilvl w:val="0"/>
                <w:numId w:val="27"/>
              </w:numPr>
              <w:ind w:firstLine="0"/>
              <w:jc w:val="both"/>
              <w:rPr>
                <w:rFonts w:cs="Arial"/>
                <w:sz w:val="18"/>
                <w:lang w:val="es-HN"/>
              </w:rPr>
            </w:pPr>
            <w:r w:rsidRPr="00CF0F96">
              <w:rPr>
                <w:rFonts w:cs="Arial"/>
                <w:sz w:val="18"/>
                <w:lang w:val="es-HN"/>
              </w:rPr>
              <w:t xml:space="preserve">Planes de manejo de las Áreas Protegidas Aprobados por el ICF. </w:t>
            </w:r>
          </w:p>
          <w:p w14:paraId="4397C073" w14:textId="77777777" w:rsidR="006A3DBC" w:rsidRPr="00CF0F96" w:rsidRDefault="006A3DBC" w:rsidP="005F4A92">
            <w:pPr>
              <w:pStyle w:val="Prrafodelista"/>
              <w:ind w:left="360"/>
              <w:rPr>
                <w:rFonts w:cs="Arial"/>
                <w:sz w:val="18"/>
                <w:lang w:val="es-HN"/>
              </w:rPr>
            </w:pPr>
            <w:r w:rsidRPr="00CF0F96">
              <w:rPr>
                <w:rFonts w:cs="Arial"/>
                <w:sz w:val="18"/>
                <w:lang w:val="es-HN"/>
              </w:rPr>
              <w:t xml:space="preserve">Reglamento de Corredores Biológicos. </w:t>
            </w:r>
          </w:p>
          <w:p w14:paraId="2FBED82A" w14:textId="77777777" w:rsidR="006A3DBC" w:rsidRPr="00CF0F96" w:rsidRDefault="006A3DBC" w:rsidP="005F4A92">
            <w:pPr>
              <w:pStyle w:val="Prrafodelista"/>
              <w:numPr>
                <w:ilvl w:val="0"/>
                <w:numId w:val="27"/>
              </w:numPr>
              <w:ind w:firstLine="0"/>
              <w:jc w:val="both"/>
              <w:rPr>
                <w:rFonts w:cs="Arial"/>
                <w:sz w:val="18"/>
                <w:lang w:val="es-HN"/>
              </w:rPr>
            </w:pPr>
            <w:r w:rsidRPr="00CF0F96">
              <w:rPr>
                <w:rFonts w:cs="Arial"/>
                <w:sz w:val="18"/>
                <w:lang w:val="es-HN"/>
              </w:rPr>
              <w:t>Los PGAS en los PdNs deben definir la categoría de hábitat en la cual habrá actividades e identificar como se aplicará la jerarquía de mitigación.</w:t>
            </w:r>
          </w:p>
          <w:p w14:paraId="47779BAC" w14:textId="77777777" w:rsidR="006A3DBC" w:rsidRPr="00CF0F96" w:rsidRDefault="006A3DBC" w:rsidP="005F4A92">
            <w:pPr>
              <w:pStyle w:val="Prrafodelista"/>
              <w:ind w:left="360"/>
              <w:jc w:val="both"/>
              <w:rPr>
                <w:rFonts w:cs="Arial"/>
                <w:sz w:val="18"/>
                <w:lang w:val="es-HN"/>
              </w:rPr>
            </w:pPr>
          </w:p>
        </w:tc>
      </w:tr>
      <w:bookmarkEnd w:id="187"/>
      <w:tr w:rsidR="00CF0F96" w:rsidRPr="00CF0F96" w14:paraId="7812940A" w14:textId="77777777" w:rsidTr="37B44ACB">
        <w:tc>
          <w:tcPr>
            <w:tcW w:w="1702" w:type="dxa"/>
            <w:vAlign w:val="center"/>
          </w:tcPr>
          <w:p w14:paraId="45277E95" w14:textId="77777777" w:rsidR="006A3DBC" w:rsidRPr="00CF0F96" w:rsidRDefault="006A3DBC" w:rsidP="001A6DAE">
            <w:pPr>
              <w:ind w:left="119"/>
              <w:jc w:val="both"/>
              <w:rPr>
                <w:rFonts w:cs="Arial"/>
                <w:b/>
                <w:sz w:val="18"/>
              </w:rPr>
            </w:pPr>
            <w:r w:rsidRPr="00CF0F96">
              <w:rPr>
                <w:rFonts w:cs="Arial"/>
                <w:b/>
                <w:sz w:val="18"/>
              </w:rPr>
              <w:lastRenderedPageBreak/>
              <w:t>EAS 7 Pueblos Indígenas/Comunidades Locales Tradicionales Históricamente Desatendidas de África Subsahariana</w:t>
            </w:r>
          </w:p>
          <w:p w14:paraId="172FE13D" w14:textId="77777777" w:rsidR="006A3DBC" w:rsidRPr="00CF0F96" w:rsidRDefault="006A3DBC" w:rsidP="005F4A92">
            <w:pPr>
              <w:jc w:val="center"/>
              <w:rPr>
                <w:rFonts w:cs="Arial"/>
                <w:b/>
                <w:sz w:val="18"/>
                <w:lang w:val="es-MX"/>
              </w:rPr>
            </w:pPr>
          </w:p>
        </w:tc>
        <w:tc>
          <w:tcPr>
            <w:tcW w:w="4395" w:type="dxa"/>
            <w:vAlign w:val="center"/>
          </w:tcPr>
          <w:p w14:paraId="22E0A319" w14:textId="77777777" w:rsidR="006A3DBC" w:rsidRPr="00CF0F96" w:rsidRDefault="006A3DBC" w:rsidP="005F4A92">
            <w:pPr>
              <w:pStyle w:val="Prrafodelista"/>
              <w:spacing w:after="60"/>
              <w:ind w:left="115"/>
              <w:contextualSpacing w:val="0"/>
              <w:jc w:val="both"/>
              <w:rPr>
                <w:rFonts w:cs="Arial"/>
                <w:sz w:val="18"/>
                <w:lang w:val="es-MX"/>
              </w:rPr>
            </w:pPr>
            <w:r w:rsidRPr="00CF0F96">
              <w:rPr>
                <w:rFonts w:cs="Arial"/>
                <w:sz w:val="18"/>
              </w:rPr>
              <w:t>Reconocimiento de Pueblos Indígenas según criterios:</w:t>
            </w:r>
          </w:p>
          <w:p w14:paraId="1EDDC9EE" w14:textId="77777777" w:rsidR="006A3DBC" w:rsidRPr="00CF0F96" w:rsidRDefault="006A3DBC" w:rsidP="005F4A92">
            <w:pPr>
              <w:pStyle w:val="Prrafodelista"/>
              <w:spacing w:after="60"/>
              <w:ind w:left="115"/>
              <w:contextualSpacing w:val="0"/>
              <w:jc w:val="both"/>
              <w:rPr>
                <w:rFonts w:cs="Arial"/>
                <w:sz w:val="18"/>
                <w:lang w:val="es-MX"/>
              </w:rPr>
            </w:pPr>
            <w:r w:rsidRPr="00CF0F96">
              <w:rPr>
                <w:rFonts w:cs="Arial"/>
                <w:sz w:val="18"/>
              </w:rPr>
              <w:t xml:space="preserve">a) autoidentificación como miembros de un grupo social y cultural indígena bien diferenciado, y reconocimiento de esta identidad por parte de otros grupos; </w:t>
            </w:r>
          </w:p>
          <w:p w14:paraId="3D986CC1" w14:textId="77777777" w:rsidR="006A3DBC" w:rsidRPr="00CF0F96" w:rsidRDefault="006A3DBC" w:rsidP="005F4A92">
            <w:pPr>
              <w:pStyle w:val="Prrafodelista"/>
              <w:spacing w:after="60"/>
              <w:ind w:left="115"/>
              <w:contextualSpacing w:val="0"/>
              <w:jc w:val="both"/>
              <w:rPr>
                <w:rFonts w:cs="Arial"/>
                <w:sz w:val="18"/>
                <w:lang w:val="es-MX"/>
              </w:rPr>
            </w:pPr>
            <w:r w:rsidRPr="00CF0F96">
              <w:rPr>
                <w:rFonts w:cs="Arial"/>
                <w:sz w:val="18"/>
              </w:rPr>
              <w:t>b) apego colectivo a hábitats geográficamente diferenciados, territorios ancestrales o áreas de uso u ocupación estacional, así como a los recursos naturales de esas áreas;</w:t>
            </w:r>
          </w:p>
          <w:p w14:paraId="1B90F1EC" w14:textId="77777777" w:rsidR="006A3DBC" w:rsidRPr="00CF0F96" w:rsidRDefault="006A3DBC" w:rsidP="005F4A92">
            <w:pPr>
              <w:pStyle w:val="Prrafodelista"/>
              <w:spacing w:after="60"/>
              <w:ind w:left="115"/>
              <w:contextualSpacing w:val="0"/>
              <w:jc w:val="both"/>
              <w:rPr>
                <w:rFonts w:cs="Arial"/>
                <w:sz w:val="18"/>
                <w:lang w:val="es-MX"/>
              </w:rPr>
            </w:pPr>
            <w:r w:rsidRPr="00CF0F96">
              <w:rPr>
                <w:rFonts w:cs="Arial"/>
                <w:sz w:val="18"/>
              </w:rPr>
              <w:t xml:space="preserve">c) instituciones tradicionales culturales, económicas, sociales o políticas que están bien diferenciadas y son independientes de las de la sociedad o cultura predominante; </w:t>
            </w:r>
          </w:p>
          <w:p w14:paraId="229D9AFE" w14:textId="77777777" w:rsidR="006A3DBC" w:rsidRPr="00CF0F96" w:rsidRDefault="006A3DBC" w:rsidP="005F4A92">
            <w:pPr>
              <w:pStyle w:val="Prrafodelista"/>
              <w:spacing w:after="60"/>
              <w:ind w:left="115"/>
              <w:contextualSpacing w:val="0"/>
              <w:jc w:val="both"/>
              <w:rPr>
                <w:rFonts w:cs="Arial"/>
                <w:sz w:val="18"/>
                <w:lang w:val="es-MX"/>
              </w:rPr>
            </w:pPr>
            <w:r w:rsidRPr="00CF0F96">
              <w:rPr>
                <w:rFonts w:cs="Arial"/>
                <w:sz w:val="18"/>
              </w:rPr>
              <w:lastRenderedPageBreak/>
              <w:t>d) una lengua o dialecto distintivos, a menudo diferente del idioma o los idiomas oficiales del país o la región en la que residen.</w:t>
            </w:r>
          </w:p>
          <w:p w14:paraId="134FB4DA" w14:textId="77777777" w:rsidR="006A3DBC" w:rsidRPr="00CF0F96" w:rsidRDefault="006A3DBC" w:rsidP="005F4A92">
            <w:pPr>
              <w:spacing w:after="60"/>
              <w:ind w:left="66"/>
              <w:jc w:val="both"/>
              <w:rPr>
                <w:rFonts w:cs="Arial"/>
                <w:sz w:val="18"/>
              </w:rPr>
            </w:pPr>
            <w:r w:rsidRPr="00CF0F96">
              <w:rPr>
                <w:rFonts w:cs="Arial"/>
                <w:sz w:val="18"/>
              </w:rPr>
              <w:t xml:space="preserve">Consentimiento libre, previo e informado (CLPI) de los pueblos indígenas que se verán afectados cuando el Proyecto: </w:t>
            </w:r>
          </w:p>
          <w:p w14:paraId="73D9D9F9" w14:textId="77777777" w:rsidR="006A3DBC" w:rsidRPr="00CF0F96" w:rsidRDefault="006A3DBC" w:rsidP="005F4A92">
            <w:pPr>
              <w:spacing w:after="60"/>
              <w:ind w:left="66"/>
              <w:jc w:val="both"/>
              <w:rPr>
                <w:rFonts w:cs="Arial"/>
                <w:sz w:val="18"/>
              </w:rPr>
            </w:pPr>
            <w:r w:rsidRPr="00CF0F96">
              <w:rPr>
                <w:rFonts w:cs="Arial"/>
                <w:sz w:val="18"/>
              </w:rPr>
              <w:t xml:space="preserve">(i) tenga impactos adversos sobre la tierra y sobre los recursos naturales sujetos a propiedad tradicional o al uso y ocupación consuetudinarios; </w:t>
            </w:r>
          </w:p>
          <w:p w14:paraId="078C09F1" w14:textId="77777777" w:rsidR="006A3DBC" w:rsidRPr="00CF0F96" w:rsidRDefault="006A3DBC" w:rsidP="005F4A92">
            <w:pPr>
              <w:spacing w:after="60"/>
              <w:ind w:left="66"/>
              <w:jc w:val="both"/>
              <w:rPr>
                <w:rFonts w:cs="Arial"/>
                <w:sz w:val="18"/>
              </w:rPr>
            </w:pPr>
            <w:r w:rsidRPr="00CF0F96">
              <w:rPr>
                <w:rFonts w:cs="Arial"/>
                <w:sz w:val="18"/>
              </w:rPr>
              <w:t xml:space="preserve">(ii) cause la reubicación de pueblos indígenas de tierras y recursos naturales sujetos a propiedad tradicional o al uso y ocupación consuetudinarios, o </w:t>
            </w:r>
          </w:p>
          <w:p w14:paraId="226605FE" w14:textId="77777777" w:rsidR="006A3DBC" w:rsidRPr="00CF0F96" w:rsidRDefault="006A3DBC" w:rsidP="005F4A92">
            <w:pPr>
              <w:spacing w:after="60"/>
              <w:ind w:left="66"/>
              <w:jc w:val="both"/>
              <w:rPr>
                <w:rFonts w:cs="Arial"/>
                <w:sz w:val="18"/>
              </w:rPr>
            </w:pPr>
            <w:r w:rsidRPr="00CF0F96">
              <w:rPr>
                <w:rFonts w:cs="Arial"/>
                <w:sz w:val="18"/>
              </w:rPr>
              <w:t>(iii) tenga impactos significativos en el patrimonio cultural de los pueblos indígenas que sean relevantes para la identidad o los aspectos culturales, ceremoniales o espirituales de la vida de los pueblos indígenas.</w:t>
            </w:r>
          </w:p>
          <w:p w14:paraId="3F00B7E4" w14:textId="77777777" w:rsidR="006A3DBC" w:rsidRPr="00CF0F96" w:rsidRDefault="006A3DBC" w:rsidP="005F4A92">
            <w:pPr>
              <w:pStyle w:val="Prrafodelista"/>
              <w:numPr>
                <w:ilvl w:val="0"/>
                <w:numId w:val="25"/>
              </w:numPr>
              <w:ind w:left="75" w:firstLine="0"/>
              <w:jc w:val="both"/>
              <w:rPr>
                <w:rFonts w:cs="Arial"/>
                <w:sz w:val="18"/>
                <w:lang w:val="es-GT"/>
              </w:rPr>
            </w:pPr>
            <w:r w:rsidRPr="00CF0F96">
              <w:rPr>
                <w:rFonts w:cs="Arial"/>
                <w:sz w:val="18"/>
              </w:rPr>
              <w:t>Establecer un mecanismo de atención de quejas y reclamos para el proyecto, en concordancia con el EAS 10, que sea culturalmente adecuado y accesible para los pueblos indígenas.</w:t>
            </w:r>
          </w:p>
        </w:tc>
        <w:tc>
          <w:tcPr>
            <w:tcW w:w="4252" w:type="dxa"/>
            <w:vAlign w:val="center"/>
          </w:tcPr>
          <w:p w14:paraId="199B7EC5" w14:textId="699C89E4" w:rsidR="006A3DBC" w:rsidRPr="00CF0F96" w:rsidRDefault="3A7FC69B" w:rsidP="005F4A92">
            <w:pPr>
              <w:ind w:left="75"/>
              <w:jc w:val="both"/>
              <w:rPr>
                <w:rFonts w:cs="Arial"/>
                <w:sz w:val="18"/>
                <w:szCs w:val="18"/>
                <w:lang w:val="es-ES"/>
              </w:rPr>
            </w:pPr>
            <w:r w:rsidRPr="00CF0F96">
              <w:rPr>
                <w:rFonts w:cs="Arial"/>
                <w:sz w:val="18"/>
                <w:szCs w:val="18"/>
                <w:lang w:val="es-ES"/>
              </w:rPr>
              <w:lastRenderedPageBreak/>
              <w:t>Desde la expectativa y enfoque del Proyecto COMRURAL</w:t>
            </w:r>
            <w:r w:rsidR="263F523E" w:rsidRPr="00CF0F96">
              <w:rPr>
                <w:rFonts w:cs="Arial"/>
                <w:sz w:val="18"/>
                <w:szCs w:val="18"/>
                <w:lang w:val="es-ES"/>
              </w:rPr>
              <w:t>,</w:t>
            </w:r>
            <w:r w:rsidRPr="00CF0F96">
              <w:rPr>
                <w:rFonts w:cs="Arial"/>
                <w:sz w:val="18"/>
                <w:szCs w:val="18"/>
                <w:lang w:val="es-ES"/>
              </w:rPr>
              <w:t xml:space="preserve"> los pueblos indígenas y afrodescendientes juegan un papel clave en las iniciativas productivas apoyadas mediante los </w:t>
            </w:r>
            <w:r w:rsidR="263F523E" w:rsidRPr="00CF0F96">
              <w:rPr>
                <w:rFonts w:cs="Arial"/>
                <w:sz w:val="18"/>
                <w:szCs w:val="18"/>
                <w:lang w:val="es-ES"/>
              </w:rPr>
              <w:t>PdNs</w:t>
            </w:r>
            <w:r w:rsidRPr="00CF0F96">
              <w:rPr>
                <w:rFonts w:cs="Arial"/>
                <w:sz w:val="18"/>
                <w:szCs w:val="18"/>
                <w:lang w:val="es-ES"/>
              </w:rPr>
              <w:t>, de hecho, el 42% de los beneficiarios del proyecto son familias que se identifican con los pueblos indígenas Lencas y Chortís, resultado que responde a las características de la zona actual de cobertura y de ejecución de la fase I del COMRURAL, así como la ampliada con los fondos adicionales, en total 16 departamentos de Honduras.</w:t>
            </w:r>
          </w:p>
          <w:p w14:paraId="7D5B1657" w14:textId="2C189D30" w:rsidR="006A3DBC" w:rsidRPr="00CF0F96" w:rsidRDefault="006A3DBC" w:rsidP="005F4A92">
            <w:pPr>
              <w:tabs>
                <w:tab w:val="left" w:pos="2353"/>
                <w:tab w:val="left" w:pos="4697"/>
                <w:tab w:val="left" w:pos="7038"/>
              </w:tabs>
              <w:spacing w:after="60"/>
              <w:jc w:val="both"/>
              <w:rPr>
                <w:rFonts w:cs="Arial"/>
                <w:sz w:val="18"/>
              </w:rPr>
            </w:pPr>
            <w:r w:rsidRPr="00CF0F96">
              <w:rPr>
                <w:rFonts w:cs="Arial"/>
                <w:sz w:val="18"/>
              </w:rPr>
              <w:t xml:space="preserve">El EAS 7 presenta con mucha claridad los criterios para que un pueblo sea considerado Pueblo Indígena bajo el estándar. Estos criterios son: (i) </w:t>
            </w:r>
            <w:r w:rsidRPr="00CF0F96">
              <w:rPr>
                <w:rFonts w:cs="Arial"/>
                <w:sz w:val="18"/>
              </w:rPr>
              <w:lastRenderedPageBreak/>
              <w:t xml:space="preserve">Autoidentificación como miembros de un grupo social y cultural indígena bien diferenciado, y reconocimiento de esta identidad por parte de otros grupos; (ii) Apego colectivo a hábitats geográficamente diferenciados, territorios ancestrales o áreas de uso u ocupación estacional, así como a los recursos naturales de esas áreas; (iii) Instituciones tradicionales culturales, económicas, sociales o políticas que están bien diferenciadas y son independientes de las de la sociedad o cultura predominante; y (iv) Una lengua o dialecto distintivos, a menudo diferente del idioma o los idiomas oficiales del país o la región en la que residen. En el siguiente cuadro se presenta para los diferentes grupos étnicos que se encuentran en la zona de influencia del proyecto si cumplen o no con dichos criterios. En consecuencia, este MPPI aplica a todos los </w:t>
            </w:r>
            <w:r w:rsidR="00CE1DE7" w:rsidRPr="00CF0F96">
              <w:rPr>
                <w:rFonts w:cs="Arial"/>
                <w:sz w:val="18"/>
              </w:rPr>
              <w:t>p</w:t>
            </w:r>
            <w:r w:rsidRPr="00CF0F96">
              <w:rPr>
                <w:rFonts w:cs="Arial"/>
                <w:sz w:val="18"/>
              </w:rPr>
              <w:t xml:space="preserve">ueblos </w:t>
            </w:r>
            <w:r w:rsidR="00CE1DE7" w:rsidRPr="00CF0F96">
              <w:rPr>
                <w:rFonts w:cs="Arial"/>
                <w:sz w:val="18"/>
              </w:rPr>
              <w:t>i</w:t>
            </w:r>
            <w:r w:rsidRPr="00CF0F96">
              <w:rPr>
                <w:rFonts w:cs="Arial"/>
                <w:sz w:val="18"/>
              </w:rPr>
              <w:t>ndígenas que sí cumplen.</w:t>
            </w:r>
          </w:p>
          <w:p w14:paraId="2A751273" w14:textId="77777777" w:rsidR="006A3DBC" w:rsidRPr="00CF0F96" w:rsidRDefault="006A3DBC" w:rsidP="005F4A92">
            <w:pPr>
              <w:ind w:left="75"/>
              <w:rPr>
                <w:rFonts w:cs="Arial"/>
                <w:sz w:val="18"/>
              </w:rPr>
            </w:pPr>
          </w:p>
        </w:tc>
        <w:tc>
          <w:tcPr>
            <w:tcW w:w="3969" w:type="dxa"/>
            <w:vAlign w:val="center"/>
          </w:tcPr>
          <w:p w14:paraId="68518F94" w14:textId="77777777" w:rsidR="006A3DBC" w:rsidRPr="00CF0F96" w:rsidRDefault="006A3DBC" w:rsidP="005F4A92">
            <w:pPr>
              <w:spacing w:after="60"/>
              <w:jc w:val="both"/>
              <w:rPr>
                <w:rFonts w:cs="Arial"/>
                <w:sz w:val="18"/>
                <w:lang w:val="es-MX"/>
              </w:rPr>
            </w:pPr>
            <w:r w:rsidRPr="00CF0F96">
              <w:rPr>
                <w:rFonts w:cs="Arial"/>
                <w:sz w:val="18"/>
                <w:lang w:val="es-MX"/>
              </w:rPr>
              <w:lastRenderedPageBreak/>
              <w:t>A pesar de que la Constitución de la República de Honduras deja muy clara que el Estado reconoce y respeta la identidad étnica de las comunidades indígenas nacionales y que el gobierno de Honduras ha ratificados varios Convenios internacionales importantes que protegen los derechos de los Pueblos Indígenas en el país, se encuentran varios vacíos entre los elementos del EAS 7 del MAS del BM y la legislación nacional vigente. Por consiguiente, el Proyecto incluye un MPPI, el cual incluye provisiones para preparar de Planes de Pueblos Indígenas (PPIs), de modo acorde con el EAS 7.</w:t>
            </w:r>
          </w:p>
          <w:p w14:paraId="1BFE1DC0" w14:textId="2865535E" w:rsidR="006A3DBC" w:rsidRPr="00CF0F96" w:rsidRDefault="3A7FC69B" w:rsidP="37B44ACB">
            <w:pPr>
              <w:spacing w:after="60"/>
              <w:jc w:val="both"/>
              <w:rPr>
                <w:rFonts w:cs="Arial"/>
                <w:sz w:val="18"/>
                <w:szCs w:val="18"/>
                <w:lang w:val="es-MX"/>
              </w:rPr>
            </w:pPr>
            <w:r w:rsidRPr="00CF0F96">
              <w:rPr>
                <w:rFonts w:cs="Arial"/>
                <w:sz w:val="18"/>
                <w:szCs w:val="18"/>
                <w:lang w:val="es-MX"/>
              </w:rPr>
              <w:lastRenderedPageBreak/>
              <w:t xml:space="preserve">Haciendo un análisis del marco jurídico de Honduras aún no cuenta con una Ley de Pueblos Indígenas, pese a que ya existe un borrador de dicha Ley, de igual manera no existe legislación nacional sobre lo concerniente a la </w:t>
            </w:r>
            <w:r w:rsidR="485F225D" w:rsidRPr="00CF0F96">
              <w:rPr>
                <w:rFonts w:cs="Arial"/>
                <w:sz w:val="18"/>
                <w:szCs w:val="18"/>
                <w:lang w:val="es-MX"/>
              </w:rPr>
              <w:t>CLPI</w:t>
            </w:r>
            <w:r w:rsidRPr="00CF0F96">
              <w:rPr>
                <w:rFonts w:cs="Arial"/>
                <w:sz w:val="18"/>
                <w:szCs w:val="18"/>
                <w:lang w:val="es-MX"/>
              </w:rPr>
              <w:t xml:space="preserve">. </w:t>
            </w:r>
            <w:r w:rsidR="485F225D" w:rsidRPr="00CF0F96">
              <w:rPr>
                <w:rFonts w:cs="Arial"/>
                <w:sz w:val="18"/>
                <w:szCs w:val="18"/>
                <w:lang w:val="es-MX"/>
              </w:rPr>
              <w:t xml:space="preserve">La </w:t>
            </w:r>
            <w:r w:rsidRPr="00CF0F96">
              <w:rPr>
                <w:rFonts w:cs="Arial"/>
                <w:sz w:val="18"/>
                <w:szCs w:val="18"/>
                <w:lang w:val="es-MX"/>
              </w:rPr>
              <w:t>CLPI aplica para los Pueblos Indígenas de Honduras, conforme el EAS 7 del BM y que ha sido adoptado por COMRURAL</w:t>
            </w:r>
            <w:r w:rsidR="3FDE34F7" w:rsidRPr="00CF0F96">
              <w:rPr>
                <w:rFonts w:cs="Arial"/>
                <w:sz w:val="18"/>
                <w:szCs w:val="18"/>
                <w:lang w:val="es-MX"/>
              </w:rPr>
              <w:t xml:space="preserve"> III</w:t>
            </w:r>
            <w:r w:rsidRPr="00CF0F96">
              <w:rPr>
                <w:rFonts w:cs="Arial"/>
                <w:sz w:val="18"/>
                <w:szCs w:val="18"/>
                <w:lang w:val="es-MX"/>
              </w:rPr>
              <w:t>I.</w:t>
            </w:r>
          </w:p>
          <w:p w14:paraId="7EC80153" w14:textId="6303A6E0" w:rsidR="006A3DBC" w:rsidRPr="00CF0F96" w:rsidRDefault="373242B2" w:rsidP="37B44ACB">
            <w:pPr>
              <w:spacing w:after="60"/>
              <w:jc w:val="both"/>
              <w:rPr>
                <w:rFonts w:cs="Arial"/>
                <w:sz w:val="18"/>
                <w:szCs w:val="18"/>
                <w:lang w:val="es-MX"/>
              </w:rPr>
            </w:pPr>
            <w:r w:rsidRPr="00CF0F96">
              <w:rPr>
                <w:rFonts w:cs="Arial"/>
                <w:sz w:val="18"/>
                <w:szCs w:val="18"/>
                <w:lang w:val="es-MX"/>
              </w:rPr>
              <w:t xml:space="preserve">El Proyecto </w:t>
            </w:r>
            <w:r w:rsidR="3A7FC69B" w:rsidRPr="00CF0F96">
              <w:rPr>
                <w:rFonts w:cs="Arial"/>
                <w:sz w:val="18"/>
                <w:szCs w:val="18"/>
                <w:lang w:val="es-MX"/>
              </w:rPr>
              <w:t>COMRURAL</w:t>
            </w:r>
            <w:r w:rsidR="22C32FD4" w:rsidRPr="00CF0F96">
              <w:rPr>
                <w:rFonts w:cs="Arial"/>
                <w:sz w:val="18"/>
                <w:szCs w:val="18"/>
                <w:lang w:val="es-MX"/>
              </w:rPr>
              <w:t xml:space="preserve"> III</w:t>
            </w:r>
            <w:r w:rsidR="3A7FC69B" w:rsidRPr="00CF0F96">
              <w:rPr>
                <w:rFonts w:cs="Arial"/>
                <w:sz w:val="18"/>
                <w:szCs w:val="18"/>
                <w:lang w:val="es-MX"/>
              </w:rPr>
              <w:t xml:space="preserve"> cuenta con un Mecanismo de </w:t>
            </w:r>
            <w:r w:rsidR="459DB1F2" w:rsidRPr="00CF0F96">
              <w:rPr>
                <w:rFonts w:cs="Arial"/>
                <w:sz w:val="18"/>
                <w:szCs w:val="18"/>
                <w:lang w:val="es-MX"/>
              </w:rPr>
              <w:t xml:space="preserve">comunicación de </w:t>
            </w:r>
            <w:r w:rsidR="3A7FC69B" w:rsidRPr="00CF0F96">
              <w:rPr>
                <w:rFonts w:cs="Arial"/>
                <w:sz w:val="18"/>
                <w:szCs w:val="18"/>
                <w:lang w:val="es-MX"/>
              </w:rPr>
              <w:t>quejas y reclamos accesible a Pueblos Indígenas ya establecido.</w:t>
            </w:r>
          </w:p>
          <w:p w14:paraId="59E7BE4B" w14:textId="77777777" w:rsidR="006A3DBC" w:rsidRPr="00CF0F96" w:rsidRDefault="006A3DBC" w:rsidP="005F4A92">
            <w:pPr>
              <w:spacing w:after="60"/>
              <w:jc w:val="both"/>
              <w:rPr>
                <w:rFonts w:cs="Arial"/>
                <w:sz w:val="18"/>
                <w:lang w:val="es-MX"/>
              </w:rPr>
            </w:pPr>
            <w:r w:rsidRPr="00CF0F96">
              <w:rPr>
                <w:rFonts w:cs="Arial"/>
                <w:sz w:val="18"/>
                <w:lang w:val="es-MX"/>
              </w:rPr>
              <w:t>La definición de pueblos indígenas se basará en los criterios establecidos en el EAS 7, operacionalizados en el MPPI Si durante la implementación del proyecto se encuentran brechas, se aplicarán los lineamientos y procedimientos que brinden mayor protección a los pueblos indígenas.</w:t>
            </w:r>
          </w:p>
          <w:p w14:paraId="2A7C27E0" w14:textId="77777777" w:rsidR="006A3DBC" w:rsidRPr="00CF0F96" w:rsidRDefault="006A3DBC" w:rsidP="005F4A92">
            <w:pPr>
              <w:rPr>
                <w:rFonts w:cs="Arial"/>
                <w:sz w:val="18"/>
                <w:lang w:val="es-MX"/>
              </w:rPr>
            </w:pPr>
          </w:p>
        </w:tc>
      </w:tr>
      <w:tr w:rsidR="00CF0F96" w:rsidRPr="00CF0F96" w14:paraId="337DAA4C" w14:textId="77777777" w:rsidTr="37B44ACB">
        <w:tc>
          <w:tcPr>
            <w:tcW w:w="1702" w:type="dxa"/>
            <w:vAlign w:val="center"/>
          </w:tcPr>
          <w:p w14:paraId="7BC63166" w14:textId="77777777" w:rsidR="006A3DBC" w:rsidRPr="00CF0F96" w:rsidRDefault="006A3DBC" w:rsidP="005F4A92">
            <w:pPr>
              <w:jc w:val="center"/>
              <w:rPr>
                <w:rFonts w:cs="Arial"/>
                <w:b/>
                <w:sz w:val="18"/>
                <w:lang w:val="es-MX"/>
              </w:rPr>
            </w:pPr>
          </w:p>
          <w:p w14:paraId="7D621A4D" w14:textId="77777777" w:rsidR="006A3DBC" w:rsidRPr="00CF0F96" w:rsidRDefault="006A3DBC" w:rsidP="001A6DAE">
            <w:pPr>
              <w:ind w:left="119"/>
              <w:jc w:val="both"/>
              <w:rPr>
                <w:rFonts w:cs="Arial"/>
                <w:b/>
                <w:sz w:val="18"/>
              </w:rPr>
            </w:pPr>
            <w:r w:rsidRPr="00CF0F96">
              <w:rPr>
                <w:rFonts w:cs="Arial"/>
                <w:b/>
                <w:sz w:val="18"/>
              </w:rPr>
              <w:t>EAS 8 Patrimonio Cultural</w:t>
            </w:r>
          </w:p>
          <w:p w14:paraId="3797ECBE" w14:textId="77777777" w:rsidR="006A3DBC" w:rsidRPr="00CF0F96" w:rsidRDefault="006A3DBC" w:rsidP="005F4A92">
            <w:pPr>
              <w:jc w:val="center"/>
              <w:rPr>
                <w:rFonts w:cs="Arial"/>
                <w:b/>
                <w:sz w:val="18"/>
                <w:lang w:val="es-MX"/>
              </w:rPr>
            </w:pPr>
          </w:p>
        </w:tc>
        <w:tc>
          <w:tcPr>
            <w:tcW w:w="4395" w:type="dxa"/>
            <w:vAlign w:val="center"/>
          </w:tcPr>
          <w:p w14:paraId="5A61F6BC" w14:textId="77777777" w:rsidR="006A3DBC" w:rsidRPr="00CF0F96" w:rsidRDefault="006A3DBC" w:rsidP="005F4A92">
            <w:pPr>
              <w:ind w:left="75"/>
              <w:jc w:val="both"/>
              <w:rPr>
                <w:rFonts w:cs="Arial"/>
                <w:sz w:val="18"/>
                <w:lang w:val="es-MX"/>
              </w:rPr>
            </w:pPr>
            <w:r w:rsidRPr="00CF0F96">
              <w:rPr>
                <w:rFonts w:cs="Arial"/>
                <w:sz w:val="18"/>
                <w:lang w:val="es-MX"/>
              </w:rPr>
              <w:t xml:space="preserve">1. En el EAS 8 se reconoce que el patrimonio cultural ofrece continuidad en formas tangibles e intangibles entre el pasado, el presente y el futuro. Las personas se identifican con el patrimonio cultural como reflejo y expresión de sus valores, creencias, conocimientos y tradiciones en constante evolución. El patrimonio cultural, en sus diferentes manifestaciones, es importante como fuente de información científica e histórica valiosa, como activo económico y social para el desarrollo, y como parte integral de la identidad cultural y las prácticas de las personas. En el EAS 8 se establecen </w:t>
            </w:r>
            <w:r w:rsidRPr="00CF0F96">
              <w:rPr>
                <w:rFonts w:cs="Arial"/>
                <w:sz w:val="18"/>
                <w:lang w:val="es-MX"/>
              </w:rPr>
              <w:lastRenderedPageBreak/>
              <w:t>medidas diseñadas para proteger el patrimonio cultural durante el ciclo del proyecto.</w:t>
            </w:r>
          </w:p>
          <w:p w14:paraId="7B436F99" w14:textId="77777777" w:rsidR="006A3DBC" w:rsidRPr="00CF0F96" w:rsidRDefault="006A3DBC" w:rsidP="005F4A92">
            <w:pPr>
              <w:ind w:left="75"/>
              <w:jc w:val="both"/>
              <w:rPr>
                <w:rFonts w:cs="Arial"/>
                <w:sz w:val="18"/>
                <w:lang w:val="es-MX"/>
              </w:rPr>
            </w:pPr>
            <w:r w:rsidRPr="00CF0F96">
              <w:rPr>
                <w:rFonts w:cs="Arial"/>
                <w:sz w:val="18"/>
                <w:lang w:val="es-MX"/>
              </w:rPr>
              <w:t>2. En este EAS se establecen disposiciones generales sobre los riesgos e impactos a los que está expuesto el patrimonio cultural como resultado de las actividades de los proyectos. En el EAS 7 se establecen requisitos adicionales para el patrimonio cultural en el contexto de los pueblos indígenas. En el EAS 6 se reconocen los valores sociales y culturales de la biodiversidad. Las disposiciones sobre la participación de las partes interesadas y la divulgación de información figuran en el EAS 10.</w:t>
            </w:r>
          </w:p>
        </w:tc>
        <w:tc>
          <w:tcPr>
            <w:tcW w:w="4252" w:type="dxa"/>
            <w:vAlign w:val="center"/>
          </w:tcPr>
          <w:p w14:paraId="651D3099" w14:textId="62374887" w:rsidR="006A3DBC" w:rsidRPr="00CF0F96" w:rsidRDefault="3A7FC69B" w:rsidP="37B44ACB">
            <w:pPr>
              <w:jc w:val="both"/>
              <w:rPr>
                <w:rFonts w:cs="Arial"/>
                <w:sz w:val="18"/>
                <w:szCs w:val="18"/>
                <w:lang w:val="es-ES"/>
              </w:rPr>
            </w:pPr>
            <w:r w:rsidRPr="00CF0F96">
              <w:rPr>
                <w:rFonts w:cs="Arial"/>
                <w:sz w:val="18"/>
                <w:szCs w:val="18"/>
                <w:lang w:val="es-ES"/>
              </w:rPr>
              <w:lastRenderedPageBreak/>
              <w:t xml:space="preserve">El BM promueve resguardo y preservación del patrimonio cultural de los pueblos. Patrimonio cultural puede referirse a objetos movibles o no movibles, lugares, estructuras, agrupaciones de estructuras, elementos naturales y paisajes que tienen importancia arqueológica, histórica, paleontológica, arquitectónica, religiosa, estética o cultural. Cualquier obra o actividad financiada por el BM debe estar localizada y diseñada previniendo posibles daños al patrimonio cultural. El COMRURAL </w:t>
            </w:r>
            <w:r w:rsidR="485F225D" w:rsidRPr="00CF0F96">
              <w:rPr>
                <w:rFonts w:cs="Arial"/>
                <w:sz w:val="18"/>
                <w:szCs w:val="18"/>
                <w:lang w:val="es-ES"/>
              </w:rPr>
              <w:t xml:space="preserve">III </w:t>
            </w:r>
            <w:r w:rsidRPr="00CF0F96">
              <w:rPr>
                <w:rFonts w:cs="Arial"/>
                <w:sz w:val="18"/>
                <w:szCs w:val="18"/>
                <w:lang w:val="es-ES"/>
              </w:rPr>
              <w:t>toma en cuenta el EAS</w:t>
            </w:r>
            <w:r w:rsidR="00DE5ACA" w:rsidRPr="00CF0F96">
              <w:rPr>
                <w:rFonts w:cs="Arial"/>
                <w:sz w:val="18"/>
                <w:szCs w:val="18"/>
                <w:lang w:val="es-ES"/>
              </w:rPr>
              <w:t xml:space="preserve"> </w:t>
            </w:r>
            <w:r w:rsidRPr="00CF0F96">
              <w:rPr>
                <w:rFonts w:cs="Arial"/>
                <w:sz w:val="18"/>
                <w:szCs w:val="18"/>
                <w:lang w:val="es-ES"/>
              </w:rPr>
              <w:t xml:space="preserve">8 de Patrimonio Cultural, dentro de sus procedimientos </w:t>
            </w:r>
            <w:r w:rsidRPr="00CF0F96">
              <w:rPr>
                <w:rFonts w:cs="Arial"/>
                <w:sz w:val="18"/>
                <w:szCs w:val="18"/>
                <w:lang w:val="es-ES"/>
              </w:rPr>
              <w:lastRenderedPageBreak/>
              <w:t>ambientales</w:t>
            </w:r>
            <w:r w:rsidR="1C72A81F" w:rsidRPr="00CF0F96">
              <w:rPr>
                <w:rFonts w:cs="Arial"/>
                <w:sz w:val="18"/>
                <w:szCs w:val="18"/>
                <w:lang w:val="es-ES"/>
              </w:rPr>
              <w:t xml:space="preserve">, previendo algún hallazgo fortuito en las áreas de intervención. </w:t>
            </w:r>
          </w:p>
          <w:p w14:paraId="0A31572E" w14:textId="77777777" w:rsidR="006A3DBC" w:rsidRPr="00CF0F96" w:rsidRDefault="006A3DBC" w:rsidP="005F4A92">
            <w:pPr>
              <w:ind w:left="75"/>
              <w:jc w:val="both"/>
              <w:rPr>
                <w:rFonts w:cs="Arial"/>
                <w:sz w:val="18"/>
                <w:lang w:val="es-MX"/>
              </w:rPr>
            </w:pPr>
          </w:p>
        </w:tc>
        <w:tc>
          <w:tcPr>
            <w:tcW w:w="3969" w:type="dxa"/>
            <w:vAlign w:val="center"/>
          </w:tcPr>
          <w:p w14:paraId="21EA459F" w14:textId="77777777" w:rsidR="006A3DBC" w:rsidRPr="00CF0F96" w:rsidRDefault="006A3DBC" w:rsidP="005F4A92">
            <w:pPr>
              <w:jc w:val="both"/>
              <w:rPr>
                <w:rFonts w:cs="Arial"/>
                <w:sz w:val="18"/>
                <w:szCs w:val="18"/>
                <w:lang w:val="es-ES"/>
              </w:rPr>
            </w:pPr>
            <w:r w:rsidRPr="00CF0F96">
              <w:rPr>
                <w:rFonts w:eastAsia="Times New Roman" w:cs="Arial"/>
                <w:sz w:val="18"/>
                <w:szCs w:val="18"/>
                <w:lang w:val="es-HN"/>
              </w:rPr>
              <w:lastRenderedPageBreak/>
              <w:t>No se identifican brechas con el EAS 8. La legislación local incluye la protección del patrimonio cultural tangible e intangible.</w:t>
            </w:r>
          </w:p>
        </w:tc>
      </w:tr>
      <w:tr w:rsidR="00CF0F96" w:rsidRPr="00CF0F96" w14:paraId="07E6BD15" w14:textId="77777777" w:rsidTr="37B44ACB">
        <w:tc>
          <w:tcPr>
            <w:tcW w:w="1702" w:type="dxa"/>
            <w:vAlign w:val="center"/>
          </w:tcPr>
          <w:p w14:paraId="76FAEEA9" w14:textId="77777777" w:rsidR="006A3DBC" w:rsidRPr="00CF0F96" w:rsidRDefault="006A3DBC" w:rsidP="001A6DAE">
            <w:pPr>
              <w:ind w:left="30" w:right="-15"/>
              <w:jc w:val="both"/>
              <w:rPr>
                <w:rFonts w:cs="Arial"/>
                <w:b/>
                <w:sz w:val="18"/>
                <w:lang w:val="es-MX"/>
              </w:rPr>
            </w:pPr>
            <w:r w:rsidRPr="00CF0F96">
              <w:rPr>
                <w:rFonts w:cs="Arial"/>
                <w:b/>
                <w:sz w:val="18"/>
                <w:lang w:val="es-MX"/>
              </w:rPr>
              <w:t>EAS 10 Participación de las Partes Interesadas y Divulgación de Información.</w:t>
            </w:r>
          </w:p>
        </w:tc>
        <w:tc>
          <w:tcPr>
            <w:tcW w:w="4395" w:type="dxa"/>
            <w:vAlign w:val="center"/>
          </w:tcPr>
          <w:p w14:paraId="13A2CD6C" w14:textId="77777777" w:rsidR="006A3DBC" w:rsidRPr="00CF0F96" w:rsidRDefault="006A3DBC" w:rsidP="005F4A92">
            <w:pPr>
              <w:autoSpaceDE w:val="0"/>
              <w:autoSpaceDN w:val="0"/>
              <w:adjustRightInd w:val="0"/>
              <w:ind w:left="75"/>
              <w:jc w:val="both"/>
              <w:rPr>
                <w:rFonts w:cs="Arial"/>
                <w:sz w:val="18"/>
                <w:lang w:val="es-MX"/>
              </w:rPr>
            </w:pPr>
            <w:r w:rsidRPr="00CF0F96">
              <w:rPr>
                <w:rFonts w:cs="Arial"/>
                <w:sz w:val="18"/>
                <w:lang w:val="es-MX"/>
              </w:rPr>
              <w:t>En este EAS se reconoce la importancia de la interacción abierta y transparente entre el prestatario y las partes interesadas afectadas por el proyecto como elemento esencial de las buenas prácticas internacionales. La participación eficaz de las partes interesadas puede mejorar la sostenibilidad ambiental y social de los proyectos, incrementar su aceptación, y contribuir significativamente al éxito del diseño y la ejecución de los proyectos.</w:t>
            </w:r>
          </w:p>
          <w:p w14:paraId="67AF5DCE" w14:textId="77777777" w:rsidR="006A3DBC" w:rsidRPr="00CF0F96" w:rsidRDefault="006A3DBC" w:rsidP="005F4A92">
            <w:pPr>
              <w:ind w:left="75"/>
              <w:rPr>
                <w:rFonts w:cs="Arial"/>
                <w:b/>
                <w:sz w:val="18"/>
                <w:lang w:val="es-GT"/>
              </w:rPr>
            </w:pPr>
            <w:r w:rsidRPr="00CF0F96">
              <w:rPr>
                <w:rFonts w:cs="Arial"/>
                <w:b/>
                <w:sz w:val="18"/>
                <w:lang w:val="es-GT"/>
              </w:rPr>
              <w:t>Para ello el prestatario   deberá:</w:t>
            </w:r>
          </w:p>
          <w:p w14:paraId="4DAEA32B" w14:textId="77777777" w:rsidR="006A3DBC" w:rsidRPr="00CF0F96" w:rsidRDefault="006A3DBC" w:rsidP="005F4A92">
            <w:pPr>
              <w:pStyle w:val="Prrafodelista"/>
              <w:numPr>
                <w:ilvl w:val="0"/>
                <w:numId w:val="26"/>
              </w:numPr>
              <w:ind w:left="75" w:firstLine="0"/>
              <w:jc w:val="both"/>
              <w:rPr>
                <w:rFonts w:cs="Arial"/>
                <w:sz w:val="18"/>
                <w:lang w:val="es-GT"/>
              </w:rPr>
            </w:pPr>
            <w:r w:rsidRPr="00CF0F96">
              <w:rPr>
                <w:rFonts w:cs="Arial"/>
                <w:sz w:val="18"/>
                <w:lang w:val="es-GT"/>
              </w:rPr>
              <w:t xml:space="preserve">Elaborar un PPPI. </w:t>
            </w:r>
          </w:p>
          <w:p w14:paraId="3FB681B6" w14:textId="77777777" w:rsidR="006A3DBC" w:rsidRPr="00CF0F96" w:rsidRDefault="006A3DBC" w:rsidP="005F4A92">
            <w:pPr>
              <w:pStyle w:val="Prrafodelista"/>
              <w:numPr>
                <w:ilvl w:val="0"/>
                <w:numId w:val="26"/>
              </w:numPr>
              <w:ind w:left="75" w:firstLine="0"/>
              <w:jc w:val="both"/>
              <w:rPr>
                <w:rFonts w:cs="Arial"/>
                <w:sz w:val="18"/>
                <w:lang w:val="es-GT"/>
              </w:rPr>
            </w:pPr>
            <w:r w:rsidRPr="00CF0F96">
              <w:rPr>
                <w:rFonts w:cs="Arial"/>
                <w:sz w:val="18"/>
                <w:lang w:val="es-GT"/>
              </w:rPr>
              <w:t>Involucrar a las partes interesadas desde el diseño del proyecto para lo cual deberá realizar una identificación y análisis de las partes interesadas.</w:t>
            </w:r>
          </w:p>
          <w:p w14:paraId="579AFBD5" w14:textId="77777777" w:rsidR="006A3DBC" w:rsidRPr="00CF0F96" w:rsidRDefault="006A3DBC" w:rsidP="005F4A92">
            <w:pPr>
              <w:pStyle w:val="Prrafodelista"/>
              <w:numPr>
                <w:ilvl w:val="0"/>
                <w:numId w:val="26"/>
              </w:numPr>
              <w:ind w:left="75" w:firstLine="0"/>
              <w:jc w:val="both"/>
              <w:rPr>
                <w:rFonts w:cs="Arial"/>
                <w:sz w:val="18"/>
                <w:lang w:val="es-GT"/>
              </w:rPr>
            </w:pPr>
            <w:r w:rsidRPr="00CF0F96">
              <w:rPr>
                <w:rFonts w:cs="Arial"/>
                <w:sz w:val="18"/>
                <w:lang w:val="es-GT"/>
              </w:rPr>
              <w:t xml:space="preserve">Realizar consultas significativas a todas las partes interesadas, brindando información oportuna, pertinente, comprensible y accesible, y les consultarán de manera culturalmente adecuada, sin manipulaciones, interferencias, coerción, discriminación ni intimidación. Estas deberán incluir: </w:t>
            </w:r>
            <w:r w:rsidRPr="00CF0F96">
              <w:rPr>
                <w:rFonts w:cs="Arial"/>
                <w:sz w:val="18"/>
                <w:lang w:val="es-GT"/>
              </w:rPr>
              <w:lastRenderedPageBreak/>
              <w:t>i) identificación y análisis de las partes interesadas; ii) planificación de cómo se llevará a cabo la participación de las partes interesadas; iii) divulgación de información; iv) consulta a las partes interesadas; v) abordaje y respuesta a las quejas y los reclamos; y vi) presentación de informes a las partes interesadas.</w:t>
            </w:r>
          </w:p>
          <w:p w14:paraId="6FBBF69D" w14:textId="77777777" w:rsidR="006A3DBC" w:rsidRPr="00CF0F96" w:rsidRDefault="006A3DBC" w:rsidP="005F4A92">
            <w:pPr>
              <w:pStyle w:val="Prrafodelista"/>
              <w:numPr>
                <w:ilvl w:val="0"/>
                <w:numId w:val="26"/>
              </w:numPr>
              <w:ind w:left="75" w:firstLine="0"/>
              <w:jc w:val="both"/>
              <w:rPr>
                <w:rFonts w:cs="Arial"/>
                <w:sz w:val="18"/>
                <w:lang w:val="es-GT"/>
              </w:rPr>
            </w:pPr>
            <w:r w:rsidRPr="00CF0F96">
              <w:rPr>
                <w:rFonts w:cs="Arial"/>
                <w:sz w:val="18"/>
                <w:lang w:val="es-GT"/>
              </w:rPr>
              <w:t>Llevar un registro documentado de la participación de las partes interesadas, que incluirá una descripción de las partes interesadas consultadas, un resumen de las opiniones recibidas y una breve explicación de cómo se tuvieron en cuenta las opiniones, o las razones por las que esto no sucedió.</w:t>
            </w:r>
          </w:p>
          <w:p w14:paraId="18F0D5E1" w14:textId="77777777" w:rsidR="006A3DBC" w:rsidRPr="00CF0F96" w:rsidRDefault="006A3DBC" w:rsidP="005F4A92">
            <w:pPr>
              <w:pStyle w:val="Prrafodelista"/>
              <w:numPr>
                <w:ilvl w:val="0"/>
                <w:numId w:val="26"/>
              </w:numPr>
              <w:ind w:left="75" w:firstLine="0"/>
              <w:jc w:val="both"/>
              <w:rPr>
                <w:rFonts w:cs="Arial"/>
                <w:sz w:val="18"/>
                <w:lang w:val="es-GT"/>
              </w:rPr>
            </w:pPr>
            <w:r w:rsidRPr="00CF0F96">
              <w:rPr>
                <w:rFonts w:cs="Arial"/>
                <w:sz w:val="18"/>
                <w:lang w:val="es-GT"/>
              </w:rPr>
              <w:t>Durante la ejecución de los proyectos prestatario    seguirá involucrando a las partes afectadas por el proyecto y otras partes interesadas, y les brindará información, durante todo el ciclo del proyecto, de una manera adecuada a la naturaleza de sus intereses y los posibles riesgos e impactos ambientales y sociales del proyecto.</w:t>
            </w:r>
          </w:p>
          <w:p w14:paraId="6A49E17E" w14:textId="77777777" w:rsidR="006A3DBC" w:rsidRPr="00CF0F96" w:rsidRDefault="006A3DBC" w:rsidP="005F4A92">
            <w:pPr>
              <w:pStyle w:val="Prrafodelista"/>
              <w:numPr>
                <w:ilvl w:val="0"/>
                <w:numId w:val="26"/>
              </w:numPr>
              <w:ind w:left="75" w:firstLine="0"/>
              <w:jc w:val="both"/>
              <w:rPr>
                <w:rFonts w:cs="Arial"/>
                <w:sz w:val="18"/>
                <w:lang w:val="es-GT"/>
              </w:rPr>
            </w:pPr>
            <w:r w:rsidRPr="00CF0F96">
              <w:rPr>
                <w:rFonts w:cs="Arial"/>
                <w:sz w:val="18"/>
                <w:lang w:val="es-GT"/>
              </w:rPr>
              <w:t>Implementar un mecanismo de quejas y responder oportunamente a las inquietudes y los reclamos de las partes afectadas por el proyecto en relación con el desempeño ambiental y social del proyecto.</w:t>
            </w:r>
          </w:p>
        </w:tc>
        <w:tc>
          <w:tcPr>
            <w:tcW w:w="4252" w:type="dxa"/>
            <w:vAlign w:val="center"/>
          </w:tcPr>
          <w:p w14:paraId="2F5C86ED" w14:textId="78AFFD49" w:rsidR="006A3DBC" w:rsidRPr="00CF0F96" w:rsidRDefault="006A3DBC" w:rsidP="005F4A92">
            <w:pPr>
              <w:autoSpaceDE w:val="0"/>
              <w:autoSpaceDN w:val="0"/>
              <w:adjustRightInd w:val="0"/>
              <w:jc w:val="both"/>
              <w:rPr>
                <w:rFonts w:eastAsia="Times New Roman" w:cs="Arial"/>
                <w:sz w:val="18"/>
                <w:szCs w:val="18"/>
                <w:lang w:val="es-HN"/>
              </w:rPr>
            </w:pPr>
            <w:r w:rsidRPr="00CF0F96">
              <w:rPr>
                <w:rFonts w:eastAsia="Times New Roman" w:cs="Arial"/>
                <w:sz w:val="18"/>
                <w:szCs w:val="18"/>
                <w:lang w:val="es-HN"/>
              </w:rPr>
              <w:lastRenderedPageBreak/>
              <w:t xml:space="preserve">Para la participación en el Proyecto y el diseño de la consulta a las </w:t>
            </w:r>
            <w:r w:rsidR="00CE1DE7" w:rsidRPr="00CF0F96">
              <w:rPr>
                <w:rFonts w:eastAsia="Times New Roman" w:cs="Arial"/>
                <w:sz w:val="18"/>
                <w:szCs w:val="18"/>
                <w:lang w:val="es-HN"/>
              </w:rPr>
              <w:t>p</w:t>
            </w:r>
            <w:r w:rsidRPr="00CF0F96">
              <w:rPr>
                <w:rFonts w:eastAsia="Times New Roman" w:cs="Arial"/>
                <w:sz w:val="18"/>
                <w:szCs w:val="18"/>
                <w:lang w:val="es-HN"/>
              </w:rPr>
              <w:t xml:space="preserve">artes </w:t>
            </w:r>
            <w:r w:rsidR="00CE1DE7" w:rsidRPr="00CF0F96">
              <w:rPr>
                <w:rFonts w:eastAsia="Times New Roman" w:cs="Arial"/>
                <w:sz w:val="18"/>
                <w:szCs w:val="18"/>
                <w:lang w:val="es-HN"/>
              </w:rPr>
              <w:t>i</w:t>
            </w:r>
            <w:r w:rsidRPr="00CF0F96">
              <w:rPr>
                <w:rFonts w:eastAsia="Times New Roman" w:cs="Arial"/>
                <w:sz w:val="18"/>
                <w:szCs w:val="18"/>
                <w:lang w:val="es-HN"/>
              </w:rPr>
              <w:t xml:space="preserve">nteresadas del </w:t>
            </w:r>
            <w:r w:rsidR="00CE1DE7" w:rsidRPr="00CF0F96">
              <w:rPr>
                <w:rFonts w:eastAsia="Times New Roman" w:cs="Arial"/>
                <w:sz w:val="18"/>
                <w:szCs w:val="18"/>
                <w:lang w:val="es-HN"/>
              </w:rPr>
              <w:t>P</w:t>
            </w:r>
            <w:r w:rsidRPr="00CF0F96">
              <w:rPr>
                <w:rFonts w:eastAsia="Times New Roman" w:cs="Arial"/>
                <w:sz w:val="18"/>
                <w:szCs w:val="18"/>
                <w:lang w:val="es-HN"/>
              </w:rPr>
              <w:t xml:space="preserve">royecto y los instrumentos ambientales y sociales, es relevante mencionar el Decreto No. 190-2012 de fecha 13 de diciembre de 2012 en donde se definen los mecanismos de participación ciudadana que reforma la Ley de Participación Ciudadana (Decreto #3-2006) aprobado por el Congreso Nacional). </w:t>
            </w:r>
          </w:p>
          <w:p w14:paraId="0BB0F802" w14:textId="77777777" w:rsidR="006A3DBC" w:rsidRPr="00CF0F96" w:rsidRDefault="006A3DBC" w:rsidP="005F4A92">
            <w:pPr>
              <w:autoSpaceDE w:val="0"/>
              <w:autoSpaceDN w:val="0"/>
              <w:adjustRightInd w:val="0"/>
              <w:jc w:val="both"/>
              <w:rPr>
                <w:rFonts w:eastAsia="Times New Roman" w:cs="Arial"/>
                <w:sz w:val="18"/>
                <w:szCs w:val="18"/>
                <w:lang w:val="es-HN"/>
              </w:rPr>
            </w:pPr>
            <w:r w:rsidRPr="00CF0F96">
              <w:rPr>
                <w:rFonts w:eastAsia="Times New Roman" w:cs="Arial"/>
                <w:sz w:val="18"/>
                <w:szCs w:val="18"/>
                <w:lang w:val="es-HN"/>
              </w:rPr>
              <w:t xml:space="preserve">El Art. 1 define los mecanismos de participación ciudadana siguientes: el referéndum, el plebiscito y la iniciativa de Ley Ciudadana. </w:t>
            </w:r>
          </w:p>
          <w:p w14:paraId="1F272A43" w14:textId="77777777" w:rsidR="006A3DBC" w:rsidRPr="00CF0F96" w:rsidRDefault="006A3DBC" w:rsidP="005F4A92">
            <w:pPr>
              <w:autoSpaceDE w:val="0"/>
              <w:autoSpaceDN w:val="0"/>
              <w:adjustRightInd w:val="0"/>
              <w:jc w:val="both"/>
              <w:rPr>
                <w:rFonts w:eastAsia="Times New Roman" w:cs="Arial"/>
                <w:sz w:val="18"/>
                <w:szCs w:val="18"/>
                <w:lang w:val="es-HN"/>
              </w:rPr>
            </w:pPr>
            <w:r w:rsidRPr="00CF0F96">
              <w:rPr>
                <w:rFonts w:eastAsia="Times New Roman" w:cs="Arial"/>
                <w:sz w:val="18"/>
                <w:szCs w:val="18"/>
                <w:lang w:val="es-HN"/>
              </w:rPr>
              <w:t>Además, hay que mencionar que el Convenio 169 de la OIT de 1989 fue ratificado por el Estado de Honduras el 28 de marzo de 1995 y noviembre de 2014.</w:t>
            </w:r>
          </w:p>
        </w:tc>
        <w:tc>
          <w:tcPr>
            <w:tcW w:w="3969" w:type="dxa"/>
            <w:vAlign w:val="center"/>
          </w:tcPr>
          <w:p w14:paraId="3C8D1565" w14:textId="77777777" w:rsidR="006A3DBC" w:rsidRPr="00CF0F96" w:rsidRDefault="006A3DBC" w:rsidP="005F4A92">
            <w:pPr>
              <w:autoSpaceDE w:val="0"/>
              <w:autoSpaceDN w:val="0"/>
              <w:adjustRightInd w:val="0"/>
              <w:ind w:left="75"/>
              <w:jc w:val="both"/>
              <w:rPr>
                <w:rFonts w:eastAsia="Times New Roman" w:cs="Arial"/>
                <w:sz w:val="18"/>
                <w:szCs w:val="18"/>
                <w:lang w:val="es-HN"/>
              </w:rPr>
            </w:pPr>
            <w:r w:rsidRPr="00CF0F96">
              <w:rPr>
                <w:rFonts w:eastAsia="Times New Roman" w:cs="Arial"/>
                <w:sz w:val="18"/>
                <w:szCs w:val="18"/>
                <w:lang w:val="es-HN"/>
              </w:rPr>
              <w:t>Decreto No. 190-2012 de fecha 13 de diciembre de 2012 en donde se definen los mecanismos de participación ciudadana, que reforma la Ley de Participación Ciudadana. Decreto #3-2006 aprobado por el Congreso Nacional.</w:t>
            </w:r>
          </w:p>
          <w:p w14:paraId="0B7AA15B" w14:textId="77777777" w:rsidR="006A3DBC" w:rsidRPr="00CF0F96" w:rsidRDefault="006A3DBC" w:rsidP="005F4A92">
            <w:pPr>
              <w:autoSpaceDE w:val="0"/>
              <w:autoSpaceDN w:val="0"/>
              <w:adjustRightInd w:val="0"/>
              <w:ind w:left="75"/>
              <w:rPr>
                <w:rFonts w:eastAsia="Times New Roman" w:cs="Arial"/>
                <w:sz w:val="18"/>
                <w:szCs w:val="18"/>
                <w:lang w:val="es-HN"/>
              </w:rPr>
            </w:pPr>
            <w:r w:rsidRPr="00CF0F96">
              <w:rPr>
                <w:rFonts w:eastAsia="Times New Roman" w:cs="Arial"/>
                <w:sz w:val="18"/>
                <w:szCs w:val="18"/>
                <w:lang w:val="es-HN"/>
              </w:rPr>
              <w:t>Convenio 169 de la OIT de 1989 y ratificado por el Estado de Honduras el 28 de marzo de 1995 y noviembre 2014.</w:t>
            </w:r>
          </w:p>
          <w:p w14:paraId="7A8CD57B" w14:textId="1294C844" w:rsidR="006A3DBC" w:rsidRPr="00CF0F96" w:rsidRDefault="006A3DBC" w:rsidP="005F4A92">
            <w:pPr>
              <w:autoSpaceDE w:val="0"/>
              <w:autoSpaceDN w:val="0"/>
              <w:adjustRightInd w:val="0"/>
              <w:ind w:left="75"/>
              <w:jc w:val="both"/>
              <w:rPr>
                <w:rFonts w:cs="Arial"/>
                <w:sz w:val="18"/>
                <w:lang w:val="es-HN"/>
              </w:rPr>
            </w:pPr>
            <w:r w:rsidRPr="00CF0F96">
              <w:rPr>
                <w:rFonts w:eastAsia="Times New Roman" w:cs="Arial"/>
                <w:sz w:val="18"/>
                <w:szCs w:val="18"/>
                <w:lang w:val="es-HN"/>
              </w:rPr>
              <w:t>No se identifican brechas con el EAS 10. Para operacionalizar las provisiones del EAS 10, el Proyecto implementar</w:t>
            </w:r>
            <w:r w:rsidRPr="00CF0F96">
              <w:rPr>
                <w:rFonts w:eastAsia="Times New Roman" w:cs="Arial"/>
                <w:sz w:val="18"/>
                <w:szCs w:val="18"/>
                <w:lang w:val="es-PE"/>
              </w:rPr>
              <w:t>á</w:t>
            </w:r>
            <w:r w:rsidRPr="00CF0F96">
              <w:rPr>
                <w:rFonts w:eastAsia="Times New Roman" w:cs="Arial"/>
                <w:sz w:val="18"/>
                <w:szCs w:val="18"/>
                <w:lang w:val="es-HN"/>
              </w:rPr>
              <w:t xml:space="preserve"> un PPPI y un </w:t>
            </w:r>
            <w:r w:rsidR="00C95282" w:rsidRPr="00CF0F96">
              <w:rPr>
                <w:rFonts w:eastAsia="Times New Roman" w:cs="Arial"/>
                <w:sz w:val="18"/>
                <w:szCs w:val="18"/>
                <w:lang w:val="es-HN"/>
              </w:rPr>
              <w:t>MCQRS</w:t>
            </w:r>
            <w:r w:rsidRPr="00CF0F96">
              <w:rPr>
                <w:rFonts w:eastAsia="Times New Roman" w:cs="Arial"/>
                <w:sz w:val="18"/>
                <w:szCs w:val="18"/>
                <w:lang w:val="es-HN"/>
              </w:rPr>
              <w:t xml:space="preserve">. </w:t>
            </w:r>
          </w:p>
        </w:tc>
      </w:tr>
    </w:tbl>
    <w:bookmarkEnd w:id="186"/>
    <w:p w14:paraId="39F08999" w14:textId="77777777" w:rsidR="006A3DBC" w:rsidRPr="00FA4B2D" w:rsidRDefault="006A3DBC" w:rsidP="006A3DBC">
      <w:pPr>
        <w:tabs>
          <w:tab w:val="left" w:pos="541"/>
        </w:tabs>
        <w:rPr>
          <w:rFonts w:cs="Arial"/>
          <w:lang w:val="es-GT"/>
        </w:rPr>
        <w:sectPr w:rsidR="006A3DBC" w:rsidRPr="00FA4B2D" w:rsidSect="005F4A92">
          <w:headerReference w:type="even" r:id="rId14"/>
          <w:headerReference w:type="default" r:id="rId15"/>
          <w:headerReference w:type="first" r:id="rId16"/>
          <w:pgSz w:w="15840" w:h="12240" w:orient="landscape"/>
          <w:pgMar w:top="1701" w:right="1750" w:bottom="1560" w:left="1417" w:header="708" w:footer="708" w:gutter="0"/>
          <w:cols w:space="708"/>
          <w:docGrid w:linePitch="360"/>
        </w:sectPr>
      </w:pPr>
      <w:r w:rsidRPr="00FA4B2D">
        <w:rPr>
          <w:rFonts w:cs="Arial"/>
          <w:lang w:val="es-GT"/>
        </w:rPr>
        <w:tab/>
      </w:r>
    </w:p>
    <w:p w14:paraId="5BDB8A8C" w14:textId="6C27D162" w:rsidR="006A3DBC" w:rsidRPr="00FA4B2D" w:rsidRDefault="3A7FC69B" w:rsidP="006A3DBC">
      <w:pPr>
        <w:spacing w:before="360" w:after="240"/>
        <w:jc w:val="both"/>
        <w:rPr>
          <w:rFonts w:cs="Arial"/>
        </w:rPr>
      </w:pPr>
      <w:r w:rsidRPr="00FA4B2D">
        <w:rPr>
          <w:rFonts w:cs="Arial"/>
        </w:rPr>
        <w:lastRenderedPageBreak/>
        <w:t>Se identificaron brechas entre los EASs del BM y la normativa legal de Honduras en lo referido al EAS 5 sobre Adquisición de Tierras, Restricciones sobre el Uso de la Tierra y Reasentamiento y el EAS7 sobre Pueblos Indígenas.</w:t>
      </w:r>
      <w:r w:rsidR="16633D30" w:rsidRPr="00FA4B2D">
        <w:rPr>
          <w:rFonts w:cs="Arial"/>
        </w:rPr>
        <w:t xml:space="preserve"> Por lo anterior, en caso de requerirse se aplicarán los criterios de la EASs antes referido. </w:t>
      </w:r>
      <w:r w:rsidRPr="00FA4B2D">
        <w:rPr>
          <w:rFonts w:cs="Arial"/>
        </w:rPr>
        <w:t xml:space="preserve"> </w:t>
      </w:r>
    </w:p>
    <w:p w14:paraId="105F0025" w14:textId="77777777" w:rsidR="006A3DBC" w:rsidRPr="00FA4B2D" w:rsidRDefault="006A3DBC" w:rsidP="006A3DBC">
      <w:pPr>
        <w:spacing w:before="360" w:after="240"/>
        <w:jc w:val="both"/>
        <w:rPr>
          <w:rFonts w:cs="Arial"/>
        </w:rPr>
      </w:pPr>
      <w:r w:rsidRPr="00FA4B2D">
        <w:rPr>
          <w:rFonts w:cs="Arial"/>
        </w:rPr>
        <w:t xml:space="preserve">Aspectos como los métodos de evaluación, criterios para establecer las personas elegibles para recibir compensación o ayudas para el restablecimiento de las condiciones, métodos de valuación, elaboración de planes de reasentamiento, etc. deberán regularse en una normativa específica a efecto de tener una afinidad plena a lo planteado por el EAS 5. De la misma manera, la legislación local no hace referencia a restricciones de acceso a recursos naturales y el desplazamiento económico causado por ello. </w:t>
      </w:r>
    </w:p>
    <w:p w14:paraId="27953268" w14:textId="5B91BF05" w:rsidR="006A3DBC" w:rsidRPr="00FA4B2D" w:rsidRDefault="3A7FC69B" w:rsidP="006A3DBC">
      <w:pPr>
        <w:spacing w:before="360" w:after="240"/>
        <w:jc w:val="both"/>
        <w:rPr>
          <w:rFonts w:cs="Arial"/>
        </w:rPr>
      </w:pPr>
      <w:r w:rsidRPr="00FA4B2D">
        <w:rPr>
          <w:rFonts w:cs="Arial"/>
        </w:rPr>
        <w:t xml:space="preserve">Respecto a Pueblos Indígenas, Honduras aún no cuenta con una Ley de Pueblos Indígenas, ni existe legislación nacional sobre lo concerniente a la </w:t>
      </w:r>
      <w:r w:rsidR="6FC6AD5E" w:rsidRPr="00FA4B2D">
        <w:rPr>
          <w:rFonts w:cs="Arial"/>
        </w:rPr>
        <w:t>CPLI</w:t>
      </w:r>
      <w:r w:rsidRPr="00FA4B2D">
        <w:rPr>
          <w:rFonts w:cs="Arial"/>
        </w:rPr>
        <w:t xml:space="preserve">. </w:t>
      </w:r>
      <w:r w:rsidR="00E11023" w:rsidRPr="00FA4B2D">
        <w:rPr>
          <w:rFonts w:cs="Arial"/>
        </w:rPr>
        <w:t>Para operacionalizar</w:t>
      </w:r>
      <w:r w:rsidRPr="00FA4B2D">
        <w:rPr>
          <w:rFonts w:cs="Arial"/>
        </w:rPr>
        <w:t xml:space="preserve"> las provisiones de los estándares relevantes al Proyecto, se elaboró para el COMRURAL III un MRI y un MP (referido al EAS 5), </w:t>
      </w:r>
      <w:r w:rsidR="77B7233B" w:rsidRPr="00FA4B2D">
        <w:rPr>
          <w:rFonts w:cs="Arial"/>
        </w:rPr>
        <w:t>el cual describe los casos en los que se utilizará CPLI</w:t>
      </w:r>
      <w:r w:rsidR="064CF690" w:rsidRPr="00FA4B2D">
        <w:rPr>
          <w:rFonts w:cs="Arial"/>
        </w:rPr>
        <w:t xml:space="preserve"> y</w:t>
      </w:r>
      <w:r w:rsidR="77B7233B" w:rsidRPr="00FA4B2D">
        <w:rPr>
          <w:rFonts w:cs="Arial"/>
        </w:rPr>
        <w:t xml:space="preserve"> </w:t>
      </w:r>
      <w:r w:rsidRPr="00FA4B2D">
        <w:rPr>
          <w:rFonts w:cs="Arial"/>
        </w:rPr>
        <w:t>un MPPI (EAS 7), y un PPPI (EAS 10).</w:t>
      </w:r>
    </w:p>
    <w:p w14:paraId="21BB84A4" w14:textId="77777777" w:rsidR="006A3DBC" w:rsidRPr="00FA4B2D" w:rsidRDefault="006A3DBC" w:rsidP="006A3DBC">
      <w:pPr>
        <w:spacing w:after="0" w:line="240" w:lineRule="auto"/>
        <w:jc w:val="both"/>
        <w:rPr>
          <w:rFonts w:cs="Arial"/>
        </w:rPr>
      </w:pPr>
    </w:p>
    <w:p w14:paraId="31DC5EA5" w14:textId="77777777" w:rsidR="006A3DBC" w:rsidRPr="00FA4B2D" w:rsidRDefault="006A3DBC" w:rsidP="006A3DBC">
      <w:pPr>
        <w:pStyle w:val="Ttulo1"/>
        <w:numPr>
          <w:ilvl w:val="0"/>
          <w:numId w:val="1"/>
        </w:numPr>
        <w:spacing w:before="0" w:line="240" w:lineRule="auto"/>
        <w:ind w:firstLine="0"/>
        <w:jc w:val="both"/>
        <w:rPr>
          <w:rFonts w:ascii="Arial" w:hAnsi="Arial" w:cs="Arial"/>
          <w:b/>
          <w:color w:val="767171" w:themeColor="background2" w:themeShade="80"/>
          <w:sz w:val="22"/>
          <w:szCs w:val="22"/>
        </w:rPr>
      </w:pPr>
      <w:bookmarkStart w:id="188" w:name="_Toc65884166"/>
      <w:bookmarkStart w:id="189" w:name="_Toc67573382"/>
      <w:bookmarkStart w:id="190" w:name="_Toc202456903"/>
      <w:r w:rsidRPr="00FA4B2D">
        <w:rPr>
          <w:rFonts w:ascii="Arial" w:hAnsi="Arial" w:cs="Arial"/>
          <w:b/>
          <w:color w:val="767171" w:themeColor="background2" w:themeShade="80"/>
          <w:sz w:val="22"/>
          <w:szCs w:val="22"/>
        </w:rPr>
        <w:t>Marco institucional del COMRURAL III</w:t>
      </w:r>
      <w:bookmarkEnd w:id="188"/>
      <w:bookmarkEnd w:id="189"/>
      <w:bookmarkEnd w:id="190"/>
    </w:p>
    <w:p w14:paraId="6E27BC53" w14:textId="77777777" w:rsidR="006A3DBC" w:rsidRPr="00FA4B2D" w:rsidRDefault="006A3DBC" w:rsidP="006A3DBC">
      <w:pPr>
        <w:spacing w:before="360" w:after="240"/>
        <w:jc w:val="both"/>
        <w:rPr>
          <w:rFonts w:cs="Arial"/>
        </w:rPr>
      </w:pPr>
      <w:r w:rsidRPr="00FA4B2D">
        <w:rPr>
          <w:rFonts w:cs="Arial"/>
        </w:rPr>
        <w:t xml:space="preserve">El Proyecto COMRURAL III forma parte de las iniciativas del GdH. Su diseño y gestión estuvieron a cargo de INVEST-H. Desde el 02 de junio de 2022, mediante Acuerdo No. 0003, el Proyecto es implementado por la SAG luego de la liquidación de INVEST-H mediante PCM-05-2002 y PCM-011-2022) y con una enmienda asociada al cambio de agencia implementadora suscrita el 6 de enero de 2023. El Proyecto logra nueva efectividad el 10 de mayo 2023.  </w:t>
      </w:r>
    </w:p>
    <w:p w14:paraId="0570BAEF" w14:textId="0CF79925" w:rsidR="006A3DBC" w:rsidRPr="00FA4B2D" w:rsidRDefault="006A3DBC" w:rsidP="006A3DBC">
      <w:pPr>
        <w:spacing w:before="360" w:after="240"/>
        <w:jc w:val="both"/>
        <w:rPr>
          <w:rFonts w:cs="Arial"/>
        </w:rPr>
      </w:pPr>
      <w:r w:rsidRPr="00FA4B2D">
        <w:rPr>
          <w:rFonts w:cs="Arial"/>
        </w:rPr>
        <w:t>La SAG se ha comprometido durante la culminación de la fase de gestión, aprobación y ratificación del Proyecto y con énfasis durante su implementación a, la aplicación estricta a través del Proyecto ComRural III del MGAS, con el objetivo de dar a conocer las medidas de mitigación que el país aplicará de acuerdo con su legislación nacional y su aparato institucional, que son consideradas como adecuadas para evitar, mitigar o minimizar los riesgos ambientales y sociales identificados. Este MGAS se complementa con los siguientes instrumentos asociados que fueron preparados en cumplimiento de los EASs del BM: MRI y MP, MPPI, un PPPI, y PGMO.</w:t>
      </w:r>
    </w:p>
    <w:p w14:paraId="50C02330" w14:textId="77777777" w:rsidR="006A3DBC" w:rsidRPr="00FA4B2D" w:rsidRDefault="006A3DBC" w:rsidP="006A3DBC">
      <w:pPr>
        <w:spacing w:before="360" w:after="240"/>
        <w:jc w:val="both"/>
        <w:rPr>
          <w:rFonts w:cs="Arial"/>
        </w:rPr>
      </w:pPr>
      <w:r w:rsidRPr="00FA4B2D">
        <w:rPr>
          <w:rFonts w:cs="Arial"/>
        </w:rPr>
        <w:t>En este contexto, se realiza la presente actualización del documento de “Marco de Gestión Ambiental y Social” (MGAS), incorporando como responsable implementador del Proyecto ComRural III a la SAG.</w:t>
      </w:r>
    </w:p>
    <w:p w14:paraId="7612C366" w14:textId="11BAD365" w:rsidR="006A3DBC" w:rsidRPr="00FA4B2D" w:rsidRDefault="006A3DBC" w:rsidP="006A3DBC">
      <w:pPr>
        <w:spacing w:before="360" w:after="240"/>
        <w:jc w:val="both"/>
        <w:rPr>
          <w:rFonts w:cs="Arial"/>
          <w:lang w:val="es-ES"/>
        </w:rPr>
      </w:pPr>
      <w:r w:rsidRPr="00FA4B2D">
        <w:rPr>
          <w:rFonts w:cs="Arial"/>
          <w:lang w:val="es-ES"/>
        </w:rPr>
        <w:lastRenderedPageBreak/>
        <w:t xml:space="preserve">A partir de lo antes descrito, la agencia implementadora del Proyecto es la SAG, mediante la Unidad Administradora de Proyectos (UAP), en donde estará </w:t>
      </w:r>
      <w:r w:rsidR="00C9190E" w:rsidRPr="00FA4B2D">
        <w:rPr>
          <w:rFonts w:cs="Arial"/>
          <w:lang w:val="es-ES"/>
        </w:rPr>
        <w:t xml:space="preserve">alojada </w:t>
      </w:r>
      <w:r w:rsidRPr="00FA4B2D">
        <w:rPr>
          <w:rFonts w:cs="Arial"/>
          <w:lang w:val="es-ES"/>
        </w:rPr>
        <w:t>la UEP.</w:t>
      </w:r>
    </w:p>
    <w:p w14:paraId="48DF0D86" w14:textId="0CBA7D20" w:rsidR="006A3DBC" w:rsidRPr="00FA4B2D" w:rsidRDefault="3A7FC69B" w:rsidP="006A3DBC">
      <w:pPr>
        <w:spacing w:before="360" w:after="240"/>
        <w:jc w:val="both"/>
        <w:rPr>
          <w:rFonts w:cs="Arial"/>
          <w:lang w:val="es-ES"/>
        </w:rPr>
      </w:pPr>
      <w:r w:rsidRPr="00FA4B2D">
        <w:rPr>
          <w:rFonts w:cs="Arial"/>
          <w:lang w:val="es-ES"/>
        </w:rPr>
        <w:t>Para liderar la UEP de COMRURAL III, se nombrará a un Coordinador Técnico Nacional, el que contará con equipo técnico interdisciplinario a nivel central (especialistas</w:t>
      </w:r>
      <w:r w:rsidR="00AB6D90" w:rsidRPr="00FA4B2D">
        <w:rPr>
          <w:rFonts w:cs="Arial"/>
          <w:lang w:val="es-ES"/>
        </w:rPr>
        <w:t xml:space="preserve"> en </w:t>
      </w:r>
      <w:r w:rsidR="00E11023" w:rsidRPr="00FA4B2D">
        <w:rPr>
          <w:rFonts w:cs="Arial"/>
          <w:lang w:val="es-ES"/>
        </w:rPr>
        <w:t>temas; fiduciario</w:t>
      </w:r>
      <w:r w:rsidRPr="00FA4B2D">
        <w:rPr>
          <w:rFonts w:cs="Arial"/>
          <w:lang w:val="es-ES"/>
        </w:rPr>
        <w:t>,</w:t>
      </w:r>
      <w:r w:rsidR="00AB6D90" w:rsidRPr="00FA4B2D">
        <w:rPr>
          <w:rFonts w:cs="Arial"/>
          <w:lang w:val="es-ES"/>
        </w:rPr>
        <w:t xml:space="preserve"> negocios, adquisiciones,</w:t>
      </w:r>
      <w:r w:rsidRPr="00FA4B2D">
        <w:rPr>
          <w:rFonts w:cs="Arial"/>
          <w:lang w:val="es-ES"/>
        </w:rPr>
        <w:t xml:space="preserve"> </w:t>
      </w:r>
      <w:r w:rsidR="229BC5CE" w:rsidRPr="00FA4B2D">
        <w:rPr>
          <w:rFonts w:cs="Arial"/>
          <w:lang w:val="es-ES"/>
        </w:rPr>
        <w:t xml:space="preserve">gestión </w:t>
      </w:r>
      <w:r w:rsidRPr="00FA4B2D">
        <w:rPr>
          <w:rFonts w:cs="Arial"/>
          <w:lang w:val="es-ES"/>
        </w:rPr>
        <w:t>ambiental</w:t>
      </w:r>
      <w:r w:rsidR="00AB6D90" w:rsidRPr="00FA4B2D">
        <w:rPr>
          <w:rFonts w:cs="Arial"/>
          <w:lang w:val="es-ES"/>
        </w:rPr>
        <w:t xml:space="preserve">, </w:t>
      </w:r>
      <w:r w:rsidRPr="00FA4B2D">
        <w:rPr>
          <w:rFonts w:cs="Arial"/>
          <w:lang w:val="es-ES"/>
        </w:rPr>
        <w:t>social, comunicación) y zonal (coordinadores</w:t>
      </w:r>
      <w:r w:rsidR="00AB6D90" w:rsidRPr="00FA4B2D">
        <w:rPr>
          <w:rFonts w:cs="Arial"/>
          <w:lang w:val="es-ES"/>
        </w:rPr>
        <w:t xml:space="preserve"> regionales</w:t>
      </w:r>
      <w:r w:rsidRPr="00FA4B2D">
        <w:rPr>
          <w:rFonts w:cs="Arial"/>
          <w:lang w:val="es-ES"/>
        </w:rPr>
        <w:t xml:space="preserve">, fiduciarios, </w:t>
      </w:r>
      <w:r w:rsidR="07596D90" w:rsidRPr="00FA4B2D">
        <w:rPr>
          <w:rFonts w:cs="Arial"/>
          <w:lang w:val="es-ES"/>
        </w:rPr>
        <w:t xml:space="preserve">gestión </w:t>
      </w:r>
      <w:r w:rsidRPr="00FA4B2D">
        <w:rPr>
          <w:rFonts w:cs="Arial"/>
          <w:lang w:val="es-ES"/>
        </w:rPr>
        <w:t xml:space="preserve">ambiental y social, M&amp;E, técnicos). El personal actual </w:t>
      </w:r>
      <w:r w:rsidR="00E11023" w:rsidRPr="00FA4B2D">
        <w:rPr>
          <w:rFonts w:cs="Arial"/>
          <w:lang w:val="es-ES"/>
        </w:rPr>
        <w:t>de COMRURAL</w:t>
      </w:r>
      <w:r w:rsidR="388D6079" w:rsidRPr="00FA4B2D">
        <w:rPr>
          <w:rFonts w:cs="Arial"/>
          <w:lang w:val="es-ES"/>
        </w:rPr>
        <w:t xml:space="preserve"> II</w:t>
      </w:r>
      <w:r w:rsidRPr="00FA4B2D">
        <w:rPr>
          <w:rFonts w:cs="Arial"/>
          <w:lang w:val="es-ES"/>
        </w:rPr>
        <w:t xml:space="preserve"> (</w:t>
      </w:r>
      <w:r w:rsidR="5C58C2BD" w:rsidRPr="00FA4B2D">
        <w:rPr>
          <w:rFonts w:cs="Arial"/>
          <w:lang w:val="es-ES"/>
        </w:rPr>
        <w:t>FA</w:t>
      </w:r>
      <w:r w:rsidRPr="00FA4B2D">
        <w:rPr>
          <w:rFonts w:cs="Arial"/>
          <w:lang w:val="es-ES"/>
        </w:rPr>
        <w:t xml:space="preserve"> y </w:t>
      </w:r>
      <w:r w:rsidR="69C415AB" w:rsidRPr="00FA4B2D">
        <w:rPr>
          <w:rFonts w:cs="Arial"/>
          <w:lang w:val="es-ES"/>
        </w:rPr>
        <w:t xml:space="preserve">COMRURAL </w:t>
      </w:r>
      <w:r w:rsidRPr="00FA4B2D">
        <w:rPr>
          <w:rFonts w:cs="Arial"/>
          <w:lang w:val="es-ES"/>
        </w:rPr>
        <w:t>II</w:t>
      </w:r>
      <w:r w:rsidR="1B0E13B8" w:rsidRPr="00FA4B2D">
        <w:rPr>
          <w:rFonts w:cs="Arial"/>
          <w:lang w:val="es-ES"/>
        </w:rPr>
        <w:t>I</w:t>
      </w:r>
      <w:r w:rsidRPr="00FA4B2D">
        <w:rPr>
          <w:rFonts w:cs="Arial"/>
          <w:lang w:val="es-ES"/>
        </w:rPr>
        <w:t xml:space="preserve">) permanecerá con la UEP para aprovechar la experiencia, capacidad y las lecciones aprendidas en la gestión de proyectos del BM. La UAP, respaldada por sus unidades transversales y en coordinación con la UEP, será responsable de todos los aspectos fiduciarios del Proyecto, </w:t>
      </w:r>
      <w:r w:rsidR="71DFE002" w:rsidRPr="00FA4B2D">
        <w:rPr>
          <w:rFonts w:cs="Arial"/>
          <w:lang w:val="es-ES"/>
        </w:rPr>
        <w:t xml:space="preserve">gestión </w:t>
      </w:r>
      <w:r w:rsidRPr="00FA4B2D">
        <w:rPr>
          <w:rFonts w:cs="Arial"/>
          <w:lang w:val="es-ES"/>
        </w:rPr>
        <w:t>ambiental y social y M&amp;E, y centralizará todas las actividades de adquisición y gestión financiera para la implementación de todos los componentes del Proyecto. La UEP garantizará el cumplimiento de los requisitos de los EASs relevantes del BM, así como los acuerdos de M&amp;E.</w:t>
      </w:r>
    </w:p>
    <w:p w14:paraId="3016B60E" w14:textId="77777777" w:rsidR="006A3DBC" w:rsidRPr="00FA4B2D" w:rsidRDefault="006A3DBC" w:rsidP="006A3DBC">
      <w:pPr>
        <w:spacing w:before="360" w:after="240"/>
        <w:jc w:val="both"/>
        <w:rPr>
          <w:rFonts w:cs="Arial"/>
          <w:lang w:val="es-ES"/>
        </w:rPr>
      </w:pPr>
      <w:r w:rsidRPr="00FA4B2D">
        <w:rPr>
          <w:rFonts w:cs="Arial"/>
          <w:lang w:val="es-ES"/>
        </w:rPr>
        <w:t>Las cuatro (4) oficinas zonales (regionales) con las que actualmente cuenta el COMRURAL, apoyarán la gestión del Proyecto y se crearán oficinas adicionales (Olancho y Gracias a Dios) para atender las nuevas áreas que serán cubiertas con esta operación.</w:t>
      </w:r>
    </w:p>
    <w:p w14:paraId="725311E5" w14:textId="77777777" w:rsidR="006A3DBC" w:rsidRPr="00FA4B2D" w:rsidRDefault="006A3DBC" w:rsidP="006A3DBC">
      <w:pPr>
        <w:spacing w:before="360" w:after="240"/>
        <w:jc w:val="both"/>
        <w:rPr>
          <w:rFonts w:cs="Arial"/>
          <w:lang w:val="es-ES"/>
        </w:rPr>
      </w:pPr>
      <w:r w:rsidRPr="00FA4B2D">
        <w:rPr>
          <w:rFonts w:cs="Arial"/>
          <w:lang w:val="es-ES"/>
        </w:rPr>
        <w:t>El Componente 1 será coordinado por el Comité Directivo de implementación de COMRURAL, que es responsable de la supervisión y coordinación del Proyecto, compuesto por representantes de la SAG, OPRs y el sector privado y otra(s) designada(s) por el sector público de conformidad a los requerimientos del Proyecto. Después de cada convocatoria pública de propuestas, los planes de negocios se seleccionarán siguiendo los criterios detallados de elegibilidad para cada Ventana establecida en el Manual Operativo del Proyecto (MOP). El proceso incluirá la aprobación de un Comité de Evaluación compuesto por: (i) un especialista en la cadena de valor; (ii) especialistas ambientales y sociales; (iii) un especialista financiero; (iv) un especialista en adquisiciones; y (v) un experto externo seleccionado y contratado en base ad hoc. Las decisiones finales tomadas por este comité de evaluación serán ratificadas por el Comité Directivo y se pondrán a disposición del público. El Proyecto subscribirá acuerdos de subvención bilaterales con cada una de las OPRs beneficiarias y convenios con aliado financieros para facilitar la prestación de recursos financieros de estas entidades a los beneficiarios de COMRURAL III.</w:t>
      </w:r>
    </w:p>
    <w:p w14:paraId="20FB3C13" w14:textId="6F765053" w:rsidR="006A3DBC" w:rsidRPr="00FA4B2D" w:rsidRDefault="006A3DBC" w:rsidP="006A3DBC">
      <w:pPr>
        <w:spacing w:after="0" w:line="240" w:lineRule="auto"/>
        <w:jc w:val="both"/>
        <w:rPr>
          <w:rFonts w:cs="Arial"/>
        </w:rPr>
      </w:pPr>
      <w:r w:rsidRPr="00FA4B2D">
        <w:rPr>
          <w:rFonts w:cs="Arial"/>
          <w:lang w:val="es-ES"/>
        </w:rPr>
        <w:t xml:space="preserve">En el marco del Componente 2, el Proyecto se coordinará con las instituciones del sector público que son los beneficiarios de las actividades del proyecto establecidas en este componente. Bajo este componente SENASA, ARSA, SEMPRENDE, SAG, </w:t>
      </w:r>
      <w:r w:rsidRPr="00FA4B2D">
        <w:rPr>
          <w:rFonts w:cs="Arial"/>
          <w:lang w:val="es-ES"/>
        </w:rPr>
        <w:lastRenderedPageBreak/>
        <w:t xml:space="preserve">IP, SERNA, AMHON y para la Moskitia se sumará otras instituciones según roles técnicos. Estas instituciones estarán encargadas de preparar los insumos técnicos para los documentos de licitación, apoyar a la UEP en las actividades de supervisión, auditoría y evaluación, junto con cualquier otra actividad acordada en los acuerdos interinstitucionales firmados con la SAG. Cada institución (SENASA, ARSA, SERNA, IP, SEMPRENDE y otras) designará personal con responsabilidades específicas, según como se describe en los convenios de cooperación, para interactuar directamente con la UEP en línea con el alcance de su trabajo, llevar a cabo efectivamente las actividades del Proyecto, apoyar la coordinación de sus respectivos subcomponentes y establecer enlace con sus instituciones. A este efecto, se creará un Comité para Habilitar el Entorno de los Agronegocios (CEEA por sus siglas en inglés) compuesto por funcionarios de alto nivel de estas instituciones para que actúen como un grupo de trabajo técnico multidisciplinario para garantizar la coordinación y supervisión adecuadas de las actividades de Componente 2. Se invitará a un representante de la Presidencia y del sector privado a apoyar la coordinación del CEEA. El Proyecto facilitará la implementación de un enfoque de Adaptación Iterativa Orientado a Problemas para guiar los procesos de preparación e implementación del Componente Una descripción completa del CEEA será parte del MOP. </w:t>
      </w:r>
    </w:p>
    <w:p w14:paraId="613C6B8F" w14:textId="1D8BDC32" w:rsidR="006A3DBC" w:rsidRPr="00FA4B2D" w:rsidRDefault="006A3DBC" w:rsidP="00902B1D">
      <w:pPr>
        <w:pStyle w:val="Ttulo1"/>
        <w:numPr>
          <w:ilvl w:val="0"/>
          <w:numId w:val="1"/>
        </w:numPr>
        <w:spacing w:before="0" w:line="240" w:lineRule="auto"/>
        <w:ind w:left="851" w:hanging="425"/>
        <w:rPr>
          <w:rFonts w:ascii="Arial" w:hAnsi="Arial" w:cs="Arial"/>
          <w:b/>
          <w:color w:val="767171" w:themeColor="background2" w:themeShade="80"/>
          <w:sz w:val="22"/>
          <w:szCs w:val="22"/>
        </w:rPr>
      </w:pPr>
      <w:bookmarkStart w:id="191" w:name="_Toc65884167"/>
      <w:bookmarkStart w:id="192" w:name="_Toc67573383"/>
      <w:bookmarkStart w:id="193" w:name="_Toc202456904"/>
      <w:r w:rsidRPr="00FA4B2D">
        <w:rPr>
          <w:rFonts w:ascii="Arial" w:hAnsi="Arial" w:cs="Arial"/>
          <w:b/>
          <w:color w:val="767171" w:themeColor="background2" w:themeShade="80"/>
          <w:sz w:val="22"/>
          <w:szCs w:val="22"/>
        </w:rPr>
        <w:lastRenderedPageBreak/>
        <w:t>Caracterización Ambiental de las áreas de intervención y sus zonas de influencia</w:t>
      </w:r>
      <w:bookmarkEnd w:id="191"/>
      <w:bookmarkEnd w:id="192"/>
      <w:bookmarkEnd w:id="193"/>
    </w:p>
    <w:p w14:paraId="65F731CD" w14:textId="7A5C68CD" w:rsidR="006A3DBC" w:rsidRPr="00FA4B2D" w:rsidRDefault="005F4A92" w:rsidP="006A3DBC">
      <w:pPr>
        <w:spacing w:after="0" w:line="240" w:lineRule="auto"/>
        <w:jc w:val="both"/>
        <w:rPr>
          <w:rFonts w:cs="Arial"/>
        </w:rPr>
      </w:pPr>
      <w:r w:rsidRPr="00FA4B2D">
        <w:rPr>
          <w:rFonts w:cs="Arial"/>
          <w:noProof/>
          <w:lang w:val="es-HN" w:eastAsia="es-HN"/>
        </w:rPr>
        <w:drawing>
          <wp:anchor distT="0" distB="0" distL="114300" distR="114300" simplePos="0" relativeHeight="251658242" behindDoc="1" locked="0" layoutInCell="1" allowOverlap="1" wp14:anchorId="0F50FA60" wp14:editId="7DA75404">
            <wp:simplePos x="0" y="0"/>
            <wp:positionH relativeFrom="margin">
              <wp:posOffset>174625</wp:posOffset>
            </wp:positionH>
            <wp:positionV relativeFrom="paragraph">
              <wp:posOffset>203835</wp:posOffset>
            </wp:positionV>
            <wp:extent cx="5672455" cy="4436110"/>
            <wp:effectExtent l="0" t="0" r="4445" b="2540"/>
            <wp:wrapTight wrapText="bothSides">
              <wp:wrapPolygon edited="0">
                <wp:start x="0" y="0"/>
                <wp:lineTo x="0" y="21520"/>
                <wp:lineTo x="21544" y="21520"/>
                <wp:lineTo x="21544" y="0"/>
                <wp:lineTo x="0" y="0"/>
              </wp:wrapPolygon>
            </wp:wrapTight>
            <wp:docPr id="8969" name="Picture 8969"/>
            <wp:cNvGraphicFramePr/>
            <a:graphic xmlns:a="http://schemas.openxmlformats.org/drawingml/2006/main">
              <a:graphicData uri="http://schemas.openxmlformats.org/drawingml/2006/picture">
                <pic:pic xmlns:pic="http://schemas.openxmlformats.org/drawingml/2006/picture">
                  <pic:nvPicPr>
                    <pic:cNvPr id="8969" name="Picture 8969"/>
                    <pic:cNvPicPr/>
                  </pic:nvPicPr>
                  <pic:blipFill>
                    <a:blip r:embed="rId17"/>
                    <a:stretch>
                      <a:fillRect/>
                    </a:stretch>
                  </pic:blipFill>
                  <pic:spPr>
                    <a:xfrm>
                      <a:off x="0" y="0"/>
                      <a:ext cx="5672455" cy="4436110"/>
                    </a:xfrm>
                    <a:prstGeom prst="rect">
                      <a:avLst/>
                    </a:prstGeom>
                  </pic:spPr>
                </pic:pic>
              </a:graphicData>
            </a:graphic>
            <wp14:sizeRelH relativeFrom="margin">
              <wp14:pctWidth>0</wp14:pctWidth>
            </wp14:sizeRelH>
            <wp14:sizeRelV relativeFrom="margin">
              <wp14:pctHeight>0</wp14:pctHeight>
            </wp14:sizeRelV>
          </wp:anchor>
        </w:drawing>
      </w:r>
    </w:p>
    <w:p w14:paraId="573E720B" w14:textId="77777777" w:rsidR="006A3DBC" w:rsidRPr="00FA4B2D" w:rsidRDefault="006A3DBC" w:rsidP="006A3DBC">
      <w:pPr>
        <w:spacing w:after="0" w:line="240" w:lineRule="auto"/>
        <w:jc w:val="both"/>
        <w:rPr>
          <w:rFonts w:cs="Arial"/>
        </w:rPr>
      </w:pPr>
      <w:r w:rsidRPr="00FA4B2D">
        <w:rPr>
          <w:rFonts w:cs="Arial"/>
        </w:rPr>
        <w:t xml:space="preserve">Honduras se ubica en el istmo centroamericano y posee una extensión territorial de 112,492 km², (11.2 millones de hectáreas). Posee una de las conformaciones topográficas más irregulares en el continente americano: el rango de altitudes varía desde el nivel del mar hasta los 2,849 msnm, en el Pico Celaque m y 61% de sus pendientes son mayores del 30%. Administrativamente Honduras se divide en 18 departamentos y 298 municipios. Tiene fronteras con Guatemala, El Salvador, Nicaragua; además tiene costas en el océano Pacífico y en el mar Caribe. </w:t>
      </w:r>
    </w:p>
    <w:p w14:paraId="11A9F168" w14:textId="77777777" w:rsidR="006A3DBC" w:rsidRPr="00FA4B2D" w:rsidRDefault="006A3DBC" w:rsidP="006A3DBC">
      <w:pPr>
        <w:spacing w:after="0" w:line="240" w:lineRule="auto"/>
        <w:jc w:val="both"/>
        <w:rPr>
          <w:rFonts w:cs="Arial"/>
        </w:rPr>
      </w:pPr>
    </w:p>
    <w:p w14:paraId="3F9EDB5A" w14:textId="28F46994" w:rsidR="006A3DBC" w:rsidRPr="00FA4B2D" w:rsidRDefault="006A3DBC" w:rsidP="006A3DBC">
      <w:pPr>
        <w:spacing w:after="0" w:line="240" w:lineRule="auto"/>
        <w:jc w:val="both"/>
        <w:rPr>
          <w:rFonts w:cs="Arial"/>
        </w:rPr>
      </w:pPr>
      <w:r w:rsidRPr="00FA4B2D">
        <w:rPr>
          <w:rFonts w:cs="Arial"/>
        </w:rPr>
        <w:t xml:space="preserve">El </w:t>
      </w:r>
      <w:r w:rsidR="00713C08" w:rsidRPr="00FA4B2D">
        <w:rPr>
          <w:rFonts w:cs="Arial"/>
        </w:rPr>
        <w:t>P</w:t>
      </w:r>
      <w:r w:rsidRPr="00FA4B2D">
        <w:rPr>
          <w:rFonts w:cs="Arial"/>
        </w:rPr>
        <w:t xml:space="preserve">royecto tiene influencia en 16 de los 18 departamentos de Honduras y estos son Atlántida, Colón, Comayagua, Copán, Cortés, Choluteca, El Paraíso, Francisco Morazán, Intibucá, La Paz, Lempira, Ocotepeque, Olancho, Santa Bárbara, Olancho y Yoro.   </w:t>
      </w:r>
    </w:p>
    <w:p w14:paraId="4C51EADB" w14:textId="77777777" w:rsidR="006A3DBC" w:rsidRPr="00FA4B2D" w:rsidRDefault="006A3DBC" w:rsidP="006A3DBC">
      <w:pPr>
        <w:spacing w:after="0" w:line="240" w:lineRule="auto"/>
        <w:jc w:val="both"/>
        <w:rPr>
          <w:rFonts w:cs="Arial"/>
        </w:rPr>
      </w:pPr>
    </w:p>
    <w:p w14:paraId="7DABA141" w14:textId="77777777" w:rsidR="006A3DBC" w:rsidRPr="00FA4B2D" w:rsidRDefault="006A3DBC" w:rsidP="006A3DBC">
      <w:pPr>
        <w:spacing w:after="0" w:line="240" w:lineRule="auto"/>
        <w:jc w:val="both"/>
        <w:rPr>
          <w:rFonts w:cs="Arial"/>
          <w:sz w:val="6"/>
          <w:szCs w:val="6"/>
        </w:rPr>
      </w:pPr>
    </w:p>
    <w:p w14:paraId="3C5648AE" w14:textId="77777777" w:rsidR="006A3DBC" w:rsidRPr="00FA4B2D" w:rsidRDefault="006A3DBC" w:rsidP="006A3DBC">
      <w:pPr>
        <w:keepNext/>
        <w:keepLines/>
        <w:spacing w:after="0" w:line="240" w:lineRule="auto"/>
        <w:jc w:val="both"/>
        <w:outlineLvl w:val="1"/>
        <w:rPr>
          <w:rFonts w:eastAsiaTheme="majorEastAsia" w:cs="Arial"/>
          <w:b/>
          <w:bCs/>
          <w:vanish/>
        </w:rPr>
      </w:pPr>
      <w:bookmarkStart w:id="194" w:name="_Toc65848121"/>
      <w:bookmarkStart w:id="195" w:name="_Toc65848545"/>
      <w:bookmarkStart w:id="196" w:name="_Toc65849108"/>
      <w:bookmarkStart w:id="197" w:name="_Toc65850095"/>
      <w:bookmarkStart w:id="198" w:name="_Toc65852545"/>
      <w:bookmarkStart w:id="199" w:name="_Toc65855204"/>
      <w:bookmarkStart w:id="200" w:name="_Toc65855272"/>
      <w:bookmarkStart w:id="201" w:name="_Toc65855352"/>
      <w:bookmarkStart w:id="202" w:name="_Toc65855489"/>
      <w:bookmarkStart w:id="203" w:name="_Toc65855560"/>
      <w:bookmarkStart w:id="204" w:name="_Toc65857031"/>
      <w:bookmarkStart w:id="205" w:name="_Toc65857127"/>
      <w:bookmarkStart w:id="206" w:name="_Toc65857189"/>
      <w:bookmarkStart w:id="207" w:name="_Toc65857403"/>
      <w:bookmarkStart w:id="208" w:name="_Toc65865976"/>
      <w:bookmarkStart w:id="209" w:name="_Toc65877211"/>
      <w:bookmarkStart w:id="210" w:name="_Toc65877359"/>
      <w:bookmarkStart w:id="211" w:name="_Toc65881338"/>
      <w:bookmarkStart w:id="212" w:name="_Toc65882212"/>
      <w:bookmarkStart w:id="213" w:name="_Toc65884168"/>
      <w:bookmarkStart w:id="214" w:name="_Toc66035446"/>
      <w:bookmarkStart w:id="215" w:name="_Toc66037068"/>
      <w:bookmarkStart w:id="216" w:name="_Toc66038452"/>
      <w:bookmarkStart w:id="217" w:name="_Toc66038571"/>
      <w:bookmarkStart w:id="218" w:name="_Toc66038733"/>
      <w:bookmarkStart w:id="219" w:name="_Toc66039189"/>
      <w:bookmarkStart w:id="220" w:name="_Toc66223535"/>
      <w:bookmarkStart w:id="221" w:name="_Toc67238069"/>
      <w:bookmarkStart w:id="222" w:name="_Toc67240508"/>
      <w:bookmarkStart w:id="223" w:name="_Toc67240748"/>
      <w:bookmarkStart w:id="224" w:name="_Toc67240947"/>
      <w:bookmarkStart w:id="225" w:name="_Toc67241142"/>
      <w:bookmarkStart w:id="226" w:name="_Toc67241333"/>
      <w:bookmarkStart w:id="227" w:name="_Toc67241518"/>
      <w:bookmarkStart w:id="228" w:name="_Toc67241714"/>
      <w:bookmarkStart w:id="229" w:name="_Toc67241822"/>
      <w:bookmarkStart w:id="230" w:name="_Toc67241896"/>
      <w:bookmarkStart w:id="231" w:name="_Toc67242010"/>
      <w:bookmarkStart w:id="232" w:name="_Toc67242081"/>
      <w:bookmarkStart w:id="233" w:name="_Toc67242730"/>
      <w:bookmarkStart w:id="234" w:name="_Toc67243124"/>
      <w:bookmarkStart w:id="235" w:name="_Toc67243785"/>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552EFDAC" w14:textId="77777777" w:rsidR="006A3DBC" w:rsidRPr="00FA4B2D" w:rsidRDefault="006A3DBC" w:rsidP="006A3DBC">
      <w:pPr>
        <w:pStyle w:val="Prrafodelista"/>
        <w:keepNext/>
        <w:keepLines/>
        <w:numPr>
          <w:ilvl w:val="0"/>
          <w:numId w:val="33"/>
        </w:numPr>
        <w:spacing w:after="0" w:line="240" w:lineRule="auto"/>
        <w:ind w:firstLine="0"/>
        <w:contextualSpacing w:val="0"/>
        <w:jc w:val="both"/>
        <w:outlineLvl w:val="1"/>
        <w:rPr>
          <w:rFonts w:eastAsiaTheme="majorEastAsia" w:cs="Arial"/>
          <w:b/>
          <w:bCs/>
          <w:vanish/>
        </w:rPr>
      </w:pPr>
      <w:bookmarkStart w:id="236" w:name="_Toc65848122"/>
      <w:bookmarkStart w:id="237" w:name="_Toc65848546"/>
      <w:bookmarkStart w:id="238" w:name="_Toc65849109"/>
      <w:bookmarkStart w:id="239" w:name="_Toc65850096"/>
      <w:bookmarkStart w:id="240" w:name="_Toc65852546"/>
      <w:bookmarkStart w:id="241" w:name="_Toc65855205"/>
      <w:bookmarkStart w:id="242" w:name="_Toc65855273"/>
      <w:bookmarkStart w:id="243" w:name="_Toc65855353"/>
      <w:bookmarkStart w:id="244" w:name="_Toc65855490"/>
      <w:bookmarkStart w:id="245" w:name="_Toc65855561"/>
      <w:bookmarkStart w:id="246" w:name="_Toc65857032"/>
      <w:bookmarkStart w:id="247" w:name="_Toc65857128"/>
      <w:bookmarkStart w:id="248" w:name="_Toc65857190"/>
      <w:bookmarkStart w:id="249" w:name="_Toc65857404"/>
      <w:bookmarkStart w:id="250" w:name="_Toc65865977"/>
      <w:bookmarkStart w:id="251" w:name="_Toc65877212"/>
      <w:bookmarkStart w:id="252" w:name="_Toc65877360"/>
      <w:bookmarkStart w:id="253" w:name="_Toc65881339"/>
      <w:bookmarkStart w:id="254" w:name="_Toc65882213"/>
      <w:bookmarkStart w:id="255" w:name="_Toc65884169"/>
      <w:bookmarkStart w:id="256" w:name="_Toc66035447"/>
      <w:bookmarkStart w:id="257" w:name="_Toc66037069"/>
      <w:bookmarkStart w:id="258" w:name="_Toc66038453"/>
      <w:bookmarkStart w:id="259" w:name="_Toc66038572"/>
      <w:bookmarkStart w:id="260" w:name="_Toc66038734"/>
      <w:bookmarkStart w:id="261" w:name="_Toc66039190"/>
      <w:bookmarkStart w:id="262" w:name="_Toc66223536"/>
      <w:bookmarkStart w:id="263" w:name="_Toc67238070"/>
      <w:bookmarkStart w:id="264" w:name="_Toc67240509"/>
      <w:bookmarkStart w:id="265" w:name="_Toc67240749"/>
      <w:bookmarkStart w:id="266" w:name="_Toc67240948"/>
      <w:bookmarkStart w:id="267" w:name="_Toc67241143"/>
      <w:bookmarkStart w:id="268" w:name="_Toc67241334"/>
      <w:bookmarkStart w:id="269" w:name="_Toc67241519"/>
      <w:bookmarkStart w:id="270" w:name="_Toc67241715"/>
      <w:bookmarkStart w:id="271" w:name="_Toc67241823"/>
      <w:bookmarkStart w:id="272" w:name="_Toc67241897"/>
      <w:bookmarkStart w:id="273" w:name="_Toc67242011"/>
      <w:bookmarkStart w:id="274" w:name="_Toc67242082"/>
      <w:bookmarkStart w:id="275" w:name="_Toc67242731"/>
      <w:bookmarkStart w:id="276" w:name="_Toc67243125"/>
      <w:bookmarkStart w:id="277" w:name="_Toc67243786"/>
      <w:bookmarkStart w:id="278" w:name="_Toc67556983"/>
      <w:bookmarkStart w:id="279" w:name="_Toc67564395"/>
      <w:bookmarkStart w:id="280" w:name="_Toc67567125"/>
      <w:bookmarkStart w:id="281" w:name="_Toc67567414"/>
      <w:bookmarkStart w:id="282" w:name="_Toc67567510"/>
      <w:bookmarkStart w:id="283" w:name="_Toc67568503"/>
      <w:bookmarkStart w:id="284" w:name="_Toc67571772"/>
      <w:bookmarkStart w:id="285" w:name="_Toc67572794"/>
      <w:bookmarkStart w:id="286" w:name="_Toc67573384"/>
      <w:bookmarkStart w:id="287" w:name="_Toc69380752"/>
      <w:bookmarkStart w:id="288" w:name="_Toc69381991"/>
      <w:bookmarkStart w:id="289" w:name="_Toc69389867"/>
      <w:bookmarkStart w:id="290" w:name="_Toc69393540"/>
      <w:bookmarkStart w:id="291" w:name="_Toc69410706"/>
      <w:bookmarkStart w:id="292" w:name="_Toc69410944"/>
      <w:bookmarkStart w:id="293" w:name="_Toc69918716"/>
      <w:bookmarkStart w:id="294" w:name="_Toc69922946"/>
      <w:bookmarkStart w:id="295" w:name="_Toc160535958"/>
      <w:bookmarkStart w:id="296" w:name="_Toc160575574"/>
      <w:bookmarkStart w:id="297" w:name="_Toc160576783"/>
      <w:bookmarkStart w:id="298" w:name="_Toc164251485"/>
      <w:bookmarkStart w:id="299" w:name="_Toc168469255"/>
      <w:bookmarkStart w:id="300" w:name="_Toc168469442"/>
      <w:bookmarkStart w:id="301" w:name="_Toc202341230"/>
      <w:bookmarkStart w:id="302" w:name="_Toc202449681"/>
      <w:bookmarkStart w:id="303" w:name="_Toc202455328"/>
      <w:bookmarkStart w:id="304" w:name="_Toc20245690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14:paraId="06C68DBF" w14:textId="77777777" w:rsidR="006A3DBC" w:rsidRPr="00FA4B2D" w:rsidRDefault="006A3DBC" w:rsidP="006A3DBC">
      <w:pPr>
        <w:pStyle w:val="Ttulo2"/>
        <w:spacing w:before="0" w:line="240" w:lineRule="auto"/>
        <w:ind w:left="432"/>
        <w:jc w:val="both"/>
        <w:rPr>
          <w:rFonts w:ascii="Arial" w:hAnsi="Arial" w:cs="Arial"/>
          <w:b/>
          <w:bCs/>
          <w:color w:val="767171" w:themeColor="background2" w:themeShade="80"/>
          <w:sz w:val="22"/>
          <w:szCs w:val="22"/>
        </w:rPr>
      </w:pPr>
      <w:bookmarkStart w:id="305" w:name="_Toc65884170"/>
      <w:bookmarkStart w:id="306" w:name="_Toc67573385"/>
      <w:bookmarkStart w:id="307" w:name="_Toc202456906"/>
      <w:r w:rsidRPr="00FA4B2D">
        <w:rPr>
          <w:rFonts w:ascii="Arial" w:hAnsi="Arial" w:cs="Arial"/>
          <w:b/>
          <w:bCs/>
          <w:color w:val="767171" w:themeColor="background2" w:themeShade="80"/>
          <w:sz w:val="22"/>
          <w:szCs w:val="22"/>
        </w:rPr>
        <w:t>5.1 Hidrología</w:t>
      </w:r>
      <w:bookmarkEnd w:id="305"/>
      <w:bookmarkEnd w:id="306"/>
      <w:bookmarkEnd w:id="307"/>
    </w:p>
    <w:p w14:paraId="0A389F33" w14:textId="77777777" w:rsidR="006A3DBC" w:rsidRPr="00FA4B2D" w:rsidRDefault="006A3DBC" w:rsidP="006A3DBC">
      <w:pPr>
        <w:spacing w:after="0" w:line="240" w:lineRule="auto"/>
        <w:jc w:val="both"/>
        <w:rPr>
          <w:rFonts w:cs="Arial"/>
        </w:rPr>
      </w:pPr>
    </w:p>
    <w:p w14:paraId="39400D97" w14:textId="77777777" w:rsidR="006A3DBC" w:rsidRPr="00FA4B2D" w:rsidRDefault="006A3DBC" w:rsidP="006A3DBC">
      <w:pPr>
        <w:pStyle w:val="Textocomentario"/>
        <w:jc w:val="both"/>
        <w:rPr>
          <w:rFonts w:cs="Arial"/>
          <w:sz w:val="22"/>
          <w:szCs w:val="22"/>
        </w:rPr>
      </w:pPr>
      <w:r w:rsidRPr="00FA4B2D">
        <w:rPr>
          <w:rFonts w:cs="Arial"/>
          <w:sz w:val="22"/>
          <w:szCs w:val="22"/>
        </w:rPr>
        <w:t xml:space="preserve">De acuerdo con la delimitación hidrográfica oficial realizada en el 2017 basada en criterios técnicos, para facilitar la técnicos implementación de varias políticas públicas como son el Plan Maestro Agua, Bosque y Suelo (ABS), Honduras está dividida en 25 cuencas </w:t>
      </w:r>
      <w:r w:rsidRPr="00FA4B2D">
        <w:rPr>
          <w:rFonts w:cs="Arial"/>
          <w:sz w:val="22"/>
          <w:szCs w:val="22"/>
        </w:rPr>
        <w:lastRenderedPageBreak/>
        <w:t xml:space="preserve">hidrográficas </w:t>
      </w:r>
      <w:sdt>
        <w:sdtPr>
          <w:rPr>
            <w:rFonts w:cs="Arial"/>
            <w:sz w:val="22"/>
            <w:szCs w:val="22"/>
          </w:rPr>
          <w:id w:val="-1004587805"/>
          <w:citation/>
        </w:sdtPr>
        <w:sdtContent>
          <w:r w:rsidRPr="00FA4B2D">
            <w:rPr>
              <w:rFonts w:cs="Arial"/>
              <w:sz w:val="22"/>
              <w:szCs w:val="22"/>
            </w:rPr>
            <w:fldChar w:fldCharType="begin"/>
          </w:r>
          <w:r w:rsidRPr="00FA4B2D">
            <w:rPr>
              <w:rFonts w:cs="Arial"/>
              <w:sz w:val="22"/>
              <w:szCs w:val="22"/>
            </w:rPr>
            <w:instrText xml:space="preserve"> CITATION Mon17 \l 3082 </w:instrText>
          </w:r>
          <w:r w:rsidRPr="00FA4B2D">
            <w:rPr>
              <w:rFonts w:cs="Arial"/>
              <w:sz w:val="22"/>
              <w:szCs w:val="22"/>
            </w:rPr>
            <w:fldChar w:fldCharType="separate"/>
          </w:r>
          <w:r w:rsidRPr="00FA4B2D">
            <w:rPr>
              <w:rFonts w:cs="Arial"/>
              <w:noProof/>
              <w:sz w:val="22"/>
              <w:szCs w:val="22"/>
            </w:rPr>
            <w:t>(F., J., S., J., &amp; C., 2017)</w:t>
          </w:r>
          <w:r w:rsidRPr="00FA4B2D">
            <w:rPr>
              <w:rFonts w:cs="Arial"/>
              <w:sz w:val="22"/>
              <w:szCs w:val="22"/>
            </w:rPr>
            <w:fldChar w:fldCharType="end"/>
          </w:r>
        </w:sdtContent>
      </w:sdt>
      <w:r w:rsidRPr="00FA4B2D">
        <w:rPr>
          <w:rFonts w:cs="Arial"/>
          <w:sz w:val="22"/>
          <w:szCs w:val="22"/>
        </w:rPr>
        <w:t xml:space="preserve"> que descargan un promedio de 92 813 Mm3 de agua lluvia durante un año normal, ofertando aproximadamente 1,524 m</w:t>
      </w:r>
      <w:r w:rsidRPr="00FA4B2D">
        <w:rPr>
          <w:rFonts w:cs="Arial"/>
          <w:sz w:val="22"/>
          <w:szCs w:val="22"/>
          <w:vertAlign w:val="superscript"/>
        </w:rPr>
        <w:t>3</w:t>
      </w:r>
      <w:r w:rsidRPr="00FA4B2D">
        <w:rPr>
          <w:rFonts w:cs="Arial"/>
          <w:sz w:val="22"/>
          <w:szCs w:val="22"/>
        </w:rPr>
        <w:t xml:space="preserve">/s (GEO, 2014).  </w:t>
      </w:r>
    </w:p>
    <w:p w14:paraId="69563E2F" w14:textId="77777777" w:rsidR="006A3DBC" w:rsidRPr="00FA4B2D" w:rsidRDefault="006A3DBC" w:rsidP="006A3DBC">
      <w:pPr>
        <w:pStyle w:val="Textocomentario"/>
        <w:jc w:val="both"/>
        <w:rPr>
          <w:rFonts w:cs="Arial"/>
          <w:sz w:val="22"/>
          <w:szCs w:val="22"/>
        </w:rPr>
      </w:pPr>
      <w:r w:rsidRPr="00FA4B2D">
        <w:rPr>
          <w:rFonts w:cs="Arial"/>
          <w:sz w:val="22"/>
          <w:szCs w:val="22"/>
        </w:rPr>
        <w:t>En el siguiente mapa se muestran las 20 cuencas, respecto a los 16 departamentos de influencia de COMRURAL III.</w:t>
      </w:r>
    </w:p>
    <w:p w14:paraId="63A08EF7" w14:textId="15EE3309" w:rsidR="00E11023" w:rsidRDefault="006A3DBC" w:rsidP="00CF0F96">
      <w:pPr>
        <w:pStyle w:val="Textocomentario"/>
        <w:jc w:val="both"/>
      </w:pPr>
      <w:r w:rsidRPr="00FA4B2D">
        <w:rPr>
          <w:rFonts w:cs="Arial"/>
        </w:rPr>
        <w:t xml:space="preserve"> </w:t>
      </w:r>
      <w:bookmarkStart w:id="308" w:name="_Toc202455565"/>
      <w:r w:rsidR="00E11023">
        <w:t xml:space="preserve">Ilustración </w:t>
      </w:r>
      <w:r w:rsidR="00E11023">
        <w:fldChar w:fldCharType="begin"/>
      </w:r>
      <w:r w:rsidR="00E11023">
        <w:instrText xml:space="preserve"> SEQ Ilustración \* ARABIC </w:instrText>
      </w:r>
      <w:r w:rsidR="00E11023">
        <w:fldChar w:fldCharType="separate"/>
      </w:r>
      <w:r w:rsidR="00F94AC4">
        <w:rPr>
          <w:noProof/>
        </w:rPr>
        <w:t>3</w:t>
      </w:r>
      <w:r w:rsidR="00E11023">
        <w:fldChar w:fldCharType="end"/>
      </w:r>
      <w:r w:rsidR="00E11023">
        <w:t xml:space="preserve"> </w:t>
      </w:r>
      <w:r w:rsidR="00E11023" w:rsidRPr="00055343">
        <w:t>Cuencas que se encuentran en los Departamentos de Influencia del COMRURAL III</w:t>
      </w:r>
      <w:bookmarkEnd w:id="308"/>
    </w:p>
    <w:p w14:paraId="7EB12A76" w14:textId="77777777" w:rsidR="006A3DBC" w:rsidRPr="00FA4B2D" w:rsidRDefault="006A3DBC" w:rsidP="006A3DBC">
      <w:pPr>
        <w:pStyle w:val="Textocomentario"/>
        <w:jc w:val="both"/>
        <w:rPr>
          <w:rFonts w:cs="Arial"/>
          <w:sz w:val="22"/>
          <w:szCs w:val="22"/>
        </w:rPr>
      </w:pPr>
      <w:r w:rsidRPr="00FA4B2D">
        <w:rPr>
          <w:rFonts w:cs="Arial"/>
          <w:noProof/>
          <w:lang w:val="es-HN" w:eastAsia="es-HN"/>
        </w:rPr>
        <w:drawing>
          <wp:inline distT="0" distB="0" distL="0" distR="0" wp14:anchorId="4C75CC39" wp14:editId="5E288604">
            <wp:extent cx="5670550" cy="3442970"/>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70550" cy="3442970"/>
                    </a:xfrm>
                    <a:prstGeom prst="rect">
                      <a:avLst/>
                    </a:prstGeom>
                    <a:noFill/>
                    <a:ln>
                      <a:noFill/>
                    </a:ln>
                  </pic:spPr>
                </pic:pic>
              </a:graphicData>
            </a:graphic>
          </wp:inline>
        </w:drawing>
      </w:r>
    </w:p>
    <w:p w14:paraId="6DB6E8AD" w14:textId="77777777" w:rsidR="006A3DBC" w:rsidRPr="00FA4B2D" w:rsidRDefault="006A3DBC" w:rsidP="006A3DBC">
      <w:pPr>
        <w:spacing w:after="0" w:line="240" w:lineRule="auto"/>
        <w:jc w:val="both"/>
        <w:rPr>
          <w:rFonts w:cs="Arial"/>
        </w:rPr>
      </w:pPr>
      <w:r w:rsidRPr="00FA4B2D">
        <w:rPr>
          <w:rFonts w:cs="Arial"/>
        </w:rPr>
        <w:t xml:space="preserve">El sistema hidrográfico de Honduras está formado por 19 grandes ríos que nacen en el territorio nacional y desembocan en ambos océanos. En la vertiente del mar Caribe desembocan 13 de ellos, con longitudes entre 550 y 25 km cuyas cuencas representan el 82,72% del territorio nacional; mientras que, en la vertiente del Pacífico, a través del Golfo de Fonseca, desembocan 6 ríos, que representan el 17.28%. </w:t>
      </w:r>
    </w:p>
    <w:p w14:paraId="1D091FC6" w14:textId="77777777" w:rsidR="006A3DBC" w:rsidRPr="00FA4B2D" w:rsidRDefault="006A3DBC" w:rsidP="006A3DBC">
      <w:pPr>
        <w:spacing w:after="0" w:line="240" w:lineRule="auto"/>
        <w:jc w:val="both"/>
        <w:rPr>
          <w:rFonts w:cs="Arial"/>
        </w:rPr>
      </w:pPr>
    </w:p>
    <w:p w14:paraId="0214AA34" w14:textId="77777777" w:rsidR="006A3DBC" w:rsidRPr="00FA4B2D" w:rsidRDefault="006A3DBC" w:rsidP="006A3DBC">
      <w:pPr>
        <w:spacing w:after="0" w:line="240" w:lineRule="auto"/>
        <w:jc w:val="both"/>
        <w:rPr>
          <w:rFonts w:cs="Arial"/>
        </w:rPr>
      </w:pPr>
      <w:r w:rsidRPr="00FA4B2D">
        <w:rPr>
          <w:rFonts w:cs="Arial"/>
        </w:rPr>
        <w:t>Los ríos de Honduras en el área de influencia del proyecto, que desembocan en el mar Caribe son: Chamelecón, Ulúa, Aguán, Lean, Yaguala, Sulaco,</w:t>
      </w:r>
      <w:r w:rsidRPr="00FA4B2D" w:rsidDel="00A41B84">
        <w:rPr>
          <w:rFonts w:cs="Arial"/>
        </w:rPr>
        <w:t xml:space="preserve"> </w:t>
      </w:r>
      <w:r w:rsidRPr="00FA4B2D">
        <w:rPr>
          <w:rFonts w:cs="Arial"/>
        </w:rPr>
        <w:t xml:space="preserve">entre otros. En el océano Pacífico terminan por desembocar los ríos Choluteca, Negro, Goascorán, y el Nacaome. Los que desembocan en el Caribe son los más extensos y caudalosos. El río Coco o Segovia tiene 550 km de longitud y cubre un área de 5,684 km². El río Patuca, con sus 500 km de longitud cubre la cuenca más extensa (23,511 km²). El segundo en importancia es el Ulúa, cubriendo una cuenca de 21.964 km² con una longitud de 300 km de longitud. Los otros gigantes del país son el Chamelecón con 200 km de largo, el Tinto o Negro con 215 km y el Aguán que con sus 275 km de longitud cubre una cuenca de más de 10,523 km². Otros ríos no menos importantes de la vertiente del Caribe hondureño son: Río Plátano (100 km) Cangrejal, Cuyamel, Kruta y el Motagua que cubre una cuenca internacional de 2,008 km². </w:t>
      </w:r>
    </w:p>
    <w:p w14:paraId="6DD23400" w14:textId="77777777" w:rsidR="006A3DBC" w:rsidRPr="00FA4B2D" w:rsidRDefault="006A3DBC" w:rsidP="006A3DBC">
      <w:pPr>
        <w:spacing w:after="0" w:line="240" w:lineRule="auto"/>
        <w:jc w:val="both"/>
        <w:rPr>
          <w:rFonts w:cs="Arial"/>
        </w:rPr>
      </w:pPr>
      <w:r w:rsidRPr="00FA4B2D">
        <w:rPr>
          <w:rFonts w:cs="Arial"/>
        </w:rPr>
        <w:lastRenderedPageBreak/>
        <w:t xml:space="preserve"> </w:t>
      </w:r>
    </w:p>
    <w:p w14:paraId="3421DD2A" w14:textId="77777777" w:rsidR="006A3DBC" w:rsidRPr="00FA4B2D" w:rsidRDefault="006A3DBC" w:rsidP="006A3DBC">
      <w:pPr>
        <w:spacing w:after="0" w:line="240" w:lineRule="auto"/>
        <w:jc w:val="both"/>
        <w:rPr>
          <w:rFonts w:cs="Arial"/>
        </w:rPr>
      </w:pPr>
      <w:r w:rsidRPr="00FA4B2D">
        <w:rPr>
          <w:rFonts w:cs="Arial"/>
        </w:rPr>
        <w:t>Los principales ríos de la vertiente del Golfo de Fonseca son pocos, pequeños, y menos caudalosos en comparación a los del Caribe. El más largo es el río Choluteca que recorre 250 km cubriendo una cuenca de más 7,500 km² y una superficie agrícola de 2,132 km². Luego le sigue el río Goascorán con 115 km de largo, cubriendo una cuenca de 1,920 km². El Nacaome tiene 90 km de largo y el río Negro 85 km de longitud. Por otro lado, el río Lempa cubre un área internacional de 5,612 km².</w:t>
      </w:r>
    </w:p>
    <w:p w14:paraId="122E53BA" w14:textId="77777777" w:rsidR="006A3DBC" w:rsidRPr="00FA4B2D" w:rsidRDefault="006A3DBC" w:rsidP="006A3DBC">
      <w:pPr>
        <w:spacing w:after="0" w:line="240" w:lineRule="auto"/>
        <w:jc w:val="both"/>
        <w:rPr>
          <w:rFonts w:cs="Arial"/>
        </w:rPr>
      </w:pPr>
    </w:p>
    <w:p w14:paraId="164EB448" w14:textId="77777777" w:rsidR="006A3DBC" w:rsidRPr="00FA4B2D" w:rsidRDefault="006A3DBC" w:rsidP="006A3DBC">
      <w:pPr>
        <w:spacing w:after="0" w:line="240" w:lineRule="auto"/>
        <w:jc w:val="both"/>
        <w:rPr>
          <w:rFonts w:cs="Arial"/>
        </w:rPr>
      </w:pPr>
      <w:r w:rsidRPr="00FA4B2D">
        <w:rPr>
          <w:rFonts w:cs="Arial"/>
        </w:rPr>
        <w:t>En cuanto a los lagos, El Lago de Yojoa o Taulabé, en el único lago natural de agua dulce en Honduras, l</w:t>
      </w:r>
      <w:r w:rsidRPr="00FA4B2D">
        <w:rPr>
          <w:rFonts w:cs="Arial"/>
          <w:shd w:val="clear" w:color="auto" w:fill="FFFFFF"/>
        </w:rPr>
        <w:t>a región del Lago de Yojoa tiene un gran número de bosques latifoliados distintos y una alta biodiversidad debido a la precipitación (la más alta de Honduras), el número de pisos altitudinales (4 de los 5 pisos encontrado en Honduras) y la diversidad geológica (4 de los 5 grupos geológicos en el País)</w:t>
      </w:r>
      <w:r w:rsidRPr="00FA4B2D">
        <w:rPr>
          <w:rFonts w:cs="Arial"/>
        </w:rPr>
        <w:t>; Está situado entre los departamentos de Comayagua, Santa Bárbara y Cortés. El lago está localizado a lo largo de la carretera San Pedro Sula-Tegucigalpa, situado a 635 m. Es de aproximadamente 8 km de ancho, y tiene una profundidad de entre el 18 y 25 m dependiendo de la temporada.</w:t>
      </w:r>
    </w:p>
    <w:p w14:paraId="6466D9FD" w14:textId="77777777" w:rsidR="006A3DBC" w:rsidRPr="00FA4B2D" w:rsidRDefault="006A3DBC" w:rsidP="006A3DBC">
      <w:pPr>
        <w:spacing w:after="0" w:line="240" w:lineRule="auto"/>
        <w:jc w:val="both"/>
        <w:rPr>
          <w:rFonts w:cs="Arial"/>
        </w:rPr>
      </w:pPr>
    </w:p>
    <w:p w14:paraId="58C5A2B7" w14:textId="77777777" w:rsidR="006A3DBC" w:rsidRPr="00FA4B2D" w:rsidRDefault="006A3DBC" w:rsidP="006A3DBC">
      <w:pPr>
        <w:spacing w:after="0" w:line="240" w:lineRule="auto"/>
        <w:jc w:val="both"/>
        <w:rPr>
          <w:rFonts w:cs="Arial"/>
        </w:rPr>
      </w:pPr>
      <w:r w:rsidRPr="00FA4B2D">
        <w:rPr>
          <w:rFonts w:cs="Arial"/>
        </w:rPr>
        <w:t>Honduras también cuenta con diversas lagunas; siendo las más importantes y de gran extensión, las del litoral Atlántico: La Laguna de Caratasca, Brus, Ébans y Rápa. Otras lagunas de menor extensión son: Laguna de Alvarado localizada en Puerto Cortés, Ticamaya al norte de San Pedro Sula, Laguna Quemada y Toloá ambas localizadas en el departamento de Atlántida, así como la laguna de Guaymoreto en Colón, la laguna de Cacao en Atlántida, Laguna Quemada o Laguna de Los Micos y la Laguna de Tinta en Atlántida y Jucutuma en La Lima, departamento de Cortés.</w:t>
      </w:r>
    </w:p>
    <w:p w14:paraId="31001E39" w14:textId="77777777" w:rsidR="006A3DBC" w:rsidRPr="00FA4B2D" w:rsidRDefault="006A3DBC" w:rsidP="006A3DBC">
      <w:pPr>
        <w:autoSpaceDE w:val="0"/>
        <w:autoSpaceDN w:val="0"/>
        <w:adjustRightInd w:val="0"/>
        <w:spacing w:after="0" w:line="240" w:lineRule="auto"/>
        <w:jc w:val="both"/>
        <w:rPr>
          <w:rFonts w:cs="Arial"/>
        </w:rPr>
      </w:pPr>
    </w:p>
    <w:p w14:paraId="6C943F14" w14:textId="77777777" w:rsidR="006A3DBC" w:rsidRPr="00FA4B2D" w:rsidRDefault="006A3DBC" w:rsidP="006A3DBC">
      <w:pPr>
        <w:pStyle w:val="Ttulo2"/>
        <w:spacing w:before="0" w:line="240" w:lineRule="auto"/>
        <w:ind w:firstLine="708"/>
        <w:jc w:val="both"/>
        <w:rPr>
          <w:rFonts w:ascii="Arial" w:hAnsi="Arial" w:cs="Arial"/>
          <w:b/>
          <w:bCs/>
          <w:color w:val="767171" w:themeColor="background2" w:themeShade="80"/>
          <w:sz w:val="22"/>
          <w:szCs w:val="22"/>
        </w:rPr>
      </w:pPr>
      <w:bookmarkStart w:id="309" w:name="_Toc202456907"/>
      <w:r w:rsidRPr="00FA4B2D">
        <w:rPr>
          <w:rFonts w:ascii="Arial" w:hAnsi="Arial" w:cs="Arial"/>
          <w:b/>
          <w:bCs/>
          <w:color w:val="767171" w:themeColor="background2" w:themeShade="80"/>
          <w:sz w:val="22"/>
          <w:szCs w:val="22"/>
        </w:rPr>
        <w:t>5.2 Orografía</w:t>
      </w:r>
      <w:bookmarkEnd w:id="309"/>
    </w:p>
    <w:p w14:paraId="0E44E252" w14:textId="77777777" w:rsidR="006A3DBC" w:rsidRPr="00FA4B2D" w:rsidRDefault="006A3DBC" w:rsidP="006A3DBC">
      <w:pPr>
        <w:spacing w:after="0" w:line="240" w:lineRule="auto"/>
        <w:jc w:val="both"/>
        <w:rPr>
          <w:rFonts w:cs="Arial"/>
        </w:rPr>
      </w:pPr>
    </w:p>
    <w:p w14:paraId="03AB279A" w14:textId="77777777" w:rsidR="006A3DBC" w:rsidRPr="00FA4B2D" w:rsidRDefault="006A3DBC" w:rsidP="006A3DBC">
      <w:pPr>
        <w:spacing w:after="0" w:line="240" w:lineRule="auto"/>
        <w:jc w:val="both"/>
        <w:rPr>
          <w:rFonts w:cs="Arial"/>
        </w:rPr>
      </w:pPr>
      <w:r w:rsidRPr="00FA4B2D">
        <w:rPr>
          <w:rFonts w:cs="Arial"/>
        </w:rPr>
        <w:t>Honduras, junto con Nicaragua y El Salvador presentan las montañas que unen las Sierras Madres del norte y los Andes. Es un país de orografía complicada en el que destacan tres sectores, las llanuras de la costa del Caribe (donde se encuentra el golfo de Honduras), las montañas centrales, que abarcan la mayor parte del país, y las llanuras del golfo de Fonseca.</w:t>
      </w:r>
    </w:p>
    <w:p w14:paraId="581B012E" w14:textId="77777777" w:rsidR="006A3DBC" w:rsidRPr="00FA4B2D" w:rsidRDefault="006A3DBC" w:rsidP="006A3DBC">
      <w:pPr>
        <w:spacing w:after="0" w:line="240" w:lineRule="auto"/>
        <w:rPr>
          <w:rFonts w:cs="Arial"/>
        </w:rPr>
      </w:pPr>
    </w:p>
    <w:p w14:paraId="1F09316E" w14:textId="77777777" w:rsidR="006A3DBC" w:rsidRPr="00FA4B2D" w:rsidRDefault="006A3DBC" w:rsidP="006A3DBC">
      <w:pPr>
        <w:spacing w:after="0" w:line="240" w:lineRule="auto"/>
        <w:jc w:val="both"/>
        <w:rPr>
          <w:rFonts w:cs="Arial"/>
        </w:rPr>
      </w:pPr>
      <w:r w:rsidRPr="00FA4B2D">
        <w:rPr>
          <w:rFonts w:cs="Arial"/>
        </w:rPr>
        <w:t xml:space="preserve">Las montañas centrales forman una meseta dominada por cordilleras extendidas en todas las direcciones. Aquí podemos distinguir dos regiones divididas por el Valle Central: la oriental y la occidental. </w:t>
      </w:r>
    </w:p>
    <w:p w14:paraId="3EBA1C22" w14:textId="77777777" w:rsidR="006A3DBC" w:rsidRPr="00FA4B2D" w:rsidRDefault="006A3DBC" w:rsidP="006A3DBC">
      <w:pPr>
        <w:spacing w:after="0" w:line="240" w:lineRule="auto"/>
        <w:jc w:val="both"/>
        <w:rPr>
          <w:rFonts w:cs="Arial"/>
        </w:rPr>
      </w:pPr>
    </w:p>
    <w:p w14:paraId="04D60FA9" w14:textId="77777777" w:rsidR="006A3DBC" w:rsidRPr="00FA4B2D" w:rsidRDefault="006A3DBC" w:rsidP="006A3DBC">
      <w:pPr>
        <w:spacing w:after="0" w:line="240" w:lineRule="auto"/>
        <w:jc w:val="both"/>
        <w:rPr>
          <w:rFonts w:cs="Arial"/>
        </w:rPr>
      </w:pPr>
      <w:r w:rsidRPr="00FA4B2D">
        <w:rPr>
          <w:rFonts w:cs="Arial"/>
        </w:rPr>
        <w:t>Las mayores elevaciones se encuentran al oeste del país (cerro de Las Minas 2.865 m) y va desde la frontera con Guatemala y El Salvador hasta el Valle Central.</w:t>
      </w:r>
    </w:p>
    <w:p w14:paraId="23236890" w14:textId="77777777" w:rsidR="006A3DBC" w:rsidRPr="00FA4B2D" w:rsidRDefault="006A3DBC" w:rsidP="006A3DBC">
      <w:pPr>
        <w:spacing w:after="0" w:line="240" w:lineRule="auto"/>
        <w:jc w:val="both"/>
        <w:rPr>
          <w:rFonts w:cs="Arial"/>
        </w:rPr>
      </w:pPr>
    </w:p>
    <w:p w14:paraId="206F2F8F" w14:textId="77777777" w:rsidR="006A3DBC" w:rsidRPr="00FA4B2D" w:rsidRDefault="006A3DBC" w:rsidP="006A3DBC">
      <w:pPr>
        <w:spacing w:after="0" w:line="240" w:lineRule="auto"/>
        <w:jc w:val="both"/>
        <w:rPr>
          <w:rFonts w:cs="Arial"/>
        </w:rPr>
      </w:pPr>
      <w:r w:rsidRPr="00FA4B2D">
        <w:rPr>
          <w:rFonts w:cs="Arial"/>
        </w:rPr>
        <w:t xml:space="preserve">La zona oriental va desde el Valle Central hasta la frontera con Nicaragua. El Valle Central es una amplia depresión que comunica el Caribe con el Pacífico con una altura media de unos 800 m. Tanto este valle como las sierras orientales y occidentales están cortadas por los valles de profundos ríos de curso rectilíneo. En el departamento de Olancho entre las montañas que se encuentran con la montaña </w:t>
      </w:r>
      <w:r w:rsidRPr="00FA4B2D">
        <w:rPr>
          <w:rFonts w:cs="Arial"/>
        </w:rPr>
        <w:lastRenderedPageBreak/>
        <w:t xml:space="preserve">de Agalta, Patuca y La Esperanza. Así mismo está compuesto por importantes valles como El Guayape, Catacamas, Lepaguare y Agalta. Valle por su parte, en la mayor parte de su territorio no hay montañas y sobresalen las montañas de Azacuapla (Curarén) y el cerro elevado de Moropacay y se encuentran los valles de Guascorán y los Llanos, por otra parte, en este mismo departamento se encuentran las islas de El Tigre, Zacate Grande y Conejo. En Yoro se encuentra en el Alto Aguán las montañas de Piedra Blanca y La Madera, donde nace el río Aguan que recorre todo el departamento; en el medio Aguán está el valle de Olanchito y el valle del Bajo Aguán. Por otra parte, están las sierras de Gracias a Dios y la de La Esperanza que colindan con el departamento de Gracias a Dios. Adicionalmente, el departamento de Yoro comparte con Atlántida el Parque Nacional Pico Bonito.    </w:t>
      </w:r>
    </w:p>
    <w:p w14:paraId="64805338" w14:textId="77777777" w:rsidR="006A3DBC" w:rsidRPr="00FA4B2D" w:rsidRDefault="006A3DBC" w:rsidP="006A3DBC">
      <w:pPr>
        <w:spacing w:after="0" w:line="240" w:lineRule="auto"/>
        <w:jc w:val="both"/>
        <w:rPr>
          <w:rFonts w:cs="Arial"/>
        </w:rPr>
      </w:pPr>
    </w:p>
    <w:p w14:paraId="2A05761E" w14:textId="40A94058" w:rsidR="006A3DBC" w:rsidRPr="00FA4B2D" w:rsidRDefault="3A7FC69B" w:rsidP="006A3DBC">
      <w:pPr>
        <w:spacing w:after="0" w:line="240" w:lineRule="auto"/>
        <w:jc w:val="both"/>
        <w:rPr>
          <w:rFonts w:cs="Arial"/>
        </w:rPr>
      </w:pPr>
      <w:r w:rsidRPr="00FA4B2D">
        <w:rPr>
          <w:rFonts w:cs="Arial"/>
        </w:rPr>
        <w:t>La llanura costera del Caribe se extiende desde la frontera con Guatemala hasta la de Nicaragua (cabo Gracias a Dios). Se trata de una amplia llanura aluvial que penetra bastante en el interior, a través de los ríos que desembocan en el Caribe: Ulúa, Aguán, Sico y Patuca. La parte más ancha aparece en la Mos</w:t>
      </w:r>
      <w:r w:rsidR="52CFE8AC" w:rsidRPr="00FA4B2D">
        <w:rPr>
          <w:rFonts w:cs="Arial"/>
        </w:rPr>
        <w:t>kitia</w:t>
      </w:r>
      <w:r w:rsidRPr="00FA4B2D">
        <w:rPr>
          <w:rFonts w:cs="Arial"/>
        </w:rPr>
        <w:t xml:space="preserve">, o costa de los Mosquitos; rica en pantanos, lagos y albuferas. Es una región fácilmente inundable. </w:t>
      </w:r>
    </w:p>
    <w:p w14:paraId="2E913085" w14:textId="77777777" w:rsidR="006A3DBC" w:rsidRPr="00FA4B2D" w:rsidRDefault="006A3DBC" w:rsidP="006A3DBC">
      <w:pPr>
        <w:spacing w:after="0" w:line="240" w:lineRule="auto"/>
        <w:jc w:val="both"/>
        <w:rPr>
          <w:rFonts w:cs="Arial"/>
        </w:rPr>
      </w:pPr>
    </w:p>
    <w:p w14:paraId="12FF2D12" w14:textId="77777777" w:rsidR="006A3DBC" w:rsidRPr="00FA4B2D" w:rsidRDefault="006A3DBC" w:rsidP="006A3DBC">
      <w:pPr>
        <w:spacing w:after="0" w:line="240" w:lineRule="auto"/>
        <w:jc w:val="both"/>
        <w:rPr>
          <w:rFonts w:cs="Arial"/>
        </w:rPr>
      </w:pPr>
      <w:r w:rsidRPr="00FA4B2D">
        <w:rPr>
          <w:rFonts w:cs="Arial"/>
        </w:rPr>
        <w:t xml:space="preserve">La llanura del golfo de Fonseca es muy pequeña. Se trata, también, de una llanura aluvial, pero de escaso desarrollo. </w:t>
      </w:r>
    </w:p>
    <w:p w14:paraId="6270BB57" w14:textId="77777777" w:rsidR="006A3DBC" w:rsidRPr="00FA4B2D" w:rsidRDefault="006A3DBC" w:rsidP="006A3DBC">
      <w:pPr>
        <w:spacing w:after="0" w:line="240" w:lineRule="auto"/>
        <w:jc w:val="both"/>
        <w:rPr>
          <w:rFonts w:cs="Arial"/>
        </w:rPr>
      </w:pPr>
    </w:p>
    <w:p w14:paraId="30AD1586" w14:textId="23F900C6" w:rsidR="00E11023" w:rsidRDefault="00E11023" w:rsidP="00E11023">
      <w:pPr>
        <w:pStyle w:val="Descripcin"/>
        <w:keepNext/>
        <w:jc w:val="center"/>
      </w:pPr>
      <w:bookmarkStart w:id="310" w:name="_Toc202455566"/>
      <w:r>
        <w:t xml:space="preserve">Ilustración </w:t>
      </w:r>
      <w:r>
        <w:fldChar w:fldCharType="begin"/>
      </w:r>
      <w:r>
        <w:instrText xml:space="preserve"> SEQ Ilustración \* ARABIC </w:instrText>
      </w:r>
      <w:r>
        <w:fldChar w:fldCharType="separate"/>
      </w:r>
      <w:r w:rsidR="00F94AC4">
        <w:rPr>
          <w:noProof/>
        </w:rPr>
        <w:t>4</w:t>
      </w:r>
      <w:r>
        <w:fldChar w:fldCharType="end"/>
      </w:r>
      <w:r>
        <w:t xml:space="preserve"> </w:t>
      </w:r>
      <w:r w:rsidRPr="004C23C0">
        <w:t>Mapa orográfico de Honduras</w:t>
      </w:r>
      <w:bookmarkEnd w:id="310"/>
    </w:p>
    <w:p w14:paraId="564CBCBE" w14:textId="77777777" w:rsidR="006A3DBC" w:rsidRPr="00FA4B2D" w:rsidRDefault="006A3DBC" w:rsidP="006A3DBC">
      <w:pPr>
        <w:spacing w:after="0" w:line="240" w:lineRule="auto"/>
        <w:jc w:val="center"/>
        <w:rPr>
          <w:rFonts w:cs="Arial"/>
        </w:rPr>
      </w:pPr>
      <w:r w:rsidRPr="00FA4B2D">
        <w:rPr>
          <w:rFonts w:cs="Arial"/>
          <w:noProof/>
          <w:lang w:val="es-HN" w:eastAsia="es-HN"/>
        </w:rPr>
        <w:drawing>
          <wp:inline distT="0" distB="0" distL="0" distR="0" wp14:anchorId="53AA2317" wp14:editId="411108D0">
            <wp:extent cx="5403537" cy="2724150"/>
            <wp:effectExtent l="0" t="0" r="6985" b="0"/>
            <wp:docPr id="15" name="Picture 15"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12-07 (3).png"/>
                    <pic:cNvPicPr/>
                  </pic:nvPicPr>
                  <pic:blipFill rotWithShape="1">
                    <a:blip r:embed="rId19">
                      <a:extLst>
                        <a:ext uri="{28A0092B-C50C-407E-A947-70E740481C1C}">
                          <a14:useLocalDpi xmlns:a14="http://schemas.microsoft.com/office/drawing/2010/main" val="0"/>
                        </a:ext>
                      </a:extLst>
                    </a:blip>
                    <a:srcRect t="2211" b="8105"/>
                    <a:stretch/>
                  </pic:blipFill>
                  <pic:spPr bwMode="auto">
                    <a:xfrm>
                      <a:off x="0" y="0"/>
                      <a:ext cx="5433528" cy="2739270"/>
                    </a:xfrm>
                    <a:prstGeom prst="rect">
                      <a:avLst/>
                    </a:prstGeom>
                    <a:ln>
                      <a:noFill/>
                    </a:ln>
                    <a:extLst>
                      <a:ext uri="{53640926-AAD7-44D8-BBD7-CCE9431645EC}">
                        <a14:shadowObscured xmlns:a14="http://schemas.microsoft.com/office/drawing/2010/main"/>
                      </a:ext>
                    </a:extLst>
                  </pic:spPr>
                </pic:pic>
              </a:graphicData>
            </a:graphic>
          </wp:inline>
        </w:drawing>
      </w:r>
    </w:p>
    <w:p w14:paraId="58F1A3E2" w14:textId="77777777" w:rsidR="006A3DBC" w:rsidRPr="00FA4B2D" w:rsidRDefault="006A3DBC" w:rsidP="006A3DBC">
      <w:pPr>
        <w:spacing w:after="0" w:line="240" w:lineRule="auto"/>
        <w:jc w:val="both"/>
        <w:rPr>
          <w:rFonts w:cs="Arial"/>
        </w:rPr>
      </w:pPr>
    </w:p>
    <w:p w14:paraId="4928ED4B" w14:textId="77777777" w:rsidR="006A3DBC" w:rsidRPr="00FA4B2D" w:rsidRDefault="006A3DBC" w:rsidP="006A3DBC">
      <w:pPr>
        <w:spacing w:after="0" w:line="240" w:lineRule="auto"/>
        <w:jc w:val="center"/>
        <w:rPr>
          <w:rFonts w:cs="Arial"/>
        </w:rPr>
      </w:pPr>
      <w:r w:rsidRPr="00FA4B2D">
        <w:rPr>
          <w:rFonts w:cs="Arial"/>
          <w:sz w:val="20"/>
          <w:szCs w:val="20"/>
        </w:rPr>
        <w:t>Mapa Orográfico. MOSEF 2016</w:t>
      </w:r>
      <w:r w:rsidRPr="00FA4B2D">
        <w:rPr>
          <w:rFonts w:cs="Arial"/>
        </w:rPr>
        <w:t>.</w:t>
      </w:r>
    </w:p>
    <w:p w14:paraId="42242811" w14:textId="77777777" w:rsidR="006A3DBC" w:rsidRPr="00FA4B2D" w:rsidRDefault="006A3DBC" w:rsidP="006A3DBC">
      <w:pPr>
        <w:spacing w:after="0" w:line="240" w:lineRule="auto"/>
        <w:jc w:val="both"/>
        <w:rPr>
          <w:rFonts w:cs="Arial"/>
        </w:rPr>
      </w:pPr>
    </w:p>
    <w:p w14:paraId="0021FB82" w14:textId="77777777" w:rsidR="006A3DBC" w:rsidRPr="00FA4B2D" w:rsidRDefault="006A3DBC" w:rsidP="006A3DBC">
      <w:pPr>
        <w:pStyle w:val="Ttulo2"/>
        <w:spacing w:before="0" w:line="240" w:lineRule="auto"/>
        <w:ind w:left="432"/>
        <w:jc w:val="both"/>
        <w:rPr>
          <w:rFonts w:ascii="Arial" w:hAnsi="Arial" w:cs="Arial"/>
          <w:b/>
          <w:bCs/>
          <w:color w:val="767171" w:themeColor="background2" w:themeShade="80"/>
          <w:sz w:val="22"/>
          <w:szCs w:val="22"/>
        </w:rPr>
      </w:pPr>
      <w:bookmarkStart w:id="311" w:name="_Toc65884172"/>
      <w:bookmarkStart w:id="312" w:name="_Toc67573387"/>
      <w:bookmarkStart w:id="313" w:name="_Toc202456908"/>
      <w:r w:rsidRPr="00FA4B2D">
        <w:rPr>
          <w:rFonts w:ascii="Arial" w:hAnsi="Arial" w:cs="Arial"/>
          <w:b/>
          <w:bCs/>
          <w:color w:val="767171" w:themeColor="background2" w:themeShade="80"/>
          <w:sz w:val="22"/>
          <w:szCs w:val="22"/>
        </w:rPr>
        <w:t>5.3 Clima</w:t>
      </w:r>
      <w:bookmarkEnd w:id="311"/>
      <w:bookmarkEnd w:id="312"/>
      <w:bookmarkEnd w:id="313"/>
    </w:p>
    <w:p w14:paraId="32BA49D9" w14:textId="77777777" w:rsidR="006A3DBC" w:rsidRPr="00FA4B2D" w:rsidRDefault="006A3DBC" w:rsidP="006A3DBC">
      <w:pPr>
        <w:spacing w:after="0" w:line="240" w:lineRule="auto"/>
        <w:jc w:val="both"/>
        <w:rPr>
          <w:rFonts w:cs="Arial"/>
        </w:rPr>
      </w:pPr>
    </w:p>
    <w:p w14:paraId="2FAFD656" w14:textId="77777777" w:rsidR="006A3DBC" w:rsidRPr="00FA4B2D" w:rsidRDefault="006A3DBC" w:rsidP="006A3DBC">
      <w:pPr>
        <w:spacing w:after="0" w:line="240" w:lineRule="auto"/>
        <w:jc w:val="both"/>
        <w:rPr>
          <w:rFonts w:cs="Arial"/>
        </w:rPr>
      </w:pPr>
      <w:r w:rsidRPr="00FA4B2D">
        <w:rPr>
          <w:rFonts w:cs="Arial"/>
        </w:rPr>
        <w:t xml:space="preserve">El clima de Honduras según la Clasificación climática de Köppen es tropical, es decir, tiene temperaturas medias superiores a los 18 grados centígrados, por lo que nunca se producen heladas ni hay nevadas. </w:t>
      </w:r>
    </w:p>
    <w:p w14:paraId="07BE7491" w14:textId="77777777" w:rsidR="006A3DBC" w:rsidRPr="00FA4B2D" w:rsidRDefault="006A3DBC" w:rsidP="006A3DBC">
      <w:pPr>
        <w:spacing w:after="0" w:line="240" w:lineRule="auto"/>
        <w:jc w:val="both"/>
        <w:rPr>
          <w:rFonts w:cs="Arial"/>
        </w:rPr>
      </w:pPr>
      <w:r w:rsidRPr="00FA4B2D">
        <w:rPr>
          <w:rFonts w:cs="Arial"/>
        </w:rPr>
        <w:lastRenderedPageBreak/>
        <w:t xml:space="preserve">En Honduras no se presentan las condiciones típicas de las cuatro estaciones que son características de las latitudes medias; presentándose dos estaciones, una seca y otra lluviosa. </w:t>
      </w:r>
    </w:p>
    <w:p w14:paraId="308A918E" w14:textId="77777777" w:rsidR="006A3DBC" w:rsidRPr="00FA4B2D" w:rsidRDefault="006A3DBC" w:rsidP="006A3DBC">
      <w:pPr>
        <w:spacing w:after="0" w:line="240" w:lineRule="auto"/>
        <w:jc w:val="both"/>
        <w:rPr>
          <w:rFonts w:cs="Arial"/>
        </w:rPr>
      </w:pPr>
    </w:p>
    <w:p w14:paraId="4EFEB4E0" w14:textId="77777777" w:rsidR="006A3DBC" w:rsidRPr="00FA4B2D" w:rsidRDefault="006A3DBC" w:rsidP="006A3DBC">
      <w:pPr>
        <w:spacing w:after="0" w:line="240" w:lineRule="auto"/>
        <w:jc w:val="both"/>
        <w:rPr>
          <w:rFonts w:cs="Arial"/>
        </w:rPr>
      </w:pPr>
      <w:r w:rsidRPr="00FA4B2D">
        <w:rPr>
          <w:rFonts w:cs="Arial"/>
        </w:rPr>
        <w:t>- Temporada lluviosa:</w:t>
      </w:r>
    </w:p>
    <w:p w14:paraId="1C6DC95F" w14:textId="77777777" w:rsidR="006A3DBC" w:rsidRPr="00FA4B2D" w:rsidRDefault="006A3DBC" w:rsidP="006A3DBC">
      <w:pPr>
        <w:spacing w:after="0" w:line="240" w:lineRule="auto"/>
        <w:jc w:val="both"/>
        <w:rPr>
          <w:rFonts w:cs="Arial"/>
        </w:rPr>
      </w:pPr>
    </w:p>
    <w:p w14:paraId="3AD30CBE" w14:textId="77777777" w:rsidR="006A3DBC" w:rsidRPr="00FA4B2D" w:rsidRDefault="006A3DBC" w:rsidP="006A3DBC">
      <w:pPr>
        <w:spacing w:after="0" w:line="240" w:lineRule="auto"/>
        <w:jc w:val="both"/>
        <w:rPr>
          <w:rFonts w:cs="Arial"/>
        </w:rPr>
      </w:pPr>
      <w:r w:rsidRPr="00FA4B2D">
        <w:rPr>
          <w:rFonts w:cs="Arial"/>
        </w:rPr>
        <w:t xml:space="preserve">La temporada o estación lluviosa se inicia en mayo y concluye en noviembre, es el periodo donde se experimentan las temperaturas más altas y en los meses donde se registran la mayor cantidad de lluvias. Suele iniciar a finales de abril o principios de mayo con lluvias prolongadas o en algunos casos breves y con la llegada de sompopos de mayo y palomillas a las ciudades. </w:t>
      </w:r>
    </w:p>
    <w:p w14:paraId="4D9C9696" w14:textId="77777777" w:rsidR="006A3DBC" w:rsidRPr="00FA4B2D" w:rsidRDefault="006A3DBC" w:rsidP="006A3DBC">
      <w:pPr>
        <w:spacing w:after="0" w:line="240" w:lineRule="auto"/>
        <w:jc w:val="both"/>
        <w:rPr>
          <w:rFonts w:cs="Arial"/>
        </w:rPr>
      </w:pPr>
    </w:p>
    <w:p w14:paraId="0B49CFDD" w14:textId="77777777" w:rsidR="006A3DBC" w:rsidRPr="00FA4B2D" w:rsidRDefault="006A3DBC" w:rsidP="006A3DBC">
      <w:pPr>
        <w:spacing w:after="0" w:line="240" w:lineRule="auto"/>
        <w:jc w:val="both"/>
        <w:rPr>
          <w:rFonts w:cs="Arial"/>
        </w:rPr>
      </w:pPr>
      <w:r w:rsidRPr="00FA4B2D">
        <w:rPr>
          <w:rFonts w:cs="Arial"/>
        </w:rPr>
        <w:t xml:space="preserve">Este periodo lluvioso es vital para la economía del país, para la agricultura y para la captura de agua potable y para su uso y conversión en energía eléctrica en las plantas hidroeléctricas. Suele llamarse periodo de invierno o temporada de huracanes. </w:t>
      </w:r>
    </w:p>
    <w:p w14:paraId="29B7FCD2" w14:textId="77777777" w:rsidR="006A3DBC" w:rsidRPr="00FA4B2D" w:rsidRDefault="006A3DBC" w:rsidP="006A3DBC">
      <w:pPr>
        <w:spacing w:after="0" w:line="240" w:lineRule="auto"/>
        <w:jc w:val="both"/>
        <w:rPr>
          <w:rFonts w:cs="Arial"/>
        </w:rPr>
      </w:pPr>
    </w:p>
    <w:p w14:paraId="126ACC39" w14:textId="77777777" w:rsidR="006A3DBC" w:rsidRPr="00FA4B2D" w:rsidRDefault="006A3DBC" w:rsidP="006A3DBC">
      <w:pPr>
        <w:spacing w:after="0" w:line="240" w:lineRule="auto"/>
        <w:jc w:val="both"/>
        <w:rPr>
          <w:rFonts w:cs="Arial"/>
        </w:rPr>
      </w:pPr>
      <w:r w:rsidRPr="00FA4B2D">
        <w:rPr>
          <w:rFonts w:cs="Arial"/>
        </w:rPr>
        <w:t>La Canícula o veranillo es la temporada en la que se experimentan las temperaturas más calientes del año, es un periodo de pocas lluvias que se da en la temporada lluviosa, de ahí su nombre veranillo, suele durar entre cuatro y siete semanas, suele darse entre el 15 de julio y 15 de agosto de cada año.</w:t>
      </w:r>
    </w:p>
    <w:p w14:paraId="26296892" w14:textId="77777777" w:rsidR="006A3DBC" w:rsidRPr="00FA4B2D" w:rsidRDefault="006A3DBC" w:rsidP="006A3DBC">
      <w:pPr>
        <w:spacing w:after="0" w:line="240" w:lineRule="auto"/>
        <w:jc w:val="both"/>
        <w:rPr>
          <w:rFonts w:cs="Arial"/>
        </w:rPr>
      </w:pPr>
    </w:p>
    <w:p w14:paraId="3CC179C9" w14:textId="77777777" w:rsidR="006A3DBC" w:rsidRPr="00FA4B2D" w:rsidRDefault="006A3DBC" w:rsidP="006A3DBC">
      <w:pPr>
        <w:spacing w:after="0" w:line="240" w:lineRule="auto"/>
        <w:jc w:val="both"/>
        <w:rPr>
          <w:rFonts w:cs="Arial"/>
        </w:rPr>
      </w:pPr>
      <w:r w:rsidRPr="00FA4B2D">
        <w:rPr>
          <w:rFonts w:cs="Arial"/>
        </w:rPr>
        <w:t>-Temporada seca:</w:t>
      </w:r>
    </w:p>
    <w:p w14:paraId="6569DD73" w14:textId="77777777" w:rsidR="006A3DBC" w:rsidRPr="00FA4B2D" w:rsidRDefault="006A3DBC" w:rsidP="006A3DBC">
      <w:pPr>
        <w:spacing w:after="0" w:line="240" w:lineRule="auto"/>
        <w:jc w:val="both"/>
        <w:rPr>
          <w:rFonts w:cs="Arial"/>
        </w:rPr>
      </w:pPr>
    </w:p>
    <w:p w14:paraId="29615EEB" w14:textId="77777777" w:rsidR="006A3DBC" w:rsidRPr="00FA4B2D" w:rsidRDefault="006A3DBC" w:rsidP="006A3DBC">
      <w:pPr>
        <w:spacing w:after="0" w:line="240" w:lineRule="auto"/>
        <w:jc w:val="both"/>
        <w:rPr>
          <w:rFonts w:cs="Arial"/>
        </w:rPr>
      </w:pPr>
      <w:r w:rsidRPr="00FA4B2D">
        <w:rPr>
          <w:rFonts w:cs="Arial"/>
        </w:rPr>
        <w:t>Esta temporada comienza en noviembre, cuando han cesado las lluvias y la temporada de huracanes, también es llamada temporada fría. En el inicio de la temporada seca se comienzan a experimentar los frentes fríos provenientes del norte que suelen llegar durante toda la temporada hasta los meses de marzo o abril para luego pasar en mayo a la temporada lluviosa o cálida.</w:t>
      </w:r>
    </w:p>
    <w:p w14:paraId="1783248E" w14:textId="77777777" w:rsidR="006A3DBC" w:rsidRPr="00FA4B2D" w:rsidRDefault="006A3DBC" w:rsidP="006A3DBC">
      <w:pPr>
        <w:spacing w:after="0" w:line="240" w:lineRule="auto"/>
        <w:jc w:val="both"/>
        <w:rPr>
          <w:rFonts w:cs="Arial"/>
        </w:rPr>
      </w:pPr>
    </w:p>
    <w:p w14:paraId="1D1E247E" w14:textId="77777777" w:rsidR="006A3DBC" w:rsidRPr="00FA4B2D" w:rsidRDefault="006A3DBC" w:rsidP="006A3DBC">
      <w:pPr>
        <w:spacing w:after="0" w:line="240" w:lineRule="auto"/>
        <w:jc w:val="both"/>
        <w:rPr>
          <w:rFonts w:cs="Arial"/>
        </w:rPr>
      </w:pPr>
      <w:r w:rsidRPr="00FA4B2D">
        <w:rPr>
          <w:rFonts w:cs="Arial"/>
        </w:rPr>
        <w:t>El país se puede dividir en las siguientes regiones climáticas:</w:t>
      </w:r>
    </w:p>
    <w:p w14:paraId="286AC580" w14:textId="77777777" w:rsidR="006A3DBC" w:rsidRPr="00FA4B2D" w:rsidRDefault="006A3DBC" w:rsidP="006A3DBC">
      <w:pPr>
        <w:spacing w:after="0" w:line="240" w:lineRule="auto"/>
        <w:jc w:val="both"/>
        <w:rPr>
          <w:rFonts w:cs="Arial"/>
        </w:rPr>
      </w:pPr>
    </w:p>
    <w:p w14:paraId="23277D2B" w14:textId="77777777" w:rsidR="006A3DBC" w:rsidRPr="00FA4B2D" w:rsidRDefault="006A3DBC" w:rsidP="006A3DBC">
      <w:pPr>
        <w:spacing w:after="0" w:line="240" w:lineRule="auto"/>
        <w:jc w:val="both"/>
        <w:rPr>
          <w:rFonts w:cs="Arial"/>
        </w:rPr>
      </w:pPr>
      <w:r w:rsidRPr="00FA4B2D">
        <w:rPr>
          <w:rFonts w:cs="Arial"/>
        </w:rPr>
        <w:t xml:space="preserve">- Zona del litoral atlántico: </w:t>
      </w:r>
    </w:p>
    <w:p w14:paraId="3CF9A0E8" w14:textId="77777777" w:rsidR="006A3DBC" w:rsidRPr="00FA4B2D" w:rsidRDefault="006A3DBC" w:rsidP="006A3DBC">
      <w:pPr>
        <w:spacing w:after="0" w:line="240" w:lineRule="auto"/>
        <w:jc w:val="both"/>
        <w:rPr>
          <w:rFonts w:cs="Arial"/>
        </w:rPr>
      </w:pPr>
    </w:p>
    <w:p w14:paraId="4F9EA64B" w14:textId="77777777" w:rsidR="006A3DBC" w:rsidRPr="00FA4B2D" w:rsidRDefault="006A3DBC" w:rsidP="006A3DBC">
      <w:pPr>
        <w:spacing w:after="0" w:line="240" w:lineRule="auto"/>
        <w:jc w:val="both"/>
        <w:rPr>
          <w:rFonts w:cs="Arial"/>
        </w:rPr>
      </w:pPr>
      <w:r w:rsidRPr="00FA4B2D">
        <w:rPr>
          <w:rFonts w:cs="Arial"/>
        </w:rPr>
        <w:t xml:space="preserve">Esta zona que abarca Puerto Lempira, Trujillo, La Ceiba, Tela y Omoa según la clasificación climática de Köppen, pertenece al clima de Selva Tropical Húmeda, donde se presentan lluvias durante todo el año, con un promedio de 2,643 mm y 167 días con lluvias al año. La temporada más lluviosa comienza en junio con un incremento gradual hasta septiembre, presentándose un máximo absoluto en octubre, noviembre y diciembre, con un promedio de 400 mm. Los meses más lluviosos son abril a mayo con un promedio de 80 mm. </w:t>
      </w:r>
    </w:p>
    <w:p w14:paraId="145E6610" w14:textId="77777777" w:rsidR="006A3DBC" w:rsidRPr="00FA4B2D" w:rsidRDefault="006A3DBC" w:rsidP="006A3DBC">
      <w:pPr>
        <w:spacing w:after="0" w:line="240" w:lineRule="auto"/>
        <w:jc w:val="both"/>
        <w:rPr>
          <w:rFonts w:cs="Arial"/>
        </w:rPr>
      </w:pPr>
    </w:p>
    <w:p w14:paraId="047E2CFD" w14:textId="77777777" w:rsidR="006A3DBC" w:rsidRPr="00FA4B2D" w:rsidRDefault="006A3DBC" w:rsidP="006A3DBC">
      <w:pPr>
        <w:spacing w:after="0" w:line="240" w:lineRule="auto"/>
        <w:jc w:val="both"/>
        <w:rPr>
          <w:rFonts w:cs="Arial"/>
        </w:rPr>
      </w:pPr>
      <w:r w:rsidRPr="00FA4B2D">
        <w:rPr>
          <w:rFonts w:cs="Arial"/>
        </w:rPr>
        <w:t xml:space="preserve">- Zona norte interior: </w:t>
      </w:r>
    </w:p>
    <w:p w14:paraId="779089B9" w14:textId="77777777" w:rsidR="006A3DBC" w:rsidRPr="00FA4B2D" w:rsidRDefault="006A3DBC" w:rsidP="006A3DBC">
      <w:pPr>
        <w:spacing w:after="0" w:line="240" w:lineRule="auto"/>
        <w:jc w:val="both"/>
        <w:rPr>
          <w:rFonts w:cs="Arial"/>
        </w:rPr>
      </w:pPr>
    </w:p>
    <w:p w14:paraId="7F0077AA" w14:textId="77777777" w:rsidR="006A3DBC" w:rsidRPr="00FA4B2D" w:rsidRDefault="006A3DBC" w:rsidP="006A3DBC">
      <w:pPr>
        <w:spacing w:after="0" w:line="240" w:lineRule="auto"/>
        <w:jc w:val="both"/>
        <w:rPr>
          <w:rFonts w:cs="Arial"/>
        </w:rPr>
      </w:pPr>
      <w:r w:rsidRPr="00FA4B2D">
        <w:rPr>
          <w:rFonts w:cs="Arial"/>
        </w:rPr>
        <w:t xml:space="preserve">Esta zona compuesta por el Valle de Quimistán, Valle de Sula, Yoro, Olanchito, Tocoa, con un clima de Sabana Tropical, se caracteriza por tener dos estaciones; una seca que se presenta en enero hasta abril, siendo los meses de marzo y abril </w:t>
      </w:r>
      <w:r w:rsidRPr="00FA4B2D">
        <w:rPr>
          <w:rFonts w:cs="Arial"/>
        </w:rPr>
        <w:lastRenderedPageBreak/>
        <w:t>los más secos con un promedio de 25 mm. La temporada lluviosa comienza en junio y termina entre noviembre y diciembre, con precipitaciones anuales de 1,128 mm de promedio, con 150 días con lluvia anual, el mes de septiembre presenta un máximo promedio de 176 mm.</w:t>
      </w:r>
    </w:p>
    <w:p w14:paraId="4FFB9F88" w14:textId="77777777" w:rsidR="006A3DBC" w:rsidRPr="00FA4B2D" w:rsidRDefault="006A3DBC" w:rsidP="006A3DBC">
      <w:pPr>
        <w:spacing w:after="0" w:line="240" w:lineRule="auto"/>
        <w:jc w:val="both"/>
        <w:rPr>
          <w:rFonts w:cs="Arial"/>
        </w:rPr>
      </w:pPr>
    </w:p>
    <w:p w14:paraId="0323F81B" w14:textId="77777777" w:rsidR="006A3DBC" w:rsidRPr="00FA4B2D" w:rsidRDefault="006A3DBC" w:rsidP="006A3DBC">
      <w:pPr>
        <w:spacing w:after="0" w:line="240" w:lineRule="auto"/>
        <w:jc w:val="both"/>
        <w:rPr>
          <w:rFonts w:cs="Arial"/>
        </w:rPr>
      </w:pPr>
      <w:r w:rsidRPr="00FA4B2D">
        <w:rPr>
          <w:rFonts w:cs="Arial"/>
        </w:rPr>
        <w:t xml:space="preserve">- Zona central: </w:t>
      </w:r>
    </w:p>
    <w:p w14:paraId="15F1D32B" w14:textId="77777777" w:rsidR="006A3DBC" w:rsidRPr="00FA4B2D" w:rsidRDefault="006A3DBC" w:rsidP="006A3DBC">
      <w:pPr>
        <w:spacing w:after="0" w:line="240" w:lineRule="auto"/>
        <w:jc w:val="both"/>
        <w:rPr>
          <w:rFonts w:cs="Arial"/>
        </w:rPr>
      </w:pPr>
    </w:p>
    <w:p w14:paraId="793EC44E" w14:textId="77777777" w:rsidR="006A3DBC" w:rsidRPr="00FA4B2D" w:rsidRDefault="006A3DBC" w:rsidP="006A3DBC">
      <w:pPr>
        <w:spacing w:after="0" w:line="240" w:lineRule="auto"/>
        <w:jc w:val="both"/>
        <w:rPr>
          <w:rFonts w:cs="Arial"/>
        </w:rPr>
      </w:pPr>
      <w:r w:rsidRPr="00FA4B2D">
        <w:rPr>
          <w:rFonts w:cs="Arial"/>
        </w:rPr>
        <w:t xml:space="preserve">Esta zona está compuesta por los Departamento de Francisco Morazán, Comayagua, La Paz, Región Noroccidental y el Paraíso. Según Köppen, el clima de esta zona es de Sabana Tropical, se caracteriza por presentar dos estaciones, una seca y una lluviosa; la primera ocurre entre enero y abril, siendo febrero el mes más seco, con un promedio de precipitación de 8.0 mm. La temporada lluviosa, que comienza a mediados de mayo y finaliza en octubre, presenta una canícula (período en que se incrementa la frecuencia de lapsos secos), entre julio y agosto, esta temporada presenta dos máximos, uno en julio y el otro en septiembre con un promedio máximo de 211.0 mm. En septiembre. La precipitación anual media es de 1,004.0 mm, con 118 días de lluvias. </w:t>
      </w:r>
    </w:p>
    <w:p w14:paraId="77FDD134" w14:textId="77777777" w:rsidR="006A3DBC" w:rsidRPr="00FA4B2D" w:rsidRDefault="006A3DBC" w:rsidP="006A3DBC">
      <w:pPr>
        <w:spacing w:after="0" w:line="240" w:lineRule="auto"/>
        <w:jc w:val="both"/>
        <w:rPr>
          <w:rFonts w:cs="Arial"/>
        </w:rPr>
      </w:pPr>
    </w:p>
    <w:p w14:paraId="0FE90762" w14:textId="77777777" w:rsidR="006A3DBC" w:rsidRPr="00FA4B2D" w:rsidRDefault="006A3DBC" w:rsidP="006A3DBC">
      <w:pPr>
        <w:spacing w:after="0" w:line="240" w:lineRule="auto"/>
        <w:jc w:val="both"/>
        <w:rPr>
          <w:rFonts w:cs="Arial"/>
        </w:rPr>
      </w:pPr>
      <w:r w:rsidRPr="00FA4B2D">
        <w:rPr>
          <w:rFonts w:cs="Arial"/>
        </w:rPr>
        <w:t xml:space="preserve">- Zona occidental: </w:t>
      </w:r>
    </w:p>
    <w:p w14:paraId="79CCF7BD" w14:textId="77777777" w:rsidR="006A3DBC" w:rsidRPr="00FA4B2D" w:rsidRDefault="006A3DBC" w:rsidP="006A3DBC">
      <w:pPr>
        <w:spacing w:after="0" w:line="240" w:lineRule="auto"/>
        <w:jc w:val="both"/>
        <w:rPr>
          <w:rFonts w:cs="Arial"/>
        </w:rPr>
      </w:pPr>
    </w:p>
    <w:p w14:paraId="47491641" w14:textId="77777777" w:rsidR="006A3DBC" w:rsidRPr="00FA4B2D" w:rsidRDefault="006A3DBC" w:rsidP="006A3DBC">
      <w:pPr>
        <w:spacing w:after="0" w:line="240" w:lineRule="auto"/>
        <w:jc w:val="both"/>
        <w:rPr>
          <w:rFonts w:cs="Arial"/>
        </w:rPr>
      </w:pPr>
      <w:r w:rsidRPr="00FA4B2D">
        <w:rPr>
          <w:rFonts w:cs="Arial"/>
        </w:rPr>
        <w:t>Esta Zona está compuesta por Ocotepeque, Copán, Región Sur de Santa Bárbara, Intibucá y Lempira. Por su orografía, en esta zona se presentan dos tipos de clima; el primero según Köppen "Mesotérmico" con invierno (del hemisferio norte) seco, para lugares por encima de los 1,400 m que se caracteriza por tener una estación seca y otra lluviosa; la seca de diciembre a marzo con un promedio mínimo de 0.5 mm en enero y la lluviosa entre mediados de abril a noviembre con un máximo mensual en junio de 300 mm. El segundo tipo de clima es de Sabana Tropical para los lugares abajo de 1,400 m, con una temporada seca de diciembre hasta abril, con un promedio mínimo de 4.0 mm.</w:t>
      </w:r>
    </w:p>
    <w:p w14:paraId="59E79A8C" w14:textId="77777777" w:rsidR="006A3DBC" w:rsidRPr="00FA4B2D" w:rsidRDefault="006A3DBC" w:rsidP="006A3DBC">
      <w:pPr>
        <w:tabs>
          <w:tab w:val="left" w:pos="1545"/>
        </w:tabs>
        <w:spacing w:after="0" w:line="240" w:lineRule="auto"/>
        <w:jc w:val="both"/>
        <w:rPr>
          <w:rFonts w:cs="Arial"/>
        </w:rPr>
      </w:pPr>
      <w:r w:rsidRPr="00FA4B2D">
        <w:rPr>
          <w:rFonts w:cs="Arial"/>
        </w:rPr>
        <w:tab/>
      </w:r>
    </w:p>
    <w:p w14:paraId="763FA984" w14:textId="77777777" w:rsidR="006A3DBC" w:rsidRPr="00FA4B2D" w:rsidRDefault="006A3DBC" w:rsidP="006A3DBC">
      <w:pPr>
        <w:spacing w:after="0" w:line="240" w:lineRule="auto"/>
        <w:jc w:val="both"/>
        <w:rPr>
          <w:rFonts w:cs="Arial"/>
        </w:rPr>
      </w:pPr>
      <w:r w:rsidRPr="00FA4B2D">
        <w:rPr>
          <w:rFonts w:cs="Arial"/>
        </w:rPr>
        <w:t xml:space="preserve"> - Zona oriental:</w:t>
      </w:r>
    </w:p>
    <w:p w14:paraId="035714A8" w14:textId="77777777" w:rsidR="006A3DBC" w:rsidRPr="00FA4B2D" w:rsidRDefault="006A3DBC" w:rsidP="006A3DBC">
      <w:pPr>
        <w:spacing w:after="0" w:line="240" w:lineRule="auto"/>
        <w:jc w:val="both"/>
        <w:rPr>
          <w:rFonts w:cs="Arial"/>
        </w:rPr>
      </w:pPr>
    </w:p>
    <w:p w14:paraId="3EC0337E" w14:textId="77777777" w:rsidR="006A3DBC" w:rsidRPr="00FA4B2D" w:rsidRDefault="006A3DBC" w:rsidP="006A3DBC">
      <w:pPr>
        <w:spacing w:after="0" w:line="240" w:lineRule="auto"/>
        <w:jc w:val="both"/>
        <w:rPr>
          <w:rFonts w:cs="Arial"/>
        </w:rPr>
      </w:pPr>
      <w:r w:rsidRPr="00FA4B2D">
        <w:rPr>
          <w:rFonts w:cs="Arial"/>
        </w:rPr>
        <w:t xml:space="preserve"> Incluye la región Sur de Gracias a Dios, Región Nororiental de El Paraíso y Olancho, Con un tipo de clima de Sabana Tropical, esta zona se caracteriza por tener dos estaciones; una seca entre SITUACIÓN ACTUAL 5 diciembre y abril, con febrero siendo el mes más seco con un promedio de 19.0 mm. La estación lluviosa se presenta desde mayo a noviembre y tiene un promedio mensual máximo en septiembre de 211.0 mm. La precipitación anual es de 1,200 mm, con 153 días con lluvia, una humedad relativa promedio de 74%.  La región de Gracias a Dios presenta altas temperaturas y mucha precipitación durante todo el año.</w:t>
      </w:r>
    </w:p>
    <w:p w14:paraId="6E844708" w14:textId="77777777" w:rsidR="006A3DBC" w:rsidRPr="00FA4B2D" w:rsidRDefault="006A3DBC" w:rsidP="006A3DBC">
      <w:pPr>
        <w:spacing w:after="0" w:line="240" w:lineRule="auto"/>
        <w:jc w:val="both"/>
        <w:rPr>
          <w:rFonts w:cs="Arial"/>
        </w:rPr>
      </w:pPr>
    </w:p>
    <w:p w14:paraId="6F382AC4" w14:textId="77777777" w:rsidR="006A3DBC" w:rsidRPr="00FA4B2D" w:rsidRDefault="006A3DBC" w:rsidP="006A3DBC">
      <w:pPr>
        <w:spacing w:after="0" w:line="240" w:lineRule="auto"/>
        <w:jc w:val="both"/>
        <w:rPr>
          <w:rFonts w:cs="Arial"/>
        </w:rPr>
      </w:pPr>
      <w:r w:rsidRPr="00FA4B2D">
        <w:rPr>
          <w:rFonts w:cs="Arial"/>
        </w:rPr>
        <w:t xml:space="preserve">- Zona sur: </w:t>
      </w:r>
    </w:p>
    <w:p w14:paraId="58CD8C80" w14:textId="77777777" w:rsidR="006A3DBC" w:rsidRPr="00FA4B2D" w:rsidRDefault="006A3DBC" w:rsidP="006A3DBC">
      <w:pPr>
        <w:spacing w:after="0" w:line="240" w:lineRule="auto"/>
        <w:jc w:val="both"/>
        <w:rPr>
          <w:rFonts w:cs="Arial"/>
        </w:rPr>
      </w:pPr>
    </w:p>
    <w:p w14:paraId="6093E889" w14:textId="77777777" w:rsidR="006A3DBC" w:rsidRPr="00FA4B2D" w:rsidRDefault="006A3DBC" w:rsidP="006A3DBC">
      <w:pPr>
        <w:spacing w:after="0" w:line="240" w:lineRule="auto"/>
        <w:jc w:val="both"/>
        <w:rPr>
          <w:rFonts w:cs="Arial"/>
        </w:rPr>
      </w:pPr>
      <w:r w:rsidRPr="00FA4B2D">
        <w:rPr>
          <w:rFonts w:cs="Arial"/>
        </w:rPr>
        <w:t xml:space="preserve">Incluye los Departamentos de Choluteca, Valle, Sur de Francisco Morazán y Región sur oriental de El Paraíso, Con un clima de Sabana Tropical según Köppen, esta zona presenta una estación seca de diciembre hasta abril con un promedio mensual de 3.O mm. La estación lluviosa ocurre de mayo a octubre con una canícula entre </w:t>
      </w:r>
      <w:r w:rsidRPr="00FA4B2D">
        <w:rPr>
          <w:rFonts w:cs="Arial"/>
        </w:rPr>
        <w:lastRenderedPageBreak/>
        <w:t>julio y agosto, el máximo absoluto se presenta en septiembre con 345.0 mm como promedio. La precipitación media anual es de 1,680 mm en 102 días lluviosos y una humedad relativa de 66%.</w:t>
      </w:r>
    </w:p>
    <w:p w14:paraId="254CA809" w14:textId="77777777" w:rsidR="006A3DBC" w:rsidRPr="00FA4B2D" w:rsidRDefault="006A3DBC" w:rsidP="006A3DBC">
      <w:pPr>
        <w:spacing w:after="0" w:line="240" w:lineRule="auto"/>
        <w:jc w:val="both"/>
        <w:rPr>
          <w:rFonts w:cs="Arial"/>
        </w:rPr>
      </w:pPr>
    </w:p>
    <w:p w14:paraId="08D73A10" w14:textId="77777777" w:rsidR="006A3DBC" w:rsidRPr="00FA4B2D" w:rsidRDefault="006A3DBC" w:rsidP="006A3DBC">
      <w:pPr>
        <w:pStyle w:val="Ttulo2"/>
        <w:spacing w:before="0" w:line="240" w:lineRule="auto"/>
        <w:ind w:left="432"/>
        <w:jc w:val="both"/>
        <w:rPr>
          <w:rFonts w:ascii="Arial" w:hAnsi="Arial" w:cs="Arial"/>
          <w:b/>
          <w:bCs/>
          <w:color w:val="767171" w:themeColor="background2" w:themeShade="80"/>
          <w:sz w:val="22"/>
          <w:szCs w:val="22"/>
        </w:rPr>
      </w:pPr>
      <w:bookmarkStart w:id="314" w:name="_Toc67573388"/>
      <w:bookmarkStart w:id="315" w:name="_Toc202456909"/>
      <w:r w:rsidRPr="00FA4B2D">
        <w:rPr>
          <w:rFonts w:ascii="Arial" w:hAnsi="Arial" w:cs="Arial"/>
          <w:b/>
          <w:bCs/>
          <w:color w:val="767171" w:themeColor="background2" w:themeShade="80"/>
          <w:sz w:val="22"/>
          <w:szCs w:val="22"/>
        </w:rPr>
        <w:t xml:space="preserve">5.4 </w:t>
      </w:r>
      <w:bookmarkStart w:id="316" w:name="_Toc65884173"/>
      <w:r w:rsidRPr="00FA4B2D">
        <w:rPr>
          <w:rFonts w:ascii="Arial" w:hAnsi="Arial" w:cs="Arial"/>
          <w:b/>
          <w:bCs/>
          <w:color w:val="767171" w:themeColor="background2" w:themeShade="80"/>
          <w:sz w:val="22"/>
          <w:szCs w:val="22"/>
        </w:rPr>
        <w:t>Biodiversidad y Áreas Protegidas</w:t>
      </w:r>
      <w:bookmarkEnd w:id="314"/>
      <w:bookmarkEnd w:id="315"/>
      <w:bookmarkEnd w:id="316"/>
    </w:p>
    <w:p w14:paraId="43DB34A8" w14:textId="77777777" w:rsidR="006A3DBC" w:rsidRPr="00FA4B2D" w:rsidRDefault="006A3DBC" w:rsidP="006A3DBC">
      <w:pPr>
        <w:pStyle w:val="Prrafodelista"/>
        <w:ind w:left="792"/>
        <w:rPr>
          <w:rFonts w:cs="Arial"/>
        </w:rPr>
      </w:pPr>
    </w:p>
    <w:p w14:paraId="4B7FD763" w14:textId="77777777" w:rsidR="006A3DBC" w:rsidRPr="00FA4B2D" w:rsidRDefault="006A3DBC" w:rsidP="006A3DBC">
      <w:pPr>
        <w:spacing w:after="0" w:line="240" w:lineRule="auto"/>
        <w:jc w:val="both"/>
        <w:rPr>
          <w:rFonts w:cs="Arial"/>
          <w:b/>
          <w:vanish/>
        </w:rPr>
      </w:pPr>
    </w:p>
    <w:p w14:paraId="0276E050" w14:textId="77777777" w:rsidR="006A3DBC" w:rsidRPr="00FA4B2D" w:rsidRDefault="006A3DBC" w:rsidP="006A3DBC">
      <w:pPr>
        <w:spacing w:after="0" w:line="240" w:lineRule="auto"/>
        <w:ind w:left="864"/>
        <w:jc w:val="both"/>
        <w:rPr>
          <w:rFonts w:cs="Arial"/>
          <w:b/>
        </w:rPr>
      </w:pPr>
      <w:r w:rsidRPr="00FA4B2D">
        <w:rPr>
          <w:rFonts w:cs="Arial"/>
          <w:b/>
        </w:rPr>
        <w:t>5.4.1 Ecosistemas</w:t>
      </w:r>
    </w:p>
    <w:p w14:paraId="25880D65" w14:textId="77777777" w:rsidR="006A3DBC" w:rsidRPr="00FA4B2D" w:rsidRDefault="006A3DBC" w:rsidP="006A3DBC">
      <w:pPr>
        <w:pStyle w:val="Prrafodelista"/>
        <w:spacing w:after="0" w:line="240" w:lineRule="auto"/>
        <w:ind w:left="360"/>
        <w:jc w:val="both"/>
        <w:rPr>
          <w:rFonts w:cs="Arial"/>
        </w:rPr>
      </w:pPr>
    </w:p>
    <w:p w14:paraId="6F76953C" w14:textId="77777777" w:rsidR="006A3DBC" w:rsidRPr="00FA4B2D" w:rsidRDefault="006A3DBC" w:rsidP="006A3DBC">
      <w:pPr>
        <w:spacing w:after="0" w:line="240" w:lineRule="auto"/>
        <w:jc w:val="both"/>
        <w:rPr>
          <w:rFonts w:cs="Arial"/>
        </w:rPr>
      </w:pPr>
      <w:r w:rsidRPr="00FA4B2D">
        <w:rPr>
          <w:rFonts w:cs="Arial"/>
        </w:rPr>
        <w:t xml:space="preserve">Según (Dinerstein et al., 1995) en Honduras se encuentran 3 de las 5 biorregiones y 4 de los 11 hábitats más importantes de Latinoamérica, que corresponden a las siguientes biorregiones: Bosque Montano de América Central y Bosque del Atlántico de América Central, Bosque seco del Pacífico de América Central, Bosque de Pino-Roble de América Central, Humedales Caribe y Pacífico de América Central. </w:t>
      </w:r>
    </w:p>
    <w:p w14:paraId="334822D2" w14:textId="77777777" w:rsidR="006A3DBC" w:rsidRPr="00FA4B2D" w:rsidRDefault="006A3DBC" w:rsidP="006A3DBC">
      <w:pPr>
        <w:spacing w:after="0" w:line="240" w:lineRule="auto"/>
        <w:jc w:val="both"/>
        <w:rPr>
          <w:rFonts w:cs="Arial"/>
        </w:rPr>
      </w:pPr>
    </w:p>
    <w:p w14:paraId="716CAE39" w14:textId="77777777" w:rsidR="006A3DBC" w:rsidRPr="00FA4B2D" w:rsidRDefault="006A3DBC" w:rsidP="006A3DBC">
      <w:pPr>
        <w:spacing w:after="0" w:line="240" w:lineRule="auto"/>
        <w:jc w:val="both"/>
        <w:rPr>
          <w:rFonts w:cs="Arial"/>
        </w:rPr>
      </w:pPr>
      <w:r w:rsidRPr="00FA4B2D">
        <w:rPr>
          <w:rFonts w:cs="Arial"/>
        </w:rPr>
        <w:t>Existen 8 zonas de vida del país: bosque húmedo montano bajo (bh-MB), bosque húmedo subtropical (bh-ST), bosque muy húmedo montano bajo (bmh-MB), bosque seco subtropical (bsST), bosque húmedo tropical (bh-T), bosque muy húmedo subtropical (bmh-ST), bosque muy seco tropical (bms-T), y bosque seco tropical (bs-T) (SERNA, 2008).</w:t>
      </w:r>
    </w:p>
    <w:p w14:paraId="7164BC09" w14:textId="77777777" w:rsidR="006A3DBC" w:rsidRPr="00FA4B2D" w:rsidRDefault="006A3DBC" w:rsidP="006A3DBC">
      <w:pPr>
        <w:spacing w:after="0" w:line="240" w:lineRule="auto"/>
        <w:jc w:val="both"/>
        <w:rPr>
          <w:rFonts w:cs="Arial"/>
        </w:rPr>
      </w:pPr>
    </w:p>
    <w:p w14:paraId="408EA4DF" w14:textId="77777777" w:rsidR="006A3DBC" w:rsidRPr="00FA4B2D" w:rsidRDefault="006A3DBC" w:rsidP="006A3DBC">
      <w:pPr>
        <w:spacing w:after="0" w:line="240" w:lineRule="auto"/>
        <w:jc w:val="both"/>
        <w:rPr>
          <w:rFonts w:cs="Arial"/>
        </w:rPr>
      </w:pPr>
      <w:r w:rsidRPr="00FA4B2D">
        <w:rPr>
          <w:rFonts w:cs="Arial"/>
        </w:rPr>
        <w:t>De acuerdo con el Mapa Nacional de Ecosistema Vegétales de Honduras, elaborado bajo el sistema de clasificación UNESCO, existen en el país 70 ecosistemas, incluye humedales, manglares, ecosistemas marino-costeros y varias islas, islotes y cayos tanto en el Atlántico como en el Pacífico.</w:t>
      </w:r>
    </w:p>
    <w:p w14:paraId="3B57E5BD" w14:textId="77777777" w:rsidR="006A3DBC" w:rsidRPr="00FA4B2D" w:rsidRDefault="006A3DBC" w:rsidP="006A3DBC">
      <w:pPr>
        <w:spacing w:after="0" w:line="240" w:lineRule="auto"/>
        <w:jc w:val="both"/>
        <w:rPr>
          <w:rFonts w:cs="Arial"/>
        </w:rPr>
      </w:pPr>
    </w:p>
    <w:p w14:paraId="36155EA0" w14:textId="0DE05651" w:rsidR="006A3DBC" w:rsidRPr="00FA4B2D" w:rsidRDefault="00AC6A20" w:rsidP="00AC6A20">
      <w:pPr>
        <w:jc w:val="both"/>
        <w:rPr>
          <w:rFonts w:cs="Arial"/>
        </w:rPr>
      </w:pPr>
      <w:r w:rsidRPr="00FA4B2D">
        <w:rPr>
          <w:rFonts w:cs="Arial"/>
        </w:rPr>
        <w:t>La Region de la Moskitia es una de las regionales que cuenta con una diversidad de ecosistemas, como ser los tres ríos de suma importancia, ecosistemas lagunares que constituye la mayor reserva de agua dulce, bosques de coníferas, latifoliado y manglares, diversidad de fauna y cultura</w:t>
      </w:r>
      <w:r w:rsidR="006A3DBC" w:rsidRPr="00FA4B2D">
        <w:rPr>
          <w:rFonts w:cs="Arial"/>
          <w:vertAlign w:val="superscript"/>
        </w:rPr>
        <w:footnoteReference w:id="6"/>
      </w:r>
      <w:r w:rsidR="006A3DBC" w:rsidRPr="00FA4B2D">
        <w:rPr>
          <w:rFonts w:cs="Arial"/>
        </w:rPr>
        <w:t>.</w:t>
      </w:r>
    </w:p>
    <w:p w14:paraId="4B42AABC" w14:textId="77777777" w:rsidR="006A3DBC" w:rsidRPr="00FA4B2D" w:rsidRDefault="006A3DBC" w:rsidP="006A3DBC">
      <w:pPr>
        <w:spacing w:after="0" w:line="240" w:lineRule="auto"/>
        <w:jc w:val="both"/>
        <w:rPr>
          <w:rFonts w:cs="Arial"/>
          <w:b/>
        </w:rPr>
      </w:pPr>
      <w:r w:rsidRPr="00FA4B2D">
        <w:rPr>
          <w:rFonts w:cs="Arial"/>
          <w:b/>
        </w:rPr>
        <w:t>Vegetación:</w:t>
      </w:r>
    </w:p>
    <w:p w14:paraId="579CC224" w14:textId="77777777" w:rsidR="006A3DBC" w:rsidRPr="00FA4B2D" w:rsidRDefault="006A3DBC" w:rsidP="006A3DBC">
      <w:pPr>
        <w:spacing w:after="0" w:line="240" w:lineRule="auto"/>
        <w:jc w:val="both"/>
        <w:rPr>
          <w:rFonts w:cs="Arial"/>
        </w:rPr>
      </w:pPr>
    </w:p>
    <w:p w14:paraId="33D0C2BC" w14:textId="77777777" w:rsidR="006A3DBC" w:rsidRPr="00FA4B2D" w:rsidRDefault="006A3DBC" w:rsidP="006A3DBC">
      <w:pPr>
        <w:spacing w:after="0" w:line="240" w:lineRule="auto"/>
        <w:jc w:val="both"/>
        <w:rPr>
          <w:rFonts w:cs="Arial"/>
        </w:rPr>
      </w:pPr>
      <w:r w:rsidRPr="00FA4B2D">
        <w:rPr>
          <w:rFonts w:cs="Arial"/>
        </w:rPr>
        <w:t>La superficie forestal de Honduras es de 7,034,703.60 Ha (62%), agrupando las categorías de bosque latifoliado, mixto, conífera, mangle, vegetación secundaria y sabana:</w:t>
      </w:r>
    </w:p>
    <w:p w14:paraId="6ACB7019" w14:textId="77777777" w:rsidR="006A3DBC" w:rsidRPr="00FA4B2D" w:rsidRDefault="006A3DBC" w:rsidP="006A3DBC">
      <w:pPr>
        <w:spacing w:after="0" w:line="240" w:lineRule="auto"/>
        <w:jc w:val="both"/>
        <w:rPr>
          <w:rFonts w:cs="Arial"/>
        </w:rPr>
      </w:pPr>
    </w:p>
    <w:p w14:paraId="19986C11" w14:textId="77777777" w:rsidR="006A3DBC" w:rsidRPr="00FA4B2D" w:rsidRDefault="006A3DBC" w:rsidP="006A3DBC">
      <w:pPr>
        <w:spacing w:after="0" w:line="240" w:lineRule="auto"/>
        <w:jc w:val="both"/>
        <w:rPr>
          <w:rFonts w:cs="Arial"/>
        </w:rPr>
      </w:pPr>
      <w:r w:rsidRPr="00FA4B2D">
        <w:rPr>
          <w:rFonts w:cs="Arial"/>
        </w:rPr>
        <w:t xml:space="preserve">Los bosques de encinos y de pinos son numerosos en las zonas frías más altas. Hay, además, especies maderables nobles, como la caoba, el cedro y otras. Los pastizales de sabana cubren las regiones más secas de Honduras; los más fértiles sirven de base para la producción ganadera con que cuenta el país. En la costa del Pacífico predomina la vegetación tropical de manglares y en la costa oriental hay bosques de palmeras. Los bosques de árboles latifoliados del país representan un 44.1% de la superficie forestal. Se encuentran ubicados principalmente en la zona norte y este de Honduras, donde se presentan abundantes lluvias bien distribuidas </w:t>
      </w:r>
      <w:r w:rsidRPr="00FA4B2D">
        <w:rPr>
          <w:rFonts w:cs="Arial"/>
        </w:rPr>
        <w:lastRenderedPageBreak/>
        <w:t>durante todo el año. Por su composición florística este bosque proporciona servicios y productos invaluables a los pobladores que habitan en estas zonas.</w:t>
      </w:r>
      <w:r w:rsidRPr="00FA4B2D">
        <w:rPr>
          <w:rStyle w:val="Refdenotaalpie"/>
          <w:rFonts w:cs="Arial"/>
        </w:rPr>
        <w:footnoteReference w:id="7"/>
      </w:r>
    </w:p>
    <w:p w14:paraId="07767AC2" w14:textId="77777777" w:rsidR="006A3DBC" w:rsidRPr="00FA4B2D" w:rsidRDefault="006A3DBC" w:rsidP="006A3DBC">
      <w:pPr>
        <w:spacing w:after="0" w:line="240" w:lineRule="auto"/>
        <w:jc w:val="both"/>
        <w:rPr>
          <w:rFonts w:cs="Arial"/>
        </w:rPr>
      </w:pPr>
    </w:p>
    <w:p w14:paraId="409BBC48" w14:textId="3C6B8ED5" w:rsidR="00E11023" w:rsidRDefault="00E11023" w:rsidP="00E11023">
      <w:pPr>
        <w:pStyle w:val="Descripcin"/>
        <w:keepNext/>
      </w:pPr>
      <w:bookmarkStart w:id="317" w:name="_Toc202455430"/>
      <w:r>
        <w:t xml:space="preserve">Tabla </w:t>
      </w:r>
      <w:r>
        <w:fldChar w:fldCharType="begin"/>
      </w:r>
      <w:r>
        <w:instrText xml:space="preserve"> SEQ Tabla \* ARABIC </w:instrText>
      </w:r>
      <w:r>
        <w:fldChar w:fldCharType="separate"/>
      </w:r>
      <w:r w:rsidR="000E6D86">
        <w:rPr>
          <w:noProof/>
        </w:rPr>
        <w:t>4</w:t>
      </w:r>
      <w:r>
        <w:fldChar w:fldCharType="end"/>
      </w:r>
      <w:r>
        <w:t xml:space="preserve">: </w:t>
      </w:r>
      <w:r w:rsidRPr="00A72636">
        <w:t>Macro categorías de Bosque</w:t>
      </w:r>
      <w:bookmarkEnd w:id="317"/>
    </w:p>
    <w:tbl>
      <w:tblPr>
        <w:tblW w:w="9094" w:type="dxa"/>
        <w:tblLook w:val="04A0" w:firstRow="1" w:lastRow="0" w:firstColumn="1" w:lastColumn="0" w:noHBand="0" w:noVBand="1"/>
      </w:tblPr>
      <w:tblGrid>
        <w:gridCol w:w="612"/>
        <w:gridCol w:w="1635"/>
        <w:gridCol w:w="2961"/>
        <w:gridCol w:w="1225"/>
        <w:gridCol w:w="1496"/>
        <w:gridCol w:w="1165"/>
      </w:tblGrid>
      <w:tr w:rsidR="006A3DBC" w:rsidRPr="00FA4B2D" w14:paraId="1494C008" w14:textId="77777777" w:rsidTr="00E11023">
        <w:trPr>
          <w:trHeight w:val="274"/>
          <w:tblHeader/>
        </w:trPr>
        <w:tc>
          <w:tcPr>
            <w:tcW w:w="2247" w:type="dxa"/>
            <w:gridSpan w:val="2"/>
            <w:shd w:val="clear" w:color="auto" w:fill="5CC5DA"/>
            <w:noWrap/>
            <w:hideMark/>
          </w:tcPr>
          <w:p w14:paraId="0471F750" w14:textId="77777777" w:rsidR="006A3DBC" w:rsidRPr="00FA4B2D" w:rsidRDefault="006A3DBC" w:rsidP="005F4A92">
            <w:pPr>
              <w:jc w:val="center"/>
              <w:rPr>
                <w:rFonts w:cs="Arial"/>
                <w:b/>
                <w:color w:val="171717" w:themeColor="background2" w:themeShade="1A"/>
                <w:sz w:val="18"/>
                <w:szCs w:val="18"/>
              </w:rPr>
            </w:pPr>
            <w:r w:rsidRPr="00FA4B2D">
              <w:rPr>
                <w:rFonts w:cs="Arial"/>
                <w:b/>
                <w:color w:val="171717" w:themeColor="background2" w:themeShade="1A"/>
                <w:sz w:val="18"/>
                <w:szCs w:val="18"/>
              </w:rPr>
              <w:t>Macrocategorias</w:t>
            </w:r>
          </w:p>
        </w:tc>
        <w:tc>
          <w:tcPr>
            <w:tcW w:w="2961" w:type="dxa"/>
            <w:shd w:val="clear" w:color="auto" w:fill="5CC5DA"/>
            <w:noWrap/>
            <w:hideMark/>
          </w:tcPr>
          <w:p w14:paraId="23295B6E" w14:textId="77777777" w:rsidR="006A3DBC" w:rsidRPr="00FA4B2D" w:rsidRDefault="006A3DBC" w:rsidP="005F4A92">
            <w:pPr>
              <w:jc w:val="center"/>
              <w:rPr>
                <w:rFonts w:cs="Arial"/>
                <w:b/>
                <w:color w:val="171717" w:themeColor="background2" w:themeShade="1A"/>
                <w:sz w:val="18"/>
                <w:szCs w:val="18"/>
              </w:rPr>
            </w:pPr>
            <w:r w:rsidRPr="00FA4B2D">
              <w:rPr>
                <w:rFonts w:cs="Arial"/>
                <w:b/>
                <w:color w:val="171717" w:themeColor="background2" w:themeShade="1A"/>
                <w:sz w:val="18"/>
                <w:szCs w:val="18"/>
              </w:rPr>
              <w:t>Categorías</w:t>
            </w:r>
          </w:p>
        </w:tc>
        <w:tc>
          <w:tcPr>
            <w:tcW w:w="1225" w:type="dxa"/>
            <w:shd w:val="clear" w:color="auto" w:fill="5CC5DA"/>
            <w:noWrap/>
            <w:hideMark/>
          </w:tcPr>
          <w:p w14:paraId="04A55A9D" w14:textId="77777777" w:rsidR="006A3DBC" w:rsidRPr="00FA4B2D" w:rsidRDefault="006A3DBC" w:rsidP="005F4A92">
            <w:pPr>
              <w:jc w:val="center"/>
              <w:rPr>
                <w:rFonts w:cs="Arial"/>
                <w:b/>
                <w:color w:val="171717" w:themeColor="background2" w:themeShade="1A"/>
                <w:sz w:val="18"/>
                <w:szCs w:val="18"/>
              </w:rPr>
            </w:pPr>
            <w:r w:rsidRPr="00FA4B2D">
              <w:rPr>
                <w:rFonts w:cs="Arial"/>
                <w:b/>
                <w:color w:val="171717" w:themeColor="background2" w:themeShade="1A"/>
                <w:sz w:val="18"/>
                <w:szCs w:val="18"/>
              </w:rPr>
              <w:t>Superficie Km²</w:t>
            </w:r>
          </w:p>
        </w:tc>
        <w:tc>
          <w:tcPr>
            <w:tcW w:w="1496" w:type="dxa"/>
            <w:shd w:val="clear" w:color="auto" w:fill="5CC5DA"/>
            <w:noWrap/>
            <w:hideMark/>
          </w:tcPr>
          <w:p w14:paraId="5691EFBB" w14:textId="77777777" w:rsidR="006A3DBC" w:rsidRPr="00FA4B2D" w:rsidRDefault="006A3DBC" w:rsidP="005F4A92">
            <w:pPr>
              <w:jc w:val="center"/>
              <w:rPr>
                <w:rFonts w:cs="Arial"/>
                <w:b/>
                <w:color w:val="171717" w:themeColor="background2" w:themeShade="1A"/>
                <w:sz w:val="18"/>
                <w:szCs w:val="18"/>
              </w:rPr>
            </w:pPr>
            <w:r w:rsidRPr="00FA4B2D">
              <w:rPr>
                <w:rFonts w:cs="Arial"/>
                <w:b/>
                <w:color w:val="171717" w:themeColor="background2" w:themeShade="1A"/>
                <w:sz w:val="18"/>
                <w:szCs w:val="18"/>
              </w:rPr>
              <w:t>Superficie ha</w:t>
            </w:r>
          </w:p>
        </w:tc>
        <w:tc>
          <w:tcPr>
            <w:tcW w:w="1165" w:type="dxa"/>
            <w:shd w:val="clear" w:color="auto" w:fill="5CC5DA"/>
            <w:noWrap/>
            <w:hideMark/>
          </w:tcPr>
          <w:p w14:paraId="37A6C9B4" w14:textId="77777777" w:rsidR="006A3DBC" w:rsidRPr="00FA4B2D" w:rsidRDefault="006A3DBC" w:rsidP="005F4A92">
            <w:pPr>
              <w:jc w:val="center"/>
              <w:rPr>
                <w:rFonts w:cs="Arial"/>
                <w:b/>
                <w:color w:val="171717" w:themeColor="background2" w:themeShade="1A"/>
                <w:sz w:val="18"/>
                <w:szCs w:val="18"/>
              </w:rPr>
            </w:pPr>
            <w:r w:rsidRPr="00FA4B2D">
              <w:rPr>
                <w:rFonts w:cs="Arial"/>
                <w:b/>
                <w:color w:val="171717" w:themeColor="background2" w:themeShade="1A"/>
                <w:sz w:val="18"/>
                <w:szCs w:val="18"/>
              </w:rPr>
              <w:t>Superficie %</w:t>
            </w:r>
          </w:p>
        </w:tc>
      </w:tr>
      <w:tr w:rsidR="006A3DBC" w:rsidRPr="00FA4B2D" w14:paraId="2D84A41E" w14:textId="77777777" w:rsidTr="00E11023">
        <w:trPr>
          <w:trHeight w:val="274"/>
        </w:trPr>
        <w:tc>
          <w:tcPr>
            <w:tcW w:w="2247" w:type="dxa"/>
            <w:gridSpan w:val="2"/>
            <w:vMerge w:val="restart"/>
            <w:hideMark/>
          </w:tcPr>
          <w:p w14:paraId="2997AAE1" w14:textId="77777777" w:rsidR="006A3DBC" w:rsidRPr="00FA4B2D" w:rsidRDefault="006A3DBC" w:rsidP="005F4A92">
            <w:pPr>
              <w:rPr>
                <w:rFonts w:cs="Arial"/>
                <w:sz w:val="18"/>
                <w:szCs w:val="18"/>
              </w:rPr>
            </w:pPr>
            <w:r w:rsidRPr="00FA4B2D">
              <w:rPr>
                <w:rFonts w:cs="Arial"/>
                <w:sz w:val="18"/>
                <w:szCs w:val="18"/>
              </w:rPr>
              <w:t>Bosque</w:t>
            </w:r>
          </w:p>
        </w:tc>
        <w:tc>
          <w:tcPr>
            <w:tcW w:w="2961" w:type="dxa"/>
            <w:noWrap/>
            <w:hideMark/>
          </w:tcPr>
          <w:p w14:paraId="3A834784" w14:textId="77777777" w:rsidR="006A3DBC" w:rsidRPr="00FA4B2D" w:rsidRDefault="006A3DBC" w:rsidP="005F4A92">
            <w:pPr>
              <w:rPr>
                <w:rFonts w:cs="Arial"/>
                <w:sz w:val="18"/>
                <w:szCs w:val="18"/>
              </w:rPr>
            </w:pPr>
            <w:r w:rsidRPr="00FA4B2D">
              <w:rPr>
                <w:rFonts w:cs="Arial"/>
                <w:sz w:val="18"/>
                <w:szCs w:val="18"/>
              </w:rPr>
              <w:t>Bosque Latifoliados Húmedo</w:t>
            </w:r>
          </w:p>
        </w:tc>
        <w:tc>
          <w:tcPr>
            <w:tcW w:w="1225" w:type="dxa"/>
            <w:noWrap/>
            <w:hideMark/>
          </w:tcPr>
          <w:p w14:paraId="595B5B42" w14:textId="77777777" w:rsidR="006A3DBC" w:rsidRPr="00FA4B2D" w:rsidRDefault="006A3DBC" w:rsidP="005F4A92">
            <w:pPr>
              <w:rPr>
                <w:rFonts w:cs="Arial"/>
                <w:sz w:val="18"/>
                <w:szCs w:val="18"/>
              </w:rPr>
            </w:pPr>
            <w:r w:rsidRPr="00FA4B2D">
              <w:rPr>
                <w:rFonts w:cs="Arial"/>
                <w:sz w:val="18"/>
                <w:szCs w:val="18"/>
              </w:rPr>
              <w:t>25,787.3</w:t>
            </w:r>
          </w:p>
        </w:tc>
        <w:tc>
          <w:tcPr>
            <w:tcW w:w="1496" w:type="dxa"/>
            <w:noWrap/>
            <w:hideMark/>
          </w:tcPr>
          <w:p w14:paraId="20C8D7AF" w14:textId="77777777" w:rsidR="006A3DBC" w:rsidRPr="00FA4B2D" w:rsidRDefault="006A3DBC" w:rsidP="005F4A92">
            <w:pPr>
              <w:rPr>
                <w:rFonts w:cs="Arial"/>
                <w:sz w:val="18"/>
                <w:szCs w:val="18"/>
              </w:rPr>
            </w:pPr>
            <w:r w:rsidRPr="00FA4B2D">
              <w:rPr>
                <w:rFonts w:cs="Arial"/>
                <w:sz w:val="18"/>
                <w:szCs w:val="18"/>
              </w:rPr>
              <w:t>2,578,729.0</w:t>
            </w:r>
          </w:p>
        </w:tc>
        <w:tc>
          <w:tcPr>
            <w:tcW w:w="1165" w:type="dxa"/>
            <w:noWrap/>
            <w:hideMark/>
          </w:tcPr>
          <w:p w14:paraId="54070CD8" w14:textId="77777777" w:rsidR="006A3DBC" w:rsidRPr="00FA4B2D" w:rsidRDefault="006A3DBC" w:rsidP="005F4A92">
            <w:pPr>
              <w:rPr>
                <w:rFonts w:cs="Arial"/>
                <w:sz w:val="18"/>
                <w:szCs w:val="18"/>
              </w:rPr>
            </w:pPr>
            <w:r w:rsidRPr="00FA4B2D">
              <w:rPr>
                <w:rFonts w:cs="Arial"/>
                <w:sz w:val="18"/>
                <w:szCs w:val="18"/>
              </w:rPr>
              <w:t>22.92%</w:t>
            </w:r>
          </w:p>
        </w:tc>
      </w:tr>
      <w:tr w:rsidR="006A3DBC" w:rsidRPr="00FA4B2D" w14:paraId="4970D44B" w14:textId="77777777" w:rsidTr="00E11023">
        <w:trPr>
          <w:trHeight w:val="274"/>
        </w:trPr>
        <w:tc>
          <w:tcPr>
            <w:tcW w:w="2247" w:type="dxa"/>
            <w:gridSpan w:val="2"/>
            <w:vMerge/>
            <w:hideMark/>
          </w:tcPr>
          <w:p w14:paraId="5498F115" w14:textId="77777777" w:rsidR="006A3DBC" w:rsidRPr="00FA4B2D" w:rsidRDefault="006A3DBC" w:rsidP="005F4A92">
            <w:pPr>
              <w:rPr>
                <w:rFonts w:cs="Arial"/>
                <w:sz w:val="18"/>
                <w:szCs w:val="18"/>
              </w:rPr>
            </w:pPr>
          </w:p>
        </w:tc>
        <w:tc>
          <w:tcPr>
            <w:tcW w:w="2961" w:type="dxa"/>
            <w:noWrap/>
            <w:hideMark/>
          </w:tcPr>
          <w:p w14:paraId="0A6598D6" w14:textId="77777777" w:rsidR="006A3DBC" w:rsidRPr="00FA4B2D" w:rsidRDefault="006A3DBC" w:rsidP="005F4A92">
            <w:pPr>
              <w:rPr>
                <w:rFonts w:cs="Arial"/>
                <w:sz w:val="18"/>
                <w:szCs w:val="18"/>
              </w:rPr>
            </w:pPr>
            <w:r w:rsidRPr="00FA4B2D">
              <w:rPr>
                <w:rFonts w:cs="Arial"/>
                <w:sz w:val="18"/>
                <w:szCs w:val="18"/>
              </w:rPr>
              <w:t>Bosque Latifoliados Deciduo</w:t>
            </w:r>
          </w:p>
        </w:tc>
        <w:tc>
          <w:tcPr>
            <w:tcW w:w="1225" w:type="dxa"/>
            <w:noWrap/>
            <w:hideMark/>
          </w:tcPr>
          <w:p w14:paraId="76A4F3EC" w14:textId="77777777" w:rsidR="006A3DBC" w:rsidRPr="00FA4B2D" w:rsidRDefault="006A3DBC" w:rsidP="005F4A92">
            <w:pPr>
              <w:rPr>
                <w:rFonts w:cs="Arial"/>
                <w:sz w:val="18"/>
                <w:szCs w:val="18"/>
              </w:rPr>
            </w:pPr>
            <w:r w:rsidRPr="00FA4B2D">
              <w:rPr>
                <w:rFonts w:cs="Arial"/>
                <w:sz w:val="18"/>
                <w:szCs w:val="18"/>
              </w:rPr>
              <w:t>5,191.2</w:t>
            </w:r>
          </w:p>
        </w:tc>
        <w:tc>
          <w:tcPr>
            <w:tcW w:w="1496" w:type="dxa"/>
            <w:noWrap/>
            <w:hideMark/>
          </w:tcPr>
          <w:p w14:paraId="312EAF0E" w14:textId="77777777" w:rsidR="006A3DBC" w:rsidRPr="00FA4B2D" w:rsidRDefault="006A3DBC" w:rsidP="005F4A92">
            <w:pPr>
              <w:rPr>
                <w:rFonts w:cs="Arial"/>
                <w:sz w:val="18"/>
                <w:szCs w:val="18"/>
              </w:rPr>
            </w:pPr>
            <w:r w:rsidRPr="00FA4B2D">
              <w:rPr>
                <w:rFonts w:cs="Arial"/>
                <w:sz w:val="18"/>
                <w:szCs w:val="18"/>
              </w:rPr>
              <w:t>519,116.2</w:t>
            </w:r>
          </w:p>
        </w:tc>
        <w:tc>
          <w:tcPr>
            <w:tcW w:w="1165" w:type="dxa"/>
            <w:noWrap/>
            <w:hideMark/>
          </w:tcPr>
          <w:p w14:paraId="66FE6B8C" w14:textId="77777777" w:rsidR="006A3DBC" w:rsidRPr="00FA4B2D" w:rsidRDefault="006A3DBC" w:rsidP="005F4A92">
            <w:pPr>
              <w:rPr>
                <w:rFonts w:cs="Arial"/>
                <w:sz w:val="18"/>
                <w:szCs w:val="18"/>
              </w:rPr>
            </w:pPr>
            <w:r w:rsidRPr="00FA4B2D">
              <w:rPr>
                <w:rFonts w:cs="Arial"/>
                <w:sz w:val="18"/>
                <w:szCs w:val="18"/>
              </w:rPr>
              <w:t>4.61%</w:t>
            </w:r>
          </w:p>
        </w:tc>
      </w:tr>
      <w:tr w:rsidR="006A3DBC" w:rsidRPr="00FA4B2D" w14:paraId="0E1D47A9" w14:textId="77777777" w:rsidTr="00E11023">
        <w:trPr>
          <w:trHeight w:val="274"/>
        </w:trPr>
        <w:tc>
          <w:tcPr>
            <w:tcW w:w="2247" w:type="dxa"/>
            <w:gridSpan w:val="2"/>
            <w:vMerge/>
            <w:hideMark/>
          </w:tcPr>
          <w:p w14:paraId="088D1372" w14:textId="77777777" w:rsidR="006A3DBC" w:rsidRPr="00FA4B2D" w:rsidRDefault="006A3DBC" w:rsidP="005F4A92">
            <w:pPr>
              <w:rPr>
                <w:rFonts w:cs="Arial"/>
                <w:sz w:val="18"/>
                <w:szCs w:val="18"/>
              </w:rPr>
            </w:pPr>
          </w:p>
        </w:tc>
        <w:tc>
          <w:tcPr>
            <w:tcW w:w="2961" w:type="dxa"/>
            <w:noWrap/>
            <w:hideMark/>
          </w:tcPr>
          <w:p w14:paraId="272FB9DB" w14:textId="77777777" w:rsidR="006A3DBC" w:rsidRPr="00FA4B2D" w:rsidRDefault="006A3DBC" w:rsidP="005F4A92">
            <w:pPr>
              <w:rPr>
                <w:rFonts w:cs="Arial"/>
                <w:sz w:val="18"/>
                <w:szCs w:val="18"/>
              </w:rPr>
            </w:pPr>
            <w:r w:rsidRPr="00FA4B2D">
              <w:rPr>
                <w:rFonts w:cs="Arial"/>
                <w:sz w:val="18"/>
                <w:szCs w:val="18"/>
              </w:rPr>
              <w:t>Bosque Mixto</w:t>
            </w:r>
          </w:p>
        </w:tc>
        <w:tc>
          <w:tcPr>
            <w:tcW w:w="1225" w:type="dxa"/>
            <w:noWrap/>
            <w:hideMark/>
          </w:tcPr>
          <w:p w14:paraId="6CF9DE4C" w14:textId="77777777" w:rsidR="006A3DBC" w:rsidRPr="00FA4B2D" w:rsidRDefault="006A3DBC" w:rsidP="005F4A92">
            <w:pPr>
              <w:rPr>
                <w:rFonts w:cs="Arial"/>
                <w:sz w:val="18"/>
                <w:szCs w:val="18"/>
              </w:rPr>
            </w:pPr>
            <w:r w:rsidRPr="00FA4B2D">
              <w:rPr>
                <w:rFonts w:cs="Arial"/>
                <w:sz w:val="18"/>
                <w:szCs w:val="18"/>
              </w:rPr>
              <w:t>2,844.7</w:t>
            </w:r>
          </w:p>
        </w:tc>
        <w:tc>
          <w:tcPr>
            <w:tcW w:w="1496" w:type="dxa"/>
            <w:noWrap/>
            <w:hideMark/>
          </w:tcPr>
          <w:p w14:paraId="48D1FE59" w14:textId="77777777" w:rsidR="006A3DBC" w:rsidRPr="00FA4B2D" w:rsidRDefault="006A3DBC" w:rsidP="005F4A92">
            <w:pPr>
              <w:rPr>
                <w:rFonts w:cs="Arial"/>
                <w:sz w:val="18"/>
                <w:szCs w:val="18"/>
              </w:rPr>
            </w:pPr>
            <w:r w:rsidRPr="00FA4B2D">
              <w:rPr>
                <w:rFonts w:cs="Arial"/>
                <w:sz w:val="18"/>
                <w:szCs w:val="18"/>
              </w:rPr>
              <w:t>284,473.8</w:t>
            </w:r>
          </w:p>
        </w:tc>
        <w:tc>
          <w:tcPr>
            <w:tcW w:w="1165" w:type="dxa"/>
            <w:noWrap/>
            <w:hideMark/>
          </w:tcPr>
          <w:p w14:paraId="3B17762C" w14:textId="77777777" w:rsidR="006A3DBC" w:rsidRPr="00FA4B2D" w:rsidRDefault="006A3DBC" w:rsidP="005F4A92">
            <w:pPr>
              <w:rPr>
                <w:rFonts w:cs="Arial"/>
                <w:sz w:val="18"/>
                <w:szCs w:val="18"/>
              </w:rPr>
            </w:pPr>
            <w:r w:rsidRPr="00FA4B2D">
              <w:rPr>
                <w:rFonts w:cs="Arial"/>
                <w:sz w:val="18"/>
                <w:szCs w:val="18"/>
              </w:rPr>
              <w:t>2.53%</w:t>
            </w:r>
          </w:p>
        </w:tc>
      </w:tr>
      <w:tr w:rsidR="006A3DBC" w:rsidRPr="00FA4B2D" w14:paraId="12547305" w14:textId="77777777" w:rsidTr="00E11023">
        <w:trPr>
          <w:trHeight w:val="274"/>
        </w:trPr>
        <w:tc>
          <w:tcPr>
            <w:tcW w:w="2247" w:type="dxa"/>
            <w:gridSpan w:val="2"/>
            <w:vMerge/>
            <w:hideMark/>
          </w:tcPr>
          <w:p w14:paraId="1452D16C" w14:textId="77777777" w:rsidR="006A3DBC" w:rsidRPr="00FA4B2D" w:rsidRDefault="006A3DBC" w:rsidP="005F4A92">
            <w:pPr>
              <w:rPr>
                <w:rFonts w:cs="Arial"/>
                <w:sz w:val="18"/>
                <w:szCs w:val="18"/>
              </w:rPr>
            </w:pPr>
          </w:p>
        </w:tc>
        <w:tc>
          <w:tcPr>
            <w:tcW w:w="2961" w:type="dxa"/>
            <w:noWrap/>
            <w:hideMark/>
          </w:tcPr>
          <w:p w14:paraId="4838EA76" w14:textId="77777777" w:rsidR="006A3DBC" w:rsidRPr="00FA4B2D" w:rsidRDefault="006A3DBC" w:rsidP="005F4A92">
            <w:pPr>
              <w:rPr>
                <w:rFonts w:cs="Arial"/>
                <w:sz w:val="18"/>
                <w:szCs w:val="18"/>
              </w:rPr>
            </w:pPr>
            <w:r w:rsidRPr="00FA4B2D">
              <w:rPr>
                <w:rFonts w:cs="Arial"/>
                <w:sz w:val="18"/>
                <w:szCs w:val="18"/>
              </w:rPr>
              <w:t>Bosque de Conífera Denso</w:t>
            </w:r>
          </w:p>
        </w:tc>
        <w:tc>
          <w:tcPr>
            <w:tcW w:w="1225" w:type="dxa"/>
            <w:noWrap/>
            <w:hideMark/>
          </w:tcPr>
          <w:p w14:paraId="4A877C9F" w14:textId="77777777" w:rsidR="006A3DBC" w:rsidRPr="00FA4B2D" w:rsidRDefault="006A3DBC" w:rsidP="005F4A92">
            <w:pPr>
              <w:rPr>
                <w:rFonts w:cs="Arial"/>
                <w:sz w:val="18"/>
                <w:szCs w:val="18"/>
              </w:rPr>
            </w:pPr>
            <w:r w:rsidRPr="00FA4B2D">
              <w:rPr>
                <w:rFonts w:cs="Arial"/>
                <w:sz w:val="18"/>
                <w:szCs w:val="18"/>
              </w:rPr>
              <w:t>12,406.1</w:t>
            </w:r>
          </w:p>
        </w:tc>
        <w:tc>
          <w:tcPr>
            <w:tcW w:w="1496" w:type="dxa"/>
            <w:noWrap/>
            <w:hideMark/>
          </w:tcPr>
          <w:p w14:paraId="4AC4ABBD" w14:textId="77777777" w:rsidR="006A3DBC" w:rsidRPr="00FA4B2D" w:rsidRDefault="006A3DBC" w:rsidP="005F4A92">
            <w:pPr>
              <w:rPr>
                <w:rFonts w:cs="Arial"/>
                <w:sz w:val="18"/>
                <w:szCs w:val="18"/>
              </w:rPr>
            </w:pPr>
            <w:r w:rsidRPr="00FA4B2D">
              <w:rPr>
                <w:rFonts w:cs="Arial"/>
                <w:sz w:val="18"/>
                <w:szCs w:val="18"/>
              </w:rPr>
              <w:t>1,240,609.2</w:t>
            </w:r>
          </w:p>
        </w:tc>
        <w:tc>
          <w:tcPr>
            <w:tcW w:w="1165" w:type="dxa"/>
            <w:noWrap/>
            <w:hideMark/>
          </w:tcPr>
          <w:p w14:paraId="75FD528A" w14:textId="77777777" w:rsidR="006A3DBC" w:rsidRPr="00FA4B2D" w:rsidRDefault="006A3DBC" w:rsidP="005F4A92">
            <w:pPr>
              <w:rPr>
                <w:rFonts w:cs="Arial"/>
                <w:sz w:val="18"/>
                <w:szCs w:val="18"/>
              </w:rPr>
            </w:pPr>
            <w:r w:rsidRPr="00FA4B2D">
              <w:rPr>
                <w:rFonts w:cs="Arial"/>
                <w:sz w:val="18"/>
                <w:szCs w:val="18"/>
              </w:rPr>
              <w:t>11.03%</w:t>
            </w:r>
          </w:p>
        </w:tc>
      </w:tr>
      <w:tr w:rsidR="006A3DBC" w:rsidRPr="00FA4B2D" w14:paraId="700EA770" w14:textId="77777777" w:rsidTr="00E11023">
        <w:trPr>
          <w:trHeight w:val="274"/>
        </w:trPr>
        <w:tc>
          <w:tcPr>
            <w:tcW w:w="2247" w:type="dxa"/>
            <w:gridSpan w:val="2"/>
            <w:vMerge/>
            <w:hideMark/>
          </w:tcPr>
          <w:p w14:paraId="4CCD3619" w14:textId="77777777" w:rsidR="006A3DBC" w:rsidRPr="00FA4B2D" w:rsidRDefault="006A3DBC" w:rsidP="005F4A92">
            <w:pPr>
              <w:rPr>
                <w:rFonts w:cs="Arial"/>
                <w:sz w:val="18"/>
                <w:szCs w:val="18"/>
              </w:rPr>
            </w:pPr>
          </w:p>
        </w:tc>
        <w:tc>
          <w:tcPr>
            <w:tcW w:w="2961" w:type="dxa"/>
            <w:noWrap/>
            <w:hideMark/>
          </w:tcPr>
          <w:p w14:paraId="77A12828" w14:textId="77777777" w:rsidR="006A3DBC" w:rsidRPr="00FA4B2D" w:rsidRDefault="006A3DBC" w:rsidP="005F4A92">
            <w:pPr>
              <w:rPr>
                <w:rFonts w:cs="Arial"/>
                <w:sz w:val="18"/>
                <w:szCs w:val="18"/>
              </w:rPr>
            </w:pPr>
            <w:r w:rsidRPr="00FA4B2D">
              <w:rPr>
                <w:rFonts w:cs="Arial"/>
                <w:sz w:val="18"/>
                <w:szCs w:val="18"/>
              </w:rPr>
              <w:t>Bosque de Conífera Ralo</w:t>
            </w:r>
          </w:p>
        </w:tc>
        <w:tc>
          <w:tcPr>
            <w:tcW w:w="1225" w:type="dxa"/>
            <w:noWrap/>
            <w:hideMark/>
          </w:tcPr>
          <w:p w14:paraId="7C8E86E1" w14:textId="77777777" w:rsidR="006A3DBC" w:rsidRPr="00FA4B2D" w:rsidRDefault="006A3DBC" w:rsidP="005F4A92">
            <w:pPr>
              <w:rPr>
                <w:rFonts w:cs="Arial"/>
                <w:sz w:val="18"/>
                <w:szCs w:val="18"/>
              </w:rPr>
            </w:pPr>
            <w:r w:rsidRPr="00FA4B2D">
              <w:rPr>
                <w:rFonts w:cs="Arial"/>
                <w:sz w:val="18"/>
                <w:szCs w:val="18"/>
              </w:rPr>
              <w:t>7,199.0</w:t>
            </w:r>
          </w:p>
        </w:tc>
        <w:tc>
          <w:tcPr>
            <w:tcW w:w="1496" w:type="dxa"/>
            <w:noWrap/>
            <w:hideMark/>
          </w:tcPr>
          <w:p w14:paraId="02D96BCA" w14:textId="77777777" w:rsidR="006A3DBC" w:rsidRPr="00FA4B2D" w:rsidRDefault="006A3DBC" w:rsidP="005F4A92">
            <w:pPr>
              <w:rPr>
                <w:rFonts w:cs="Arial"/>
                <w:sz w:val="18"/>
                <w:szCs w:val="18"/>
              </w:rPr>
            </w:pPr>
            <w:r w:rsidRPr="00FA4B2D">
              <w:rPr>
                <w:rFonts w:cs="Arial"/>
                <w:sz w:val="18"/>
                <w:szCs w:val="18"/>
              </w:rPr>
              <w:t>719,901.9</w:t>
            </w:r>
          </w:p>
        </w:tc>
        <w:tc>
          <w:tcPr>
            <w:tcW w:w="1165" w:type="dxa"/>
            <w:noWrap/>
            <w:hideMark/>
          </w:tcPr>
          <w:p w14:paraId="6A08D635" w14:textId="77777777" w:rsidR="006A3DBC" w:rsidRPr="00FA4B2D" w:rsidRDefault="006A3DBC" w:rsidP="005F4A92">
            <w:pPr>
              <w:rPr>
                <w:rFonts w:cs="Arial"/>
                <w:sz w:val="18"/>
                <w:szCs w:val="18"/>
              </w:rPr>
            </w:pPr>
            <w:r w:rsidRPr="00FA4B2D">
              <w:rPr>
                <w:rFonts w:cs="Arial"/>
                <w:sz w:val="18"/>
                <w:szCs w:val="18"/>
              </w:rPr>
              <w:t>6.40%</w:t>
            </w:r>
          </w:p>
        </w:tc>
      </w:tr>
      <w:tr w:rsidR="006A3DBC" w:rsidRPr="00FA4B2D" w14:paraId="6123E51A" w14:textId="77777777" w:rsidTr="00E11023">
        <w:trPr>
          <w:trHeight w:val="274"/>
        </w:trPr>
        <w:tc>
          <w:tcPr>
            <w:tcW w:w="2247" w:type="dxa"/>
            <w:gridSpan w:val="2"/>
            <w:vMerge/>
            <w:hideMark/>
          </w:tcPr>
          <w:p w14:paraId="7D3A7203" w14:textId="77777777" w:rsidR="006A3DBC" w:rsidRPr="00FA4B2D" w:rsidRDefault="006A3DBC" w:rsidP="005F4A92">
            <w:pPr>
              <w:rPr>
                <w:rFonts w:cs="Arial"/>
                <w:sz w:val="18"/>
                <w:szCs w:val="18"/>
              </w:rPr>
            </w:pPr>
          </w:p>
        </w:tc>
        <w:tc>
          <w:tcPr>
            <w:tcW w:w="2961" w:type="dxa"/>
            <w:noWrap/>
            <w:hideMark/>
          </w:tcPr>
          <w:p w14:paraId="4634E6E2" w14:textId="77777777" w:rsidR="006A3DBC" w:rsidRPr="00FA4B2D" w:rsidRDefault="006A3DBC" w:rsidP="005F4A92">
            <w:pPr>
              <w:rPr>
                <w:rFonts w:cs="Arial"/>
                <w:sz w:val="18"/>
                <w:szCs w:val="18"/>
              </w:rPr>
            </w:pPr>
            <w:r w:rsidRPr="00FA4B2D">
              <w:rPr>
                <w:rFonts w:cs="Arial"/>
                <w:sz w:val="18"/>
                <w:szCs w:val="18"/>
              </w:rPr>
              <w:t>Bosque de Mangle Alto</w:t>
            </w:r>
          </w:p>
        </w:tc>
        <w:tc>
          <w:tcPr>
            <w:tcW w:w="1225" w:type="dxa"/>
            <w:noWrap/>
            <w:hideMark/>
          </w:tcPr>
          <w:p w14:paraId="768A4770" w14:textId="77777777" w:rsidR="006A3DBC" w:rsidRPr="00FA4B2D" w:rsidRDefault="006A3DBC" w:rsidP="005F4A92">
            <w:pPr>
              <w:rPr>
                <w:rFonts w:cs="Arial"/>
                <w:sz w:val="18"/>
                <w:szCs w:val="18"/>
              </w:rPr>
            </w:pPr>
            <w:r w:rsidRPr="00FA4B2D">
              <w:rPr>
                <w:rFonts w:cs="Arial"/>
                <w:sz w:val="18"/>
                <w:szCs w:val="18"/>
              </w:rPr>
              <w:t>331.0</w:t>
            </w:r>
          </w:p>
        </w:tc>
        <w:tc>
          <w:tcPr>
            <w:tcW w:w="1496" w:type="dxa"/>
            <w:noWrap/>
            <w:hideMark/>
          </w:tcPr>
          <w:p w14:paraId="31E37DA3" w14:textId="77777777" w:rsidR="006A3DBC" w:rsidRPr="00FA4B2D" w:rsidRDefault="006A3DBC" w:rsidP="005F4A92">
            <w:pPr>
              <w:rPr>
                <w:rFonts w:cs="Arial"/>
                <w:sz w:val="18"/>
                <w:szCs w:val="18"/>
              </w:rPr>
            </w:pPr>
            <w:r w:rsidRPr="00FA4B2D">
              <w:rPr>
                <w:rFonts w:cs="Arial"/>
                <w:sz w:val="18"/>
                <w:szCs w:val="18"/>
              </w:rPr>
              <w:t>33,102.2</w:t>
            </w:r>
          </w:p>
        </w:tc>
        <w:tc>
          <w:tcPr>
            <w:tcW w:w="1165" w:type="dxa"/>
            <w:noWrap/>
            <w:hideMark/>
          </w:tcPr>
          <w:p w14:paraId="7F57AA0E" w14:textId="77777777" w:rsidR="006A3DBC" w:rsidRPr="00FA4B2D" w:rsidRDefault="006A3DBC" w:rsidP="005F4A92">
            <w:pPr>
              <w:rPr>
                <w:rFonts w:cs="Arial"/>
                <w:sz w:val="18"/>
                <w:szCs w:val="18"/>
              </w:rPr>
            </w:pPr>
            <w:r w:rsidRPr="00FA4B2D">
              <w:rPr>
                <w:rFonts w:cs="Arial"/>
                <w:sz w:val="18"/>
                <w:szCs w:val="18"/>
              </w:rPr>
              <w:t>0.29%</w:t>
            </w:r>
          </w:p>
        </w:tc>
      </w:tr>
      <w:tr w:rsidR="006A3DBC" w:rsidRPr="00FA4B2D" w14:paraId="3C5C8386" w14:textId="77777777" w:rsidTr="00E11023">
        <w:trPr>
          <w:trHeight w:val="274"/>
        </w:trPr>
        <w:tc>
          <w:tcPr>
            <w:tcW w:w="2247" w:type="dxa"/>
            <w:gridSpan w:val="2"/>
            <w:vMerge/>
            <w:hideMark/>
          </w:tcPr>
          <w:p w14:paraId="391906C3" w14:textId="77777777" w:rsidR="006A3DBC" w:rsidRPr="00FA4B2D" w:rsidRDefault="006A3DBC" w:rsidP="005F4A92">
            <w:pPr>
              <w:rPr>
                <w:rFonts w:cs="Arial"/>
                <w:sz w:val="18"/>
                <w:szCs w:val="18"/>
              </w:rPr>
            </w:pPr>
          </w:p>
        </w:tc>
        <w:tc>
          <w:tcPr>
            <w:tcW w:w="2961" w:type="dxa"/>
            <w:noWrap/>
            <w:hideMark/>
          </w:tcPr>
          <w:p w14:paraId="10254B66" w14:textId="77777777" w:rsidR="006A3DBC" w:rsidRPr="00FA4B2D" w:rsidRDefault="006A3DBC" w:rsidP="005F4A92">
            <w:pPr>
              <w:rPr>
                <w:rFonts w:cs="Arial"/>
                <w:sz w:val="18"/>
                <w:szCs w:val="18"/>
              </w:rPr>
            </w:pPr>
            <w:r w:rsidRPr="00FA4B2D">
              <w:rPr>
                <w:rFonts w:cs="Arial"/>
                <w:sz w:val="18"/>
                <w:szCs w:val="18"/>
              </w:rPr>
              <w:t>Bosque de Mangle Bajo</w:t>
            </w:r>
          </w:p>
        </w:tc>
        <w:tc>
          <w:tcPr>
            <w:tcW w:w="1225" w:type="dxa"/>
            <w:noWrap/>
            <w:hideMark/>
          </w:tcPr>
          <w:p w14:paraId="01CA3265" w14:textId="77777777" w:rsidR="006A3DBC" w:rsidRPr="00FA4B2D" w:rsidRDefault="006A3DBC" w:rsidP="005F4A92">
            <w:pPr>
              <w:rPr>
                <w:rFonts w:cs="Arial"/>
                <w:sz w:val="18"/>
                <w:szCs w:val="18"/>
              </w:rPr>
            </w:pPr>
            <w:r w:rsidRPr="00FA4B2D">
              <w:rPr>
                <w:rFonts w:cs="Arial"/>
                <w:sz w:val="18"/>
                <w:szCs w:val="18"/>
              </w:rPr>
              <w:t>184.8</w:t>
            </w:r>
          </w:p>
        </w:tc>
        <w:tc>
          <w:tcPr>
            <w:tcW w:w="1496" w:type="dxa"/>
            <w:noWrap/>
            <w:hideMark/>
          </w:tcPr>
          <w:p w14:paraId="44FBF1DB" w14:textId="77777777" w:rsidR="006A3DBC" w:rsidRPr="00FA4B2D" w:rsidRDefault="006A3DBC" w:rsidP="005F4A92">
            <w:pPr>
              <w:rPr>
                <w:rFonts w:cs="Arial"/>
                <w:sz w:val="18"/>
                <w:szCs w:val="18"/>
              </w:rPr>
            </w:pPr>
            <w:r w:rsidRPr="00FA4B2D">
              <w:rPr>
                <w:rFonts w:cs="Arial"/>
                <w:sz w:val="18"/>
                <w:szCs w:val="18"/>
              </w:rPr>
              <w:t>18,476.0</w:t>
            </w:r>
          </w:p>
        </w:tc>
        <w:tc>
          <w:tcPr>
            <w:tcW w:w="1165" w:type="dxa"/>
            <w:noWrap/>
            <w:hideMark/>
          </w:tcPr>
          <w:p w14:paraId="107A3C00" w14:textId="77777777" w:rsidR="006A3DBC" w:rsidRPr="00FA4B2D" w:rsidRDefault="006A3DBC" w:rsidP="005F4A92">
            <w:pPr>
              <w:rPr>
                <w:rFonts w:cs="Arial"/>
                <w:sz w:val="18"/>
                <w:szCs w:val="18"/>
              </w:rPr>
            </w:pPr>
            <w:r w:rsidRPr="00FA4B2D">
              <w:rPr>
                <w:rFonts w:cs="Arial"/>
                <w:sz w:val="18"/>
                <w:szCs w:val="18"/>
              </w:rPr>
              <w:t>0.16%</w:t>
            </w:r>
          </w:p>
        </w:tc>
      </w:tr>
      <w:tr w:rsidR="006A3DBC" w:rsidRPr="00FA4B2D" w14:paraId="21312381" w14:textId="77777777" w:rsidTr="00E11023">
        <w:trPr>
          <w:trHeight w:val="274"/>
        </w:trPr>
        <w:tc>
          <w:tcPr>
            <w:tcW w:w="2247" w:type="dxa"/>
            <w:gridSpan w:val="2"/>
            <w:vMerge/>
            <w:hideMark/>
          </w:tcPr>
          <w:p w14:paraId="442E7602" w14:textId="77777777" w:rsidR="006A3DBC" w:rsidRPr="00FA4B2D" w:rsidRDefault="006A3DBC" w:rsidP="005F4A92">
            <w:pPr>
              <w:rPr>
                <w:rFonts w:cs="Arial"/>
                <w:sz w:val="18"/>
                <w:szCs w:val="18"/>
              </w:rPr>
            </w:pPr>
          </w:p>
        </w:tc>
        <w:tc>
          <w:tcPr>
            <w:tcW w:w="2961" w:type="dxa"/>
            <w:noWrap/>
            <w:hideMark/>
          </w:tcPr>
          <w:p w14:paraId="45720BC2" w14:textId="77777777" w:rsidR="006A3DBC" w:rsidRPr="00FA4B2D" w:rsidRDefault="006A3DBC" w:rsidP="005F4A92">
            <w:pPr>
              <w:rPr>
                <w:rFonts w:cs="Arial"/>
                <w:sz w:val="18"/>
                <w:szCs w:val="18"/>
              </w:rPr>
            </w:pPr>
            <w:r w:rsidRPr="00FA4B2D">
              <w:rPr>
                <w:rFonts w:cs="Arial"/>
                <w:sz w:val="18"/>
                <w:szCs w:val="18"/>
              </w:rPr>
              <w:t>Bosque Latifoliados Húmedo Inundable</w:t>
            </w:r>
          </w:p>
        </w:tc>
        <w:tc>
          <w:tcPr>
            <w:tcW w:w="1225" w:type="dxa"/>
            <w:noWrap/>
            <w:hideMark/>
          </w:tcPr>
          <w:p w14:paraId="4339F3EF" w14:textId="77777777" w:rsidR="006A3DBC" w:rsidRPr="00FA4B2D" w:rsidRDefault="006A3DBC" w:rsidP="005F4A92">
            <w:pPr>
              <w:rPr>
                <w:rFonts w:cs="Arial"/>
                <w:sz w:val="18"/>
                <w:szCs w:val="18"/>
              </w:rPr>
            </w:pPr>
            <w:r w:rsidRPr="00FA4B2D">
              <w:rPr>
                <w:rFonts w:cs="Arial"/>
                <w:sz w:val="18"/>
                <w:szCs w:val="18"/>
              </w:rPr>
              <w:t>37.3</w:t>
            </w:r>
          </w:p>
        </w:tc>
        <w:tc>
          <w:tcPr>
            <w:tcW w:w="1496" w:type="dxa"/>
            <w:noWrap/>
            <w:hideMark/>
          </w:tcPr>
          <w:p w14:paraId="214FE53A" w14:textId="77777777" w:rsidR="006A3DBC" w:rsidRPr="00FA4B2D" w:rsidRDefault="006A3DBC" w:rsidP="005F4A92">
            <w:pPr>
              <w:rPr>
                <w:rFonts w:cs="Arial"/>
                <w:sz w:val="18"/>
                <w:szCs w:val="18"/>
              </w:rPr>
            </w:pPr>
            <w:r w:rsidRPr="00FA4B2D">
              <w:rPr>
                <w:rFonts w:cs="Arial"/>
                <w:sz w:val="18"/>
                <w:szCs w:val="18"/>
              </w:rPr>
              <w:t>3,729.1</w:t>
            </w:r>
          </w:p>
        </w:tc>
        <w:tc>
          <w:tcPr>
            <w:tcW w:w="1165" w:type="dxa"/>
            <w:noWrap/>
            <w:hideMark/>
          </w:tcPr>
          <w:p w14:paraId="1119ADE7" w14:textId="77777777" w:rsidR="006A3DBC" w:rsidRPr="00FA4B2D" w:rsidRDefault="006A3DBC" w:rsidP="005F4A92">
            <w:pPr>
              <w:rPr>
                <w:rFonts w:cs="Arial"/>
                <w:sz w:val="18"/>
                <w:szCs w:val="18"/>
              </w:rPr>
            </w:pPr>
            <w:r w:rsidRPr="00FA4B2D">
              <w:rPr>
                <w:rFonts w:cs="Arial"/>
                <w:sz w:val="18"/>
                <w:szCs w:val="18"/>
              </w:rPr>
              <w:t>0.03%</w:t>
            </w:r>
          </w:p>
        </w:tc>
      </w:tr>
      <w:tr w:rsidR="006A3DBC" w:rsidRPr="00FA4B2D" w14:paraId="26627E1A" w14:textId="77777777" w:rsidTr="00E11023">
        <w:trPr>
          <w:trHeight w:val="274"/>
        </w:trPr>
        <w:tc>
          <w:tcPr>
            <w:tcW w:w="2247" w:type="dxa"/>
            <w:gridSpan w:val="2"/>
            <w:vMerge/>
            <w:hideMark/>
          </w:tcPr>
          <w:p w14:paraId="752BC242" w14:textId="77777777" w:rsidR="006A3DBC" w:rsidRPr="00FA4B2D" w:rsidRDefault="006A3DBC" w:rsidP="005F4A92">
            <w:pPr>
              <w:rPr>
                <w:rFonts w:cs="Arial"/>
                <w:sz w:val="18"/>
                <w:szCs w:val="18"/>
              </w:rPr>
            </w:pPr>
          </w:p>
        </w:tc>
        <w:tc>
          <w:tcPr>
            <w:tcW w:w="2961" w:type="dxa"/>
            <w:noWrap/>
            <w:hideMark/>
          </w:tcPr>
          <w:p w14:paraId="2AC8593C" w14:textId="77777777" w:rsidR="006A3DBC" w:rsidRPr="00FA4B2D" w:rsidRDefault="006A3DBC" w:rsidP="005F4A92">
            <w:pPr>
              <w:rPr>
                <w:rFonts w:cs="Arial"/>
                <w:sz w:val="18"/>
                <w:szCs w:val="18"/>
              </w:rPr>
            </w:pPr>
            <w:r w:rsidRPr="00FA4B2D">
              <w:rPr>
                <w:rFonts w:cs="Arial"/>
                <w:sz w:val="18"/>
                <w:szCs w:val="18"/>
              </w:rPr>
              <w:t>Sub Total Bosque</w:t>
            </w:r>
          </w:p>
        </w:tc>
        <w:tc>
          <w:tcPr>
            <w:tcW w:w="1225" w:type="dxa"/>
            <w:noWrap/>
            <w:hideMark/>
          </w:tcPr>
          <w:p w14:paraId="631424FE" w14:textId="77777777" w:rsidR="006A3DBC" w:rsidRPr="00FA4B2D" w:rsidRDefault="006A3DBC" w:rsidP="005F4A92">
            <w:pPr>
              <w:rPr>
                <w:rFonts w:cs="Arial"/>
                <w:sz w:val="18"/>
                <w:szCs w:val="18"/>
              </w:rPr>
            </w:pPr>
            <w:r w:rsidRPr="00FA4B2D">
              <w:rPr>
                <w:rFonts w:cs="Arial"/>
                <w:sz w:val="18"/>
                <w:szCs w:val="18"/>
              </w:rPr>
              <w:t>53,981.4</w:t>
            </w:r>
          </w:p>
        </w:tc>
        <w:tc>
          <w:tcPr>
            <w:tcW w:w="1496" w:type="dxa"/>
            <w:noWrap/>
            <w:hideMark/>
          </w:tcPr>
          <w:p w14:paraId="16DC0815" w14:textId="77777777" w:rsidR="006A3DBC" w:rsidRPr="00FA4B2D" w:rsidRDefault="006A3DBC" w:rsidP="005F4A92">
            <w:pPr>
              <w:rPr>
                <w:rFonts w:cs="Arial"/>
                <w:sz w:val="18"/>
                <w:szCs w:val="18"/>
              </w:rPr>
            </w:pPr>
            <w:r w:rsidRPr="00FA4B2D">
              <w:rPr>
                <w:rFonts w:cs="Arial"/>
                <w:sz w:val="18"/>
                <w:szCs w:val="18"/>
              </w:rPr>
              <w:t>5,398,137.3</w:t>
            </w:r>
          </w:p>
        </w:tc>
        <w:tc>
          <w:tcPr>
            <w:tcW w:w="1165" w:type="dxa"/>
            <w:noWrap/>
            <w:hideMark/>
          </w:tcPr>
          <w:p w14:paraId="122EBF03" w14:textId="77777777" w:rsidR="006A3DBC" w:rsidRPr="00FA4B2D" w:rsidRDefault="006A3DBC" w:rsidP="005F4A92">
            <w:pPr>
              <w:rPr>
                <w:rFonts w:cs="Arial"/>
                <w:sz w:val="18"/>
                <w:szCs w:val="18"/>
              </w:rPr>
            </w:pPr>
            <w:r w:rsidRPr="00FA4B2D">
              <w:rPr>
                <w:rFonts w:cs="Arial"/>
                <w:sz w:val="18"/>
                <w:szCs w:val="18"/>
              </w:rPr>
              <w:t>47.99%</w:t>
            </w:r>
          </w:p>
        </w:tc>
      </w:tr>
      <w:tr w:rsidR="006A3DBC" w:rsidRPr="00FA4B2D" w14:paraId="0D9ADC12" w14:textId="77777777" w:rsidTr="00E11023">
        <w:trPr>
          <w:trHeight w:val="274"/>
        </w:trPr>
        <w:tc>
          <w:tcPr>
            <w:tcW w:w="612" w:type="dxa"/>
            <w:vMerge w:val="restart"/>
            <w:textDirection w:val="btLr"/>
            <w:hideMark/>
          </w:tcPr>
          <w:p w14:paraId="2B8C8523" w14:textId="77777777" w:rsidR="006A3DBC" w:rsidRPr="00FA4B2D" w:rsidRDefault="006A3DBC" w:rsidP="005F4A92">
            <w:pPr>
              <w:rPr>
                <w:rFonts w:cs="Arial"/>
                <w:sz w:val="18"/>
                <w:szCs w:val="18"/>
              </w:rPr>
            </w:pPr>
            <w:r w:rsidRPr="00FA4B2D">
              <w:rPr>
                <w:rFonts w:cs="Arial"/>
                <w:sz w:val="18"/>
                <w:szCs w:val="18"/>
              </w:rPr>
              <w:t>NO BOSQUE</w:t>
            </w:r>
          </w:p>
        </w:tc>
        <w:tc>
          <w:tcPr>
            <w:tcW w:w="1635" w:type="dxa"/>
            <w:noWrap/>
            <w:hideMark/>
          </w:tcPr>
          <w:p w14:paraId="48DC5373" w14:textId="77777777" w:rsidR="006A3DBC" w:rsidRPr="00FA4B2D" w:rsidRDefault="006A3DBC" w:rsidP="005F4A92">
            <w:pPr>
              <w:rPr>
                <w:rFonts w:cs="Arial"/>
                <w:sz w:val="18"/>
                <w:szCs w:val="18"/>
              </w:rPr>
            </w:pPr>
            <w:r w:rsidRPr="00FA4B2D">
              <w:rPr>
                <w:rFonts w:cs="Arial"/>
                <w:sz w:val="18"/>
                <w:szCs w:val="18"/>
              </w:rPr>
              <w:t>Agroforestal</w:t>
            </w:r>
          </w:p>
        </w:tc>
        <w:tc>
          <w:tcPr>
            <w:tcW w:w="2961" w:type="dxa"/>
            <w:noWrap/>
            <w:hideMark/>
          </w:tcPr>
          <w:p w14:paraId="477A4469" w14:textId="77777777" w:rsidR="006A3DBC" w:rsidRPr="00FA4B2D" w:rsidRDefault="006A3DBC" w:rsidP="005F4A92">
            <w:pPr>
              <w:rPr>
                <w:rFonts w:cs="Arial"/>
                <w:sz w:val="18"/>
                <w:szCs w:val="18"/>
              </w:rPr>
            </w:pPr>
            <w:r w:rsidRPr="00FA4B2D">
              <w:rPr>
                <w:rFonts w:cs="Arial"/>
                <w:sz w:val="18"/>
                <w:szCs w:val="18"/>
              </w:rPr>
              <w:t>Cafetales</w:t>
            </w:r>
          </w:p>
        </w:tc>
        <w:tc>
          <w:tcPr>
            <w:tcW w:w="1225" w:type="dxa"/>
            <w:noWrap/>
            <w:hideMark/>
          </w:tcPr>
          <w:p w14:paraId="389F3D9F" w14:textId="77777777" w:rsidR="006A3DBC" w:rsidRPr="00FA4B2D" w:rsidRDefault="006A3DBC" w:rsidP="005F4A92">
            <w:pPr>
              <w:rPr>
                <w:rFonts w:cs="Arial"/>
                <w:sz w:val="18"/>
                <w:szCs w:val="18"/>
              </w:rPr>
            </w:pPr>
            <w:r w:rsidRPr="00FA4B2D">
              <w:rPr>
                <w:rFonts w:cs="Arial"/>
                <w:sz w:val="18"/>
                <w:szCs w:val="18"/>
              </w:rPr>
              <w:t>2,434.1</w:t>
            </w:r>
          </w:p>
        </w:tc>
        <w:tc>
          <w:tcPr>
            <w:tcW w:w="1496" w:type="dxa"/>
            <w:noWrap/>
            <w:hideMark/>
          </w:tcPr>
          <w:p w14:paraId="500BCF8F" w14:textId="77777777" w:rsidR="006A3DBC" w:rsidRPr="00FA4B2D" w:rsidRDefault="006A3DBC" w:rsidP="005F4A92">
            <w:pPr>
              <w:rPr>
                <w:rFonts w:cs="Arial"/>
                <w:sz w:val="18"/>
                <w:szCs w:val="18"/>
              </w:rPr>
            </w:pPr>
            <w:r w:rsidRPr="00FA4B2D">
              <w:rPr>
                <w:rFonts w:cs="Arial"/>
                <w:sz w:val="18"/>
                <w:szCs w:val="18"/>
              </w:rPr>
              <w:t>243,405.5</w:t>
            </w:r>
          </w:p>
        </w:tc>
        <w:tc>
          <w:tcPr>
            <w:tcW w:w="1165" w:type="dxa"/>
            <w:noWrap/>
            <w:hideMark/>
          </w:tcPr>
          <w:p w14:paraId="70266FC5" w14:textId="77777777" w:rsidR="006A3DBC" w:rsidRPr="00FA4B2D" w:rsidRDefault="006A3DBC" w:rsidP="005F4A92">
            <w:pPr>
              <w:rPr>
                <w:rFonts w:cs="Arial"/>
                <w:sz w:val="18"/>
                <w:szCs w:val="18"/>
              </w:rPr>
            </w:pPr>
            <w:r w:rsidRPr="00FA4B2D">
              <w:rPr>
                <w:rFonts w:cs="Arial"/>
                <w:sz w:val="18"/>
                <w:szCs w:val="18"/>
              </w:rPr>
              <w:t>2.16%</w:t>
            </w:r>
          </w:p>
        </w:tc>
      </w:tr>
      <w:tr w:rsidR="006A3DBC" w:rsidRPr="00FA4B2D" w14:paraId="5A628D2F" w14:textId="77777777" w:rsidTr="00E11023">
        <w:trPr>
          <w:trHeight w:val="274"/>
        </w:trPr>
        <w:tc>
          <w:tcPr>
            <w:tcW w:w="612" w:type="dxa"/>
            <w:vMerge/>
            <w:hideMark/>
          </w:tcPr>
          <w:p w14:paraId="08F949A0" w14:textId="77777777" w:rsidR="006A3DBC" w:rsidRPr="00FA4B2D" w:rsidRDefault="006A3DBC" w:rsidP="005F4A92">
            <w:pPr>
              <w:rPr>
                <w:rFonts w:cs="Arial"/>
                <w:sz w:val="18"/>
                <w:szCs w:val="18"/>
              </w:rPr>
            </w:pPr>
          </w:p>
        </w:tc>
        <w:tc>
          <w:tcPr>
            <w:tcW w:w="4596" w:type="dxa"/>
            <w:gridSpan w:val="2"/>
            <w:noWrap/>
            <w:hideMark/>
          </w:tcPr>
          <w:p w14:paraId="5E8A439C" w14:textId="77777777" w:rsidR="006A3DBC" w:rsidRPr="00FA4B2D" w:rsidRDefault="006A3DBC" w:rsidP="005F4A92">
            <w:pPr>
              <w:rPr>
                <w:rFonts w:cs="Arial"/>
                <w:sz w:val="18"/>
                <w:szCs w:val="18"/>
              </w:rPr>
            </w:pPr>
            <w:r w:rsidRPr="00FA4B2D">
              <w:rPr>
                <w:rFonts w:cs="Arial"/>
                <w:sz w:val="18"/>
                <w:szCs w:val="18"/>
              </w:rPr>
              <w:t>Sub Total Agroforestal</w:t>
            </w:r>
          </w:p>
        </w:tc>
        <w:tc>
          <w:tcPr>
            <w:tcW w:w="1225" w:type="dxa"/>
            <w:noWrap/>
            <w:hideMark/>
          </w:tcPr>
          <w:p w14:paraId="79509242" w14:textId="77777777" w:rsidR="006A3DBC" w:rsidRPr="00FA4B2D" w:rsidRDefault="006A3DBC" w:rsidP="005F4A92">
            <w:pPr>
              <w:rPr>
                <w:rFonts w:cs="Arial"/>
                <w:sz w:val="18"/>
                <w:szCs w:val="18"/>
              </w:rPr>
            </w:pPr>
            <w:r w:rsidRPr="00FA4B2D">
              <w:rPr>
                <w:rFonts w:cs="Arial"/>
                <w:sz w:val="18"/>
                <w:szCs w:val="18"/>
              </w:rPr>
              <w:t>2,434.1</w:t>
            </w:r>
          </w:p>
        </w:tc>
        <w:tc>
          <w:tcPr>
            <w:tcW w:w="1496" w:type="dxa"/>
            <w:noWrap/>
            <w:hideMark/>
          </w:tcPr>
          <w:p w14:paraId="2307DEF8" w14:textId="77777777" w:rsidR="006A3DBC" w:rsidRPr="00FA4B2D" w:rsidRDefault="006A3DBC" w:rsidP="005F4A92">
            <w:pPr>
              <w:rPr>
                <w:rFonts w:cs="Arial"/>
                <w:sz w:val="18"/>
                <w:szCs w:val="18"/>
              </w:rPr>
            </w:pPr>
            <w:r w:rsidRPr="00FA4B2D">
              <w:rPr>
                <w:rFonts w:cs="Arial"/>
                <w:sz w:val="18"/>
                <w:szCs w:val="18"/>
              </w:rPr>
              <w:t>243,405.5</w:t>
            </w:r>
          </w:p>
        </w:tc>
        <w:tc>
          <w:tcPr>
            <w:tcW w:w="1165" w:type="dxa"/>
            <w:noWrap/>
            <w:hideMark/>
          </w:tcPr>
          <w:p w14:paraId="0001A6A4" w14:textId="77777777" w:rsidR="006A3DBC" w:rsidRPr="00FA4B2D" w:rsidRDefault="006A3DBC" w:rsidP="005F4A92">
            <w:pPr>
              <w:rPr>
                <w:rFonts w:cs="Arial"/>
                <w:sz w:val="18"/>
                <w:szCs w:val="18"/>
              </w:rPr>
            </w:pPr>
            <w:r w:rsidRPr="00FA4B2D">
              <w:rPr>
                <w:rFonts w:cs="Arial"/>
                <w:sz w:val="18"/>
                <w:szCs w:val="18"/>
              </w:rPr>
              <w:t>2.16%</w:t>
            </w:r>
          </w:p>
        </w:tc>
      </w:tr>
      <w:tr w:rsidR="006A3DBC" w:rsidRPr="00FA4B2D" w14:paraId="7D7E2664" w14:textId="77777777" w:rsidTr="00E11023">
        <w:trPr>
          <w:trHeight w:val="274"/>
        </w:trPr>
        <w:tc>
          <w:tcPr>
            <w:tcW w:w="612" w:type="dxa"/>
            <w:vMerge/>
            <w:hideMark/>
          </w:tcPr>
          <w:p w14:paraId="11CF3957" w14:textId="77777777" w:rsidR="006A3DBC" w:rsidRPr="00FA4B2D" w:rsidRDefault="006A3DBC" w:rsidP="005F4A92">
            <w:pPr>
              <w:rPr>
                <w:rFonts w:cs="Arial"/>
                <w:sz w:val="18"/>
                <w:szCs w:val="18"/>
              </w:rPr>
            </w:pPr>
          </w:p>
        </w:tc>
        <w:tc>
          <w:tcPr>
            <w:tcW w:w="1635" w:type="dxa"/>
            <w:vMerge w:val="restart"/>
            <w:hideMark/>
          </w:tcPr>
          <w:p w14:paraId="55D78A35" w14:textId="77777777" w:rsidR="006A3DBC" w:rsidRPr="00FA4B2D" w:rsidRDefault="006A3DBC" w:rsidP="005F4A92">
            <w:pPr>
              <w:rPr>
                <w:rFonts w:cs="Arial"/>
                <w:sz w:val="18"/>
                <w:szCs w:val="18"/>
              </w:rPr>
            </w:pPr>
            <w:r w:rsidRPr="00FA4B2D">
              <w:rPr>
                <w:rFonts w:cs="Arial"/>
                <w:sz w:val="18"/>
                <w:szCs w:val="18"/>
              </w:rPr>
              <w:t>Agropecuario</w:t>
            </w:r>
          </w:p>
        </w:tc>
        <w:tc>
          <w:tcPr>
            <w:tcW w:w="2961" w:type="dxa"/>
            <w:noWrap/>
            <w:hideMark/>
          </w:tcPr>
          <w:p w14:paraId="48DDF7A8" w14:textId="77777777" w:rsidR="006A3DBC" w:rsidRPr="00FA4B2D" w:rsidRDefault="006A3DBC" w:rsidP="005F4A92">
            <w:pPr>
              <w:rPr>
                <w:rFonts w:cs="Arial"/>
                <w:sz w:val="18"/>
                <w:szCs w:val="18"/>
              </w:rPr>
            </w:pPr>
            <w:r w:rsidRPr="00FA4B2D">
              <w:rPr>
                <w:rFonts w:cs="Arial"/>
                <w:sz w:val="18"/>
                <w:szCs w:val="18"/>
              </w:rPr>
              <w:t>Agricultura Tecnificada</w:t>
            </w:r>
          </w:p>
        </w:tc>
        <w:tc>
          <w:tcPr>
            <w:tcW w:w="1225" w:type="dxa"/>
            <w:noWrap/>
            <w:hideMark/>
          </w:tcPr>
          <w:p w14:paraId="0672D129" w14:textId="77777777" w:rsidR="006A3DBC" w:rsidRPr="00FA4B2D" w:rsidRDefault="006A3DBC" w:rsidP="005F4A92">
            <w:pPr>
              <w:rPr>
                <w:rFonts w:cs="Arial"/>
                <w:sz w:val="18"/>
                <w:szCs w:val="18"/>
              </w:rPr>
            </w:pPr>
            <w:r w:rsidRPr="00FA4B2D">
              <w:rPr>
                <w:rFonts w:cs="Arial"/>
                <w:sz w:val="18"/>
                <w:szCs w:val="18"/>
              </w:rPr>
              <w:t>1,009.9</w:t>
            </w:r>
          </w:p>
        </w:tc>
        <w:tc>
          <w:tcPr>
            <w:tcW w:w="1496" w:type="dxa"/>
            <w:noWrap/>
            <w:hideMark/>
          </w:tcPr>
          <w:p w14:paraId="7DCEBF4C" w14:textId="77777777" w:rsidR="006A3DBC" w:rsidRPr="00FA4B2D" w:rsidRDefault="006A3DBC" w:rsidP="005F4A92">
            <w:pPr>
              <w:rPr>
                <w:rFonts w:cs="Arial"/>
                <w:sz w:val="18"/>
                <w:szCs w:val="18"/>
              </w:rPr>
            </w:pPr>
            <w:r w:rsidRPr="00FA4B2D">
              <w:rPr>
                <w:rFonts w:cs="Arial"/>
                <w:sz w:val="18"/>
                <w:szCs w:val="18"/>
              </w:rPr>
              <w:t>100,985.3</w:t>
            </w:r>
          </w:p>
        </w:tc>
        <w:tc>
          <w:tcPr>
            <w:tcW w:w="1165" w:type="dxa"/>
            <w:noWrap/>
            <w:hideMark/>
          </w:tcPr>
          <w:p w14:paraId="7F8DC9A8" w14:textId="77777777" w:rsidR="006A3DBC" w:rsidRPr="00FA4B2D" w:rsidRDefault="006A3DBC" w:rsidP="005F4A92">
            <w:pPr>
              <w:rPr>
                <w:rFonts w:cs="Arial"/>
                <w:sz w:val="18"/>
                <w:szCs w:val="18"/>
              </w:rPr>
            </w:pPr>
            <w:r w:rsidRPr="00FA4B2D">
              <w:rPr>
                <w:rFonts w:cs="Arial"/>
                <w:sz w:val="18"/>
                <w:szCs w:val="18"/>
              </w:rPr>
              <w:t>0.90%</w:t>
            </w:r>
          </w:p>
        </w:tc>
      </w:tr>
      <w:tr w:rsidR="006A3DBC" w:rsidRPr="00FA4B2D" w14:paraId="4739F0E8" w14:textId="77777777" w:rsidTr="00E11023">
        <w:trPr>
          <w:trHeight w:val="274"/>
        </w:trPr>
        <w:tc>
          <w:tcPr>
            <w:tcW w:w="612" w:type="dxa"/>
            <w:vMerge/>
            <w:hideMark/>
          </w:tcPr>
          <w:p w14:paraId="6B93CDFA" w14:textId="77777777" w:rsidR="006A3DBC" w:rsidRPr="00FA4B2D" w:rsidRDefault="006A3DBC" w:rsidP="005F4A92">
            <w:pPr>
              <w:rPr>
                <w:rFonts w:cs="Arial"/>
                <w:sz w:val="18"/>
                <w:szCs w:val="18"/>
              </w:rPr>
            </w:pPr>
          </w:p>
        </w:tc>
        <w:tc>
          <w:tcPr>
            <w:tcW w:w="1635" w:type="dxa"/>
            <w:vMerge/>
            <w:hideMark/>
          </w:tcPr>
          <w:p w14:paraId="2051CF35" w14:textId="77777777" w:rsidR="006A3DBC" w:rsidRPr="00FA4B2D" w:rsidRDefault="006A3DBC" w:rsidP="005F4A92">
            <w:pPr>
              <w:rPr>
                <w:rFonts w:cs="Arial"/>
                <w:sz w:val="18"/>
                <w:szCs w:val="18"/>
              </w:rPr>
            </w:pPr>
          </w:p>
        </w:tc>
        <w:tc>
          <w:tcPr>
            <w:tcW w:w="2961" w:type="dxa"/>
            <w:noWrap/>
            <w:hideMark/>
          </w:tcPr>
          <w:p w14:paraId="7D86E091" w14:textId="77777777" w:rsidR="006A3DBC" w:rsidRPr="00FA4B2D" w:rsidRDefault="006A3DBC" w:rsidP="005F4A92">
            <w:pPr>
              <w:rPr>
                <w:rFonts w:cs="Arial"/>
                <w:sz w:val="18"/>
                <w:szCs w:val="18"/>
              </w:rPr>
            </w:pPr>
            <w:r w:rsidRPr="00FA4B2D">
              <w:rPr>
                <w:rFonts w:cs="Arial"/>
                <w:sz w:val="18"/>
                <w:szCs w:val="18"/>
              </w:rPr>
              <w:t xml:space="preserve">Pastos/Cultivos </w:t>
            </w:r>
          </w:p>
        </w:tc>
        <w:tc>
          <w:tcPr>
            <w:tcW w:w="1225" w:type="dxa"/>
            <w:noWrap/>
            <w:hideMark/>
          </w:tcPr>
          <w:p w14:paraId="3A622358" w14:textId="77777777" w:rsidR="006A3DBC" w:rsidRPr="00FA4B2D" w:rsidRDefault="006A3DBC" w:rsidP="005F4A92">
            <w:pPr>
              <w:rPr>
                <w:rFonts w:cs="Arial"/>
                <w:sz w:val="18"/>
                <w:szCs w:val="18"/>
              </w:rPr>
            </w:pPr>
            <w:r w:rsidRPr="00FA4B2D">
              <w:rPr>
                <w:rFonts w:cs="Arial"/>
                <w:sz w:val="18"/>
                <w:szCs w:val="18"/>
              </w:rPr>
              <w:t>31,560.3</w:t>
            </w:r>
          </w:p>
        </w:tc>
        <w:tc>
          <w:tcPr>
            <w:tcW w:w="1496" w:type="dxa"/>
            <w:noWrap/>
            <w:hideMark/>
          </w:tcPr>
          <w:p w14:paraId="61F2CCCB" w14:textId="77777777" w:rsidR="006A3DBC" w:rsidRPr="00FA4B2D" w:rsidRDefault="006A3DBC" w:rsidP="005F4A92">
            <w:pPr>
              <w:rPr>
                <w:rFonts w:cs="Arial"/>
                <w:sz w:val="18"/>
                <w:szCs w:val="18"/>
              </w:rPr>
            </w:pPr>
            <w:r w:rsidRPr="00FA4B2D">
              <w:rPr>
                <w:rFonts w:cs="Arial"/>
                <w:sz w:val="18"/>
                <w:szCs w:val="18"/>
              </w:rPr>
              <w:t>3,156,028.8</w:t>
            </w:r>
          </w:p>
        </w:tc>
        <w:tc>
          <w:tcPr>
            <w:tcW w:w="1165" w:type="dxa"/>
            <w:noWrap/>
            <w:hideMark/>
          </w:tcPr>
          <w:p w14:paraId="3AA7822E" w14:textId="77777777" w:rsidR="006A3DBC" w:rsidRPr="00FA4B2D" w:rsidRDefault="006A3DBC" w:rsidP="005F4A92">
            <w:pPr>
              <w:rPr>
                <w:rFonts w:cs="Arial"/>
                <w:sz w:val="18"/>
                <w:szCs w:val="18"/>
              </w:rPr>
            </w:pPr>
            <w:r w:rsidRPr="00FA4B2D">
              <w:rPr>
                <w:rFonts w:cs="Arial"/>
                <w:sz w:val="18"/>
                <w:szCs w:val="18"/>
              </w:rPr>
              <w:t>28.06%</w:t>
            </w:r>
          </w:p>
        </w:tc>
      </w:tr>
      <w:tr w:rsidR="006A3DBC" w:rsidRPr="00FA4B2D" w14:paraId="08A62DD2" w14:textId="77777777" w:rsidTr="00E11023">
        <w:trPr>
          <w:trHeight w:val="274"/>
        </w:trPr>
        <w:tc>
          <w:tcPr>
            <w:tcW w:w="612" w:type="dxa"/>
            <w:vMerge/>
            <w:hideMark/>
          </w:tcPr>
          <w:p w14:paraId="14DBD817" w14:textId="77777777" w:rsidR="006A3DBC" w:rsidRPr="00FA4B2D" w:rsidRDefault="006A3DBC" w:rsidP="005F4A92">
            <w:pPr>
              <w:rPr>
                <w:rFonts w:cs="Arial"/>
                <w:sz w:val="18"/>
                <w:szCs w:val="18"/>
              </w:rPr>
            </w:pPr>
          </w:p>
        </w:tc>
        <w:tc>
          <w:tcPr>
            <w:tcW w:w="1635" w:type="dxa"/>
            <w:vMerge/>
            <w:hideMark/>
          </w:tcPr>
          <w:p w14:paraId="50FD9BBC" w14:textId="77777777" w:rsidR="006A3DBC" w:rsidRPr="00FA4B2D" w:rsidRDefault="006A3DBC" w:rsidP="005F4A92">
            <w:pPr>
              <w:rPr>
                <w:rFonts w:cs="Arial"/>
                <w:sz w:val="18"/>
                <w:szCs w:val="18"/>
              </w:rPr>
            </w:pPr>
          </w:p>
        </w:tc>
        <w:tc>
          <w:tcPr>
            <w:tcW w:w="2961" w:type="dxa"/>
            <w:noWrap/>
            <w:hideMark/>
          </w:tcPr>
          <w:p w14:paraId="2C4C49AC" w14:textId="77777777" w:rsidR="006A3DBC" w:rsidRPr="00FA4B2D" w:rsidRDefault="006A3DBC" w:rsidP="005F4A92">
            <w:pPr>
              <w:rPr>
                <w:rFonts w:cs="Arial"/>
                <w:sz w:val="18"/>
                <w:szCs w:val="18"/>
              </w:rPr>
            </w:pPr>
            <w:r w:rsidRPr="00FA4B2D">
              <w:rPr>
                <w:rFonts w:cs="Arial"/>
                <w:sz w:val="18"/>
                <w:szCs w:val="18"/>
              </w:rPr>
              <w:t>Palma Africana</w:t>
            </w:r>
          </w:p>
        </w:tc>
        <w:tc>
          <w:tcPr>
            <w:tcW w:w="1225" w:type="dxa"/>
            <w:noWrap/>
            <w:hideMark/>
          </w:tcPr>
          <w:p w14:paraId="05B3252D" w14:textId="77777777" w:rsidR="006A3DBC" w:rsidRPr="00FA4B2D" w:rsidRDefault="006A3DBC" w:rsidP="005F4A92">
            <w:pPr>
              <w:rPr>
                <w:rFonts w:cs="Arial"/>
                <w:sz w:val="18"/>
                <w:szCs w:val="18"/>
              </w:rPr>
            </w:pPr>
            <w:r w:rsidRPr="00FA4B2D">
              <w:rPr>
                <w:rFonts w:cs="Arial"/>
                <w:sz w:val="18"/>
                <w:szCs w:val="18"/>
              </w:rPr>
              <w:t>1,214.5</w:t>
            </w:r>
          </w:p>
        </w:tc>
        <w:tc>
          <w:tcPr>
            <w:tcW w:w="1496" w:type="dxa"/>
            <w:noWrap/>
            <w:hideMark/>
          </w:tcPr>
          <w:p w14:paraId="44A5F315" w14:textId="77777777" w:rsidR="006A3DBC" w:rsidRPr="00FA4B2D" w:rsidRDefault="006A3DBC" w:rsidP="005F4A92">
            <w:pPr>
              <w:rPr>
                <w:rFonts w:cs="Arial"/>
                <w:sz w:val="18"/>
                <w:szCs w:val="18"/>
              </w:rPr>
            </w:pPr>
            <w:r w:rsidRPr="00FA4B2D">
              <w:rPr>
                <w:rFonts w:cs="Arial"/>
                <w:sz w:val="18"/>
                <w:szCs w:val="18"/>
              </w:rPr>
              <w:t>121,447.1</w:t>
            </w:r>
          </w:p>
        </w:tc>
        <w:tc>
          <w:tcPr>
            <w:tcW w:w="1165" w:type="dxa"/>
            <w:noWrap/>
            <w:hideMark/>
          </w:tcPr>
          <w:p w14:paraId="2D6B4E43" w14:textId="77777777" w:rsidR="006A3DBC" w:rsidRPr="00FA4B2D" w:rsidRDefault="006A3DBC" w:rsidP="005F4A92">
            <w:pPr>
              <w:rPr>
                <w:rFonts w:cs="Arial"/>
                <w:sz w:val="18"/>
                <w:szCs w:val="18"/>
              </w:rPr>
            </w:pPr>
            <w:r w:rsidRPr="00FA4B2D">
              <w:rPr>
                <w:rFonts w:cs="Arial"/>
                <w:sz w:val="18"/>
                <w:szCs w:val="18"/>
              </w:rPr>
              <w:t>1.08%</w:t>
            </w:r>
          </w:p>
        </w:tc>
      </w:tr>
      <w:tr w:rsidR="006A3DBC" w:rsidRPr="00FA4B2D" w14:paraId="6F6F90BD" w14:textId="77777777" w:rsidTr="00E11023">
        <w:trPr>
          <w:trHeight w:val="274"/>
        </w:trPr>
        <w:tc>
          <w:tcPr>
            <w:tcW w:w="612" w:type="dxa"/>
            <w:vMerge/>
            <w:hideMark/>
          </w:tcPr>
          <w:p w14:paraId="6A387DB8" w14:textId="77777777" w:rsidR="006A3DBC" w:rsidRPr="00FA4B2D" w:rsidRDefault="006A3DBC" w:rsidP="005F4A92">
            <w:pPr>
              <w:rPr>
                <w:rFonts w:cs="Arial"/>
                <w:sz w:val="18"/>
                <w:szCs w:val="18"/>
              </w:rPr>
            </w:pPr>
          </w:p>
        </w:tc>
        <w:tc>
          <w:tcPr>
            <w:tcW w:w="1635" w:type="dxa"/>
            <w:vMerge/>
            <w:hideMark/>
          </w:tcPr>
          <w:p w14:paraId="143BF109" w14:textId="77777777" w:rsidR="006A3DBC" w:rsidRPr="00FA4B2D" w:rsidRDefault="006A3DBC" w:rsidP="005F4A92">
            <w:pPr>
              <w:rPr>
                <w:rFonts w:cs="Arial"/>
                <w:sz w:val="18"/>
                <w:szCs w:val="18"/>
              </w:rPr>
            </w:pPr>
          </w:p>
        </w:tc>
        <w:tc>
          <w:tcPr>
            <w:tcW w:w="2961" w:type="dxa"/>
            <w:noWrap/>
            <w:hideMark/>
          </w:tcPr>
          <w:p w14:paraId="5A9A9D0A" w14:textId="77777777" w:rsidR="006A3DBC" w:rsidRPr="00FA4B2D" w:rsidRDefault="006A3DBC" w:rsidP="005F4A92">
            <w:pPr>
              <w:rPr>
                <w:rFonts w:cs="Arial"/>
                <w:sz w:val="18"/>
                <w:szCs w:val="18"/>
              </w:rPr>
            </w:pPr>
            <w:r w:rsidRPr="00FA4B2D">
              <w:rPr>
                <w:rFonts w:cs="Arial"/>
                <w:sz w:val="18"/>
                <w:szCs w:val="18"/>
              </w:rPr>
              <w:t>Camaroneras/Salineras</w:t>
            </w:r>
          </w:p>
        </w:tc>
        <w:tc>
          <w:tcPr>
            <w:tcW w:w="1225" w:type="dxa"/>
            <w:noWrap/>
            <w:hideMark/>
          </w:tcPr>
          <w:p w14:paraId="7887805D" w14:textId="77777777" w:rsidR="006A3DBC" w:rsidRPr="00FA4B2D" w:rsidRDefault="006A3DBC" w:rsidP="005F4A92">
            <w:pPr>
              <w:rPr>
                <w:rFonts w:cs="Arial"/>
                <w:sz w:val="18"/>
                <w:szCs w:val="18"/>
              </w:rPr>
            </w:pPr>
            <w:r w:rsidRPr="00FA4B2D">
              <w:rPr>
                <w:rFonts w:cs="Arial"/>
                <w:sz w:val="18"/>
                <w:szCs w:val="18"/>
              </w:rPr>
              <w:t>179.5</w:t>
            </w:r>
          </w:p>
        </w:tc>
        <w:tc>
          <w:tcPr>
            <w:tcW w:w="1496" w:type="dxa"/>
            <w:noWrap/>
            <w:hideMark/>
          </w:tcPr>
          <w:p w14:paraId="01547A08" w14:textId="77777777" w:rsidR="006A3DBC" w:rsidRPr="00FA4B2D" w:rsidRDefault="006A3DBC" w:rsidP="005F4A92">
            <w:pPr>
              <w:rPr>
                <w:rFonts w:cs="Arial"/>
                <w:sz w:val="18"/>
                <w:szCs w:val="18"/>
              </w:rPr>
            </w:pPr>
            <w:r w:rsidRPr="00FA4B2D">
              <w:rPr>
                <w:rFonts w:cs="Arial"/>
                <w:sz w:val="18"/>
                <w:szCs w:val="18"/>
              </w:rPr>
              <w:t>17,951.1</w:t>
            </w:r>
          </w:p>
        </w:tc>
        <w:tc>
          <w:tcPr>
            <w:tcW w:w="1165" w:type="dxa"/>
            <w:noWrap/>
            <w:hideMark/>
          </w:tcPr>
          <w:p w14:paraId="20DA3D54" w14:textId="77777777" w:rsidR="006A3DBC" w:rsidRPr="00FA4B2D" w:rsidRDefault="006A3DBC" w:rsidP="005F4A92">
            <w:pPr>
              <w:rPr>
                <w:rFonts w:cs="Arial"/>
                <w:sz w:val="18"/>
                <w:szCs w:val="18"/>
              </w:rPr>
            </w:pPr>
            <w:r w:rsidRPr="00FA4B2D">
              <w:rPr>
                <w:rFonts w:cs="Arial"/>
                <w:sz w:val="18"/>
                <w:szCs w:val="18"/>
              </w:rPr>
              <w:t>0.16%</w:t>
            </w:r>
          </w:p>
        </w:tc>
      </w:tr>
      <w:tr w:rsidR="006A3DBC" w:rsidRPr="00FA4B2D" w14:paraId="138A0D07" w14:textId="77777777" w:rsidTr="00E11023">
        <w:trPr>
          <w:trHeight w:val="274"/>
        </w:trPr>
        <w:tc>
          <w:tcPr>
            <w:tcW w:w="612" w:type="dxa"/>
            <w:vMerge/>
            <w:hideMark/>
          </w:tcPr>
          <w:p w14:paraId="2610841B" w14:textId="77777777" w:rsidR="006A3DBC" w:rsidRPr="00FA4B2D" w:rsidRDefault="006A3DBC" w:rsidP="005F4A92">
            <w:pPr>
              <w:rPr>
                <w:rFonts w:cs="Arial"/>
                <w:sz w:val="18"/>
                <w:szCs w:val="18"/>
              </w:rPr>
            </w:pPr>
          </w:p>
        </w:tc>
        <w:tc>
          <w:tcPr>
            <w:tcW w:w="4596" w:type="dxa"/>
            <w:gridSpan w:val="2"/>
            <w:noWrap/>
            <w:hideMark/>
          </w:tcPr>
          <w:p w14:paraId="62A8CF28" w14:textId="77777777" w:rsidR="006A3DBC" w:rsidRPr="00FA4B2D" w:rsidRDefault="006A3DBC" w:rsidP="005F4A92">
            <w:pPr>
              <w:rPr>
                <w:rFonts w:cs="Arial"/>
                <w:sz w:val="18"/>
                <w:szCs w:val="18"/>
              </w:rPr>
            </w:pPr>
            <w:r w:rsidRPr="00FA4B2D">
              <w:rPr>
                <w:rFonts w:cs="Arial"/>
                <w:sz w:val="18"/>
                <w:szCs w:val="18"/>
              </w:rPr>
              <w:t>Sub Total Agropecuario</w:t>
            </w:r>
          </w:p>
        </w:tc>
        <w:tc>
          <w:tcPr>
            <w:tcW w:w="1225" w:type="dxa"/>
            <w:noWrap/>
            <w:hideMark/>
          </w:tcPr>
          <w:p w14:paraId="01201916" w14:textId="77777777" w:rsidR="006A3DBC" w:rsidRPr="00FA4B2D" w:rsidRDefault="006A3DBC" w:rsidP="005F4A92">
            <w:pPr>
              <w:rPr>
                <w:rFonts w:cs="Arial"/>
                <w:sz w:val="18"/>
                <w:szCs w:val="18"/>
              </w:rPr>
            </w:pPr>
            <w:r w:rsidRPr="00FA4B2D">
              <w:rPr>
                <w:rFonts w:cs="Arial"/>
                <w:sz w:val="18"/>
                <w:szCs w:val="18"/>
              </w:rPr>
              <w:t>33,964.1</w:t>
            </w:r>
          </w:p>
        </w:tc>
        <w:tc>
          <w:tcPr>
            <w:tcW w:w="1496" w:type="dxa"/>
            <w:noWrap/>
            <w:hideMark/>
          </w:tcPr>
          <w:p w14:paraId="476F1584" w14:textId="77777777" w:rsidR="006A3DBC" w:rsidRPr="00FA4B2D" w:rsidRDefault="006A3DBC" w:rsidP="005F4A92">
            <w:pPr>
              <w:rPr>
                <w:rFonts w:cs="Arial"/>
                <w:sz w:val="18"/>
                <w:szCs w:val="18"/>
              </w:rPr>
            </w:pPr>
            <w:r w:rsidRPr="00FA4B2D">
              <w:rPr>
                <w:rFonts w:cs="Arial"/>
                <w:sz w:val="18"/>
                <w:szCs w:val="18"/>
              </w:rPr>
              <w:t>3,396,412.4</w:t>
            </w:r>
          </w:p>
        </w:tc>
        <w:tc>
          <w:tcPr>
            <w:tcW w:w="1165" w:type="dxa"/>
            <w:noWrap/>
            <w:hideMark/>
          </w:tcPr>
          <w:p w14:paraId="0B994F76" w14:textId="77777777" w:rsidR="006A3DBC" w:rsidRPr="00FA4B2D" w:rsidRDefault="006A3DBC" w:rsidP="005F4A92">
            <w:pPr>
              <w:rPr>
                <w:rFonts w:cs="Arial"/>
                <w:sz w:val="18"/>
                <w:szCs w:val="18"/>
              </w:rPr>
            </w:pPr>
            <w:r w:rsidRPr="00FA4B2D">
              <w:rPr>
                <w:rFonts w:cs="Arial"/>
                <w:sz w:val="18"/>
                <w:szCs w:val="18"/>
              </w:rPr>
              <w:t>30.19%</w:t>
            </w:r>
          </w:p>
        </w:tc>
      </w:tr>
      <w:tr w:rsidR="006A3DBC" w:rsidRPr="00FA4B2D" w14:paraId="4C5A6B5D" w14:textId="77777777" w:rsidTr="00E11023">
        <w:trPr>
          <w:trHeight w:val="274"/>
        </w:trPr>
        <w:tc>
          <w:tcPr>
            <w:tcW w:w="612" w:type="dxa"/>
            <w:vMerge/>
            <w:hideMark/>
          </w:tcPr>
          <w:p w14:paraId="322290FF" w14:textId="77777777" w:rsidR="006A3DBC" w:rsidRPr="00FA4B2D" w:rsidRDefault="006A3DBC" w:rsidP="005F4A92">
            <w:pPr>
              <w:rPr>
                <w:rFonts w:cs="Arial"/>
                <w:sz w:val="18"/>
                <w:szCs w:val="18"/>
              </w:rPr>
            </w:pPr>
          </w:p>
        </w:tc>
        <w:tc>
          <w:tcPr>
            <w:tcW w:w="1635" w:type="dxa"/>
            <w:vMerge w:val="restart"/>
            <w:noWrap/>
            <w:hideMark/>
          </w:tcPr>
          <w:p w14:paraId="73215D1A" w14:textId="77777777" w:rsidR="006A3DBC" w:rsidRPr="00FA4B2D" w:rsidRDefault="006A3DBC" w:rsidP="005F4A92">
            <w:pPr>
              <w:rPr>
                <w:rFonts w:cs="Arial"/>
                <w:sz w:val="18"/>
                <w:szCs w:val="18"/>
              </w:rPr>
            </w:pPr>
            <w:r w:rsidRPr="00FA4B2D">
              <w:rPr>
                <w:rFonts w:cs="Arial"/>
                <w:sz w:val="18"/>
                <w:szCs w:val="18"/>
              </w:rPr>
              <w:t>Otros Usos</w:t>
            </w:r>
          </w:p>
        </w:tc>
        <w:tc>
          <w:tcPr>
            <w:tcW w:w="2961" w:type="dxa"/>
            <w:noWrap/>
            <w:hideMark/>
          </w:tcPr>
          <w:p w14:paraId="61FD9FCF" w14:textId="77777777" w:rsidR="006A3DBC" w:rsidRPr="00FA4B2D" w:rsidRDefault="006A3DBC" w:rsidP="005F4A92">
            <w:pPr>
              <w:rPr>
                <w:rFonts w:cs="Arial"/>
                <w:sz w:val="18"/>
                <w:szCs w:val="18"/>
              </w:rPr>
            </w:pPr>
            <w:r w:rsidRPr="00FA4B2D">
              <w:rPr>
                <w:rFonts w:cs="Arial"/>
                <w:sz w:val="18"/>
                <w:szCs w:val="18"/>
              </w:rPr>
              <w:t>Vegetación Secundaria Húmeda</w:t>
            </w:r>
          </w:p>
        </w:tc>
        <w:tc>
          <w:tcPr>
            <w:tcW w:w="1225" w:type="dxa"/>
            <w:noWrap/>
            <w:hideMark/>
          </w:tcPr>
          <w:p w14:paraId="59E8C1A8" w14:textId="77777777" w:rsidR="006A3DBC" w:rsidRPr="00FA4B2D" w:rsidRDefault="006A3DBC" w:rsidP="005F4A92">
            <w:pPr>
              <w:rPr>
                <w:rFonts w:cs="Arial"/>
                <w:sz w:val="18"/>
                <w:szCs w:val="18"/>
              </w:rPr>
            </w:pPr>
            <w:r w:rsidRPr="00FA4B2D">
              <w:rPr>
                <w:rFonts w:cs="Arial"/>
                <w:sz w:val="18"/>
                <w:szCs w:val="18"/>
              </w:rPr>
              <w:t>7,220.6</w:t>
            </w:r>
          </w:p>
        </w:tc>
        <w:tc>
          <w:tcPr>
            <w:tcW w:w="1496" w:type="dxa"/>
            <w:noWrap/>
            <w:hideMark/>
          </w:tcPr>
          <w:p w14:paraId="515A34BA" w14:textId="77777777" w:rsidR="006A3DBC" w:rsidRPr="00FA4B2D" w:rsidRDefault="006A3DBC" w:rsidP="005F4A92">
            <w:pPr>
              <w:rPr>
                <w:rFonts w:cs="Arial"/>
                <w:sz w:val="18"/>
                <w:szCs w:val="18"/>
              </w:rPr>
            </w:pPr>
            <w:r w:rsidRPr="00FA4B2D">
              <w:rPr>
                <w:rFonts w:cs="Arial"/>
                <w:sz w:val="18"/>
                <w:szCs w:val="18"/>
              </w:rPr>
              <w:t>722,057.5</w:t>
            </w:r>
          </w:p>
        </w:tc>
        <w:tc>
          <w:tcPr>
            <w:tcW w:w="1165" w:type="dxa"/>
            <w:noWrap/>
            <w:hideMark/>
          </w:tcPr>
          <w:p w14:paraId="0CA5B697" w14:textId="77777777" w:rsidR="006A3DBC" w:rsidRPr="00FA4B2D" w:rsidRDefault="006A3DBC" w:rsidP="005F4A92">
            <w:pPr>
              <w:rPr>
                <w:rFonts w:cs="Arial"/>
                <w:sz w:val="18"/>
                <w:szCs w:val="18"/>
              </w:rPr>
            </w:pPr>
            <w:r w:rsidRPr="00FA4B2D">
              <w:rPr>
                <w:rFonts w:cs="Arial"/>
                <w:sz w:val="18"/>
                <w:szCs w:val="18"/>
              </w:rPr>
              <w:t>6.42%</w:t>
            </w:r>
          </w:p>
        </w:tc>
      </w:tr>
      <w:tr w:rsidR="006A3DBC" w:rsidRPr="00FA4B2D" w14:paraId="1030C008" w14:textId="77777777" w:rsidTr="00E11023">
        <w:trPr>
          <w:trHeight w:val="274"/>
        </w:trPr>
        <w:tc>
          <w:tcPr>
            <w:tcW w:w="612" w:type="dxa"/>
            <w:vMerge/>
            <w:hideMark/>
          </w:tcPr>
          <w:p w14:paraId="43D5A494" w14:textId="77777777" w:rsidR="006A3DBC" w:rsidRPr="00FA4B2D" w:rsidRDefault="006A3DBC" w:rsidP="005F4A92">
            <w:pPr>
              <w:rPr>
                <w:rFonts w:cs="Arial"/>
                <w:sz w:val="18"/>
                <w:szCs w:val="18"/>
              </w:rPr>
            </w:pPr>
          </w:p>
        </w:tc>
        <w:tc>
          <w:tcPr>
            <w:tcW w:w="1635" w:type="dxa"/>
            <w:vMerge/>
            <w:hideMark/>
          </w:tcPr>
          <w:p w14:paraId="76179AC7" w14:textId="77777777" w:rsidR="006A3DBC" w:rsidRPr="00FA4B2D" w:rsidRDefault="006A3DBC" w:rsidP="005F4A92">
            <w:pPr>
              <w:rPr>
                <w:rFonts w:cs="Arial"/>
                <w:sz w:val="18"/>
                <w:szCs w:val="18"/>
              </w:rPr>
            </w:pPr>
          </w:p>
        </w:tc>
        <w:tc>
          <w:tcPr>
            <w:tcW w:w="2961" w:type="dxa"/>
            <w:noWrap/>
            <w:hideMark/>
          </w:tcPr>
          <w:p w14:paraId="0299BC68" w14:textId="77777777" w:rsidR="006A3DBC" w:rsidRPr="00FA4B2D" w:rsidRDefault="006A3DBC" w:rsidP="005F4A92">
            <w:pPr>
              <w:rPr>
                <w:rFonts w:cs="Arial"/>
                <w:sz w:val="18"/>
                <w:szCs w:val="18"/>
              </w:rPr>
            </w:pPr>
            <w:r w:rsidRPr="00FA4B2D">
              <w:rPr>
                <w:rFonts w:cs="Arial"/>
                <w:sz w:val="18"/>
                <w:szCs w:val="18"/>
              </w:rPr>
              <w:t>Vegetación Secundaria Decidua</w:t>
            </w:r>
          </w:p>
        </w:tc>
        <w:tc>
          <w:tcPr>
            <w:tcW w:w="1225" w:type="dxa"/>
            <w:noWrap/>
            <w:hideMark/>
          </w:tcPr>
          <w:p w14:paraId="5EDD9BD9" w14:textId="77777777" w:rsidR="006A3DBC" w:rsidRPr="00FA4B2D" w:rsidRDefault="006A3DBC" w:rsidP="005F4A92">
            <w:pPr>
              <w:rPr>
                <w:rFonts w:cs="Arial"/>
                <w:sz w:val="18"/>
                <w:szCs w:val="18"/>
              </w:rPr>
            </w:pPr>
            <w:r w:rsidRPr="00FA4B2D">
              <w:rPr>
                <w:rFonts w:cs="Arial"/>
                <w:sz w:val="18"/>
                <w:szCs w:val="18"/>
              </w:rPr>
              <w:t>5,932.9</w:t>
            </w:r>
          </w:p>
        </w:tc>
        <w:tc>
          <w:tcPr>
            <w:tcW w:w="1496" w:type="dxa"/>
            <w:noWrap/>
            <w:hideMark/>
          </w:tcPr>
          <w:p w14:paraId="76B0CB44" w14:textId="77777777" w:rsidR="006A3DBC" w:rsidRPr="00FA4B2D" w:rsidRDefault="006A3DBC" w:rsidP="005F4A92">
            <w:pPr>
              <w:rPr>
                <w:rFonts w:cs="Arial"/>
                <w:sz w:val="18"/>
                <w:szCs w:val="18"/>
              </w:rPr>
            </w:pPr>
            <w:r w:rsidRPr="00FA4B2D">
              <w:rPr>
                <w:rFonts w:cs="Arial"/>
                <w:sz w:val="18"/>
                <w:szCs w:val="18"/>
              </w:rPr>
              <w:t>593,287.6</w:t>
            </w:r>
          </w:p>
        </w:tc>
        <w:tc>
          <w:tcPr>
            <w:tcW w:w="1165" w:type="dxa"/>
            <w:noWrap/>
            <w:hideMark/>
          </w:tcPr>
          <w:p w14:paraId="7772F513" w14:textId="77777777" w:rsidR="006A3DBC" w:rsidRPr="00FA4B2D" w:rsidRDefault="006A3DBC" w:rsidP="005F4A92">
            <w:pPr>
              <w:rPr>
                <w:rFonts w:cs="Arial"/>
                <w:sz w:val="18"/>
                <w:szCs w:val="18"/>
              </w:rPr>
            </w:pPr>
            <w:r w:rsidRPr="00FA4B2D">
              <w:rPr>
                <w:rFonts w:cs="Arial"/>
                <w:sz w:val="18"/>
                <w:szCs w:val="18"/>
              </w:rPr>
              <w:t>5.27%</w:t>
            </w:r>
          </w:p>
        </w:tc>
      </w:tr>
      <w:tr w:rsidR="006A3DBC" w:rsidRPr="00FA4B2D" w14:paraId="16D265D1" w14:textId="77777777" w:rsidTr="00E11023">
        <w:trPr>
          <w:trHeight w:val="274"/>
        </w:trPr>
        <w:tc>
          <w:tcPr>
            <w:tcW w:w="612" w:type="dxa"/>
            <w:vMerge/>
            <w:hideMark/>
          </w:tcPr>
          <w:p w14:paraId="3943BC90" w14:textId="77777777" w:rsidR="006A3DBC" w:rsidRPr="00FA4B2D" w:rsidRDefault="006A3DBC" w:rsidP="005F4A92">
            <w:pPr>
              <w:rPr>
                <w:rFonts w:cs="Arial"/>
                <w:sz w:val="18"/>
                <w:szCs w:val="18"/>
              </w:rPr>
            </w:pPr>
          </w:p>
        </w:tc>
        <w:tc>
          <w:tcPr>
            <w:tcW w:w="1635" w:type="dxa"/>
            <w:vMerge/>
            <w:hideMark/>
          </w:tcPr>
          <w:p w14:paraId="76A5A8FD" w14:textId="77777777" w:rsidR="006A3DBC" w:rsidRPr="00FA4B2D" w:rsidRDefault="006A3DBC" w:rsidP="005F4A92">
            <w:pPr>
              <w:rPr>
                <w:rFonts w:cs="Arial"/>
                <w:sz w:val="18"/>
                <w:szCs w:val="18"/>
              </w:rPr>
            </w:pPr>
          </w:p>
        </w:tc>
        <w:tc>
          <w:tcPr>
            <w:tcW w:w="2961" w:type="dxa"/>
            <w:noWrap/>
            <w:hideMark/>
          </w:tcPr>
          <w:p w14:paraId="4C50F974" w14:textId="77777777" w:rsidR="006A3DBC" w:rsidRPr="00FA4B2D" w:rsidRDefault="006A3DBC" w:rsidP="005F4A92">
            <w:pPr>
              <w:rPr>
                <w:rFonts w:cs="Arial"/>
                <w:sz w:val="18"/>
                <w:szCs w:val="18"/>
              </w:rPr>
            </w:pPr>
            <w:r w:rsidRPr="00FA4B2D">
              <w:rPr>
                <w:rFonts w:cs="Arial"/>
                <w:sz w:val="18"/>
                <w:szCs w:val="18"/>
              </w:rPr>
              <w:t>Sabanas</w:t>
            </w:r>
          </w:p>
        </w:tc>
        <w:tc>
          <w:tcPr>
            <w:tcW w:w="1225" w:type="dxa"/>
            <w:noWrap/>
            <w:hideMark/>
          </w:tcPr>
          <w:p w14:paraId="597EC79B" w14:textId="77777777" w:rsidR="006A3DBC" w:rsidRPr="00FA4B2D" w:rsidRDefault="006A3DBC" w:rsidP="005F4A92">
            <w:pPr>
              <w:rPr>
                <w:rFonts w:cs="Arial"/>
                <w:sz w:val="18"/>
                <w:szCs w:val="18"/>
              </w:rPr>
            </w:pPr>
            <w:r w:rsidRPr="00FA4B2D">
              <w:rPr>
                <w:rFonts w:cs="Arial"/>
                <w:sz w:val="18"/>
                <w:szCs w:val="18"/>
              </w:rPr>
              <w:t>3,208.2</w:t>
            </w:r>
          </w:p>
        </w:tc>
        <w:tc>
          <w:tcPr>
            <w:tcW w:w="1496" w:type="dxa"/>
            <w:noWrap/>
            <w:hideMark/>
          </w:tcPr>
          <w:p w14:paraId="6FBC77CC" w14:textId="77777777" w:rsidR="006A3DBC" w:rsidRPr="00FA4B2D" w:rsidRDefault="006A3DBC" w:rsidP="005F4A92">
            <w:pPr>
              <w:rPr>
                <w:rFonts w:cs="Arial"/>
                <w:sz w:val="18"/>
                <w:szCs w:val="18"/>
              </w:rPr>
            </w:pPr>
            <w:r w:rsidRPr="00FA4B2D">
              <w:rPr>
                <w:rFonts w:cs="Arial"/>
                <w:sz w:val="18"/>
                <w:szCs w:val="18"/>
              </w:rPr>
              <w:t>320,818.8</w:t>
            </w:r>
          </w:p>
        </w:tc>
        <w:tc>
          <w:tcPr>
            <w:tcW w:w="1165" w:type="dxa"/>
            <w:noWrap/>
            <w:hideMark/>
          </w:tcPr>
          <w:p w14:paraId="2C4CBBEE" w14:textId="77777777" w:rsidR="006A3DBC" w:rsidRPr="00FA4B2D" w:rsidRDefault="006A3DBC" w:rsidP="005F4A92">
            <w:pPr>
              <w:rPr>
                <w:rFonts w:cs="Arial"/>
                <w:sz w:val="18"/>
                <w:szCs w:val="18"/>
              </w:rPr>
            </w:pPr>
            <w:r w:rsidRPr="00FA4B2D">
              <w:rPr>
                <w:rFonts w:cs="Arial"/>
                <w:sz w:val="18"/>
                <w:szCs w:val="18"/>
              </w:rPr>
              <w:t>2.85%</w:t>
            </w:r>
          </w:p>
        </w:tc>
      </w:tr>
      <w:tr w:rsidR="006A3DBC" w:rsidRPr="00FA4B2D" w14:paraId="5F42CF90" w14:textId="77777777" w:rsidTr="00E11023">
        <w:trPr>
          <w:trHeight w:val="274"/>
        </w:trPr>
        <w:tc>
          <w:tcPr>
            <w:tcW w:w="612" w:type="dxa"/>
            <w:vMerge/>
            <w:hideMark/>
          </w:tcPr>
          <w:p w14:paraId="2098B9ED" w14:textId="77777777" w:rsidR="006A3DBC" w:rsidRPr="00FA4B2D" w:rsidRDefault="006A3DBC" w:rsidP="005F4A92">
            <w:pPr>
              <w:rPr>
                <w:rFonts w:cs="Arial"/>
                <w:sz w:val="18"/>
                <w:szCs w:val="18"/>
              </w:rPr>
            </w:pPr>
          </w:p>
        </w:tc>
        <w:tc>
          <w:tcPr>
            <w:tcW w:w="1635" w:type="dxa"/>
            <w:vMerge/>
            <w:hideMark/>
          </w:tcPr>
          <w:p w14:paraId="1E217904" w14:textId="77777777" w:rsidR="006A3DBC" w:rsidRPr="00FA4B2D" w:rsidRDefault="006A3DBC" w:rsidP="005F4A92">
            <w:pPr>
              <w:rPr>
                <w:rFonts w:cs="Arial"/>
                <w:sz w:val="18"/>
                <w:szCs w:val="18"/>
              </w:rPr>
            </w:pPr>
          </w:p>
        </w:tc>
        <w:tc>
          <w:tcPr>
            <w:tcW w:w="2961" w:type="dxa"/>
            <w:noWrap/>
            <w:hideMark/>
          </w:tcPr>
          <w:p w14:paraId="052C3F9C" w14:textId="77777777" w:rsidR="006A3DBC" w:rsidRPr="00FA4B2D" w:rsidRDefault="006A3DBC" w:rsidP="005F4A92">
            <w:pPr>
              <w:rPr>
                <w:rFonts w:cs="Arial"/>
                <w:sz w:val="18"/>
                <w:szCs w:val="18"/>
              </w:rPr>
            </w:pPr>
            <w:r w:rsidRPr="00FA4B2D">
              <w:rPr>
                <w:rFonts w:cs="Arial"/>
                <w:sz w:val="18"/>
                <w:szCs w:val="18"/>
              </w:rPr>
              <w:t>Zona Urbanizada Continua</w:t>
            </w:r>
          </w:p>
        </w:tc>
        <w:tc>
          <w:tcPr>
            <w:tcW w:w="1225" w:type="dxa"/>
            <w:noWrap/>
            <w:hideMark/>
          </w:tcPr>
          <w:p w14:paraId="0D90FD25" w14:textId="77777777" w:rsidR="006A3DBC" w:rsidRPr="00FA4B2D" w:rsidRDefault="006A3DBC" w:rsidP="005F4A92">
            <w:pPr>
              <w:rPr>
                <w:rFonts w:cs="Arial"/>
                <w:sz w:val="18"/>
                <w:szCs w:val="18"/>
              </w:rPr>
            </w:pPr>
            <w:r w:rsidRPr="00FA4B2D">
              <w:rPr>
                <w:rFonts w:cs="Arial"/>
                <w:sz w:val="18"/>
                <w:szCs w:val="18"/>
              </w:rPr>
              <w:t>470.2</w:t>
            </w:r>
          </w:p>
        </w:tc>
        <w:tc>
          <w:tcPr>
            <w:tcW w:w="1496" w:type="dxa"/>
            <w:noWrap/>
            <w:hideMark/>
          </w:tcPr>
          <w:p w14:paraId="0E4C3422" w14:textId="77777777" w:rsidR="006A3DBC" w:rsidRPr="00FA4B2D" w:rsidRDefault="006A3DBC" w:rsidP="005F4A92">
            <w:pPr>
              <w:rPr>
                <w:rFonts w:cs="Arial"/>
                <w:sz w:val="18"/>
                <w:szCs w:val="18"/>
              </w:rPr>
            </w:pPr>
            <w:r w:rsidRPr="00FA4B2D">
              <w:rPr>
                <w:rFonts w:cs="Arial"/>
                <w:sz w:val="18"/>
                <w:szCs w:val="18"/>
              </w:rPr>
              <w:t>47,017.1</w:t>
            </w:r>
          </w:p>
        </w:tc>
        <w:tc>
          <w:tcPr>
            <w:tcW w:w="1165" w:type="dxa"/>
            <w:noWrap/>
            <w:hideMark/>
          </w:tcPr>
          <w:p w14:paraId="1C78BEF7" w14:textId="77777777" w:rsidR="006A3DBC" w:rsidRPr="00FA4B2D" w:rsidRDefault="006A3DBC" w:rsidP="005F4A92">
            <w:pPr>
              <w:rPr>
                <w:rFonts w:cs="Arial"/>
                <w:sz w:val="18"/>
                <w:szCs w:val="18"/>
              </w:rPr>
            </w:pPr>
            <w:r w:rsidRPr="00FA4B2D">
              <w:rPr>
                <w:rFonts w:cs="Arial"/>
                <w:sz w:val="18"/>
                <w:szCs w:val="18"/>
              </w:rPr>
              <w:t>0.42%</w:t>
            </w:r>
          </w:p>
        </w:tc>
      </w:tr>
      <w:tr w:rsidR="006A3DBC" w:rsidRPr="00FA4B2D" w14:paraId="304D8BEA" w14:textId="77777777" w:rsidTr="00E11023">
        <w:trPr>
          <w:trHeight w:val="274"/>
        </w:trPr>
        <w:tc>
          <w:tcPr>
            <w:tcW w:w="612" w:type="dxa"/>
            <w:vMerge/>
            <w:hideMark/>
          </w:tcPr>
          <w:p w14:paraId="2121AC3E" w14:textId="77777777" w:rsidR="006A3DBC" w:rsidRPr="00FA4B2D" w:rsidRDefault="006A3DBC" w:rsidP="005F4A92">
            <w:pPr>
              <w:rPr>
                <w:rFonts w:cs="Arial"/>
                <w:sz w:val="18"/>
                <w:szCs w:val="18"/>
              </w:rPr>
            </w:pPr>
          </w:p>
        </w:tc>
        <w:tc>
          <w:tcPr>
            <w:tcW w:w="1635" w:type="dxa"/>
            <w:vMerge/>
            <w:hideMark/>
          </w:tcPr>
          <w:p w14:paraId="23D993B4" w14:textId="77777777" w:rsidR="006A3DBC" w:rsidRPr="00FA4B2D" w:rsidRDefault="006A3DBC" w:rsidP="005F4A92">
            <w:pPr>
              <w:rPr>
                <w:rFonts w:cs="Arial"/>
                <w:sz w:val="18"/>
                <w:szCs w:val="18"/>
              </w:rPr>
            </w:pPr>
          </w:p>
        </w:tc>
        <w:tc>
          <w:tcPr>
            <w:tcW w:w="2961" w:type="dxa"/>
            <w:noWrap/>
            <w:hideMark/>
          </w:tcPr>
          <w:p w14:paraId="6D041750" w14:textId="77777777" w:rsidR="006A3DBC" w:rsidRPr="00FA4B2D" w:rsidRDefault="006A3DBC" w:rsidP="005F4A92">
            <w:pPr>
              <w:rPr>
                <w:rFonts w:cs="Arial"/>
                <w:sz w:val="18"/>
                <w:szCs w:val="18"/>
              </w:rPr>
            </w:pPr>
            <w:r w:rsidRPr="00FA4B2D">
              <w:rPr>
                <w:rFonts w:cs="Arial"/>
                <w:sz w:val="18"/>
                <w:szCs w:val="18"/>
              </w:rPr>
              <w:t>Zona Urbanizada Discontinua</w:t>
            </w:r>
          </w:p>
        </w:tc>
        <w:tc>
          <w:tcPr>
            <w:tcW w:w="1225" w:type="dxa"/>
            <w:noWrap/>
            <w:hideMark/>
          </w:tcPr>
          <w:p w14:paraId="50FF375F" w14:textId="77777777" w:rsidR="006A3DBC" w:rsidRPr="00FA4B2D" w:rsidRDefault="006A3DBC" w:rsidP="005F4A92">
            <w:pPr>
              <w:rPr>
                <w:rFonts w:cs="Arial"/>
                <w:sz w:val="18"/>
                <w:szCs w:val="18"/>
              </w:rPr>
            </w:pPr>
            <w:r w:rsidRPr="00FA4B2D">
              <w:rPr>
                <w:rFonts w:cs="Arial"/>
                <w:sz w:val="18"/>
                <w:szCs w:val="18"/>
              </w:rPr>
              <w:t>437.6</w:t>
            </w:r>
          </w:p>
        </w:tc>
        <w:tc>
          <w:tcPr>
            <w:tcW w:w="1496" w:type="dxa"/>
            <w:noWrap/>
            <w:hideMark/>
          </w:tcPr>
          <w:p w14:paraId="69FC1326" w14:textId="77777777" w:rsidR="006A3DBC" w:rsidRPr="00FA4B2D" w:rsidRDefault="006A3DBC" w:rsidP="005F4A92">
            <w:pPr>
              <w:rPr>
                <w:rFonts w:cs="Arial"/>
                <w:sz w:val="18"/>
                <w:szCs w:val="18"/>
              </w:rPr>
            </w:pPr>
            <w:r w:rsidRPr="00FA4B2D">
              <w:rPr>
                <w:rFonts w:cs="Arial"/>
                <w:sz w:val="18"/>
                <w:szCs w:val="18"/>
              </w:rPr>
              <w:t>43,756.8</w:t>
            </w:r>
          </w:p>
        </w:tc>
        <w:tc>
          <w:tcPr>
            <w:tcW w:w="1165" w:type="dxa"/>
            <w:noWrap/>
            <w:hideMark/>
          </w:tcPr>
          <w:p w14:paraId="06777844" w14:textId="77777777" w:rsidR="006A3DBC" w:rsidRPr="00FA4B2D" w:rsidRDefault="006A3DBC" w:rsidP="005F4A92">
            <w:pPr>
              <w:rPr>
                <w:rFonts w:cs="Arial"/>
                <w:sz w:val="18"/>
                <w:szCs w:val="18"/>
              </w:rPr>
            </w:pPr>
            <w:r w:rsidRPr="00FA4B2D">
              <w:rPr>
                <w:rFonts w:cs="Arial"/>
                <w:sz w:val="18"/>
                <w:szCs w:val="18"/>
              </w:rPr>
              <w:t>0.39%</w:t>
            </w:r>
          </w:p>
        </w:tc>
      </w:tr>
      <w:tr w:rsidR="006A3DBC" w:rsidRPr="00FA4B2D" w14:paraId="48120983" w14:textId="77777777" w:rsidTr="00E11023">
        <w:trPr>
          <w:trHeight w:val="274"/>
        </w:trPr>
        <w:tc>
          <w:tcPr>
            <w:tcW w:w="612" w:type="dxa"/>
            <w:vMerge/>
            <w:hideMark/>
          </w:tcPr>
          <w:p w14:paraId="29FD673A" w14:textId="77777777" w:rsidR="006A3DBC" w:rsidRPr="00FA4B2D" w:rsidRDefault="006A3DBC" w:rsidP="005F4A92">
            <w:pPr>
              <w:rPr>
                <w:rFonts w:cs="Arial"/>
                <w:sz w:val="18"/>
                <w:szCs w:val="18"/>
              </w:rPr>
            </w:pPr>
          </w:p>
        </w:tc>
        <w:tc>
          <w:tcPr>
            <w:tcW w:w="1635" w:type="dxa"/>
            <w:vMerge/>
            <w:hideMark/>
          </w:tcPr>
          <w:p w14:paraId="796DE007" w14:textId="77777777" w:rsidR="006A3DBC" w:rsidRPr="00FA4B2D" w:rsidRDefault="006A3DBC" w:rsidP="005F4A92">
            <w:pPr>
              <w:rPr>
                <w:rFonts w:cs="Arial"/>
                <w:sz w:val="18"/>
                <w:szCs w:val="18"/>
              </w:rPr>
            </w:pPr>
          </w:p>
        </w:tc>
        <w:tc>
          <w:tcPr>
            <w:tcW w:w="2961" w:type="dxa"/>
            <w:noWrap/>
            <w:hideMark/>
          </w:tcPr>
          <w:p w14:paraId="07386315" w14:textId="77777777" w:rsidR="006A3DBC" w:rsidRPr="00FA4B2D" w:rsidRDefault="006A3DBC" w:rsidP="005F4A92">
            <w:pPr>
              <w:rPr>
                <w:rFonts w:cs="Arial"/>
                <w:sz w:val="18"/>
                <w:szCs w:val="18"/>
              </w:rPr>
            </w:pPr>
            <w:r w:rsidRPr="00FA4B2D">
              <w:rPr>
                <w:rFonts w:cs="Arial"/>
                <w:sz w:val="18"/>
                <w:szCs w:val="18"/>
              </w:rPr>
              <w:t>Arenal de Playa</w:t>
            </w:r>
          </w:p>
        </w:tc>
        <w:tc>
          <w:tcPr>
            <w:tcW w:w="1225" w:type="dxa"/>
            <w:noWrap/>
            <w:hideMark/>
          </w:tcPr>
          <w:p w14:paraId="193DDDE5" w14:textId="77777777" w:rsidR="006A3DBC" w:rsidRPr="00FA4B2D" w:rsidRDefault="006A3DBC" w:rsidP="005F4A92">
            <w:pPr>
              <w:rPr>
                <w:rFonts w:cs="Arial"/>
                <w:sz w:val="18"/>
                <w:szCs w:val="18"/>
              </w:rPr>
            </w:pPr>
            <w:r w:rsidRPr="00FA4B2D">
              <w:rPr>
                <w:rFonts w:cs="Arial"/>
                <w:sz w:val="18"/>
                <w:szCs w:val="18"/>
              </w:rPr>
              <w:t>33.8</w:t>
            </w:r>
          </w:p>
        </w:tc>
        <w:tc>
          <w:tcPr>
            <w:tcW w:w="1496" w:type="dxa"/>
            <w:noWrap/>
            <w:hideMark/>
          </w:tcPr>
          <w:p w14:paraId="757655AE" w14:textId="77777777" w:rsidR="006A3DBC" w:rsidRPr="00FA4B2D" w:rsidRDefault="006A3DBC" w:rsidP="005F4A92">
            <w:pPr>
              <w:rPr>
                <w:rFonts w:cs="Arial"/>
                <w:sz w:val="18"/>
                <w:szCs w:val="18"/>
              </w:rPr>
            </w:pPr>
            <w:r w:rsidRPr="00FA4B2D">
              <w:rPr>
                <w:rFonts w:cs="Arial"/>
                <w:sz w:val="18"/>
                <w:szCs w:val="18"/>
              </w:rPr>
              <w:t>3,378.6</w:t>
            </w:r>
          </w:p>
        </w:tc>
        <w:tc>
          <w:tcPr>
            <w:tcW w:w="1165" w:type="dxa"/>
            <w:noWrap/>
            <w:hideMark/>
          </w:tcPr>
          <w:p w14:paraId="57C1FCF4" w14:textId="77777777" w:rsidR="006A3DBC" w:rsidRPr="00FA4B2D" w:rsidRDefault="006A3DBC" w:rsidP="005F4A92">
            <w:pPr>
              <w:rPr>
                <w:rFonts w:cs="Arial"/>
                <w:sz w:val="18"/>
                <w:szCs w:val="18"/>
              </w:rPr>
            </w:pPr>
            <w:r w:rsidRPr="00FA4B2D">
              <w:rPr>
                <w:rFonts w:cs="Arial"/>
                <w:sz w:val="18"/>
                <w:szCs w:val="18"/>
              </w:rPr>
              <w:t>0.03%</w:t>
            </w:r>
          </w:p>
        </w:tc>
      </w:tr>
      <w:tr w:rsidR="006A3DBC" w:rsidRPr="00FA4B2D" w14:paraId="1BB4981E" w14:textId="77777777" w:rsidTr="00E11023">
        <w:trPr>
          <w:trHeight w:val="274"/>
        </w:trPr>
        <w:tc>
          <w:tcPr>
            <w:tcW w:w="612" w:type="dxa"/>
            <w:vMerge/>
            <w:hideMark/>
          </w:tcPr>
          <w:p w14:paraId="7703BD81" w14:textId="77777777" w:rsidR="006A3DBC" w:rsidRPr="00FA4B2D" w:rsidRDefault="006A3DBC" w:rsidP="005F4A92">
            <w:pPr>
              <w:rPr>
                <w:rFonts w:cs="Arial"/>
                <w:sz w:val="18"/>
                <w:szCs w:val="18"/>
              </w:rPr>
            </w:pPr>
          </w:p>
        </w:tc>
        <w:tc>
          <w:tcPr>
            <w:tcW w:w="1635" w:type="dxa"/>
            <w:vMerge/>
            <w:hideMark/>
          </w:tcPr>
          <w:p w14:paraId="6589F2AD" w14:textId="77777777" w:rsidR="006A3DBC" w:rsidRPr="00FA4B2D" w:rsidRDefault="006A3DBC" w:rsidP="005F4A92">
            <w:pPr>
              <w:rPr>
                <w:rFonts w:cs="Arial"/>
                <w:sz w:val="18"/>
                <w:szCs w:val="18"/>
              </w:rPr>
            </w:pPr>
          </w:p>
        </w:tc>
        <w:tc>
          <w:tcPr>
            <w:tcW w:w="2961" w:type="dxa"/>
            <w:noWrap/>
            <w:hideMark/>
          </w:tcPr>
          <w:p w14:paraId="782FB794" w14:textId="77777777" w:rsidR="006A3DBC" w:rsidRPr="00FA4B2D" w:rsidRDefault="006A3DBC" w:rsidP="005F4A92">
            <w:pPr>
              <w:rPr>
                <w:rFonts w:cs="Arial"/>
                <w:sz w:val="18"/>
                <w:szCs w:val="18"/>
              </w:rPr>
            </w:pPr>
            <w:r w:rsidRPr="00FA4B2D">
              <w:rPr>
                <w:rFonts w:cs="Arial"/>
                <w:sz w:val="18"/>
                <w:szCs w:val="18"/>
              </w:rPr>
              <w:t>Suelo Desnudo Continental</w:t>
            </w:r>
          </w:p>
        </w:tc>
        <w:tc>
          <w:tcPr>
            <w:tcW w:w="1225" w:type="dxa"/>
            <w:noWrap/>
            <w:hideMark/>
          </w:tcPr>
          <w:p w14:paraId="59A295B6" w14:textId="77777777" w:rsidR="006A3DBC" w:rsidRPr="00FA4B2D" w:rsidRDefault="006A3DBC" w:rsidP="005F4A92">
            <w:pPr>
              <w:rPr>
                <w:rFonts w:cs="Arial"/>
                <w:sz w:val="18"/>
                <w:szCs w:val="18"/>
              </w:rPr>
            </w:pPr>
            <w:r w:rsidRPr="00FA4B2D">
              <w:rPr>
                <w:rFonts w:cs="Arial"/>
                <w:sz w:val="18"/>
                <w:szCs w:val="18"/>
              </w:rPr>
              <w:t>312.2</w:t>
            </w:r>
          </w:p>
        </w:tc>
        <w:tc>
          <w:tcPr>
            <w:tcW w:w="1496" w:type="dxa"/>
            <w:noWrap/>
            <w:hideMark/>
          </w:tcPr>
          <w:p w14:paraId="4D564527" w14:textId="77777777" w:rsidR="006A3DBC" w:rsidRPr="00FA4B2D" w:rsidRDefault="006A3DBC" w:rsidP="005F4A92">
            <w:pPr>
              <w:rPr>
                <w:rFonts w:cs="Arial"/>
                <w:sz w:val="18"/>
                <w:szCs w:val="18"/>
              </w:rPr>
            </w:pPr>
            <w:r w:rsidRPr="00FA4B2D">
              <w:rPr>
                <w:rFonts w:cs="Arial"/>
                <w:sz w:val="18"/>
                <w:szCs w:val="18"/>
              </w:rPr>
              <w:t>31,218.3</w:t>
            </w:r>
          </w:p>
        </w:tc>
        <w:tc>
          <w:tcPr>
            <w:tcW w:w="1165" w:type="dxa"/>
            <w:noWrap/>
            <w:hideMark/>
          </w:tcPr>
          <w:p w14:paraId="01A7C170" w14:textId="77777777" w:rsidR="006A3DBC" w:rsidRPr="00FA4B2D" w:rsidRDefault="006A3DBC" w:rsidP="005F4A92">
            <w:pPr>
              <w:rPr>
                <w:rFonts w:cs="Arial"/>
                <w:sz w:val="18"/>
                <w:szCs w:val="18"/>
              </w:rPr>
            </w:pPr>
            <w:r w:rsidRPr="00FA4B2D">
              <w:rPr>
                <w:rFonts w:cs="Arial"/>
                <w:sz w:val="18"/>
                <w:szCs w:val="18"/>
              </w:rPr>
              <w:t>0.28%</w:t>
            </w:r>
          </w:p>
        </w:tc>
      </w:tr>
      <w:tr w:rsidR="006A3DBC" w:rsidRPr="00FA4B2D" w14:paraId="076FBC8A" w14:textId="77777777" w:rsidTr="00E11023">
        <w:trPr>
          <w:trHeight w:val="274"/>
        </w:trPr>
        <w:tc>
          <w:tcPr>
            <w:tcW w:w="612" w:type="dxa"/>
            <w:vMerge/>
            <w:hideMark/>
          </w:tcPr>
          <w:p w14:paraId="7A3C73BD" w14:textId="77777777" w:rsidR="006A3DBC" w:rsidRPr="00FA4B2D" w:rsidRDefault="006A3DBC" w:rsidP="005F4A92">
            <w:pPr>
              <w:rPr>
                <w:rFonts w:cs="Arial"/>
                <w:sz w:val="18"/>
                <w:szCs w:val="18"/>
              </w:rPr>
            </w:pPr>
          </w:p>
        </w:tc>
        <w:tc>
          <w:tcPr>
            <w:tcW w:w="1635" w:type="dxa"/>
            <w:vMerge/>
            <w:hideMark/>
          </w:tcPr>
          <w:p w14:paraId="7C3111E1" w14:textId="77777777" w:rsidR="006A3DBC" w:rsidRPr="00FA4B2D" w:rsidRDefault="006A3DBC" w:rsidP="005F4A92">
            <w:pPr>
              <w:rPr>
                <w:rFonts w:cs="Arial"/>
                <w:sz w:val="18"/>
                <w:szCs w:val="18"/>
              </w:rPr>
            </w:pPr>
          </w:p>
        </w:tc>
        <w:tc>
          <w:tcPr>
            <w:tcW w:w="2961" w:type="dxa"/>
            <w:noWrap/>
            <w:hideMark/>
          </w:tcPr>
          <w:p w14:paraId="0187E2D9" w14:textId="77777777" w:rsidR="006A3DBC" w:rsidRPr="00FA4B2D" w:rsidRDefault="006A3DBC" w:rsidP="005F4A92">
            <w:pPr>
              <w:rPr>
                <w:rFonts w:cs="Arial"/>
                <w:sz w:val="18"/>
                <w:szCs w:val="18"/>
              </w:rPr>
            </w:pPr>
            <w:r w:rsidRPr="00FA4B2D">
              <w:rPr>
                <w:rFonts w:cs="Arial"/>
                <w:sz w:val="18"/>
                <w:szCs w:val="18"/>
              </w:rPr>
              <w:t>Área Húmeda Continental</w:t>
            </w:r>
          </w:p>
        </w:tc>
        <w:tc>
          <w:tcPr>
            <w:tcW w:w="1225" w:type="dxa"/>
            <w:noWrap/>
            <w:hideMark/>
          </w:tcPr>
          <w:p w14:paraId="551646EB" w14:textId="77777777" w:rsidR="006A3DBC" w:rsidRPr="00FA4B2D" w:rsidRDefault="006A3DBC" w:rsidP="005F4A92">
            <w:pPr>
              <w:rPr>
                <w:rFonts w:cs="Arial"/>
                <w:sz w:val="18"/>
                <w:szCs w:val="18"/>
              </w:rPr>
            </w:pPr>
            <w:r w:rsidRPr="00FA4B2D">
              <w:rPr>
                <w:rFonts w:cs="Arial"/>
                <w:sz w:val="18"/>
                <w:szCs w:val="18"/>
              </w:rPr>
              <w:t>962.6</w:t>
            </w:r>
          </w:p>
        </w:tc>
        <w:tc>
          <w:tcPr>
            <w:tcW w:w="1496" w:type="dxa"/>
            <w:noWrap/>
            <w:hideMark/>
          </w:tcPr>
          <w:p w14:paraId="52AB8607" w14:textId="77777777" w:rsidR="006A3DBC" w:rsidRPr="00FA4B2D" w:rsidRDefault="006A3DBC" w:rsidP="005F4A92">
            <w:pPr>
              <w:rPr>
                <w:rFonts w:cs="Arial"/>
                <w:sz w:val="18"/>
                <w:szCs w:val="18"/>
              </w:rPr>
            </w:pPr>
            <w:r w:rsidRPr="00FA4B2D">
              <w:rPr>
                <w:rFonts w:cs="Arial"/>
                <w:sz w:val="18"/>
                <w:szCs w:val="18"/>
              </w:rPr>
              <w:t>96,262.7</w:t>
            </w:r>
          </w:p>
        </w:tc>
        <w:tc>
          <w:tcPr>
            <w:tcW w:w="1165" w:type="dxa"/>
            <w:noWrap/>
            <w:hideMark/>
          </w:tcPr>
          <w:p w14:paraId="1941ABFD" w14:textId="77777777" w:rsidR="006A3DBC" w:rsidRPr="00FA4B2D" w:rsidRDefault="006A3DBC" w:rsidP="005F4A92">
            <w:pPr>
              <w:rPr>
                <w:rFonts w:cs="Arial"/>
                <w:sz w:val="18"/>
                <w:szCs w:val="18"/>
              </w:rPr>
            </w:pPr>
            <w:r w:rsidRPr="00FA4B2D">
              <w:rPr>
                <w:rFonts w:cs="Arial"/>
                <w:sz w:val="18"/>
                <w:szCs w:val="18"/>
              </w:rPr>
              <w:t>0.86%</w:t>
            </w:r>
          </w:p>
        </w:tc>
      </w:tr>
      <w:tr w:rsidR="006A3DBC" w:rsidRPr="00FA4B2D" w14:paraId="13DC8860" w14:textId="77777777" w:rsidTr="00E11023">
        <w:trPr>
          <w:trHeight w:val="274"/>
        </w:trPr>
        <w:tc>
          <w:tcPr>
            <w:tcW w:w="612" w:type="dxa"/>
            <w:vMerge/>
            <w:hideMark/>
          </w:tcPr>
          <w:p w14:paraId="64A0B360" w14:textId="77777777" w:rsidR="006A3DBC" w:rsidRPr="00FA4B2D" w:rsidRDefault="006A3DBC" w:rsidP="005F4A92">
            <w:pPr>
              <w:rPr>
                <w:rFonts w:cs="Arial"/>
                <w:sz w:val="18"/>
                <w:szCs w:val="18"/>
              </w:rPr>
            </w:pPr>
          </w:p>
        </w:tc>
        <w:tc>
          <w:tcPr>
            <w:tcW w:w="1635" w:type="dxa"/>
            <w:vMerge/>
            <w:hideMark/>
          </w:tcPr>
          <w:p w14:paraId="040E6164" w14:textId="77777777" w:rsidR="006A3DBC" w:rsidRPr="00FA4B2D" w:rsidRDefault="006A3DBC" w:rsidP="005F4A92">
            <w:pPr>
              <w:rPr>
                <w:rFonts w:cs="Arial"/>
                <w:sz w:val="18"/>
                <w:szCs w:val="18"/>
              </w:rPr>
            </w:pPr>
          </w:p>
        </w:tc>
        <w:tc>
          <w:tcPr>
            <w:tcW w:w="2961" w:type="dxa"/>
            <w:noWrap/>
            <w:hideMark/>
          </w:tcPr>
          <w:p w14:paraId="36BAE1F1" w14:textId="77777777" w:rsidR="006A3DBC" w:rsidRPr="00FA4B2D" w:rsidRDefault="006A3DBC" w:rsidP="005F4A92">
            <w:pPr>
              <w:rPr>
                <w:rFonts w:cs="Arial"/>
                <w:sz w:val="18"/>
                <w:szCs w:val="18"/>
              </w:rPr>
            </w:pPr>
            <w:r w:rsidRPr="00FA4B2D">
              <w:rPr>
                <w:rFonts w:cs="Arial"/>
                <w:sz w:val="18"/>
                <w:szCs w:val="18"/>
              </w:rPr>
              <w:t>Tique (Acoelorraphe wright)</w:t>
            </w:r>
          </w:p>
        </w:tc>
        <w:tc>
          <w:tcPr>
            <w:tcW w:w="1225" w:type="dxa"/>
            <w:noWrap/>
            <w:hideMark/>
          </w:tcPr>
          <w:p w14:paraId="3A7A9F43" w14:textId="77777777" w:rsidR="006A3DBC" w:rsidRPr="00FA4B2D" w:rsidRDefault="006A3DBC" w:rsidP="005F4A92">
            <w:pPr>
              <w:rPr>
                <w:rFonts w:cs="Arial"/>
                <w:sz w:val="18"/>
                <w:szCs w:val="18"/>
              </w:rPr>
            </w:pPr>
            <w:r w:rsidRPr="00FA4B2D">
              <w:rPr>
                <w:rFonts w:cs="Arial"/>
                <w:sz w:val="18"/>
                <w:szCs w:val="18"/>
              </w:rPr>
              <w:t>214.2</w:t>
            </w:r>
          </w:p>
        </w:tc>
        <w:tc>
          <w:tcPr>
            <w:tcW w:w="1496" w:type="dxa"/>
            <w:noWrap/>
            <w:hideMark/>
          </w:tcPr>
          <w:p w14:paraId="0D3C9679" w14:textId="77777777" w:rsidR="006A3DBC" w:rsidRPr="00FA4B2D" w:rsidRDefault="006A3DBC" w:rsidP="005F4A92">
            <w:pPr>
              <w:rPr>
                <w:rFonts w:cs="Arial"/>
                <w:sz w:val="18"/>
                <w:szCs w:val="18"/>
              </w:rPr>
            </w:pPr>
            <w:r w:rsidRPr="00FA4B2D">
              <w:rPr>
                <w:rFonts w:cs="Arial"/>
                <w:sz w:val="18"/>
                <w:szCs w:val="18"/>
              </w:rPr>
              <w:t>21,423.4</w:t>
            </w:r>
          </w:p>
        </w:tc>
        <w:tc>
          <w:tcPr>
            <w:tcW w:w="1165" w:type="dxa"/>
            <w:noWrap/>
            <w:hideMark/>
          </w:tcPr>
          <w:p w14:paraId="68655E38" w14:textId="77777777" w:rsidR="006A3DBC" w:rsidRPr="00FA4B2D" w:rsidRDefault="006A3DBC" w:rsidP="005F4A92">
            <w:pPr>
              <w:rPr>
                <w:rFonts w:cs="Arial"/>
                <w:sz w:val="18"/>
                <w:szCs w:val="18"/>
              </w:rPr>
            </w:pPr>
            <w:r w:rsidRPr="00FA4B2D">
              <w:rPr>
                <w:rFonts w:cs="Arial"/>
                <w:sz w:val="18"/>
                <w:szCs w:val="18"/>
              </w:rPr>
              <w:t>0.19%</w:t>
            </w:r>
          </w:p>
        </w:tc>
      </w:tr>
      <w:tr w:rsidR="006A3DBC" w:rsidRPr="00FA4B2D" w14:paraId="3B02281F" w14:textId="77777777" w:rsidTr="00E11023">
        <w:trPr>
          <w:trHeight w:val="274"/>
        </w:trPr>
        <w:tc>
          <w:tcPr>
            <w:tcW w:w="612" w:type="dxa"/>
            <w:vMerge/>
            <w:hideMark/>
          </w:tcPr>
          <w:p w14:paraId="0E689249" w14:textId="77777777" w:rsidR="006A3DBC" w:rsidRPr="00FA4B2D" w:rsidRDefault="006A3DBC" w:rsidP="005F4A92">
            <w:pPr>
              <w:rPr>
                <w:rFonts w:cs="Arial"/>
                <w:sz w:val="18"/>
                <w:szCs w:val="18"/>
              </w:rPr>
            </w:pPr>
          </w:p>
        </w:tc>
        <w:tc>
          <w:tcPr>
            <w:tcW w:w="1635" w:type="dxa"/>
            <w:vMerge/>
            <w:hideMark/>
          </w:tcPr>
          <w:p w14:paraId="5CC0B1F7" w14:textId="77777777" w:rsidR="006A3DBC" w:rsidRPr="00FA4B2D" w:rsidRDefault="006A3DBC" w:rsidP="005F4A92">
            <w:pPr>
              <w:rPr>
                <w:rFonts w:cs="Arial"/>
                <w:sz w:val="18"/>
                <w:szCs w:val="18"/>
              </w:rPr>
            </w:pPr>
          </w:p>
        </w:tc>
        <w:tc>
          <w:tcPr>
            <w:tcW w:w="2961" w:type="dxa"/>
            <w:noWrap/>
            <w:hideMark/>
          </w:tcPr>
          <w:p w14:paraId="67783A74" w14:textId="77777777" w:rsidR="006A3DBC" w:rsidRPr="00FA4B2D" w:rsidRDefault="006A3DBC" w:rsidP="005F4A92">
            <w:pPr>
              <w:rPr>
                <w:rFonts w:cs="Arial"/>
                <w:sz w:val="18"/>
                <w:szCs w:val="18"/>
              </w:rPr>
            </w:pPr>
            <w:r w:rsidRPr="00FA4B2D">
              <w:rPr>
                <w:rFonts w:cs="Arial"/>
                <w:sz w:val="18"/>
                <w:szCs w:val="18"/>
              </w:rPr>
              <w:t>Árboles Dispersos Fuera de Bosque</w:t>
            </w:r>
          </w:p>
        </w:tc>
        <w:tc>
          <w:tcPr>
            <w:tcW w:w="1225" w:type="dxa"/>
            <w:noWrap/>
            <w:hideMark/>
          </w:tcPr>
          <w:p w14:paraId="0A67594C" w14:textId="77777777" w:rsidR="006A3DBC" w:rsidRPr="00FA4B2D" w:rsidRDefault="006A3DBC" w:rsidP="005F4A92">
            <w:pPr>
              <w:rPr>
                <w:rFonts w:cs="Arial"/>
                <w:sz w:val="18"/>
                <w:szCs w:val="18"/>
              </w:rPr>
            </w:pPr>
            <w:r w:rsidRPr="00FA4B2D">
              <w:rPr>
                <w:rFonts w:cs="Arial"/>
                <w:sz w:val="18"/>
                <w:szCs w:val="18"/>
              </w:rPr>
              <w:t>1,600.3</w:t>
            </w:r>
          </w:p>
        </w:tc>
        <w:tc>
          <w:tcPr>
            <w:tcW w:w="1496" w:type="dxa"/>
            <w:noWrap/>
            <w:hideMark/>
          </w:tcPr>
          <w:p w14:paraId="39D97454" w14:textId="77777777" w:rsidR="006A3DBC" w:rsidRPr="00FA4B2D" w:rsidRDefault="006A3DBC" w:rsidP="005F4A92">
            <w:pPr>
              <w:rPr>
                <w:rFonts w:cs="Arial"/>
                <w:sz w:val="18"/>
                <w:szCs w:val="18"/>
              </w:rPr>
            </w:pPr>
            <w:r w:rsidRPr="00FA4B2D">
              <w:rPr>
                <w:rFonts w:cs="Arial"/>
                <w:sz w:val="18"/>
                <w:szCs w:val="18"/>
              </w:rPr>
              <w:t>160,027.9</w:t>
            </w:r>
          </w:p>
        </w:tc>
        <w:tc>
          <w:tcPr>
            <w:tcW w:w="1165" w:type="dxa"/>
            <w:noWrap/>
            <w:hideMark/>
          </w:tcPr>
          <w:p w14:paraId="66508B70" w14:textId="77777777" w:rsidR="006A3DBC" w:rsidRPr="00FA4B2D" w:rsidRDefault="006A3DBC" w:rsidP="005F4A92">
            <w:pPr>
              <w:rPr>
                <w:rFonts w:cs="Arial"/>
                <w:sz w:val="18"/>
                <w:szCs w:val="18"/>
              </w:rPr>
            </w:pPr>
            <w:r w:rsidRPr="00FA4B2D">
              <w:rPr>
                <w:rFonts w:cs="Arial"/>
                <w:sz w:val="18"/>
                <w:szCs w:val="18"/>
              </w:rPr>
              <w:t>1.42%</w:t>
            </w:r>
          </w:p>
        </w:tc>
      </w:tr>
      <w:tr w:rsidR="006A3DBC" w:rsidRPr="00FA4B2D" w14:paraId="788B0C05" w14:textId="77777777" w:rsidTr="00E11023">
        <w:trPr>
          <w:trHeight w:val="274"/>
        </w:trPr>
        <w:tc>
          <w:tcPr>
            <w:tcW w:w="612" w:type="dxa"/>
            <w:vMerge/>
            <w:hideMark/>
          </w:tcPr>
          <w:p w14:paraId="5CC9FE55" w14:textId="77777777" w:rsidR="006A3DBC" w:rsidRPr="00FA4B2D" w:rsidRDefault="006A3DBC" w:rsidP="005F4A92">
            <w:pPr>
              <w:rPr>
                <w:rFonts w:cs="Arial"/>
                <w:sz w:val="18"/>
                <w:szCs w:val="18"/>
              </w:rPr>
            </w:pPr>
          </w:p>
        </w:tc>
        <w:tc>
          <w:tcPr>
            <w:tcW w:w="4596" w:type="dxa"/>
            <w:gridSpan w:val="2"/>
            <w:noWrap/>
            <w:hideMark/>
          </w:tcPr>
          <w:p w14:paraId="4C2EF13F" w14:textId="77777777" w:rsidR="006A3DBC" w:rsidRPr="00FA4B2D" w:rsidRDefault="006A3DBC" w:rsidP="005F4A92">
            <w:pPr>
              <w:rPr>
                <w:rFonts w:cs="Arial"/>
                <w:sz w:val="18"/>
                <w:szCs w:val="18"/>
              </w:rPr>
            </w:pPr>
            <w:r w:rsidRPr="00FA4B2D">
              <w:rPr>
                <w:rFonts w:cs="Arial"/>
                <w:sz w:val="18"/>
                <w:szCs w:val="18"/>
              </w:rPr>
              <w:t>Sub Total Otros Usos</w:t>
            </w:r>
          </w:p>
        </w:tc>
        <w:tc>
          <w:tcPr>
            <w:tcW w:w="1225" w:type="dxa"/>
            <w:noWrap/>
            <w:hideMark/>
          </w:tcPr>
          <w:p w14:paraId="3FE9ED15" w14:textId="77777777" w:rsidR="006A3DBC" w:rsidRPr="00FA4B2D" w:rsidRDefault="006A3DBC" w:rsidP="005F4A92">
            <w:pPr>
              <w:rPr>
                <w:rFonts w:cs="Arial"/>
                <w:sz w:val="18"/>
                <w:szCs w:val="18"/>
              </w:rPr>
            </w:pPr>
            <w:r w:rsidRPr="00FA4B2D">
              <w:rPr>
                <w:rFonts w:cs="Arial"/>
                <w:sz w:val="18"/>
                <w:szCs w:val="18"/>
              </w:rPr>
              <w:t>20,392.5</w:t>
            </w:r>
          </w:p>
        </w:tc>
        <w:tc>
          <w:tcPr>
            <w:tcW w:w="1496" w:type="dxa"/>
            <w:noWrap/>
            <w:hideMark/>
          </w:tcPr>
          <w:p w14:paraId="0C390763" w14:textId="77777777" w:rsidR="006A3DBC" w:rsidRPr="00FA4B2D" w:rsidRDefault="006A3DBC" w:rsidP="005F4A92">
            <w:pPr>
              <w:rPr>
                <w:rFonts w:cs="Arial"/>
                <w:sz w:val="18"/>
                <w:szCs w:val="18"/>
              </w:rPr>
            </w:pPr>
            <w:r w:rsidRPr="00FA4B2D">
              <w:rPr>
                <w:rFonts w:cs="Arial"/>
                <w:sz w:val="18"/>
                <w:szCs w:val="18"/>
              </w:rPr>
              <w:t>2,039,248.7</w:t>
            </w:r>
          </w:p>
        </w:tc>
        <w:tc>
          <w:tcPr>
            <w:tcW w:w="1165" w:type="dxa"/>
            <w:noWrap/>
            <w:hideMark/>
          </w:tcPr>
          <w:p w14:paraId="02DD22C2" w14:textId="77777777" w:rsidR="006A3DBC" w:rsidRPr="00FA4B2D" w:rsidRDefault="006A3DBC" w:rsidP="005F4A92">
            <w:pPr>
              <w:rPr>
                <w:rFonts w:cs="Arial"/>
                <w:sz w:val="18"/>
                <w:szCs w:val="18"/>
              </w:rPr>
            </w:pPr>
            <w:r w:rsidRPr="00FA4B2D">
              <w:rPr>
                <w:rFonts w:cs="Arial"/>
                <w:sz w:val="18"/>
                <w:szCs w:val="18"/>
              </w:rPr>
              <w:t>18.13%</w:t>
            </w:r>
          </w:p>
        </w:tc>
      </w:tr>
      <w:tr w:rsidR="006A3DBC" w:rsidRPr="00FA4B2D" w14:paraId="56F4EA0F" w14:textId="77777777" w:rsidTr="00E11023">
        <w:trPr>
          <w:trHeight w:val="274"/>
        </w:trPr>
        <w:tc>
          <w:tcPr>
            <w:tcW w:w="612" w:type="dxa"/>
            <w:vMerge/>
            <w:hideMark/>
          </w:tcPr>
          <w:p w14:paraId="095907B8" w14:textId="77777777" w:rsidR="006A3DBC" w:rsidRPr="00FA4B2D" w:rsidRDefault="006A3DBC" w:rsidP="005F4A92">
            <w:pPr>
              <w:rPr>
                <w:rFonts w:cs="Arial"/>
                <w:sz w:val="18"/>
                <w:szCs w:val="18"/>
              </w:rPr>
            </w:pPr>
          </w:p>
        </w:tc>
        <w:tc>
          <w:tcPr>
            <w:tcW w:w="1635" w:type="dxa"/>
            <w:vMerge w:val="restart"/>
            <w:noWrap/>
            <w:hideMark/>
          </w:tcPr>
          <w:p w14:paraId="3789D79D" w14:textId="77777777" w:rsidR="006A3DBC" w:rsidRPr="00FA4B2D" w:rsidRDefault="006A3DBC" w:rsidP="005F4A92">
            <w:pPr>
              <w:rPr>
                <w:rFonts w:cs="Arial"/>
                <w:sz w:val="18"/>
                <w:szCs w:val="18"/>
              </w:rPr>
            </w:pPr>
            <w:r w:rsidRPr="00FA4B2D">
              <w:rPr>
                <w:rFonts w:cs="Arial"/>
                <w:sz w:val="18"/>
                <w:szCs w:val="18"/>
              </w:rPr>
              <w:t>Cuerpos de Agua</w:t>
            </w:r>
          </w:p>
        </w:tc>
        <w:tc>
          <w:tcPr>
            <w:tcW w:w="2961" w:type="dxa"/>
            <w:noWrap/>
            <w:hideMark/>
          </w:tcPr>
          <w:p w14:paraId="3E217D99" w14:textId="77777777" w:rsidR="006A3DBC" w:rsidRPr="00FA4B2D" w:rsidRDefault="006A3DBC" w:rsidP="005F4A92">
            <w:pPr>
              <w:rPr>
                <w:rFonts w:cs="Arial"/>
                <w:sz w:val="18"/>
                <w:szCs w:val="18"/>
              </w:rPr>
            </w:pPr>
            <w:r w:rsidRPr="00FA4B2D">
              <w:rPr>
                <w:rFonts w:cs="Arial"/>
                <w:sz w:val="18"/>
                <w:szCs w:val="18"/>
              </w:rPr>
              <w:t>Lagos y Lagunas Naturales</w:t>
            </w:r>
          </w:p>
        </w:tc>
        <w:tc>
          <w:tcPr>
            <w:tcW w:w="1225" w:type="dxa"/>
            <w:noWrap/>
            <w:hideMark/>
          </w:tcPr>
          <w:p w14:paraId="25DC2F13" w14:textId="77777777" w:rsidR="006A3DBC" w:rsidRPr="00FA4B2D" w:rsidRDefault="006A3DBC" w:rsidP="005F4A92">
            <w:pPr>
              <w:rPr>
                <w:rFonts w:cs="Arial"/>
                <w:sz w:val="18"/>
                <w:szCs w:val="18"/>
              </w:rPr>
            </w:pPr>
            <w:r w:rsidRPr="00FA4B2D">
              <w:rPr>
                <w:rFonts w:cs="Arial"/>
                <w:sz w:val="18"/>
                <w:szCs w:val="18"/>
              </w:rPr>
              <w:t>1,449.4</w:t>
            </w:r>
          </w:p>
        </w:tc>
        <w:tc>
          <w:tcPr>
            <w:tcW w:w="1496" w:type="dxa"/>
            <w:noWrap/>
            <w:hideMark/>
          </w:tcPr>
          <w:p w14:paraId="0B06B33D" w14:textId="77777777" w:rsidR="006A3DBC" w:rsidRPr="00FA4B2D" w:rsidRDefault="006A3DBC" w:rsidP="005F4A92">
            <w:pPr>
              <w:rPr>
                <w:rFonts w:cs="Arial"/>
                <w:sz w:val="18"/>
                <w:szCs w:val="18"/>
              </w:rPr>
            </w:pPr>
            <w:r w:rsidRPr="00FA4B2D">
              <w:rPr>
                <w:rFonts w:cs="Arial"/>
                <w:sz w:val="18"/>
                <w:szCs w:val="18"/>
              </w:rPr>
              <w:t>144,938.5</w:t>
            </w:r>
          </w:p>
        </w:tc>
        <w:tc>
          <w:tcPr>
            <w:tcW w:w="1165" w:type="dxa"/>
            <w:noWrap/>
            <w:hideMark/>
          </w:tcPr>
          <w:p w14:paraId="1B16DBA4" w14:textId="77777777" w:rsidR="006A3DBC" w:rsidRPr="00FA4B2D" w:rsidRDefault="006A3DBC" w:rsidP="005F4A92">
            <w:pPr>
              <w:rPr>
                <w:rFonts w:cs="Arial"/>
                <w:sz w:val="18"/>
                <w:szCs w:val="18"/>
              </w:rPr>
            </w:pPr>
            <w:r w:rsidRPr="00FA4B2D">
              <w:rPr>
                <w:rFonts w:cs="Arial"/>
                <w:sz w:val="18"/>
                <w:szCs w:val="18"/>
              </w:rPr>
              <w:t>1.29%</w:t>
            </w:r>
          </w:p>
        </w:tc>
      </w:tr>
      <w:tr w:rsidR="006A3DBC" w:rsidRPr="00FA4B2D" w14:paraId="186D6907" w14:textId="77777777" w:rsidTr="00E11023">
        <w:trPr>
          <w:trHeight w:val="274"/>
        </w:trPr>
        <w:tc>
          <w:tcPr>
            <w:tcW w:w="612" w:type="dxa"/>
            <w:vMerge/>
            <w:hideMark/>
          </w:tcPr>
          <w:p w14:paraId="0CC4263B" w14:textId="77777777" w:rsidR="006A3DBC" w:rsidRPr="00FA4B2D" w:rsidRDefault="006A3DBC" w:rsidP="005F4A92">
            <w:pPr>
              <w:rPr>
                <w:rFonts w:cs="Arial"/>
                <w:sz w:val="18"/>
                <w:szCs w:val="18"/>
              </w:rPr>
            </w:pPr>
          </w:p>
        </w:tc>
        <w:tc>
          <w:tcPr>
            <w:tcW w:w="1635" w:type="dxa"/>
            <w:vMerge/>
            <w:hideMark/>
          </w:tcPr>
          <w:p w14:paraId="5BFB64AC" w14:textId="77777777" w:rsidR="006A3DBC" w:rsidRPr="00FA4B2D" w:rsidRDefault="006A3DBC" w:rsidP="005F4A92">
            <w:pPr>
              <w:rPr>
                <w:rFonts w:cs="Arial"/>
                <w:sz w:val="18"/>
                <w:szCs w:val="18"/>
              </w:rPr>
            </w:pPr>
          </w:p>
        </w:tc>
        <w:tc>
          <w:tcPr>
            <w:tcW w:w="2961" w:type="dxa"/>
            <w:noWrap/>
            <w:hideMark/>
          </w:tcPr>
          <w:p w14:paraId="56520003" w14:textId="77777777" w:rsidR="006A3DBC" w:rsidRPr="00FA4B2D" w:rsidRDefault="006A3DBC" w:rsidP="005F4A92">
            <w:pPr>
              <w:rPr>
                <w:rFonts w:cs="Arial"/>
                <w:sz w:val="18"/>
                <w:szCs w:val="18"/>
              </w:rPr>
            </w:pPr>
            <w:r w:rsidRPr="00FA4B2D">
              <w:rPr>
                <w:rFonts w:cs="Arial"/>
                <w:sz w:val="18"/>
                <w:szCs w:val="18"/>
              </w:rPr>
              <w:t>Cuerpos de Agua Artificial</w:t>
            </w:r>
          </w:p>
        </w:tc>
        <w:tc>
          <w:tcPr>
            <w:tcW w:w="1225" w:type="dxa"/>
            <w:noWrap/>
            <w:hideMark/>
          </w:tcPr>
          <w:p w14:paraId="22D751A7" w14:textId="77777777" w:rsidR="006A3DBC" w:rsidRPr="00FA4B2D" w:rsidRDefault="006A3DBC" w:rsidP="005F4A92">
            <w:pPr>
              <w:rPr>
                <w:rFonts w:cs="Arial"/>
                <w:sz w:val="18"/>
                <w:szCs w:val="18"/>
              </w:rPr>
            </w:pPr>
            <w:r w:rsidRPr="00FA4B2D">
              <w:rPr>
                <w:rFonts w:cs="Arial"/>
                <w:sz w:val="18"/>
                <w:szCs w:val="18"/>
              </w:rPr>
              <w:t>89.9</w:t>
            </w:r>
          </w:p>
        </w:tc>
        <w:tc>
          <w:tcPr>
            <w:tcW w:w="1496" w:type="dxa"/>
            <w:noWrap/>
            <w:hideMark/>
          </w:tcPr>
          <w:p w14:paraId="39642FFC" w14:textId="77777777" w:rsidR="006A3DBC" w:rsidRPr="00FA4B2D" w:rsidRDefault="006A3DBC" w:rsidP="005F4A92">
            <w:pPr>
              <w:rPr>
                <w:rFonts w:cs="Arial"/>
                <w:sz w:val="18"/>
                <w:szCs w:val="18"/>
              </w:rPr>
            </w:pPr>
            <w:r w:rsidRPr="00FA4B2D">
              <w:rPr>
                <w:rFonts w:cs="Arial"/>
                <w:sz w:val="18"/>
                <w:szCs w:val="18"/>
              </w:rPr>
              <w:t>8,986.9</w:t>
            </w:r>
          </w:p>
        </w:tc>
        <w:tc>
          <w:tcPr>
            <w:tcW w:w="1165" w:type="dxa"/>
            <w:noWrap/>
            <w:hideMark/>
          </w:tcPr>
          <w:p w14:paraId="5391B8DA" w14:textId="77777777" w:rsidR="006A3DBC" w:rsidRPr="00FA4B2D" w:rsidRDefault="006A3DBC" w:rsidP="005F4A92">
            <w:pPr>
              <w:rPr>
                <w:rFonts w:cs="Arial"/>
                <w:sz w:val="18"/>
                <w:szCs w:val="18"/>
              </w:rPr>
            </w:pPr>
            <w:r w:rsidRPr="00FA4B2D">
              <w:rPr>
                <w:rFonts w:cs="Arial"/>
                <w:sz w:val="18"/>
                <w:szCs w:val="18"/>
              </w:rPr>
              <w:t>0.08%</w:t>
            </w:r>
          </w:p>
        </w:tc>
      </w:tr>
      <w:tr w:rsidR="006A3DBC" w:rsidRPr="00FA4B2D" w14:paraId="683113BB" w14:textId="77777777" w:rsidTr="00E11023">
        <w:trPr>
          <w:trHeight w:val="274"/>
        </w:trPr>
        <w:tc>
          <w:tcPr>
            <w:tcW w:w="612" w:type="dxa"/>
            <w:vMerge/>
            <w:hideMark/>
          </w:tcPr>
          <w:p w14:paraId="3862DF40" w14:textId="77777777" w:rsidR="006A3DBC" w:rsidRPr="00FA4B2D" w:rsidRDefault="006A3DBC" w:rsidP="005F4A92">
            <w:pPr>
              <w:rPr>
                <w:rFonts w:cs="Arial"/>
                <w:sz w:val="18"/>
                <w:szCs w:val="18"/>
              </w:rPr>
            </w:pPr>
          </w:p>
        </w:tc>
        <w:tc>
          <w:tcPr>
            <w:tcW w:w="1635" w:type="dxa"/>
            <w:vMerge/>
            <w:hideMark/>
          </w:tcPr>
          <w:p w14:paraId="441B6C72" w14:textId="77777777" w:rsidR="006A3DBC" w:rsidRPr="00FA4B2D" w:rsidRDefault="006A3DBC" w:rsidP="005F4A92">
            <w:pPr>
              <w:rPr>
                <w:rFonts w:cs="Arial"/>
                <w:sz w:val="18"/>
                <w:szCs w:val="18"/>
              </w:rPr>
            </w:pPr>
          </w:p>
        </w:tc>
        <w:tc>
          <w:tcPr>
            <w:tcW w:w="2961" w:type="dxa"/>
            <w:noWrap/>
            <w:hideMark/>
          </w:tcPr>
          <w:p w14:paraId="6B1C3537" w14:textId="77777777" w:rsidR="006A3DBC" w:rsidRPr="00FA4B2D" w:rsidRDefault="006A3DBC" w:rsidP="005F4A92">
            <w:pPr>
              <w:rPr>
                <w:rFonts w:cs="Arial"/>
                <w:sz w:val="18"/>
                <w:szCs w:val="18"/>
              </w:rPr>
            </w:pPr>
            <w:r w:rsidRPr="00FA4B2D">
              <w:rPr>
                <w:rFonts w:cs="Arial"/>
                <w:sz w:val="18"/>
                <w:szCs w:val="18"/>
              </w:rPr>
              <w:t>Otras Superficies de Agua</w:t>
            </w:r>
          </w:p>
        </w:tc>
        <w:tc>
          <w:tcPr>
            <w:tcW w:w="1225" w:type="dxa"/>
            <w:noWrap/>
            <w:hideMark/>
          </w:tcPr>
          <w:p w14:paraId="34327D16" w14:textId="77777777" w:rsidR="006A3DBC" w:rsidRPr="00FA4B2D" w:rsidRDefault="006A3DBC" w:rsidP="005F4A92">
            <w:pPr>
              <w:rPr>
                <w:rFonts w:cs="Arial"/>
                <w:sz w:val="18"/>
                <w:szCs w:val="18"/>
              </w:rPr>
            </w:pPr>
            <w:r w:rsidRPr="00FA4B2D">
              <w:rPr>
                <w:rFonts w:cs="Arial"/>
                <w:sz w:val="18"/>
                <w:szCs w:val="18"/>
              </w:rPr>
              <w:t>180.7</w:t>
            </w:r>
          </w:p>
        </w:tc>
        <w:tc>
          <w:tcPr>
            <w:tcW w:w="1496" w:type="dxa"/>
            <w:noWrap/>
            <w:hideMark/>
          </w:tcPr>
          <w:p w14:paraId="0FF58372" w14:textId="77777777" w:rsidR="006A3DBC" w:rsidRPr="00FA4B2D" w:rsidRDefault="006A3DBC" w:rsidP="005F4A92">
            <w:pPr>
              <w:rPr>
                <w:rFonts w:cs="Arial"/>
                <w:sz w:val="18"/>
                <w:szCs w:val="18"/>
              </w:rPr>
            </w:pPr>
            <w:r w:rsidRPr="00FA4B2D">
              <w:rPr>
                <w:rFonts w:cs="Arial"/>
                <w:sz w:val="18"/>
                <w:szCs w:val="18"/>
              </w:rPr>
              <w:t>18,070.7</w:t>
            </w:r>
          </w:p>
        </w:tc>
        <w:tc>
          <w:tcPr>
            <w:tcW w:w="1165" w:type="dxa"/>
            <w:noWrap/>
            <w:hideMark/>
          </w:tcPr>
          <w:p w14:paraId="58C066B5" w14:textId="77777777" w:rsidR="006A3DBC" w:rsidRPr="00FA4B2D" w:rsidRDefault="006A3DBC" w:rsidP="005F4A92">
            <w:pPr>
              <w:rPr>
                <w:rFonts w:cs="Arial"/>
                <w:sz w:val="18"/>
                <w:szCs w:val="18"/>
              </w:rPr>
            </w:pPr>
            <w:r w:rsidRPr="00FA4B2D">
              <w:rPr>
                <w:rFonts w:cs="Arial"/>
                <w:sz w:val="18"/>
                <w:szCs w:val="18"/>
              </w:rPr>
              <w:t>0.16%</w:t>
            </w:r>
          </w:p>
        </w:tc>
      </w:tr>
      <w:tr w:rsidR="006A3DBC" w:rsidRPr="00FA4B2D" w14:paraId="23E1DF1D" w14:textId="77777777" w:rsidTr="00E11023">
        <w:trPr>
          <w:trHeight w:val="274"/>
        </w:trPr>
        <w:tc>
          <w:tcPr>
            <w:tcW w:w="612" w:type="dxa"/>
            <w:noWrap/>
            <w:hideMark/>
          </w:tcPr>
          <w:p w14:paraId="3DCECEF1" w14:textId="77777777" w:rsidR="006A3DBC" w:rsidRPr="00FA4B2D" w:rsidRDefault="006A3DBC" w:rsidP="005F4A92">
            <w:pPr>
              <w:rPr>
                <w:rFonts w:cs="Arial"/>
                <w:sz w:val="18"/>
                <w:szCs w:val="18"/>
              </w:rPr>
            </w:pPr>
          </w:p>
        </w:tc>
        <w:tc>
          <w:tcPr>
            <w:tcW w:w="4596" w:type="dxa"/>
            <w:gridSpan w:val="2"/>
            <w:noWrap/>
            <w:hideMark/>
          </w:tcPr>
          <w:p w14:paraId="41E5BD81" w14:textId="77777777" w:rsidR="006A3DBC" w:rsidRPr="00FA4B2D" w:rsidRDefault="006A3DBC" w:rsidP="005F4A92">
            <w:pPr>
              <w:rPr>
                <w:rFonts w:cs="Arial"/>
                <w:sz w:val="18"/>
                <w:szCs w:val="18"/>
              </w:rPr>
            </w:pPr>
            <w:r w:rsidRPr="00FA4B2D">
              <w:rPr>
                <w:rFonts w:cs="Arial"/>
                <w:sz w:val="18"/>
                <w:szCs w:val="18"/>
              </w:rPr>
              <w:t>Sub Total Cuerpos de Agua</w:t>
            </w:r>
          </w:p>
        </w:tc>
        <w:tc>
          <w:tcPr>
            <w:tcW w:w="1225" w:type="dxa"/>
            <w:noWrap/>
            <w:hideMark/>
          </w:tcPr>
          <w:p w14:paraId="25A3E26B" w14:textId="77777777" w:rsidR="006A3DBC" w:rsidRPr="00FA4B2D" w:rsidRDefault="006A3DBC" w:rsidP="005F4A92">
            <w:pPr>
              <w:rPr>
                <w:rFonts w:cs="Arial"/>
                <w:sz w:val="18"/>
                <w:szCs w:val="18"/>
              </w:rPr>
            </w:pPr>
            <w:r w:rsidRPr="00FA4B2D">
              <w:rPr>
                <w:rFonts w:cs="Arial"/>
                <w:sz w:val="18"/>
                <w:szCs w:val="18"/>
              </w:rPr>
              <w:t>1,720.0</w:t>
            </w:r>
          </w:p>
        </w:tc>
        <w:tc>
          <w:tcPr>
            <w:tcW w:w="1496" w:type="dxa"/>
            <w:noWrap/>
            <w:hideMark/>
          </w:tcPr>
          <w:p w14:paraId="1B31F392" w14:textId="77777777" w:rsidR="006A3DBC" w:rsidRPr="00FA4B2D" w:rsidRDefault="006A3DBC" w:rsidP="005F4A92">
            <w:pPr>
              <w:rPr>
                <w:rFonts w:cs="Arial"/>
                <w:sz w:val="18"/>
                <w:szCs w:val="18"/>
              </w:rPr>
            </w:pPr>
            <w:r w:rsidRPr="00FA4B2D">
              <w:rPr>
                <w:rFonts w:cs="Arial"/>
                <w:sz w:val="18"/>
                <w:szCs w:val="18"/>
              </w:rPr>
              <w:t>171,996.1</w:t>
            </w:r>
          </w:p>
        </w:tc>
        <w:tc>
          <w:tcPr>
            <w:tcW w:w="1165" w:type="dxa"/>
            <w:noWrap/>
            <w:hideMark/>
          </w:tcPr>
          <w:p w14:paraId="6659F391" w14:textId="77777777" w:rsidR="006A3DBC" w:rsidRPr="00FA4B2D" w:rsidRDefault="006A3DBC" w:rsidP="005F4A92">
            <w:pPr>
              <w:rPr>
                <w:rFonts w:cs="Arial"/>
                <w:sz w:val="18"/>
                <w:szCs w:val="18"/>
              </w:rPr>
            </w:pPr>
            <w:r w:rsidRPr="00FA4B2D">
              <w:rPr>
                <w:rFonts w:cs="Arial"/>
                <w:sz w:val="18"/>
                <w:szCs w:val="18"/>
              </w:rPr>
              <w:t>1.53%</w:t>
            </w:r>
          </w:p>
        </w:tc>
      </w:tr>
      <w:tr w:rsidR="006A3DBC" w:rsidRPr="00FA4B2D" w14:paraId="7725578A" w14:textId="77777777" w:rsidTr="00E11023">
        <w:trPr>
          <w:trHeight w:val="274"/>
        </w:trPr>
        <w:tc>
          <w:tcPr>
            <w:tcW w:w="612" w:type="dxa"/>
            <w:noWrap/>
            <w:hideMark/>
          </w:tcPr>
          <w:p w14:paraId="2B39226B" w14:textId="77777777" w:rsidR="006A3DBC" w:rsidRPr="00FA4B2D" w:rsidRDefault="006A3DBC" w:rsidP="005F4A92">
            <w:pPr>
              <w:rPr>
                <w:rFonts w:cs="Arial"/>
                <w:sz w:val="18"/>
                <w:szCs w:val="18"/>
              </w:rPr>
            </w:pPr>
          </w:p>
        </w:tc>
        <w:tc>
          <w:tcPr>
            <w:tcW w:w="1635" w:type="dxa"/>
            <w:noWrap/>
            <w:hideMark/>
          </w:tcPr>
          <w:p w14:paraId="49EA3644" w14:textId="77777777" w:rsidR="006A3DBC" w:rsidRPr="00FA4B2D" w:rsidRDefault="006A3DBC" w:rsidP="005F4A92">
            <w:pPr>
              <w:rPr>
                <w:rFonts w:cs="Arial"/>
                <w:sz w:val="18"/>
                <w:szCs w:val="18"/>
              </w:rPr>
            </w:pPr>
          </w:p>
        </w:tc>
        <w:tc>
          <w:tcPr>
            <w:tcW w:w="2961" w:type="dxa"/>
            <w:noWrap/>
            <w:hideMark/>
          </w:tcPr>
          <w:p w14:paraId="3930AEE9" w14:textId="77777777" w:rsidR="006A3DBC" w:rsidRPr="00FA4B2D" w:rsidRDefault="006A3DBC" w:rsidP="005F4A92">
            <w:pPr>
              <w:rPr>
                <w:rFonts w:cs="Arial"/>
                <w:sz w:val="18"/>
                <w:szCs w:val="18"/>
              </w:rPr>
            </w:pPr>
            <w:r w:rsidRPr="00FA4B2D">
              <w:rPr>
                <w:rFonts w:cs="Arial"/>
                <w:sz w:val="18"/>
                <w:szCs w:val="18"/>
              </w:rPr>
              <w:t>Sub Total No Bosque</w:t>
            </w:r>
          </w:p>
        </w:tc>
        <w:tc>
          <w:tcPr>
            <w:tcW w:w="1225" w:type="dxa"/>
            <w:noWrap/>
            <w:hideMark/>
          </w:tcPr>
          <w:p w14:paraId="1BB3032E" w14:textId="77777777" w:rsidR="006A3DBC" w:rsidRPr="00FA4B2D" w:rsidRDefault="006A3DBC" w:rsidP="005F4A92">
            <w:pPr>
              <w:rPr>
                <w:rFonts w:cs="Arial"/>
                <w:sz w:val="18"/>
                <w:szCs w:val="18"/>
              </w:rPr>
            </w:pPr>
            <w:r w:rsidRPr="00FA4B2D">
              <w:rPr>
                <w:rFonts w:cs="Arial"/>
                <w:sz w:val="18"/>
                <w:szCs w:val="18"/>
              </w:rPr>
              <w:t>58,510.6</w:t>
            </w:r>
          </w:p>
        </w:tc>
        <w:tc>
          <w:tcPr>
            <w:tcW w:w="1496" w:type="dxa"/>
            <w:noWrap/>
            <w:hideMark/>
          </w:tcPr>
          <w:p w14:paraId="3D8DA9B8" w14:textId="77777777" w:rsidR="006A3DBC" w:rsidRPr="00FA4B2D" w:rsidRDefault="006A3DBC" w:rsidP="005F4A92">
            <w:pPr>
              <w:rPr>
                <w:rFonts w:cs="Arial"/>
                <w:sz w:val="18"/>
                <w:szCs w:val="18"/>
              </w:rPr>
            </w:pPr>
            <w:r w:rsidRPr="00FA4B2D">
              <w:rPr>
                <w:rFonts w:cs="Arial"/>
                <w:sz w:val="18"/>
                <w:szCs w:val="18"/>
              </w:rPr>
              <w:t>11,005,794.5</w:t>
            </w:r>
          </w:p>
        </w:tc>
        <w:tc>
          <w:tcPr>
            <w:tcW w:w="1165" w:type="dxa"/>
            <w:noWrap/>
            <w:hideMark/>
          </w:tcPr>
          <w:p w14:paraId="7EB4BF8C" w14:textId="77777777" w:rsidR="006A3DBC" w:rsidRPr="00FA4B2D" w:rsidRDefault="006A3DBC" w:rsidP="005F4A92">
            <w:pPr>
              <w:rPr>
                <w:rFonts w:cs="Arial"/>
                <w:sz w:val="18"/>
                <w:szCs w:val="18"/>
              </w:rPr>
            </w:pPr>
            <w:r w:rsidRPr="00FA4B2D">
              <w:rPr>
                <w:rFonts w:cs="Arial"/>
                <w:sz w:val="18"/>
                <w:szCs w:val="18"/>
              </w:rPr>
              <w:t>52.01%</w:t>
            </w:r>
          </w:p>
        </w:tc>
      </w:tr>
      <w:tr w:rsidR="006A3DBC" w:rsidRPr="00FA4B2D" w14:paraId="71BCA6EB" w14:textId="77777777" w:rsidTr="00E11023">
        <w:trPr>
          <w:trHeight w:val="274"/>
        </w:trPr>
        <w:tc>
          <w:tcPr>
            <w:tcW w:w="5208" w:type="dxa"/>
            <w:gridSpan w:val="3"/>
            <w:noWrap/>
            <w:hideMark/>
          </w:tcPr>
          <w:p w14:paraId="6E9C48BC" w14:textId="77777777" w:rsidR="006A3DBC" w:rsidRPr="00FA4B2D" w:rsidRDefault="006A3DBC" w:rsidP="005F4A92">
            <w:pPr>
              <w:rPr>
                <w:rFonts w:cs="Arial"/>
                <w:sz w:val="18"/>
                <w:szCs w:val="18"/>
              </w:rPr>
            </w:pPr>
            <w:r w:rsidRPr="00FA4B2D">
              <w:rPr>
                <w:rFonts w:cs="Arial"/>
                <w:sz w:val="18"/>
                <w:szCs w:val="18"/>
              </w:rPr>
              <w:t>Gran Total</w:t>
            </w:r>
          </w:p>
        </w:tc>
        <w:tc>
          <w:tcPr>
            <w:tcW w:w="1225" w:type="dxa"/>
            <w:noWrap/>
            <w:hideMark/>
          </w:tcPr>
          <w:p w14:paraId="7C9F3B05" w14:textId="77777777" w:rsidR="006A3DBC" w:rsidRPr="00FA4B2D" w:rsidRDefault="006A3DBC" w:rsidP="005F4A92">
            <w:pPr>
              <w:rPr>
                <w:rFonts w:cs="Arial"/>
                <w:sz w:val="18"/>
                <w:szCs w:val="18"/>
              </w:rPr>
            </w:pPr>
            <w:r w:rsidRPr="00FA4B2D">
              <w:rPr>
                <w:rFonts w:cs="Arial"/>
                <w:sz w:val="18"/>
                <w:szCs w:val="18"/>
              </w:rPr>
              <w:t>112,492.0</w:t>
            </w:r>
          </w:p>
        </w:tc>
        <w:tc>
          <w:tcPr>
            <w:tcW w:w="1496" w:type="dxa"/>
            <w:noWrap/>
            <w:hideMark/>
          </w:tcPr>
          <w:p w14:paraId="03A83039" w14:textId="77777777" w:rsidR="006A3DBC" w:rsidRPr="00FA4B2D" w:rsidRDefault="006A3DBC" w:rsidP="005F4A92">
            <w:pPr>
              <w:rPr>
                <w:rFonts w:cs="Arial"/>
                <w:sz w:val="18"/>
                <w:szCs w:val="18"/>
              </w:rPr>
            </w:pPr>
            <w:r w:rsidRPr="00FA4B2D">
              <w:rPr>
                <w:rFonts w:cs="Arial"/>
                <w:sz w:val="18"/>
                <w:szCs w:val="18"/>
              </w:rPr>
              <w:t>11,249,200.0</w:t>
            </w:r>
          </w:p>
        </w:tc>
        <w:tc>
          <w:tcPr>
            <w:tcW w:w="1165" w:type="dxa"/>
            <w:noWrap/>
            <w:hideMark/>
          </w:tcPr>
          <w:p w14:paraId="664EA27E" w14:textId="77777777" w:rsidR="006A3DBC" w:rsidRPr="00FA4B2D" w:rsidRDefault="006A3DBC" w:rsidP="005F4A92">
            <w:pPr>
              <w:rPr>
                <w:rFonts w:cs="Arial"/>
                <w:sz w:val="18"/>
                <w:szCs w:val="18"/>
              </w:rPr>
            </w:pPr>
            <w:r w:rsidRPr="00FA4B2D">
              <w:rPr>
                <w:rFonts w:cs="Arial"/>
                <w:sz w:val="18"/>
                <w:szCs w:val="18"/>
              </w:rPr>
              <w:t>100.00%</w:t>
            </w:r>
          </w:p>
        </w:tc>
      </w:tr>
    </w:tbl>
    <w:p w14:paraId="337EC873" w14:textId="5827DCBE" w:rsidR="00E11023" w:rsidRDefault="00E11023" w:rsidP="00E11023">
      <w:pPr>
        <w:pStyle w:val="Descripcin"/>
        <w:keepNext/>
        <w:jc w:val="center"/>
      </w:pPr>
      <w:bookmarkStart w:id="318" w:name="_Toc202455567"/>
      <w:r>
        <w:t xml:space="preserve">Ilustración </w:t>
      </w:r>
      <w:r>
        <w:fldChar w:fldCharType="begin"/>
      </w:r>
      <w:r>
        <w:instrText xml:space="preserve"> SEQ Ilustración \* ARABIC </w:instrText>
      </w:r>
      <w:r>
        <w:fldChar w:fldCharType="separate"/>
      </w:r>
      <w:r w:rsidR="00F94AC4">
        <w:rPr>
          <w:noProof/>
        </w:rPr>
        <w:t>5</w:t>
      </w:r>
      <w:r>
        <w:fldChar w:fldCharType="end"/>
      </w:r>
      <w:r>
        <w:t xml:space="preserve">: </w:t>
      </w:r>
      <w:r w:rsidRPr="00B11258">
        <w:t>Mapa Forestal y Cobertura de la Tierra</w:t>
      </w:r>
      <w:bookmarkEnd w:id="318"/>
    </w:p>
    <w:p w14:paraId="7F083EDF" w14:textId="77777777" w:rsidR="006A3DBC" w:rsidRPr="00FA4B2D" w:rsidRDefault="006A3DBC" w:rsidP="006A3DBC">
      <w:pPr>
        <w:spacing w:after="0" w:line="240" w:lineRule="auto"/>
        <w:jc w:val="center"/>
        <w:rPr>
          <w:rFonts w:cs="Arial"/>
        </w:rPr>
      </w:pPr>
      <w:r w:rsidRPr="00FA4B2D">
        <w:rPr>
          <w:rFonts w:cs="Arial"/>
          <w:noProof/>
          <w:lang w:val="es-HN" w:eastAsia="es-HN"/>
        </w:rPr>
        <w:drawing>
          <wp:inline distT="0" distB="0" distL="0" distR="0" wp14:anchorId="458BFD23" wp14:editId="267AFEEF">
            <wp:extent cx="4590415" cy="2645864"/>
            <wp:effectExtent l="0" t="0" r="635" b="2540"/>
            <wp:docPr id="16" name="Picture 16" descr="Imagen que contiene texto, mapa,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pa_Forestal_Honduras_Oficial.jpg"/>
                    <pic:cNvPicPr/>
                  </pic:nvPicPr>
                  <pic:blipFill rotWithShape="1">
                    <a:blip r:embed="rId20" cstate="print">
                      <a:extLst>
                        <a:ext uri="{28A0092B-C50C-407E-A947-70E740481C1C}">
                          <a14:useLocalDpi xmlns:a14="http://schemas.microsoft.com/office/drawing/2010/main" val="0"/>
                        </a:ext>
                      </a:extLst>
                    </a:blip>
                    <a:srcRect l="2938" t="13734" r="3016" b="16112"/>
                    <a:stretch/>
                  </pic:blipFill>
                  <pic:spPr bwMode="auto">
                    <a:xfrm>
                      <a:off x="0" y="0"/>
                      <a:ext cx="4601049" cy="2651993"/>
                    </a:xfrm>
                    <a:prstGeom prst="rect">
                      <a:avLst/>
                    </a:prstGeom>
                    <a:ln>
                      <a:noFill/>
                    </a:ln>
                    <a:extLst>
                      <a:ext uri="{53640926-AAD7-44D8-BBD7-CCE9431645EC}">
                        <a14:shadowObscured xmlns:a14="http://schemas.microsoft.com/office/drawing/2010/main"/>
                      </a:ext>
                    </a:extLst>
                  </pic:spPr>
                </pic:pic>
              </a:graphicData>
            </a:graphic>
          </wp:inline>
        </w:drawing>
      </w:r>
    </w:p>
    <w:p w14:paraId="7A60DCD5" w14:textId="22F3E588" w:rsidR="006A3DBC" w:rsidRPr="00FA4B2D" w:rsidRDefault="006A3DBC" w:rsidP="006A3DBC">
      <w:pPr>
        <w:spacing w:after="0" w:line="240" w:lineRule="auto"/>
        <w:jc w:val="both"/>
        <w:rPr>
          <w:rFonts w:cs="Arial"/>
          <w:sz w:val="20"/>
          <w:szCs w:val="20"/>
        </w:rPr>
      </w:pPr>
      <w:r w:rsidRPr="00FA4B2D">
        <w:rPr>
          <w:rFonts w:cs="Arial"/>
          <w:sz w:val="20"/>
          <w:szCs w:val="20"/>
        </w:rPr>
        <w:t xml:space="preserve">               </w:t>
      </w:r>
      <w:r w:rsidR="001D2CF5" w:rsidRPr="00FA4B2D">
        <w:rPr>
          <w:rFonts w:cs="Arial"/>
          <w:b/>
          <w:bCs/>
          <w:sz w:val="20"/>
          <w:szCs w:val="20"/>
        </w:rPr>
        <w:t>Fuente</w:t>
      </w:r>
      <w:r w:rsidR="001D2CF5" w:rsidRPr="00FA4B2D">
        <w:rPr>
          <w:rFonts w:cs="Arial"/>
          <w:sz w:val="20"/>
          <w:szCs w:val="20"/>
        </w:rPr>
        <w:t xml:space="preserve">: </w:t>
      </w:r>
      <w:r w:rsidRPr="00FA4B2D">
        <w:rPr>
          <w:rFonts w:cs="Arial"/>
          <w:sz w:val="20"/>
          <w:szCs w:val="20"/>
        </w:rPr>
        <w:t>ICF.</w:t>
      </w:r>
      <w:r w:rsidR="00FC737F" w:rsidRPr="00FA4B2D">
        <w:rPr>
          <w:rFonts w:cs="Arial"/>
          <w:sz w:val="20"/>
          <w:szCs w:val="20"/>
        </w:rPr>
        <w:t xml:space="preserve"> </w:t>
      </w:r>
      <w:r w:rsidRPr="00FA4B2D">
        <w:rPr>
          <w:rFonts w:cs="Arial"/>
          <w:sz w:val="20"/>
          <w:szCs w:val="20"/>
        </w:rPr>
        <w:t>2014</w:t>
      </w:r>
      <w:r w:rsidR="00FC737F" w:rsidRPr="00FA4B2D">
        <w:rPr>
          <w:rFonts w:cs="Arial"/>
          <w:sz w:val="20"/>
          <w:szCs w:val="20"/>
        </w:rPr>
        <w:t>.</w:t>
      </w:r>
    </w:p>
    <w:p w14:paraId="7104BFE7" w14:textId="77777777" w:rsidR="006A3DBC" w:rsidRPr="00FA4B2D" w:rsidRDefault="006A3DBC" w:rsidP="006A3DBC">
      <w:pPr>
        <w:spacing w:after="0" w:line="240" w:lineRule="auto"/>
        <w:jc w:val="both"/>
        <w:rPr>
          <w:rFonts w:cs="Arial"/>
        </w:rPr>
      </w:pPr>
    </w:p>
    <w:p w14:paraId="5E42E9BE" w14:textId="77777777" w:rsidR="006A3DBC" w:rsidRPr="00FA4B2D" w:rsidRDefault="006A3DBC" w:rsidP="006A3DBC">
      <w:pPr>
        <w:spacing w:after="0" w:line="240" w:lineRule="auto"/>
        <w:jc w:val="both"/>
        <w:rPr>
          <w:rFonts w:cs="Arial"/>
          <w:lang w:val="es-HN"/>
        </w:rPr>
      </w:pPr>
      <w:bookmarkStart w:id="319" w:name="_Hlk65604843"/>
      <w:r w:rsidRPr="00FA4B2D">
        <w:rPr>
          <w:rFonts w:cs="Arial"/>
          <w:lang w:val="es-HN"/>
        </w:rPr>
        <w:t>Honduras está ubicada en el extremo norte de los trópicos. La interacción de formaciones geológicas con expresiones climáticas de gran escala da lugar a una variedad sorprendente de condiciones climáticas para un país relativamente pequeño.</w:t>
      </w:r>
    </w:p>
    <w:p w14:paraId="480DFC5C" w14:textId="77777777" w:rsidR="006A3DBC" w:rsidRPr="00FA4B2D" w:rsidRDefault="006A3DBC" w:rsidP="006A3DBC">
      <w:pPr>
        <w:spacing w:after="0" w:line="240" w:lineRule="auto"/>
        <w:jc w:val="both"/>
        <w:rPr>
          <w:rFonts w:cs="Arial"/>
          <w:lang w:val="es-HN"/>
        </w:rPr>
      </w:pPr>
    </w:p>
    <w:p w14:paraId="5B972332" w14:textId="77777777" w:rsidR="006A3DBC" w:rsidRPr="00FA4B2D" w:rsidRDefault="006A3DBC" w:rsidP="006A3DBC">
      <w:pPr>
        <w:spacing w:after="0" w:line="240" w:lineRule="auto"/>
        <w:jc w:val="both"/>
        <w:rPr>
          <w:rFonts w:cs="Arial"/>
          <w:lang w:val="es-HN"/>
        </w:rPr>
      </w:pPr>
      <w:r w:rsidRPr="00FA4B2D">
        <w:rPr>
          <w:rFonts w:cs="Arial"/>
          <w:lang w:val="es-HN"/>
        </w:rPr>
        <w:t>Estas diferentes condiciones climáticas conllevan una gran diferenciación en especies y, de igual manera, permiten la presencia de diferentes ecosistemas boscosos que van desde bosques húmedos latifoliados, bosques de pino, bosques nublados, hasta bosques secos, entre otros.</w:t>
      </w:r>
    </w:p>
    <w:p w14:paraId="502E23D5" w14:textId="77777777" w:rsidR="006A3DBC" w:rsidRPr="00FA4B2D" w:rsidRDefault="006A3DBC" w:rsidP="006A3DBC">
      <w:pPr>
        <w:spacing w:after="0" w:line="240" w:lineRule="auto"/>
        <w:jc w:val="both"/>
        <w:rPr>
          <w:rFonts w:cs="Arial"/>
          <w:lang w:val="es-HN"/>
        </w:rPr>
      </w:pPr>
    </w:p>
    <w:p w14:paraId="15218716" w14:textId="77777777" w:rsidR="006A3DBC" w:rsidRPr="00FA4B2D" w:rsidRDefault="006A3DBC" w:rsidP="006A3DBC">
      <w:pPr>
        <w:spacing w:after="0" w:line="240" w:lineRule="auto"/>
        <w:jc w:val="both"/>
        <w:rPr>
          <w:rFonts w:cs="Arial"/>
          <w:lang w:val="es-HN"/>
        </w:rPr>
      </w:pPr>
      <w:r w:rsidRPr="00FA4B2D">
        <w:rPr>
          <w:rFonts w:cs="Arial"/>
          <w:lang w:val="es-HN"/>
        </w:rPr>
        <w:t>En un área relativamente pequeña se puede encontrar una gran biodiversidad, se pueden encontrar más de 700 especies de aves y plantas, además de una variedad de insectos y mamíferos. Con el fin de preservar esta riqueza natural en el país se han creado un sistema de áreas protegidas con diferentes categorías de manejo que permiten diferentes formas de gestión de tal forma que sean compatibles con las actividades productivas del país.</w:t>
      </w:r>
    </w:p>
    <w:p w14:paraId="617E66FD" w14:textId="77777777" w:rsidR="006A3DBC" w:rsidRPr="00FA4B2D" w:rsidRDefault="006A3DBC" w:rsidP="006A3DBC">
      <w:pPr>
        <w:autoSpaceDE w:val="0"/>
        <w:autoSpaceDN w:val="0"/>
        <w:adjustRightInd w:val="0"/>
        <w:spacing w:after="0" w:line="240" w:lineRule="auto"/>
        <w:jc w:val="both"/>
        <w:rPr>
          <w:rFonts w:cs="Arial"/>
          <w:lang w:val="es-HN"/>
        </w:rPr>
      </w:pPr>
      <w:r w:rsidRPr="00FA4B2D">
        <w:rPr>
          <w:rFonts w:cs="Arial"/>
          <w:lang w:val="es-HN"/>
        </w:rPr>
        <w:lastRenderedPageBreak/>
        <w:t>A través de esfuerzos globales liderados por organizaciones internacionales, se han identificado áreas de importancia para la conservación que aún no han sido designadas como tal por la autoridad nacional (ICF/DiBio). Estas áreas se describen a continuación:</w:t>
      </w:r>
    </w:p>
    <w:p w14:paraId="4941D618" w14:textId="77777777" w:rsidR="006A3DBC" w:rsidRPr="00FA4B2D" w:rsidRDefault="006A3DBC" w:rsidP="006A3DBC">
      <w:pPr>
        <w:autoSpaceDE w:val="0"/>
        <w:autoSpaceDN w:val="0"/>
        <w:adjustRightInd w:val="0"/>
        <w:spacing w:after="0" w:line="240" w:lineRule="auto"/>
        <w:jc w:val="both"/>
        <w:rPr>
          <w:rFonts w:cs="Arial"/>
          <w:lang w:val="es-HN"/>
        </w:rPr>
      </w:pPr>
    </w:p>
    <w:p w14:paraId="7DBF3CEB" w14:textId="77777777" w:rsidR="006A3DBC" w:rsidRPr="00FA4B2D" w:rsidRDefault="006A3DBC" w:rsidP="006A3DBC">
      <w:pPr>
        <w:spacing w:after="0" w:line="240" w:lineRule="auto"/>
        <w:ind w:left="864"/>
        <w:jc w:val="both"/>
        <w:rPr>
          <w:rFonts w:cs="Arial"/>
          <w:b/>
          <w:bCs/>
          <w:u w:val="single"/>
        </w:rPr>
      </w:pPr>
      <w:r w:rsidRPr="00FA4B2D">
        <w:rPr>
          <w:rFonts w:cs="Arial"/>
          <w:b/>
          <w:bCs/>
          <w:u w:val="single"/>
        </w:rPr>
        <w:t xml:space="preserve">Áreas Clave para la Biodiversidad (KBA) </w:t>
      </w:r>
    </w:p>
    <w:p w14:paraId="2C90FA49" w14:textId="77777777" w:rsidR="006A3DBC" w:rsidRPr="00FA4B2D" w:rsidRDefault="006A3DBC" w:rsidP="006A3DBC">
      <w:pPr>
        <w:spacing w:after="0" w:line="240" w:lineRule="auto"/>
        <w:jc w:val="both"/>
        <w:rPr>
          <w:rFonts w:cs="Arial"/>
          <w:lang w:val="es-HN"/>
        </w:rPr>
      </w:pPr>
    </w:p>
    <w:p w14:paraId="2B45B638" w14:textId="0B9BF438" w:rsidR="006A3DBC" w:rsidRPr="00FA4B2D" w:rsidRDefault="006A3DBC" w:rsidP="006A3DBC">
      <w:pPr>
        <w:autoSpaceDE w:val="0"/>
        <w:autoSpaceDN w:val="0"/>
        <w:adjustRightInd w:val="0"/>
        <w:spacing w:after="0" w:line="240" w:lineRule="auto"/>
        <w:rPr>
          <w:rFonts w:cs="Arial"/>
          <w:lang w:val="es-HN"/>
        </w:rPr>
      </w:pPr>
      <w:r w:rsidRPr="00FA4B2D">
        <w:rPr>
          <w:rFonts w:cs="Arial"/>
          <w:lang w:val="es-HN"/>
        </w:rPr>
        <w:t>Para Honduras se han identificado 14 áreas y en el área de influencia de COMRURAL III se encuentran las 11 que se enuncian a continuación:</w:t>
      </w:r>
    </w:p>
    <w:p w14:paraId="2C6C5D29" w14:textId="77777777" w:rsidR="006A3DBC" w:rsidRPr="00FA4B2D" w:rsidRDefault="006A3DBC" w:rsidP="006A3DBC">
      <w:pPr>
        <w:autoSpaceDE w:val="0"/>
        <w:autoSpaceDN w:val="0"/>
        <w:adjustRightInd w:val="0"/>
        <w:spacing w:after="0" w:line="240" w:lineRule="auto"/>
        <w:rPr>
          <w:rFonts w:cs="Arial"/>
          <w:lang w:val="es-HN"/>
        </w:rPr>
      </w:pPr>
    </w:p>
    <w:p w14:paraId="7B4576C0" w14:textId="6769453D" w:rsidR="00E11023" w:rsidRDefault="00E11023" w:rsidP="00E11023">
      <w:pPr>
        <w:pStyle w:val="Descripcin"/>
        <w:keepNext/>
      </w:pPr>
      <w:bookmarkStart w:id="320" w:name="_Toc202455431"/>
      <w:r>
        <w:t xml:space="preserve">Tabla </w:t>
      </w:r>
      <w:r>
        <w:fldChar w:fldCharType="begin"/>
      </w:r>
      <w:r>
        <w:instrText xml:space="preserve"> SEQ Tabla \* ARABIC </w:instrText>
      </w:r>
      <w:r>
        <w:fldChar w:fldCharType="separate"/>
      </w:r>
      <w:r w:rsidR="000E6D86">
        <w:rPr>
          <w:noProof/>
        </w:rPr>
        <w:t>5</w:t>
      </w:r>
      <w:r>
        <w:fldChar w:fldCharType="end"/>
      </w:r>
      <w:r>
        <w:t xml:space="preserve">: </w:t>
      </w:r>
      <w:r w:rsidRPr="00DF0836">
        <w:t>Áreas clave para la biodiversidad propuestas para Honduras</w:t>
      </w:r>
      <w:bookmarkEnd w:id="320"/>
    </w:p>
    <w:tbl>
      <w:tblPr>
        <w:tblW w:w="5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4"/>
        <w:gridCol w:w="5231"/>
      </w:tblGrid>
      <w:tr w:rsidR="006A3DBC" w:rsidRPr="00FA4B2D" w14:paraId="48657CA8" w14:textId="77777777" w:rsidTr="005F4A92">
        <w:trPr>
          <w:trHeight w:val="300"/>
          <w:tblHeader/>
          <w:jc w:val="center"/>
        </w:trPr>
        <w:tc>
          <w:tcPr>
            <w:tcW w:w="704" w:type="dxa"/>
            <w:shd w:val="clear" w:color="auto" w:fill="5CC5DA"/>
            <w:tcMar>
              <w:top w:w="0" w:type="dxa"/>
              <w:left w:w="45" w:type="dxa"/>
              <w:bottom w:w="0" w:type="dxa"/>
              <w:right w:w="45" w:type="dxa"/>
            </w:tcMar>
            <w:vAlign w:val="center"/>
            <w:hideMark/>
          </w:tcPr>
          <w:p w14:paraId="745DCF96" w14:textId="77777777" w:rsidR="006A3DBC" w:rsidRPr="00FA4B2D" w:rsidRDefault="006A3DBC" w:rsidP="005F4A92">
            <w:pPr>
              <w:spacing w:after="0" w:line="240" w:lineRule="auto"/>
              <w:jc w:val="center"/>
              <w:rPr>
                <w:rFonts w:cs="Arial"/>
                <w:b/>
                <w:bCs/>
                <w:color w:val="171717" w:themeColor="background2" w:themeShade="1A"/>
                <w:sz w:val="20"/>
                <w:szCs w:val="20"/>
                <w:lang w:val="es-ES"/>
              </w:rPr>
            </w:pPr>
            <w:r w:rsidRPr="00FA4B2D">
              <w:rPr>
                <w:rFonts w:cs="Arial"/>
                <w:b/>
                <w:bCs/>
                <w:color w:val="171717" w:themeColor="background2" w:themeShade="1A"/>
                <w:sz w:val="20"/>
                <w:szCs w:val="20"/>
                <w:lang w:val="es-ES"/>
              </w:rPr>
              <w:t>No.</w:t>
            </w:r>
          </w:p>
        </w:tc>
        <w:tc>
          <w:tcPr>
            <w:tcW w:w="5231" w:type="dxa"/>
            <w:shd w:val="clear" w:color="auto" w:fill="5CC5DA"/>
            <w:tcMar>
              <w:top w:w="0" w:type="dxa"/>
              <w:left w:w="45" w:type="dxa"/>
              <w:bottom w:w="0" w:type="dxa"/>
              <w:right w:w="45" w:type="dxa"/>
            </w:tcMar>
            <w:vAlign w:val="center"/>
            <w:hideMark/>
          </w:tcPr>
          <w:p w14:paraId="4DF1981D" w14:textId="77777777" w:rsidR="006A3DBC" w:rsidRPr="00FA4B2D" w:rsidRDefault="006A3DBC" w:rsidP="005F4A92">
            <w:pPr>
              <w:spacing w:after="0" w:line="240" w:lineRule="auto"/>
              <w:jc w:val="center"/>
              <w:rPr>
                <w:rFonts w:cs="Arial"/>
                <w:b/>
                <w:bCs/>
                <w:color w:val="171717" w:themeColor="background2" w:themeShade="1A"/>
                <w:sz w:val="20"/>
                <w:szCs w:val="20"/>
                <w:lang w:val="es-ES"/>
              </w:rPr>
            </w:pPr>
            <w:r w:rsidRPr="00FA4B2D">
              <w:rPr>
                <w:rFonts w:cs="Arial"/>
                <w:b/>
                <w:bCs/>
                <w:color w:val="171717" w:themeColor="background2" w:themeShade="1A"/>
                <w:sz w:val="20"/>
                <w:szCs w:val="20"/>
                <w:lang w:val="es-ES"/>
              </w:rPr>
              <w:t>KBA propuesta</w:t>
            </w:r>
          </w:p>
        </w:tc>
      </w:tr>
      <w:tr w:rsidR="006A3DBC" w:rsidRPr="00FA4B2D" w14:paraId="4D1FC106" w14:textId="77777777" w:rsidTr="005F4A92">
        <w:trPr>
          <w:trHeight w:val="300"/>
          <w:jc w:val="center"/>
        </w:trPr>
        <w:tc>
          <w:tcPr>
            <w:tcW w:w="704" w:type="dxa"/>
            <w:tcMar>
              <w:top w:w="0" w:type="dxa"/>
              <w:left w:w="45" w:type="dxa"/>
              <w:bottom w:w="0" w:type="dxa"/>
              <w:right w:w="45" w:type="dxa"/>
            </w:tcMar>
            <w:vAlign w:val="center"/>
          </w:tcPr>
          <w:p w14:paraId="786C16FD" w14:textId="77777777" w:rsidR="006A3DBC" w:rsidRPr="00FA4B2D" w:rsidRDefault="006A3DBC" w:rsidP="00411720">
            <w:pPr>
              <w:pStyle w:val="Prrafodelista"/>
              <w:numPr>
                <w:ilvl w:val="0"/>
                <w:numId w:val="67"/>
              </w:numPr>
              <w:spacing w:after="0" w:line="240" w:lineRule="auto"/>
              <w:jc w:val="both"/>
              <w:rPr>
                <w:rFonts w:cs="Arial"/>
                <w:sz w:val="20"/>
                <w:szCs w:val="20"/>
                <w:lang w:val="es-ES"/>
              </w:rPr>
            </w:pPr>
          </w:p>
        </w:tc>
        <w:tc>
          <w:tcPr>
            <w:tcW w:w="5231" w:type="dxa"/>
            <w:tcMar>
              <w:top w:w="0" w:type="dxa"/>
              <w:left w:w="45" w:type="dxa"/>
              <w:bottom w:w="0" w:type="dxa"/>
              <w:right w:w="45" w:type="dxa"/>
            </w:tcMar>
            <w:vAlign w:val="center"/>
          </w:tcPr>
          <w:p w14:paraId="65BADF92" w14:textId="77777777" w:rsidR="006A3DBC" w:rsidRPr="00FA4B2D" w:rsidRDefault="006A3DBC" w:rsidP="005F4A92">
            <w:pPr>
              <w:spacing w:after="0" w:line="240" w:lineRule="auto"/>
              <w:jc w:val="both"/>
              <w:rPr>
                <w:rFonts w:cs="Arial"/>
                <w:sz w:val="20"/>
                <w:szCs w:val="20"/>
                <w:lang w:val="es-ES"/>
              </w:rPr>
            </w:pPr>
            <w:r w:rsidRPr="00FA4B2D">
              <w:rPr>
                <w:rFonts w:cs="Arial"/>
                <w:sz w:val="20"/>
                <w:szCs w:val="20"/>
                <w:lang w:val="es-ES"/>
              </w:rPr>
              <w:t>Cerro Azul Copan-Quebrada Grande y alrededores</w:t>
            </w:r>
          </w:p>
        </w:tc>
      </w:tr>
      <w:tr w:rsidR="006A3DBC" w:rsidRPr="00FA4B2D" w14:paraId="3B1BE183" w14:textId="77777777" w:rsidTr="005F4A92">
        <w:trPr>
          <w:trHeight w:val="300"/>
          <w:jc w:val="center"/>
        </w:trPr>
        <w:tc>
          <w:tcPr>
            <w:tcW w:w="704" w:type="dxa"/>
            <w:tcMar>
              <w:top w:w="0" w:type="dxa"/>
              <w:left w:w="45" w:type="dxa"/>
              <w:bottom w:w="0" w:type="dxa"/>
              <w:right w:w="45" w:type="dxa"/>
            </w:tcMar>
            <w:vAlign w:val="center"/>
          </w:tcPr>
          <w:p w14:paraId="563CECFA" w14:textId="77777777" w:rsidR="006A3DBC" w:rsidRPr="00FA4B2D" w:rsidRDefault="006A3DBC" w:rsidP="00411720">
            <w:pPr>
              <w:pStyle w:val="Prrafodelista"/>
              <w:numPr>
                <w:ilvl w:val="0"/>
                <w:numId w:val="67"/>
              </w:numPr>
              <w:spacing w:after="0" w:line="240" w:lineRule="auto"/>
              <w:jc w:val="both"/>
              <w:rPr>
                <w:rFonts w:cs="Arial"/>
                <w:sz w:val="20"/>
                <w:szCs w:val="20"/>
                <w:lang w:val="es-ES"/>
              </w:rPr>
            </w:pPr>
          </w:p>
        </w:tc>
        <w:tc>
          <w:tcPr>
            <w:tcW w:w="5231" w:type="dxa"/>
            <w:tcMar>
              <w:top w:w="0" w:type="dxa"/>
              <w:left w:w="45" w:type="dxa"/>
              <w:bottom w:w="0" w:type="dxa"/>
              <w:right w:w="45" w:type="dxa"/>
            </w:tcMar>
            <w:vAlign w:val="center"/>
          </w:tcPr>
          <w:p w14:paraId="7A5C1EF0" w14:textId="77777777" w:rsidR="006A3DBC" w:rsidRPr="00FA4B2D" w:rsidRDefault="006A3DBC" w:rsidP="005F4A92">
            <w:pPr>
              <w:spacing w:after="0" w:line="240" w:lineRule="auto"/>
              <w:jc w:val="both"/>
              <w:rPr>
                <w:rFonts w:cs="Arial"/>
                <w:sz w:val="20"/>
                <w:szCs w:val="20"/>
                <w:lang w:val="es-ES"/>
              </w:rPr>
            </w:pPr>
            <w:r w:rsidRPr="00FA4B2D">
              <w:rPr>
                <w:rFonts w:cs="Arial"/>
                <w:sz w:val="20"/>
                <w:szCs w:val="20"/>
                <w:lang w:val="es-ES"/>
              </w:rPr>
              <w:t>Cerro Cantagallo</w:t>
            </w:r>
          </w:p>
        </w:tc>
      </w:tr>
      <w:tr w:rsidR="006A3DBC" w:rsidRPr="00FA4B2D" w14:paraId="7E0CBD7C" w14:textId="77777777" w:rsidTr="005F4A92">
        <w:trPr>
          <w:trHeight w:val="300"/>
          <w:jc w:val="center"/>
        </w:trPr>
        <w:tc>
          <w:tcPr>
            <w:tcW w:w="704" w:type="dxa"/>
            <w:tcMar>
              <w:top w:w="0" w:type="dxa"/>
              <w:left w:w="45" w:type="dxa"/>
              <w:bottom w:w="0" w:type="dxa"/>
              <w:right w:w="45" w:type="dxa"/>
            </w:tcMar>
            <w:vAlign w:val="center"/>
          </w:tcPr>
          <w:p w14:paraId="37A7300A" w14:textId="77777777" w:rsidR="006A3DBC" w:rsidRPr="00FA4B2D" w:rsidRDefault="006A3DBC" w:rsidP="00411720">
            <w:pPr>
              <w:pStyle w:val="Prrafodelista"/>
              <w:numPr>
                <w:ilvl w:val="0"/>
                <w:numId w:val="67"/>
              </w:numPr>
              <w:spacing w:after="0" w:line="240" w:lineRule="auto"/>
              <w:jc w:val="both"/>
              <w:rPr>
                <w:rFonts w:cs="Arial"/>
                <w:sz w:val="20"/>
                <w:szCs w:val="20"/>
                <w:lang w:val="es-ES"/>
              </w:rPr>
            </w:pPr>
          </w:p>
        </w:tc>
        <w:tc>
          <w:tcPr>
            <w:tcW w:w="5231" w:type="dxa"/>
            <w:tcMar>
              <w:top w:w="0" w:type="dxa"/>
              <w:left w:w="45" w:type="dxa"/>
              <w:bottom w:w="0" w:type="dxa"/>
              <w:right w:w="45" w:type="dxa"/>
            </w:tcMar>
            <w:vAlign w:val="center"/>
          </w:tcPr>
          <w:p w14:paraId="23EAB41F" w14:textId="77777777" w:rsidR="006A3DBC" w:rsidRPr="00FA4B2D" w:rsidRDefault="006A3DBC" w:rsidP="005F4A92">
            <w:pPr>
              <w:spacing w:after="0" w:line="240" w:lineRule="auto"/>
              <w:jc w:val="both"/>
              <w:rPr>
                <w:rFonts w:cs="Arial"/>
                <w:sz w:val="20"/>
                <w:szCs w:val="20"/>
                <w:lang w:val="es-ES"/>
              </w:rPr>
            </w:pPr>
            <w:r w:rsidRPr="00FA4B2D">
              <w:rPr>
                <w:rFonts w:cs="Arial"/>
                <w:sz w:val="20"/>
                <w:szCs w:val="20"/>
                <w:lang w:val="es-ES"/>
              </w:rPr>
              <w:t>Cerro El Zarciadero</w:t>
            </w:r>
          </w:p>
        </w:tc>
      </w:tr>
      <w:tr w:rsidR="006A3DBC" w:rsidRPr="00FA4B2D" w14:paraId="4CA2B552" w14:textId="77777777" w:rsidTr="005F4A92">
        <w:trPr>
          <w:trHeight w:val="300"/>
          <w:jc w:val="center"/>
        </w:trPr>
        <w:tc>
          <w:tcPr>
            <w:tcW w:w="704" w:type="dxa"/>
            <w:tcMar>
              <w:top w:w="0" w:type="dxa"/>
              <w:left w:w="45" w:type="dxa"/>
              <w:bottom w:w="0" w:type="dxa"/>
              <w:right w:w="45" w:type="dxa"/>
            </w:tcMar>
            <w:vAlign w:val="center"/>
          </w:tcPr>
          <w:p w14:paraId="49CE2F0A" w14:textId="77777777" w:rsidR="006A3DBC" w:rsidRPr="00FA4B2D" w:rsidRDefault="006A3DBC" w:rsidP="00411720">
            <w:pPr>
              <w:pStyle w:val="Prrafodelista"/>
              <w:numPr>
                <w:ilvl w:val="0"/>
                <w:numId w:val="67"/>
              </w:numPr>
              <w:spacing w:after="0" w:line="240" w:lineRule="auto"/>
              <w:jc w:val="both"/>
              <w:rPr>
                <w:rFonts w:cs="Arial"/>
                <w:sz w:val="20"/>
                <w:szCs w:val="20"/>
                <w:lang w:val="es-ES"/>
              </w:rPr>
            </w:pPr>
          </w:p>
        </w:tc>
        <w:tc>
          <w:tcPr>
            <w:tcW w:w="5231" w:type="dxa"/>
            <w:tcMar>
              <w:top w:w="0" w:type="dxa"/>
              <w:left w:w="45" w:type="dxa"/>
              <w:bottom w:w="0" w:type="dxa"/>
              <w:right w:w="45" w:type="dxa"/>
            </w:tcMar>
            <w:vAlign w:val="center"/>
          </w:tcPr>
          <w:p w14:paraId="05EF692E" w14:textId="77777777" w:rsidR="006A3DBC" w:rsidRPr="00FA4B2D" w:rsidRDefault="006A3DBC" w:rsidP="005F4A92">
            <w:pPr>
              <w:spacing w:after="0" w:line="240" w:lineRule="auto"/>
              <w:jc w:val="both"/>
              <w:rPr>
                <w:rFonts w:cs="Arial"/>
                <w:sz w:val="20"/>
                <w:szCs w:val="20"/>
                <w:lang w:val="es-ES"/>
              </w:rPr>
            </w:pPr>
            <w:r w:rsidRPr="00FA4B2D">
              <w:rPr>
                <w:rFonts w:cs="Arial"/>
                <w:sz w:val="20"/>
                <w:szCs w:val="20"/>
                <w:lang w:val="es-ES"/>
              </w:rPr>
              <w:t>El Pital (parte de la zona transfronteriza con El Salvador)</w:t>
            </w:r>
          </w:p>
        </w:tc>
      </w:tr>
      <w:tr w:rsidR="006A3DBC" w:rsidRPr="00FA4B2D" w14:paraId="4D6B883F" w14:textId="77777777" w:rsidTr="005F4A92">
        <w:trPr>
          <w:trHeight w:val="300"/>
          <w:jc w:val="center"/>
        </w:trPr>
        <w:tc>
          <w:tcPr>
            <w:tcW w:w="704" w:type="dxa"/>
            <w:tcMar>
              <w:top w:w="0" w:type="dxa"/>
              <w:left w:w="45" w:type="dxa"/>
              <w:bottom w:w="0" w:type="dxa"/>
              <w:right w:w="45" w:type="dxa"/>
            </w:tcMar>
            <w:vAlign w:val="center"/>
          </w:tcPr>
          <w:p w14:paraId="1912D9B1" w14:textId="77777777" w:rsidR="006A3DBC" w:rsidRPr="00FA4B2D" w:rsidRDefault="006A3DBC" w:rsidP="00411720">
            <w:pPr>
              <w:pStyle w:val="Prrafodelista"/>
              <w:numPr>
                <w:ilvl w:val="0"/>
                <w:numId w:val="67"/>
              </w:numPr>
              <w:spacing w:after="0" w:line="240" w:lineRule="auto"/>
              <w:jc w:val="both"/>
              <w:rPr>
                <w:rFonts w:cs="Arial"/>
                <w:sz w:val="20"/>
                <w:szCs w:val="20"/>
                <w:lang w:val="es-ES"/>
              </w:rPr>
            </w:pPr>
          </w:p>
        </w:tc>
        <w:tc>
          <w:tcPr>
            <w:tcW w:w="5231" w:type="dxa"/>
            <w:tcMar>
              <w:top w:w="0" w:type="dxa"/>
              <w:left w:w="45" w:type="dxa"/>
              <w:bottom w:w="0" w:type="dxa"/>
              <w:right w:w="45" w:type="dxa"/>
            </w:tcMar>
            <w:vAlign w:val="center"/>
          </w:tcPr>
          <w:p w14:paraId="0336190C" w14:textId="77777777" w:rsidR="006A3DBC" w:rsidRPr="00FA4B2D" w:rsidRDefault="006A3DBC" w:rsidP="005F4A92">
            <w:pPr>
              <w:spacing w:after="0" w:line="240" w:lineRule="auto"/>
              <w:jc w:val="both"/>
              <w:rPr>
                <w:rFonts w:cs="Arial"/>
                <w:sz w:val="20"/>
                <w:szCs w:val="20"/>
                <w:lang w:val="es-ES"/>
              </w:rPr>
            </w:pPr>
            <w:r w:rsidRPr="00FA4B2D">
              <w:rPr>
                <w:rFonts w:cs="Arial"/>
                <w:sz w:val="20"/>
                <w:szCs w:val="20"/>
                <w:lang w:val="es-ES"/>
              </w:rPr>
              <w:t>La Muralla y alrededores</w:t>
            </w:r>
          </w:p>
        </w:tc>
      </w:tr>
      <w:tr w:rsidR="006A3DBC" w:rsidRPr="00FA4B2D" w14:paraId="734E2A02" w14:textId="77777777" w:rsidTr="005F4A92">
        <w:trPr>
          <w:trHeight w:val="300"/>
          <w:jc w:val="center"/>
        </w:trPr>
        <w:tc>
          <w:tcPr>
            <w:tcW w:w="704" w:type="dxa"/>
            <w:tcMar>
              <w:top w:w="0" w:type="dxa"/>
              <w:left w:w="45" w:type="dxa"/>
              <w:bottom w:w="0" w:type="dxa"/>
              <w:right w:w="45" w:type="dxa"/>
            </w:tcMar>
            <w:vAlign w:val="center"/>
          </w:tcPr>
          <w:p w14:paraId="3156BD25" w14:textId="77777777" w:rsidR="006A3DBC" w:rsidRPr="00FA4B2D" w:rsidRDefault="006A3DBC" w:rsidP="00411720">
            <w:pPr>
              <w:pStyle w:val="Prrafodelista"/>
              <w:numPr>
                <w:ilvl w:val="0"/>
                <w:numId w:val="67"/>
              </w:numPr>
              <w:spacing w:after="0" w:line="240" w:lineRule="auto"/>
              <w:jc w:val="both"/>
              <w:rPr>
                <w:rFonts w:cs="Arial"/>
                <w:sz w:val="20"/>
                <w:szCs w:val="20"/>
                <w:lang w:val="es-ES"/>
              </w:rPr>
            </w:pPr>
          </w:p>
        </w:tc>
        <w:tc>
          <w:tcPr>
            <w:tcW w:w="5231" w:type="dxa"/>
            <w:tcMar>
              <w:top w:w="0" w:type="dxa"/>
              <w:left w:w="45" w:type="dxa"/>
              <w:bottom w:w="0" w:type="dxa"/>
              <w:right w:w="45" w:type="dxa"/>
            </w:tcMar>
            <w:vAlign w:val="center"/>
          </w:tcPr>
          <w:p w14:paraId="67A30044" w14:textId="77777777" w:rsidR="006A3DBC" w:rsidRPr="00FA4B2D" w:rsidRDefault="006A3DBC" w:rsidP="005F4A92">
            <w:pPr>
              <w:spacing w:after="0" w:line="240" w:lineRule="auto"/>
              <w:jc w:val="both"/>
              <w:rPr>
                <w:rFonts w:cs="Arial"/>
                <w:sz w:val="20"/>
                <w:szCs w:val="20"/>
                <w:lang w:val="es-ES"/>
              </w:rPr>
            </w:pPr>
            <w:r w:rsidRPr="00FA4B2D">
              <w:rPr>
                <w:rFonts w:cs="Arial"/>
                <w:sz w:val="20"/>
                <w:szCs w:val="20"/>
                <w:lang w:val="es-ES"/>
              </w:rPr>
              <w:t>Montana de Celaque</w:t>
            </w:r>
          </w:p>
        </w:tc>
      </w:tr>
      <w:tr w:rsidR="006A3DBC" w:rsidRPr="00FA4B2D" w14:paraId="2CBA5D38" w14:textId="77777777" w:rsidTr="005F4A92">
        <w:trPr>
          <w:trHeight w:val="300"/>
          <w:jc w:val="center"/>
        </w:trPr>
        <w:tc>
          <w:tcPr>
            <w:tcW w:w="704" w:type="dxa"/>
            <w:tcMar>
              <w:top w:w="0" w:type="dxa"/>
              <w:left w:w="45" w:type="dxa"/>
              <w:bottom w:w="0" w:type="dxa"/>
              <w:right w:w="45" w:type="dxa"/>
            </w:tcMar>
            <w:vAlign w:val="center"/>
          </w:tcPr>
          <w:p w14:paraId="18AE91DB" w14:textId="77777777" w:rsidR="006A3DBC" w:rsidRPr="00FA4B2D" w:rsidRDefault="006A3DBC" w:rsidP="00411720">
            <w:pPr>
              <w:pStyle w:val="Prrafodelista"/>
              <w:numPr>
                <w:ilvl w:val="0"/>
                <w:numId w:val="67"/>
              </w:numPr>
              <w:spacing w:after="0" w:line="240" w:lineRule="auto"/>
              <w:jc w:val="both"/>
              <w:rPr>
                <w:rFonts w:cs="Arial"/>
                <w:sz w:val="20"/>
                <w:szCs w:val="20"/>
                <w:lang w:val="es-ES"/>
              </w:rPr>
            </w:pPr>
          </w:p>
        </w:tc>
        <w:tc>
          <w:tcPr>
            <w:tcW w:w="5231" w:type="dxa"/>
            <w:tcMar>
              <w:top w:w="0" w:type="dxa"/>
              <w:left w:w="45" w:type="dxa"/>
              <w:bottom w:w="0" w:type="dxa"/>
              <w:right w:w="45" w:type="dxa"/>
            </w:tcMar>
            <w:vAlign w:val="center"/>
          </w:tcPr>
          <w:p w14:paraId="7C1E2D3C" w14:textId="77777777" w:rsidR="006A3DBC" w:rsidRPr="00FA4B2D" w:rsidRDefault="006A3DBC" w:rsidP="005F4A92">
            <w:pPr>
              <w:spacing w:after="0" w:line="240" w:lineRule="auto"/>
              <w:jc w:val="both"/>
              <w:rPr>
                <w:rFonts w:cs="Arial"/>
                <w:sz w:val="20"/>
                <w:szCs w:val="20"/>
                <w:lang w:val="es-ES"/>
              </w:rPr>
            </w:pPr>
            <w:r w:rsidRPr="00FA4B2D">
              <w:rPr>
                <w:rFonts w:cs="Arial"/>
                <w:sz w:val="20"/>
                <w:szCs w:val="20"/>
                <w:lang w:val="es-ES"/>
              </w:rPr>
              <w:t>Parque Nacional Montaña de Santa Bárbara</w:t>
            </w:r>
          </w:p>
        </w:tc>
      </w:tr>
      <w:tr w:rsidR="006A3DBC" w:rsidRPr="00FA4B2D" w14:paraId="6D13C335" w14:textId="77777777" w:rsidTr="005F4A92">
        <w:trPr>
          <w:trHeight w:val="300"/>
          <w:jc w:val="center"/>
        </w:trPr>
        <w:tc>
          <w:tcPr>
            <w:tcW w:w="704" w:type="dxa"/>
            <w:tcMar>
              <w:top w:w="0" w:type="dxa"/>
              <w:left w:w="45" w:type="dxa"/>
              <w:bottom w:w="0" w:type="dxa"/>
              <w:right w:w="45" w:type="dxa"/>
            </w:tcMar>
            <w:vAlign w:val="center"/>
          </w:tcPr>
          <w:p w14:paraId="04970217" w14:textId="77777777" w:rsidR="006A3DBC" w:rsidRPr="00FA4B2D" w:rsidRDefault="006A3DBC" w:rsidP="00411720">
            <w:pPr>
              <w:pStyle w:val="Prrafodelista"/>
              <w:numPr>
                <w:ilvl w:val="0"/>
                <w:numId w:val="67"/>
              </w:numPr>
              <w:spacing w:after="0" w:line="240" w:lineRule="auto"/>
              <w:jc w:val="both"/>
              <w:rPr>
                <w:rFonts w:cs="Arial"/>
                <w:sz w:val="20"/>
                <w:szCs w:val="20"/>
                <w:lang w:val="es-ES"/>
              </w:rPr>
            </w:pPr>
          </w:p>
        </w:tc>
        <w:tc>
          <w:tcPr>
            <w:tcW w:w="5231" w:type="dxa"/>
            <w:tcMar>
              <w:top w:w="0" w:type="dxa"/>
              <w:left w:w="45" w:type="dxa"/>
              <w:bottom w:w="0" w:type="dxa"/>
              <w:right w:w="45" w:type="dxa"/>
            </w:tcMar>
            <w:vAlign w:val="center"/>
          </w:tcPr>
          <w:p w14:paraId="3037F08B" w14:textId="77777777" w:rsidR="006A3DBC" w:rsidRPr="00FA4B2D" w:rsidRDefault="006A3DBC" w:rsidP="005F4A92">
            <w:pPr>
              <w:spacing w:after="0" w:line="240" w:lineRule="auto"/>
              <w:jc w:val="both"/>
              <w:rPr>
                <w:rFonts w:cs="Arial"/>
                <w:sz w:val="20"/>
                <w:szCs w:val="20"/>
                <w:lang w:val="es-ES"/>
              </w:rPr>
            </w:pPr>
            <w:r w:rsidRPr="00FA4B2D">
              <w:rPr>
                <w:rFonts w:cs="Arial"/>
                <w:sz w:val="20"/>
                <w:szCs w:val="20"/>
                <w:lang w:val="es-ES"/>
              </w:rPr>
              <w:t>Pico Bonito-Rio Valle Aguan</w:t>
            </w:r>
          </w:p>
        </w:tc>
      </w:tr>
      <w:tr w:rsidR="006A3DBC" w:rsidRPr="00FA4B2D" w14:paraId="1C3C59E2" w14:textId="77777777" w:rsidTr="005F4A92">
        <w:trPr>
          <w:trHeight w:val="300"/>
          <w:jc w:val="center"/>
        </w:trPr>
        <w:tc>
          <w:tcPr>
            <w:tcW w:w="704" w:type="dxa"/>
            <w:tcMar>
              <w:top w:w="0" w:type="dxa"/>
              <w:left w:w="45" w:type="dxa"/>
              <w:bottom w:w="0" w:type="dxa"/>
              <w:right w:w="45" w:type="dxa"/>
            </w:tcMar>
            <w:vAlign w:val="center"/>
          </w:tcPr>
          <w:p w14:paraId="2A34C9BB" w14:textId="77777777" w:rsidR="006A3DBC" w:rsidRPr="00FA4B2D" w:rsidRDefault="006A3DBC" w:rsidP="00411720">
            <w:pPr>
              <w:pStyle w:val="Prrafodelista"/>
              <w:numPr>
                <w:ilvl w:val="0"/>
                <w:numId w:val="67"/>
              </w:numPr>
              <w:spacing w:after="0" w:line="240" w:lineRule="auto"/>
              <w:jc w:val="both"/>
              <w:rPr>
                <w:rFonts w:cs="Arial"/>
                <w:sz w:val="20"/>
                <w:szCs w:val="20"/>
                <w:lang w:val="es-ES"/>
              </w:rPr>
            </w:pPr>
          </w:p>
        </w:tc>
        <w:tc>
          <w:tcPr>
            <w:tcW w:w="5231" w:type="dxa"/>
            <w:tcMar>
              <w:top w:w="0" w:type="dxa"/>
              <w:left w:w="45" w:type="dxa"/>
              <w:bottom w:w="0" w:type="dxa"/>
              <w:right w:w="45" w:type="dxa"/>
            </w:tcMar>
            <w:vAlign w:val="center"/>
          </w:tcPr>
          <w:p w14:paraId="462BDFFA" w14:textId="77777777" w:rsidR="006A3DBC" w:rsidRPr="00FA4B2D" w:rsidRDefault="006A3DBC" w:rsidP="005F4A92">
            <w:pPr>
              <w:spacing w:after="0" w:line="240" w:lineRule="auto"/>
              <w:jc w:val="both"/>
              <w:rPr>
                <w:rFonts w:cs="Arial"/>
                <w:sz w:val="20"/>
                <w:szCs w:val="20"/>
                <w:lang w:val="es-ES"/>
              </w:rPr>
            </w:pPr>
            <w:r w:rsidRPr="00FA4B2D">
              <w:rPr>
                <w:rFonts w:cs="Arial"/>
                <w:sz w:val="20"/>
                <w:szCs w:val="20"/>
                <w:lang w:val="es-ES"/>
              </w:rPr>
              <w:t>Sierra de Agalta-Catacamas y alrededores</w:t>
            </w:r>
          </w:p>
        </w:tc>
      </w:tr>
      <w:tr w:rsidR="006A3DBC" w:rsidRPr="00FA4B2D" w14:paraId="76BFE6BA" w14:textId="77777777" w:rsidTr="005F4A92">
        <w:trPr>
          <w:trHeight w:val="300"/>
          <w:jc w:val="center"/>
        </w:trPr>
        <w:tc>
          <w:tcPr>
            <w:tcW w:w="704" w:type="dxa"/>
            <w:tcMar>
              <w:top w:w="0" w:type="dxa"/>
              <w:left w:w="45" w:type="dxa"/>
              <w:bottom w:w="0" w:type="dxa"/>
              <w:right w:w="45" w:type="dxa"/>
            </w:tcMar>
            <w:vAlign w:val="center"/>
          </w:tcPr>
          <w:p w14:paraId="5250E155" w14:textId="77777777" w:rsidR="006A3DBC" w:rsidRPr="00FA4B2D" w:rsidRDefault="006A3DBC" w:rsidP="00411720">
            <w:pPr>
              <w:pStyle w:val="Prrafodelista"/>
              <w:numPr>
                <w:ilvl w:val="0"/>
                <w:numId w:val="67"/>
              </w:numPr>
              <w:spacing w:after="0" w:line="240" w:lineRule="auto"/>
              <w:jc w:val="both"/>
              <w:rPr>
                <w:rFonts w:cs="Arial"/>
                <w:sz w:val="20"/>
                <w:szCs w:val="20"/>
                <w:lang w:val="es-ES"/>
              </w:rPr>
            </w:pPr>
          </w:p>
        </w:tc>
        <w:tc>
          <w:tcPr>
            <w:tcW w:w="5231" w:type="dxa"/>
            <w:tcMar>
              <w:top w:w="0" w:type="dxa"/>
              <w:left w:w="45" w:type="dxa"/>
              <w:bottom w:w="0" w:type="dxa"/>
              <w:right w:w="45" w:type="dxa"/>
            </w:tcMar>
            <w:vAlign w:val="center"/>
          </w:tcPr>
          <w:p w14:paraId="03E1567F" w14:textId="77777777" w:rsidR="006A3DBC" w:rsidRPr="00FA4B2D" w:rsidRDefault="006A3DBC" w:rsidP="005F4A92">
            <w:pPr>
              <w:spacing w:after="0" w:line="240" w:lineRule="auto"/>
              <w:jc w:val="both"/>
              <w:rPr>
                <w:rFonts w:cs="Arial"/>
                <w:sz w:val="20"/>
                <w:szCs w:val="20"/>
                <w:lang w:val="es-ES"/>
              </w:rPr>
            </w:pPr>
            <w:r w:rsidRPr="00FA4B2D">
              <w:rPr>
                <w:rFonts w:cs="Arial"/>
                <w:sz w:val="20"/>
                <w:szCs w:val="20"/>
                <w:lang w:val="es-ES"/>
              </w:rPr>
              <w:t>Sierra de Omoa-Cusuco</w:t>
            </w:r>
          </w:p>
        </w:tc>
      </w:tr>
      <w:tr w:rsidR="006A3DBC" w:rsidRPr="00FA4B2D" w14:paraId="7C3D904F" w14:textId="77777777" w:rsidTr="005F4A92">
        <w:trPr>
          <w:trHeight w:val="300"/>
          <w:jc w:val="center"/>
        </w:trPr>
        <w:tc>
          <w:tcPr>
            <w:tcW w:w="704" w:type="dxa"/>
            <w:tcMar>
              <w:top w:w="0" w:type="dxa"/>
              <w:left w:w="45" w:type="dxa"/>
              <w:bottom w:w="0" w:type="dxa"/>
              <w:right w:w="45" w:type="dxa"/>
            </w:tcMar>
            <w:vAlign w:val="center"/>
          </w:tcPr>
          <w:p w14:paraId="3B036E4C" w14:textId="77777777" w:rsidR="006A3DBC" w:rsidRPr="00FA4B2D" w:rsidRDefault="006A3DBC" w:rsidP="00411720">
            <w:pPr>
              <w:pStyle w:val="Prrafodelista"/>
              <w:numPr>
                <w:ilvl w:val="0"/>
                <w:numId w:val="67"/>
              </w:numPr>
              <w:spacing w:after="0" w:line="240" w:lineRule="auto"/>
              <w:jc w:val="both"/>
              <w:rPr>
                <w:rFonts w:cs="Arial"/>
                <w:sz w:val="20"/>
                <w:szCs w:val="20"/>
                <w:lang w:val="es-ES"/>
              </w:rPr>
            </w:pPr>
          </w:p>
        </w:tc>
        <w:tc>
          <w:tcPr>
            <w:tcW w:w="5231" w:type="dxa"/>
            <w:tcMar>
              <w:top w:w="0" w:type="dxa"/>
              <w:left w:w="45" w:type="dxa"/>
              <w:bottom w:w="0" w:type="dxa"/>
              <w:right w:w="45" w:type="dxa"/>
            </w:tcMar>
            <w:vAlign w:val="center"/>
          </w:tcPr>
          <w:p w14:paraId="0DAB35D9" w14:textId="77777777" w:rsidR="006A3DBC" w:rsidRPr="00FA4B2D" w:rsidRDefault="006A3DBC" w:rsidP="005F4A92">
            <w:pPr>
              <w:spacing w:after="0" w:line="240" w:lineRule="auto"/>
              <w:jc w:val="both"/>
              <w:rPr>
                <w:rFonts w:cs="Arial"/>
                <w:sz w:val="20"/>
                <w:szCs w:val="20"/>
                <w:lang w:val="es-ES"/>
              </w:rPr>
            </w:pPr>
            <w:r w:rsidRPr="00FA4B2D">
              <w:rPr>
                <w:rFonts w:cs="Arial"/>
                <w:sz w:val="20"/>
                <w:szCs w:val="20"/>
                <w:lang w:val="es-ES"/>
              </w:rPr>
              <w:t>Texiguat</w:t>
            </w:r>
          </w:p>
        </w:tc>
      </w:tr>
    </w:tbl>
    <w:p w14:paraId="60D615AB" w14:textId="77777777" w:rsidR="006A3DBC" w:rsidRPr="00FA4B2D" w:rsidRDefault="006A3DBC" w:rsidP="006A3DBC">
      <w:pPr>
        <w:spacing w:after="0" w:line="240" w:lineRule="auto"/>
        <w:jc w:val="both"/>
        <w:rPr>
          <w:rFonts w:cs="Arial"/>
          <w:shd w:val="clear" w:color="auto" w:fill="FFFFFF"/>
        </w:rPr>
      </w:pPr>
    </w:p>
    <w:p w14:paraId="0C638E14" w14:textId="77777777" w:rsidR="006A3DBC" w:rsidRPr="00FA4B2D" w:rsidRDefault="006A3DBC" w:rsidP="006A3DBC">
      <w:pPr>
        <w:spacing w:after="0" w:line="240" w:lineRule="auto"/>
        <w:jc w:val="both"/>
        <w:rPr>
          <w:rFonts w:cs="Arial"/>
          <w:shd w:val="clear" w:color="auto" w:fill="FFFFFF"/>
        </w:rPr>
      </w:pPr>
    </w:p>
    <w:p w14:paraId="240C69CF" w14:textId="1630B22D" w:rsidR="00E11023" w:rsidRDefault="00E11023" w:rsidP="00E11023">
      <w:pPr>
        <w:pStyle w:val="Descripcin"/>
        <w:keepNext/>
        <w:jc w:val="center"/>
      </w:pPr>
      <w:bookmarkStart w:id="321" w:name="_Toc202455568"/>
      <w:r>
        <w:lastRenderedPageBreak/>
        <w:t xml:space="preserve">Ilustración </w:t>
      </w:r>
      <w:r>
        <w:fldChar w:fldCharType="begin"/>
      </w:r>
      <w:r>
        <w:instrText xml:space="preserve"> SEQ Ilustración \* ARABIC </w:instrText>
      </w:r>
      <w:r>
        <w:fldChar w:fldCharType="separate"/>
      </w:r>
      <w:r w:rsidR="00F94AC4">
        <w:rPr>
          <w:noProof/>
        </w:rPr>
        <w:t>6</w:t>
      </w:r>
      <w:r>
        <w:fldChar w:fldCharType="end"/>
      </w:r>
      <w:r>
        <w:t xml:space="preserve">: </w:t>
      </w:r>
      <w:r w:rsidRPr="002E3E97">
        <w:t>Mapa Áreas Clave para la Biodiversidad en Honduras</w:t>
      </w:r>
      <w:bookmarkEnd w:id="321"/>
    </w:p>
    <w:p w14:paraId="4BDC7B5D" w14:textId="77777777" w:rsidR="006A3DBC" w:rsidRPr="00FA4B2D" w:rsidRDefault="006A3DBC" w:rsidP="006A3DBC">
      <w:pPr>
        <w:pStyle w:val="Sinespaciado"/>
        <w:jc w:val="center"/>
        <w:rPr>
          <w:rFonts w:ascii="Arial" w:hAnsi="Arial" w:cs="Arial"/>
          <w:color w:val="767171" w:themeColor="background2" w:themeShade="80"/>
          <w:shd w:val="clear" w:color="auto" w:fill="FFFFFF"/>
        </w:rPr>
      </w:pPr>
      <w:r w:rsidRPr="00FA4B2D">
        <w:rPr>
          <w:rFonts w:ascii="Arial" w:hAnsi="Arial" w:cs="Arial"/>
          <w:noProof/>
          <w:color w:val="767171" w:themeColor="background2" w:themeShade="80"/>
          <w:lang w:val="es-HN" w:eastAsia="es-HN"/>
        </w:rPr>
        <w:drawing>
          <wp:inline distT="0" distB="0" distL="0" distR="0" wp14:anchorId="5792DAC8" wp14:editId="37E02132">
            <wp:extent cx="5038725" cy="366309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1581" cy="3665167"/>
                    </a:xfrm>
                    <a:prstGeom prst="rect">
                      <a:avLst/>
                    </a:prstGeom>
                    <a:noFill/>
                    <a:ln>
                      <a:noFill/>
                    </a:ln>
                  </pic:spPr>
                </pic:pic>
              </a:graphicData>
            </a:graphic>
          </wp:inline>
        </w:drawing>
      </w:r>
    </w:p>
    <w:p w14:paraId="64757DCB" w14:textId="77777777" w:rsidR="006A3DBC" w:rsidRPr="00FA4B2D" w:rsidRDefault="006A3DBC" w:rsidP="006A3DBC">
      <w:pPr>
        <w:pStyle w:val="Sinespaciado"/>
        <w:ind w:firstLine="708"/>
        <w:rPr>
          <w:rFonts w:ascii="Arial" w:hAnsi="Arial" w:cs="Arial"/>
          <w:color w:val="767171" w:themeColor="background2" w:themeShade="80"/>
          <w:sz w:val="18"/>
          <w:szCs w:val="18"/>
          <w:shd w:val="clear" w:color="auto" w:fill="FFFFFF"/>
        </w:rPr>
      </w:pPr>
      <w:r w:rsidRPr="00FA4B2D">
        <w:rPr>
          <w:rFonts w:ascii="Arial" w:hAnsi="Arial" w:cs="Arial"/>
          <w:b/>
          <w:bCs/>
          <w:color w:val="767171" w:themeColor="background2" w:themeShade="80"/>
          <w:sz w:val="18"/>
          <w:szCs w:val="18"/>
        </w:rPr>
        <w:t>Fuente:</w:t>
      </w:r>
      <w:r w:rsidRPr="00FA4B2D">
        <w:rPr>
          <w:rFonts w:ascii="Arial" w:hAnsi="Arial" w:cs="Arial"/>
          <w:color w:val="767171" w:themeColor="background2" w:themeShade="80"/>
          <w:sz w:val="18"/>
          <w:szCs w:val="18"/>
        </w:rPr>
        <w:t xml:space="preserve"> Galdámes, J.A., L.I. López, J.M. Mora y N.S. Ulloa. 2018.</w:t>
      </w:r>
    </w:p>
    <w:p w14:paraId="0A67BAE0" w14:textId="77777777" w:rsidR="006A3DBC" w:rsidRPr="00FA4B2D" w:rsidRDefault="006A3DBC" w:rsidP="006A3DBC">
      <w:pPr>
        <w:pStyle w:val="Sinespaciado"/>
        <w:rPr>
          <w:rFonts w:ascii="Arial" w:hAnsi="Arial" w:cs="Arial"/>
          <w:color w:val="767171" w:themeColor="background2" w:themeShade="80"/>
          <w:shd w:val="clear" w:color="auto" w:fill="FFFFFF"/>
        </w:rPr>
      </w:pPr>
    </w:p>
    <w:p w14:paraId="4878ECF4" w14:textId="77777777" w:rsidR="006A3DBC" w:rsidRPr="00FA4B2D" w:rsidRDefault="006A3DBC" w:rsidP="006A3DBC">
      <w:pPr>
        <w:pStyle w:val="Sinespaciado"/>
        <w:rPr>
          <w:rFonts w:ascii="Arial" w:hAnsi="Arial" w:cs="Arial"/>
          <w:color w:val="767171" w:themeColor="background2" w:themeShade="80"/>
          <w:shd w:val="clear" w:color="auto" w:fill="FFFFFF"/>
        </w:rPr>
      </w:pPr>
    </w:p>
    <w:p w14:paraId="622734B7" w14:textId="77777777" w:rsidR="006A3DBC" w:rsidRPr="00FA4B2D" w:rsidRDefault="006A3DBC" w:rsidP="006A3DBC">
      <w:pPr>
        <w:spacing w:after="0" w:line="240" w:lineRule="auto"/>
        <w:ind w:left="864"/>
        <w:jc w:val="both"/>
        <w:rPr>
          <w:rFonts w:cs="Arial"/>
          <w:b/>
          <w:bCs/>
          <w:u w:val="single"/>
        </w:rPr>
      </w:pPr>
      <w:r w:rsidRPr="00FA4B2D">
        <w:rPr>
          <w:rFonts w:cs="Arial"/>
          <w:b/>
          <w:bCs/>
          <w:u w:val="single"/>
        </w:rPr>
        <w:t>Sitios propuestos por la Alianza de Cero Extinción (AZE)</w:t>
      </w:r>
    </w:p>
    <w:p w14:paraId="151E35C9" w14:textId="77777777" w:rsidR="006A3DBC" w:rsidRPr="00FA4B2D" w:rsidRDefault="006A3DBC" w:rsidP="006A3DBC">
      <w:pPr>
        <w:spacing w:after="0" w:line="240" w:lineRule="auto"/>
        <w:jc w:val="both"/>
        <w:rPr>
          <w:rFonts w:cs="Arial"/>
          <w:shd w:val="clear" w:color="auto" w:fill="FFFFFF"/>
        </w:rPr>
      </w:pPr>
    </w:p>
    <w:p w14:paraId="430229AD" w14:textId="77777777" w:rsidR="006A3DBC" w:rsidRPr="00FA4B2D" w:rsidRDefault="006A3DBC" w:rsidP="006A3DBC">
      <w:pPr>
        <w:autoSpaceDE w:val="0"/>
        <w:autoSpaceDN w:val="0"/>
        <w:adjustRightInd w:val="0"/>
        <w:spacing w:after="0" w:line="240" w:lineRule="auto"/>
        <w:jc w:val="both"/>
        <w:rPr>
          <w:rFonts w:cs="Arial"/>
          <w:lang w:val="es-HN"/>
        </w:rPr>
      </w:pPr>
      <w:r w:rsidRPr="00FA4B2D">
        <w:rPr>
          <w:rFonts w:cs="Arial"/>
          <w:lang w:val="es-HN"/>
        </w:rPr>
        <w:t>Para Honduras hay 14 propuestas por la Alianza de Cero Extinción. En el área de influencia de COMRURAL III se encuentran las 11 que se enuncian a continuación:</w:t>
      </w:r>
    </w:p>
    <w:p w14:paraId="2AB09FC3" w14:textId="77777777" w:rsidR="00AC6A20" w:rsidRPr="00FA4B2D" w:rsidRDefault="00AC6A20" w:rsidP="006A3DBC">
      <w:pPr>
        <w:autoSpaceDE w:val="0"/>
        <w:autoSpaceDN w:val="0"/>
        <w:adjustRightInd w:val="0"/>
        <w:spacing w:after="0" w:line="240" w:lineRule="auto"/>
        <w:jc w:val="both"/>
        <w:rPr>
          <w:rFonts w:cs="Arial"/>
          <w:lang w:val="es-HN"/>
        </w:rPr>
      </w:pPr>
    </w:p>
    <w:p w14:paraId="5DC99576" w14:textId="4810E4AF" w:rsidR="00E11023" w:rsidRDefault="00E11023" w:rsidP="00E11023">
      <w:pPr>
        <w:pStyle w:val="Descripcin"/>
        <w:keepNext/>
      </w:pPr>
      <w:bookmarkStart w:id="322" w:name="_Toc202455432"/>
      <w:r>
        <w:t xml:space="preserve">Tabla </w:t>
      </w:r>
      <w:r>
        <w:fldChar w:fldCharType="begin"/>
      </w:r>
      <w:r>
        <w:instrText xml:space="preserve"> SEQ Tabla \* ARABIC </w:instrText>
      </w:r>
      <w:r>
        <w:fldChar w:fldCharType="separate"/>
      </w:r>
      <w:r w:rsidR="000E6D86">
        <w:rPr>
          <w:noProof/>
        </w:rPr>
        <w:t>6</w:t>
      </w:r>
      <w:r>
        <w:fldChar w:fldCharType="end"/>
      </w:r>
      <w:r>
        <w:t xml:space="preserve">: </w:t>
      </w:r>
      <w:r w:rsidRPr="0086535D">
        <w:t>Sitios propuestos por la Alianza Cero Extinción (AZE)</w:t>
      </w:r>
      <w:bookmarkEnd w:id="322"/>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73"/>
        <w:gridCol w:w="3048"/>
        <w:gridCol w:w="11"/>
        <w:gridCol w:w="1658"/>
        <w:gridCol w:w="11"/>
        <w:gridCol w:w="3234"/>
      </w:tblGrid>
      <w:tr w:rsidR="00CF0F96" w:rsidRPr="00CF0F96" w14:paraId="1C33C55F" w14:textId="77777777" w:rsidTr="005F4A92">
        <w:trPr>
          <w:trHeight w:val="300"/>
          <w:tblHeader/>
          <w:jc w:val="center"/>
        </w:trPr>
        <w:tc>
          <w:tcPr>
            <w:tcW w:w="673" w:type="dxa"/>
            <w:shd w:val="clear" w:color="auto" w:fill="5CC5DA"/>
            <w:tcMar>
              <w:top w:w="0" w:type="dxa"/>
              <w:left w:w="45" w:type="dxa"/>
              <w:bottom w:w="0" w:type="dxa"/>
              <w:right w:w="45" w:type="dxa"/>
            </w:tcMar>
            <w:vAlign w:val="center"/>
            <w:hideMark/>
          </w:tcPr>
          <w:p w14:paraId="1A5C911A" w14:textId="77777777" w:rsidR="006A3DBC" w:rsidRPr="00CF0F96" w:rsidRDefault="006A3DBC" w:rsidP="005F4A92">
            <w:pPr>
              <w:spacing w:after="0" w:line="240" w:lineRule="auto"/>
              <w:jc w:val="center"/>
              <w:rPr>
                <w:rFonts w:cs="Arial"/>
                <w:b/>
                <w:bCs/>
                <w:sz w:val="20"/>
                <w:szCs w:val="20"/>
                <w:lang w:val="es-ES"/>
              </w:rPr>
            </w:pPr>
            <w:r w:rsidRPr="00CF0F96">
              <w:rPr>
                <w:rFonts w:cs="Arial"/>
                <w:b/>
                <w:bCs/>
                <w:sz w:val="20"/>
                <w:szCs w:val="20"/>
                <w:lang w:val="es-ES"/>
              </w:rPr>
              <w:t>No.</w:t>
            </w:r>
          </w:p>
        </w:tc>
        <w:tc>
          <w:tcPr>
            <w:tcW w:w="3048" w:type="dxa"/>
            <w:shd w:val="clear" w:color="auto" w:fill="5CC5DA"/>
            <w:tcMar>
              <w:top w:w="0" w:type="dxa"/>
              <w:left w:w="45" w:type="dxa"/>
              <w:bottom w:w="0" w:type="dxa"/>
              <w:right w:w="45" w:type="dxa"/>
            </w:tcMar>
            <w:vAlign w:val="center"/>
            <w:hideMark/>
          </w:tcPr>
          <w:p w14:paraId="6C37579B" w14:textId="77777777" w:rsidR="006A3DBC" w:rsidRPr="00CF0F96" w:rsidRDefault="006A3DBC" w:rsidP="005F4A92">
            <w:pPr>
              <w:spacing w:after="0" w:line="240" w:lineRule="auto"/>
              <w:jc w:val="center"/>
              <w:rPr>
                <w:rFonts w:cs="Arial"/>
                <w:b/>
                <w:bCs/>
                <w:sz w:val="20"/>
                <w:szCs w:val="20"/>
                <w:lang w:val="es-ES"/>
              </w:rPr>
            </w:pPr>
            <w:r w:rsidRPr="00CF0F96">
              <w:rPr>
                <w:rFonts w:cs="Arial"/>
                <w:b/>
                <w:bCs/>
                <w:sz w:val="20"/>
                <w:szCs w:val="20"/>
                <w:lang w:val="es-ES"/>
              </w:rPr>
              <w:t>Departamento</w:t>
            </w:r>
          </w:p>
        </w:tc>
        <w:tc>
          <w:tcPr>
            <w:tcW w:w="1669" w:type="dxa"/>
            <w:gridSpan w:val="2"/>
            <w:shd w:val="clear" w:color="auto" w:fill="5CC5DA"/>
          </w:tcPr>
          <w:p w14:paraId="2228B8E4" w14:textId="77777777" w:rsidR="006A3DBC" w:rsidRPr="00CF0F96" w:rsidRDefault="006A3DBC" w:rsidP="005F4A92">
            <w:pPr>
              <w:spacing w:after="0" w:line="240" w:lineRule="auto"/>
              <w:jc w:val="center"/>
              <w:rPr>
                <w:rFonts w:cs="Arial"/>
                <w:b/>
                <w:bCs/>
                <w:sz w:val="20"/>
                <w:szCs w:val="20"/>
                <w:lang w:val="es-ES"/>
              </w:rPr>
            </w:pPr>
            <w:r w:rsidRPr="00CF0F96">
              <w:rPr>
                <w:rFonts w:cs="Arial"/>
                <w:b/>
                <w:bCs/>
                <w:sz w:val="20"/>
                <w:szCs w:val="20"/>
                <w:lang w:val="es-ES"/>
              </w:rPr>
              <w:t>Area propuesta</w:t>
            </w:r>
          </w:p>
        </w:tc>
        <w:tc>
          <w:tcPr>
            <w:tcW w:w="3245" w:type="dxa"/>
            <w:gridSpan w:val="2"/>
            <w:shd w:val="clear" w:color="auto" w:fill="5CC5DA"/>
          </w:tcPr>
          <w:p w14:paraId="0F49C5BE" w14:textId="77777777" w:rsidR="006A3DBC" w:rsidRPr="00CF0F96" w:rsidRDefault="006A3DBC" w:rsidP="005F4A92">
            <w:pPr>
              <w:spacing w:after="0" w:line="240" w:lineRule="auto"/>
              <w:jc w:val="center"/>
              <w:rPr>
                <w:rFonts w:cs="Arial"/>
                <w:b/>
                <w:bCs/>
                <w:sz w:val="20"/>
                <w:szCs w:val="20"/>
                <w:lang w:val="es-ES"/>
              </w:rPr>
            </w:pPr>
            <w:r w:rsidRPr="00CF0F96">
              <w:rPr>
                <w:rFonts w:cs="Arial"/>
                <w:b/>
                <w:bCs/>
                <w:sz w:val="20"/>
                <w:szCs w:val="20"/>
                <w:lang w:val="es-ES"/>
              </w:rPr>
              <w:t>Especies Identificadas</w:t>
            </w:r>
          </w:p>
        </w:tc>
      </w:tr>
      <w:tr w:rsidR="00CF0F96" w:rsidRPr="00CF0F96" w14:paraId="775DD5AE" w14:textId="77777777" w:rsidTr="005F4A92">
        <w:trPr>
          <w:trHeight w:val="300"/>
          <w:jc w:val="center"/>
        </w:trPr>
        <w:tc>
          <w:tcPr>
            <w:tcW w:w="673" w:type="dxa"/>
            <w:tcMar>
              <w:top w:w="0" w:type="dxa"/>
              <w:left w:w="45" w:type="dxa"/>
              <w:bottom w:w="0" w:type="dxa"/>
              <w:right w:w="45" w:type="dxa"/>
            </w:tcMar>
            <w:vAlign w:val="center"/>
            <w:hideMark/>
          </w:tcPr>
          <w:p w14:paraId="09277B99" w14:textId="77777777" w:rsidR="006A3DBC" w:rsidRPr="00CF0F96" w:rsidRDefault="006A3DBC" w:rsidP="00811CA8">
            <w:pPr>
              <w:pStyle w:val="Prrafodelista"/>
              <w:numPr>
                <w:ilvl w:val="0"/>
                <w:numId w:val="68"/>
              </w:numPr>
              <w:spacing w:after="0" w:line="240" w:lineRule="auto"/>
              <w:jc w:val="right"/>
              <w:rPr>
                <w:rFonts w:cs="Arial"/>
                <w:sz w:val="20"/>
                <w:szCs w:val="20"/>
                <w:lang w:val="es-ES"/>
              </w:rPr>
            </w:pPr>
          </w:p>
        </w:tc>
        <w:tc>
          <w:tcPr>
            <w:tcW w:w="3048" w:type="dxa"/>
            <w:tcMar>
              <w:top w:w="0" w:type="dxa"/>
              <w:left w:w="45" w:type="dxa"/>
              <w:bottom w:w="0" w:type="dxa"/>
              <w:right w:w="45" w:type="dxa"/>
            </w:tcMar>
            <w:vAlign w:val="center"/>
          </w:tcPr>
          <w:p w14:paraId="4ABD44E5" w14:textId="77777777" w:rsidR="006A3DBC" w:rsidRPr="00CF0F96" w:rsidRDefault="006A3DBC" w:rsidP="005F4A92">
            <w:pPr>
              <w:spacing w:after="0" w:line="240" w:lineRule="auto"/>
              <w:jc w:val="both"/>
              <w:rPr>
                <w:rFonts w:cs="Arial"/>
                <w:sz w:val="20"/>
                <w:szCs w:val="20"/>
                <w:lang w:val="es-ES"/>
              </w:rPr>
            </w:pPr>
            <w:r w:rsidRPr="00CF0F96">
              <w:rPr>
                <w:rFonts w:cs="Arial"/>
                <w:sz w:val="20"/>
                <w:szCs w:val="20"/>
                <w:lang w:val="es-ES"/>
              </w:rPr>
              <w:t>Cerro Azul Copan-Quebrada Grande y alrededores</w:t>
            </w:r>
          </w:p>
        </w:tc>
        <w:tc>
          <w:tcPr>
            <w:tcW w:w="1669" w:type="dxa"/>
            <w:gridSpan w:val="2"/>
          </w:tcPr>
          <w:p w14:paraId="5A08D464" w14:textId="77777777" w:rsidR="006A3DBC" w:rsidRPr="00CF0F96" w:rsidRDefault="006A3DBC" w:rsidP="005F4A92">
            <w:pPr>
              <w:spacing w:after="0" w:line="240" w:lineRule="auto"/>
              <w:jc w:val="center"/>
              <w:rPr>
                <w:rFonts w:cs="Arial"/>
                <w:sz w:val="20"/>
                <w:szCs w:val="20"/>
                <w:lang w:val="es-ES"/>
              </w:rPr>
            </w:pPr>
            <w:r w:rsidRPr="00CF0F96">
              <w:rPr>
                <w:rFonts w:cs="Arial"/>
                <w:sz w:val="20"/>
                <w:szCs w:val="20"/>
                <w:lang w:val="es-ES"/>
              </w:rPr>
              <w:t>26.722.12</w:t>
            </w:r>
          </w:p>
        </w:tc>
        <w:tc>
          <w:tcPr>
            <w:tcW w:w="3245" w:type="dxa"/>
            <w:gridSpan w:val="2"/>
          </w:tcPr>
          <w:p w14:paraId="1FC8D9F2" w14:textId="77777777" w:rsidR="006A3DBC" w:rsidRPr="00CF0F96" w:rsidRDefault="006A3DBC" w:rsidP="001B16AB">
            <w:pPr>
              <w:spacing w:after="0" w:line="240" w:lineRule="auto"/>
              <w:jc w:val="both"/>
              <w:rPr>
                <w:rFonts w:cs="Arial"/>
                <w:i/>
                <w:iCs/>
                <w:sz w:val="20"/>
                <w:szCs w:val="20"/>
                <w:lang w:val="es-ES"/>
              </w:rPr>
            </w:pPr>
            <w:r w:rsidRPr="00CF0F96">
              <w:rPr>
                <w:rFonts w:cs="Arial"/>
                <w:i/>
                <w:iCs/>
                <w:sz w:val="20"/>
                <w:szCs w:val="20"/>
                <w:lang w:val="es-ES"/>
              </w:rPr>
              <w:t>Craugastor coffeus</w:t>
            </w:r>
          </w:p>
        </w:tc>
      </w:tr>
      <w:tr w:rsidR="00CF0F96" w:rsidRPr="00CF0F96" w14:paraId="2964A663" w14:textId="77777777" w:rsidTr="005F4A92">
        <w:trPr>
          <w:trHeight w:val="300"/>
          <w:jc w:val="center"/>
        </w:trPr>
        <w:tc>
          <w:tcPr>
            <w:tcW w:w="673" w:type="dxa"/>
            <w:tcMar>
              <w:top w:w="0" w:type="dxa"/>
              <w:left w:w="45" w:type="dxa"/>
              <w:bottom w:w="0" w:type="dxa"/>
              <w:right w:w="45" w:type="dxa"/>
            </w:tcMar>
            <w:vAlign w:val="center"/>
            <w:hideMark/>
          </w:tcPr>
          <w:p w14:paraId="65DB59F6" w14:textId="77777777" w:rsidR="006A3DBC" w:rsidRPr="00CF0F96" w:rsidRDefault="006A3DBC" w:rsidP="00811CA8">
            <w:pPr>
              <w:pStyle w:val="Prrafodelista"/>
              <w:numPr>
                <w:ilvl w:val="0"/>
                <w:numId w:val="68"/>
              </w:numPr>
              <w:spacing w:after="0" w:line="240" w:lineRule="auto"/>
              <w:jc w:val="right"/>
              <w:rPr>
                <w:rFonts w:cs="Arial"/>
                <w:sz w:val="20"/>
                <w:szCs w:val="20"/>
                <w:lang w:val="es-ES"/>
              </w:rPr>
            </w:pPr>
          </w:p>
        </w:tc>
        <w:tc>
          <w:tcPr>
            <w:tcW w:w="3048" w:type="dxa"/>
            <w:tcMar>
              <w:top w:w="0" w:type="dxa"/>
              <w:left w:w="45" w:type="dxa"/>
              <w:bottom w:w="0" w:type="dxa"/>
              <w:right w:w="45" w:type="dxa"/>
            </w:tcMar>
            <w:vAlign w:val="center"/>
          </w:tcPr>
          <w:p w14:paraId="2B1725FC" w14:textId="77777777" w:rsidR="006A3DBC" w:rsidRPr="00CF0F96" w:rsidRDefault="006A3DBC" w:rsidP="005F4A92">
            <w:pPr>
              <w:spacing w:after="0" w:line="240" w:lineRule="auto"/>
              <w:jc w:val="both"/>
              <w:rPr>
                <w:rFonts w:cs="Arial"/>
                <w:sz w:val="20"/>
                <w:szCs w:val="20"/>
                <w:lang w:val="es-ES"/>
              </w:rPr>
            </w:pPr>
            <w:r w:rsidRPr="00CF0F96">
              <w:rPr>
                <w:rFonts w:cs="Arial"/>
                <w:sz w:val="20"/>
                <w:szCs w:val="20"/>
                <w:lang w:val="es-ES"/>
              </w:rPr>
              <w:t>Cerro Cantagallo</w:t>
            </w:r>
          </w:p>
        </w:tc>
        <w:tc>
          <w:tcPr>
            <w:tcW w:w="1669" w:type="dxa"/>
            <w:gridSpan w:val="2"/>
          </w:tcPr>
          <w:p w14:paraId="3218F270" w14:textId="77777777" w:rsidR="006A3DBC" w:rsidRPr="00CF0F96" w:rsidRDefault="006A3DBC" w:rsidP="005F4A92">
            <w:pPr>
              <w:spacing w:after="0" w:line="240" w:lineRule="auto"/>
              <w:jc w:val="center"/>
              <w:rPr>
                <w:rFonts w:cs="Arial"/>
                <w:sz w:val="20"/>
                <w:szCs w:val="20"/>
                <w:lang w:val="es-ES"/>
              </w:rPr>
            </w:pPr>
            <w:r w:rsidRPr="00CF0F96">
              <w:rPr>
                <w:rFonts w:cs="Arial"/>
                <w:sz w:val="20"/>
                <w:szCs w:val="20"/>
                <w:lang w:val="es-ES"/>
              </w:rPr>
              <w:t>11,544.32</w:t>
            </w:r>
          </w:p>
        </w:tc>
        <w:tc>
          <w:tcPr>
            <w:tcW w:w="3245" w:type="dxa"/>
            <w:gridSpan w:val="2"/>
          </w:tcPr>
          <w:p w14:paraId="02198DE1" w14:textId="77777777" w:rsidR="006A3DBC" w:rsidRPr="00CF0F96" w:rsidRDefault="006A3DBC" w:rsidP="001B16AB">
            <w:pPr>
              <w:spacing w:after="0" w:line="240" w:lineRule="auto"/>
              <w:jc w:val="both"/>
              <w:rPr>
                <w:rFonts w:cs="Arial"/>
                <w:i/>
                <w:iCs/>
                <w:sz w:val="20"/>
                <w:szCs w:val="20"/>
                <w:lang w:val="es-ES"/>
              </w:rPr>
            </w:pPr>
            <w:r w:rsidRPr="00CF0F96">
              <w:rPr>
                <w:rFonts w:cs="Arial"/>
                <w:i/>
                <w:iCs/>
                <w:sz w:val="20"/>
                <w:szCs w:val="20"/>
                <w:lang w:val="es-ES"/>
              </w:rPr>
              <w:t>Bolitoglossa carri</w:t>
            </w:r>
          </w:p>
        </w:tc>
      </w:tr>
      <w:tr w:rsidR="00CF0F96" w:rsidRPr="00CF0F96" w14:paraId="549C2275" w14:textId="77777777" w:rsidTr="005F4A92">
        <w:trPr>
          <w:trHeight w:val="300"/>
          <w:jc w:val="center"/>
        </w:trPr>
        <w:tc>
          <w:tcPr>
            <w:tcW w:w="673" w:type="dxa"/>
            <w:tcMar>
              <w:top w:w="0" w:type="dxa"/>
              <w:left w:w="45" w:type="dxa"/>
              <w:bottom w:w="0" w:type="dxa"/>
              <w:right w:w="45" w:type="dxa"/>
            </w:tcMar>
            <w:vAlign w:val="center"/>
            <w:hideMark/>
          </w:tcPr>
          <w:p w14:paraId="154FFFE8" w14:textId="77777777" w:rsidR="006A3DBC" w:rsidRPr="00CF0F96" w:rsidRDefault="006A3DBC" w:rsidP="00811CA8">
            <w:pPr>
              <w:pStyle w:val="Prrafodelista"/>
              <w:numPr>
                <w:ilvl w:val="0"/>
                <w:numId w:val="68"/>
              </w:numPr>
              <w:spacing w:after="0" w:line="240" w:lineRule="auto"/>
              <w:jc w:val="right"/>
              <w:rPr>
                <w:rFonts w:cs="Arial"/>
                <w:sz w:val="20"/>
                <w:szCs w:val="20"/>
                <w:lang w:val="es-ES"/>
              </w:rPr>
            </w:pPr>
          </w:p>
        </w:tc>
        <w:tc>
          <w:tcPr>
            <w:tcW w:w="3048" w:type="dxa"/>
            <w:tcMar>
              <w:top w:w="0" w:type="dxa"/>
              <w:left w:w="45" w:type="dxa"/>
              <w:bottom w:w="0" w:type="dxa"/>
              <w:right w:w="45" w:type="dxa"/>
            </w:tcMar>
            <w:vAlign w:val="center"/>
          </w:tcPr>
          <w:p w14:paraId="39192CE4" w14:textId="77777777" w:rsidR="006A3DBC" w:rsidRPr="00CF0F96" w:rsidRDefault="006A3DBC" w:rsidP="005F4A92">
            <w:pPr>
              <w:spacing w:after="0" w:line="240" w:lineRule="auto"/>
              <w:jc w:val="both"/>
              <w:rPr>
                <w:rFonts w:cs="Arial"/>
                <w:sz w:val="20"/>
                <w:szCs w:val="20"/>
                <w:lang w:val="es-ES"/>
              </w:rPr>
            </w:pPr>
            <w:r w:rsidRPr="00CF0F96">
              <w:rPr>
                <w:rFonts w:cs="Arial"/>
                <w:sz w:val="20"/>
                <w:szCs w:val="20"/>
                <w:lang w:val="es-ES"/>
              </w:rPr>
              <w:t>Cerro El Zarciadero</w:t>
            </w:r>
          </w:p>
        </w:tc>
        <w:tc>
          <w:tcPr>
            <w:tcW w:w="1669" w:type="dxa"/>
            <w:gridSpan w:val="2"/>
          </w:tcPr>
          <w:p w14:paraId="15DBF6DB" w14:textId="77777777" w:rsidR="006A3DBC" w:rsidRPr="00CF0F96" w:rsidRDefault="006A3DBC" w:rsidP="005F4A92">
            <w:pPr>
              <w:spacing w:after="0" w:line="240" w:lineRule="auto"/>
              <w:jc w:val="center"/>
              <w:rPr>
                <w:rFonts w:cs="Arial"/>
                <w:sz w:val="20"/>
                <w:szCs w:val="20"/>
                <w:lang w:val="es-ES"/>
              </w:rPr>
            </w:pPr>
            <w:r w:rsidRPr="00CF0F96">
              <w:rPr>
                <w:rFonts w:cs="Arial"/>
                <w:sz w:val="20"/>
                <w:szCs w:val="20"/>
                <w:lang w:val="es-ES"/>
              </w:rPr>
              <w:t>1023.58</w:t>
            </w:r>
          </w:p>
        </w:tc>
        <w:tc>
          <w:tcPr>
            <w:tcW w:w="3245" w:type="dxa"/>
            <w:gridSpan w:val="2"/>
          </w:tcPr>
          <w:p w14:paraId="3299E2BC" w14:textId="77777777" w:rsidR="006A3DBC" w:rsidRPr="00CF0F96" w:rsidRDefault="006A3DBC" w:rsidP="001B16AB">
            <w:pPr>
              <w:spacing w:after="0" w:line="240" w:lineRule="auto"/>
              <w:jc w:val="both"/>
              <w:rPr>
                <w:rFonts w:cs="Arial"/>
                <w:i/>
                <w:iCs/>
                <w:sz w:val="20"/>
                <w:szCs w:val="20"/>
                <w:lang w:val="es-ES"/>
              </w:rPr>
            </w:pPr>
            <w:r w:rsidRPr="00CF0F96">
              <w:rPr>
                <w:rFonts w:cs="Arial"/>
                <w:i/>
                <w:iCs/>
                <w:sz w:val="20"/>
                <w:szCs w:val="20"/>
                <w:lang w:val="es-ES"/>
              </w:rPr>
              <w:t>Bolitoglossa oresbia</w:t>
            </w:r>
          </w:p>
        </w:tc>
      </w:tr>
      <w:tr w:rsidR="00CF0F96" w:rsidRPr="00CF0F96" w14:paraId="58AB83A8" w14:textId="77777777" w:rsidTr="005F4A92">
        <w:trPr>
          <w:trHeight w:val="300"/>
          <w:jc w:val="center"/>
        </w:trPr>
        <w:tc>
          <w:tcPr>
            <w:tcW w:w="673" w:type="dxa"/>
            <w:tcMar>
              <w:top w:w="0" w:type="dxa"/>
              <w:left w:w="45" w:type="dxa"/>
              <w:bottom w:w="0" w:type="dxa"/>
              <w:right w:w="45" w:type="dxa"/>
            </w:tcMar>
            <w:vAlign w:val="center"/>
            <w:hideMark/>
          </w:tcPr>
          <w:p w14:paraId="04E2CC62" w14:textId="77777777" w:rsidR="006A3DBC" w:rsidRPr="00CF0F96" w:rsidRDefault="006A3DBC" w:rsidP="00811CA8">
            <w:pPr>
              <w:pStyle w:val="Prrafodelista"/>
              <w:numPr>
                <w:ilvl w:val="0"/>
                <w:numId w:val="68"/>
              </w:numPr>
              <w:spacing w:after="0" w:line="240" w:lineRule="auto"/>
              <w:jc w:val="right"/>
              <w:rPr>
                <w:rFonts w:cs="Arial"/>
                <w:sz w:val="20"/>
                <w:szCs w:val="20"/>
                <w:lang w:val="es-ES"/>
              </w:rPr>
            </w:pPr>
          </w:p>
        </w:tc>
        <w:tc>
          <w:tcPr>
            <w:tcW w:w="3048" w:type="dxa"/>
            <w:tcMar>
              <w:top w:w="0" w:type="dxa"/>
              <w:left w:w="45" w:type="dxa"/>
              <w:bottom w:w="0" w:type="dxa"/>
              <w:right w:w="45" w:type="dxa"/>
            </w:tcMar>
            <w:vAlign w:val="center"/>
          </w:tcPr>
          <w:p w14:paraId="0BC771F8" w14:textId="77777777" w:rsidR="006A3DBC" w:rsidRPr="00CF0F96" w:rsidRDefault="006A3DBC" w:rsidP="005F4A92">
            <w:pPr>
              <w:spacing w:after="0" w:line="240" w:lineRule="auto"/>
              <w:jc w:val="both"/>
              <w:rPr>
                <w:rFonts w:cs="Arial"/>
                <w:sz w:val="20"/>
                <w:szCs w:val="20"/>
                <w:lang w:val="es-ES"/>
              </w:rPr>
            </w:pPr>
            <w:r w:rsidRPr="00CF0F96">
              <w:rPr>
                <w:rFonts w:cs="Arial"/>
                <w:sz w:val="20"/>
                <w:szCs w:val="20"/>
                <w:lang w:val="es-ES"/>
              </w:rPr>
              <w:t>El Pital (parte de la zona transfronteriza con El Salvador)</w:t>
            </w:r>
          </w:p>
        </w:tc>
        <w:tc>
          <w:tcPr>
            <w:tcW w:w="1669" w:type="dxa"/>
            <w:gridSpan w:val="2"/>
          </w:tcPr>
          <w:p w14:paraId="7D6BEA91" w14:textId="77777777" w:rsidR="006A3DBC" w:rsidRPr="00CF0F96" w:rsidRDefault="006A3DBC" w:rsidP="005F4A92">
            <w:pPr>
              <w:spacing w:after="0" w:line="240" w:lineRule="auto"/>
              <w:jc w:val="center"/>
              <w:rPr>
                <w:rFonts w:cs="Arial"/>
                <w:sz w:val="20"/>
                <w:szCs w:val="20"/>
                <w:lang w:val="es-ES"/>
              </w:rPr>
            </w:pPr>
            <w:r w:rsidRPr="00CF0F96">
              <w:rPr>
                <w:rFonts w:cs="Arial"/>
                <w:sz w:val="20"/>
                <w:szCs w:val="20"/>
                <w:lang w:val="es-ES"/>
              </w:rPr>
              <w:t>6,178.88</w:t>
            </w:r>
          </w:p>
        </w:tc>
        <w:tc>
          <w:tcPr>
            <w:tcW w:w="3245" w:type="dxa"/>
            <w:gridSpan w:val="2"/>
          </w:tcPr>
          <w:p w14:paraId="3012B4B6" w14:textId="77777777" w:rsidR="006A3DBC" w:rsidRPr="00CF0F96" w:rsidRDefault="006A3DBC" w:rsidP="001B16AB">
            <w:pPr>
              <w:spacing w:after="0" w:line="240" w:lineRule="auto"/>
              <w:jc w:val="both"/>
              <w:rPr>
                <w:rFonts w:cs="Arial"/>
                <w:i/>
                <w:iCs/>
                <w:sz w:val="20"/>
                <w:szCs w:val="20"/>
                <w:lang w:val="es-ES"/>
              </w:rPr>
            </w:pPr>
            <w:r w:rsidRPr="00CF0F96">
              <w:rPr>
                <w:rFonts w:cs="Arial"/>
                <w:i/>
                <w:iCs/>
                <w:sz w:val="20"/>
                <w:szCs w:val="20"/>
                <w:lang w:val="es-ES"/>
              </w:rPr>
              <w:t>Bolitoglossa synoria</w:t>
            </w:r>
          </w:p>
        </w:tc>
      </w:tr>
      <w:tr w:rsidR="00CF0F96" w:rsidRPr="00CF0F96" w14:paraId="0DBFFA8F" w14:textId="77777777" w:rsidTr="005F4A92">
        <w:trPr>
          <w:trHeight w:val="300"/>
          <w:jc w:val="center"/>
        </w:trPr>
        <w:tc>
          <w:tcPr>
            <w:tcW w:w="673" w:type="dxa"/>
            <w:tcMar>
              <w:top w:w="0" w:type="dxa"/>
              <w:left w:w="45" w:type="dxa"/>
              <w:bottom w:w="0" w:type="dxa"/>
              <w:right w:w="45" w:type="dxa"/>
            </w:tcMar>
            <w:vAlign w:val="center"/>
            <w:hideMark/>
          </w:tcPr>
          <w:p w14:paraId="46E6A031" w14:textId="77777777" w:rsidR="006A3DBC" w:rsidRPr="00CF0F96" w:rsidRDefault="006A3DBC" w:rsidP="00811CA8">
            <w:pPr>
              <w:pStyle w:val="Prrafodelista"/>
              <w:numPr>
                <w:ilvl w:val="0"/>
                <w:numId w:val="68"/>
              </w:numPr>
              <w:spacing w:after="0" w:line="240" w:lineRule="auto"/>
              <w:jc w:val="right"/>
              <w:rPr>
                <w:rFonts w:cs="Arial"/>
                <w:sz w:val="20"/>
                <w:szCs w:val="20"/>
                <w:lang w:val="es-ES"/>
              </w:rPr>
            </w:pPr>
          </w:p>
        </w:tc>
        <w:tc>
          <w:tcPr>
            <w:tcW w:w="3048" w:type="dxa"/>
            <w:tcMar>
              <w:top w:w="0" w:type="dxa"/>
              <w:left w:w="45" w:type="dxa"/>
              <w:bottom w:w="0" w:type="dxa"/>
              <w:right w:w="45" w:type="dxa"/>
            </w:tcMar>
            <w:vAlign w:val="center"/>
          </w:tcPr>
          <w:p w14:paraId="189C61AD" w14:textId="77777777" w:rsidR="006A3DBC" w:rsidRPr="00CF0F96" w:rsidRDefault="006A3DBC" w:rsidP="005F4A92">
            <w:pPr>
              <w:spacing w:after="0" w:line="240" w:lineRule="auto"/>
              <w:jc w:val="both"/>
              <w:rPr>
                <w:rFonts w:cs="Arial"/>
                <w:sz w:val="20"/>
                <w:szCs w:val="20"/>
                <w:lang w:val="es-ES"/>
              </w:rPr>
            </w:pPr>
            <w:r w:rsidRPr="00CF0F96">
              <w:rPr>
                <w:rFonts w:cs="Arial"/>
                <w:sz w:val="20"/>
                <w:szCs w:val="20"/>
                <w:lang w:val="es-ES"/>
              </w:rPr>
              <w:t>La Muralla y alrededores</w:t>
            </w:r>
          </w:p>
        </w:tc>
        <w:tc>
          <w:tcPr>
            <w:tcW w:w="1669" w:type="dxa"/>
            <w:gridSpan w:val="2"/>
          </w:tcPr>
          <w:p w14:paraId="425BF693" w14:textId="77777777" w:rsidR="006A3DBC" w:rsidRPr="00CF0F96" w:rsidRDefault="006A3DBC" w:rsidP="005F4A92">
            <w:pPr>
              <w:spacing w:after="0" w:line="240" w:lineRule="auto"/>
              <w:jc w:val="center"/>
              <w:rPr>
                <w:rFonts w:cs="Arial"/>
                <w:sz w:val="20"/>
                <w:szCs w:val="20"/>
                <w:lang w:val="es-ES"/>
              </w:rPr>
            </w:pPr>
            <w:r w:rsidRPr="00CF0F96">
              <w:rPr>
                <w:rFonts w:cs="Arial"/>
                <w:sz w:val="20"/>
                <w:szCs w:val="20"/>
                <w:lang w:val="es-ES"/>
              </w:rPr>
              <w:t>18,239.03</w:t>
            </w:r>
          </w:p>
        </w:tc>
        <w:tc>
          <w:tcPr>
            <w:tcW w:w="3245" w:type="dxa"/>
            <w:gridSpan w:val="2"/>
          </w:tcPr>
          <w:p w14:paraId="5D0F3F3D" w14:textId="77777777" w:rsidR="006A3DBC" w:rsidRPr="00CF0F96" w:rsidRDefault="006A3DBC" w:rsidP="001B16AB">
            <w:pPr>
              <w:autoSpaceDE w:val="0"/>
              <w:autoSpaceDN w:val="0"/>
              <w:adjustRightInd w:val="0"/>
              <w:spacing w:after="0" w:line="240" w:lineRule="auto"/>
              <w:jc w:val="both"/>
              <w:rPr>
                <w:rFonts w:cs="Arial"/>
                <w:i/>
                <w:iCs/>
                <w:sz w:val="20"/>
                <w:szCs w:val="20"/>
                <w:lang w:val="es-ES"/>
              </w:rPr>
            </w:pPr>
            <w:r w:rsidRPr="00CF0F96">
              <w:rPr>
                <w:rFonts w:cs="Arial"/>
                <w:i/>
                <w:iCs/>
                <w:sz w:val="20"/>
                <w:szCs w:val="20"/>
                <w:lang w:val="es-ES"/>
              </w:rPr>
              <w:t>Bolitoglossa decora, Nototriton</w:t>
            </w:r>
          </w:p>
          <w:p w14:paraId="2CF9FF32" w14:textId="77777777" w:rsidR="006A3DBC" w:rsidRPr="00CF0F96" w:rsidRDefault="006A3DBC" w:rsidP="001B16AB">
            <w:pPr>
              <w:spacing w:after="0" w:line="240" w:lineRule="auto"/>
              <w:jc w:val="both"/>
              <w:rPr>
                <w:rFonts w:cs="Arial"/>
                <w:i/>
                <w:iCs/>
                <w:sz w:val="20"/>
                <w:szCs w:val="20"/>
                <w:lang w:val="es-ES"/>
              </w:rPr>
            </w:pPr>
            <w:r w:rsidRPr="00CF0F96">
              <w:rPr>
                <w:rFonts w:cs="Arial"/>
                <w:i/>
                <w:iCs/>
                <w:sz w:val="20"/>
                <w:szCs w:val="20"/>
                <w:lang w:val="es-ES"/>
              </w:rPr>
              <w:t>lignícola</w:t>
            </w:r>
          </w:p>
        </w:tc>
      </w:tr>
      <w:tr w:rsidR="00CF0F96" w:rsidRPr="00CF0F96" w14:paraId="3DB47F91" w14:textId="77777777" w:rsidTr="005F4A92">
        <w:trPr>
          <w:trHeight w:val="300"/>
          <w:jc w:val="center"/>
        </w:trPr>
        <w:tc>
          <w:tcPr>
            <w:tcW w:w="673" w:type="dxa"/>
            <w:tcMar>
              <w:top w:w="0" w:type="dxa"/>
              <w:left w:w="45" w:type="dxa"/>
              <w:bottom w:w="0" w:type="dxa"/>
              <w:right w:w="45" w:type="dxa"/>
            </w:tcMar>
            <w:vAlign w:val="center"/>
            <w:hideMark/>
          </w:tcPr>
          <w:p w14:paraId="18FBE7D0" w14:textId="77777777" w:rsidR="006A3DBC" w:rsidRPr="00CF0F96" w:rsidRDefault="006A3DBC" w:rsidP="00811CA8">
            <w:pPr>
              <w:pStyle w:val="Prrafodelista"/>
              <w:numPr>
                <w:ilvl w:val="0"/>
                <w:numId w:val="68"/>
              </w:numPr>
              <w:spacing w:after="0" w:line="240" w:lineRule="auto"/>
              <w:jc w:val="right"/>
              <w:rPr>
                <w:rFonts w:cs="Arial"/>
                <w:sz w:val="20"/>
                <w:szCs w:val="20"/>
                <w:lang w:val="es-ES"/>
              </w:rPr>
            </w:pPr>
          </w:p>
        </w:tc>
        <w:tc>
          <w:tcPr>
            <w:tcW w:w="3048" w:type="dxa"/>
            <w:tcMar>
              <w:top w:w="0" w:type="dxa"/>
              <w:left w:w="45" w:type="dxa"/>
              <w:bottom w:w="0" w:type="dxa"/>
              <w:right w:w="45" w:type="dxa"/>
            </w:tcMar>
            <w:vAlign w:val="center"/>
          </w:tcPr>
          <w:p w14:paraId="12F8E251" w14:textId="77777777" w:rsidR="006A3DBC" w:rsidRPr="00CF0F96" w:rsidRDefault="006A3DBC" w:rsidP="005F4A92">
            <w:pPr>
              <w:spacing w:after="0" w:line="240" w:lineRule="auto"/>
              <w:jc w:val="both"/>
              <w:rPr>
                <w:rFonts w:cs="Arial"/>
                <w:sz w:val="20"/>
                <w:szCs w:val="20"/>
                <w:lang w:val="es-ES"/>
              </w:rPr>
            </w:pPr>
            <w:r w:rsidRPr="00CF0F96">
              <w:rPr>
                <w:rFonts w:cs="Arial"/>
                <w:sz w:val="20"/>
                <w:szCs w:val="20"/>
                <w:lang w:val="es-ES"/>
              </w:rPr>
              <w:t>Montana de Celaque</w:t>
            </w:r>
          </w:p>
        </w:tc>
        <w:tc>
          <w:tcPr>
            <w:tcW w:w="1669" w:type="dxa"/>
            <w:gridSpan w:val="2"/>
          </w:tcPr>
          <w:p w14:paraId="710F0967" w14:textId="77777777" w:rsidR="006A3DBC" w:rsidRPr="00CF0F96" w:rsidRDefault="006A3DBC" w:rsidP="005F4A92">
            <w:pPr>
              <w:spacing w:after="0" w:line="240" w:lineRule="auto"/>
              <w:jc w:val="center"/>
              <w:rPr>
                <w:rFonts w:cs="Arial"/>
                <w:sz w:val="20"/>
                <w:szCs w:val="20"/>
                <w:lang w:val="es-ES"/>
              </w:rPr>
            </w:pPr>
            <w:r w:rsidRPr="00CF0F96">
              <w:rPr>
                <w:rFonts w:cs="Arial"/>
                <w:sz w:val="20"/>
                <w:szCs w:val="20"/>
                <w:lang w:val="es-ES"/>
              </w:rPr>
              <w:t>51,021.56</w:t>
            </w:r>
          </w:p>
        </w:tc>
        <w:tc>
          <w:tcPr>
            <w:tcW w:w="3245" w:type="dxa"/>
            <w:gridSpan w:val="2"/>
          </w:tcPr>
          <w:p w14:paraId="68E8954C" w14:textId="77777777" w:rsidR="006A3DBC" w:rsidRPr="00CF0F96" w:rsidRDefault="006A3DBC" w:rsidP="001B16AB">
            <w:pPr>
              <w:spacing w:after="0" w:line="240" w:lineRule="auto"/>
              <w:jc w:val="both"/>
              <w:rPr>
                <w:rFonts w:cs="Arial"/>
                <w:i/>
                <w:iCs/>
                <w:sz w:val="20"/>
                <w:szCs w:val="20"/>
                <w:lang w:val="es-ES"/>
              </w:rPr>
            </w:pPr>
            <w:r w:rsidRPr="00CF0F96">
              <w:rPr>
                <w:rFonts w:cs="Arial"/>
                <w:i/>
                <w:iCs/>
                <w:sz w:val="20"/>
                <w:szCs w:val="20"/>
                <w:lang w:val="es-ES"/>
              </w:rPr>
              <w:t>Craugastor anciano</w:t>
            </w:r>
          </w:p>
        </w:tc>
      </w:tr>
      <w:tr w:rsidR="00CF0F96" w:rsidRPr="00CF0F96" w14:paraId="586D5E1D" w14:textId="77777777" w:rsidTr="005F4A92">
        <w:trPr>
          <w:trHeight w:val="300"/>
          <w:jc w:val="center"/>
        </w:trPr>
        <w:tc>
          <w:tcPr>
            <w:tcW w:w="673" w:type="dxa"/>
            <w:tcMar>
              <w:top w:w="0" w:type="dxa"/>
              <w:left w:w="45" w:type="dxa"/>
              <w:bottom w:w="0" w:type="dxa"/>
              <w:right w:w="45" w:type="dxa"/>
            </w:tcMar>
            <w:vAlign w:val="center"/>
            <w:hideMark/>
          </w:tcPr>
          <w:p w14:paraId="508EBA49" w14:textId="77777777" w:rsidR="006A3DBC" w:rsidRPr="00CF0F96" w:rsidRDefault="006A3DBC" w:rsidP="00811CA8">
            <w:pPr>
              <w:pStyle w:val="Prrafodelista"/>
              <w:numPr>
                <w:ilvl w:val="0"/>
                <w:numId w:val="68"/>
              </w:numPr>
              <w:spacing w:after="0" w:line="240" w:lineRule="auto"/>
              <w:jc w:val="right"/>
              <w:rPr>
                <w:rFonts w:cs="Arial"/>
                <w:sz w:val="20"/>
                <w:szCs w:val="20"/>
                <w:lang w:val="es-ES"/>
              </w:rPr>
            </w:pPr>
          </w:p>
        </w:tc>
        <w:tc>
          <w:tcPr>
            <w:tcW w:w="3048" w:type="dxa"/>
            <w:tcMar>
              <w:top w:w="0" w:type="dxa"/>
              <w:left w:w="45" w:type="dxa"/>
              <w:bottom w:w="0" w:type="dxa"/>
              <w:right w:w="45" w:type="dxa"/>
            </w:tcMar>
            <w:vAlign w:val="center"/>
          </w:tcPr>
          <w:p w14:paraId="0E8D6FD8" w14:textId="77777777" w:rsidR="006A3DBC" w:rsidRPr="00CF0F96" w:rsidRDefault="006A3DBC" w:rsidP="005F4A92">
            <w:pPr>
              <w:spacing w:after="0" w:line="240" w:lineRule="auto"/>
              <w:jc w:val="both"/>
              <w:rPr>
                <w:rFonts w:cs="Arial"/>
                <w:sz w:val="20"/>
                <w:szCs w:val="20"/>
                <w:lang w:val="es-ES"/>
              </w:rPr>
            </w:pPr>
            <w:r w:rsidRPr="00CF0F96">
              <w:rPr>
                <w:rFonts w:cs="Arial"/>
                <w:sz w:val="20"/>
                <w:szCs w:val="20"/>
                <w:lang w:val="es-ES"/>
              </w:rPr>
              <w:t>Parque Nacional Montaña de Santa Bárbara</w:t>
            </w:r>
          </w:p>
        </w:tc>
        <w:tc>
          <w:tcPr>
            <w:tcW w:w="1669" w:type="dxa"/>
            <w:gridSpan w:val="2"/>
          </w:tcPr>
          <w:p w14:paraId="63086578" w14:textId="77777777" w:rsidR="006A3DBC" w:rsidRPr="00CF0F96" w:rsidRDefault="006A3DBC" w:rsidP="005F4A92">
            <w:pPr>
              <w:spacing w:after="0" w:line="240" w:lineRule="auto"/>
              <w:jc w:val="center"/>
              <w:rPr>
                <w:rFonts w:cs="Arial"/>
                <w:sz w:val="20"/>
                <w:szCs w:val="20"/>
                <w:lang w:val="es-ES"/>
              </w:rPr>
            </w:pPr>
            <w:r w:rsidRPr="00CF0F96">
              <w:rPr>
                <w:rFonts w:cs="Arial"/>
                <w:sz w:val="20"/>
                <w:szCs w:val="20"/>
                <w:lang w:val="es-ES"/>
              </w:rPr>
              <w:t>19,986.92</w:t>
            </w:r>
          </w:p>
        </w:tc>
        <w:tc>
          <w:tcPr>
            <w:tcW w:w="3245" w:type="dxa"/>
            <w:gridSpan w:val="2"/>
          </w:tcPr>
          <w:p w14:paraId="542988AE" w14:textId="77777777" w:rsidR="006A3DBC" w:rsidRPr="00CF0F96" w:rsidRDefault="006A3DBC" w:rsidP="001B16AB">
            <w:pPr>
              <w:spacing w:after="0" w:line="240" w:lineRule="auto"/>
              <w:jc w:val="both"/>
              <w:rPr>
                <w:rFonts w:cs="Arial"/>
                <w:i/>
                <w:iCs/>
                <w:sz w:val="20"/>
                <w:szCs w:val="20"/>
                <w:lang w:val="es-ES"/>
              </w:rPr>
            </w:pPr>
            <w:r w:rsidRPr="00CF0F96">
              <w:rPr>
                <w:rFonts w:cs="Arial"/>
                <w:i/>
                <w:iCs/>
                <w:sz w:val="20"/>
                <w:szCs w:val="20"/>
                <w:lang w:val="es-ES"/>
              </w:rPr>
              <w:t>Nototriton limnospectator</w:t>
            </w:r>
          </w:p>
        </w:tc>
      </w:tr>
      <w:tr w:rsidR="00CF0F96" w:rsidRPr="00CF0F96" w14:paraId="62C3599C" w14:textId="77777777" w:rsidTr="005F4A92">
        <w:trPr>
          <w:trHeight w:val="300"/>
          <w:jc w:val="center"/>
        </w:trPr>
        <w:tc>
          <w:tcPr>
            <w:tcW w:w="673" w:type="dxa"/>
            <w:tcMar>
              <w:top w:w="0" w:type="dxa"/>
              <w:left w:w="45" w:type="dxa"/>
              <w:bottom w:w="0" w:type="dxa"/>
              <w:right w:w="45" w:type="dxa"/>
            </w:tcMar>
            <w:vAlign w:val="center"/>
            <w:hideMark/>
          </w:tcPr>
          <w:p w14:paraId="76C075BE" w14:textId="77777777" w:rsidR="006A3DBC" w:rsidRPr="00CF0F96" w:rsidRDefault="006A3DBC" w:rsidP="00811CA8">
            <w:pPr>
              <w:pStyle w:val="Prrafodelista"/>
              <w:numPr>
                <w:ilvl w:val="0"/>
                <w:numId w:val="68"/>
              </w:numPr>
              <w:spacing w:after="0" w:line="240" w:lineRule="auto"/>
              <w:jc w:val="right"/>
              <w:rPr>
                <w:rFonts w:cs="Arial"/>
                <w:sz w:val="20"/>
                <w:szCs w:val="20"/>
                <w:lang w:val="es-ES"/>
              </w:rPr>
            </w:pPr>
          </w:p>
        </w:tc>
        <w:tc>
          <w:tcPr>
            <w:tcW w:w="3048" w:type="dxa"/>
            <w:tcMar>
              <w:top w:w="0" w:type="dxa"/>
              <w:left w:w="45" w:type="dxa"/>
              <w:bottom w:w="0" w:type="dxa"/>
              <w:right w:w="45" w:type="dxa"/>
            </w:tcMar>
            <w:vAlign w:val="center"/>
          </w:tcPr>
          <w:p w14:paraId="5071F9DA" w14:textId="77777777" w:rsidR="006A3DBC" w:rsidRPr="00CF0F96" w:rsidRDefault="006A3DBC" w:rsidP="005F4A92">
            <w:pPr>
              <w:spacing w:after="0" w:line="240" w:lineRule="auto"/>
              <w:jc w:val="both"/>
              <w:rPr>
                <w:rFonts w:cs="Arial"/>
                <w:sz w:val="20"/>
                <w:szCs w:val="20"/>
                <w:lang w:val="es-ES"/>
              </w:rPr>
            </w:pPr>
            <w:r w:rsidRPr="00CF0F96">
              <w:rPr>
                <w:rFonts w:cs="Arial"/>
                <w:sz w:val="20"/>
                <w:szCs w:val="20"/>
                <w:lang w:val="es-ES"/>
              </w:rPr>
              <w:t>Pico Bonito-Rio Valle Aguan</w:t>
            </w:r>
          </w:p>
        </w:tc>
        <w:tc>
          <w:tcPr>
            <w:tcW w:w="1669" w:type="dxa"/>
            <w:gridSpan w:val="2"/>
          </w:tcPr>
          <w:p w14:paraId="3F8AF58A" w14:textId="77777777" w:rsidR="006A3DBC" w:rsidRPr="00CF0F96" w:rsidRDefault="006A3DBC" w:rsidP="005F4A92">
            <w:pPr>
              <w:spacing w:after="0" w:line="240" w:lineRule="auto"/>
              <w:jc w:val="center"/>
              <w:rPr>
                <w:rFonts w:cs="Arial"/>
                <w:sz w:val="20"/>
                <w:szCs w:val="20"/>
                <w:lang w:val="es-ES"/>
              </w:rPr>
            </w:pPr>
            <w:r w:rsidRPr="00CF0F96">
              <w:rPr>
                <w:rFonts w:cs="Arial"/>
                <w:sz w:val="20"/>
                <w:szCs w:val="20"/>
                <w:lang w:val="es-ES"/>
              </w:rPr>
              <w:t>104,546.73</w:t>
            </w:r>
          </w:p>
        </w:tc>
        <w:tc>
          <w:tcPr>
            <w:tcW w:w="3245" w:type="dxa"/>
            <w:gridSpan w:val="2"/>
          </w:tcPr>
          <w:p w14:paraId="50FA84B3" w14:textId="77777777" w:rsidR="006A3DBC" w:rsidRPr="00CF0F96" w:rsidRDefault="006A3DBC" w:rsidP="001B16AB">
            <w:pPr>
              <w:autoSpaceDE w:val="0"/>
              <w:autoSpaceDN w:val="0"/>
              <w:adjustRightInd w:val="0"/>
              <w:spacing w:after="0" w:line="240" w:lineRule="auto"/>
              <w:jc w:val="both"/>
              <w:rPr>
                <w:rFonts w:cs="Arial"/>
                <w:i/>
                <w:iCs/>
                <w:sz w:val="20"/>
                <w:szCs w:val="20"/>
                <w:lang w:val="es-ES"/>
              </w:rPr>
            </w:pPr>
            <w:r w:rsidRPr="00CF0F96">
              <w:rPr>
                <w:rFonts w:cs="Arial"/>
                <w:i/>
                <w:iCs/>
                <w:sz w:val="20"/>
                <w:szCs w:val="20"/>
                <w:lang w:val="es-ES"/>
              </w:rPr>
              <w:t>Craugastor cruzi, Plectrohyla</w:t>
            </w:r>
          </w:p>
          <w:p w14:paraId="35C1B180" w14:textId="77777777" w:rsidR="006A3DBC" w:rsidRPr="00CF0F96" w:rsidRDefault="006A3DBC" w:rsidP="001B16AB">
            <w:pPr>
              <w:spacing w:after="0" w:line="240" w:lineRule="auto"/>
              <w:jc w:val="both"/>
              <w:rPr>
                <w:rFonts w:cs="Arial"/>
                <w:i/>
                <w:iCs/>
                <w:sz w:val="20"/>
                <w:szCs w:val="20"/>
                <w:lang w:val="es-ES"/>
              </w:rPr>
            </w:pPr>
            <w:r w:rsidRPr="00CF0F96">
              <w:rPr>
                <w:rFonts w:cs="Arial"/>
                <w:i/>
                <w:iCs/>
                <w:sz w:val="20"/>
                <w:szCs w:val="20"/>
                <w:lang w:val="es-ES"/>
              </w:rPr>
              <w:t>Cheysopleura</w:t>
            </w:r>
          </w:p>
        </w:tc>
      </w:tr>
      <w:tr w:rsidR="00CF0F96" w:rsidRPr="00CF0F96" w14:paraId="525193FF" w14:textId="77777777" w:rsidTr="005F4A92">
        <w:trPr>
          <w:trHeight w:val="300"/>
          <w:jc w:val="center"/>
        </w:trPr>
        <w:tc>
          <w:tcPr>
            <w:tcW w:w="673" w:type="dxa"/>
            <w:tcMar>
              <w:top w:w="0" w:type="dxa"/>
              <w:left w:w="45" w:type="dxa"/>
              <w:bottom w:w="0" w:type="dxa"/>
              <w:right w:w="45" w:type="dxa"/>
            </w:tcMar>
            <w:vAlign w:val="center"/>
            <w:hideMark/>
          </w:tcPr>
          <w:p w14:paraId="7B5194E7" w14:textId="77777777" w:rsidR="006A3DBC" w:rsidRPr="00CF0F96" w:rsidRDefault="006A3DBC" w:rsidP="00811CA8">
            <w:pPr>
              <w:pStyle w:val="Prrafodelista"/>
              <w:numPr>
                <w:ilvl w:val="0"/>
                <w:numId w:val="68"/>
              </w:numPr>
              <w:spacing w:after="0" w:line="240" w:lineRule="auto"/>
              <w:jc w:val="right"/>
              <w:rPr>
                <w:rFonts w:cs="Arial"/>
                <w:sz w:val="20"/>
                <w:szCs w:val="20"/>
                <w:lang w:val="es-ES"/>
              </w:rPr>
            </w:pPr>
          </w:p>
        </w:tc>
        <w:tc>
          <w:tcPr>
            <w:tcW w:w="3048" w:type="dxa"/>
            <w:tcMar>
              <w:top w:w="0" w:type="dxa"/>
              <w:left w:w="45" w:type="dxa"/>
              <w:bottom w:w="0" w:type="dxa"/>
              <w:right w:w="45" w:type="dxa"/>
            </w:tcMar>
            <w:vAlign w:val="center"/>
          </w:tcPr>
          <w:p w14:paraId="03CA5CF4" w14:textId="77777777" w:rsidR="006A3DBC" w:rsidRPr="00CF0F96" w:rsidRDefault="006A3DBC" w:rsidP="005F4A92">
            <w:pPr>
              <w:spacing w:after="0" w:line="240" w:lineRule="auto"/>
              <w:jc w:val="both"/>
              <w:rPr>
                <w:rFonts w:cs="Arial"/>
                <w:sz w:val="20"/>
                <w:szCs w:val="20"/>
                <w:lang w:val="es-ES"/>
              </w:rPr>
            </w:pPr>
            <w:r w:rsidRPr="00CF0F96">
              <w:rPr>
                <w:rFonts w:cs="Arial"/>
                <w:sz w:val="20"/>
                <w:szCs w:val="20"/>
                <w:lang w:val="es-ES"/>
              </w:rPr>
              <w:t>Sierra de Agalta-Catacamas y alrededores</w:t>
            </w:r>
          </w:p>
        </w:tc>
        <w:tc>
          <w:tcPr>
            <w:tcW w:w="1669" w:type="dxa"/>
            <w:gridSpan w:val="2"/>
          </w:tcPr>
          <w:p w14:paraId="055CBA03" w14:textId="77777777" w:rsidR="006A3DBC" w:rsidRPr="00CF0F96" w:rsidRDefault="006A3DBC" w:rsidP="005F4A92">
            <w:pPr>
              <w:spacing w:after="0" w:line="240" w:lineRule="auto"/>
              <w:jc w:val="center"/>
              <w:rPr>
                <w:rFonts w:cs="Arial"/>
                <w:sz w:val="20"/>
                <w:szCs w:val="20"/>
                <w:lang w:val="es-ES"/>
              </w:rPr>
            </w:pPr>
            <w:r w:rsidRPr="00CF0F96">
              <w:rPr>
                <w:rFonts w:cs="Arial"/>
                <w:sz w:val="20"/>
                <w:szCs w:val="20"/>
                <w:lang w:val="es-ES"/>
              </w:rPr>
              <w:t>73,743.31</w:t>
            </w:r>
          </w:p>
        </w:tc>
        <w:tc>
          <w:tcPr>
            <w:tcW w:w="3245" w:type="dxa"/>
            <w:gridSpan w:val="2"/>
          </w:tcPr>
          <w:p w14:paraId="5158AF80" w14:textId="77777777" w:rsidR="006A3DBC" w:rsidRPr="00CF0F96" w:rsidRDefault="006A3DBC" w:rsidP="001B16AB">
            <w:pPr>
              <w:spacing w:after="0" w:line="240" w:lineRule="auto"/>
              <w:jc w:val="both"/>
              <w:rPr>
                <w:rFonts w:cs="Arial"/>
                <w:i/>
                <w:iCs/>
                <w:sz w:val="20"/>
                <w:szCs w:val="20"/>
                <w:lang w:val="es-ES"/>
              </w:rPr>
            </w:pPr>
            <w:r w:rsidRPr="00CF0F96">
              <w:rPr>
                <w:rFonts w:cs="Arial"/>
                <w:i/>
                <w:iCs/>
                <w:sz w:val="20"/>
                <w:szCs w:val="20"/>
                <w:lang w:val="es-ES"/>
              </w:rPr>
              <w:t>Bolitoglossa longissima</w:t>
            </w:r>
          </w:p>
        </w:tc>
      </w:tr>
      <w:tr w:rsidR="00CF0F96" w:rsidRPr="00CF0F96" w14:paraId="4520C5E6" w14:textId="77777777" w:rsidTr="005F4A92">
        <w:trPr>
          <w:trHeight w:val="300"/>
          <w:jc w:val="center"/>
        </w:trPr>
        <w:tc>
          <w:tcPr>
            <w:tcW w:w="673" w:type="dxa"/>
            <w:tcMar>
              <w:top w:w="0" w:type="dxa"/>
              <w:left w:w="45" w:type="dxa"/>
              <w:bottom w:w="0" w:type="dxa"/>
              <w:right w:w="45" w:type="dxa"/>
            </w:tcMar>
            <w:vAlign w:val="center"/>
            <w:hideMark/>
          </w:tcPr>
          <w:p w14:paraId="1EA776F4" w14:textId="77777777" w:rsidR="006A3DBC" w:rsidRPr="00CF0F96" w:rsidRDefault="006A3DBC" w:rsidP="00811CA8">
            <w:pPr>
              <w:pStyle w:val="Prrafodelista"/>
              <w:numPr>
                <w:ilvl w:val="0"/>
                <w:numId w:val="68"/>
              </w:numPr>
              <w:spacing w:after="0" w:line="240" w:lineRule="auto"/>
              <w:jc w:val="right"/>
              <w:rPr>
                <w:rFonts w:cs="Arial"/>
                <w:sz w:val="20"/>
                <w:szCs w:val="20"/>
                <w:lang w:val="es-ES"/>
              </w:rPr>
            </w:pPr>
          </w:p>
        </w:tc>
        <w:tc>
          <w:tcPr>
            <w:tcW w:w="3048" w:type="dxa"/>
            <w:tcMar>
              <w:top w:w="0" w:type="dxa"/>
              <w:left w:w="45" w:type="dxa"/>
              <w:bottom w:w="0" w:type="dxa"/>
              <w:right w:w="45" w:type="dxa"/>
            </w:tcMar>
            <w:vAlign w:val="center"/>
          </w:tcPr>
          <w:p w14:paraId="198B35E6" w14:textId="77777777" w:rsidR="006A3DBC" w:rsidRPr="00CF0F96" w:rsidRDefault="006A3DBC" w:rsidP="005F4A92">
            <w:pPr>
              <w:spacing w:after="0" w:line="240" w:lineRule="auto"/>
              <w:jc w:val="both"/>
              <w:rPr>
                <w:rFonts w:cs="Arial"/>
                <w:sz w:val="20"/>
                <w:szCs w:val="20"/>
                <w:lang w:val="es-ES"/>
              </w:rPr>
            </w:pPr>
            <w:r w:rsidRPr="00CF0F96">
              <w:rPr>
                <w:rFonts w:cs="Arial"/>
                <w:sz w:val="20"/>
                <w:szCs w:val="20"/>
                <w:lang w:val="es-ES"/>
              </w:rPr>
              <w:t>Sierra de Omoa-Cusuco</w:t>
            </w:r>
          </w:p>
        </w:tc>
        <w:tc>
          <w:tcPr>
            <w:tcW w:w="1669" w:type="dxa"/>
            <w:gridSpan w:val="2"/>
          </w:tcPr>
          <w:p w14:paraId="0C9F886F" w14:textId="77777777" w:rsidR="006A3DBC" w:rsidRPr="00CF0F96" w:rsidRDefault="006A3DBC" w:rsidP="005F4A92">
            <w:pPr>
              <w:spacing w:after="0" w:line="240" w:lineRule="auto"/>
              <w:jc w:val="center"/>
              <w:rPr>
                <w:rFonts w:cs="Arial"/>
                <w:sz w:val="20"/>
                <w:szCs w:val="20"/>
                <w:lang w:val="es-ES"/>
              </w:rPr>
            </w:pPr>
            <w:r w:rsidRPr="00CF0F96">
              <w:rPr>
                <w:rFonts w:cs="Arial"/>
                <w:sz w:val="20"/>
                <w:szCs w:val="20"/>
                <w:lang w:val="es-ES"/>
              </w:rPr>
              <w:t>45,984.00</w:t>
            </w:r>
          </w:p>
        </w:tc>
        <w:tc>
          <w:tcPr>
            <w:tcW w:w="3245" w:type="dxa"/>
            <w:gridSpan w:val="2"/>
          </w:tcPr>
          <w:p w14:paraId="5F41AF90" w14:textId="77777777" w:rsidR="006A3DBC" w:rsidRPr="00CF0F96" w:rsidRDefault="006A3DBC" w:rsidP="001B16AB">
            <w:pPr>
              <w:autoSpaceDE w:val="0"/>
              <w:autoSpaceDN w:val="0"/>
              <w:adjustRightInd w:val="0"/>
              <w:spacing w:after="0" w:line="240" w:lineRule="auto"/>
              <w:jc w:val="both"/>
              <w:rPr>
                <w:rFonts w:cs="Arial"/>
                <w:i/>
                <w:iCs/>
                <w:sz w:val="20"/>
                <w:szCs w:val="20"/>
                <w:lang w:val="es-ES"/>
              </w:rPr>
            </w:pPr>
            <w:r w:rsidRPr="00CF0F96">
              <w:rPr>
                <w:rFonts w:cs="Arial"/>
                <w:i/>
                <w:iCs/>
                <w:sz w:val="20"/>
                <w:szCs w:val="20"/>
                <w:lang w:val="es-ES"/>
              </w:rPr>
              <w:t>Bolitoglossa diaphora, Craugastor</w:t>
            </w:r>
          </w:p>
          <w:p w14:paraId="75F90BB7" w14:textId="77777777" w:rsidR="006A3DBC" w:rsidRPr="00CF0F96" w:rsidRDefault="006A3DBC" w:rsidP="001B16AB">
            <w:pPr>
              <w:autoSpaceDE w:val="0"/>
              <w:autoSpaceDN w:val="0"/>
              <w:adjustRightInd w:val="0"/>
              <w:spacing w:after="0" w:line="240" w:lineRule="auto"/>
              <w:jc w:val="both"/>
              <w:rPr>
                <w:rFonts w:cs="Arial"/>
                <w:i/>
                <w:iCs/>
                <w:sz w:val="20"/>
                <w:szCs w:val="20"/>
                <w:lang w:val="es-ES"/>
              </w:rPr>
            </w:pPr>
            <w:r w:rsidRPr="00CF0F96">
              <w:rPr>
                <w:rFonts w:cs="Arial"/>
                <w:i/>
                <w:iCs/>
                <w:sz w:val="20"/>
                <w:szCs w:val="20"/>
                <w:lang w:val="es-ES"/>
              </w:rPr>
              <w:t>merendonensis, C. omoensis,</w:t>
            </w:r>
          </w:p>
          <w:p w14:paraId="6E43549A" w14:textId="77777777" w:rsidR="006A3DBC" w:rsidRPr="00CF0F96" w:rsidRDefault="006A3DBC" w:rsidP="001B16AB">
            <w:pPr>
              <w:autoSpaceDE w:val="0"/>
              <w:autoSpaceDN w:val="0"/>
              <w:adjustRightInd w:val="0"/>
              <w:spacing w:after="0" w:line="240" w:lineRule="auto"/>
              <w:jc w:val="both"/>
              <w:rPr>
                <w:rFonts w:cs="Arial"/>
                <w:i/>
                <w:iCs/>
                <w:sz w:val="20"/>
                <w:szCs w:val="20"/>
                <w:lang w:val="es-ES"/>
              </w:rPr>
            </w:pPr>
            <w:r w:rsidRPr="00CF0F96">
              <w:rPr>
                <w:rFonts w:cs="Arial"/>
                <w:i/>
                <w:iCs/>
                <w:sz w:val="20"/>
                <w:szCs w:val="20"/>
                <w:lang w:val="es-ES"/>
              </w:rPr>
              <w:t>Oedipina tomasi, Plectrohyla</w:t>
            </w:r>
          </w:p>
          <w:p w14:paraId="28119228" w14:textId="77777777" w:rsidR="006A3DBC" w:rsidRPr="00CF0F96" w:rsidRDefault="006A3DBC" w:rsidP="001B16AB">
            <w:pPr>
              <w:spacing w:after="0" w:line="240" w:lineRule="auto"/>
              <w:jc w:val="both"/>
              <w:rPr>
                <w:rFonts w:cs="Arial"/>
                <w:i/>
                <w:iCs/>
                <w:sz w:val="20"/>
                <w:szCs w:val="20"/>
                <w:lang w:val="es-ES"/>
              </w:rPr>
            </w:pPr>
            <w:r w:rsidRPr="00CF0F96">
              <w:rPr>
                <w:rFonts w:cs="Arial"/>
                <w:i/>
                <w:iCs/>
                <w:sz w:val="20"/>
                <w:szCs w:val="20"/>
                <w:lang w:val="es-ES"/>
              </w:rPr>
              <w:t>dasypus, P. esquisita</w:t>
            </w:r>
          </w:p>
        </w:tc>
      </w:tr>
      <w:tr w:rsidR="00CF0F96" w:rsidRPr="00CF0F96" w14:paraId="06D1FA83" w14:textId="77777777" w:rsidTr="005F4A92">
        <w:trPr>
          <w:trHeight w:val="300"/>
          <w:jc w:val="center"/>
        </w:trPr>
        <w:tc>
          <w:tcPr>
            <w:tcW w:w="673" w:type="dxa"/>
            <w:tcMar>
              <w:top w:w="0" w:type="dxa"/>
              <w:left w:w="45" w:type="dxa"/>
              <w:bottom w:w="0" w:type="dxa"/>
              <w:right w:w="45" w:type="dxa"/>
            </w:tcMar>
            <w:vAlign w:val="center"/>
            <w:hideMark/>
          </w:tcPr>
          <w:p w14:paraId="1554D955" w14:textId="77777777" w:rsidR="006A3DBC" w:rsidRPr="00CF0F96" w:rsidRDefault="006A3DBC" w:rsidP="00811CA8">
            <w:pPr>
              <w:pStyle w:val="Prrafodelista"/>
              <w:numPr>
                <w:ilvl w:val="0"/>
                <w:numId w:val="68"/>
              </w:numPr>
              <w:spacing w:after="0" w:line="240" w:lineRule="auto"/>
              <w:jc w:val="right"/>
              <w:rPr>
                <w:rFonts w:cs="Arial"/>
                <w:sz w:val="20"/>
                <w:szCs w:val="20"/>
                <w:lang w:val="es-ES"/>
              </w:rPr>
            </w:pPr>
          </w:p>
        </w:tc>
        <w:tc>
          <w:tcPr>
            <w:tcW w:w="3048" w:type="dxa"/>
            <w:tcMar>
              <w:top w:w="0" w:type="dxa"/>
              <w:left w:w="45" w:type="dxa"/>
              <w:bottom w:w="0" w:type="dxa"/>
              <w:right w:w="45" w:type="dxa"/>
            </w:tcMar>
            <w:vAlign w:val="center"/>
          </w:tcPr>
          <w:p w14:paraId="73223E02" w14:textId="77777777" w:rsidR="006A3DBC" w:rsidRPr="00CF0F96" w:rsidRDefault="006A3DBC" w:rsidP="005F4A92">
            <w:pPr>
              <w:spacing w:after="0" w:line="240" w:lineRule="auto"/>
              <w:jc w:val="both"/>
              <w:rPr>
                <w:rFonts w:cs="Arial"/>
                <w:sz w:val="20"/>
                <w:szCs w:val="20"/>
                <w:lang w:val="es-ES"/>
              </w:rPr>
            </w:pPr>
            <w:r w:rsidRPr="00CF0F96">
              <w:rPr>
                <w:rFonts w:cs="Arial"/>
                <w:sz w:val="20"/>
                <w:szCs w:val="20"/>
                <w:lang w:val="es-ES"/>
              </w:rPr>
              <w:t>Texiguat</w:t>
            </w:r>
          </w:p>
        </w:tc>
        <w:tc>
          <w:tcPr>
            <w:tcW w:w="1669" w:type="dxa"/>
            <w:gridSpan w:val="2"/>
          </w:tcPr>
          <w:p w14:paraId="03B1D269" w14:textId="77777777" w:rsidR="006A3DBC" w:rsidRPr="00CF0F96" w:rsidRDefault="006A3DBC" w:rsidP="005F4A92">
            <w:pPr>
              <w:spacing w:after="0" w:line="240" w:lineRule="auto"/>
              <w:jc w:val="center"/>
              <w:rPr>
                <w:rFonts w:cs="Arial"/>
                <w:sz w:val="20"/>
                <w:szCs w:val="20"/>
                <w:lang w:val="es-ES"/>
              </w:rPr>
            </w:pPr>
            <w:r w:rsidRPr="00CF0F96">
              <w:rPr>
                <w:rFonts w:cs="Arial"/>
                <w:sz w:val="20"/>
                <w:szCs w:val="20"/>
                <w:lang w:val="es-ES"/>
              </w:rPr>
              <w:t>31,554.94</w:t>
            </w:r>
          </w:p>
        </w:tc>
        <w:tc>
          <w:tcPr>
            <w:tcW w:w="3245" w:type="dxa"/>
            <w:gridSpan w:val="2"/>
          </w:tcPr>
          <w:p w14:paraId="57E1A709" w14:textId="77777777" w:rsidR="006A3DBC" w:rsidRPr="00CF0F96" w:rsidRDefault="006A3DBC" w:rsidP="001B16AB">
            <w:pPr>
              <w:spacing w:after="0" w:line="240" w:lineRule="auto"/>
              <w:jc w:val="both"/>
              <w:rPr>
                <w:rFonts w:cs="Arial"/>
                <w:i/>
                <w:iCs/>
                <w:sz w:val="20"/>
                <w:szCs w:val="20"/>
                <w:lang w:val="es-ES"/>
              </w:rPr>
            </w:pPr>
            <w:r w:rsidRPr="00CF0F96">
              <w:rPr>
                <w:rFonts w:cs="Arial"/>
                <w:i/>
                <w:iCs/>
                <w:sz w:val="20"/>
                <w:szCs w:val="20"/>
                <w:lang w:val="es-ES"/>
              </w:rPr>
              <w:t>Isthmohyla insolita</w:t>
            </w:r>
          </w:p>
        </w:tc>
      </w:tr>
      <w:tr w:rsidR="00CF0F96" w:rsidRPr="00CF0F96" w14:paraId="63A6C068" w14:textId="77777777" w:rsidTr="005F4A92">
        <w:trPr>
          <w:trHeight w:val="300"/>
          <w:jc w:val="center"/>
        </w:trPr>
        <w:tc>
          <w:tcPr>
            <w:tcW w:w="3732" w:type="dxa"/>
            <w:gridSpan w:val="3"/>
            <w:tcMar>
              <w:top w:w="0" w:type="dxa"/>
              <w:left w:w="45" w:type="dxa"/>
              <w:bottom w:w="0" w:type="dxa"/>
              <w:right w:w="45" w:type="dxa"/>
            </w:tcMar>
            <w:vAlign w:val="center"/>
          </w:tcPr>
          <w:p w14:paraId="408418D4" w14:textId="77777777" w:rsidR="006A3DBC" w:rsidRPr="00CF0F96" w:rsidRDefault="006A3DBC" w:rsidP="005F4A92">
            <w:pPr>
              <w:spacing w:after="0" w:line="240" w:lineRule="auto"/>
              <w:jc w:val="both"/>
              <w:rPr>
                <w:rFonts w:cs="Arial"/>
                <w:b/>
                <w:bCs/>
                <w:sz w:val="20"/>
                <w:szCs w:val="20"/>
                <w:lang w:val="es-ES"/>
              </w:rPr>
            </w:pPr>
            <w:r w:rsidRPr="00CF0F96">
              <w:rPr>
                <w:rFonts w:cs="Arial"/>
                <w:b/>
                <w:bCs/>
                <w:sz w:val="20"/>
                <w:szCs w:val="20"/>
                <w:lang w:val="es-ES"/>
              </w:rPr>
              <w:t xml:space="preserve">Total </w:t>
            </w:r>
          </w:p>
        </w:tc>
        <w:tc>
          <w:tcPr>
            <w:tcW w:w="1669" w:type="dxa"/>
            <w:gridSpan w:val="2"/>
          </w:tcPr>
          <w:p w14:paraId="26B9616C" w14:textId="77777777" w:rsidR="006A3DBC" w:rsidRPr="00CF0F96" w:rsidRDefault="006A3DBC" w:rsidP="001B16AB">
            <w:pPr>
              <w:spacing w:after="0" w:line="240" w:lineRule="auto"/>
              <w:jc w:val="center"/>
              <w:rPr>
                <w:rFonts w:cs="Arial"/>
                <w:b/>
                <w:bCs/>
                <w:sz w:val="20"/>
                <w:szCs w:val="20"/>
                <w:lang w:val="es-ES"/>
              </w:rPr>
            </w:pPr>
            <w:r w:rsidRPr="00CF0F96">
              <w:rPr>
                <w:rFonts w:cs="Arial"/>
                <w:b/>
                <w:bCs/>
                <w:sz w:val="20"/>
                <w:szCs w:val="20"/>
                <w:lang w:val="es-ES"/>
              </w:rPr>
              <w:t>1,252,065.21</w:t>
            </w:r>
          </w:p>
        </w:tc>
        <w:tc>
          <w:tcPr>
            <w:tcW w:w="3234" w:type="dxa"/>
          </w:tcPr>
          <w:p w14:paraId="30DB2EFF" w14:textId="77777777" w:rsidR="006A3DBC" w:rsidRPr="00CF0F96" w:rsidRDefault="006A3DBC" w:rsidP="001B16AB">
            <w:pPr>
              <w:spacing w:after="0" w:line="240" w:lineRule="auto"/>
              <w:jc w:val="both"/>
              <w:rPr>
                <w:rFonts w:cs="Arial"/>
                <w:sz w:val="20"/>
                <w:szCs w:val="20"/>
                <w:lang w:val="es-ES"/>
              </w:rPr>
            </w:pPr>
          </w:p>
        </w:tc>
      </w:tr>
    </w:tbl>
    <w:p w14:paraId="0F303279" w14:textId="77777777" w:rsidR="006A3DBC" w:rsidRPr="00E11023" w:rsidRDefault="006A3DBC" w:rsidP="006A3DBC">
      <w:pPr>
        <w:spacing w:after="0" w:line="240" w:lineRule="auto"/>
        <w:rPr>
          <w:rFonts w:cs="Arial"/>
          <w:sz w:val="20"/>
          <w:szCs w:val="20"/>
          <w:shd w:val="clear" w:color="auto" w:fill="FFFFFF"/>
        </w:rPr>
      </w:pPr>
      <w:r w:rsidRPr="00E11023">
        <w:rPr>
          <w:rFonts w:cs="Arial"/>
          <w:sz w:val="20"/>
          <w:szCs w:val="20"/>
          <w:shd w:val="clear" w:color="auto" w:fill="FFFFFF"/>
        </w:rPr>
        <w:t xml:space="preserve">      </w:t>
      </w:r>
      <w:r w:rsidRPr="00E11023">
        <w:rPr>
          <w:rFonts w:cs="Arial"/>
          <w:b/>
          <w:bCs/>
          <w:sz w:val="20"/>
          <w:szCs w:val="20"/>
          <w:shd w:val="clear" w:color="auto" w:fill="FFFFFF"/>
        </w:rPr>
        <w:t>Fuente</w:t>
      </w:r>
      <w:r w:rsidRPr="00E11023">
        <w:rPr>
          <w:rFonts w:cs="Arial"/>
          <w:sz w:val="20"/>
          <w:szCs w:val="20"/>
          <w:shd w:val="clear" w:color="auto" w:fill="FFFFFF"/>
        </w:rPr>
        <w:t>: MiAmbiente. 2018.</w:t>
      </w:r>
    </w:p>
    <w:p w14:paraId="470CF385" w14:textId="77777777" w:rsidR="006A3DBC" w:rsidRPr="00FA4B2D" w:rsidRDefault="006A3DBC" w:rsidP="006A3DBC">
      <w:pPr>
        <w:spacing w:after="0" w:line="240" w:lineRule="auto"/>
        <w:rPr>
          <w:rFonts w:cs="Arial"/>
          <w:shd w:val="clear" w:color="auto" w:fill="FFFFFF"/>
        </w:rPr>
      </w:pPr>
    </w:p>
    <w:p w14:paraId="7E86AAAB" w14:textId="5F60B7EB" w:rsidR="00E11023" w:rsidRDefault="00E11023" w:rsidP="00E11023">
      <w:pPr>
        <w:pStyle w:val="Descripcin"/>
        <w:keepNext/>
        <w:jc w:val="center"/>
      </w:pPr>
      <w:bookmarkStart w:id="323" w:name="_Toc202455569"/>
      <w:r>
        <w:t xml:space="preserve">Ilustración </w:t>
      </w:r>
      <w:r>
        <w:fldChar w:fldCharType="begin"/>
      </w:r>
      <w:r>
        <w:instrText xml:space="preserve"> SEQ Ilustración \* ARABIC </w:instrText>
      </w:r>
      <w:r>
        <w:fldChar w:fldCharType="separate"/>
      </w:r>
      <w:r w:rsidR="00F94AC4">
        <w:rPr>
          <w:noProof/>
        </w:rPr>
        <w:t>7</w:t>
      </w:r>
      <w:r>
        <w:fldChar w:fldCharType="end"/>
      </w:r>
      <w:r>
        <w:t xml:space="preserve">: </w:t>
      </w:r>
      <w:r w:rsidRPr="00AD34F6">
        <w:t>Mapa de Sitios Propuestos por la Alianza Cero Extinción</w:t>
      </w:r>
      <w:bookmarkEnd w:id="323"/>
    </w:p>
    <w:p w14:paraId="78B34968" w14:textId="77777777" w:rsidR="006A3DBC" w:rsidRPr="00FA4B2D" w:rsidRDefault="006A3DBC" w:rsidP="006A3DBC">
      <w:pPr>
        <w:spacing w:after="0" w:line="240" w:lineRule="auto"/>
        <w:jc w:val="center"/>
        <w:rPr>
          <w:rFonts w:cs="Arial"/>
          <w:shd w:val="clear" w:color="auto" w:fill="FFFFFF"/>
        </w:rPr>
      </w:pPr>
      <w:r w:rsidRPr="00FA4B2D">
        <w:rPr>
          <w:rFonts w:cs="Arial"/>
          <w:noProof/>
          <w:lang w:val="es-HN" w:eastAsia="es-HN"/>
        </w:rPr>
        <w:drawing>
          <wp:inline distT="0" distB="0" distL="0" distR="0" wp14:anchorId="2C663C47" wp14:editId="2EC11B33">
            <wp:extent cx="4923155" cy="30099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27444" cy="3012522"/>
                    </a:xfrm>
                    <a:prstGeom prst="rect">
                      <a:avLst/>
                    </a:prstGeom>
                    <a:noFill/>
                    <a:ln>
                      <a:noFill/>
                    </a:ln>
                  </pic:spPr>
                </pic:pic>
              </a:graphicData>
            </a:graphic>
          </wp:inline>
        </w:drawing>
      </w:r>
    </w:p>
    <w:p w14:paraId="11142088" w14:textId="77777777" w:rsidR="006A3DBC" w:rsidRPr="00FA4B2D" w:rsidRDefault="006A3DBC" w:rsidP="006A3DBC">
      <w:pPr>
        <w:pStyle w:val="Sinespaciado"/>
        <w:ind w:left="708"/>
        <w:rPr>
          <w:rFonts w:ascii="Arial" w:hAnsi="Arial" w:cs="Arial"/>
          <w:color w:val="767171" w:themeColor="background2" w:themeShade="80"/>
          <w:sz w:val="18"/>
          <w:szCs w:val="18"/>
        </w:rPr>
      </w:pPr>
      <w:r w:rsidRPr="00FA4B2D">
        <w:rPr>
          <w:rFonts w:ascii="Arial" w:hAnsi="Arial" w:cs="Arial"/>
          <w:b/>
          <w:bCs/>
          <w:color w:val="767171" w:themeColor="background2" w:themeShade="80"/>
          <w:sz w:val="18"/>
          <w:szCs w:val="18"/>
        </w:rPr>
        <w:t>Fuente</w:t>
      </w:r>
      <w:r w:rsidRPr="00FA4B2D">
        <w:rPr>
          <w:rFonts w:ascii="Arial" w:hAnsi="Arial" w:cs="Arial"/>
          <w:color w:val="767171" w:themeColor="background2" w:themeShade="80"/>
          <w:sz w:val="18"/>
          <w:szCs w:val="18"/>
        </w:rPr>
        <w:t>: Galdámes, J.A., L.I. López, J.M. Mora y N.S. Ulloa. 2018.</w:t>
      </w:r>
    </w:p>
    <w:p w14:paraId="4C30BDB9" w14:textId="77777777" w:rsidR="006A3DBC" w:rsidRPr="00FA4B2D" w:rsidRDefault="006A3DBC" w:rsidP="006A3DBC">
      <w:pPr>
        <w:pStyle w:val="Sinespaciado"/>
        <w:rPr>
          <w:rFonts w:ascii="Arial" w:hAnsi="Arial" w:cs="Arial"/>
          <w:color w:val="767171" w:themeColor="background2" w:themeShade="80"/>
          <w:shd w:val="clear" w:color="auto" w:fill="FFFFFF"/>
        </w:rPr>
      </w:pPr>
    </w:p>
    <w:p w14:paraId="613771A6" w14:textId="77777777" w:rsidR="00D6295D" w:rsidRPr="00FA4B2D" w:rsidRDefault="00D6295D" w:rsidP="006A3DBC">
      <w:pPr>
        <w:pStyle w:val="Sinespaciado"/>
        <w:rPr>
          <w:rFonts w:ascii="Arial" w:hAnsi="Arial" w:cs="Arial"/>
          <w:color w:val="767171" w:themeColor="background2" w:themeShade="80"/>
          <w:shd w:val="clear" w:color="auto" w:fill="FFFFFF"/>
        </w:rPr>
      </w:pPr>
    </w:p>
    <w:p w14:paraId="04EB4484" w14:textId="77777777" w:rsidR="006A3DBC" w:rsidRPr="00FA4B2D" w:rsidRDefault="006A3DBC" w:rsidP="006A3DBC">
      <w:pPr>
        <w:spacing w:after="0" w:line="240" w:lineRule="auto"/>
        <w:ind w:left="864"/>
        <w:jc w:val="both"/>
        <w:rPr>
          <w:rFonts w:cs="Arial"/>
          <w:b/>
          <w:bCs/>
          <w:u w:val="single"/>
        </w:rPr>
      </w:pPr>
      <w:r w:rsidRPr="00FA4B2D">
        <w:rPr>
          <w:rFonts w:cs="Arial"/>
          <w:b/>
          <w:bCs/>
          <w:u w:val="single"/>
        </w:rPr>
        <w:t>Áreas Importantes para la Conservación de Aves (IBA)</w:t>
      </w:r>
    </w:p>
    <w:p w14:paraId="50B03B6B" w14:textId="77777777" w:rsidR="006A3DBC" w:rsidRPr="00FA4B2D" w:rsidRDefault="006A3DBC" w:rsidP="006A3DBC">
      <w:pPr>
        <w:spacing w:after="0" w:line="240" w:lineRule="auto"/>
        <w:jc w:val="both"/>
        <w:rPr>
          <w:rFonts w:cs="Arial"/>
          <w:shd w:val="clear" w:color="auto" w:fill="FFFFFF"/>
        </w:rPr>
      </w:pPr>
    </w:p>
    <w:p w14:paraId="13E44BF2" w14:textId="77777777" w:rsidR="006A3DBC" w:rsidRPr="00FA4B2D" w:rsidRDefault="006A3DBC" w:rsidP="006A3DBC">
      <w:pPr>
        <w:autoSpaceDE w:val="0"/>
        <w:autoSpaceDN w:val="0"/>
        <w:adjustRightInd w:val="0"/>
        <w:spacing w:after="0" w:line="240" w:lineRule="auto"/>
        <w:jc w:val="both"/>
        <w:rPr>
          <w:rFonts w:cs="Arial"/>
          <w:shd w:val="clear" w:color="auto" w:fill="FFFFFF"/>
        </w:rPr>
      </w:pPr>
      <w:r w:rsidRPr="00FA4B2D">
        <w:rPr>
          <w:rFonts w:cs="Arial"/>
          <w:lang w:val="es-HN"/>
        </w:rPr>
        <w:t>En total, se han propuesto 23 sitios como IBAs para 13 departamentos del país, con un área propuesta de más de 2 millones de hectáreas, lo que representa aproximadamente el 18% del territorio. La mayoría de las IBAs propuestas están dentro de áreas protegidas existentes, pero tres de ellas incluyen porciones que no tengan un estatus de área protegida</w:t>
      </w:r>
      <w:r w:rsidRPr="00FA4B2D">
        <w:rPr>
          <w:rStyle w:val="Refdenotaalpie"/>
          <w:rFonts w:cs="Arial"/>
          <w:lang w:val="es-ES"/>
        </w:rPr>
        <w:footnoteReference w:id="8"/>
      </w:r>
      <w:r w:rsidRPr="00FA4B2D">
        <w:rPr>
          <w:rFonts w:cs="Arial"/>
          <w:lang w:val="es-ES"/>
        </w:rPr>
        <w:t>.</w:t>
      </w:r>
    </w:p>
    <w:p w14:paraId="38422EBF" w14:textId="77777777" w:rsidR="006A3DBC" w:rsidRPr="00FA4B2D" w:rsidRDefault="006A3DBC" w:rsidP="006A3DBC">
      <w:pPr>
        <w:spacing w:after="0" w:line="240" w:lineRule="auto"/>
        <w:jc w:val="both"/>
        <w:rPr>
          <w:rFonts w:cs="Arial"/>
          <w:shd w:val="clear" w:color="auto" w:fill="FFFFFF"/>
        </w:rPr>
      </w:pPr>
    </w:p>
    <w:p w14:paraId="5E083931" w14:textId="77777777" w:rsidR="006A3DBC" w:rsidRPr="00FA4B2D" w:rsidRDefault="006A3DBC" w:rsidP="006A3DBC">
      <w:pPr>
        <w:spacing w:after="0" w:line="240" w:lineRule="auto"/>
        <w:jc w:val="both"/>
        <w:rPr>
          <w:rFonts w:cs="Arial"/>
          <w:lang w:val="es-HN"/>
        </w:rPr>
      </w:pPr>
      <w:r w:rsidRPr="00FA4B2D">
        <w:rPr>
          <w:rFonts w:cs="Arial"/>
          <w:lang w:val="es-HN"/>
        </w:rPr>
        <w:t xml:space="preserve">En la siguiente tabla, se listan las 20 IBA´s que se encuentran en el área de influencia de COMRURAL III. </w:t>
      </w:r>
    </w:p>
    <w:p w14:paraId="7C86E48A" w14:textId="77777777" w:rsidR="006A3DBC" w:rsidRPr="00FA4B2D" w:rsidRDefault="006A3DBC" w:rsidP="006A3DBC">
      <w:pPr>
        <w:spacing w:after="0" w:line="240" w:lineRule="auto"/>
        <w:jc w:val="both"/>
        <w:rPr>
          <w:rFonts w:cs="Arial"/>
          <w:lang w:val="es-HN"/>
        </w:rPr>
      </w:pPr>
    </w:p>
    <w:p w14:paraId="15D8D6DF" w14:textId="77777777" w:rsidR="006A3DBC" w:rsidRPr="00FA4B2D" w:rsidRDefault="006A3DBC" w:rsidP="006A3DBC">
      <w:pPr>
        <w:spacing w:after="0" w:line="240" w:lineRule="auto"/>
        <w:jc w:val="both"/>
        <w:rPr>
          <w:rFonts w:cs="Arial"/>
          <w:shd w:val="clear" w:color="auto" w:fill="FFFFFF"/>
        </w:rPr>
      </w:pPr>
    </w:p>
    <w:p w14:paraId="78A69618" w14:textId="40F5D4CD" w:rsidR="00E11023" w:rsidRDefault="00E11023" w:rsidP="00E11023">
      <w:pPr>
        <w:pStyle w:val="Descripcin"/>
        <w:keepNext/>
      </w:pPr>
      <w:bookmarkStart w:id="324" w:name="_Toc202455433"/>
      <w:r>
        <w:lastRenderedPageBreak/>
        <w:t xml:space="preserve">Tabla </w:t>
      </w:r>
      <w:r>
        <w:fldChar w:fldCharType="begin"/>
      </w:r>
      <w:r>
        <w:instrText xml:space="preserve"> SEQ Tabla \* ARABIC </w:instrText>
      </w:r>
      <w:r>
        <w:fldChar w:fldCharType="separate"/>
      </w:r>
      <w:r w:rsidR="000E6D86">
        <w:rPr>
          <w:noProof/>
        </w:rPr>
        <w:t>7</w:t>
      </w:r>
      <w:r>
        <w:fldChar w:fldCharType="end"/>
      </w:r>
      <w:r>
        <w:t xml:space="preserve">: </w:t>
      </w:r>
      <w:r w:rsidRPr="00843F5B">
        <w:t>Áreas de Importancia para la Conservación de Aves de Honduras (Propuestas)</w:t>
      </w:r>
      <w:bookmarkEnd w:id="324"/>
    </w:p>
    <w:tbl>
      <w:tblPr>
        <w:tblW w:w="4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2"/>
        <w:gridCol w:w="1271"/>
        <w:gridCol w:w="3119"/>
      </w:tblGrid>
      <w:tr w:rsidR="00CF0F96" w:rsidRPr="00CF0F96" w14:paraId="75C23E45" w14:textId="77777777" w:rsidTr="005F4A92">
        <w:trPr>
          <w:trHeight w:val="300"/>
          <w:tblHeader/>
          <w:jc w:val="center"/>
        </w:trPr>
        <w:tc>
          <w:tcPr>
            <w:tcW w:w="562" w:type="dxa"/>
            <w:shd w:val="clear" w:color="auto" w:fill="5CC5DA"/>
          </w:tcPr>
          <w:p w14:paraId="3A86F99A" w14:textId="77777777" w:rsidR="006A3DBC" w:rsidRPr="00CF0F96" w:rsidRDefault="006A3DBC" w:rsidP="005F4A92">
            <w:pPr>
              <w:spacing w:after="0" w:line="240" w:lineRule="auto"/>
              <w:jc w:val="center"/>
              <w:rPr>
                <w:rFonts w:cs="Arial"/>
                <w:b/>
                <w:bCs/>
                <w:sz w:val="20"/>
                <w:szCs w:val="20"/>
                <w:lang w:val="es-ES"/>
              </w:rPr>
            </w:pPr>
            <w:r w:rsidRPr="00CF0F96">
              <w:rPr>
                <w:rFonts w:cs="Arial"/>
                <w:b/>
                <w:bCs/>
                <w:sz w:val="20"/>
                <w:szCs w:val="20"/>
                <w:lang w:val="es-ES"/>
              </w:rPr>
              <w:t>No.</w:t>
            </w:r>
          </w:p>
        </w:tc>
        <w:tc>
          <w:tcPr>
            <w:tcW w:w="1271" w:type="dxa"/>
            <w:shd w:val="clear" w:color="auto" w:fill="5CC5DA"/>
            <w:tcMar>
              <w:top w:w="0" w:type="dxa"/>
              <w:left w:w="45" w:type="dxa"/>
              <w:bottom w:w="0" w:type="dxa"/>
              <w:right w:w="45" w:type="dxa"/>
            </w:tcMar>
            <w:vAlign w:val="center"/>
            <w:hideMark/>
          </w:tcPr>
          <w:p w14:paraId="67224C74" w14:textId="77777777" w:rsidR="006A3DBC" w:rsidRPr="00CF0F96" w:rsidRDefault="006A3DBC" w:rsidP="005F4A92">
            <w:pPr>
              <w:spacing w:after="0" w:line="240" w:lineRule="auto"/>
              <w:jc w:val="center"/>
              <w:rPr>
                <w:rFonts w:cs="Arial"/>
                <w:b/>
                <w:bCs/>
                <w:sz w:val="20"/>
                <w:szCs w:val="20"/>
                <w:lang w:val="es-ES"/>
              </w:rPr>
            </w:pPr>
            <w:r w:rsidRPr="00CF0F96">
              <w:rPr>
                <w:rFonts w:cs="Arial"/>
                <w:b/>
                <w:bCs/>
                <w:sz w:val="20"/>
                <w:szCs w:val="20"/>
                <w:lang w:val="es-ES"/>
              </w:rPr>
              <w:t xml:space="preserve">Código </w:t>
            </w:r>
          </w:p>
        </w:tc>
        <w:tc>
          <w:tcPr>
            <w:tcW w:w="3119" w:type="dxa"/>
            <w:shd w:val="clear" w:color="auto" w:fill="5CC5DA"/>
            <w:tcMar>
              <w:top w:w="0" w:type="dxa"/>
              <w:left w:w="45" w:type="dxa"/>
              <w:bottom w:w="0" w:type="dxa"/>
              <w:right w:w="45" w:type="dxa"/>
            </w:tcMar>
            <w:vAlign w:val="center"/>
            <w:hideMark/>
          </w:tcPr>
          <w:p w14:paraId="29DBF13B" w14:textId="77777777" w:rsidR="006A3DBC" w:rsidRPr="00CF0F96" w:rsidRDefault="006A3DBC" w:rsidP="005F4A92">
            <w:pPr>
              <w:spacing w:after="0" w:line="240" w:lineRule="auto"/>
              <w:jc w:val="center"/>
              <w:rPr>
                <w:rFonts w:cs="Arial"/>
                <w:b/>
                <w:bCs/>
                <w:sz w:val="20"/>
                <w:szCs w:val="20"/>
                <w:lang w:val="es-ES"/>
              </w:rPr>
            </w:pPr>
            <w:r w:rsidRPr="00CF0F96">
              <w:rPr>
                <w:rFonts w:cs="Arial"/>
                <w:b/>
                <w:bCs/>
                <w:sz w:val="20"/>
                <w:szCs w:val="20"/>
                <w:lang w:val="es-ES"/>
              </w:rPr>
              <w:t xml:space="preserve"> Nombre de la IBA</w:t>
            </w:r>
          </w:p>
        </w:tc>
      </w:tr>
      <w:tr w:rsidR="00CF0F96" w:rsidRPr="00CF0F96" w14:paraId="434423A1" w14:textId="77777777" w:rsidTr="005F4A92">
        <w:trPr>
          <w:trHeight w:val="300"/>
          <w:jc w:val="center"/>
        </w:trPr>
        <w:tc>
          <w:tcPr>
            <w:tcW w:w="562" w:type="dxa"/>
          </w:tcPr>
          <w:p w14:paraId="37DBD51A" w14:textId="77777777" w:rsidR="006A3DBC" w:rsidRPr="00CF0F96" w:rsidRDefault="006A3DBC" w:rsidP="00811CA8">
            <w:pPr>
              <w:pStyle w:val="Prrafodelista"/>
              <w:numPr>
                <w:ilvl w:val="0"/>
                <w:numId w:val="69"/>
              </w:numPr>
              <w:spacing w:after="0" w:line="240" w:lineRule="auto"/>
              <w:jc w:val="right"/>
              <w:rPr>
                <w:rFonts w:cs="Arial"/>
                <w:sz w:val="20"/>
                <w:szCs w:val="20"/>
                <w:lang w:val="es-ES"/>
              </w:rPr>
            </w:pPr>
          </w:p>
        </w:tc>
        <w:tc>
          <w:tcPr>
            <w:tcW w:w="1271" w:type="dxa"/>
            <w:tcMar>
              <w:top w:w="0" w:type="dxa"/>
              <w:left w:w="45" w:type="dxa"/>
              <w:bottom w:w="0" w:type="dxa"/>
              <w:right w:w="45" w:type="dxa"/>
            </w:tcMar>
            <w:vAlign w:val="center"/>
          </w:tcPr>
          <w:p w14:paraId="078B1FFD" w14:textId="77777777" w:rsidR="006A3DBC" w:rsidRPr="00CF0F96" w:rsidRDefault="006A3DBC" w:rsidP="005F4A92">
            <w:pPr>
              <w:pStyle w:val="Prrafodelista"/>
              <w:spacing w:after="0" w:line="240" w:lineRule="auto"/>
              <w:ind w:left="360"/>
              <w:jc w:val="both"/>
              <w:rPr>
                <w:rFonts w:cs="Arial"/>
                <w:sz w:val="20"/>
                <w:szCs w:val="20"/>
                <w:lang w:val="es-ES"/>
              </w:rPr>
            </w:pPr>
            <w:r w:rsidRPr="00CF0F96">
              <w:rPr>
                <w:rFonts w:cs="Arial"/>
                <w:sz w:val="20"/>
                <w:szCs w:val="20"/>
                <w:lang w:val="es-ES"/>
              </w:rPr>
              <w:t>HN003</w:t>
            </w:r>
          </w:p>
        </w:tc>
        <w:tc>
          <w:tcPr>
            <w:tcW w:w="3119" w:type="dxa"/>
            <w:tcMar>
              <w:top w:w="0" w:type="dxa"/>
              <w:left w:w="45" w:type="dxa"/>
              <w:bottom w:w="0" w:type="dxa"/>
              <w:right w:w="45" w:type="dxa"/>
            </w:tcMar>
            <w:vAlign w:val="center"/>
          </w:tcPr>
          <w:p w14:paraId="7F56E2B5" w14:textId="77777777" w:rsidR="006A3DBC" w:rsidRPr="00CF0F96" w:rsidRDefault="006A3DBC" w:rsidP="005F4A92">
            <w:pPr>
              <w:spacing w:after="0" w:line="240" w:lineRule="auto"/>
              <w:jc w:val="both"/>
              <w:rPr>
                <w:rFonts w:cs="Arial"/>
                <w:sz w:val="20"/>
                <w:szCs w:val="20"/>
                <w:lang w:val="es-ES"/>
              </w:rPr>
            </w:pPr>
            <w:r w:rsidRPr="00CF0F96">
              <w:rPr>
                <w:rFonts w:cs="Arial"/>
                <w:sz w:val="20"/>
                <w:szCs w:val="20"/>
                <w:lang w:val="es-ES"/>
              </w:rPr>
              <w:t>Jeanette Kawas</w:t>
            </w:r>
          </w:p>
        </w:tc>
      </w:tr>
      <w:tr w:rsidR="00CF0F96" w:rsidRPr="00CF0F96" w14:paraId="7B8ACEF5" w14:textId="77777777" w:rsidTr="005F4A92">
        <w:trPr>
          <w:trHeight w:val="300"/>
          <w:jc w:val="center"/>
        </w:trPr>
        <w:tc>
          <w:tcPr>
            <w:tcW w:w="562" w:type="dxa"/>
          </w:tcPr>
          <w:p w14:paraId="2817A44B" w14:textId="77777777" w:rsidR="006A3DBC" w:rsidRPr="00CF0F96" w:rsidRDefault="006A3DBC" w:rsidP="00811CA8">
            <w:pPr>
              <w:pStyle w:val="Prrafodelista"/>
              <w:numPr>
                <w:ilvl w:val="0"/>
                <w:numId w:val="69"/>
              </w:numPr>
              <w:spacing w:after="0" w:line="240" w:lineRule="auto"/>
              <w:jc w:val="right"/>
              <w:rPr>
                <w:rFonts w:cs="Arial"/>
                <w:sz w:val="20"/>
                <w:szCs w:val="20"/>
                <w:lang w:val="es-ES"/>
              </w:rPr>
            </w:pPr>
          </w:p>
        </w:tc>
        <w:tc>
          <w:tcPr>
            <w:tcW w:w="1271" w:type="dxa"/>
            <w:tcMar>
              <w:top w:w="0" w:type="dxa"/>
              <w:left w:w="45" w:type="dxa"/>
              <w:bottom w:w="0" w:type="dxa"/>
              <w:right w:w="45" w:type="dxa"/>
            </w:tcMar>
            <w:vAlign w:val="center"/>
          </w:tcPr>
          <w:p w14:paraId="2E068BB1" w14:textId="77777777" w:rsidR="006A3DBC" w:rsidRPr="00CF0F96" w:rsidRDefault="006A3DBC" w:rsidP="005F4A92">
            <w:pPr>
              <w:pStyle w:val="Prrafodelista"/>
              <w:spacing w:after="0" w:line="240" w:lineRule="auto"/>
              <w:ind w:left="360"/>
              <w:jc w:val="both"/>
              <w:rPr>
                <w:rFonts w:cs="Arial"/>
                <w:sz w:val="20"/>
                <w:szCs w:val="20"/>
                <w:lang w:val="es-ES"/>
              </w:rPr>
            </w:pPr>
            <w:r w:rsidRPr="00CF0F96">
              <w:rPr>
                <w:rFonts w:cs="Arial"/>
                <w:sz w:val="20"/>
                <w:szCs w:val="20"/>
                <w:lang w:val="es-ES"/>
              </w:rPr>
              <w:t>HN004</w:t>
            </w:r>
          </w:p>
        </w:tc>
        <w:tc>
          <w:tcPr>
            <w:tcW w:w="3119" w:type="dxa"/>
            <w:tcMar>
              <w:top w:w="0" w:type="dxa"/>
              <w:left w:w="45" w:type="dxa"/>
              <w:bottom w:w="0" w:type="dxa"/>
              <w:right w:w="45" w:type="dxa"/>
            </w:tcMar>
            <w:vAlign w:val="center"/>
          </w:tcPr>
          <w:p w14:paraId="4C29D2DA" w14:textId="77777777" w:rsidR="006A3DBC" w:rsidRPr="00CF0F96" w:rsidRDefault="006A3DBC" w:rsidP="005F4A92">
            <w:pPr>
              <w:spacing w:after="0" w:line="240" w:lineRule="auto"/>
              <w:jc w:val="both"/>
              <w:rPr>
                <w:rFonts w:cs="Arial"/>
                <w:sz w:val="20"/>
                <w:szCs w:val="20"/>
                <w:lang w:val="es-ES"/>
              </w:rPr>
            </w:pPr>
            <w:r w:rsidRPr="00CF0F96">
              <w:rPr>
                <w:rFonts w:cs="Arial"/>
                <w:sz w:val="20"/>
                <w:szCs w:val="20"/>
                <w:lang w:val="es-ES"/>
              </w:rPr>
              <w:t>Cuero y Salado</w:t>
            </w:r>
          </w:p>
        </w:tc>
      </w:tr>
      <w:tr w:rsidR="00CF0F96" w:rsidRPr="00CF0F96" w14:paraId="7B398690" w14:textId="77777777" w:rsidTr="005F4A92">
        <w:trPr>
          <w:trHeight w:val="300"/>
          <w:jc w:val="center"/>
        </w:trPr>
        <w:tc>
          <w:tcPr>
            <w:tcW w:w="562" w:type="dxa"/>
          </w:tcPr>
          <w:p w14:paraId="17327E13" w14:textId="77777777" w:rsidR="006A3DBC" w:rsidRPr="00CF0F96" w:rsidRDefault="006A3DBC" w:rsidP="00811CA8">
            <w:pPr>
              <w:pStyle w:val="Prrafodelista"/>
              <w:numPr>
                <w:ilvl w:val="0"/>
                <w:numId w:val="69"/>
              </w:numPr>
              <w:spacing w:after="0" w:line="240" w:lineRule="auto"/>
              <w:jc w:val="right"/>
              <w:rPr>
                <w:rFonts w:cs="Arial"/>
                <w:sz w:val="20"/>
                <w:szCs w:val="20"/>
                <w:lang w:val="es-ES"/>
              </w:rPr>
            </w:pPr>
          </w:p>
        </w:tc>
        <w:tc>
          <w:tcPr>
            <w:tcW w:w="1271" w:type="dxa"/>
            <w:tcMar>
              <w:top w:w="0" w:type="dxa"/>
              <w:left w:w="45" w:type="dxa"/>
              <w:bottom w:w="0" w:type="dxa"/>
              <w:right w:w="45" w:type="dxa"/>
            </w:tcMar>
            <w:vAlign w:val="center"/>
          </w:tcPr>
          <w:p w14:paraId="071B5621" w14:textId="77777777" w:rsidR="006A3DBC" w:rsidRPr="00CF0F96" w:rsidRDefault="006A3DBC" w:rsidP="005F4A92">
            <w:pPr>
              <w:pStyle w:val="Prrafodelista"/>
              <w:spacing w:after="0" w:line="240" w:lineRule="auto"/>
              <w:ind w:left="360"/>
              <w:jc w:val="both"/>
              <w:rPr>
                <w:rFonts w:cs="Arial"/>
                <w:sz w:val="20"/>
                <w:szCs w:val="20"/>
                <w:lang w:val="es-ES"/>
              </w:rPr>
            </w:pPr>
            <w:r w:rsidRPr="00CF0F96">
              <w:rPr>
                <w:rFonts w:cs="Arial"/>
                <w:sz w:val="20"/>
                <w:szCs w:val="20"/>
                <w:lang w:val="es-ES"/>
              </w:rPr>
              <w:t>HN005</w:t>
            </w:r>
          </w:p>
        </w:tc>
        <w:tc>
          <w:tcPr>
            <w:tcW w:w="3119" w:type="dxa"/>
            <w:tcMar>
              <w:top w:w="0" w:type="dxa"/>
              <w:left w:w="45" w:type="dxa"/>
              <w:bottom w:w="0" w:type="dxa"/>
              <w:right w:w="45" w:type="dxa"/>
            </w:tcMar>
            <w:vAlign w:val="center"/>
          </w:tcPr>
          <w:p w14:paraId="3EC3DE72" w14:textId="77777777" w:rsidR="006A3DBC" w:rsidRPr="00CF0F96" w:rsidRDefault="006A3DBC" w:rsidP="005F4A92">
            <w:pPr>
              <w:spacing w:after="0" w:line="240" w:lineRule="auto"/>
              <w:jc w:val="both"/>
              <w:rPr>
                <w:rFonts w:cs="Arial"/>
                <w:sz w:val="20"/>
                <w:szCs w:val="20"/>
                <w:lang w:val="es-ES"/>
              </w:rPr>
            </w:pPr>
            <w:r w:rsidRPr="00CF0F96">
              <w:rPr>
                <w:rFonts w:cs="Arial"/>
                <w:sz w:val="20"/>
                <w:szCs w:val="20"/>
                <w:lang w:val="es-ES"/>
              </w:rPr>
              <w:t>Pico Bonito</w:t>
            </w:r>
          </w:p>
        </w:tc>
      </w:tr>
      <w:tr w:rsidR="00CF0F96" w:rsidRPr="00CF0F96" w14:paraId="0F6C3F3A" w14:textId="77777777" w:rsidTr="005F4A92">
        <w:trPr>
          <w:trHeight w:val="300"/>
          <w:jc w:val="center"/>
        </w:trPr>
        <w:tc>
          <w:tcPr>
            <w:tcW w:w="562" w:type="dxa"/>
          </w:tcPr>
          <w:p w14:paraId="68EC49A1" w14:textId="77777777" w:rsidR="006A3DBC" w:rsidRPr="00CF0F96" w:rsidRDefault="006A3DBC" w:rsidP="00811CA8">
            <w:pPr>
              <w:pStyle w:val="Prrafodelista"/>
              <w:numPr>
                <w:ilvl w:val="0"/>
                <w:numId w:val="69"/>
              </w:numPr>
              <w:spacing w:after="0" w:line="240" w:lineRule="auto"/>
              <w:jc w:val="right"/>
              <w:rPr>
                <w:rFonts w:cs="Arial"/>
                <w:sz w:val="20"/>
                <w:szCs w:val="20"/>
                <w:lang w:val="es-ES"/>
              </w:rPr>
            </w:pPr>
          </w:p>
        </w:tc>
        <w:tc>
          <w:tcPr>
            <w:tcW w:w="1271" w:type="dxa"/>
            <w:tcMar>
              <w:top w:w="0" w:type="dxa"/>
              <w:left w:w="45" w:type="dxa"/>
              <w:bottom w:w="0" w:type="dxa"/>
              <w:right w:w="45" w:type="dxa"/>
            </w:tcMar>
            <w:vAlign w:val="center"/>
          </w:tcPr>
          <w:p w14:paraId="4BD1A77D" w14:textId="77777777" w:rsidR="006A3DBC" w:rsidRPr="00CF0F96" w:rsidDel="005917AC" w:rsidRDefault="006A3DBC" w:rsidP="005F4A92">
            <w:pPr>
              <w:pStyle w:val="Prrafodelista"/>
              <w:spacing w:after="0" w:line="240" w:lineRule="auto"/>
              <w:ind w:left="360"/>
              <w:jc w:val="both"/>
              <w:rPr>
                <w:rFonts w:cs="Arial"/>
                <w:sz w:val="20"/>
                <w:szCs w:val="20"/>
                <w:lang w:val="es-ES"/>
              </w:rPr>
            </w:pPr>
            <w:r w:rsidRPr="00CF0F96">
              <w:rPr>
                <w:rFonts w:cs="Arial"/>
                <w:sz w:val="20"/>
                <w:szCs w:val="20"/>
                <w:lang w:val="es-ES"/>
              </w:rPr>
              <w:t>HN006</w:t>
            </w:r>
          </w:p>
        </w:tc>
        <w:tc>
          <w:tcPr>
            <w:tcW w:w="3119" w:type="dxa"/>
            <w:tcMar>
              <w:top w:w="0" w:type="dxa"/>
              <w:left w:w="45" w:type="dxa"/>
              <w:bottom w:w="0" w:type="dxa"/>
              <w:right w:w="45" w:type="dxa"/>
            </w:tcMar>
            <w:vAlign w:val="center"/>
          </w:tcPr>
          <w:p w14:paraId="451345DE" w14:textId="77777777" w:rsidR="006A3DBC" w:rsidRPr="00CF0F96" w:rsidDel="005917AC" w:rsidRDefault="006A3DBC" w:rsidP="005F4A92">
            <w:pPr>
              <w:spacing w:after="0" w:line="240" w:lineRule="auto"/>
              <w:jc w:val="both"/>
              <w:rPr>
                <w:rFonts w:cs="Arial"/>
                <w:sz w:val="20"/>
                <w:szCs w:val="20"/>
                <w:lang w:val="es-ES"/>
              </w:rPr>
            </w:pPr>
            <w:r w:rsidRPr="00CF0F96">
              <w:rPr>
                <w:rFonts w:cs="Arial"/>
                <w:sz w:val="20"/>
                <w:szCs w:val="20"/>
                <w:lang w:val="es-ES"/>
              </w:rPr>
              <w:t>Valle de Aguán</w:t>
            </w:r>
          </w:p>
        </w:tc>
      </w:tr>
      <w:tr w:rsidR="00CF0F96" w:rsidRPr="00CF0F96" w14:paraId="14D30A3E" w14:textId="77777777" w:rsidTr="005F4A92">
        <w:trPr>
          <w:trHeight w:val="300"/>
          <w:jc w:val="center"/>
        </w:trPr>
        <w:tc>
          <w:tcPr>
            <w:tcW w:w="562" w:type="dxa"/>
          </w:tcPr>
          <w:p w14:paraId="46C244EC" w14:textId="77777777" w:rsidR="006A3DBC" w:rsidRPr="00CF0F96" w:rsidRDefault="006A3DBC" w:rsidP="00811CA8">
            <w:pPr>
              <w:pStyle w:val="Prrafodelista"/>
              <w:numPr>
                <w:ilvl w:val="0"/>
                <w:numId w:val="69"/>
              </w:numPr>
              <w:spacing w:after="0" w:line="240" w:lineRule="auto"/>
              <w:jc w:val="right"/>
              <w:rPr>
                <w:rFonts w:cs="Arial"/>
                <w:sz w:val="20"/>
                <w:szCs w:val="20"/>
                <w:lang w:val="es-ES"/>
              </w:rPr>
            </w:pPr>
          </w:p>
        </w:tc>
        <w:tc>
          <w:tcPr>
            <w:tcW w:w="1271" w:type="dxa"/>
            <w:tcMar>
              <w:top w:w="0" w:type="dxa"/>
              <w:left w:w="45" w:type="dxa"/>
              <w:bottom w:w="0" w:type="dxa"/>
              <w:right w:w="45" w:type="dxa"/>
            </w:tcMar>
            <w:vAlign w:val="center"/>
          </w:tcPr>
          <w:p w14:paraId="25DAFC0F" w14:textId="77777777" w:rsidR="006A3DBC" w:rsidRPr="00CF0F96" w:rsidDel="005917AC" w:rsidRDefault="006A3DBC" w:rsidP="005F4A92">
            <w:pPr>
              <w:pStyle w:val="Prrafodelista"/>
              <w:spacing w:after="0" w:line="240" w:lineRule="auto"/>
              <w:ind w:left="360"/>
              <w:jc w:val="both"/>
              <w:rPr>
                <w:rFonts w:cs="Arial"/>
                <w:sz w:val="20"/>
                <w:szCs w:val="20"/>
                <w:lang w:val="es-ES"/>
              </w:rPr>
            </w:pPr>
            <w:r w:rsidRPr="00CF0F96">
              <w:rPr>
                <w:rFonts w:cs="Arial"/>
                <w:sz w:val="20"/>
                <w:szCs w:val="20"/>
                <w:lang w:val="es-ES"/>
              </w:rPr>
              <w:t>HN007</w:t>
            </w:r>
          </w:p>
        </w:tc>
        <w:tc>
          <w:tcPr>
            <w:tcW w:w="3119" w:type="dxa"/>
            <w:tcMar>
              <w:top w:w="0" w:type="dxa"/>
              <w:left w:w="45" w:type="dxa"/>
              <w:bottom w:w="0" w:type="dxa"/>
              <w:right w:w="45" w:type="dxa"/>
            </w:tcMar>
            <w:vAlign w:val="center"/>
          </w:tcPr>
          <w:p w14:paraId="5D049B9F" w14:textId="77777777" w:rsidR="006A3DBC" w:rsidRPr="00CF0F96" w:rsidDel="005917AC" w:rsidRDefault="006A3DBC" w:rsidP="005F4A92">
            <w:pPr>
              <w:spacing w:after="0" w:line="240" w:lineRule="auto"/>
              <w:jc w:val="both"/>
              <w:rPr>
                <w:rFonts w:cs="Arial"/>
                <w:sz w:val="20"/>
                <w:szCs w:val="20"/>
                <w:lang w:val="es-ES"/>
              </w:rPr>
            </w:pPr>
            <w:r w:rsidRPr="00CF0F96">
              <w:rPr>
                <w:rFonts w:cs="Arial"/>
                <w:sz w:val="20"/>
                <w:szCs w:val="20"/>
                <w:lang w:val="es-ES"/>
              </w:rPr>
              <w:t>Valle de Agalta</w:t>
            </w:r>
          </w:p>
        </w:tc>
      </w:tr>
      <w:tr w:rsidR="00CF0F96" w:rsidRPr="00CF0F96" w14:paraId="0AD27B75" w14:textId="77777777" w:rsidTr="005F4A92">
        <w:trPr>
          <w:trHeight w:val="300"/>
          <w:jc w:val="center"/>
        </w:trPr>
        <w:tc>
          <w:tcPr>
            <w:tcW w:w="562" w:type="dxa"/>
          </w:tcPr>
          <w:p w14:paraId="7F3C9A14" w14:textId="77777777" w:rsidR="006A3DBC" w:rsidRPr="00CF0F96" w:rsidRDefault="006A3DBC" w:rsidP="00811CA8">
            <w:pPr>
              <w:pStyle w:val="Prrafodelista"/>
              <w:numPr>
                <w:ilvl w:val="0"/>
                <w:numId w:val="69"/>
              </w:numPr>
              <w:spacing w:after="0" w:line="240" w:lineRule="auto"/>
              <w:jc w:val="right"/>
              <w:rPr>
                <w:rFonts w:cs="Arial"/>
                <w:sz w:val="20"/>
                <w:szCs w:val="20"/>
                <w:lang w:val="es-ES"/>
              </w:rPr>
            </w:pPr>
          </w:p>
        </w:tc>
        <w:tc>
          <w:tcPr>
            <w:tcW w:w="1271" w:type="dxa"/>
            <w:tcMar>
              <w:top w:w="0" w:type="dxa"/>
              <w:left w:w="45" w:type="dxa"/>
              <w:bottom w:w="0" w:type="dxa"/>
              <w:right w:w="45" w:type="dxa"/>
            </w:tcMar>
            <w:vAlign w:val="center"/>
          </w:tcPr>
          <w:p w14:paraId="52EFDBE3" w14:textId="77777777" w:rsidR="006A3DBC" w:rsidRPr="00CF0F96" w:rsidDel="005917AC" w:rsidRDefault="006A3DBC" w:rsidP="005F4A92">
            <w:pPr>
              <w:pStyle w:val="Prrafodelista"/>
              <w:spacing w:after="0" w:line="240" w:lineRule="auto"/>
              <w:ind w:left="360"/>
              <w:jc w:val="both"/>
              <w:rPr>
                <w:rFonts w:cs="Arial"/>
                <w:sz w:val="20"/>
                <w:szCs w:val="20"/>
                <w:lang w:val="es-ES"/>
              </w:rPr>
            </w:pPr>
            <w:r w:rsidRPr="00CF0F96">
              <w:rPr>
                <w:rFonts w:cs="Arial"/>
                <w:sz w:val="20"/>
                <w:szCs w:val="20"/>
                <w:lang w:val="es-ES"/>
              </w:rPr>
              <w:t>HN008</w:t>
            </w:r>
          </w:p>
        </w:tc>
        <w:tc>
          <w:tcPr>
            <w:tcW w:w="3119" w:type="dxa"/>
            <w:tcMar>
              <w:top w:w="0" w:type="dxa"/>
              <w:left w:w="45" w:type="dxa"/>
              <w:bottom w:w="0" w:type="dxa"/>
              <w:right w:w="45" w:type="dxa"/>
            </w:tcMar>
            <w:vAlign w:val="center"/>
          </w:tcPr>
          <w:p w14:paraId="56D37F96" w14:textId="77777777" w:rsidR="006A3DBC" w:rsidRPr="00CF0F96" w:rsidDel="005917AC" w:rsidRDefault="006A3DBC" w:rsidP="005F4A92">
            <w:pPr>
              <w:spacing w:after="0" w:line="240" w:lineRule="auto"/>
              <w:jc w:val="both"/>
              <w:rPr>
                <w:rFonts w:cs="Arial"/>
                <w:sz w:val="20"/>
                <w:szCs w:val="20"/>
                <w:lang w:val="es-ES"/>
              </w:rPr>
            </w:pPr>
            <w:r w:rsidRPr="00CF0F96">
              <w:rPr>
                <w:rFonts w:cs="Arial"/>
                <w:sz w:val="20"/>
                <w:szCs w:val="20"/>
                <w:lang w:val="es-ES"/>
              </w:rPr>
              <w:t>Río Plátano</w:t>
            </w:r>
          </w:p>
        </w:tc>
      </w:tr>
      <w:tr w:rsidR="00CF0F96" w:rsidRPr="00CF0F96" w14:paraId="1DD93364" w14:textId="77777777" w:rsidTr="005F4A92">
        <w:trPr>
          <w:trHeight w:val="300"/>
          <w:jc w:val="center"/>
        </w:trPr>
        <w:tc>
          <w:tcPr>
            <w:tcW w:w="562" w:type="dxa"/>
          </w:tcPr>
          <w:p w14:paraId="47D6E270" w14:textId="77777777" w:rsidR="006A3DBC" w:rsidRPr="00CF0F96" w:rsidRDefault="006A3DBC" w:rsidP="00811CA8">
            <w:pPr>
              <w:pStyle w:val="Prrafodelista"/>
              <w:numPr>
                <w:ilvl w:val="0"/>
                <w:numId w:val="69"/>
              </w:numPr>
              <w:spacing w:after="0" w:line="240" w:lineRule="auto"/>
              <w:jc w:val="right"/>
              <w:rPr>
                <w:rFonts w:cs="Arial"/>
                <w:sz w:val="20"/>
                <w:szCs w:val="20"/>
                <w:lang w:val="es-ES"/>
              </w:rPr>
            </w:pPr>
          </w:p>
        </w:tc>
        <w:tc>
          <w:tcPr>
            <w:tcW w:w="1271" w:type="dxa"/>
            <w:tcMar>
              <w:top w:w="0" w:type="dxa"/>
              <w:left w:w="45" w:type="dxa"/>
              <w:bottom w:w="0" w:type="dxa"/>
              <w:right w:w="45" w:type="dxa"/>
            </w:tcMar>
            <w:vAlign w:val="center"/>
          </w:tcPr>
          <w:p w14:paraId="19B9BF9A" w14:textId="77777777" w:rsidR="006A3DBC" w:rsidRPr="00CF0F96" w:rsidDel="005917AC" w:rsidRDefault="006A3DBC" w:rsidP="005F4A92">
            <w:pPr>
              <w:pStyle w:val="Prrafodelista"/>
              <w:spacing w:after="0" w:line="240" w:lineRule="auto"/>
              <w:ind w:left="360"/>
              <w:jc w:val="both"/>
              <w:rPr>
                <w:rFonts w:cs="Arial"/>
                <w:sz w:val="20"/>
                <w:szCs w:val="20"/>
                <w:lang w:val="es-ES"/>
              </w:rPr>
            </w:pPr>
            <w:r w:rsidRPr="00CF0F96">
              <w:rPr>
                <w:rFonts w:cs="Arial"/>
                <w:sz w:val="20"/>
                <w:szCs w:val="20"/>
                <w:lang w:val="es-ES"/>
              </w:rPr>
              <w:t>HN010</w:t>
            </w:r>
          </w:p>
        </w:tc>
        <w:tc>
          <w:tcPr>
            <w:tcW w:w="3119" w:type="dxa"/>
            <w:tcMar>
              <w:top w:w="0" w:type="dxa"/>
              <w:left w:w="45" w:type="dxa"/>
              <w:bottom w:w="0" w:type="dxa"/>
              <w:right w:w="45" w:type="dxa"/>
            </w:tcMar>
            <w:vAlign w:val="center"/>
          </w:tcPr>
          <w:p w14:paraId="05F8336B" w14:textId="77777777" w:rsidR="006A3DBC" w:rsidRPr="00CF0F96" w:rsidDel="005917AC" w:rsidRDefault="006A3DBC" w:rsidP="005F4A92">
            <w:pPr>
              <w:spacing w:after="0" w:line="240" w:lineRule="auto"/>
              <w:jc w:val="both"/>
              <w:rPr>
                <w:rFonts w:cs="Arial"/>
                <w:sz w:val="20"/>
                <w:szCs w:val="20"/>
                <w:lang w:val="es-ES"/>
              </w:rPr>
            </w:pPr>
            <w:r w:rsidRPr="00CF0F96">
              <w:rPr>
                <w:rFonts w:cs="Arial"/>
                <w:sz w:val="20"/>
                <w:szCs w:val="20"/>
                <w:lang w:val="es-ES"/>
              </w:rPr>
              <w:t>Cusuco</w:t>
            </w:r>
          </w:p>
        </w:tc>
      </w:tr>
      <w:tr w:rsidR="00CF0F96" w:rsidRPr="00CF0F96" w14:paraId="5499E7C3" w14:textId="77777777" w:rsidTr="005F4A92">
        <w:trPr>
          <w:trHeight w:val="300"/>
          <w:jc w:val="center"/>
        </w:trPr>
        <w:tc>
          <w:tcPr>
            <w:tcW w:w="562" w:type="dxa"/>
          </w:tcPr>
          <w:p w14:paraId="30953A8D" w14:textId="77777777" w:rsidR="006A3DBC" w:rsidRPr="00CF0F96" w:rsidRDefault="006A3DBC" w:rsidP="00811CA8">
            <w:pPr>
              <w:pStyle w:val="Prrafodelista"/>
              <w:numPr>
                <w:ilvl w:val="0"/>
                <w:numId w:val="69"/>
              </w:numPr>
              <w:spacing w:after="0" w:line="240" w:lineRule="auto"/>
              <w:jc w:val="right"/>
              <w:rPr>
                <w:rFonts w:cs="Arial"/>
                <w:sz w:val="20"/>
                <w:szCs w:val="20"/>
                <w:lang w:val="es-ES"/>
              </w:rPr>
            </w:pPr>
          </w:p>
        </w:tc>
        <w:tc>
          <w:tcPr>
            <w:tcW w:w="1271" w:type="dxa"/>
            <w:tcMar>
              <w:top w:w="0" w:type="dxa"/>
              <w:left w:w="45" w:type="dxa"/>
              <w:bottom w:w="0" w:type="dxa"/>
              <w:right w:w="45" w:type="dxa"/>
            </w:tcMar>
            <w:vAlign w:val="center"/>
          </w:tcPr>
          <w:p w14:paraId="67F4080A" w14:textId="77777777" w:rsidR="006A3DBC" w:rsidRPr="00CF0F96" w:rsidDel="005917AC" w:rsidRDefault="006A3DBC" w:rsidP="005F4A92">
            <w:pPr>
              <w:pStyle w:val="Prrafodelista"/>
              <w:spacing w:after="0" w:line="240" w:lineRule="auto"/>
              <w:ind w:left="360"/>
              <w:jc w:val="both"/>
              <w:rPr>
                <w:rFonts w:cs="Arial"/>
                <w:sz w:val="20"/>
                <w:szCs w:val="20"/>
                <w:lang w:val="es-ES"/>
              </w:rPr>
            </w:pPr>
            <w:r w:rsidRPr="00CF0F96">
              <w:rPr>
                <w:rFonts w:cs="Arial"/>
                <w:sz w:val="20"/>
                <w:szCs w:val="20"/>
                <w:lang w:val="es-ES"/>
              </w:rPr>
              <w:t>HN011</w:t>
            </w:r>
          </w:p>
        </w:tc>
        <w:tc>
          <w:tcPr>
            <w:tcW w:w="3119" w:type="dxa"/>
            <w:tcMar>
              <w:top w:w="0" w:type="dxa"/>
              <w:left w:w="45" w:type="dxa"/>
              <w:bottom w:w="0" w:type="dxa"/>
              <w:right w:w="45" w:type="dxa"/>
            </w:tcMar>
            <w:vAlign w:val="center"/>
          </w:tcPr>
          <w:p w14:paraId="17E55927" w14:textId="77777777" w:rsidR="006A3DBC" w:rsidRPr="00CF0F96" w:rsidDel="005917AC" w:rsidRDefault="006A3DBC" w:rsidP="005F4A92">
            <w:pPr>
              <w:spacing w:after="0" w:line="240" w:lineRule="auto"/>
              <w:jc w:val="both"/>
              <w:rPr>
                <w:rFonts w:cs="Arial"/>
                <w:sz w:val="20"/>
                <w:szCs w:val="20"/>
                <w:lang w:val="es-ES"/>
              </w:rPr>
            </w:pPr>
            <w:r w:rsidRPr="00CF0F96">
              <w:rPr>
                <w:rFonts w:cs="Arial"/>
                <w:sz w:val="20"/>
                <w:szCs w:val="20"/>
                <w:lang w:val="es-ES"/>
              </w:rPr>
              <w:t>La Muralla</w:t>
            </w:r>
          </w:p>
        </w:tc>
      </w:tr>
      <w:tr w:rsidR="00CF0F96" w:rsidRPr="00CF0F96" w14:paraId="70270475" w14:textId="77777777" w:rsidTr="005F4A92">
        <w:trPr>
          <w:trHeight w:val="300"/>
          <w:jc w:val="center"/>
        </w:trPr>
        <w:tc>
          <w:tcPr>
            <w:tcW w:w="562" w:type="dxa"/>
          </w:tcPr>
          <w:p w14:paraId="2F5CFF54" w14:textId="77777777" w:rsidR="006A3DBC" w:rsidRPr="00CF0F96" w:rsidRDefault="006A3DBC" w:rsidP="00811CA8">
            <w:pPr>
              <w:pStyle w:val="Prrafodelista"/>
              <w:numPr>
                <w:ilvl w:val="0"/>
                <w:numId w:val="69"/>
              </w:numPr>
              <w:spacing w:after="0" w:line="240" w:lineRule="auto"/>
              <w:jc w:val="right"/>
              <w:rPr>
                <w:rFonts w:cs="Arial"/>
                <w:sz w:val="20"/>
                <w:szCs w:val="20"/>
                <w:lang w:val="es-ES"/>
              </w:rPr>
            </w:pPr>
          </w:p>
        </w:tc>
        <w:tc>
          <w:tcPr>
            <w:tcW w:w="1271" w:type="dxa"/>
            <w:tcMar>
              <w:top w:w="0" w:type="dxa"/>
              <w:left w:w="45" w:type="dxa"/>
              <w:bottom w:w="0" w:type="dxa"/>
              <w:right w:w="45" w:type="dxa"/>
            </w:tcMar>
            <w:vAlign w:val="center"/>
          </w:tcPr>
          <w:p w14:paraId="1DBC0B0A" w14:textId="77777777" w:rsidR="006A3DBC" w:rsidRPr="00CF0F96" w:rsidDel="005917AC" w:rsidRDefault="006A3DBC" w:rsidP="005F4A92">
            <w:pPr>
              <w:pStyle w:val="Prrafodelista"/>
              <w:spacing w:after="0" w:line="240" w:lineRule="auto"/>
              <w:ind w:left="360"/>
              <w:jc w:val="both"/>
              <w:rPr>
                <w:rFonts w:cs="Arial"/>
                <w:sz w:val="20"/>
                <w:szCs w:val="20"/>
                <w:lang w:val="es-ES"/>
              </w:rPr>
            </w:pPr>
            <w:r w:rsidRPr="00CF0F96">
              <w:rPr>
                <w:rFonts w:cs="Arial"/>
                <w:sz w:val="20"/>
                <w:szCs w:val="20"/>
                <w:lang w:val="es-ES"/>
              </w:rPr>
              <w:t>HN012</w:t>
            </w:r>
          </w:p>
        </w:tc>
        <w:tc>
          <w:tcPr>
            <w:tcW w:w="3119" w:type="dxa"/>
            <w:tcMar>
              <w:top w:w="0" w:type="dxa"/>
              <w:left w:w="45" w:type="dxa"/>
              <w:bottom w:w="0" w:type="dxa"/>
              <w:right w:w="45" w:type="dxa"/>
            </w:tcMar>
            <w:vAlign w:val="center"/>
          </w:tcPr>
          <w:p w14:paraId="52004A16" w14:textId="77777777" w:rsidR="006A3DBC" w:rsidRPr="00CF0F96" w:rsidDel="005917AC" w:rsidRDefault="006A3DBC" w:rsidP="005F4A92">
            <w:pPr>
              <w:spacing w:after="0" w:line="240" w:lineRule="auto"/>
              <w:jc w:val="both"/>
              <w:rPr>
                <w:rFonts w:cs="Arial"/>
                <w:sz w:val="20"/>
                <w:szCs w:val="20"/>
                <w:lang w:val="es-ES"/>
              </w:rPr>
            </w:pPr>
            <w:r w:rsidRPr="00CF0F96">
              <w:rPr>
                <w:rFonts w:cs="Arial"/>
                <w:sz w:val="20"/>
                <w:szCs w:val="20"/>
                <w:lang w:val="es-ES"/>
              </w:rPr>
              <w:t>Sierra de Agalta</w:t>
            </w:r>
          </w:p>
        </w:tc>
      </w:tr>
      <w:tr w:rsidR="00CF0F96" w:rsidRPr="00CF0F96" w14:paraId="0578F4E2" w14:textId="77777777" w:rsidTr="005F4A92">
        <w:trPr>
          <w:trHeight w:val="300"/>
          <w:jc w:val="center"/>
        </w:trPr>
        <w:tc>
          <w:tcPr>
            <w:tcW w:w="562" w:type="dxa"/>
          </w:tcPr>
          <w:p w14:paraId="23E2EDDF" w14:textId="77777777" w:rsidR="006A3DBC" w:rsidRPr="00CF0F96" w:rsidRDefault="006A3DBC" w:rsidP="00811CA8">
            <w:pPr>
              <w:pStyle w:val="Prrafodelista"/>
              <w:numPr>
                <w:ilvl w:val="0"/>
                <w:numId w:val="69"/>
              </w:numPr>
              <w:spacing w:after="0" w:line="240" w:lineRule="auto"/>
              <w:jc w:val="right"/>
              <w:rPr>
                <w:rFonts w:cs="Arial"/>
                <w:sz w:val="20"/>
                <w:szCs w:val="20"/>
                <w:lang w:val="es-ES"/>
              </w:rPr>
            </w:pPr>
          </w:p>
        </w:tc>
        <w:tc>
          <w:tcPr>
            <w:tcW w:w="1271" w:type="dxa"/>
            <w:tcMar>
              <w:top w:w="0" w:type="dxa"/>
              <w:left w:w="45" w:type="dxa"/>
              <w:bottom w:w="0" w:type="dxa"/>
              <w:right w:w="45" w:type="dxa"/>
            </w:tcMar>
            <w:vAlign w:val="center"/>
          </w:tcPr>
          <w:p w14:paraId="53CC571B" w14:textId="77777777" w:rsidR="006A3DBC" w:rsidRPr="00CF0F96" w:rsidDel="005917AC" w:rsidRDefault="006A3DBC" w:rsidP="005F4A92">
            <w:pPr>
              <w:pStyle w:val="Prrafodelista"/>
              <w:spacing w:after="0" w:line="240" w:lineRule="auto"/>
              <w:ind w:left="360"/>
              <w:jc w:val="both"/>
              <w:rPr>
                <w:rFonts w:cs="Arial"/>
                <w:sz w:val="20"/>
                <w:szCs w:val="20"/>
                <w:lang w:val="es-ES"/>
              </w:rPr>
            </w:pPr>
            <w:r w:rsidRPr="00CF0F96">
              <w:rPr>
                <w:rFonts w:cs="Arial"/>
                <w:sz w:val="20"/>
                <w:szCs w:val="20"/>
                <w:lang w:val="es-ES"/>
              </w:rPr>
              <w:t>HN013</w:t>
            </w:r>
          </w:p>
        </w:tc>
        <w:tc>
          <w:tcPr>
            <w:tcW w:w="3119" w:type="dxa"/>
            <w:tcMar>
              <w:top w:w="0" w:type="dxa"/>
              <w:left w:w="45" w:type="dxa"/>
              <w:bottom w:w="0" w:type="dxa"/>
              <w:right w:w="45" w:type="dxa"/>
            </w:tcMar>
            <w:vAlign w:val="center"/>
          </w:tcPr>
          <w:p w14:paraId="61369181" w14:textId="77777777" w:rsidR="006A3DBC" w:rsidRPr="00CF0F96" w:rsidDel="005917AC" w:rsidRDefault="006A3DBC" w:rsidP="005F4A92">
            <w:pPr>
              <w:spacing w:after="0" w:line="240" w:lineRule="auto"/>
              <w:jc w:val="both"/>
              <w:rPr>
                <w:rFonts w:cs="Arial"/>
                <w:sz w:val="20"/>
                <w:szCs w:val="20"/>
                <w:lang w:val="es-ES"/>
              </w:rPr>
            </w:pPr>
            <w:r w:rsidRPr="00CF0F96">
              <w:rPr>
                <w:rFonts w:cs="Arial"/>
                <w:sz w:val="20"/>
                <w:szCs w:val="20"/>
                <w:lang w:val="es-ES"/>
              </w:rPr>
              <w:t>Tawahka</w:t>
            </w:r>
          </w:p>
        </w:tc>
      </w:tr>
      <w:tr w:rsidR="00CF0F96" w:rsidRPr="00CF0F96" w14:paraId="1BFFC4A3" w14:textId="77777777" w:rsidTr="005F4A92">
        <w:trPr>
          <w:trHeight w:val="300"/>
          <w:jc w:val="center"/>
        </w:trPr>
        <w:tc>
          <w:tcPr>
            <w:tcW w:w="562" w:type="dxa"/>
          </w:tcPr>
          <w:p w14:paraId="0C572E9D" w14:textId="77777777" w:rsidR="006A3DBC" w:rsidRPr="00CF0F96" w:rsidRDefault="006A3DBC" w:rsidP="00811CA8">
            <w:pPr>
              <w:pStyle w:val="Prrafodelista"/>
              <w:numPr>
                <w:ilvl w:val="0"/>
                <w:numId w:val="69"/>
              </w:numPr>
              <w:spacing w:after="0" w:line="240" w:lineRule="auto"/>
              <w:jc w:val="right"/>
              <w:rPr>
                <w:rFonts w:cs="Arial"/>
                <w:sz w:val="20"/>
                <w:szCs w:val="20"/>
                <w:lang w:val="es-ES"/>
              </w:rPr>
            </w:pPr>
          </w:p>
        </w:tc>
        <w:tc>
          <w:tcPr>
            <w:tcW w:w="1271" w:type="dxa"/>
            <w:tcMar>
              <w:top w:w="0" w:type="dxa"/>
              <w:left w:w="45" w:type="dxa"/>
              <w:bottom w:w="0" w:type="dxa"/>
              <w:right w:w="45" w:type="dxa"/>
            </w:tcMar>
            <w:vAlign w:val="center"/>
          </w:tcPr>
          <w:p w14:paraId="07A3EC78" w14:textId="77777777" w:rsidR="006A3DBC" w:rsidRPr="00CF0F96" w:rsidDel="005917AC" w:rsidRDefault="006A3DBC" w:rsidP="005F4A92">
            <w:pPr>
              <w:pStyle w:val="Prrafodelista"/>
              <w:spacing w:after="0" w:line="240" w:lineRule="auto"/>
              <w:ind w:left="360"/>
              <w:jc w:val="both"/>
              <w:rPr>
                <w:rFonts w:cs="Arial"/>
                <w:sz w:val="20"/>
                <w:szCs w:val="20"/>
                <w:lang w:val="es-ES"/>
              </w:rPr>
            </w:pPr>
            <w:r w:rsidRPr="00CF0F96">
              <w:rPr>
                <w:rFonts w:cs="Arial"/>
                <w:sz w:val="20"/>
                <w:szCs w:val="20"/>
                <w:lang w:val="es-ES"/>
              </w:rPr>
              <w:t>HN014</w:t>
            </w:r>
          </w:p>
        </w:tc>
        <w:tc>
          <w:tcPr>
            <w:tcW w:w="3119" w:type="dxa"/>
            <w:tcMar>
              <w:top w:w="0" w:type="dxa"/>
              <w:left w:w="45" w:type="dxa"/>
              <w:bottom w:w="0" w:type="dxa"/>
              <w:right w:w="45" w:type="dxa"/>
            </w:tcMar>
            <w:vAlign w:val="center"/>
          </w:tcPr>
          <w:p w14:paraId="36B36A3F" w14:textId="77777777" w:rsidR="006A3DBC" w:rsidRPr="00CF0F96" w:rsidDel="005917AC" w:rsidRDefault="006A3DBC" w:rsidP="005F4A92">
            <w:pPr>
              <w:spacing w:after="0" w:line="240" w:lineRule="auto"/>
              <w:jc w:val="both"/>
              <w:rPr>
                <w:rFonts w:cs="Arial"/>
                <w:sz w:val="20"/>
                <w:szCs w:val="20"/>
                <w:lang w:val="es-ES"/>
              </w:rPr>
            </w:pPr>
            <w:r w:rsidRPr="00CF0F96">
              <w:rPr>
                <w:rFonts w:cs="Arial"/>
                <w:sz w:val="20"/>
                <w:szCs w:val="20"/>
                <w:lang w:val="es-ES"/>
              </w:rPr>
              <w:t>Montaña de Yoro</w:t>
            </w:r>
          </w:p>
        </w:tc>
      </w:tr>
      <w:tr w:rsidR="00CF0F96" w:rsidRPr="00CF0F96" w14:paraId="7FEE6CB2" w14:textId="77777777" w:rsidTr="005F4A92">
        <w:trPr>
          <w:trHeight w:val="300"/>
          <w:jc w:val="center"/>
        </w:trPr>
        <w:tc>
          <w:tcPr>
            <w:tcW w:w="562" w:type="dxa"/>
          </w:tcPr>
          <w:p w14:paraId="3E275B36" w14:textId="77777777" w:rsidR="006A3DBC" w:rsidRPr="00CF0F96" w:rsidRDefault="006A3DBC" w:rsidP="00811CA8">
            <w:pPr>
              <w:pStyle w:val="Prrafodelista"/>
              <w:numPr>
                <w:ilvl w:val="0"/>
                <w:numId w:val="69"/>
              </w:numPr>
              <w:spacing w:after="0" w:line="240" w:lineRule="auto"/>
              <w:jc w:val="right"/>
              <w:rPr>
                <w:rFonts w:cs="Arial"/>
                <w:sz w:val="20"/>
                <w:szCs w:val="20"/>
                <w:lang w:val="es-ES"/>
              </w:rPr>
            </w:pPr>
          </w:p>
        </w:tc>
        <w:tc>
          <w:tcPr>
            <w:tcW w:w="1271" w:type="dxa"/>
            <w:tcMar>
              <w:top w:w="0" w:type="dxa"/>
              <w:left w:w="45" w:type="dxa"/>
              <w:bottom w:w="0" w:type="dxa"/>
              <w:right w:w="45" w:type="dxa"/>
            </w:tcMar>
            <w:vAlign w:val="center"/>
          </w:tcPr>
          <w:p w14:paraId="06E2F0BA" w14:textId="77777777" w:rsidR="006A3DBC" w:rsidRPr="00CF0F96" w:rsidRDefault="006A3DBC" w:rsidP="005F4A92">
            <w:pPr>
              <w:pStyle w:val="Prrafodelista"/>
              <w:spacing w:after="0" w:line="240" w:lineRule="auto"/>
              <w:ind w:left="360"/>
              <w:jc w:val="both"/>
              <w:rPr>
                <w:rFonts w:cs="Arial"/>
                <w:sz w:val="20"/>
                <w:szCs w:val="20"/>
                <w:lang w:val="es-ES"/>
              </w:rPr>
            </w:pPr>
            <w:r w:rsidRPr="00CF0F96">
              <w:rPr>
                <w:rFonts w:cs="Arial"/>
                <w:sz w:val="20"/>
                <w:szCs w:val="20"/>
                <w:lang w:val="es-ES"/>
              </w:rPr>
              <w:t>HN015</w:t>
            </w:r>
          </w:p>
        </w:tc>
        <w:tc>
          <w:tcPr>
            <w:tcW w:w="3119" w:type="dxa"/>
            <w:tcMar>
              <w:top w:w="0" w:type="dxa"/>
              <w:left w:w="45" w:type="dxa"/>
              <w:bottom w:w="0" w:type="dxa"/>
              <w:right w:w="45" w:type="dxa"/>
            </w:tcMar>
            <w:vAlign w:val="center"/>
          </w:tcPr>
          <w:p w14:paraId="4B39B555" w14:textId="77777777" w:rsidR="006A3DBC" w:rsidRPr="00CF0F96" w:rsidRDefault="006A3DBC" w:rsidP="005F4A92">
            <w:pPr>
              <w:spacing w:after="0" w:line="240" w:lineRule="auto"/>
              <w:jc w:val="both"/>
              <w:rPr>
                <w:rFonts w:cs="Arial"/>
                <w:sz w:val="20"/>
                <w:szCs w:val="20"/>
                <w:lang w:val="es-ES"/>
              </w:rPr>
            </w:pPr>
            <w:r w:rsidRPr="00CF0F96">
              <w:rPr>
                <w:rFonts w:cs="Arial"/>
                <w:sz w:val="20"/>
                <w:szCs w:val="20"/>
                <w:lang w:val="es-ES"/>
              </w:rPr>
              <w:t>Cerro Azul Meambar</w:t>
            </w:r>
          </w:p>
        </w:tc>
      </w:tr>
      <w:tr w:rsidR="00CF0F96" w:rsidRPr="00CF0F96" w14:paraId="26B036E4" w14:textId="77777777" w:rsidTr="005F4A92">
        <w:trPr>
          <w:trHeight w:val="300"/>
          <w:jc w:val="center"/>
        </w:trPr>
        <w:tc>
          <w:tcPr>
            <w:tcW w:w="562" w:type="dxa"/>
          </w:tcPr>
          <w:p w14:paraId="78CCDB4D" w14:textId="77777777" w:rsidR="006A3DBC" w:rsidRPr="00CF0F96" w:rsidRDefault="006A3DBC" w:rsidP="00811CA8">
            <w:pPr>
              <w:pStyle w:val="Prrafodelista"/>
              <w:numPr>
                <w:ilvl w:val="0"/>
                <w:numId w:val="69"/>
              </w:numPr>
              <w:spacing w:after="0" w:line="240" w:lineRule="auto"/>
              <w:jc w:val="right"/>
              <w:rPr>
                <w:rFonts w:cs="Arial"/>
                <w:sz w:val="20"/>
                <w:szCs w:val="20"/>
                <w:lang w:val="es-ES"/>
              </w:rPr>
            </w:pPr>
          </w:p>
        </w:tc>
        <w:tc>
          <w:tcPr>
            <w:tcW w:w="1271" w:type="dxa"/>
            <w:tcMar>
              <w:top w:w="0" w:type="dxa"/>
              <w:left w:w="45" w:type="dxa"/>
              <w:bottom w:w="0" w:type="dxa"/>
              <w:right w:w="45" w:type="dxa"/>
            </w:tcMar>
            <w:vAlign w:val="center"/>
          </w:tcPr>
          <w:p w14:paraId="660615E0" w14:textId="77777777" w:rsidR="006A3DBC" w:rsidRPr="00CF0F96" w:rsidRDefault="006A3DBC" w:rsidP="005F4A92">
            <w:pPr>
              <w:pStyle w:val="Prrafodelista"/>
              <w:spacing w:after="0" w:line="240" w:lineRule="auto"/>
              <w:ind w:left="360"/>
              <w:jc w:val="both"/>
              <w:rPr>
                <w:rFonts w:cs="Arial"/>
                <w:sz w:val="20"/>
                <w:szCs w:val="20"/>
                <w:lang w:val="es-ES"/>
              </w:rPr>
            </w:pPr>
            <w:r w:rsidRPr="00CF0F96">
              <w:rPr>
                <w:rFonts w:cs="Arial"/>
                <w:sz w:val="20"/>
                <w:szCs w:val="20"/>
                <w:lang w:val="es-ES"/>
              </w:rPr>
              <w:t>HN016</w:t>
            </w:r>
          </w:p>
        </w:tc>
        <w:tc>
          <w:tcPr>
            <w:tcW w:w="3119" w:type="dxa"/>
            <w:tcMar>
              <w:top w:w="0" w:type="dxa"/>
              <w:left w:w="45" w:type="dxa"/>
              <w:bottom w:w="0" w:type="dxa"/>
              <w:right w:w="45" w:type="dxa"/>
            </w:tcMar>
            <w:vAlign w:val="center"/>
          </w:tcPr>
          <w:p w14:paraId="12822ACA" w14:textId="77777777" w:rsidR="006A3DBC" w:rsidRPr="00CF0F96" w:rsidRDefault="006A3DBC" w:rsidP="005F4A92">
            <w:pPr>
              <w:spacing w:after="0" w:line="240" w:lineRule="auto"/>
              <w:jc w:val="both"/>
              <w:rPr>
                <w:rFonts w:cs="Arial"/>
                <w:sz w:val="20"/>
                <w:szCs w:val="20"/>
                <w:lang w:val="es-ES"/>
              </w:rPr>
            </w:pPr>
            <w:r w:rsidRPr="00CF0F96">
              <w:rPr>
                <w:rFonts w:cs="Arial"/>
                <w:sz w:val="20"/>
                <w:szCs w:val="20"/>
                <w:lang w:val="es-ES"/>
              </w:rPr>
              <w:t>Parque Nacional Patuca</w:t>
            </w:r>
          </w:p>
        </w:tc>
      </w:tr>
      <w:tr w:rsidR="00CF0F96" w:rsidRPr="00CF0F96" w14:paraId="281649C1" w14:textId="77777777" w:rsidTr="005F4A92">
        <w:trPr>
          <w:trHeight w:val="300"/>
          <w:jc w:val="center"/>
        </w:trPr>
        <w:tc>
          <w:tcPr>
            <w:tcW w:w="562" w:type="dxa"/>
          </w:tcPr>
          <w:p w14:paraId="51368272" w14:textId="77777777" w:rsidR="006A3DBC" w:rsidRPr="00CF0F96" w:rsidRDefault="006A3DBC" w:rsidP="00811CA8">
            <w:pPr>
              <w:pStyle w:val="Prrafodelista"/>
              <w:numPr>
                <w:ilvl w:val="0"/>
                <w:numId w:val="69"/>
              </w:numPr>
              <w:spacing w:after="0" w:line="240" w:lineRule="auto"/>
              <w:jc w:val="right"/>
              <w:rPr>
                <w:rFonts w:cs="Arial"/>
                <w:sz w:val="20"/>
                <w:szCs w:val="20"/>
                <w:lang w:val="es-ES"/>
              </w:rPr>
            </w:pPr>
          </w:p>
        </w:tc>
        <w:tc>
          <w:tcPr>
            <w:tcW w:w="1271" w:type="dxa"/>
            <w:tcMar>
              <w:top w:w="0" w:type="dxa"/>
              <w:left w:w="45" w:type="dxa"/>
              <w:bottom w:w="0" w:type="dxa"/>
              <w:right w:w="45" w:type="dxa"/>
            </w:tcMar>
            <w:vAlign w:val="center"/>
          </w:tcPr>
          <w:p w14:paraId="33374367" w14:textId="77777777" w:rsidR="006A3DBC" w:rsidRPr="00CF0F96" w:rsidRDefault="006A3DBC" w:rsidP="005F4A92">
            <w:pPr>
              <w:pStyle w:val="Prrafodelista"/>
              <w:spacing w:after="0" w:line="240" w:lineRule="auto"/>
              <w:ind w:left="360"/>
              <w:jc w:val="both"/>
              <w:rPr>
                <w:rFonts w:cs="Arial"/>
                <w:sz w:val="20"/>
                <w:szCs w:val="20"/>
                <w:lang w:val="es-ES"/>
              </w:rPr>
            </w:pPr>
            <w:r w:rsidRPr="00CF0F96">
              <w:rPr>
                <w:rFonts w:cs="Arial"/>
                <w:sz w:val="20"/>
                <w:szCs w:val="20"/>
                <w:lang w:val="es-ES"/>
              </w:rPr>
              <w:t xml:space="preserve">HN017 </w:t>
            </w:r>
          </w:p>
        </w:tc>
        <w:tc>
          <w:tcPr>
            <w:tcW w:w="3119" w:type="dxa"/>
            <w:tcMar>
              <w:top w:w="0" w:type="dxa"/>
              <w:left w:w="45" w:type="dxa"/>
              <w:bottom w:w="0" w:type="dxa"/>
              <w:right w:w="45" w:type="dxa"/>
            </w:tcMar>
            <w:vAlign w:val="center"/>
          </w:tcPr>
          <w:p w14:paraId="6A21A726" w14:textId="77777777" w:rsidR="006A3DBC" w:rsidRPr="00CF0F96" w:rsidRDefault="006A3DBC" w:rsidP="005F4A92">
            <w:pPr>
              <w:spacing w:after="0" w:line="240" w:lineRule="auto"/>
              <w:jc w:val="both"/>
              <w:rPr>
                <w:rFonts w:cs="Arial"/>
                <w:sz w:val="20"/>
                <w:szCs w:val="20"/>
                <w:lang w:val="es-ES"/>
              </w:rPr>
            </w:pPr>
            <w:r w:rsidRPr="00CF0F96">
              <w:rPr>
                <w:rFonts w:cs="Arial"/>
                <w:sz w:val="20"/>
                <w:szCs w:val="20"/>
                <w:lang w:val="es-ES"/>
              </w:rPr>
              <w:t>Güisayote</w:t>
            </w:r>
          </w:p>
        </w:tc>
      </w:tr>
      <w:tr w:rsidR="00CF0F96" w:rsidRPr="00CF0F96" w14:paraId="03C9D581" w14:textId="77777777" w:rsidTr="005F4A92">
        <w:trPr>
          <w:trHeight w:val="300"/>
          <w:jc w:val="center"/>
        </w:trPr>
        <w:tc>
          <w:tcPr>
            <w:tcW w:w="562" w:type="dxa"/>
          </w:tcPr>
          <w:p w14:paraId="7A1828A2" w14:textId="77777777" w:rsidR="006A3DBC" w:rsidRPr="00CF0F96" w:rsidRDefault="006A3DBC" w:rsidP="00811CA8">
            <w:pPr>
              <w:pStyle w:val="Prrafodelista"/>
              <w:numPr>
                <w:ilvl w:val="0"/>
                <w:numId w:val="69"/>
              </w:numPr>
              <w:spacing w:after="0" w:line="240" w:lineRule="auto"/>
              <w:jc w:val="right"/>
              <w:rPr>
                <w:rFonts w:cs="Arial"/>
                <w:sz w:val="20"/>
                <w:szCs w:val="20"/>
                <w:lang w:val="es-ES"/>
              </w:rPr>
            </w:pPr>
          </w:p>
        </w:tc>
        <w:tc>
          <w:tcPr>
            <w:tcW w:w="1271" w:type="dxa"/>
            <w:tcMar>
              <w:top w:w="0" w:type="dxa"/>
              <w:left w:w="45" w:type="dxa"/>
              <w:bottom w:w="0" w:type="dxa"/>
              <w:right w:w="45" w:type="dxa"/>
            </w:tcMar>
            <w:vAlign w:val="center"/>
          </w:tcPr>
          <w:p w14:paraId="0BDBBF8C" w14:textId="77777777" w:rsidR="006A3DBC" w:rsidRPr="00CF0F96" w:rsidRDefault="006A3DBC" w:rsidP="005F4A92">
            <w:pPr>
              <w:pStyle w:val="Prrafodelista"/>
              <w:spacing w:after="0" w:line="240" w:lineRule="auto"/>
              <w:ind w:left="360"/>
              <w:jc w:val="both"/>
              <w:rPr>
                <w:rFonts w:cs="Arial"/>
                <w:sz w:val="20"/>
                <w:szCs w:val="20"/>
                <w:lang w:val="es-ES"/>
              </w:rPr>
            </w:pPr>
            <w:r w:rsidRPr="00CF0F96">
              <w:rPr>
                <w:rFonts w:cs="Arial"/>
                <w:sz w:val="20"/>
                <w:szCs w:val="20"/>
                <w:lang w:val="es-ES"/>
              </w:rPr>
              <w:t>HN018</w:t>
            </w:r>
          </w:p>
        </w:tc>
        <w:tc>
          <w:tcPr>
            <w:tcW w:w="3119" w:type="dxa"/>
            <w:tcMar>
              <w:top w:w="0" w:type="dxa"/>
              <w:left w:w="45" w:type="dxa"/>
              <w:bottom w:w="0" w:type="dxa"/>
              <w:right w:w="45" w:type="dxa"/>
            </w:tcMar>
            <w:vAlign w:val="center"/>
          </w:tcPr>
          <w:p w14:paraId="08501888" w14:textId="77777777" w:rsidR="006A3DBC" w:rsidRPr="00CF0F96" w:rsidRDefault="006A3DBC" w:rsidP="005F4A92">
            <w:pPr>
              <w:spacing w:after="0" w:line="240" w:lineRule="auto"/>
              <w:jc w:val="both"/>
              <w:rPr>
                <w:rFonts w:cs="Arial"/>
                <w:sz w:val="20"/>
                <w:szCs w:val="20"/>
                <w:lang w:val="es-ES"/>
              </w:rPr>
            </w:pPr>
            <w:r w:rsidRPr="00CF0F96">
              <w:rPr>
                <w:rFonts w:cs="Arial"/>
                <w:sz w:val="20"/>
                <w:szCs w:val="20"/>
                <w:lang w:val="es-ES"/>
              </w:rPr>
              <w:t>Celaque</w:t>
            </w:r>
          </w:p>
        </w:tc>
      </w:tr>
      <w:tr w:rsidR="00CF0F96" w:rsidRPr="00CF0F96" w14:paraId="210440A4" w14:textId="77777777" w:rsidTr="005F4A92">
        <w:trPr>
          <w:trHeight w:val="300"/>
          <w:jc w:val="center"/>
        </w:trPr>
        <w:tc>
          <w:tcPr>
            <w:tcW w:w="562" w:type="dxa"/>
          </w:tcPr>
          <w:p w14:paraId="71105CE6" w14:textId="77777777" w:rsidR="006A3DBC" w:rsidRPr="00CF0F96" w:rsidRDefault="006A3DBC" w:rsidP="00811CA8">
            <w:pPr>
              <w:pStyle w:val="Prrafodelista"/>
              <w:numPr>
                <w:ilvl w:val="0"/>
                <w:numId w:val="69"/>
              </w:numPr>
              <w:spacing w:after="0" w:line="240" w:lineRule="auto"/>
              <w:jc w:val="right"/>
              <w:rPr>
                <w:rFonts w:cs="Arial"/>
                <w:sz w:val="20"/>
                <w:szCs w:val="20"/>
                <w:lang w:val="es-ES"/>
              </w:rPr>
            </w:pPr>
          </w:p>
        </w:tc>
        <w:tc>
          <w:tcPr>
            <w:tcW w:w="1271" w:type="dxa"/>
            <w:tcMar>
              <w:top w:w="0" w:type="dxa"/>
              <w:left w:w="45" w:type="dxa"/>
              <w:bottom w:w="0" w:type="dxa"/>
              <w:right w:w="45" w:type="dxa"/>
            </w:tcMar>
            <w:vAlign w:val="center"/>
          </w:tcPr>
          <w:p w14:paraId="1BC8D5BF" w14:textId="77777777" w:rsidR="006A3DBC" w:rsidRPr="00CF0F96" w:rsidRDefault="006A3DBC" w:rsidP="005F4A92">
            <w:pPr>
              <w:pStyle w:val="Prrafodelista"/>
              <w:spacing w:after="0" w:line="240" w:lineRule="auto"/>
              <w:ind w:left="360"/>
              <w:jc w:val="both"/>
              <w:rPr>
                <w:rFonts w:cs="Arial"/>
                <w:sz w:val="20"/>
                <w:szCs w:val="20"/>
                <w:lang w:val="es-ES"/>
              </w:rPr>
            </w:pPr>
            <w:r w:rsidRPr="00CF0F96">
              <w:rPr>
                <w:rFonts w:cs="Arial"/>
                <w:sz w:val="20"/>
                <w:szCs w:val="20"/>
                <w:lang w:val="es-ES"/>
              </w:rPr>
              <w:t>HN019</w:t>
            </w:r>
          </w:p>
        </w:tc>
        <w:tc>
          <w:tcPr>
            <w:tcW w:w="3119" w:type="dxa"/>
            <w:tcMar>
              <w:top w:w="0" w:type="dxa"/>
              <w:left w:w="45" w:type="dxa"/>
              <w:bottom w:w="0" w:type="dxa"/>
              <w:right w:w="45" w:type="dxa"/>
            </w:tcMar>
            <w:vAlign w:val="center"/>
          </w:tcPr>
          <w:p w14:paraId="02BCD356" w14:textId="77777777" w:rsidR="006A3DBC" w:rsidRPr="00CF0F96" w:rsidRDefault="006A3DBC" w:rsidP="005F4A92">
            <w:pPr>
              <w:spacing w:after="0" w:line="240" w:lineRule="auto"/>
              <w:jc w:val="both"/>
              <w:rPr>
                <w:rFonts w:cs="Arial"/>
                <w:sz w:val="20"/>
                <w:szCs w:val="20"/>
                <w:lang w:val="es-ES"/>
              </w:rPr>
            </w:pPr>
            <w:r w:rsidRPr="00CF0F96">
              <w:rPr>
                <w:rFonts w:cs="Arial"/>
                <w:sz w:val="20"/>
                <w:szCs w:val="20"/>
                <w:lang w:val="es-ES"/>
              </w:rPr>
              <w:t>Comayagua</w:t>
            </w:r>
          </w:p>
        </w:tc>
      </w:tr>
      <w:tr w:rsidR="00CF0F96" w:rsidRPr="00CF0F96" w14:paraId="5D9185BD" w14:textId="77777777" w:rsidTr="005F4A92">
        <w:trPr>
          <w:trHeight w:val="300"/>
          <w:jc w:val="center"/>
        </w:trPr>
        <w:tc>
          <w:tcPr>
            <w:tcW w:w="562" w:type="dxa"/>
          </w:tcPr>
          <w:p w14:paraId="3B30A87A" w14:textId="77777777" w:rsidR="006A3DBC" w:rsidRPr="00CF0F96" w:rsidRDefault="006A3DBC" w:rsidP="00811CA8">
            <w:pPr>
              <w:pStyle w:val="Prrafodelista"/>
              <w:numPr>
                <w:ilvl w:val="0"/>
                <w:numId w:val="69"/>
              </w:numPr>
              <w:spacing w:after="0" w:line="240" w:lineRule="auto"/>
              <w:jc w:val="right"/>
              <w:rPr>
                <w:rFonts w:cs="Arial"/>
                <w:sz w:val="20"/>
                <w:szCs w:val="20"/>
                <w:lang w:val="es-ES"/>
              </w:rPr>
            </w:pPr>
          </w:p>
        </w:tc>
        <w:tc>
          <w:tcPr>
            <w:tcW w:w="1271" w:type="dxa"/>
            <w:tcMar>
              <w:top w:w="0" w:type="dxa"/>
              <w:left w:w="45" w:type="dxa"/>
              <w:bottom w:w="0" w:type="dxa"/>
              <w:right w:w="45" w:type="dxa"/>
            </w:tcMar>
            <w:vAlign w:val="center"/>
          </w:tcPr>
          <w:p w14:paraId="54BC1315" w14:textId="77777777" w:rsidR="006A3DBC" w:rsidRPr="00CF0F96" w:rsidRDefault="006A3DBC" w:rsidP="005F4A92">
            <w:pPr>
              <w:pStyle w:val="Prrafodelista"/>
              <w:spacing w:after="0" w:line="240" w:lineRule="auto"/>
              <w:ind w:left="360"/>
              <w:jc w:val="both"/>
              <w:rPr>
                <w:rFonts w:cs="Arial"/>
                <w:sz w:val="20"/>
                <w:szCs w:val="20"/>
                <w:lang w:val="es-ES"/>
              </w:rPr>
            </w:pPr>
            <w:r w:rsidRPr="00CF0F96">
              <w:rPr>
                <w:rFonts w:cs="Arial"/>
                <w:sz w:val="20"/>
                <w:szCs w:val="20"/>
                <w:lang w:val="es-ES"/>
              </w:rPr>
              <w:t>HN020</w:t>
            </w:r>
          </w:p>
        </w:tc>
        <w:tc>
          <w:tcPr>
            <w:tcW w:w="3119" w:type="dxa"/>
            <w:tcMar>
              <w:top w:w="0" w:type="dxa"/>
              <w:left w:w="45" w:type="dxa"/>
              <w:bottom w:w="0" w:type="dxa"/>
              <w:right w:w="45" w:type="dxa"/>
            </w:tcMar>
            <w:vAlign w:val="center"/>
          </w:tcPr>
          <w:p w14:paraId="4E34E066" w14:textId="77777777" w:rsidR="006A3DBC" w:rsidRPr="00CF0F96" w:rsidRDefault="006A3DBC" w:rsidP="005F4A92">
            <w:pPr>
              <w:spacing w:after="0" w:line="240" w:lineRule="auto"/>
              <w:jc w:val="both"/>
              <w:rPr>
                <w:rFonts w:cs="Arial"/>
                <w:sz w:val="20"/>
                <w:szCs w:val="20"/>
                <w:lang w:val="es-ES"/>
              </w:rPr>
            </w:pPr>
            <w:r w:rsidRPr="00CF0F96">
              <w:rPr>
                <w:rFonts w:cs="Arial"/>
                <w:sz w:val="20"/>
                <w:szCs w:val="20"/>
                <w:lang w:val="es-ES"/>
              </w:rPr>
              <w:t>La Tigra</w:t>
            </w:r>
          </w:p>
        </w:tc>
      </w:tr>
      <w:tr w:rsidR="00CF0F96" w:rsidRPr="00CF0F96" w14:paraId="52CA46AD" w14:textId="77777777" w:rsidTr="005F4A92">
        <w:trPr>
          <w:trHeight w:val="300"/>
          <w:jc w:val="center"/>
        </w:trPr>
        <w:tc>
          <w:tcPr>
            <w:tcW w:w="562" w:type="dxa"/>
          </w:tcPr>
          <w:p w14:paraId="32C497F3" w14:textId="77777777" w:rsidR="006A3DBC" w:rsidRPr="00CF0F96" w:rsidRDefault="006A3DBC" w:rsidP="00811CA8">
            <w:pPr>
              <w:pStyle w:val="Prrafodelista"/>
              <w:numPr>
                <w:ilvl w:val="0"/>
                <w:numId w:val="69"/>
              </w:numPr>
              <w:spacing w:after="0" w:line="240" w:lineRule="auto"/>
              <w:jc w:val="right"/>
              <w:rPr>
                <w:rFonts w:cs="Arial"/>
                <w:sz w:val="20"/>
                <w:szCs w:val="20"/>
                <w:lang w:val="es-ES"/>
              </w:rPr>
            </w:pPr>
          </w:p>
        </w:tc>
        <w:tc>
          <w:tcPr>
            <w:tcW w:w="1271" w:type="dxa"/>
            <w:tcMar>
              <w:top w:w="0" w:type="dxa"/>
              <w:left w:w="45" w:type="dxa"/>
              <w:bottom w:w="0" w:type="dxa"/>
              <w:right w:w="45" w:type="dxa"/>
            </w:tcMar>
            <w:vAlign w:val="center"/>
          </w:tcPr>
          <w:p w14:paraId="3B061B85" w14:textId="77777777" w:rsidR="006A3DBC" w:rsidRPr="00CF0F96" w:rsidRDefault="006A3DBC" w:rsidP="005F4A92">
            <w:pPr>
              <w:pStyle w:val="Prrafodelista"/>
              <w:spacing w:after="0" w:line="240" w:lineRule="auto"/>
              <w:ind w:left="360"/>
              <w:jc w:val="both"/>
              <w:rPr>
                <w:rFonts w:cs="Arial"/>
                <w:sz w:val="20"/>
                <w:szCs w:val="20"/>
                <w:lang w:val="es-ES"/>
              </w:rPr>
            </w:pPr>
            <w:r w:rsidRPr="00CF0F96">
              <w:rPr>
                <w:rFonts w:cs="Arial"/>
                <w:sz w:val="20"/>
                <w:szCs w:val="20"/>
                <w:lang w:val="es-ES"/>
              </w:rPr>
              <w:t>HN021</w:t>
            </w:r>
          </w:p>
        </w:tc>
        <w:tc>
          <w:tcPr>
            <w:tcW w:w="3119" w:type="dxa"/>
            <w:tcMar>
              <w:top w:w="0" w:type="dxa"/>
              <w:left w:w="45" w:type="dxa"/>
              <w:bottom w:w="0" w:type="dxa"/>
              <w:right w:w="45" w:type="dxa"/>
            </w:tcMar>
            <w:vAlign w:val="center"/>
          </w:tcPr>
          <w:p w14:paraId="745A99C6" w14:textId="77777777" w:rsidR="006A3DBC" w:rsidRPr="00CF0F96" w:rsidRDefault="006A3DBC" w:rsidP="005F4A92">
            <w:pPr>
              <w:spacing w:after="0" w:line="240" w:lineRule="auto"/>
              <w:jc w:val="both"/>
              <w:rPr>
                <w:rFonts w:cs="Arial"/>
                <w:sz w:val="20"/>
                <w:szCs w:val="20"/>
                <w:lang w:val="es-ES"/>
              </w:rPr>
            </w:pPr>
            <w:r w:rsidRPr="00CF0F96">
              <w:rPr>
                <w:rFonts w:cs="Arial"/>
                <w:sz w:val="20"/>
                <w:szCs w:val="20"/>
                <w:lang w:val="es-ES"/>
              </w:rPr>
              <w:t>Chismuyo/Coyolito</w:t>
            </w:r>
          </w:p>
        </w:tc>
      </w:tr>
      <w:tr w:rsidR="00CF0F96" w:rsidRPr="00CF0F96" w14:paraId="6AB2BAF6" w14:textId="77777777" w:rsidTr="005F4A92">
        <w:trPr>
          <w:trHeight w:val="300"/>
          <w:jc w:val="center"/>
        </w:trPr>
        <w:tc>
          <w:tcPr>
            <w:tcW w:w="562" w:type="dxa"/>
          </w:tcPr>
          <w:p w14:paraId="35063D87" w14:textId="77777777" w:rsidR="006A3DBC" w:rsidRPr="00CF0F96" w:rsidRDefault="006A3DBC" w:rsidP="00811CA8">
            <w:pPr>
              <w:pStyle w:val="Prrafodelista"/>
              <w:numPr>
                <w:ilvl w:val="0"/>
                <w:numId w:val="69"/>
              </w:numPr>
              <w:spacing w:after="0" w:line="240" w:lineRule="auto"/>
              <w:jc w:val="right"/>
              <w:rPr>
                <w:rFonts w:cs="Arial"/>
                <w:sz w:val="20"/>
                <w:szCs w:val="20"/>
                <w:lang w:val="es-ES"/>
              </w:rPr>
            </w:pPr>
          </w:p>
        </w:tc>
        <w:tc>
          <w:tcPr>
            <w:tcW w:w="1271" w:type="dxa"/>
            <w:tcMar>
              <w:top w:w="0" w:type="dxa"/>
              <w:left w:w="45" w:type="dxa"/>
              <w:bottom w:w="0" w:type="dxa"/>
              <w:right w:w="45" w:type="dxa"/>
            </w:tcMar>
            <w:vAlign w:val="center"/>
          </w:tcPr>
          <w:p w14:paraId="4B734659" w14:textId="77777777" w:rsidR="006A3DBC" w:rsidRPr="00CF0F96" w:rsidRDefault="006A3DBC" w:rsidP="005F4A92">
            <w:pPr>
              <w:pStyle w:val="Prrafodelista"/>
              <w:spacing w:after="0" w:line="240" w:lineRule="auto"/>
              <w:ind w:left="360"/>
              <w:jc w:val="both"/>
              <w:rPr>
                <w:rFonts w:cs="Arial"/>
                <w:sz w:val="20"/>
                <w:szCs w:val="20"/>
                <w:lang w:val="es-ES"/>
              </w:rPr>
            </w:pPr>
            <w:r w:rsidRPr="00CF0F96">
              <w:rPr>
                <w:rFonts w:cs="Arial"/>
                <w:sz w:val="20"/>
                <w:szCs w:val="20"/>
                <w:lang w:val="es-ES"/>
              </w:rPr>
              <w:t>HN022</w:t>
            </w:r>
          </w:p>
        </w:tc>
        <w:tc>
          <w:tcPr>
            <w:tcW w:w="3119" w:type="dxa"/>
            <w:tcMar>
              <w:top w:w="0" w:type="dxa"/>
              <w:left w:w="45" w:type="dxa"/>
              <w:bottom w:w="0" w:type="dxa"/>
              <w:right w:w="45" w:type="dxa"/>
            </w:tcMar>
            <w:vAlign w:val="center"/>
          </w:tcPr>
          <w:p w14:paraId="205EAA29" w14:textId="77777777" w:rsidR="006A3DBC" w:rsidRPr="00CF0F96" w:rsidRDefault="006A3DBC" w:rsidP="005F4A92">
            <w:pPr>
              <w:spacing w:after="0" w:line="240" w:lineRule="auto"/>
              <w:jc w:val="both"/>
              <w:rPr>
                <w:rFonts w:cs="Arial"/>
                <w:sz w:val="20"/>
                <w:szCs w:val="20"/>
                <w:lang w:val="es-ES"/>
              </w:rPr>
            </w:pPr>
            <w:r w:rsidRPr="00CF0F96">
              <w:rPr>
                <w:rFonts w:cs="Arial"/>
                <w:sz w:val="20"/>
                <w:szCs w:val="20"/>
                <w:lang w:val="es-ES"/>
              </w:rPr>
              <w:t xml:space="preserve">La Botija </w:t>
            </w:r>
          </w:p>
        </w:tc>
      </w:tr>
      <w:tr w:rsidR="00CF0F96" w:rsidRPr="00CF0F96" w14:paraId="3EEE84C5" w14:textId="77777777" w:rsidTr="005F4A92">
        <w:trPr>
          <w:trHeight w:val="300"/>
          <w:jc w:val="center"/>
        </w:trPr>
        <w:tc>
          <w:tcPr>
            <w:tcW w:w="562" w:type="dxa"/>
          </w:tcPr>
          <w:p w14:paraId="65BB67ED" w14:textId="77777777" w:rsidR="006A3DBC" w:rsidRPr="00CF0F96" w:rsidRDefault="006A3DBC" w:rsidP="00811CA8">
            <w:pPr>
              <w:pStyle w:val="Prrafodelista"/>
              <w:numPr>
                <w:ilvl w:val="0"/>
                <w:numId w:val="69"/>
              </w:numPr>
              <w:spacing w:after="0" w:line="240" w:lineRule="auto"/>
              <w:jc w:val="right"/>
              <w:rPr>
                <w:rFonts w:cs="Arial"/>
                <w:sz w:val="20"/>
                <w:szCs w:val="20"/>
                <w:lang w:val="es-ES"/>
              </w:rPr>
            </w:pPr>
          </w:p>
        </w:tc>
        <w:tc>
          <w:tcPr>
            <w:tcW w:w="1271" w:type="dxa"/>
            <w:tcMar>
              <w:top w:w="0" w:type="dxa"/>
              <w:left w:w="45" w:type="dxa"/>
              <w:bottom w:w="0" w:type="dxa"/>
              <w:right w:w="45" w:type="dxa"/>
            </w:tcMar>
            <w:vAlign w:val="center"/>
          </w:tcPr>
          <w:p w14:paraId="618ED2E7" w14:textId="77777777" w:rsidR="006A3DBC" w:rsidRPr="00CF0F96" w:rsidRDefault="006A3DBC" w:rsidP="005F4A92">
            <w:pPr>
              <w:pStyle w:val="Prrafodelista"/>
              <w:spacing w:after="0" w:line="240" w:lineRule="auto"/>
              <w:ind w:left="360"/>
              <w:jc w:val="both"/>
              <w:rPr>
                <w:rFonts w:cs="Arial"/>
                <w:sz w:val="20"/>
                <w:szCs w:val="20"/>
                <w:lang w:val="es-ES"/>
              </w:rPr>
            </w:pPr>
            <w:r w:rsidRPr="00CF0F96">
              <w:rPr>
                <w:rFonts w:cs="Arial"/>
                <w:sz w:val="20"/>
                <w:szCs w:val="20"/>
                <w:lang w:val="es-ES"/>
              </w:rPr>
              <w:t>HN023</w:t>
            </w:r>
          </w:p>
        </w:tc>
        <w:tc>
          <w:tcPr>
            <w:tcW w:w="3119" w:type="dxa"/>
            <w:tcMar>
              <w:top w:w="0" w:type="dxa"/>
              <w:left w:w="45" w:type="dxa"/>
              <w:bottom w:w="0" w:type="dxa"/>
              <w:right w:w="45" w:type="dxa"/>
            </w:tcMar>
            <w:vAlign w:val="center"/>
          </w:tcPr>
          <w:p w14:paraId="3F3DBFA9" w14:textId="77777777" w:rsidR="006A3DBC" w:rsidRPr="00CF0F96" w:rsidRDefault="006A3DBC" w:rsidP="005F4A92">
            <w:pPr>
              <w:spacing w:after="0" w:line="240" w:lineRule="auto"/>
              <w:jc w:val="both"/>
              <w:rPr>
                <w:rFonts w:cs="Arial"/>
                <w:sz w:val="20"/>
                <w:szCs w:val="20"/>
                <w:lang w:val="es-ES"/>
              </w:rPr>
            </w:pPr>
            <w:r w:rsidRPr="00CF0F96">
              <w:rPr>
                <w:rFonts w:cs="Arial"/>
                <w:sz w:val="20"/>
                <w:szCs w:val="20"/>
                <w:lang w:val="es-ES"/>
              </w:rPr>
              <w:t>El Jicarito</w:t>
            </w:r>
          </w:p>
        </w:tc>
      </w:tr>
    </w:tbl>
    <w:p w14:paraId="5F685341" w14:textId="77777777" w:rsidR="006A3DBC" w:rsidRPr="00FA4B2D" w:rsidRDefault="006A3DBC" w:rsidP="006A3DBC">
      <w:pPr>
        <w:spacing w:after="0" w:line="240" w:lineRule="auto"/>
        <w:rPr>
          <w:rFonts w:cs="Arial"/>
          <w:sz w:val="20"/>
          <w:szCs w:val="20"/>
          <w:shd w:val="clear" w:color="auto" w:fill="FFFFFF"/>
        </w:rPr>
      </w:pPr>
      <w:r w:rsidRPr="00FA4B2D">
        <w:rPr>
          <w:rFonts w:cs="Arial"/>
          <w:sz w:val="20"/>
          <w:szCs w:val="20"/>
          <w:shd w:val="clear" w:color="auto" w:fill="FFFFFF"/>
        </w:rPr>
        <w:t xml:space="preserve">                                    </w:t>
      </w:r>
      <w:r w:rsidRPr="00FA4B2D">
        <w:rPr>
          <w:rFonts w:cs="Arial"/>
          <w:b/>
          <w:bCs/>
          <w:sz w:val="20"/>
          <w:szCs w:val="20"/>
          <w:shd w:val="clear" w:color="auto" w:fill="FFFFFF"/>
        </w:rPr>
        <w:t>Fuente:</w:t>
      </w:r>
      <w:r w:rsidRPr="00FA4B2D">
        <w:rPr>
          <w:rFonts w:cs="Arial"/>
          <w:sz w:val="20"/>
          <w:szCs w:val="20"/>
          <w:shd w:val="clear" w:color="auto" w:fill="FFFFFF"/>
        </w:rPr>
        <w:t xml:space="preserve"> MiAmbiente, 2018.</w:t>
      </w:r>
    </w:p>
    <w:p w14:paraId="404ECEB6" w14:textId="77777777" w:rsidR="006A3DBC" w:rsidRPr="00FA4B2D" w:rsidRDefault="006A3DBC" w:rsidP="006A3DBC">
      <w:pPr>
        <w:spacing w:after="0" w:line="240" w:lineRule="auto"/>
        <w:jc w:val="both"/>
        <w:rPr>
          <w:rFonts w:cs="Arial"/>
          <w:shd w:val="clear" w:color="auto" w:fill="FFFFFF"/>
        </w:rPr>
      </w:pPr>
    </w:p>
    <w:p w14:paraId="2A5CFDC0" w14:textId="77777777" w:rsidR="006A3DBC" w:rsidRPr="00FA4B2D" w:rsidRDefault="006A3DBC" w:rsidP="006A3DBC">
      <w:pPr>
        <w:spacing w:after="0" w:line="240" w:lineRule="auto"/>
        <w:jc w:val="both"/>
        <w:rPr>
          <w:rFonts w:cs="Arial"/>
          <w:shd w:val="clear" w:color="auto" w:fill="FFFFFF"/>
        </w:rPr>
      </w:pPr>
    </w:p>
    <w:p w14:paraId="4C7F7C3A" w14:textId="77777777" w:rsidR="006A3DBC" w:rsidRPr="00FA4B2D" w:rsidRDefault="006A3DBC" w:rsidP="006A3DBC">
      <w:pPr>
        <w:rPr>
          <w:rFonts w:cs="Arial"/>
          <w:b/>
          <w:bCs/>
          <w:i/>
          <w:iCs/>
        </w:rPr>
      </w:pPr>
      <w:r w:rsidRPr="00FA4B2D">
        <w:rPr>
          <w:rFonts w:cs="Arial"/>
          <w:b/>
          <w:bCs/>
          <w:i/>
          <w:iCs/>
        </w:rPr>
        <w:br w:type="page"/>
      </w:r>
    </w:p>
    <w:p w14:paraId="46BB88F0" w14:textId="0D136C1C" w:rsidR="00856B8B" w:rsidRDefault="00856B8B" w:rsidP="00856B8B">
      <w:pPr>
        <w:pStyle w:val="Descripcin"/>
        <w:keepNext/>
        <w:jc w:val="both"/>
      </w:pPr>
      <w:bookmarkStart w:id="325" w:name="_Toc202455570"/>
      <w:r>
        <w:lastRenderedPageBreak/>
        <w:t xml:space="preserve">Ilustración </w:t>
      </w:r>
      <w:r>
        <w:fldChar w:fldCharType="begin"/>
      </w:r>
      <w:r>
        <w:instrText xml:space="preserve"> SEQ Ilustración \* ARABIC </w:instrText>
      </w:r>
      <w:r>
        <w:fldChar w:fldCharType="separate"/>
      </w:r>
      <w:r w:rsidR="00F94AC4">
        <w:rPr>
          <w:noProof/>
        </w:rPr>
        <w:t>8</w:t>
      </w:r>
      <w:r>
        <w:fldChar w:fldCharType="end"/>
      </w:r>
      <w:r>
        <w:t xml:space="preserve">: </w:t>
      </w:r>
      <w:r w:rsidRPr="00F80FD7">
        <w:t>Mapa de Áreas Importantes para las Aves y la Biodiversidad</w:t>
      </w:r>
      <w:bookmarkEnd w:id="325"/>
    </w:p>
    <w:p w14:paraId="7FA62D17" w14:textId="77777777" w:rsidR="006A3DBC" w:rsidRPr="00FA4B2D" w:rsidRDefault="006A3DBC" w:rsidP="006A3DBC">
      <w:pPr>
        <w:spacing w:after="0" w:line="240" w:lineRule="auto"/>
        <w:jc w:val="both"/>
        <w:rPr>
          <w:rFonts w:cs="Arial"/>
          <w:shd w:val="clear" w:color="auto" w:fill="FFFFFF"/>
        </w:rPr>
      </w:pPr>
      <w:r w:rsidRPr="00FA4B2D">
        <w:rPr>
          <w:rFonts w:cs="Arial"/>
          <w:noProof/>
          <w:lang w:val="es-HN" w:eastAsia="es-HN"/>
        </w:rPr>
        <w:drawing>
          <wp:inline distT="0" distB="0" distL="0" distR="0" wp14:anchorId="08E987BE" wp14:editId="020949B6">
            <wp:extent cx="5670550" cy="4122420"/>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0550" cy="4122420"/>
                    </a:xfrm>
                    <a:prstGeom prst="rect">
                      <a:avLst/>
                    </a:prstGeom>
                    <a:noFill/>
                    <a:ln>
                      <a:noFill/>
                    </a:ln>
                  </pic:spPr>
                </pic:pic>
              </a:graphicData>
            </a:graphic>
          </wp:inline>
        </w:drawing>
      </w:r>
    </w:p>
    <w:p w14:paraId="251CC318" w14:textId="77777777" w:rsidR="006A3DBC" w:rsidRPr="00FA4B2D" w:rsidRDefault="006A3DBC" w:rsidP="006A3DBC">
      <w:pPr>
        <w:pStyle w:val="Sinespaciado"/>
        <w:rPr>
          <w:rFonts w:ascii="Arial" w:hAnsi="Arial" w:cs="Arial"/>
          <w:color w:val="767171" w:themeColor="background2" w:themeShade="80"/>
          <w:sz w:val="18"/>
          <w:szCs w:val="18"/>
          <w:shd w:val="clear" w:color="auto" w:fill="FFFFFF"/>
        </w:rPr>
      </w:pPr>
      <w:r w:rsidRPr="00FA4B2D">
        <w:rPr>
          <w:rFonts w:ascii="Arial" w:hAnsi="Arial" w:cs="Arial"/>
          <w:b/>
          <w:bCs/>
          <w:color w:val="767171" w:themeColor="background2" w:themeShade="80"/>
          <w:sz w:val="18"/>
          <w:szCs w:val="18"/>
        </w:rPr>
        <w:t>Fuente</w:t>
      </w:r>
      <w:r w:rsidRPr="00FA4B2D">
        <w:rPr>
          <w:rFonts w:ascii="Arial" w:hAnsi="Arial" w:cs="Arial"/>
          <w:color w:val="767171" w:themeColor="background2" w:themeShade="80"/>
          <w:sz w:val="18"/>
          <w:szCs w:val="18"/>
        </w:rPr>
        <w:t>: Galdámes, J.A., L.I. López, J.M. Mora y N.S. Ulloa. 2018.</w:t>
      </w:r>
    </w:p>
    <w:p w14:paraId="5B752D62" w14:textId="77777777" w:rsidR="006A3DBC" w:rsidRPr="00FA4B2D" w:rsidRDefault="006A3DBC" w:rsidP="006A3DBC">
      <w:pPr>
        <w:spacing w:after="0" w:line="240" w:lineRule="auto"/>
        <w:jc w:val="both"/>
        <w:rPr>
          <w:rFonts w:cs="Arial"/>
          <w:shd w:val="clear" w:color="auto" w:fill="FFFFFF"/>
        </w:rPr>
      </w:pPr>
    </w:p>
    <w:p w14:paraId="717F5A42" w14:textId="77777777" w:rsidR="006A3DBC" w:rsidRPr="00FA4B2D" w:rsidRDefault="006A3DBC" w:rsidP="006A3DBC">
      <w:pPr>
        <w:spacing w:after="0" w:line="240" w:lineRule="auto"/>
        <w:ind w:left="864"/>
        <w:jc w:val="both"/>
        <w:rPr>
          <w:rFonts w:cs="Arial"/>
        </w:rPr>
      </w:pPr>
      <w:bookmarkStart w:id="326" w:name="_Hlk65779303"/>
      <w:r w:rsidRPr="00FA4B2D">
        <w:rPr>
          <w:rFonts w:cs="Arial"/>
        </w:rPr>
        <w:t>5.4.2 Antecedentes de las Áreas Protegidas</w:t>
      </w:r>
    </w:p>
    <w:p w14:paraId="3DB69727" w14:textId="77777777" w:rsidR="006A3DBC" w:rsidRPr="00FA4B2D" w:rsidRDefault="006A3DBC" w:rsidP="006A3DBC">
      <w:pPr>
        <w:spacing w:after="0" w:line="240" w:lineRule="auto"/>
        <w:jc w:val="both"/>
        <w:rPr>
          <w:rFonts w:cs="Arial"/>
          <w:b/>
          <w:bCs/>
          <w:lang w:val="es-HN"/>
        </w:rPr>
      </w:pPr>
    </w:p>
    <w:p w14:paraId="20D192B4" w14:textId="77777777" w:rsidR="006A3DBC" w:rsidRPr="00FA4B2D" w:rsidRDefault="006A3DBC" w:rsidP="006A3DBC">
      <w:pPr>
        <w:spacing w:after="0" w:line="240" w:lineRule="auto"/>
        <w:jc w:val="both"/>
        <w:rPr>
          <w:rFonts w:cs="Arial"/>
          <w:lang w:val="es-HN"/>
        </w:rPr>
      </w:pPr>
      <w:r w:rsidRPr="00FA4B2D">
        <w:rPr>
          <w:rFonts w:cs="Arial"/>
          <w:lang w:val="es-HN"/>
        </w:rPr>
        <w:t>Históricamente el proceso de creación de áreas protegidas en Honduras se origina en 1952, con la declaratoria de la Reserva Forestal San Juancito como primera área protegida del país (hoy Parque Nacional La Tigra).</w:t>
      </w:r>
    </w:p>
    <w:p w14:paraId="22F5CD92" w14:textId="77777777" w:rsidR="006A3DBC" w:rsidRPr="00FA4B2D" w:rsidRDefault="006A3DBC" w:rsidP="006A3DBC">
      <w:pPr>
        <w:spacing w:after="0" w:line="240" w:lineRule="auto"/>
        <w:jc w:val="both"/>
        <w:rPr>
          <w:rFonts w:cs="Arial"/>
          <w:lang w:val="es-HN"/>
        </w:rPr>
      </w:pPr>
    </w:p>
    <w:p w14:paraId="4ADC2D22" w14:textId="77777777" w:rsidR="006A3DBC" w:rsidRPr="00FA4B2D" w:rsidRDefault="006A3DBC" w:rsidP="006A3DBC">
      <w:pPr>
        <w:spacing w:after="0" w:line="240" w:lineRule="auto"/>
        <w:jc w:val="both"/>
        <w:rPr>
          <w:rFonts w:cs="Arial"/>
          <w:lang w:val="es-HN"/>
        </w:rPr>
      </w:pPr>
      <w:r w:rsidRPr="00FA4B2D">
        <w:rPr>
          <w:rFonts w:cs="Arial"/>
          <w:lang w:val="es-HN"/>
        </w:rPr>
        <w:t>En 1958 se aprueba el Decreto 13-58 para la protección de los Manglares del Golfo de Fonseca. Luego en 1961 se declara a nivel municipal la Reserva Forestal Guanaja a través del Decreto 49-1961. En 1971, el Estado declaró al Lago de Yojoa como Área de Uso Múltiple a través del Decreto 71-71 y en 1978 se decretó como protegido a nivel municipal el Refugio de Vida Silvestre Port Royal.</w:t>
      </w:r>
    </w:p>
    <w:p w14:paraId="7BBC5C0C" w14:textId="77777777" w:rsidR="006A3DBC" w:rsidRPr="00FA4B2D" w:rsidRDefault="006A3DBC" w:rsidP="006A3DBC">
      <w:pPr>
        <w:spacing w:after="0" w:line="240" w:lineRule="auto"/>
        <w:jc w:val="both"/>
        <w:rPr>
          <w:rFonts w:cs="Arial"/>
          <w:lang w:val="es-HN"/>
        </w:rPr>
      </w:pPr>
    </w:p>
    <w:p w14:paraId="04242B61" w14:textId="77777777" w:rsidR="006A3DBC" w:rsidRPr="00FA4B2D" w:rsidRDefault="006A3DBC" w:rsidP="006A3DBC">
      <w:pPr>
        <w:spacing w:after="0" w:line="240" w:lineRule="auto"/>
        <w:jc w:val="both"/>
        <w:rPr>
          <w:rFonts w:cs="Arial"/>
          <w:lang w:val="es-HN"/>
        </w:rPr>
      </w:pPr>
      <w:r w:rsidRPr="00FA4B2D">
        <w:rPr>
          <w:rFonts w:cs="Arial"/>
          <w:lang w:val="es-HN"/>
        </w:rPr>
        <w:t>Posteriormente, considerando la amenaza inminente de la pérdida de biodiversidad y de recursos naturales prioritarios como el agua, se originó en la década de los 80 una amplia declaratoria de áreas protegidas a través del Decreto 87-87, entre las cuales figuran 37 áreas de bosque nublado, la Reserva de Biosfera Río Plátano y el Monumento Nacional Ruinas de Copán.</w:t>
      </w:r>
    </w:p>
    <w:p w14:paraId="7AA0D4D1" w14:textId="77777777" w:rsidR="006A3DBC" w:rsidRPr="00FA4B2D" w:rsidRDefault="006A3DBC" w:rsidP="006A3DBC">
      <w:pPr>
        <w:spacing w:after="0" w:line="240" w:lineRule="auto"/>
        <w:jc w:val="both"/>
        <w:rPr>
          <w:rFonts w:cs="Arial"/>
          <w:lang w:val="es-HN"/>
        </w:rPr>
      </w:pPr>
    </w:p>
    <w:p w14:paraId="0711590E" w14:textId="77777777" w:rsidR="006A3DBC" w:rsidRPr="00FA4B2D" w:rsidRDefault="006A3DBC" w:rsidP="006A3DBC">
      <w:pPr>
        <w:spacing w:after="0" w:line="240" w:lineRule="auto"/>
        <w:jc w:val="both"/>
        <w:rPr>
          <w:rFonts w:cs="Arial"/>
          <w:lang w:val="es-HN"/>
        </w:rPr>
      </w:pPr>
      <w:r w:rsidRPr="00FA4B2D">
        <w:rPr>
          <w:rFonts w:cs="Arial"/>
          <w:lang w:val="es-HN"/>
        </w:rPr>
        <w:lastRenderedPageBreak/>
        <w:t>Con la publicación de la Ley General del Ambiente en 1993, se acuerda la creación del SINAPH, proporcionando así un amparo institucional al conjunto de áreas legalmente protegidas.</w:t>
      </w:r>
    </w:p>
    <w:p w14:paraId="3F921CC4" w14:textId="77777777" w:rsidR="006A3DBC" w:rsidRPr="00FA4B2D" w:rsidRDefault="006A3DBC" w:rsidP="006A3DBC">
      <w:pPr>
        <w:spacing w:after="0" w:line="240" w:lineRule="auto"/>
        <w:jc w:val="both"/>
        <w:rPr>
          <w:rFonts w:cs="Arial"/>
          <w:lang w:val="es-HN"/>
        </w:rPr>
      </w:pPr>
    </w:p>
    <w:p w14:paraId="63666B42" w14:textId="77777777" w:rsidR="006A3DBC" w:rsidRPr="00FA4B2D" w:rsidRDefault="006A3DBC" w:rsidP="006A3DBC">
      <w:pPr>
        <w:spacing w:after="0" w:line="240" w:lineRule="auto"/>
        <w:jc w:val="both"/>
        <w:rPr>
          <w:rFonts w:cs="Arial"/>
          <w:lang w:val="es-HN"/>
        </w:rPr>
      </w:pPr>
      <w:r w:rsidRPr="00FA4B2D">
        <w:rPr>
          <w:rFonts w:cs="Arial"/>
          <w:lang w:val="es-HN"/>
        </w:rPr>
        <w:t>En 1991 se crea el Departamento de Áreas Protegidas y Vida Silvestre (DAPVS) como una instancia estatal normativa y administradora de las áreas protegidas, generando en 1994 el primer Manual de Normas Técnicas-Administrativas de las Áreas Protegidas de Honduras.</w:t>
      </w:r>
    </w:p>
    <w:p w14:paraId="6B2DBDEE" w14:textId="77777777" w:rsidR="006A3DBC" w:rsidRPr="00FA4B2D" w:rsidRDefault="006A3DBC" w:rsidP="006A3DBC">
      <w:pPr>
        <w:spacing w:after="0" w:line="240" w:lineRule="auto"/>
        <w:jc w:val="both"/>
        <w:rPr>
          <w:rFonts w:cs="Arial"/>
          <w:lang w:val="es-HN"/>
        </w:rPr>
      </w:pPr>
    </w:p>
    <w:p w14:paraId="54DC566F" w14:textId="77777777" w:rsidR="006A3DBC" w:rsidRPr="00FA4B2D" w:rsidRDefault="006A3DBC" w:rsidP="006A3DBC">
      <w:pPr>
        <w:spacing w:after="0" w:line="240" w:lineRule="auto"/>
        <w:jc w:val="both"/>
        <w:rPr>
          <w:rFonts w:cs="Arial"/>
          <w:lang w:val="es-HN"/>
        </w:rPr>
      </w:pPr>
      <w:r w:rsidRPr="00FA4B2D">
        <w:rPr>
          <w:rFonts w:cs="Arial"/>
          <w:lang w:val="es-HN"/>
        </w:rPr>
        <w:t>En este periodo se crean nuevas áreas protegidas y se evidencia la participación de la sociedad civil organizada en alianzas con el sector gubernamental a través del establecimiento de convenios de co-manejo.</w:t>
      </w:r>
    </w:p>
    <w:p w14:paraId="23ECCDA6" w14:textId="77777777" w:rsidR="006A3DBC" w:rsidRPr="00FA4B2D" w:rsidRDefault="006A3DBC" w:rsidP="006A3DBC">
      <w:pPr>
        <w:spacing w:after="0" w:line="240" w:lineRule="auto"/>
        <w:jc w:val="both"/>
        <w:rPr>
          <w:rFonts w:cs="Arial"/>
          <w:lang w:val="es-HN"/>
        </w:rPr>
      </w:pPr>
    </w:p>
    <w:p w14:paraId="4E9A0D4E" w14:textId="77777777" w:rsidR="006A3DBC" w:rsidRPr="00FA4B2D" w:rsidRDefault="006A3DBC" w:rsidP="006A3DBC">
      <w:pPr>
        <w:spacing w:after="0" w:line="240" w:lineRule="auto"/>
        <w:jc w:val="both"/>
        <w:rPr>
          <w:rFonts w:cs="Arial"/>
          <w:lang w:val="es-HN"/>
        </w:rPr>
      </w:pPr>
      <w:r w:rsidRPr="00FA4B2D">
        <w:rPr>
          <w:rFonts w:cs="Arial"/>
          <w:lang w:val="es-HN"/>
        </w:rPr>
        <w:t>A partir del 2000, se han declarado el Parque Nacional Punta Izopo, el Monumento Natural Marino Cayos Cochinos, el Área de Uso Múltiple La Botija, Área de Manejo Hábitat/Especie Colibrí Esmeralda Hondureño, el Parque Nacional Nombre de Dios y el Parque Nacional Marino Islas de la Bahía.</w:t>
      </w:r>
    </w:p>
    <w:p w14:paraId="06FD456D" w14:textId="77777777" w:rsidR="006A3DBC" w:rsidRPr="00FA4B2D" w:rsidRDefault="006A3DBC" w:rsidP="006A3DBC">
      <w:pPr>
        <w:spacing w:after="0" w:line="240" w:lineRule="auto"/>
        <w:jc w:val="both"/>
        <w:rPr>
          <w:rFonts w:cs="Arial"/>
          <w:lang w:val="es-HN"/>
        </w:rPr>
      </w:pPr>
    </w:p>
    <w:p w14:paraId="3D5D2324" w14:textId="77777777" w:rsidR="006A3DBC" w:rsidRPr="00FA4B2D" w:rsidRDefault="006A3DBC" w:rsidP="006A3DBC">
      <w:pPr>
        <w:spacing w:after="0" w:line="240" w:lineRule="auto"/>
        <w:jc w:val="both"/>
        <w:rPr>
          <w:rFonts w:cs="Arial"/>
          <w:lang w:val="es-HN"/>
        </w:rPr>
      </w:pPr>
      <w:r w:rsidRPr="00FA4B2D">
        <w:rPr>
          <w:rFonts w:cs="Arial"/>
          <w:lang w:val="es-HN"/>
        </w:rPr>
        <w:t>En el siguiente mapa se pueden observar las reservar ecológicas o áreas protegidas por categoría en los departamentos de influencia del COMRURAL III:</w:t>
      </w:r>
    </w:p>
    <w:p w14:paraId="32A31990" w14:textId="77777777" w:rsidR="006A3DBC" w:rsidRPr="00FA4B2D" w:rsidRDefault="006A3DBC" w:rsidP="006A3DBC">
      <w:pPr>
        <w:spacing w:after="0" w:line="240" w:lineRule="auto"/>
        <w:jc w:val="both"/>
        <w:rPr>
          <w:rFonts w:cs="Arial"/>
          <w:lang w:val="es-HN"/>
        </w:rPr>
      </w:pPr>
    </w:p>
    <w:p w14:paraId="02F80B68" w14:textId="1C2BEC1F" w:rsidR="00856B8B" w:rsidRDefault="00856B8B" w:rsidP="00856B8B">
      <w:pPr>
        <w:pStyle w:val="Descripcin"/>
        <w:keepNext/>
        <w:jc w:val="center"/>
      </w:pPr>
      <w:bookmarkStart w:id="327" w:name="_Toc202455571"/>
      <w:r>
        <w:t xml:space="preserve">Ilustración </w:t>
      </w:r>
      <w:r>
        <w:fldChar w:fldCharType="begin"/>
      </w:r>
      <w:r>
        <w:instrText xml:space="preserve"> SEQ Ilustración \* ARABIC </w:instrText>
      </w:r>
      <w:r>
        <w:fldChar w:fldCharType="separate"/>
      </w:r>
      <w:r w:rsidR="00F94AC4">
        <w:rPr>
          <w:noProof/>
        </w:rPr>
        <w:t>9</w:t>
      </w:r>
      <w:r>
        <w:fldChar w:fldCharType="end"/>
      </w:r>
      <w:r>
        <w:t xml:space="preserve">: </w:t>
      </w:r>
      <w:r w:rsidRPr="00E47848">
        <w:t>Mapa de Áreas Protegidas por Categoría en los Departamentos de Influencia de COMRURAL III</w:t>
      </w:r>
      <w:bookmarkEnd w:id="327"/>
    </w:p>
    <w:p w14:paraId="4FF2AC46" w14:textId="77777777" w:rsidR="006A3DBC" w:rsidRPr="00FA4B2D" w:rsidRDefault="006A3DBC" w:rsidP="006A3DBC">
      <w:pPr>
        <w:spacing w:after="0" w:line="240" w:lineRule="auto"/>
        <w:jc w:val="center"/>
        <w:rPr>
          <w:rFonts w:cs="Arial"/>
          <w:lang w:val="es-HN"/>
        </w:rPr>
      </w:pPr>
      <w:r w:rsidRPr="00FA4B2D">
        <w:rPr>
          <w:rFonts w:cs="Arial"/>
          <w:noProof/>
          <w:lang w:val="es-HN" w:eastAsia="es-HN"/>
        </w:rPr>
        <w:drawing>
          <wp:inline distT="0" distB="0" distL="0" distR="0" wp14:anchorId="395D7BBF" wp14:editId="526123CE">
            <wp:extent cx="5741582" cy="325564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24">
                      <a:extLst>
                        <a:ext uri="{28A0092B-C50C-407E-A947-70E740481C1C}">
                          <a14:useLocalDpi xmlns:a14="http://schemas.microsoft.com/office/drawing/2010/main" val="0"/>
                        </a:ext>
                      </a:extLst>
                    </a:blip>
                    <a:stretch>
                      <a:fillRect/>
                    </a:stretch>
                  </pic:blipFill>
                  <pic:spPr>
                    <a:xfrm>
                      <a:off x="0" y="0"/>
                      <a:ext cx="5743723" cy="3256859"/>
                    </a:xfrm>
                    <a:prstGeom prst="rect">
                      <a:avLst/>
                    </a:prstGeom>
                  </pic:spPr>
                </pic:pic>
              </a:graphicData>
            </a:graphic>
          </wp:inline>
        </w:drawing>
      </w:r>
    </w:p>
    <w:p w14:paraId="2BC7D6CB" w14:textId="77777777" w:rsidR="006A3DBC" w:rsidRPr="00FA4B2D" w:rsidRDefault="006A3DBC" w:rsidP="006A3DBC">
      <w:pPr>
        <w:spacing w:after="0" w:line="240" w:lineRule="auto"/>
        <w:jc w:val="both"/>
        <w:rPr>
          <w:rFonts w:cs="Arial"/>
          <w:lang w:val="es-HN"/>
        </w:rPr>
      </w:pPr>
    </w:p>
    <w:p w14:paraId="751BCFE8" w14:textId="77777777" w:rsidR="006A3DBC" w:rsidRPr="00FA4B2D" w:rsidRDefault="006A3DBC" w:rsidP="006A3DBC">
      <w:pPr>
        <w:spacing w:after="0" w:line="240" w:lineRule="auto"/>
        <w:ind w:left="864"/>
        <w:jc w:val="both"/>
        <w:rPr>
          <w:rFonts w:cs="Arial"/>
        </w:rPr>
      </w:pPr>
      <w:r w:rsidRPr="00FA4B2D">
        <w:rPr>
          <w:rFonts w:cs="Arial"/>
        </w:rPr>
        <w:t>5.4.3 Áreas protegidas</w:t>
      </w:r>
    </w:p>
    <w:p w14:paraId="4703FD7A" w14:textId="77777777" w:rsidR="006A3DBC" w:rsidRPr="00FA4B2D" w:rsidRDefault="006A3DBC" w:rsidP="006A3DBC">
      <w:pPr>
        <w:spacing w:after="0" w:line="240" w:lineRule="auto"/>
        <w:jc w:val="both"/>
        <w:rPr>
          <w:rFonts w:cs="Arial"/>
          <w:b/>
          <w:bCs/>
          <w:lang w:val="es-HN"/>
        </w:rPr>
      </w:pPr>
    </w:p>
    <w:p w14:paraId="7F201772" w14:textId="77777777" w:rsidR="006A3DBC" w:rsidRPr="00FA4B2D" w:rsidRDefault="006A3DBC" w:rsidP="006A3DBC">
      <w:pPr>
        <w:spacing w:after="0" w:line="240" w:lineRule="auto"/>
        <w:jc w:val="both"/>
        <w:rPr>
          <w:rFonts w:cs="Arial"/>
        </w:rPr>
      </w:pPr>
      <w:r w:rsidRPr="00FA4B2D">
        <w:rPr>
          <w:rFonts w:cs="Arial"/>
        </w:rPr>
        <w:t xml:space="preserve">En materia de conservación de la biodiversidad, los mayores avances han sido a través de la conservación in situ, mediante la declaratoria de 91 espacios (ICF, 2010) protegidos dentro del SINAPH, que está formado por reservas de biósfera, parques </w:t>
      </w:r>
      <w:r w:rsidRPr="00FA4B2D">
        <w:rPr>
          <w:rFonts w:cs="Arial"/>
        </w:rPr>
        <w:lastRenderedPageBreak/>
        <w:t xml:space="preserve">nacionales, refugios de vida silvestre, monumentos naturales, reservas biológicas, reservas antropológicas, áreas insulares del territorio nacional u otras categorías de manejo que fuera necesario establecer, a fin de asegurar la protección de la naturaleza. El SINAPH destaca en atención a su importancia para la biodiversidad, así como para otros factores socioeconómicos como la provisión de servicios ecosistémicos como agua y ecoturismo, principalmente. </w:t>
      </w:r>
    </w:p>
    <w:p w14:paraId="0D30605C" w14:textId="77777777" w:rsidR="006A3DBC" w:rsidRPr="00FA4B2D" w:rsidRDefault="006A3DBC" w:rsidP="006A3DBC">
      <w:pPr>
        <w:spacing w:after="0" w:line="240" w:lineRule="auto"/>
        <w:jc w:val="both"/>
        <w:rPr>
          <w:rFonts w:cs="Arial"/>
        </w:rPr>
      </w:pPr>
    </w:p>
    <w:p w14:paraId="13ED6B49" w14:textId="77777777" w:rsidR="006A3DBC" w:rsidRPr="00FA4B2D" w:rsidRDefault="006A3DBC" w:rsidP="006A3DBC">
      <w:pPr>
        <w:spacing w:after="0" w:line="240" w:lineRule="auto"/>
        <w:jc w:val="both"/>
        <w:rPr>
          <w:rFonts w:cs="Arial"/>
        </w:rPr>
      </w:pPr>
      <w:r w:rsidRPr="00FA4B2D">
        <w:rPr>
          <w:rFonts w:cs="Arial"/>
        </w:rPr>
        <w:t>Adicionalmente se han implementado en el país la gestión de reservas privadas, en amparo de la Ley Forestal, Áreas Protegidas y Vida Silvestre (Art. 66) se crea el Reglamento para la Certificación de Reservas Naturales Privadas (Acuerdo Ejecutivo 107-A-2013), impulsada por la Red Hondureña de Reservas Naturales Privadas (REHNAP), creada en 2004.</w:t>
      </w:r>
    </w:p>
    <w:p w14:paraId="16399C66" w14:textId="77777777" w:rsidR="006A3DBC" w:rsidRPr="00FA4B2D" w:rsidRDefault="006A3DBC" w:rsidP="006A3DBC">
      <w:pPr>
        <w:spacing w:after="0" w:line="240" w:lineRule="auto"/>
        <w:jc w:val="both"/>
        <w:rPr>
          <w:rFonts w:cs="Arial"/>
        </w:rPr>
      </w:pPr>
      <w:r w:rsidRPr="00FA4B2D">
        <w:rPr>
          <w:rFonts w:cs="Arial"/>
        </w:rPr>
        <w:t xml:space="preserve"> </w:t>
      </w:r>
    </w:p>
    <w:p w14:paraId="3B31B678" w14:textId="77777777" w:rsidR="006A3DBC" w:rsidRPr="00FA4B2D" w:rsidRDefault="006A3DBC" w:rsidP="006A3DBC">
      <w:pPr>
        <w:spacing w:after="0" w:line="240" w:lineRule="auto"/>
        <w:jc w:val="both"/>
        <w:rPr>
          <w:rFonts w:cs="Arial"/>
        </w:rPr>
      </w:pPr>
      <w:r w:rsidRPr="00FA4B2D">
        <w:rPr>
          <w:rFonts w:cs="Arial"/>
        </w:rPr>
        <w:t>REHNAP está compuesta de 75 miembros, incluyendo 82 reservas naturales privadas que abarcan aproximadamente 64,000 hectáreas (0,56 % del territorio de Honduras) de bosques naturales, entre ellos bosques de pino-encino, bosque seco, bosque lluvioso tropical, así como plantaciones bajo sistemas agroforestales</w:t>
      </w:r>
      <w:r w:rsidRPr="00FA4B2D">
        <w:rPr>
          <w:rStyle w:val="Refdenotaalpie"/>
          <w:rFonts w:cs="Arial"/>
        </w:rPr>
        <w:footnoteReference w:id="9"/>
      </w:r>
      <w:r w:rsidRPr="00FA4B2D">
        <w:rPr>
          <w:rFonts w:cs="Arial"/>
        </w:rPr>
        <w:t>. Las reservas naturales privadas pueden ser reconocidas como áreas protegidas por el ICF, una vez certificadas pueden fortalecer y ampliar los objetivos de conservación del Sistema Nacional de Áreas Protegidas de Honduras (SINAPH). Las iniciativas para identificar y certificar reservas privadas han sido apoyadas por proyectos financiados por USAID.</w:t>
      </w:r>
    </w:p>
    <w:p w14:paraId="7D31E305" w14:textId="77777777" w:rsidR="006A3DBC" w:rsidRPr="00FA4B2D" w:rsidRDefault="006A3DBC" w:rsidP="006A3DBC">
      <w:pPr>
        <w:spacing w:after="0" w:line="240" w:lineRule="auto"/>
        <w:jc w:val="both"/>
        <w:rPr>
          <w:rFonts w:cs="Arial"/>
        </w:rPr>
      </w:pPr>
    </w:p>
    <w:p w14:paraId="7DDF3751" w14:textId="77777777" w:rsidR="006A3DBC" w:rsidRPr="00FA4B2D" w:rsidRDefault="006A3DBC" w:rsidP="006A3DBC">
      <w:pPr>
        <w:spacing w:after="0" w:line="240" w:lineRule="auto"/>
        <w:jc w:val="both"/>
        <w:rPr>
          <w:rFonts w:cs="Arial"/>
        </w:rPr>
      </w:pPr>
      <w:r w:rsidRPr="00FA4B2D">
        <w:rPr>
          <w:rFonts w:cs="Arial"/>
        </w:rPr>
        <w:t>El siguiente mapa, corresponde a 17 de las 82 reservas naturales privadas que tiene registradas el ICF al 2021 y se encuentran en el área de influencia de COMRURAL III:</w:t>
      </w:r>
    </w:p>
    <w:p w14:paraId="775A0C0B" w14:textId="77777777" w:rsidR="006A3DBC" w:rsidRPr="00FA4B2D" w:rsidRDefault="006A3DBC" w:rsidP="006A3DBC">
      <w:pPr>
        <w:spacing w:after="0" w:line="240" w:lineRule="auto"/>
        <w:jc w:val="both"/>
        <w:rPr>
          <w:rFonts w:cs="Arial"/>
        </w:rPr>
        <w:sectPr w:rsidR="006A3DBC" w:rsidRPr="00FA4B2D" w:rsidSect="005F4A92">
          <w:headerReference w:type="even" r:id="rId25"/>
          <w:headerReference w:type="default" r:id="rId26"/>
          <w:headerReference w:type="first" r:id="rId27"/>
          <w:pgSz w:w="12240" w:h="15840"/>
          <w:pgMar w:top="1417" w:right="1750" w:bottom="1417" w:left="1560" w:header="708" w:footer="708" w:gutter="0"/>
          <w:cols w:space="708"/>
          <w:docGrid w:linePitch="360"/>
        </w:sectPr>
      </w:pPr>
    </w:p>
    <w:p w14:paraId="79F93DF2" w14:textId="0C5E2206" w:rsidR="00856B8B" w:rsidRDefault="00856B8B" w:rsidP="00856B8B">
      <w:pPr>
        <w:pStyle w:val="Descripcin"/>
        <w:keepNext/>
        <w:jc w:val="center"/>
      </w:pPr>
      <w:bookmarkStart w:id="328" w:name="_Toc202455572"/>
      <w:r>
        <w:lastRenderedPageBreak/>
        <w:t xml:space="preserve">Ilustración </w:t>
      </w:r>
      <w:r>
        <w:fldChar w:fldCharType="begin"/>
      </w:r>
      <w:r>
        <w:instrText xml:space="preserve"> SEQ Ilustración \* ARABIC </w:instrText>
      </w:r>
      <w:r>
        <w:fldChar w:fldCharType="separate"/>
      </w:r>
      <w:r w:rsidR="00F94AC4">
        <w:rPr>
          <w:noProof/>
        </w:rPr>
        <w:t>10</w:t>
      </w:r>
      <w:r>
        <w:fldChar w:fldCharType="end"/>
      </w:r>
      <w:r>
        <w:t xml:space="preserve">: </w:t>
      </w:r>
      <w:r w:rsidRPr="009438B6">
        <w:t>Mapa de Áreas Protegidas Privadas en los Departamentos de Influencia de COMRURAL III</w:t>
      </w:r>
      <w:bookmarkEnd w:id="328"/>
    </w:p>
    <w:p w14:paraId="19EC3439" w14:textId="77777777" w:rsidR="006A3DBC" w:rsidRPr="00FA4B2D" w:rsidRDefault="006A3DBC" w:rsidP="006A3DBC">
      <w:pPr>
        <w:spacing w:after="0" w:line="240" w:lineRule="auto"/>
        <w:jc w:val="center"/>
        <w:rPr>
          <w:rFonts w:cs="Arial"/>
        </w:rPr>
      </w:pPr>
      <w:r w:rsidRPr="00FA4B2D">
        <w:rPr>
          <w:rFonts w:cs="Arial"/>
          <w:noProof/>
          <w:lang w:val="es-HN" w:eastAsia="es-HN"/>
        </w:rPr>
        <w:drawing>
          <wp:inline distT="0" distB="0" distL="0" distR="0" wp14:anchorId="73A7895F" wp14:editId="7D4E0528">
            <wp:extent cx="8115300" cy="4927340"/>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139476" cy="4942019"/>
                    </a:xfrm>
                    <a:prstGeom prst="rect">
                      <a:avLst/>
                    </a:prstGeom>
                    <a:noFill/>
                    <a:ln>
                      <a:noFill/>
                    </a:ln>
                  </pic:spPr>
                </pic:pic>
              </a:graphicData>
            </a:graphic>
          </wp:inline>
        </w:drawing>
      </w:r>
    </w:p>
    <w:p w14:paraId="159C2DBA" w14:textId="77777777" w:rsidR="006A3DBC" w:rsidRPr="00FA4B2D" w:rsidRDefault="006A3DBC" w:rsidP="006A3DBC">
      <w:pPr>
        <w:spacing w:after="0" w:line="240" w:lineRule="auto"/>
        <w:ind w:left="708"/>
        <w:jc w:val="both"/>
        <w:rPr>
          <w:rFonts w:cs="Arial"/>
          <w:sz w:val="18"/>
          <w:szCs w:val="18"/>
        </w:rPr>
      </w:pPr>
      <w:r w:rsidRPr="00FA4B2D">
        <w:rPr>
          <w:rFonts w:cs="Arial"/>
          <w:sz w:val="18"/>
          <w:szCs w:val="18"/>
        </w:rPr>
        <w:t>Nota: Información de las áreas del REHNAP ICF. 2021</w:t>
      </w:r>
    </w:p>
    <w:p w14:paraId="2392E2D5" w14:textId="77777777" w:rsidR="006A3DBC" w:rsidRPr="00FA4B2D" w:rsidRDefault="006A3DBC" w:rsidP="006A3DBC">
      <w:pPr>
        <w:spacing w:after="0" w:line="240" w:lineRule="auto"/>
        <w:jc w:val="both"/>
        <w:rPr>
          <w:rFonts w:cs="Arial"/>
        </w:rPr>
        <w:sectPr w:rsidR="006A3DBC" w:rsidRPr="00FA4B2D" w:rsidSect="005F4A92">
          <w:pgSz w:w="15840" w:h="12240" w:orient="landscape"/>
          <w:pgMar w:top="1560" w:right="1417" w:bottom="1750" w:left="1417" w:header="708" w:footer="708" w:gutter="0"/>
          <w:cols w:space="708"/>
          <w:docGrid w:linePitch="360"/>
        </w:sectPr>
      </w:pPr>
    </w:p>
    <w:p w14:paraId="5514C9F0" w14:textId="0090389E" w:rsidR="006A3DBC" w:rsidRPr="00FA4B2D" w:rsidDel="00496D70" w:rsidRDefault="006A3DBC" w:rsidP="006A3DBC">
      <w:pPr>
        <w:spacing w:after="0" w:line="240" w:lineRule="auto"/>
        <w:jc w:val="both"/>
        <w:rPr>
          <w:rFonts w:cs="Arial"/>
        </w:rPr>
      </w:pPr>
      <w:r w:rsidRPr="00FA4B2D">
        <w:rPr>
          <w:rFonts w:cs="Arial"/>
        </w:rPr>
        <w:lastRenderedPageBreak/>
        <w:t xml:space="preserve">El departamento de </w:t>
      </w:r>
      <w:r w:rsidR="009972CB" w:rsidRPr="00FA4B2D">
        <w:rPr>
          <w:rFonts w:cs="Arial"/>
        </w:rPr>
        <w:t xml:space="preserve">Gracias a Dios </w:t>
      </w:r>
      <w:r w:rsidRPr="00FA4B2D">
        <w:rPr>
          <w:rFonts w:cs="Arial"/>
        </w:rPr>
        <w:t>es el que tiene mayor cobertura de áreas protegidas en su territorio con un</w:t>
      </w:r>
      <w:r w:rsidR="009972CB" w:rsidRPr="00FA4B2D">
        <w:rPr>
          <w:rFonts w:cs="Arial"/>
        </w:rPr>
        <w:t xml:space="preserve"> 42.36</w:t>
      </w:r>
      <w:r w:rsidRPr="00FA4B2D">
        <w:rPr>
          <w:rFonts w:cs="Arial"/>
        </w:rPr>
        <w:t xml:space="preserve">%, seguido del departamento de </w:t>
      </w:r>
      <w:r w:rsidR="009972CB" w:rsidRPr="00FA4B2D">
        <w:rPr>
          <w:rFonts w:cs="Arial"/>
        </w:rPr>
        <w:t>Olancho</w:t>
      </w:r>
      <w:r w:rsidRPr="00FA4B2D">
        <w:rPr>
          <w:rFonts w:cs="Arial"/>
        </w:rPr>
        <w:t xml:space="preserve"> con un </w:t>
      </w:r>
      <w:r w:rsidR="009972CB" w:rsidRPr="00FA4B2D">
        <w:rPr>
          <w:rFonts w:cs="Arial"/>
        </w:rPr>
        <w:t>22.38</w:t>
      </w:r>
      <w:r w:rsidR="0008376B" w:rsidRPr="00FA4B2D">
        <w:rPr>
          <w:rFonts w:cs="Arial"/>
        </w:rPr>
        <w:t xml:space="preserve"> %</w:t>
      </w:r>
      <w:r w:rsidRPr="00FA4B2D">
        <w:rPr>
          <w:rFonts w:cs="Arial"/>
        </w:rPr>
        <w:t xml:space="preserve"> y </w:t>
      </w:r>
      <w:r w:rsidR="009972CB" w:rsidRPr="00FA4B2D">
        <w:rPr>
          <w:rFonts w:cs="Arial"/>
        </w:rPr>
        <w:t xml:space="preserve">Colon </w:t>
      </w:r>
      <w:r w:rsidRPr="00FA4B2D">
        <w:rPr>
          <w:rFonts w:cs="Arial"/>
        </w:rPr>
        <w:t xml:space="preserve">con un </w:t>
      </w:r>
      <w:r w:rsidR="009972CB" w:rsidRPr="00FA4B2D">
        <w:rPr>
          <w:rFonts w:cs="Arial"/>
        </w:rPr>
        <w:t>9.52</w:t>
      </w:r>
      <w:r w:rsidR="0008376B" w:rsidRPr="00FA4B2D">
        <w:rPr>
          <w:rFonts w:cs="Arial"/>
          <w:u w:val="single"/>
        </w:rPr>
        <w:t xml:space="preserve"> %;</w:t>
      </w:r>
      <w:r w:rsidRPr="00FA4B2D">
        <w:rPr>
          <w:rFonts w:cs="Arial"/>
        </w:rPr>
        <w:t xml:space="preserve"> el resto de los departamentos tienen un rango de territorio protegido que va desde un 0.7% hasta un 4.7 %, tal como se detalla en la siguiente tabla.</w:t>
      </w:r>
    </w:p>
    <w:p w14:paraId="1993DDBF" w14:textId="77777777" w:rsidR="006A3DBC" w:rsidRPr="00FA4B2D" w:rsidRDefault="006A3DBC" w:rsidP="006A3DBC">
      <w:pPr>
        <w:spacing w:after="0" w:line="240" w:lineRule="auto"/>
        <w:jc w:val="both"/>
        <w:rPr>
          <w:rFonts w:cs="Arial"/>
        </w:rPr>
      </w:pPr>
    </w:p>
    <w:p w14:paraId="3F25775F" w14:textId="0CFC38F0" w:rsidR="00856B8B" w:rsidRDefault="00856B8B" w:rsidP="00856B8B">
      <w:pPr>
        <w:pStyle w:val="Descripcin"/>
        <w:keepNext/>
      </w:pPr>
      <w:bookmarkStart w:id="329" w:name="_Toc202455434"/>
      <w:r>
        <w:t xml:space="preserve">Tabla </w:t>
      </w:r>
      <w:r>
        <w:fldChar w:fldCharType="begin"/>
      </w:r>
      <w:r>
        <w:instrText xml:space="preserve"> SEQ Tabla \* ARABIC </w:instrText>
      </w:r>
      <w:r>
        <w:fldChar w:fldCharType="separate"/>
      </w:r>
      <w:r w:rsidR="000E6D86">
        <w:rPr>
          <w:noProof/>
        </w:rPr>
        <w:t>8</w:t>
      </w:r>
      <w:r>
        <w:fldChar w:fldCharType="end"/>
      </w:r>
      <w:r>
        <w:t xml:space="preserve">: </w:t>
      </w:r>
      <w:r w:rsidRPr="00FF1590">
        <w:t>Porcentaje de Cobertura de las Áreas protegidas por departamentos donde interviene COMRURAL III</w:t>
      </w:r>
      <w:bookmarkEnd w:id="329"/>
    </w:p>
    <w:tbl>
      <w:tblPr>
        <w:tblW w:w="7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4"/>
        <w:gridCol w:w="2190"/>
        <w:gridCol w:w="2063"/>
        <w:gridCol w:w="2405"/>
        <w:gridCol w:w="30"/>
      </w:tblGrid>
      <w:tr w:rsidR="00856B8B" w:rsidRPr="00856B8B" w14:paraId="67EB780F" w14:textId="77777777" w:rsidTr="00856B8B">
        <w:trPr>
          <w:gridAfter w:val="1"/>
          <w:trHeight w:val="300"/>
          <w:tblHeader/>
          <w:jc w:val="center"/>
        </w:trPr>
        <w:tc>
          <w:tcPr>
            <w:tcW w:w="704" w:type="dxa"/>
            <w:shd w:val="clear" w:color="auto" w:fill="5CC5DA"/>
            <w:tcMar>
              <w:top w:w="0" w:type="dxa"/>
              <w:left w:w="45" w:type="dxa"/>
              <w:bottom w:w="0" w:type="dxa"/>
              <w:right w:w="45" w:type="dxa"/>
            </w:tcMar>
            <w:vAlign w:val="center"/>
            <w:hideMark/>
          </w:tcPr>
          <w:p w14:paraId="64BF269F" w14:textId="77777777" w:rsidR="006A3DBC" w:rsidRPr="00856B8B" w:rsidRDefault="006A3DBC" w:rsidP="005F4A92">
            <w:pPr>
              <w:spacing w:after="0" w:line="240" w:lineRule="auto"/>
              <w:jc w:val="center"/>
              <w:rPr>
                <w:rFonts w:cs="Arial"/>
                <w:b/>
                <w:bCs/>
                <w:sz w:val="22"/>
                <w:lang w:val="es-ES"/>
              </w:rPr>
            </w:pPr>
            <w:r w:rsidRPr="00856B8B">
              <w:rPr>
                <w:rFonts w:cs="Arial"/>
                <w:b/>
                <w:bCs/>
                <w:sz w:val="22"/>
                <w:lang w:val="es-ES"/>
              </w:rPr>
              <w:t>No.</w:t>
            </w:r>
          </w:p>
        </w:tc>
        <w:tc>
          <w:tcPr>
            <w:tcW w:w="0" w:type="auto"/>
            <w:shd w:val="clear" w:color="auto" w:fill="5CC5DA"/>
            <w:tcMar>
              <w:top w:w="0" w:type="dxa"/>
              <w:left w:w="45" w:type="dxa"/>
              <w:bottom w:w="0" w:type="dxa"/>
              <w:right w:w="45" w:type="dxa"/>
            </w:tcMar>
            <w:vAlign w:val="center"/>
            <w:hideMark/>
          </w:tcPr>
          <w:p w14:paraId="1439826C" w14:textId="77777777" w:rsidR="006A3DBC" w:rsidRPr="00856B8B" w:rsidRDefault="006A3DBC" w:rsidP="005F4A92">
            <w:pPr>
              <w:spacing w:after="0" w:line="240" w:lineRule="auto"/>
              <w:jc w:val="center"/>
              <w:rPr>
                <w:rFonts w:cs="Arial"/>
                <w:b/>
                <w:bCs/>
                <w:sz w:val="22"/>
                <w:lang w:val="es-ES"/>
              </w:rPr>
            </w:pPr>
            <w:r w:rsidRPr="00856B8B">
              <w:rPr>
                <w:rFonts w:cs="Arial"/>
                <w:b/>
                <w:bCs/>
                <w:sz w:val="22"/>
                <w:lang w:val="es-ES"/>
              </w:rPr>
              <w:t>Departamento</w:t>
            </w:r>
          </w:p>
        </w:tc>
        <w:tc>
          <w:tcPr>
            <w:tcW w:w="2063" w:type="dxa"/>
            <w:shd w:val="clear" w:color="auto" w:fill="5CC5DA"/>
            <w:tcMar>
              <w:top w:w="0" w:type="dxa"/>
              <w:left w:w="45" w:type="dxa"/>
              <w:bottom w:w="0" w:type="dxa"/>
              <w:right w:w="45" w:type="dxa"/>
            </w:tcMar>
            <w:vAlign w:val="center"/>
            <w:hideMark/>
          </w:tcPr>
          <w:p w14:paraId="7D4D28D8" w14:textId="77777777" w:rsidR="006A3DBC" w:rsidRPr="00856B8B" w:rsidRDefault="006A3DBC" w:rsidP="005F4A92">
            <w:pPr>
              <w:spacing w:after="0" w:line="240" w:lineRule="auto"/>
              <w:jc w:val="center"/>
              <w:rPr>
                <w:rFonts w:cs="Arial"/>
                <w:b/>
                <w:bCs/>
                <w:sz w:val="22"/>
                <w:lang w:val="es-ES"/>
              </w:rPr>
            </w:pPr>
            <w:r w:rsidRPr="00856B8B">
              <w:rPr>
                <w:rFonts w:cs="Arial"/>
                <w:b/>
                <w:bCs/>
                <w:sz w:val="22"/>
                <w:lang w:val="es-ES"/>
              </w:rPr>
              <w:t>Área Total (ha)</w:t>
            </w:r>
          </w:p>
        </w:tc>
        <w:tc>
          <w:tcPr>
            <w:tcW w:w="2405" w:type="dxa"/>
            <w:shd w:val="clear" w:color="auto" w:fill="5CC5DA"/>
            <w:tcMar>
              <w:top w:w="0" w:type="dxa"/>
              <w:left w:w="45" w:type="dxa"/>
              <w:bottom w:w="0" w:type="dxa"/>
              <w:right w:w="45" w:type="dxa"/>
            </w:tcMar>
            <w:vAlign w:val="center"/>
            <w:hideMark/>
          </w:tcPr>
          <w:p w14:paraId="1424EED7" w14:textId="77777777" w:rsidR="006A3DBC" w:rsidRPr="00856B8B" w:rsidRDefault="006A3DBC" w:rsidP="005F4A92">
            <w:pPr>
              <w:spacing w:after="0" w:line="240" w:lineRule="auto"/>
              <w:jc w:val="center"/>
              <w:rPr>
                <w:rFonts w:cs="Arial"/>
                <w:b/>
                <w:bCs/>
                <w:sz w:val="22"/>
                <w:lang w:val="es-ES"/>
              </w:rPr>
            </w:pPr>
            <w:r w:rsidRPr="00856B8B">
              <w:rPr>
                <w:rFonts w:cs="Arial"/>
                <w:b/>
                <w:bCs/>
                <w:sz w:val="22"/>
                <w:lang w:val="es-ES"/>
              </w:rPr>
              <w:t>Área Total (%)</w:t>
            </w:r>
          </w:p>
        </w:tc>
      </w:tr>
      <w:tr w:rsidR="00856B8B" w:rsidRPr="00856B8B" w14:paraId="6E0B1FE0" w14:textId="77777777" w:rsidTr="00856B8B">
        <w:trPr>
          <w:gridAfter w:val="1"/>
          <w:trHeight w:val="300"/>
          <w:jc w:val="center"/>
        </w:trPr>
        <w:tc>
          <w:tcPr>
            <w:tcW w:w="704" w:type="dxa"/>
            <w:tcMar>
              <w:top w:w="0" w:type="dxa"/>
              <w:left w:w="45" w:type="dxa"/>
              <w:bottom w:w="0" w:type="dxa"/>
              <w:right w:w="45" w:type="dxa"/>
            </w:tcMar>
            <w:vAlign w:val="center"/>
            <w:hideMark/>
          </w:tcPr>
          <w:p w14:paraId="4F69BC01" w14:textId="77777777" w:rsidR="009972CB" w:rsidRPr="00856B8B" w:rsidRDefault="009972CB" w:rsidP="005A4D9C">
            <w:pPr>
              <w:spacing w:after="0" w:line="240" w:lineRule="auto"/>
              <w:jc w:val="center"/>
              <w:rPr>
                <w:rFonts w:cs="Arial"/>
                <w:sz w:val="22"/>
                <w:lang w:val="es-ES"/>
              </w:rPr>
            </w:pPr>
            <w:r w:rsidRPr="00856B8B">
              <w:rPr>
                <w:rFonts w:cs="Arial"/>
                <w:sz w:val="22"/>
                <w:lang w:val="es-ES"/>
              </w:rPr>
              <w:t>1</w:t>
            </w:r>
          </w:p>
        </w:tc>
        <w:tc>
          <w:tcPr>
            <w:tcW w:w="0" w:type="auto"/>
            <w:tcMar>
              <w:top w:w="0" w:type="dxa"/>
              <w:left w:w="45" w:type="dxa"/>
              <w:bottom w:w="0" w:type="dxa"/>
              <w:right w:w="45" w:type="dxa"/>
            </w:tcMar>
            <w:vAlign w:val="center"/>
            <w:hideMark/>
          </w:tcPr>
          <w:p w14:paraId="265E4310" w14:textId="77777777" w:rsidR="009972CB" w:rsidRPr="00856B8B" w:rsidRDefault="009972CB" w:rsidP="009972CB">
            <w:pPr>
              <w:spacing w:after="0" w:line="240" w:lineRule="auto"/>
              <w:jc w:val="both"/>
              <w:rPr>
                <w:rFonts w:cs="Arial"/>
                <w:sz w:val="22"/>
                <w:lang w:val="es-ES"/>
              </w:rPr>
            </w:pPr>
            <w:r w:rsidRPr="00856B8B">
              <w:rPr>
                <w:rFonts w:cs="Arial"/>
                <w:sz w:val="22"/>
                <w:lang w:val="es-ES"/>
              </w:rPr>
              <w:t>Atlántida</w:t>
            </w:r>
          </w:p>
        </w:tc>
        <w:tc>
          <w:tcPr>
            <w:tcW w:w="2063" w:type="dxa"/>
            <w:tcMar>
              <w:top w:w="0" w:type="dxa"/>
              <w:left w:w="45" w:type="dxa"/>
              <w:bottom w:w="0" w:type="dxa"/>
              <w:right w:w="45" w:type="dxa"/>
            </w:tcMar>
            <w:vAlign w:val="center"/>
            <w:hideMark/>
          </w:tcPr>
          <w:p w14:paraId="093F8858" w14:textId="77777777" w:rsidR="009972CB" w:rsidRPr="00856B8B" w:rsidRDefault="009972CB" w:rsidP="009972CB">
            <w:pPr>
              <w:spacing w:after="0" w:line="240" w:lineRule="auto"/>
              <w:jc w:val="center"/>
              <w:rPr>
                <w:rFonts w:cs="Arial"/>
                <w:sz w:val="22"/>
                <w:lang w:val="es-ES"/>
              </w:rPr>
            </w:pPr>
            <w:r w:rsidRPr="00856B8B">
              <w:rPr>
                <w:rFonts w:cs="Arial"/>
                <w:sz w:val="22"/>
                <w:lang w:val="es-ES"/>
              </w:rPr>
              <w:t>199.784,6</w:t>
            </w:r>
          </w:p>
        </w:tc>
        <w:tc>
          <w:tcPr>
            <w:tcW w:w="2405" w:type="dxa"/>
            <w:shd w:val="clear" w:color="auto" w:fill="auto"/>
            <w:tcMar>
              <w:top w:w="0" w:type="dxa"/>
              <w:left w:w="45" w:type="dxa"/>
              <w:bottom w:w="0" w:type="dxa"/>
              <w:right w:w="45" w:type="dxa"/>
            </w:tcMar>
            <w:vAlign w:val="bottom"/>
          </w:tcPr>
          <w:p w14:paraId="655E4F0A" w14:textId="442A9B43" w:rsidR="009972CB" w:rsidRPr="00856B8B" w:rsidRDefault="009972CB" w:rsidP="009972CB">
            <w:pPr>
              <w:spacing w:after="0" w:line="240" w:lineRule="auto"/>
              <w:jc w:val="center"/>
              <w:rPr>
                <w:rFonts w:cs="Arial"/>
                <w:sz w:val="22"/>
                <w:u w:val="single"/>
                <w:lang w:val="es-ES"/>
              </w:rPr>
            </w:pPr>
            <w:r w:rsidRPr="00856B8B">
              <w:rPr>
                <w:rFonts w:cs="Arial"/>
                <w:sz w:val="22"/>
                <w:u w:val="single"/>
              </w:rPr>
              <w:t>5.42</w:t>
            </w:r>
            <w:r w:rsidR="005A4D9C" w:rsidRPr="00856B8B">
              <w:rPr>
                <w:rFonts w:cs="Arial"/>
                <w:sz w:val="22"/>
                <w:u w:val="single"/>
              </w:rPr>
              <w:t xml:space="preserve">  </w:t>
            </w:r>
          </w:p>
        </w:tc>
      </w:tr>
      <w:tr w:rsidR="00856B8B" w:rsidRPr="00856B8B" w14:paraId="50BF5DFF" w14:textId="77777777" w:rsidTr="00856B8B">
        <w:trPr>
          <w:gridAfter w:val="1"/>
          <w:trHeight w:val="300"/>
          <w:jc w:val="center"/>
        </w:trPr>
        <w:tc>
          <w:tcPr>
            <w:tcW w:w="704" w:type="dxa"/>
            <w:tcMar>
              <w:top w:w="0" w:type="dxa"/>
              <w:left w:w="45" w:type="dxa"/>
              <w:bottom w:w="0" w:type="dxa"/>
              <w:right w:w="45" w:type="dxa"/>
            </w:tcMar>
            <w:vAlign w:val="center"/>
            <w:hideMark/>
          </w:tcPr>
          <w:p w14:paraId="3BD2CE22" w14:textId="77777777" w:rsidR="009972CB" w:rsidRPr="00856B8B" w:rsidRDefault="009972CB" w:rsidP="005A4D9C">
            <w:pPr>
              <w:spacing w:after="0" w:line="240" w:lineRule="auto"/>
              <w:jc w:val="center"/>
              <w:rPr>
                <w:rFonts w:cs="Arial"/>
                <w:sz w:val="22"/>
                <w:lang w:val="es-ES"/>
              </w:rPr>
            </w:pPr>
            <w:r w:rsidRPr="00856B8B">
              <w:rPr>
                <w:rFonts w:cs="Arial"/>
                <w:sz w:val="22"/>
                <w:lang w:val="es-ES"/>
              </w:rPr>
              <w:t>2</w:t>
            </w:r>
          </w:p>
        </w:tc>
        <w:tc>
          <w:tcPr>
            <w:tcW w:w="0" w:type="auto"/>
            <w:tcMar>
              <w:top w:w="0" w:type="dxa"/>
              <w:left w:w="45" w:type="dxa"/>
              <w:bottom w:w="0" w:type="dxa"/>
              <w:right w:w="45" w:type="dxa"/>
            </w:tcMar>
            <w:vAlign w:val="center"/>
            <w:hideMark/>
          </w:tcPr>
          <w:p w14:paraId="213ACEA3" w14:textId="77777777" w:rsidR="009972CB" w:rsidRPr="00856B8B" w:rsidRDefault="009972CB" w:rsidP="009972CB">
            <w:pPr>
              <w:spacing w:after="0" w:line="240" w:lineRule="auto"/>
              <w:jc w:val="both"/>
              <w:rPr>
                <w:rFonts w:cs="Arial"/>
                <w:sz w:val="22"/>
                <w:lang w:val="es-ES"/>
              </w:rPr>
            </w:pPr>
            <w:r w:rsidRPr="00856B8B">
              <w:rPr>
                <w:rFonts w:cs="Arial"/>
                <w:sz w:val="22"/>
                <w:lang w:val="es-ES"/>
              </w:rPr>
              <w:t>Choluteca</w:t>
            </w:r>
          </w:p>
        </w:tc>
        <w:tc>
          <w:tcPr>
            <w:tcW w:w="2063" w:type="dxa"/>
            <w:tcMar>
              <w:top w:w="0" w:type="dxa"/>
              <w:left w:w="45" w:type="dxa"/>
              <w:bottom w:w="0" w:type="dxa"/>
              <w:right w:w="45" w:type="dxa"/>
            </w:tcMar>
            <w:vAlign w:val="center"/>
            <w:hideMark/>
          </w:tcPr>
          <w:p w14:paraId="68160659" w14:textId="77777777" w:rsidR="009972CB" w:rsidRPr="00856B8B" w:rsidRDefault="009972CB" w:rsidP="009972CB">
            <w:pPr>
              <w:spacing w:after="0" w:line="240" w:lineRule="auto"/>
              <w:jc w:val="center"/>
              <w:rPr>
                <w:rFonts w:cs="Arial"/>
                <w:sz w:val="22"/>
                <w:lang w:val="es-ES"/>
              </w:rPr>
            </w:pPr>
            <w:r w:rsidRPr="00856B8B">
              <w:rPr>
                <w:rFonts w:cs="Arial"/>
                <w:sz w:val="22"/>
                <w:lang w:val="es-ES"/>
              </w:rPr>
              <w:t>50.104,6</w:t>
            </w:r>
          </w:p>
        </w:tc>
        <w:tc>
          <w:tcPr>
            <w:tcW w:w="2405" w:type="dxa"/>
            <w:shd w:val="clear" w:color="auto" w:fill="auto"/>
            <w:tcMar>
              <w:top w:w="0" w:type="dxa"/>
              <w:left w:w="45" w:type="dxa"/>
              <w:bottom w:w="0" w:type="dxa"/>
              <w:right w:w="45" w:type="dxa"/>
            </w:tcMar>
            <w:vAlign w:val="bottom"/>
          </w:tcPr>
          <w:p w14:paraId="2FFE7AF2" w14:textId="5F238037" w:rsidR="009972CB" w:rsidRPr="00856B8B" w:rsidRDefault="009972CB" w:rsidP="009972CB">
            <w:pPr>
              <w:spacing w:after="0" w:line="240" w:lineRule="auto"/>
              <w:jc w:val="center"/>
              <w:rPr>
                <w:rFonts w:cs="Arial"/>
                <w:sz w:val="22"/>
                <w:lang w:val="es-ES"/>
              </w:rPr>
            </w:pPr>
            <w:r w:rsidRPr="00856B8B">
              <w:rPr>
                <w:rFonts w:cs="Arial"/>
                <w:sz w:val="22"/>
              </w:rPr>
              <w:t>1.36</w:t>
            </w:r>
          </w:p>
        </w:tc>
      </w:tr>
      <w:tr w:rsidR="00856B8B" w:rsidRPr="00856B8B" w14:paraId="242A35DB" w14:textId="77777777" w:rsidTr="00856B8B">
        <w:trPr>
          <w:gridAfter w:val="1"/>
          <w:trHeight w:val="300"/>
          <w:jc w:val="center"/>
        </w:trPr>
        <w:tc>
          <w:tcPr>
            <w:tcW w:w="704" w:type="dxa"/>
            <w:tcMar>
              <w:top w:w="0" w:type="dxa"/>
              <w:left w:w="45" w:type="dxa"/>
              <w:bottom w:w="0" w:type="dxa"/>
              <w:right w:w="45" w:type="dxa"/>
            </w:tcMar>
            <w:vAlign w:val="center"/>
            <w:hideMark/>
          </w:tcPr>
          <w:p w14:paraId="5885CF6F" w14:textId="77777777" w:rsidR="009972CB" w:rsidRPr="00856B8B" w:rsidRDefault="009972CB" w:rsidP="005A4D9C">
            <w:pPr>
              <w:spacing w:after="0" w:line="240" w:lineRule="auto"/>
              <w:jc w:val="center"/>
              <w:rPr>
                <w:rFonts w:cs="Arial"/>
                <w:sz w:val="22"/>
                <w:lang w:val="es-ES"/>
              </w:rPr>
            </w:pPr>
            <w:r w:rsidRPr="00856B8B">
              <w:rPr>
                <w:rFonts w:cs="Arial"/>
                <w:sz w:val="22"/>
                <w:lang w:val="es-ES"/>
              </w:rPr>
              <w:t>3</w:t>
            </w:r>
          </w:p>
        </w:tc>
        <w:tc>
          <w:tcPr>
            <w:tcW w:w="0" w:type="auto"/>
            <w:tcMar>
              <w:top w:w="0" w:type="dxa"/>
              <w:left w:w="45" w:type="dxa"/>
              <w:bottom w:w="0" w:type="dxa"/>
              <w:right w:w="45" w:type="dxa"/>
            </w:tcMar>
            <w:vAlign w:val="center"/>
            <w:hideMark/>
          </w:tcPr>
          <w:p w14:paraId="2073C053" w14:textId="77777777" w:rsidR="009972CB" w:rsidRPr="00856B8B" w:rsidRDefault="009972CB" w:rsidP="009972CB">
            <w:pPr>
              <w:spacing w:after="0" w:line="240" w:lineRule="auto"/>
              <w:jc w:val="both"/>
              <w:rPr>
                <w:rFonts w:cs="Arial"/>
                <w:sz w:val="22"/>
                <w:lang w:val="es-ES"/>
              </w:rPr>
            </w:pPr>
            <w:r w:rsidRPr="00856B8B">
              <w:rPr>
                <w:rFonts w:cs="Arial"/>
                <w:sz w:val="22"/>
                <w:lang w:val="es-ES"/>
              </w:rPr>
              <w:t>Colón</w:t>
            </w:r>
          </w:p>
        </w:tc>
        <w:tc>
          <w:tcPr>
            <w:tcW w:w="2063" w:type="dxa"/>
            <w:tcMar>
              <w:top w:w="0" w:type="dxa"/>
              <w:left w:w="45" w:type="dxa"/>
              <w:bottom w:w="0" w:type="dxa"/>
              <w:right w:w="45" w:type="dxa"/>
            </w:tcMar>
            <w:vAlign w:val="center"/>
            <w:hideMark/>
          </w:tcPr>
          <w:p w14:paraId="13A5F251" w14:textId="77777777" w:rsidR="009972CB" w:rsidRPr="00856B8B" w:rsidRDefault="009972CB" w:rsidP="009972CB">
            <w:pPr>
              <w:spacing w:after="0" w:line="240" w:lineRule="auto"/>
              <w:jc w:val="center"/>
              <w:rPr>
                <w:rFonts w:cs="Arial"/>
                <w:sz w:val="22"/>
                <w:lang w:val="es-ES"/>
              </w:rPr>
            </w:pPr>
            <w:r w:rsidRPr="00856B8B">
              <w:rPr>
                <w:rFonts w:cs="Arial"/>
                <w:sz w:val="22"/>
                <w:lang w:val="es-ES"/>
              </w:rPr>
              <w:t>351.154,1</w:t>
            </w:r>
          </w:p>
        </w:tc>
        <w:tc>
          <w:tcPr>
            <w:tcW w:w="2405" w:type="dxa"/>
            <w:shd w:val="clear" w:color="auto" w:fill="auto"/>
            <w:tcMar>
              <w:top w:w="0" w:type="dxa"/>
              <w:left w:w="45" w:type="dxa"/>
              <w:bottom w:w="0" w:type="dxa"/>
              <w:right w:w="45" w:type="dxa"/>
            </w:tcMar>
            <w:vAlign w:val="bottom"/>
          </w:tcPr>
          <w:p w14:paraId="604DCFD0" w14:textId="29269B35" w:rsidR="009972CB" w:rsidRPr="00856B8B" w:rsidRDefault="009972CB" w:rsidP="009972CB">
            <w:pPr>
              <w:spacing w:after="0" w:line="240" w:lineRule="auto"/>
              <w:jc w:val="center"/>
              <w:rPr>
                <w:rFonts w:cs="Arial"/>
                <w:sz w:val="22"/>
                <w:lang w:val="es-ES"/>
              </w:rPr>
            </w:pPr>
            <w:r w:rsidRPr="00856B8B">
              <w:rPr>
                <w:rFonts w:cs="Arial"/>
                <w:sz w:val="22"/>
              </w:rPr>
              <w:t>9.52</w:t>
            </w:r>
          </w:p>
        </w:tc>
      </w:tr>
      <w:tr w:rsidR="00856B8B" w:rsidRPr="00856B8B" w14:paraId="3CBD65D7" w14:textId="77777777" w:rsidTr="00856B8B">
        <w:trPr>
          <w:gridAfter w:val="1"/>
          <w:trHeight w:val="300"/>
          <w:jc w:val="center"/>
        </w:trPr>
        <w:tc>
          <w:tcPr>
            <w:tcW w:w="704" w:type="dxa"/>
            <w:tcMar>
              <w:top w:w="0" w:type="dxa"/>
              <w:left w:w="45" w:type="dxa"/>
              <w:bottom w:w="0" w:type="dxa"/>
              <w:right w:w="45" w:type="dxa"/>
            </w:tcMar>
            <w:vAlign w:val="center"/>
            <w:hideMark/>
          </w:tcPr>
          <w:p w14:paraId="0260DD7E" w14:textId="77777777" w:rsidR="009972CB" w:rsidRPr="00856B8B" w:rsidRDefault="009972CB" w:rsidP="005A4D9C">
            <w:pPr>
              <w:spacing w:after="0" w:line="240" w:lineRule="auto"/>
              <w:jc w:val="center"/>
              <w:rPr>
                <w:rFonts w:cs="Arial"/>
                <w:sz w:val="22"/>
                <w:lang w:val="es-ES"/>
              </w:rPr>
            </w:pPr>
            <w:r w:rsidRPr="00856B8B">
              <w:rPr>
                <w:rFonts w:cs="Arial"/>
                <w:sz w:val="22"/>
                <w:lang w:val="es-ES"/>
              </w:rPr>
              <w:t>4</w:t>
            </w:r>
          </w:p>
        </w:tc>
        <w:tc>
          <w:tcPr>
            <w:tcW w:w="0" w:type="auto"/>
            <w:tcMar>
              <w:top w:w="0" w:type="dxa"/>
              <w:left w:w="45" w:type="dxa"/>
              <w:bottom w:w="0" w:type="dxa"/>
              <w:right w:w="45" w:type="dxa"/>
            </w:tcMar>
            <w:vAlign w:val="center"/>
            <w:hideMark/>
          </w:tcPr>
          <w:p w14:paraId="591DD076" w14:textId="77777777" w:rsidR="009972CB" w:rsidRPr="00856B8B" w:rsidRDefault="009972CB" w:rsidP="009972CB">
            <w:pPr>
              <w:spacing w:after="0" w:line="240" w:lineRule="auto"/>
              <w:jc w:val="both"/>
              <w:rPr>
                <w:rFonts w:cs="Arial"/>
                <w:sz w:val="22"/>
                <w:lang w:val="es-ES"/>
              </w:rPr>
            </w:pPr>
            <w:r w:rsidRPr="00856B8B">
              <w:rPr>
                <w:rFonts w:cs="Arial"/>
                <w:sz w:val="22"/>
                <w:lang w:val="es-ES"/>
              </w:rPr>
              <w:t>Comayagua</w:t>
            </w:r>
          </w:p>
        </w:tc>
        <w:tc>
          <w:tcPr>
            <w:tcW w:w="2063" w:type="dxa"/>
            <w:tcMar>
              <w:top w:w="0" w:type="dxa"/>
              <w:left w:w="45" w:type="dxa"/>
              <w:bottom w:w="0" w:type="dxa"/>
              <w:right w:w="45" w:type="dxa"/>
            </w:tcMar>
            <w:vAlign w:val="center"/>
            <w:hideMark/>
          </w:tcPr>
          <w:p w14:paraId="67D326B8" w14:textId="77777777" w:rsidR="009972CB" w:rsidRPr="00856B8B" w:rsidRDefault="009972CB" w:rsidP="009972CB">
            <w:pPr>
              <w:spacing w:after="0" w:line="240" w:lineRule="auto"/>
              <w:jc w:val="center"/>
              <w:rPr>
                <w:rFonts w:cs="Arial"/>
                <w:sz w:val="22"/>
                <w:lang w:val="es-ES"/>
              </w:rPr>
            </w:pPr>
            <w:r w:rsidRPr="00856B8B">
              <w:rPr>
                <w:rFonts w:cs="Arial"/>
                <w:sz w:val="22"/>
                <w:lang w:val="es-ES"/>
              </w:rPr>
              <w:t>100.829,5</w:t>
            </w:r>
          </w:p>
        </w:tc>
        <w:tc>
          <w:tcPr>
            <w:tcW w:w="2405" w:type="dxa"/>
            <w:shd w:val="clear" w:color="auto" w:fill="auto"/>
            <w:tcMar>
              <w:top w:w="0" w:type="dxa"/>
              <w:left w:w="45" w:type="dxa"/>
              <w:bottom w:w="0" w:type="dxa"/>
              <w:right w:w="45" w:type="dxa"/>
            </w:tcMar>
            <w:vAlign w:val="bottom"/>
          </w:tcPr>
          <w:p w14:paraId="2A81483F" w14:textId="601738F4" w:rsidR="009972CB" w:rsidRPr="00856B8B" w:rsidRDefault="009972CB" w:rsidP="009972CB">
            <w:pPr>
              <w:spacing w:after="0" w:line="240" w:lineRule="auto"/>
              <w:jc w:val="center"/>
              <w:rPr>
                <w:rFonts w:cs="Arial"/>
                <w:sz w:val="22"/>
                <w:lang w:val="es-ES"/>
              </w:rPr>
            </w:pPr>
            <w:r w:rsidRPr="00856B8B">
              <w:rPr>
                <w:rFonts w:cs="Arial"/>
                <w:sz w:val="22"/>
              </w:rPr>
              <w:t>2.73</w:t>
            </w:r>
          </w:p>
        </w:tc>
      </w:tr>
      <w:tr w:rsidR="00856B8B" w:rsidRPr="00856B8B" w14:paraId="48B6CF4B" w14:textId="77777777" w:rsidTr="00856B8B">
        <w:trPr>
          <w:gridAfter w:val="1"/>
          <w:trHeight w:val="300"/>
          <w:jc w:val="center"/>
        </w:trPr>
        <w:tc>
          <w:tcPr>
            <w:tcW w:w="704" w:type="dxa"/>
            <w:tcMar>
              <w:top w:w="0" w:type="dxa"/>
              <w:left w:w="45" w:type="dxa"/>
              <w:bottom w:w="0" w:type="dxa"/>
              <w:right w:w="45" w:type="dxa"/>
            </w:tcMar>
            <w:vAlign w:val="center"/>
            <w:hideMark/>
          </w:tcPr>
          <w:p w14:paraId="48F8B17C" w14:textId="77777777" w:rsidR="009972CB" w:rsidRPr="00856B8B" w:rsidRDefault="009972CB" w:rsidP="005A4D9C">
            <w:pPr>
              <w:spacing w:after="0" w:line="240" w:lineRule="auto"/>
              <w:jc w:val="center"/>
              <w:rPr>
                <w:rFonts w:cs="Arial"/>
                <w:sz w:val="22"/>
                <w:lang w:val="es-ES"/>
              </w:rPr>
            </w:pPr>
            <w:r w:rsidRPr="00856B8B">
              <w:rPr>
                <w:rFonts w:cs="Arial"/>
                <w:sz w:val="22"/>
                <w:lang w:val="es-ES"/>
              </w:rPr>
              <w:t>5</w:t>
            </w:r>
          </w:p>
        </w:tc>
        <w:tc>
          <w:tcPr>
            <w:tcW w:w="0" w:type="auto"/>
            <w:tcMar>
              <w:top w:w="0" w:type="dxa"/>
              <w:left w:w="45" w:type="dxa"/>
              <w:bottom w:w="0" w:type="dxa"/>
              <w:right w:w="45" w:type="dxa"/>
            </w:tcMar>
            <w:vAlign w:val="center"/>
            <w:hideMark/>
          </w:tcPr>
          <w:p w14:paraId="07BDCDB9" w14:textId="77777777" w:rsidR="009972CB" w:rsidRPr="00856B8B" w:rsidRDefault="009972CB" w:rsidP="009972CB">
            <w:pPr>
              <w:spacing w:after="0" w:line="240" w:lineRule="auto"/>
              <w:jc w:val="both"/>
              <w:rPr>
                <w:rFonts w:cs="Arial"/>
                <w:sz w:val="22"/>
                <w:lang w:val="es-ES"/>
              </w:rPr>
            </w:pPr>
            <w:r w:rsidRPr="00856B8B">
              <w:rPr>
                <w:rFonts w:cs="Arial"/>
                <w:sz w:val="22"/>
                <w:lang w:val="es-ES"/>
              </w:rPr>
              <w:t>Copán</w:t>
            </w:r>
          </w:p>
        </w:tc>
        <w:tc>
          <w:tcPr>
            <w:tcW w:w="2063" w:type="dxa"/>
            <w:tcMar>
              <w:top w:w="0" w:type="dxa"/>
              <w:left w:w="45" w:type="dxa"/>
              <w:bottom w:w="0" w:type="dxa"/>
              <w:right w:w="45" w:type="dxa"/>
            </w:tcMar>
            <w:vAlign w:val="center"/>
            <w:hideMark/>
          </w:tcPr>
          <w:p w14:paraId="1789E65C" w14:textId="77777777" w:rsidR="009972CB" w:rsidRPr="00856B8B" w:rsidRDefault="009972CB" w:rsidP="009972CB">
            <w:pPr>
              <w:spacing w:after="0" w:line="240" w:lineRule="auto"/>
              <w:jc w:val="center"/>
              <w:rPr>
                <w:rFonts w:cs="Arial"/>
                <w:sz w:val="22"/>
                <w:lang w:val="es-ES"/>
              </w:rPr>
            </w:pPr>
            <w:r w:rsidRPr="00856B8B">
              <w:rPr>
                <w:rFonts w:cs="Arial"/>
                <w:sz w:val="22"/>
                <w:lang w:val="es-ES"/>
              </w:rPr>
              <w:t>14.740,7</w:t>
            </w:r>
          </w:p>
        </w:tc>
        <w:tc>
          <w:tcPr>
            <w:tcW w:w="2405" w:type="dxa"/>
            <w:shd w:val="clear" w:color="auto" w:fill="auto"/>
            <w:tcMar>
              <w:top w:w="0" w:type="dxa"/>
              <w:left w:w="45" w:type="dxa"/>
              <w:bottom w:w="0" w:type="dxa"/>
              <w:right w:w="45" w:type="dxa"/>
            </w:tcMar>
            <w:vAlign w:val="bottom"/>
          </w:tcPr>
          <w:p w14:paraId="20571B16" w14:textId="07765C9E" w:rsidR="009972CB" w:rsidRPr="00856B8B" w:rsidRDefault="009972CB" w:rsidP="009972CB">
            <w:pPr>
              <w:spacing w:after="0" w:line="240" w:lineRule="auto"/>
              <w:jc w:val="center"/>
              <w:rPr>
                <w:rFonts w:cs="Arial"/>
                <w:sz w:val="22"/>
                <w:lang w:val="es-ES"/>
              </w:rPr>
            </w:pPr>
            <w:r w:rsidRPr="00856B8B">
              <w:rPr>
                <w:rFonts w:cs="Arial"/>
                <w:sz w:val="22"/>
              </w:rPr>
              <w:t>0.40</w:t>
            </w:r>
          </w:p>
        </w:tc>
      </w:tr>
      <w:tr w:rsidR="00856B8B" w:rsidRPr="00856B8B" w14:paraId="582E1A11" w14:textId="77777777" w:rsidTr="00856B8B">
        <w:trPr>
          <w:gridAfter w:val="1"/>
          <w:trHeight w:val="300"/>
          <w:jc w:val="center"/>
        </w:trPr>
        <w:tc>
          <w:tcPr>
            <w:tcW w:w="704" w:type="dxa"/>
            <w:tcMar>
              <w:top w:w="0" w:type="dxa"/>
              <w:left w:w="45" w:type="dxa"/>
              <w:bottom w:w="0" w:type="dxa"/>
              <w:right w:w="45" w:type="dxa"/>
            </w:tcMar>
            <w:vAlign w:val="center"/>
            <w:hideMark/>
          </w:tcPr>
          <w:p w14:paraId="283B41D8" w14:textId="77777777" w:rsidR="009972CB" w:rsidRPr="00856B8B" w:rsidRDefault="009972CB" w:rsidP="005A4D9C">
            <w:pPr>
              <w:spacing w:after="0" w:line="240" w:lineRule="auto"/>
              <w:jc w:val="center"/>
              <w:rPr>
                <w:rFonts w:cs="Arial"/>
                <w:sz w:val="22"/>
                <w:lang w:val="es-ES"/>
              </w:rPr>
            </w:pPr>
            <w:r w:rsidRPr="00856B8B">
              <w:rPr>
                <w:rFonts w:cs="Arial"/>
                <w:sz w:val="22"/>
                <w:lang w:val="es-ES"/>
              </w:rPr>
              <w:t>6</w:t>
            </w:r>
          </w:p>
        </w:tc>
        <w:tc>
          <w:tcPr>
            <w:tcW w:w="0" w:type="auto"/>
            <w:tcMar>
              <w:top w:w="0" w:type="dxa"/>
              <w:left w:w="45" w:type="dxa"/>
              <w:bottom w:w="0" w:type="dxa"/>
              <w:right w:w="45" w:type="dxa"/>
            </w:tcMar>
            <w:vAlign w:val="center"/>
            <w:hideMark/>
          </w:tcPr>
          <w:p w14:paraId="0459CDE5" w14:textId="77777777" w:rsidR="009972CB" w:rsidRPr="00856B8B" w:rsidRDefault="009972CB" w:rsidP="009972CB">
            <w:pPr>
              <w:spacing w:after="0" w:line="240" w:lineRule="auto"/>
              <w:jc w:val="both"/>
              <w:rPr>
                <w:rFonts w:cs="Arial"/>
                <w:sz w:val="22"/>
                <w:lang w:val="es-ES"/>
              </w:rPr>
            </w:pPr>
            <w:r w:rsidRPr="00856B8B">
              <w:rPr>
                <w:rFonts w:cs="Arial"/>
                <w:sz w:val="22"/>
                <w:lang w:val="es-ES"/>
              </w:rPr>
              <w:t>Cortés</w:t>
            </w:r>
          </w:p>
        </w:tc>
        <w:tc>
          <w:tcPr>
            <w:tcW w:w="2063" w:type="dxa"/>
            <w:tcMar>
              <w:top w:w="0" w:type="dxa"/>
              <w:left w:w="45" w:type="dxa"/>
              <w:bottom w:w="0" w:type="dxa"/>
              <w:right w:w="45" w:type="dxa"/>
            </w:tcMar>
            <w:vAlign w:val="center"/>
            <w:hideMark/>
          </w:tcPr>
          <w:p w14:paraId="043C762E" w14:textId="77777777" w:rsidR="009972CB" w:rsidRPr="00856B8B" w:rsidRDefault="009972CB" w:rsidP="009972CB">
            <w:pPr>
              <w:spacing w:after="0" w:line="240" w:lineRule="auto"/>
              <w:jc w:val="center"/>
              <w:rPr>
                <w:rFonts w:cs="Arial"/>
                <w:sz w:val="22"/>
                <w:lang w:val="es-ES"/>
              </w:rPr>
            </w:pPr>
            <w:r w:rsidRPr="00856B8B">
              <w:rPr>
                <w:rFonts w:cs="Arial"/>
                <w:sz w:val="22"/>
                <w:lang w:val="es-ES"/>
              </w:rPr>
              <w:t>97.317,7</w:t>
            </w:r>
          </w:p>
        </w:tc>
        <w:tc>
          <w:tcPr>
            <w:tcW w:w="2405" w:type="dxa"/>
            <w:shd w:val="clear" w:color="auto" w:fill="auto"/>
            <w:tcMar>
              <w:top w:w="0" w:type="dxa"/>
              <w:left w:w="45" w:type="dxa"/>
              <w:bottom w:w="0" w:type="dxa"/>
              <w:right w:w="45" w:type="dxa"/>
            </w:tcMar>
            <w:vAlign w:val="bottom"/>
          </w:tcPr>
          <w:p w14:paraId="1E8E67BA" w14:textId="22AF92D2" w:rsidR="009972CB" w:rsidRPr="00856B8B" w:rsidRDefault="009972CB" w:rsidP="009972CB">
            <w:pPr>
              <w:spacing w:after="0" w:line="240" w:lineRule="auto"/>
              <w:jc w:val="center"/>
              <w:rPr>
                <w:rFonts w:cs="Arial"/>
                <w:sz w:val="22"/>
                <w:lang w:val="es-ES"/>
              </w:rPr>
            </w:pPr>
            <w:r w:rsidRPr="00856B8B">
              <w:rPr>
                <w:rFonts w:cs="Arial"/>
                <w:sz w:val="22"/>
              </w:rPr>
              <w:t>2.64</w:t>
            </w:r>
          </w:p>
        </w:tc>
      </w:tr>
      <w:tr w:rsidR="00856B8B" w:rsidRPr="00856B8B" w14:paraId="32551F04" w14:textId="77777777" w:rsidTr="00856B8B">
        <w:trPr>
          <w:gridAfter w:val="1"/>
          <w:trHeight w:val="300"/>
          <w:jc w:val="center"/>
        </w:trPr>
        <w:tc>
          <w:tcPr>
            <w:tcW w:w="704" w:type="dxa"/>
            <w:tcMar>
              <w:top w:w="0" w:type="dxa"/>
              <w:left w:w="45" w:type="dxa"/>
              <w:bottom w:w="0" w:type="dxa"/>
              <w:right w:w="45" w:type="dxa"/>
            </w:tcMar>
            <w:vAlign w:val="center"/>
            <w:hideMark/>
          </w:tcPr>
          <w:p w14:paraId="7BAAF3A9" w14:textId="77777777" w:rsidR="009972CB" w:rsidRPr="00856B8B" w:rsidRDefault="009972CB" w:rsidP="005A4D9C">
            <w:pPr>
              <w:spacing w:after="0" w:line="240" w:lineRule="auto"/>
              <w:jc w:val="center"/>
              <w:rPr>
                <w:rFonts w:cs="Arial"/>
                <w:sz w:val="22"/>
                <w:lang w:val="es-ES"/>
              </w:rPr>
            </w:pPr>
            <w:r w:rsidRPr="00856B8B">
              <w:rPr>
                <w:rFonts w:cs="Arial"/>
                <w:sz w:val="22"/>
                <w:lang w:val="es-ES"/>
              </w:rPr>
              <w:t>7</w:t>
            </w:r>
          </w:p>
        </w:tc>
        <w:tc>
          <w:tcPr>
            <w:tcW w:w="0" w:type="auto"/>
            <w:tcMar>
              <w:top w:w="0" w:type="dxa"/>
              <w:left w:w="45" w:type="dxa"/>
              <w:bottom w:w="0" w:type="dxa"/>
              <w:right w:w="45" w:type="dxa"/>
            </w:tcMar>
            <w:vAlign w:val="center"/>
            <w:hideMark/>
          </w:tcPr>
          <w:p w14:paraId="68529367" w14:textId="77777777" w:rsidR="009972CB" w:rsidRPr="00856B8B" w:rsidRDefault="009972CB" w:rsidP="009972CB">
            <w:pPr>
              <w:spacing w:after="0" w:line="240" w:lineRule="auto"/>
              <w:jc w:val="both"/>
              <w:rPr>
                <w:rFonts w:cs="Arial"/>
                <w:sz w:val="22"/>
                <w:lang w:val="es-ES"/>
              </w:rPr>
            </w:pPr>
            <w:r w:rsidRPr="00856B8B">
              <w:rPr>
                <w:rFonts w:cs="Arial"/>
                <w:sz w:val="22"/>
                <w:lang w:val="es-ES"/>
              </w:rPr>
              <w:t>El Paraíso</w:t>
            </w:r>
          </w:p>
        </w:tc>
        <w:tc>
          <w:tcPr>
            <w:tcW w:w="2063" w:type="dxa"/>
            <w:tcMar>
              <w:top w:w="0" w:type="dxa"/>
              <w:left w:w="45" w:type="dxa"/>
              <w:bottom w:w="0" w:type="dxa"/>
              <w:right w:w="45" w:type="dxa"/>
            </w:tcMar>
            <w:vAlign w:val="center"/>
            <w:hideMark/>
          </w:tcPr>
          <w:p w14:paraId="42EDBDBF" w14:textId="77777777" w:rsidR="009972CB" w:rsidRPr="00856B8B" w:rsidRDefault="009972CB" w:rsidP="009972CB">
            <w:pPr>
              <w:spacing w:after="0" w:line="240" w:lineRule="auto"/>
              <w:jc w:val="center"/>
              <w:rPr>
                <w:rFonts w:cs="Arial"/>
                <w:sz w:val="22"/>
                <w:lang w:val="es-ES"/>
              </w:rPr>
            </w:pPr>
            <w:r w:rsidRPr="00856B8B">
              <w:rPr>
                <w:rFonts w:cs="Arial"/>
                <w:sz w:val="22"/>
                <w:lang w:val="es-ES"/>
              </w:rPr>
              <w:t>46.287,9</w:t>
            </w:r>
          </w:p>
        </w:tc>
        <w:tc>
          <w:tcPr>
            <w:tcW w:w="2405" w:type="dxa"/>
            <w:shd w:val="clear" w:color="auto" w:fill="auto"/>
            <w:tcMar>
              <w:top w:w="0" w:type="dxa"/>
              <w:left w:w="45" w:type="dxa"/>
              <w:bottom w:w="0" w:type="dxa"/>
              <w:right w:w="45" w:type="dxa"/>
            </w:tcMar>
            <w:vAlign w:val="bottom"/>
          </w:tcPr>
          <w:p w14:paraId="35950E5F" w14:textId="3E412B5A" w:rsidR="009972CB" w:rsidRPr="00856B8B" w:rsidRDefault="009972CB" w:rsidP="009972CB">
            <w:pPr>
              <w:spacing w:after="0" w:line="240" w:lineRule="auto"/>
              <w:jc w:val="center"/>
              <w:rPr>
                <w:rFonts w:cs="Arial"/>
                <w:sz w:val="22"/>
                <w:lang w:val="es-ES"/>
              </w:rPr>
            </w:pPr>
            <w:r w:rsidRPr="00856B8B">
              <w:rPr>
                <w:rFonts w:cs="Arial"/>
                <w:sz w:val="22"/>
              </w:rPr>
              <w:t>1.26</w:t>
            </w:r>
          </w:p>
        </w:tc>
      </w:tr>
      <w:tr w:rsidR="00856B8B" w:rsidRPr="00856B8B" w14:paraId="2AD996FB" w14:textId="77777777" w:rsidTr="00856B8B">
        <w:trPr>
          <w:gridAfter w:val="1"/>
          <w:trHeight w:val="300"/>
          <w:jc w:val="center"/>
        </w:trPr>
        <w:tc>
          <w:tcPr>
            <w:tcW w:w="704" w:type="dxa"/>
            <w:tcMar>
              <w:top w:w="0" w:type="dxa"/>
              <w:left w:w="45" w:type="dxa"/>
              <w:bottom w:w="0" w:type="dxa"/>
              <w:right w:w="45" w:type="dxa"/>
            </w:tcMar>
            <w:vAlign w:val="center"/>
            <w:hideMark/>
          </w:tcPr>
          <w:p w14:paraId="0693A164" w14:textId="77777777" w:rsidR="009972CB" w:rsidRPr="00856B8B" w:rsidRDefault="009972CB" w:rsidP="005A4D9C">
            <w:pPr>
              <w:spacing w:after="0" w:line="240" w:lineRule="auto"/>
              <w:jc w:val="center"/>
              <w:rPr>
                <w:rFonts w:cs="Arial"/>
                <w:sz w:val="22"/>
                <w:lang w:val="es-ES"/>
              </w:rPr>
            </w:pPr>
            <w:r w:rsidRPr="00856B8B">
              <w:rPr>
                <w:rFonts w:cs="Arial"/>
                <w:sz w:val="22"/>
                <w:lang w:val="es-ES"/>
              </w:rPr>
              <w:t>8</w:t>
            </w:r>
          </w:p>
        </w:tc>
        <w:tc>
          <w:tcPr>
            <w:tcW w:w="0" w:type="auto"/>
            <w:tcMar>
              <w:top w:w="0" w:type="dxa"/>
              <w:left w:w="45" w:type="dxa"/>
              <w:bottom w:w="0" w:type="dxa"/>
              <w:right w:w="45" w:type="dxa"/>
            </w:tcMar>
            <w:vAlign w:val="center"/>
            <w:hideMark/>
          </w:tcPr>
          <w:p w14:paraId="68A330FF" w14:textId="77777777" w:rsidR="009972CB" w:rsidRPr="00856B8B" w:rsidRDefault="009972CB" w:rsidP="009972CB">
            <w:pPr>
              <w:spacing w:after="0" w:line="240" w:lineRule="auto"/>
              <w:jc w:val="both"/>
              <w:rPr>
                <w:rFonts w:cs="Arial"/>
                <w:sz w:val="22"/>
                <w:lang w:val="es-ES"/>
              </w:rPr>
            </w:pPr>
            <w:r w:rsidRPr="00856B8B">
              <w:rPr>
                <w:rFonts w:cs="Arial"/>
                <w:sz w:val="22"/>
                <w:lang w:val="es-ES"/>
              </w:rPr>
              <w:t>Francisco Morazán</w:t>
            </w:r>
          </w:p>
        </w:tc>
        <w:tc>
          <w:tcPr>
            <w:tcW w:w="2063" w:type="dxa"/>
            <w:tcMar>
              <w:top w:w="0" w:type="dxa"/>
              <w:left w:w="45" w:type="dxa"/>
              <w:bottom w:w="0" w:type="dxa"/>
              <w:right w:w="45" w:type="dxa"/>
            </w:tcMar>
            <w:vAlign w:val="center"/>
            <w:hideMark/>
          </w:tcPr>
          <w:p w14:paraId="579BA544" w14:textId="77777777" w:rsidR="009972CB" w:rsidRPr="00856B8B" w:rsidRDefault="009972CB" w:rsidP="009972CB">
            <w:pPr>
              <w:spacing w:after="0" w:line="240" w:lineRule="auto"/>
              <w:jc w:val="center"/>
              <w:rPr>
                <w:rFonts w:cs="Arial"/>
                <w:sz w:val="22"/>
                <w:lang w:val="es-ES"/>
              </w:rPr>
            </w:pPr>
            <w:r w:rsidRPr="00856B8B">
              <w:rPr>
                <w:rFonts w:cs="Arial"/>
                <w:sz w:val="22"/>
                <w:lang w:val="es-ES"/>
              </w:rPr>
              <w:t>58.673,3</w:t>
            </w:r>
          </w:p>
        </w:tc>
        <w:tc>
          <w:tcPr>
            <w:tcW w:w="2405" w:type="dxa"/>
            <w:shd w:val="clear" w:color="auto" w:fill="auto"/>
            <w:tcMar>
              <w:top w:w="0" w:type="dxa"/>
              <w:left w:w="45" w:type="dxa"/>
              <w:bottom w:w="0" w:type="dxa"/>
              <w:right w:w="45" w:type="dxa"/>
            </w:tcMar>
            <w:vAlign w:val="bottom"/>
          </w:tcPr>
          <w:p w14:paraId="091FFA7F" w14:textId="659B3623" w:rsidR="009972CB" w:rsidRPr="00856B8B" w:rsidRDefault="009972CB" w:rsidP="009972CB">
            <w:pPr>
              <w:spacing w:after="0" w:line="240" w:lineRule="auto"/>
              <w:jc w:val="center"/>
              <w:rPr>
                <w:rFonts w:cs="Arial"/>
                <w:sz w:val="22"/>
                <w:lang w:val="es-ES"/>
              </w:rPr>
            </w:pPr>
            <w:r w:rsidRPr="00856B8B">
              <w:rPr>
                <w:rFonts w:cs="Arial"/>
                <w:sz w:val="22"/>
              </w:rPr>
              <w:t>1.59</w:t>
            </w:r>
          </w:p>
        </w:tc>
      </w:tr>
      <w:tr w:rsidR="00856B8B" w:rsidRPr="00856B8B" w14:paraId="20F4DA71" w14:textId="77777777" w:rsidTr="00856B8B">
        <w:trPr>
          <w:gridAfter w:val="1"/>
          <w:trHeight w:val="300"/>
          <w:jc w:val="center"/>
        </w:trPr>
        <w:tc>
          <w:tcPr>
            <w:tcW w:w="704" w:type="dxa"/>
            <w:tcMar>
              <w:top w:w="0" w:type="dxa"/>
              <w:left w:w="45" w:type="dxa"/>
              <w:bottom w:w="0" w:type="dxa"/>
              <w:right w:w="45" w:type="dxa"/>
            </w:tcMar>
            <w:vAlign w:val="center"/>
            <w:hideMark/>
          </w:tcPr>
          <w:p w14:paraId="7881E18A" w14:textId="77777777" w:rsidR="009972CB" w:rsidRPr="00856B8B" w:rsidRDefault="009972CB" w:rsidP="005A4D9C">
            <w:pPr>
              <w:spacing w:after="0" w:line="240" w:lineRule="auto"/>
              <w:jc w:val="center"/>
              <w:rPr>
                <w:rFonts w:cs="Arial"/>
                <w:sz w:val="22"/>
                <w:lang w:val="es-ES"/>
              </w:rPr>
            </w:pPr>
            <w:r w:rsidRPr="00856B8B">
              <w:rPr>
                <w:rFonts w:cs="Arial"/>
                <w:sz w:val="22"/>
                <w:lang w:val="es-ES"/>
              </w:rPr>
              <w:t>9</w:t>
            </w:r>
          </w:p>
        </w:tc>
        <w:tc>
          <w:tcPr>
            <w:tcW w:w="0" w:type="auto"/>
            <w:tcMar>
              <w:top w:w="0" w:type="dxa"/>
              <w:left w:w="45" w:type="dxa"/>
              <w:bottom w:w="0" w:type="dxa"/>
              <w:right w:w="45" w:type="dxa"/>
            </w:tcMar>
            <w:vAlign w:val="center"/>
            <w:hideMark/>
          </w:tcPr>
          <w:p w14:paraId="29B65A7A" w14:textId="77777777" w:rsidR="009972CB" w:rsidRPr="00856B8B" w:rsidRDefault="009972CB" w:rsidP="009972CB">
            <w:pPr>
              <w:spacing w:after="0" w:line="240" w:lineRule="auto"/>
              <w:jc w:val="both"/>
              <w:rPr>
                <w:rFonts w:cs="Arial"/>
                <w:sz w:val="22"/>
                <w:lang w:val="es-ES"/>
              </w:rPr>
            </w:pPr>
            <w:r w:rsidRPr="00856B8B">
              <w:rPr>
                <w:rFonts w:cs="Arial"/>
                <w:sz w:val="22"/>
                <w:lang w:val="es-ES"/>
              </w:rPr>
              <w:t>Intibucá</w:t>
            </w:r>
          </w:p>
        </w:tc>
        <w:tc>
          <w:tcPr>
            <w:tcW w:w="2063" w:type="dxa"/>
            <w:tcMar>
              <w:top w:w="0" w:type="dxa"/>
              <w:left w:w="45" w:type="dxa"/>
              <w:bottom w:w="0" w:type="dxa"/>
              <w:right w:w="45" w:type="dxa"/>
            </w:tcMar>
            <w:vAlign w:val="center"/>
            <w:hideMark/>
          </w:tcPr>
          <w:p w14:paraId="53B9D129" w14:textId="77777777" w:rsidR="009972CB" w:rsidRPr="00856B8B" w:rsidRDefault="009972CB" w:rsidP="009972CB">
            <w:pPr>
              <w:spacing w:after="0" w:line="240" w:lineRule="auto"/>
              <w:jc w:val="center"/>
              <w:rPr>
                <w:rFonts w:cs="Arial"/>
                <w:sz w:val="22"/>
                <w:lang w:val="es-ES"/>
              </w:rPr>
            </w:pPr>
            <w:r w:rsidRPr="00856B8B">
              <w:rPr>
                <w:rFonts w:cs="Arial"/>
                <w:sz w:val="22"/>
                <w:lang w:val="es-ES"/>
              </w:rPr>
              <w:t>44.000,4</w:t>
            </w:r>
          </w:p>
        </w:tc>
        <w:tc>
          <w:tcPr>
            <w:tcW w:w="2405" w:type="dxa"/>
            <w:shd w:val="clear" w:color="auto" w:fill="auto"/>
            <w:tcMar>
              <w:top w:w="0" w:type="dxa"/>
              <w:left w:w="45" w:type="dxa"/>
              <w:bottom w:w="0" w:type="dxa"/>
              <w:right w:w="45" w:type="dxa"/>
            </w:tcMar>
            <w:vAlign w:val="bottom"/>
          </w:tcPr>
          <w:p w14:paraId="1A99FFBE" w14:textId="69083DCA" w:rsidR="009972CB" w:rsidRPr="00856B8B" w:rsidRDefault="009972CB" w:rsidP="009972CB">
            <w:pPr>
              <w:spacing w:after="0" w:line="240" w:lineRule="auto"/>
              <w:jc w:val="center"/>
              <w:rPr>
                <w:rFonts w:cs="Arial"/>
                <w:sz w:val="22"/>
                <w:lang w:val="es-ES"/>
              </w:rPr>
            </w:pPr>
            <w:r w:rsidRPr="00856B8B">
              <w:rPr>
                <w:rFonts w:cs="Arial"/>
                <w:sz w:val="22"/>
              </w:rPr>
              <w:t>1.19</w:t>
            </w:r>
          </w:p>
        </w:tc>
      </w:tr>
      <w:tr w:rsidR="00856B8B" w:rsidRPr="00856B8B" w14:paraId="69FAA0BC" w14:textId="77777777" w:rsidTr="00856B8B">
        <w:trPr>
          <w:gridAfter w:val="1"/>
          <w:trHeight w:val="300"/>
          <w:jc w:val="center"/>
        </w:trPr>
        <w:tc>
          <w:tcPr>
            <w:tcW w:w="704" w:type="dxa"/>
            <w:tcMar>
              <w:top w:w="0" w:type="dxa"/>
              <w:left w:w="45" w:type="dxa"/>
              <w:bottom w:w="0" w:type="dxa"/>
              <w:right w:w="45" w:type="dxa"/>
            </w:tcMar>
            <w:vAlign w:val="center"/>
            <w:hideMark/>
          </w:tcPr>
          <w:p w14:paraId="6C6CE04A" w14:textId="77777777" w:rsidR="009972CB" w:rsidRPr="00856B8B" w:rsidRDefault="009972CB" w:rsidP="005A4D9C">
            <w:pPr>
              <w:spacing w:after="0" w:line="240" w:lineRule="auto"/>
              <w:jc w:val="center"/>
              <w:rPr>
                <w:rFonts w:cs="Arial"/>
                <w:sz w:val="22"/>
                <w:lang w:val="es-ES"/>
              </w:rPr>
            </w:pPr>
            <w:r w:rsidRPr="00856B8B">
              <w:rPr>
                <w:rFonts w:cs="Arial"/>
                <w:sz w:val="22"/>
                <w:lang w:val="es-ES"/>
              </w:rPr>
              <w:t>10</w:t>
            </w:r>
          </w:p>
        </w:tc>
        <w:tc>
          <w:tcPr>
            <w:tcW w:w="0" w:type="auto"/>
            <w:tcMar>
              <w:top w:w="0" w:type="dxa"/>
              <w:left w:w="45" w:type="dxa"/>
              <w:bottom w:w="0" w:type="dxa"/>
              <w:right w:w="45" w:type="dxa"/>
            </w:tcMar>
            <w:vAlign w:val="center"/>
            <w:hideMark/>
          </w:tcPr>
          <w:p w14:paraId="27E55C6A" w14:textId="77777777" w:rsidR="009972CB" w:rsidRPr="00856B8B" w:rsidRDefault="009972CB" w:rsidP="009972CB">
            <w:pPr>
              <w:spacing w:after="0" w:line="240" w:lineRule="auto"/>
              <w:jc w:val="both"/>
              <w:rPr>
                <w:rFonts w:cs="Arial"/>
                <w:sz w:val="22"/>
                <w:lang w:val="es-ES"/>
              </w:rPr>
            </w:pPr>
            <w:r w:rsidRPr="00856B8B">
              <w:rPr>
                <w:rFonts w:cs="Arial"/>
                <w:sz w:val="22"/>
                <w:lang w:val="es-ES"/>
              </w:rPr>
              <w:t>La Paz</w:t>
            </w:r>
          </w:p>
        </w:tc>
        <w:tc>
          <w:tcPr>
            <w:tcW w:w="2063" w:type="dxa"/>
            <w:tcMar>
              <w:top w:w="0" w:type="dxa"/>
              <w:left w:w="45" w:type="dxa"/>
              <w:bottom w:w="0" w:type="dxa"/>
              <w:right w:w="45" w:type="dxa"/>
            </w:tcMar>
            <w:vAlign w:val="center"/>
            <w:hideMark/>
          </w:tcPr>
          <w:p w14:paraId="251706C8" w14:textId="77777777" w:rsidR="009972CB" w:rsidRPr="00856B8B" w:rsidRDefault="009972CB" w:rsidP="009972CB">
            <w:pPr>
              <w:spacing w:after="0" w:line="240" w:lineRule="auto"/>
              <w:jc w:val="center"/>
              <w:rPr>
                <w:rFonts w:cs="Arial"/>
                <w:sz w:val="22"/>
                <w:lang w:val="es-ES"/>
              </w:rPr>
            </w:pPr>
            <w:r w:rsidRPr="00856B8B">
              <w:rPr>
                <w:rFonts w:cs="Arial"/>
                <w:sz w:val="22"/>
                <w:lang w:val="es-ES"/>
              </w:rPr>
              <w:t>70.748,4</w:t>
            </w:r>
          </w:p>
        </w:tc>
        <w:tc>
          <w:tcPr>
            <w:tcW w:w="2405" w:type="dxa"/>
            <w:shd w:val="clear" w:color="auto" w:fill="auto"/>
            <w:tcMar>
              <w:top w:w="0" w:type="dxa"/>
              <w:left w:w="45" w:type="dxa"/>
              <w:bottom w:w="0" w:type="dxa"/>
              <w:right w:w="45" w:type="dxa"/>
            </w:tcMar>
            <w:vAlign w:val="bottom"/>
          </w:tcPr>
          <w:p w14:paraId="7F6BE9F0" w14:textId="025C820B" w:rsidR="009972CB" w:rsidRPr="00856B8B" w:rsidRDefault="009972CB" w:rsidP="009972CB">
            <w:pPr>
              <w:spacing w:after="0" w:line="240" w:lineRule="auto"/>
              <w:jc w:val="center"/>
              <w:rPr>
                <w:rFonts w:cs="Arial"/>
                <w:sz w:val="22"/>
                <w:lang w:val="es-ES"/>
              </w:rPr>
            </w:pPr>
            <w:r w:rsidRPr="00856B8B">
              <w:rPr>
                <w:rFonts w:cs="Arial"/>
                <w:sz w:val="22"/>
              </w:rPr>
              <w:t>1.92</w:t>
            </w:r>
          </w:p>
        </w:tc>
      </w:tr>
      <w:tr w:rsidR="00856B8B" w:rsidRPr="00856B8B" w14:paraId="22FC2DAD" w14:textId="77777777" w:rsidTr="00856B8B">
        <w:trPr>
          <w:gridAfter w:val="1"/>
          <w:trHeight w:val="300"/>
          <w:jc w:val="center"/>
        </w:trPr>
        <w:tc>
          <w:tcPr>
            <w:tcW w:w="704" w:type="dxa"/>
            <w:tcMar>
              <w:top w:w="0" w:type="dxa"/>
              <w:left w:w="45" w:type="dxa"/>
              <w:bottom w:w="0" w:type="dxa"/>
              <w:right w:w="45" w:type="dxa"/>
            </w:tcMar>
            <w:vAlign w:val="center"/>
            <w:hideMark/>
          </w:tcPr>
          <w:p w14:paraId="4EF53293" w14:textId="77777777" w:rsidR="009972CB" w:rsidRPr="00856B8B" w:rsidRDefault="009972CB" w:rsidP="005A4D9C">
            <w:pPr>
              <w:spacing w:after="0" w:line="240" w:lineRule="auto"/>
              <w:jc w:val="center"/>
              <w:rPr>
                <w:rFonts w:cs="Arial"/>
                <w:sz w:val="22"/>
                <w:lang w:val="es-ES"/>
              </w:rPr>
            </w:pPr>
            <w:r w:rsidRPr="00856B8B">
              <w:rPr>
                <w:rFonts w:cs="Arial"/>
                <w:sz w:val="22"/>
                <w:lang w:val="es-ES"/>
              </w:rPr>
              <w:t>11</w:t>
            </w:r>
          </w:p>
        </w:tc>
        <w:tc>
          <w:tcPr>
            <w:tcW w:w="0" w:type="auto"/>
            <w:tcMar>
              <w:top w:w="0" w:type="dxa"/>
              <w:left w:w="45" w:type="dxa"/>
              <w:bottom w:w="0" w:type="dxa"/>
              <w:right w:w="45" w:type="dxa"/>
            </w:tcMar>
            <w:vAlign w:val="center"/>
            <w:hideMark/>
          </w:tcPr>
          <w:p w14:paraId="2FA208EB" w14:textId="77777777" w:rsidR="009972CB" w:rsidRPr="00856B8B" w:rsidRDefault="009972CB" w:rsidP="009972CB">
            <w:pPr>
              <w:spacing w:after="0" w:line="240" w:lineRule="auto"/>
              <w:jc w:val="both"/>
              <w:rPr>
                <w:rFonts w:cs="Arial"/>
                <w:sz w:val="22"/>
                <w:lang w:val="es-ES"/>
              </w:rPr>
            </w:pPr>
            <w:r w:rsidRPr="00856B8B">
              <w:rPr>
                <w:rFonts w:cs="Arial"/>
                <w:sz w:val="22"/>
                <w:lang w:val="es-ES"/>
              </w:rPr>
              <w:t>Lempira</w:t>
            </w:r>
          </w:p>
        </w:tc>
        <w:tc>
          <w:tcPr>
            <w:tcW w:w="2063" w:type="dxa"/>
            <w:tcMar>
              <w:top w:w="0" w:type="dxa"/>
              <w:left w:w="45" w:type="dxa"/>
              <w:bottom w:w="0" w:type="dxa"/>
              <w:right w:w="45" w:type="dxa"/>
            </w:tcMar>
            <w:vAlign w:val="center"/>
            <w:hideMark/>
          </w:tcPr>
          <w:p w14:paraId="763CFF34" w14:textId="77777777" w:rsidR="009972CB" w:rsidRPr="00856B8B" w:rsidRDefault="009972CB" w:rsidP="009972CB">
            <w:pPr>
              <w:spacing w:after="0" w:line="240" w:lineRule="auto"/>
              <w:jc w:val="center"/>
              <w:rPr>
                <w:rFonts w:cs="Arial"/>
                <w:sz w:val="22"/>
                <w:lang w:val="es-ES"/>
              </w:rPr>
            </w:pPr>
            <w:r w:rsidRPr="00856B8B">
              <w:rPr>
                <w:rFonts w:cs="Arial"/>
                <w:sz w:val="22"/>
                <w:lang w:val="es-ES"/>
              </w:rPr>
              <w:t>54.763,2</w:t>
            </w:r>
          </w:p>
        </w:tc>
        <w:tc>
          <w:tcPr>
            <w:tcW w:w="2405" w:type="dxa"/>
            <w:shd w:val="clear" w:color="auto" w:fill="auto"/>
            <w:tcMar>
              <w:top w:w="0" w:type="dxa"/>
              <w:left w:w="45" w:type="dxa"/>
              <w:bottom w:w="0" w:type="dxa"/>
              <w:right w:w="45" w:type="dxa"/>
            </w:tcMar>
            <w:vAlign w:val="bottom"/>
          </w:tcPr>
          <w:p w14:paraId="1D1753F2" w14:textId="186CE21E" w:rsidR="009972CB" w:rsidRPr="00856B8B" w:rsidRDefault="009972CB" w:rsidP="009972CB">
            <w:pPr>
              <w:spacing w:after="0" w:line="240" w:lineRule="auto"/>
              <w:jc w:val="center"/>
              <w:rPr>
                <w:rFonts w:cs="Arial"/>
                <w:sz w:val="22"/>
                <w:lang w:val="es-ES"/>
              </w:rPr>
            </w:pPr>
            <w:r w:rsidRPr="00856B8B">
              <w:rPr>
                <w:rFonts w:cs="Arial"/>
                <w:sz w:val="22"/>
              </w:rPr>
              <w:t>1.49</w:t>
            </w:r>
          </w:p>
        </w:tc>
      </w:tr>
      <w:tr w:rsidR="00856B8B" w:rsidRPr="00856B8B" w14:paraId="248AD880" w14:textId="77777777" w:rsidTr="00856B8B">
        <w:trPr>
          <w:gridAfter w:val="1"/>
          <w:trHeight w:val="300"/>
          <w:jc w:val="center"/>
        </w:trPr>
        <w:tc>
          <w:tcPr>
            <w:tcW w:w="704" w:type="dxa"/>
            <w:tcMar>
              <w:top w:w="0" w:type="dxa"/>
              <w:left w:w="45" w:type="dxa"/>
              <w:bottom w:w="0" w:type="dxa"/>
              <w:right w:w="45" w:type="dxa"/>
            </w:tcMar>
            <w:vAlign w:val="center"/>
            <w:hideMark/>
          </w:tcPr>
          <w:p w14:paraId="3F71199E" w14:textId="77777777" w:rsidR="009972CB" w:rsidRPr="00856B8B" w:rsidRDefault="009972CB" w:rsidP="005A4D9C">
            <w:pPr>
              <w:spacing w:after="0" w:line="240" w:lineRule="auto"/>
              <w:jc w:val="center"/>
              <w:rPr>
                <w:rFonts w:cs="Arial"/>
                <w:sz w:val="22"/>
                <w:lang w:val="es-ES"/>
              </w:rPr>
            </w:pPr>
            <w:r w:rsidRPr="00856B8B">
              <w:rPr>
                <w:rFonts w:cs="Arial"/>
                <w:sz w:val="22"/>
                <w:lang w:val="es-ES"/>
              </w:rPr>
              <w:t>12</w:t>
            </w:r>
          </w:p>
        </w:tc>
        <w:tc>
          <w:tcPr>
            <w:tcW w:w="0" w:type="auto"/>
            <w:tcMar>
              <w:top w:w="0" w:type="dxa"/>
              <w:left w:w="45" w:type="dxa"/>
              <w:bottom w:w="0" w:type="dxa"/>
              <w:right w:w="45" w:type="dxa"/>
            </w:tcMar>
            <w:vAlign w:val="center"/>
            <w:hideMark/>
          </w:tcPr>
          <w:p w14:paraId="70F09F15" w14:textId="77777777" w:rsidR="009972CB" w:rsidRPr="00856B8B" w:rsidRDefault="009972CB" w:rsidP="009972CB">
            <w:pPr>
              <w:spacing w:after="0" w:line="240" w:lineRule="auto"/>
              <w:jc w:val="both"/>
              <w:rPr>
                <w:rFonts w:cs="Arial"/>
                <w:sz w:val="22"/>
                <w:lang w:val="es-ES"/>
              </w:rPr>
            </w:pPr>
            <w:r w:rsidRPr="00856B8B">
              <w:rPr>
                <w:rFonts w:cs="Arial"/>
                <w:sz w:val="22"/>
                <w:lang w:val="es-ES"/>
              </w:rPr>
              <w:t>Ocotepeque</w:t>
            </w:r>
          </w:p>
        </w:tc>
        <w:tc>
          <w:tcPr>
            <w:tcW w:w="2063" w:type="dxa"/>
            <w:tcMar>
              <w:top w:w="0" w:type="dxa"/>
              <w:left w:w="45" w:type="dxa"/>
              <w:bottom w:w="0" w:type="dxa"/>
              <w:right w:w="45" w:type="dxa"/>
            </w:tcMar>
            <w:vAlign w:val="center"/>
            <w:hideMark/>
          </w:tcPr>
          <w:p w14:paraId="5A13DCEB" w14:textId="77777777" w:rsidR="009972CB" w:rsidRPr="00856B8B" w:rsidRDefault="009972CB" w:rsidP="009972CB">
            <w:pPr>
              <w:spacing w:after="0" w:line="240" w:lineRule="auto"/>
              <w:jc w:val="center"/>
              <w:rPr>
                <w:rFonts w:cs="Arial"/>
                <w:sz w:val="22"/>
                <w:lang w:val="es-ES"/>
              </w:rPr>
            </w:pPr>
            <w:r w:rsidRPr="00856B8B">
              <w:rPr>
                <w:rFonts w:cs="Arial"/>
                <w:sz w:val="22"/>
                <w:lang w:val="es-ES"/>
              </w:rPr>
              <w:t>38.451,5</w:t>
            </w:r>
          </w:p>
        </w:tc>
        <w:tc>
          <w:tcPr>
            <w:tcW w:w="2405" w:type="dxa"/>
            <w:shd w:val="clear" w:color="auto" w:fill="auto"/>
            <w:tcMar>
              <w:top w:w="0" w:type="dxa"/>
              <w:left w:w="45" w:type="dxa"/>
              <w:bottom w:w="0" w:type="dxa"/>
              <w:right w:w="45" w:type="dxa"/>
            </w:tcMar>
            <w:vAlign w:val="bottom"/>
          </w:tcPr>
          <w:p w14:paraId="470EF99D" w14:textId="02AD60F8" w:rsidR="009972CB" w:rsidRPr="00856B8B" w:rsidRDefault="009972CB" w:rsidP="009972CB">
            <w:pPr>
              <w:spacing w:after="0" w:line="240" w:lineRule="auto"/>
              <w:jc w:val="center"/>
              <w:rPr>
                <w:rFonts w:cs="Arial"/>
                <w:sz w:val="22"/>
                <w:lang w:val="es-ES"/>
              </w:rPr>
            </w:pPr>
            <w:r w:rsidRPr="00856B8B">
              <w:rPr>
                <w:rFonts w:cs="Arial"/>
                <w:sz w:val="22"/>
              </w:rPr>
              <w:t>1.04</w:t>
            </w:r>
          </w:p>
        </w:tc>
      </w:tr>
      <w:tr w:rsidR="00856B8B" w:rsidRPr="00856B8B" w14:paraId="4B2F9B1B" w14:textId="77777777" w:rsidTr="00856B8B">
        <w:trPr>
          <w:gridAfter w:val="1"/>
          <w:trHeight w:val="300"/>
          <w:jc w:val="center"/>
        </w:trPr>
        <w:tc>
          <w:tcPr>
            <w:tcW w:w="704" w:type="dxa"/>
            <w:tcMar>
              <w:top w:w="0" w:type="dxa"/>
              <w:left w:w="45" w:type="dxa"/>
              <w:bottom w:w="0" w:type="dxa"/>
              <w:right w:w="45" w:type="dxa"/>
            </w:tcMar>
            <w:vAlign w:val="center"/>
            <w:hideMark/>
          </w:tcPr>
          <w:p w14:paraId="7DA05F84" w14:textId="77777777" w:rsidR="009972CB" w:rsidRPr="00856B8B" w:rsidRDefault="009972CB" w:rsidP="005A4D9C">
            <w:pPr>
              <w:spacing w:after="0" w:line="240" w:lineRule="auto"/>
              <w:jc w:val="center"/>
              <w:rPr>
                <w:rFonts w:cs="Arial"/>
                <w:sz w:val="22"/>
                <w:lang w:val="es-ES"/>
              </w:rPr>
            </w:pPr>
            <w:r w:rsidRPr="00856B8B">
              <w:rPr>
                <w:rFonts w:cs="Arial"/>
                <w:sz w:val="22"/>
                <w:lang w:val="es-ES"/>
              </w:rPr>
              <w:t>13</w:t>
            </w:r>
          </w:p>
        </w:tc>
        <w:tc>
          <w:tcPr>
            <w:tcW w:w="0" w:type="auto"/>
            <w:tcMar>
              <w:top w:w="0" w:type="dxa"/>
              <w:left w:w="45" w:type="dxa"/>
              <w:bottom w:w="0" w:type="dxa"/>
              <w:right w:w="45" w:type="dxa"/>
            </w:tcMar>
            <w:vAlign w:val="center"/>
            <w:hideMark/>
          </w:tcPr>
          <w:p w14:paraId="0C7D53ED" w14:textId="77777777" w:rsidR="009972CB" w:rsidRPr="00856B8B" w:rsidRDefault="009972CB" w:rsidP="009972CB">
            <w:pPr>
              <w:spacing w:after="0" w:line="240" w:lineRule="auto"/>
              <w:jc w:val="both"/>
              <w:rPr>
                <w:rFonts w:cs="Arial"/>
                <w:sz w:val="22"/>
                <w:lang w:val="es-ES"/>
              </w:rPr>
            </w:pPr>
            <w:r w:rsidRPr="00856B8B">
              <w:rPr>
                <w:rFonts w:cs="Arial"/>
                <w:sz w:val="22"/>
                <w:lang w:val="es-ES"/>
              </w:rPr>
              <w:t>Olancho</w:t>
            </w:r>
          </w:p>
        </w:tc>
        <w:tc>
          <w:tcPr>
            <w:tcW w:w="2063" w:type="dxa"/>
            <w:tcMar>
              <w:top w:w="0" w:type="dxa"/>
              <w:left w:w="45" w:type="dxa"/>
              <w:bottom w:w="0" w:type="dxa"/>
              <w:right w:w="45" w:type="dxa"/>
            </w:tcMar>
            <w:vAlign w:val="center"/>
            <w:hideMark/>
          </w:tcPr>
          <w:p w14:paraId="3F096013" w14:textId="77777777" w:rsidR="009972CB" w:rsidRPr="00856B8B" w:rsidRDefault="009972CB" w:rsidP="009972CB">
            <w:pPr>
              <w:spacing w:after="0" w:line="240" w:lineRule="auto"/>
              <w:jc w:val="center"/>
              <w:rPr>
                <w:rFonts w:cs="Arial"/>
                <w:sz w:val="22"/>
                <w:lang w:val="es-ES"/>
              </w:rPr>
            </w:pPr>
            <w:r w:rsidRPr="00856B8B">
              <w:rPr>
                <w:rFonts w:cs="Arial"/>
                <w:sz w:val="22"/>
                <w:lang w:val="es-ES"/>
              </w:rPr>
              <w:t>825.320,4</w:t>
            </w:r>
          </w:p>
        </w:tc>
        <w:tc>
          <w:tcPr>
            <w:tcW w:w="2405" w:type="dxa"/>
            <w:shd w:val="clear" w:color="auto" w:fill="auto"/>
            <w:tcMar>
              <w:top w:w="0" w:type="dxa"/>
              <w:left w:w="45" w:type="dxa"/>
              <w:bottom w:w="0" w:type="dxa"/>
              <w:right w:w="45" w:type="dxa"/>
            </w:tcMar>
            <w:vAlign w:val="bottom"/>
          </w:tcPr>
          <w:p w14:paraId="65B77C7C" w14:textId="47742537" w:rsidR="009972CB" w:rsidRPr="00856B8B" w:rsidRDefault="009972CB" w:rsidP="009972CB">
            <w:pPr>
              <w:spacing w:after="0" w:line="240" w:lineRule="auto"/>
              <w:jc w:val="center"/>
              <w:rPr>
                <w:rFonts w:cs="Arial"/>
                <w:sz w:val="22"/>
                <w:lang w:val="es-ES"/>
              </w:rPr>
            </w:pPr>
            <w:r w:rsidRPr="00856B8B">
              <w:rPr>
                <w:rFonts w:cs="Arial"/>
                <w:sz w:val="22"/>
              </w:rPr>
              <w:t>22.38</w:t>
            </w:r>
          </w:p>
        </w:tc>
      </w:tr>
      <w:tr w:rsidR="00856B8B" w:rsidRPr="00856B8B" w14:paraId="09E438D2" w14:textId="77777777" w:rsidTr="00856B8B">
        <w:trPr>
          <w:gridAfter w:val="1"/>
          <w:trHeight w:val="300"/>
          <w:jc w:val="center"/>
        </w:trPr>
        <w:tc>
          <w:tcPr>
            <w:tcW w:w="704" w:type="dxa"/>
            <w:tcMar>
              <w:top w:w="0" w:type="dxa"/>
              <w:left w:w="45" w:type="dxa"/>
              <w:bottom w:w="0" w:type="dxa"/>
              <w:right w:w="45" w:type="dxa"/>
            </w:tcMar>
            <w:vAlign w:val="center"/>
            <w:hideMark/>
          </w:tcPr>
          <w:p w14:paraId="7C5E3086" w14:textId="77777777" w:rsidR="009972CB" w:rsidRPr="00856B8B" w:rsidRDefault="009972CB" w:rsidP="005A4D9C">
            <w:pPr>
              <w:spacing w:after="0" w:line="240" w:lineRule="auto"/>
              <w:jc w:val="center"/>
              <w:rPr>
                <w:rFonts w:cs="Arial"/>
                <w:sz w:val="22"/>
                <w:lang w:val="es-ES"/>
              </w:rPr>
            </w:pPr>
            <w:r w:rsidRPr="00856B8B">
              <w:rPr>
                <w:rFonts w:cs="Arial"/>
                <w:sz w:val="22"/>
                <w:lang w:val="es-ES"/>
              </w:rPr>
              <w:t>14</w:t>
            </w:r>
          </w:p>
        </w:tc>
        <w:tc>
          <w:tcPr>
            <w:tcW w:w="0" w:type="auto"/>
            <w:tcMar>
              <w:top w:w="0" w:type="dxa"/>
              <w:left w:w="45" w:type="dxa"/>
              <w:bottom w:w="0" w:type="dxa"/>
              <w:right w:w="45" w:type="dxa"/>
            </w:tcMar>
            <w:vAlign w:val="center"/>
            <w:hideMark/>
          </w:tcPr>
          <w:p w14:paraId="44787D17" w14:textId="77777777" w:rsidR="009972CB" w:rsidRPr="00856B8B" w:rsidRDefault="009972CB" w:rsidP="009972CB">
            <w:pPr>
              <w:spacing w:after="0" w:line="240" w:lineRule="auto"/>
              <w:jc w:val="both"/>
              <w:rPr>
                <w:rFonts w:cs="Arial"/>
                <w:sz w:val="22"/>
                <w:lang w:val="es-ES"/>
              </w:rPr>
            </w:pPr>
            <w:r w:rsidRPr="00856B8B">
              <w:rPr>
                <w:rFonts w:cs="Arial"/>
                <w:sz w:val="22"/>
                <w:lang w:val="es-ES"/>
              </w:rPr>
              <w:t>Santa Bárbara</w:t>
            </w:r>
          </w:p>
        </w:tc>
        <w:tc>
          <w:tcPr>
            <w:tcW w:w="2063" w:type="dxa"/>
            <w:tcMar>
              <w:top w:w="0" w:type="dxa"/>
              <w:left w:w="45" w:type="dxa"/>
              <w:bottom w:w="0" w:type="dxa"/>
              <w:right w:w="45" w:type="dxa"/>
            </w:tcMar>
            <w:vAlign w:val="center"/>
            <w:hideMark/>
          </w:tcPr>
          <w:p w14:paraId="5D63B14C" w14:textId="77777777" w:rsidR="009972CB" w:rsidRPr="00856B8B" w:rsidRDefault="009972CB" w:rsidP="009972CB">
            <w:pPr>
              <w:spacing w:after="0" w:line="240" w:lineRule="auto"/>
              <w:jc w:val="center"/>
              <w:rPr>
                <w:rFonts w:cs="Arial"/>
                <w:sz w:val="22"/>
                <w:lang w:val="es-ES"/>
              </w:rPr>
            </w:pPr>
            <w:r w:rsidRPr="00856B8B">
              <w:rPr>
                <w:rFonts w:cs="Arial"/>
                <w:sz w:val="22"/>
                <w:lang w:val="es-ES"/>
              </w:rPr>
              <w:t>35.683,0</w:t>
            </w:r>
          </w:p>
        </w:tc>
        <w:tc>
          <w:tcPr>
            <w:tcW w:w="2405" w:type="dxa"/>
            <w:shd w:val="clear" w:color="auto" w:fill="auto"/>
            <w:tcMar>
              <w:top w:w="0" w:type="dxa"/>
              <w:left w:w="45" w:type="dxa"/>
              <w:bottom w:w="0" w:type="dxa"/>
              <w:right w:w="45" w:type="dxa"/>
            </w:tcMar>
            <w:vAlign w:val="bottom"/>
          </w:tcPr>
          <w:p w14:paraId="5495978F" w14:textId="2F80BBA5" w:rsidR="009972CB" w:rsidRPr="00856B8B" w:rsidRDefault="009972CB" w:rsidP="009972CB">
            <w:pPr>
              <w:spacing w:after="0" w:line="240" w:lineRule="auto"/>
              <w:jc w:val="center"/>
              <w:rPr>
                <w:rFonts w:cs="Arial"/>
                <w:sz w:val="22"/>
                <w:lang w:val="es-ES"/>
              </w:rPr>
            </w:pPr>
            <w:r w:rsidRPr="00856B8B">
              <w:rPr>
                <w:rFonts w:cs="Arial"/>
                <w:sz w:val="22"/>
              </w:rPr>
              <w:t>0.97</w:t>
            </w:r>
          </w:p>
        </w:tc>
      </w:tr>
      <w:tr w:rsidR="00856B8B" w:rsidRPr="00856B8B" w14:paraId="23D95882" w14:textId="77777777" w:rsidTr="00856B8B">
        <w:trPr>
          <w:gridAfter w:val="1"/>
          <w:trHeight w:val="300"/>
          <w:jc w:val="center"/>
        </w:trPr>
        <w:tc>
          <w:tcPr>
            <w:tcW w:w="704" w:type="dxa"/>
            <w:tcMar>
              <w:top w:w="0" w:type="dxa"/>
              <w:left w:w="45" w:type="dxa"/>
              <w:bottom w:w="0" w:type="dxa"/>
              <w:right w:w="45" w:type="dxa"/>
            </w:tcMar>
            <w:vAlign w:val="center"/>
            <w:hideMark/>
          </w:tcPr>
          <w:p w14:paraId="13648B09" w14:textId="77777777" w:rsidR="009972CB" w:rsidRPr="00856B8B" w:rsidRDefault="009972CB" w:rsidP="005A4D9C">
            <w:pPr>
              <w:spacing w:after="0" w:line="240" w:lineRule="auto"/>
              <w:jc w:val="center"/>
              <w:rPr>
                <w:rFonts w:cs="Arial"/>
                <w:sz w:val="22"/>
                <w:lang w:val="es-ES"/>
              </w:rPr>
            </w:pPr>
            <w:r w:rsidRPr="00856B8B">
              <w:rPr>
                <w:rFonts w:cs="Arial"/>
                <w:sz w:val="22"/>
                <w:lang w:val="es-ES"/>
              </w:rPr>
              <w:t>15</w:t>
            </w:r>
          </w:p>
        </w:tc>
        <w:tc>
          <w:tcPr>
            <w:tcW w:w="0" w:type="auto"/>
            <w:tcMar>
              <w:top w:w="0" w:type="dxa"/>
              <w:left w:w="45" w:type="dxa"/>
              <w:bottom w:w="0" w:type="dxa"/>
              <w:right w:w="45" w:type="dxa"/>
            </w:tcMar>
            <w:vAlign w:val="center"/>
            <w:hideMark/>
          </w:tcPr>
          <w:p w14:paraId="13369B55" w14:textId="77777777" w:rsidR="009972CB" w:rsidRPr="00856B8B" w:rsidRDefault="009972CB" w:rsidP="009972CB">
            <w:pPr>
              <w:spacing w:after="0" w:line="240" w:lineRule="auto"/>
              <w:jc w:val="both"/>
              <w:rPr>
                <w:rFonts w:cs="Arial"/>
                <w:sz w:val="22"/>
                <w:lang w:val="es-ES"/>
              </w:rPr>
            </w:pPr>
            <w:r w:rsidRPr="00856B8B">
              <w:rPr>
                <w:rFonts w:cs="Arial"/>
                <w:sz w:val="22"/>
                <w:lang w:val="es-ES"/>
              </w:rPr>
              <w:t>Valle</w:t>
            </w:r>
          </w:p>
        </w:tc>
        <w:tc>
          <w:tcPr>
            <w:tcW w:w="2063" w:type="dxa"/>
            <w:tcMar>
              <w:top w:w="0" w:type="dxa"/>
              <w:left w:w="45" w:type="dxa"/>
              <w:bottom w:w="0" w:type="dxa"/>
              <w:right w:w="45" w:type="dxa"/>
            </w:tcMar>
            <w:vAlign w:val="center"/>
            <w:hideMark/>
          </w:tcPr>
          <w:p w14:paraId="30F1D529" w14:textId="77777777" w:rsidR="009972CB" w:rsidRPr="00856B8B" w:rsidRDefault="009972CB" w:rsidP="009972CB">
            <w:pPr>
              <w:spacing w:after="0" w:line="240" w:lineRule="auto"/>
              <w:jc w:val="center"/>
              <w:rPr>
                <w:rFonts w:cs="Arial"/>
                <w:sz w:val="22"/>
                <w:lang w:val="es-ES"/>
              </w:rPr>
            </w:pPr>
            <w:r w:rsidRPr="00856B8B">
              <w:rPr>
                <w:rFonts w:cs="Arial"/>
                <w:sz w:val="22"/>
                <w:lang w:val="es-ES"/>
              </w:rPr>
              <w:t>27.543,4</w:t>
            </w:r>
          </w:p>
        </w:tc>
        <w:tc>
          <w:tcPr>
            <w:tcW w:w="2405" w:type="dxa"/>
            <w:shd w:val="clear" w:color="auto" w:fill="auto"/>
            <w:tcMar>
              <w:top w:w="0" w:type="dxa"/>
              <w:left w:w="45" w:type="dxa"/>
              <w:bottom w:w="0" w:type="dxa"/>
              <w:right w:w="45" w:type="dxa"/>
            </w:tcMar>
            <w:vAlign w:val="bottom"/>
          </w:tcPr>
          <w:p w14:paraId="488B5219" w14:textId="08F404B8" w:rsidR="009972CB" w:rsidRPr="00856B8B" w:rsidRDefault="009972CB" w:rsidP="009972CB">
            <w:pPr>
              <w:spacing w:after="0" w:line="240" w:lineRule="auto"/>
              <w:jc w:val="center"/>
              <w:rPr>
                <w:rFonts w:cs="Arial"/>
                <w:sz w:val="22"/>
                <w:lang w:val="es-ES"/>
              </w:rPr>
            </w:pPr>
            <w:r w:rsidRPr="00856B8B">
              <w:rPr>
                <w:rFonts w:cs="Arial"/>
                <w:sz w:val="22"/>
              </w:rPr>
              <w:t>0.75</w:t>
            </w:r>
          </w:p>
        </w:tc>
      </w:tr>
      <w:tr w:rsidR="00856B8B" w:rsidRPr="00856B8B" w14:paraId="0B23857F" w14:textId="77777777" w:rsidTr="00856B8B">
        <w:trPr>
          <w:gridAfter w:val="1"/>
          <w:trHeight w:val="300"/>
          <w:jc w:val="center"/>
        </w:trPr>
        <w:tc>
          <w:tcPr>
            <w:tcW w:w="704" w:type="dxa"/>
            <w:tcMar>
              <w:top w:w="0" w:type="dxa"/>
              <w:left w:w="45" w:type="dxa"/>
              <w:bottom w:w="0" w:type="dxa"/>
              <w:right w:w="45" w:type="dxa"/>
            </w:tcMar>
            <w:vAlign w:val="center"/>
            <w:hideMark/>
          </w:tcPr>
          <w:p w14:paraId="64253B61" w14:textId="77777777" w:rsidR="009972CB" w:rsidRPr="00856B8B" w:rsidRDefault="009972CB" w:rsidP="005A4D9C">
            <w:pPr>
              <w:spacing w:after="0" w:line="240" w:lineRule="auto"/>
              <w:jc w:val="center"/>
              <w:rPr>
                <w:rFonts w:cs="Arial"/>
                <w:sz w:val="22"/>
                <w:lang w:val="es-ES"/>
              </w:rPr>
            </w:pPr>
            <w:r w:rsidRPr="00856B8B">
              <w:rPr>
                <w:rFonts w:cs="Arial"/>
                <w:sz w:val="22"/>
                <w:lang w:val="es-ES"/>
              </w:rPr>
              <w:t>16</w:t>
            </w:r>
          </w:p>
        </w:tc>
        <w:tc>
          <w:tcPr>
            <w:tcW w:w="0" w:type="auto"/>
            <w:tcMar>
              <w:top w:w="0" w:type="dxa"/>
              <w:left w:w="45" w:type="dxa"/>
              <w:bottom w:w="0" w:type="dxa"/>
              <w:right w:w="45" w:type="dxa"/>
            </w:tcMar>
            <w:vAlign w:val="center"/>
            <w:hideMark/>
          </w:tcPr>
          <w:p w14:paraId="0363F55F" w14:textId="77777777" w:rsidR="009972CB" w:rsidRPr="00856B8B" w:rsidRDefault="009972CB" w:rsidP="009972CB">
            <w:pPr>
              <w:spacing w:after="0" w:line="240" w:lineRule="auto"/>
              <w:jc w:val="both"/>
              <w:rPr>
                <w:rFonts w:cs="Arial"/>
                <w:sz w:val="22"/>
                <w:lang w:val="es-ES"/>
              </w:rPr>
            </w:pPr>
            <w:r w:rsidRPr="00856B8B">
              <w:rPr>
                <w:rFonts w:cs="Arial"/>
                <w:sz w:val="22"/>
                <w:lang w:val="es-ES"/>
              </w:rPr>
              <w:t>Yoro</w:t>
            </w:r>
          </w:p>
        </w:tc>
        <w:tc>
          <w:tcPr>
            <w:tcW w:w="2063" w:type="dxa"/>
            <w:tcMar>
              <w:top w:w="0" w:type="dxa"/>
              <w:left w:w="45" w:type="dxa"/>
              <w:bottom w:w="0" w:type="dxa"/>
              <w:right w:w="45" w:type="dxa"/>
            </w:tcMar>
            <w:vAlign w:val="center"/>
            <w:hideMark/>
          </w:tcPr>
          <w:p w14:paraId="2CC8FE07" w14:textId="77777777" w:rsidR="009972CB" w:rsidRPr="00856B8B" w:rsidRDefault="009972CB" w:rsidP="009972CB">
            <w:pPr>
              <w:spacing w:after="0" w:line="240" w:lineRule="auto"/>
              <w:jc w:val="center"/>
              <w:rPr>
                <w:rFonts w:cs="Arial"/>
                <w:sz w:val="22"/>
                <w:lang w:val="es-ES"/>
              </w:rPr>
            </w:pPr>
            <w:r w:rsidRPr="00856B8B">
              <w:rPr>
                <w:rFonts w:cs="Arial"/>
                <w:sz w:val="22"/>
                <w:lang w:val="es-ES"/>
              </w:rPr>
              <w:t>110.139,5</w:t>
            </w:r>
          </w:p>
        </w:tc>
        <w:tc>
          <w:tcPr>
            <w:tcW w:w="2405" w:type="dxa"/>
            <w:shd w:val="clear" w:color="auto" w:fill="auto"/>
            <w:tcMar>
              <w:top w:w="0" w:type="dxa"/>
              <w:left w:w="45" w:type="dxa"/>
              <w:bottom w:w="0" w:type="dxa"/>
              <w:right w:w="45" w:type="dxa"/>
            </w:tcMar>
            <w:vAlign w:val="bottom"/>
          </w:tcPr>
          <w:p w14:paraId="35C61515" w14:textId="26FB2818" w:rsidR="009972CB" w:rsidRPr="00856B8B" w:rsidRDefault="009972CB" w:rsidP="009972CB">
            <w:pPr>
              <w:spacing w:after="0" w:line="240" w:lineRule="auto"/>
              <w:jc w:val="center"/>
              <w:rPr>
                <w:rFonts w:cs="Arial"/>
                <w:sz w:val="22"/>
                <w:lang w:val="es-ES"/>
              </w:rPr>
            </w:pPr>
            <w:r w:rsidRPr="00856B8B">
              <w:rPr>
                <w:rFonts w:cs="Arial"/>
                <w:sz w:val="22"/>
              </w:rPr>
              <w:t>2.99</w:t>
            </w:r>
          </w:p>
        </w:tc>
      </w:tr>
      <w:tr w:rsidR="00856B8B" w:rsidRPr="00856B8B" w14:paraId="7F37F7AB" w14:textId="77777777" w:rsidTr="00856B8B">
        <w:trPr>
          <w:gridAfter w:val="1"/>
          <w:trHeight w:val="300"/>
          <w:jc w:val="center"/>
        </w:trPr>
        <w:tc>
          <w:tcPr>
            <w:tcW w:w="704" w:type="dxa"/>
            <w:tcMar>
              <w:top w:w="0" w:type="dxa"/>
              <w:left w:w="45" w:type="dxa"/>
              <w:bottom w:w="0" w:type="dxa"/>
              <w:right w:w="45" w:type="dxa"/>
            </w:tcMar>
            <w:vAlign w:val="center"/>
          </w:tcPr>
          <w:p w14:paraId="6CC51BD2" w14:textId="77777777" w:rsidR="009972CB" w:rsidRPr="00856B8B" w:rsidRDefault="009972CB" w:rsidP="005A4D9C">
            <w:pPr>
              <w:spacing w:after="0" w:line="240" w:lineRule="auto"/>
              <w:jc w:val="center"/>
              <w:rPr>
                <w:rFonts w:cs="Arial"/>
                <w:sz w:val="22"/>
                <w:lang w:val="es-ES"/>
              </w:rPr>
            </w:pPr>
            <w:r w:rsidRPr="00856B8B">
              <w:rPr>
                <w:rFonts w:cs="Arial"/>
                <w:sz w:val="22"/>
                <w:lang w:val="es-ES"/>
              </w:rPr>
              <w:t>17</w:t>
            </w:r>
          </w:p>
        </w:tc>
        <w:tc>
          <w:tcPr>
            <w:tcW w:w="0" w:type="auto"/>
            <w:tcMar>
              <w:top w:w="0" w:type="dxa"/>
              <w:left w:w="45" w:type="dxa"/>
              <w:bottom w:w="0" w:type="dxa"/>
              <w:right w:w="45" w:type="dxa"/>
            </w:tcMar>
            <w:vAlign w:val="center"/>
          </w:tcPr>
          <w:p w14:paraId="60C93A74" w14:textId="77777777" w:rsidR="009972CB" w:rsidRPr="00856B8B" w:rsidRDefault="009972CB" w:rsidP="009972CB">
            <w:pPr>
              <w:spacing w:after="0" w:line="240" w:lineRule="auto"/>
              <w:jc w:val="both"/>
              <w:rPr>
                <w:rFonts w:cs="Arial"/>
                <w:sz w:val="22"/>
                <w:lang w:val="es-ES"/>
              </w:rPr>
            </w:pPr>
            <w:r w:rsidRPr="00856B8B">
              <w:rPr>
                <w:rFonts w:cs="Arial"/>
                <w:sz w:val="22"/>
                <w:lang w:val="es-ES"/>
              </w:rPr>
              <w:t>Gracias a Dios</w:t>
            </w:r>
          </w:p>
        </w:tc>
        <w:tc>
          <w:tcPr>
            <w:tcW w:w="2063" w:type="dxa"/>
            <w:tcMar>
              <w:top w:w="0" w:type="dxa"/>
              <w:left w:w="45" w:type="dxa"/>
              <w:bottom w:w="0" w:type="dxa"/>
              <w:right w:w="45" w:type="dxa"/>
            </w:tcMar>
            <w:vAlign w:val="center"/>
          </w:tcPr>
          <w:p w14:paraId="22D45506" w14:textId="4A9A2D87" w:rsidR="009972CB" w:rsidRPr="00856B8B" w:rsidRDefault="009972CB" w:rsidP="009972CB">
            <w:pPr>
              <w:spacing w:after="0" w:line="240" w:lineRule="auto"/>
              <w:jc w:val="center"/>
              <w:rPr>
                <w:rFonts w:cs="Arial"/>
                <w:sz w:val="22"/>
                <w:lang w:val="es-ES"/>
              </w:rPr>
            </w:pPr>
            <w:r w:rsidRPr="00856B8B">
              <w:rPr>
                <w:rFonts w:cs="Arial"/>
                <w:sz w:val="22"/>
              </w:rPr>
              <w:t xml:space="preserve">1,562,094.61 </w:t>
            </w:r>
          </w:p>
        </w:tc>
        <w:tc>
          <w:tcPr>
            <w:tcW w:w="2405" w:type="dxa"/>
            <w:shd w:val="clear" w:color="auto" w:fill="auto"/>
            <w:tcMar>
              <w:top w:w="0" w:type="dxa"/>
              <w:left w:w="45" w:type="dxa"/>
              <w:bottom w:w="0" w:type="dxa"/>
              <w:right w:w="45" w:type="dxa"/>
            </w:tcMar>
            <w:vAlign w:val="bottom"/>
          </w:tcPr>
          <w:p w14:paraId="46CE9BB3" w14:textId="3DF84C74" w:rsidR="009972CB" w:rsidRPr="00856B8B" w:rsidRDefault="009972CB" w:rsidP="009972CB">
            <w:pPr>
              <w:spacing w:after="0" w:line="240" w:lineRule="auto"/>
              <w:jc w:val="center"/>
              <w:rPr>
                <w:rFonts w:cs="Arial"/>
                <w:sz w:val="22"/>
                <w:lang w:val="es-ES"/>
              </w:rPr>
            </w:pPr>
            <w:r w:rsidRPr="00856B8B">
              <w:rPr>
                <w:rFonts w:cs="Arial"/>
                <w:sz w:val="22"/>
              </w:rPr>
              <w:t>42.36</w:t>
            </w:r>
          </w:p>
        </w:tc>
      </w:tr>
      <w:tr w:rsidR="00856B8B" w:rsidRPr="00856B8B" w14:paraId="277CF80F" w14:textId="718333A6" w:rsidTr="00856B8B">
        <w:trPr>
          <w:trHeight w:val="300"/>
          <w:jc w:val="center"/>
        </w:trPr>
        <w:tc>
          <w:tcPr>
            <w:tcW w:w="2894" w:type="dxa"/>
            <w:gridSpan w:val="2"/>
            <w:shd w:val="clear" w:color="auto" w:fill="FFFFFF" w:themeFill="background1"/>
            <w:tcMar>
              <w:top w:w="0" w:type="dxa"/>
              <w:left w:w="45" w:type="dxa"/>
              <w:bottom w:w="0" w:type="dxa"/>
              <w:right w:w="45" w:type="dxa"/>
            </w:tcMar>
            <w:vAlign w:val="center"/>
            <w:hideMark/>
          </w:tcPr>
          <w:p w14:paraId="21254C91" w14:textId="77777777" w:rsidR="009972CB" w:rsidRPr="00856B8B" w:rsidRDefault="009972CB" w:rsidP="007025DF">
            <w:pPr>
              <w:spacing w:after="0" w:line="240" w:lineRule="auto"/>
              <w:jc w:val="center"/>
              <w:rPr>
                <w:rFonts w:cs="Arial"/>
                <w:b/>
                <w:bCs/>
                <w:sz w:val="22"/>
                <w:lang w:val="es-ES"/>
              </w:rPr>
            </w:pPr>
            <w:r w:rsidRPr="00856B8B">
              <w:rPr>
                <w:rFonts w:cs="Arial"/>
                <w:b/>
                <w:bCs/>
                <w:sz w:val="22"/>
                <w:lang w:val="es-ES"/>
              </w:rPr>
              <w:t>Área Total (ha)</w:t>
            </w:r>
          </w:p>
        </w:tc>
        <w:tc>
          <w:tcPr>
            <w:tcW w:w="2063" w:type="dxa"/>
            <w:shd w:val="clear" w:color="auto" w:fill="FFFFFF" w:themeFill="background1"/>
            <w:tcMar>
              <w:top w:w="0" w:type="dxa"/>
              <w:left w:w="45" w:type="dxa"/>
              <w:bottom w:w="0" w:type="dxa"/>
              <w:right w:w="45" w:type="dxa"/>
            </w:tcMar>
            <w:vAlign w:val="center"/>
            <w:hideMark/>
          </w:tcPr>
          <w:p w14:paraId="2EF70A74" w14:textId="78DFD270" w:rsidR="009972CB" w:rsidRPr="00856B8B" w:rsidRDefault="009972CB" w:rsidP="009972CB">
            <w:pPr>
              <w:spacing w:after="0" w:line="240" w:lineRule="auto"/>
              <w:jc w:val="center"/>
              <w:rPr>
                <w:rFonts w:cs="Arial"/>
                <w:b/>
                <w:bCs/>
                <w:sz w:val="22"/>
                <w:lang w:val="es-ES"/>
              </w:rPr>
            </w:pPr>
            <w:r w:rsidRPr="00856B8B">
              <w:rPr>
                <w:rFonts w:cs="Arial"/>
                <w:b/>
                <w:bCs/>
                <w:sz w:val="22"/>
                <w:lang w:val="es-ES"/>
              </w:rPr>
              <w:t>3,687,636.81</w:t>
            </w:r>
          </w:p>
        </w:tc>
        <w:tc>
          <w:tcPr>
            <w:tcW w:w="2405" w:type="dxa"/>
            <w:shd w:val="clear" w:color="auto" w:fill="FFFFFF" w:themeFill="background1"/>
            <w:tcMar>
              <w:top w:w="0" w:type="dxa"/>
              <w:left w:w="45" w:type="dxa"/>
              <w:bottom w:w="0" w:type="dxa"/>
              <w:right w:w="45" w:type="dxa"/>
            </w:tcMar>
            <w:vAlign w:val="center"/>
            <w:hideMark/>
          </w:tcPr>
          <w:p w14:paraId="5658CB52" w14:textId="77777777" w:rsidR="009972CB" w:rsidRPr="00856B8B" w:rsidRDefault="009972CB" w:rsidP="009972CB">
            <w:pPr>
              <w:spacing w:after="0" w:line="240" w:lineRule="auto"/>
              <w:jc w:val="center"/>
              <w:rPr>
                <w:rFonts w:cs="Arial"/>
                <w:b/>
                <w:bCs/>
                <w:sz w:val="22"/>
                <w:lang w:val="es-ES"/>
              </w:rPr>
            </w:pPr>
            <w:r w:rsidRPr="00856B8B">
              <w:rPr>
                <w:rFonts w:cs="Arial"/>
                <w:b/>
                <w:bCs/>
                <w:sz w:val="22"/>
                <w:lang w:val="es-ES"/>
              </w:rPr>
              <w:t>100,0%</w:t>
            </w:r>
          </w:p>
        </w:tc>
        <w:tc>
          <w:tcPr>
            <w:tcW w:w="0" w:type="auto"/>
            <w:shd w:val="clear" w:color="auto" w:fill="auto"/>
            <w:vAlign w:val="bottom"/>
          </w:tcPr>
          <w:p w14:paraId="51616BED" w14:textId="008D4FD2" w:rsidR="009972CB" w:rsidRPr="00856B8B" w:rsidRDefault="009972CB" w:rsidP="009972CB">
            <w:pPr>
              <w:rPr>
                <w:rFonts w:cs="Arial"/>
                <w:sz w:val="22"/>
              </w:rPr>
            </w:pPr>
          </w:p>
        </w:tc>
      </w:tr>
    </w:tbl>
    <w:p w14:paraId="0045272D" w14:textId="77777777" w:rsidR="006A3DBC" w:rsidRPr="00FA4B2D" w:rsidRDefault="006A3DBC" w:rsidP="006A3DBC">
      <w:pPr>
        <w:spacing w:after="0" w:line="240" w:lineRule="auto"/>
        <w:jc w:val="both"/>
        <w:rPr>
          <w:rFonts w:cs="Arial"/>
        </w:rPr>
      </w:pPr>
    </w:p>
    <w:p w14:paraId="32A00ABD" w14:textId="77777777" w:rsidR="006A3DBC" w:rsidRPr="00FA4B2D" w:rsidRDefault="006A3DBC" w:rsidP="006A3DBC">
      <w:pPr>
        <w:spacing w:after="0" w:line="240" w:lineRule="auto"/>
        <w:jc w:val="both"/>
        <w:rPr>
          <w:rFonts w:cs="Arial"/>
        </w:rPr>
      </w:pPr>
      <w:r w:rsidRPr="00FA4B2D">
        <w:rPr>
          <w:rFonts w:cs="Arial"/>
        </w:rPr>
        <w:t>La conservación ex situ se desarrolla especialmente a través de jardines botánicos, bancos de germoplasma, bancos de semilla; en el caso de fauna, mediante zoológicos, colecciones particulares y algunos zoos criaderos. El manejo activo de poblaciones es muy incipiente y ha sido orientado a las especies de especial preocupación.</w:t>
      </w:r>
    </w:p>
    <w:p w14:paraId="3ECB1127" w14:textId="77777777" w:rsidR="006A3DBC" w:rsidRPr="00FA4B2D" w:rsidRDefault="006A3DBC" w:rsidP="006A3DBC">
      <w:pPr>
        <w:spacing w:after="0" w:line="240" w:lineRule="auto"/>
        <w:jc w:val="both"/>
        <w:rPr>
          <w:rFonts w:cs="Arial"/>
          <w:b/>
        </w:rPr>
      </w:pPr>
    </w:p>
    <w:p w14:paraId="47674AEB" w14:textId="3E77C3D1" w:rsidR="00856B8B" w:rsidRDefault="00856B8B" w:rsidP="00856B8B">
      <w:pPr>
        <w:pStyle w:val="Descripcin"/>
        <w:keepNext/>
      </w:pPr>
      <w:bookmarkStart w:id="330" w:name="_Toc202455435"/>
      <w:r>
        <w:t xml:space="preserve">Tabla </w:t>
      </w:r>
      <w:r>
        <w:fldChar w:fldCharType="begin"/>
      </w:r>
      <w:r>
        <w:instrText xml:space="preserve"> SEQ Tabla \* ARABIC </w:instrText>
      </w:r>
      <w:r>
        <w:fldChar w:fldCharType="separate"/>
      </w:r>
      <w:r w:rsidR="000E6D86">
        <w:rPr>
          <w:noProof/>
        </w:rPr>
        <w:t>9</w:t>
      </w:r>
      <w:r>
        <w:fldChar w:fldCharType="end"/>
      </w:r>
      <w:r>
        <w:t xml:space="preserve">: </w:t>
      </w:r>
      <w:r w:rsidRPr="00E513A3">
        <w:t>Áreas protegidas por departamentos donde intervienen COMRURAL III</w:t>
      </w:r>
      <w:bookmarkEnd w:id="330"/>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2693"/>
        <w:gridCol w:w="2977"/>
        <w:gridCol w:w="2977"/>
      </w:tblGrid>
      <w:tr w:rsidR="006A3DBC" w:rsidRPr="00FA4B2D" w14:paraId="770C58F6" w14:textId="77777777" w:rsidTr="005F4A92">
        <w:trPr>
          <w:trHeight w:val="300"/>
          <w:tblHeader/>
          <w:jc w:val="center"/>
        </w:trPr>
        <w:tc>
          <w:tcPr>
            <w:tcW w:w="562" w:type="dxa"/>
            <w:shd w:val="clear" w:color="auto" w:fill="5CC5DA"/>
            <w:tcMar>
              <w:top w:w="0" w:type="dxa"/>
              <w:left w:w="45" w:type="dxa"/>
              <w:bottom w:w="0" w:type="dxa"/>
              <w:right w:w="45" w:type="dxa"/>
            </w:tcMar>
            <w:vAlign w:val="center"/>
            <w:hideMark/>
          </w:tcPr>
          <w:p w14:paraId="0F5DCAA1" w14:textId="77777777" w:rsidR="006A3DBC" w:rsidRPr="00CF0F96" w:rsidRDefault="006A3DBC" w:rsidP="005F4A92">
            <w:pPr>
              <w:spacing w:after="0" w:line="240" w:lineRule="auto"/>
              <w:jc w:val="center"/>
              <w:rPr>
                <w:rFonts w:cs="Arial"/>
                <w:b/>
                <w:bCs/>
                <w:sz w:val="18"/>
                <w:szCs w:val="18"/>
                <w:lang w:val="es-ES"/>
              </w:rPr>
            </w:pPr>
            <w:r w:rsidRPr="00CF0F96">
              <w:rPr>
                <w:rFonts w:cs="Arial"/>
                <w:b/>
                <w:bCs/>
                <w:sz w:val="18"/>
                <w:szCs w:val="18"/>
                <w:lang w:val="es-ES"/>
              </w:rPr>
              <w:t>No.</w:t>
            </w:r>
          </w:p>
        </w:tc>
        <w:tc>
          <w:tcPr>
            <w:tcW w:w="2693" w:type="dxa"/>
            <w:shd w:val="clear" w:color="auto" w:fill="5CC5DA"/>
            <w:tcMar>
              <w:top w:w="0" w:type="dxa"/>
              <w:left w:w="45" w:type="dxa"/>
              <w:bottom w:w="0" w:type="dxa"/>
              <w:right w:w="45" w:type="dxa"/>
            </w:tcMar>
            <w:vAlign w:val="center"/>
            <w:hideMark/>
          </w:tcPr>
          <w:p w14:paraId="1C334494" w14:textId="77777777" w:rsidR="006A3DBC" w:rsidRPr="00CF0F96" w:rsidRDefault="006A3DBC" w:rsidP="005F4A92">
            <w:pPr>
              <w:spacing w:after="0" w:line="240" w:lineRule="auto"/>
              <w:jc w:val="center"/>
              <w:rPr>
                <w:rFonts w:cs="Arial"/>
                <w:b/>
                <w:bCs/>
                <w:sz w:val="18"/>
                <w:szCs w:val="18"/>
                <w:lang w:val="es-ES"/>
              </w:rPr>
            </w:pPr>
            <w:r w:rsidRPr="00CF0F96">
              <w:rPr>
                <w:rFonts w:cs="Arial"/>
                <w:b/>
                <w:bCs/>
                <w:sz w:val="18"/>
                <w:szCs w:val="18"/>
                <w:lang w:val="es-ES"/>
              </w:rPr>
              <w:t>NOMBRE</w:t>
            </w:r>
          </w:p>
        </w:tc>
        <w:tc>
          <w:tcPr>
            <w:tcW w:w="2977" w:type="dxa"/>
            <w:shd w:val="clear" w:color="auto" w:fill="5CC5DA"/>
            <w:tcMar>
              <w:top w:w="0" w:type="dxa"/>
              <w:left w:w="45" w:type="dxa"/>
              <w:bottom w:w="0" w:type="dxa"/>
              <w:right w:w="45" w:type="dxa"/>
            </w:tcMar>
            <w:vAlign w:val="center"/>
            <w:hideMark/>
          </w:tcPr>
          <w:p w14:paraId="75DA9D2E" w14:textId="77777777" w:rsidR="006A3DBC" w:rsidRPr="00CF0F96" w:rsidRDefault="006A3DBC" w:rsidP="005F4A92">
            <w:pPr>
              <w:spacing w:after="0" w:line="240" w:lineRule="auto"/>
              <w:jc w:val="center"/>
              <w:rPr>
                <w:rFonts w:cs="Arial"/>
                <w:b/>
                <w:bCs/>
                <w:sz w:val="18"/>
                <w:szCs w:val="18"/>
                <w:lang w:val="es-ES"/>
              </w:rPr>
            </w:pPr>
            <w:r w:rsidRPr="00CF0F96">
              <w:rPr>
                <w:rFonts w:cs="Arial"/>
                <w:b/>
                <w:bCs/>
                <w:sz w:val="18"/>
                <w:szCs w:val="18"/>
                <w:lang w:val="es-ES"/>
              </w:rPr>
              <w:t>CATEGORÍA DE MANEJO</w:t>
            </w:r>
          </w:p>
        </w:tc>
        <w:tc>
          <w:tcPr>
            <w:tcW w:w="2977" w:type="dxa"/>
            <w:shd w:val="clear" w:color="auto" w:fill="5CC5DA"/>
            <w:vAlign w:val="center"/>
          </w:tcPr>
          <w:p w14:paraId="5ECCEF7C" w14:textId="77777777" w:rsidR="006A3DBC" w:rsidRPr="00CF0F96" w:rsidRDefault="006A3DBC" w:rsidP="005F4A92">
            <w:pPr>
              <w:spacing w:after="0" w:line="240" w:lineRule="auto"/>
              <w:jc w:val="center"/>
              <w:rPr>
                <w:rFonts w:cs="Arial"/>
                <w:b/>
                <w:bCs/>
                <w:sz w:val="18"/>
                <w:szCs w:val="18"/>
                <w:lang w:val="es-ES"/>
              </w:rPr>
            </w:pPr>
            <w:r w:rsidRPr="00CF0F96">
              <w:rPr>
                <w:rFonts w:cs="Arial"/>
                <w:b/>
                <w:bCs/>
                <w:sz w:val="18"/>
                <w:szCs w:val="18"/>
                <w:lang w:val="es-ES"/>
              </w:rPr>
              <w:t>DEPARTAMENTO</w:t>
            </w:r>
          </w:p>
        </w:tc>
      </w:tr>
      <w:tr w:rsidR="006A3DBC" w:rsidRPr="00FA4B2D" w14:paraId="2102C7C0" w14:textId="77777777" w:rsidTr="005F4A92">
        <w:trPr>
          <w:trHeight w:val="300"/>
          <w:jc w:val="center"/>
        </w:trPr>
        <w:tc>
          <w:tcPr>
            <w:tcW w:w="562" w:type="dxa"/>
            <w:tcMar>
              <w:top w:w="0" w:type="dxa"/>
              <w:left w:w="45" w:type="dxa"/>
              <w:bottom w:w="0" w:type="dxa"/>
              <w:right w:w="45" w:type="dxa"/>
            </w:tcMar>
            <w:vAlign w:val="center"/>
          </w:tcPr>
          <w:p w14:paraId="2FBDCB4E"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tcPr>
          <w:p w14:paraId="1F2D4595" w14:textId="77777777" w:rsidR="006A3DBC" w:rsidRPr="00CF0F96" w:rsidRDefault="00000000" w:rsidP="005F4A92">
            <w:pPr>
              <w:spacing w:after="0" w:line="240" w:lineRule="auto"/>
              <w:rPr>
                <w:rFonts w:cs="Arial"/>
                <w:sz w:val="18"/>
                <w:szCs w:val="18"/>
              </w:rPr>
            </w:pPr>
            <w:hyperlink r:id="rId29" w:history="1">
              <w:r w:rsidR="006A3DBC" w:rsidRPr="00CF0F96">
                <w:rPr>
                  <w:rFonts w:cs="Arial"/>
                  <w:sz w:val="18"/>
                  <w:szCs w:val="18"/>
                  <w:lang w:val="es-ES"/>
                </w:rPr>
                <w:t>Pico Bonito</w:t>
              </w:r>
            </w:hyperlink>
          </w:p>
        </w:tc>
        <w:tc>
          <w:tcPr>
            <w:tcW w:w="2977" w:type="dxa"/>
            <w:tcMar>
              <w:top w:w="0" w:type="dxa"/>
              <w:left w:w="45" w:type="dxa"/>
              <w:bottom w:w="0" w:type="dxa"/>
              <w:right w:w="45" w:type="dxa"/>
            </w:tcMar>
            <w:vAlign w:val="center"/>
          </w:tcPr>
          <w:p w14:paraId="26D31B3B"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Parque Nacional</w:t>
            </w:r>
          </w:p>
        </w:tc>
        <w:tc>
          <w:tcPr>
            <w:tcW w:w="2977" w:type="dxa"/>
            <w:vMerge w:val="restart"/>
            <w:vAlign w:val="center"/>
          </w:tcPr>
          <w:p w14:paraId="0BC85F75"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Atlántida</w:t>
            </w:r>
          </w:p>
        </w:tc>
      </w:tr>
      <w:tr w:rsidR="006A3DBC" w:rsidRPr="00FA4B2D" w14:paraId="14F023BB" w14:textId="77777777" w:rsidTr="005F4A92">
        <w:trPr>
          <w:trHeight w:val="300"/>
          <w:jc w:val="center"/>
        </w:trPr>
        <w:tc>
          <w:tcPr>
            <w:tcW w:w="562" w:type="dxa"/>
            <w:tcMar>
              <w:top w:w="0" w:type="dxa"/>
              <w:left w:w="45" w:type="dxa"/>
              <w:bottom w:w="0" w:type="dxa"/>
              <w:right w:w="45" w:type="dxa"/>
            </w:tcMar>
            <w:vAlign w:val="center"/>
          </w:tcPr>
          <w:p w14:paraId="02B5C5BA"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tcPr>
          <w:p w14:paraId="126F3429" w14:textId="77777777" w:rsidR="006A3DBC" w:rsidRPr="00CF0F96" w:rsidRDefault="00000000" w:rsidP="005F4A92">
            <w:pPr>
              <w:spacing w:after="0" w:line="240" w:lineRule="auto"/>
              <w:rPr>
                <w:rFonts w:cs="Arial"/>
                <w:sz w:val="18"/>
                <w:szCs w:val="18"/>
              </w:rPr>
            </w:pPr>
            <w:hyperlink r:id="rId30" w:history="1">
              <w:r w:rsidR="006A3DBC" w:rsidRPr="00CF0F96">
                <w:rPr>
                  <w:rFonts w:cs="Arial"/>
                  <w:sz w:val="18"/>
                  <w:szCs w:val="18"/>
                  <w:lang w:val="es-ES"/>
                </w:rPr>
                <w:t>Jeanette Kawas</w:t>
              </w:r>
            </w:hyperlink>
            <w:r w:rsidR="006A3DBC" w:rsidRPr="00CF0F96">
              <w:rPr>
                <w:rFonts w:cs="Arial"/>
                <w:sz w:val="18"/>
                <w:szCs w:val="18"/>
                <w:lang w:val="es-ES"/>
              </w:rPr>
              <w:t> (Punta Sal)</w:t>
            </w:r>
          </w:p>
        </w:tc>
        <w:tc>
          <w:tcPr>
            <w:tcW w:w="2977" w:type="dxa"/>
            <w:tcMar>
              <w:top w:w="0" w:type="dxa"/>
              <w:left w:w="45" w:type="dxa"/>
              <w:bottom w:w="0" w:type="dxa"/>
              <w:right w:w="45" w:type="dxa"/>
            </w:tcMar>
            <w:vAlign w:val="center"/>
          </w:tcPr>
          <w:p w14:paraId="4F30B63A"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Parque Nacional</w:t>
            </w:r>
          </w:p>
        </w:tc>
        <w:tc>
          <w:tcPr>
            <w:tcW w:w="2977" w:type="dxa"/>
            <w:vMerge/>
            <w:vAlign w:val="center"/>
          </w:tcPr>
          <w:p w14:paraId="1ACBBBCB" w14:textId="77777777" w:rsidR="006A3DBC" w:rsidRPr="00CF0F96" w:rsidRDefault="006A3DBC" w:rsidP="005F4A92">
            <w:pPr>
              <w:spacing w:after="0" w:line="240" w:lineRule="auto"/>
              <w:jc w:val="center"/>
              <w:rPr>
                <w:rFonts w:cs="Arial"/>
                <w:sz w:val="18"/>
                <w:szCs w:val="18"/>
                <w:lang w:val="es-ES"/>
              </w:rPr>
            </w:pPr>
          </w:p>
        </w:tc>
      </w:tr>
      <w:tr w:rsidR="006A3DBC" w:rsidRPr="00FA4B2D" w14:paraId="586DFDEC" w14:textId="77777777" w:rsidTr="005F4A92">
        <w:trPr>
          <w:trHeight w:val="300"/>
          <w:jc w:val="center"/>
        </w:trPr>
        <w:tc>
          <w:tcPr>
            <w:tcW w:w="562" w:type="dxa"/>
            <w:tcMar>
              <w:top w:w="0" w:type="dxa"/>
              <w:left w:w="45" w:type="dxa"/>
              <w:bottom w:w="0" w:type="dxa"/>
              <w:right w:w="45" w:type="dxa"/>
            </w:tcMar>
            <w:vAlign w:val="center"/>
          </w:tcPr>
          <w:p w14:paraId="5B976D43"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tcPr>
          <w:p w14:paraId="5B47833F" w14:textId="77777777" w:rsidR="006A3DBC" w:rsidRPr="00CF0F96" w:rsidRDefault="006A3DBC" w:rsidP="005F4A92">
            <w:pPr>
              <w:spacing w:after="0" w:line="240" w:lineRule="auto"/>
              <w:rPr>
                <w:rFonts w:cs="Arial"/>
                <w:sz w:val="18"/>
                <w:szCs w:val="18"/>
              </w:rPr>
            </w:pPr>
            <w:r w:rsidRPr="00CF0F96">
              <w:rPr>
                <w:rFonts w:cs="Arial"/>
                <w:sz w:val="18"/>
                <w:szCs w:val="18"/>
              </w:rPr>
              <w:t>Cuero y Salado</w:t>
            </w:r>
          </w:p>
        </w:tc>
        <w:tc>
          <w:tcPr>
            <w:tcW w:w="2977" w:type="dxa"/>
            <w:tcMar>
              <w:top w:w="0" w:type="dxa"/>
              <w:left w:w="45" w:type="dxa"/>
              <w:bottom w:w="0" w:type="dxa"/>
              <w:right w:w="45" w:type="dxa"/>
            </w:tcMar>
            <w:vAlign w:val="center"/>
          </w:tcPr>
          <w:p w14:paraId="6182F4E8"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Refugio de Vida Silvestre</w:t>
            </w:r>
          </w:p>
        </w:tc>
        <w:tc>
          <w:tcPr>
            <w:tcW w:w="2977" w:type="dxa"/>
            <w:vMerge/>
            <w:vAlign w:val="center"/>
          </w:tcPr>
          <w:p w14:paraId="77FA4D22" w14:textId="77777777" w:rsidR="006A3DBC" w:rsidRPr="00CF0F96" w:rsidRDefault="006A3DBC" w:rsidP="005F4A92">
            <w:pPr>
              <w:spacing w:after="0" w:line="240" w:lineRule="auto"/>
              <w:jc w:val="center"/>
              <w:rPr>
                <w:rFonts w:cs="Arial"/>
                <w:sz w:val="18"/>
                <w:szCs w:val="18"/>
                <w:lang w:val="es-ES"/>
              </w:rPr>
            </w:pPr>
          </w:p>
        </w:tc>
      </w:tr>
      <w:tr w:rsidR="006A3DBC" w:rsidRPr="00FA4B2D" w14:paraId="7AA2DB58" w14:textId="77777777" w:rsidTr="005F4A92">
        <w:trPr>
          <w:trHeight w:val="300"/>
          <w:jc w:val="center"/>
        </w:trPr>
        <w:tc>
          <w:tcPr>
            <w:tcW w:w="562" w:type="dxa"/>
            <w:tcMar>
              <w:top w:w="0" w:type="dxa"/>
              <w:left w:w="45" w:type="dxa"/>
              <w:bottom w:w="0" w:type="dxa"/>
              <w:right w:w="45" w:type="dxa"/>
            </w:tcMar>
            <w:vAlign w:val="center"/>
          </w:tcPr>
          <w:p w14:paraId="0EB32838"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tcPr>
          <w:p w14:paraId="0A1AABE3" w14:textId="77777777" w:rsidR="006A3DBC" w:rsidRPr="00CF0F96" w:rsidRDefault="006A3DBC" w:rsidP="005F4A92">
            <w:pPr>
              <w:spacing w:after="0" w:line="240" w:lineRule="auto"/>
              <w:rPr>
                <w:rFonts w:cs="Arial"/>
                <w:sz w:val="18"/>
                <w:szCs w:val="18"/>
              </w:rPr>
            </w:pPr>
            <w:r w:rsidRPr="00CF0F96">
              <w:rPr>
                <w:rFonts w:cs="Arial"/>
                <w:sz w:val="18"/>
                <w:szCs w:val="18"/>
              </w:rPr>
              <w:t>Texiguat</w:t>
            </w:r>
          </w:p>
        </w:tc>
        <w:tc>
          <w:tcPr>
            <w:tcW w:w="2977" w:type="dxa"/>
            <w:tcMar>
              <w:top w:w="0" w:type="dxa"/>
              <w:left w:w="45" w:type="dxa"/>
              <w:bottom w:w="0" w:type="dxa"/>
              <w:right w:w="45" w:type="dxa"/>
            </w:tcMar>
            <w:vAlign w:val="center"/>
          </w:tcPr>
          <w:p w14:paraId="3C40D824"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Refugio de Vida Silvestre</w:t>
            </w:r>
          </w:p>
        </w:tc>
        <w:tc>
          <w:tcPr>
            <w:tcW w:w="2977" w:type="dxa"/>
            <w:vMerge/>
            <w:vAlign w:val="center"/>
          </w:tcPr>
          <w:p w14:paraId="1EB0AB28" w14:textId="77777777" w:rsidR="006A3DBC" w:rsidRPr="00CF0F96" w:rsidRDefault="006A3DBC" w:rsidP="005F4A92">
            <w:pPr>
              <w:spacing w:after="0" w:line="240" w:lineRule="auto"/>
              <w:jc w:val="center"/>
              <w:rPr>
                <w:rFonts w:cs="Arial"/>
                <w:sz w:val="18"/>
                <w:szCs w:val="18"/>
                <w:lang w:val="es-ES"/>
              </w:rPr>
            </w:pPr>
          </w:p>
        </w:tc>
      </w:tr>
      <w:tr w:rsidR="006A3DBC" w:rsidRPr="00FA4B2D" w14:paraId="1010FCF3" w14:textId="77777777" w:rsidTr="005F4A92">
        <w:trPr>
          <w:trHeight w:val="300"/>
          <w:jc w:val="center"/>
        </w:trPr>
        <w:tc>
          <w:tcPr>
            <w:tcW w:w="562" w:type="dxa"/>
            <w:tcMar>
              <w:top w:w="0" w:type="dxa"/>
              <w:left w:w="45" w:type="dxa"/>
              <w:bottom w:w="0" w:type="dxa"/>
              <w:right w:w="45" w:type="dxa"/>
            </w:tcMar>
            <w:vAlign w:val="center"/>
          </w:tcPr>
          <w:p w14:paraId="54C5B98D"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tcPr>
          <w:p w14:paraId="406C365B" w14:textId="77777777" w:rsidR="006A3DBC" w:rsidRPr="00CF0F96" w:rsidRDefault="00000000" w:rsidP="005F4A92">
            <w:pPr>
              <w:spacing w:after="0" w:line="240" w:lineRule="auto"/>
              <w:rPr>
                <w:rFonts w:cs="Arial"/>
                <w:sz w:val="18"/>
                <w:szCs w:val="18"/>
              </w:rPr>
            </w:pPr>
            <w:hyperlink r:id="rId31" w:history="1">
              <w:r w:rsidR="006A3DBC" w:rsidRPr="00CF0F96">
                <w:rPr>
                  <w:rFonts w:cs="Arial"/>
                  <w:sz w:val="18"/>
                  <w:szCs w:val="18"/>
                  <w:lang w:val="es-ES"/>
                </w:rPr>
                <w:t>Capiro y Calentura</w:t>
              </w:r>
            </w:hyperlink>
          </w:p>
        </w:tc>
        <w:tc>
          <w:tcPr>
            <w:tcW w:w="2977" w:type="dxa"/>
            <w:tcMar>
              <w:top w:w="0" w:type="dxa"/>
              <w:left w:w="45" w:type="dxa"/>
              <w:bottom w:w="0" w:type="dxa"/>
              <w:right w:w="45" w:type="dxa"/>
            </w:tcMar>
            <w:vAlign w:val="center"/>
          </w:tcPr>
          <w:p w14:paraId="126E1CA0"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Parque Nacional</w:t>
            </w:r>
          </w:p>
        </w:tc>
        <w:tc>
          <w:tcPr>
            <w:tcW w:w="2977" w:type="dxa"/>
            <w:vMerge w:val="restart"/>
            <w:vAlign w:val="center"/>
          </w:tcPr>
          <w:p w14:paraId="254CD841"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Colón</w:t>
            </w:r>
          </w:p>
        </w:tc>
      </w:tr>
      <w:tr w:rsidR="006A3DBC" w:rsidRPr="00FA4B2D" w14:paraId="3B3D993B" w14:textId="77777777" w:rsidTr="005F4A92">
        <w:trPr>
          <w:trHeight w:val="300"/>
          <w:jc w:val="center"/>
        </w:trPr>
        <w:tc>
          <w:tcPr>
            <w:tcW w:w="562" w:type="dxa"/>
            <w:tcMar>
              <w:top w:w="0" w:type="dxa"/>
              <w:left w:w="45" w:type="dxa"/>
              <w:bottom w:w="0" w:type="dxa"/>
              <w:right w:w="45" w:type="dxa"/>
            </w:tcMar>
            <w:vAlign w:val="center"/>
          </w:tcPr>
          <w:p w14:paraId="76C4A6C1"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tcPr>
          <w:p w14:paraId="713E27F5" w14:textId="77777777" w:rsidR="006A3DBC" w:rsidRPr="00CF0F96" w:rsidRDefault="006A3DBC" w:rsidP="005F4A92">
            <w:pPr>
              <w:spacing w:after="0" w:line="240" w:lineRule="auto"/>
              <w:rPr>
                <w:rFonts w:cs="Arial"/>
                <w:sz w:val="18"/>
                <w:szCs w:val="18"/>
              </w:rPr>
            </w:pPr>
            <w:r w:rsidRPr="00CF0F96">
              <w:rPr>
                <w:rFonts w:cs="Arial"/>
                <w:sz w:val="18"/>
                <w:szCs w:val="18"/>
              </w:rPr>
              <w:t>Laguna de Guaimoreto</w:t>
            </w:r>
          </w:p>
        </w:tc>
        <w:tc>
          <w:tcPr>
            <w:tcW w:w="2977" w:type="dxa"/>
            <w:tcMar>
              <w:top w:w="0" w:type="dxa"/>
              <w:left w:w="45" w:type="dxa"/>
              <w:bottom w:w="0" w:type="dxa"/>
              <w:right w:w="45" w:type="dxa"/>
            </w:tcMar>
            <w:vAlign w:val="center"/>
          </w:tcPr>
          <w:p w14:paraId="788FC6EE"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Refugio de Vida Silvestre</w:t>
            </w:r>
          </w:p>
        </w:tc>
        <w:tc>
          <w:tcPr>
            <w:tcW w:w="2977" w:type="dxa"/>
            <w:vMerge/>
            <w:vAlign w:val="center"/>
          </w:tcPr>
          <w:p w14:paraId="3ECF8C13" w14:textId="77777777" w:rsidR="006A3DBC" w:rsidRPr="00CF0F96" w:rsidRDefault="006A3DBC" w:rsidP="005F4A92">
            <w:pPr>
              <w:spacing w:after="0" w:line="240" w:lineRule="auto"/>
              <w:jc w:val="center"/>
              <w:rPr>
                <w:rFonts w:cs="Arial"/>
                <w:sz w:val="18"/>
                <w:szCs w:val="18"/>
                <w:lang w:val="es-ES"/>
              </w:rPr>
            </w:pPr>
          </w:p>
        </w:tc>
      </w:tr>
      <w:tr w:rsidR="006A3DBC" w:rsidRPr="00FA4B2D" w14:paraId="453D39E1" w14:textId="77777777" w:rsidTr="005F4A92">
        <w:trPr>
          <w:trHeight w:val="300"/>
          <w:jc w:val="center"/>
        </w:trPr>
        <w:tc>
          <w:tcPr>
            <w:tcW w:w="562" w:type="dxa"/>
            <w:tcMar>
              <w:top w:w="0" w:type="dxa"/>
              <w:left w:w="45" w:type="dxa"/>
              <w:bottom w:w="0" w:type="dxa"/>
              <w:right w:w="45" w:type="dxa"/>
            </w:tcMar>
            <w:vAlign w:val="center"/>
          </w:tcPr>
          <w:p w14:paraId="452C4E97"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tcPr>
          <w:p w14:paraId="4FCFCEBF" w14:textId="77777777" w:rsidR="006A3DBC" w:rsidRPr="00CF0F96" w:rsidRDefault="006A3DBC" w:rsidP="005F4A92">
            <w:pPr>
              <w:spacing w:after="0" w:line="240" w:lineRule="auto"/>
              <w:rPr>
                <w:rFonts w:cs="Arial"/>
                <w:sz w:val="18"/>
                <w:szCs w:val="18"/>
              </w:rPr>
            </w:pPr>
            <w:r w:rsidRPr="00CF0F96">
              <w:rPr>
                <w:rFonts w:cs="Arial"/>
                <w:sz w:val="18"/>
                <w:szCs w:val="18"/>
              </w:rPr>
              <w:t>Río Tinto</w:t>
            </w:r>
          </w:p>
        </w:tc>
        <w:tc>
          <w:tcPr>
            <w:tcW w:w="2977" w:type="dxa"/>
            <w:tcMar>
              <w:top w:w="0" w:type="dxa"/>
              <w:left w:w="45" w:type="dxa"/>
              <w:bottom w:w="0" w:type="dxa"/>
              <w:right w:w="45" w:type="dxa"/>
            </w:tcMar>
            <w:vAlign w:val="center"/>
          </w:tcPr>
          <w:p w14:paraId="723B51B2"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Reserva Forestal</w:t>
            </w:r>
          </w:p>
        </w:tc>
        <w:tc>
          <w:tcPr>
            <w:tcW w:w="2977" w:type="dxa"/>
            <w:vAlign w:val="center"/>
          </w:tcPr>
          <w:p w14:paraId="68BA1179"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Colón y Olancho</w:t>
            </w:r>
          </w:p>
        </w:tc>
      </w:tr>
      <w:tr w:rsidR="006A3DBC" w:rsidRPr="00FA4B2D" w14:paraId="62AC2088" w14:textId="77777777" w:rsidTr="005F4A92">
        <w:trPr>
          <w:trHeight w:val="300"/>
          <w:jc w:val="center"/>
        </w:trPr>
        <w:tc>
          <w:tcPr>
            <w:tcW w:w="562" w:type="dxa"/>
            <w:tcMar>
              <w:top w:w="0" w:type="dxa"/>
              <w:left w:w="45" w:type="dxa"/>
              <w:bottom w:w="0" w:type="dxa"/>
              <w:right w:w="45" w:type="dxa"/>
            </w:tcMar>
            <w:vAlign w:val="center"/>
            <w:hideMark/>
          </w:tcPr>
          <w:p w14:paraId="58E24E4B"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hideMark/>
          </w:tcPr>
          <w:p w14:paraId="7CE2801D" w14:textId="77777777" w:rsidR="006A3DBC" w:rsidRPr="00CF0F96" w:rsidRDefault="00000000" w:rsidP="005F4A92">
            <w:pPr>
              <w:spacing w:after="0" w:line="240" w:lineRule="auto"/>
              <w:rPr>
                <w:rFonts w:cs="Arial"/>
                <w:sz w:val="18"/>
                <w:szCs w:val="18"/>
                <w:lang w:val="es-ES"/>
              </w:rPr>
            </w:pPr>
            <w:hyperlink r:id="rId32" w:history="1">
              <w:r w:rsidR="006A3DBC" w:rsidRPr="00CF0F96">
                <w:rPr>
                  <w:rFonts w:cs="Arial"/>
                  <w:sz w:val="18"/>
                  <w:szCs w:val="18"/>
                </w:rPr>
                <w:t>Cusuco</w:t>
              </w:r>
            </w:hyperlink>
          </w:p>
        </w:tc>
        <w:tc>
          <w:tcPr>
            <w:tcW w:w="2977" w:type="dxa"/>
            <w:tcMar>
              <w:top w:w="0" w:type="dxa"/>
              <w:left w:w="45" w:type="dxa"/>
              <w:bottom w:w="0" w:type="dxa"/>
              <w:right w:w="45" w:type="dxa"/>
            </w:tcMar>
            <w:vAlign w:val="center"/>
            <w:hideMark/>
          </w:tcPr>
          <w:p w14:paraId="1859D5D1"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Parque Nacional</w:t>
            </w:r>
          </w:p>
        </w:tc>
        <w:tc>
          <w:tcPr>
            <w:tcW w:w="2977" w:type="dxa"/>
            <w:vMerge w:val="restart"/>
            <w:vAlign w:val="center"/>
          </w:tcPr>
          <w:p w14:paraId="496C8160"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Cortés</w:t>
            </w:r>
          </w:p>
        </w:tc>
      </w:tr>
      <w:tr w:rsidR="006A3DBC" w:rsidRPr="00FA4B2D" w14:paraId="4975D714" w14:textId="77777777" w:rsidTr="005F4A92">
        <w:trPr>
          <w:trHeight w:val="300"/>
          <w:jc w:val="center"/>
        </w:trPr>
        <w:tc>
          <w:tcPr>
            <w:tcW w:w="562" w:type="dxa"/>
            <w:tcMar>
              <w:top w:w="0" w:type="dxa"/>
              <w:left w:w="45" w:type="dxa"/>
              <w:bottom w:w="0" w:type="dxa"/>
              <w:right w:w="45" w:type="dxa"/>
            </w:tcMar>
            <w:vAlign w:val="center"/>
          </w:tcPr>
          <w:p w14:paraId="0068E763"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tcPr>
          <w:p w14:paraId="53817C9B" w14:textId="77777777" w:rsidR="006A3DBC" w:rsidRPr="00CF0F96" w:rsidRDefault="006A3DBC" w:rsidP="005F4A92">
            <w:pPr>
              <w:spacing w:after="0" w:line="240" w:lineRule="auto"/>
              <w:rPr>
                <w:rFonts w:cs="Arial"/>
                <w:sz w:val="18"/>
                <w:szCs w:val="18"/>
              </w:rPr>
            </w:pPr>
            <w:r w:rsidRPr="00CF0F96">
              <w:rPr>
                <w:rFonts w:cs="Arial"/>
                <w:sz w:val="18"/>
                <w:szCs w:val="18"/>
              </w:rPr>
              <w:t>Cayos Zapotillos</w:t>
            </w:r>
          </w:p>
        </w:tc>
        <w:tc>
          <w:tcPr>
            <w:tcW w:w="2977" w:type="dxa"/>
            <w:tcMar>
              <w:top w:w="0" w:type="dxa"/>
              <w:left w:w="45" w:type="dxa"/>
              <w:bottom w:w="0" w:type="dxa"/>
              <w:right w:w="45" w:type="dxa"/>
            </w:tcMar>
            <w:vAlign w:val="center"/>
          </w:tcPr>
          <w:p w14:paraId="299636A1"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Reservas Biológicas</w:t>
            </w:r>
          </w:p>
        </w:tc>
        <w:tc>
          <w:tcPr>
            <w:tcW w:w="2977" w:type="dxa"/>
            <w:vMerge/>
            <w:vAlign w:val="center"/>
          </w:tcPr>
          <w:p w14:paraId="02BA8B12" w14:textId="77777777" w:rsidR="006A3DBC" w:rsidRPr="00CF0F96" w:rsidRDefault="006A3DBC" w:rsidP="005F4A92">
            <w:pPr>
              <w:spacing w:after="0" w:line="240" w:lineRule="auto"/>
              <w:jc w:val="center"/>
              <w:rPr>
                <w:rFonts w:cs="Arial"/>
                <w:sz w:val="18"/>
                <w:szCs w:val="18"/>
                <w:lang w:val="es-ES"/>
              </w:rPr>
            </w:pPr>
          </w:p>
        </w:tc>
      </w:tr>
      <w:tr w:rsidR="006A3DBC" w:rsidRPr="00FA4B2D" w14:paraId="7A9F7B5B" w14:textId="77777777" w:rsidTr="005F4A92">
        <w:trPr>
          <w:trHeight w:val="300"/>
          <w:jc w:val="center"/>
        </w:trPr>
        <w:tc>
          <w:tcPr>
            <w:tcW w:w="562" w:type="dxa"/>
            <w:tcMar>
              <w:top w:w="0" w:type="dxa"/>
              <w:left w:w="45" w:type="dxa"/>
              <w:bottom w:w="0" w:type="dxa"/>
              <w:right w:w="45" w:type="dxa"/>
            </w:tcMar>
            <w:vAlign w:val="center"/>
          </w:tcPr>
          <w:p w14:paraId="48C8F42F"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tcPr>
          <w:p w14:paraId="604C785A" w14:textId="77777777" w:rsidR="006A3DBC" w:rsidRPr="00CF0F96" w:rsidRDefault="006A3DBC" w:rsidP="005F4A92">
            <w:pPr>
              <w:spacing w:after="0" w:line="240" w:lineRule="auto"/>
              <w:rPr>
                <w:rFonts w:cs="Arial"/>
                <w:sz w:val="18"/>
                <w:szCs w:val="18"/>
              </w:rPr>
            </w:pPr>
            <w:r w:rsidRPr="00CF0F96">
              <w:rPr>
                <w:rFonts w:cs="Arial"/>
                <w:sz w:val="18"/>
                <w:szCs w:val="18"/>
              </w:rPr>
              <w:t>Barras del Río Motagua</w:t>
            </w:r>
          </w:p>
        </w:tc>
        <w:tc>
          <w:tcPr>
            <w:tcW w:w="2977" w:type="dxa"/>
            <w:tcMar>
              <w:top w:w="0" w:type="dxa"/>
              <w:left w:w="45" w:type="dxa"/>
              <w:bottom w:w="0" w:type="dxa"/>
              <w:right w:w="45" w:type="dxa"/>
            </w:tcMar>
            <w:vAlign w:val="center"/>
          </w:tcPr>
          <w:p w14:paraId="70B20742"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Reservas Biológicas</w:t>
            </w:r>
          </w:p>
        </w:tc>
        <w:tc>
          <w:tcPr>
            <w:tcW w:w="2977" w:type="dxa"/>
            <w:vMerge/>
            <w:vAlign w:val="center"/>
          </w:tcPr>
          <w:p w14:paraId="78CD64C3" w14:textId="77777777" w:rsidR="006A3DBC" w:rsidRPr="00CF0F96" w:rsidRDefault="006A3DBC" w:rsidP="005F4A92">
            <w:pPr>
              <w:spacing w:after="0" w:line="240" w:lineRule="auto"/>
              <w:jc w:val="center"/>
              <w:rPr>
                <w:rFonts w:cs="Arial"/>
                <w:sz w:val="18"/>
                <w:szCs w:val="18"/>
                <w:lang w:val="es-ES"/>
              </w:rPr>
            </w:pPr>
          </w:p>
        </w:tc>
      </w:tr>
      <w:tr w:rsidR="006A3DBC" w:rsidRPr="00FA4B2D" w14:paraId="02C715D8" w14:textId="77777777" w:rsidTr="005F4A92">
        <w:trPr>
          <w:trHeight w:val="300"/>
          <w:jc w:val="center"/>
        </w:trPr>
        <w:tc>
          <w:tcPr>
            <w:tcW w:w="562" w:type="dxa"/>
            <w:tcMar>
              <w:top w:w="0" w:type="dxa"/>
              <w:left w:w="45" w:type="dxa"/>
              <w:bottom w:w="0" w:type="dxa"/>
              <w:right w:w="45" w:type="dxa"/>
            </w:tcMar>
            <w:vAlign w:val="center"/>
          </w:tcPr>
          <w:p w14:paraId="534C4F43"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tcPr>
          <w:p w14:paraId="3189AB43" w14:textId="77777777" w:rsidR="006A3DBC" w:rsidRPr="00CF0F96" w:rsidRDefault="006A3DBC" w:rsidP="005F4A92">
            <w:pPr>
              <w:spacing w:after="0" w:line="240" w:lineRule="auto"/>
              <w:rPr>
                <w:rFonts w:cs="Arial"/>
                <w:sz w:val="18"/>
                <w:szCs w:val="18"/>
              </w:rPr>
            </w:pPr>
            <w:r w:rsidRPr="00CF0F96">
              <w:rPr>
                <w:rFonts w:cs="Arial"/>
                <w:sz w:val="18"/>
                <w:szCs w:val="18"/>
              </w:rPr>
              <w:t>Zona Protegida Sierra de Omoa</w:t>
            </w:r>
          </w:p>
        </w:tc>
        <w:tc>
          <w:tcPr>
            <w:tcW w:w="2977" w:type="dxa"/>
            <w:tcMar>
              <w:top w:w="0" w:type="dxa"/>
              <w:left w:w="45" w:type="dxa"/>
              <w:bottom w:w="0" w:type="dxa"/>
              <w:right w:w="45" w:type="dxa"/>
            </w:tcMar>
            <w:vAlign w:val="center"/>
          </w:tcPr>
          <w:p w14:paraId="097BEEBA"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Reserva Forestal</w:t>
            </w:r>
          </w:p>
        </w:tc>
        <w:tc>
          <w:tcPr>
            <w:tcW w:w="2977" w:type="dxa"/>
            <w:vMerge/>
            <w:vAlign w:val="center"/>
          </w:tcPr>
          <w:p w14:paraId="728210B0" w14:textId="77777777" w:rsidR="006A3DBC" w:rsidRPr="00CF0F96" w:rsidRDefault="006A3DBC" w:rsidP="005F4A92">
            <w:pPr>
              <w:spacing w:after="0" w:line="240" w:lineRule="auto"/>
              <w:jc w:val="center"/>
              <w:rPr>
                <w:rFonts w:cs="Arial"/>
                <w:sz w:val="18"/>
                <w:szCs w:val="18"/>
                <w:lang w:val="es-ES"/>
              </w:rPr>
            </w:pPr>
          </w:p>
        </w:tc>
      </w:tr>
      <w:tr w:rsidR="006A3DBC" w:rsidRPr="00FA4B2D" w14:paraId="0DD1369C" w14:textId="77777777" w:rsidTr="005F4A92">
        <w:trPr>
          <w:trHeight w:val="300"/>
          <w:jc w:val="center"/>
        </w:trPr>
        <w:tc>
          <w:tcPr>
            <w:tcW w:w="562" w:type="dxa"/>
            <w:tcMar>
              <w:top w:w="0" w:type="dxa"/>
              <w:left w:w="45" w:type="dxa"/>
              <w:bottom w:w="0" w:type="dxa"/>
              <w:right w:w="45" w:type="dxa"/>
            </w:tcMar>
            <w:vAlign w:val="center"/>
          </w:tcPr>
          <w:p w14:paraId="2A9DB425"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tcPr>
          <w:p w14:paraId="7F14BD84" w14:textId="77777777" w:rsidR="006A3DBC" w:rsidRPr="00CF0F96" w:rsidRDefault="006A3DBC" w:rsidP="005F4A92">
            <w:pPr>
              <w:spacing w:after="0" w:line="240" w:lineRule="auto"/>
              <w:rPr>
                <w:rFonts w:cs="Arial"/>
                <w:sz w:val="18"/>
                <w:szCs w:val="18"/>
              </w:rPr>
            </w:pPr>
            <w:r w:rsidRPr="00CF0F96">
              <w:rPr>
                <w:rFonts w:cs="Arial"/>
                <w:sz w:val="18"/>
                <w:szCs w:val="18"/>
              </w:rPr>
              <w:t>El Merendón</w:t>
            </w:r>
          </w:p>
        </w:tc>
        <w:tc>
          <w:tcPr>
            <w:tcW w:w="2977" w:type="dxa"/>
            <w:tcMar>
              <w:top w:w="0" w:type="dxa"/>
              <w:left w:w="45" w:type="dxa"/>
              <w:bottom w:w="0" w:type="dxa"/>
              <w:right w:w="45" w:type="dxa"/>
            </w:tcMar>
            <w:vAlign w:val="center"/>
          </w:tcPr>
          <w:p w14:paraId="59B76C22"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Zona Productora de Agua</w:t>
            </w:r>
          </w:p>
        </w:tc>
        <w:tc>
          <w:tcPr>
            <w:tcW w:w="2977" w:type="dxa"/>
            <w:vMerge/>
            <w:vAlign w:val="center"/>
          </w:tcPr>
          <w:p w14:paraId="6CBC45DE" w14:textId="77777777" w:rsidR="006A3DBC" w:rsidRPr="00CF0F96" w:rsidRDefault="006A3DBC" w:rsidP="005F4A92">
            <w:pPr>
              <w:spacing w:after="0" w:line="240" w:lineRule="auto"/>
              <w:jc w:val="center"/>
              <w:rPr>
                <w:rFonts w:cs="Arial"/>
                <w:sz w:val="18"/>
                <w:szCs w:val="18"/>
                <w:lang w:val="es-ES"/>
              </w:rPr>
            </w:pPr>
          </w:p>
        </w:tc>
      </w:tr>
      <w:tr w:rsidR="006A3DBC" w:rsidRPr="00FA4B2D" w14:paraId="360F3A94" w14:textId="77777777" w:rsidTr="005F4A92">
        <w:trPr>
          <w:trHeight w:val="300"/>
          <w:jc w:val="center"/>
        </w:trPr>
        <w:tc>
          <w:tcPr>
            <w:tcW w:w="562" w:type="dxa"/>
            <w:tcMar>
              <w:top w:w="0" w:type="dxa"/>
              <w:left w:w="45" w:type="dxa"/>
              <w:bottom w:w="0" w:type="dxa"/>
              <w:right w:w="45" w:type="dxa"/>
            </w:tcMar>
            <w:vAlign w:val="center"/>
          </w:tcPr>
          <w:p w14:paraId="2E28B3F3"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tcPr>
          <w:p w14:paraId="6A8C2A5F" w14:textId="77777777" w:rsidR="006A3DBC" w:rsidRPr="00CF0F96" w:rsidRDefault="006A3DBC" w:rsidP="005F4A92">
            <w:pPr>
              <w:spacing w:after="0" w:line="240" w:lineRule="auto"/>
              <w:rPr>
                <w:rFonts w:cs="Arial"/>
                <w:sz w:val="18"/>
                <w:szCs w:val="18"/>
              </w:rPr>
            </w:pPr>
            <w:r w:rsidRPr="00CF0F96">
              <w:rPr>
                <w:rFonts w:cs="Arial"/>
                <w:sz w:val="18"/>
                <w:szCs w:val="18"/>
              </w:rPr>
              <w:t>Reserva de Recursos El Cajón</w:t>
            </w:r>
          </w:p>
        </w:tc>
        <w:tc>
          <w:tcPr>
            <w:tcW w:w="2977" w:type="dxa"/>
            <w:tcMar>
              <w:top w:w="0" w:type="dxa"/>
              <w:left w:w="45" w:type="dxa"/>
              <w:bottom w:w="0" w:type="dxa"/>
              <w:right w:w="45" w:type="dxa"/>
            </w:tcMar>
            <w:vAlign w:val="center"/>
          </w:tcPr>
          <w:p w14:paraId="1E426817"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Reserva Forestal</w:t>
            </w:r>
          </w:p>
        </w:tc>
        <w:tc>
          <w:tcPr>
            <w:tcW w:w="2977" w:type="dxa"/>
            <w:vAlign w:val="center"/>
          </w:tcPr>
          <w:p w14:paraId="749FEB35"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 xml:space="preserve">Cortes, Comayagua </w:t>
            </w:r>
          </w:p>
        </w:tc>
      </w:tr>
      <w:tr w:rsidR="006A3DBC" w:rsidRPr="00FA4B2D" w14:paraId="00DB2020" w14:textId="77777777" w:rsidTr="005F4A92">
        <w:trPr>
          <w:trHeight w:val="300"/>
          <w:jc w:val="center"/>
        </w:trPr>
        <w:tc>
          <w:tcPr>
            <w:tcW w:w="562" w:type="dxa"/>
            <w:tcMar>
              <w:top w:w="0" w:type="dxa"/>
              <w:left w:w="45" w:type="dxa"/>
              <w:bottom w:w="0" w:type="dxa"/>
              <w:right w:w="45" w:type="dxa"/>
            </w:tcMar>
            <w:vAlign w:val="center"/>
          </w:tcPr>
          <w:p w14:paraId="01471005"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tcPr>
          <w:p w14:paraId="1E3E3189" w14:textId="77777777" w:rsidR="006A3DBC" w:rsidRPr="00CF0F96" w:rsidRDefault="00000000" w:rsidP="005F4A92">
            <w:pPr>
              <w:spacing w:after="0" w:line="240" w:lineRule="auto"/>
              <w:rPr>
                <w:rFonts w:cs="Arial"/>
                <w:sz w:val="18"/>
                <w:szCs w:val="18"/>
              </w:rPr>
            </w:pPr>
            <w:hyperlink r:id="rId33" w:history="1">
              <w:r w:rsidR="006A3DBC" w:rsidRPr="00CF0F96">
                <w:rPr>
                  <w:rFonts w:cs="Arial"/>
                  <w:sz w:val="18"/>
                  <w:szCs w:val="18"/>
                  <w:lang w:val="es-ES"/>
                </w:rPr>
                <w:t>La Botija</w:t>
              </w:r>
            </w:hyperlink>
          </w:p>
        </w:tc>
        <w:tc>
          <w:tcPr>
            <w:tcW w:w="2977" w:type="dxa"/>
            <w:tcMar>
              <w:top w:w="0" w:type="dxa"/>
              <w:left w:w="45" w:type="dxa"/>
              <w:bottom w:w="0" w:type="dxa"/>
              <w:right w:w="45" w:type="dxa"/>
            </w:tcMar>
            <w:vAlign w:val="center"/>
          </w:tcPr>
          <w:p w14:paraId="52FF2492"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Parque Nacional</w:t>
            </w:r>
          </w:p>
        </w:tc>
        <w:tc>
          <w:tcPr>
            <w:tcW w:w="2977" w:type="dxa"/>
            <w:vMerge w:val="restart"/>
            <w:vAlign w:val="center"/>
          </w:tcPr>
          <w:p w14:paraId="212AC52D"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Choluteca</w:t>
            </w:r>
          </w:p>
        </w:tc>
      </w:tr>
      <w:tr w:rsidR="006A3DBC" w:rsidRPr="00FA4B2D" w14:paraId="672669EC" w14:textId="77777777" w:rsidTr="005F4A92">
        <w:trPr>
          <w:trHeight w:val="300"/>
          <w:jc w:val="center"/>
        </w:trPr>
        <w:tc>
          <w:tcPr>
            <w:tcW w:w="562" w:type="dxa"/>
            <w:tcMar>
              <w:top w:w="0" w:type="dxa"/>
              <w:left w:w="45" w:type="dxa"/>
              <w:bottom w:w="0" w:type="dxa"/>
              <w:right w:w="45" w:type="dxa"/>
            </w:tcMar>
            <w:vAlign w:val="center"/>
          </w:tcPr>
          <w:p w14:paraId="716C17C1"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tcPr>
          <w:p w14:paraId="5AD846CA" w14:textId="77777777" w:rsidR="006A3DBC" w:rsidRPr="00CF0F96" w:rsidRDefault="006A3DBC" w:rsidP="005F4A92">
            <w:pPr>
              <w:spacing w:after="0" w:line="240" w:lineRule="auto"/>
              <w:rPr>
                <w:rFonts w:cs="Arial"/>
                <w:sz w:val="18"/>
                <w:szCs w:val="18"/>
              </w:rPr>
            </w:pPr>
            <w:r w:rsidRPr="00CF0F96">
              <w:rPr>
                <w:rFonts w:cs="Arial"/>
                <w:sz w:val="18"/>
                <w:szCs w:val="18"/>
              </w:rPr>
              <w:t>San Bernardo</w:t>
            </w:r>
          </w:p>
        </w:tc>
        <w:tc>
          <w:tcPr>
            <w:tcW w:w="2977" w:type="dxa"/>
            <w:tcMar>
              <w:top w:w="0" w:type="dxa"/>
              <w:left w:w="45" w:type="dxa"/>
              <w:bottom w:w="0" w:type="dxa"/>
              <w:right w:w="45" w:type="dxa"/>
            </w:tcMar>
            <w:vAlign w:val="center"/>
          </w:tcPr>
          <w:p w14:paraId="3620AC8B"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Áreas de Manejo de Hábitat</w:t>
            </w:r>
          </w:p>
        </w:tc>
        <w:tc>
          <w:tcPr>
            <w:tcW w:w="2977" w:type="dxa"/>
            <w:vMerge/>
            <w:vAlign w:val="center"/>
          </w:tcPr>
          <w:p w14:paraId="1E881F53" w14:textId="77777777" w:rsidR="006A3DBC" w:rsidRPr="00CF0F96" w:rsidRDefault="006A3DBC" w:rsidP="005F4A92">
            <w:pPr>
              <w:spacing w:after="0" w:line="240" w:lineRule="auto"/>
              <w:jc w:val="center"/>
              <w:rPr>
                <w:rFonts w:cs="Arial"/>
                <w:sz w:val="18"/>
                <w:szCs w:val="18"/>
                <w:lang w:val="es-ES"/>
              </w:rPr>
            </w:pPr>
          </w:p>
        </w:tc>
      </w:tr>
      <w:tr w:rsidR="006A3DBC" w:rsidRPr="00FA4B2D" w14:paraId="2348B3F1" w14:textId="77777777" w:rsidTr="005F4A92">
        <w:trPr>
          <w:trHeight w:val="300"/>
          <w:jc w:val="center"/>
        </w:trPr>
        <w:tc>
          <w:tcPr>
            <w:tcW w:w="562" w:type="dxa"/>
            <w:tcMar>
              <w:top w:w="0" w:type="dxa"/>
              <w:left w:w="45" w:type="dxa"/>
              <w:bottom w:w="0" w:type="dxa"/>
              <w:right w:w="45" w:type="dxa"/>
            </w:tcMar>
            <w:vAlign w:val="center"/>
          </w:tcPr>
          <w:p w14:paraId="47BA7A78"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tcPr>
          <w:p w14:paraId="57F93179" w14:textId="77777777" w:rsidR="006A3DBC" w:rsidRPr="00CF0F96" w:rsidRDefault="006A3DBC" w:rsidP="005F4A92">
            <w:pPr>
              <w:spacing w:after="0" w:line="240" w:lineRule="auto"/>
              <w:rPr>
                <w:rFonts w:cs="Arial"/>
                <w:sz w:val="18"/>
                <w:szCs w:val="18"/>
              </w:rPr>
            </w:pPr>
            <w:r w:rsidRPr="00CF0F96">
              <w:rPr>
                <w:rFonts w:cs="Arial"/>
                <w:sz w:val="18"/>
                <w:szCs w:val="18"/>
              </w:rPr>
              <w:t>La Berbería</w:t>
            </w:r>
          </w:p>
        </w:tc>
        <w:tc>
          <w:tcPr>
            <w:tcW w:w="2977" w:type="dxa"/>
            <w:tcMar>
              <w:top w:w="0" w:type="dxa"/>
              <w:left w:w="45" w:type="dxa"/>
              <w:bottom w:w="0" w:type="dxa"/>
              <w:right w:w="45" w:type="dxa"/>
            </w:tcMar>
            <w:vAlign w:val="center"/>
          </w:tcPr>
          <w:p w14:paraId="0DEBCDAB"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Áreas de Manejo de Hábitat</w:t>
            </w:r>
          </w:p>
        </w:tc>
        <w:tc>
          <w:tcPr>
            <w:tcW w:w="2977" w:type="dxa"/>
            <w:vMerge/>
            <w:vAlign w:val="center"/>
          </w:tcPr>
          <w:p w14:paraId="2A3DE360" w14:textId="77777777" w:rsidR="006A3DBC" w:rsidRPr="00CF0F96" w:rsidRDefault="006A3DBC" w:rsidP="005F4A92">
            <w:pPr>
              <w:spacing w:after="0" w:line="240" w:lineRule="auto"/>
              <w:jc w:val="center"/>
              <w:rPr>
                <w:rFonts w:cs="Arial"/>
                <w:sz w:val="18"/>
                <w:szCs w:val="18"/>
                <w:lang w:val="es-ES"/>
              </w:rPr>
            </w:pPr>
          </w:p>
        </w:tc>
      </w:tr>
      <w:tr w:rsidR="006A3DBC" w:rsidRPr="00FA4B2D" w14:paraId="62398224" w14:textId="77777777" w:rsidTr="005F4A92">
        <w:trPr>
          <w:trHeight w:val="300"/>
          <w:jc w:val="center"/>
        </w:trPr>
        <w:tc>
          <w:tcPr>
            <w:tcW w:w="562" w:type="dxa"/>
            <w:tcMar>
              <w:top w:w="0" w:type="dxa"/>
              <w:left w:w="45" w:type="dxa"/>
              <w:bottom w:w="0" w:type="dxa"/>
              <w:right w:w="45" w:type="dxa"/>
            </w:tcMar>
            <w:vAlign w:val="center"/>
          </w:tcPr>
          <w:p w14:paraId="372BE4C4"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tcPr>
          <w:p w14:paraId="29F4003B" w14:textId="77777777" w:rsidR="006A3DBC" w:rsidRPr="00CF0F96" w:rsidRDefault="006A3DBC" w:rsidP="005F4A92">
            <w:pPr>
              <w:spacing w:after="0" w:line="240" w:lineRule="auto"/>
              <w:rPr>
                <w:rFonts w:cs="Arial"/>
                <w:sz w:val="18"/>
                <w:szCs w:val="18"/>
              </w:rPr>
            </w:pPr>
            <w:r w:rsidRPr="00CF0F96">
              <w:rPr>
                <w:rFonts w:cs="Arial"/>
                <w:sz w:val="18"/>
                <w:szCs w:val="18"/>
              </w:rPr>
              <w:t>Las Iguanas – Punta Condega</w:t>
            </w:r>
          </w:p>
        </w:tc>
        <w:tc>
          <w:tcPr>
            <w:tcW w:w="2977" w:type="dxa"/>
            <w:tcMar>
              <w:top w:w="0" w:type="dxa"/>
              <w:left w:w="45" w:type="dxa"/>
              <w:bottom w:w="0" w:type="dxa"/>
              <w:right w:w="45" w:type="dxa"/>
            </w:tcMar>
            <w:vAlign w:val="center"/>
          </w:tcPr>
          <w:p w14:paraId="10B9A6C9"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Áreas de Manejo de Hábitat</w:t>
            </w:r>
          </w:p>
        </w:tc>
        <w:tc>
          <w:tcPr>
            <w:tcW w:w="2977" w:type="dxa"/>
            <w:vMerge/>
            <w:vAlign w:val="center"/>
          </w:tcPr>
          <w:p w14:paraId="3D402E35" w14:textId="77777777" w:rsidR="006A3DBC" w:rsidRPr="00CF0F96" w:rsidRDefault="006A3DBC" w:rsidP="005F4A92">
            <w:pPr>
              <w:spacing w:after="0" w:line="240" w:lineRule="auto"/>
              <w:jc w:val="center"/>
              <w:rPr>
                <w:rFonts w:cs="Arial"/>
                <w:sz w:val="18"/>
                <w:szCs w:val="18"/>
                <w:lang w:val="es-ES"/>
              </w:rPr>
            </w:pPr>
          </w:p>
        </w:tc>
      </w:tr>
      <w:tr w:rsidR="006A3DBC" w:rsidRPr="00FA4B2D" w14:paraId="534DC0EA" w14:textId="77777777" w:rsidTr="005F4A92">
        <w:trPr>
          <w:trHeight w:val="300"/>
          <w:jc w:val="center"/>
        </w:trPr>
        <w:tc>
          <w:tcPr>
            <w:tcW w:w="562" w:type="dxa"/>
            <w:tcMar>
              <w:top w:w="0" w:type="dxa"/>
              <w:left w:w="45" w:type="dxa"/>
              <w:bottom w:w="0" w:type="dxa"/>
              <w:right w:w="45" w:type="dxa"/>
            </w:tcMar>
            <w:vAlign w:val="center"/>
          </w:tcPr>
          <w:p w14:paraId="53428594"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tcPr>
          <w:p w14:paraId="3A0B6B30" w14:textId="77777777" w:rsidR="006A3DBC" w:rsidRPr="00CF0F96" w:rsidRDefault="006A3DBC" w:rsidP="005F4A92">
            <w:pPr>
              <w:spacing w:after="0" w:line="240" w:lineRule="auto"/>
              <w:rPr>
                <w:rFonts w:cs="Arial"/>
                <w:sz w:val="18"/>
                <w:szCs w:val="18"/>
              </w:rPr>
            </w:pPr>
            <w:r w:rsidRPr="00CF0F96">
              <w:rPr>
                <w:rFonts w:cs="Arial"/>
                <w:sz w:val="18"/>
                <w:szCs w:val="18"/>
              </w:rPr>
              <w:t>El Jicarito</w:t>
            </w:r>
          </w:p>
        </w:tc>
        <w:tc>
          <w:tcPr>
            <w:tcW w:w="2977" w:type="dxa"/>
            <w:tcMar>
              <w:top w:w="0" w:type="dxa"/>
              <w:left w:w="45" w:type="dxa"/>
              <w:bottom w:w="0" w:type="dxa"/>
              <w:right w:w="45" w:type="dxa"/>
            </w:tcMar>
            <w:vAlign w:val="center"/>
          </w:tcPr>
          <w:p w14:paraId="631BE3E8"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Áreas de Manejo de Hábitat</w:t>
            </w:r>
          </w:p>
        </w:tc>
        <w:tc>
          <w:tcPr>
            <w:tcW w:w="2977" w:type="dxa"/>
            <w:vMerge/>
            <w:vAlign w:val="center"/>
          </w:tcPr>
          <w:p w14:paraId="40032275" w14:textId="77777777" w:rsidR="006A3DBC" w:rsidRPr="00CF0F96" w:rsidRDefault="006A3DBC" w:rsidP="005F4A92">
            <w:pPr>
              <w:spacing w:after="0" w:line="240" w:lineRule="auto"/>
              <w:jc w:val="center"/>
              <w:rPr>
                <w:rFonts w:cs="Arial"/>
                <w:sz w:val="18"/>
                <w:szCs w:val="18"/>
                <w:lang w:val="es-ES"/>
              </w:rPr>
            </w:pPr>
          </w:p>
        </w:tc>
      </w:tr>
      <w:tr w:rsidR="006A3DBC" w:rsidRPr="00FA4B2D" w14:paraId="2ED1E3C5" w14:textId="77777777" w:rsidTr="005F4A92">
        <w:trPr>
          <w:trHeight w:val="300"/>
          <w:jc w:val="center"/>
        </w:trPr>
        <w:tc>
          <w:tcPr>
            <w:tcW w:w="562" w:type="dxa"/>
            <w:tcMar>
              <w:top w:w="0" w:type="dxa"/>
              <w:left w:w="45" w:type="dxa"/>
              <w:bottom w:w="0" w:type="dxa"/>
              <w:right w:w="45" w:type="dxa"/>
            </w:tcMar>
            <w:vAlign w:val="center"/>
          </w:tcPr>
          <w:p w14:paraId="68EEA5C0"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tcPr>
          <w:p w14:paraId="2659A14D" w14:textId="77777777" w:rsidR="006A3DBC" w:rsidRPr="00CF0F96" w:rsidRDefault="006A3DBC" w:rsidP="005F4A92">
            <w:pPr>
              <w:spacing w:after="0" w:line="240" w:lineRule="auto"/>
              <w:rPr>
                <w:rFonts w:cs="Arial"/>
                <w:sz w:val="18"/>
                <w:szCs w:val="18"/>
              </w:rPr>
            </w:pPr>
            <w:r w:rsidRPr="00CF0F96">
              <w:rPr>
                <w:rFonts w:cs="Arial"/>
                <w:sz w:val="18"/>
                <w:szCs w:val="18"/>
              </w:rPr>
              <w:t>Carías Bermúdez</w:t>
            </w:r>
          </w:p>
        </w:tc>
        <w:tc>
          <w:tcPr>
            <w:tcW w:w="2977" w:type="dxa"/>
            <w:tcMar>
              <w:top w:w="0" w:type="dxa"/>
              <w:left w:w="45" w:type="dxa"/>
              <w:bottom w:w="0" w:type="dxa"/>
              <w:right w:w="45" w:type="dxa"/>
            </w:tcMar>
            <w:vAlign w:val="center"/>
          </w:tcPr>
          <w:p w14:paraId="578DC5B0"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Área de Uso Múltiple</w:t>
            </w:r>
          </w:p>
        </w:tc>
        <w:tc>
          <w:tcPr>
            <w:tcW w:w="2977" w:type="dxa"/>
            <w:vMerge/>
            <w:vAlign w:val="center"/>
          </w:tcPr>
          <w:p w14:paraId="74E5CC0C" w14:textId="77777777" w:rsidR="006A3DBC" w:rsidRPr="00CF0F96" w:rsidRDefault="006A3DBC" w:rsidP="005F4A92">
            <w:pPr>
              <w:spacing w:after="0" w:line="240" w:lineRule="auto"/>
              <w:jc w:val="center"/>
              <w:rPr>
                <w:rFonts w:cs="Arial"/>
                <w:sz w:val="18"/>
                <w:szCs w:val="18"/>
                <w:lang w:val="es-ES"/>
              </w:rPr>
            </w:pPr>
          </w:p>
        </w:tc>
      </w:tr>
      <w:tr w:rsidR="006A3DBC" w:rsidRPr="00FA4B2D" w14:paraId="6B6A1FAC" w14:textId="77777777" w:rsidTr="005F4A92">
        <w:trPr>
          <w:trHeight w:val="300"/>
          <w:jc w:val="center"/>
        </w:trPr>
        <w:tc>
          <w:tcPr>
            <w:tcW w:w="562" w:type="dxa"/>
            <w:tcMar>
              <w:top w:w="0" w:type="dxa"/>
              <w:left w:w="45" w:type="dxa"/>
              <w:bottom w:w="0" w:type="dxa"/>
              <w:right w:w="45" w:type="dxa"/>
            </w:tcMar>
            <w:vAlign w:val="center"/>
          </w:tcPr>
          <w:p w14:paraId="451BB656"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tcPr>
          <w:p w14:paraId="532EDCCE" w14:textId="77777777" w:rsidR="006A3DBC" w:rsidRPr="00CF0F96" w:rsidRDefault="006A3DBC" w:rsidP="005F4A92">
            <w:pPr>
              <w:spacing w:after="0" w:line="240" w:lineRule="auto"/>
              <w:rPr>
                <w:rFonts w:cs="Arial"/>
                <w:sz w:val="18"/>
                <w:szCs w:val="18"/>
              </w:rPr>
            </w:pPr>
            <w:r w:rsidRPr="00CF0F96">
              <w:rPr>
                <w:rFonts w:cs="Arial"/>
                <w:sz w:val="18"/>
                <w:szCs w:val="18"/>
              </w:rPr>
              <w:t>Bahía de Chismuyo</w:t>
            </w:r>
          </w:p>
        </w:tc>
        <w:tc>
          <w:tcPr>
            <w:tcW w:w="2977" w:type="dxa"/>
            <w:tcMar>
              <w:top w:w="0" w:type="dxa"/>
              <w:left w:w="45" w:type="dxa"/>
              <w:bottom w:w="0" w:type="dxa"/>
              <w:right w:w="45" w:type="dxa"/>
            </w:tcMar>
            <w:vAlign w:val="center"/>
          </w:tcPr>
          <w:p w14:paraId="47D9A353"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Áreas de Manejo de Hábitat</w:t>
            </w:r>
          </w:p>
        </w:tc>
        <w:tc>
          <w:tcPr>
            <w:tcW w:w="2977" w:type="dxa"/>
            <w:vAlign w:val="center"/>
          </w:tcPr>
          <w:p w14:paraId="035B94DA"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Choluteca y Valle</w:t>
            </w:r>
          </w:p>
        </w:tc>
      </w:tr>
      <w:tr w:rsidR="006A3DBC" w:rsidRPr="00FA4B2D" w14:paraId="339A8A77" w14:textId="77777777" w:rsidTr="005F4A92">
        <w:trPr>
          <w:trHeight w:val="300"/>
          <w:jc w:val="center"/>
        </w:trPr>
        <w:tc>
          <w:tcPr>
            <w:tcW w:w="562" w:type="dxa"/>
            <w:tcMar>
              <w:top w:w="0" w:type="dxa"/>
              <w:left w:w="45" w:type="dxa"/>
              <w:bottom w:w="0" w:type="dxa"/>
              <w:right w:w="45" w:type="dxa"/>
            </w:tcMar>
            <w:vAlign w:val="center"/>
          </w:tcPr>
          <w:p w14:paraId="614DF754"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tcPr>
          <w:p w14:paraId="07163673" w14:textId="77777777" w:rsidR="006A3DBC" w:rsidRPr="00CF0F96" w:rsidRDefault="006A3DBC" w:rsidP="005F4A92">
            <w:pPr>
              <w:spacing w:after="0" w:line="240" w:lineRule="auto"/>
              <w:rPr>
                <w:rFonts w:cs="Arial"/>
                <w:sz w:val="18"/>
                <w:szCs w:val="18"/>
              </w:rPr>
            </w:pPr>
            <w:r w:rsidRPr="00CF0F96">
              <w:rPr>
                <w:rFonts w:cs="Arial"/>
                <w:sz w:val="18"/>
                <w:szCs w:val="18"/>
                <w:lang w:val="es-ES"/>
              </w:rPr>
              <w:t xml:space="preserve">Azul Meámbar </w:t>
            </w:r>
          </w:p>
        </w:tc>
        <w:tc>
          <w:tcPr>
            <w:tcW w:w="2977" w:type="dxa"/>
            <w:tcMar>
              <w:top w:w="0" w:type="dxa"/>
              <w:left w:w="45" w:type="dxa"/>
              <w:bottom w:w="0" w:type="dxa"/>
              <w:right w:w="45" w:type="dxa"/>
            </w:tcMar>
            <w:vAlign w:val="center"/>
          </w:tcPr>
          <w:p w14:paraId="7A338096"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Parque Nacional</w:t>
            </w:r>
          </w:p>
        </w:tc>
        <w:tc>
          <w:tcPr>
            <w:tcW w:w="2977" w:type="dxa"/>
            <w:vMerge w:val="restart"/>
            <w:vAlign w:val="center"/>
          </w:tcPr>
          <w:p w14:paraId="24D8FE25"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Comayagua</w:t>
            </w:r>
          </w:p>
        </w:tc>
      </w:tr>
      <w:tr w:rsidR="006A3DBC" w:rsidRPr="00FA4B2D" w14:paraId="0D4EEDA5" w14:textId="77777777" w:rsidTr="005F4A92">
        <w:trPr>
          <w:trHeight w:val="300"/>
          <w:jc w:val="center"/>
        </w:trPr>
        <w:tc>
          <w:tcPr>
            <w:tcW w:w="562" w:type="dxa"/>
            <w:tcMar>
              <w:top w:w="0" w:type="dxa"/>
              <w:left w:w="45" w:type="dxa"/>
              <w:bottom w:w="0" w:type="dxa"/>
              <w:right w:w="45" w:type="dxa"/>
            </w:tcMar>
            <w:vAlign w:val="center"/>
          </w:tcPr>
          <w:p w14:paraId="4ABEB379"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tcPr>
          <w:p w14:paraId="10F8044C" w14:textId="77777777" w:rsidR="006A3DBC" w:rsidRPr="00CF0F96" w:rsidRDefault="00000000" w:rsidP="005F4A92">
            <w:pPr>
              <w:spacing w:after="0" w:line="240" w:lineRule="auto"/>
              <w:rPr>
                <w:rFonts w:cs="Arial"/>
                <w:sz w:val="18"/>
                <w:szCs w:val="18"/>
              </w:rPr>
            </w:pPr>
            <w:hyperlink r:id="rId34" w:history="1">
              <w:r w:rsidR="006A3DBC" w:rsidRPr="00CF0F96">
                <w:rPr>
                  <w:rFonts w:cs="Arial"/>
                  <w:sz w:val="18"/>
                  <w:szCs w:val="18"/>
                  <w:lang w:val="es-ES"/>
                </w:rPr>
                <w:t>Montaña de Comayagua</w:t>
              </w:r>
            </w:hyperlink>
          </w:p>
        </w:tc>
        <w:tc>
          <w:tcPr>
            <w:tcW w:w="2977" w:type="dxa"/>
            <w:tcMar>
              <w:top w:w="0" w:type="dxa"/>
              <w:left w:w="45" w:type="dxa"/>
              <w:bottom w:w="0" w:type="dxa"/>
              <w:right w:w="45" w:type="dxa"/>
            </w:tcMar>
            <w:vAlign w:val="center"/>
          </w:tcPr>
          <w:p w14:paraId="15C99B33"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Parque Nacional</w:t>
            </w:r>
          </w:p>
        </w:tc>
        <w:tc>
          <w:tcPr>
            <w:tcW w:w="2977" w:type="dxa"/>
            <w:vMerge/>
            <w:vAlign w:val="center"/>
          </w:tcPr>
          <w:p w14:paraId="7253A0DB" w14:textId="77777777" w:rsidR="006A3DBC" w:rsidRPr="00CF0F96" w:rsidRDefault="006A3DBC" w:rsidP="005F4A92">
            <w:pPr>
              <w:spacing w:after="0" w:line="240" w:lineRule="auto"/>
              <w:jc w:val="center"/>
              <w:rPr>
                <w:rFonts w:cs="Arial"/>
                <w:sz w:val="18"/>
                <w:szCs w:val="18"/>
                <w:lang w:val="es-ES"/>
              </w:rPr>
            </w:pPr>
          </w:p>
        </w:tc>
      </w:tr>
      <w:tr w:rsidR="006A3DBC" w:rsidRPr="00FA4B2D" w14:paraId="708E9AAD" w14:textId="77777777" w:rsidTr="005F4A92">
        <w:trPr>
          <w:trHeight w:val="300"/>
          <w:jc w:val="center"/>
        </w:trPr>
        <w:tc>
          <w:tcPr>
            <w:tcW w:w="562" w:type="dxa"/>
            <w:tcMar>
              <w:top w:w="0" w:type="dxa"/>
              <w:left w:w="45" w:type="dxa"/>
              <w:bottom w:w="0" w:type="dxa"/>
              <w:right w:w="45" w:type="dxa"/>
            </w:tcMar>
            <w:vAlign w:val="center"/>
          </w:tcPr>
          <w:p w14:paraId="27FF7EA0"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tcPr>
          <w:p w14:paraId="0FA995FF" w14:textId="77777777" w:rsidR="006A3DBC" w:rsidRPr="00CF0F96" w:rsidRDefault="006A3DBC" w:rsidP="005F4A92">
            <w:pPr>
              <w:spacing w:after="0" w:line="240" w:lineRule="auto"/>
              <w:rPr>
                <w:rFonts w:cs="Arial"/>
                <w:sz w:val="18"/>
                <w:szCs w:val="18"/>
              </w:rPr>
            </w:pPr>
            <w:r w:rsidRPr="00CF0F96">
              <w:rPr>
                <w:rFonts w:cs="Arial"/>
                <w:sz w:val="18"/>
                <w:szCs w:val="18"/>
              </w:rPr>
              <w:t>Erapuca</w:t>
            </w:r>
          </w:p>
        </w:tc>
        <w:tc>
          <w:tcPr>
            <w:tcW w:w="2977" w:type="dxa"/>
            <w:tcMar>
              <w:top w:w="0" w:type="dxa"/>
              <w:left w:w="45" w:type="dxa"/>
              <w:bottom w:w="0" w:type="dxa"/>
              <w:right w:w="45" w:type="dxa"/>
            </w:tcMar>
            <w:vAlign w:val="center"/>
          </w:tcPr>
          <w:p w14:paraId="77EC1141"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Refugio de Vida Silvestre</w:t>
            </w:r>
          </w:p>
        </w:tc>
        <w:tc>
          <w:tcPr>
            <w:tcW w:w="2977" w:type="dxa"/>
            <w:vAlign w:val="center"/>
          </w:tcPr>
          <w:p w14:paraId="365EDE9A"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Copán</w:t>
            </w:r>
          </w:p>
        </w:tc>
      </w:tr>
      <w:tr w:rsidR="006A3DBC" w:rsidRPr="00FA4B2D" w14:paraId="4CD90DE2" w14:textId="77777777" w:rsidTr="005F4A92">
        <w:trPr>
          <w:trHeight w:val="300"/>
          <w:jc w:val="center"/>
        </w:trPr>
        <w:tc>
          <w:tcPr>
            <w:tcW w:w="562" w:type="dxa"/>
            <w:tcMar>
              <w:top w:w="0" w:type="dxa"/>
              <w:left w:w="45" w:type="dxa"/>
              <w:bottom w:w="0" w:type="dxa"/>
              <w:right w:w="45" w:type="dxa"/>
            </w:tcMar>
            <w:vAlign w:val="center"/>
          </w:tcPr>
          <w:p w14:paraId="29D0CBCC"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tcPr>
          <w:p w14:paraId="4A2708C8" w14:textId="77777777" w:rsidR="006A3DBC" w:rsidRPr="00CF0F96" w:rsidRDefault="006A3DBC" w:rsidP="005F4A92">
            <w:pPr>
              <w:spacing w:after="0" w:line="240" w:lineRule="auto"/>
              <w:rPr>
                <w:rFonts w:cs="Arial"/>
                <w:sz w:val="18"/>
                <w:szCs w:val="18"/>
              </w:rPr>
            </w:pPr>
            <w:r w:rsidRPr="00CF0F96">
              <w:rPr>
                <w:rFonts w:cs="Arial"/>
                <w:sz w:val="18"/>
                <w:szCs w:val="18"/>
              </w:rPr>
              <w:t>Montecillos</w:t>
            </w:r>
          </w:p>
        </w:tc>
        <w:tc>
          <w:tcPr>
            <w:tcW w:w="2977" w:type="dxa"/>
            <w:tcMar>
              <w:top w:w="0" w:type="dxa"/>
              <w:left w:w="45" w:type="dxa"/>
              <w:bottom w:w="0" w:type="dxa"/>
              <w:right w:w="45" w:type="dxa"/>
            </w:tcMar>
            <w:vAlign w:val="center"/>
          </w:tcPr>
          <w:p w14:paraId="5688B8EC"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Reservas Biológicas</w:t>
            </w:r>
          </w:p>
        </w:tc>
        <w:tc>
          <w:tcPr>
            <w:tcW w:w="2977" w:type="dxa"/>
            <w:vAlign w:val="center"/>
          </w:tcPr>
          <w:p w14:paraId="562B0E86"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rPr>
              <w:t>Comayagua, la Paz e Intibucá</w:t>
            </w:r>
          </w:p>
        </w:tc>
      </w:tr>
      <w:tr w:rsidR="006A3DBC" w:rsidRPr="00FA4B2D" w14:paraId="12EB7B71" w14:textId="77777777" w:rsidTr="005F4A92">
        <w:trPr>
          <w:trHeight w:val="300"/>
          <w:jc w:val="center"/>
        </w:trPr>
        <w:tc>
          <w:tcPr>
            <w:tcW w:w="562" w:type="dxa"/>
            <w:tcMar>
              <w:top w:w="0" w:type="dxa"/>
              <w:left w:w="45" w:type="dxa"/>
              <w:bottom w:w="0" w:type="dxa"/>
              <w:right w:w="45" w:type="dxa"/>
            </w:tcMar>
            <w:vAlign w:val="center"/>
          </w:tcPr>
          <w:p w14:paraId="3DF683D3"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tcPr>
          <w:p w14:paraId="352BFEA2" w14:textId="77777777" w:rsidR="006A3DBC" w:rsidRPr="00CF0F96" w:rsidRDefault="006A3DBC" w:rsidP="005F4A92">
            <w:pPr>
              <w:spacing w:after="0" w:line="240" w:lineRule="auto"/>
              <w:rPr>
                <w:rFonts w:cs="Arial"/>
                <w:sz w:val="18"/>
                <w:szCs w:val="18"/>
              </w:rPr>
            </w:pPr>
            <w:r w:rsidRPr="00CF0F96">
              <w:rPr>
                <w:rFonts w:cs="Arial"/>
                <w:sz w:val="18"/>
                <w:szCs w:val="18"/>
              </w:rPr>
              <w:t>Yuscarán</w:t>
            </w:r>
          </w:p>
        </w:tc>
        <w:tc>
          <w:tcPr>
            <w:tcW w:w="2977" w:type="dxa"/>
            <w:tcMar>
              <w:top w:w="0" w:type="dxa"/>
              <w:left w:w="45" w:type="dxa"/>
              <w:bottom w:w="0" w:type="dxa"/>
              <w:right w:w="45" w:type="dxa"/>
            </w:tcMar>
            <w:vAlign w:val="center"/>
          </w:tcPr>
          <w:p w14:paraId="73D4638A"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Reservas Biológicas</w:t>
            </w:r>
          </w:p>
        </w:tc>
        <w:tc>
          <w:tcPr>
            <w:tcW w:w="2977" w:type="dxa"/>
            <w:vMerge w:val="restart"/>
            <w:vAlign w:val="center"/>
          </w:tcPr>
          <w:p w14:paraId="35FBAB68" w14:textId="77777777" w:rsidR="006A3DBC" w:rsidRPr="00CF0F96" w:rsidRDefault="006A3DBC" w:rsidP="005F4A92">
            <w:pPr>
              <w:spacing w:after="0" w:line="240" w:lineRule="auto"/>
              <w:jc w:val="center"/>
              <w:rPr>
                <w:rFonts w:cs="Arial"/>
                <w:sz w:val="18"/>
                <w:szCs w:val="18"/>
              </w:rPr>
            </w:pPr>
            <w:r w:rsidRPr="00CF0F96">
              <w:rPr>
                <w:rFonts w:cs="Arial"/>
                <w:sz w:val="18"/>
                <w:szCs w:val="18"/>
                <w:lang w:val="es-ES"/>
              </w:rPr>
              <w:t>El Paraíso</w:t>
            </w:r>
          </w:p>
        </w:tc>
      </w:tr>
      <w:tr w:rsidR="006A3DBC" w:rsidRPr="00FA4B2D" w14:paraId="3541440C" w14:textId="77777777" w:rsidTr="005F4A92">
        <w:trPr>
          <w:trHeight w:val="300"/>
          <w:jc w:val="center"/>
        </w:trPr>
        <w:tc>
          <w:tcPr>
            <w:tcW w:w="562" w:type="dxa"/>
            <w:tcMar>
              <w:top w:w="0" w:type="dxa"/>
              <w:left w:w="45" w:type="dxa"/>
              <w:bottom w:w="0" w:type="dxa"/>
              <w:right w:w="45" w:type="dxa"/>
            </w:tcMar>
            <w:vAlign w:val="center"/>
          </w:tcPr>
          <w:p w14:paraId="6EEB5C8A"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tcPr>
          <w:p w14:paraId="564A06B4" w14:textId="77777777" w:rsidR="006A3DBC" w:rsidRPr="00CF0F96" w:rsidRDefault="006A3DBC" w:rsidP="005F4A92">
            <w:pPr>
              <w:spacing w:after="0" w:line="240" w:lineRule="auto"/>
              <w:rPr>
                <w:rFonts w:cs="Arial"/>
                <w:sz w:val="18"/>
                <w:szCs w:val="18"/>
              </w:rPr>
            </w:pPr>
            <w:r w:rsidRPr="00CF0F96">
              <w:rPr>
                <w:rFonts w:cs="Arial"/>
                <w:sz w:val="18"/>
                <w:szCs w:val="18"/>
              </w:rPr>
              <w:t>Monserrat</w:t>
            </w:r>
          </w:p>
        </w:tc>
        <w:tc>
          <w:tcPr>
            <w:tcW w:w="2977" w:type="dxa"/>
            <w:tcMar>
              <w:top w:w="0" w:type="dxa"/>
              <w:left w:w="45" w:type="dxa"/>
              <w:bottom w:w="0" w:type="dxa"/>
              <w:right w:w="45" w:type="dxa"/>
            </w:tcMar>
            <w:vAlign w:val="center"/>
          </w:tcPr>
          <w:p w14:paraId="70F008DF"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Reservas Biológicas</w:t>
            </w:r>
          </w:p>
        </w:tc>
        <w:tc>
          <w:tcPr>
            <w:tcW w:w="2977" w:type="dxa"/>
            <w:vMerge/>
            <w:vAlign w:val="center"/>
          </w:tcPr>
          <w:p w14:paraId="439138EA" w14:textId="77777777" w:rsidR="006A3DBC" w:rsidRPr="00CF0F96" w:rsidRDefault="006A3DBC" w:rsidP="005F4A92">
            <w:pPr>
              <w:spacing w:after="0" w:line="240" w:lineRule="auto"/>
              <w:jc w:val="center"/>
              <w:rPr>
                <w:rFonts w:cs="Arial"/>
                <w:sz w:val="18"/>
                <w:szCs w:val="18"/>
              </w:rPr>
            </w:pPr>
          </w:p>
        </w:tc>
      </w:tr>
      <w:tr w:rsidR="006A3DBC" w:rsidRPr="00FA4B2D" w14:paraId="26C06267" w14:textId="77777777" w:rsidTr="005F4A92">
        <w:trPr>
          <w:trHeight w:val="300"/>
          <w:jc w:val="center"/>
        </w:trPr>
        <w:tc>
          <w:tcPr>
            <w:tcW w:w="562" w:type="dxa"/>
            <w:tcMar>
              <w:top w:w="0" w:type="dxa"/>
              <w:left w:w="45" w:type="dxa"/>
              <w:bottom w:w="0" w:type="dxa"/>
              <w:right w:w="45" w:type="dxa"/>
            </w:tcMar>
            <w:vAlign w:val="center"/>
          </w:tcPr>
          <w:p w14:paraId="23DC4E70"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tcPr>
          <w:p w14:paraId="55B9DC81" w14:textId="77777777" w:rsidR="006A3DBC" w:rsidRPr="00CF0F96" w:rsidRDefault="006A3DBC" w:rsidP="005F4A92">
            <w:pPr>
              <w:spacing w:after="0" w:line="240" w:lineRule="auto"/>
              <w:rPr>
                <w:rFonts w:cs="Arial"/>
                <w:sz w:val="18"/>
                <w:szCs w:val="18"/>
              </w:rPr>
            </w:pPr>
            <w:r w:rsidRPr="00CF0F96">
              <w:rPr>
                <w:rFonts w:cs="Arial"/>
                <w:sz w:val="18"/>
                <w:szCs w:val="18"/>
              </w:rPr>
              <w:t>Danlí</w:t>
            </w:r>
          </w:p>
        </w:tc>
        <w:tc>
          <w:tcPr>
            <w:tcW w:w="2977" w:type="dxa"/>
            <w:tcMar>
              <w:top w:w="0" w:type="dxa"/>
              <w:left w:w="45" w:type="dxa"/>
              <w:bottom w:w="0" w:type="dxa"/>
              <w:right w:w="45" w:type="dxa"/>
            </w:tcMar>
            <w:vAlign w:val="center"/>
          </w:tcPr>
          <w:p w14:paraId="564D1515"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Zona Productora de Agua</w:t>
            </w:r>
          </w:p>
        </w:tc>
        <w:tc>
          <w:tcPr>
            <w:tcW w:w="2977" w:type="dxa"/>
            <w:vMerge/>
            <w:vAlign w:val="center"/>
          </w:tcPr>
          <w:p w14:paraId="662EA6C3" w14:textId="77777777" w:rsidR="006A3DBC" w:rsidRPr="00CF0F96" w:rsidRDefault="006A3DBC" w:rsidP="005F4A92">
            <w:pPr>
              <w:spacing w:after="0" w:line="240" w:lineRule="auto"/>
              <w:jc w:val="center"/>
              <w:rPr>
                <w:rFonts w:cs="Arial"/>
                <w:sz w:val="18"/>
                <w:szCs w:val="18"/>
                <w:lang w:val="es-ES"/>
              </w:rPr>
            </w:pPr>
          </w:p>
        </w:tc>
      </w:tr>
      <w:tr w:rsidR="006A3DBC" w:rsidRPr="00FA4B2D" w14:paraId="69E940F0" w14:textId="77777777" w:rsidTr="005F4A92">
        <w:trPr>
          <w:trHeight w:val="300"/>
          <w:jc w:val="center"/>
        </w:trPr>
        <w:tc>
          <w:tcPr>
            <w:tcW w:w="562" w:type="dxa"/>
            <w:tcMar>
              <w:top w:w="0" w:type="dxa"/>
              <w:left w:w="45" w:type="dxa"/>
              <w:bottom w:w="0" w:type="dxa"/>
              <w:right w:w="45" w:type="dxa"/>
            </w:tcMar>
            <w:vAlign w:val="center"/>
          </w:tcPr>
          <w:p w14:paraId="3D8BE1E9"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tcPr>
          <w:p w14:paraId="3A666EFA" w14:textId="77777777" w:rsidR="006A3DBC" w:rsidRPr="00CF0F96" w:rsidRDefault="006A3DBC" w:rsidP="005F4A92">
            <w:pPr>
              <w:spacing w:after="0" w:line="240" w:lineRule="auto"/>
              <w:rPr>
                <w:rFonts w:cs="Arial"/>
                <w:sz w:val="18"/>
                <w:szCs w:val="18"/>
              </w:rPr>
            </w:pPr>
            <w:r w:rsidRPr="00CF0F96">
              <w:rPr>
                <w:rFonts w:cs="Arial"/>
                <w:sz w:val="18"/>
                <w:szCs w:val="18"/>
              </w:rPr>
              <w:t>Uyuca</w:t>
            </w:r>
          </w:p>
        </w:tc>
        <w:tc>
          <w:tcPr>
            <w:tcW w:w="2977" w:type="dxa"/>
            <w:tcMar>
              <w:top w:w="0" w:type="dxa"/>
              <w:left w:w="45" w:type="dxa"/>
              <w:bottom w:w="0" w:type="dxa"/>
              <w:right w:w="45" w:type="dxa"/>
            </w:tcMar>
            <w:vAlign w:val="center"/>
          </w:tcPr>
          <w:p w14:paraId="06BC43AB"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Reservas Biológicas</w:t>
            </w:r>
          </w:p>
        </w:tc>
        <w:tc>
          <w:tcPr>
            <w:tcW w:w="2977" w:type="dxa"/>
            <w:vMerge w:val="restart"/>
            <w:vAlign w:val="center"/>
          </w:tcPr>
          <w:p w14:paraId="7F7C983C"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Francisco Morazán</w:t>
            </w:r>
          </w:p>
        </w:tc>
      </w:tr>
      <w:tr w:rsidR="006A3DBC" w:rsidRPr="00FA4B2D" w14:paraId="32DDF2DD" w14:textId="77777777" w:rsidTr="005F4A92">
        <w:trPr>
          <w:trHeight w:val="300"/>
          <w:jc w:val="center"/>
        </w:trPr>
        <w:tc>
          <w:tcPr>
            <w:tcW w:w="562" w:type="dxa"/>
            <w:tcMar>
              <w:top w:w="0" w:type="dxa"/>
              <w:left w:w="45" w:type="dxa"/>
              <w:bottom w:w="0" w:type="dxa"/>
              <w:right w:w="45" w:type="dxa"/>
            </w:tcMar>
            <w:vAlign w:val="center"/>
          </w:tcPr>
          <w:p w14:paraId="346D1CDE"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tcPr>
          <w:p w14:paraId="58F936C8" w14:textId="77777777" w:rsidR="006A3DBC" w:rsidRPr="00CF0F96" w:rsidRDefault="00000000" w:rsidP="005F4A92">
            <w:pPr>
              <w:spacing w:after="0" w:line="240" w:lineRule="auto"/>
              <w:rPr>
                <w:rFonts w:cs="Arial"/>
                <w:sz w:val="18"/>
                <w:szCs w:val="18"/>
              </w:rPr>
            </w:pPr>
            <w:hyperlink r:id="rId35" w:history="1">
              <w:r w:rsidR="006A3DBC" w:rsidRPr="00CF0F96">
                <w:rPr>
                  <w:rFonts w:cs="Arial"/>
                  <w:sz w:val="18"/>
                  <w:szCs w:val="18"/>
                  <w:lang w:val="es-ES"/>
                </w:rPr>
                <w:t>La Tigra</w:t>
              </w:r>
            </w:hyperlink>
          </w:p>
        </w:tc>
        <w:tc>
          <w:tcPr>
            <w:tcW w:w="2977" w:type="dxa"/>
            <w:tcMar>
              <w:top w:w="0" w:type="dxa"/>
              <w:left w:w="45" w:type="dxa"/>
              <w:bottom w:w="0" w:type="dxa"/>
              <w:right w:w="45" w:type="dxa"/>
            </w:tcMar>
            <w:vAlign w:val="center"/>
          </w:tcPr>
          <w:p w14:paraId="6BB77118"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Parque Nacional</w:t>
            </w:r>
          </w:p>
        </w:tc>
        <w:tc>
          <w:tcPr>
            <w:tcW w:w="2977" w:type="dxa"/>
            <w:vMerge/>
            <w:vAlign w:val="center"/>
          </w:tcPr>
          <w:p w14:paraId="777A88C5" w14:textId="77777777" w:rsidR="006A3DBC" w:rsidRPr="00CF0F96" w:rsidRDefault="006A3DBC" w:rsidP="005F4A92">
            <w:pPr>
              <w:spacing w:after="0" w:line="240" w:lineRule="auto"/>
              <w:jc w:val="center"/>
              <w:rPr>
                <w:rFonts w:cs="Arial"/>
                <w:sz w:val="18"/>
                <w:szCs w:val="18"/>
                <w:lang w:val="es-ES"/>
              </w:rPr>
            </w:pPr>
          </w:p>
        </w:tc>
      </w:tr>
      <w:tr w:rsidR="006A3DBC" w:rsidRPr="00FA4B2D" w14:paraId="521E5D64" w14:textId="77777777" w:rsidTr="005F4A92">
        <w:trPr>
          <w:trHeight w:val="300"/>
          <w:jc w:val="center"/>
        </w:trPr>
        <w:tc>
          <w:tcPr>
            <w:tcW w:w="562" w:type="dxa"/>
            <w:tcMar>
              <w:top w:w="0" w:type="dxa"/>
              <w:left w:w="45" w:type="dxa"/>
              <w:bottom w:w="0" w:type="dxa"/>
              <w:right w:w="45" w:type="dxa"/>
            </w:tcMar>
            <w:vAlign w:val="center"/>
          </w:tcPr>
          <w:p w14:paraId="07BAE786"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tcPr>
          <w:p w14:paraId="2850ADFD" w14:textId="77777777" w:rsidR="006A3DBC" w:rsidRPr="00CF0F96" w:rsidRDefault="006A3DBC" w:rsidP="005F4A92">
            <w:pPr>
              <w:spacing w:after="0" w:line="240" w:lineRule="auto"/>
              <w:rPr>
                <w:rFonts w:cs="Arial"/>
                <w:sz w:val="18"/>
                <w:szCs w:val="18"/>
              </w:rPr>
            </w:pPr>
            <w:r w:rsidRPr="00CF0F96">
              <w:rPr>
                <w:rFonts w:cs="Arial"/>
                <w:sz w:val="18"/>
                <w:szCs w:val="18"/>
              </w:rPr>
              <w:t>Yerba Buena</w:t>
            </w:r>
          </w:p>
        </w:tc>
        <w:tc>
          <w:tcPr>
            <w:tcW w:w="2977" w:type="dxa"/>
            <w:tcMar>
              <w:top w:w="0" w:type="dxa"/>
              <w:left w:w="45" w:type="dxa"/>
              <w:bottom w:w="0" w:type="dxa"/>
              <w:right w:w="45" w:type="dxa"/>
            </w:tcMar>
            <w:vAlign w:val="center"/>
          </w:tcPr>
          <w:p w14:paraId="3A2F8021"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Reservas Biológicas</w:t>
            </w:r>
          </w:p>
        </w:tc>
        <w:tc>
          <w:tcPr>
            <w:tcW w:w="2977" w:type="dxa"/>
            <w:vMerge/>
            <w:vAlign w:val="center"/>
          </w:tcPr>
          <w:p w14:paraId="4B5334D3" w14:textId="77777777" w:rsidR="006A3DBC" w:rsidRPr="00CF0F96" w:rsidRDefault="006A3DBC" w:rsidP="005F4A92">
            <w:pPr>
              <w:spacing w:after="0" w:line="240" w:lineRule="auto"/>
              <w:jc w:val="center"/>
              <w:rPr>
                <w:rFonts w:cs="Arial"/>
                <w:sz w:val="18"/>
                <w:szCs w:val="18"/>
                <w:lang w:val="es-ES"/>
              </w:rPr>
            </w:pPr>
          </w:p>
        </w:tc>
      </w:tr>
      <w:tr w:rsidR="006A3DBC" w:rsidRPr="00FA4B2D" w14:paraId="5E19AA6B" w14:textId="77777777" w:rsidTr="005F4A92">
        <w:trPr>
          <w:trHeight w:val="300"/>
          <w:jc w:val="center"/>
        </w:trPr>
        <w:tc>
          <w:tcPr>
            <w:tcW w:w="562" w:type="dxa"/>
            <w:tcMar>
              <w:top w:w="0" w:type="dxa"/>
              <w:left w:w="45" w:type="dxa"/>
              <w:bottom w:w="0" w:type="dxa"/>
              <w:right w:w="45" w:type="dxa"/>
            </w:tcMar>
            <w:vAlign w:val="center"/>
          </w:tcPr>
          <w:p w14:paraId="71F19DE4"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tcPr>
          <w:p w14:paraId="5D43287D" w14:textId="77777777" w:rsidR="006A3DBC" w:rsidRPr="00CF0F96" w:rsidRDefault="006A3DBC" w:rsidP="005F4A92">
            <w:pPr>
              <w:spacing w:after="0" w:line="240" w:lineRule="auto"/>
              <w:rPr>
                <w:rFonts w:cs="Arial"/>
                <w:sz w:val="18"/>
                <w:szCs w:val="18"/>
              </w:rPr>
            </w:pPr>
            <w:r w:rsidRPr="00CF0F96">
              <w:rPr>
                <w:rFonts w:cs="Arial"/>
                <w:sz w:val="18"/>
                <w:szCs w:val="18"/>
              </w:rPr>
              <w:t>Montaña de la Flor (Reserva Forestal Antropológica)</w:t>
            </w:r>
          </w:p>
        </w:tc>
        <w:tc>
          <w:tcPr>
            <w:tcW w:w="2977" w:type="dxa"/>
            <w:tcMar>
              <w:top w:w="0" w:type="dxa"/>
              <w:left w:w="45" w:type="dxa"/>
              <w:bottom w:w="0" w:type="dxa"/>
              <w:right w:w="45" w:type="dxa"/>
            </w:tcMar>
            <w:vAlign w:val="center"/>
          </w:tcPr>
          <w:p w14:paraId="74753C91"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Reserva Forestal</w:t>
            </w:r>
          </w:p>
        </w:tc>
        <w:tc>
          <w:tcPr>
            <w:tcW w:w="2977" w:type="dxa"/>
            <w:vMerge/>
            <w:vAlign w:val="center"/>
          </w:tcPr>
          <w:p w14:paraId="50A17BDD" w14:textId="77777777" w:rsidR="006A3DBC" w:rsidRPr="00CF0F96" w:rsidRDefault="006A3DBC" w:rsidP="005F4A92">
            <w:pPr>
              <w:spacing w:after="0" w:line="240" w:lineRule="auto"/>
              <w:jc w:val="center"/>
              <w:rPr>
                <w:rFonts w:cs="Arial"/>
                <w:sz w:val="18"/>
                <w:szCs w:val="18"/>
                <w:lang w:val="es-ES"/>
              </w:rPr>
            </w:pPr>
          </w:p>
        </w:tc>
      </w:tr>
      <w:tr w:rsidR="006A3DBC" w:rsidRPr="00FA4B2D" w14:paraId="7B2AAD82" w14:textId="77777777" w:rsidTr="005F4A92">
        <w:trPr>
          <w:trHeight w:val="300"/>
          <w:jc w:val="center"/>
        </w:trPr>
        <w:tc>
          <w:tcPr>
            <w:tcW w:w="562" w:type="dxa"/>
            <w:tcMar>
              <w:top w:w="0" w:type="dxa"/>
              <w:left w:w="45" w:type="dxa"/>
              <w:bottom w:w="0" w:type="dxa"/>
              <w:right w:w="45" w:type="dxa"/>
            </w:tcMar>
            <w:vAlign w:val="center"/>
          </w:tcPr>
          <w:p w14:paraId="19ABC29C"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tcPr>
          <w:p w14:paraId="6D559830" w14:textId="77777777" w:rsidR="006A3DBC" w:rsidRPr="00CF0F96" w:rsidRDefault="006A3DBC" w:rsidP="005F4A92">
            <w:pPr>
              <w:spacing w:after="0" w:line="240" w:lineRule="auto"/>
              <w:rPr>
                <w:rFonts w:cs="Arial"/>
                <w:sz w:val="18"/>
                <w:szCs w:val="18"/>
              </w:rPr>
            </w:pPr>
            <w:r w:rsidRPr="00CF0F96">
              <w:rPr>
                <w:rFonts w:cs="Arial"/>
                <w:sz w:val="18"/>
                <w:szCs w:val="18"/>
              </w:rPr>
              <w:t>Corralitos</w:t>
            </w:r>
          </w:p>
        </w:tc>
        <w:tc>
          <w:tcPr>
            <w:tcW w:w="2977" w:type="dxa"/>
            <w:tcMar>
              <w:top w:w="0" w:type="dxa"/>
              <w:left w:w="45" w:type="dxa"/>
              <w:bottom w:w="0" w:type="dxa"/>
              <w:right w:w="45" w:type="dxa"/>
            </w:tcMar>
            <w:vAlign w:val="center"/>
          </w:tcPr>
          <w:p w14:paraId="07BC4827"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Refugio de Vida Silvestre</w:t>
            </w:r>
          </w:p>
        </w:tc>
        <w:tc>
          <w:tcPr>
            <w:tcW w:w="2977" w:type="dxa"/>
            <w:vMerge/>
            <w:vAlign w:val="center"/>
          </w:tcPr>
          <w:p w14:paraId="5D28A40F" w14:textId="77777777" w:rsidR="006A3DBC" w:rsidRPr="00CF0F96" w:rsidRDefault="006A3DBC" w:rsidP="005F4A92">
            <w:pPr>
              <w:spacing w:after="0" w:line="240" w:lineRule="auto"/>
              <w:jc w:val="center"/>
              <w:rPr>
                <w:rFonts w:cs="Arial"/>
                <w:sz w:val="18"/>
                <w:szCs w:val="18"/>
                <w:lang w:val="es-ES"/>
              </w:rPr>
            </w:pPr>
          </w:p>
        </w:tc>
      </w:tr>
      <w:tr w:rsidR="006A3DBC" w:rsidRPr="00FA4B2D" w14:paraId="29EBD383" w14:textId="77777777" w:rsidTr="005F4A92">
        <w:trPr>
          <w:trHeight w:val="300"/>
          <w:jc w:val="center"/>
        </w:trPr>
        <w:tc>
          <w:tcPr>
            <w:tcW w:w="562" w:type="dxa"/>
            <w:tcMar>
              <w:top w:w="0" w:type="dxa"/>
              <w:left w:w="45" w:type="dxa"/>
              <w:bottom w:w="0" w:type="dxa"/>
              <w:right w:w="45" w:type="dxa"/>
            </w:tcMar>
            <w:vAlign w:val="center"/>
          </w:tcPr>
          <w:p w14:paraId="2F4F612B"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tcPr>
          <w:p w14:paraId="134F7BBA" w14:textId="77777777" w:rsidR="006A3DBC" w:rsidRPr="00CF0F96" w:rsidRDefault="006A3DBC" w:rsidP="005F4A92">
            <w:pPr>
              <w:spacing w:after="0" w:line="240" w:lineRule="auto"/>
              <w:rPr>
                <w:rFonts w:cs="Arial"/>
                <w:sz w:val="18"/>
                <w:szCs w:val="18"/>
              </w:rPr>
            </w:pPr>
            <w:r w:rsidRPr="00CF0F96">
              <w:rPr>
                <w:rFonts w:cs="Arial"/>
                <w:sz w:val="18"/>
                <w:szCs w:val="18"/>
              </w:rPr>
              <w:t>Cerro Guanacaure</w:t>
            </w:r>
          </w:p>
        </w:tc>
        <w:tc>
          <w:tcPr>
            <w:tcW w:w="2977" w:type="dxa"/>
            <w:tcMar>
              <w:top w:w="0" w:type="dxa"/>
              <w:left w:w="45" w:type="dxa"/>
              <w:bottom w:w="0" w:type="dxa"/>
              <w:right w:w="45" w:type="dxa"/>
            </w:tcMar>
            <w:vAlign w:val="center"/>
          </w:tcPr>
          <w:p w14:paraId="6B4A3E86"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Área de Uso Múltiple</w:t>
            </w:r>
          </w:p>
        </w:tc>
        <w:tc>
          <w:tcPr>
            <w:tcW w:w="2977" w:type="dxa"/>
            <w:vMerge/>
            <w:vAlign w:val="center"/>
          </w:tcPr>
          <w:p w14:paraId="1A4D7E1D" w14:textId="77777777" w:rsidR="006A3DBC" w:rsidRPr="00CF0F96" w:rsidRDefault="006A3DBC" w:rsidP="005F4A92">
            <w:pPr>
              <w:spacing w:after="0" w:line="240" w:lineRule="auto"/>
              <w:jc w:val="center"/>
              <w:rPr>
                <w:rFonts w:cs="Arial"/>
                <w:sz w:val="18"/>
                <w:szCs w:val="18"/>
                <w:lang w:val="es-ES"/>
              </w:rPr>
            </w:pPr>
          </w:p>
        </w:tc>
      </w:tr>
      <w:tr w:rsidR="006A3DBC" w:rsidRPr="00FA4B2D" w14:paraId="03EECFEA" w14:textId="77777777" w:rsidTr="005F4A92">
        <w:trPr>
          <w:trHeight w:val="300"/>
          <w:jc w:val="center"/>
        </w:trPr>
        <w:tc>
          <w:tcPr>
            <w:tcW w:w="562" w:type="dxa"/>
            <w:tcMar>
              <w:top w:w="0" w:type="dxa"/>
              <w:left w:w="45" w:type="dxa"/>
              <w:bottom w:w="0" w:type="dxa"/>
              <w:right w:w="45" w:type="dxa"/>
            </w:tcMar>
            <w:vAlign w:val="center"/>
          </w:tcPr>
          <w:p w14:paraId="571E0C2D"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tcPr>
          <w:p w14:paraId="36C5EE0B" w14:textId="77777777" w:rsidR="006A3DBC" w:rsidRPr="00CF0F96" w:rsidRDefault="006A3DBC" w:rsidP="005F4A92">
            <w:pPr>
              <w:spacing w:after="0" w:line="240" w:lineRule="auto"/>
              <w:rPr>
                <w:rFonts w:cs="Arial"/>
                <w:sz w:val="18"/>
                <w:szCs w:val="18"/>
              </w:rPr>
            </w:pPr>
            <w:r w:rsidRPr="00CF0F96">
              <w:rPr>
                <w:rFonts w:cs="Arial"/>
                <w:sz w:val="18"/>
                <w:szCs w:val="18"/>
              </w:rPr>
              <w:t>Misoco</w:t>
            </w:r>
          </w:p>
        </w:tc>
        <w:tc>
          <w:tcPr>
            <w:tcW w:w="2977" w:type="dxa"/>
            <w:tcMar>
              <w:top w:w="0" w:type="dxa"/>
              <w:left w:w="45" w:type="dxa"/>
              <w:bottom w:w="0" w:type="dxa"/>
              <w:right w:w="45" w:type="dxa"/>
            </w:tcMar>
            <w:vAlign w:val="center"/>
          </w:tcPr>
          <w:p w14:paraId="6249F1B6"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Reservas Biológicas</w:t>
            </w:r>
          </w:p>
        </w:tc>
        <w:tc>
          <w:tcPr>
            <w:tcW w:w="2977" w:type="dxa"/>
            <w:vAlign w:val="center"/>
          </w:tcPr>
          <w:p w14:paraId="49CACB87"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Francisco Morazán y Olancho</w:t>
            </w:r>
          </w:p>
        </w:tc>
      </w:tr>
      <w:tr w:rsidR="006A3DBC" w:rsidRPr="00FA4B2D" w14:paraId="4D803B30" w14:textId="77777777" w:rsidTr="005F4A92">
        <w:trPr>
          <w:trHeight w:val="300"/>
          <w:jc w:val="center"/>
        </w:trPr>
        <w:tc>
          <w:tcPr>
            <w:tcW w:w="562" w:type="dxa"/>
            <w:tcMar>
              <w:top w:w="0" w:type="dxa"/>
              <w:left w:w="45" w:type="dxa"/>
              <w:bottom w:w="0" w:type="dxa"/>
              <w:right w:w="45" w:type="dxa"/>
            </w:tcMar>
            <w:vAlign w:val="center"/>
          </w:tcPr>
          <w:p w14:paraId="7BAAFDA0"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tcPr>
          <w:p w14:paraId="69D0D71D" w14:textId="77777777" w:rsidR="006A3DBC" w:rsidRPr="00CF0F96" w:rsidRDefault="006A3DBC" w:rsidP="005F4A92">
            <w:pPr>
              <w:spacing w:after="0" w:line="240" w:lineRule="auto"/>
              <w:rPr>
                <w:rFonts w:cs="Arial"/>
                <w:sz w:val="18"/>
                <w:szCs w:val="18"/>
              </w:rPr>
            </w:pPr>
            <w:r w:rsidRPr="00CF0F96">
              <w:rPr>
                <w:rFonts w:cs="Arial"/>
                <w:sz w:val="18"/>
                <w:szCs w:val="18"/>
              </w:rPr>
              <w:t>El Chile</w:t>
            </w:r>
          </w:p>
        </w:tc>
        <w:tc>
          <w:tcPr>
            <w:tcW w:w="2977" w:type="dxa"/>
            <w:tcMar>
              <w:top w:w="0" w:type="dxa"/>
              <w:left w:w="45" w:type="dxa"/>
              <w:bottom w:w="0" w:type="dxa"/>
              <w:right w:w="45" w:type="dxa"/>
            </w:tcMar>
            <w:vAlign w:val="center"/>
          </w:tcPr>
          <w:p w14:paraId="0BD95445"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Reservas Biológicas</w:t>
            </w:r>
          </w:p>
        </w:tc>
        <w:tc>
          <w:tcPr>
            <w:tcW w:w="2977" w:type="dxa"/>
            <w:vAlign w:val="center"/>
          </w:tcPr>
          <w:p w14:paraId="2B82A1A7"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Francisco Morazán y el Paraíso</w:t>
            </w:r>
          </w:p>
        </w:tc>
      </w:tr>
      <w:tr w:rsidR="006A3DBC" w:rsidRPr="00FA4B2D" w14:paraId="6B4C0AF2" w14:textId="77777777" w:rsidTr="005F4A92">
        <w:trPr>
          <w:trHeight w:val="300"/>
          <w:jc w:val="center"/>
        </w:trPr>
        <w:tc>
          <w:tcPr>
            <w:tcW w:w="562" w:type="dxa"/>
            <w:tcMar>
              <w:top w:w="0" w:type="dxa"/>
              <w:left w:w="45" w:type="dxa"/>
              <w:bottom w:w="0" w:type="dxa"/>
              <w:right w:w="45" w:type="dxa"/>
            </w:tcMar>
            <w:vAlign w:val="center"/>
          </w:tcPr>
          <w:p w14:paraId="4B6B9121"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tcPr>
          <w:p w14:paraId="78AB8004" w14:textId="77777777" w:rsidR="006A3DBC" w:rsidRPr="00CF0F96" w:rsidRDefault="00000000" w:rsidP="005F4A92">
            <w:pPr>
              <w:spacing w:after="0" w:line="240" w:lineRule="auto"/>
              <w:rPr>
                <w:rFonts w:cs="Arial"/>
                <w:sz w:val="18"/>
                <w:szCs w:val="18"/>
              </w:rPr>
            </w:pPr>
            <w:hyperlink r:id="rId36" w:history="1">
              <w:r w:rsidR="006A3DBC" w:rsidRPr="00CF0F96">
                <w:rPr>
                  <w:rFonts w:cs="Arial"/>
                  <w:sz w:val="18"/>
                  <w:szCs w:val="18"/>
                </w:rPr>
                <w:t>Celaque</w:t>
              </w:r>
            </w:hyperlink>
          </w:p>
        </w:tc>
        <w:tc>
          <w:tcPr>
            <w:tcW w:w="2977" w:type="dxa"/>
            <w:tcMar>
              <w:top w:w="0" w:type="dxa"/>
              <w:left w:w="45" w:type="dxa"/>
              <w:bottom w:w="0" w:type="dxa"/>
              <w:right w:w="45" w:type="dxa"/>
            </w:tcMar>
            <w:vAlign w:val="center"/>
          </w:tcPr>
          <w:p w14:paraId="665B2245"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Parque Nacional</w:t>
            </w:r>
          </w:p>
        </w:tc>
        <w:tc>
          <w:tcPr>
            <w:tcW w:w="2977" w:type="dxa"/>
            <w:vMerge w:val="restart"/>
            <w:vAlign w:val="center"/>
          </w:tcPr>
          <w:p w14:paraId="513EA4FB"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Intibucá</w:t>
            </w:r>
          </w:p>
        </w:tc>
      </w:tr>
      <w:tr w:rsidR="006A3DBC" w:rsidRPr="00FA4B2D" w14:paraId="49D49EDB" w14:textId="77777777" w:rsidTr="005F4A92">
        <w:trPr>
          <w:trHeight w:val="300"/>
          <w:jc w:val="center"/>
        </w:trPr>
        <w:tc>
          <w:tcPr>
            <w:tcW w:w="562" w:type="dxa"/>
            <w:tcMar>
              <w:top w:w="0" w:type="dxa"/>
              <w:left w:w="45" w:type="dxa"/>
              <w:bottom w:w="0" w:type="dxa"/>
              <w:right w:w="45" w:type="dxa"/>
            </w:tcMar>
            <w:vAlign w:val="center"/>
          </w:tcPr>
          <w:p w14:paraId="5F4CD6FB"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tcPr>
          <w:p w14:paraId="21E038C5" w14:textId="77777777" w:rsidR="006A3DBC" w:rsidRPr="00CF0F96" w:rsidRDefault="006A3DBC" w:rsidP="005F4A92">
            <w:pPr>
              <w:spacing w:after="0" w:line="240" w:lineRule="auto"/>
              <w:rPr>
                <w:rFonts w:cs="Arial"/>
                <w:sz w:val="18"/>
                <w:szCs w:val="18"/>
              </w:rPr>
            </w:pPr>
            <w:r w:rsidRPr="00CF0F96">
              <w:rPr>
                <w:rFonts w:cs="Arial"/>
                <w:sz w:val="18"/>
                <w:szCs w:val="18"/>
              </w:rPr>
              <w:t>Mixcure</w:t>
            </w:r>
          </w:p>
        </w:tc>
        <w:tc>
          <w:tcPr>
            <w:tcW w:w="2977" w:type="dxa"/>
            <w:tcMar>
              <w:top w:w="0" w:type="dxa"/>
              <w:left w:w="45" w:type="dxa"/>
              <w:bottom w:w="0" w:type="dxa"/>
              <w:right w:w="45" w:type="dxa"/>
            </w:tcMar>
            <w:vAlign w:val="center"/>
          </w:tcPr>
          <w:p w14:paraId="31EEB263"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Refugio de Vida Silvestre</w:t>
            </w:r>
          </w:p>
        </w:tc>
        <w:tc>
          <w:tcPr>
            <w:tcW w:w="2977" w:type="dxa"/>
            <w:vMerge/>
            <w:vAlign w:val="center"/>
          </w:tcPr>
          <w:p w14:paraId="2D3E4B1F" w14:textId="77777777" w:rsidR="006A3DBC" w:rsidRPr="00CF0F96" w:rsidRDefault="006A3DBC" w:rsidP="005F4A92">
            <w:pPr>
              <w:spacing w:after="0" w:line="240" w:lineRule="auto"/>
              <w:jc w:val="center"/>
              <w:rPr>
                <w:rFonts w:cs="Arial"/>
                <w:sz w:val="18"/>
                <w:szCs w:val="18"/>
                <w:lang w:val="es-ES"/>
              </w:rPr>
            </w:pPr>
          </w:p>
        </w:tc>
      </w:tr>
      <w:tr w:rsidR="006A3DBC" w:rsidRPr="00FA4B2D" w14:paraId="54040F17" w14:textId="77777777" w:rsidTr="005F4A92">
        <w:trPr>
          <w:trHeight w:val="300"/>
          <w:jc w:val="center"/>
        </w:trPr>
        <w:tc>
          <w:tcPr>
            <w:tcW w:w="562" w:type="dxa"/>
            <w:tcMar>
              <w:top w:w="0" w:type="dxa"/>
              <w:left w:w="45" w:type="dxa"/>
              <w:bottom w:w="0" w:type="dxa"/>
              <w:right w:w="45" w:type="dxa"/>
            </w:tcMar>
            <w:vAlign w:val="center"/>
          </w:tcPr>
          <w:p w14:paraId="7CDF130B"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tcPr>
          <w:p w14:paraId="14EA84E2" w14:textId="77777777" w:rsidR="006A3DBC" w:rsidRPr="00CF0F96" w:rsidRDefault="006A3DBC" w:rsidP="005F4A92">
            <w:pPr>
              <w:spacing w:after="0" w:line="240" w:lineRule="auto"/>
              <w:rPr>
                <w:rFonts w:cs="Arial"/>
                <w:sz w:val="18"/>
                <w:szCs w:val="18"/>
              </w:rPr>
            </w:pPr>
            <w:r w:rsidRPr="00CF0F96">
              <w:rPr>
                <w:rFonts w:cs="Arial"/>
                <w:sz w:val="18"/>
                <w:szCs w:val="18"/>
              </w:rPr>
              <w:t>Opalaca</w:t>
            </w:r>
          </w:p>
        </w:tc>
        <w:tc>
          <w:tcPr>
            <w:tcW w:w="2977" w:type="dxa"/>
            <w:tcMar>
              <w:top w:w="0" w:type="dxa"/>
              <w:left w:w="45" w:type="dxa"/>
              <w:bottom w:w="0" w:type="dxa"/>
              <w:right w:w="45" w:type="dxa"/>
            </w:tcMar>
            <w:vAlign w:val="center"/>
          </w:tcPr>
          <w:p w14:paraId="03F89D8F"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Reservas Biológicas</w:t>
            </w:r>
          </w:p>
        </w:tc>
        <w:tc>
          <w:tcPr>
            <w:tcW w:w="2977" w:type="dxa"/>
            <w:vAlign w:val="center"/>
          </w:tcPr>
          <w:p w14:paraId="73C1270D"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Intibucá y Lempira</w:t>
            </w:r>
          </w:p>
        </w:tc>
      </w:tr>
      <w:tr w:rsidR="006A3DBC" w:rsidRPr="00FA4B2D" w14:paraId="36C4D8C6" w14:textId="77777777" w:rsidTr="005F4A92">
        <w:trPr>
          <w:trHeight w:val="300"/>
          <w:jc w:val="center"/>
        </w:trPr>
        <w:tc>
          <w:tcPr>
            <w:tcW w:w="562" w:type="dxa"/>
            <w:tcMar>
              <w:top w:w="0" w:type="dxa"/>
              <w:left w:w="45" w:type="dxa"/>
              <w:bottom w:w="0" w:type="dxa"/>
              <w:right w:w="45" w:type="dxa"/>
            </w:tcMar>
            <w:vAlign w:val="center"/>
          </w:tcPr>
          <w:p w14:paraId="3AC3B874"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tcPr>
          <w:p w14:paraId="0187FE7B" w14:textId="77777777" w:rsidR="006A3DBC" w:rsidRPr="00CF0F96" w:rsidRDefault="006A3DBC" w:rsidP="005F4A92">
            <w:pPr>
              <w:spacing w:after="0" w:line="240" w:lineRule="auto"/>
              <w:rPr>
                <w:rFonts w:cs="Arial"/>
                <w:sz w:val="18"/>
                <w:szCs w:val="18"/>
              </w:rPr>
            </w:pPr>
            <w:r w:rsidRPr="00CF0F96">
              <w:rPr>
                <w:rFonts w:cs="Arial"/>
                <w:sz w:val="18"/>
                <w:szCs w:val="18"/>
              </w:rPr>
              <w:t>Cerro Volcán Pacayita</w:t>
            </w:r>
          </w:p>
        </w:tc>
        <w:tc>
          <w:tcPr>
            <w:tcW w:w="2977" w:type="dxa"/>
            <w:tcMar>
              <w:top w:w="0" w:type="dxa"/>
              <w:left w:w="45" w:type="dxa"/>
              <w:bottom w:w="0" w:type="dxa"/>
              <w:right w:w="45" w:type="dxa"/>
            </w:tcMar>
            <w:vAlign w:val="center"/>
          </w:tcPr>
          <w:p w14:paraId="593A5AF9"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Reservas Biológicas</w:t>
            </w:r>
          </w:p>
        </w:tc>
        <w:tc>
          <w:tcPr>
            <w:tcW w:w="2977" w:type="dxa"/>
            <w:vAlign w:val="center"/>
          </w:tcPr>
          <w:p w14:paraId="2EC0D555"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Lempira y Ocotepeque</w:t>
            </w:r>
          </w:p>
        </w:tc>
      </w:tr>
      <w:tr w:rsidR="006A3DBC" w:rsidRPr="00FA4B2D" w14:paraId="01B679FE" w14:textId="77777777" w:rsidTr="005F4A92">
        <w:trPr>
          <w:trHeight w:val="300"/>
          <w:jc w:val="center"/>
        </w:trPr>
        <w:tc>
          <w:tcPr>
            <w:tcW w:w="562" w:type="dxa"/>
            <w:tcMar>
              <w:top w:w="0" w:type="dxa"/>
              <w:left w:w="45" w:type="dxa"/>
              <w:bottom w:w="0" w:type="dxa"/>
              <w:right w:w="45" w:type="dxa"/>
            </w:tcMar>
            <w:vAlign w:val="center"/>
          </w:tcPr>
          <w:p w14:paraId="38BCF4EE"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tcPr>
          <w:p w14:paraId="440D0F80" w14:textId="77777777" w:rsidR="006A3DBC" w:rsidRPr="00CF0F96" w:rsidRDefault="006A3DBC" w:rsidP="005F4A92">
            <w:pPr>
              <w:spacing w:after="0" w:line="240" w:lineRule="auto"/>
              <w:rPr>
                <w:rFonts w:cs="Arial"/>
                <w:sz w:val="18"/>
                <w:szCs w:val="18"/>
              </w:rPr>
            </w:pPr>
            <w:r w:rsidRPr="00CF0F96">
              <w:rPr>
                <w:rFonts w:cs="Arial"/>
                <w:sz w:val="18"/>
                <w:szCs w:val="18"/>
              </w:rPr>
              <w:t>Reserva Biológica El Chiflador</w:t>
            </w:r>
          </w:p>
        </w:tc>
        <w:tc>
          <w:tcPr>
            <w:tcW w:w="2977" w:type="dxa"/>
            <w:tcMar>
              <w:top w:w="0" w:type="dxa"/>
              <w:left w:w="45" w:type="dxa"/>
              <w:bottom w:w="0" w:type="dxa"/>
              <w:right w:w="45" w:type="dxa"/>
            </w:tcMar>
            <w:vAlign w:val="center"/>
          </w:tcPr>
          <w:p w14:paraId="44186E74"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Reservas Biológicas</w:t>
            </w:r>
          </w:p>
        </w:tc>
        <w:tc>
          <w:tcPr>
            <w:tcW w:w="2977" w:type="dxa"/>
            <w:vMerge w:val="restart"/>
            <w:vAlign w:val="center"/>
          </w:tcPr>
          <w:p w14:paraId="78522085"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La Paz</w:t>
            </w:r>
          </w:p>
        </w:tc>
      </w:tr>
      <w:tr w:rsidR="006A3DBC" w:rsidRPr="00FA4B2D" w14:paraId="6F0BC992" w14:textId="77777777" w:rsidTr="005F4A92">
        <w:trPr>
          <w:trHeight w:val="300"/>
          <w:jc w:val="center"/>
        </w:trPr>
        <w:tc>
          <w:tcPr>
            <w:tcW w:w="562" w:type="dxa"/>
            <w:tcMar>
              <w:top w:w="0" w:type="dxa"/>
              <w:left w:w="45" w:type="dxa"/>
              <w:bottom w:w="0" w:type="dxa"/>
              <w:right w:w="45" w:type="dxa"/>
            </w:tcMar>
            <w:vAlign w:val="center"/>
          </w:tcPr>
          <w:p w14:paraId="5072B97F"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tcPr>
          <w:p w14:paraId="5C432E21" w14:textId="77777777" w:rsidR="006A3DBC" w:rsidRPr="00CF0F96" w:rsidRDefault="006A3DBC" w:rsidP="005F4A92">
            <w:pPr>
              <w:spacing w:after="0" w:line="240" w:lineRule="auto"/>
              <w:rPr>
                <w:rFonts w:cs="Arial"/>
                <w:sz w:val="18"/>
                <w:szCs w:val="18"/>
              </w:rPr>
            </w:pPr>
            <w:r w:rsidRPr="00CF0F96">
              <w:rPr>
                <w:rFonts w:cs="Arial"/>
                <w:sz w:val="18"/>
                <w:szCs w:val="18"/>
              </w:rPr>
              <w:t>Guajiquiro</w:t>
            </w:r>
          </w:p>
        </w:tc>
        <w:tc>
          <w:tcPr>
            <w:tcW w:w="2977" w:type="dxa"/>
            <w:tcMar>
              <w:top w:w="0" w:type="dxa"/>
              <w:left w:w="45" w:type="dxa"/>
              <w:bottom w:w="0" w:type="dxa"/>
              <w:right w:w="45" w:type="dxa"/>
            </w:tcMar>
            <w:vAlign w:val="center"/>
          </w:tcPr>
          <w:p w14:paraId="184D9589"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Reservas Biológicas</w:t>
            </w:r>
          </w:p>
        </w:tc>
        <w:tc>
          <w:tcPr>
            <w:tcW w:w="2977" w:type="dxa"/>
            <w:vMerge/>
            <w:vAlign w:val="center"/>
          </w:tcPr>
          <w:p w14:paraId="736E71AC" w14:textId="77777777" w:rsidR="006A3DBC" w:rsidRPr="00CF0F96" w:rsidRDefault="006A3DBC" w:rsidP="005F4A92">
            <w:pPr>
              <w:spacing w:after="0" w:line="240" w:lineRule="auto"/>
              <w:jc w:val="center"/>
              <w:rPr>
                <w:rFonts w:cs="Arial"/>
                <w:sz w:val="18"/>
                <w:szCs w:val="18"/>
                <w:lang w:val="es-ES"/>
              </w:rPr>
            </w:pPr>
          </w:p>
        </w:tc>
      </w:tr>
      <w:tr w:rsidR="006A3DBC" w:rsidRPr="00FA4B2D" w14:paraId="41C8F684" w14:textId="77777777" w:rsidTr="005F4A92">
        <w:trPr>
          <w:trHeight w:val="300"/>
          <w:jc w:val="center"/>
        </w:trPr>
        <w:tc>
          <w:tcPr>
            <w:tcW w:w="562" w:type="dxa"/>
            <w:tcMar>
              <w:top w:w="0" w:type="dxa"/>
              <w:left w:w="45" w:type="dxa"/>
              <w:bottom w:w="0" w:type="dxa"/>
              <w:right w:w="45" w:type="dxa"/>
            </w:tcMar>
            <w:vAlign w:val="center"/>
          </w:tcPr>
          <w:p w14:paraId="3240CA12"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tcPr>
          <w:p w14:paraId="7A94DAE5" w14:textId="77777777" w:rsidR="006A3DBC" w:rsidRPr="00CF0F96" w:rsidRDefault="006A3DBC" w:rsidP="005F4A92">
            <w:pPr>
              <w:spacing w:after="0" w:line="240" w:lineRule="auto"/>
              <w:rPr>
                <w:rFonts w:cs="Arial"/>
                <w:sz w:val="18"/>
                <w:szCs w:val="18"/>
              </w:rPr>
            </w:pPr>
            <w:r w:rsidRPr="00CF0F96">
              <w:rPr>
                <w:rFonts w:cs="Arial"/>
                <w:sz w:val="18"/>
                <w:szCs w:val="18"/>
              </w:rPr>
              <w:t>El Chiflador</w:t>
            </w:r>
          </w:p>
        </w:tc>
        <w:tc>
          <w:tcPr>
            <w:tcW w:w="2977" w:type="dxa"/>
            <w:tcMar>
              <w:top w:w="0" w:type="dxa"/>
              <w:left w:w="45" w:type="dxa"/>
              <w:bottom w:w="0" w:type="dxa"/>
              <w:right w:w="45" w:type="dxa"/>
            </w:tcMar>
            <w:vAlign w:val="center"/>
          </w:tcPr>
          <w:p w14:paraId="3B9E7289"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Reservas Biológicas</w:t>
            </w:r>
          </w:p>
        </w:tc>
        <w:tc>
          <w:tcPr>
            <w:tcW w:w="2977" w:type="dxa"/>
            <w:vMerge/>
            <w:vAlign w:val="center"/>
          </w:tcPr>
          <w:p w14:paraId="489CC89C" w14:textId="77777777" w:rsidR="006A3DBC" w:rsidRPr="00CF0F96" w:rsidRDefault="006A3DBC" w:rsidP="005F4A92">
            <w:pPr>
              <w:spacing w:after="0" w:line="240" w:lineRule="auto"/>
              <w:jc w:val="center"/>
              <w:rPr>
                <w:rFonts w:cs="Arial"/>
                <w:sz w:val="18"/>
                <w:szCs w:val="18"/>
                <w:lang w:val="es-ES"/>
              </w:rPr>
            </w:pPr>
          </w:p>
        </w:tc>
      </w:tr>
      <w:tr w:rsidR="006A3DBC" w:rsidRPr="00FA4B2D" w14:paraId="055FA44E" w14:textId="77777777" w:rsidTr="005F4A92">
        <w:trPr>
          <w:trHeight w:val="300"/>
          <w:jc w:val="center"/>
        </w:trPr>
        <w:tc>
          <w:tcPr>
            <w:tcW w:w="562" w:type="dxa"/>
            <w:tcMar>
              <w:top w:w="0" w:type="dxa"/>
              <w:left w:w="45" w:type="dxa"/>
              <w:bottom w:w="0" w:type="dxa"/>
              <w:right w:w="45" w:type="dxa"/>
            </w:tcMar>
            <w:vAlign w:val="center"/>
          </w:tcPr>
          <w:p w14:paraId="55A60ABB"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tcPr>
          <w:p w14:paraId="5DF68D89" w14:textId="77777777" w:rsidR="006A3DBC" w:rsidRPr="00CF0F96" w:rsidRDefault="006A3DBC" w:rsidP="005F4A92">
            <w:pPr>
              <w:spacing w:after="0" w:line="240" w:lineRule="auto"/>
              <w:rPr>
                <w:rFonts w:cs="Arial"/>
                <w:sz w:val="18"/>
                <w:szCs w:val="18"/>
              </w:rPr>
            </w:pPr>
            <w:r w:rsidRPr="00CF0F96">
              <w:rPr>
                <w:rFonts w:cs="Arial"/>
                <w:sz w:val="18"/>
                <w:szCs w:val="18"/>
              </w:rPr>
              <w:t>Montaña de Puca</w:t>
            </w:r>
          </w:p>
        </w:tc>
        <w:tc>
          <w:tcPr>
            <w:tcW w:w="2977" w:type="dxa"/>
            <w:tcMar>
              <w:top w:w="0" w:type="dxa"/>
              <w:left w:w="45" w:type="dxa"/>
              <w:bottom w:w="0" w:type="dxa"/>
              <w:right w:w="45" w:type="dxa"/>
            </w:tcMar>
            <w:vAlign w:val="center"/>
          </w:tcPr>
          <w:p w14:paraId="56A0A64C"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Refugio de Vida Silvestre</w:t>
            </w:r>
          </w:p>
        </w:tc>
        <w:tc>
          <w:tcPr>
            <w:tcW w:w="2977" w:type="dxa"/>
            <w:vAlign w:val="center"/>
          </w:tcPr>
          <w:p w14:paraId="6C18902B"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Lempira</w:t>
            </w:r>
          </w:p>
        </w:tc>
      </w:tr>
      <w:tr w:rsidR="006A3DBC" w:rsidRPr="00FA4B2D" w14:paraId="13013794" w14:textId="77777777" w:rsidTr="005F4A92">
        <w:trPr>
          <w:trHeight w:val="300"/>
          <w:jc w:val="center"/>
        </w:trPr>
        <w:tc>
          <w:tcPr>
            <w:tcW w:w="562" w:type="dxa"/>
            <w:tcMar>
              <w:top w:w="0" w:type="dxa"/>
              <w:left w:w="45" w:type="dxa"/>
              <w:bottom w:w="0" w:type="dxa"/>
              <w:right w:w="45" w:type="dxa"/>
            </w:tcMar>
            <w:vAlign w:val="center"/>
          </w:tcPr>
          <w:p w14:paraId="412F005B"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tcPr>
          <w:p w14:paraId="432D697E" w14:textId="77777777" w:rsidR="006A3DBC" w:rsidRPr="00CF0F96" w:rsidRDefault="006A3DBC" w:rsidP="005F4A92">
            <w:pPr>
              <w:spacing w:after="0" w:line="240" w:lineRule="auto"/>
              <w:rPr>
                <w:rFonts w:cs="Arial"/>
                <w:sz w:val="18"/>
                <w:szCs w:val="18"/>
              </w:rPr>
            </w:pPr>
            <w:r w:rsidRPr="00CF0F96">
              <w:rPr>
                <w:rFonts w:cs="Arial"/>
                <w:sz w:val="18"/>
                <w:szCs w:val="18"/>
              </w:rPr>
              <w:t>Güisayote</w:t>
            </w:r>
          </w:p>
        </w:tc>
        <w:tc>
          <w:tcPr>
            <w:tcW w:w="2977" w:type="dxa"/>
            <w:tcMar>
              <w:top w:w="0" w:type="dxa"/>
              <w:left w:w="45" w:type="dxa"/>
              <w:bottom w:w="0" w:type="dxa"/>
              <w:right w:w="45" w:type="dxa"/>
            </w:tcMar>
            <w:vAlign w:val="center"/>
          </w:tcPr>
          <w:p w14:paraId="4034D6B9"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Reservas Biológicas</w:t>
            </w:r>
          </w:p>
        </w:tc>
        <w:tc>
          <w:tcPr>
            <w:tcW w:w="2977" w:type="dxa"/>
            <w:vMerge w:val="restart"/>
            <w:vAlign w:val="center"/>
          </w:tcPr>
          <w:p w14:paraId="461E49C7"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Ocotepeque</w:t>
            </w:r>
          </w:p>
        </w:tc>
      </w:tr>
      <w:tr w:rsidR="006A3DBC" w:rsidRPr="00FA4B2D" w14:paraId="2F01EEE7" w14:textId="77777777" w:rsidTr="005F4A92">
        <w:trPr>
          <w:trHeight w:val="300"/>
          <w:jc w:val="center"/>
        </w:trPr>
        <w:tc>
          <w:tcPr>
            <w:tcW w:w="562" w:type="dxa"/>
            <w:tcMar>
              <w:top w:w="0" w:type="dxa"/>
              <w:left w:w="45" w:type="dxa"/>
              <w:bottom w:w="0" w:type="dxa"/>
              <w:right w:w="45" w:type="dxa"/>
            </w:tcMar>
            <w:vAlign w:val="center"/>
          </w:tcPr>
          <w:p w14:paraId="30BDEBE7"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tcPr>
          <w:p w14:paraId="010FCD2C" w14:textId="77777777" w:rsidR="006A3DBC" w:rsidRPr="00CF0F96" w:rsidRDefault="006A3DBC" w:rsidP="005F4A92">
            <w:pPr>
              <w:spacing w:after="0" w:line="240" w:lineRule="auto"/>
              <w:rPr>
                <w:rFonts w:cs="Arial"/>
                <w:sz w:val="18"/>
                <w:szCs w:val="18"/>
              </w:rPr>
            </w:pPr>
            <w:r w:rsidRPr="00CF0F96">
              <w:rPr>
                <w:rFonts w:cs="Arial"/>
                <w:sz w:val="18"/>
                <w:szCs w:val="18"/>
              </w:rPr>
              <w:t>El Pital</w:t>
            </w:r>
          </w:p>
        </w:tc>
        <w:tc>
          <w:tcPr>
            <w:tcW w:w="2977" w:type="dxa"/>
            <w:tcMar>
              <w:top w:w="0" w:type="dxa"/>
              <w:left w:w="45" w:type="dxa"/>
              <w:bottom w:w="0" w:type="dxa"/>
              <w:right w:w="45" w:type="dxa"/>
            </w:tcMar>
            <w:vAlign w:val="center"/>
          </w:tcPr>
          <w:p w14:paraId="563EB2B3"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Reservas Biológicas</w:t>
            </w:r>
          </w:p>
        </w:tc>
        <w:tc>
          <w:tcPr>
            <w:tcW w:w="2977" w:type="dxa"/>
            <w:vMerge/>
            <w:vAlign w:val="center"/>
          </w:tcPr>
          <w:p w14:paraId="3E5A7331" w14:textId="77777777" w:rsidR="006A3DBC" w:rsidRPr="00CF0F96" w:rsidRDefault="006A3DBC" w:rsidP="005F4A92">
            <w:pPr>
              <w:spacing w:after="0" w:line="240" w:lineRule="auto"/>
              <w:jc w:val="center"/>
              <w:rPr>
                <w:rFonts w:cs="Arial"/>
                <w:sz w:val="18"/>
                <w:szCs w:val="18"/>
                <w:lang w:val="es-ES"/>
              </w:rPr>
            </w:pPr>
          </w:p>
        </w:tc>
      </w:tr>
      <w:tr w:rsidR="006A3DBC" w:rsidRPr="00FA4B2D" w14:paraId="229804E3" w14:textId="77777777" w:rsidTr="005F4A92">
        <w:trPr>
          <w:trHeight w:val="300"/>
          <w:jc w:val="center"/>
        </w:trPr>
        <w:tc>
          <w:tcPr>
            <w:tcW w:w="562" w:type="dxa"/>
            <w:tcMar>
              <w:top w:w="0" w:type="dxa"/>
              <w:left w:w="45" w:type="dxa"/>
              <w:bottom w:w="0" w:type="dxa"/>
              <w:right w:w="45" w:type="dxa"/>
            </w:tcMar>
            <w:vAlign w:val="center"/>
          </w:tcPr>
          <w:p w14:paraId="7836CE0F"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tcPr>
          <w:p w14:paraId="698C13DA" w14:textId="77777777" w:rsidR="006A3DBC" w:rsidRPr="00CF0F96" w:rsidRDefault="00000000" w:rsidP="005F4A92">
            <w:pPr>
              <w:spacing w:after="0" w:line="240" w:lineRule="auto"/>
              <w:rPr>
                <w:rFonts w:cs="Arial"/>
                <w:sz w:val="18"/>
                <w:szCs w:val="18"/>
              </w:rPr>
            </w:pPr>
            <w:hyperlink r:id="rId37" w:history="1">
              <w:r w:rsidR="006A3DBC" w:rsidRPr="00CF0F96">
                <w:rPr>
                  <w:rFonts w:cs="Arial"/>
                  <w:sz w:val="18"/>
                  <w:szCs w:val="18"/>
                  <w:lang w:val="es-ES"/>
                </w:rPr>
                <w:t>Montecristo Trifinio</w:t>
              </w:r>
            </w:hyperlink>
          </w:p>
        </w:tc>
        <w:tc>
          <w:tcPr>
            <w:tcW w:w="2977" w:type="dxa"/>
            <w:tcMar>
              <w:top w:w="0" w:type="dxa"/>
              <w:left w:w="45" w:type="dxa"/>
              <w:bottom w:w="0" w:type="dxa"/>
              <w:right w:w="45" w:type="dxa"/>
            </w:tcMar>
            <w:vAlign w:val="center"/>
          </w:tcPr>
          <w:p w14:paraId="3DE27C85"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Parque Nacional</w:t>
            </w:r>
          </w:p>
        </w:tc>
        <w:tc>
          <w:tcPr>
            <w:tcW w:w="2977" w:type="dxa"/>
            <w:vAlign w:val="center"/>
          </w:tcPr>
          <w:p w14:paraId="34CFCA7E"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Ocotepeque, Copán</w:t>
            </w:r>
          </w:p>
        </w:tc>
      </w:tr>
      <w:tr w:rsidR="006A3DBC" w:rsidRPr="00FA4B2D" w14:paraId="43D26C3A" w14:textId="77777777" w:rsidTr="005F4A92">
        <w:trPr>
          <w:trHeight w:val="300"/>
          <w:jc w:val="center"/>
        </w:trPr>
        <w:tc>
          <w:tcPr>
            <w:tcW w:w="562" w:type="dxa"/>
            <w:tcMar>
              <w:top w:w="0" w:type="dxa"/>
              <w:left w:w="45" w:type="dxa"/>
              <w:bottom w:w="0" w:type="dxa"/>
              <w:right w:w="45" w:type="dxa"/>
            </w:tcMar>
            <w:vAlign w:val="center"/>
          </w:tcPr>
          <w:p w14:paraId="3D004C63"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tcPr>
          <w:p w14:paraId="4F7F3639" w14:textId="77777777" w:rsidR="006A3DBC" w:rsidRPr="00CF0F96" w:rsidRDefault="00000000" w:rsidP="005F4A92">
            <w:pPr>
              <w:spacing w:after="0" w:line="240" w:lineRule="auto"/>
              <w:rPr>
                <w:rFonts w:cs="Arial"/>
                <w:sz w:val="18"/>
                <w:szCs w:val="18"/>
                <w:lang w:val="es-ES"/>
              </w:rPr>
            </w:pPr>
            <w:hyperlink r:id="rId38" w:history="1">
              <w:r w:rsidR="006A3DBC" w:rsidRPr="00CF0F96">
                <w:rPr>
                  <w:rFonts w:cs="Arial"/>
                  <w:sz w:val="18"/>
                  <w:szCs w:val="18"/>
                  <w:lang w:val="es-ES"/>
                </w:rPr>
                <w:t>Sierra de Agalta</w:t>
              </w:r>
            </w:hyperlink>
          </w:p>
        </w:tc>
        <w:tc>
          <w:tcPr>
            <w:tcW w:w="2977" w:type="dxa"/>
            <w:tcMar>
              <w:top w:w="0" w:type="dxa"/>
              <w:left w:w="45" w:type="dxa"/>
              <w:bottom w:w="0" w:type="dxa"/>
              <w:right w:w="45" w:type="dxa"/>
            </w:tcMar>
            <w:vAlign w:val="center"/>
          </w:tcPr>
          <w:p w14:paraId="5E5014C1"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Parque Nacional</w:t>
            </w:r>
          </w:p>
        </w:tc>
        <w:tc>
          <w:tcPr>
            <w:tcW w:w="2977" w:type="dxa"/>
            <w:vMerge w:val="restart"/>
            <w:vAlign w:val="center"/>
          </w:tcPr>
          <w:p w14:paraId="4139071B"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Olancho</w:t>
            </w:r>
          </w:p>
        </w:tc>
      </w:tr>
      <w:tr w:rsidR="006A3DBC" w:rsidRPr="00FA4B2D" w14:paraId="15B78F23" w14:textId="77777777" w:rsidTr="005F4A92">
        <w:trPr>
          <w:trHeight w:val="300"/>
          <w:jc w:val="center"/>
        </w:trPr>
        <w:tc>
          <w:tcPr>
            <w:tcW w:w="562" w:type="dxa"/>
            <w:tcMar>
              <w:top w:w="0" w:type="dxa"/>
              <w:left w:w="45" w:type="dxa"/>
              <w:bottom w:w="0" w:type="dxa"/>
              <w:right w:w="45" w:type="dxa"/>
            </w:tcMar>
            <w:vAlign w:val="center"/>
          </w:tcPr>
          <w:p w14:paraId="7A8EC99A"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tcPr>
          <w:p w14:paraId="52D925A9" w14:textId="77777777" w:rsidR="006A3DBC" w:rsidRPr="00CF0F96" w:rsidDel="00064127" w:rsidRDefault="006A3DBC" w:rsidP="005F4A92">
            <w:pPr>
              <w:spacing w:after="0" w:line="240" w:lineRule="auto"/>
              <w:rPr>
                <w:rFonts w:cs="Arial"/>
                <w:sz w:val="18"/>
                <w:szCs w:val="18"/>
                <w:lang w:val="es-ES"/>
              </w:rPr>
            </w:pPr>
            <w:r w:rsidRPr="00CF0F96">
              <w:rPr>
                <w:rFonts w:cs="Arial"/>
                <w:sz w:val="18"/>
                <w:szCs w:val="18"/>
              </w:rPr>
              <w:t>Reserva Forestal de Olancho</w:t>
            </w:r>
          </w:p>
        </w:tc>
        <w:tc>
          <w:tcPr>
            <w:tcW w:w="2977" w:type="dxa"/>
            <w:tcMar>
              <w:top w:w="0" w:type="dxa"/>
              <w:left w:w="45" w:type="dxa"/>
              <w:bottom w:w="0" w:type="dxa"/>
              <w:right w:w="45" w:type="dxa"/>
            </w:tcMar>
            <w:vAlign w:val="center"/>
          </w:tcPr>
          <w:p w14:paraId="6F86A307" w14:textId="77777777" w:rsidR="006A3DBC" w:rsidRPr="00CF0F96" w:rsidDel="00064127" w:rsidRDefault="006A3DBC" w:rsidP="005F4A92">
            <w:pPr>
              <w:spacing w:after="0" w:line="240" w:lineRule="auto"/>
              <w:jc w:val="center"/>
              <w:rPr>
                <w:rFonts w:cs="Arial"/>
                <w:sz w:val="18"/>
                <w:szCs w:val="18"/>
                <w:lang w:val="es-ES"/>
              </w:rPr>
            </w:pPr>
            <w:r w:rsidRPr="00CF0F96">
              <w:rPr>
                <w:rFonts w:cs="Arial"/>
                <w:sz w:val="18"/>
                <w:szCs w:val="18"/>
                <w:lang w:val="es-ES"/>
              </w:rPr>
              <w:t>Reserva Forestal</w:t>
            </w:r>
          </w:p>
        </w:tc>
        <w:tc>
          <w:tcPr>
            <w:tcW w:w="2977" w:type="dxa"/>
            <w:vMerge/>
            <w:vAlign w:val="center"/>
          </w:tcPr>
          <w:p w14:paraId="1B292D32" w14:textId="77777777" w:rsidR="006A3DBC" w:rsidRPr="00CF0F96" w:rsidDel="00064127" w:rsidRDefault="006A3DBC" w:rsidP="005F4A92">
            <w:pPr>
              <w:spacing w:after="0" w:line="240" w:lineRule="auto"/>
              <w:jc w:val="center"/>
              <w:rPr>
                <w:rFonts w:cs="Arial"/>
                <w:sz w:val="18"/>
                <w:szCs w:val="18"/>
                <w:lang w:val="es-ES"/>
              </w:rPr>
            </w:pPr>
          </w:p>
        </w:tc>
      </w:tr>
      <w:tr w:rsidR="006A3DBC" w:rsidRPr="00FA4B2D" w14:paraId="19876D39" w14:textId="77777777" w:rsidTr="005F4A92">
        <w:trPr>
          <w:trHeight w:val="300"/>
          <w:jc w:val="center"/>
        </w:trPr>
        <w:tc>
          <w:tcPr>
            <w:tcW w:w="562" w:type="dxa"/>
            <w:tcMar>
              <w:top w:w="0" w:type="dxa"/>
              <w:left w:w="45" w:type="dxa"/>
              <w:bottom w:w="0" w:type="dxa"/>
              <w:right w:w="45" w:type="dxa"/>
            </w:tcMar>
            <w:vAlign w:val="center"/>
          </w:tcPr>
          <w:p w14:paraId="3DFAFF7E"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tcPr>
          <w:p w14:paraId="61284D14" w14:textId="77777777" w:rsidR="006A3DBC" w:rsidRPr="00CF0F96" w:rsidDel="00064127" w:rsidRDefault="006A3DBC" w:rsidP="005F4A92">
            <w:pPr>
              <w:spacing w:after="0" w:line="240" w:lineRule="auto"/>
              <w:rPr>
                <w:rFonts w:cs="Arial"/>
                <w:sz w:val="18"/>
                <w:szCs w:val="18"/>
                <w:lang w:val="es-ES"/>
              </w:rPr>
            </w:pPr>
            <w:r w:rsidRPr="00CF0F96">
              <w:rPr>
                <w:rFonts w:cs="Arial"/>
                <w:sz w:val="18"/>
                <w:szCs w:val="18"/>
              </w:rPr>
              <w:t>Reserva Forestal de Agalteca</w:t>
            </w:r>
          </w:p>
        </w:tc>
        <w:tc>
          <w:tcPr>
            <w:tcW w:w="2977" w:type="dxa"/>
            <w:tcMar>
              <w:top w:w="0" w:type="dxa"/>
              <w:left w:w="45" w:type="dxa"/>
              <w:bottom w:w="0" w:type="dxa"/>
              <w:right w:w="45" w:type="dxa"/>
            </w:tcMar>
            <w:vAlign w:val="center"/>
          </w:tcPr>
          <w:p w14:paraId="6221DCF8" w14:textId="77777777" w:rsidR="006A3DBC" w:rsidRPr="00CF0F96" w:rsidDel="00064127" w:rsidRDefault="006A3DBC" w:rsidP="005F4A92">
            <w:pPr>
              <w:spacing w:after="0" w:line="240" w:lineRule="auto"/>
              <w:jc w:val="center"/>
              <w:rPr>
                <w:rFonts w:cs="Arial"/>
                <w:sz w:val="18"/>
                <w:szCs w:val="18"/>
                <w:lang w:val="es-ES"/>
              </w:rPr>
            </w:pPr>
            <w:r w:rsidRPr="00CF0F96">
              <w:rPr>
                <w:rFonts w:cs="Arial"/>
                <w:sz w:val="18"/>
                <w:szCs w:val="18"/>
                <w:lang w:val="es-ES"/>
              </w:rPr>
              <w:t>Reserva Forestal</w:t>
            </w:r>
          </w:p>
        </w:tc>
        <w:tc>
          <w:tcPr>
            <w:tcW w:w="2977" w:type="dxa"/>
            <w:vMerge/>
            <w:vAlign w:val="center"/>
          </w:tcPr>
          <w:p w14:paraId="4826F4BA" w14:textId="77777777" w:rsidR="006A3DBC" w:rsidRPr="00CF0F96" w:rsidDel="00064127" w:rsidRDefault="006A3DBC" w:rsidP="005F4A92">
            <w:pPr>
              <w:spacing w:after="0" w:line="240" w:lineRule="auto"/>
              <w:jc w:val="center"/>
              <w:rPr>
                <w:rFonts w:cs="Arial"/>
                <w:sz w:val="18"/>
                <w:szCs w:val="18"/>
                <w:lang w:val="es-ES"/>
              </w:rPr>
            </w:pPr>
          </w:p>
        </w:tc>
      </w:tr>
      <w:tr w:rsidR="006A3DBC" w:rsidRPr="00FA4B2D" w14:paraId="3AF09058" w14:textId="77777777" w:rsidTr="005F4A92">
        <w:trPr>
          <w:trHeight w:val="300"/>
          <w:jc w:val="center"/>
        </w:trPr>
        <w:tc>
          <w:tcPr>
            <w:tcW w:w="562" w:type="dxa"/>
            <w:tcMar>
              <w:top w:w="0" w:type="dxa"/>
              <w:left w:w="45" w:type="dxa"/>
              <w:bottom w:w="0" w:type="dxa"/>
              <w:right w:w="45" w:type="dxa"/>
            </w:tcMar>
            <w:vAlign w:val="center"/>
          </w:tcPr>
          <w:p w14:paraId="7B75DB86"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tcPr>
          <w:p w14:paraId="7373B03E" w14:textId="77777777" w:rsidR="006A3DBC" w:rsidRPr="00CF0F96" w:rsidRDefault="006A3DBC" w:rsidP="005F4A92">
            <w:pPr>
              <w:spacing w:after="0" w:line="240" w:lineRule="auto"/>
              <w:rPr>
                <w:rFonts w:cs="Arial"/>
                <w:sz w:val="18"/>
                <w:szCs w:val="18"/>
              </w:rPr>
            </w:pPr>
            <w:r w:rsidRPr="00CF0F96">
              <w:rPr>
                <w:rFonts w:cs="Arial"/>
                <w:sz w:val="18"/>
                <w:szCs w:val="18"/>
              </w:rPr>
              <w:t>El Armado</w:t>
            </w:r>
          </w:p>
        </w:tc>
        <w:tc>
          <w:tcPr>
            <w:tcW w:w="2977" w:type="dxa"/>
            <w:tcMar>
              <w:top w:w="0" w:type="dxa"/>
              <w:left w:w="45" w:type="dxa"/>
              <w:bottom w:w="0" w:type="dxa"/>
              <w:right w:w="45" w:type="dxa"/>
            </w:tcMar>
            <w:vAlign w:val="center"/>
          </w:tcPr>
          <w:p w14:paraId="383D316F"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Refugio de Vida Silvestre</w:t>
            </w:r>
          </w:p>
        </w:tc>
        <w:tc>
          <w:tcPr>
            <w:tcW w:w="2977" w:type="dxa"/>
            <w:vMerge/>
            <w:vAlign w:val="center"/>
          </w:tcPr>
          <w:p w14:paraId="1E9E535B" w14:textId="77777777" w:rsidR="006A3DBC" w:rsidRPr="00CF0F96" w:rsidRDefault="006A3DBC" w:rsidP="005F4A92">
            <w:pPr>
              <w:spacing w:after="0" w:line="240" w:lineRule="auto"/>
              <w:jc w:val="center"/>
              <w:rPr>
                <w:rFonts w:cs="Arial"/>
                <w:sz w:val="18"/>
                <w:szCs w:val="18"/>
                <w:lang w:val="es-ES"/>
              </w:rPr>
            </w:pPr>
          </w:p>
        </w:tc>
      </w:tr>
      <w:tr w:rsidR="006A3DBC" w:rsidRPr="00FA4B2D" w14:paraId="22926281" w14:textId="77777777" w:rsidTr="005F4A92">
        <w:trPr>
          <w:trHeight w:val="300"/>
          <w:jc w:val="center"/>
        </w:trPr>
        <w:tc>
          <w:tcPr>
            <w:tcW w:w="562" w:type="dxa"/>
            <w:tcMar>
              <w:top w:w="0" w:type="dxa"/>
              <w:left w:w="45" w:type="dxa"/>
              <w:bottom w:w="0" w:type="dxa"/>
              <w:right w:w="45" w:type="dxa"/>
            </w:tcMar>
            <w:vAlign w:val="center"/>
          </w:tcPr>
          <w:p w14:paraId="39DE41FB"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tcPr>
          <w:p w14:paraId="1E961500" w14:textId="77777777" w:rsidR="006A3DBC" w:rsidRPr="00CF0F96" w:rsidRDefault="006A3DBC" w:rsidP="005F4A92">
            <w:pPr>
              <w:spacing w:after="0" w:line="240" w:lineRule="auto"/>
              <w:rPr>
                <w:rFonts w:cs="Arial"/>
                <w:sz w:val="18"/>
                <w:szCs w:val="18"/>
              </w:rPr>
            </w:pPr>
            <w:r w:rsidRPr="00CF0F96">
              <w:rPr>
                <w:rFonts w:cs="Arial"/>
                <w:sz w:val="18"/>
                <w:szCs w:val="18"/>
              </w:rPr>
              <w:t>La Muralla</w:t>
            </w:r>
          </w:p>
        </w:tc>
        <w:tc>
          <w:tcPr>
            <w:tcW w:w="2977" w:type="dxa"/>
            <w:tcMar>
              <w:top w:w="0" w:type="dxa"/>
              <w:left w:w="45" w:type="dxa"/>
              <w:bottom w:w="0" w:type="dxa"/>
              <w:right w:w="45" w:type="dxa"/>
            </w:tcMar>
            <w:vAlign w:val="center"/>
          </w:tcPr>
          <w:p w14:paraId="7EB05A2B"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Refugio de Vida Silvestre</w:t>
            </w:r>
          </w:p>
        </w:tc>
        <w:tc>
          <w:tcPr>
            <w:tcW w:w="2977" w:type="dxa"/>
            <w:vMerge/>
            <w:vAlign w:val="center"/>
          </w:tcPr>
          <w:p w14:paraId="4E80142A" w14:textId="77777777" w:rsidR="006A3DBC" w:rsidRPr="00CF0F96" w:rsidRDefault="006A3DBC" w:rsidP="005F4A92">
            <w:pPr>
              <w:spacing w:after="0" w:line="240" w:lineRule="auto"/>
              <w:jc w:val="center"/>
              <w:rPr>
                <w:rFonts w:cs="Arial"/>
                <w:sz w:val="18"/>
                <w:szCs w:val="18"/>
                <w:lang w:val="es-ES"/>
              </w:rPr>
            </w:pPr>
          </w:p>
        </w:tc>
      </w:tr>
      <w:tr w:rsidR="006A3DBC" w:rsidRPr="00FA4B2D" w14:paraId="48EC9D62" w14:textId="77777777" w:rsidTr="005F4A92">
        <w:trPr>
          <w:trHeight w:val="300"/>
          <w:jc w:val="center"/>
        </w:trPr>
        <w:tc>
          <w:tcPr>
            <w:tcW w:w="562" w:type="dxa"/>
            <w:tcMar>
              <w:top w:w="0" w:type="dxa"/>
              <w:left w:w="45" w:type="dxa"/>
              <w:bottom w:w="0" w:type="dxa"/>
              <w:right w:w="45" w:type="dxa"/>
            </w:tcMar>
            <w:vAlign w:val="center"/>
          </w:tcPr>
          <w:p w14:paraId="64D9C122"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tcPr>
          <w:p w14:paraId="10D32021" w14:textId="77777777" w:rsidR="006A3DBC" w:rsidRPr="00CF0F96" w:rsidDel="00064127" w:rsidRDefault="00000000" w:rsidP="005F4A92">
            <w:pPr>
              <w:spacing w:after="0" w:line="240" w:lineRule="auto"/>
              <w:rPr>
                <w:rFonts w:cs="Arial"/>
                <w:sz w:val="18"/>
                <w:szCs w:val="18"/>
                <w:lang w:val="es-ES"/>
              </w:rPr>
            </w:pPr>
            <w:hyperlink r:id="rId39" w:history="1">
              <w:r w:rsidR="006A3DBC" w:rsidRPr="00CF0F96">
                <w:rPr>
                  <w:rFonts w:cs="Arial"/>
                  <w:sz w:val="18"/>
                  <w:szCs w:val="18"/>
                  <w:lang w:val="es-ES"/>
                </w:rPr>
                <w:t>Montaña de Santa Bárbara</w:t>
              </w:r>
            </w:hyperlink>
          </w:p>
        </w:tc>
        <w:tc>
          <w:tcPr>
            <w:tcW w:w="2977" w:type="dxa"/>
            <w:tcMar>
              <w:top w:w="0" w:type="dxa"/>
              <w:left w:w="45" w:type="dxa"/>
              <w:bottom w:w="0" w:type="dxa"/>
              <w:right w:w="45" w:type="dxa"/>
            </w:tcMar>
            <w:vAlign w:val="center"/>
          </w:tcPr>
          <w:p w14:paraId="0E843F40" w14:textId="77777777" w:rsidR="006A3DBC" w:rsidRPr="00CF0F96" w:rsidDel="00064127" w:rsidRDefault="006A3DBC" w:rsidP="005F4A92">
            <w:pPr>
              <w:spacing w:after="0" w:line="240" w:lineRule="auto"/>
              <w:jc w:val="center"/>
              <w:rPr>
                <w:rFonts w:cs="Arial"/>
                <w:sz w:val="18"/>
                <w:szCs w:val="18"/>
                <w:lang w:val="es-ES"/>
              </w:rPr>
            </w:pPr>
            <w:r w:rsidRPr="00CF0F96">
              <w:rPr>
                <w:rFonts w:cs="Arial"/>
                <w:sz w:val="18"/>
                <w:szCs w:val="18"/>
                <w:lang w:val="es-ES"/>
              </w:rPr>
              <w:t>Parque Nacional</w:t>
            </w:r>
          </w:p>
        </w:tc>
        <w:tc>
          <w:tcPr>
            <w:tcW w:w="2977" w:type="dxa"/>
            <w:vAlign w:val="center"/>
          </w:tcPr>
          <w:p w14:paraId="027B22A4" w14:textId="77777777" w:rsidR="006A3DBC" w:rsidRPr="00CF0F96" w:rsidDel="00064127" w:rsidRDefault="006A3DBC" w:rsidP="005F4A92">
            <w:pPr>
              <w:spacing w:after="0" w:line="240" w:lineRule="auto"/>
              <w:jc w:val="center"/>
              <w:rPr>
                <w:rFonts w:cs="Arial"/>
                <w:sz w:val="18"/>
                <w:szCs w:val="18"/>
                <w:lang w:val="es-ES"/>
              </w:rPr>
            </w:pPr>
            <w:r w:rsidRPr="00CF0F96">
              <w:rPr>
                <w:rFonts w:cs="Arial"/>
                <w:sz w:val="18"/>
                <w:szCs w:val="18"/>
                <w:lang w:val="es-ES"/>
              </w:rPr>
              <w:t xml:space="preserve">Santa Bárbara </w:t>
            </w:r>
          </w:p>
        </w:tc>
      </w:tr>
      <w:tr w:rsidR="006A3DBC" w:rsidRPr="00FA4B2D" w14:paraId="45F9A153" w14:textId="77777777" w:rsidTr="005F4A92">
        <w:trPr>
          <w:trHeight w:val="300"/>
          <w:jc w:val="center"/>
        </w:trPr>
        <w:tc>
          <w:tcPr>
            <w:tcW w:w="562" w:type="dxa"/>
            <w:tcMar>
              <w:top w:w="0" w:type="dxa"/>
              <w:left w:w="45" w:type="dxa"/>
              <w:bottom w:w="0" w:type="dxa"/>
              <w:right w:w="45" w:type="dxa"/>
            </w:tcMar>
            <w:vAlign w:val="center"/>
          </w:tcPr>
          <w:p w14:paraId="385E8E19"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tcPr>
          <w:p w14:paraId="1E7E293B" w14:textId="77777777" w:rsidR="006A3DBC" w:rsidRPr="00CF0F96" w:rsidRDefault="006A3DBC" w:rsidP="005F4A92">
            <w:pPr>
              <w:spacing w:after="0" w:line="240" w:lineRule="auto"/>
              <w:rPr>
                <w:rFonts w:cs="Arial"/>
                <w:sz w:val="18"/>
                <w:szCs w:val="18"/>
                <w:lang w:val="es-ES"/>
              </w:rPr>
            </w:pPr>
            <w:r w:rsidRPr="00CF0F96">
              <w:rPr>
                <w:rFonts w:cs="Arial"/>
                <w:sz w:val="18"/>
                <w:szCs w:val="18"/>
                <w:lang w:val="es-ES"/>
              </w:rPr>
              <w:t>Pico Pijol</w:t>
            </w:r>
          </w:p>
        </w:tc>
        <w:tc>
          <w:tcPr>
            <w:tcW w:w="2977" w:type="dxa"/>
            <w:tcMar>
              <w:top w:w="0" w:type="dxa"/>
              <w:left w:w="45" w:type="dxa"/>
              <w:bottom w:w="0" w:type="dxa"/>
              <w:right w:w="45" w:type="dxa"/>
            </w:tcMar>
            <w:vAlign w:val="center"/>
          </w:tcPr>
          <w:p w14:paraId="69006F3C"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Parque Nacional</w:t>
            </w:r>
          </w:p>
        </w:tc>
        <w:tc>
          <w:tcPr>
            <w:tcW w:w="2977" w:type="dxa"/>
            <w:vMerge w:val="restart"/>
            <w:vAlign w:val="center"/>
          </w:tcPr>
          <w:p w14:paraId="50B8307B"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Yoro</w:t>
            </w:r>
          </w:p>
          <w:p w14:paraId="4528B6CD" w14:textId="77777777" w:rsidR="006A3DBC" w:rsidRPr="00CF0F96" w:rsidRDefault="006A3DBC" w:rsidP="005F4A92">
            <w:pPr>
              <w:spacing w:after="0" w:line="240" w:lineRule="auto"/>
              <w:jc w:val="center"/>
              <w:rPr>
                <w:rFonts w:cs="Arial"/>
                <w:sz w:val="18"/>
                <w:szCs w:val="18"/>
                <w:lang w:val="es-ES"/>
              </w:rPr>
            </w:pPr>
          </w:p>
        </w:tc>
      </w:tr>
      <w:tr w:rsidR="006A3DBC" w:rsidRPr="00FA4B2D" w14:paraId="197AA9C8" w14:textId="77777777" w:rsidTr="005F4A92">
        <w:trPr>
          <w:trHeight w:val="300"/>
          <w:jc w:val="center"/>
        </w:trPr>
        <w:tc>
          <w:tcPr>
            <w:tcW w:w="562" w:type="dxa"/>
            <w:tcMar>
              <w:top w:w="0" w:type="dxa"/>
              <w:left w:w="45" w:type="dxa"/>
              <w:bottom w:w="0" w:type="dxa"/>
              <w:right w:w="45" w:type="dxa"/>
            </w:tcMar>
            <w:vAlign w:val="center"/>
          </w:tcPr>
          <w:p w14:paraId="14AED89A"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hideMark/>
          </w:tcPr>
          <w:p w14:paraId="12B8518F" w14:textId="77777777" w:rsidR="006A3DBC" w:rsidRPr="00CF0F96" w:rsidRDefault="00000000" w:rsidP="005F4A92">
            <w:pPr>
              <w:spacing w:after="0" w:line="240" w:lineRule="auto"/>
              <w:rPr>
                <w:rFonts w:cs="Arial"/>
                <w:sz w:val="18"/>
                <w:szCs w:val="18"/>
                <w:lang w:val="es-ES"/>
              </w:rPr>
            </w:pPr>
            <w:hyperlink r:id="rId40" w:history="1">
              <w:r w:rsidR="006A3DBC" w:rsidRPr="00CF0F96">
                <w:rPr>
                  <w:rFonts w:cs="Arial"/>
                  <w:sz w:val="18"/>
                  <w:szCs w:val="18"/>
                  <w:lang w:val="es-ES"/>
                </w:rPr>
                <w:t>Montaña de Yoro</w:t>
              </w:r>
            </w:hyperlink>
          </w:p>
        </w:tc>
        <w:tc>
          <w:tcPr>
            <w:tcW w:w="2977" w:type="dxa"/>
            <w:tcMar>
              <w:top w:w="0" w:type="dxa"/>
              <w:left w:w="45" w:type="dxa"/>
              <w:bottom w:w="0" w:type="dxa"/>
              <w:right w:w="45" w:type="dxa"/>
            </w:tcMar>
            <w:vAlign w:val="center"/>
            <w:hideMark/>
          </w:tcPr>
          <w:p w14:paraId="441D849C"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Parque Nacional</w:t>
            </w:r>
          </w:p>
        </w:tc>
        <w:tc>
          <w:tcPr>
            <w:tcW w:w="2977" w:type="dxa"/>
            <w:vMerge/>
            <w:vAlign w:val="center"/>
          </w:tcPr>
          <w:p w14:paraId="3B752E36" w14:textId="77777777" w:rsidR="006A3DBC" w:rsidRPr="00CF0F96" w:rsidRDefault="006A3DBC" w:rsidP="005F4A92">
            <w:pPr>
              <w:spacing w:after="0" w:line="240" w:lineRule="auto"/>
              <w:jc w:val="center"/>
              <w:rPr>
                <w:rFonts w:cs="Arial"/>
                <w:sz w:val="18"/>
                <w:szCs w:val="18"/>
                <w:lang w:val="es-ES"/>
              </w:rPr>
            </w:pPr>
          </w:p>
        </w:tc>
      </w:tr>
      <w:tr w:rsidR="006A3DBC" w:rsidRPr="00FA4B2D" w14:paraId="51CDE24A" w14:textId="77777777" w:rsidTr="005F4A92">
        <w:trPr>
          <w:trHeight w:val="300"/>
          <w:jc w:val="center"/>
        </w:trPr>
        <w:tc>
          <w:tcPr>
            <w:tcW w:w="562" w:type="dxa"/>
            <w:tcMar>
              <w:top w:w="0" w:type="dxa"/>
              <w:left w:w="45" w:type="dxa"/>
              <w:bottom w:w="0" w:type="dxa"/>
              <w:right w:w="45" w:type="dxa"/>
            </w:tcMar>
            <w:vAlign w:val="center"/>
          </w:tcPr>
          <w:p w14:paraId="11D0212B"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tcPr>
          <w:p w14:paraId="78953B58" w14:textId="77777777" w:rsidR="006A3DBC" w:rsidRPr="00CF0F96" w:rsidRDefault="006A3DBC" w:rsidP="005F4A92">
            <w:pPr>
              <w:spacing w:after="0" w:line="240" w:lineRule="auto"/>
              <w:jc w:val="both"/>
              <w:rPr>
                <w:rFonts w:cs="Arial"/>
                <w:sz w:val="18"/>
                <w:szCs w:val="18"/>
              </w:rPr>
            </w:pPr>
            <w:r w:rsidRPr="00CF0F96">
              <w:rPr>
                <w:rFonts w:cs="Arial"/>
                <w:sz w:val="18"/>
                <w:szCs w:val="18"/>
              </w:rPr>
              <w:t>Montaña Verde</w:t>
            </w:r>
          </w:p>
        </w:tc>
        <w:tc>
          <w:tcPr>
            <w:tcW w:w="2977" w:type="dxa"/>
            <w:tcMar>
              <w:top w:w="0" w:type="dxa"/>
              <w:left w:w="45" w:type="dxa"/>
              <w:bottom w:w="0" w:type="dxa"/>
              <w:right w:w="45" w:type="dxa"/>
            </w:tcMar>
            <w:vAlign w:val="center"/>
          </w:tcPr>
          <w:p w14:paraId="10129F2D"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Refugio de Vida Silvestre</w:t>
            </w:r>
          </w:p>
        </w:tc>
        <w:tc>
          <w:tcPr>
            <w:tcW w:w="2977" w:type="dxa"/>
            <w:vAlign w:val="center"/>
          </w:tcPr>
          <w:p w14:paraId="35712CBB"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rPr>
              <w:t>Entre los Departamentos de Santa Bárbara, Intibucá y Lempira</w:t>
            </w:r>
          </w:p>
        </w:tc>
      </w:tr>
      <w:tr w:rsidR="006A3DBC" w:rsidRPr="00FA4B2D" w14:paraId="07AA902C" w14:textId="77777777" w:rsidTr="005F4A92">
        <w:trPr>
          <w:trHeight w:val="300"/>
          <w:jc w:val="center"/>
        </w:trPr>
        <w:tc>
          <w:tcPr>
            <w:tcW w:w="562" w:type="dxa"/>
            <w:tcMar>
              <w:top w:w="0" w:type="dxa"/>
              <w:left w:w="45" w:type="dxa"/>
              <w:bottom w:w="0" w:type="dxa"/>
              <w:right w:w="45" w:type="dxa"/>
            </w:tcMar>
            <w:vAlign w:val="center"/>
          </w:tcPr>
          <w:p w14:paraId="626F2159"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tcPr>
          <w:p w14:paraId="5C5F45D2" w14:textId="77777777" w:rsidR="006A3DBC" w:rsidRPr="00CF0F96" w:rsidRDefault="006A3DBC" w:rsidP="005F4A92">
            <w:pPr>
              <w:spacing w:after="0" w:line="240" w:lineRule="auto"/>
              <w:jc w:val="both"/>
              <w:rPr>
                <w:rFonts w:cs="Arial"/>
                <w:sz w:val="18"/>
                <w:szCs w:val="18"/>
              </w:rPr>
            </w:pPr>
            <w:r w:rsidRPr="00CF0F96">
              <w:rPr>
                <w:rFonts w:cs="Arial"/>
                <w:sz w:val="18"/>
                <w:szCs w:val="18"/>
              </w:rPr>
              <w:t>Lago de Yojoa</w:t>
            </w:r>
          </w:p>
        </w:tc>
        <w:tc>
          <w:tcPr>
            <w:tcW w:w="2977" w:type="dxa"/>
            <w:tcMar>
              <w:top w:w="0" w:type="dxa"/>
              <w:left w:w="45" w:type="dxa"/>
              <w:bottom w:w="0" w:type="dxa"/>
              <w:right w:w="45" w:type="dxa"/>
            </w:tcMar>
            <w:vAlign w:val="center"/>
          </w:tcPr>
          <w:p w14:paraId="4E06781C"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Área de Uso Múltiple</w:t>
            </w:r>
          </w:p>
        </w:tc>
        <w:tc>
          <w:tcPr>
            <w:tcW w:w="2977" w:type="dxa"/>
            <w:vAlign w:val="center"/>
          </w:tcPr>
          <w:p w14:paraId="693A9672"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Santa Bárbara, Cortés y Comayagua</w:t>
            </w:r>
          </w:p>
        </w:tc>
      </w:tr>
      <w:tr w:rsidR="006A3DBC" w:rsidRPr="00FA4B2D" w14:paraId="3EAAF8E8" w14:textId="77777777" w:rsidTr="005F4A92">
        <w:trPr>
          <w:trHeight w:val="300"/>
          <w:jc w:val="center"/>
        </w:trPr>
        <w:tc>
          <w:tcPr>
            <w:tcW w:w="562" w:type="dxa"/>
            <w:tcMar>
              <w:top w:w="0" w:type="dxa"/>
              <w:left w:w="45" w:type="dxa"/>
              <w:bottom w:w="0" w:type="dxa"/>
              <w:right w:w="45" w:type="dxa"/>
            </w:tcMar>
            <w:vAlign w:val="center"/>
          </w:tcPr>
          <w:p w14:paraId="3569AC05"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tcPr>
          <w:p w14:paraId="31F912F6" w14:textId="77777777" w:rsidR="006A3DBC" w:rsidRPr="00CF0F96" w:rsidRDefault="006A3DBC" w:rsidP="005F4A92">
            <w:pPr>
              <w:spacing w:after="0" w:line="240" w:lineRule="auto"/>
              <w:jc w:val="both"/>
              <w:rPr>
                <w:rFonts w:cs="Arial"/>
                <w:sz w:val="18"/>
                <w:szCs w:val="18"/>
              </w:rPr>
            </w:pPr>
            <w:r w:rsidRPr="00CF0F96">
              <w:rPr>
                <w:rFonts w:cs="Arial"/>
                <w:sz w:val="18"/>
                <w:szCs w:val="18"/>
              </w:rPr>
              <w:t>Bahía de San Lorenzo</w:t>
            </w:r>
          </w:p>
        </w:tc>
        <w:tc>
          <w:tcPr>
            <w:tcW w:w="2977" w:type="dxa"/>
            <w:tcMar>
              <w:top w:w="0" w:type="dxa"/>
              <w:left w:w="45" w:type="dxa"/>
              <w:bottom w:w="0" w:type="dxa"/>
              <w:right w:w="45" w:type="dxa"/>
            </w:tcMar>
            <w:vAlign w:val="center"/>
          </w:tcPr>
          <w:p w14:paraId="3B59245C"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Áreas de Manejo de Hábitat</w:t>
            </w:r>
          </w:p>
        </w:tc>
        <w:tc>
          <w:tcPr>
            <w:tcW w:w="2977" w:type="dxa"/>
            <w:vMerge w:val="restart"/>
            <w:vAlign w:val="center"/>
          </w:tcPr>
          <w:p w14:paraId="65D4B1B7"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Valle</w:t>
            </w:r>
          </w:p>
          <w:p w14:paraId="2BB2A095" w14:textId="77777777" w:rsidR="006A3DBC" w:rsidRPr="00CF0F96" w:rsidRDefault="006A3DBC" w:rsidP="005F4A92">
            <w:pPr>
              <w:spacing w:after="0" w:line="240" w:lineRule="auto"/>
              <w:jc w:val="center"/>
              <w:rPr>
                <w:rFonts w:cs="Arial"/>
                <w:sz w:val="18"/>
                <w:szCs w:val="18"/>
                <w:lang w:val="es-ES"/>
              </w:rPr>
            </w:pPr>
          </w:p>
          <w:p w14:paraId="7EC74B91" w14:textId="77777777" w:rsidR="006A3DBC" w:rsidRPr="00CF0F96" w:rsidRDefault="006A3DBC" w:rsidP="005F4A92">
            <w:pPr>
              <w:spacing w:after="0" w:line="240" w:lineRule="auto"/>
              <w:jc w:val="center"/>
              <w:rPr>
                <w:rFonts w:cs="Arial"/>
                <w:sz w:val="18"/>
                <w:szCs w:val="18"/>
                <w:lang w:val="es-ES"/>
              </w:rPr>
            </w:pPr>
          </w:p>
        </w:tc>
      </w:tr>
      <w:tr w:rsidR="006A3DBC" w:rsidRPr="00FA4B2D" w14:paraId="4927AF21" w14:textId="77777777" w:rsidTr="005F4A92">
        <w:trPr>
          <w:trHeight w:val="300"/>
          <w:jc w:val="center"/>
        </w:trPr>
        <w:tc>
          <w:tcPr>
            <w:tcW w:w="562" w:type="dxa"/>
            <w:tcMar>
              <w:top w:w="0" w:type="dxa"/>
              <w:left w:w="45" w:type="dxa"/>
              <w:bottom w:w="0" w:type="dxa"/>
              <w:right w:w="45" w:type="dxa"/>
            </w:tcMar>
            <w:vAlign w:val="center"/>
          </w:tcPr>
          <w:p w14:paraId="401BA03E"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tcPr>
          <w:p w14:paraId="7EDF3AB1" w14:textId="77777777" w:rsidR="006A3DBC" w:rsidRPr="00CF0F96" w:rsidRDefault="006A3DBC" w:rsidP="005F4A92">
            <w:pPr>
              <w:spacing w:after="0" w:line="240" w:lineRule="auto"/>
              <w:jc w:val="both"/>
              <w:rPr>
                <w:rFonts w:cs="Arial"/>
                <w:sz w:val="18"/>
                <w:szCs w:val="18"/>
              </w:rPr>
            </w:pPr>
            <w:r w:rsidRPr="00CF0F96">
              <w:rPr>
                <w:rFonts w:cs="Arial"/>
                <w:sz w:val="18"/>
                <w:szCs w:val="18"/>
              </w:rPr>
              <w:t>Los Delgaditos</w:t>
            </w:r>
          </w:p>
        </w:tc>
        <w:tc>
          <w:tcPr>
            <w:tcW w:w="2977" w:type="dxa"/>
            <w:tcMar>
              <w:top w:w="0" w:type="dxa"/>
              <w:left w:w="45" w:type="dxa"/>
              <w:bottom w:w="0" w:type="dxa"/>
              <w:right w:w="45" w:type="dxa"/>
            </w:tcMar>
            <w:vAlign w:val="center"/>
          </w:tcPr>
          <w:p w14:paraId="54DBA624"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Áreas de Manejo de Hábitat</w:t>
            </w:r>
          </w:p>
        </w:tc>
        <w:tc>
          <w:tcPr>
            <w:tcW w:w="2977" w:type="dxa"/>
            <w:vMerge/>
            <w:vAlign w:val="center"/>
          </w:tcPr>
          <w:p w14:paraId="09818714" w14:textId="77777777" w:rsidR="006A3DBC" w:rsidRPr="00CF0F96" w:rsidRDefault="006A3DBC" w:rsidP="005F4A92">
            <w:pPr>
              <w:spacing w:after="0" w:line="240" w:lineRule="auto"/>
              <w:jc w:val="center"/>
              <w:rPr>
                <w:rFonts w:cs="Arial"/>
                <w:sz w:val="18"/>
                <w:szCs w:val="18"/>
                <w:lang w:val="es-ES"/>
              </w:rPr>
            </w:pPr>
          </w:p>
        </w:tc>
      </w:tr>
      <w:tr w:rsidR="006A3DBC" w:rsidRPr="00FA4B2D" w14:paraId="55BD2F25" w14:textId="77777777" w:rsidTr="005F4A92">
        <w:trPr>
          <w:trHeight w:val="300"/>
          <w:jc w:val="center"/>
        </w:trPr>
        <w:tc>
          <w:tcPr>
            <w:tcW w:w="562" w:type="dxa"/>
            <w:tcMar>
              <w:top w:w="0" w:type="dxa"/>
              <w:left w:w="45" w:type="dxa"/>
              <w:bottom w:w="0" w:type="dxa"/>
              <w:right w:w="45" w:type="dxa"/>
            </w:tcMar>
            <w:vAlign w:val="center"/>
          </w:tcPr>
          <w:p w14:paraId="12766CEB"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tcPr>
          <w:p w14:paraId="643D245F" w14:textId="77777777" w:rsidR="006A3DBC" w:rsidRPr="00CF0F96" w:rsidRDefault="006A3DBC" w:rsidP="005F4A92">
            <w:pPr>
              <w:spacing w:after="0" w:line="240" w:lineRule="auto"/>
              <w:jc w:val="both"/>
              <w:rPr>
                <w:rFonts w:cs="Arial"/>
                <w:sz w:val="18"/>
                <w:szCs w:val="18"/>
              </w:rPr>
            </w:pPr>
            <w:r w:rsidRPr="00CF0F96">
              <w:rPr>
                <w:rFonts w:cs="Arial"/>
                <w:sz w:val="18"/>
                <w:szCs w:val="18"/>
              </w:rPr>
              <w:t>Isla del Tigre</w:t>
            </w:r>
          </w:p>
        </w:tc>
        <w:tc>
          <w:tcPr>
            <w:tcW w:w="2977" w:type="dxa"/>
            <w:tcMar>
              <w:top w:w="0" w:type="dxa"/>
              <w:left w:w="45" w:type="dxa"/>
              <w:bottom w:w="0" w:type="dxa"/>
              <w:right w:w="45" w:type="dxa"/>
            </w:tcMar>
            <w:vAlign w:val="center"/>
          </w:tcPr>
          <w:p w14:paraId="18A948C6" w14:textId="77777777" w:rsidR="006A3DBC" w:rsidRPr="00CF0F96" w:rsidRDefault="006A3DBC" w:rsidP="005F4A92">
            <w:pPr>
              <w:spacing w:after="0" w:line="240" w:lineRule="auto"/>
              <w:jc w:val="center"/>
              <w:rPr>
                <w:rFonts w:cs="Arial"/>
                <w:sz w:val="18"/>
                <w:szCs w:val="18"/>
                <w:lang w:val="es-ES"/>
              </w:rPr>
            </w:pPr>
            <w:r w:rsidRPr="00CF0F96">
              <w:rPr>
                <w:rFonts w:cs="Arial"/>
                <w:sz w:val="18"/>
                <w:szCs w:val="18"/>
                <w:lang w:val="es-ES"/>
              </w:rPr>
              <w:t>Área de Uso Múltiple</w:t>
            </w:r>
          </w:p>
        </w:tc>
        <w:tc>
          <w:tcPr>
            <w:tcW w:w="2977" w:type="dxa"/>
            <w:vMerge/>
            <w:vAlign w:val="center"/>
          </w:tcPr>
          <w:p w14:paraId="31599BDD" w14:textId="77777777" w:rsidR="006A3DBC" w:rsidRPr="00CF0F96" w:rsidRDefault="006A3DBC" w:rsidP="005F4A92">
            <w:pPr>
              <w:spacing w:after="0" w:line="240" w:lineRule="auto"/>
              <w:jc w:val="center"/>
              <w:rPr>
                <w:rFonts w:cs="Arial"/>
                <w:sz w:val="18"/>
                <w:szCs w:val="18"/>
                <w:lang w:val="es-ES"/>
              </w:rPr>
            </w:pPr>
          </w:p>
        </w:tc>
      </w:tr>
      <w:tr w:rsidR="006A3DBC" w:rsidRPr="00FA4B2D" w14:paraId="35BEAB92" w14:textId="77777777" w:rsidTr="005F4A92">
        <w:trPr>
          <w:trHeight w:val="300"/>
          <w:jc w:val="center"/>
        </w:trPr>
        <w:tc>
          <w:tcPr>
            <w:tcW w:w="562" w:type="dxa"/>
            <w:tcMar>
              <w:top w:w="0" w:type="dxa"/>
              <w:left w:w="45" w:type="dxa"/>
              <w:bottom w:w="0" w:type="dxa"/>
              <w:right w:w="45" w:type="dxa"/>
            </w:tcMar>
            <w:vAlign w:val="center"/>
          </w:tcPr>
          <w:p w14:paraId="55C691AE" w14:textId="77777777" w:rsidR="006A3DBC" w:rsidRPr="00CF0F96" w:rsidRDefault="006A3DBC" w:rsidP="00280FE8">
            <w:pPr>
              <w:pStyle w:val="Prrafodelista"/>
              <w:numPr>
                <w:ilvl w:val="0"/>
                <w:numId w:val="39"/>
              </w:numPr>
              <w:spacing w:after="0" w:line="240" w:lineRule="auto"/>
              <w:jc w:val="right"/>
              <w:rPr>
                <w:rFonts w:cs="Arial"/>
                <w:sz w:val="18"/>
                <w:szCs w:val="18"/>
                <w:lang w:val="es-ES"/>
              </w:rPr>
            </w:pPr>
          </w:p>
        </w:tc>
        <w:tc>
          <w:tcPr>
            <w:tcW w:w="2693" w:type="dxa"/>
            <w:tcMar>
              <w:top w:w="0" w:type="dxa"/>
              <w:left w:w="45" w:type="dxa"/>
              <w:bottom w:w="0" w:type="dxa"/>
              <w:right w:w="45" w:type="dxa"/>
            </w:tcMar>
            <w:vAlign w:val="center"/>
          </w:tcPr>
          <w:p w14:paraId="3DCFA7FD" w14:textId="77777777" w:rsidR="006A3DBC" w:rsidRPr="00CF0F96" w:rsidRDefault="00000000" w:rsidP="005F4A92">
            <w:pPr>
              <w:spacing w:after="0" w:line="240" w:lineRule="auto"/>
              <w:jc w:val="both"/>
              <w:rPr>
                <w:rFonts w:cs="Arial"/>
                <w:sz w:val="18"/>
                <w:szCs w:val="18"/>
              </w:rPr>
            </w:pPr>
            <w:hyperlink r:id="rId41" w:history="1">
              <w:r w:rsidR="006A3DBC" w:rsidRPr="00CF0F96">
                <w:rPr>
                  <w:rFonts w:cs="Arial"/>
                  <w:sz w:val="18"/>
                  <w:szCs w:val="18"/>
                </w:rPr>
                <w:t>Especie Colibrí Esmeralda Hondureño</w:t>
              </w:r>
            </w:hyperlink>
          </w:p>
        </w:tc>
        <w:tc>
          <w:tcPr>
            <w:tcW w:w="2977" w:type="dxa"/>
            <w:tcMar>
              <w:top w:w="0" w:type="dxa"/>
              <w:left w:w="45" w:type="dxa"/>
              <w:bottom w:w="0" w:type="dxa"/>
              <w:right w:w="45" w:type="dxa"/>
            </w:tcMar>
            <w:vAlign w:val="center"/>
          </w:tcPr>
          <w:p w14:paraId="626C5E57" w14:textId="77777777" w:rsidR="006A3DBC" w:rsidRPr="00CF0F96" w:rsidRDefault="006A3DBC" w:rsidP="005F4A92">
            <w:pPr>
              <w:spacing w:after="0" w:line="240" w:lineRule="auto"/>
              <w:jc w:val="center"/>
              <w:rPr>
                <w:rFonts w:cs="Arial"/>
                <w:sz w:val="18"/>
                <w:szCs w:val="18"/>
              </w:rPr>
            </w:pPr>
            <w:r w:rsidRPr="00CF0F96">
              <w:rPr>
                <w:rFonts w:cs="Arial"/>
                <w:sz w:val="18"/>
                <w:szCs w:val="18"/>
              </w:rPr>
              <w:t>Áreas de Manejo de Hábitat</w:t>
            </w:r>
          </w:p>
        </w:tc>
        <w:tc>
          <w:tcPr>
            <w:tcW w:w="2977" w:type="dxa"/>
            <w:vAlign w:val="center"/>
          </w:tcPr>
          <w:p w14:paraId="726C09BE" w14:textId="77777777" w:rsidR="006A3DBC" w:rsidRPr="00CF0F96" w:rsidRDefault="006A3DBC" w:rsidP="005F4A92">
            <w:pPr>
              <w:spacing w:after="0" w:line="240" w:lineRule="auto"/>
              <w:jc w:val="center"/>
              <w:rPr>
                <w:rFonts w:cs="Arial"/>
                <w:sz w:val="18"/>
                <w:szCs w:val="18"/>
              </w:rPr>
            </w:pPr>
            <w:r w:rsidRPr="00CF0F96">
              <w:rPr>
                <w:rFonts w:cs="Arial"/>
                <w:sz w:val="18"/>
                <w:szCs w:val="18"/>
              </w:rPr>
              <w:t xml:space="preserve">Yoro </w:t>
            </w:r>
          </w:p>
        </w:tc>
      </w:tr>
    </w:tbl>
    <w:p w14:paraId="32854BDF" w14:textId="77777777" w:rsidR="00781015" w:rsidRPr="00FA4B2D" w:rsidRDefault="00781015" w:rsidP="006A3DBC">
      <w:pPr>
        <w:spacing w:after="0" w:line="240" w:lineRule="auto"/>
        <w:jc w:val="both"/>
        <w:rPr>
          <w:rFonts w:cs="Arial"/>
        </w:rPr>
      </w:pPr>
    </w:p>
    <w:p w14:paraId="6EC8C917" w14:textId="05449142" w:rsidR="006A3DBC" w:rsidRPr="00FA4B2D" w:rsidRDefault="006A3DBC" w:rsidP="006A3DBC">
      <w:pPr>
        <w:spacing w:after="0" w:line="240" w:lineRule="auto"/>
        <w:jc w:val="both"/>
        <w:rPr>
          <w:rFonts w:cs="Arial"/>
        </w:rPr>
      </w:pPr>
      <w:r w:rsidRPr="00FA4B2D">
        <w:rPr>
          <w:rFonts w:cs="Arial"/>
        </w:rPr>
        <w:t>En la siguiente figura, se pueden observar las áreas protegidas y corredores biológicos de Honduras:</w:t>
      </w:r>
    </w:p>
    <w:p w14:paraId="27D77B62" w14:textId="77777777" w:rsidR="006A3DBC" w:rsidRPr="00FA4B2D" w:rsidRDefault="006A3DBC" w:rsidP="006A3DBC">
      <w:pPr>
        <w:spacing w:after="0" w:line="240" w:lineRule="auto"/>
        <w:jc w:val="both"/>
        <w:rPr>
          <w:rFonts w:cs="Arial"/>
        </w:rPr>
      </w:pPr>
    </w:p>
    <w:p w14:paraId="10A5142E" w14:textId="77777777" w:rsidR="006A3DBC" w:rsidRPr="00FA4B2D" w:rsidRDefault="006A3DBC" w:rsidP="006A3DBC">
      <w:pPr>
        <w:spacing w:after="0" w:line="240" w:lineRule="auto"/>
        <w:jc w:val="both"/>
        <w:rPr>
          <w:rFonts w:cs="Arial"/>
        </w:rPr>
      </w:pPr>
    </w:p>
    <w:p w14:paraId="2803D751" w14:textId="77777777" w:rsidR="006A3DBC" w:rsidRPr="00FA4B2D" w:rsidRDefault="006A3DBC" w:rsidP="006A3DBC">
      <w:pPr>
        <w:spacing w:after="0" w:line="240" w:lineRule="auto"/>
        <w:jc w:val="both"/>
        <w:rPr>
          <w:rFonts w:cs="Arial"/>
        </w:rPr>
      </w:pPr>
    </w:p>
    <w:p w14:paraId="36681784" w14:textId="77777777" w:rsidR="006A3DBC" w:rsidRPr="00FA4B2D" w:rsidRDefault="006A3DBC" w:rsidP="006A3DBC">
      <w:pPr>
        <w:spacing w:after="0" w:line="240" w:lineRule="auto"/>
        <w:jc w:val="both"/>
        <w:rPr>
          <w:rFonts w:cs="Arial"/>
        </w:rPr>
      </w:pPr>
    </w:p>
    <w:p w14:paraId="525AFBAB" w14:textId="77777777" w:rsidR="006A3DBC" w:rsidRPr="00FA4B2D" w:rsidRDefault="006A3DBC" w:rsidP="006A3DBC">
      <w:pPr>
        <w:spacing w:after="0" w:line="240" w:lineRule="auto"/>
        <w:jc w:val="both"/>
        <w:rPr>
          <w:rFonts w:cs="Arial"/>
        </w:rPr>
      </w:pPr>
    </w:p>
    <w:p w14:paraId="0775AB5D" w14:textId="77777777" w:rsidR="006A3DBC" w:rsidRPr="00FA4B2D" w:rsidRDefault="006A3DBC" w:rsidP="006A3DBC">
      <w:pPr>
        <w:spacing w:after="0" w:line="240" w:lineRule="auto"/>
        <w:jc w:val="both"/>
        <w:rPr>
          <w:rFonts w:cs="Arial"/>
        </w:rPr>
      </w:pPr>
    </w:p>
    <w:p w14:paraId="483BB2E7" w14:textId="77777777" w:rsidR="006A3DBC" w:rsidRPr="00FA4B2D" w:rsidRDefault="006A3DBC" w:rsidP="006A3DBC">
      <w:pPr>
        <w:spacing w:after="0" w:line="240" w:lineRule="auto"/>
        <w:jc w:val="both"/>
        <w:rPr>
          <w:rFonts w:cs="Arial"/>
        </w:rPr>
      </w:pPr>
    </w:p>
    <w:p w14:paraId="354B1086" w14:textId="77777777" w:rsidR="006A3DBC" w:rsidRPr="00FA4B2D" w:rsidRDefault="006A3DBC" w:rsidP="006A3DBC">
      <w:pPr>
        <w:spacing w:after="0" w:line="240" w:lineRule="auto"/>
        <w:jc w:val="both"/>
        <w:rPr>
          <w:rFonts w:cs="Arial"/>
        </w:rPr>
      </w:pPr>
    </w:p>
    <w:p w14:paraId="1BC5BEE5" w14:textId="77777777" w:rsidR="006A3DBC" w:rsidRPr="00FA4B2D" w:rsidRDefault="006A3DBC" w:rsidP="006A3DBC">
      <w:pPr>
        <w:spacing w:after="0" w:line="240" w:lineRule="auto"/>
        <w:jc w:val="both"/>
        <w:rPr>
          <w:rFonts w:cs="Arial"/>
        </w:rPr>
      </w:pPr>
    </w:p>
    <w:p w14:paraId="0C392558" w14:textId="77777777" w:rsidR="006A3DBC" w:rsidRPr="00FA4B2D" w:rsidRDefault="006A3DBC" w:rsidP="006A3DBC">
      <w:pPr>
        <w:spacing w:after="0" w:line="240" w:lineRule="auto"/>
        <w:jc w:val="both"/>
        <w:rPr>
          <w:rFonts w:cs="Arial"/>
        </w:rPr>
      </w:pPr>
    </w:p>
    <w:p w14:paraId="075A65C2" w14:textId="77777777" w:rsidR="006A3DBC" w:rsidRPr="00FA4B2D" w:rsidRDefault="006A3DBC" w:rsidP="006A3DBC">
      <w:pPr>
        <w:spacing w:after="0" w:line="240" w:lineRule="auto"/>
        <w:jc w:val="both"/>
        <w:rPr>
          <w:rFonts w:cs="Arial"/>
        </w:rPr>
      </w:pPr>
    </w:p>
    <w:p w14:paraId="31FE6D36" w14:textId="77777777" w:rsidR="006A3DBC" w:rsidRPr="00FA4B2D" w:rsidRDefault="006A3DBC" w:rsidP="006A3DBC">
      <w:pPr>
        <w:spacing w:after="0" w:line="240" w:lineRule="auto"/>
        <w:jc w:val="both"/>
        <w:rPr>
          <w:rFonts w:cs="Arial"/>
        </w:rPr>
      </w:pPr>
    </w:p>
    <w:p w14:paraId="08B09121" w14:textId="77777777" w:rsidR="006A3DBC" w:rsidRPr="00FA4B2D" w:rsidRDefault="006A3DBC" w:rsidP="006A3DBC">
      <w:pPr>
        <w:spacing w:after="0" w:line="240" w:lineRule="auto"/>
        <w:jc w:val="both"/>
        <w:rPr>
          <w:rFonts w:cs="Arial"/>
        </w:rPr>
      </w:pPr>
    </w:p>
    <w:p w14:paraId="78BC50AA" w14:textId="77777777" w:rsidR="006A3DBC" w:rsidRPr="00FA4B2D" w:rsidRDefault="006A3DBC" w:rsidP="006A3DBC">
      <w:pPr>
        <w:spacing w:after="0" w:line="240" w:lineRule="auto"/>
        <w:jc w:val="both"/>
        <w:rPr>
          <w:rFonts w:cs="Arial"/>
        </w:rPr>
      </w:pPr>
    </w:p>
    <w:p w14:paraId="6B6F7401" w14:textId="77777777" w:rsidR="006A3DBC" w:rsidRPr="00FA4B2D" w:rsidRDefault="006A3DBC" w:rsidP="006A3DBC">
      <w:pPr>
        <w:spacing w:after="0" w:line="240" w:lineRule="auto"/>
        <w:jc w:val="both"/>
        <w:rPr>
          <w:rFonts w:cs="Arial"/>
        </w:rPr>
      </w:pPr>
    </w:p>
    <w:p w14:paraId="2DC23A15" w14:textId="77777777" w:rsidR="006A3DBC" w:rsidRPr="00FA4B2D" w:rsidRDefault="006A3DBC" w:rsidP="006A3DBC">
      <w:pPr>
        <w:spacing w:after="0" w:line="240" w:lineRule="auto"/>
        <w:jc w:val="both"/>
        <w:rPr>
          <w:rFonts w:cs="Arial"/>
        </w:rPr>
      </w:pPr>
    </w:p>
    <w:p w14:paraId="0F3B0AE1" w14:textId="77777777" w:rsidR="006A3DBC" w:rsidRPr="00FA4B2D" w:rsidRDefault="006A3DBC" w:rsidP="006A3DBC">
      <w:pPr>
        <w:spacing w:after="0" w:line="240" w:lineRule="auto"/>
        <w:jc w:val="both"/>
        <w:rPr>
          <w:rFonts w:cs="Arial"/>
        </w:rPr>
      </w:pPr>
    </w:p>
    <w:p w14:paraId="671D05A5" w14:textId="77777777" w:rsidR="006A3DBC" w:rsidRPr="00FA4B2D" w:rsidRDefault="006A3DBC" w:rsidP="006A3DBC">
      <w:pPr>
        <w:spacing w:after="0" w:line="240" w:lineRule="auto"/>
        <w:jc w:val="both"/>
        <w:rPr>
          <w:rFonts w:cs="Arial"/>
        </w:rPr>
      </w:pPr>
    </w:p>
    <w:p w14:paraId="5F6E75B6" w14:textId="77777777" w:rsidR="006A3DBC" w:rsidRPr="00FA4B2D" w:rsidRDefault="006A3DBC" w:rsidP="006A3DBC">
      <w:pPr>
        <w:spacing w:after="0" w:line="240" w:lineRule="auto"/>
        <w:jc w:val="both"/>
        <w:rPr>
          <w:rFonts w:cs="Arial"/>
        </w:rPr>
      </w:pPr>
    </w:p>
    <w:p w14:paraId="2BA6C11A" w14:textId="77777777" w:rsidR="006A3DBC" w:rsidRPr="00FA4B2D" w:rsidRDefault="006A3DBC" w:rsidP="006A3DBC">
      <w:pPr>
        <w:spacing w:after="0" w:line="240" w:lineRule="auto"/>
        <w:jc w:val="both"/>
        <w:rPr>
          <w:rFonts w:cs="Arial"/>
        </w:rPr>
      </w:pPr>
    </w:p>
    <w:p w14:paraId="374AD132" w14:textId="77777777" w:rsidR="006A3DBC" w:rsidRPr="00FA4B2D" w:rsidRDefault="006A3DBC" w:rsidP="006A3DBC">
      <w:pPr>
        <w:spacing w:after="0" w:line="240" w:lineRule="auto"/>
        <w:jc w:val="both"/>
        <w:rPr>
          <w:rFonts w:cs="Arial"/>
        </w:rPr>
      </w:pPr>
    </w:p>
    <w:p w14:paraId="4C484155" w14:textId="77777777" w:rsidR="006A3DBC" w:rsidRPr="00FA4B2D" w:rsidRDefault="006A3DBC" w:rsidP="006A3DBC">
      <w:pPr>
        <w:spacing w:after="0" w:line="240" w:lineRule="auto"/>
        <w:jc w:val="both"/>
        <w:rPr>
          <w:rFonts w:cs="Arial"/>
        </w:rPr>
      </w:pPr>
    </w:p>
    <w:p w14:paraId="0AFF2F60" w14:textId="77777777" w:rsidR="006A3DBC" w:rsidRPr="00FA4B2D" w:rsidRDefault="006A3DBC" w:rsidP="006A3DBC">
      <w:pPr>
        <w:spacing w:after="0" w:line="240" w:lineRule="auto"/>
        <w:jc w:val="both"/>
        <w:rPr>
          <w:rFonts w:cs="Arial"/>
        </w:rPr>
      </w:pPr>
    </w:p>
    <w:p w14:paraId="7AC93303" w14:textId="77777777" w:rsidR="006A3DBC" w:rsidRPr="00FA4B2D" w:rsidRDefault="006A3DBC" w:rsidP="006A3DBC">
      <w:pPr>
        <w:spacing w:after="0" w:line="240" w:lineRule="auto"/>
        <w:jc w:val="both"/>
        <w:rPr>
          <w:rFonts w:cs="Arial"/>
        </w:rPr>
      </w:pPr>
    </w:p>
    <w:p w14:paraId="13B702B0" w14:textId="77777777" w:rsidR="006A3DBC" w:rsidRPr="00FA4B2D" w:rsidRDefault="006A3DBC" w:rsidP="006A3DBC">
      <w:pPr>
        <w:spacing w:after="0" w:line="240" w:lineRule="auto"/>
        <w:jc w:val="both"/>
        <w:rPr>
          <w:rFonts w:cs="Arial"/>
        </w:rPr>
      </w:pPr>
    </w:p>
    <w:p w14:paraId="6EEED281" w14:textId="77777777" w:rsidR="006A3DBC" w:rsidRPr="00FA4B2D" w:rsidRDefault="006A3DBC" w:rsidP="006A3DBC">
      <w:pPr>
        <w:spacing w:after="0" w:line="240" w:lineRule="auto"/>
        <w:jc w:val="both"/>
        <w:rPr>
          <w:rFonts w:cs="Arial"/>
        </w:rPr>
      </w:pPr>
    </w:p>
    <w:p w14:paraId="5B0EA462" w14:textId="77777777" w:rsidR="006A3DBC" w:rsidRPr="00FA4B2D" w:rsidRDefault="006A3DBC" w:rsidP="006A3DBC">
      <w:pPr>
        <w:spacing w:after="0" w:line="240" w:lineRule="auto"/>
        <w:jc w:val="both"/>
        <w:rPr>
          <w:rFonts w:cs="Arial"/>
        </w:rPr>
        <w:sectPr w:rsidR="006A3DBC" w:rsidRPr="00FA4B2D" w:rsidSect="005F4A92">
          <w:pgSz w:w="12240" w:h="15840"/>
          <w:pgMar w:top="1417" w:right="1750" w:bottom="1417" w:left="1560" w:header="708" w:footer="708" w:gutter="0"/>
          <w:cols w:space="708"/>
          <w:docGrid w:linePitch="360"/>
        </w:sectPr>
      </w:pPr>
    </w:p>
    <w:p w14:paraId="7EF7137B" w14:textId="66FC886C" w:rsidR="00856B8B" w:rsidRDefault="00856B8B" w:rsidP="00856B8B">
      <w:pPr>
        <w:pStyle w:val="Descripcin"/>
        <w:keepNext/>
        <w:jc w:val="center"/>
      </w:pPr>
      <w:bookmarkStart w:id="331" w:name="_Toc202455573"/>
      <w:r>
        <w:lastRenderedPageBreak/>
        <w:t xml:space="preserve">Ilustración </w:t>
      </w:r>
      <w:r>
        <w:fldChar w:fldCharType="begin"/>
      </w:r>
      <w:r>
        <w:instrText xml:space="preserve"> SEQ Ilustración \* ARABIC </w:instrText>
      </w:r>
      <w:r>
        <w:fldChar w:fldCharType="separate"/>
      </w:r>
      <w:r w:rsidR="00F94AC4">
        <w:rPr>
          <w:noProof/>
        </w:rPr>
        <w:t>11</w:t>
      </w:r>
      <w:r>
        <w:fldChar w:fldCharType="end"/>
      </w:r>
      <w:r>
        <w:t xml:space="preserve">: </w:t>
      </w:r>
      <w:r w:rsidRPr="00BF6013">
        <w:t>Mapa de Áreas Protegidas y Corredores Biológicos de Honduras</w:t>
      </w:r>
      <w:bookmarkEnd w:id="331"/>
    </w:p>
    <w:p w14:paraId="3775B11C" w14:textId="77777777" w:rsidR="006A3DBC" w:rsidRPr="00FA4B2D" w:rsidRDefault="006A3DBC" w:rsidP="006A3DBC">
      <w:pPr>
        <w:spacing w:after="0" w:line="240" w:lineRule="auto"/>
        <w:jc w:val="center"/>
        <w:rPr>
          <w:rFonts w:cs="Arial"/>
        </w:rPr>
      </w:pPr>
      <w:r w:rsidRPr="00FA4B2D">
        <w:rPr>
          <w:rFonts w:cs="Arial"/>
          <w:noProof/>
          <w:lang w:val="es-HN" w:eastAsia="es-HN"/>
        </w:rPr>
        <w:drawing>
          <wp:inline distT="0" distB="0" distL="0" distR="0" wp14:anchorId="3528D547" wp14:editId="305EDA71">
            <wp:extent cx="7469142" cy="4660688"/>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rotWithShape="1">
                    <a:blip r:embed="rId42">
                      <a:extLst>
                        <a:ext uri="{28A0092B-C50C-407E-A947-70E740481C1C}">
                          <a14:useLocalDpi xmlns:a14="http://schemas.microsoft.com/office/drawing/2010/main" val="0"/>
                        </a:ext>
                      </a:extLst>
                    </a:blip>
                    <a:srcRect t="9084"/>
                    <a:stretch/>
                  </pic:blipFill>
                  <pic:spPr bwMode="auto">
                    <a:xfrm>
                      <a:off x="0" y="0"/>
                      <a:ext cx="7491010" cy="4674334"/>
                    </a:xfrm>
                    <a:prstGeom prst="rect">
                      <a:avLst/>
                    </a:prstGeom>
                    <a:ln>
                      <a:noFill/>
                    </a:ln>
                    <a:extLst>
                      <a:ext uri="{53640926-AAD7-44D8-BBD7-CCE9431645EC}">
                        <a14:shadowObscured xmlns:a14="http://schemas.microsoft.com/office/drawing/2010/main"/>
                      </a:ext>
                    </a:extLst>
                  </pic:spPr>
                </pic:pic>
              </a:graphicData>
            </a:graphic>
          </wp:inline>
        </w:drawing>
      </w:r>
      <w:r w:rsidRPr="00FA4B2D">
        <w:rPr>
          <w:rFonts w:cs="Arial"/>
        </w:rPr>
        <w:t xml:space="preserve"> </w:t>
      </w:r>
    </w:p>
    <w:p w14:paraId="39185E2F" w14:textId="77777777" w:rsidR="006A3DBC" w:rsidRPr="00FA4B2D" w:rsidRDefault="006A3DBC" w:rsidP="006A3DBC">
      <w:pPr>
        <w:tabs>
          <w:tab w:val="left" w:pos="1377"/>
        </w:tabs>
        <w:spacing w:after="0" w:line="240" w:lineRule="auto"/>
        <w:jc w:val="both"/>
        <w:rPr>
          <w:rFonts w:cs="Arial"/>
        </w:rPr>
        <w:sectPr w:rsidR="006A3DBC" w:rsidRPr="00FA4B2D" w:rsidSect="005F4A92">
          <w:pgSz w:w="15840" w:h="12240" w:orient="landscape"/>
          <w:pgMar w:top="1560" w:right="1417" w:bottom="1750" w:left="1417" w:header="708" w:footer="708" w:gutter="0"/>
          <w:cols w:space="708"/>
          <w:docGrid w:linePitch="360"/>
        </w:sectPr>
      </w:pPr>
    </w:p>
    <w:p w14:paraId="76E1F0D6" w14:textId="77777777" w:rsidR="006A3DBC" w:rsidRPr="00FA4B2D" w:rsidRDefault="006A3DBC" w:rsidP="006A3DBC">
      <w:pPr>
        <w:spacing w:after="0" w:line="240" w:lineRule="auto"/>
        <w:ind w:left="864"/>
        <w:jc w:val="both"/>
        <w:rPr>
          <w:rFonts w:cs="Arial"/>
          <w:b/>
          <w:bCs/>
          <w:lang w:val="es-HN"/>
        </w:rPr>
      </w:pPr>
      <w:r w:rsidRPr="00FA4B2D">
        <w:rPr>
          <w:rFonts w:cs="Arial"/>
        </w:rPr>
        <w:lastRenderedPageBreak/>
        <w:t>5.4.4 Humedales y Sitios RAMSAR</w:t>
      </w:r>
    </w:p>
    <w:p w14:paraId="54E131AF" w14:textId="77777777" w:rsidR="006A3DBC" w:rsidRPr="00FA4B2D" w:rsidRDefault="006A3DBC" w:rsidP="006A3DBC">
      <w:pPr>
        <w:spacing w:after="0"/>
        <w:jc w:val="both"/>
        <w:rPr>
          <w:rFonts w:cs="Arial"/>
        </w:rPr>
      </w:pPr>
    </w:p>
    <w:p w14:paraId="5E3BEECC" w14:textId="77777777" w:rsidR="006A3DBC" w:rsidRPr="00FA4B2D" w:rsidRDefault="006A3DBC" w:rsidP="006A3DBC">
      <w:pPr>
        <w:spacing w:after="0"/>
        <w:jc w:val="both"/>
        <w:rPr>
          <w:rFonts w:cs="Arial"/>
        </w:rPr>
      </w:pPr>
      <w:r w:rsidRPr="00FA4B2D">
        <w:rPr>
          <w:rFonts w:cs="Arial"/>
        </w:rPr>
        <w:t>Los humedales se encuentran entre los entornos más productivos del mundo; cuna de la diversidad biológica que proporcionan el agua y la productividad de la que dependen innumerables especies de plantas y animales para sobrevivir. Los humedales son indispensables para los innumerables beneficios o "servicios ecosistémicos" que brindan a la humanidad, que van desde el suministro de agua dulce, alimentos y materiales de construcción y biodiversidad hasta el control de inundaciones, la recarga de aguas subterráneas y la mitigación del cambio climático</w:t>
      </w:r>
      <w:r w:rsidRPr="00FA4B2D">
        <w:rPr>
          <w:rStyle w:val="Refdenotaalpie"/>
          <w:rFonts w:cs="Arial"/>
        </w:rPr>
        <w:footnoteReference w:id="10"/>
      </w:r>
      <w:r w:rsidRPr="00FA4B2D">
        <w:rPr>
          <w:rFonts w:cs="Arial"/>
        </w:rPr>
        <w:t>.</w:t>
      </w:r>
    </w:p>
    <w:p w14:paraId="3C44FB5A" w14:textId="77777777" w:rsidR="006A3DBC" w:rsidRPr="00FA4B2D" w:rsidRDefault="006A3DBC" w:rsidP="006A3DBC">
      <w:pPr>
        <w:spacing w:after="0"/>
        <w:jc w:val="both"/>
        <w:rPr>
          <w:rFonts w:cs="Arial"/>
        </w:rPr>
      </w:pPr>
    </w:p>
    <w:p w14:paraId="3D6B6D1C" w14:textId="77777777" w:rsidR="006A3DBC" w:rsidRPr="00FA4B2D" w:rsidRDefault="006A3DBC" w:rsidP="006A3DBC">
      <w:pPr>
        <w:spacing w:after="0"/>
        <w:jc w:val="both"/>
        <w:rPr>
          <w:rFonts w:cs="Arial"/>
        </w:rPr>
      </w:pPr>
      <w:r w:rsidRPr="00FA4B2D">
        <w:rPr>
          <w:rFonts w:cs="Arial"/>
        </w:rPr>
        <w:t>Honduras cuenta con 11 sitios RAMSAR o humedales de importancia internacional que forman parte del SINAPH, sumando un total de 270,224 ha. Estos son:</w:t>
      </w:r>
    </w:p>
    <w:p w14:paraId="5D45949A" w14:textId="77777777" w:rsidR="006A3DBC" w:rsidRPr="00FA4B2D" w:rsidRDefault="006A3DBC" w:rsidP="006A3DBC">
      <w:pPr>
        <w:pStyle w:val="Prrafodelista"/>
        <w:numPr>
          <w:ilvl w:val="0"/>
          <w:numId w:val="42"/>
        </w:numPr>
        <w:spacing w:after="0"/>
        <w:jc w:val="both"/>
        <w:rPr>
          <w:rFonts w:cs="Arial"/>
          <w:lang w:val="es-HN"/>
        </w:rPr>
      </w:pPr>
      <w:r w:rsidRPr="00FA4B2D">
        <w:rPr>
          <w:rFonts w:cs="Arial"/>
          <w:lang w:val="es-HN"/>
        </w:rPr>
        <w:t>Sistema de humedales Cuero y Salado</w:t>
      </w:r>
    </w:p>
    <w:p w14:paraId="5162B215" w14:textId="77777777" w:rsidR="006A3DBC" w:rsidRPr="00FA4B2D" w:rsidRDefault="006A3DBC" w:rsidP="006A3DBC">
      <w:pPr>
        <w:pStyle w:val="Prrafodelista"/>
        <w:numPr>
          <w:ilvl w:val="0"/>
          <w:numId w:val="42"/>
        </w:numPr>
        <w:spacing w:after="0" w:line="240" w:lineRule="auto"/>
        <w:jc w:val="both"/>
        <w:rPr>
          <w:rFonts w:cs="Arial"/>
          <w:lang w:val="es-HN"/>
        </w:rPr>
      </w:pPr>
      <w:r w:rsidRPr="00FA4B2D">
        <w:rPr>
          <w:rFonts w:cs="Arial"/>
          <w:lang w:val="es-HN"/>
        </w:rPr>
        <w:t xml:space="preserve">Sistema de humedales Jeannette Kawas </w:t>
      </w:r>
    </w:p>
    <w:p w14:paraId="5256BD2C" w14:textId="77777777" w:rsidR="006A3DBC" w:rsidRPr="00FA4B2D" w:rsidRDefault="006A3DBC" w:rsidP="006A3DBC">
      <w:pPr>
        <w:pStyle w:val="Prrafodelista"/>
        <w:numPr>
          <w:ilvl w:val="0"/>
          <w:numId w:val="42"/>
        </w:numPr>
        <w:spacing w:after="0" w:line="240" w:lineRule="auto"/>
        <w:jc w:val="both"/>
        <w:rPr>
          <w:rFonts w:cs="Arial"/>
          <w:lang w:val="es-HN"/>
        </w:rPr>
      </w:pPr>
      <w:r w:rsidRPr="00FA4B2D">
        <w:rPr>
          <w:rFonts w:cs="Arial"/>
          <w:lang w:val="es-HN"/>
        </w:rPr>
        <w:t xml:space="preserve">Sistema de humedales Punta Izopo </w:t>
      </w:r>
    </w:p>
    <w:p w14:paraId="64A43040" w14:textId="77777777" w:rsidR="006A3DBC" w:rsidRPr="00FA4B2D" w:rsidRDefault="006A3DBC" w:rsidP="006A3DBC">
      <w:pPr>
        <w:pStyle w:val="Prrafodelista"/>
        <w:numPr>
          <w:ilvl w:val="0"/>
          <w:numId w:val="42"/>
        </w:numPr>
        <w:spacing w:after="0" w:line="240" w:lineRule="auto"/>
        <w:jc w:val="both"/>
        <w:rPr>
          <w:rFonts w:cs="Arial"/>
          <w:lang w:val="es-HN"/>
        </w:rPr>
      </w:pPr>
      <w:r w:rsidRPr="00FA4B2D">
        <w:rPr>
          <w:rFonts w:cs="Arial"/>
          <w:lang w:val="es-HN"/>
        </w:rPr>
        <w:t xml:space="preserve">Sistema de humedales Laguna de zambuco </w:t>
      </w:r>
    </w:p>
    <w:p w14:paraId="09DBFD57" w14:textId="77777777" w:rsidR="006A3DBC" w:rsidRPr="00FA4B2D" w:rsidRDefault="006A3DBC" w:rsidP="006A3DBC">
      <w:pPr>
        <w:pStyle w:val="Prrafodelista"/>
        <w:numPr>
          <w:ilvl w:val="0"/>
          <w:numId w:val="42"/>
        </w:numPr>
        <w:spacing w:after="0" w:line="240" w:lineRule="auto"/>
        <w:jc w:val="both"/>
        <w:rPr>
          <w:rFonts w:cs="Arial"/>
          <w:lang w:val="es-HN"/>
        </w:rPr>
      </w:pPr>
      <w:r w:rsidRPr="00FA4B2D">
        <w:rPr>
          <w:rFonts w:cs="Arial"/>
          <w:lang w:val="es-HN"/>
        </w:rPr>
        <w:t xml:space="preserve">Sistema de humedales Cuyamel Omoa </w:t>
      </w:r>
    </w:p>
    <w:p w14:paraId="5792B045" w14:textId="77777777" w:rsidR="006A3DBC" w:rsidRPr="00FA4B2D" w:rsidRDefault="006A3DBC" w:rsidP="006A3DBC">
      <w:pPr>
        <w:pStyle w:val="Prrafodelista"/>
        <w:numPr>
          <w:ilvl w:val="0"/>
          <w:numId w:val="42"/>
        </w:numPr>
        <w:spacing w:after="0" w:line="240" w:lineRule="auto"/>
        <w:jc w:val="both"/>
        <w:rPr>
          <w:rFonts w:cs="Arial"/>
          <w:lang w:val="es-HN"/>
        </w:rPr>
      </w:pPr>
      <w:r w:rsidRPr="00FA4B2D">
        <w:rPr>
          <w:rFonts w:cs="Arial"/>
          <w:lang w:val="es-HN"/>
        </w:rPr>
        <w:t xml:space="preserve">Subcuenca del Lago de Yojoa </w:t>
      </w:r>
    </w:p>
    <w:p w14:paraId="318133B7" w14:textId="77777777" w:rsidR="006A3DBC" w:rsidRPr="00FA4B2D" w:rsidRDefault="006A3DBC" w:rsidP="006A3DBC">
      <w:pPr>
        <w:pStyle w:val="Prrafodelista"/>
        <w:numPr>
          <w:ilvl w:val="0"/>
          <w:numId w:val="42"/>
        </w:numPr>
        <w:spacing w:after="0" w:line="240" w:lineRule="auto"/>
        <w:jc w:val="both"/>
        <w:rPr>
          <w:rFonts w:cs="Arial"/>
          <w:lang w:val="es-HN"/>
        </w:rPr>
      </w:pPr>
      <w:r w:rsidRPr="00FA4B2D">
        <w:rPr>
          <w:rFonts w:cs="Arial"/>
          <w:lang w:val="es-HN"/>
        </w:rPr>
        <w:t xml:space="preserve">Sistema de humedales Zona sur Ramsar 1000 </w:t>
      </w:r>
    </w:p>
    <w:p w14:paraId="44A9B57E" w14:textId="77777777" w:rsidR="006A3DBC" w:rsidRPr="00FA4B2D" w:rsidRDefault="006A3DBC" w:rsidP="006A3DBC">
      <w:pPr>
        <w:pStyle w:val="Prrafodelista"/>
        <w:numPr>
          <w:ilvl w:val="0"/>
          <w:numId w:val="42"/>
        </w:numPr>
        <w:spacing w:after="0" w:line="240" w:lineRule="auto"/>
        <w:jc w:val="both"/>
        <w:rPr>
          <w:rFonts w:cs="Arial"/>
          <w:lang w:val="es-HN"/>
        </w:rPr>
      </w:pPr>
      <w:r w:rsidRPr="00FA4B2D">
        <w:rPr>
          <w:rFonts w:cs="Arial"/>
          <w:lang w:val="es-HN"/>
        </w:rPr>
        <w:t xml:space="preserve">Sistema de humedales Islas de la bahía </w:t>
      </w:r>
    </w:p>
    <w:p w14:paraId="3DA47D96" w14:textId="77777777" w:rsidR="006A3DBC" w:rsidRPr="00FA4B2D" w:rsidRDefault="006A3DBC" w:rsidP="006A3DBC">
      <w:pPr>
        <w:pStyle w:val="Prrafodelista"/>
        <w:numPr>
          <w:ilvl w:val="0"/>
          <w:numId w:val="42"/>
        </w:numPr>
        <w:spacing w:after="0" w:line="240" w:lineRule="auto"/>
        <w:jc w:val="both"/>
        <w:rPr>
          <w:rFonts w:cs="Arial"/>
          <w:lang w:val="es-HN"/>
        </w:rPr>
      </w:pPr>
      <w:r w:rsidRPr="00FA4B2D">
        <w:rPr>
          <w:rFonts w:cs="Arial"/>
          <w:lang w:val="es-HN"/>
        </w:rPr>
        <w:t xml:space="preserve">Sistema de humedales Laguna de bacalar </w:t>
      </w:r>
    </w:p>
    <w:p w14:paraId="6A72C306" w14:textId="77777777" w:rsidR="006A3DBC" w:rsidRPr="00FA4B2D" w:rsidRDefault="006A3DBC" w:rsidP="006A3DBC">
      <w:pPr>
        <w:pStyle w:val="Prrafodelista"/>
        <w:numPr>
          <w:ilvl w:val="0"/>
          <w:numId w:val="42"/>
        </w:numPr>
        <w:spacing w:after="0" w:line="240" w:lineRule="auto"/>
        <w:jc w:val="both"/>
        <w:rPr>
          <w:rFonts w:cs="Arial"/>
          <w:lang w:val="es-HN"/>
        </w:rPr>
      </w:pPr>
      <w:r w:rsidRPr="00FA4B2D">
        <w:rPr>
          <w:rFonts w:cs="Arial"/>
          <w:lang w:val="es-HN"/>
        </w:rPr>
        <w:t xml:space="preserve">Sistema de humedales Laguna de bacalar </w:t>
      </w:r>
    </w:p>
    <w:p w14:paraId="4FB0ADB9" w14:textId="77777777" w:rsidR="006A3DBC" w:rsidRPr="00FA4B2D" w:rsidRDefault="006A3DBC" w:rsidP="006A3DBC">
      <w:pPr>
        <w:pStyle w:val="Prrafodelista"/>
        <w:numPr>
          <w:ilvl w:val="0"/>
          <w:numId w:val="42"/>
        </w:numPr>
        <w:spacing w:after="0" w:line="240" w:lineRule="auto"/>
        <w:jc w:val="both"/>
        <w:rPr>
          <w:rFonts w:cs="Arial"/>
          <w:lang w:val="es-HN"/>
        </w:rPr>
      </w:pPr>
      <w:r w:rsidRPr="00FA4B2D">
        <w:rPr>
          <w:rFonts w:cs="Arial"/>
          <w:lang w:val="es-HN"/>
        </w:rPr>
        <w:t xml:space="preserve">Sistema de humedales Santa Elena </w:t>
      </w:r>
    </w:p>
    <w:p w14:paraId="4805654D" w14:textId="77777777" w:rsidR="006A3DBC" w:rsidRPr="00FA4B2D" w:rsidRDefault="006A3DBC" w:rsidP="006A3DBC">
      <w:pPr>
        <w:pStyle w:val="Prrafodelista"/>
        <w:spacing w:after="0" w:line="240" w:lineRule="auto"/>
        <w:jc w:val="both"/>
        <w:rPr>
          <w:rFonts w:cs="Arial"/>
          <w:lang w:val="es-HN"/>
        </w:rPr>
      </w:pPr>
    </w:p>
    <w:p w14:paraId="120C25AC" w14:textId="77777777" w:rsidR="006A3DBC" w:rsidRPr="00FA4B2D" w:rsidRDefault="006A3DBC" w:rsidP="006A3DBC">
      <w:pPr>
        <w:spacing w:after="0" w:line="240" w:lineRule="auto"/>
        <w:jc w:val="both"/>
        <w:rPr>
          <w:rFonts w:cs="Arial"/>
        </w:rPr>
      </w:pPr>
      <w:r w:rsidRPr="00FA4B2D">
        <w:rPr>
          <w:rFonts w:cs="Arial"/>
        </w:rPr>
        <w:t>Los sitios RAMSAR que se encuentran en el área de influencia del proyecto COMRURAL III, corresponden a 7 y se listan en la siguiente tabla:</w:t>
      </w:r>
    </w:p>
    <w:p w14:paraId="770E0422" w14:textId="77777777" w:rsidR="006A3DBC" w:rsidRPr="00FA4B2D" w:rsidRDefault="006A3DBC" w:rsidP="006A3DBC">
      <w:pPr>
        <w:spacing w:after="0" w:line="240" w:lineRule="auto"/>
        <w:jc w:val="both"/>
        <w:rPr>
          <w:rFonts w:cs="Arial"/>
        </w:rPr>
      </w:pPr>
    </w:p>
    <w:p w14:paraId="1959BA30" w14:textId="72433E92" w:rsidR="00856B8B" w:rsidRDefault="00856B8B" w:rsidP="00856B8B">
      <w:pPr>
        <w:pStyle w:val="Descripcin"/>
        <w:keepNext/>
      </w:pPr>
      <w:bookmarkStart w:id="332" w:name="_Toc202455436"/>
      <w:r>
        <w:t xml:space="preserve">Tabla </w:t>
      </w:r>
      <w:r>
        <w:fldChar w:fldCharType="begin"/>
      </w:r>
      <w:r>
        <w:instrText xml:space="preserve"> SEQ Tabla \* ARABIC </w:instrText>
      </w:r>
      <w:r>
        <w:fldChar w:fldCharType="separate"/>
      </w:r>
      <w:r w:rsidR="000E6D86">
        <w:rPr>
          <w:noProof/>
        </w:rPr>
        <w:t>10</w:t>
      </w:r>
      <w:r>
        <w:fldChar w:fldCharType="end"/>
      </w:r>
      <w:r>
        <w:t xml:space="preserve">: </w:t>
      </w:r>
      <w:r w:rsidRPr="008641E4">
        <w:t>Sitios RAMSAR por departamentos donde interviene COMRURAL III</w:t>
      </w:r>
      <w:bookmarkEnd w:id="332"/>
    </w:p>
    <w:tbl>
      <w:tblPr>
        <w:tblW w:w="7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3686"/>
        <w:gridCol w:w="2977"/>
      </w:tblGrid>
      <w:tr w:rsidR="00CF0F96" w:rsidRPr="00CF0F96" w14:paraId="3EF57700" w14:textId="77777777" w:rsidTr="005F4A92">
        <w:trPr>
          <w:trHeight w:val="300"/>
          <w:tblHeader/>
          <w:jc w:val="center"/>
        </w:trPr>
        <w:tc>
          <w:tcPr>
            <w:tcW w:w="562" w:type="dxa"/>
            <w:shd w:val="clear" w:color="auto" w:fill="5CC5DA"/>
            <w:tcMar>
              <w:top w:w="0" w:type="dxa"/>
              <w:left w:w="45" w:type="dxa"/>
              <w:bottom w:w="0" w:type="dxa"/>
              <w:right w:w="45" w:type="dxa"/>
            </w:tcMar>
            <w:vAlign w:val="center"/>
            <w:hideMark/>
          </w:tcPr>
          <w:p w14:paraId="0DF4065B" w14:textId="77777777" w:rsidR="006A3DBC" w:rsidRPr="00CF0F96" w:rsidRDefault="006A3DBC" w:rsidP="005F4A92">
            <w:pPr>
              <w:spacing w:after="0" w:line="240" w:lineRule="auto"/>
              <w:jc w:val="both"/>
              <w:rPr>
                <w:rFonts w:cs="Arial"/>
                <w:b/>
                <w:bCs/>
                <w:sz w:val="20"/>
                <w:szCs w:val="20"/>
                <w:lang w:val="es-ES"/>
              </w:rPr>
            </w:pPr>
            <w:r w:rsidRPr="00CF0F96">
              <w:rPr>
                <w:rFonts w:cs="Arial"/>
                <w:b/>
                <w:bCs/>
                <w:sz w:val="20"/>
                <w:szCs w:val="20"/>
                <w:lang w:val="es-ES"/>
              </w:rPr>
              <w:t xml:space="preserve">No. </w:t>
            </w:r>
          </w:p>
        </w:tc>
        <w:tc>
          <w:tcPr>
            <w:tcW w:w="3686" w:type="dxa"/>
            <w:shd w:val="clear" w:color="auto" w:fill="5CC5DA"/>
            <w:tcMar>
              <w:top w:w="0" w:type="dxa"/>
              <w:left w:w="45" w:type="dxa"/>
              <w:bottom w:w="0" w:type="dxa"/>
              <w:right w:w="45" w:type="dxa"/>
            </w:tcMar>
            <w:vAlign w:val="center"/>
            <w:hideMark/>
          </w:tcPr>
          <w:p w14:paraId="65A47B3E" w14:textId="77777777" w:rsidR="006A3DBC" w:rsidRPr="00CF0F96" w:rsidRDefault="006A3DBC" w:rsidP="005F4A92">
            <w:pPr>
              <w:spacing w:after="0" w:line="240" w:lineRule="auto"/>
              <w:jc w:val="center"/>
              <w:rPr>
                <w:rFonts w:cs="Arial"/>
                <w:b/>
                <w:bCs/>
                <w:sz w:val="20"/>
                <w:szCs w:val="20"/>
                <w:lang w:val="es-ES"/>
              </w:rPr>
            </w:pPr>
            <w:r w:rsidRPr="00CF0F96">
              <w:rPr>
                <w:rFonts w:cs="Arial"/>
                <w:b/>
                <w:bCs/>
                <w:sz w:val="20"/>
                <w:szCs w:val="20"/>
                <w:lang w:val="es-ES"/>
              </w:rPr>
              <w:t xml:space="preserve">NOMBRE </w:t>
            </w:r>
          </w:p>
        </w:tc>
        <w:tc>
          <w:tcPr>
            <w:tcW w:w="2977" w:type="dxa"/>
            <w:shd w:val="clear" w:color="auto" w:fill="5CC5DA"/>
            <w:vAlign w:val="center"/>
          </w:tcPr>
          <w:p w14:paraId="7218DD7A" w14:textId="77777777" w:rsidR="006A3DBC" w:rsidRPr="00CF0F96" w:rsidRDefault="006A3DBC" w:rsidP="005F4A92">
            <w:pPr>
              <w:spacing w:after="0" w:line="240" w:lineRule="auto"/>
              <w:jc w:val="center"/>
              <w:rPr>
                <w:rFonts w:cs="Arial"/>
                <w:b/>
                <w:bCs/>
                <w:sz w:val="20"/>
                <w:szCs w:val="20"/>
                <w:lang w:val="es-ES"/>
              </w:rPr>
            </w:pPr>
            <w:r w:rsidRPr="00CF0F96">
              <w:rPr>
                <w:rFonts w:cs="Arial"/>
                <w:b/>
                <w:bCs/>
                <w:sz w:val="20"/>
                <w:szCs w:val="20"/>
                <w:lang w:val="es-ES"/>
              </w:rPr>
              <w:t>DEPARTAMENTO</w:t>
            </w:r>
          </w:p>
        </w:tc>
      </w:tr>
      <w:tr w:rsidR="00CF0F96" w:rsidRPr="00CF0F96" w14:paraId="30FF86AD" w14:textId="77777777" w:rsidTr="005F4A92">
        <w:trPr>
          <w:trHeight w:val="300"/>
          <w:jc w:val="center"/>
        </w:trPr>
        <w:tc>
          <w:tcPr>
            <w:tcW w:w="562" w:type="dxa"/>
            <w:tcMar>
              <w:top w:w="0" w:type="dxa"/>
              <w:left w:w="45" w:type="dxa"/>
              <w:bottom w:w="0" w:type="dxa"/>
              <w:right w:w="45" w:type="dxa"/>
            </w:tcMar>
            <w:vAlign w:val="center"/>
          </w:tcPr>
          <w:p w14:paraId="69E30135" w14:textId="77777777" w:rsidR="006A3DBC" w:rsidRPr="00CF0F96" w:rsidRDefault="006A3DBC" w:rsidP="006B7940">
            <w:pPr>
              <w:pStyle w:val="Prrafodelista"/>
              <w:numPr>
                <w:ilvl w:val="0"/>
                <w:numId w:val="41"/>
              </w:numPr>
              <w:spacing w:after="0" w:line="240" w:lineRule="auto"/>
              <w:jc w:val="right"/>
              <w:rPr>
                <w:rFonts w:cs="Arial"/>
                <w:sz w:val="20"/>
                <w:szCs w:val="20"/>
                <w:lang w:val="es-ES"/>
              </w:rPr>
            </w:pPr>
          </w:p>
        </w:tc>
        <w:tc>
          <w:tcPr>
            <w:tcW w:w="3686" w:type="dxa"/>
            <w:tcMar>
              <w:top w:w="0" w:type="dxa"/>
              <w:left w:w="45" w:type="dxa"/>
              <w:bottom w:w="0" w:type="dxa"/>
              <w:right w:w="45" w:type="dxa"/>
            </w:tcMar>
            <w:vAlign w:val="center"/>
          </w:tcPr>
          <w:p w14:paraId="44B22FA9" w14:textId="77777777" w:rsidR="006A3DBC" w:rsidRPr="00CF0F96" w:rsidRDefault="006A3DBC" w:rsidP="005F4A92">
            <w:pPr>
              <w:spacing w:after="0" w:line="240" w:lineRule="auto"/>
              <w:rPr>
                <w:rFonts w:cs="Arial"/>
                <w:sz w:val="20"/>
                <w:szCs w:val="20"/>
              </w:rPr>
            </w:pPr>
            <w:r w:rsidRPr="00CF0F96">
              <w:rPr>
                <w:rFonts w:cs="Arial"/>
                <w:sz w:val="20"/>
                <w:szCs w:val="20"/>
              </w:rPr>
              <w:t xml:space="preserve">Sistema de humedales Cuero y Salado </w:t>
            </w:r>
          </w:p>
        </w:tc>
        <w:tc>
          <w:tcPr>
            <w:tcW w:w="2977" w:type="dxa"/>
            <w:vMerge w:val="restart"/>
            <w:vAlign w:val="center"/>
          </w:tcPr>
          <w:p w14:paraId="02DB4555" w14:textId="77777777" w:rsidR="006A3DBC" w:rsidRPr="00CF0F96" w:rsidRDefault="006A3DBC" w:rsidP="005F4A92">
            <w:pPr>
              <w:spacing w:after="0" w:line="240" w:lineRule="auto"/>
              <w:jc w:val="center"/>
              <w:rPr>
                <w:rFonts w:cs="Arial"/>
                <w:sz w:val="20"/>
                <w:szCs w:val="20"/>
                <w:lang w:val="es-ES"/>
              </w:rPr>
            </w:pPr>
            <w:r w:rsidRPr="00CF0F96">
              <w:rPr>
                <w:rFonts w:cs="Arial"/>
                <w:sz w:val="20"/>
                <w:szCs w:val="20"/>
                <w:lang w:val="es-ES"/>
              </w:rPr>
              <w:t xml:space="preserve">Atlántida </w:t>
            </w:r>
          </w:p>
        </w:tc>
      </w:tr>
      <w:tr w:rsidR="00CF0F96" w:rsidRPr="00CF0F96" w14:paraId="63E53E9F" w14:textId="77777777" w:rsidTr="005F4A92">
        <w:trPr>
          <w:trHeight w:val="300"/>
          <w:jc w:val="center"/>
        </w:trPr>
        <w:tc>
          <w:tcPr>
            <w:tcW w:w="562" w:type="dxa"/>
            <w:tcMar>
              <w:top w:w="0" w:type="dxa"/>
              <w:left w:w="45" w:type="dxa"/>
              <w:bottom w:w="0" w:type="dxa"/>
              <w:right w:w="45" w:type="dxa"/>
            </w:tcMar>
            <w:vAlign w:val="center"/>
          </w:tcPr>
          <w:p w14:paraId="55DE688D" w14:textId="77777777" w:rsidR="006A3DBC" w:rsidRPr="00CF0F96" w:rsidRDefault="006A3DBC" w:rsidP="006B7940">
            <w:pPr>
              <w:pStyle w:val="Prrafodelista"/>
              <w:numPr>
                <w:ilvl w:val="0"/>
                <w:numId w:val="41"/>
              </w:numPr>
              <w:spacing w:after="0" w:line="240" w:lineRule="auto"/>
              <w:jc w:val="right"/>
              <w:rPr>
                <w:rFonts w:cs="Arial"/>
                <w:sz w:val="20"/>
                <w:szCs w:val="20"/>
                <w:lang w:val="es-ES"/>
              </w:rPr>
            </w:pPr>
          </w:p>
        </w:tc>
        <w:tc>
          <w:tcPr>
            <w:tcW w:w="3686" w:type="dxa"/>
            <w:tcMar>
              <w:top w:w="0" w:type="dxa"/>
              <w:left w:w="45" w:type="dxa"/>
              <w:bottom w:w="0" w:type="dxa"/>
              <w:right w:w="45" w:type="dxa"/>
            </w:tcMar>
            <w:vAlign w:val="center"/>
          </w:tcPr>
          <w:p w14:paraId="505DC190" w14:textId="77777777" w:rsidR="006A3DBC" w:rsidRPr="00CF0F96" w:rsidRDefault="006A3DBC" w:rsidP="005F4A92">
            <w:pPr>
              <w:spacing w:after="0" w:line="240" w:lineRule="auto"/>
              <w:jc w:val="both"/>
              <w:rPr>
                <w:rFonts w:cs="Arial"/>
                <w:sz w:val="20"/>
                <w:szCs w:val="20"/>
                <w:lang w:val="es-HN"/>
              </w:rPr>
            </w:pPr>
            <w:r w:rsidRPr="00CF0F96">
              <w:rPr>
                <w:rFonts w:cs="Arial"/>
                <w:sz w:val="20"/>
                <w:szCs w:val="20"/>
                <w:lang w:val="es-HN"/>
              </w:rPr>
              <w:t>Sistema de humedales Jeannette Kawas</w:t>
            </w:r>
          </w:p>
        </w:tc>
        <w:tc>
          <w:tcPr>
            <w:tcW w:w="2977" w:type="dxa"/>
            <w:vMerge/>
            <w:vAlign w:val="center"/>
          </w:tcPr>
          <w:p w14:paraId="37D79112" w14:textId="77777777" w:rsidR="006A3DBC" w:rsidRPr="00CF0F96" w:rsidRDefault="006A3DBC" w:rsidP="005F4A92">
            <w:pPr>
              <w:spacing w:after="0" w:line="240" w:lineRule="auto"/>
              <w:jc w:val="center"/>
              <w:rPr>
                <w:rFonts w:cs="Arial"/>
                <w:sz w:val="20"/>
                <w:szCs w:val="20"/>
                <w:lang w:val="es-ES"/>
              </w:rPr>
            </w:pPr>
          </w:p>
        </w:tc>
      </w:tr>
      <w:tr w:rsidR="00CF0F96" w:rsidRPr="00CF0F96" w14:paraId="2D2BF197" w14:textId="77777777" w:rsidTr="005F4A92">
        <w:trPr>
          <w:trHeight w:val="300"/>
          <w:jc w:val="center"/>
        </w:trPr>
        <w:tc>
          <w:tcPr>
            <w:tcW w:w="562" w:type="dxa"/>
            <w:tcMar>
              <w:top w:w="0" w:type="dxa"/>
              <w:left w:w="45" w:type="dxa"/>
              <w:bottom w:w="0" w:type="dxa"/>
              <w:right w:w="45" w:type="dxa"/>
            </w:tcMar>
            <w:vAlign w:val="center"/>
          </w:tcPr>
          <w:p w14:paraId="6CA046DB" w14:textId="77777777" w:rsidR="006A3DBC" w:rsidRPr="00CF0F96" w:rsidRDefault="006A3DBC" w:rsidP="006B7940">
            <w:pPr>
              <w:pStyle w:val="Prrafodelista"/>
              <w:numPr>
                <w:ilvl w:val="0"/>
                <w:numId w:val="41"/>
              </w:numPr>
              <w:spacing w:after="0" w:line="240" w:lineRule="auto"/>
              <w:jc w:val="right"/>
              <w:rPr>
                <w:rFonts w:cs="Arial"/>
                <w:sz w:val="20"/>
                <w:szCs w:val="20"/>
                <w:lang w:val="es-ES"/>
              </w:rPr>
            </w:pPr>
          </w:p>
        </w:tc>
        <w:tc>
          <w:tcPr>
            <w:tcW w:w="3686" w:type="dxa"/>
            <w:tcMar>
              <w:top w:w="0" w:type="dxa"/>
              <w:left w:w="45" w:type="dxa"/>
              <w:bottom w:w="0" w:type="dxa"/>
              <w:right w:w="45" w:type="dxa"/>
            </w:tcMar>
            <w:vAlign w:val="center"/>
          </w:tcPr>
          <w:p w14:paraId="5BCB2B61" w14:textId="77777777" w:rsidR="006A3DBC" w:rsidRPr="00CF0F96" w:rsidRDefault="006A3DBC" w:rsidP="005F4A92">
            <w:pPr>
              <w:spacing w:after="0" w:line="240" w:lineRule="auto"/>
              <w:jc w:val="both"/>
              <w:rPr>
                <w:rFonts w:cs="Arial"/>
                <w:sz w:val="20"/>
                <w:szCs w:val="20"/>
                <w:lang w:val="es-HN"/>
              </w:rPr>
            </w:pPr>
            <w:r w:rsidRPr="00CF0F96">
              <w:rPr>
                <w:rFonts w:cs="Arial"/>
                <w:sz w:val="20"/>
                <w:szCs w:val="20"/>
                <w:lang w:val="es-HN"/>
              </w:rPr>
              <w:t>Sistema de humedales Punta Izopo</w:t>
            </w:r>
          </w:p>
        </w:tc>
        <w:tc>
          <w:tcPr>
            <w:tcW w:w="2977" w:type="dxa"/>
            <w:vMerge/>
            <w:vAlign w:val="center"/>
          </w:tcPr>
          <w:p w14:paraId="1C4C10C4" w14:textId="77777777" w:rsidR="006A3DBC" w:rsidRPr="00CF0F96" w:rsidRDefault="006A3DBC" w:rsidP="005F4A92">
            <w:pPr>
              <w:spacing w:after="0" w:line="240" w:lineRule="auto"/>
              <w:jc w:val="center"/>
              <w:rPr>
                <w:rFonts w:cs="Arial"/>
                <w:sz w:val="20"/>
                <w:szCs w:val="20"/>
                <w:lang w:val="es-ES"/>
              </w:rPr>
            </w:pPr>
          </w:p>
        </w:tc>
      </w:tr>
      <w:tr w:rsidR="00CF0F96" w:rsidRPr="00CF0F96" w14:paraId="4D23CB42" w14:textId="77777777" w:rsidTr="005F4A92">
        <w:trPr>
          <w:trHeight w:val="300"/>
          <w:jc w:val="center"/>
        </w:trPr>
        <w:tc>
          <w:tcPr>
            <w:tcW w:w="562" w:type="dxa"/>
            <w:tcMar>
              <w:top w:w="0" w:type="dxa"/>
              <w:left w:w="45" w:type="dxa"/>
              <w:bottom w:w="0" w:type="dxa"/>
              <w:right w:w="45" w:type="dxa"/>
            </w:tcMar>
            <w:vAlign w:val="center"/>
          </w:tcPr>
          <w:p w14:paraId="09E00527" w14:textId="77777777" w:rsidR="006A3DBC" w:rsidRPr="00CF0F96" w:rsidRDefault="006A3DBC" w:rsidP="006B7940">
            <w:pPr>
              <w:pStyle w:val="Prrafodelista"/>
              <w:numPr>
                <w:ilvl w:val="0"/>
                <w:numId w:val="41"/>
              </w:numPr>
              <w:spacing w:after="0" w:line="240" w:lineRule="auto"/>
              <w:jc w:val="right"/>
              <w:rPr>
                <w:rFonts w:cs="Arial"/>
                <w:sz w:val="20"/>
                <w:szCs w:val="20"/>
                <w:lang w:val="es-ES"/>
              </w:rPr>
            </w:pPr>
          </w:p>
        </w:tc>
        <w:tc>
          <w:tcPr>
            <w:tcW w:w="3686" w:type="dxa"/>
            <w:tcMar>
              <w:top w:w="0" w:type="dxa"/>
              <w:left w:w="45" w:type="dxa"/>
              <w:bottom w:w="0" w:type="dxa"/>
              <w:right w:w="45" w:type="dxa"/>
            </w:tcMar>
            <w:vAlign w:val="center"/>
          </w:tcPr>
          <w:p w14:paraId="72324DBB" w14:textId="77777777" w:rsidR="006A3DBC" w:rsidRPr="00CF0F96" w:rsidRDefault="006A3DBC" w:rsidP="005F4A92">
            <w:pPr>
              <w:spacing w:after="0" w:line="240" w:lineRule="auto"/>
              <w:rPr>
                <w:rFonts w:cs="Arial"/>
                <w:sz w:val="20"/>
                <w:szCs w:val="20"/>
                <w:lang w:val="es-HN"/>
              </w:rPr>
            </w:pPr>
            <w:r w:rsidRPr="00CF0F96">
              <w:rPr>
                <w:rFonts w:cs="Arial"/>
                <w:sz w:val="20"/>
                <w:szCs w:val="20"/>
                <w:lang w:val="es-HN"/>
              </w:rPr>
              <w:t>Sistema de humedales Laguna de zambuco</w:t>
            </w:r>
          </w:p>
        </w:tc>
        <w:tc>
          <w:tcPr>
            <w:tcW w:w="2977" w:type="dxa"/>
            <w:vMerge/>
            <w:vAlign w:val="center"/>
          </w:tcPr>
          <w:p w14:paraId="0EDCF15A" w14:textId="77777777" w:rsidR="006A3DBC" w:rsidRPr="00CF0F96" w:rsidRDefault="006A3DBC" w:rsidP="005F4A92">
            <w:pPr>
              <w:spacing w:after="0" w:line="240" w:lineRule="auto"/>
              <w:jc w:val="center"/>
              <w:rPr>
                <w:rFonts w:cs="Arial"/>
                <w:sz w:val="20"/>
                <w:szCs w:val="20"/>
                <w:lang w:val="es-HN"/>
              </w:rPr>
            </w:pPr>
          </w:p>
        </w:tc>
      </w:tr>
      <w:tr w:rsidR="00CF0F96" w:rsidRPr="00CF0F96" w14:paraId="353F7CDD" w14:textId="77777777" w:rsidTr="005F4A92">
        <w:trPr>
          <w:trHeight w:val="300"/>
          <w:jc w:val="center"/>
        </w:trPr>
        <w:tc>
          <w:tcPr>
            <w:tcW w:w="562" w:type="dxa"/>
            <w:tcMar>
              <w:top w:w="0" w:type="dxa"/>
              <w:left w:w="45" w:type="dxa"/>
              <w:bottom w:w="0" w:type="dxa"/>
              <w:right w:w="45" w:type="dxa"/>
            </w:tcMar>
            <w:vAlign w:val="center"/>
          </w:tcPr>
          <w:p w14:paraId="71397A57" w14:textId="77777777" w:rsidR="006A3DBC" w:rsidRPr="00CF0F96" w:rsidRDefault="006A3DBC" w:rsidP="006B7940">
            <w:pPr>
              <w:pStyle w:val="Prrafodelista"/>
              <w:numPr>
                <w:ilvl w:val="0"/>
                <w:numId w:val="41"/>
              </w:numPr>
              <w:spacing w:after="0" w:line="240" w:lineRule="auto"/>
              <w:jc w:val="right"/>
              <w:rPr>
                <w:rFonts w:cs="Arial"/>
                <w:sz w:val="20"/>
                <w:szCs w:val="20"/>
                <w:lang w:val="es-ES"/>
              </w:rPr>
            </w:pPr>
          </w:p>
        </w:tc>
        <w:tc>
          <w:tcPr>
            <w:tcW w:w="3686" w:type="dxa"/>
            <w:tcMar>
              <w:top w:w="0" w:type="dxa"/>
              <w:left w:w="45" w:type="dxa"/>
              <w:bottom w:w="0" w:type="dxa"/>
              <w:right w:w="45" w:type="dxa"/>
            </w:tcMar>
            <w:vAlign w:val="center"/>
          </w:tcPr>
          <w:p w14:paraId="451753DE" w14:textId="77777777" w:rsidR="006A3DBC" w:rsidRPr="00CF0F96" w:rsidRDefault="006A3DBC" w:rsidP="005F4A92">
            <w:pPr>
              <w:spacing w:after="0" w:line="240" w:lineRule="auto"/>
              <w:rPr>
                <w:rFonts w:cs="Arial"/>
                <w:sz w:val="20"/>
                <w:szCs w:val="20"/>
                <w:lang w:val="es-HN"/>
              </w:rPr>
            </w:pPr>
            <w:r w:rsidRPr="00CF0F96">
              <w:rPr>
                <w:rFonts w:cs="Arial"/>
                <w:sz w:val="20"/>
                <w:szCs w:val="20"/>
                <w:lang w:val="es-HN"/>
              </w:rPr>
              <w:t xml:space="preserve">Sistema de humedales Cuyamel Omoa </w:t>
            </w:r>
          </w:p>
        </w:tc>
        <w:tc>
          <w:tcPr>
            <w:tcW w:w="2977" w:type="dxa"/>
            <w:vAlign w:val="center"/>
          </w:tcPr>
          <w:p w14:paraId="2AF933A8" w14:textId="77777777" w:rsidR="006A3DBC" w:rsidRPr="00CF0F96" w:rsidRDefault="006A3DBC" w:rsidP="005F4A92">
            <w:pPr>
              <w:spacing w:after="0" w:line="240" w:lineRule="auto"/>
              <w:jc w:val="center"/>
              <w:rPr>
                <w:rFonts w:cs="Arial"/>
                <w:sz w:val="20"/>
                <w:szCs w:val="20"/>
                <w:lang w:val="es-HN"/>
              </w:rPr>
            </w:pPr>
            <w:r w:rsidRPr="00CF0F96">
              <w:rPr>
                <w:rFonts w:cs="Arial"/>
                <w:sz w:val="20"/>
                <w:szCs w:val="20"/>
                <w:lang w:val="es-HN"/>
              </w:rPr>
              <w:t xml:space="preserve">Cortés </w:t>
            </w:r>
          </w:p>
        </w:tc>
      </w:tr>
      <w:tr w:rsidR="00CF0F96" w:rsidRPr="00CF0F96" w14:paraId="5E0CE211" w14:textId="77777777" w:rsidTr="005F4A92">
        <w:trPr>
          <w:trHeight w:val="300"/>
          <w:jc w:val="center"/>
        </w:trPr>
        <w:tc>
          <w:tcPr>
            <w:tcW w:w="562" w:type="dxa"/>
            <w:tcMar>
              <w:top w:w="0" w:type="dxa"/>
              <w:left w:w="45" w:type="dxa"/>
              <w:bottom w:w="0" w:type="dxa"/>
              <w:right w:w="45" w:type="dxa"/>
            </w:tcMar>
            <w:vAlign w:val="center"/>
          </w:tcPr>
          <w:p w14:paraId="5FA5F30A" w14:textId="77777777" w:rsidR="006A3DBC" w:rsidRPr="00CF0F96" w:rsidRDefault="006A3DBC" w:rsidP="006B7940">
            <w:pPr>
              <w:pStyle w:val="Prrafodelista"/>
              <w:numPr>
                <w:ilvl w:val="0"/>
                <w:numId w:val="41"/>
              </w:numPr>
              <w:spacing w:after="0" w:line="240" w:lineRule="auto"/>
              <w:jc w:val="right"/>
              <w:rPr>
                <w:rFonts w:cs="Arial"/>
                <w:sz w:val="20"/>
                <w:szCs w:val="20"/>
                <w:lang w:val="es-ES"/>
              </w:rPr>
            </w:pPr>
          </w:p>
        </w:tc>
        <w:tc>
          <w:tcPr>
            <w:tcW w:w="3686" w:type="dxa"/>
            <w:tcMar>
              <w:top w:w="0" w:type="dxa"/>
              <w:left w:w="45" w:type="dxa"/>
              <w:bottom w:w="0" w:type="dxa"/>
              <w:right w:w="45" w:type="dxa"/>
            </w:tcMar>
            <w:vAlign w:val="center"/>
          </w:tcPr>
          <w:p w14:paraId="7C69AEC8" w14:textId="77777777" w:rsidR="006A3DBC" w:rsidRPr="00CF0F96" w:rsidRDefault="006A3DBC" w:rsidP="005F4A92">
            <w:pPr>
              <w:spacing w:after="0" w:line="240" w:lineRule="auto"/>
              <w:jc w:val="both"/>
              <w:rPr>
                <w:rFonts w:cs="Arial"/>
                <w:sz w:val="20"/>
                <w:szCs w:val="20"/>
                <w:lang w:val="es-HN"/>
              </w:rPr>
            </w:pPr>
            <w:r w:rsidRPr="00CF0F96">
              <w:rPr>
                <w:rFonts w:cs="Arial"/>
                <w:sz w:val="20"/>
                <w:szCs w:val="20"/>
                <w:lang w:val="es-HN"/>
              </w:rPr>
              <w:t xml:space="preserve">Subcuenca del Lago de Yojoa </w:t>
            </w:r>
          </w:p>
        </w:tc>
        <w:tc>
          <w:tcPr>
            <w:tcW w:w="2977" w:type="dxa"/>
            <w:vAlign w:val="center"/>
          </w:tcPr>
          <w:p w14:paraId="7D631AED" w14:textId="77777777" w:rsidR="006A3DBC" w:rsidRPr="00CF0F96" w:rsidRDefault="006A3DBC" w:rsidP="005F4A92">
            <w:pPr>
              <w:spacing w:after="0" w:line="240" w:lineRule="auto"/>
              <w:jc w:val="center"/>
              <w:rPr>
                <w:rFonts w:cs="Arial"/>
                <w:sz w:val="20"/>
                <w:szCs w:val="20"/>
                <w:lang w:val="es-HN"/>
              </w:rPr>
            </w:pPr>
            <w:r w:rsidRPr="00CF0F96">
              <w:rPr>
                <w:rFonts w:cs="Arial"/>
                <w:sz w:val="20"/>
                <w:szCs w:val="20"/>
                <w:lang w:val="es-HN"/>
              </w:rPr>
              <w:t>Comayagua, Cortés y Santa Bárbara</w:t>
            </w:r>
          </w:p>
        </w:tc>
      </w:tr>
      <w:tr w:rsidR="00CF0F96" w:rsidRPr="00CF0F96" w14:paraId="4DCB8922" w14:textId="77777777" w:rsidTr="005F4A92">
        <w:trPr>
          <w:trHeight w:val="300"/>
          <w:jc w:val="center"/>
        </w:trPr>
        <w:tc>
          <w:tcPr>
            <w:tcW w:w="562" w:type="dxa"/>
            <w:tcMar>
              <w:top w:w="0" w:type="dxa"/>
              <w:left w:w="45" w:type="dxa"/>
              <w:bottom w:w="0" w:type="dxa"/>
              <w:right w:w="45" w:type="dxa"/>
            </w:tcMar>
            <w:vAlign w:val="center"/>
          </w:tcPr>
          <w:p w14:paraId="2F499CA4" w14:textId="77777777" w:rsidR="006A3DBC" w:rsidRPr="00CF0F96" w:rsidRDefault="006A3DBC" w:rsidP="006B7940">
            <w:pPr>
              <w:pStyle w:val="Prrafodelista"/>
              <w:numPr>
                <w:ilvl w:val="0"/>
                <w:numId w:val="41"/>
              </w:numPr>
              <w:spacing w:after="0" w:line="240" w:lineRule="auto"/>
              <w:jc w:val="right"/>
              <w:rPr>
                <w:rFonts w:cs="Arial"/>
                <w:sz w:val="20"/>
                <w:szCs w:val="20"/>
                <w:lang w:val="es-ES"/>
              </w:rPr>
            </w:pPr>
          </w:p>
        </w:tc>
        <w:tc>
          <w:tcPr>
            <w:tcW w:w="3686" w:type="dxa"/>
            <w:tcMar>
              <w:top w:w="0" w:type="dxa"/>
              <w:left w:w="45" w:type="dxa"/>
              <w:bottom w:w="0" w:type="dxa"/>
              <w:right w:w="45" w:type="dxa"/>
            </w:tcMar>
            <w:vAlign w:val="center"/>
          </w:tcPr>
          <w:p w14:paraId="360AF9B9" w14:textId="77777777" w:rsidR="006A3DBC" w:rsidRPr="00CF0F96" w:rsidRDefault="006A3DBC" w:rsidP="005F4A92">
            <w:pPr>
              <w:spacing w:after="0" w:line="240" w:lineRule="auto"/>
              <w:jc w:val="both"/>
              <w:rPr>
                <w:rFonts w:cs="Arial"/>
                <w:sz w:val="20"/>
                <w:szCs w:val="20"/>
                <w:lang w:val="es-HN"/>
              </w:rPr>
            </w:pPr>
            <w:r w:rsidRPr="00CF0F96">
              <w:rPr>
                <w:rFonts w:cs="Arial"/>
                <w:sz w:val="20"/>
                <w:szCs w:val="20"/>
                <w:lang w:val="es-HN"/>
              </w:rPr>
              <w:t>Sistema de humedales Zona sur Ramsar</w:t>
            </w:r>
          </w:p>
        </w:tc>
        <w:tc>
          <w:tcPr>
            <w:tcW w:w="2977" w:type="dxa"/>
            <w:vAlign w:val="center"/>
          </w:tcPr>
          <w:p w14:paraId="5E1B063F" w14:textId="77777777" w:rsidR="006A3DBC" w:rsidRPr="00CF0F96" w:rsidRDefault="006A3DBC" w:rsidP="005F4A92">
            <w:pPr>
              <w:spacing w:after="0" w:line="240" w:lineRule="auto"/>
              <w:jc w:val="center"/>
              <w:rPr>
                <w:rFonts w:cs="Arial"/>
                <w:sz w:val="20"/>
                <w:szCs w:val="20"/>
                <w:lang w:val="es-HN"/>
              </w:rPr>
            </w:pPr>
            <w:r w:rsidRPr="00CF0F96">
              <w:rPr>
                <w:rFonts w:cs="Arial"/>
                <w:sz w:val="20"/>
                <w:szCs w:val="20"/>
                <w:lang w:val="es-HN"/>
              </w:rPr>
              <w:t>Valle y Choluteca</w:t>
            </w:r>
          </w:p>
        </w:tc>
      </w:tr>
    </w:tbl>
    <w:p w14:paraId="1458CCEC" w14:textId="77777777" w:rsidR="006A3DBC" w:rsidRPr="00FA4B2D" w:rsidRDefault="006A3DBC" w:rsidP="006A3DBC">
      <w:pPr>
        <w:spacing w:after="0" w:line="240" w:lineRule="auto"/>
        <w:jc w:val="both"/>
        <w:rPr>
          <w:rFonts w:cs="Arial"/>
        </w:rPr>
      </w:pPr>
    </w:p>
    <w:p w14:paraId="2DBA3EF8" w14:textId="77777777" w:rsidR="006A3DBC" w:rsidRDefault="006A3DBC" w:rsidP="006A3DBC">
      <w:pPr>
        <w:spacing w:after="0" w:line="240" w:lineRule="auto"/>
        <w:jc w:val="both"/>
        <w:rPr>
          <w:rFonts w:cs="Arial"/>
        </w:rPr>
      </w:pPr>
    </w:p>
    <w:p w14:paraId="4C3756AD" w14:textId="77777777" w:rsidR="00856B8B" w:rsidRPr="00FA4B2D" w:rsidRDefault="00856B8B" w:rsidP="006A3DBC">
      <w:pPr>
        <w:spacing w:after="0" w:line="240" w:lineRule="auto"/>
        <w:jc w:val="both"/>
        <w:rPr>
          <w:rFonts w:cs="Arial"/>
        </w:rPr>
      </w:pPr>
    </w:p>
    <w:p w14:paraId="10DCF25D" w14:textId="77777777" w:rsidR="006A3DBC" w:rsidRPr="00FA4B2D" w:rsidRDefault="006A3DBC" w:rsidP="006A3DBC">
      <w:pPr>
        <w:pStyle w:val="Prrafodelista"/>
        <w:numPr>
          <w:ilvl w:val="0"/>
          <w:numId w:val="43"/>
        </w:numPr>
        <w:spacing w:after="0" w:line="240" w:lineRule="auto"/>
        <w:jc w:val="both"/>
        <w:rPr>
          <w:rFonts w:cs="Arial"/>
          <w:b/>
          <w:lang w:val="es-ES"/>
        </w:rPr>
      </w:pPr>
      <w:r w:rsidRPr="00FA4B2D">
        <w:rPr>
          <w:rFonts w:cs="Arial"/>
          <w:b/>
          <w:lang w:val="es-ES"/>
        </w:rPr>
        <w:lastRenderedPageBreak/>
        <w:t xml:space="preserve">Sistema de humedales Cuero y Salado </w:t>
      </w:r>
    </w:p>
    <w:p w14:paraId="074A8DB7" w14:textId="77777777" w:rsidR="006A3DBC" w:rsidRPr="00FA4B2D" w:rsidRDefault="006A3DBC" w:rsidP="006A3DBC">
      <w:pPr>
        <w:spacing w:after="0" w:line="240" w:lineRule="auto"/>
        <w:jc w:val="both"/>
        <w:rPr>
          <w:rFonts w:cs="Arial"/>
          <w:lang w:val="es-ES"/>
        </w:rPr>
      </w:pPr>
    </w:p>
    <w:p w14:paraId="522B543C" w14:textId="77777777" w:rsidR="006A3DBC" w:rsidRPr="00FA4B2D" w:rsidRDefault="006A3DBC" w:rsidP="006A3DBC">
      <w:pPr>
        <w:jc w:val="both"/>
        <w:rPr>
          <w:rFonts w:cs="Arial"/>
          <w:lang w:val="es-ES"/>
        </w:rPr>
      </w:pPr>
      <w:r w:rsidRPr="00FA4B2D">
        <w:rPr>
          <w:rFonts w:cs="Arial"/>
        </w:rPr>
        <w:t xml:space="preserve">Las Barras de Cuero y Salado, fueron designadas como sitio RAMSAR el 23 de junio de 1993, se encuentran en el departamento de Atlántida. Es un Refugio Nacional de Vida Silvestre, que consiste en un extenso complejo de humedales costeros, estuarinos y ribereños vinculados. Gran parte del área está compuesta por bosques inundados y manglares con plantaciones de cocoteros que bordean las playas. Es una </w:t>
      </w:r>
      <w:r w:rsidRPr="00FA4B2D">
        <w:rPr>
          <w:rFonts w:cs="Arial"/>
          <w:lang w:val="es-ES"/>
        </w:rPr>
        <w:t>importante fuente de agua potable, excelente pastoreo de verano para el ganado y mantiene una rica fauna de peces y una amplia variedad de aves acuáticas residentes y migratorias. La fauna en peligro de extinción incluye a los reptiles (</w:t>
      </w:r>
      <w:r w:rsidRPr="00FA4B2D">
        <w:rPr>
          <w:rFonts w:cs="Arial"/>
          <w:i/>
          <w:iCs/>
          <w:lang w:val="es-ES"/>
        </w:rPr>
        <w:t>Crocodylus acutus y Caiman sclerops fuscus</w:t>
      </w:r>
      <w:r w:rsidRPr="00FA4B2D">
        <w:rPr>
          <w:rFonts w:cs="Arial"/>
          <w:lang w:val="es-ES"/>
        </w:rPr>
        <w:t>), y una pequeña población de manatíes (</w:t>
      </w:r>
      <w:r w:rsidRPr="00FA4B2D">
        <w:rPr>
          <w:rFonts w:cs="Arial"/>
          <w:i/>
          <w:iCs/>
          <w:lang w:val="es-ES"/>
        </w:rPr>
        <w:t>Trichechus manatus</w:t>
      </w:r>
      <w:r w:rsidRPr="00FA4B2D">
        <w:rPr>
          <w:rFonts w:cs="Arial"/>
          <w:lang w:val="es-ES"/>
        </w:rPr>
        <w:t xml:space="preserve">). </w:t>
      </w:r>
    </w:p>
    <w:p w14:paraId="634B68D2" w14:textId="77777777" w:rsidR="006A3DBC" w:rsidRPr="00FA4B2D" w:rsidRDefault="006A3DBC" w:rsidP="006A3DBC">
      <w:pPr>
        <w:spacing w:after="0" w:line="240" w:lineRule="auto"/>
        <w:jc w:val="both"/>
        <w:rPr>
          <w:rFonts w:cs="Arial"/>
          <w:lang w:val="es-ES"/>
        </w:rPr>
      </w:pPr>
    </w:p>
    <w:p w14:paraId="5F013720" w14:textId="77777777" w:rsidR="006A3DBC" w:rsidRPr="00FA4B2D" w:rsidRDefault="006A3DBC" w:rsidP="006A3DBC">
      <w:pPr>
        <w:pStyle w:val="Prrafodelista"/>
        <w:numPr>
          <w:ilvl w:val="0"/>
          <w:numId w:val="43"/>
        </w:numPr>
        <w:spacing w:after="0" w:line="240" w:lineRule="auto"/>
        <w:jc w:val="both"/>
        <w:rPr>
          <w:rFonts w:cs="Arial"/>
          <w:b/>
          <w:lang w:val="es-ES"/>
        </w:rPr>
      </w:pPr>
      <w:r w:rsidRPr="00FA4B2D">
        <w:rPr>
          <w:rFonts w:cs="Arial"/>
          <w:b/>
          <w:lang w:val="es-ES"/>
        </w:rPr>
        <w:t>Sistema de humedales Jeanette Kawas</w:t>
      </w:r>
    </w:p>
    <w:p w14:paraId="4CACA39C" w14:textId="77777777" w:rsidR="006A3DBC" w:rsidRPr="00FA4B2D" w:rsidRDefault="006A3DBC" w:rsidP="006A3DBC">
      <w:pPr>
        <w:spacing w:after="0" w:line="240" w:lineRule="auto"/>
        <w:jc w:val="both"/>
        <w:rPr>
          <w:rFonts w:cs="Arial"/>
          <w:lang w:val="es-HN"/>
        </w:rPr>
      </w:pPr>
    </w:p>
    <w:p w14:paraId="160D8179" w14:textId="77777777" w:rsidR="006A3DBC" w:rsidRPr="00FA4B2D" w:rsidRDefault="006A3DBC" w:rsidP="006A3DBC">
      <w:pPr>
        <w:jc w:val="both"/>
        <w:rPr>
          <w:rFonts w:cs="Arial"/>
        </w:rPr>
      </w:pPr>
      <w:r w:rsidRPr="00FA4B2D">
        <w:rPr>
          <w:rFonts w:cs="Arial"/>
        </w:rPr>
        <w:t xml:space="preserve">El Parque Nacional Jeanette Kawas, designado sitio RAMSAR el 28 de marzo de 1995; se encuentra en el departamento de Atlántida. Se han desarrollado catorce tipos de ecosistemas, que comprenden cinco humedales no marinos, cinco terrestres y cuatro tipos marinos. Se albergan numerosas especies raras, recientemente descritas y amenazadas. </w:t>
      </w:r>
    </w:p>
    <w:p w14:paraId="1F2CC4B8" w14:textId="77777777" w:rsidR="006A3DBC" w:rsidRPr="00FA4B2D" w:rsidRDefault="006A3DBC" w:rsidP="006A3DBC">
      <w:pPr>
        <w:jc w:val="both"/>
        <w:rPr>
          <w:rFonts w:cs="Arial"/>
        </w:rPr>
      </w:pPr>
      <w:r w:rsidRPr="00FA4B2D">
        <w:rPr>
          <w:rFonts w:cs="Arial"/>
        </w:rPr>
        <w:t xml:space="preserve">Los bosques de la laguna se encuentran entre los mejor conservados de la costa atlántica de Honduras. Particularmente importante para el mantenimiento de la biodiversidad y el desarrollo del ecoturismo, los arrecifes de coral son los más grandes en la costa continental de Honduras. El ecosistema marino tiene una gran diversidad de fauna, que incluye varias especies en peligro. </w:t>
      </w:r>
    </w:p>
    <w:p w14:paraId="13837E72" w14:textId="77777777" w:rsidR="006A3DBC" w:rsidRPr="00FA4B2D" w:rsidRDefault="006A3DBC" w:rsidP="006A3DBC">
      <w:pPr>
        <w:pStyle w:val="Prrafodelista"/>
        <w:numPr>
          <w:ilvl w:val="0"/>
          <w:numId w:val="43"/>
        </w:numPr>
        <w:spacing w:after="0" w:line="240" w:lineRule="auto"/>
        <w:jc w:val="both"/>
        <w:rPr>
          <w:rFonts w:cs="Arial"/>
          <w:b/>
          <w:lang w:val="es-ES"/>
        </w:rPr>
      </w:pPr>
      <w:r w:rsidRPr="00FA4B2D">
        <w:rPr>
          <w:rFonts w:cs="Arial"/>
          <w:b/>
          <w:lang w:val="es-ES"/>
        </w:rPr>
        <w:t>Sistema de humedales Punta Izopo</w:t>
      </w:r>
    </w:p>
    <w:p w14:paraId="36968659" w14:textId="77777777" w:rsidR="006A3DBC" w:rsidRPr="00FA4B2D" w:rsidRDefault="006A3DBC" w:rsidP="006A3DBC">
      <w:pPr>
        <w:pStyle w:val="Prrafodelista"/>
        <w:spacing w:after="0" w:line="240" w:lineRule="auto"/>
        <w:jc w:val="both"/>
        <w:rPr>
          <w:rFonts w:cs="Arial"/>
          <w:lang w:val="es-ES"/>
        </w:rPr>
      </w:pPr>
    </w:p>
    <w:p w14:paraId="47ACE13E" w14:textId="77777777" w:rsidR="006A3DBC" w:rsidRPr="00FA4B2D" w:rsidRDefault="006A3DBC" w:rsidP="006A3DBC">
      <w:pPr>
        <w:jc w:val="both"/>
        <w:rPr>
          <w:rFonts w:cs="Arial"/>
        </w:rPr>
      </w:pPr>
      <w:r w:rsidRPr="00FA4B2D">
        <w:rPr>
          <w:rFonts w:cs="Arial"/>
        </w:rPr>
        <w:t xml:space="preserve">Designado sitio RAMSAR el 20 de marzo de 1996, se encuentra en el departamento de Atlántida. Es una reserva de vida salvaje. Presenta restos de las últimas áreas existentes de bosque prístino, tropical y latifoliado. El sitio incluye costas, valles fluviales, sabanas inundadas, marismas, manglares, playas rocosas y lagos que forman un gran humedal de importancia excepcional debido a su biodiversidad y numerosas poblaciones amenazadas o endémicas. El sitio ofrece importantes áreas de reproducción y alimentación para aves y peces. </w:t>
      </w:r>
    </w:p>
    <w:p w14:paraId="4E49EA5A" w14:textId="77777777" w:rsidR="006A3DBC" w:rsidRPr="00FA4B2D" w:rsidRDefault="006A3DBC" w:rsidP="006A3DBC">
      <w:pPr>
        <w:pStyle w:val="Prrafodelista"/>
        <w:numPr>
          <w:ilvl w:val="0"/>
          <w:numId w:val="43"/>
        </w:numPr>
        <w:spacing w:after="0" w:line="240" w:lineRule="auto"/>
        <w:jc w:val="both"/>
        <w:rPr>
          <w:rFonts w:cs="Arial"/>
          <w:b/>
          <w:lang w:val="es-ES"/>
        </w:rPr>
      </w:pPr>
      <w:r w:rsidRPr="00FA4B2D">
        <w:rPr>
          <w:rFonts w:cs="Arial"/>
          <w:b/>
          <w:lang w:val="es-ES"/>
        </w:rPr>
        <w:t>Sistema de humedales Laguna de Zambuco</w:t>
      </w:r>
    </w:p>
    <w:p w14:paraId="04B06EF1" w14:textId="77777777" w:rsidR="006A3DBC" w:rsidRPr="00FA4B2D" w:rsidRDefault="006A3DBC" w:rsidP="006A3DBC">
      <w:pPr>
        <w:pStyle w:val="Sinespaciado"/>
        <w:rPr>
          <w:rFonts w:ascii="Arial" w:hAnsi="Arial" w:cs="Arial"/>
          <w:color w:val="767171" w:themeColor="background2" w:themeShade="80"/>
        </w:rPr>
      </w:pPr>
    </w:p>
    <w:p w14:paraId="7F9CCAC5" w14:textId="77777777" w:rsidR="006A3DBC" w:rsidRPr="00FA4B2D" w:rsidRDefault="006A3DBC" w:rsidP="006A3DBC">
      <w:pPr>
        <w:jc w:val="both"/>
        <w:rPr>
          <w:rFonts w:cs="Arial"/>
        </w:rPr>
      </w:pPr>
      <w:r w:rsidRPr="00FA4B2D">
        <w:rPr>
          <w:rFonts w:cs="Arial"/>
        </w:rPr>
        <w:t>Designado sitio RAMSAR el 22 de abril del 2013, se encuentra en departamento de Atlántida. Este sitio, alberga numerosas especies amenazadas o en peligro de extinción como el manatí antillano (</w:t>
      </w:r>
      <w:r w:rsidRPr="00FA4B2D">
        <w:rPr>
          <w:rFonts w:cs="Arial"/>
          <w:i/>
          <w:iCs/>
        </w:rPr>
        <w:t>Trichechus manatus</w:t>
      </w:r>
      <w:r w:rsidRPr="00FA4B2D">
        <w:rPr>
          <w:rFonts w:cs="Arial"/>
        </w:rPr>
        <w:t>) y las tortugas laúd y carey (</w:t>
      </w:r>
      <w:r w:rsidRPr="00FA4B2D">
        <w:rPr>
          <w:rFonts w:cs="Arial"/>
          <w:i/>
          <w:iCs/>
        </w:rPr>
        <w:t>Dermochelys coriacea y Eretmochelys imbricata</w:t>
      </w:r>
      <w:r w:rsidRPr="00FA4B2D">
        <w:rPr>
          <w:rFonts w:cs="Arial"/>
        </w:rPr>
        <w:t xml:space="preserve"> respectivamente), para las cuales proporciona áreas de anidación. Es rico en biodiversidad y, a la fecha, se han identificado 59 especies de plantas, 34 de peces, 87 de aves (24 de las cuales son </w:t>
      </w:r>
      <w:r w:rsidRPr="00FA4B2D">
        <w:rPr>
          <w:rFonts w:cs="Arial"/>
        </w:rPr>
        <w:lastRenderedPageBreak/>
        <w:t xml:space="preserve">especies migratorias) y 11 especies de reptiles entre otras. Además, el sitio alberga numerosas especies de peces y crustáceos durante sus etapas larvarias y juveniles, contribuyendo al mantenimiento de las pesquerías de la Barrera Arrecifal Mesoamericana, y al estar ubicado entre otros dos Sitios Ramsar (Parque Nacional Punta Izopo y Refugio de Vida Silvestre Cuero y Salado) contribuye a la creación de un Corredor Biológico en el norte de Honduras. </w:t>
      </w:r>
    </w:p>
    <w:p w14:paraId="15B368D6" w14:textId="458B2DB1" w:rsidR="00856B8B" w:rsidRDefault="00856B8B" w:rsidP="00856B8B">
      <w:pPr>
        <w:pStyle w:val="Descripcin"/>
        <w:keepNext/>
        <w:jc w:val="center"/>
      </w:pPr>
      <w:bookmarkStart w:id="333" w:name="_Toc202455574"/>
      <w:r>
        <w:t xml:space="preserve">Ilustración </w:t>
      </w:r>
      <w:r>
        <w:fldChar w:fldCharType="begin"/>
      </w:r>
      <w:r>
        <w:instrText xml:space="preserve"> SEQ Ilustración \* ARABIC </w:instrText>
      </w:r>
      <w:r>
        <w:fldChar w:fldCharType="separate"/>
      </w:r>
      <w:r w:rsidR="00F94AC4">
        <w:rPr>
          <w:noProof/>
        </w:rPr>
        <w:t>12</w:t>
      </w:r>
      <w:r>
        <w:fldChar w:fldCharType="end"/>
      </w:r>
      <w:r>
        <w:t xml:space="preserve">: </w:t>
      </w:r>
      <w:r w:rsidRPr="001B0F6C">
        <w:t>Mapa Sitio Ramsar Laguna de Zambuco</w:t>
      </w:r>
      <w:bookmarkEnd w:id="333"/>
    </w:p>
    <w:p w14:paraId="536740E0" w14:textId="77777777" w:rsidR="006A3DBC" w:rsidRPr="00FA4B2D" w:rsidRDefault="006A3DBC" w:rsidP="006A3DBC">
      <w:pPr>
        <w:jc w:val="center"/>
        <w:rPr>
          <w:rFonts w:cs="Arial"/>
        </w:rPr>
      </w:pPr>
      <w:r w:rsidRPr="00FA4B2D">
        <w:rPr>
          <w:rFonts w:cs="Arial"/>
          <w:noProof/>
          <w:lang w:val="es-HN" w:eastAsia="es-HN"/>
        </w:rPr>
        <w:drawing>
          <wp:inline distT="0" distB="0" distL="0" distR="0" wp14:anchorId="3DDEEF43" wp14:editId="2C8DC32B">
            <wp:extent cx="5707532" cy="4410075"/>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08137" cy="4410542"/>
                    </a:xfrm>
                    <a:prstGeom prst="rect">
                      <a:avLst/>
                    </a:prstGeom>
                    <a:noFill/>
                    <a:ln>
                      <a:noFill/>
                    </a:ln>
                  </pic:spPr>
                </pic:pic>
              </a:graphicData>
            </a:graphic>
          </wp:inline>
        </w:drawing>
      </w:r>
    </w:p>
    <w:p w14:paraId="556A2B8C" w14:textId="77777777" w:rsidR="006A3DBC" w:rsidRPr="00FA4B2D" w:rsidRDefault="006A3DBC" w:rsidP="006A3DBC">
      <w:pPr>
        <w:pStyle w:val="Prrafodelista"/>
        <w:numPr>
          <w:ilvl w:val="0"/>
          <w:numId w:val="43"/>
        </w:numPr>
        <w:spacing w:after="0" w:line="240" w:lineRule="auto"/>
        <w:jc w:val="both"/>
        <w:rPr>
          <w:rFonts w:cs="Arial"/>
          <w:b/>
          <w:lang w:val="es-ES"/>
        </w:rPr>
      </w:pPr>
      <w:r w:rsidRPr="00FA4B2D">
        <w:rPr>
          <w:rFonts w:cs="Arial"/>
          <w:b/>
          <w:lang w:val="es-ES"/>
        </w:rPr>
        <w:t>Sistema de humedales Cuyamel Omoa</w:t>
      </w:r>
    </w:p>
    <w:p w14:paraId="6515836E" w14:textId="77777777" w:rsidR="006A3DBC" w:rsidRPr="00FA4B2D" w:rsidRDefault="006A3DBC" w:rsidP="006A3DBC">
      <w:pPr>
        <w:pStyle w:val="Prrafodelista"/>
        <w:spacing w:after="0" w:line="240" w:lineRule="auto"/>
        <w:jc w:val="both"/>
        <w:rPr>
          <w:rFonts w:cs="Arial"/>
          <w:lang w:val="es-ES"/>
        </w:rPr>
      </w:pPr>
    </w:p>
    <w:p w14:paraId="0560108B" w14:textId="25F66C9B" w:rsidR="006A3DBC" w:rsidRPr="00FA4B2D" w:rsidRDefault="006A3DBC" w:rsidP="006A3DBC">
      <w:pPr>
        <w:jc w:val="both"/>
        <w:rPr>
          <w:rFonts w:cs="Arial"/>
        </w:rPr>
      </w:pPr>
      <w:r w:rsidRPr="00FA4B2D">
        <w:rPr>
          <w:rFonts w:cs="Arial"/>
        </w:rPr>
        <w:t>Designado sitio RAMSAR el 2 de febrero de 2013; se encuentra en el departamento de Cortés. La importancia de este sistema de humedales radica en su función como hábitat de especies amenazadas como el manatí antillano (</w:t>
      </w:r>
      <w:r w:rsidRPr="00FA4B2D">
        <w:rPr>
          <w:rFonts w:cs="Arial"/>
          <w:i/>
          <w:iCs/>
        </w:rPr>
        <w:t>Trichechus manatus</w:t>
      </w:r>
      <w:r w:rsidRPr="00FA4B2D">
        <w:rPr>
          <w:rFonts w:cs="Arial"/>
        </w:rPr>
        <w:t>), el pájaro Jabiru (</w:t>
      </w:r>
      <w:r w:rsidRPr="00FA4B2D">
        <w:rPr>
          <w:rFonts w:cs="Arial"/>
          <w:i/>
          <w:iCs/>
        </w:rPr>
        <w:t>Jabiru mycteria</w:t>
      </w:r>
      <w:r w:rsidRPr="00FA4B2D">
        <w:rPr>
          <w:rFonts w:cs="Arial"/>
        </w:rPr>
        <w:t>), el pez Guasa (</w:t>
      </w:r>
      <w:r w:rsidRPr="00FA4B2D">
        <w:rPr>
          <w:rFonts w:cs="Arial"/>
          <w:i/>
          <w:iCs/>
        </w:rPr>
        <w:t>Epinephelus itajara</w:t>
      </w:r>
      <w:r w:rsidRPr="00FA4B2D">
        <w:rPr>
          <w:rFonts w:cs="Arial"/>
        </w:rPr>
        <w:t>), el cocodrilo (</w:t>
      </w:r>
      <w:r w:rsidRPr="00FA4B2D">
        <w:rPr>
          <w:rFonts w:cs="Arial"/>
          <w:i/>
          <w:iCs/>
        </w:rPr>
        <w:t>Crocodylus acutus</w:t>
      </w:r>
      <w:r w:rsidRPr="00FA4B2D">
        <w:rPr>
          <w:rFonts w:cs="Arial"/>
        </w:rPr>
        <w:t xml:space="preserve">) y las especies de tortugas marinas </w:t>
      </w:r>
      <w:r w:rsidRPr="00FA4B2D">
        <w:rPr>
          <w:rFonts w:cs="Arial"/>
          <w:i/>
          <w:iCs/>
        </w:rPr>
        <w:t>Dermochelys coriacea</w:t>
      </w:r>
      <w:r w:rsidRPr="00FA4B2D">
        <w:rPr>
          <w:rFonts w:cs="Arial"/>
        </w:rPr>
        <w:t xml:space="preserve"> y </w:t>
      </w:r>
      <w:r w:rsidRPr="00FA4B2D">
        <w:rPr>
          <w:rFonts w:cs="Arial"/>
          <w:i/>
          <w:iCs/>
        </w:rPr>
        <w:t>Eretmochelys</w:t>
      </w:r>
      <w:r w:rsidR="00856B8B">
        <w:rPr>
          <w:rFonts w:cs="Arial"/>
          <w:i/>
          <w:iCs/>
        </w:rPr>
        <w:t xml:space="preserve"> </w:t>
      </w:r>
      <w:r w:rsidRPr="00FA4B2D">
        <w:rPr>
          <w:rFonts w:cs="Arial"/>
          <w:i/>
          <w:iCs/>
        </w:rPr>
        <w:t>imbricata</w:t>
      </w:r>
      <w:r w:rsidRPr="00FA4B2D">
        <w:rPr>
          <w:rFonts w:cs="Arial"/>
        </w:rPr>
        <w:t xml:space="preserve">. Este sitio Ramsar también es vital para las especies acuáticas, particularmente durante sus primeras etapas de vida, ya que mantienen las pesquerías del Sistema de Barrera Arrecifal Mesoamericana y son la base de la economía local. Además, este sistema de humedales apoya a las poblaciones de aves acuáticas residentes y migratorias, así como a las poblaciones de tortugas </w:t>
      </w:r>
      <w:r w:rsidRPr="00FA4B2D">
        <w:rPr>
          <w:rFonts w:cs="Arial"/>
        </w:rPr>
        <w:lastRenderedPageBreak/>
        <w:t xml:space="preserve">marinas que dependen de las playas del sitio, especialmente durante la temporada de desove. Además de los servicios ecosistémicos ya mencionados, este sitio es esencial para la regulación del flujo de agua y la prevención de la intrusión de agua de mar y la contaminación de los acuíferos en las áreas costeras donde se encuentran las comunidades locales. </w:t>
      </w:r>
    </w:p>
    <w:p w14:paraId="4DD7A674" w14:textId="70B5DF37" w:rsidR="00856B8B" w:rsidRDefault="00856B8B" w:rsidP="00856B8B">
      <w:pPr>
        <w:pStyle w:val="Descripcin"/>
        <w:keepNext/>
        <w:jc w:val="both"/>
      </w:pPr>
      <w:bookmarkStart w:id="334" w:name="_Toc202455575"/>
      <w:r>
        <w:t xml:space="preserve">Ilustración </w:t>
      </w:r>
      <w:r>
        <w:fldChar w:fldCharType="begin"/>
      </w:r>
      <w:r>
        <w:instrText xml:space="preserve"> SEQ Ilustración \* ARABIC </w:instrText>
      </w:r>
      <w:r>
        <w:fldChar w:fldCharType="separate"/>
      </w:r>
      <w:r w:rsidR="00F94AC4">
        <w:rPr>
          <w:noProof/>
        </w:rPr>
        <w:t>13</w:t>
      </w:r>
      <w:r>
        <w:fldChar w:fldCharType="end"/>
      </w:r>
      <w:r>
        <w:t xml:space="preserve">: </w:t>
      </w:r>
      <w:r w:rsidRPr="00893664">
        <w:t>Mapa Sitio Ramsar Cuyamel Omoa</w:t>
      </w:r>
      <w:bookmarkEnd w:id="334"/>
    </w:p>
    <w:p w14:paraId="50357453" w14:textId="77777777" w:rsidR="006A3DBC" w:rsidRPr="00FA4B2D" w:rsidRDefault="006A3DBC" w:rsidP="006A3DBC">
      <w:pPr>
        <w:jc w:val="both"/>
        <w:rPr>
          <w:rFonts w:cs="Arial"/>
        </w:rPr>
      </w:pPr>
      <w:r w:rsidRPr="00FA4B2D">
        <w:rPr>
          <w:rFonts w:cs="Arial"/>
          <w:noProof/>
          <w:lang w:val="es-HN" w:eastAsia="es-HN"/>
        </w:rPr>
        <w:drawing>
          <wp:inline distT="0" distB="0" distL="0" distR="0" wp14:anchorId="55851CB1" wp14:editId="63277E2C">
            <wp:extent cx="5670550" cy="3717290"/>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70550" cy="3717290"/>
                    </a:xfrm>
                    <a:prstGeom prst="rect">
                      <a:avLst/>
                    </a:prstGeom>
                    <a:noFill/>
                    <a:ln>
                      <a:noFill/>
                    </a:ln>
                  </pic:spPr>
                </pic:pic>
              </a:graphicData>
            </a:graphic>
          </wp:inline>
        </w:drawing>
      </w:r>
    </w:p>
    <w:p w14:paraId="2FF1652A" w14:textId="77777777" w:rsidR="006A3DBC" w:rsidRPr="00FA4B2D" w:rsidRDefault="006A3DBC" w:rsidP="006A3DBC">
      <w:pPr>
        <w:pStyle w:val="Prrafodelista"/>
        <w:numPr>
          <w:ilvl w:val="0"/>
          <w:numId w:val="43"/>
        </w:numPr>
        <w:spacing w:after="0" w:line="240" w:lineRule="auto"/>
        <w:jc w:val="both"/>
        <w:rPr>
          <w:rFonts w:cs="Arial"/>
          <w:b/>
          <w:lang w:val="es-ES"/>
        </w:rPr>
      </w:pPr>
      <w:proofErr w:type="gramStart"/>
      <w:r w:rsidRPr="00FA4B2D">
        <w:rPr>
          <w:rFonts w:cs="Arial"/>
          <w:b/>
          <w:lang w:val="es-ES"/>
        </w:rPr>
        <w:t>Sub cuenca</w:t>
      </w:r>
      <w:proofErr w:type="gramEnd"/>
      <w:r w:rsidRPr="00FA4B2D">
        <w:rPr>
          <w:rFonts w:cs="Arial"/>
          <w:b/>
          <w:lang w:val="es-ES"/>
        </w:rPr>
        <w:t xml:space="preserve"> del Lago de Yojoa </w:t>
      </w:r>
    </w:p>
    <w:p w14:paraId="5AC2C1F1" w14:textId="77777777" w:rsidR="006A3DBC" w:rsidRPr="00FA4B2D" w:rsidRDefault="006A3DBC" w:rsidP="006A3DBC">
      <w:pPr>
        <w:spacing w:after="0" w:line="240" w:lineRule="auto"/>
        <w:jc w:val="both"/>
        <w:rPr>
          <w:rFonts w:cs="Arial"/>
        </w:rPr>
      </w:pPr>
    </w:p>
    <w:p w14:paraId="7C97118A" w14:textId="41EEEC47" w:rsidR="006A3DBC" w:rsidRPr="00FA4B2D" w:rsidRDefault="006A3DBC" w:rsidP="006A3DBC">
      <w:pPr>
        <w:spacing w:after="0" w:line="240" w:lineRule="auto"/>
        <w:jc w:val="both"/>
        <w:rPr>
          <w:rFonts w:cs="Arial"/>
        </w:rPr>
      </w:pPr>
      <w:r w:rsidRPr="00FA4B2D">
        <w:rPr>
          <w:rFonts w:cs="Arial"/>
        </w:rPr>
        <w:t xml:space="preserve">La </w:t>
      </w:r>
      <w:proofErr w:type="gramStart"/>
      <w:r w:rsidRPr="00FA4B2D">
        <w:rPr>
          <w:rFonts w:cs="Arial"/>
        </w:rPr>
        <w:t>sub</w:t>
      </w:r>
      <w:r w:rsidR="005F4A92" w:rsidRPr="00FA4B2D">
        <w:rPr>
          <w:rFonts w:cs="Arial"/>
        </w:rPr>
        <w:t xml:space="preserve"> </w:t>
      </w:r>
      <w:r w:rsidRPr="00FA4B2D">
        <w:rPr>
          <w:rFonts w:cs="Arial"/>
        </w:rPr>
        <w:t>cuenca</w:t>
      </w:r>
      <w:proofErr w:type="gramEnd"/>
      <w:r w:rsidRPr="00FA4B2D">
        <w:rPr>
          <w:rFonts w:cs="Arial"/>
        </w:rPr>
        <w:t xml:space="preserve"> del Lago de Yojoa fue designada como sitio RAMSAR el 5 de junio de 2005. es un sistema de humedales, donde se encuentran 802 especies y 141 familias de plantas.  La región del Lago de Yojoa representa la flora regional más diversa identificada en Honduras hasta la fecha. Estas 802 plantas representan 10.6 % de la flora Nacional. Algunos datos sobresalientes del lago son que la cuenca guarda todas las especies CITES 1 de plantas en Honduras. Por otra parte, se reportan 407 especies de aves para esta región que representa el 55 % de las aves de Honduras, 31 especies de anfibios que representa el 44.2 % de los anfibios de Honduras (Vaux et al 1993), 72 especies de reptiles que representan el 43.6% de los reptiles de Honduras (Vaux et al 1993) y 29 especies de peces, que representan 32.9 % de los peces de agua dulce</w:t>
      </w:r>
      <w:r w:rsidRPr="00FA4B2D">
        <w:rPr>
          <w:rFonts w:cs="Arial"/>
          <w:vertAlign w:val="superscript"/>
        </w:rPr>
        <w:footnoteReference w:id="11"/>
      </w:r>
      <w:r w:rsidRPr="00FA4B2D">
        <w:rPr>
          <w:rFonts w:cs="Arial"/>
        </w:rPr>
        <w:t>.</w:t>
      </w:r>
    </w:p>
    <w:p w14:paraId="0379283C" w14:textId="5ADCBBA1" w:rsidR="00856B8B" w:rsidRDefault="00856B8B" w:rsidP="00856B8B">
      <w:pPr>
        <w:pStyle w:val="Descripcin"/>
        <w:keepNext/>
        <w:jc w:val="both"/>
      </w:pPr>
      <w:bookmarkStart w:id="335" w:name="_Toc202455576"/>
      <w:r>
        <w:lastRenderedPageBreak/>
        <w:t xml:space="preserve">Ilustración </w:t>
      </w:r>
      <w:r>
        <w:fldChar w:fldCharType="begin"/>
      </w:r>
      <w:r>
        <w:instrText xml:space="preserve"> SEQ Ilustración \* ARABIC </w:instrText>
      </w:r>
      <w:r>
        <w:fldChar w:fldCharType="separate"/>
      </w:r>
      <w:r w:rsidR="00F94AC4">
        <w:rPr>
          <w:noProof/>
        </w:rPr>
        <w:t>14</w:t>
      </w:r>
      <w:r>
        <w:fldChar w:fldCharType="end"/>
      </w:r>
      <w:r>
        <w:t>: Mapa SItio Ramsar Layo de Yojoa</w:t>
      </w:r>
      <w:bookmarkEnd w:id="335"/>
    </w:p>
    <w:p w14:paraId="43803877" w14:textId="77777777" w:rsidR="006A3DBC" w:rsidRPr="00FA4B2D" w:rsidRDefault="006A3DBC" w:rsidP="006A3DBC">
      <w:pPr>
        <w:spacing w:after="0" w:line="240" w:lineRule="auto"/>
        <w:jc w:val="both"/>
        <w:rPr>
          <w:rFonts w:cs="Arial"/>
        </w:rPr>
      </w:pPr>
      <w:r w:rsidRPr="00FA4B2D">
        <w:rPr>
          <w:rFonts w:cs="Arial"/>
          <w:noProof/>
          <w:lang w:val="es-HN" w:eastAsia="es-HN"/>
        </w:rPr>
        <w:drawing>
          <wp:inline distT="0" distB="0" distL="0" distR="0" wp14:anchorId="1EA9DFF2" wp14:editId="4B06661A">
            <wp:extent cx="5670550" cy="3513667"/>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11551"/>
                    <a:stretch/>
                  </pic:blipFill>
                  <pic:spPr bwMode="auto">
                    <a:xfrm>
                      <a:off x="0" y="0"/>
                      <a:ext cx="5670550" cy="3513667"/>
                    </a:xfrm>
                    <a:prstGeom prst="rect">
                      <a:avLst/>
                    </a:prstGeom>
                    <a:noFill/>
                    <a:ln>
                      <a:noFill/>
                    </a:ln>
                    <a:extLst>
                      <a:ext uri="{53640926-AAD7-44D8-BBD7-CCE9431645EC}">
                        <a14:shadowObscured xmlns:a14="http://schemas.microsoft.com/office/drawing/2010/main"/>
                      </a:ext>
                    </a:extLst>
                  </pic:spPr>
                </pic:pic>
              </a:graphicData>
            </a:graphic>
          </wp:inline>
        </w:drawing>
      </w:r>
    </w:p>
    <w:p w14:paraId="290316E2" w14:textId="77777777" w:rsidR="006A3DBC" w:rsidRPr="00FA4B2D" w:rsidRDefault="006A3DBC" w:rsidP="006A3DBC">
      <w:pPr>
        <w:spacing w:after="0" w:line="240" w:lineRule="auto"/>
        <w:jc w:val="both"/>
        <w:rPr>
          <w:rFonts w:cs="Arial"/>
        </w:rPr>
      </w:pPr>
    </w:p>
    <w:p w14:paraId="49E4AAF0" w14:textId="77777777" w:rsidR="006A3DBC" w:rsidRPr="00FA4B2D" w:rsidRDefault="006A3DBC" w:rsidP="006A3DBC">
      <w:pPr>
        <w:pStyle w:val="Prrafodelista"/>
        <w:numPr>
          <w:ilvl w:val="0"/>
          <w:numId w:val="43"/>
        </w:numPr>
        <w:spacing w:after="0" w:line="240" w:lineRule="auto"/>
        <w:jc w:val="both"/>
        <w:rPr>
          <w:rFonts w:cs="Arial"/>
          <w:b/>
          <w:lang w:val="es-ES"/>
        </w:rPr>
      </w:pPr>
      <w:r w:rsidRPr="00FA4B2D">
        <w:rPr>
          <w:rFonts w:cs="Arial"/>
          <w:b/>
          <w:lang w:val="es-ES"/>
        </w:rPr>
        <w:t xml:space="preserve">Sistema de humedales Zona Sur  </w:t>
      </w:r>
    </w:p>
    <w:p w14:paraId="647E89BC" w14:textId="77777777" w:rsidR="006A3DBC" w:rsidRPr="00FA4B2D" w:rsidRDefault="006A3DBC" w:rsidP="006A3DBC">
      <w:pPr>
        <w:spacing w:after="0" w:line="240" w:lineRule="auto"/>
        <w:jc w:val="both"/>
        <w:rPr>
          <w:rFonts w:cs="Arial"/>
        </w:rPr>
      </w:pPr>
    </w:p>
    <w:p w14:paraId="6576D540" w14:textId="77777777" w:rsidR="006A3DBC" w:rsidRPr="00FA4B2D" w:rsidRDefault="006A3DBC" w:rsidP="006A3DBC">
      <w:pPr>
        <w:spacing w:after="0" w:line="240" w:lineRule="auto"/>
        <w:jc w:val="both"/>
        <w:rPr>
          <w:rFonts w:cs="Arial"/>
          <w:lang w:val="es-HN"/>
        </w:rPr>
      </w:pPr>
      <w:r w:rsidRPr="00FA4B2D">
        <w:rPr>
          <w:rFonts w:cs="Arial"/>
          <w:lang w:val="es-HN"/>
        </w:rPr>
        <w:t>El Sistema de humedales “Zona Sur Ramsar 1000”, consiste en ecosistemas marino costeros ubicados en los departamentos de Choluteca y Valle, con una extensión de 81,530.95 hectáreas de humedales, islas e islotes, bosques de mangle, lagunas de invierno, playas y bosque seco subtropical. El siguiente mapa muestra el área de cobertura de los humedales en la zona Sur de influencia del Proyecto.</w:t>
      </w:r>
    </w:p>
    <w:p w14:paraId="1ADFDDEE" w14:textId="77777777" w:rsidR="006A3DBC" w:rsidRPr="00FA4B2D" w:rsidRDefault="006A3DBC" w:rsidP="006A3DBC">
      <w:pPr>
        <w:spacing w:after="0" w:line="240" w:lineRule="auto"/>
        <w:jc w:val="both"/>
        <w:rPr>
          <w:rFonts w:cs="Arial"/>
          <w:lang w:val="es-HN"/>
        </w:rPr>
      </w:pPr>
    </w:p>
    <w:p w14:paraId="1951B999" w14:textId="77777777" w:rsidR="006A3DBC" w:rsidRPr="00FA4B2D" w:rsidRDefault="006A3DBC" w:rsidP="006A3DBC">
      <w:pPr>
        <w:spacing w:after="0" w:line="240" w:lineRule="auto"/>
        <w:jc w:val="both"/>
        <w:rPr>
          <w:rFonts w:cs="Arial"/>
          <w:lang w:val="es-HN"/>
        </w:rPr>
      </w:pPr>
    </w:p>
    <w:p w14:paraId="6F49D6A8" w14:textId="77777777" w:rsidR="006A3DBC" w:rsidRPr="00FA4B2D" w:rsidRDefault="006A3DBC" w:rsidP="006A3DBC">
      <w:pPr>
        <w:rPr>
          <w:rFonts w:cs="Arial"/>
          <w:b/>
        </w:rPr>
      </w:pPr>
      <w:bookmarkStart w:id="336" w:name="_Toc67573474"/>
      <w:r w:rsidRPr="00FA4B2D">
        <w:rPr>
          <w:rFonts w:cs="Arial"/>
          <w:b/>
        </w:rPr>
        <w:br w:type="page"/>
      </w:r>
    </w:p>
    <w:p w14:paraId="1B84CAFF" w14:textId="77777777" w:rsidR="00CF0F96" w:rsidRDefault="00856B8B" w:rsidP="00856B8B">
      <w:pPr>
        <w:pStyle w:val="Descripcin"/>
        <w:keepNext/>
        <w:jc w:val="center"/>
      </w:pPr>
      <w:bookmarkStart w:id="337" w:name="_Toc202455577"/>
      <w:r>
        <w:lastRenderedPageBreak/>
        <w:t xml:space="preserve">Ilustración </w:t>
      </w:r>
      <w:r>
        <w:fldChar w:fldCharType="begin"/>
      </w:r>
      <w:r>
        <w:instrText xml:space="preserve"> SEQ Ilustración \* ARABIC </w:instrText>
      </w:r>
      <w:r>
        <w:fldChar w:fldCharType="separate"/>
      </w:r>
      <w:r w:rsidR="00F94AC4">
        <w:rPr>
          <w:noProof/>
        </w:rPr>
        <w:t>15</w:t>
      </w:r>
      <w:r>
        <w:fldChar w:fldCharType="end"/>
      </w:r>
      <w:r>
        <w:t xml:space="preserve">: </w:t>
      </w:r>
      <w:r w:rsidRPr="00C05390">
        <w:t>Mapa de Humedales Zona Sur</w:t>
      </w:r>
    </w:p>
    <w:p w14:paraId="2C3B00EE" w14:textId="4F8E2741" w:rsidR="006A3DBC" w:rsidRPr="00FA4B2D" w:rsidRDefault="006A3DBC" w:rsidP="00856B8B">
      <w:pPr>
        <w:pStyle w:val="Descripcin"/>
        <w:keepNext/>
        <w:jc w:val="center"/>
        <w:rPr>
          <w:rFonts w:cs="Arial"/>
          <w:color w:val="767171" w:themeColor="background2" w:themeShade="80"/>
          <w:lang w:val="es-HN"/>
        </w:rPr>
      </w:pPr>
      <w:r w:rsidRPr="00FA4B2D">
        <w:rPr>
          <w:rFonts w:cs="Arial"/>
          <w:noProof/>
          <w:color w:val="767171" w:themeColor="background2" w:themeShade="80"/>
          <w:lang w:val="es-HN" w:eastAsia="es-HN"/>
        </w:rPr>
        <w:drawing>
          <wp:inline distT="0" distB="0" distL="0" distR="0" wp14:anchorId="1E4223A0" wp14:editId="6A5D6499">
            <wp:extent cx="5060950" cy="3892908"/>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80497" cy="3907943"/>
                    </a:xfrm>
                    <a:prstGeom prst="rect">
                      <a:avLst/>
                    </a:prstGeom>
                    <a:noFill/>
                    <a:ln>
                      <a:noFill/>
                    </a:ln>
                  </pic:spPr>
                </pic:pic>
              </a:graphicData>
            </a:graphic>
          </wp:inline>
        </w:drawing>
      </w:r>
      <w:bookmarkEnd w:id="337"/>
    </w:p>
    <w:p w14:paraId="73B2888C" w14:textId="522B32D6" w:rsidR="006A3DBC" w:rsidRPr="00FA4B2D" w:rsidRDefault="00856B8B" w:rsidP="00856B8B">
      <w:pPr>
        <w:pStyle w:val="Descripcin"/>
        <w:rPr>
          <w:rFonts w:cs="Arial"/>
          <w:b/>
          <w:bCs/>
          <w:color w:val="767171" w:themeColor="background2" w:themeShade="80"/>
        </w:rPr>
      </w:pPr>
      <w:bookmarkStart w:id="338" w:name="_Toc160575681"/>
      <w:bookmarkStart w:id="339" w:name="_Toc202455578"/>
      <w:r>
        <w:t xml:space="preserve">Ilustración </w:t>
      </w:r>
      <w:r>
        <w:fldChar w:fldCharType="begin"/>
      </w:r>
      <w:r>
        <w:instrText xml:space="preserve"> SEQ Ilustración \* ARABIC </w:instrText>
      </w:r>
      <w:r>
        <w:fldChar w:fldCharType="separate"/>
      </w:r>
      <w:r w:rsidR="00F94AC4">
        <w:rPr>
          <w:noProof/>
        </w:rPr>
        <w:t>16</w:t>
      </w:r>
      <w:r>
        <w:fldChar w:fldCharType="end"/>
      </w:r>
      <w:r>
        <w:t xml:space="preserve">: </w:t>
      </w:r>
      <w:r w:rsidRPr="00E8275D">
        <w:t>Mapa de Humedales en los Departamentos de Influencia de COMRURAL III</w:t>
      </w:r>
      <w:r w:rsidR="006A3DBC" w:rsidRPr="00FA4B2D">
        <w:rPr>
          <w:rStyle w:val="Refdenotaalpie"/>
          <w:rFonts w:cs="Arial"/>
          <w:b/>
          <w:bCs/>
          <w:color w:val="767171" w:themeColor="background2" w:themeShade="80"/>
        </w:rPr>
        <w:footnoteReference w:id="12"/>
      </w:r>
      <w:bookmarkEnd w:id="336"/>
      <w:bookmarkEnd w:id="338"/>
      <w:bookmarkEnd w:id="339"/>
    </w:p>
    <w:p w14:paraId="232D4697" w14:textId="77777777" w:rsidR="006A3DBC" w:rsidRPr="00FA4B2D" w:rsidRDefault="006A3DBC" w:rsidP="006A3DBC">
      <w:pPr>
        <w:pStyle w:val="Sinespaciado"/>
        <w:jc w:val="center"/>
        <w:rPr>
          <w:rFonts w:ascii="Arial" w:hAnsi="Arial" w:cs="Arial"/>
          <w:color w:val="767171" w:themeColor="background2" w:themeShade="80"/>
        </w:rPr>
      </w:pPr>
      <w:r w:rsidRPr="00FA4B2D">
        <w:rPr>
          <w:rFonts w:ascii="Arial" w:hAnsi="Arial" w:cs="Arial"/>
          <w:noProof/>
          <w:color w:val="767171" w:themeColor="background2" w:themeShade="80"/>
          <w:lang w:val="es-HN" w:eastAsia="es-HN"/>
        </w:rPr>
        <w:drawing>
          <wp:inline distT="0" distB="0" distL="0" distR="0" wp14:anchorId="1BE9399F" wp14:editId="5D543BC9">
            <wp:extent cx="5151005" cy="312751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171617" cy="3140034"/>
                    </a:xfrm>
                    <a:prstGeom prst="rect">
                      <a:avLst/>
                    </a:prstGeom>
                  </pic:spPr>
                </pic:pic>
              </a:graphicData>
            </a:graphic>
          </wp:inline>
        </w:drawing>
      </w:r>
    </w:p>
    <w:p w14:paraId="7F07D5DA" w14:textId="77777777" w:rsidR="006A3DBC" w:rsidRPr="00FA4B2D" w:rsidRDefault="006A3DBC" w:rsidP="006A3DBC">
      <w:pPr>
        <w:spacing w:after="0" w:line="240" w:lineRule="auto"/>
        <w:ind w:left="360"/>
        <w:jc w:val="both"/>
        <w:rPr>
          <w:rFonts w:cs="Arial"/>
          <w:b/>
        </w:rPr>
      </w:pPr>
      <w:r w:rsidRPr="00FA4B2D">
        <w:rPr>
          <w:rFonts w:cs="Arial"/>
          <w:b/>
        </w:rPr>
        <w:lastRenderedPageBreak/>
        <w:t>5.4.5 Corredores biológicos</w:t>
      </w:r>
    </w:p>
    <w:p w14:paraId="6AA407C0" w14:textId="77777777" w:rsidR="006A3DBC" w:rsidRPr="00FA4B2D" w:rsidRDefault="006A3DBC" w:rsidP="006A3DBC">
      <w:pPr>
        <w:pStyle w:val="Prrafodelista"/>
        <w:spacing w:after="0" w:line="240" w:lineRule="auto"/>
        <w:ind w:left="1224"/>
        <w:jc w:val="both"/>
        <w:rPr>
          <w:rFonts w:cs="Arial"/>
        </w:rPr>
      </w:pPr>
    </w:p>
    <w:p w14:paraId="31CA3ED2" w14:textId="77777777" w:rsidR="006A3DBC" w:rsidRPr="00FA4B2D" w:rsidRDefault="006A3DBC" w:rsidP="006A3DBC">
      <w:pPr>
        <w:spacing w:after="0" w:line="240" w:lineRule="auto"/>
        <w:jc w:val="both"/>
        <w:rPr>
          <w:rFonts w:cs="Arial"/>
        </w:rPr>
      </w:pPr>
      <w:r w:rsidRPr="00FA4B2D">
        <w:rPr>
          <w:rFonts w:cs="Arial"/>
        </w:rPr>
        <w:t>La iniciativa del Corredor Biológico Mesoamericano (CBM), ha permitido un avance significativo en el diseño de un sistema de áreas protegidas interconectado mediante corredores biológicos. En el año 2001, en el marco de una serie de consultas, se analizaron y discutieron el concepto y visión estratégica del CBM a nivel nacional, con el fin de elaborar la planificación estratégica de los corredores biológicos prioritarios del país. Como resultado se consensuó la siguiente definición del concepto:</w:t>
      </w:r>
    </w:p>
    <w:p w14:paraId="36D8D19C" w14:textId="77777777" w:rsidR="006A3DBC" w:rsidRPr="00FA4B2D" w:rsidRDefault="006A3DBC" w:rsidP="006A3DBC">
      <w:pPr>
        <w:tabs>
          <w:tab w:val="left" w:pos="2731"/>
        </w:tabs>
        <w:spacing w:after="0" w:line="240" w:lineRule="auto"/>
        <w:jc w:val="both"/>
        <w:rPr>
          <w:rFonts w:cs="Arial"/>
        </w:rPr>
      </w:pPr>
      <w:r w:rsidRPr="00FA4B2D">
        <w:rPr>
          <w:rFonts w:cs="Arial"/>
        </w:rPr>
        <w:tab/>
      </w:r>
    </w:p>
    <w:p w14:paraId="36EE26EA" w14:textId="77777777" w:rsidR="006A3DBC" w:rsidRPr="00FA4B2D" w:rsidRDefault="006A3DBC" w:rsidP="006A3DBC">
      <w:pPr>
        <w:spacing w:after="0" w:line="240" w:lineRule="auto"/>
        <w:jc w:val="both"/>
        <w:rPr>
          <w:rFonts w:cs="Arial"/>
        </w:rPr>
      </w:pPr>
      <w:r w:rsidRPr="00FA4B2D">
        <w:rPr>
          <w:rFonts w:cs="Arial"/>
        </w:rPr>
        <w:t>“</w:t>
      </w:r>
      <w:r w:rsidRPr="00FA4B2D">
        <w:rPr>
          <w:rFonts w:cs="Arial"/>
          <w:i/>
          <w:iCs/>
        </w:rPr>
        <w:t>El Corredor Biológico Mesoamericano porción de Honduras, es el conjunto de Áreas  Protegidas bajo regímenes de administración especial (zonas núcleo, de amortiguamiento, de usos múltiples) y áreas de interconexión, organizado y consolidado como un sistema de ordenamiento territorial (SINAPH), para brindar un conjunto de bienes y servicios ambientales a la sociedad hondureña, centroamericana y mundial; proporcionando los espacios de concertación social para promover la conservación de la biodiversidad y la inversión en el uso sostenible de los recursos naturales, con el fin de contribuir a mejorar la calidad de vida de los habitantes del país y la región mesoamericana</w:t>
      </w:r>
      <w:r w:rsidRPr="00FA4B2D">
        <w:rPr>
          <w:rFonts w:cs="Arial"/>
        </w:rPr>
        <w:t>”.</w:t>
      </w:r>
    </w:p>
    <w:p w14:paraId="69579F4B" w14:textId="77777777" w:rsidR="006A3DBC" w:rsidRPr="00FA4B2D" w:rsidRDefault="006A3DBC" w:rsidP="006A3DBC">
      <w:pPr>
        <w:spacing w:after="0" w:line="240" w:lineRule="auto"/>
        <w:jc w:val="both"/>
        <w:rPr>
          <w:rFonts w:cs="Arial"/>
        </w:rPr>
      </w:pPr>
    </w:p>
    <w:p w14:paraId="6186FA9A" w14:textId="77777777" w:rsidR="006A3DBC" w:rsidRPr="00FA4B2D" w:rsidRDefault="006A3DBC" w:rsidP="006A3DBC">
      <w:pPr>
        <w:spacing w:after="0" w:line="240" w:lineRule="auto"/>
        <w:jc w:val="both"/>
        <w:rPr>
          <w:rFonts w:cs="Arial"/>
        </w:rPr>
      </w:pPr>
      <w:r w:rsidRPr="00FA4B2D">
        <w:rPr>
          <w:rFonts w:cs="Arial"/>
        </w:rPr>
        <w:t>Se acordó además que el corredor biológico está integrado por: “las áreas naturales protegidas con sus distintos regímenes de administración especial (zonas de amortiguamiento, núcleos, usos múltiples etc.), y la biodiversidad en ellas contenidas, las áreas de interconexión, y las poblaciones (rurales, urbanas y étnicas). Se cuenta con el Reglamento de los Corredores Biológicos de Honduras Acuerdo No. 0632-2015.</w:t>
      </w:r>
    </w:p>
    <w:p w14:paraId="1248D78A" w14:textId="77777777" w:rsidR="006A3DBC" w:rsidRPr="00FA4B2D" w:rsidRDefault="006A3DBC" w:rsidP="006A3DBC">
      <w:pPr>
        <w:spacing w:after="0" w:line="240" w:lineRule="auto"/>
        <w:jc w:val="both"/>
        <w:rPr>
          <w:rFonts w:cs="Arial"/>
        </w:rPr>
      </w:pPr>
    </w:p>
    <w:p w14:paraId="0F818AB3" w14:textId="77777777" w:rsidR="006A3DBC" w:rsidRPr="00FA4B2D" w:rsidRDefault="006A3DBC" w:rsidP="006A3DBC">
      <w:pPr>
        <w:spacing w:after="0" w:line="240" w:lineRule="auto"/>
        <w:jc w:val="both"/>
        <w:rPr>
          <w:rFonts w:cs="Arial"/>
        </w:rPr>
      </w:pPr>
      <w:r w:rsidRPr="00FA4B2D">
        <w:rPr>
          <w:rFonts w:cs="Arial"/>
        </w:rPr>
        <w:t xml:space="preserve">El CBM en Honduras está integrado por las áreas naturales protegidas, las áreas de bosques no protegidas, las áreas de interconexión entre estás y las poblaciones humanas. </w:t>
      </w:r>
    </w:p>
    <w:p w14:paraId="77B2A607" w14:textId="77777777" w:rsidR="006A3DBC" w:rsidRPr="00FA4B2D" w:rsidRDefault="006A3DBC" w:rsidP="006A3DBC">
      <w:pPr>
        <w:spacing w:after="0" w:line="240" w:lineRule="auto"/>
        <w:jc w:val="both"/>
        <w:rPr>
          <w:rFonts w:cs="Arial"/>
        </w:rPr>
      </w:pPr>
    </w:p>
    <w:p w14:paraId="1B9852CE" w14:textId="7C6C5232" w:rsidR="006A3DBC" w:rsidRPr="00FA4B2D" w:rsidRDefault="006A3DBC" w:rsidP="006A3DBC">
      <w:pPr>
        <w:spacing w:after="0" w:line="240" w:lineRule="auto"/>
        <w:jc w:val="both"/>
        <w:rPr>
          <w:rFonts w:cs="Arial"/>
        </w:rPr>
      </w:pPr>
      <w:r w:rsidRPr="00FA4B2D">
        <w:rPr>
          <w:rFonts w:cs="Arial"/>
        </w:rPr>
        <w:t>Para el CBM, MIAMB</w:t>
      </w:r>
      <w:r w:rsidR="1134A666" w:rsidRPr="00FA4B2D">
        <w:rPr>
          <w:rFonts w:cs="Arial"/>
        </w:rPr>
        <w:t>IEN</w:t>
      </w:r>
      <w:r w:rsidRPr="00FA4B2D">
        <w:rPr>
          <w:rFonts w:cs="Arial"/>
        </w:rPr>
        <w:t>TE+</w:t>
      </w:r>
      <w:r w:rsidR="006C6942" w:rsidRPr="00FA4B2D">
        <w:rPr>
          <w:rFonts w:cs="Arial"/>
        </w:rPr>
        <w:t xml:space="preserve"> </w:t>
      </w:r>
      <w:r w:rsidRPr="00FA4B2D">
        <w:rPr>
          <w:rFonts w:cs="Arial"/>
        </w:rPr>
        <w:t>en el 2007 estableció 10 corredores biológicos en el siguiente orden de prioridad: 1) CB La Mos</w:t>
      </w:r>
      <w:r w:rsidR="3056BE7D" w:rsidRPr="00FA4B2D">
        <w:rPr>
          <w:rFonts w:cs="Arial"/>
        </w:rPr>
        <w:t>kitia</w:t>
      </w:r>
      <w:r w:rsidR="00A94AF6" w:rsidRPr="00FA4B2D">
        <w:rPr>
          <w:rFonts w:cs="Arial"/>
        </w:rPr>
        <w:t>;</w:t>
      </w:r>
      <w:r w:rsidRPr="00FA4B2D">
        <w:rPr>
          <w:rFonts w:cs="Arial"/>
        </w:rPr>
        <w:t xml:space="preserve"> 2) CB Solidaridad; 3) CB Sierra de Río Tinto; 4) CB Caribe; 5) CB Golfo de Honduras; 6) CB Trinacional Montecristo; 7) CB del Río Lempa; 8) CB Región Golfo de Fonseca; 9) CB Central</w:t>
      </w:r>
      <w:r w:rsidR="00A94AF6" w:rsidRPr="00FA4B2D">
        <w:rPr>
          <w:rFonts w:cs="Arial"/>
        </w:rPr>
        <w:t>;</w:t>
      </w:r>
      <w:r w:rsidRPr="00FA4B2D">
        <w:rPr>
          <w:rFonts w:cs="Arial"/>
        </w:rPr>
        <w:t xml:space="preserve"> y 10) CB Insular.</w:t>
      </w:r>
    </w:p>
    <w:p w14:paraId="3DAD70D8" w14:textId="77777777" w:rsidR="006A3DBC" w:rsidRPr="00FA4B2D" w:rsidRDefault="006A3DBC" w:rsidP="006A3DBC">
      <w:pPr>
        <w:spacing w:after="0" w:line="240" w:lineRule="auto"/>
        <w:jc w:val="both"/>
        <w:rPr>
          <w:rFonts w:cs="Arial"/>
        </w:rPr>
      </w:pPr>
    </w:p>
    <w:p w14:paraId="41CED74D" w14:textId="77777777" w:rsidR="006A3DBC" w:rsidRPr="00FA4B2D" w:rsidRDefault="006A3DBC" w:rsidP="006A3DBC">
      <w:pPr>
        <w:spacing w:after="0" w:line="240" w:lineRule="auto"/>
        <w:jc w:val="both"/>
        <w:rPr>
          <w:rFonts w:cs="Arial"/>
        </w:rPr>
      </w:pPr>
      <w:r w:rsidRPr="00FA4B2D">
        <w:rPr>
          <w:rFonts w:cs="Arial"/>
        </w:rPr>
        <w:t>A continuación, se describen los aspectos más importantes de los 8 corredores biológicos que se encuentran en el área de influencia de COMRURAL III:</w:t>
      </w:r>
    </w:p>
    <w:p w14:paraId="37266DBB" w14:textId="77777777" w:rsidR="006A3DBC" w:rsidRPr="00FA4B2D" w:rsidRDefault="006A3DBC" w:rsidP="006A3DBC">
      <w:pPr>
        <w:spacing w:after="0" w:line="240" w:lineRule="auto"/>
        <w:ind w:left="708"/>
        <w:jc w:val="both"/>
        <w:rPr>
          <w:rFonts w:cs="Arial"/>
        </w:rPr>
      </w:pPr>
    </w:p>
    <w:p w14:paraId="584C60B8" w14:textId="77777777" w:rsidR="006A3DBC" w:rsidRPr="00FA4B2D" w:rsidRDefault="006A3DBC" w:rsidP="006A3DBC">
      <w:pPr>
        <w:pStyle w:val="Prrafodelista"/>
        <w:numPr>
          <w:ilvl w:val="0"/>
          <w:numId w:val="44"/>
        </w:numPr>
        <w:spacing w:after="0" w:line="240" w:lineRule="auto"/>
        <w:jc w:val="both"/>
        <w:rPr>
          <w:rFonts w:cs="Arial"/>
          <w:b/>
          <w:lang w:val="es-ES"/>
        </w:rPr>
      </w:pPr>
      <w:r w:rsidRPr="00FA4B2D">
        <w:rPr>
          <w:rFonts w:cs="Arial"/>
          <w:b/>
          <w:lang w:val="es-ES"/>
        </w:rPr>
        <w:t xml:space="preserve">Corredor Biológico Sierra de Río Tinto </w:t>
      </w:r>
    </w:p>
    <w:p w14:paraId="05275F1E" w14:textId="77777777" w:rsidR="006A3DBC" w:rsidRPr="00FA4B2D" w:rsidRDefault="006A3DBC" w:rsidP="006A3DBC">
      <w:pPr>
        <w:spacing w:after="0" w:line="240" w:lineRule="auto"/>
        <w:ind w:left="720"/>
        <w:jc w:val="both"/>
        <w:rPr>
          <w:rFonts w:cs="Arial"/>
        </w:rPr>
      </w:pPr>
    </w:p>
    <w:p w14:paraId="5278C76E" w14:textId="77777777" w:rsidR="006A3DBC" w:rsidRPr="00FA4B2D" w:rsidRDefault="006A3DBC" w:rsidP="006A3DBC">
      <w:pPr>
        <w:spacing w:after="0" w:line="240" w:lineRule="auto"/>
        <w:jc w:val="both"/>
        <w:rPr>
          <w:rFonts w:cs="Arial"/>
        </w:rPr>
      </w:pPr>
      <w:r w:rsidRPr="00FA4B2D">
        <w:rPr>
          <w:rFonts w:cs="Arial"/>
        </w:rPr>
        <w:t>Entre los departamentos de Colón y Olancho, tiene una extensión territorial de 88,089.49. km</w:t>
      </w:r>
      <w:r w:rsidRPr="00FA4B2D">
        <w:rPr>
          <w:rFonts w:cs="Arial"/>
          <w:vertAlign w:val="superscript"/>
        </w:rPr>
        <w:t>2</w:t>
      </w:r>
      <w:r w:rsidRPr="00FA4B2D">
        <w:rPr>
          <w:rFonts w:cs="Arial"/>
        </w:rPr>
        <w:t xml:space="preserve"> Incluye las siguientes áreas protegidas: Sierra del Río Tinto, Sierra de Agalta y El Carbón.</w:t>
      </w:r>
    </w:p>
    <w:p w14:paraId="7E87B660" w14:textId="77777777" w:rsidR="006A3DBC" w:rsidRDefault="006A3DBC" w:rsidP="006A3DBC">
      <w:pPr>
        <w:spacing w:after="0" w:line="240" w:lineRule="auto"/>
        <w:ind w:left="720"/>
        <w:jc w:val="both"/>
        <w:rPr>
          <w:rFonts w:cs="Arial"/>
        </w:rPr>
      </w:pPr>
    </w:p>
    <w:p w14:paraId="3A75CA88" w14:textId="77777777" w:rsidR="00CF0F96" w:rsidRDefault="00CF0F96" w:rsidP="006A3DBC">
      <w:pPr>
        <w:spacing w:after="0" w:line="240" w:lineRule="auto"/>
        <w:ind w:left="720"/>
        <w:jc w:val="both"/>
        <w:rPr>
          <w:rFonts w:cs="Arial"/>
        </w:rPr>
      </w:pPr>
    </w:p>
    <w:p w14:paraId="765D5901" w14:textId="77777777" w:rsidR="00CF0F96" w:rsidRPr="00FA4B2D" w:rsidRDefault="00CF0F96" w:rsidP="006A3DBC">
      <w:pPr>
        <w:spacing w:after="0" w:line="240" w:lineRule="auto"/>
        <w:ind w:left="720"/>
        <w:jc w:val="both"/>
        <w:rPr>
          <w:rFonts w:cs="Arial"/>
        </w:rPr>
      </w:pPr>
    </w:p>
    <w:p w14:paraId="376C84E6" w14:textId="77777777" w:rsidR="006A3DBC" w:rsidRPr="00FA4B2D" w:rsidRDefault="006A3DBC" w:rsidP="006A3DBC">
      <w:pPr>
        <w:pStyle w:val="Prrafodelista"/>
        <w:numPr>
          <w:ilvl w:val="0"/>
          <w:numId w:val="44"/>
        </w:numPr>
        <w:spacing w:after="0" w:line="240" w:lineRule="auto"/>
        <w:jc w:val="both"/>
        <w:rPr>
          <w:rFonts w:cs="Arial"/>
          <w:b/>
          <w:lang w:val="es-ES"/>
        </w:rPr>
      </w:pPr>
      <w:r w:rsidRPr="00FA4B2D">
        <w:rPr>
          <w:rFonts w:cs="Arial"/>
          <w:b/>
          <w:lang w:val="es-ES"/>
        </w:rPr>
        <w:lastRenderedPageBreak/>
        <w:t>Corredor Biológico Caribe</w:t>
      </w:r>
    </w:p>
    <w:p w14:paraId="5933477E" w14:textId="77777777" w:rsidR="006A3DBC" w:rsidRPr="00FA4B2D" w:rsidRDefault="006A3DBC" w:rsidP="006A3DBC">
      <w:pPr>
        <w:spacing w:after="0" w:line="240" w:lineRule="auto"/>
        <w:ind w:left="720"/>
        <w:jc w:val="both"/>
        <w:rPr>
          <w:rFonts w:cs="Arial"/>
        </w:rPr>
      </w:pPr>
    </w:p>
    <w:p w14:paraId="1F4A81BF" w14:textId="77777777" w:rsidR="006A3DBC" w:rsidRPr="00FA4B2D" w:rsidRDefault="006A3DBC" w:rsidP="006A3DBC">
      <w:pPr>
        <w:spacing w:after="0" w:line="240" w:lineRule="auto"/>
        <w:jc w:val="both"/>
        <w:rPr>
          <w:rFonts w:cs="Arial"/>
        </w:rPr>
      </w:pPr>
      <w:r w:rsidRPr="00FA4B2D">
        <w:rPr>
          <w:rFonts w:cs="Arial"/>
        </w:rPr>
        <w:t>Este corredor biológico incluye las siguientes áreas protegidas: Capiro Calentura, Pico Bonito, Cuero y Salado, Texiguat, Punta Sal, Lancetilla y Punta y Izopo, áreas conectadas naturalmente por bosques fragmentados. Se propuso delimitar esta región del corredor a través de los límites de parteaguas de las cuencas de Aguán, Patuca y el Sistema Hidrográfico de la Cordillera de Nombre de Dios.</w:t>
      </w:r>
    </w:p>
    <w:p w14:paraId="24D3277D" w14:textId="77777777" w:rsidR="006A3DBC" w:rsidRPr="00FA4B2D" w:rsidRDefault="006A3DBC" w:rsidP="006A3DBC">
      <w:pPr>
        <w:spacing w:after="0" w:line="240" w:lineRule="auto"/>
        <w:ind w:left="720"/>
        <w:jc w:val="both"/>
        <w:rPr>
          <w:rFonts w:cs="Arial"/>
        </w:rPr>
      </w:pPr>
    </w:p>
    <w:p w14:paraId="539EB0F7" w14:textId="77777777" w:rsidR="006A3DBC" w:rsidRPr="00FA4B2D" w:rsidRDefault="006A3DBC" w:rsidP="006A3DBC">
      <w:pPr>
        <w:pStyle w:val="Prrafodelista"/>
        <w:numPr>
          <w:ilvl w:val="0"/>
          <w:numId w:val="44"/>
        </w:numPr>
        <w:spacing w:after="0" w:line="240" w:lineRule="auto"/>
        <w:jc w:val="both"/>
        <w:rPr>
          <w:rFonts w:cs="Arial"/>
          <w:b/>
          <w:lang w:val="es-ES"/>
        </w:rPr>
      </w:pPr>
      <w:r w:rsidRPr="00FA4B2D">
        <w:rPr>
          <w:rFonts w:cs="Arial"/>
          <w:b/>
          <w:lang w:val="es-ES"/>
        </w:rPr>
        <w:t>Corredor Golfo de Honduras</w:t>
      </w:r>
    </w:p>
    <w:p w14:paraId="09F7C34F" w14:textId="77777777" w:rsidR="006A3DBC" w:rsidRPr="00FA4B2D" w:rsidRDefault="006A3DBC" w:rsidP="006A3DBC">
      <w:pPr>
        <w:spacing w:after="0" w:line="240" w:lineRule="auto"/>
        <w:ind w:left="720"/>
        <w:jc w:val="both"/>
        <w:rPr>
          <w:rFonts w:cs="Arial"/>
        </w:rPr>
      </w:pPr>
    </w:p>
    <w:p w14:paraId="010C5D6F" w14:textId="77777777" w:rsidR="006A3DBC" w:rsidRPr="00FA4B2D" w:rsidRDefault="006A3DBC" w:rsidP="006A3DBC">
      <w:pPr>
        <w:spacing w:after="0" w:line="240" w:lineRule="auto"/>
        <w:jc w:val="both"/>
        <w:rPr>
          <w:rFonts w:cs="Arial"/>
        </w:rPr>
      </w:pPr>
      <w:r w:rsidRPr="00FA4B2D">
        <w:rPr>
          <w:rFonts w:cs="Arial"/>
        </w:rPr>
        <w:t xml:space="preserve">Compartido con Guatemala, en la porción de territorio hondureño se ha reconocido la importancia de la región de Cuyamel está asociada al Refugio de Vida Silvestre conocido como Punta Manabique, ubicado en Guatemala. Incluye las áreas protegidas de la cuenca de Chamelecón, estás son: Merendón, Cusuco, Barra de Motagua, Cerro Azúl, Copán, Montaña de el Higal y Erapuca. </w:t>
      </w:r>
    </w:p>
    <w:p w14:paraId="5269137C" w14:textId="77777777" w:rsidR="006A3DBC" w:rsidRPr="00FA4B2D" w:rsidRDefault="006A3DBC" w:rsidP="006A3DBC">
      <w:pPr>
        <w:pStyle w:val="Prrafodelista"/>
        <w:rPr>
          <w:rFonts w:cs="Arial"/>
        </w:rPr>
      </w:pPr>
    </w:p>
    <w:p w14:paraId="241D63AD" w14:textId="77777777" w:rsidR="006A3DBC" w:rsidRPr="00FA4B2D" w:rsidRDefault="006A3DBC" w:rsidP="006A3DBC">
      <w:pPr>
        <w:pStyle w:val="Prrafodelista"/>
        <w:numPr>
          <w:ilvl w:val="0"/>
          <w:numId w:val="44"/>
        </w:numPr>
        <w:spacing w:after="0" w:line="240" w:lineRule="auto"/>
        <w:jc w:val="both"/>
        <w:rPr>
          <w:rFonts w:cs="Arial"/>
          <w:b/>
          <w:lang w:val="es-ES"/>
        </w:rPr>
      </w:pPr>
      <w:r w:rsidRPr="00FA4B2D">
        <w:rPr>
          <w:rFonts w:cs="Arial"/>
          <w:b/>
          <w:lang w:val="es-ES"/>
        </w:rPr>
        <w:t>Corredor Biológico Trinacional Montecristo</w:t>
      </w:r>
    </w:p>
    <w:p w14:paraId="1685AACF" w14:textId="77777777" w:rsidR="006A3DBC" w:rsidRPr="00FA4B2D" w:rsidRDefault="006A3DBC" w:rsidP="006A3DBC">
      <w:pPr>
        <w:spacing w:after="0" w:line="240" w:lineRule="auto"/>
        <w:ind w:left="720"/>
        <w:jc w:val="both"/>
        <w:rPr>
          <w:rFonts w:cs="Arial"/>
        </w:rPr>
      </w:pPr>
    </w:p>
    <w:p w14:paraId="20F67B34" w14:textId="77777777" w:rsidR="006A3DBC" w:rsidRPr="00FA4B2D" w:rsidRDefault="006A3DBC" w:rsidP="006A3DBC">
      <w:pPr>
        <w:spacing w:after="0" w:line="240" w:lineRule="auto"/>
        <w:jc w:val="both"/>
        <w:rPr>
          <w:rFonts w:cs="Arial"/>
        </w:rPr>
      </w:pPr>
      <w:r w:rsidRPr="00FA4B2D">
        <w:rPr>
          <w:rFonts w:cs="Arial"/>
        </w:rPr>
        <w:t xml:space="preserve">Se ubica en la emblemática región denominada Trifinio, determinada a partir del Tratado Trifinio suscrito entre los gobiernos de El Salvador, Guatemala y Honduras. Esta región es considerada estratégica por su riqueza en recursos naturales, diversidad biológica y servicios ecosistémicos que provee a sus habitantes. Incluye las áreas protegidas de Güisayote, Montecristo y Copán Ruinas.  </w:t>
      </w:r>
    </w:p>
    <w:p w14:paraId="2AE12F9E" w14:textId="77777777" w:rsidR="006A3DBC" w:rsidRPr="00FA4B2D" w:rsidRDefault="006A3DBC" w:rsidP="006A3DBC">
      <w:pPr>
        <w:spacing w:after="0" w:line="240" w:lineRule="auto"/>
        <w:jc w:val="both"/>
        <w:rPr>
          <w:rFonts w:cs="Arial"/>
        </w:rPr>
      </w:pPr>
    </w:p>
    <w:p w14:paraId="1BEC7CF1" w14:textId="77777777" w:rsidR="006A3DBC" w:rsidRPr="00FA4B2D" w:rsidRDefault="006A3DBC" w:rsidP="006A3DBC">
      <w:pPr>
        <w:pStyle w:val="Prrafodelista"/>
        <w:numPr>
          <w:ilvl w:val="0"/>
          <w:numId w:val="44"/>
        </w:numPr>
        <w:spacing w:after="0" w:line="240" w:lineRule="auto"/>
        <w:jc w:val="both"/>
        <w:rPr>
          <w:rFonts w:cs="Arial"/>
          <w:b/>
          <w:lang w:val="es-ES"/>
        </w:rPr>
      </w:pPr>
      <w:r w:rsidRPr="00FA4B2D">
        <w:rPr>
          <w:rFonts w:cs="Arial"/>
          <w:b/>
          <w:lang w:val="es-ES"/>
        </w:rPr>
        <w:t>Corredor Biológico del Río Lempa</w:t>
      </w:r>
    </w:p>
    <w:p w14:paraId="5A81FA66" w14:textId="77777777" w:rsidR="006A3DBC" w:rsidRPr="00FA4B2D" w:rsidRDefault="006A3DBC" w:rsidP="006A3DBC">
      <w:pPr>
        <w:spacing w:after="0" w:line="240" w:lineRule="auto"/>
        <w:ind w:left="720"/>
        <w:jc w:val="both"/>
        <w:rPr>
          <w:rFonts w:cs="Arial"/>
        </w:rPr>
      </w:pPr>
    </w:p>
    <w:p w14:paraId="476FF485" w14:textId="77777777" w:rsidR="006A3DBC" w:rsidRPr="00FA4B2D" w:rsidRDefault="006A3DBC" w:rsidP="006A3DBC">
      <w:pPr>
        <w:spacing w:after="0" w:line="240" w:lineRule="auto"/>
        <w:jc w:val="both"/>
        <w:rPr>
          <w:rFonts w:cs="Arial"/>
        </w:rPr>
      </w:pPr>
      <w:r w:rsidRPr="00FA4B2D">
        <w:rPr>
          <w:rFonts w:cs="Arial"/>
        </w:rPr>
        <w:t xml:space="preserve">Incluye las áreas protegidas de Pacayita, Celaque, Opalaca, Río Toco, El Cedral, Hoyos, Sabaneta y El Cedro. </w:t>
      </w:r>
    </w:p>
    <w:p w14:paraId="2D046783" w14:textId="77777777" w:rsidR="006A3DBC" w:rsidRPr="00FA4B2D" w:rsidRDefault="006A3DBC" w:rsidP="006A3DBC">
      <w:pPr>
        <w:spacing w:after="0" w:line="240" w:lineRule="auto"/>
        <w:jc w:val="both"/>
        <w:rPr>
          <w:rFonts w:cs="Arial"/>
        </w:rPr>
      </w:pPr>
    </w:p>
    <w:p w14:paraId="1D03D439" w14:textId="77777777" w:rsidR="006A3DBC" w:rsidRPr="00FA4B2D" w:rsidRDefault="006A3DBC" w:rsidP="006A3DBC">
      <w:pPr>
        <w:pStyle w:val="Prrafodelista"/>
        <w:numPr>
          <w:ilvl w:val="0"/>
          <w:numId w:val="44"/>
        </w:numPr>
        <w:spacing w:after="0" w:line="240" w:lineRule="auto"/>
        <w:jc w:val="both"/>
        <w:rPr>
          <w:rFonts w:cs="Arial"/>
          <w:b/>
          <w:lang w:val="es-ES"/>
        </w:rPr>
      </w:pPr>
      <w:r w:rsidRPr="00FA4B2D">
        <w:rPr>
          <w:rFonts w:cs="Arial"/>
          <w:b/>
          <w:lang w:val="es-ES"/>
        </w:rPr>
        <w:t>Corredor Biológico Golfo de Fonseca</w:t>
      </w:r>
    </w:p>
    <w:p w14:paraId="36F15B0F" w14:textId="77777777" w:rsidR="006A3DBC" w:rsidRPr="00FA4B2D" w:rsidRDefault="006A3DBC" w:rsidP="006A3DBC">
      <w:pPr>
        <w:spacing w:after="0" w:line="240" w:lineRule="auto"/>
        <w:ind w:left="720"/>
        <w:jc w:val="both"/>
        <w:rPr>
          <w:rFonts w:cs="Arial"/>
        </w:rPr>
      </w:pPr>
    </w:p>
    <w:p w14:paraId="643F2BCF" w14:textId="77777777" w:rsidR="006A3DBC" w:rsidRPr="00FA4B2D" w:rsidRDefault="006A3DBC" w:rsidP="006A3DBC">
      <w:pPr>
        <w:spacing w:after="0" w:line="240" w:lineRule="auto"/>
        <w:jc w:val="both"/>
        <w:rPr>
          <w:rFonts w:cs="Arial"/>
        </w:rPr>
      </w:pPr>
      <w:r w:rsidRPr="00FA4B2D">
        <w:rPr>
          <w:rFonts w:cs="Arial"/>
        </w:rPr>
        <w:t xml:space="preserve">Constituido por áreas marino costeras protegidas, manglares, y se comparte con Nicaragua. Esta región, localizada en la parte sur de Honduras (manglares) ya ha sido delimitada a través del Proyecto PROARCA COSTAS, el cual además del criterio biofísico, donde la interconexión no es terrestre sino acuática, de sus áreas protegidas, ha considerado aspectos socioeconómicos para la ampliación de sus áreas de conexión. Asimismo, ha tomado en cuenta criterios administrativos que incluye las áreas protegidas de Bahía de Chismuyo y Guanacaure. Se incluyen también las áreas del centro oriente de Honduras, tales como Apagüiz, El Chile, Corralitos, La Tigra, Uyuca, Monserrat, Carías Bermúdez, Yerba Buena y Los Laureles. </w:t>
      </w:r>
    </w:p>
    <w:p w14:paraId="66808A79" w14:textId="77777777" w:rsidR="006A3DBC" w:rsidRPr="00FA4B2D" w:rsidRDefault="006A3DBC" w:rsidP="006A3DBC">
      <w:pPr>
        <w:spacing w:after="0" w:line="240" w:lineRule="auto"/>
        <w:jc w:val="both"/>
        <w:rPr>
          <w:rFonts w:cs="Arial"/>
        </w:rPr>
      </w:pPr>
    </w:p>
    <w:p w14:paraId="6C4D41D6" w14:textId="77777777" w:rsidR="006A3DBC" w:rsidRPr="00FA4B2D" w:rsidRDefault="006A3DBC" w:rsidP="006A3DBC">
      <w:pPr>
        <w:pStyle w:val="Prrafodelista"/>
        <w:numPr>
          <w:ilvl w:val="0"/>
          <w:numId w:val="44"/>
        </w:numPr>
        <w:spacing w:after="0" w:line="240" w:lineRule="auto"/>
        <w:jc w:val="both"/>
        <w:rPr>
          <w:rFonts w:cs="Arial"/>
          <w:b/>
        </w:rPr>
      </w:pPr>
      <w:r w:rsidRPr="00FA4B2D">
        <w:rPr>
          <w:rFonts w:cs="Arial"/>
          <w:b/>
          <w:lang w:val="es-ES"/>
        </w:rPr>
        <w:t>El Corredor Boscoso Central</w:t>
      </w:r>
      <w:r w:rsidRPr="00FA4B2D">
        <w:rPr>
          <w:rFonts w:cs="Arial"/>
          <w:b/>
        </w:rPr>
        <w:t xml:space="preserve"> </w:t>
      </w:r>
    </w:p>
    <w:p w14:paraId="6AE38E93" w14:textId="77777777" w:rsidR="006A3DBC" w:rsidRPr="00FA4B2D" w:rsidRDefault="006A3DBC" w:rsidP="006A3DBC">
      <w:pPr>
        <w:spacing w:after="0" w:line="240" w:lineRule="auto"/>
        <w:ind w:left="720"/>
        <w:jc w:val="both"/>
        <w:rPr>
          <w:rFonts w:cs="Arial"/>
        </w:rPr>
      </w:pPr>
    </w:p>
    <w:p w14:paraId="36E18388" w14:textId="77777777" w:rsidR="006A3DBC" w:rsidRPr="00FA4B2D" w:rsidRDefault="006A3DBC" w:rsidP="006A3DBC">
      <w:pPr>
        <w:spacing w:after="0" w:line="240" w:lineRule="auto"/>
        <w:jc w:val="both"/>
        <w:rPr>
          <w:rFonts w:cs="Arial"/>
        </w:rPr>
      </w:pPr>
      <w:r w:rsidRPr="00FA4B2D">
        <w:rPr>
          <w:rFonts w:cs="Arial"/>
        </w:rPr>
        <w:t xml:space="preserve">Es una iniciativa que busca salvaguardar las zonas productoras de agua, que abastecen a 13 municipios de la zona central de Honduras, garantizar la conectividad de las 186,525 ha que legalmente integran el área y restaurar las zonas degradadas </w:t>
      </w:r>
      <w:r w:rsidRPr="00FA4B2D">
        <w:rPr>
          <w:rFonts w:cs="Arial"/>
        </w:rPr>
        <w:lastRenderedPageBreak/>
        <w:t xml:space="preserve">bajo un manejo racional de los recursos naturales. Está integrado por cinco áreas protegidas, subcuencas y microcuencas declaradas, 66 zonas con planes de aprovechamiento de manejo forestal, cultivos agrícolas, áreas urbanizadas e industrializadas. </w:t>
      </w:r>
    </w:p>
    <w:p w14:paraId="047FC211" w14:textId="77777777" w:rsidR="006A3DBC" w:rsidRPr="00FA4B2D" w:rsidRDefault="006A3DBC" w:rsidP="006A3DBC">
      <w:pPr>
        <w:spacing w:after="0" w:line="240" w:lineRule="auto"/>
        <w:ind w:left="720"/>
        <w:jc w:val="both"/>
        <w:rPr>
          <w:rFonts w:cs="Arial"/>
        </w:rPr>
      </w:pPr>
    </w:p>
    <w:p w14:paraId="3444A87E" w14:textId="77777777" w:rsidR="006A3DBC" w:rsidRPr="00FA4B2D" w:rsidRDefault="006A3DBC" w:rsidP="006A3DBC">
      <w:pPr>
        <w:spacing w:after="0" w:line="240" w:lineRule="auto"/>
        <w:jc w:val="both"/>
        <w:rPr>
          <w:rFonts w:cs="Arial"/>
        </w:rPr>
      </w:pPr>
      <w:r w:rsidRPr="00FA4B2D">
        <w:rPr>
          <w:rFonts w:cs="Arial"/>
        </w:rPr>
        <w:t xml:space="preserve">Esta región contiene una serie de áreas protegidas de importancia local, se caracteriza por la presencia de áreas de conexión con una cobertura altamente degradada y por tanto su delimitación es más difícil. Se usó el criterio de parteaguas e incluye la gran cuenca del Ulúa y algunas áreas localizadas en la cuenca del Guayape: Misoco, El Armado, Montaña de Yoro, La Muralla, El Cipresal, Arenal, Mico Quemado, Pico Pijol, Embalse de El Cajón, Montaña de Comayagua, Bosque Seco El Tenampua y Cueva Sitio. </w:t>
      </w:r>
    </w:p>
    <w:p w14:paraId="4900CAF5" w14:textId="77777777" w:rsidR="006A3DBC" w:rsidRPr="00FA4B2D" w:rsidRDefault="006A3DBC" w:rsidP="006A3DBC">
      <w:pPr>
        <w:spacing w:after="0" w:line="240" w:lineRule="auto"/>
        <w:ind w:left="720"/>
        <w:jc w:val="both"/>
        <w:rPr>
          <w:rFonts w:cs="Arial"/>
        </w:rPr>
      </w:pPr>
    </w:p>
    <w:p w14:paraId="3E76E309" w14:textId="77777777" w:rsidR="006A3DBC" w:rsidRPr="00FA4B2D" w:rsidRDefault="006A3DBC" w:rsidP="006A3DBC">
      <w:pPr>
        <w:spacing w:after="0" w:line="240" w:lineRule="auto"/>
        <w:jc w:val="both"/>
        <w:rPr>
          <w:rFonts w:cs="Arial"/>
        </w:rPr>
      </w:pPr>
      <w:r w:rsidRPr="00FA4B2D">
        <w:rPr>
          <w:rFonts w:cs="Arial"/>
        </w:rPr>
        <w:t>Es un área de interés particular por los servicios ambientales que brindan con énfasis en el abastecimiento de agua a los 13 municipios de la zona central de Honduras, área que por su alto crecimiento demográfico representa grandes demandas de dicho recurso. Es una iniciativa que impulsa la protección de las zonas productoras de agua y la restauración de zonas degradadas bajo un manejo racional de los recursos naturales, con el fin de aumentar la cantidad y calidad de agua para los diferentes usuarios; está comprendido entre áreas protegidas, subcuencas y microcuencas declaradas, zonas de aprovechamiento forestal con Planes de manejo, cultivos agrícolas, áreas urbanizadas e industrializadas. Actualmente integran este importante corredor: cinco Áreas protegidas, cinco Subcuencas/microcuencas declaradas y 66 Áreas con planes de manejo forestal, todas estas áreas son estratégicas para garantizar la sostenibilidad dado su estatus legal y los diversos actores de los 13 municipios con diferentes áreas de su jurisdicción.</w:t>
      </w:r>
    </w:p>
    <w:p w14:paraId="71F0956D" w14:textId="77777777" w:rsidR="006A3DBC" w:rsidRPr="00FA4B2D" w:rsidRDefault="006A3DBC" w:rsidP="006A3DBC">
      <w:pPr>
        <w:spacing w:after="0" w:line="240" w:lineRule="auto"/>
        <w:ind w:left="720"/>
        <w:jc w:val="both"/>
        <w:rPr>
          <w:rFonts w:cs="Arial"/>
        </w:rPr>
      </w:pPr>
    </w:p>
    <w:p w14:paraId="35A1698A" w14:textId="77777777" w:rsidR="006A3DBC" w:rsidRPr="00FA4B2D" w:rsidRDefault="006A3DBC" w:rsidP="006A3DBC">
      <w:pPr>
        <w:pStyle w:val="Prrafodelista"/>
        <w:numPr>
          <w:ilvl w:val="0"/>
          <w:numId w:val="44"/>
        </w:numPr>
        <w:spacing w:after="0" w:line="240" w:lineRule="auto"/>
        <w:jc w:val="both"/>
        <w:rPr>
          <w:rFonts w:cs="Arial"/>
          <w:b/>
        </w:rPr>
      </w:pPr>
      <w:r w:rsidRPr="00FA4B2D">
        <w:rPr>
          <w:rFonts w:cs="Arial"/>
          <w:b/>
          <w:lang w:val="es-ES"/>
        </w:rPr>
        <w:t>El Corredor Biológico Solidaridad</w:t>
      </w:r>
      <w:r w:rsidRPr="00FA4B2D">
        <w:rPr>
          <w:rFonts w:cs="Arial"/>
          <w:b/>
        </w:rPr>
        <w:t xml:space="preserve"> </w:t>
      </w:r>
    </w:p>
    <w:p w14:paraId="0C5A9F30" w14:textId="77777777" w:rsidR="006A3DBC" w:rsidRPr="00FA4B2D" w:rsidRDefault="006A3DBC" w:rsidP="006A3DBC">
      <w:pPr>
        <w:spacing w:after="0" w:line="240" w:lineRule="auto"/>
        <w:jc w:val="both"/>
        <w:rPr>
          <w:rFonts w:cs="Arial"/>
        </w:rPr>
      </w:pPr>
    </w:p>
    <w:p w14:paraId="0B99B5EE" w14:textId="77777777" w:rsidR="006A3DBC" w:rsidRPr="00FA4B2D" w:rsidRDefault="006A3DBC" w:rsidP="006A3DBC">
      <w:pPr>
        <w:jc w:val="both"/>
        <w:rPr>
          <w:rFonts w:cs="Arial"/>
        </w:rPr>
      </w:pPr>
      <w:r w:rsidRPr="00FA4B2D">
        <w:rPr>
          <w:rFonts w:cs="Arial"/>
        </w:rPr>
        <w:t xml:space="preserve">Cuenta con un área de 24, 305.27 Km, y en ella se encuentra la Reserva de Biósfera Tawahka y el parque nacional Patuca, ambos en el departamento de Olancho.  </w:t>
      </w:r>
    </w:p>
    <w:p w14:paraId="22E5157F" w14:textId="77777777" w:rsidR="006A3DBC" w:rsidRPr="00FA4B2D" w:rsidRDefault="006A3DBC" w:rsidP="006A3DBC">
      <w:pPr>
        <w:rPr>
          <w:rFonts w:cs="Arial"/>
        </w:rPr>
      </w:pPr>
    </w:p>
    <w:p w14:paraId="17E8DF51" w14:textId="4261D604" w:rsidR="00EF7331" w:rsidRDefault="00EF7331" w:rsidP="00EF7331">
      <w:pPr>
        <w:pStyle w:val="Descripcin"/>
        <w:keepNext/>
        <w:jc w:val="center"/>
      </w:pPr>
      <w:bookmarkStart w:id="340" w:name="_Toc202455579"/>
      <w:bookmarkStart w:id="341" w:name="_Toc67573475"/>
      <w:bookmarkStart w:id="342" w:name="_Toc160575682"/>
      <w:r>
        <w:lastRenderedPageBreak/>
        <w:t xml:space="preserve">Ilustración </w:t>
      </w:r>
      <w:r>
        <w:fldChar w:fldCharType="begin"/>
      </w:r>
      <w:r>
        <w:instrText xml:space="preserve"> SEQ Ilustración \* ARABIC </w:instrText>
      </w:r>
      <w:r>
        <w:fldChar w:fldCharType="separate"/>
      </w:r>
      <w:r w:rsidR="00F94AC4">
        <w:rPr>
          <w:noProof/>
        </w:rPr>
        <w:t>17</w:t>
      </w:r>
      <w:r>
        <w:fldChar w:fldCharType="end"/>
      </w:r>
      <w:r>
        <w:t xml:space="preserve">: </w:t>
      </w:r>
      <w:r w:rsidRPr="00C7757E">
        <w:t>Mapa de Corredores Biológicos en los Departamentos de Influencia de COMRURAL III</w:t>
      </w:r>
      <w:bookmarkEnd w:id="340"/>
    </w:p>
    <w:p w14:paraId="5C5A590B" w14:textId="77777777" w:rsidR="00EF7331" w:rsidRDefault="006A3DBC" w:rsidP="006A3DBC">
      <w:pPr>
        <w:spacing w:after="0" w:line="240" w:lineRule="auto"/>
        <w:jc w:val="center"/>
        <w:rPr>
          <w:rFonts w:cs="Arial"/>
          <w:b/>
          <w:bCs/>
        </w:rPr>
      </w:pPr>
      <w:r w:rsidRPr="00FA4B2D">
        <w:rPr>
          <w:rFonts w:cs="Arial"/>
          <w:b/>
          <w:bCs/>
          <w:noProof/>
          <w:lang w:val="es-HN" w:eastAsia="es-HN"/>
        </w:rPr>
        <w:drawing>
          <wp:inline distT="0" distB="0" distL="0" distR="0" wp14:anchorId="0386829D" wp14:editId="545EA84B">
            <wp:extent cx="5276850" cy="330073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a:extLst>
                        <a:ext uri="{28A0092B-C50C-407E-A947-70E740481C1C}">
                          <a14:useLocalDpi xmlns:a14="http://schemas.microsoft.com/office/drawing/2010/main" val="0"/>
                        </a:ext>
                      </a:extLst>
                    </a:blip>
                    <a:srcRect t="8881"/>
                    <a:stretch/>
                  </pic:blipFill>
                  <pic:spPr bwMode="auto">
                    <a:xfrm>
                      <a:off x="0" y="0"/>
                      <a:ext cx="5276850" cy="3300730"/>
                    </a:xfrm>
                    <a:prstGeom prst="rect">
                      <a:avLst/>
                    </a:prstGeom>
                    <a:noFill/>
                    <a:ln>
                      <a:noFill/>
                    </a:ln>
                    <a:extLst>
                      <a:ext uri="{53640926-AAD7-44D8-BBD7-CCE9431645EC}">
                        <a14:shadowObscured xmlns:a14="http://schemas.microsoft.com/office/drawing/2010/main"/>
                      </a:ext>
                    </a:extLst>
                  </pic:spPr>
                </pic:pic>
              </a:graphicData>
            </a:graphic>
          </wp:inline>
        </w:drawing>
      </w:r>
    </w:p>
    <w:bookmarkEnd w:id="341"/>
    <w:bookmarkEnd w:id="342"/>
    <w:p w14:paraId="61F8E916" w14:textId="77777777" w:rsidR="006A3DBC" w:rsidRPr="00FA4B2D" w:rsidRDefault="006A3DBC" w:rsidP="006A3DBC">
      <w:pPr>
        <w:spacing w:after="0" w:line="240" w:lineRule="auto"/>
        <w:jc w:val="center"/>
        <w:rPr>
          <w:rFonts w:cs="Arial"/>
          <w:b/>
          <w:bCs/>
        </w:rPr>
      </w:pPr>
    </w:p>
    <w:p w14:paraId="28C1D049" w14:textId="77777777" w:rsidR="006A3DBC" w:rsidRPr="00FA4B2D" w:rsidRDefault="006A3DBC" w:rsidP="006A3DBC">
      <w:pPr>
        <w:tabs>
          <w:tab w:val="left" w:pos="3510"/>
        </w:tabs>
        <w:spacing w:after="0" w:line="240" w:lineRule="auto"/>
        <w:jc w:val="both"/>
        <w:rPr>
          <w:rFonts w:cs="Arial"/>
        </w:rPr>
      </w:pPr>
      <w:r w:rsidRPr="00FA4B2D">
        <w:rPr>
          <w:rFonts w:cs="Arial"/>
        </w:rPr>
        <w:t>El uso sostenible de la biodiversidad ha estado más ligado al enfoque general de uso sostenible de recursos naturales (manejo forestal participativo, agricultura sostenible). La diversidad cultural existente en el país es generadora de una amplia gama de conocimientos y usos tradicionales de los recursos naturales y por ende de la biodiversidad para subsistencia amparada por decretos internacionales tal como el Convenio 169 de la OIT. El rescate, intercambio y potenciación de los conocimientos tradicionales ha recibido escasa atención, por lo que es necesario realizar investigación mediante estudios puntuales.</w:t>
      </w:r>
      <w:r w:rsidRPr="00FA4B2D">
        <w:rPr>
          <w:rFonts w:cs="Arial"/>
          <w:vertAlign w:val="superscript"/>
        </w:rPr>
        <w:footnoteReference w:id="13"/>
      </w:r>
      <w:r w:rsidRPr="00FA4B2D">
        <w:rPr>
          <w:rFonts w:cs="Arial"/>
        </w:rPr>
        <w:t xml:space="preserve"> </w:t>
      </w:r>
    </w:p>
    <w:p w14:paraId="2E603678" w14:textId="77777777" w:rsidR="006A3DBC" w:rsidRPr="00FA4B2D" w:rsidRDefault="006A3DBC" w:rsidP="006A3DBC">
      <w:pPr>
        <w:spacing w:after="0" w:line="240" w:lineRule="auto"/>
        <w:jc w:val="both"/>
        <w:rPr>
          <w:rFonts w:cs="Arial"/>
        </w:rPr>
      </w:pPr>
    </w:p>
    <w:p w14:paraId="3C166B0B" w14:textId="77777777" w:rsidR="006A3DBC" w:rsidRPr="00FA4B2D" w:rsidRDefault="006A3DBC" w:rsidP="006A3DBC">
      <w:pPr>
        <w:spacing w:after="0" w:line="240" w:lineRule="auto"/>
        <w:jc w:val="both"/>
        <w:rPr>
          <w:rFonts w:cs="Arial"/>
        </w:rPr>
      </w:pPr>
      <w:r w:rsidRPr="00FA4B2D">
        <w:rPr>
          <w:rFonts w:cs="Arial"/>
        </w:rPr>
        <w:t>El principal factor determinante de la pérdida de biodiversidad en Honduras ha sido el cambio de uso del suelo de bosques a pastizales, y plantaciones como monocultivos esta presión se le atribuye la pérdida de un 37% de MSA (Abundancia Media de Especies). En menor medida la infraestructura de carreteras generó la pérdida de un 11% del MSA, mientras que la fragmentación de áreas naturales y el cambio climático un 4% (como el gorgojo descortezador) y 2% respectivamente.</w:t>
      </w:r>
      <w:r w:rsidRPr="00FA4B2D">
        <w:rPr>
          <w:rFonts w:cs="Arial"/>
        </w:rPr>
        <w:cr/>
      </w:r>
    </w:p>
    <w:p w14:paraId="4315497B" w14:textId="77777777" w:rsidR="006A3DBC" w:rsidRPr="00FA4B2D" w:rsidRDefault="006A3DBC" w:rsidP="006A3DBC">
      <w:pPr>
        <w:spacing w:after="0" w:line="240" w:lineRule="auto"/>
        <w:ind w:left="864"/>
        <w:jc w:val="both"/>
        <w:rPr>
          <w:rFonts w:cs="Arial"/>
          <w:b/>
        </w:rPr>
      </w:pPr>
      <w:r w:rsidRPr="00FA4B2D">
        <w:rPr>
          <w:rFonts w:cs="Arial"/>
          <w:b/>
        </w:rPr>
        <w:t>5.4.6 Sitios declarados Patrimonio de la Humanidad por UNESCO</w:t>
      </w:r>
    </w:p>
    <w:p w14:paraId="22B0CE46" w14:textId="77777777" w:rsidR="006A3DBC" w:rsidRPr="00FA4B2D" w:rsidRDefault="006A3DBC" w:rsidP="006A3DBC">
      <w:pPr>
        <w:pStyle w:val="Prrafodelista"/>
        <w:spacing w:after="0" w:line="240" w:lineRule="auto"/>
        <w:ind w:left="1224"/>
        <w:jc w:val="both"/>
        <w:rPr>
          <w:rFonts w:cs="Arial"/>
        </w:rPr>
      </w:pPr>
    </w:p>
    <w:p w14:paraId="73E61E0E" w14:textId="77777777" w:rsidR="006A3DBC" w:rsidRPr="00FA4B2D" w:rsidRDefault="006A3DBC" w:rsidP="006A3DBC">
      <w:pPr>
        <w:pStyle w:val="Prrafodelista"/>
        <w:spacing w:after="0" w:line="240" w:lineRule="auto"/>
        <w:ind w:left="0"/>
        <w:jc w:val="both"/>
        <w:rPr>
          <w:rFonts w:cs="Arial"/>
        </w:rPr>
      </w:pPr>
      <w:r w:rsidRPr="00FA4B2D">
        <w:rPr>
          <w:rFonts w:cs="Arial"/>
        </w:rPr>
        <w:t xml:space="preserve">Honduras es un país que posee enorme riqueza tanto natural como cultura, misma que cumple un papel fundamental en la preservación de la naturaleza y de la cultura. Todas estas maravillas son de valor incalculable para la humanidad, es por ello por lo que la Organización de las Naciones Unidas para la Educación, la Ciencia y la </w:t>
      </w:r>
      <w:r w:rsidRPr="00FA4B2D">
        <w:rPr>
          <w:rFonts w:cs="Arial"/>
        </w:rPr>
        <w:lastRenderedPageBreak/>
        <w:t>Cultura (UNESCO) ha declarado seis lugares en Honduras como Patrimonio Mundial. En el área de Influencia del Proyecto se encuentran los siguientes:</w:t>
      </w:r>
    </w:p>
    <w:p w14:paraId="5E1BFBFD" w14:textId="77777777" w:rsidR="006A3DBC" w:rsidRPr="00FA4B2D" w:rsidRDefault="006A3DBC" w:rsidP="006A3DBC">
      <w:pPr>
        <w:pStyle w:val="Prrafodelista"/>
        <w:spacing w:after="0" w:line="240" w:lineRule="auto"/>
        <w:ind w:left="0"/>
        <w:jc w:val="both"/>
        <w:rPr>
          <w:rFonts w:cs="Arial"/>
        </w:rPr>
      </w:pPr>
    </w:p>
    <w:p w14:paraId="4B51A92A" w14:textId="77777777" w:rsidR="006A3DBC" w:rsidRPr="00FA4B2D" w:rsidRDefault="006A3DBC" w:rsidP="006A3DBC">
      <w:pPr>
        <w:pStyle w:val="Prrafodelista"/>
        <w:spacing w:after="0" w:line="240" w:lineRule="auto"/>
        <w:ind w:left="0"/>
        <w:jc w:val="both"/>
        <w:rPr>
          <w:rFonts w:cs="Arial"/>
          <w:b/>
          <w:bCs/>
        </w:rPr>
      </w:pPr>
      <w:r w:rsidRPr="00FA4B2D">
        <w:rPr>
          <w:rFonts w:cs="Arial"/>
          <w:b/>
          <w:bCs/>
        </w:rPr>
        <w:t>Sitio de Patrimonio Cultural:</w:t>
      </w:r>
    </w:p>
    <w:p w14:paraId="16D38BD3" w14:textId="77777777" w:rsidR="006A3DBC" w:rsidRPr="00FA4B2D" w:rsidRDefault="006A3DBC" w:rsidP="006A3DBC">
      <w:pPr>
        <w:pStyle w:val="Prrafodelista"/>
        <w:spacing w:after="0" w:line="240" w:lineRule="auto"/>
        <w:ind w:left="0"/>
        <w:jc w:val="both"/>
        <w:rPr>
          <w:rFonts w:cs="Arial"/>
        </w:rPr>
      </w:pPr>
    </w:p>
    <w:p w14:paraId="4CA7CFC7" w14:textId="77777777" w:rsidR="006A3DBC" w:rsidRPr="00FA4B2D" w:rsidRDefault="006A3DBC" w:rsidP="006A3DBC">
      <w:pPr>
        <w:pStyle w:val="Prrafodelista"/>
        <w:numPr>
          <w:ilvl w:val="0"/>
          <w:numId w:val="38"/>
        </w:numPr>
        <w:jc w:val="both"/>
        <w:rPr>
          <w:rFonts w:cs="Arial"/>
          <w:lang w:val="es-HN"/>
        </w:rPr>
      </w:pPr>
      <w:r w:rsidRPr="00FA4B2D">
        <w:rPr>
          <w:rFonts w:cs="Arial"/>
          <w:b/>
          <w:bCs/>
          <w:lang w:val="es-HN"/>
        </w:rPr>
        <w:t>Ruinas de Copán</w:t>
      </w:r>
    </w:p>
    <w:p w14:paraId="5CDAF2FD" w14:textId="77777777" w:rsidR="006A3DBC" w:rsidRPr="00FA4B2D" w:rsidRDefault="006A3DBC" w:rsidP="006A3DBC">
      <w:pPr>
        <w:pStyle w:val="Prrafodelista"/>
        <w:jc w:val="both"/>
        <w:rPr>
          <w:rFonts w:cs="Arial"/>
          <w:lang w:val="es-HN"/>
        </w:rPr>
      </w:pPr>
      <w:r w:rsidRPr="00FA4B2D">
        <w:rPr>
          <w:rFonts w:cs="Arial"/>
          <w:lang w:val="es-HN"/>
        </w:rPr>
        <w:t>Estos vestigios son de la civilización maya. Fueron descubiertas por Diego García de Palacios en el año 1570. Ubicado en el departamento de Copán.</w:t>
      </w:r>
    </w:p>
    <w:p w14:paraId="56A8AAC0" w14:textId="77777777" w:rsidR="006A3DBC" w:rsidRPr="00FA4B2D" w:rsidRDefault="006A3DBC" w:rsidP="006A3DBC">
      <w:pPr>
        <w:pStyle w:val="Prrafodelista"/>
        <w:jc w:val="both"/>
        <w:rPr>
          <w:rFonts w:cs="Arial"/>
          <w:lang w:val="es-HN"/>
        </w:rPr>
      </w:pPr>
    </w:p>
    <w:p w14:paraId="1FAB7599" w14:textId="77777777" w:rsidR="006A3DBC" w:rsidRPr="00FA4B2D" w:rsidRDefault="006A3DBC" w:rsidP="006A3DBC">
      <w:pPr>
        <w:pStyle w:val="Prrafodelista"/>
        <w:spacing w:line="240" w:lineRule="auto"/>
        <w:jc w:val="both"/>
        <w:rPr>
          <w:rFonts w:cs="Arial"/>
          <w:lang w:val="es-HN"/>
        </w:rPr>
      </w:pPr>
      <w:r w:rsidRPr="00FA4B2D">
        <w:rPr>
          <w:rFonts w:cs="Arial"/>
          <w:lang w:val="es-HN"/>
        </w:rPr>
        <w:t>Su declaración como patrimonio mundial ocurrió en el año 1980, pues su valor cultural y material radica en los vestigios de la ciudadela y las imponentes plazas públicas, ya que son exponentes de las tres etapas principales de desarrollo de esta ciudad, antes de que fuese abandonada a comienzos del siglo X.</w:t>
      </w:r>
    </w:p>
    <w:p w14:paraId="0FCB2D00" w14:textId="77777777" w:rsidR="006A3DBC" w:rsidRPr="00FA4B2D" w:rsidRDefault="006A3DBC" w:rsidP="006A3DBC">
      <w:pPr>
        <w:pStyle w:val="Prrafodelista"/>
        <w:spacing w:line="240" w:lineRule="auto"/>
        <w:jc w:val="both"/>
        <w:rPr>
          <w:rFonts w:cs="Arial"/>
          <w:lang w:val="es-HN"/>
        </w:rPr>
      </w:pPr>
    </w:p>
    <w:p w14:paraId="008A183E" w14:textId="50AF544F" w:rsidR="006A3DBC" w:rsidRPr="00FA4B2D" w:rsidRDefault="006A3DBC" w:rsidP="006A3DBC">
      <w:pPr>
        <w:pStyle w:val="Prrafodelista"/>
        <w:spacing w:line="240" w:lineRule="auto"/>
        <w:jc w:val="both"/>
        <w:rPr>
          <w:rFonts w:cs="Arial"/>
          <w:lang w:val="es-HN"/>
        </w:rPr>
      </w:pPr>
      <w:r w:rsidRPr="00FA4B2D">
        <w:rPr>
          <w:rFonts w:cs="Arial"/>
          <w:lang w:val="es-HN"/>
        </w:rPr>
        <w:t xml:space="preserve">En 2008 un elemento de la cultura hondureña fue </w:t>
      </w:r>
      <w:r w:rsidR="0054358B" w:rsidRPr="00FA4B2D">
        <w:rPr>
          <w:rFonts w:cs="Arial"/>
          <w:lang w:val="es-HN"/>
        </w:rPr>
        <w:t>inscrito</w:t>
      </w:r>
      <w:r w:rsidRPr="00FA4B2D">
        <w:rPr>
          <w:rFonts w:cs="Arial"/>
          <w:lang w:val="es-HN"/>
        </w:rPr>
        <w:t xml:space="preserve"> como Patrimonio Inmaterial:</w:t>
      </w:r>
    </w:p>
    <w:p w14:paraId="4CD0C1B0" w14:textId="77777777" w:rsidR="006A3DBC" w:rsidRPr="00FA4B2D" w:rsidRDefault="006A3DBC" w:rsidP="006A3DBC">
      <w:pPr>
        <w:pStyle w:val="Prrafodelista"/>
        <w:spacing w:line="240" w:lineRule="auto"/>
        <w:jc w:val="both"/>
        <w:rPr>
          <w:rFonts w:cs="Arial"/>
          <w:lang w:val="es-HN"/>
        </w:rPr>
      </w:pPr>
    </w:p>
    <w:p w14:paraId="7FA35B7F" w14:textId="77777777" w:rsidR="006A3DBC" w:rsidRPr="00FA4B2D" w:rsidRDefault="006A3DBC" w:rsidP="00411720">
      <w:pPr>
        <w:pStyle w:val="Prrafodelista"/>
        <w:numPr>
          <w:ilvl w:val="0"/>
          <w:numId w:val="66"/>
        </w:numPr>
        <w:spacing w:line="240" w:lineRule="auto"/>
        <w:jc w:val="both"/>
        <w:rPr>
          <w:rFonts w:eastAsiaTheme="minorEastAsia" w:cs="Arial"/>
          <w:b/>
          <w:bCs/>
          <w:lang w:val="es-HN"/>
        </w:rPr>
      </w:pPr>
      <w:r w:rsidRPr="00FA4B2D">
        <w:rPr>
          <w:rFonts w:eastAsia="Arial" w:cs="Arial"/>
          <w:b/>
          <w:bCs/>
          <w:lang w:val="es-HN"/>
        </w:rPr>
        <w:t xml:space="preserve">Lengua, danza y música garífuna </w:t>
      </w:r>
    </w:p>
    <w:p w14:paraId="38FA0548" w14:textId="77777777" w:rsidR="006A3DBC" w:rsidRPr="00FA4B2D" w:rsidRDefault="006A3DBC" w:rsidP="006A3DBC">
      <w:pPr>
        <w:spacing w:line="257" w:lineRule="auto"/>
        <w:ind w:firstLine="708"/>
        <w:jc w:val="both"/>
        <w:rPr>
          <w:rFonts w:eastAsia="Arial" w:cs="Arial"/>
          <w:lang w:val="es-HN"/>
        </w:rPr>
      </w:pPr>
      <w:r w:rsidRPr="00FA4B2D">
        <w:rPr>
          <w:rFonts w:eastAsia="Arial" w:cs="Arial"/>
          <w:lang w:val="es-HN"/>
        </w:rPr>
        <w:t xml:space="preserve">Los </w:t>
      </w:r>
      <w:r w:rsidRPr="00FA4B2D">
        <w:rPr>
          <w:rFonts w:eastAsia="Arial" w:cs="Arial"/>
          <w:b/>
          <w:bCs/>
          <w:lang w:val="es-HN"/>
        </w:rPr>
        <w:t>garífunas</w:t>
      </w:r>
      <w:r w:rsidRPr="00FA4B2D">
        <w:rPr>
          <w:rFonts w:eastAsia="Arial" w:cs="Arial"/>
          <w:lang w:val="es-HN"/>
        </w:rPr>
        <w:t xml:space="preserve"> son un grupo étnico zambo descendiente de africanos, caribes y </w:t>
      </w:r>
      <w:r w:rsidRPr="00FA4B2D">
        <w:rPr>
          <w:rFonts w:cs="Arial"/>
        </w:rPr>
        <w:tab/>
      </w:r>
      <w:r w:rsidRPr="00FA4B2D">
        <w:rPr>
          <w:rFonts w:eastAsia="Arial" w:cs="Arial"/>
          <w:lang w:val="es-HN"/>
        </w:rPr>
        <w:t xml:space="preserve">arahuacos originarios de varias regiones de Centroamérica y el Caribe. Se estima </w:t>
      </w:r>
      <w:r w:rsidRPr="00FA4B2D">
        <w:rPr>
          <w:rFonts w:cs="Arial"/>
        </w:rPr>
        <w:tab/>
      </w:r>
      <w:r w:rsidRPr="00FA4B2D">
        <w:rPr>
          <w:rFonts w:eastAsia="Arial" w:cs="Arial"/>
          <w:lang w:val="es-HN"/>
        </w:rPr>
        <w:t xml:space="preserve">que son más de 600,000 los residentes entre Honduras, Belice, Guatemala, </w:t>
      </w:r>
      <w:r w:rsidRPr="00FA4B2D">
        <w:rPr>
          <w:rFonts w:cs="Arial"/>
        </w:rPr>
        <w:tab/>
      </w:r>
      <w:r w:rsidRPr="00FA4B2D">
        <w:rPr>
          <w:rFonts w:cs="Arial"/>
        </w:rPr>
        <w:tab/>
      </w:r>
      <w:r w:rsidRPr="00FA4B2D">
        <w:rPr>
          <w:rFonts w:eastAsia="Arial" w:cs="Arial"/>
          <w:lang w:val="es-HN"/>
        </w:rPr>
        <w:t xml:space="preserve">Nicaragua y Estados Unidos. Ubicados en los departamentos de Atlántica, Cortés y </w:t>
      </w:r>
      <w:r w:rsidRPr="00FA4B2D">
        <w:rPr>
          <w:rFonts w:cs="Arial"/>
        </w:rPr>
        <w:tab/>
      </w:r>
      <w:r w:rsidRPr="00FA4B2D">
        <w:rPr>
          <w:rFonts w:eastAsia="Arial" w:cs="Arial"/>
          <w:lang w:val="es-HN"/>
        </w:rPr>
        <w:t xml:space="preserve">Colón. Su lengua se denomina como </w:t>
      </w:r>
      <w:r w:rsidRPr="00FA4B2D">
        <w:rPr>
          <w:rFonts w:eastAsia="Arial" w:cs="Arial"/>
          <w:b/>
          <w:bCs/>
          <w:lang w:val="es-HN"/>
        </w:rPr>
        <w:t>Igñeri</w:t>
      </w:r>
      <w:r w:rsidRPr="00FA4B2D">
        <w:rPr>
          <w:rFonts w:eastAsia="Arial" w:cs="Arial"/>
          <w:lang w:val="es-HN"/>
        </w:rPr>
        <w:t xml:space="preserve">, y presenta influencias de palabras </w:t>
      </w:r>
      <w:r w:rsidRPr="00FA4B2D">
        <w:rPr>
          <w:rFonts w:cs="Arial"/>
        </w:rPr>
        <w:tab/>
      </w:r>
      <w:r w:rsidRPr="00FA4B2D">
        <w:rPr>
          <w:rFonts w:eastAsia="Arial" w:cs="Arial"/>
          <w:lang w:val="es-HN"/>
        </w:rPr>
        <w:t>derivadas del francés, inglés y en algunas regiones del español.</w:t>
      </w:r>
    </w:p>
    <w:p w14:paraId="6AA97598" w14:textId="77777777" w:rsidR="006A3DBC" w:rsidRPr="00FA4B2D" w:rsidRDefault="006A3DBC" w:rsidP="006A3DBC">
      <w:pPr>
        <w:spacing w:after="0" w:line="240" w:lineRule="auto"/>
        <w:ind w:left="864"/>
        <w:jc w:val="both"/>
        <w:rPr>
          <w:rFonts w:cs="Arial"/>
        </w:rPr>
      </w:pPr>
      <w:r w:rsidRPr="00FA4B2D">
        <w:rPr>
          <w:rFonts w:cs="Arial"/>
        </w:rPr>
        <w:t>5.4.7 Reservas de Biosfera</w:t>
      </w:r>
    </w:p>
    <w:bookmarkEnd w:id="326"/>
    <w:p w14:paraId="02112B47" w14:textId="77777777" w:rsidR="006A3DBC" w:rsidRPr="00FA4B2D" w:rsidRDefault="006A3DBC" w:rsidP="006A3DBC">
      <w:pPr>
        <w:spacing w:after="0" w:line="240" w:lineRule="auto"/>
        <w:jc w:val="both"/>
        <w:rPr>
          <w:rFonts w:cs="Arial"/>
        </w:rPr>
      </w:pPr>
    </w:p>
    <w:p w14:paraId="67B5FB36" w14:textId="77777777" w:rsidR="006A3DBC" w:rsidRPr="00FA4B2D" w:rsidRDefault="006A3DBC" w:rsidP="006A3DBC">
      <w:pPr>
        <w:pStyle w:val="Prrafodelista"/>
        <w:numPr>
          <w:ilvl w:val="0"/>
          <w:numId w:val="38"/>
        </w:numPr>
        <w:spacing w:line="240" w:lineRule="auto"/>
        <w:jc w:val="both"/>
        <w:rPr>
          <w:rFonts w:cs="Arial"/>
          <w:lang w:val="es-HN"/>
        </w:rPr>
      </w:pPr>
      <w:r w:rsidRPr="00FA4B2D">
        <w:rPr>
          <w:rFonts w:cs="Arial"/>
          <w:b/>
          <w:bCs/>
          <w:lang w:val="es-HN"/>
        </w:rPr>
        <w:t>Biósfera Trifinio-Fraternidad</w:t>
      </w:r>
    </w:p>
    <w:p w14:paraId="4B733E34" w14:textId="77777777" w:rsidR="006A3DBC" w:rsidRPr="00FA4B2D" w:rsidRDefault="006A3DBC" w:rsidP="006A3DBC">
      <w:pPr>
        <w:pStyle w:val="Prrafodelista"/>
        <w:spacing w:line="240" w:lineRule="auto"/>
        <w:jc w:val="both"/>
        <w:rPr>
          <w:rFonts w:cs="Arial"/>
          <w:lang w:val="es-HN"/>
        </w:rPr>
      </w:pPr>
      <w:r w:rsidRPr="00FA4B2D">
        <w:rPr>
          <w:rFonts w:cs="Arial"/>
          <w:lang w:val="es-HN"/>
        </w:rPr>
        <w:t>Se trata de una reserva transfronteriza que fue declarada patrimonio de la humanidad el 29 de junio de 2011. Este espacio natural se encuentra entre los límites que dividen a Guatemala, Honduras y El Salvador. Es la primera reserva de biosfera transfronteriza en Centroamérica y representa una importante contribución a la implementación del Corredor Mesoamericano. Incluye áreas clave de biodiversidad, como el Parque Nacional Montecristo y una variedad de ecosistemas forestales.</w:t>
      </w:r>
    </w:p>
    <w:p w14:paraId="1F263DD7" w14:textId="77777777" w:rsidR="006A3DBC" w:rsidRPr="00FA4B2D" w:rsidRDefault="006A3DBC" w:rsidP="006A3DBC">
      <w:pPr>
        <w:pStyle w:val="Prrafodelista"/>
        <w:spacing w:line="240" w:lineRule="auto"/>
        <w:jc w:val="both"/>
        <w:rPr>
          <w:rFonts w:cs="Arial"/>
          <w:lang w:val="es-HN"/>
        </w:rPr>
      </w:pPr>
    </w:p>
    <w:p w14:paraId="191F18A1" w14:textId="77777777" w:rsidR="006A3DBC" w:rsidRPr="00FA4B2D" w:rsidRDefault="006A3DBC" w:rsidP="006A3DBC">
      <w:pPr>
        <w:pStyle w:val="Prrafodelista"/>
        <w:numPr>
          <w:ilvl w:val="0"/>
          <w:numId w:val="38"/>
        </w:numPr>
        <w:jc w:val="both"/>
        <w:rPr>
          <w:rFonts w:cs="Arial"/>
          <w:lang w:val="es-HN"/>
        </w:rPr>
      </w:pPr>
      <w:r w:rsidRPr="00FA4B2D">
        <w:rPr>
          <w:rFonts w:cs="Arial"/>
          <w:b/>
          <w:bCs/>
          <w:lang w:val="es-HN"/>
        </w:rPr>
        <w:t>Biósfera Cacique Lempira, Señor de las Montañas</w:t>
      </w:r>
    </w:p>
    <w:p w14:paraId="5900A2D1" w14:textId="77777777" w:rsidR="006A3DBC" w:rsidRPr="00FA4B2D" w:rsidRDefault="006A3DBC" w:rsidP="006A3DBC">
      <w:pPr>
        <w:pStyle w:val="Prrafodelista"/>
        <w:spacing w:line="240" w:lineRule="auto"/>
        <w:jc w:val="both"/>
        <w:rPr>
          <w:rFonts w:cs="Arial"/>
          <w:lang w:val="es-HN"/>
        </w:rPr>
      </w:pPr>
      <w:r w:rsidRPr="00FA4B2D">
        <w:rPr>
          <w:rFonts w:cs="Arial"/>
          <w:lang w:val="es-HN"/>
        </w:rPr>
        <w:t xml:space="preserve">Esta reserva fue declarada patrimonio de la humanidad en el año 2015, y su extensión natural incluye el Parque Nacional Montaña de Celaque; se encuentra ubicado en el departamento de Intibucá y Lempira. Su extensión es de 168,634 hectáreas. Tiene un ecosistema de bosque nublado y bosque mixto (pino-encino). Parte del área tiene un paisaje serrano, donde se ubica la montaña más alta de Honduras, el Cerro las Minas con 2.849 metros de </w:t>
      </w:r>
      <w:r w:rsidRPr="00FA4B2D">
        <w:rPr>
          <w:rFonts w:cs="Arial"/>
          <w:lang w:val="es-HN"/>
        </w:rPr>
        <w:lastRenderedPageBreak/>
        <w:t>altura. En total, hay 153.850 habitantes, tiene un ecosistema de bosque nuboso y bosque mixto (pino-encino). Parte del área tiene un paisaje serrano, donde se ubica la montaña más alta de Honduras, el Cerro las Minas con 2,849 metros de altura.</w:t>
      </w:r>
    </w:p>
    <w:p w14:paraId="08730CF6" w14:textId="77777777" w:rsidR="006A3DBC" w:rsidRPr="00FA4B2D" w:rsidRDefault="006A3DBC" w:rsidP="006A3DBC">
      <w:pPr>
        <w:pStyle w:val="Prrafodelista"/>
        <w:jc w:val="both"/>
        <w:rPr>
          <w:rFonts w:cs="Arial"/>
          <w:lang w:val="es-HN"/>
        </w:rPr>
      </w:pPr>
    </w:p>
    <w:p w14:paraId="40C4F576" w14:textId="77777777" w:rsidR="006A3DBC" w:rsidRPr="00FA4B2D" w:rsidRDefault="006A3DBC" w:rsidP="006A3DBC">
      <w:pPr>
        <w:pStyle w:val="Prrafodelista"/>
        <w:numPr>
          <w:ilvl w:val="0"/>
          <w:numId w:val="38"/>
        </w:numPr>
        <w:jc w:val="both"/>
        <w:rPr>
          <w:rFonts w:cs="Arial"/>
          <w:lang w:val="es-HN"/>
        </w:rPr>
      </w:pPr>
      <w:r w:rsidRPr="00FA4B2D">
        <w:rPr>
          <w:rFonts w:cs="Arial"/>
          <w:b/>
          <w:bCs/>
          <w:lang w:val="es-HN"/>
        </w:rPr>
        <w:t>Reserva de Biósfera de San Marcos de Colón</w:t>
      </w:r>
    </w:p>
    <w:p w14:paraId="5F097D44" w14:textId="77777777" w:rsidR="006A3DBC" w:rsidRPr="00FA4B2D" w:rsidRDefault="006A3DBC" w:rsidP="006A3DBC">
      <w:pPr>
        <w:pStyle w:val="Prrafodelista"/>
        <w:jc w:val="both"/>
        <w:rPr>
          <w:rFonts w:cs="Arial"/>
          <w:lang w:val="es-HN"/>
        </w:rPr>
      </w:pPr>
      <w:r w:rsidRPr="00FA4B2D">
        <w:rPr>
          <w:rFonts w:cs="Arial"/>
          <w:lang w:val="es-HN"/>
        </w:rPr>
        <w:t xml:space="preserve">Este sitio se ubica en el departamento de Choluteca. Su altura varía entre los 500 y 1,700 metros, y alberga una importante diversidad biológica y varias especies endémicas de animales. Abarca 57.810 ha, se encuentra a pocos kilómetros de la frontera con Nicaragua en el departamento de Choluteca. Cuenta con una rica diversidad biológica que incluye varias especies de fauna endémica. La reserva de la biosfera contiene 18 aldeas, hogar de 26.350 personas. </w:t>
      </w:r>
    </w:p>
    <w:p w14:paraId="0A178BE6" w14:textId="4E6B1AD0" w:rsidR="006A3DBC" w:rsidRPr="00FA4B2D" w:rsidRDefault="006A3DBC" w:rsidP="006A3DBC">
      <w:pPr>
        <w:pStyle w:val="Prrafodelista"/>
        <w:tabs>
          <w:tab w:val="left" w:pos="3443"/>
          <w:tab w:val="left" w:pos="7710"/>
        </w:tabs>
        <w:jc w:val="both"/>
        <w:rPr>
          <w:rFonts w:cs="Arial"/>
          <w:lang w:val="es-HN"/>
        </w:rPr>
      </w:pPr>
    </w:p>
    <w:p w14:paraId="445EA323" w14:textId="77777777" w:rsidR="006A3DBC" w:rsidRPr="00FA4B2D" w:rsidRDefault="006A3DBC" w:rsidP="006A3DBC">
      <w:pPr>
        <w:pStyle w:val="Ttulo1"/>
        <w:numPr>
          <w:ilvl w:val="0"/>
          <w:numId w:val="1"/>
        </w:numPr>
        <w:spacing w:before="0" w:line="240" w:lineRule="auto"/>
        <w:ind w:firstLine="0"/>
        <w:jc w:val="both"/>
        <w:rPr>
          <w:rFonts w:ascii="Arial" w:hAnsi="Arial" w:cs="Arial"/>
          <w:b/>
          <w:color w:val="767171" w:themeColor="background2" w:themeShade="80"/>
          <w:sz w:val="22"/>
          <w:szCs w:val="22"/>
        </w:rPr>
      </w:pPr>
      <w:bookmarkStart w:id="343" w:name="_Toc65884174"/>
      <w:bookmarkStart w:id="344" w:name="_Toc67573389"/>
      <w:bookmarkStart w:id="345" w:name="_Toc202456910"/>
      <w:bookmarkEnd w:id="319"/>
      <w:r w:rsidRPr="00FA4B2D">
        <w:rPr>
          <w:rFonts w:ascii="Arial" w:hAnsi="Arial" w:cs="Arial"/>
          <w:b/>
          <w:color w:val="767171" w:themeColor="background2" w:themeShade="80"/>
          <w:sz w:val="22"/>
          <w:szCs w:val="22"/>
        </w:rPr>
        <w:t>Caracterización socioeconómica de las áreas de intervención</w:t>
      </w:r>
      <w:bookmarkEnd w:id="343"/>
      <w:bookmarkEnd w:id="344"/>
      <w:bookmarkEnd w:id="345"/>
    </w:p>
    <w:p w14:paraId="7DA55279" w14:textId="77777777" w:rsidR="006A3DBC" w:rsidRPr="00FA4B2D" w:rsidRDefault="006A3DBC" w:rsidP="006A3DBC">
      <w:pPr>
        <w:rPr>
          <w:rFonts w:cs="Arial"/>
        </w:rPr>
      </w:pPr>
    </w:p>
    <w:p w14:paraId="4A59E737" w14:textId="77777777" w:rsidR="006A3DBC" w:rsidRPr="00FA4B2D" w:rsidRDefault="006A3DBC" w:rsidP="006A3DBC">
      <w:pPr>
        <w:pStyle w:val="Prrafodelista"/>
        <w:keepNext/>
        <w:keepLines/>
        <w:numPr>
          <w:ilvl w:val="0"/>
          <w:numId w:val="33"/>
        </w:numPr>
        <w:spacing w:after="0" w:line="240" w:lineRule="auto"/>
        <w:contextualSpacing w:val="0"/>
        <w:jc w:val="both"/>
        <w:outlineLvl w:val="1"/>
        <w:rPr>
          <w:rFonts w:eastAsiaTheme="majorEastAsia" w:cs="Arial"/>
          <w:b/>
          <w:bCs/>
          <w:vanish/>
        </w:rPr>
      </w:pPr>
      <w:bookmarkStart w:id="346" w:name="_Toc65850102"/>
      <w:bookmarkStart w:id="347" w:name="_Toc65852552"/>
      <w:bookmarkStart w:id="348" w:name="_Toc65855211"/>
      <w:bookmarkStart w:id="349" w:name="_Toc65855279"/>
      <w:bookmarkStart w:id="350" w:name="_Toc65855359"/>
      <w:bookmarkStart w:id="351" w:name="_Toc65855496"/>
      <w:bookmarkStart w:id="352" w:name="_Toc65855567"/>
      <w:bookmarkStart w:id="353" w:name="_Toc65857038"/>
      <w:bookmarkStart w:id="354" w:name="_Toc65857134"/>
      <w:bookmarkStart w:id="355" w:name="_Toc65857196"/>
      <w:bookmarkStart w:id="356" w:name="_Toc65857410"/>
      <w:bookmarkStart w:id="357" w:name="_Toc65865983"/>
      <w:bookmarkStart w:id="358" w:name="_Toc65877218"/>
      <w:bookmarkStart w:id="359" w:name="_Toc65877366"/>
      <w:bookmarkStart w:id="360" w:name="_Toc65881345"/>
      <w:bookmarkStart w:id="361" w:name="_Toc65882219"/>
      <w:bookmarkStart w:id="362" w:name="_Toc65884175"/>
      <w:bookmarkStart w:id="363" w:name="_Toc66035453"/>
      <w:bookmarkStart w:id="364" w:name="_Toc66037075"/>
      <w:bookmarkStart w:id="365" w:name="_Toc66038459"/>
      <w:bookmarkStart w:id="366" w:name="_Toc66038578"/>
      <w:bookmarkStart w:id="367" w:name="_Toc66038740"/>
      <w:bookmarkStart w:id="368" w:name="_Toc66039196"/>
      <w:bookmarkStart w:id="369" w:name="_Toc66223542"/>
      <w:bookmarkStart w:id="370" w:name="_Toc67238076"/>
      <w:bookmarkStart w:id="371" w:name="_Toc67240515"/>
      <w:bookmarkStart w:id="372" w:name="_Toc67240755"/>
      <w:bookmarkStart w:id="373" w:name="_Toc67240954"/>
      <w:bookmarkStart w:id="374" w:name="_Toc67241149"/>
      <w:bookmarkStart w:id="375" w:name="_Toc67241340"/>
      <w:bookmarkStart w:id="376" w:name="_Toc67241525"/>
      <w:bookmarkStart w:id="377" w:name="_Toc67241721"/>
      <w:bookmarkStart w:id="378" w:name="_Toc67241829"/>
      <w:bookmarkStart w:id="379" w:name="_Toc67241903"/>
      <w:bookmarkStart w:id="380" w:name="_Toc67242017"/>
      <w:bookmarkStart w:id="381" w:name="_Toc67242088"/>
      <w:bookmarkStart w:id="382" w:name="_Toc67242737"/>
      <w:bookmarkStart w:id="383" w:name="_Toc67243131"/>
      <w:bookmarkStart w:id="384" w:name="_Toc67243792"/>
      <w:bookmarkStart w:id="385" w:name="_Toc67556989"/>
      <w:bookmarkStart w:id="386" w:name="_Toc67564401"/>
      <w:bookmarkStart w:id="387" w:name="_Toc67567131"/>
      <w:bookmarkStart w:id="388" w:name="_Toc67567420"/>
      <w:bookmarkStart w:id="389" w:name="_Toc67567516"/>
      <w:bookmarkStart w:id="390" w:name="_Toc67568509"/>
      <w:bookmarkStart w:id="391" w:name="_Toc67571778"/>
      <w:bookmarkStart w:id="392" w:name="_Toc67572800"/>
      <w:bookmarkStart w:id="393" w:name="_Toc67573390"/>
      <w:bookmarkStart w:id="394" w:name="_Toc69380758"/>
      <w:bookmarkStart w:id="395" w:name="_Toc69381997"/>
      <w:bookmarkStart w:id="396" w:name="_Toc69389873"/>
      <w:bookmarkStart w:id="397" w:name="_Toc69393546"/>
      <w:bookmarkStart w:id="398" w:name="_Toc69410712"/>
      <w:bookmarkStart w:id="399" w:name="_Toc69410950"/>
      <w:bookmarkStart w:id="400" w:name="_Toc69918722"/>
      <w:bookmarkStart w:id="401" w:name="_Toc69922952"/>
      <w:bookmarkStart w:id="402" w:name="_Toc160535964"/>
      <w:bookmarkStart w:id="403" w:name="_Toc160575580"/>
      <w:bookmarkStart w:id="404" w:name="_Toc160576789"/>
      <w:bookmarkStart w:id="405" w:name="_Toc164251491"/>
      <w:bookmarkStart w:id="406" w:name="_Toc168469261"/>
      <w:bookmarkStart w:id="407" w:name="_Toc168469448"/>
      <w:bookmarkStart w:id="408" w:name="_Toc202341236"/>
      <w:bookmarkStart w:id="409" w:name="_Toc202449687"/>
      <w:bookmarkStart w:id="410" w:name="_Toc202455334"/>
      <w:bookmarkStart w:id="411" w:name="_Toc202456911"/>
      <w:bookmarkStart w:id="412" w:name="_Toc65884176"/>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14:paraId="7607FB2D" w14:textId="77777777" w:rsidR="006A3DBC" w:rsidRPr="00FA4B2D" w:rsidRDefault="006A3DBC" w:rsidP="006A3DBC">
      <w:pPr>
        <w:pStyle w:val="Prrafodelista"/>
        <w:keepNext/>
        <w:keepLines/>
        <w:numPr>
          <w:ilvl w:val="0"/>
          <w:numId w:val="33"/>
        </w:numPr>
        <w:spacing w:after="0" w:line="240" w:lineRule="auto"/>
        <w:contextualSpacing w:val="0"/>
        <w:jc w:val="both"/>
        <w:outlineLvl w:val="1"/>
        <w:rPr>
          <w:rFonts w:eastAsiaTheme="majorEastAsia" w:cs="Arial"/>
          <w:b/>
          <w:bCs/>
          <w:vanish/>
        </w:rPr>
      </w:pPr>
      <w:bookmarkStart w:id="413" w:name="_Toc67556990"/>
      <w:bookmarkStart w:id="414" w:name="_Toc67564402"/>
      <w:bookmarkStart w:id="415" w:name="_Toc67567132"/>
      <w:bookmarkStart w:id="416" w:name="_Toc67567421"/>
      <w:bookmarkStart w:id="417" w:name="_Toc67567517"/>
      <w:bookmarkStart w:id="418" w:name="_Toc67568510"/>
      <w:bookmarkStart w:id="419" w:name="_Toc67571779"/>
      <w:bookmarkStart w:id="420" w:name="_Toc67572801"/>
      <w:bookmarkStart w:id="421" w:name="_Toc67573391"/>
      <w:bookmarkStart w:id="422" w:name="_Toc69380759"/>
      <w:bookmarkStart w:id="423" w:name="_Toc69381998"/>
      <w:bookmarkStart w:id="424" w:name="_Toc69389874"/>
      <w:bookmarkStart w:id="425" w:name="_Toc69393547"/>
      <w:bookmarkStart w:id="426" w:name="_Toc69410713"/>
      <w:bookmarkStart w:id="427" w:name="_Toc69410951"/>
      <w:bookmarkStart w:id="428" w:name="_Toc69918723"/>
      <w:bookmarkStart w:id="429" w:name="_Toc69922953"/>
      <w:bookmarkStart w:id="430" w:name="_Toc160535965"/>
      <w:bookmarkStart w:id="431" w:name="_Toc160575581"/>
      <w:bookmarkStart w:id="432" w:name="_Toc160576790"/>
      <w:bookmarkStart w:id="433" w:name="_Toc164251492"/>
      <w:bookmarkStart w:id="434" w:name="_Toc168469262"/>
      <w:bookmarkStart w:id="435" w:name="_Toc168469449"/>
      <w:bookmarkStart w:id="436" w:name="_Toc202341237"/>
      <w:bookmarkStart w:id="437" w:name="_Toc202449688"/>
      <w:bookmarkStart w:id="438" w:name="_Toc202455335"/>
      <w:bookmarkStart w:id="439" w:name="_Toc2024569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14:paraId="2B3BD127" w14:textId="77777777" w:rsidR="006A3DBC" w:rsidRPr="00FA4B2D" w:rsidRDefault="006A3DBC" w:rsidP="006A3DBC">
      <w:pPr>
        <w:pStyle w:val="Ttulo2"/>
        <w:spacing w:before="0" w:line="240" w:lineRule="auto"/>
        <w:ind w:left="432"/>
        <w:jc w:val="both"/>
        <w:rPr>
          <w:rFonts w:ascii="Arial" w:hAnsi="Arial" w:cs="Arial"/>
          <w:b/>
          <w:bCs/>
          <w:color w:val="767171" w:themeColor="background2" w:themeShade="80"/>
          <w:sz w:val="22"/>
          <w:szCs w:val="22"/>
        </w:rPr>
      </w:pPr>
      <w:bookmarkStart w:id="440" w:name="_Toc67573392"/>
      <w:bookmarkStart w:id="441" w:name="_Toc202456913"/>
      <w:bookmarkStart w:id="442" w:name="_Ref471986187"/>
      <w:bookmarkEnd w:id="412"/>
      <w:r w:rsidRPr="00FA4B2D">
        <w:rPr>
          <w:rFonts w:ascii="Arial" w:hAnsi="Arial" w:cs="Arial"/>
          <w:b/>
          <w:bCs/>
          <w:color w:val="767171" w:themeColor="background2" w:themeShade="80"/>
          <w:sz w:val="22"/>
          <w:szCs w:val="22"/>
        </w:rPr>
        <w:t>6.1 Descripción General</w:t>
      </w:r>
      <w:bookmarkEnd w:id="440"/>
      <w:bookmarkEnd w:id="441"/>
    </w:p>
    <w:p w14:paraId="30D39CE9" w14:textId="77777777" w:rsidR="006A3DBC" w:rsidRPr="00FA4B2D" w:rsidRDefault="006A3DBC" w:rsidP="006A3DBC">
      <w:pPr>
        <w:rPr>
          <w:rFonts w:cs="Arial"/>
        </w:rPr>
      </w:pPr>
    </w:p>
    <w:p w14:paraId="41376505" w14:textId="77777777" w:rsidR="006A3DBC" w:rsidRPr="00FA4B2D" w:rsidRDefault="006A3DBC" w:rsidP="006A3DBC">
      <w:pPr>
        <w:jc w:val="both"/>
        <w:rPr>
          <w:rFonts w:cs="Arial"/>
          <w:lang w:val="es-HN"/>
        </w:rPr>
      </w:pPr>
      <w:r w:rsidRPr="00FA4B2D">
        <w:rPr>
          <w:rFonts w:cs="Arial"/>
          <w:lang w:val="es-HN"/>
        </w:rPr>
        <w:t>Honduras está localizado en Centroamérica, tiene una extensión territorial de 112.492 km². Limita al Norte y al Este con el Océano Atlántico, al Sureste con Nicaragua, al Sur con el golfo de Fonseca y El Salvador, y al Oeste con Guatemala. Es un país multiétnico, formado por mestizos, afrodescendientes e indígenas “</w:t>
      </w:r>
      <w:r w:rsidRPr="00FA4B2D">
        <w:rPr>
          <w:rFonts w:cs="Arial"/>
          <w:lang w:val="es-ES"/>
        </w:rPr>
        <w:t>Lencas, Maya Chortí, Pech, Tolupanes, Nahua, Tawahka, Miskito y Garífunas”.</w:t>
      </w:r>
      <w:r w:rsidRPr="00FA4B2D">
        <w:rPr>
          <w:rFonts w:cs="Arial"/>
          <w:lang w:val="es-HN"/>
        </w:rPr>
        <w:t xml:space="preserve">  </w:t>
      </w:r>
    </w:p>
    <w:p w14:paraId="279A0C89" w14:textId="25F8E818" w:rsidR="00EF7331" w:rsidRDefault="00EF7331" w:rsidP="00EF7331">
      <w:pPr>
        <w:pStyle w:val="Descripcin"/>
        <w:keepNext/>
        <w:jc w:val="center"/>
      </w:pPr>
      <w:bookmarkStart w:id="443" w:name="_Toc202455580"/>
      <w:r>
        <w:t xml:space="preserve">Ilustración </w:t>
      </w:r>
      <w:r>
        <w:fldChar w:fldCharType="begin"/>
      </w:r>
      <w:r>
        <w:instrText xml:space="preserve"> SEQ Ilustración \* ARABIC </w:instrText>
      </w:r>
      <w:r>
        <w:fldChar w:fldCharType="separate"/>
      </w:r>
      <w:r w:rsidR="00F94AC4">
        <w:rPr>
          <w:noProof/>
        </w:rPr>
        <w:t>18</w:t>
      </w:r>
      <w:r>
        <w:fldChar w:fldCharType="end"/>
      </w:r>
      <w:r>
        <w:t xml:space="preserve">: </w:t>
      </w:r>
      <w:r w:rsidRPr="00830673">
        <w:t>Mapa de Honduras y Cobertura ComRural III</w:t>
      </w:r>
      <w:bookmarkEnd w:id="443"/>
    </w:p>
    <w:p w14:paraId="392547BC" w14:textId="79259FD0" w:rsidR="0054358B" w:rsidRPr="00FA4B2D" w:rsidRDefault="0054358B" w:rsidP="00811897">
      <w:pPr>
        <w:jc w:val="center"/>
        <w:rPr>
          <w:rFonts w:cs="Arial"/>
        </w:rPr>
      </w:pPr>
      <w:r w:rsidRPr="00FA4B2D">
        <w:rPr>
          <w:rFonts w:cs="Arial"/>
          <w:noProof/>
          <w:lang w:val="es-HN" w:eastAsia="es-HN"/>
        </w:rPr>
        <w:drawing>
          <wp:inline distT="0" distB="0" distL="0" distR="0" wp14:anchorId="5E013C26" wp14:editId="65E43756">
            <wp:extent cx="4248150" cy="29337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48150" cy="2933700"/>
                    </a:xfrm>
                    <a:prstGeom prst="rect">
                      <a:avLst/>
                    </a:prstGeom>
                    <a:noFill/>
                  </pic:spPr>
                </pic:pic>
              </a:graphicData>
            </a:graphic>
          </wp:inline>
        </w:drawing>
      </w:r>
    </w:p>
    <w:p w14:paraId="79BB5EFF" w14:textId="77777777" w:rsidR="006A3DBC" w:rsidRPr="00FA4B2D" w:rsidRDefault="006A3DBC" w:rsidP="006A3DBC">
      <w:pPr>
        <w:spacing w:after="0" w:line="240" w:lineRule="auto"/>
        <w:jc w:val="center"/>
        <w:rPr>
          <w:rFonts w:cs="Arial"/>
        </w:rPr>
      </w:pPr>
      <w:r w:rsidRPr="00FA4B2D">
        <w:rPr>
          <w:rFonts w:cs="Arial"/>
          <w:b/>
          <w:bCs/>
          <w:sz w:val="20"/>
          <w:szCs w:val="20"/>
        </w:rPr>
        <w:t>Fuente</w:t>
      </w:r>
      <w:r w:rsidRPr="00FA4B2D">
        <w:rPr>
          <w:rFonts w:cs="Arial"/>
          <w:sz w:val="20"/>
          <w:szCs w:val="20"/>
        </w:rPr>
        <w:t>: Unidad de Monitoreo y Seguimiento Proyecto COMRURAL</w:t>
      </w:r>
      <w:r w:rsidRPr="00FA4B2D">
        <w:rPr>
          <w:rFonts w:cs="Arial"/>
        </w:rPr>
        <w:t>.</w:t>
      </w:r>
    </w:p>
    <w:p w14:paraId="1F742B45" w14:textId="77777777" w:rsidR="006A3DBC" w:rsidRPr="00FA4B2D" w:rsidRDefault="006A3DBC" w:rsidP="006A3DBC">
      <w:pPr>
        <w:spacing w:after="0" w:line="240" w:lineRule="auto"/>
        <w:jc w:val="both"/>
        <w:rPr>
          <w:rFonts w:cs="Arial"/>
          <w:lang w:val="es-HN"/>
        </w:rPr>
      </w:pPr>
      <w:r w:rsidRPr="00FA4B2D">
        <w:rPr>
          <w:rFonts w:cs="Arial"/>
          <w:lang w:val="es-HN"/>
        </w:rPr>
        <w:lastRenderedPageBreak/>
        <w:t>Aproximadamente el 28 % de la superficie del país es tierra agrícola, y el sector de la agricultura emplea aproximadamente al 39 % de la población. La mayor parte de la tierra agrícola está dedicada a la producción de cultivos de poca rentabilidad como, el banano para cocinar, el arroz, el maíz y los frijoles. En las regiones montañosas, donde agricultores en pequeña escala producen cereales básicos, las laderas suelen ser inclinadas y difíciles de cultivar</w:t>
      </w:r>
      <w:r w:rsidRPr="00FA4B2D">
        <w:rPr>
          <w:rStyle w:val="Refdenotaalpie"/>
          <w:rFonts w:cs="Arial"/>
          <w:lang w:val="es-HN"/>
        </w:rPr>
        <w:footnoteReference w:id="14"/>
      </w:r>
      <w:r w:rsidRPr="00FA4B2D">
        <w:rPr>
          <w:rFonts w:cs="Arial"/>
          <w:lang w:val="es-HN"/>
        </w:rPr>
        <w:t>.</w:t>
      </w:r>
    </w:p>
    <w:p w14:paraId="46ACAC77" w14:textId="77777777" w:rsidR="006A3DBC" w:rsidRPr="00FA4B2D" w:rsidRDefault="006A3DBC" w:rsidP="006A3DBC">
      <w:pPr>
        <w:spacing w:after="0" w:line="240" w:lineRule="auto"/>
        <w:jc w:val="both"/>
        <w:rPr>
          <w:rFonts w:cs="Arial"/>
          <w:lang w:val="es-HN"/>
        </w:rPr>
      </w:pPr>
    </w:p>
    <w:p w14:paraId="6961261F" w14:textId="77777777" w:rsidR="006A3DBC" w:rsidRPr="00FA4B2D" w:rsidRDefault="006A3DBC" w:rsidP="006A3DBC">
      <w:pPr>
        <w:spacing w:after="0" w:line="240" w:lineRule="auto"/>
        <w:jc w:val="both"/>
        <w:rPr>
          <w:rFonts w:cs="Arial"/>
        </w:rPr>
      </w:pPr>
      <w:r w:rsidRPr="00FA4B2D">
        <w:rPr>
          <w:rFonts w:cs="Arial"/>
          <w:lang w:val="es-HN"/>
        </w:rPr>
        <w:t>Su división política comprende 18 departamentos y 298 municipios, de los cuales 243 (81.5%), siguen siendo pobres, ubicados en las categorías de desarrollo municipal: C (poco avance, dependientes de la transferencia del gobierno, bajos ingresos con cobertura de servicios públicos) y D (sin avance, nivel de ingreso bajo, dependientes de la transferencia del gobierno), según la categorización municipal de la Secretaría de Gobernación y Gobernación.</w:t>
      </w:r>
      <w:r w:rsidRPr="00FA4B2D">
        <w:rPr>
          <w:rStyle w:val="Refdenotaalpie"/>
          <w:rFonts w:cs="Arial"/>
          <w:lang w:val="es-HN"/>
        </w:rPr>
        <w:footnoteReference w:id="15"/>
      </w:r>
    </w:p>
    <w:p w14:paraId="4F006BBF" w14:textId="77777777" w:rsidR="006A3DBC" w:rsidRPr="00FA4B2D" w:rsidRDefault="006A3DBC" w:rsidP="006A3DBC">
      <w:pPr>
        <w:spacing w:after="0" w:line="240" w:lineRule="auto"/>
        <w:ind w:left="360"/>
        <w:rPr>
          <w:rFonts w:cs="Arial"/>
          <w:b/>
          <w:lang w:val="es-HN"/>
        </w:rPr>
      </w:pPr>
    </w:p>
    <w:p w14:paraId="49BACE00" w14:textId="33E7D562" w:rsidR="00EF7331" w:rsidRDefault="00EF7331" w:rsidP="00EF7331">
      <w:pPr>
        <w:pStyle w:val="Descripcin"/>
        <w:keepNext/>
      </w:pPr>
      <w:bookmarkStart w:id="444" w:name="_Toc202455437"/>
      <w:r>
        <w:t xml:space="preserve">Tabla </w:t>
      </w:r>
      <w:r>
        <w:fldChar w:fldCharType="begin"/>
      </w:r>
      <w:r>
        <w:instrText xml:space="preserve"> SEQ Tabla \* ARABIC </w:instrText>
      </w:r>
      <w:r>
        <w:fldChar w:fldCharType="separate"/>
      </w:r>
      <w:r w:rsidR="000E6D86">
        <w:rPr>
          <w:noProof/>
        </w:rPr>
        <w:t>11</w:t>
      </w:r>
      <w:r>
        <w:fldChar w:fldCharType="end"/>
      </w:r>
      <w:r>
        <w:t xml:space="preserve">: </w:t>
      </w:r>
      <w:r w:rsidRPr="00AE2373">
        <w:t>Población Total por Área Geográfica y Sexo</w:t>
      </w:r>
      <w:bookmarkEnd w:id="444"/>
    </w:p>
    <w:tbl>
      <w:tblPr>
        <w:tblpPr w:leftFromText="181" w:rightFromText="181" w:vertAnchor="text" w:horzAnchor="margin" w:tblpXSpec="center" w:tblpY="143"/>
        <w:tblOverlap w:val="never"/>
        <w:tblW w:w="0" w:type="auto"/>
        <w:tblLayout w:type="fixed"/>
        <w:tblCellMar>
          <w:left w:w="0" w:type="dxa"/>
          <w:right w:w="0" w:type="dxa"/>
        </w:tblCellMar>
        <w:tblLook w:val="01E0" w:firstRow="1" w:lastRow="1" w:firstColumn="1" w:lastColumn="1" w:noHBand="0" w:noVBand="0"/>
      </w:tblPr>
      <w:tblGrid>
        <w:gridCol w:w="2231"/>
        <w:gridCol w:w="2126"/>
        <w:gridCol w:w="2133"/>
      </w:tblGrid>
      <w:tr w:rsidR="00CF0F96" w:rsidRPr="00CF0F96" w14:paraId="26C5300B" w14:textId="77777777" w:rsidTr="00CF4658">
        <w:trPr>
          <w:trHeight w:hRule="exact" w:val="277"/>
        </w:trPr>
        <w:tc>
          <w:tcPr>
            <w:tcW w:w="6490" w:type="dxa"/>
            <w:gridSpan w:val="3"/>
            <w:tcBorders>
              <w:top w:val="single" w:sz="8" w:space="0" w:color="000000"/>
              <w:left w:val="single" w:sz="8" w:space="0" w:color="000000"/>
              <w:bottom w:val="single" w:sz="17" w:space="0" w:color="000000"/>
              <w:right w:val="single" w:sz="8" w:space="0" w:color="000000"/>
            </w:tcBorders>
            <w:shd w:val="clear" w:color="auto" w:fill="5CC5DA"/>
          </w:tcPr>
          <w:p w14:paraId="4CE27592" w14:textId="77777777" w:rsidR="006A3DBC" w:rsidRPr="00CF0F96" w:rsidRDefault="006A3DBC" w:rsidP="00CF4658">
            <w:pPr>
              <w:pStyle w:val="TableParagraph"/>
              <w:jc w:val="center"/>
              <w:rPr>
                <w:rFonts w:ascii="Arial" w:eastAsia="Trebuchet MS" w:hAnsi="Arial" w:cs="Arial"/>
                <w:lang w:val="es-ES_tradnl"/>
              </w:rPr>
            </w:pPr>
            <w:r w:rsidRPr="00CF0F96">
              <w:rPr>
                <w:rFonts w:ascii="Arial" w:hAnsi="Arial" w:cs="Arial"/>
                <w:b/>
                <w:w w:val="90"/>
                <w:lang w:val="es-ES_tradnl"/>
              </w:rPr>
              <w:t>Datos de Población:</w:t>
            </w:r>
          </w:p>
        </w:tc>
      </w:tr>
      <w:tr w:rsidR="00CF0F96" w:rsidRPr="00CF0F96" w14:paraId="0FCFABF6" w14:textId="77777777" w:rsidTr="00EF7331">
        <w:trPr>
          <w:trHeight w:hRule="exact" w:val="618"/>
        </w:trPr>
        <w:tc>
          <w:tcPr>
            <w:tcW w:w="2231" w:type="dxa"/>
            <w:tcBorders>
              <w:top w:val="single" w:sz="17" w:space="0" w:color="000000"/>
              <w:left w:val="single" w:sz="8" w:space="0" w:color="000000"/>
              <w:bottom w:val="single" w:sz="8" w:space="0" w:color="000000"/>
              <w:right w:val="single" w:sz="8" w:space="0" w:color="000000"/>
            </w:tcBorders>
            <w:shd w:val="clear" w:color="auto" w:fill="C0C0C0"/>
          </w:tcPr>
          <w:p w14:paraId="75D0CCD7" w14:textId="77777777" w:rsidR="006A3DBC" w:rsidRPr="00CF0F96" w:rsidRDefault="006A3DBC" w:rsidP="005F4A92">
            <w:pPr>
              <w:spacing w:line="240" w:lineRule="auto"/>
              <w:jc w:val="center"/>
              <w:rPr>
                <w:rFonts w:cs="Arial"/>
                <w:lang w:val="es-ES_tradnl"/>
              </w:rPr>
            </w:pPr>
            <w:r w:rsidRPr="00CF0F96">
              <w:rPr>
                <w:rFonts w:cs="Arial"/>
                <w:lang w:val="es-ES_tradnl"/>
              </w:rPr>
              <w:t>Área Geográfica/ Sexo</w:t>
            </w:r>
          </w:p>
        </w:tc>
        <w:tc>
          <w:tcPr>
            <w:tcW w:w="2126" w:type="dxa"/>
            <w:tcBorders>
              <w:top w:val="single" w:sz="17" w:space="0" w:color="000000"/>
              <w:left w:val="single" w:sz="8" w:space="0" w:color="000000"/>
              <w:bottom w:val="single" w:sz="8" w:space="0" w:color="000000"/>
              <w:right w:val="single" w:sz="8" w:space="0" w:color="000000"/>
            </w:tcBorders>
            <w:shd w:val="clear" w:color="auto" w:fill="C0C0C0"/>
          </w:tcPr>
          <w:p w14:paraId="664F52CF" w14:textId="77777777" w:rsidR="006A3DBC" w:rsidRPr="00CF0F96" w:rsidRDefault="006A3DBC" w:rsidP="005F4A92">
            <w:pPr>
              <w:pStyle w:val="TableParagraph"/>
              <w:ind w:left="198" w:right="199"/>
              <w:jc w:val="center"/>
              <w:rPr>
                <w:rFonts w:ascii="Arial" w:eastAsia="Arial" w:hAnsi="Arial" w:cs="Arial"/>
                <w:lang w:val="es-ES_tradnl"/>
              </w:rPr>
            </w:pPr>
            <w:r w:rsidRPr="00CF0F96">
              <w:rPr>
                <w:rFonts w:ascii="Arial" w:hAnsi="Arial" w:cs="Arial"/>
                <w:w w:val="90"/>
                <w:lang w:val="es-ES_tradnl"/>
              </w:rPr>
              <w:t>Habitantes</w:t>
            </w:r>
          </w:p>
        </w:tc>
        <w:tc>
          <w:tcPr>
            <w:tcW w:w="2133" w:type="dxa"/>
            <w:tcBorders>
              <w:top w:val="single" w:sz="17" w:space="0" w:color="000000"/>
              <w:left w:val="single" w:sz="8" w:space="0" w:color="000000"/>
              <w:bottom w:val="single" w:sz="8" w:space="0" w:color="000000"/>
              <w:right w:val="single" w:sz="8" w:space="0" w:color="000000"/>
            </w:tcBorders>
            <w:shd w:val="clear" w:color="auto" w:fill="C0C0C0"/>
          </w:tcPr>
          <w:p w14:paraId="0C28AF09" w14:textId="77777777" w:rsidR="006A3DBC" w:rsidRPr="00CF0F96" w:rsidRDefault="006A3DBC" w:rsidP="005F4A92">
            <w:pPr>
              <w:pStyle w:val="TableParagraph"/>
              <w:ind w:right="5"/>
              <w:jc w:val="center"/>
              <w:rPr>
                <w:rFonts w:ascii="Arial" w:eastAsia="Arial" w:hAnsi="Arial" w:cs="Arial"/>
                <w:lang w:val="es-ES_tradnl"/>
              </w:rPr>
            </w:pPr>
            <w:r w:rsidRPr="00CF0F96">
              <w:rPr>
                <w:rFonts w:ascii="Arial" w:hAnsi="Arial" w:cs="Arial"/>
                <w:w w:val="82"/>
                <w:lang w:val="es-ES_tradnl"/>
              </w:rPr>
              <w:t>%</w:t>
            </w:r>
          </w:p>
        </w:tc>
      </w:tr>
      <w:tr w:rsidR="00CF0F96" w:rsidRPr="00CF0F96" w14:paraId="09E4B3C8" w14:textId="77777777" w:rsidTr="00EF7331">
        <w:trPr>
          <w:trHeight w:hRule="exact" w:val="259"/>
        </w:trPr>
        <w:tc>
          <w:tcPr>
            <w:tcW w:w="2231" w:type="dxa"/>
            <w:tcBorders>
              <w:top w:val="single" w:sz="8" w:space="0" w:color="000000"/>
              <w:left w:val="single" w:sz="8" w:space="0" w:color="000000"/>
              <w:bottom w:val="single" w:sz="8" w:space="0" w:color="000000"/>
              <w:right w:val="single" w:sz="8" w:space="0" w:color="000000"/>
            </w:tcBorders>
            <w:shd w:val="clear" w:color="auto" w:fill="auto"/>
          </w:tcPr>
          <w:p w14:paraId="2D04BEFB" w14:textId="77777777" w:rsidR="006A3DBC" w:rsidRPr="00CF0F96" w:rsidRDefault="006A3DBC" w:rsidP="005F4A92">
            <w:pPr>
              <w:pStyle w:val="TableParagraph"/>
              <w:ind w:left="98"/>
              <w:rPr>
                <w:rFonts w:ascii="Arial" w:eastAsia="Trebuchet MS" w:hAnsi="Arial" w:cs="Arial"/>
                <w:lang w:val="es-ES_tradnl"/>
              </w:rPr>
            </w:pPr>
            <w:r w:rsidRPr="00CF0F96">
              <w:rPr>
                <w:rFonts w:ascii="Arial" w:hAnsi="Arial" w:cs="Arial"/>
                <w:b/>
                <w:w w:val="95"/>
                <w:lang w:val="es-ES_tradnl"/>
              </w:rPr>
              <w:t>Nacional</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14:paraId="2A1F6905" w14:textId="77777777" w:rsidR="006A3DBC" w:rsidRPr="00CF0F96" w:rsidRDefault="006A3DBC" w:rsidP="005F4A92">
            <w:pPr>
              <w:pStyle w:val="TableParagraph"/>
              <w:ind w:left="198" w:right="202"/>
              <w:jc w:val="center"/>
              <w:rPr>
                <w:rFonts w:ascii="Arial" w:eastAsia="Arial" w:hAnsi="Arial" w:cs="Arial"/>
                <w:lang w:val="es-ES_tradnl"/>
              </w:rPr>
            </w:pPr>
            <w:r w:rsidRPr="00CF0F96">
              <w:rPr>
                <w:rFonts w:ascii="Arial" w:hAnsi="Arial" w:cs="Arial"/>
                <w:w w:val="90"/>
                <w:lang w:val="es-ES_tradnl"/>
              </w:rPr>
              <w:t>8,535,692</w:t>
            </w:r>
          </w:p>
        </w:tc>
        <w:tc>
          <w:tcPr>
            <w:tcW w:w="2133" w:type="dxa"/>
            <w:tcBorders>
              <w:top w:val="single" w:sz="8" w:space="0" w:color="000000"/>
              <w:left w:val="single" w:sz="8" w:space="0" w:color="000000"/>
              <w:bottom w:val="single" w:sz="8" w:space="0" w:color="000000"/>
              <w:right w:val="single" w:sz="8" w:space="0" w:color="000000"/>
            </w:tcBorders>
            <w:shd w:val="clear" w:color="auto" w:fill="auto"/>
          </w:tcPr>
          <w:p w14:paraId="120CA362" w14:textId="77777777" w:rsidR="006A3DBC" w:rsidRPr="00CF0F96" w:rsidRDefault="006A3DBC" w:rsidP="005F4A92">
            <w:pPr>
              <w:pStyle w:val="TableParagraph"/>
              <w:ind w:left="337" w:right="341"/>
              <w:jc w:val="center"/>
              <w:rPr>
                <w:rFonts w:ascii="Arial" w:eastAsia="Arial" w:hAnsi="Arial" w:cs="Arial"/>
                <w:lang w:val="es-ES_tradnl"/>
              </w:rPr>
            </w:pPr>
            <w:r w:rsidRPr="00CF0F96">
              <w:rPr>
                <w:rFonts w:ascii="Arial" w:hAnsi="Arial" w:cs="Arial"/>
                <w:w w:val="90"/>
                <w:lang w:val="es-ES_tradnl"/>
              </w:rPr>
              <w:t>100.0</w:t>
            </w:r>
          </w:p>
        </w:tc>
      </w:tr>
      <w:tr w:rsidR="00CF0F96" w:rsidRPr="00CF0F96" w14:paraId="3BF4B4AB" w14:textId="77777777" w:rsidTr="00EF7331">
        <w:trPr>
          <w:trHeight w:hRule="exact" w:val="321"/>
        </w:trPr>
        <w:tc>
          <w:tcPr>
            <w:tcW w:w="2231" w:type="dxa"/>
            <w:tcBorders>
              <w:top w:val="single" w:sz="8" w:space="0" w:color="000000"/>
              <w:left w:val="single" w:sz="8" w:space="0" w:color="000000"/>
              <w:bottom w:val="single" w:sz="8" w:space="0" w:color="000000"/>
              <w:right w:val="single" w:sz="8" w:space="0" w:color="000000"/>
            </w:tcBorders>
            <w:shd w:val="clear" w:color="auto" w:fill="C0C0C0"/>
          </w:tcPr>
          <w:p w14:paraId="25D1B695" w14:textId="77777777" w:rsidR="006A3DBC" w:rsidRPr="00CF0F96" w:rsidRDefault="006A3DBC" w:rsidP="005F4A92">
            <w:pPr>
              <w:pStyle w:val="TableParagraph"/>
              <w:ind w:left="98"/>
              <w:rPr>
                <w:rFonts w:ascii="Arial" w:eastAsia="Trebuchet MS" w:hAnsi="Arial" w:cs="Arial"/>
                <w:lang w:val="es-ES_tradnl"/>
              </w:rPr>
            </w:pPr>
            <w:r w:rsidRPr="00CF0F96">
              <w:rPr>
                <w:rFonts w:ascii="Arial" w:hAnsi="Arial" w:cs="Arial"/>
                <w:b/>
                <w:w w:val="95"/>
                <w:lang w:val="es-ES_tradnl"/>
              </w:rPr>
              <w:t>Urbana</w:t>
            </w:r>
          </w:p>
        </w:tc>
        <w:tc>
          <w:tcPr>
            <w:tcW w:w="2126" w:type="dxa"/>
            <w:tcBorders>
              <w:top w:val="single" w:sz="8" w:space="0" w:color="000000"/>
              <w:left w:val="single" w:sz="8" w:space="0" w:color="000000"/>
              <w:bottom w:val="single" w:sz="8" w:space="0" w:color="000000"/>
              <w:right w:val="single" w:sz="8" w:space="0" w:color="000000"/>
            </w:tcBorders>
            <w:shd w:val="clear" w:color="auto" w:fill="C0C0C0"/>
          </w:tcPr>
          <w:p w14:paraId="79562B12" w14:textId="77777777" w:rsidR="006A3DBC" w:rsidRPr="00CF0F96" w:rsidRDefault="006A3DBC" w:rsidP="005F4A92">
            <w:pPr>
              <w:pStyle w:val="TableParagraph"/>
              <w:ind w:left="198" w:right="202"/>
              <w:jc w:val="center"/>
              <w:rPr>
                <w:rFonts w:ascii="Arial" w:eastAsia="Arial" w:hAnsi="Arial" w:cs="Arial"/>
                <w:lang w:val="es-ES_tradnl"/>
              </w:rPr>
            </w:pPr>
            <w:r w:rsidRPr="00CF0F96">
              <w:rPr>
                <w:rFonts w:ascii="Arial" w:hAnsi="Arial" w:cs="Arial"/>
                <w:w w:val="90"/>
                <w:lang w:val="es-ES_tradnl"/>
              </w:rPr>
              <w:t>3,986,354</w:t>
            </w:r>
          </w:p>
        </w:tc>
        <w:tc>
          <w:tcPr>
            <w:tcW w:w="2133" w:type="dxa"/>
            <w:tcBorders>
              <w:top w:val="single" w:sz="8" w:space="0" w:color="000000"/>
              <w:left w:val="single" w:sz="8" w:space="0" w:color="000000"/>
              <w:bottom w:val="single" w:sz="8" w:space="0" w:color="000000"/>
              <w:right w:val="single" w:sz="8" w:space="0" w:color="000000"/>
            </w:tcBorders>
            <w:shd w:val="clear" w:color="auto" w:fill="C0C0C0"/>
          </w:tcPr>
          <w:p w14:paraId="79BF5389" w14:textId="77777777" w:rsidR="006A3DBC" w:rsidRPr="00CF0F96" w:rsidRDefault="006A3DBC" w:rsidP="005F4A92">
            <w:pPr>
              <w:pStyle w:val="TableParagraph"/>
              <w:ind w:left="337" w:right="338"/>
              <w:jc w:val="center"/>
              <w:rPr>
                <w:rFonts w:ascii="Arial" w:eastAsia="Arial" w:hAnsi="Arial" w:cs="Arial"/>
                <w:lang w:val="es-ES_tradnl"/>
              </w:rPr>
            </w:pPr>
            <w:r w:rsidRPr="00CF0F96">
              <w:rPr>
                <w:rFonts w:ascii="Arial" w:hAnsi="Arial" w:cs="Arial"/>
                <w:w w:val="90"/>
                <w:lang w:val="es-ES_tradnl"/>
              </w:rPr>
              <w:t>47.0</w:t>
            </w:r>
          </w:p>
        </w:tc>
      </w:tr>
      <w:tr w:rsidR="00CF0F96" w:rsidRPr="00CF0F96" w14:paraId="3429973B" w14:textId="77777777" w:rsidTr="00EF7331">
        <w:trPr>
          <w:trHeight w:hRule="exact" w:val="259"/>
        </w:trPr>
        <w:tc>
          <w:tcPr>
            <w:tcW w:w="2231" w:type="dxa"/>
            <w:tcBorders>
              <w:top w:val="single" w:sz="8" w:space="0" w:color="000000"/>
              <w:left w:val="single" w:sz="8" w:space="0" w:color="000000"/>
              <w:bottom w:val="single" w:sz="8" w:space="0" w:color="000000"/>
              <w:right w:val="single" w:sz="8" w:space="0" w:color="000000"/>
            </w:tcBorders>
            <w:shd w:val="clear" w:color="auto" w:fill="auto"/>
          </w:tcPr>
          <w:p w14:paraId="35C3CE60" w14:textId="77777777" w:rsidR="006A3DBC" w:rsidRPr="00CF0F96" w:rsidRDefault="006A3DBC" w:rsidP="005F4A92">
            <w:pPr>
              <w:pStyle w:val="TableParagraph"/>
              <w:ind w:left="98"/>
              <w:rPr>
                <w:rFonts w:ascii="Arial" w:eastAsia="Trebuchet MS" w:hAnsi="Arial" w:cs="Arial"/>
                <w:lang w:val="es-ES_tradnl"/>
              </w:rPr>
            </w:pPr>
            <w:r w:rsidRPr="00CF0F96">
              <w:rPr>
                <w:rFonts w:ascii="Arial" w:hAnsi="Arial" w:cs="Arial"/>
                <w:b/>
                <w:w w:val="95"/>
                <w:lang w:val="es-ES_tradnl"/>
              </w:rPr>
              <w:t>Rural</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14:paraId="33D112F1" w14:textId="77777777" w:rsidR="006A3DBC" w:rsidRPr="00CF0F96" w:rsidRDefault="006A3DBC" w:rsidP="005F4A92">
            <w:pPr>
              <w:pStyle w:val="TableParagraph"/>
              <w:ind w:left="198" w:right="202"/>
              <w:jc w:val="center"/>
              <w:rPr>
                <w:rFonts w:ascii="Arial" w:eastAsia="Arial" w:hAnsi="Arial" w:cs="Arial"/>
                <w:lang w:val="es-ES_tradnl"/>
              </w:rPr>
            </w:pPr>
            <w:r w:rsidRPr="00CF0F96">
              <w:rPr>
                <w:rFonts w:ascii="Arial" w:hAnsi="Arial" w:cs="Arial"/>
                <w:w w:val="90"/>
                <w:lang w:val="es-ES_tradnl"/>
              </w:rPr>
              <w:t>4,549,338</w:t>
            </w:r>
          </w:p>
        </w:tc>
        <w:tc>
          <w:tcPr>
            <w:tcW w:w="2133" w:type="dxa"/>
            <w:tcBorders>
              <w:top w:val="single" w:sz="8" w:space="0" w:color="000000"/>
              <w:left w:val="single" w:sz="8" w:space="0" w:color="000000"/>
              <w:bottom w:val="single" w:sz="8" w:space="0" w:color="000000"/>
              <w:right w:val="single" w:sz="8" w:space="0" w:color="000000"/>
            </w:tcBorders>
            <w:shd w:val="clear" w:color="auto" w:fill="auto"/>
          </w:tcPr>
          <w:p w14:paraId="76D067C3" w14:textId="77777777" w:rsidR="006A3DBC" w:rsidRPr="00CF0F96" w:rsidRDefault="006A3DBC" w:rsidP="005F4A92">
            <w:pPr>
              <w:pStyle w:val="TableParagraph"/>
              <w:ind w:left="337" w:right="338"/>
              <w:jc w:val="center"/>
              <w:rPr>
                <w:rFonts w:ascii="Arial" w:eastAsia="Arial" w:hAnsi="Arial" w:cs="Arial"/>
                <w:lang w:val="es-ES_tradnl"/>
              </w:rPr>
            </w:pPr>
            <w:r w:rsidRPr="00CF0F96">
              <w:rPr>
                <w:rFonts w:ascii="Arial" w:hAnsi="Arial" w:cs="Arial"/>
                <w:w w:val="90"/>
                <w:lang w:val="es-ES_tradnl"/>
              </w:rPr>
              <w:t>53.0</w:t>
            </w:r>
          </w:p>
        </w:tc>
      </w:tr>
      <w:tr w:rsidR="00CF0F96" w:rsidRPr="00CF0F96" w14:paraId="18C3CCA8" w14:textId="77777777" w:rsidTr="00EF7331">
        <w:trPr>
          <w:trHeight w:hRule="exact" w:val="259"/>
        </w:trPr>
        <w:tc>
          <w:tcPr>
            <w:tcW w:w="2231" w:type="dxa"/>
            <w:tcBorders>
              <w:top w:val="single" w:sz="8" w:space="0" w:color="000000"/>
              <w:left w:val="single" w:sz="8" w:space="0" w:color="000000"/>
              <w:bottom w:val="single" w:sz="8" w:space="0" w:color="000000"/>
              <w:right w:val="single" w:sz="8" w:space="0" w:color="000000"/>
            </w:tcBorders>
            <w:shd w:val="clear" w:color="auto" w:fill="C0C0C0"/>
          </w:tcPr>
          <w:p w14:paraId="3A9B81C9" w14:textId="77777777" w:rsidR="006A3DBC" w:rsidRPr="00CF0F96" w:rsidRDefault="006A3DBC" w:rsidP="005F4A92">
            <w:pPr>
              <w:pStyle w:val="TableParagraph"/>
              <w:ind w:left="98"/>
              <w:rPr>
                <w:rFonts w:ascii="Arial" w:eastAsia="Trebuchet MS" w:hAnsi="Arial" w:cs="Arial"/>
                <w:lang w:val="es-ES_tradnl"/>
              </w:rPr>
            </w:pPr>
            <w:r w:rsidRPr="00CF0F96">
              <w:rPr>
                <w:rFonts w:ascii="Arial" w:hAnsi="Arial" w:cs="Arial"/>
                <w:b/>
                <w:w w:val="95"/>
                <w:lang w:val="es-ES_tradnl"/>
              </w:rPr>
              <w:t>Mujeres</w:t>
            </w:r>
          </w:p>
        </w:tc>
        <w:tc>
          <w:tcPr>
            <w:tcW w:w="2126" w:type="dxa"/>
            <w:tcBorders>
              <w:top w:val="single" w:sz="8" w:space="0" w:color="000000"/>
              <w:left w:val="single" w:sz="8" w:space="0" w:color="000000"/>
              <w:bottom w:val="single" w:sz="8" w:space="0" w:color="000000"/>
              <w:right w:val="single" w:sz="8" w:space="0" w:color="000000"/>
            </w:tcBorders>
            <w:shd w:val="clear" w:color="auto" w:fill="C0C0C0"/>
          </w:tcPr>
          <w:p w14:paraId="7ACEBD34" w14:textId="77777777" w:rsidR="006A3DBC" w:rsidRPr="00CF0F96" w:rsidRDefault="006A3DBC" w:rsidP="005F4A92">
            <w:pPr>
              <w:pStyle w:val="TableParagraph"/>
              <w:ind w:left="198" w:right="202"/>
              <w:jc w:val="center"/>
              <w:rPr>
                <w:rFonts w:ascii="Arial" w:eastAsia="Arial" w:hAnsi="Arial" w:cs="Arial"/>
                <w:lang w:val="es-ES_tradnl"/>
              </w:rPr>
            </w:pPr>
            <w:r w:rsidRPr="00CF0F96">
              <w:rPr>
                <w:rFonts w:ascii="Arial" w:hAnsi="Arial" w:cs="Arial"/>
                <w:w w:val="90"/>
                <w:lang w:val="es-ES_tradnl"/>
              </w:rPr>
              <w:t>4,435,988</w:t>
            </w:r>
          </w:p>
        </w:tc>
        <w:tc>
          <w:tcPr>
            <w:tcW w:w="2133" w:type="dxa"/>
            <w:tcBorders>
              <w:top w:val="single" w:sz="8" w:space="0" w:color="000000"/>
              <w:left w:val="single" w:sz="8" w:space="0" w:color="000000"/>
              <w:bottom w:val="single" w:sz="8" w:space="0" w:color="000000"/>
              <w:right w:val="single" w:sz="8" w:space="0" w:color="000000"/>
            </w:tcBorders>
            <w:shd w:val="clear" w:color="auto" w:fill="C0C0C0"/>
          </w:tcPr>
          <w:p w14:paraId="683D7524" w14:textId="77777777" w:rsidR="006A3DBC" w:rsidRPr="00CF0F96" w:rsidRDefault="006A3DBC" w:rsidP="005F4A92">
            <w:pPr>
              <w:pStyle w:val="TableParagraph"/>
              <w:ind w:left="337" w:right="338"/>
              <w:jc w:val="center"/>
              <w:rPr>
                <w:rFonts w:ascii="Arial" w:eastAsia="Arial" w:hAnsi="Arial" w:cs="Arial"/>
                <w:lang w:val="es-ES_tradnl"/>
              </w:rPr>
            </w:pPr>
            <w:r w:rsidRPr="00CF0F96">
              <w:rPr>
                <w:rFonts w:ascii="Arial" w:hAnsi="Arial" w:cs="Arial"/>
                <w:w w:val="90"/>
                <w:lang w:val="es-ES_tradnl"/>
              </w:rPr>
              <w:t>52.0</w:t>
            </w:r>
          </w:p>
        </w:tc>
      </w:tr>
      <w:tr w:rsidR="00CF0F96" w:rsidRPr="00CF0F96" w14:paraId="7C0A8F47" w14:textId="77777777" w:rsidTr="00EF7331">
        <w:trPr>
          <w:trHeight w:hRule="exact" w:val="259"/>
        </w:trPr>
        <w:tc>
          <w:tcPr>
            <w:tcW w:w="2231" w:type="dxa"/>
            <w:tcBorders>
              <w:top w:val="single" w:sz="8" w:space="0" w:color="000000"/>
              <w:left w:val="single" w:sz="8" w:space="0" w:color="000000"/>
              <w:bottom w:val="single" w:sz="8" w:space="0" w:color="000000"/>
              <w:right w:val="single" w:sz="8" w:space="0" w:color="000000"/>
            </w:tcBorders>
            <w:shd w:val="clear" w:color="auto" w:fill="auto"/>
          </w:tcPr>
          <w:p w14:paraId="2A8F160F" w14:textId="77777777" w:rsidR="006A3DBC" w:rsidRPr="00CF0F96" w:rsidRDefault="006A3DBC" w:rsidP="005F4A92">
            <w:pPr>
              <w:pStyle w:val="TableParagraph"/>
              <w:ind w:left="98"/>
              <w:rPr>
                <w:rFonts w:ascii="Arial" w:eastAsia="Trebuchet MS" w:hAnsi="Arial" w:cs="Arial"/>
                <w:lang w:val="es-ES_tradnl"/>
              </w:rPr>
            </w:pPr>
            <w:r w:rsidRPr="00CF0F96">
              <w:rPr>
                <w:rFonts w:ascii="Arial" w:hAnsi="Arial" w:cs="Arial"/>
                <w:b/>
                <w:w w:val="95"/>
                <w:lang w:val="es-ES_tradnl"/>
              </w:rPr>
              <w:t>Hombres</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14:paraId="4E4E0CCC" w14:textId="77777777" w:rsidR="006A3DBC" w:rsidRPr="00CF0F96" w:rsidRDefault="006A3DBC" w:rsidP="005F4A92">
            <w:pPr>
              <w:pStyle w:val="TableParagraph"/>
              <w:ind w:left="198" w:right="202"/>
              <w:jc w:val="center"/>
              <w:rPr>
                <w:rFonts w:ascii="Arial" w:eastAsia="Arial" w:hAnsi="Arial" w:cs="Arial"/>
                <w:lang w:val="es-ES_tradnl"/>
              </w:rPr>
            </w:pPr>
            <w:r w:rsidRPr="00CF0F96">
              <w:rPr>
                <w:rFonts w:ascii="Arial" w:hAnsi="Arial" w:cs="Arial"/>
                <w:w w:val="90"/>
                <w:lang w:val="es-ES_tradnl"/>
              </w:rPr>
              <w:t>4,099,703</w:t>
            </w:r>
          </w:p>
        </w:tc>
        <w:tc>
          <w:tcPr>
            <w:tcW w:w="2133" w:type="dxa"/>
            <w:tcBorders>
              <w:top w:val="single" w:sz="8" w:space="0" w:color="000000"/>
              <w:left w:val="single" w:sz="8" w:space="0" w:color="000000"/>
              <w:bottom w:val="single" w:sz="8" w:space="0" w:color="000000"/>
              <w:right w:val="single" w:sz="8" w:space="0" w:color="000000"/>
            </w:tcBorders>
            <w:shd w:val="clear" w:color="auto" w:fill="auto"/>
          </w:tcPr>
          <w:p w14:paraId="234DD5AA" w14:textId="77777777" w:rsidR="006A3DBC" w:rsidRPr="00CF0F96" w:rsidRDefault="006A3DBC" w:rsidP="005F4A92">
            <w:pPr>
              <w:pStyle w:val="TableParagraph"/>
              <w:ind w:left="337" w:right="338"/>
              <w:jc w:val="center"/>
              <w:rPr>
                <w:rFonts w:ascii="Arial" w:eastAsia="Arial" w:hAnsi="Arial" w:cs="Arial"/>
                <w:lang w:val="es-ES_tradnl"/>
              </w:rPr>
            </w:pPr>
            <w:r w:rsidRPr="00CF0F96">
              <w:rPr>
                <w:rFonts w:ascii="Arial" w:hAnsi="Arial" w:cs="Arial"/>
                <w:w w:val="90"/>
                <w:lang w:val="es-ES_tradnl"/>
              </w:rPr>
              <w:t>48.0</w:t>
            </w:r>
          </w:p>
        </w:tc>
      </w:tr>
    </w:tbl>
    <w:p w14:paraId="3C27A3A9" w14:textId="77777777" w:rsidR="006A3DBC" w:rsidRPr="00FA4B2D" w:rsidRDefault="006A3DBC" w:rsidP="006A3DBC">
      <w:pPr>
        <w:spacing w:after="0" w:line="240" w:lineRule="auto"/>
        <w:ind w:left="360"/>
        <w:jc w:val="both"/>
        <w:rPr>
          <w:rFonts w:cs="Arial"/>
        </w:rPr>
      </w:pPr>
    </w:p>
    <w:p w14:paraId="57BE5074" w14:textId="77777777" w:rsidR="006A3DBC" w:rsidRPr="00FA4B2D" w:rsidRDefault="006A3DBC" w:rsidP="006A3DBC">
      <w:pPr>
        <w:spacing w:after="0" w:line="240" w:lineRule="auto"/>
        <w:jc w:val="both"/>
        <w:rPr>
          <w:rFonts w:cs="Arial"/>
        </w:rPr>
      </w:pPr>
    </w:p>
    <w:p w14:paraId="3B21459D" w14:textId="77777777" w:rsidR="006A3DBC" w:rsidRPr="00FA4B2D" w:rsidRDefault="006A3DBC" w:rsidP="006A3DBC">
      <w:pPr>
        <w:pStyle w:val="Textoindependiente"/>
        <w:ind w:left="1518" w:right="117"/>
        <w:jc w:val="both"/>
        <w:rPr>
          <w:rFonts w:ascii="Arial" w:hAnsi="Arial" w:cs="Arial"/>
          <w:w w:val="90"/>
          <w:sz w:val="22"/>
          <w:szCs w:val="22"/>
          <w:lang w:val="es-HN"/>
        </w:rPr>
      </w:pPr>
    </w:p>
    <w:p w14:paraId="067858DA" w14:textId="77777777" w:rsidR="006A3DBC" w:rsidRPr="00FA4B2D" w:rsidRDefault="006A3DBC" w:rsidP="006A3DBC">
      <w:pPr>
        <w:pStyle w:val="Textoindependiente"/>
        <w:ind w:left="1518" w:right="117"/>
        <w:jc w:val="both"/>
        <w:rPr>
          <w:rFonts w:ascii="Arial" w:hAnsi="Arial" w:cs="Arial"/>
          <w:w w:val="90"/>
          <w:sz w:val="22"/>
          <w:szCs w:val="22"/>
          <w:lang w:val="es-HN"/>
        </w:rPr>
      </w:pPr>
    </w:p>
    <w:p w14:paraId="51F55B3E" w14:textId="77777777" w:rsidR="006A3DBC" w:rsidRPr="00FA4B2D" w:rsidRDefault="006A3DBC" w:rsidP="006A3DBC">
      <w:pPr>
        <w:pStyle w:val="Textoindependiente"/>
        <w:ind w:left="1518" w:right="117"/>
        <w:jc w:val="both"/>
        <w:rPr>
          <w:rFonts w:ascii="Arial" w:hAnsi="Arial" w:cs="Arial"/>
          <w:w w:val="90"/>
          <w:sz w:val="22"/>
          <w:szCs w:val="22"/>
          <w:lang w:val="es-HN"/>
        </w:rPr>
      </w:pPr>
    </w:p>
    <w:p w14:paraId="4CBA2E44" w14:textId="77777777" w:rsidR="006A3DBC" w:rsidRPr="00FA4B2D" w:rsidRDefault="006A3DBC" w:rsidP="006A3DBC">
      <w:pPr>
        <w:pStyle w:val="Textoindependiente"/>
        <w:ind w:left="1518" w:right="117"/>
        <w:jc w:val="both"/>
        <w:rPr>
          <w:rFonts w:ascii="Arial" w:hAnsi="Arial" w:cs="Arial"/>
          <w:w w:val="90"/>
          <w:sz w:val="22"/>
          <w:szCs w:val="22"/>
          <w:lang w:val="es-HN"/>
        </w:rPr>
      </w:pPr>
    </w:p>
    <w:p w14:paraId="1D8DD141" w14:textId="77777777" w:rsidR="006A3DBC" w:rsidRPr="00FA4B2D" w:rsidRDefault="006A3DBC" w:rsidP="006A3DBC">
      <w:pPr>
        <w:pStyle w:val="Textoindependiente"/>
        <w:ind w:left="1518" w:right="117"/>
        <w:jc w:val="both"/>
        <w:rPr>
          <w:rFonts w:ascii="Arial" w:hAnsi="Arial" w:cs="Arial"/>
          <w:w w:val="90"/>
          <w:sz w:val="22"/>
          <w:szCs w:val="22"/>
          <w:lang w:val="es-HN"/>
        </w:rPr>
      </w:pPr>
    </w:p>
    <w:p w14:paraId="64A16954" w14:textId="77777777" w:rsidR="006A3DBC" w:rsidRPr="00FA4B2D" w:rsidRDefault="006A3DBC" w:rsidP="006A3DBC">
      <w:pPr>
        <w:pStyle w:val="Textoindependiente"/>
        <w:ind w:left="1518" w:right="117"/>
        <w:jc w:val="both"/>
        <w:rPr>
          <w:rFonts w:ascii="Arial" w:hAnsi="Arial" w:cs="Arial"/>
          <w:w w:val="90"/>
          <w:sz w:val="22"/>
          <w:szCs w:val="22"/>
          <w:lang w:val="es-HN"/>
        </w:rPr>
      </w:pPr>
    </w:p>
    <w:p w14:paraId="1F5296A1" w14:textId="77777777" w:rsidR="006A3DBC" w:rsidRPr="00FA4B2D" w:rsidRDefault="006A3DBC" w:rsidP="006A3DBC">
      <w:pPr>
        <w:pStyle w:val="Textoindependiente"/>
        <w:ind w:left="1518" w:right="117"/>
        <w:jc w:val="both"/>
        <w:rPr>
          <w:rFonts w:ascii="Arial" w:hAnsi="Arial" w:cs="Arial"/>
          <w:w w:val="90"/>
          <w:sz w:val="22"/>
          <w:szCs w:val="22"/>
          <w:lang w:val="es-HN"/>
        </w:rPr>
      </w:pPr>
    </w:p>
    <w:p w14:paraId="3E697388" w14:textId="77777777" w:rsidR="006A3DBC" w:rsidRPr="00FA4B2D" w:rsidRDefault="006A3DBC" w:rsidP="006A3DBC">
      <w:pPr>
        <w:pStyle w:val="Textoindependiente"/>
        <w:ind w:left="1518" w:right="117"/>
        <w:jc w:val="both"/>
        <w:rPr>
          <w:rFonts w:ascii="Arial" w:hAnsi="Arial" w:cs="Arial"/>
          <w:sz w:val="20"/>
          <w:szCs w:val="20"/>
          <w:lang w:val="es-HN"/>
        </w:rPr>
      </w:pPr>
      <w:r w:rsidRPr="00FA4B2D">
        <w:rPr>
          <w:rFonts w:ascii="Arial" w:hAnsi="Arial" w:cs="Arial"/>
          <w:w w:val="90"/>
          <w:sz w:val="20"/>
          <w:szCs w:val="20"/>
          <w:lang w:val="es-HN"/>
        </w:rPr>
        <w:t xml:space="preserve">        Fuente:</w:t>
      </w:r>
      <w:r w:rsidRPr="00FA4B2D">
        <w:rPr>
          <w:rFonts w:ascii="Arial" w:hAnsi="Arial" w:cs="Arial"/>
          <w:spacing w:val="-28"/>
          <w:w w:val="90"/>
          <w:sz w:val="20"/>
          <w:szCs w:val="20"/>
          <w:lang w:val="es-HN"/>
        </w:rPr>
        <w:t xml:space="preserve"> </w:t>
      </w:r>
      <w:r w:rsidRPr="00FA4B2D">
        <w:rPr>
          <w:rFonts w:ascii="Arial" w:hAnsi="Arial" w:cs="Arial"/>
          <w:w w:val="90"/>
          <w:sz w:val="20"/>
          <w:szCs w:val="20"/>
          <w:lang w:val="es-HN"/>
        </w:rPr>
        <w:t>XLIV</w:t>
      </w:r>
      <w:r w:rsidRPr="00FA4B2D">
        <w:rPr>
          <w:rFonts w:ascii="Arial" w:hAnsi="Arial" w:cs="Arial"/>
          <w:spacing w:val="-11"/>
          <w:w w:val="90"/>
          <w:sz w:val="20"/>
          <w:szCs w:val="20"/>
          <w:lang w:val="es-HN"/>
        </w:rPr>
        <w:t xml:space="preserve"> </w:t>
      </w:r>
      <w:r w:rsidRPr="00FA4B2D">
        <w:rPr>
          <w:rFonts w:ascii="Arial" w:hAnsi="Arial" w:cs="Arial"/>
          <w:w w:val="90"/>
          <w:sz w:val="20"/>
          <w:szCs w:val="20"/>
          <w:lang w:val="es-HN"/>
        </w:rPr>
        <w:t>EPHPM</w:t>
      </w:r>
      <w:r w:rsidRPr="00FA4B2D">
        <w:rPr>
          <w:rFonts w:ascii="Arial" w:hAnsi="Arial" w:cs="Arial"/>
          <w:spacing w:val="-27"/>
          <w:w w:val="90"/>
          <w:sz w:val="20"/>
          <w:szCs w:val="20"/>
          <w:lang w:val="es-HN"/>
        </w:rPr>
        <w:t xml:space="preserve"> </w:t>
      </w:r>
      <w:r w:rsidRPr="00FA4B2D">
        <w:rPr>
          <w:rFonts w:ascii="Arial" w:hAnsi="Arial" w:cs="Arial"/>
          <w:w w:val="90"/>
          <w:sz w:val="20"/>
          <w:szCs w:val="20"/>
          <w:lang w:val="es-HN"/>
        </w:rPr>
        <w:t>-</w:t>
      </w:r>
      <w:r w:rsidRPr="00FA4B2D">
        <w:rPr>
          <w:rFonts w:ascii="Arial" w:hAnsi="Arial" w:cs="Arial"/>
          <w:spacing w:val="-28"/>
          <w:w w:val="90"/>
          <w:sz w:val="20"/>
          <w:szCs w:val="20"/>
          <w:lang w:val="es-HN"/>
        </w:rPr>
        <w:t xml:space="preserve"> </w:t>
      </w:r>
      <w:r w:rsidRPr="00FA4B2D">
        <w:rPr>
          <w:rFonts w:ascii="Arial" w:hAnsi="Arial" w:cs="Arial"/>
          <w:w w:val="90"/>
          <w:sz w:val="20"/>
          <w:szCs w:val="20"/>
          <w:lang w:val="es-HN"/>
        </w:rPr>
        <w:t>mayo</w:t>
      </w:r>
      <w:r w:rsidRPr="00FA4B2D">
        <w:rPr>
          <w:rFonts w:ascii="Arial" w:hAnsi="Arial" w:cs="Arial"/>
          <w:spacing w:val="-27"/>
          <w:w w:val="90"/>
          <w:sz w:val="20"/>
          <w:szCs w:val="20"/>
          <w:lang w:val="es-HN"/>
        </w:rPr>
        <w:t xml:space="preserve"> </w:t>
      </w:r>
      <w:r w:rsidRPr="00FA4B2D">
        <w:rPr>
          <w:rFonts w:ascii="Arial" w:hAnsi="Arial" w:cs="Arial"/>
          <w:w w:val="90"/>
          <w:sz w:val="20"/>
          <w:szCs w:val="20"/>
          <w:lang w:val="es-HN"/>
        </w:rPr>
        <w:t>-</w:t>
      </w:r>
      <w:r w:rsidRPr="00FA4B2D">
        <w:rPr>
          <w:rFonts w:ascii="Arial" w:hAnsi="Arial" w:cs="Arial"/>
          <w:spacing w:val="-28"/>
          <w:w w:val="90"/>
          <w:sz w:val="20"/>
          <w:szCs w:val="20"/>
          <w:lang w:val="es-HN"/>
        </w:rPr>
        <w:t xml:space="preserve"> </w:t>
      </w:r>
      <w:r w:rsidRPr="00FA4B2D">
        <w:rPr>
          <w:rFonts w:ascii="Arial" w:hAnsi="Arial" w:cs="Arial"/>
          <w:w w:val="90"/>
          <w:sz w:val="20"/>
          <w:szCs w:val="20"/>
          <w:lang w:val="es-HN"/>
        </w:rPr>
        <w:t>2013,</w:t>
      </w:r>
      <w:r w:rsidRPr="00FA4B2D">
        <w:rPr>
          <w:rFonts w:ascii="Arial" w:hAnsi="Arial" w:cs="Arial"/>
          <w:spacing w:val="-28"/>
          <w:w w:val="90"/>
          <w:sz w:val="20"/>
          <w:szCs w:val="20"/>
          <w:lang w:val="es-HN"/>
        </w:rPr>
        <w:t xml:space="preserve"> </w:t>
      </w:r>
      <w:r w:rsidRPr="00FA4B2D">
        <w:rPr>
          <w:rFonts w:ascii="Arial" w:hAnsi="Arial" w:cs="Arial"/>
          <w:w w:val="90"/>
          <w:sz w:val="20"/>
          <w:szCs w:val="20"/>
          <w:lang w:val="es-HN"/>
        </w:rPr>
        <w:t>Instituto Nacional de Estadística (INE).</w:t>
      </w:r>
    </w:p>
    <w:p w14:paraId="6E820876" w14:textId="77777777" w:rsidR="006A3DBC" w:rsidRPr="00FA4B2D" w:rsidRDefault="006A3DBC" w:rsidP="006A3DBC">
      <w:pPr>
        <w:spacing w:after="0" w:line="240" w:lineRule="auto"/>
        <w:jc w:val="both"/>
        <w:rPr>
          <w:rFonts w:cs="Arial"/>
        </w:rPr>
      </w:pPr>
    </w:p>
    <w:p w14:paraId="0D8B91D4" w14:textId="77777777" w:rsidR="006A3DBC" w:rsidRPr="00FA4B2D" w:rsidRDefault="006A3DBC" w:rsidP="006A3DBC">
      <w:pPr>
        <w:spacing w:after="0" w:line="240" w:lineRule="auto"/>
        <w:jc w:val="both"/>
        <w:rPr>
          <w:rFonts w:cs="Arial"/>
        </w:rPr>
      </w:pPr>
      <w:r w:rsidRPr="00FA4B2D">
        <w:rPr>
          <w:rFonts w:cs="Arial"/>
        </w:rPr>
        <w:t>Es importante mencionar que la estructura de la población es predominantemente joven, esto incide en que cada persona ocupada tiene que mantener en promedio a 2.4 personas</w:t>
      </w:r>
      <w:r w:rsidRPr="00FA4B2D">
        <w:rPr>
          <w:rStyle w:val="Refdenotaalpie"/>
          <w:rFonts w:cs="Arial"/>
        </w:rPr>
        <w:footnoteReference w:id="16"/>
      </w:r>
      <w:r w:rsidRPr="00FA4B2D">
        <w:rPr>
          <w:rFonts w:cs="Arial"/>
        </w:rPr>
        <w:t>.</w:t>
      </w:r>
    </w:p>
    <w:p w14:paraId="3E662857" w14:textId="77777777" w:rsidR="006A3DBC" w:rsidRPr="00FA4B2D" w:rsidRDefault="006A3DBC" w:rsidP="006A3DBC">
      <w:pPr>
        <w:spacing w:after="0" w:line="240" w:lineRule="auto"/>
        <w:ind w:left="360"/>
        <w:rPr>
          <w:rFonts w:cs="Arial"/>
        </w:rPr>
      </w:pPr>
    </w:p>
    <w:p w14:paraId="70265F87" w14:textId="77777777" w:rsidR="006A3DBC" w:rsidRPr="00FA4B2D" w:rsidRDefault="006A3DBC" w:rsidP="006A3DBC">
      <w:pPr>
        <w:spacing w:after="0" w:line="240" w:lineRule="auto"/>
        <w:jc w:val="both"/>
        <w:rPr>
          <w:rFonts w:cs="Arial"/>
        </w:rPr>
      </w:pPr>
      <w:r w:rsidRPr="00FA4B2D">
        <w:rPr>
          <w:rFonts w:cs="Arial"/>
        </w:rPr>
        <w:t>Según la XLIV Encuesta Permanente de Hogares y de Propósitos Múltiples del año 2013, el 64.5% de los hogares hondureños se situaban en condiciones de pobreza, con ingresos por debajo del costo de una canasta básica de consumo que incluye alimentos, otros bienes y servicios; de estos hogares un 60.4% son urbanos y un 68.5% rurales. La “brecha de pobreza “en el nivel nacional, presenta un grado de severidad de 20.6%, incrementándose la desigualdad, en mayor medida, en el área rural llegando al 23.5%, en comparación con el área urbana, cuyo porcentaje es del 17.5%.</w:t>
      </w:r>
      <w:r w:rsidRPr="00FA4B2D">
        <w:rPr>
          <w:rStyle w:val="Refdenotaalpie"/>
          <w:rFonts w:cs="Arial"/>
        </w:rPr>
        <w:footnoteReference w:id="17"/>
      </w:r>
    </w:p>
    <w:p w14:paraId="0B2BBAA7" w14:textId="77777777" w:rsidR="006A3DBC" w:rsidRPr="00FA4B2D" w:rsidRDefault="006A3DBC" w:rsidP="006A3DBC">
      <w:pPr>
        <w:spacing w:after="0" w:line="240" w:lineRule="auto"/>
        <w:ind w:left="360"/>
        <w:jc w:val="both"/>
        <w:rPr>
          <w:rFonts w:cs="Arial"/>
        </w:rPr>
      </w:pPr>
    </w:p>
    <w:p w14:paraId="27A44ED8" w14:textId="77777777" w:rsidR="006A3DBC" w:rsidRPr="00FA4B2D" w:rsidRDefault="006A3DBC" w:rsidP="006A3DBC">
      <w:pPr>
        <w:spacing w:after="0" w:line="240" w:lineRule="auto"/>
        <w:jc w:val="both"/>
        <w:rPr>
          <w:rFonts w:cs="Arial"/>
        </w:rPr>
      </w:pPr>
      <w:r w:rsidRPr="00FA4B2D">
        <w:rPr>
          <w:rFonts w:cs="Arial"/>
        </w:rPr>
        <w:t xml:space="preserve">La fuerza de trabajo de Honduras es de aproximadamente 3 944 836 de personas, de los cuales 2 368 797 son hombres y 1 576 038 mujeres. La tasa de participación </w:t>
      </w:r>
      <w:r w:rsidRPr="00FA4B2D">
        <w:rPr>
          <w:rFonts w:cs="Arial"/>
        </w:rPr>
        <w:lastRenderedPageBreak/>
        <w:t>total es de 57,5%, mientras que la masculina sube hasta un 74,0% y la femenina baja a un 43,0%. La tasa de desempleo abierto es de 7,4%, con una tasa de subempleo visible de 11,5% y de subempleo invisible de 44,2%. El porcentaje de jóvenes entre 12-30 años que no estudian ni trabajan es de 25,3% (INE, 2016).</w:t>
      </w:r>
    </w:p>
    <w:p w14:paraId="65717475" w14:textId="77777777" w:rsidR="006A3DBC" w:rsidRPr="00FA4B2D" w:rsidRDefault="006A3DBC" w:rsidP="006A3DBC">
      <w:pPr>
        <w:spacing w:after="0" w:line="240" w:lineRule="auto"/>
        <w:jc w:val="both"/>
        <w:rPr>
          <w:rFonts w:cs="Arial"/>
        </w:rPr>
      </w:pPr>
    </w:p>
    <w:p w14:paraId="4C8D8AFD" w14:textId="77777777" w:rsidR="006A3DBC" w:rsidRPr="00FA4B2D" w:rsidRDefault="006A3DBC" w:rsidP="006A3DBC">
      <w:pPr>
        <w:spacing w:after="0" w:line="240" w:lineRule="auto"/>
        <w:jc w:val="both"/>
        <w:rPr>
          <w:rFonts w:cs="Arial"/>
        </w:rPr>
      </w:pPr>
      <w:r w:rsidRPr="00FA4B2D">
        <w:rPr>
          <w:rFonts w:cs="Arial"/>
        </w:rPr>
        <w:t>Los resultados más recientes de la Encuesta Permanente de Hogares de Propósitos Múltiples (EPHPM) junio 2023 del Instituto Nacional de Estadística (INE)</w:t>
      </w:r>
      <w:r w:rsidRPr="00FA4B2D">
        <w:rPr>
          <w:rStyle w:val="Refdenotaalpie"/>
          <w:rFonts w:cs="Arial"/>
        </w:rPr>
        <w:footnoteReference w:id="18"/>
      </w:r>
      <w:r w:rsidRPr="00FA4B2D">
        <w:rPr>
          <w:rFonts w:cs="Arial"/>
        </w:rPr>
        <w:t xml:space="preserve"> estima que la población de Honduras es de 9,744,744 habitantes, de los cuales 4,618,183 (52.6%) son mujeres y 4,618,183 (47.4%) son hombres. Según el área de residencia el 44.4% viven en el área rural y el porcentaje restante en el área urbana.</w:t>
      </w:r>
    </w:p>
    <w:p w14:paraId="6D19E79F" w14:textId="77777777" w:rsidR="006A3DBC" w:rsidRPr="00FA4B2D" w:rsidRDefault="006A3DBC" w:rsidP="006A3DBC">
      <w:pPr>
        <w:spacing w:after="0" w:line="240" w:lineRule="auto"/>
        <w:jc w:val="both"/>
        <w:rPr>
          <w:rFonts w:cs="Arial"/>
        </w:rPr>
      </w:pPr>
    </w:p>
    <w:p w14:paraId="15D7A531" w14:textId="77777777" w:rsidR="006A3DBC" w:rsidRPr="00FA4B2D" w:rsidRDefault="006A3DBC" w:rsidP="006A3DBC">
      <w:pPr>
        <w:spacing w:after="0" w:line="240" w:lineRule="auto"/>
        <w:jc w:val="both"/>
        <w:rPr>
          <w:rFonts w:cs="Arial"/>
        </w:rPr>
      </w:pPr>
      <w:r w:rsidRPr="00FA4B2D">
        <w:rPr>
          <w:rFonts w:cs="Arial"/>
        </w:rPr>
        <w:t>La población hondureña se caracteriza por ser joven, representada por adolescentes menores de 19 años (36.1%), por otro lado, la población de la tercera edad representada por adultos de 60 años y más, conforman el 13.6% de la población.</w:t>
      </w:r>
    </w:p>
    <w:p w14:paraId="0CE907F8" w14:textId="77777777" w:rsidR="006A3DBC" w:rsidRPr="00FA4B2D" w:rsidRDefault="006A3DBC" w:rsidP="006A3DBC">
      <w:pPr>
        <w:spacing w:after="0" w:line="240" w:lineRule="auto"/>
        <w:jc w:val="both"/>
        <w:rPr>
          <w:rFonts w:cs="Arial"/>
        </w:rPr>
      </w:pPr>
    </w:p>
    <w:p w14:paraId="62E36D4A" w14:textId="77777777" w:rsidR="006A3DBC" w:rsidRPr="00FA4B2D" w:rsidRDefault="006A3DBC" w:rsidP="006A3DBC">
      <w:pPr>
        <w:spacing w:after="0" w:line="240" w:lineRule="auto"/>
        <w:jc w:val="both"/>
        <w:rPr>
          <w:rFonts w:cs="Arial"/>
        </w:rPr>
      </w:pPr>
      <w:r w:rsidRPr="00FA4B2D">
        <w:rPr>
          <w:rFonts w:cs="Arial"/>
        </w:rPr>
        <w:t>La Población en Edad de Trabajar (PET), es aquella población definida por las normas internacionales (OIT), como apta en cuanto a edad para ejercer funciones productivas (15 años y más). Para el año 2023, se estima que la Población en Edad de Trabajar alcanza el 71.4% de la población total.</w:t>
      </w:r>
    </w:p>
    <w:p w14:paraId="49E49290" w14:textId="77777777" w:rsidR="006A3DBC" w:rsidRPr="00FA4B2D" w:rsidRDefault="006A3DBC" w:rsidP="006A3DBC">
      <w:pPr>
        <w:spacing w:after="0" w:line="240" w:lineRule="auto"/>
        <w:jc w:val="both"/>
        <w:rPr>
          <w:rFonts w:cs="Arial"/>
        </w:rPr>
      </w:pPr>
    </w:p>
    <w:p w14:paraId="60D7809E" w14:textId="56C3B958" w:rsidR="006A3DBC" w:rsidRPr="00FA4B2D" w:rsidRDefault="00EF7331" w:rsidP="006A3DBC">
      <w:pPr>
        <w:spacing w:after="0" w:line="240" w:lineRule="auto"/>
        <w:jc w:val="both"/>
        <w:rPr>
          <w:rFonts w:cs="Arial"/>
        </w:rPr>
      </w:pPr>
      <w:r w:rsidRPr="00FA4B2D">
        <w:rPr>
          <w:rFonts w:cs="Arial"/>
        </w:rPr>
        <w:t>De acuerdo con</w:t>
      </w:r>
      <w:r w:rsidR="006A3DBC" w:rsidRPr="00FA4B2D">
        <w:rPr>
          <w:rFonts w:cs="Arial"/>
        </w:rPr>
        <w:t xml:space="preserve"> los resultados, el nivel educativo que prevalece en la Población en Edad de Trabajar es el primario con 58.4%, seguido de secundaria con 21.0%, y un 9.1% las personas con educación superior.</w:t>
      </w:r>
    </w:p>
    <w:p w14:paraId="466E133A" w14:textId="77777777" w:rsidR="006A3DBC" w:rsidRPr="00FA4B2D" w:rsidRDefault="006A3DBC" w:rsidP="006A3DBC">
      <w:pPr>
        <w:spacing w:after="0" w:line="240" w:lineRule="auto"/>
        <w:jc w:val="both"/>
        <w:rPr>
          <w:rFonts w:cs="Arial"/>
        </w:rPr>
      </w:pPr>
    </w:p>
    <w:p w14:paraId="07E46C25" w14:textId="77777777" w:rsidR="006A3DBC" w:rsidRPr="00FA4B2D" w:rsidRDefault="006A3DBC" w:rsidP="006A3DBC">
      <w:pPr>
        <w:spacing w:after="0" w:line="240" w:lineRule="auto"/>
        <w:jc w:val="both"/>
        <w:rPr>
          <w:rFonts w:cs="Arial"/>
        </w:rPr>
      </w:pPr>
      <w:r w:rsidRPr="00FA4B2D">
        <w:rPr>
          <w:rFonts w:cs="Arial"/>
        </w:rPr>
        <w:t xml:space="preserve">Las personas menores a 30 </w:t>
      </w:r>
      <w:proofErr w:type="gramStart"/>
      <w:r w:rsidRPr="00FA4B2D">
        <w:rPr>
          <w:rFonts w:cs="Arial"/>
        </w:rPr>
        <w:t>años de edad</w:t>
      </w:r>
      <w:proofErr w:type="gramEnd"/>
      <w:r w:rsidRPr="00FA4B2D">
        <w:rPr>
          <w:rFonts w:cs="Arial"/>
        </w:rPr>
        <w:t xml:space="preserve"> representan el 34.7% de la Población en Edad de Trabajar, siendo la mayoría las personas entre 30 a 59 años que representan el 46.2% y las personas de la tercera edad un 19.1%.</w:t>
      </w:r>
    </w:p>
    <w:p w14:paraId="61157346" w14:textId="77777777" w:rsidR="006A3DBC" w:rsidRPr="00FA4B2D" w:rsidRDefault="006A3DBC" w:rsidP="006A3DBC">
      <w:pPr>
        <w:spacing w:after="0" w:line="240" w:lineRule="auto"/>
        <w:jc w:val="both"/>
        <w:rPr>
          <w:rFonts w:cs="Arial"/>
        </w:rPr>
      </w:pPr>
    </w:p>
    <w:p w14:paraId="0EF4283D" w14:textId="77777777" w:rsidR="006A3DBC" w:rsidRPr="00FA4B2D" w:rsidRDefault="006A3DBC" w:rsidP="006A3DBC">
      <w:pPr>
        <w:spacing w:after="0" w:line="240" w:lineRule="auto"/>
        <w:jc w:val="both"/>
        <w:rPr>
          <w:rFonts w:cs="Arial"/>
        </w:rPr>
      </w:pPr>
      <w:r w:rsidRPr="00FA4B2D">
        <w:rPr>
          <w:rFonts w:cs="Arial"/>
        </w:rPr>
        <w:t>La Fuerza de Trabajo antes denominada Población Económicamente Activa (PEA), son las personas mayores de 15 años que están disponibles en un momento dado para la producción de bienes y servicios a cambio de remuneración y beneficios, esta, en el año 2023 representa el 55.9% (3,889,760 personas) de la Población en Edad de Trabajar.</w:t>
      </w:r>
    </w:p>
    <w:p w14:paraId="47B85D8A" w14:textId="77777777" w:rsidR="006A3DBC" w:rsidRPr="00FA4B2D" w:rsidRDefault="006A3DBC" w:rsidP="006A3DBC">
      <w:pPr>
        <w:spacing w:after="0" w:line="240" w:lineRule="auto"/>
        <w:jc w:val="both"/>
        <w:rPr>
          <w:rFonts w:cs="Arial"/>
        </w:rPr>
      </w:pPr>
    </w:p>
    <w:p w14:paraId="270FE0EC" w14:textId="77777777" w:rsidR="00D6295D" w:rsidRPr="00FA4B2D" w:rsidRDefault="00D6295D" w:rsidP="001616DF">
      <w:pPr>
        <w:spacing w:after="0" w:line="240" w:lineRule="auto"/>
        <w:jc w:val="center"/>
        <w:rPr>
          <w:rFonts w:cs="Arial"/>
        </w:rPr>
      </w:pPr>
    </w:p>
    <w:p w14:paraId="27347BA1" w14:textId="77777777" w:rsidR="00D6295D" w:rsidRPr="00FA4B2D" w:rsidRDefault="00D6295D" w:rsidP="001616DF">
      <w:pPr>
        <w:spacing w:after="0" w:line="240" w:lineRule="auto"/>
        <w:jc w:val="center"/>
        <w:rPr>
          <w:rFonts w:cs="Arial"/>
        </w:rPr>
      </w:pPr>
    </w:p>
    <w:p w14:paraId="25BB55DE" w14:textId="221CB31B" w:rsidR="00EF7331" w:rsidRDefault="00EF7331" w:rsidP="00EF7331">
      <w:pPr>
        <w:pStyle w:val="Descripcin"/>
        <w:keepNext/>
        <w:jc w:val="center"/>
      </w:pPr>
      <w:bookmarkStart w:id="445" w:name="_Toc202455581"/>
      <w:r>
        <w:lastRenderedPageBreak/>
        <w:t xml:space="preserve">Ilustración </w:t>
      </w:r>
      <w:r>
        <w:fldChar w:fldCharType="begin"/>
      </w:r>
      <w:r>
        <w:instrText xml:space="preserve"> SEQ Ilustración \* ARABIC </w:instrText>
      </w:r>
      <w:r>
        <w:fldChar w:fldCharType="separate"/>
      </w:r>
      <w:r w:rsidR="00F94AC4">
        <w:rPr>
          <w:noProof/>
        </w:rPr>
        <w:t>19</w:t>
      </w:r>
      <w:r>
        <w:fldChar w:fldCharType="end"/>
      </w:r>
      <w:r>
        <w:t xml:space="preserve">: </w:t>
      </w:r>
      <w:r w:rsidRPr="006C361E">
        <w:t>Fuerza de Trabajo Según Rango de Edad</w:t>
      </w:r>
      <w:bookmarkEnd w:id="445"/>
    </w:p>
    <w:p w14:paraId="06E94583" w14:textId="77777777" w:rsidR="006A3DBC" w:rsidRPr="00FA4B2D" w:rsidRDefault="006A3DBC" w:rsidP="006A3DBC">
      <w:pPr>
        <w:spacing w:after="0" w:line="240" w:lineRule="auto"/>
        <w:jc w:val="center"/>
        <w:rPr>
          <w:rFonts w:cs="Arial"/>
        </w:rPr>
      </w:pPr>
      <w:r w:rsidRPr="00FA4B2D">
        <w:rPr>
          <w:rFonts w:cs="Arial"/>
          <w:noProof/>
          <w:lang w:val="es-HN" w:eastAsia="es-HN"/>
        </w:rPr>
        <w:drawing>
          <wp:inline distT="0" distB="0" distL="0" distR="0" wp14:anchorId="5CA4F40A" wp14:editId="3F32F947">
            <wp:extent cx="5162550" cy="2606499"/>
            <wp:effectExtent l="0" t="0" r="0" b="3810"/>
            <wp:docPr id="5141546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154605" name=""/>
                    <pic:cNvPicPr/>
                  </pic:nvPicPr>
                  <pic:blipFill rotWithShape="1">
                    <a:blip r:embed="rId50"/>
                    <a:srcRect l="10582" t="39136" r="37850" b="14559"/>
                    <a:stretch/>
                  </pic:blipFill>
                  <pic:spPr bwMode="auto">
                    <a:xfrm>
                      <a:off x="0" y="0"/>
                      <a:ext cx="5183444" cy="2617048"/>
                    </a:xfrm>
                    <a:prstGeom prst="rect">
                      <a:avLst/>
                    </a:prstGeom>
                    <a:ln>
                      <a:noFill/>
                    </a:ln>
                    <a:extLst>
                      <a:ext uri="{53640926-AAD7-44D8-BBD7-CCE9431645EC}">
                        <a14:shadowObscured xmlns:a14="http://schemas.microsoft.com/office/drawing/2010/main"/>
                      </a:ext>
                    </a:extLst>
                  </pic:spPr>
                </pic:pic>
              </a:graphicData>
            </a:graphic>
          </wp:inline>
        </w:drawing>
      </w:r>
    </w:p>
    <w:p w14:paraId="3E1C65EB" w14:textId="77777777" w:rsidR="006A3DBC" w:rsidRPr="00FA4B2D" w:rsidRDefault="006A3DBC" w:rsidP="006A3DBC">
      <w:pPr>
        <w:spacing w:after="0" w:line="240" w:lineRule="auto"/>
        <w:jc w:val="both"/>
        <w:rPr>
          <w:rFonts w:cs="Arial"/>
        </w:rPr>
      </w:pPr>
    </w:p>
    <w:p w14:paraId="627EAC1B" w14:textId="77777777" w:rsidR="006A3DBC" w:rsidRPr="00FA4B2D" w:rsidRDefault="006A3DBC" w:rsidP="006A3DBC">
      <w:pPr>
        <w:spacing w:after="0" w:line="240" w:lineRule="auto"/>
        <w:jc w:val="both"/>
        <w:rPr>
          <w:rFonts w:cs="Arial"/>
        </w:rPr>
      </w:pPr>
      <w:r w:rsidRPr="00FA4B2D">
        <w:rPr>
          <w:rFonts w:cs="Arial"/>
        </w:rPr>
        <w:t xml:space="preserve">Las cifras muestran que las mujeres representan el 38.5% de la Fuerza de Trabajo mientras que los hombres un 61.5%. Esta brecha ha ido en aumento con respecto a los últimos años. </w:t>
      </w:r>
    </w:p>
    <w:p w14:paraId="23778451" w14:textId="77777777" w:rsidR="00D6295D" w:rsidRPr="00FA4B2D" w:rsidRDefault="00D6295D" w:rsidP="001616DF">
      <w:pPr>
        <w:spacing w:after="0" w:line="240" w:lineRule="auto"/>
        <w:jc w:val="center"/>
        <w:rPr>
          <w:rFonts w:cs="Arial"/>
        </w:rPr>
      </w:pPr>
    </w:p>
    <w:p w14:paraId="6888057C" w14:textId="77777777" w:rsidR="00CF0F96" w:rsidRDefault="00EF7331" w:rsidP="00EF7331">
      <w:pPr>
        <w:pStyle w:val="Descripcin"/>
        <w:keepNext/>
        <w:jc w:val="center"/>
      </w:pPr>
      <w:bookmarkStart w:id="446" w:name="_Toc202455582"/>
      <w:r>
        <w:t xml:space="preserve">Ilustración </w:t>
      </w:r>
      <w:r>
        <w:fldChar w:fldCharType="begin"/>
      </w:r>
      <w:r>
        <w:instrText xml:space="preserve"> SEQ Ilustración \* ARABIC </w:instrText>
      </w:r>
      <w:r>
        <w:fldChar w:fldCharType="separate"/>
      </w:r>
      <w:r w:rsidR="00F94AC4">
        <w:rPr>
          <w:noProof/>
        </w:rPr>
        <w:t>20</w:t>
      </w:r>
      <w:r>
        <w:fldChar w:fldCharType="end"/>
      </w:r>
      <w:r>
        <w:t xml:space="preserve">: </w:t>
      </w:r>
      <w:r w:rsidRPr="002B60B8">
        <w:t>Comparativo Anual</w:t>
      </w:r>
    </w:p>
    <w:p w14:paraId="21E2E187" w14:textId="506C5F12" w:rsidR="006A3DBC" w:rsidRPr="00FA4B2D" w:rsidRDefault="006A3DBC" w:rsidP="00EF7331">
      <w:pPr>
        <w:pStyle w:val="Descripcin"/>
        <w:keepNext/>
        <w:jc w:val="center"/>
        <w:rPr>
          <w:rFonts w:cs="Arial"/>
          <w:color w:val="767171" w:themeColor="background2" w:themeShade="80"/>
        </w:rPr>
      </w:pPr>
      <w:r w:rsidRPr="00FA4B2D">
        <w:rPr>
          <w:rFonts w:cs="Arial"/>
          <w:noProof/>
          <w:color w:val="767171" w:themeColor="background2" w:themeShade="80"/>
          <w:lang w:val="es-HN" w:eastAsia="es-HN"/>
        </w:rPr>
        <w:drawing>
          <wp:inline distT="0" distB="0" distL="0" distR="0" wp14:anchorId="2191E3E0" wp14:editId="74DFBBFF">
            <wp:extent cx="4648200" cy="2737273"/>
            <wp:effectExtent l="0" t="0" r="0" b="6350"/>
            <wp:docPr id="7251031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103158" name=""/>
                    <pic:cNvPicPr/>
                  </pic:nvPicPr>
                  <pic:blipFill rotWithShape="1">
                    <a:blip r:embed="rId51"/>
                    <a:srcRect l="14445" t="44513" r="40202" b="7987"/>
                    <a:stretch/>
                  </pic:blipFill>
                  <pic:spPr bwMode="auto">
                    <a:xfrm>
                      <a:off x="0" y="0"/>
                      <a:ext cx="4670625" cy="2750479"/>
                    </a:xfrm>
                    <a:prstGeom prst="rect">
                      <a:avLst/>
                    </a:prstGeom>
                    <a:ln>
                      <a:noFill/>
                    </a:ln>
                    <a:extLst>
                      <a:ext uri="{53640926-AAD7-44D8-BBD7-CCE9431645EC}">
                        <a14:shadowObscured xmlns:a14="http://schemas.microsoft.com/office/drawing/2010/main"/>
                      </a:ext>
                    </a:extLst>
                  </pic:spPr>
                </pic:pic>
              </a:graphicData>
            </a:graphic>
          </wp:inline>
        </w:drawing>
      </w:r>
      <w:bookmarkEnd w:id="446"/>
    </w:p>
    <w:p w14:paraId="585C68EE" w14:textId="77777777" w:rsidR="006A3DBC" w:rsidRPr="00FA4B2D" w:rsidRDefault="006A3DBC" w:rsidP="006A3DBC">
      <w:pPr>
        <w:spacing w:after="0" w:line="240" w:lineRule="auto"/>
        <w:jc w:val="both"/>
        <w:rPr>
          <w:rFonts w:cs="Arial"/>
        </w:rPr>
      </w:pPr>
      <w:r w:rsidRPr="00FA4B2D">
        <w:rPr>
          <w:rFonts w:cs="Arial"/>
        </w:rPr>
        <w:t>Como la población total incluye los menores de 15 años que por naturaleza se consideran inactivos, generalmente se calcula la Tasa de Participación sobre la base de la Población en Edad de Trabajar. Este indicador a nivel nacional para el 2023 es del 55.9%.</w:t>
      </w:r>
    </w:p>
    <w:p w14:paraId="6C324F98" w14:textId="77777777" w:rsidR="006A3DBC" w:rsidRPr="00FA4B2D" w:rsidRDefault="006A3DBC" w:rsidP="006A3DBC">
      <w:pPr>
        <w:spacing w:after="0" w:line="240" w:lineRule="auto"/>
        <w:jc w:val="both"/>
        <w:rPr>
          <w:rFonts w:cs="Arial"/>
        </w:rPr>
      </w:pPr>
    </w:p>
    <w:p w14:paraId="612471F4" w14:textId="54B9B248" w:rsidR="006A3DBC" w:rsidRPr="00FA4B2D" w:rsidRDefault="006A3DBC" w:rsidP="006A3DBC">
      <w:pPr>
        <w:spacing w:after="0" w:line="240" w:lineRule="auto"/>
        <w:jc w:val="both"/>
        <w:rPr>
          <w:rFonts w:cs="Arial"/>
        </w:rPr>
      </w:pPr>
      <w:r w:rsidRPr="00FA4B2D">
        <w:rPr>
          <w:rFonts w:cs="Arial"/>
        </w:rPr>
        <w:t xml:space="preserve">Si la analizamos según grandes grupos de edad podemos observar que la población que se encuentra entre los 30 y 59 </w:t>
      </w:r>
      <w:proofErr w:type="gramStart"/>
      <w:r w:rsidRPr="00FA4B2D">
        <w:rPr>
          <w:rFonts w:cs="Arial"/>
        </w:rPr>
        <w:t xml:space="preserve">años de </w:t>
      </w:r>
      <w:r w:rsidR="58E7DC8E" w:rsidRPr="00FA4B2D">
        <w:rPr>
          <w:rFonts w:cs="Arial"/>
        </w:rPr>
        <w:t>edad</w:t>
      </w:r>
      <w:proofErr w:type="gramEnd"/>
      <w:r w:rsidRPr="00FA4B2D">
        <w:rPr>
          <w:rFonts w:cs="Arial"/>
        </w:rPr>
        <w:t xml:space="preserve"> es la que tiene la tasa de </w:t>
      </w:r>
      <w:r w:rsidRPr="00FA4B2D">
        <w:rPr>
          <w:rFonts w:cs="Arial"/>
        </w:rPr>
        <w:lastRenderedPageBreak/>
        <w:t>participación más alta, esto se debe a que la entrada al mercado laboral se da a partir de los 15 años.</w:t>
      </w:r>
    </w:p>
    <w:p w14:paraId="4E3481AB" w14:textId="77777777" w:rsidR="006A3DBC" w:rsidRPr="00FA4B2D" w:rsidRDefault="006A3DBC" w:rsidP="006A3DBC">
      <w:pPr>
        <w:spacing w:after="0" w:line="240" w:lineRule="auto"/>
        <w:jc w:val="both"/>
        <w:rPr>
          <w:rFonts w:cs="Arial"/>
        </w:rPr>
      </w:pPr>
    </w:p>
    <w:p w14:paraId="4F5F69C4" w14:textId="77777777" w:rsidR="006A3DBC" w:rsidRDefault="006A3DBC" w:rsidP="006A3DBC">
      <w:pPr>
        <w:spacing w:after="0" w:line="240" w:lineRule="auto"/>
        <w:jc w:val="both"/>
        <w:rPr>
          <w:rFonts w:cs="Arial"/>
        </w:rPr>
      </w:pPr>
      <w:r w:rsidRPr="00FA4B2D">
        <w:rPr>
          <w:rFonts w:cs="Arial"/>
        </w:rPr>
        <w:t>Según sexo, los hombres siguen teniendo mayor participación laboral que las mujeres, a nivel nacional, los hombres presentan un 74.6 mientras las mujeres un 40.0. Una brecha de 34.6 puntos porcentuales. Brecha que se ve igualmente marcada por grandes grupos de Edad.</w:t>
      </w:r>
    </w:p>
    <w:p w14:paraId="506146CF" w14:textId="77777777" w:rsidR="00EF7331" w:rsidRPr="00FA4B2D" w:rsidRDefault="00EF7331" w:rsidP="006A3DBC">
      <w:pPr>
        <w:spacing w:after="0" w:line="240" w:lineRule="auto"/>
        <w:jc w:val="both"/>
        <w:rPr>
          <w:rFonts w:cs="Arial"/>
        </w:rPr>
      </w:pPr>
    </w:p>
    <w:p w14:paraId="5F3DAC02" w14:textId="3A6EDCB5" w:rsidR="00EF7331" w:rsidRDefault="00EF7331" w:rsidP="00EF7331">
      <w:pPr>
        <w:pStyle w:val="Descripcin"/>
        <w:keepNext/>
        <w:jc w:val="center"/>
      </w:pPr>
      <w:bookmarkStart w:id="447" w:name="_Toc202455583"/>
      <w:r>
        <w:t xml:space="preserve">Ilustración </w:t>
      </w:r>
      <w:r>
        <w:fldChar w:fldCharType="begin"/>
      </w:r>
      <w:r>
        <w:instrText xml:space="preserve"> SEQ Ilustración \* ARABIC </w:instrText>
      </w:r>
      <w:r>
        <w:fldChar w:fldCharType="separate"/>
      </w:r>
      <w:r w:rsidR="00F94AC4">
        <w:rPr>
          <w:noProof/>
        </w:rPr>
        <w:t>21</w:t>
      </w:r>
      <w:r>
        <w:fldChar w:fldCharType="end"/>
      </w:r>
      <w:r>
        <w:t xml:space="preserve">: </w:t>
      </w:r>
      <w:r w:rsidRPr="00D01743">
        <w:t>Participación Laboral Según Sexo</w:t>
      </w:r>
      <w:bookmarkEnd w:id="447"/>
    </w:p>
    <w:p w14:paraId="59774494" w14:textId="77777777" w:rsidR="006A3DBC" w:rsidRPr="00FA4B2D" w:rsidRDefault="006A3DBC" w:rsidP="006A3DBC">
      <w:pPr>
        <w:spacing w:after="0" w:line="240" w:lineRule="auto"/>
        <w:jc w:val="center"/>
        <w:rPr>
          <w:rFonts w:cs="Arial"/>
        </w:rPr>
      </w:pPr>
      <w:r w:rsidRPr="00FA4B2D">
        <w:rPr>
          <w:rFonts w:cs="Arial"/>
          <w:noProof/>
          <w:lang w:val="es-HN" w:eastAsia="es-HN"/>
        </w:rPr>
        <w:drawing>
          <wp:inline distT="0" distB="0" distL="0" distR="0" wp14:anchorId="463C2B9C" wp14:editId="0D61D0D3">
            <wp:extent cx="5019675" cy="3050149"/>
            <wp:effectExtent l="0" t="0" r="0" b="0"/>
            <wp:docPr id="14341445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44547" name=""/>
                    <pic:cNvPicPr/>
                  </pic:nvPicPr>
                  <pic:blipFill rotWithShape="1">
                    <a:blip r:embed="rId52"/>
                    <a:srcRect l="13941" t="36148" r="37682" b="11572"/>
                    <a:stretch/>
                  </pic:blipFill>
                  <pic:spPr bwMode="auto">
                    <a:xfrm>
                      <a:off x="0" y="0"/>
                      <a:ext cx="5036280" cy="3060239"/>
                    </a:xfrm>
                    <a:prstGeom prst="rect">
                      <a:avLst/>
                    </a:prstGeom>
                    <a:ln>
                      <a:noFill/>
                    </a:ln>
                    <a:extLst>
                      <a:ext uri="{53640926-AAD7-44D8-BBD7-CCE9431645EC}">
                        <a14:shadowObscured xmlns:a14="http://schemas.microsoft.com/office/drawing/2010/main"/>
                      </a:ext>
                    </a:extLst>
                  </pic:spPr>
                </pic:pic>
              </a:graphicData>
            </a:graphic>
          </wp:inline>
        </w:drawing>
      </w:r>
    </w:p>
    <w:p w14:paraId="4F8EC14C" w14:textId="77777777" w:rsidR="006A3DBC" w:rsidRPr="00FA4B2D" w:rsidRDefault="006A3DBC" w:rsidP="006A3DBC">
      <w:pPr>
        <w:spacing w:after="0" w:line="240" w:lineRule="auto"/>
        <w:jc w:val="both"/>
        <w:rPr>
          <w:rFonts w:cs="Arial"/>
        </w:rPr>
      </w:pPr>
    </w:p>
    <w:p w14:paraId="329A7127" w14:textId="77777777" w:rsidR="006A3DBC" w:rsidRPr="00FA4B2D" w:rsidRDefault="006A3DBC" w:rsidP="006A3DBC">
      <w:pPr>
        <w:spacing w:after="0" w:line="240" w:lineRule="auto"/>
        <w:jc w:val="both"/>
        <w:rPr>
          <w:rFonts w:cs="Arial"/>
        </w:rPr>
      </w:pPr>
      <w:r w:rsidRPr="00FA4B2D">
        <w:rPr>
          <w:rFonts w:cs="Arial"/>
        </w:rPr>
        <w:t>Según la LXXVII EPHPM la población ocupada en Honduras para junio 2023 se estima en 3,639,092 personas, cifra que presenta una disminución de 24,908 personas en comparación a septiembre del 2022.</w:t>
      </w:r>
      <w:r w:rsidRPr="00FA4B2D">
        <w:rPr>
          <w:rFonts w:cs="Arial"/>
          <w:noProof/>
        </w:rPr>
        <w:t xml:space="preserve"> </w:t>
      </w:r>
    </w:p>
    <w:p w14:paraId="69F3B843" w14:textId="77777777" w:rsidR="006A3DBC" w:rsidRPr="00FA4B2D" w:rsidRDefault="006A3DBC" w:rsidP="006A3DBC">
      <w:pPr>
        <w:spacing w:after="0" w:line="240" w:lineRule="auto"/>
        <w:jc w:val="both"/>
        <w:rPr>
          <w:rFonts w:cs="Arial"/>
        </w:rPr>
      </w:pPr>
    </w:p>
    <w:p w14:paraId="45F0CD0A" w14:textId="23741253" w:rsidR="006A3DBC" w:rsidRPr="00FA4B2D" w:rsidRDefault="006A3DBC" w:rsidP="006A3DBC">
      <w:pPr>
        <w:spacing w:after="0" w:line="240" w:lineRule="auto"/>
        <w:jc w:val="both"/>
        <w:rPr>
          <w:rFonts w:cs="Arial"/>
        </w:rPr>
      </w:pPr>
      <w:r w:rsidRPr="00FA4B2D">
        <w:rPr>
          <w:rFonts w:cs="Arial"/>
        </w:rPr>
        <w:t xml:space="preserve">Al contrario de la población total, en la cual hay más mujeres que hombres, la población ocupada registra más hombres que mujeres, esto se debe a diversas situaciones, entre ellas, que </w:t>
      </w:r>
      <w:r w:rsidR="00EF7331" w:rsidRPr="00FA4B2D">
        <w:rPr>
          <w:rFonts w:cs="Arial"/>
        </w:rPr>
        <w:t>en muchos</w:t>
      </w:r>
      <w:r w:rsidRPr="00FA4B2D">
        <w:rPr>
          <w:rFonts w:cs="Arial"/>
        </w:rPr>
        <w:t xml:space="preserve"> casos se siguen pensando que las mujeres, aunque estén más preparadas académicamente que los hombres suelen ser menos productivas, a las obligaciones familiares o cuidados de </w:t>
      </w:r>
      <w:proofErr w:type="gramStart"/>
      <w:r w:rsidRPr="00FA4B2D">
        <w:rPr>
          <w:rFonts w:cs="Arial"/>
        </w:rPr>
        <w:t>hijos  y</w:t>
      </w:r>
      <w:proofErr w:type="gramEnd"/>
      <w:r w:rsidRPr="00FA4B2D">
        <w:rPr>
          <w:rFonts w:cs="Arial"/>
        </w:rPr>
        <w:t xml:space="preserve"> familia.</w:t>
      </w:r>
    </w:p>
    <w:p w14:paraId="41F6C549" w14:textId="77777777" w:rsidR="006A3DBC" w:rsidRPr="00FA4B2D" w:rsidRDefault="006A3DBC" w:rsidP="006A3DBC">
      <w:pPr>
        <w:spacing w:after="0" w:line="240" w:lineRule="auto"/>
        <w:jc w:val="both"/>
        <w:rPr>
          <w:rFonts w:cs="Arial"/>
        </w:rPr>
      </w:pPr>
    </w:p>
    <w:p w14:paraId="32FB5464" w14:textId="77777777" w:rsidR="006A3DBC" w:rsidRPr="00FA4B2D" w:rsidRDefault="006A3DBC" w:rsidP="006A3DBC">
      <w:pPr>
        <w:spacing w:after="0" w:line="240" w:lineRule="auto"/>
        <w:jc w:val="both"/>
        <w:rPr>
          <w:rFonts w:cs="Arial"/>
        </w:rPr>
      </w:pPr>
      <w:r w:rsidRPr="00FA4B2D">
        <w:rPr>
          <w:rFonts w:cs="Arial"/>
        </w:rPr>
        <w:t>Datos del Banco Mundial indican que aproximadamente el 54 % de los ingresos en Honduras está en manos del 20 % de la población con mayores ingresos y solo el 3 % de los ingresos en el 20 % con ingresos más bajos. El desempleo en 2017 se estimó en 4.5 %, y el desempleo entre los jóvenes en 8.2 %.</w:t>
      </w:r>
      <w:r w:rsidRPr="00FA4B2D">
        <w:rPr>
          <w:rStyle w:val="Refdenotaalpie"/>
          <w:rFonts w:cs="Arial"/>
        </w:rPr>
        <w:footnoteReference w:id="19"/>
      </w:r>
      <w:r w:rsidRPr="00FA4B2D">
        <w:rPr>
          <w:rFonts w:cs="Arial"/>
        </w:rPr>
        <w:t xml:space="preserve">  </w:t>
      </w:r>
    </w:p>
    <w:p w14:paraId="6EE1561E" w14:textId="77777777" w:rsidR="006A3DBC" w:rsidRPr="00FA4B2D" w:rsidRDefault="006A3DBC" w:rsidP="006A3DBC">
      <w:pPr>
        <w:spacing w:after="0" w:line="276" w:lineRule="auto"/>
        <w:ind w:left="360"/>
        <w:jc w:val="both"/>
        <w:rPr>
          <w:rFonts w:cs="Arial"/>
        </w:rPr>
      </w:pPr>
    </w:p>
    <w:p w14:paraId="55B1BC47" w14:textId="72F94BBF" w:rsidR="006A3DBC" w:rsidRPr="00FA4B2D" w:rsidRDefault="006A3DBC" w:rsidP="006A3DBC">
      <w:pPr>
        <w:spacing w:after="0" w:line="240" w:lineRule="auto"/>
        <w:jc w:val="both"/>
        <w:rPr>
          <w:rFonts w:cs="Arial"/>
        </w:rPr>
      </w:pPr>
      <w:r w:rsidRPr="00FA4B2D">
        <w:rPr>
          <w:rFonts w:cs="Arial"/>
        </w:rPr>
        <w:lastRenderedPageBreak/>
        <w:t>Según el MGAS del Proyecto (P169161), de la Secretaría de Educación, define en su página 42 que; en términos generales, Honduras es un país de ingreso medio-bajo que se enfrenta a desafíos significativos, con cerca del 60.9 % de la población viviendo en la pobreza en 2016, según datos oficiales. En zonas rurales aproximadamente uno de cada 5 hondureños vive en pobreza extrema (menos de US$1.90 al día). Desde la crisis económica de 2008-2009, Honduras ha experimentado una recuperación moderada, impulsada por inversiones públicas, exportaciones y altos ingresos por remesas. En 2017 el país creció un 4.8 %, según las últimas estimaciones, y se prevé que el crecimiento para 2018 sea de 3.6 %</w:t>
      </w:r>
      <w:r w:rsidR="00EE3569" w:rsidRPr="00FA4B2D">
        <w:rPr>
          <w:rFonts w:cs="Arial"/>
        </w:rPr>
        <w:t>”</w:t>
      </w:r>
      <w:r w:rsidRPr="00FA4B2D">
        <w:rPr>
          <w:rStyle w:val="Refdenotaalpie"/>
          <w:rFonts w:cs="Arial"/>
        </w:rPr>
        <w:footnoteReference w:id="20"/>
      </w:r>
      <w:r w:rsidRPr="00FA4B2D">
        <w:rPr>
          <w:rFonts w:cs="Arial"/>
        </w:rPr>
        <w:t>.</w:t>
      </w:r>
    </w:p>
    <w:p w14:paraId="1E90C18B" w14:textId="77777777" w:rsidR="006A3DBC" w:rsidRPr="00FA4B2D" w:rsidRDefault="006A3DBC" w:rsidP="006A3DBC">
      <w:pPr>
        <w:spacing w:after="0" w:line="240" w:lineRule="auto"/>
        <w:jc w:val="both"/>
        <w:rPr>
          <w:rFonts w:cs="Arial"/>
        </w:rPr>
      </w:pPr>
      <w:r w:rsidRPr="00FA4B2D">
        <w:rPr>
          <w:rFonts w:cs="Arial"/>
        </w:rPr>
        <w:t>Según el Banco Mundial</w:t>
      </w:r>
      <w:r w:rsidRPr="00FA4B2D">
        <w:rPr>
          <w:rStyle w:val="Refdenotaalpie"/>
          <w:rFonts w:cs="Arial"/>
        </w:rPr>
        <w:footnoteReference w:id="21"/>
      </w:r>
      <w:r w:rsidRPr="00FA4B2D">
        <w:rPr>
          <w:rFonts w:cs="Arial"/>
        </w:rPr>
        <w:t>, “el PIB real de la economía hondureña creció aproximadamente un 3,5 por ciento en 2023, mostrando una desaceleración con respecto al 4 por ciento registrado en 2022. Este menor crecimiento se explica en parte por la reducción de la demanda de textiles en Estados Unidos. El crecimiento sostenido de las remesas y el crédito respaldaron el consumo y la inversión de los hogares, compensando parcialmente la caída de las exportaciones”.</w:t>
      </w:r>
    </w:p>
    <w:p w14:paraId="325DAB7E" w14:textId="77777777" w:rsidR="006A3DBC" w:rsidRPr="00FA4B2D" w:rsidRDefault="006A3DBC" w:rsidP="006A3DBC">
      <w:pPr>
        <w:spacing w:after="0" w:line="240" w:lineRule="auto"/>
        <w:jc w:val="both"/>
        <w:rPr>
          <w:rFonts w:cs="Arial"/>
        </w:rPr>
      </w:pPr>
    </w:p>
    <w:p w14:paraId="4E88CAE1" w14:textId="77777777" w:rsidR="006A3DBC" w:rsidRPr="00FA4B2D" w:rsidRDefault="006A3DBC" w:rsidP="006A3DBC">
      <w:pPr>
        <w:spacing w:after="0" w:line="240" w:lineRule="auto"/>
        <w:jc w:val="both"/>
        <w:rPr>
          <w:rFonts w:cs="Arial"/>
        </w:rPr>
      </w:pPr>
      <w:r w:rsidRPr="00FA4B2D">
        <w:rPr>
          <w:rFonts w:cs="Arial"/>
        </w:rPr>
        <w:t>“Se proyecta que la desaceleración en el crecimiento del PIB continue en el futuro cercano, registrando tasas del 3,4 por ciento en 2024 y el 3,3 por ciento en 2025, ya que un crecimiento más lento en Estados Unidos retrasará la recuperación de las exportaciones manufactureras y reducirá el ritmo de crecimiento del flujo de remesas. Se espera que el crecimiento del PBI se fortalezca gradualmente a partir de 2026, respaldado por condiciones globales más favorables y una inversión dinámica, tanto pública como privada”.</w:t>
      </w:r>
    </w:p>
    <w:p w14:paraId="70DBE5DD" w14:textId="77777777" w:rsidR="006A3DBC" w:rsidRPr="00FA4B2D" w:rsidRDefault="006A3DBC" w:rsidP="006A3DBC">
      <w:pPr>
        <w:spacing w:after="0" w:line="240" w:lineRule="auto"/>
        <w:jc w:val="both"/>
        <w:rPr>
          <w:rFonts w:cs="Arial"/>
        </w:rPr>
      </w:pPr>
    </w:p>
    <w:p w14:paraId="3F0E3E1B" w14:textId="77777777" w:rsidR="006A3DBC" w:rsidRPr="00FA4B2D" w:rsidRDefault="006A3DBC" w:rsidP="006A3DBC">
      <w:pPr>
        <w:spacing w:after="0" w:line="240" w:lineRule="auto"/>
        <w:jc w:val="both"/>
        <w:rPr>
          <w:rFonts w:cs="Arial"/>
        </w:rPr>
      </w:pPr>
      <w:r w:rsidRPr="00FA4B2D">
        <w:rPr>
          <w:rFonts w:cs="Arial"/>
        </w:rPr>
        <w:t>Honduras ha avanzado en la reducción de la pobreza, aunque aún se sitúa como uno de los países más pobres y desiguales de la región. Se estima que la pobreza, situada en el umbral de 6,85 dólares per cápita por día, alcanzará al 51,3por ciento de la población en 2023, ligeramente inferior al 52,4 por ciento en 2022. Sin embargo, este porcentaje está por encima de los niveles observados antes de la pandemia de COVID-19.</w:t>
      </w:r>
    </w:p>
    <w:p w14:paraId="2BAD8454" w14:textId="77777777" w:rsidR="00016847" w:rsidRPr="00FA4B2D" w:rsidRDefault="00016847" w:rsidP="006A3DBC">
      <w:pPr>
        <w:spacing w:after="0" w:line="276" w:lineRule="auto"/>
        <w:ind w:left="360"/>
        <w:jc w:val="both"/>
        <w:rPr>
          <w:rFonts w:cs="Arial"/>
        </w:rPr>
      </w:pPr>
    </w:p>
    <w:p w14:paraId="1CBA232D" w14:textId="50F2A242" w:rsidR="00EF7331" w:rsidRDefault="00EF7331" w:rsidP="00EF7331">
      <w:pPr>
        <w:pStyle w:val="Descripcin"/>
        <w:keepNext/>
      </w:pPr>
      <w:bookmarkStart w:id="448" w:name="_Toc202455438"/>
      <w:r>
        <w:t xml:space="preserve">Tabla </w:t>
      </w:r>
      <w:r>
        <w:fldChar w:fldCharType="begin"/>
      </w:r>
      <w:r>
        <w:instrText xml:space="preserve"> SEQ Tabla \* ARABIC </w:instrText>
      </w:r>
      <w:r>
        <w:fldChar w:fldCharType="separate"/>
      </w:r>
      <w:r w:rsidR="000E6D86">
        <w:rPr>
          <w:noProof/>
        </w:rPr>
        <w:t>12</w:t>
      </w:r>
      <w:r>
        <w:fldChar w:fldCharType="end"/>
      </w:r>
      <w:r>
        <w:t xml:space="preserve">: </w:t>
      </w:r>
      <w:r w:rsidRPr="00181708">
        <w:t>Resumen de Características Sociales y Productivas de los 16 Departamentos Según Fase de COMRURAL más Gracias a Dios</w:t>
      </w:r>
      <w:bookmarkEnd w:id="448"/>
    </w:p>
    <w:tbl>
      <w:tblPr>
        <w:tblStyle w:val="Tablaconcuadrcula"/>
        <w:tblW w:w="8566" w:type="dxa"/>
        <w:tblInd w:w="360" w:type="dxa"/>
        <w:tblLook w:val="04A0" w:firstRow="1" w:lastRow="0" w:firstColumn="1" w:lastColumn="0" w:noHBand="0" w:noVBand="1"/>
      </w:tblPr>
      <w:tblGrid>
        <w:gridCol w:w="1615"/>
        <w:gridCol w:w="1918"/>
        <w:gridCol w:w="2481"/>
        <w:gridCol w:w="2552"/>
      </w:tblGrid>
      <w:tr w:rsidR="00CF0F96" w:rsidRPr="00CF0F96" w14:paraId="4DFB91A3" w14:textId="77777777" w:rsidTr="00016847">
        <w:trPr>
          <w:tblHeader/>
        </w:trPr>
        <w:tc>
          <w:tcPr>
            <w:tcW w:w="1615" w:type="dxa"/>
            <w:shd w:val="clear" w:color="auto" w:fill="5CC5DA"/>
            <w:vAlign w:val="center"/>
          </w:tcPr>
          <w:p w14:paraId="6DFD7457" w14:textId="77777777" w:rsidR="00016847" w:rsidRPr="00CF0F96" w:rsidRDefault="00016847" w:rsidP="00C24D0B">
            <w:pPr>
              <w:spacing w:line="276" w:lineRule="auto"/>
              <w:jc w:val="center"/>
              <w:rPr>
                <w:rFonts w:cs="Arial"/>
                <w:b/>
                <w:sz w:val="18"/>
              </w:rPr>
            </w:pPr>
            <w:r w:rsidRPr="00CF0F96">
              <w:rPr>
                <w:rFonts w:cs="Arial"/>
                <w:b/>
                <w:sz w:val="18"/>
              </w:rPr>
              <w:t>Fase</w:t>
            </w:r>
          </w:p>
        </w:tc>
        <w:tc>
          <w:tcPr>
            <w:tcW w:w="1918" w:type="dxa"/>
            <w:shd w:val="clear" w:color="auto" w:fill="5CC5DA"/>
            <w:vAlign w:val="center"/>
          </w:tcPr>
          <w:p w14:paraId="2F6528A4" w14:textId="77777777" w:rsidR="00016847" w:rsidRPr="00CF0F96" w:rsidRDefault="00016847" w:rsidP="00C24D0B">
            <w:pPr>
              <w:spacing w:line="276" w:lineRule="auto"/>
              <w:jc w:val="center"/>
              <w:rPr>
                <w:rFonts w:cs="Arial"/>
                <w:b/>
                <w:sz w:val="18"/>
              </w:rPr>
            </w:pPr>
            <w:r w:rsidRPr="00CF0F96">
              <w:rPr>
                <w:rFonts w:cs="Arial"/>
                <w:b/>
                <w:sz w:val="18"/>
              </w:rPr>
              <w:t>Cobertura Departamental</w:t>
            </w:r>
          </w:p>
        </w:tc>
        <w:tc>
          <w:tcPr>
            <w:tcW w:w="2481" w:type="dxa"/>
            <w:shd w:val="clear" w:color="auto" w:fill="5CC5DA"/>
            <w:vAlign w:val="center"/>
          </w:tcPr>
          <w:p w14:paraId="56D4D8F1" w14:textId="77777777" w:rsidR="00016847" w:rsidRPr="00CF0F96" w:rsidRDefault="00016847" w:rsidP="00C24D0B">
            <w:pPr>
              <w:spacing w:line="276" w:lineRule="auto"/>
              <w:jc w:val="center"/>
              <w:rPr>
                <w:rFonts w:cs="Arial"/>
                <w:b/>
                <w:sz w:val="18"/>
              </w:rPr>
            </w:pPr>
            <w:r w:rsidRPr="00CF0F96">
              <w:rPr>
                <w:rFonts w:cs="Arial"/>
                <w:b/>
                <w:sz w:val="18"/>
              </w:rPr>
              <w:t>Principales Cadenas Productivas</w:t>
            </w:r>
          </w:p>
        </w:tc>
        <w:tc>
          <w:tcPr>
            <w:tcW w:w="2552" w:type="dxa"/>
            <w:shd w:val="clear" w:color="auto" w:fill="5CC5DA"/>
            <w:vAlign w:val="center"/>
          </w:tcPr>
          <w:p w14:paraId="3E938CB0" w14:textId="77777777" w:rsidR="00016847" w:rsidRPr="00CF0F96" w:rsidRDefault="00016847" w:rsidP="00C24D0B">
            <w:pPr>
              <w:spacing w:line="276" w:lineRule="auto"/>
              <w:jc w:val="center"/>
              <w:rPr>
                <w:rFonts w:cs="Arial"/>
                <w:b/>
                <w:sz w:val="18"/>
              </w:rPr>
            </w:pPr>
            <w:r w:rsidRPr="00CF0F96">
              <w:rPr>
                <w:rFonts w:cs="Arial"/>
                <w:b/>
                <w:sz w:val="18"/>
              </w:rPr>
              <w:t>Presencia</w:t>
            </w:r>
          </w:p>
          <w:p w14:paraId="3D890E6F" w14:textId="77777777" w:rsidR="00016847" w:rsidRPr="00CF0F96" w:rsidRDefault="00016847" w:rsidP="00C24D0B">
            <w:pPr>
              <w:spacing w:line="276" w:lineRule="auto"/>
              <w:jc w:val="center"/>
              <w:rPr>
                <w:rFonts w:cs="Arial"/>
                <w:b/>
                <w:sz w:val="18"/>
              </w:rPr>
            </w:pPr>
            <w:r w:rsidRPr="00CF0F96">
              <w:rPr>
                <w:rFonts w:cs="Arial"/>
                <w:b/>
                <w:sz w:val="18"/>
              </w:rPr>
              <w:t>Pueblos Indígenas</w:t>
            </w:r>
          </w:p>
        </w:tc>
      </w:tr>
      <w:tr w:rsidR="00CF0F96" w:rsidRPr="00CF0F96" w14:paraId="3A672D44" w14:textId="77777777" w:rsidTr="00C24D0B">
        <w:tc>
          <w:tcPr>
            <w:tcW w:w="1615" w:type="dxa"/>
            <w:vMerge w:val="restart"/>
            <w:vAlign w:val="center"/>
          </w:tcPr>
          <w:p w14:paraId="470F07D6" w14:textId="77777777" w:rsidR="00016847" w:rsidRPr="00CF0F96" w:rsidRDefault="00016847" w:rsidP="00C24D0B">
            <w:pPr>
              <w:spacing w:line="276" w:lineRule="auto"/>
              <w:jc w:val="center"/>
              <w:rPr>
                <w:rFonts w:cs="Arial"/>
                <w:sz w:val="18"/>
              </w:rPr>
            </w:pPr>
            <w:r w:rsidRPr="00CF0F96">
              <w:rPr>
                <w:rFonts w:cs="Arial"/>
                <w:sz w:val="18"/>
              </w:rPr>
              <w:t>Fase 1</w:t>
            </w:r>
          </w:p>
          <w:p w14:paraId="26AC6C9E" w14:textId="77777777" w:rsidR="00016847" w:rsidRPr="00CF0F96" w:rsidRDefault="00016847" w:rsidP="00C24D0B">
            <w:pPr>
              <w:spacing w:line="276" w:lineRule="auto"/>
              <w:jc w:val="center"/>
              <w:rPr>
                <w:rFonts w:cs="Arial"/>
                <w:sz w:val="18"/>
              </w:rPr>
            </w:pPr>
            <w:r w:rsidRPr="00CF0F96">
              <w:rPr>
                <w:rFonts w:cs="Arial"/>
                <w:sz w:val="18"/>
              </w:rPr>
              <w:t>7 departamentos en cobertura</w:t>
            </w:r>
          </w:p>
        </w:tc>
        <w:tc>
          <w:tcPr>
            <w:tcW w:w="1918" w:type="dxa"/>
            <w:vAlign w:val="center"/>
          </w:tcPr>
          <w:p w14:paraId="3FCFB500" w14:textId="77777777" w:rsidR="00016847" w:rsidRPr="00CF0F96" w:rsidRDefault="00016847" w:rsidP="00016847">
            <w:pPr>
              <w:pStyle w:val="Prrafodelista"/>
              <w:numPr>
                <w:ilvl w:val="0"/>
                <w:numId w:val="5"/>
              </w:numPr>
              <w:spacing w:line="276" w:lineRule="auto"/>
              <w:ind w:firstLine="0"/>
              <w:rPr>
                <w:rFonts w:cs="Arial"/>
                <w:sz w:val="18"/>
              </w:rPr>
            </w:pPr>
            <w:r w:rsidRPr="00CF0F96">
              <w:rPr>
                <w:rFonts w:cs="Arial"/>
                <w:sz w:val="18"/>
              </w:rPr>
              <w:t>Comayagua</w:t>
            </w:r>
          </w:p>
        </w:tc>
        <w:tc>
          <w:tcPr>
            <w:tcW w:w="2481" w:type="dxa"/>
            <w:vAlign w:val="center"/>
          </w:tcPr>
          <w:p w14:paraId="1E5FA568" w14:textId="77777777" w:rsidR="00016847" w:rsidRPr="00CF0F96" w:rsidRDefault="00016847" w:rsidP="00C24D0B">
            <w:pPr>
              <w:spacing w:line="276" w:lineRule="auto"/>
              <w:jc w:val="both"/>
              <w:rPr>
                <w:rFonts w:cs="Arial"/>
                <w:sz w:val="18"/>
              </w:rPr>
            </w:pPr>
            <w:r w:rsidRPr="00CF0F96">
              <w:rPr>
                <w:rFonts w:cs="Arial"/>
                <w:sz w:val="18"/>
              </w:rPr>
              <w:t>Hortícola, Frutales, Ganadería, Granos Básicos, Apícola.</w:t>
            </w:r>
          </w:p>
        </w:tc>
        <w:tc>
          <w:tcPr>
            <w:tcW w:w="2552" w:type="dxa"/>
            <w:vAlign w:val="center"/>
          </w:tcPr>
          <w:p w14:paraId="5659498B" w14:textId="77777777" w:rsidR="00016847" w:rsidRPr="00CF0F96" w:rsidRDefault="00016847" w:rsidP="00C24D0B">
            <w:pPr>
              <w:spacing w:line="276" w:lineRule="auto"/>
              <w:jc w:val="both"/>
              <w:rPr>
                <w:rFonts w:cs="Arial"/>
                <w:sz w:val="18"/>
              </w:rPr>
            </w:pPr>
            <w:r w:rsidRPr="00CF0F96">
              <w:rPr>
                <w:rFonts w:cs="Arial"/>
                <w:sz w:val="18"/>
              </w:rPr>
              <w:t>Lencas</w:t>
            </w:r>
          </w:p>
        </w:tc>
      </w:tr>
      <w:tr w:rsidR="00CF0F96" w:rsidRPr="00CF0F96" w14:paraId="0AB55813" w14:textId="77777777" w:rsidTr="00C24D0B">
        <w:tc>
          <w:tcPr>
            <w:tcW w:w="1615" w:type="dxa"/>
            <w:vMerge/>
            <w:vAlign w:val="center"/>
          </w:tcPr>
          <w:p w14:paraId="23406664" w14:textId="77777777" w:rsidR="00016847" w:rsidRPr="00CF0F96" w:rsidRDefault="00016847" w:rsidP="00C24D0B">
            <w:pPr>
              <w:spacing w:line="276" w:lineRule="auto"/>
              <w:jc w:val="both"/>
              <w:rPr>
                <w:rFonts w:cs="Arial"/>
                <w:sz w:val="18"/>
              </w:rPr>
            </w:pPr>
          </w:p>
        </w:tc>
        <w:tc>
          <w:tcPr>
            <w:tcW w:w="1918" w:type="dxa"/>
            <w:vAlign w:val="center"/>
          </w:tcPr>
          <w:p w14:paraId="78A4D840" w14:textId="77777777" w:rsidR="00016847" w:rsidRPr="00CF0F96" w:rsidRDefault="00016847" w:rsidP="00016847">
            <w:pPr>
              <w:pStyle w:val="Prrafodelista"/>
              <w:numPr>
                <w:ilvl w:val="0"/>
                <w:numId w:val="5"/>
              </w:numPr>
              <w:spacing w:line="276" w:lineRule="auto"/>
              <w:ind w:firstLine="0"/>
              <w:jc w:val="both"/>
              <w:rPr>
                <w:rFonts w:cs="Arial"/>
                <w:sz w:val="18"/>
              </w:rPr>
            </w:pPr>
            <w:r w:rsidRPr="00CF0F96">
              <w:rPr>
                <w:rFonts w:cs="Arial"/>
                <w:sz w:val="18"/>
              </w:rPr>
              <w:t>La Paz</w:t>
            </w:r>
          </w:p>
        </w:tc>
        <w:tc>
          <w:tcPr>
            <w:tcW w:w="2481" w:type="dxa"/>
            <w:vAlign w:val="center"/>
          </w:tcPr>
          <w:p w14:paraId="67090BDB" w14:textId="77777777" w:rsidR="00016847" w:rsidRPr="00CF0F96" w:rsidRDefault="00016847" w:rsidP="00C24D0B">
            <w:pPr>
              <w:spacing w:line="276" w:lineRule="auto"/>
              <w:jc w:val="both"/>
              <w:rPr>
                <w:rFonts w:cs="Arial"/>
                <w:sz w:val="18"/>
              </w:rPr>
            </w:pPr>
            <w:r w:rsidRPr="00CF0F96">
              <w:rPr>
                <w:rFonts w:cs="Arial"/>
                <w:sz w:val="18"/>
              </w:rPr>
              <w:t xml:space="preserve">Cafés especiales y Hortícola. </w:t>
            </w:r>
          </w:p>
        </w:tc>
        <w:tc>
          <w:tcPr>
            <w:tcW w:w="2552" w:type="dxa"/>
            <w:vAlign w:val="center"/>
          </w:tcPr>
          <w:p w14:paraId="6118AD18" w14:textId="77777777" w:rsidR="00016847" w:rsidRPr="00CF0F96" w:rsidRDefault="00016847" w:rsidP="00C24D0B">
            <w:pPr>
              <w:spacing w:line="276" w:lineRule="auto"/>
              <w:jc w:val="both"/>
              <w:rPr>
                <w:rFonts w:cs="Arial"/>
                <w:sz w:val="18"/>
              </w:rPr>
            </w:pPr>
            <w:r w:rsidRPr="00CF0F96">
              <w:rPr>
                <w:rFonts w:cs="Arial"/>
                <w:sz w:val="18"/>
              </w:rPr>
              <w:t>Lencas</w:t>
            </w:r>
          </w:p>
        </w:tc>
      </w:tr>
      <w:tr w:rsidR="00CF0F96" w:rsidRPr="00CF0F96" w14:paraId="4F9791C4" w14:textId="77777777" w:rsidTr="00C24D0B">
        <w:tc>
          <w:tcPr>
            <w:tcW w:w="1615" w:type="dxa"/>
            <w:vMerge/>
            <w:vAlign w:val="center"/>
          </w:tcPr>
          <w:p w14:paraId="6A008905" w14:textId="77777777" w:rsidR="00016847" w:rsidRPr="00CF0F96" w:rsidRDefault="00016847" w:rsidP="00C24D0B">
            <w:pPr>
              <w:spacing w:line="276" w:lineRule="auto"/>
              <w:jc w:val="both"/>
              <w:rPr>
                <w:rFonts w:cs="Arial"/>
                <w:sz w:val="18"/>
              </w:rPr>
            </w:pPr>
          </w:p>
        </w:tc>
        <w:tc>
          <w:tcPr>
            <w:tcW w:w="1918" w:type="dxa"/>
            <w:vAlign w:val="center"/>
          </w:tcPr>
          <w:p w14:paraId="319586E5" w14:textId="77777777" w:rsidR="00016847" w:rsidRPr="00CF0F96" w:rsidRDefault="00016847" w:rsidP="00016847">
            <w:pPr>
              <w:pStyle w:val="Prrafodelista"/>
              <w:numPr>
                <w:ilvl w:val="0"/>
                <w:numId w:val="5"/>
              </w:numPr>
              <w:spacing w:line="276" w:lineRule="auto"/>
              <w:ind w:firstLine="0"/>
              <w:jc w:val="both"/>
              <w:rPr>
                <w:rFonts w:cs="Arial"/>
                <w:sz w:val="18"/>
              </w:rPr>
            </w:pPr>
            <w:r w:rsidRPr="00CF0F96">
              <w:rPr>
                <w:rFonts w:cs="Arial"/>
                <w:sz w:val="18"/>
              </w:rPr>
              <w:t>Intibucá</w:t>
            </w:r>
          </w:p>
        </w:tc>
        <w:tc>
          <w:tcPr>
            <w:tcW w:w="2481" w:type="dxa"/>
            <w:vAlign w:val="center"/>
          </w:tcPr>
          <w:p w14:paraId="5064BF41" w14:textId="77777777" w:rsidR="00016847" w:rsidRPr="00CF0F96" w:rsidRDefault="00016847" w:rsidP="00C24D0B">
            <w:pPr>
              <w:spacing w:line="276" w:lineRule="auto"/>
              <w:jc w:val="both"/>
              <w:rPr>
                <w:rFonts w:cs="Arial"/>
                <w:sz w:val="18"/>
              </w:rPr>
            </w:pPr>
            <w:r w:rsidRPr="00CF0F96">
              <w:rPr>
                <w:rFonts w:cs="Arial"/>
                <w:sz w:val="18"/>
              </w:rPr>
              <w:t xml:space="preserve">Hortícola, Café, Productos Culturales, Turismo Rural, Ganadería. </w:t>
            </w:r>
          </w:p>
        </w:tc>
        <w:tc>
          <w:tcPr>
            <w:tcW w:w="2552" w:type="dxa"/>
            <w:vAlign w:val="center"/>
          </w:tcPr>
          <w:p w14:paraId="440A0611" w14:textId="77777777" w:rsidR="00016847" w:rsidRPr="00CF0F96" w:rsidRDefault="00016847" w:rsidP="00C24D0B">
            <w:pPr>
              <w:spacing w:line="276" w:lineRule="auto"/>
              <w:jc w:val="both"/>
              <w:rPr>
                <w:rFonts w:cs="Arial"/>
                <w:sz w:val="18"/>
              </w:rPr>
            </w:pPr>
            <w:r w:rsidRPr="00CF0F96">
              <w:rPr>
                <w:rFonts w:cs="Arial"/>
                <w:sz w:val="18"/>
              </w:rPr>
              <w:t>Lencas</w:t>
            </w:r>
          </w:p>
        </w:tc>
      </w:tr>
      <w:tr w:rsidR="00CF0F96" w:rsidRPr="00CF0F96" w14:paraId="001F1585" w14:textId="77777777" w:rsidTr="00C24D0B">
        <w:tc>
          <w:tcPr>
            <w:tcW w:w="1615" w:type="dxa"/>
            <w:vMerge/>
            <w:vAlign w:val="center"/>
          </w:tcPr>
          <w:p w14:paraId="04BFF302" w14:textId="77777777" w:rsidR="00016847" w:rsidRPr="00CF0F96" w:rsidRDefault="00016847" w:rsidP="00C24D0B">
            <w:pPr>
              <w:spacing w:line="276" w:lineRule="auto"/>
              <w:jc w:val="both"/>
              <w:rPr>
                <w:rFonts w:cs="Arial"/>
                <w:sz w:val="18"/>
              </w:rPr>
            </w:pPr>
          </w:p>
        </w:tc>
        <w:tc>
          <w:tcPr>
            <w:tcW w:w="1918" w:type="dxa"/>
            <w:vAlign w:val="center"/>
          </w:tcPr>
          <w:p w14:paraId="52DA4F4B" w14:textId="77777777" w:rsidR="00016847" w:rsidRPr="00CF0F96" w:rsidRDefault="00016847" w:rsidP="00016847">
            <w:pPr>
              <w:pStyle w:val="Prrafodelista"/>
              <w:numPr>
                <w:ilvl w:val="0"/>
                <w:numId w:val="5"/>
              </w:numPr>
              <w:spacing w:line="276" w:lineRule="auto"/>
              <w:ind w:firstLine="0"/>
              <w:jc w:val="both"/>
              <w:rPr>
                <w:rFonts w:cs="Arial"/>
                <w:sz w:val="18"/>
              </w:rPr>
            </w:pPr>
            <w:r w:rsidRPr="00CF0F96">
              <w:rPr>
                <w:rFonts w:cs="Arial"/>
                <w:sz w:val="18"/>
              </w:rPr>
              <w:t>Lempira</w:t>
            </w:r>
          </w:p>
        </w:tc>
        <w:tc>
          <w:tcPr>
            <w:tcW w:w="2481" w:type="dxa"/>
            <w:vAlign w:val="center"/>
          </w:tcPr>
          <w:p w14:paraId="1C20D999" w14:textId="77777777" w:rsidR="00016847" w:rsidRPr="00CF0F96" w:rsidRDefault="00016847" w:rsidP="00C24D0B">
            <w:pPr>
              <w:spacing w:line="276" w:lineRule="auto"/>
              <w:jc w:val="both"/>
              <w:rPr>
                <w:rFonts w:cs="Arial"/>
                <w:sz w:val="18"/>
              </w:rPr>
            </w:pPr>
            <w:r w:rsidRPr="00CF0F96">
              <w:rPr>
                <w:rFonts w:cs="Arial"/>
                <w:sz w:val="18"/>
              </w:rPr>
              <w:t>Cafés especiales, Acuícola, Productos Culturales.</w:t>
            </w:r>
          </w:p>
        </w:tc>
        <w:tc>
          <w:tcPr>
            <w:tcW w:w="2552" w:type="dxa"/>
            <w:vAlign w:val="center"/>
          </w:tcPr>
          <w:p w14:paraId="334884E5" w14:textId="77777777" w:rsidR="00016847" w:rsidRPr="00CF0F96" w:rsidRDefault="00016847" w:rsidP="00C24D0B">
            <w:pPr>
              <w:spacing w:line="276" w:lineRule="auto"/>
              <w:jc w:val="both"/>
              <w:rPr>
                <w:rFonts w:cs="Arial"/>
                <w:sz w:val="18"/>
              </w:rPr>
            </w:pPr>
            <w:r w:rsidRPr="00CF0F96">
              <w:rPr>
                <w:rFonts w:cs="Arial"/>
                <w:sz w:val="18"/>
              </w:rPr>
              <w:t>Lencas</w:t>
            </w:r>
          </w:p>
        </w:tc>
      </w:tr>
      <w:tr w:rsidR="00CF0F96" w:rsidRPr="00CF0F96" w14:paraId="64A1BB82" w14:textId="77777777" w:rsidTr="00C24D0B">
        <w:tc>
          <w:tcPr>
            <w:tcW w:w="1615" w:type="dxa"/>
            <w:vMerge/>
            <w:vAlign w:val="center"/>
          </w:tcPr>
          <w:p w14:paraId="43893801" w14:textId="77777777" w:rsidR="00016847" w:rsidRPr="00CF0F96" w:rsidRDefault="00016847" w:rsidP="00C24D0B">
            <w:pPr>
              <w:spacing w:line="276" w:lineRule="auto"/>
              <w:jc w:val="both"/>
              <w:rPr>
                <w:rFonts w:cs="Arial"/>
                <w:sz w:val="18"/>
              </w:rPr>
            </w:pPr>
          </w:p>
        </w:tc>
        <w:tc>
          <w:tcPr>
            <w:tcW w:w="1918" w:type="dxa"/>
            <w:vAlign w:val="center"/>
          </w:tcPr>
          <w:p w14:paraId="02364A0C" w14:textId="77777777" w:rsidR="00016847" w:rsidRPr="00CF0F96" w:rsidRDefault="00016847" w:rsidP="00016847">
            <w:pPr>
              <w:pStyle w:val="Prrafodelista"/>
              <w:numPr>
                <w:ilvl w:val="0"/>
                <w:numId w:val="5"/>
              </w:numPr>
              <w:spacing w:line="276" w:lineRule="auto"/>
              <w:ind w:firstLine="0"/>
              <w:jc w:val="both"/>
              <w:rPr>
                <w:rFonts w:cs="Arial"/>
                <w:sz w:val="18"/>
              </w:rPr>
            </w:pPr>
            <w:r w:rsidRPr="00CF0F96">
              <w:rPr>
                <w:rFonts w:cs="Arial"/>
                <w:sz w:val="18"/>
              </w:rPr>
              <w:t>Copán</w:t>
            </w:r>
          </w:p>
        </w:tc>
        <w:tc>
          <w:tcPr>
            <w:tcW w:w="2481" w:type="dxa"/>
            <w:vAlign w:val="center"/>
          </w:tcPr>
          <w:p w14:paraId="77C35B63" w14:textId="77777777" w:rsidR="00016847" w:rsidRPr="00CF0F96" w:rsidRDefault="00016847" w:rsidP="00C24D0B">
            <w:pPr>
              <w:spacing w:line="276" w:lineRule="auto"/>
              <w:jc w:val="both"/>
              <w:rPr>
                <w:rFonts w:cs="Arial"/>
                <w:sz w:val="18"/>
              </w:rPr>
            </w:pPr>
            <w:r w:rsidRPr="00CF0F96">
              <w:rPr>
                <w:rFonts w:cs="Arial"/>
                <w:sz w:val="18"/>
              </w:rPr>
              <w:t>Cafés especiales, Apícola, Ganadería (lácteos), Cacao fino.</w:t>
            </w:r>
          </w:p>
        </w:tc>
        <w:tc>
          <w:tcPr>
            <w:tcW w:w="2552" w:type="dxa"/>
            <w:vAlign w:val="center"/>
          </w:tcPr>
          <w:p w14:paraId="1C95EB8A" w14:textId="77777777" w:rsidR="00016847" w:rsidRPr="00CF0F96" w:rsidRDefault="00016847" w:rsidP="00C24D0B">
            <w:pPr>
              <w:spacing w:line="276" w:lineRule="auto"/>
              <w:jc w:val="both"/>
              <w:rPr>
                <w:rFonts w:cs="Arial"/>
                <w:sz w:val="18"/>
              </w:rPr>
            </w:pPr>
            <w:r w:rsidRPr="00CF0F96">
              <w:rPr>
                <w:rFonts w:cs="Arial"/>
                <w:sz w:val="18"/>
              </w:rPr>
              <w:t>Lencas</w:t>
            </w:r>
          </w:p>
          <w:p w14:paraId="3E79E061" w14:textId="77777777" w:rsidR="00016847" w:rsidRPr="00CF0F96" w:rsidRDefault="00016847" w:rsidP="00C24D0B">
            <w:pPr>
              <w:spacing w:line="276" w:lineRule="auto"/>
              <w:jc w:val="both"/>
              <w:rPr>
                <w:rFonts w:cs="Arial"/>
                <w:sz w:val="18"/>
              </w:rPr>
            </w:pPr>
            <w:r w:rsidRPr="00CF0F96">
              <w:rPr>
                <w:rFonts w:cs="Arial"/>
                <w:sz w:val="18"/>
              </w:rPr>
              <w:t xml:space="preserve">Maya-Chortí </w:t>
            </w:r>
          </w:p>
        </w:tc>
      </w:tr>
      <w:tr w:rsidR="00CF0F96" w:rsidRPr="00CF0F96" w14:paraId="2853859A" w14:textId="77777777" w:rsidTr="00C24D0B">
        <w:tc>
          <w:tcPr>
            <w:tcW w:w="1615" w:type="dxa"/>
            <w:vMerge/>
            <w:vAlign w:val="center"/>
          </w:tcPr>
          <w:p w14:paraId="2BA35500" w14:textId="77777777" w:rsidR="00016847" w:rsidRPr="00CF0F96" w:rsidRDefault="00016847" w:rsidP="00C24D0B">
            <w:pPr>
              <w:spacing w:line="276" w:lineRule="auto"/>
              <w:jc w:val="both"/>
              <w:rPr>
                <w:rFonts w:cs="Arial"/>
                <w:sz w:val="18"/>
              </w:rPr>
            </w:pPr>
          </w:p>
        </w:tc>
        <w:tc>
          <w:tcPr>
            <w:tcW w:w="1918" w:type="dxa"/>
            <w:vAlign w:val="center"/>
          </w:tcPr>
          <w:p w14:paraId="3400B49F" w14:textId="77777777" w:rsidR="00016847" w:rsidRPr="00CF0F96" w:rsidRDefault="00016847" w:rsidP="00016847">
            <w:pPr>
              <w:pStyle w:val="Prrafodelista"/>
              <w:numPr>
                <w:ilvl w:val="0"/>
                <w:numId w:val="5"/>
              </w:numPr>
              <w:spacing w:line="276" w:lineRule="auto"/>
              <w:ind w:firstLine="0"/>
              <w:jc w:val="both"/>
              <w:rPr>
                <w:rFonts w:cs="Arial"/>
                <w:sz w:val="18"/>
              </w:rPr>
            </w:pPr>
            <w:r w:rsidRPr="00CF0F96">
              <w:rPr>
                <w:rFonts w:cs="Arial"/>
                <w:sz w:val="18"/>
              </w:rPr>
              <w:t>Ocotepeque</w:t>
            </w:r>
          </w:p>
        </w:tc>
        <w:tc>
          <w:tcPr>
            <w:tcW w:w="2481" w:type="dxa"/>
            <w:vAlign w:val="center"/>
          </w:tcPr>
          <w:p w14:paraId="1A1E0684" w14:textId="77777777" w:rsidR="00016847" w:rsidRPr="00CF0F96" w:rsidRDefault="00016847" w:rsidP="00C24D0B">
            <w:pPr>
              <w:spacing w:line="276" w:lineRule="auto"/>
              <w:jc w:val="both"/>
              <w:rPr>
                <w:rFonts w:cs="Arial"/>
                <w:sz w:val="18"/>
              </w:rPr>
            </w:pPr>
            <w:r w:rsidRPr="00CF0F96">
              <w:rPr>
                <w:rFonts w:cs="Arial"/>
                <w:sz w:val="18"/>
              </w:rPr>
              <w:t>Hortícola, Café Especiales, Apícola.</w:t>
            </w:r>
          </w:p>
        </w:tc>
        <w:tc>
          <w:tcPr>
            <w:tcW w:w="2552" w:type="dxa"/>
            <w:vAlign w:val="center"/>
          </w:tcPr>
          <w:p w14:paraId="0CECA5C3" w14:textId="77777777" w:rsidR="00016847" w:rsidRPr="00CF0F96" w:rsidRDefault="00016847" w:rsidP="00C24D0B">
            <w:pPr>
              <w:spacing w:line="276" w:lineRule="auto"/>
              <w:jc w:val="both"/>
              <w:rPr>
                <w:rFonts w:cs="Arial"/>
                <w:sz w:val="18"/>
              </w:rPr>
            </w:pPr>
            <w:r w:rsidRPr="00CF0F96">
              <w:rPr>
                <w:rFonts w:cs="Arial"/>
                <w:sz w:val="18"/>
              </w:rPr>
              <w:t>Lencas</w:t>
            </w:r>
          </w:p>
          <w:p w14:paraId="6D9FD8F8" w14:textId="77777777" w:rsidR="00016847" w:rsidRPr="00CF0F96" w:rsidRDefault="00016847" w:rsidP="00C24D0B">
            <w:pPr>
              <w:spacing w:line="276" w:lineRule="auto"/>
              <w:jc w:val="both"/>
              <w:rPr>
                <w:rFonts w:cs="Arial"/>
                <w:sz w:val="18"/>
              </w:rPr>
            </w:pPr>
            <w:r w:rsidRPr="00CF0F96">
              <w:rPr>
                <w:rFonts w:cs="Arial"/>
                <w:sz w:val="18"/>
              </w:rPr>
              <w:t>Maya-Chorti</w:t>
            </w:r>
          </w:p>
        </w:tc>
      </w:tr>
      <w:tr w:rsidR="00CF0F96" w:rsidRPr="00CF0F96" w14:paraId="68A2EC32" w14:textId="77777777" w:rsidTr="00C24D0B">
        <w:tc>
          <w:tcPr>
            <w:tcW w:w="1615" w:type="dxa"/>
            <w:vMerge/>
            <w:vAlign w:val="center"/>
          </w:tcPr>
          <w:p w14:paraId="273920D1" w14:textId="77777777" w:rsidR="00016847" w:rsidRPr="00CF0F96" w:rsidRDefault="00016847" w:rsidP="00C24D0B">
            <w:pPr>
              <w:spacing w:line="276" w:lineRule="auto"/>
              <w:jc w:val="both"/>
              <w:rPr>
                <w:rFonts w:cs="Arial"/>
                <w:sz w:val="18"/>
              </w:rPr>
            </w:pPr>
          </w:p>
        </w:tc>
        <w:tc>
          <w:tcPr>
            <w:tcW w:w="1918" w:type="dxa"/>
            <w:vAlign w:val="center"/>
          </w:tcPr>
          <w:p w14:paraId="55ACAA6C" w14:textId="77777777" w:rsidR="00016847" w:rsidRPr="00CF0F96" w:rsidRDefault="00016847" w:rsidP="00016847">
            <w:pPr>
              <w:pStyle w:val="Prrafodelista"/>
              <w:numPr>
                <w:ilvl w:val="0"/>
                <w:numId w:val="5"/>
              </w:numPr>
              <w:spacing w:line="276" w:lineRule="auto"/>
              <w:ind w:firstLine="0"/>
              <w:jc w:val="both"/>
              <w:rPr>
                <w:rFonts w:cs="Arial"/>
                <w:sz w:val="18"/>
              </w:rPr>
            </w:pPr>
            <w:r w:rsidRPr="00CF0F96">
              <w:rPr>
                <w:rFonts w:cs="Arial"/>
                <w:sz w:val="18"/>
              </w:rPr>
              <w:t>Santa Bárbara</w:t>
            </w:r>
          </w:p>
        </w:tc>
        <w:tc>
          <w:tcPr>
            <w:tcW w:w="2481" w:type="dxa"/>
            <w:vAlign w:val="center"/>
          </w:tcPr>
          <w:p w14:paraId="5C12C96C" w14:textId="77777777" w:rsidR="00016847" w:rsidRPr="00CF0F96" w:rsidRDefault="00016847" w:rsidP="00C24D0B">
            <w:pPr>
              <w:spacing w:line="276" w:lineRule="auto"/>
              <w:jc w:val="both"/>
              <w:rPr>
                <w:rFonts w:cs="Arial"/>
                <w:sz w:val="18"/>
              </w:rPr>
            </w:pPr>
            <w:r w:rsidRPr="00CF0F96">
              <w:rPr>
                <w:rFonts w:cs="Arial"/>
                <w:sz w:val="18"/>
              </w:rPr>
              <w:t>Cafés especiales, Hortícola, Frutales, Ganadería, Granos Básicos.</w:t>
            </w:r>
          </w:p>
        </w:tc>
        <w:tc>
          <w:tcPr>
            <w:tcW w:w="2552" w:type="dxa"/>
            <w:vAlign w:val="center"/>
          </w:tcPr>
          <w:p w14:paraId="57C62C6B" w14:textId="77777777" w:rsidR="00016847" w:rsidRPr="00CF0F96" w:rsidRDefault="00016847" w:rsidP="00C24D0B">
            <w:pPr>
              <w:spacing w:line="276" w:lineRule="auto"/>
              <w:jc w:val="both"/>
              <w:rPr>
                <w:rFonts w:cs="Arial"/>
                <w:sz w:val="18"/>
              </w:rPr>
            </w:pPr>
            <w:r w:rsidRPr="00CF0F96">
              <w:rPr>
                <w:rFonts w:cs="Arial"/>
                <w:sz w:val="18"/>
              </w:rPr>
              <w:t>Lencas</w:t>
            </w:r>
          </w:p>
        </w:tc>
      </w:tr>
      <w:tr w:rsidR="00CF0F96" w:rsidRPr="00CF0F96" w14:paraId="7FD3C3F8" w14:textId="77777777" w:rsidTr="00C24D0B">
        <w:tc>
          <w:tcPr>
            <w:tcW w:w="1615" w:type="dxa"/>
            <w:vMerge w:val="restart"/>
            <w:vAlign w:val="center"/>
          </w:tcPr>
          <w:p w14:paraId="4D4C2683" w14:textId="77777777" w:rsidR="00016847" w:rsidRPr="00CF0F96" w:rsidRDefault="00016847" w:rsidP="00C24D0B">
            <w:pPr>
              <w:spacing w:line="276" w:lineRule="auto"/>
              <w:jc w:val="center"/>
              <w:rPr>
                <w:rFonts w:cs="Arial"/>
                <w:sz w:val="18"/>
              </w:rPr>
            </w:pPr>
            <w:r w:rsidRPr="00CF0F96">
              <w:rPr>
                <w:rFonts w:cs="Arial"/>
                <w:sz w:val="18"/>
              </w:rPr>
              <w:t>Fase Ampliación</w:t>
            </w:r>
          </w:p>
          <w:p w14:paraId="7D6E3C17" w14:textId="77777777" w:rsidR="00016847" w:rsidRPr="00CF0F96" w:rsidRDefault="00016847" w:rsidP="00C24D0B">
            <w:pPr>
              <w:spacing w:line="276" w:lineRule="auto"/>
              <w:jc w:val="center"/>
              <w:rPr>
                <w:rFonts w:cs="Arial"/>
                <w:sz w:val="18"/>
              </w:rPr>
            </w:pPr>
            <w:r w:rsidRPr="00CF0F96">
              <w:rPr>
                <w:rFonts w:cs="Arial"/>
                <w:sz w:val="18"/>
              </w:rPr>
              <w:t>13 departamentos en Cobertura</w:t>
            </w:r>
          </w:p>
        </w:tc>
        <w:tc>
          <w:tcPr>
            <w:tcW w:w="1918" w:type="dxa"/>
            <w:vAlign w:val="center"/>
          </w:tcPr>
          <w:p w14:paraId="090429A8" w14:textId="77777777" w:rsidR="00016847" w:rsidRPr="00CF0F96" w:rsidRDefault="00016847" w:rsidP="00016847">
            <w:pPr>
              <w:pStyle w:val="Prrafodelista"/>
              <w:numPr>
                <w:ilvl w:val="0"/>
                <w:numId w:val="5"/>
              </w:numPr>
              <w:spacing w:line="276" w:lineRule="auto"/>
              <w:ind w:firstLine="0"/>
              <w:jc w:val="both"/>
              <w:rPr>
                <w:rFonts w:cs="Arial"/>
                <w:sz w:val="18"/>
              </w:rPr>
            </w:pPr>
            <w:r w:rsidRPr="00CF0F96">
              <w:rPr>
                <w:rFonts w:cs="Arial"/>
                <w:sz w:val="18"/>
              </w:rPr>
              <w:t>Cortes</w:t>
            </w:r>
          </w:p>
        </w:tc>
        <w:tc>
          <w:tcPr>
            <w:tcW w:w="2481" w:type="dxa"/>
            <w:vAlign w:val="center"/>
          </w:tcPr>
          <w:p w14:paraId="7FBEC9B3" w14:textId="77777777" w:rsidR="00016847" w:rsidRPr="00CF0F96" w:rsidRDefault="00016847" w:rsidP="00C24D0B">
            <w:pPr>
              <w:spacing w:line="276" w:lineRule="auto"/>
              <w:jc w:val="both"/>
              <w:rPr>
                <w:rFonts w:cs="Arial"/>
                <w:sz w:val="18"/>
              </w:rPr>
            </w:pPr>
            <w:r w:rsidRPr="00CF0F96">
              <w:rPr>
                <w:rFonts w:cs="Arial"/>
                <w:sz w:val="18"/>
              </w:rPr>
              <w:t>Hortícola, Cacao Fino, Frutales</w:t>
            </w:r>
          </w:p>
        </w:tc>
        <w:tc>
          <w:tcPr>
            <w:tcW w:w="2552" w:type="dxa"/>
            <w:vAlign w:val="center"/>
          </w:tcPr>
          <w:p w14:paraId="554CD6A8" w14:textId="77777777" w:rsidR="00016847" w:rsidRPr="00CF0F96" w:rsidRDefault="00016847" w:rsidP="00C24D0B">
            <w:pPr>
              <w:spacing w:line="276" w:lineRule="auto"/>
              <w:jc w:val="both"/>
              <w:rPr>
                <w:rFonts w:cs="Arial"/>
                <w:sz w:val="18"/>
              </w:rPr>
            </w:pPr>
            <w:r w:rsidRPr="00CF0F96">
              <w:rPr>
                <w:rFonts w:cs="Arial"/>
                <w:sz w:val="18"/>
              </w:rPr>
              <w:t>Garífunas</w:t>
            </w:r>
          </w:p>
        </w:tc>
      </w:tr>
      <w:tr w:rsidR="00CF0F96" w:rsidRPr="00CF0F96" w14:paraId="37A2E2E0" w14:textId="77777777" w:rsidTr="00C24D0B">
        <w:tc>
          <w:tcPr>
            <w:tcW w:w="1615" w:type="dxa"/>
            <w:vMerge/>
            <w:vAlign w:val="center"/>
          </w:tcPr>
          <w:p w14:paraId="7A11F23B" w14:textId="77777777" w:rsidR="00016847" w:rsidRPr="00CF0F96" w:rsidRDefault="00016847" w:rsidP="00C24D0B">
            <w:pPr>
              <w:spacing w:line="276" w:lineRule="auto"/>
              <w:jc w:val="both"/>
              <w:rPr>
                <w:rFonts w:cs="Arial"/>
                <w:sz w:val="18"/>
              </w:rPr>
            </w:pPr>
          </w:p>
        </w:tc>
        <w:tc>
          <w:tcPr>
            <w:tcW w:w="1918" w:type="dxa"/>
            <w:vAlign w:val="center"/>
          </w:tcPr>
          <w:p w14:paraId="1D86CC6E" w14:textId="77777777" w:rsidR="00016847" w:rsidRPr="00CF0F96" w:rsidRDefault="00016847" w:rsidP="00016847">
            <w:pPr>
              <w:pStyle w:val="Prrafodelista"/>
              <w:numPr>
                <w:ilvl w:val="0"/>
                <w:numId w:val="5"/>
              </w:numPr>
              <w:spacing w:line="276" w:lineRule="auto"/>
              <w:ind w:firstLine="0"/>
              <w:jc w:val="both"/>
              <w:rPr>
                <w:rFonts w:cs="Arial"/>
                <w:sz w:val="18"/>
              </w:rPr>
            </w:pPr>
            <w:r w:rsidRPr="00CF0F96">
              <w:rPr>
                <w:rFonts w:cs="Arial"/>
                <w:sz w:val="18"/>
              </w:rPr>
              <w:t>Atlántida</w:t>
            </w:r>
          </w:p>
        </w:tc>
        <w:tc>
          <w:tcPr>
            <w:tcW w:w="2481" w:type="dxa"/>
            <w:vAlign w:val="center"/>
          </w:tcPr>
          <w:p w14:paraId="575D4956" w14:textId="77777777" w:rsidR="00016847" w:rsidRPr="00CF0F96" w:rsidRDefault="00016847" w:rsidP="00C24D0B">
            <w:pPr>
              <w:spacing w:line="276" w:lineRule="auto"/>
              <w:jc w:val="both"/>
              <w:rPr>
                <w:rFonts w:cs="Arial"/>
                <w:sz w:val="18"/>
              </w:rPr>
            </w:pPr>
            <w:r w:rsidRPr="00CF0F96">
              <w:rPr>
                <w:rFonts w:cs="Arial"/>
                <w:sz w:val="18"/>
              </w:rPr>
              <w:t>Cacao fino Ganadería, Apícola, Acuícola (pesca artesanal), Frutales, Turismo Rural</w:t>
            </w:r>
          </w:p>
        </w:tc>
        <w:tc>
          <w:tcPr>
            <w:tcW w:w="2552" w:type="dxa"/>
            <w:vAlign w:val="center"/>
          </w:tcPr>
          <w:p w14:paraId="30D35CFB" w14:textId="77777777" w:rsidR="00016847" w:rsidRPr="00CF0F96" w:rsidRDefault="00016847" w:rsidP="00C24D0B">
            <w:pPr>
              <w:spacing w:line="276" w:lineRule="auto"/>
              <w:jc w:val="both"/>
              <w:rPr>
                <w:rFonts w:cs="Arial"/>
                <w:sz w:val="18"/>
              </w:rPr>
            </w:pPr>
            <w:r w:rsidRPr="00CF0F96">
              <w:rPr>
                <w:rFonts w:cs="Arial"/>
                <w:sz w:val="18"/>
              </w:rPr>
              <w:t>Garífunas</w:t>
            </w:r>
          </w:p>
        </w:tc>
      </w:tr>
      <w:tr w:rsidR="00CF0F96" w:rsidRPr="00CF0F96" w14:paraId="2F6E6DA3" w14:textId="77777777" w:rsidTr="00C24D0B">
        <w:tc>
          <w:tcPr>
            <w:tcW w:w="1615" w:type="dxa"/>
            <w:vMerge/>
            <w:vAlign w:val="center"/>
          </w:tcPr>
          <w:p w14:paraId="7EE66F1B" w14:textId="77777777" w:rsidR="00016847" w:rsidRPr="00CF0F96" w:rsidRDefault="00016847" w:rsidP="00C24D0B">
            <w:pPr>
              <w:spacing w:line="276" w:lineRule="auto"/>
              <w:jc w:val="both"/>
              <w:rPr>
                <w:rFonts w:cs="Arial"/>
                <w:sz w:val="18"/>
              </w:rPr>
            </w:pPr>
          </w:p>
        </w:tc>
        <w:tc>
          <w:tcPr>
            <w:tcW w:w="1918" w:type="dxa"/>
            <w:vAlign w:val="center"/>
          </w:tcPr>
          <w:p w14:paraId="694166CD" w14:textId="77777777" w:rsidR="00016847" w:rsidRPr="00CF0F96" w:rsidRDefault="00016847" w:rsidP="00016847">
            <w:pPr>
              <w:pStyle w:val="Prrafodelista"/>
              <w:numPr>
                <w:ilvl w:val="0"/>
                <w:numId w:val="5"/>
              </w:numPr>
              <w:spacing w:line="276" w:lineRule="auto"/>
              <w:ind w:firstLine="0"/>
              <w:jc w:val="both"/>
              <w:rPr>
                <w:rFonts w:cs="Arial"/>
                <w:sz w:val="18"/>
              </w:rPr>
            </w:pPr>
            <w:r w:rsidRPr="00CF0F96">
              <w:rPr>
                <w:rFonts w:cs="Arial"/>
                <w:sz w:val="18"/>
              </w:rPr>
              <w:t>Colón</w:t>
            </w:r>
          </w:p>
        </w:tc>
        <w:tc>
          <w:tcPr>
            <w:tcW w:w="2481" w:type="dxa"/>
            <w:vAlign w:val="center"/>
          </w:tcPr>
          <w:p w14:paraId="0D11BA64" w14:textId="77777777" w:rsidR="00016847" w:rsidRPr="00CF0F96" w:rsidRDefault="00016847" w:rsidP="00C24D0B">
            <w:pPr>
              <w:spacing w:line="276" w:lineRule="auto"/>
              <w:jc w:val="both"/>
              <w:rPr>
                <w:rFonts w:cs="Arial"/>
                <w:sz w:val="18"/>
              </w:rPr>
            </w:pPr>
            <w:r w:rsidRPr="00CF0F96">
              <w:rPr>
                <w:rFonts w:cs="Arial"/>
                <w:sz w:val="18"/>
              </w:rPr>
              <w:t>Frutales, Ganadería, Cacao Fino, Apícola</w:t>
            </w:r>
          </w:p>
        </w:tc>
        <w:tc>
          <w:tcPr>
            <w:tcW w:w="2552" w:type="dxa"/>
            <w:vAlign w:val="center"/>
          </w:tcPr>
          <w:p w14:paraId="7C2841BA" w14:textId="77777777" w:rsidR="00016847" w:rsidRPr="00CF0F96" w:rsidRDefault="00016847" w:rsidP="00C24D0B">
            <w:pPr>
              <w:spacing w:line="276" w:lineRule="auto"/>
              <w:jc w:val="both"/>
              <w:rPr>
                <w:rFonts w:cs="Arial"/>
                <w:sz w:val="18"/>
              </w:rPr>
            </w:pPr>
            <w:r w:rsidRPr="00CF0F96">
              <w:rPr>
                <w:rFonts w:cs="Arial"/>
                <w:sz w:val="18"/>
              </w:rPr>
              <w:t>Garífunas, Pech</w:t>
            </w:r>
          </w:p>
        </w:tc>
      </w:tr>
      <w:tr w:rsidR="00CF0F96" w:rsidRPr="00CF0F96" w14:paraId="57E2BB49" w14:textId="77777777" w:rsidTr="00C24D0B">
        <w:tc>
          <w:tcPr>
            <w:tcW w:w="1615" w:type="dxa"/>
            <w:vMerge/>
            <w:vAlign w:val="center"/>
          </w:tcPr>
          <w:p w14:paraId="3A70E3CD" w14:textId="77777777" w:rsidR="00016847" w:rsidRPr="00CF0F96" w:rsidRDefault="00016847" w:rsidP="00C24D0B">
            <w:pPr>
              <w:spacing w:line="276" w:lineRule="auto"/>
              <w:jc w:val="both"/>
              <w:rPr>
                <w:rFonts w:cs="Arial"/>
                <w:sz w:val="18"/>
              </w:rPr>
            </w:pPr>
          </w:p>
        </w:tc>
        <w:tc>
          <w:tcPr>
            <w:tcW w:w="1918" w:type="dxa"/>
            <w:vAlign w:val="center"/>
          </w:tcPr>
          <w:p w14:paraId="17E0044B" w14:textId="77777777" w:rsidR="00016847" w:rsidRPr="00CF0F96" w:rsidRDefault="00016847" w:rsidP="00016847">
            <w:pPr>
              <w:pStyle w:val="Prrafodelista"/>
              <w:numPr>
                <w:ilvl w:val="0"/>
                <w:numId w:val="5"/>
              </w:numPr>
              <w:spacing w:line="276" w:lineRule="auto"/>
              <w:ind w:firstLine="0"/>
              <w:jc w:val="both"/>
              <w:rPr>
                <w:rFonts w:cs="Arial"/>
                <w:sz w:val="18"/>
              </w:rPr>
            </w:pPr>
            <w:r w:rsidRPr="00CF0F96">
              <w:rPr>
                <w:rFonts w:cs="Arial"/>
                <w:sz w:val="18"/>
              </w:rPr>
              <w:t>Francisco Morazán (ACS)</w:t>
            </w:r>
          </w:p>
        </w:tc>
        <w:tc>
          <w:tcPr>
            <w:tcW w:w="2481" w:type="dxa"/>
            <w:vAlign w:val="center"/>
          </w:tcPr>
          <w:p w14:paraId="08117C67" w14:textId="77777777" w:rsidR="00016847" w:rsidRPr="00CF0F96" w:rsidRDefault="00016847" w:rsidP="00C24D0B">
            <w:pPr>
              <w:spacing w:line="276" w:lineRule="auto"/>
              <w:jc w:val="both"/>
              <w:rPr>
                <w:rFonts w:cs="Arial"/>
                <w:sz w:val="18"/>
              </w:rPr>
            </w:pPr>
            <w:r w:rsidRPr="00CF0F96">
              <w:rPr>
                <w:rFonts w:cs="Arial"/>
                <w:sz w:val="18"/>
              </w:rPr>
              <w:t>Granos Básicos, especies menores, Café especiales</w:t>
            </w:r>
          </w:p>
        </w:tc>
        <w:tc>
          <w:tcPr>
            <w:tcW w:w="2552" w:type="dxa"/>
            <w:vAlign w:val="center"/>
          </w:tcPr>
          <w:p w14:paraId="21DE3604" w14:textId="77777777" w:rsidR="00016847" w:rsidRPr="00CF0F96" w:rsidRDefault="00016847" w:rsidP="00C24D0B">
            <w:pPr>
              <w:spacing w:line="276" w:lineRule="auto"/>
              <w:jc w:val="both"/>
              <w:rPr>
                <w:rFonts w:cs="Arial"/>
                <w:sz w:val="18"/>
              </w:rPr>
            </w:pPr>
            <w:r w:rsidRPr="00CF0F96">
              <w:rPr>
                <w:rFonts w:cs="Arial"/>
                <w:sz w:val="18"/>
              </w:rPr>
              <w:t>Tolupanes</w:t>
            </w:r>
          </w:p>
          <w:p w14:paraId="64CAEC93" w14:textId="77777777" w:rsidR="00016847" w:rsidRPr="00CF0F96" w:rsidRDefault="00016847" w:rsidP="00C24D0B">
            <w:pPr>
              <w:spacing w:line="276" w:lineRule="auto"/>
              <w:jc w:val="both"/>
              <w:rPr>
                <w:rFonts w:cs="Arial"/>
                <w:sz w:val="18"/>
              </w:rPr>
            </w:pPr>
            <w:r w:rsidRPr="00CF0F96">
              <w:rPr>
                <w:rFonts w:cs="Arial"/>
                <w:sz w:val="18"/>
              </w:rPr>
              <w:t>Lencas</w:t>
            </w:r>
          </w:p>
        </w:tc>
      </w:tr>
      <w:tr w:rsidR="00CF0F96" w:rsidRPr="00CF0F96" w14:paraId="2BF3DCE3" w14:textId="77777777" w:rsidTr="00C24D0B">
        <w:tc>
          <w:tcPr>
            <w:tcW w:w="1615" w:type="dxa"/>
            <w:vMerge/>
            <w:vAlign w:val="center"/>
          </w:tcPr>
          <w:p w14:paraId="3037D156" w14:textId="77777777" w:rsidR="00016847" w:rsidRPr="00CF0F96" w:rsidRDefault="00016847" w:rsidP="00C24D0B">
            <w:pPr>
              <w:spacing w:line="276" w:lineRule="auto"/>
              <w:jc w:val="both"/>
              <w:rPr>
                <w:rFonts w:cs="Arial"/>
                <w:sz w:val="18"/>
              </w:rPr>
            </w:pPr>
          </w:p>
        </w:tc>
        <w:tc>
          <w:tcPr>
            <w:tcW w:w="1918" w:type="dxa"/>
            <w:vAlign w:val="center"/>
          </w:tcPr>
          <w:p w14:paraId="6866A6B5" w14:textId="77777777" w:rsidR="00016847" w:rsidRPr="00CF0F96" w:rsidRDefault="00016847" w:rsidP="00016847">
            <w:pPr>
              <w:pStyle w:val="Prrafodelista"/>
              <w:numPr>
                <w:ilvl w:val="0"/>
                <w:numId w:val="5"/>
              </w:numPr>
              <w:spacing w:line="276" w:lineRule="auto"/>
              <w:ind w:firstLine="0"/>
              <w:jc w:val="both"/>
              <w:rPr>
                <w:rFonts w:cs="Arial"/>
                <w:sz w:val="18"/>
              </w:rPr>
            </w:pPr>
            <w:r w:rsidRPr="00CF0F96">
              <w:rPr>
                <w:rFonts w:cs="Arial"/>
                <w:sz w:val="18"/>
              </w:rPr>
              <w:t>Choluteca (ACS)</w:t>
            </w:r>
          </w:p>
        </w:tc>
        <w:tc>
          <w:tcPr>
            <w:tcW w:w="2481" w:type="dxa"/>
            <w:vAlign w:val="center"/>
          </w:tcPr>
          <w:p w14:paraId="45165F1F" w14:textId="77777777" w:rsidR="00016847" w:rsidRPr="00CF0F96" w:rsidRDefault="00016847" w:rsidP="00C24D0B">
            <w:pPr>
              <w:spacing w:line="276" w:lineRule="auto"/>
              <w:jc w:val="both"/>
              <w:rPr>
                <w:rFonts w:cs="Arial"/>
                <w:sz w:val="18"/>
              </w:rPr>
            </w:pPr>
            <w:r w:rsidRPr="00CF0F96">
              <w:rPr>
                <w:rFonts w:cs="Arial"/>
                <w:sz w:val="18"/>
              </w:rPr>
              <w:t>Frutales, Granos Básicos, Producción de caña de azúcar</w:t>
            </w:r>
          </w:p>
        </w:tc>
        <w:tc>
          <w:tcPr>
            <w:tcW w:w="2552" w:type="dxa"/>
            <w:vAlign w:val="center"/>
          </w:tcPr>
          <w:p w14:paraId="064BFB49" w14:textId="77777777" w:rsidR="00016847" w:rsidRPr="00CF0F96" w:rsidRDefault="00016847" w:rsidP="00C24D0B">
            <w:pPr>
              <w:spacing w:line="276" w:lineRule="auto"/>
              <w:jc w:val="both"/>
              <w:rPr>
                <w:rFonts w:cs="Arial"/>
                <w:sz w:val="18"/>
              </w:rPr>
            </w:pPr>
            <w:r w:rsidRPr="00CF0F96">
              <w:rPr>
                <w:rFonts w:cs="Arial"/>
                <w:sz w:val="18"/>
              </w:rPr>
              <w:t>Lencas</w:t>
            </w:r>
          </w:p>
        </w:tc>
      </w:tr>
      <w:tr w:rsidR="00CF0F96" w:rsidRPr="00CF0F96" w14:paraId="1A160EBB" w14:textId="77777777" w:rsidTr="00C24D0B">
        <w:tc>
          <w:tcPr>
            <w:tcW w:w="1615" w:type="dxa"/>
            <w:vMerge/>
            <w:vAlign w:val="center"/>
          </w:tcPr>
          <w:p w14:paraId="456DC13D" w14:textId="77777777" w:rsidR="00016847" w:rsidRPr="00CF0F96" w:rsidRDefault="00016847" w:rsidP="00C24D0B">
            <w:pPr>
              <w:spacing w:line="276" w:lineRule="auto"/>
              <w:jc w:val="both"/>
              <w:rPr>
                <w:rFonts w:cs="Arial"/>
                <w:sz w:val="18"/>
              </w:rPr>
            </w:pPr>
          </w:p>
        </w:tc>
        <w:tc>
          <w:tcPr>
            <w:tcW w:w="1918" w:type="dxa"/>
            <w:vAlign w:val="center"/>
          </w:tcPr>
          <w:p w14:paraId="1E9B13A9" w14:textId="77777777" w:rsidR="00016847" w:rsidRPr="00CF0F96" w:rsidRDefault="00016847" w:rsidP="00016847">
            <w:pPr>
              <w:pStyle w:val="Prrafodelista"/>
              <w:numPr>
                <w:ilvl w:val="0"/>
                <w:numId w:val="5"/>
              </w:numPr>
              <w:spacing w:line="276" w:lineRule="auto"/>
              <w:ind w:firstLine="0"/>
              <w:jc w:val="both"/>
              <w:rPr>
                <w:rFonts w:cs="Arial"/>
                <w:sz w:val="18"/>
              </w:rPr>
            </w:pPr>
            <w:r w:rsidRPr="00CF0F96">
              <w:rPr>
                <w:rFonts w:cs="Arial"/>
                <w:sz w:val="18"/>
              </w:rPr>
              <w:t>El Paraíso (ACS)</w:t>
            </w:r>
          </w:p>
        </w:tc>
        <w:tc>
          <w:tcPr>
            <w:tcW w:w="2481" w:type="dxa"/>
            <w:vAlign w:val="center"/>
          </w:tcPr>
          <w:p w14:paraId="3E4DED59" w14:textId="77777777" w:rsidR="00016847" w:rsidRPr="00CF0F96" w:rsidRDefault="00016847" w:rsidP="00C24D0B">
            <w:pPr>
              <w:spacing w:line="276" w:lineRule="auto"/>
              <w:jc w:val="both"/>
              <w:rPr>
                <w:rFonts w:cs="Arial"/>
                <w:sz w:val="18"/>
              </w:rPr>
            </w:pPr>
            <w:r w:rsidRPr="00CF0F96">
              <w:rPr>
                <w:rFonts w:cs="Arial"/>
                <w:sz w:val="18"/>
              </w:rPr>
              <w:t>Cafés especiales, Granos Básicos</w:t>
            </w:r>
          </w:p>
        </w:tc>
        <w:tc>
          <w:tcPr>
            <w:tcW w:w="2552" w:type="dxa"/>
            <w:vAlign w:val="center"/>
          </w:tcPr>
          <w:p w14:paraId="4E973697" w14:textId="77777777" w:rsidR="00016847" w:rsidRPr="00CF0F96" w:rsidRDefault="00016847" w:rsidP="00C24D0B">
            <w:pPr>
              <w:spacing w:line="276" w:lineRule="auto"/>
              <w:jc w:val="both"/>
              <w:rPr>
                <w:rFonts w:cs="Arial"/>
                <w:sz w:val="18"/>
              </w:rPr>
            </w:pPr>
            <w:r w:rsidRPr="00CF0F96">
              <w:rPr>
                <w:rFonts w:cs="Arial"/>
                <w:sz w:val="18"/>
              </w:rPr>
              <w:t>Lencas</w:t>
            </w:r>
          </w:p>
        </w:tc>
      </w:tr>
      <w:tr w:rsidR="00CF0F96" w:rsidRPr="00CF0F96" w14:paraId="66BE3D29" w14:textId="77777777" w:rsidTr="00C24D0B">
        <w:tc>
          <w:tcPr>
            <w:tcW w:w="1615" w:type="dxa"/>
            <w:vMerge w:val="restart"/>
            <w:vAlign w:val="center"/>
          </w:tcPr>
          <w:p w14:paraId="5B3FE789" w14:textId="77777777" w:rsidR="00016847" w:rsidRPr="00CF0F96" w:rsidRDefault="00016847" w:rsidP="00C24D0B">
            <w:pPr>
              <w:spacing w:line="276" w:lineRule="auto"/>
              <w:jc w:val="center"/>
              <w:rPr>
                <w:rFonts w:cs="Arial"/>
                <w:sz w:val="18"/>
              </w:rPr>
            </w:pPr>
            <w:r w:rsidRPr="00CF0F96">
              <w:rPr>
                <w:rFonts w:cs="Arial"/>
                <w:sz w:val="18"/>
              </w:rPr>
              <w:t>Fase 2 (igual que COMRURAL III)</w:t>
            </w:r>
          </w:p>
          <w:p w14:paraId="3DA2572D" w14:textId="77777777" w:rsidR="00016847" w:rsidRPr="00CF0F96" w:rsidRDefault="00016847" w:rsidP="00DA186B">
            <w:pPr>
              <w:spacing w:line="276" w:lineRule="auto"/>
              <w:jc w:val="both"/>
              <w:rPr>
                <w:rFonts w:cs="Arial"/>
                <w:sz w:val="18"/>
              </w:rPr>
            </w:pPr>
            <w:r w:rsidRPr="00CF0F96">
              <w:rPr>
                <w:rFonts w:cs="Arial"/>
                <w:sz w:val="18"/>
              </w:rPr>
              <w:t xml:space="preserve">16 </w:t>
            </w:r>
            <w:proofErr w:type="gramStart"/>
            <w:r w:rsidRPr="00CF0F96">
              <w:rPr>
                <w:rFonts w:cs="Arial"/>
                <w:sz w:val="18"/>
              </w:rPr>
              <w:t>Departamentos</w:t>
            </w:r>
            <w:proofErr w:type="gramEnd"/>
            <w:r w:rsidRPr="00CF0F96">
              <w:rPr>
                <w:rFonts w:cs="Arial"/>
                <w:sz w:val="18"/>
              </w:rPr>
              <w:t xml:space="preserve"> en Cobertura</w:t>
            </w:r>
          </w:p>
        </w:tc>
        <w:tc>
          <w:tcPr>
            <w:tcW w:w="1918" w:type="dxa"/>
            <w:vAlign w:val="center"/>
          </w:tcPr>
          <w:p w14:paraId="17F71C1D" w14:textId="77777777" w:rsidR="00016847" w:rsidRPr="00CF0F96" w:rsidRDefault="00016847" w:rsidP="00016847">
            <w:pPr>
              <w:pStyle w:val="Prrafodelista"/>
              <w:numPr>
                <w:ilvl w:val="0"/>
                <w:numId w:val="5"/>
              </w:numPr>
              <w:spacing w:line="276" w:lineRule="auto"/>
              <w:ind w:firstLine="0"/>
              <w:jc w:val="both"/>
              <w:rPr>
                <w:rFonts w:cs="Arial"/>
                <w:sz w:val="18"/>
              </w:rPr>
            </w:pPr>
            <w:r w:rsidRPr="00CF0F96">
              <w:rPr>
                <w:rFonts w:cs="Arial"/>
                <w:sz w:val="18"/>
              </w:rPr>
              <w:t>Olancho</w:t>
            </w:r>
          </w:p>
        </w:tc>
        <w:tc>
          <w:tcPr>
            <w:tcW w:w="2481" w:type="dxa"/>
            <w:vAlign w:val="center"/>
          </w:tcPr>
          <w:p w14:paraId="7DFE31F0" w14:textId="77777777" w:rsidR="00016847" w:rsidRPr="00CF0F96" w:rsidRDefault="00016847" w:rsidP="00C24D0B">
            <w:pPr>
              <w:spacing w:line="276" w:lineRule="auto"/>
              <w:jc w:val="both"/>
              <w:rPr>
                <w:rFonts w:cs="Arial"/>
                <w:sz w:val="18"/>
              </w:rPr>
            </w:pPr>
            <w:r w:rsidRPr="00CF0F96">
              <w:rPr>
                <w:rFonts w:cs="Arial"/>
                <w:sz w:val="18"/>
              </w:rPr>
              <w:t xml:space="preserve">Granos Básicos, Ganadería, Frutales, Café </w:t>
            </w:r>
          </w:p>
        </w:tc>
        <w:tc>
          <w:tcPr>
            <w:tcW w:w="2552" w:type="dxa"/>
            <w:vAlign w:val="center"/>
          </w:tcPr>
          <w:p w14:paraId="1BCEC73D" w14:textId="77777777" w:rsidR="00016847" w:rsidRPr="00CF0F96" w:rsidRDefault="00016847" w:rsidP="00C24D0B">
            <w:pPr>
              <w:spacing w:line="276" w:lineRule="auto"/>
              <w:jc w:val="both"/>
              <w:rPr>
                <w:rFonts w:cs="Arial"/>
                <w:sz w:val="18"/>
              </w:rPr>
            </w:pPr>
            <w:r w:rsidRPr="00CF0F96">
              <w:rPr>
                <w:rFonts w:cs="Arial"/>
                <w:sz w:val="18"/>
              </w:rPr>
              <w:t>Pech, Nahua</w:t>
            </w:r>
          </w:p>
        </w:tc>
      </w:tr>
      <w:tr w:rsidR="00CF0F96" w:rsidRPr="00CF0F96" w14:paraId="28043ECA" w14:textId="77777777" w:rsidTr="00C24D0B">
        <w:tc>
          <w:tcPr>
            <w:tcW w:w="1615" w:type="dxa"/>
            <w:vMerge/>
            <w:vAlign w:val="center"/>
          </w:tcPr>
          <w:p w14:paraId="2B3D2B1B" w14:textId="77777777" w:rsidR="00016847" w:rsidRPr="00CF0F96" w:rsidRDefault="00016847" w:rsidP="00C24D0B">
            <w:pPr>
              <w:spacing w:line="276" w:lineRule="auto"/>
              <w:jc w:val="both"/>
              <w:rPr>
                <w:rFonts w:cs="Arial"/>
                <w:sz w:val="18"/>
              </w:rPr>
            </w:pPr>
          </w:p>
        </w:tc>
        <w:tc>
          <w:tcPr>
            <w:tcW w:w="1918" w:type="dxa"/>
            <w:vAlign w:val="center"/>
          </w:tcPr>
          <w:p w14:paraId="64AB8326" w14:textId="77777777" w:rsidR="00016847" w:rsidRPr="00CF0F96" w:rsidRDefault="00016847" w:rsidP="00016847">
            <w:pPr>
              <w:pStyle w:val="Prrafodelista"/>
              <w:numPr>
                <w:ilvl w:val="0"/>
                <w:numId w:val="5"/>
              </w:numPr>
              <w:spacing w:line="276" w:lineRule="auto"/>
              <w:ind w:firstLine="0"/>
              <w:jc w:val="both"/>
              <w:rPr>
                <w:rFonts w:cs="Arial"/>
                <w:sz w:val="18"/>
              </w:rPr>
            </w:pPr>
            <w:r w:rsidRPr="00CF0F96">
              <w:rPr>
                <w:rFonts w:cs="Arial"/>
                <w:sz w:val="18"/>
              </w:rPr>
              <w:t>Yoro</w:t>
            </w:r>
          </w:p>
        </w:tc>
        <w:tc>
          <w:tcPr>
            <w:tcW w:w="2481" w:type="dxa"/>
            <w:vAlign w:val="center"/>
          </w:tcPr>
          <w:p w14:paraId="22D32891" w14:textId="77777777" w:rsidR="00016847" w:rsidRPr="00CF0F96" w:rsidRDefault="00016847" w:rsidP="00C24D0B">
            <w:pPr>
              <w:spacing w:line="276" w:lineRule="auto"/>
              <w:jc w:val="both"/>
              <w:rPr>
                <w:rFonts w:cs="Arial"/>
                <w:sz w:val="18"/>
              </w:rPr>
            </w:pPr>
            <w:r w:rsidRPr="00CF0F96">
              <w:rPr>
                <w:rFonts w:cs="Arial"/>
                <w:sz w:val="18"/>
              </w:rPr>
              <w:t>Granos Básicos, Ganadería, Frutales, café, sal</w:t>
            </w:r>
          </w:p>
        </w:tc>
        <w:tc>
          <w:tcPr>
            <w:tcW w:w="2552" w:type="dxa"/>
            <w:vAlign w:val="center"/>
          </w:tcPr>
          <w:p w14:paraId="19C7FB66" w14:textId="77777777" w:rsidR="00016847" w:rsidRPr="00CF0F96" w:rsidRDefault="00016847" w:rsidP="00C24D0B">
            <w:pPr>
              <w:spacing w:line="276" w:lineRule="auto"/>
              <w:jc w:val="both"/>
              <w:rPr>
                <w:rFonts w:cs="Arial"/>
                <w:sz w:val="18"/>
              </w:rPr>
            </w:pPr>
            <w:r w:rsidRPr="00CF0F96">
              <w:rPr>
                <w:rFonts w:cs="Arial"/>
                <w:sz w:val="18"/>
              </w:rPr>
              <w:t>Tolupanes</w:t>
            </w:r>
          </w:p>
        </w:tc>
      </w:tr>
      <w:tr w:rsidR="00CF0F96" w:rsidRPr="00CF0F96" w14:paraId="46494CDE" w14:textId="77777777" w:rsidTr="00C24D0B">
        <w:tc>
          <w:tcPr>
            <w:tcW w:w="1615" w:type="dxa"/>
            <w:vMerge/>
            <w:vAlign w:val="center"/>
          </w:tcPr>
          <w:p w14:paraId="45E990D7" w14:textId="77777777" w:rsidR="00016847" w:rsidRPr="00CF0F96" w:rsidRDefault="00016847" w:rsidP="00C24D0B">
            <w:pPr>
              <w:spacing w:line="276" w:lineRule="auto"/>
              <w:jc w:val="both"/>
              <w:rPr>
                <w:rFonts w:cs="Arial"/>
                <w:sz w:val="18"/>
              </w:rPr>
            </w:pPr>
          </w:p>
        </w:tc>
        <w:tc>
          <w:tcPr>
            <w:tcW w:w="1918" w:type="dxa"/>
            <w:vAlign w:val="center"/>
          </w:tcPr>
          <w:p w14:paraId="2C66708F" w14:textId="77777777" w:rsidR="00016847" w:rsidRPr="00CF0F96" w:rsidRDefault="00016847" w:rsidP="00016847">
            <w:pPr>
              <w:pStyle w:val="Prrafodelista"/>
              <w:numPr>
                <w:ilvl w:val="0"/>
                <w:numId w:val="5"/>
              </w:numPr>
              <w:spacing w:line="276" w:lineRule="auto"/>
              <w:ind w:firstLine="0"/>
              <w:jc w:val="both"/>
              <w:rPr>
                <w:rFonts w:cs="Arial"/>
                <w:sz w:val="18"/>
              </w:rPr>
            </w:pPr>
            <w:r w:rsidRPr="00CF0F96">
              <w:rPr>
                <w:rFonts w:cs="Arial"/>
                <w:sz w:val="18"/>
              </w:rPr>
              <w:t xml:space="preserve"> Valle</w:t>
            </w:r>
          </w:p>
        </w:tc>
        <w:tc>
          <w:tcPr>
            <w:tcW w:w="2481" w:type="dxa"/>
            <w:vAlign w:val="center"/>
          </w:tcPr>
          <w:p w14:paraId="70F8D95D" w14:textId="77777777" w:rsidR="00016847" w:rsidRPr="00CF0F96" w:rsidRDefault="00016847" w:rsidP="00C24D0B">
            <w:pPr>
              <w:spacing w:line="276" w:lineRule="auto"/>
              <w:jc w:val="both"/>
              <w:rPr>
                <w:rFonts w:cs="Arial"/>
                <w:sz w:val="18"/>
              </w:rPr>
            </w:pPr>
            <w:r w:rsidRPr="00CF0F96">
              <w:rPr>
                <w:rFonts w:cs="Arial"/>
                <w:sz w:val="18"/>
              </w:rPr>
              <w:t>Acuícola, Producción de sal, Frutales</w:t>
            </w:r>
          </w:p>
        </w:tc>
        <w:tc>
          <w:tcPr>
            <w:tcW w:w="2552" w:type="dxa"/>
            <w:vAlign w:val="center"/>
          </w:tcPr>
          <w:p w14:paraId="15B7C690" w14:textId="77777777" w:rsidR="00016847" w:rsidRPr="00CF0F96" w:rsidRDefault="00016847" w:rsidP="00C24D0B">
            <w:pPr>
              <w:spacing w:line="276" w:lineRule="auto"/>
              <w:jc w:val="both"/>
              <w:rPr>
                <w:rFonts w:cs="Arial"/>
                <w:sz w:val="18"/>
              </w:rPr>
            </w:pPr>
            <w:r w:rsidRPr="00CF0F96">
              <w:rPr>
                <w:rFonts w:cs="Arial"/>
                <w:sz w:val="18"/>
              </w:rPr>
              <w:t>Lencas</w:t>
            </w:r>
          </w:p>
        </w:tc>
      </w:tr>
    </w:tbl>
    <w:p w14:paraId="3ABA4F9A" w14:textId="77777777" w:rsidR="00016847" w:rsidRPr="00FA4B2D" w:rsidRDefault="00016847" w:rsidP="006A3DBC">
      <w:pPr>
        <w:spacing w:after="0" w:line="276" w:lineRule="auto"/>
        <w:ind w:left="360"/>
        <w:jc w:val="both"/>
        <w:rPr>
          <w:rFonts w:cs="Arial"/>
        </w:rPr>
      </w:pPr>
    </w:p>
    <w:p w14:paraId="572BACA4" w14:textId="60DBC530" w:rsidR="006A3DBC" w:rsidRPr="00FA4B2D" w:rsidRDefault="006A3DBC" w:rsidP="0054358B">
      <w:pPr>
        <w:spacing w:after="0" w:line="276" w:lineRule="auto"/>
        <w:jc w:val="both"/>
        <w:rPr>
          <w:rFonts w:cs="Arial"/>
        </w:rPr>
      </w:pPr>
    </w:p>
    <w:p w14:paraId="418AF76E" w14:textId="77777777" w:rsidR="006A3DBC" w:rsidRPr="00FA4B2D" w:rsidRDefault="006A3DBC" w:rsidP="006A3DBC">
      <w:pPr>
        <w:spacing w:after="0" w:line="240" w:lineRule="auto"/>
        <w:ind w:left="360"/>
        <w:jc w:val="both"/>
        <w:rPr>
          <w:rFonts w:cs="Arial"/>
        </w:rPr>
      </w:pPr>
      <w:r w:rsidRPr="00FA4B2D">
        <w:rPr>
          <w:rFonts w:cs="Arial"/>
        </w:rPr>
        <w:t xml:space="preserve">A nivel de la administración política de los recursos naturales y sociales, siguen las directrices del estado mediante la vigencia de las leyes, en primera instancia según la Constitución de la República, que garantiza los derechos individuales y colectivos. También mediante las entidades del Gobierno, que dispone de las Gobernaciones Departamentales para la coordinación de los proyectos en cada uno de los 18 departamentos en que se divide el País. Luego son los Gobiernos Municipales los que ejecutan la administración de cada territorio mediante el cumplimiento de la Ley de Municipalidades y su reglamento. La administración regional y local se complementa con la presencia de entidades públicas vinculadas a los diferentes temas y programas desarrollados por el Gobierno de Honduras. </w:t>
      </w:r>
    </w:p>
    <w:p w14:paraId="0B43075D" w14:textId="77777777" w:rsidR="006A3DBC" w:rsidRPr="00FA4B2D" w:rsidRDefault="006A3DBC" w:rsidP="006A3DBC">
      <w:pPr>
        <w:spacing w:after="0" w:line="240" w:lineRule="auto"/>
        <w:ind w:left="360"/>
        <w:jc w:val="both"/>
        <w:rPr>
          <w:rFonts w:cs="Arial"/>
        </w:rPr>
      </w:pPr>
    </w:p>
    <w:p w14:paraId="257E2A71" w14:textId="77777777" w:rsidR="006A3DBC" w:rsidRPr="00FA4B2D" w:rsidRDefault="006A3DBC" w:rsidP="006A3DBC">
      <w:pPr>
        <w:spacing w:after="0" w:line="240" w:lineRule="auto"/>
        <w:ind w:left="360"/>
        <w:jc w:val="both"/>
        <w:rPr>
          <w:rFonts w:cs="Arial"/>
        </w:rPr>
      </w:pPr>
      <w:r w:rsidRPr="00FA4B2D">
        <w:rPr>
          <w:rFonts w:cs="Arial"/>
        </w:rPr>
        <w:t>A nivel local funcionan las organizaciones de base, que defienden sus derechos y exigen atención a sus demandas como por ejemplo los patronatos, juntas de agua, sociedad de padres de familia, organizaciones políticas, religiosas y deportivas.</w:t>
      </w:r>
    </w:p>
    <w:p w14:paraId="742EF89B" w14:textId="77777777" w:rsidR="006A3DBC" w:rsidRPr="00FA4B2D" w:rsidRDefault="006A3DBC" w:rsidP="006A3DBC">
      <w:pPr>
        <w:spacing w:after="0" w:line="240" w:lineRule="auto"/>
        <w:ind w:left="360"/>
        <w:jc w:val="both"/>
        <w:rPr>
          <w:rFonts w:cs="Arial"/>
        </w:rPr>
      </w:pPr>
    </w:p>
    <w:p w14:paraId="49043E0E" w14:textId="77777777" w:rsidR="006A3DBC" w:rsidRPr="00FA4B2D" w:rsidRDefault="006A3DBC" w:rsidP="006A3DBC">
      <w:pPr>
        <w:spacing w:after="0" w:line="240" w:lineRule="auto"/>
        <w:ind w:left="360"/>
        <w:jc w:val="both"/>
        <w:rPr>
          <w:rFonts w:cs="Arial"/>
        </w:rPr>
      </w:pPr>
      <w:r w:rsidRPr="00FA4B2D">
        <w:rPr>
          <w:rFonts w:cs="Arial"/>
        </w:rPr>
        <w:lastRenderedPageBreak/>
        <w:t xml:space="preserve">En el caso de los afrodescendientes, ubicados   en 5 departamentos de la costa norte de Honduras: Cortes, Atlántida, Colon, Gracias a Dios e Islas de la Bahía, la estructura organizativa local (comunitaria) más importante y representativa son los patronatos, dentro de los cuales están representados la mayoría de las otras organizaciones tales como: clubes de danza, comités pro- defensa de tierras, clubes de amas de casas, pescadores, agricultores, y gremios magisteriales a nivel local, entre otros. El Patronato es la esencia estructural de gobierno local de todas las comunidades Garífunas. </w:t>
      </w:r>
    </w:p>
    <w:p w14:paraId="60CFE051" w14:textId="65FF9F9B" w:rsidR="006A3DBC" w:rsidRPr="00FA4B2D" w:rsidRDefault="006A3DBC" w:rsidP="00EF7331">
      <w:pPr>
        <w:rPr>
          <w:rFonts w:cs="Arial"/>
        </w:rPr>
      </w:pPr>
      <w:r w:rsidRPr="00FA4B2D">
        <w:rPr>
          <w:rFonts w:cs="Arial"/>
        </w:rPr>
        <w:br w:type="page"/>
      </w:r>
      <w:bookmarkStart w:id="449" w:name="_Toc67564404"/>
      <w:bookmarkStart w:id="450" w:name="_Toc67567134"/>
      <w:bookmarkStart w:id="451" w:name="_Toc67567423"/>
      <w:bookmarkStart w:id="452" w:name="_Toc67567519"/>
      <w:bookmarkStart w:id="453" w:name="_Toc67568512"/>
      <w:bookmarkStart w:id="454" w:name="_Toc67571781"/>
      <w:bookmarkStart w:id="455" w:name="_Toc67572803"/>
      <w:bookmarkStart w:id="456" w:name="_Toc67573393"/>
      <w:bookmarkStart w:id="457" w:name="_Toc69380761"/>
      <w:bookmarkStart w:id="458" w:name="_Toc69382000"/>
      <w:bookmarkStart w:id="459" w:name="_Toc69389876"/>
      <w:bookmarkStart w:id="460" w:name="_Toc69393549"/>
      <w:bookmarkStart w:id="461" w:name="_Toc69410715"/>
      <w:bookmarkStart w:id="462" w:name="_Toc69410953"/>
      <w:bookmarkStart w:id="463" w:name="_Toc69918725"/>
      <w:bookmarkStart w:id="464" w:name="_Toc69922955"/>
      <w:bookmarkStart w:id="465" w:name="_Toc160535967"/>
      <w:bookmarkStart w:id="466" w:name="_Toc160575583"/>
      <w:bookmarkStart w:id="467" w:name="_Toc160576792"/>
      <w:bookmarkStart w:id="468" w:name="_Toc164251494"/>
      <w:bookmarkStart w:id="469" w:name="_Toc168469264"/>
      <w:bookmarkStart w:id="470" w:name="_Toc168469451"/>
      <w:bookmarkStart w:id="471" w:name="_Toc202341239"/>
      <w:bookmarkStart w:id="472" w:name="_Toc202449690"/>
      <w:bookmarkStart w:id="473" w:name="_Toc202455337"/>
      <w:bookmarkStart w:id="474" w:name="_Toc65884177"/>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14:paraId="21DD7C96" w14:textId="77777777" w:rsidR="006A3DBC" w:rsidRPr="00FA4B2D" w:rsidRDefault="006A3DBC" w:rsidP="00411720">
      <w:pPr>
        <w:pStyle w:val="Prrafodelista"/>
        <w:keepNext/>
        <w:keepLines/>
        <w:numPr>
          <w:ilvl w:val="0"/>
          <w:numId w:val="70"/>
        </w:numPr>
        <w:spacing w:after="0" w:line="240" w:lineRule="auto"/>
        <w:contextualSpacing w:val="0"/>
        <w:jc w:val="both"/>
        <w:outlineLvl w:val="1"/>
        <w:rPr>
          <w:rFonts w:eastAsiaTheme="majorEastAsia" w:cs="Arial"/>
          <w:b/>
          <w:bCs/>
          <w:vanish/>
        </w:rPr>
      </w:pPr>
      <w:bookmarkStart w:id="475" w:name="_Toc202456914"/>
      <w:bookmarkEnd w:id="475"/>
    </w:p>
    <w:p w14:paraId="49015551" w14:textId="77777777" w:rsidR="006A3DBC" w:rsidRPr="00FA4B2D" w:rsidRDefault="006A3DBC" w:rsidP="00411720">
      <w:pPr>
        <w:pStyle w:val="Prrafodelista"/>
        <w:keepNext/>
        <w:keepLines/>
        <w:numPr>
          <w:ilvl w:val="0"/>
          <w:numId w:val="70"/>
        </w:numPr>
        <w:spacing w:after="0" w:line="240" w:lineRule="auto"/>
        <w:contextualSpacing w:val="0"/>
        <w:jc w:val="both"/>
        <w:outlineLvl w:val="1"/>
        <w:rPr>
          <w:rFonts w:eastAsiaTheme="majorEastAsia" w:cs="Arial"/>
          <w:b/>
          <w:bCs/>
          <w:vanish/>
        </w:rPr>
      </w:pPr>
      <w:bookmarkStart w:id="476" w:name="_Toc67564405"/>
      <w:bookmarkStart w:id="477" w:name="_Toc67567135"/>
      <w:bookmarkStart w:id="478" w:name="_Toc67567424"/>
      <w:bookmarkStart w:id="479" w:name="_Toc67567520"/>
      <w:bookmarkStart w:id="480" w:name="_Toc67568513"/>
      <w:bookmarkStart w:id="481" w:name="_Toc67571782"/>
      <w:bookmarkStart w:id="482" w:name="_Toc67572804"/>
      <w:bookmarkStart w:id="483" w:name="_Toc67573394"/>
      <w:bookmarkStart w:id="484" w:name="_Toc69380762"/>
      <w:bookmarkStart w:id="485" w:name="_Toc69382001"/>
      <w:bookmarkStart w:id="486" w:name="_Toc69389877"/>
      <w:bookmarkStart w:id="487" w:name="_Toc69393550"/>
      <w:bookmarkStart w:id="488" w:name="_Toc69410716"/>
      <w:bookmarkStart w:id="489" w:name="_Toc69410954"/>
      <w:bookmarkStart w:id="490" w:name="_Toc69918726"/>
      <w:bookmarkStart w:id="491" w:name="_Toc69922956"/>
      <w:bookmarkStart w:id="492" w:name="_Toc160535968"/>
      <w:bookmarkStart w:id="493" w:name="_Toc160575584"/>
      <w:bookmarkStart w:id="494" w:name="_Toc160576793"/>
      <w:bookmarkStart w:id="495" w:name="_Toc164251495"/>
      <w:bookmarkStart w:id="496" w:name="_Toc168469265"/>
      <w:bookmarkStart w:id="497" w:name="_Toc168469452"/>
      <w:bookmarkStart w:id="498" w:name="_Toc202341240"/>
      <w:bookmarkStart w:id="499" w:name="_Toc202449691"/>
      <w:bookmarkStart w:id="500" w:name="_Toc202455338"/>
      <w:bookmarkStart w:id="501" w:name="_Toc20245691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14:paraId="5332E190" w14:textId="77777777" w:rsidR="006A3DBC" w:rsidRPr="00FA4B2D" w:rsidRDefault="006A3DBC" w:rsidP="00411720">
      <w:pPr>
        <w:pStyle w:val="Prrafodelista"/>
        <w:keepNext/>
        <w:keepLines/>
        <w:numPr>
          <w:ilvl w:val="0"/>
          <w:numId w:val="70"/>
        </w:numPr>
        <w:spacing w:after="0" w:line="240" w:lineRule="auto"/>
        <w:contextualSpacing w:val="0"/>
        <w:jc w:val="both"/>
        <w:outlineLvl w:val="1"/>
        <w:rPr>
          <w:rFonts w:eastAsiaTheme="majorEastAsia" w:cs="Arial"/>
          <w:b/>
          <w:bCs/>
          <w:vanish/>
        </w:rPr>
      </w:pPr>
      <w:bookmarkStart w:id="502" w:name="_Toc67564406"/>
      <w:bookmarkStart w:id="503" w:name="_Toc67567136"/>
      <w:bookmarkStart w:id="504" w:name="_Toc67567425"/>
      <w:bookmarkStart w:id="505" w:name="_Toc67567521"/>
      <w:bookmarkStart w:id="506" w:name="_Toc67568514"/>
      <w:bookmarkStart w:id="507" w:name="_Toc67571783"/>
      <w:bookmarkStart w:id="508" w:name="_Toc67572805"/>
      <w:bookmarkStart w:id="509" w:name="_Toc67573395"/>
      <w:bookmarkStart w:id="510" w:name="_Toc69380763"/>
      <w:bookmarkStart w:id="511" w:name="_Toc69382002"/>
      <w:bookmarkStart w:id="512" w:name="_Toc69389878"/>
      <w:bookmarkStart w:id="513" w:name="_Toc69393551"/>
      <w:bookmarkStart w:id="514" w:name="_Toc69410717"/>
      <w:bookmarkStart w:id="515" w:name="_Toc69410955"/>
      <w:bookmarkStart w:id="516" w:name="_Toc69918727"/>
      <w:bookmarkStart w:id="517" w:name="_Toc69922957"/>
      <w:bookmarkStart w:id="518" w:name="_Toc160535969"/>
      <w:bookmarkStart w:id="519" w:name="_Toc160575585"/>
      <w:bookmarkStart w:id="520" w:name="_Toc160576794"/>
      <w:bookmarkStart w:id="521" w:name="_Toc164251496"/>
      <w:bookmarkStart w:id="522" w:name="_Toc168469266"/>
      <w:bookmarkStart w:id="523" w:name="_Toc168469453"/>
      <w:bookmarkStart w:id="524" w:name="_Toc202341241"/>
      <w:bookmarkStart w:id="525" w:name="_Toc202449692"/>
      <w:bookmarkStart w:id="526" w:name="_Toc202455339"/>
      <w:bookmarkStart w:id="527" w:name="_Toc202456916"/>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14:paraId="620422AF" w14:textId="77777777" w:rsidR="006A3DBC" w:rsidRPr="00FA4B2D" w:rsidRDefault="006A3DBC" w:rsidP="00411720">
      <w:pPr>
        <w:pStyle w:val="Prrafodelista"/>
        <w:keepNext/>
        <w:keepLines/>
        <w:numPr>
          <w:ilvl w:val="0"/>
          <w:numId w:val="70"/>
        </w:numPr>
        <w:spacing w:after="0" w:line="240" w:lineRule="auto"/>
        <w:contextualSpacing w:val="0"/>
        <w:jc w:val="both"/>
        <w:outlineLvl w:val="1"/>
        <w:rPr>
          <w:rFonts w:eastAsiaTheme="majorEastAsia" w:cs="Arial"/>
          <w:b/>
          <w:bCs/>
          <w:vanish/>
        </w:rPr>
      </w:pPr>
      <w:bookmarkStart w:id="528" w:name="_Toc67564407"/>
      <w:bookmarkStart w:id="529" w:name="_Toc67567137"/>
      <w:bookmarkStart w:id="530" w:name="_Toc67567426"/>
      <w:bookmarkStart w:id="531" w:name="_Toc67567522"/>
      <w:bookmarkStart w:id="532" w:name="_Toc67568515"/>
      <w:bookmarkStart w:id="533" w:name="_Toc67571784"/>
      <w:bookmarkStart w:id="534" w:name="_Toc67572806"/>
      <w:bookmarkStart w:id="535" w:name="_Toc67573396"/>
      <w:bookmarkStart w:id="536" w:name="_Toc69380764"/>
      <w:bookmarkStart w:id="537" w:name="_Toc69382003"/>
      <w:bookmarkStart w:id="538" w:name="_Toc69389879"/>
      <w:bookmarkStart w:id="539" w:name="_Toc69393552"/>
      <w:bookmarkStart w:id="540" w:name="_Toc69410718"/>
      <w:bookmarkStart w:id="541" w:name="_Toc69410956"/>
      <w:bookmarkStart w:id="542" w:name="_Toc69918728"/>
      <w:bookmarkStart w:id="543" w:name="_Toc69922958"/>
      <w:bookmarkStart w:id="544" w:name="_Toc160535970"/>
      <w:bookmarkStart w:id="545" w:name="_Toc160575586"/>
      <w:bookmarkStart w:id="546" w:name="_Toc160576795"/>
      <w:bookmarkStart w:id="547" w:name="_Toc164251497"/>
      <w:bookmarkStart w:id="548" w:name="_Toc168469267"/>
      <w:bookmarkStart w:id="549" w:name="_Toc168469454"/>
      <w:bookmarkStart w:id="550" w:name="_Toc202341242"/>
      <w:bookmarkStart w:id="551" w:name="_Toc202449693"/>
      <w:bookmarkStart w:id="552" w:name="_Toc202455340"/>
      <w:bookmarkStart w:id="553" w:name="_Toc20245691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14:paraId="53B37774" w14:textId="77777777" w:rsidR="006A3DBC" w:rsidRPr="00FA4B2D" w:rsidRDefault="006A3DBC" w:rsidP="00411720">
      <w:pPr>
        <w:pStyle w:val="Prrafodelista"/>
        <w:keepNext/>
        <w:keepLines/>
        <w:numPr>
          <w:ilvl w:val="0"/>
          <w:numId w:val="70"/>
        </w:numPr>
        <w:spacing w:after="0" w:line="240" w:lineRule="auto"/>
        <w:contextualSpacing w:val="0"/>
        <w:jc w:val="both"/>
        <w:outlineLvl w:val="1"/>
        <w:rPr>
          <w:rFonts w:eastAsiaTheme="majorEastAsia" w:cs="Arial"/>
          <w:b/>
          <w:bCs/>
          <w:vanish/>
        </w:rPr>
      </w:pPr>
      <w:bookmarkStart w:id="554" w:name="_Toc67564408"/>
      <w:bookmarkStart w:id="555" w:name="_Toc67567138"/>
      <w:bookmarkStart w:id="556" w:name="_Toc67567427"/>
      <w:bookmarkStart w:id="557" w:name="_Toc67567523"/>
      <w:bookmarkStart w:id="558" w:name="_Toc67568516"/>
      <w:bookmarkStart w:id="559" w:name="_Toc67571785"/>
      <w:bookmarkStart w:id="560" w:name="_Toc67572807"/>
      <w:bookmarkStart w:id="561" w:name="_Toc67573397"/>
      <w:bookmarkStart w:id="562" w:name="_Toc69380765"/>
      <w:bookmarkStart w:id="563" w:name="_Toc69382004"/>
      <w:bookmarkStart w:id="564" w:name="_Toc69389880"/>
      <w:bookmarkStart w:id="565" w:name="_Toc69393553"/>
      <w:bookmarkStart w:id="566" w:name="_Toc69410719"/>
      <w:bookmarkStart w:id="567" w:name="_Toc69410957"/>
      <w:bookmarkStart w:id="568" w:name="_Toc69918729"/>
      <w:bookmarkStart w:id="569" w:name="_Toc69922959"/>
      <w:bookmarkStart w:id="570" w:name="_Toc160535971"/>
      <w:bookmarkStart w:id="571" w:name="_Toc160575587"/>
      <w:bookmarkStart w:id="572" w:name="_Toc160576796"/>
      <w:bookmarkStart w:id="573" w:name="_Toc164251498"/>
      <w:bookmarkStart w:id="574" w:name="_Toc168469268"/>
      <w:bookmarkStart w:id="575" w:name="_Toc168469455"/>
      <w:bookmarkStart w:id="576" w:name="_Toc202341243"/>
      <w:bookmarkStart w:id="577" w:name="_Toc202449694"/>
      <w:bookmarkStart w:id="578" w:name="_Toc202455341"/>
      <w:bookmarkStart w:id="579" w:name="_Toc202456918"/>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14:paraId="26FA7BDA" w14:textId="77777777" w:rsidR="006A3DBC" w:rsidRPr="00FA4B2D" w:rsidRDefault="006A3DBC" w:rsidP="00411720">
      <w:pPr>
        <w:pStyle w:val="Prrafodelista"/>
        <w:keepNext/>
        <w:keepLines/>
        <w:numPr>
          <w:ilvl w:val="0"/>
          <w:numId w:val="70"/>
        </w:numPr>
        <w:spacing w:after="0" w:line="240" w:lineRule="auto"/>
        <w:contextualSpacing w:val="0"/>
        <w:jc w:val="both"/>
        <w:outlineLvl w:val="1"/>
        <w:rPr>
          <w:rFonts w:eastAsiaTheme="majorEastAsia" w:cs="Arial"/>
          <w:b/>
          <w:bCs/>
          <w:vanish/>
        </w:rPr>
      </w:pPr>
      <w:bookmarkStart w:id="580" w:name="_Toc67564409"/>
      <w:bookmarkStart w:id="581" w:name="_Toc67567139"/>
      <w:bookmarkStart w:id="582" w:name="_Toc67567428"/>
      <w:bookmarkStart w:id="583" w:name="_Toc67567524"/>
      <w:bookmarkStart w:id="584" w:name="_Toc67568517"/>
      <w:bookmarkStart w:id="585" w:name="_Toc67571786"/>
      <w:bookmarkStart w:id="586" w:name="_Toc67572808"/>
      <w:bookmarkStart w:id="587" w:name="_Toc67573398"/>
      <w:bookmarkStart w:id="588" w:name="_Toc69380766"/>
      <w:bookmarkStart w:id="589" w:name="_Toc69382005"/>
      <w:bookmarkStart w:id="590" w:name="_Toc69389881"/>
      <w:bookmarkStart w:id="591" w:name="_Toc69393554"/>
      <w:bookmarkStart w:id="592" w:name="_Toc69410720"/>
      <w:bookmarkStart w:id="593" w:name="_Toc69410958"/>
      <w:bookmarkStart w:id="594" w:name="_Toc69918730"/>
      <w:bookmarkStart w:id="595" w:name="_Toc69922960"/>
      <w:bookmarkStart w:id="596" w:name="_Toc160535972"/>
      <w:bookmarkStart w:id="597" w:name="_Toc160575588"/>
      <w:bookmarkStart w:id="598" w:name="_Toc160576797"/>
      <w:bookmarkStart w:id="599" w:name="_Toc164251499"/>
      <w:bookmarkStart w:id="600" w:name="_Toc168469269"/>
      <w:bookmarkStart w:id="601" w:name="_Toc168469456"/>
      <w:bookmarkStart w:id="602" w:name="_Toc202341244"/>
      <w:bookmarkStart w:id="603" w:name="_Toc202449695"/>
      <w:bookmarkStart w:id="604" w:name="_Toc202455342"/>
      <w:bookmarkStart w:id="605" w:name="_Toc20245691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p>
    <w:p w14:paraId="726E2472" w14:textId="77777777" w:rsidR="006A3DBC" w:rsidRPr="00FA4B2D" w:rsidRDefault="006A3DBC" w:rsidP="00411720">
      <w:pPr>
        <w:pStyle w:val="Prrafodelista"/>
        <w:keepNext/>
        <w:keepLines/>
        <w:numPr>
          <w:ilvl w:val="1"/>
          <w:numId w:val="70"/>
        </w:numPr>
        <w:spacing w:after="0" w:line="240" w:lineRule="auto"/>
        <w:contextualSpacing w:val="0"/>
        <w:jc w:val="both"/>
        <w:outlineLvl w:val="1"/>
        <w:rPr>
          <w:rFonts w:eastAsiaTheme="majorEastAsia" w:cs="Arial"/>
          <w:b/>
          <w:bCs/>
          <w:vanish/>
        </w:rPr>
      </w:pPr>
      <w:bookmarkStart w:id="606" w:name="_Toc67564410"/>
      <w:bookmarkStart w:id="607" w:name="_Toc67567140"/>
      <w:bookmarkStart w:id="608" w:name="_Toc67567429"/>
      <w:bookmarkStart w:id="609" w:name="_Toc67567525"/>
      <w:bookmarkStart w:id="610" w:name="_Toc67568518"/>
      <w:bookmarkStart w:id="611" w:name="_Toc67571787"/>
      <w:bookmarkStart w:id="612" w:name="_Toc67572809"/>
      <w:bookmarkStart w:id="613" w:name="_Toc67573399"/>
      <w:bookmarkStart w:id="614" w:name="_Toc69380767"/>
      <w:bookmarkStart w:id="615" w:name="_Toc69382006"/>
      <w:bookmarkStart w:id="616" w:name="_Toc69389882"/>
      <w:bookmarkStart w:id="617" w:name="_Toc69393555"/>
      <w:bookmarkStart w:id="618" w:name="_Toc69410721"/>
      <w:bookmarkStart w:id="619" w:name="_Toc69410959"/>
      <w:bookmarkStart w:id="620" w:name="_Toc69918731"/>
      <w:bookmarkStart w:id="621" w:name="_Toc69922961"/>
      <w:bookmarkStart w:id="622" w:name="_Toc160535973"/>
      <w:bookmarkStart w:id="623" w:name="_Toc160575589"/>
      <w:bookmarkStart w:id="624" w:name="_Toc160576798"/>
      <w:bookmarkStart w:id="625" w:name="_Toc164251500"/>
      <w:bookmarkStart w:id="626" w:name="_Toc168469270"/>
      <w:bookmarkStart w:id="627" w:name="_Toc168469457"/>
      <w:bookmarkStart w:id="628" w:name="_Toc202341245"/>
      <w:bookmarkStart w:id="629" w:name="_Toc202449696"/>
      <w:bookmarkStart w:id="630" w:name="_Toc202455343"/>
      <w:bookmarkStart w:id="631" w:name="_Toc202456920"/>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p>
    <w:p w14:paraId="067929D8" w14:textId="77777777" w:rsidR="006A3DBC" w:rsidRPr="00FA4B2D" w:rsidRDefault="006A3DBC" w:rsidP="00411720">
      <w:pPr>
        <w:pStyle w:val="Ttulo2"/>
        <w:numPr>
          <w:ilvl w:val="2"/>
          <w:numId w:val="70"/>
        </w:numPr>
        <w:spacing w:before="0" w:line="240" w:lineRule="auto"/>
        <w:jc w:val="both"/>
        <w:rPr>
          <w:rFonts w:ascii="Arial" w:hAnsi="Arial" w:cs="Arial"/>
          <w:b/>
          <w:bCs/>
          <w:color w:val="767171" w:themeColor="background2" w:themeShade="80"/>
          <w:sz w:val="22"/>
          <w:szCs w:val="22"/>
        </w:rPr>
      </w:pPr>
      <w:bookmarkStart w:id="632" w:name="_Toc65884178"/>
      <w:bookmarkStart w:id="633" w:name="_Toc67573401"/>
      <w:bookmarkStart w:id="634" w:name="_Toc202456921"/>
      <w:bookmarkEnd w:id="474"/>
      <w:r w:rsidRPr="00FA4B2D">
        <w:rPr>
          <w:rFonts w:ascii="Arial" w:hAnsi="Arial" w:cs="Arial"/>
          <w:b/>
          <w:bCs/>
          <w:color w:val="767171" w:themeColor="background2" w:themeShade="80"/>
          <w:sz w:val="22"/>
          <w:szCs w:val="22"/>
        </w:rPr>
        <w:t>Caracterización Demográfica</w:t>
      </w:r>
      <w:bookmarkEnd w:id="632"/>
      <w:bookmarkEnd w:id="633"/>
      <w:bookmarkEnd w:id="634"/>
      <w:r w:rsidRPr="00FA4B2D">
        <w:rPr>
          <w:rFonts w:ascii="Arial" w:hAnsi="Arial" w:cs="Arial"/>
          <w:b/>
          <w:bCs/>
          <w:color w:val="767171" w:themeColor="background2" w:themeShade="80"/>
          <w:sz w:val="22"/>
          <w:szCs w:val="22"/>
        </w:rPr>
        <w:t xml:space="preserve"> </w:t>
      </w:r>
    </w:p>
    <w:p w14:paraId="5FF1FD4B" w14:textId="1FA0970E" w:rsidR="00EF7331" w:rsidRDefault="00EF7331" w:rsidP="00EF7331">
      <w:pPr>
        <w:pStyle w:val="Descripcin"/>
        <w:keepNext/>
        <w:jc w:val="center"/>
      </w:pPr>
      <w:bookmarkStart w:id="635" w:name="_Toc202455439"/>
      <w:r>
        <w:t xml:space="preserve">Tabla </w:t>
      </w:r>
      <w:r>
        <w:fldChar w:fldCharType="begin"/>
      </w:r>
      <w:r>
        <w:instrText xml:space="preserve"> SEQ Tabla \* ARABIC </w:instrText>
      </w:r>
      <w:r>
        <w:fldChar w:fldCharType="separate"/>
      </w:r>
      <w:r w:rsidR="000E6D86">
        <w:rPr>
          <w:noProof/>
        </w:rPr>
        <w:t>13</w:t>
      </w:r>
      <w:r>
        <w:fldChar w:fldCharType="end"/>
      </w:r>
      <w:r>
        <w:t xml:space="preserve">: </w:t>
      </w:r>
      <w:r w:rsidRPr="0002461F">
        <w:t>Proyección Población de Honduras Según Sexo y Sector por Departamento. Año 2018</w:t>
      </w:r>
      <w:bookmarkEnd w:id="635"/>
    </w:p>
    <w:p w14:paraId="163EC0F2" w14:textId="77777777" w:rsidR="006A3DBC" w:rsidRPr="00FA4B2D" w:rsidRDefault="006A3DBC" w:rsidP="006A3DBC">
      <w:pPr>
        <w:pStyle w:val="Prrafodelista"/>
        <w:spacing w:after="0" w:line="240" w:lineRule="auto"/>
        <w:ind w:left="567"/>
        <w:jc w:val="center"/>
        <w:rPr>
          <w:rFonts w:cs="Arial"/>
        </w:rPr>
      </w:pPr>
      <w:r w:rsidRPr="00FA4B2D">
        <w:rPr>
          <w:rFonts w:cs="Arial"/>
          <w:noProof/>
          <w:lang w:val="es-HN" w:eastAsia="es-HN"/>
        </w:rPr>
        <w:drawing>
          <wp:inline distT="0" distB="0" distL="0" distR="0" wp14:anchorId="7C94D743" wp14:editId="75131069">
            <wp:extent cx="5358810" cy="315229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72652" cy="3160435"/>
                    </a:xfrm>
                    <a:prstGeom prst="rect">
                      <a:avLst/>
                    </a:prstGeom>
                    <a:noFill/>
                    <a:ln>
                      <a:noFill/>
                    </a:ln>
                  </pic:spPr>
                </pic:pic>
              </a:graphicData>
            </a:graphic>
          </wp:inline>
        </w:drawing>
      </w:r>
    </w:p>
    <w:p w14:paraId="007CCF85" w14:textId="77777777" w:rsidR="006A3DBC" w:rsidRPr="00FA4B2D" w:rsidRDefault="006A3DBC" w:rsidP="006A3DBC">
      <w:pPr>
        <w:spacing w:after="0" w:line="240" w:lineRule="auto"/>
        <w:ind w:left="567"/>
        <w:rPr>
          <w:rFonts w:cs="Arial"/>
          <w:sz w:val="20"/>
          <w:szCs w:val="20"/>
        </w:rPr>
      </w:pPr>
      <w:r w:rsidRPr="00FA4B2D">
        <w:rPr>
          <w:rFonts w:cs="Arial"/>
          <w:sz w:val="20"/>
          <w:szCs w:val="20"/>
        </w:rPr>
        <w:t>Fuente: Elaboración Propia con Proyecciones de Población del INE.</w:t>
      </w:r>
    </w:p>
    <w:p w14:paraId="4F31DF5B" w14:textId="77777777" w:rsidR="006A3DBC" w:rsidRPr="00FA4B2D" w:rsidRDefault="006A3DBC" w:rsidP="006A3DBC">
      <w:pPr>
        <w:spacing w:after="0" w:line="240" w:lineRule="auto"/>
        <w:jc w:val="both"/>
        <w:rPr>
          <w:rFonts w:cs="Arial"/>
        </w:rPr>
      </w:pPr>
    </w:p>
    <w:p w14:paraId="47528F2F" w14:textId="77777777" w:rsidR="006A3DBC" w:rsidRPr="00FA4B2D" w:rsidRDefault="006A3DBC" w:rsidP="006A3DBC">
      <w:pPr>
        <w:spacing w:after="0" w:line="240" w:lineRule="auto"/>
        <w:jc w:val="both"/>
        <w:rPr>
          <w:rFonts w:cs="Arial"/>
        </w:rPr>
      </w:pPr>
      <w:r w:rsidRPr="00FA4B2D">
        <w:rPr>
          <w:rFonts w:cs="Arial"/>
        </w:rPr>
        <w:t>De acuerdo con estas proyecciones de población, la cobertura del Proyecto COMRURAL de fase II comprende el 98% de la población departamental y el 97% de la población del sector rural.  Sólo se excluyen los departamentos de Islas de la Bahía (representa el 1% de la población nacional y 1% de la población rural) y Gracias a Dios (1% de la población nacional y 2% de la población rural), por factores de acceso terrestre e infraestructura vial para la interconexión con el resto del país, débil desarrollo de las cadenas productivas para la competitividad requerida en la aplicación del modelo público-privado, además de problemas de gobernabilidad territorial. Precisamente el proyecto COMRURAL en su fase III pretende ampliar el abanico de ofertas para atender las iniciativas productivas rurales a través de la mejora de la competitividad en las cadenas de valor y el apoyo de enfoques innovadores.</w:t>
      </w:r>
    </w:p>
    <w:p w14:paraId="454BDD4F" w14:textId="77777777" w:rsidR="006A3DBC" w:rsidRPr="00FA4B2D" w:rsidRDefault="006A3DBC" w:rsidP="006A3DBC">
      <w:pPr>
        <w:spacing w:after="0" w:line="240" w:lineRule="auto"/>
        <w:jc w:val="both"/>
        <w:rPr>
          <w:rFonts w:cs="Arial"/>
        </w:rPr>
      </w:pPr>
    </w:p>
    <w:p w14:paraId="6A2C9DBA" w14:textId="77777777" w:rsidR="006A3DBC" w:rsidRPr="00FA4B2D" w:rsidRDefault="006A3DBC" w:rsidP="00411720">
      <w:pPr>
        <w:pStyle w:val="Ttulo2"/>
        <w:numPr>
          <w:ilvl w:val="2"/>
          <w:numId w:val="70"/>
        </w:numPr>
        <w:spacing w:before="0" w:line="240" w:lineRule="auto"/>
        <w:jc w:val="both"/>
        <w:rPr>
          <w:rFonts w:ascii="Arial" w:hAnsi="Arial" w:cs="Arial"/>
          <w:b/>
          <w:bCs/>
          <w:color w:val="767171" w:themeColor="background2" w:themeShade="80"/>
          <w:sz w:val="22"/>
          <w:szCs w:val="22"/>
        </w:rPr>
      </w:pPr>
      <w:bookmarkStart w:id="636" w:name="_Toc65884179"/>
      <w:bookmarkStart w:id="637" w:name="_Toc67573402"/>
      <w:bookmarkStart w:id="638" w:name="_Toc202456922"/>
      <w:r w:rsidRPr="00FA4B2D">
        <w:rPr>
          <w:rFonts w:ascii="Arial" w:hAnsi="Arial" w:cs="Arial"/>
          <w:b/>
          <w:bCs/>
          <w:color w:val="767171" w:themeColor="background2" w:themeShade="80"/>
          <w:sz w:val="22"/>
          <w:szCs w:val="22"/>
        </w:rPr>
        <w:t>Caracterización Económico-productiva</w:t>
      </w:r>
      <w:r w:rsidRPr="00FA4B2D">
        <w:rPr>
          <w:rFonts w:ascii="Arial" w:hAnsi="Arial" w:cs="Arial"/>
          <w:b/>
          <w:bCs/>
          <w:color w:val="767171" w:themeColor="background2" w:themeShade="80"/>
          <w:sz w:val="20"/>
          <w:szCs w:val="20"/>
          <w:vertAlign w:val="superscript"/>
        </w:rPr>
        <w:footnoteReference w:id="22"/>
      </w:r>
      <w:bookmarkEnd w:id="636"/>
      <w:bookmarkEnd w:id="637"/>
      <w:bookmarkEnd w:id="638"/>
    </w:p>
    <w:p w14:paraId="4CABD1C5" w14:textId="77777777" w:rsidR="006A3DBC" w:rsidRPr="00FA4B2D" w:rsidRDefault="006A3DBC" w:rsidP="006A3DBC">
      <w:pPr>
        <w:spacing w:after="0" w:line="240" w:lineRule="auto"/>
        <w:jc w:val="both"/>
        <w:rPr>
          <w:rFonts w:cs="Arial"/>
        </w:rPr>
      </w:pPr>
    </w:p>
    <w:p w14:paraId="769B4D4D" w14:textId="77777777" w:rsidR="006A3DBC" w:rsidRPr="00FA4B2D" w:rsidRDefault="006A3DBC" w:rsidP="006A3DBC">
      <w:pPr>
        <w:spacing w:after="0" w:line="240" w:lineRule="auto"/>
        <w:jc w:val="both"/>
        <w:rPr>
          <w:rFonts w:cs="Arial"/>
        </w:rPr>
      </w:pPr>
      <w:r w:rsidRPr="00FA4B2D">
        <w:rPr>
          <w:rFonts w:cs="Arial"/>
        </w:rPr>
        <w:t>El Enfoque de Economía del Hogar (HEA) describe características típicas de la zona, calendarios estacionales y de acceso a alimentos por los pobres, y algunas características de los grupos socioeconómicos, mediante una aproximación de los hogares más pobres y de los hogares relativamente acomodados. HEA define una zona de medios de vida como un área geográfica en la cual los hogares satisfacen sus necesidades básicas para sobrevivir, especialmente sus alimentos e ingresos, en efectivo, de maneras muy similares. Esto significa también que los grupos socioeconómicos tienen activos y patrones de consumo relativamente similares.</w:t>
      </w:r>
    </w:p>
    <w:p w14:paraId="3EF181E7" w14:textId="77777777" w:rsidR="006A3DBC" w:rsidRPr="00FA4B2D" w:rsidRDefault="006A3DBC" w:rsidP="006A3DBC">
      <w:pPr>
        <w:pStyle w:val="Prrafodelista"/>
        <w:spacing w:after="0" w:line="240" w:lineRule="auto"/>
        <w:ind w:left="1080"/>
        <w:jc w:val="both"/>
        <w:rPr>
          <w:rFonts w:cs="Arial"/>
        </w:rPr>
      </w:pPr>
    </w:p>
    <w:p w14:paraId="6348FC5C" w14:textId="1F718E35" w:rsidR="00EF7331" w:rsidRDefault="00EF7331" w:rsidP="00EF7331">
      <w:pPr>
        <w:pStyle w:val="Descripcin"/>
        <w:keepNext/>
        <w:jc w:val="center"/>
      </w:pPr>
      <w:bookmarkStart w:id="639" w:name="_Toc202455584"/>
      <w:r>
        <w:t xml:space="preserve">Ilustración </w:t>
      </w:r>
      <w:r>
        <w:fldChar w:fldCharType="begin"/>
      </w:r>
      <w:r>
        <w:instrText xml:space="preserve"> SEQ Ilustración \* ARABIC </w:instrText>
      </w:r>
      <w:r>
        <w:fldChar w:fldCharType="separate"/>
      </w:r>
      <w:r w:rsidR="00F94AC4">
        <w:rPr>
          <w:noProof/>
        </w:rPr>
        <w:t>22</w:t>
      </w:r>
      <w:r>
        <w:fldChar w:fldCharType="end"/>
      </w:r>
      <w:r>
        <w:t xml:space="preserve">: </w:t>
      </w:r>
      <w:r w:rsidRPr="00EE196B">
        <w:t>Zonas de Medios de Vida y Descripciones</w:t>
      </w:r>
      <w:bookmarkEnd w:id="639"/>
    </w:p>
    <w:p w14:paraId="7C387BCD" w14:textId="77777777" w:rsidR="006A3DBC" w:rsidRPr="00FA4B2D" w:rsidRDefault="006A3DBC" w:rsidP="006A3DBC">
      <w:pPr>
        <w:pStyle w:val="Prrafodelista"/>
        <w:spacing w:after="0" w:line="240" w:lineRule="auto"/>
        <w:ind w:left="0"/>
        <w:jc w:val="center"/>
        <w:rPr>
          <w:rFonts w:cs="Arial"/>
        </w:rPr>
      </w:pPr>
      <w:r w:rsidRPr="00FA4B2D">
        <w:rPr>
          <w:rFonts w:cs="Arial"/>
          <w:noProof/>
          <w:lang w:val="es-HN" w:eastAsia="es-HN"/>
        </w:rPr>
        <w:drawing>
          <wp:inline distT="0" distB="0" distL="0" distR="0" wp14:anchorId="77697BB6" wp14:editId="24BBE0CB">
            <wp:extent cx="4819650" cy="3057095"/>
            <wp:effectExtent l="0" t="0" r="0" b="0"/>
            <wp:docPr id="4" name="Picture 4" descr="F:\MGAS\Pedro\MAP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54">
                      <a:extLst>
                        <a:ext uri="{28A0092B-C50C-407E-A947-70E740481C1C}">
                          <a14:useLocalDpi xmlns:a14="http://schemas.microsoft.com/office/drawing/2010/main" val="0"/>
                        </a:ext>
                      </a:extLst>
                    </a:blip>
                    <a:stretch>
                      <a:fillRect/>
                    </a:stretch>
                  </pic:blipFill>
                  <pic:spPr>
                    <a:xfrm>
                      <a:off x="0" y="0"/>
                      <a:ext cx="4854874" cy="3079437"/>
                    </a:xfrm>
                    <a:prstGeom prst="rect">
                      <a:avLst/>
                    </a:prstGeom>
                  </pic:spPr>
                </pic:pic>
              </a:graphicData>
            </a:graphic>
          </wp:inline>
        </w:drawing>
      </w:r>
    </w:p>
    <w:p w14:paraId="1DF273D1" w14:textId="77777777" w:rsidR="006A3DBC" w:rsidRPr="00FA4B2D" w:rsidRDefault="006A3DBC" w:rsidP="006A3DBC">
      <w:pPr>
        <w:spacing w:after="0" w:line="240" w:lineRule="auto"/>
        <w:jc w:val="both"/>
        <w:rPr>
          <w:rFonts w:cs="Arial"/>
        </w:rPr>
      </w:pPr>
    </w:p>
    <w:p w14:paraId="7951D4A4" w14:textId="03E520FD" w:rsidR="006A3DBC" w:rsidRPr="00FA4B2D" w:rsidRDefault="006A3DBC" w:rsidP="006A3DBC">
      <w:pPr>
        <w:spacing w:after="0" w:line="240" w:lineRule="auto"/>
        <w:jc w:val="center"/>
        <w:rPr>
          <w:rFonts w:cs="Arial"/>
          <w:sz w:val="20"/>
          <w:szCs w:val="20"/>
        </w:rPr>
      </w:pPr>
      <w:r w:rsidRPr="00FA4B2D">
        <w:rPr>
          <w:rFonts w:cs="Arial"/>
          <w:b/>
          <w:bCs/>
          <w:sz w:val="20"/>
          <w:szCs w:val="20"/>
        </w:rPr>
        <w:t>Fuente:</w:t>
      </w:r>
      <w:r w:rsidRPr="00FA4B2D">
        <w:rPr>
          <w:rFonts w:cs="Arial"/>
          <w:sz w:val="20"/>
          <w:szCs w:val="20"/>
        </w:rPr>
        <w:t xml:space="preserve"> FEWS NET. HONDURAS Zonas de Medios de Vida y Descripciones. Marzo</w:t>
      </w:r>
      <w:r w:rsidR="005C59B3" w:rsidRPr="00FA4B2D">
        <w:rPr>
          <w:rFonts w:cs="Arial"/>
          <w:sz w:val="20"/>
          <w:szCs w:val="20"/>
        </w:rPr>
        <w:t>,</w:t>
      </w:r>
      <w:r w:rsidRPr="00FA4B2D">
        <w:rPr>
          <w:rFonts w:cs="Arial"/>
          <w:sz w:val="20"/>
          <w:szCs w:val="20"/>
        </w:rPr>
        <w:t xml:space="preserve"> 2014</w:t>
      </w:r>
      <w:r w:rsidR="005C59B3" w:rsidRPr="00FA4B2D">
        <w:rPr>
          <w:rFonts w:cs="Arial"/>
          <w:sz w:val="20"/>
          <w:szCs w:val="20"/>
        </w:rPr>
        <w:t>.</w:t>
      </w:r>
    </w:p>
    <w:p w14:paraId="53578EDD" w14:textId="77777777" w:rsidR="006A3DBC" w:rsidRPr="00FA4B2D" w:rsidRDefault="006A3DBC" w:rsidP="006A3DBC">
      <w:pPr>
        <w:spacing w:after="0" w:line="240" w:lineRule="auto"/>
        <w:jc w:val="both"/>
        <w:rPr>
          <w:rFonts w:cs="Arial"/>
        </w:rPr>
      </w:pPr>
    </w:p>
    <w:p w14:paraId="611094B7" w14:textId="77777777" w:rsidR="006A3DBC" w:rsidRPr="00FA4B2D" w:rsidRDefault="006A3DBC" w:rsidP="006A3DBC">
      <w:pPr>
        <w:pStyle w:val="Prrafodelista"/>
        <w:numPr>
          <w:ilvl w:val="0"/>
          <w:numId w:val="3"/>
        </w:numPr>
        <w:spacing w:after="0" w:line="240" w:lineRule="auto"/>
        <w:ind w:left="0" w:firstLine="0"/>
        <w:jc w:val="both"/>
        <w:rPr>
          <w:rFonts w:cs="Arial"/>
          <w:b/>
        </w:rPr>
      </w:pPr>
      <w:r w:rsidRPr="00FA4B2D">
        <w:rPr>
          <w:rFonts w:cs="Arial"/>
          <w:b/>
        </w:rPr>
        <w:t>Zona 1: La Zona Litoral Garífuna y de Turismo en Islas de la Bahía</w:t>
      </w:r>
    </w:p>
    <w:p w14:paraId="542627EA" w14:textId="77777777" w:rsidR="006A3DBC" w:rsidRPr="00FA4B2D" w:rsidRDefault="006A3DBC" w:rsidP="006A3DBC">
      <w:pPr>
        <w:pStyle w:val="Prrafodelista"/>
        <w:spacing w:after="0" w:line="240" w:lineRule="auto"/>
        <w:ind w:left="0"/>
        <w:jc w:val="both"/>
        <w:rPr>
          <w:rFonts w:cs="Arial"/>
        </w:rPr>
      </w:pPr>
      <w:r w:rsidRPr="00FA4B2D">
        <w:rPr>
          <w:rFonts w:cs="Arial"/>
        </w:rPr>
        <w:t>La Zona Litoral Garífuna y de Turismo en Islas de la Bahía es una zona costera de tierras bajas ubicadas a lo largo del mar Caribe en los departamentos de Cortés, Atlántida, Colón y Gracias a Dios, y las Islas de la Bahía que son tres islas principales, con una red de islotes y cayos ubicadas al norte del país. La vegetación en la zona es de cocoteros, manglares y coroza. En las Islas de Bahía además hay pinos y latifoliados, algas marinas y bancos de arrecife coralinos. Es una zona de alta riqueza por los frutos del mar y la diversidad de peces. Los suelos son arenosos debido a su ubicación costera lo que limita la cantidad de especies de flora adaptables. Los medios de vida giran en torno a la pesca artesanal, al comercio formal e informal, a la venta de mano de obra en actividades relacionadas al turismo y al comercio.</w:t>
      </w:r>
    </w:p>
    <w:p w14:paraId="56D62A60" w14:textId="77777777" w:rsidR="006A3DBC" w:rsidRPr="00FA4B2D" w:rsidRDefault="006A3DBC" w:rsidP="006A3DBC">
      <w:pPr>
        <w:pStyle w:val="Prrafodelista"/>
        <w:spacing w:after="0" w:line="240" w:lineRule="auto"/>
        <w:ind w:left="0"/>
        <w:jc w:val="both"/>
        <w:rPr>
          <w:rFonts w:cs="Arial"/>
        </w:rPr>
      </w:pPr>
    </w:p>
    <w:p w14:paraId="71249411" w14:textId="77777777" w:rsidR="006A3DBC" w:rsidRPr="00FA4B2D" w:rsidRDefault="006A3DBC" w:rsidP="006A3DBC">
      <w:pPr>
        <w:pStyle w:val="Prrafodelista"/>
        <w:numPr>
          <w:ilvl w:val="0"/>
          <w:numId w:val="3"/>
        </w:numPr>
        <w:spacing w:after="0" w:line="240" w:lineRule="auto"/>
        <w:ind w:left="0" w:firstLine="0"/>
        <w:jc w:val="both"/>
        <w:rPr>
          <w:rFonts w:cs="Arial"/>
          <w:b/>
        </w:rPr>
      </w:pPr>
      <w:r w:rsidRPr="00FA4B2D">
        <w:rPr>
          <w:rFonts w:cs="Arial"/>
          <w:b/>
        </w:rPr>
        <w:t>Zona 2: La zona Litoral Atlántica Productora de Aceite de Palma</w:t>
      </w:r>
    </w:p>
    <w:p w14:paraId="23513F4C" w14:textId="77777777" w:rsidR="006A3DBC" w:rsidRPr="00FA4B2D" w:rsidRDefault="006A3DBC" w:rsidP="006A3DBC">
      <w:pPr>
        <w:pStyle w:val="Prrafodelista"/>
        <w:spacing w:after="0" w:line="240" w:lineRule="auto"/>
        <w:ind w:left="0"/>
        <w:jc w:val="both"/>
        <w:rPr>
          <w:rFonts w:cs="Arial"/>
        </w:rPr>
      </w:pPr>
      <w:r w:rsidRPr="00FA4B2D">
        <w:rPr>
          <w:rFonts w:cs="Arial"/>
        </w:rPr>
        <w:t xml:space="preserve">La zona Litoral Atlántica Productora de Aceite de Palma, como su nombre lo indica, es una zona con grandes extensiones de tierra dedicadas al cultivo comercial de palma africana, aproximadamente 150.000 hectáreas. Su topografía es plana, con altitudes entre 50 a 200 msnm, en su mayoría. Cuenta con afluentes naturales como Ulúa, Aguán, Guaimón, Perla, Lean. Su vegetación está caracterizada por pastizales dedicados a la ganadería y el cultivo de oleaginosas como palma y corozo. Otros recursos naturales son frutales, ornamentales, minerales y recursos hídricos. Los suelos son fértiles aptos para la producción de diversos cultivos, de tipo franco arenoso y arcilloso, con alto porcentaje de materia orgánica. La densidad poblacional es de 150 habitantes por km2, en promedio. La ubicación geográfica de la zona le </w:t>
      </w:r>
      <w:r w:rsidRPr="00FA4B2D">
        <w:rPr>
          <w:rFonts w:cs="Arial"/>
        </w:rPr>
        <w:lastRenderedPageBreak/>
        <w:t xml:space="preserve">brinda ventajas competitivas en la estrategia comercial por encontrarse cerca de los principales puestos de embarque, aeropuertos nacionales e internacionales, así como por sus condiciones agroclimáticas que son particularmente adecuadas para el cultivo de la palma africana. La tenencia de la tierra no es equitativa; productores pequeños tienen áreas promedio de 0.5 a 2 ha por productor, mientras que los agricultores latifundistas tienen grandes extensiones de tierra destinada al cultivo de palma. Es importante destacar que el sistema de producción de aceite de palma de los grandes productores o acomodados de la zona está caracterizado por una producción intensiva, desempeñada con mano de obra local y familiar, así como por sistemas de producción industrial tecnificados; que también hacen parte de este proceso las cooperativas (asociaciones de productores). </w:t>
      </w:r>
    </w:p>
    <w:p w14:paraId="7EF60878" w14:textId="77777777" w:rsidR="006A3DBC" w:rsidRPr="00FA4B2D" w:rsidRDefault="006A3DBC" w:rsidP="006A3DBC">
      <w:pPr>
        <w:pStyle w:val="Prrafodelista"/>
        <w:spacing w:after="0" w:line="240" w:lineRule="auto"/>
        <w:ind w:left="0"/>
        <w:jc w:val="both"/>
        <w:rPr>
          <w:rFonts w:cs="Arial"/>
        </w:rPr>
      </w:pPr>
    </w:p>
    <w:p w14:paraId="3FAFD6D5" w14:textId="77777777" w:rsidR="006A3DBC" w:rsidRPr="00FA4B2D" w:rsidRDefault="006A3DBC" w:rsidP="006A3DBC">
      <w:pPr>
        <w:pStyle w:val="Prrafodelista"/>
        <w:spacing w:after="0" w:line="240" w:lineRule="auto"/>
        <w:ind w:left="0"/>
        <w:jc w:val="both"/>
        <w:rPr>
          <w:rFonts w:cs="Arial"/>
        </w:rPr>
      </w:pPr>
      <w:r w:rsidRPr="00FA4B2D">
        <w:rPr>
          <w:rFonts w:cs="Arial"/>
        </w:rPr>
        <w:t>Es importante notar que la economía en el municipio de Sonaguera, Departamento de Colón es relativamente más diverso que en otras partes de la zona ya que incluye la producción de frutas (cítricos y banano) y la ganadería de doble propósito (leche y carne). La población expresa su preocupación por el aumento de las áreas de producción de palma africana; ya que ocasiona una disminución de la fauna y flora endémicas y sobredependencia de la economía en los precios internacionales del aceite la palma.</w:t>
      </w:r>
    </w:p>
    <w:p w14:paraId="57D1914E" w14:textId="77777777" w:rsidR="006A3DBC" w:rsidRPr="00FA4B2D" w:rsidRDefault="006A3DBC" w:rsidP="006A3DBC">
      <w:pPr>
        <w:pStyle w:val="Prrafodelista"/>
        <w:spacing w:after="0" w:line="240" w:lineRule="auto"/>
        <w:ind w:left="0"/>
        <w:jc w:val="both"/>
        <w:rPr>
          <w:rFonts w:cs="Arial"/>
        </w:rPr>
      </w:pPr>
    </w:p>
    <w:p w14:paraId="1DC034B4" w14:textId="77777777" w:rsidR="006A3DBC" w:rsidRPr="00FA4B2D" w:rsidRDefault="006A3DBC" w:rsidP="006A3DBC">
      <w:pPr>
        <w:pStyle w:val="Prrafodelista"/>
        <w:numPr>
          <w:ilvl w:val="0"/>
          <w:numId w:val="3"/>
        </w:numPr>
        <w:spacing w:after="0" w:line="240" w:lineRule="auto"/>
        <w:ind w:left="0" w:firstLine="0"/>
        <w:jc w:val="both"/>
        <w:rPr>
          <w:rFonts w:cs="Arial"/>
          <w:b/>
        </w:rPr>
      </w:pPr>
      <w:r w:rsidRPr="00FA4B2D">
        <w:rPr>
          <w:rFonts w:cs="Arial"/>
          <w:b/>
        </w:rPr>
        <w:t>Zona 3: Esta zona está ubicada al noroccidente de Honduras</w:t>
      </w:r>
    </w:p>
    <w:p w14:paraId="71B2AF49" w14:textId="77777777" w:rsidR="006A3DBC" w:rsidRPr="00FA4B2D" w:rsidRDefault="006A3DBC" w:rsidP="006A3DBC">
      <w:pPr>
        <w:pStyle w:val="Prrafodelista"/>
        <w:spacing w:after="0" w:line="240" w:lineRule="auto"/>
        <w:ind w:left="0"/>
        <w:jc w:val="both"/>
        <w:rPr>
          <w:rFonts w:cs="Arial"/>
        </w:rPr>
      </w:pPr>
      <w:r w:rsidRPr="00FA4B2D">
        <w:rPr>
          <w:rFonts w:cs="Arial"/>
        </w:rPr>
        <w:t>Esta zona está ubicada al noroccidente de Honduras. Su topografía está conformada por valles fértiles dedicados a plantaciones a gran escala de banano y caña de azúcar. Las partes más altas cuentan con algunas zonas ganaderas, y se siembra maíz, frijol y café. En la zona se encuentra la segunda ciudad más grande del país, San Pedro Sula. El motor de la economía de la zona no es la agricultura de subsistencia sino la industria, incluyendo grandes maquilas de textiles. Los medios de vida de la población dependen de la venta de mano de obra en la producción de banano y caña de azúcar o en la maquila textil, principalmente. Los grupos socioeconómicos más pobres de la zona no tienen acceso a tierra; habitan principalmente en áreas urbanas y periurbanas. Son obreros de agroindustria o industria textil que dependen expresamente de su fuerza laboral. Los medios también dependen de la venta de mano de obra, pero pueden tener un trabajo más calificado debido a que su nivel educativo es superior (secundaria completa, técnico). Los acomodados pueden ser propietarios de extensiones de tierras fuera del parque agroindustrial que dedican a la ganadería, a alquiler o para la siembra de cultivos básicos.</w:t>
      </w:r>
    </w:p>
    <w:p w14:paraId="6EFB71D0" w14:textId="77777777" w:rsidR="006A3DBC" w:rsidRPr="00FA4B2D" w:rsidRDefault="006A3DBC" w:rsidP="006A3DBC">
      <w:pPr>
        <w:pStyle w:val="Prrafodelista"/>
        <w:spacing w:after="0" w:line="240" w:lineRule="auto"/>
        <w:ind w:left="0"/>
        <w:jc w:val="both"/>
        <w:rPr>
          <w:rFonts w:cs="Arial"/>
        </w:rPr>
      </w:pPr>
    </w:p>
    <w:p w14:paraId="3F4A20CA" w14:textId="77777777" w:rsidR="006A3DBC" w:rsidRPr="00FA4B2D" w:rsidRDefault="006A3DBC" w:rsidP="006A3DBC">
      <w:pPr>
        <w:pStyle w:val="Prrafodelista"/>
        <w:spacing w:after="0" w:line="240" w:lineRule="auto"/>
        <w:ind w:left="0"/>
        <w:jc w:val="both"/>
        <w:rPr>
          <w:rFonts w:cs="Arial"/>
        </w:rPr>
      </w:pPr>
      <w:r w:rsidRPr="00FA4B2D">
        <w:rPr>
          <w:rFonts w:cs="Arial"/>
        </w:rPr>
        <w:t>La zona está dedicada fuertemente a la agroindustria, y no produce alimentos básicos suficientes para la población. La fuente de alimentos casi exclusiva para todos los grupos es la compra, favorecidos por una red vial en buenas condiciones que facilita el comercio. El mercado más importante de la zona se ubica en San Pedro Sula, que es considerado el principal centro de mayoreo de esta región y el segundo del país.</w:t>
      </w:r>
    </w:p>
    <w:p w14:paraId="19D8B256" w14:textId="77777777" w:rsidR="006A3DBC" w:rsidRPr="00FA4B2D" w:rsidRDefault="006A3DBC" w:rsidP="006A3DBC">
      <w:pPr>
        <w:pStyle w:val="Prrafodelista"/>
        <w:spacing w:after="0" w:line="240" w:lineRule="auto"/>
        <w:ind w:left="0"/>
        <w:jc w:val="both"/>
        <w:rPr>
          <w:rFonts w:cs="Arial"/>
        </w:rPr>
      </w:pPr>
    </w:p>
    <w:p w14:paraId="293E55A0" w14:textId="77777777" w:rsidR="006A3DBC" w:rsidRPr="00FA4B2D" w:rsidRDefault="006A3DBC" w:rsidP="006A3DBC">
      <w:pPr>
        <w:pStyle w:val="Prrafodelista"/>
        <w:spacing w:after="0" w:line="240" w:lineRule="auto"/>
        <w:ind w:left="0"/>
        <w:jc w:val="both"/>
        <w:rPr>
          <w:rFonts w:cs="Arial"/>
        </w:rPr>
      </w:pPr>
      <w:r w:rsidRPr="00FA4B2D">
        <w:rPr>
          <w:rFonts w:cs="Arial"/>
        </w:rPr>
        <w:t xml:space="preserve">Aunque la demanda de mano de obra no calificada es relativamente alta comparada con otras zonas, todos los días más habitantes se trasladan a la zona en busca de </w:t>
      </w:r>
      <w:r w:rsidRPr="00FA4B2D">
        <w:rPr>
          <w:rFonts w:cs="Arial"/>
        </w:rPr>
        <w:lastRenderedPageBreak/>
        <w:t>trabajo. Además, como la densidad poblacional es cada vez mayor, la demanda por servicios básicos aumenta también. La principal amenaza en la zona son las inundaciones que afectan la agroindustria y la demanda de mano de obra y, por tanto, causa que la población migre dentro o fuera de la zona en búsqueda de oportunidades de trabajo. Aunque la delincuencia contra individuos no es necesariamente una preocupación para la seguridad alimentaria, el aumento de la extorción contra las empresas, aún las maquilas, podría resultar en el cierre por días o inclusive permanente.</w:t>
      </w:r>
    </w:p>
    <w:p w14:paraId="5767A06F" w14:textId="77777777" w:rsidR="006A3DBC" w:rsidRPr="00FA4B2D" w:rsidRDefault="006A3DBC" w:rsidP="006A3DBC">
      <w:pPr>
        <w:pStyle w:val="Prrafodelista"/>
        <w:spacing w:after="0" w:line="240" w:lineRule="auto"/>
        <w:ind w:left="0"/>
        <w:jc w:val="both"/>
        <w:rPr>
          <w:rFonts w:cs="Arial"/>
        </w:rPr>
      </w:pPr>
    </w:p>
    <w:p w14:paraId="3D829CD7" w14:textId="77777777" w:rsidR="006A3DBC" w:rsidRPr="00FA4B2D" w:rsidRDefault="006A3DBC" w:rsidP="006A3DBC">
      <w:pPr>
        <w:pStyle w:val="Prrafodelista"/>
        <w:numPr>
          <w:ilvl w:val="0"/>
          <w:numId w:val="3"/>
        </w:numPr>
        <w:spacing w:after="0" w:line="240" w:lineRule="auto"/>
        <w:ind w:left="0" w:firstLine="0"/>
        <w:jc w:val="both"/>
        <w:rPr>
          <w:rFonts w:cs="Arial"/>
          <w:b/>
        </w:rPr>
      </w:pPr>
      <w:r w:rsidRPr="00FA4B2D">
        <w:rPr>
          <w:rFonts w:cs="Arial"/>
          <w:b/>
        </w:rPr>
        <w:t>Zona 4: Esta zona localizada contigua a la Reserva del río Plátano:</w:t>
      </w:r>
    </w:p>
    <w:p w14:paraId="56C7A7C4" w14:textId="77777777" w:rsidR="006A3DBC" w:rsidRPr="00FA4B2D" w:rsidRDefault="006A3DBC" w:rsidP="006A3DBC">
      <w:pPr>
        <w:pStyle w:val="Prrafodelista"/>
        <w:spacing w:after="0" w:line="240" w:lineRule="auto"/>
        <w:ind w:left="0"/>
        <w:jc w:val="both"/>
        <w:rPr>
          <w:rFonts w:cs="Arial"/>
        </w:rPr>
      </w:pPr>
      <w:r w:rsidRPr="00FA4B2D">
        <w:rPr>
          <w:rFonts w:cs="Arial"/>
        </w:rPr>
        <w:t xml:space="preserve">Esta zona localizada contigua a la Reserva del río Plátano, en el nororiente del país, ubicada sobre una franja costera en el Atlántico, fronteriza con Nicaragua. Forma parte de la selva lluviosa tropical de la Mosquita. El medio de transporte principal dentro de la zona es a través de vías pluviales, de los ríos Patuca, El Coco y Segovia y por vía marítima en embarcaciones que viajan diariamente desde La Ceiba y Trujillo. También hay acceso aéreo. Es una zona con baja densidad poblacional, donde predominan las comunidades indígenas Misquitas. </w:t>
      </w:r>
    </w:p>
    <w:p w14:paraId="447BE4DE" w14:textId="77777777" w:rsidR="006A3DBC" w:rsidRPr="00FA4B2D" w:rsidRDefault="006A3DBC" w:rsidP="006A3DBC">
      <w:pPr>
        <w:pStyle w:val="Prrafodelista"/>
        <w:spacing w:after="0" w:line="240" w:lineRule="auto"/>
        <w:ind w:left="0"/>
        <w:jc w:val="both"/>
        <w:rPr>
          <w:rFonts w:cs="Arial"/>
        </w:rPr>
      </w:pPr>
    </w:p>
    <w:p w14:paraId="6007EA3E" w14:textId="77777777" w:rsidR="006A3DBC" w:rsidRPr="00FA4B2D" w:rsidRDefault="006A3DBC" w:rsidP="006A3DBC">
      <w:pPr>
        <w:pStyle w:val="Prrafodelista"/>
        <w:numPr>
          <w:ilvl w:val="0"/>
          <w:numId w:val="3"/>
        </w:numPr>
        <w:spacing w:after="0" w:line="240" w:lineRule="auto"/>
        <w:ind w:left="0" w:firstLine="0"/>
        <w:jc w:val="both"/>
        <w:rPr>
          <w:rFonts w:cs="Arial"/>
        </w:rPr>
      </w:pPr>
      <w:r w:rsidRPr="00FA4B2D">
        <w:rPr>
          <w:rFonts w:cs="Arial"/>
          <w:b/>
        </w:rPr>
        <w:t>Zona 5</w:t>
      </w:r>
      <w:r w:rsidRPr="00FA4B2D">
        <w:rPr>
          <w:rFonts w:cs="Arial"/>
        </w:rPr>
        <w:t xml:space="preserve">: </w:t>
      </w:r>
      <w:r w:rsidRPr="00FA4B2D">
        <w:rPr>
          <w:rFonts w:cs="Arial"/>
          <w:b/>
        </w:rPr>
        <w:t>La Zona Montañosa de Café</w:t>
      </w:r>
    </w:p>
    <w:p w14:paraId="2AB2454F" w14:textId="77777777" w:rsidR="006A3DBC" w:rsidRPr="00FA4B2D" w:rsidRDefault="006A3DBC" w:rsidP="006A3DBC">
      <w:pPr>
        <w:pStyle w:val="Prrafodelista"/>
        <w:spacing w:after="0" w:line="240" w:lineRule="auto"/>
        <w:ind w:left="0"/>
        <w:jc w:val="both"/>
        <w:rPr>
          <w:rFonts w:cs="Arial"/>
        </w:rPr>
      </w:pPr>
      <w:r w:rsidRPr="00FA4B2D">
        <w:rPr>
          <w:rFonts w:cs="Arial"/>
        </w:rPr>
        <w:t>La Zona Montañosa de Café se extiende a lo largo del centro del país desde el extremo occidental hasta el oriental. Las tierras cafetaleras se encuentran en zonas de captación de cuencas hidrográficas y ríos localizados a altitudes comprendidas entre los 400 a 1.500 msnm. La vegetación nativa incluye bosques de hoja ancha y algunas zonas de coníferas maderables. Los recursos hídricos son abundantes. La densidad poblacional es de 75 habitantes por km2. Aunque la producción de hortalizas también es importante en el departamento de Comayagua, y en algunos municipios de La Paz, el principal medio de vida en la zona son las actividades conexas a la caficultura. Las principales áreas de producción cafetalera se encuentran en los departamentos de El Paraíso, Santa Bárbara, Olancho solamente el municipio del Campamento, Copán, Comayagua, La Paz, Intibucá, Francisco Morazán, Ocotepeque. Los principales mercados cafetaleros incluyen: Danlí, El Paraíso, Comayagua, San Pedro Sula, Santa Bárbara, Lempira y Copán. Se involucran más de 100.000 productores y los principales determinantes del nivel de riqueza en la zona son el tamaño de la finca de café y el acceso a tecnología para la producción y procesamiento del café. Pequeños productores son propietarios de &lt;5 ha de plantación de café y tienden a vender café cereza, el grano seco o verde a través de intermediarios. Medianos y grandes productores pueden vender el grano verde a través de cooperativas o en algunos casos directamente a exportadores.  Las principales amenazas en la zona son la irregularidad de las lluvias que afecta las cosechas del café y de los granos básicos y os niveles altos o bajos del precio al productor del café (que está relacionados a los precios internacionales).</w:t>
      </w:r>
    </w:p>
    <w:p w14:paraId="1419BA0C" w14:textId="77777777" w:rsidR="006A3DBC" w:rsidRPr="00FA4B2D" w:rsidRDefault="006A3DBC" w:rsidP="006A3DBC">
      <w:pPr>
        <w:spacing w:after="0" w:line="240" w:lineRule="auto"/>
        <w:jc w:val="both"/>
        <w:rPr>
          <w:rFonts w:cs="Arial"/>
        </w:rPr>
      </w:pPr>
    </w:p>
    <w:p w14:paraId="3A0329BD" w14:textId="77777777" w:rsidR="006A3DBC" w:rsidRPr="00FA4B2D" w:rsidRDefault="006A3DBC" w:rsidP="006A3DBC">
      <w:pPr>
        <w:pStyle w:val="Prrafodelista"/>
        <w:numPr>
          <w:ilvl w:val="0"/>
          <w:numId w:val="3"/>
        </w:numPr>
        <w:spacing w:after="0" w:line="240" w:lineRule="auto"/>
        <w:ind w:left="0" w:firstLine="0"/>
        <w:jc w:val="both"/>
        <w:rPr>
          <w:rFonts w:cs="Arial"/>
          <w:b/>
        </w:rPr>
      </w:pPr>
      <w:r w:rsidRPr="00FA4B2D">
        <w:rPr>
          <w:rFonts w:cs="Arial"/>
          <w:b/>
        </w:rPr>
        <w:t>Zona 6: La Zona Pesquera y Salinera del Golfo de Fonsec</w:t>
      </w:r>
      <w:r w:rsidRPr="00FA4B2D">
        <w:rPr>
          <w:rFonts w:cs="Arial"/>
        </w:rPr>
        <w:t>a</w:t>
      </w:r>
    </w:p>
    <w:p w14:paraId="26650729" w14:textId="77777777" w:rsidR="006A3DBC" w:rsidRPr="00FA4B2D" w:rsidRDefault="006A3DBC" w:rsidP="006A3DBC">
      <w:pPr>
        <w:pStyle w:val="Prrafodelista"/>
        <w:spacing w:after="0" w:line="240" w:lineRule="auto"/>
        <w:ind w:left="0"/>
        <w:jc w:val="both"/>
        <w:rPr>
          <w:rFonts w:cs="Arial"/>
        </w:rPr>
      </w:pPr>
      <w:r w:rsidRPr="00FA4B2D">
        <w:rPr>
          <w:rFonts w:cs="Arial"/>
        </w:rPr>
        <w:t xml:space="preserve">La Zona Pesquera y Salinera del Golfo de Fonseca es una zona de bajas planicies (&lt;400msnl), manglares, e islas volcánicas que se encuentra en la costa sur del Océano Pacífico. Se caracteriza por una amplia diversidad de especies, tales como </w:t>
      </w:r>
      <w:r w:rsidRPr="00FA4B2D">
        <w:rPr>
          <w:rFonts w:cs="Arial"/>
        </w:rPr>
        <w:lastRenderedPageBreak/>
        <w:t>aves, reptiles, crustáceos y bivalvos. En estas costas desembocan cinco ríos importantes: el río Guascorán, el río Nacaome, el río Choluteca, el río Sampile y el río Negro.</w:t>
      </w:r>
    </w:p>
    <w:p w14:paraId="0CD07F06" w14:textId="77777777" w:rsidR="006A3DBC" w:rsidRPr="00FA4B2D" w:rsidRDefault="006A3DBC" w:rsidP="006A3DBC">
      <w:pPr>
        <w:pStyle w:val="Prrafodelista"/>
        <w:spacing w:after="0" w:line="240" w:lineRule="auto"/>
        <w:ind w:left="0"/>
        <w:jc w:val="both"/>
        <w:rPr>
          <w:rFonts w:cs="Arial"/>
        </w:rPr>
      </w:pPr>
    </w:p>
    <w:p w14:paraId="35A5B577" w14:textId="77777777" w:rsidR="006A3DBC" w:rsidRPr="00FA4B2D" w:rsidRDefault="006A3DBC" w:rsidP="006A3DBC">
      <w:pPr>
        <w:pStyle w:val="Prrafodelista"/>
        <w:spacing w:after="0" w:line="240" w:lineRule="auto"/>
        <w:ind w:left="0"/>
        <w:jc w:val="both"/>
        <w:rPr>
          <w:rFonts w:cs="Arial"/>
        </w:rPr>
      </w:pPr>
      <w:r w:rsidRPr="00FA4B2D">
        <w:rPr>
          <w:rFonts w:cs="Arial"/>
        </w:rPr>
        <w:t>La densidad poblacional es de 38 habitantes por km2, con mayor concentración poblacional en las ciudades de Cedeño, Guapinol, Punta Ratón, Costa de Los Amates, San Lorenzo, Los Prados y Amapala. La actividad económica de la zona es la pesca y recolección de moluscos (pescado - corvina, róbalo, pargo, moluscos - babosa lisa, morena/utsubo, mero, curiles, cangrejos y camarones).  También es una zona productora de sal marina, lo cual representa ingresos y generación de empleos, principalmente en el verano.</w:t>
      </w:r>
    </w:p>
    <w:p w14:paraId="312F571F" w14:textId="77777777" w:rsidR="006A3DBC" w:rsidRPr="00FA4B2D" w:rsidRDefault="006A3DBC" w:rsidP="006A3DBC">
      <w:pPr>
        <w:pStyle w:val="Prrafodelista"/>
        <w:spacing w:after="0" w:line="240" w:lineRule="auto"/>
        <w:ind w:left="0"/>
        <w:jc w:val="both"/>
        <w:rPr>
          <w:rFonts w:cs="Arial"/>
        </w:rPr>
      </w:pPr>
    </w:p>
    <w:p w14:paraId="002DFF48" w14:textId="77777777" w:rsidR="006A3DBC" w:rsidRPr="00FA4B2D" w:rsidRDefault="006A3DBC" w:rsidP="006A3DBC">
      <w:pPr>
        <w:pStyle w:val="Prrafodelista"/>
        <w:spacing w:after="0" w:line="240" w:lineRule="auto"/>
        <w:ind w:left="0"/>
        <w:jc w:val="both"/>
        <w:rPr>
          <w:rFonts w:cs="Arial"/>
        </w:rPr>
      </w:pPr>
      <w:r w:rsidRPr="00FA4B2D">
        <w:rPr>
          <w:rFonts w:cs="Arial"/>
        </w:rPr>
        <w:t>Los hogares pobres están principalmente involucrados en la zona es la pesca artesanal de bivalvos, crustáceos y pescado. Algunos hogares pobres se dedican también a la producción de sal que comprende los meses de la época seca de diciembre a abril. Casi la totalidad de los mariscos y pescado de la zona son vendidos a un intermediario y éste los traslada a los mercados nacionales de Choluteca, San Lorenzo, Tegucigalpa, San Pedro, Siguatepeque y La Ceiba. Una porción se envía a los mercados salvadoreños y mexicanos que llegan a comprar hasta los centros de acopio. El resto se deja para abastecer el comercio local y turismo.</w:t>
      </w:r>
    </w:p>
    <w:p w14:paraId="7FA7176A" w14:textId="77777777" w:rsidR="006A3DBC" w:rsidRPr="00FA4B2D" w:rsidRDefault="006A3DBC" w:rsidP="006A3DBC">
      <w:pPr>
        <w:pStyle w:val="Prrafodelista"/>
        <w:spacing w:after="0" w:line="240" w:lineRule="auto"/>
        <w:ind w:left="0"/>
        <w:jc w:val="both"/>
        <w:rPr>
          <w:rFonts w:cs="Arial"/>
        </w:rPr>
      </w:pPr>
    </w:p>
    <w:p w14:paraId="7A2DF3FA" w14:textId="77777777" w:rsidR="006A3DBC" w:rsidRPr="00FA4B2D" w:rsidRDefault="006A3DBC" w:rsidP="006A3DBC">
      <w:pPr>
        <w:pStyle w:val="Prrafodelista"/>
        <w:numPr>
          <w:ilvl w:val="0"/>
          <w:numId w:val="3"/>
        </w:numPr>
        <w:spacing w:after="0" w:line="240" w:lineRule="auto"/>
        <w:ind w:left="0" w:firstLine="0"/>
        <w:jc w:val="both"/>
        <w:rPr>
          <w:rFonts w:cs="Arial"/>
          <w:b/>
        </w:rPr>
      </w:pPr>
      <w:r w:rsidRPr="00FA4B2D">
        <w:rPr>
          <w:rFonts w:cs="Arial"/>
          <w:b/>
        </w:rPr>
        <w:t>Zona 7: La zona de Granos Básicos de Subsistencia y Remesas</w:t>
      </w:r>
    </w:p>
    <w:p w14:paraId="4FF5ACDD" w14:textId="77777777" w:rsidR="006A3DBC" w:rsidRPr="00FA4B2D" w:rsidRDefault="006A3DBC" w:rsidP="006A3DBC">
      <w:pPr>
        <w:pStyle w:val="Prrafodelista"/>
        <w:spacing w:after="0" w:line="240" w:lineRule="auto"/>
        <w:ind w:left="0"/>
        <w:jc w:val="both"/>
        <w:rPr>
          <w:rFonts w:cs="Arial"/>
        </w:rPr>
      </w:pPr>
      <w:r w:rsidRPr="00FA4B2D">
        <w:rPr>
          <w:rFonts w:cs="Arial"/>
        </w:rPr>
        <w:t>La zona de Granos Básicos de Subsistencia y Remesas está concentrada principalmente en el suroccidente de Honduras y forma parte del corredor seco que inicia en Guatemala hasta el norte de Nicaragua. Los suelos son poco profundos, erosionados y degradados. El promedio de precipitación está entre 800 a 1.200 mm anuales entre mayo y octubre (canícula en julio/agosto), con más de seis meses secos entre noviembre y abril. La temperatura oscila entre 18°C a 30°C. La vegetación incluye arbustos, sabana de graminoides con arbustos deciduos, bosques deciduos con muchas especies de hojas compuestas microfoliadas. La densidad poblacional en la zona es de 70 habitantes por km2. Los medios de vida de la zona están vinculados a la agricultura de granos básicos de subsistencia (maíz, frijol y maicillo) y a la producción pecuaria de especies menores en pequeña escala. Gran parte de los hogares se dedican a cultivos de secano (dependen de las lluvias), usando métodos manuales. Los ingresos adicionales provienen de las remesas de migrantes. El acceso a remesas de la América del Norte, en lugar de otros países de Centroamérica, diferencia los grupos socioeconómicos de la zona, pues son los hogares medios y acomodados principalmente los que se benefician de este ingreso.</w:t>
      </w:r>
    </w:p>
    <w:p w14:paraId="1EF57B9F" w14:textId="77777777" w:rsidR="006A3DBC" w:rsidRPr="00FA4B2D" w:rsidRDefault="006A3DBC" w:rsidP="006A3DBC">
      <w:pPr>
        <w:spacing w:after="0" w:line="240" w:lineRule="auto"/>
        <w:jc w:val="both"/>
        <w:rPr>
          <w:rFonts w:cs="Arial"/>
        </w:rPr>
      </w:pPr>
    </w:p>
    <w:p w14:paraId="4A94345D" w14:textId="77777777" w:rsidR="006A3DBC" w:rsidRPr="00FA4B2D" w:rsidRDefault="006A3DBC" w:rsidP="006A3DBC">
      <w:pPr>
        <w:pStyle w:val="Prrafodelista"/>
        <w:spacing w:after="0" w:line="240" w:lineRule="auto"/>
        <w:ind w:left="0"/>
        <w:jc w:val="both"/>
        <w:rPr>
          <w:rFonts w:cs="Arial"/>
        </w:rPr>
      </w:pPr>
      <w:r w:rsidRPr="00FA4B2D">
        <w:rPr>
          <w:rFonts w:cs="Arial"/>
        </w:rPr>
        <w:t>Esta zona es considerada una de las más pobres del país y una de las más vulnerables a la inseguridad alimentaria, debido a que mientras los medios de vida son dependientes de la agricultura con pocas opciones de adaptación se encuentra en una zona con sequía frecuente. Cambios en la macroeconomía o en las políticas de inmigración en los Estados Unidos podrían tener un efecto significativo sobre los ingresos en la zona directa e indirectamente sobre la demanda de mano de obra no calificada.</w:t>
      </w:r>
    </w:p>
    <w:p w14:paraId="32A9B711" w14:textId="77777777" w:rsidR="006A3DBC" w:rsidRPr="00FA4B2D" w:rsidRDefault="006A3DBC" w:rsidP="006A3DBC">
      <w:pPr>
        <w:pStyle w:val="Prrafodelista"/>
        <w:spacing w:after="0" w:line="240" w:lineRule="auto"/>
        <w:ind w:left="0"/>
        <w:jc w:val="both"/>
        <w:rPr>
          <w:rFonts w:cs="Arial"/>
        </w:rPr>
      </w:pPr>
    </w:p>
    <w:p w14:paraId="33E0D481" w14:textId="77777777" w:rsidR="006A3DBC" w:rsidRPr="00FA4B2D" w:rsidRDefault="006A3DBC" w:rsidP="006A3DBC">
      <w:pPr>
        <w:pStyle w:val="Prrafodelista"/>
        <w:numPr>
          <w:ilvl w:val="0"/>
          <w:numId w:val="3"/>
        </w:numPr>
        <w:spacing w:after="0" w:line="240" w:lineRule="auto"/>
        <w:ind w:left="0" w:firstLine="0"/>
        <w:jc w:val="both"/>
        <w:rPr>
          <w:rFonts w:cs="Arial"/>
        </w:rPr>
      </w:pPr>
      <w:r w:rsidRPr="00FA4B2D">
        <w:rPr>
          <w:rFonts w:cs="Arial"/>
          <w:b/>
        </w:rPr>
        <w:lastRenderedPageBreak/>
        <w:t>Zona 8</w:t>
      </w:r>
      <w:r w:rsidRPr="00FA4B2D">
        <w:rPr>
          <w:rFonts w:cs="Arial"/>
        </w:rPr>
        <w:t xml:space="preserve">: </w:t>
      </w:r>
      <w:r w:rsidRPr="00FA4B2D">
        <w:rPr>
          <w:rFonts w:cs="Arial"/>
          <w:b/>
        </w:rPr>
        <w:t>Esta zona está localizada en el Sur de Honduras</w:t>
      </w:r>
      <w:r w:rsidRPr="00FA4B2D">
        <w:rPr>
          <w:rFonts w:cs="Arial"/>
        </w:rPr>
        <w:t xml:space="preserve"> </w:t>
      </w:r>
    </w:p>
    <w:p w14:paraId="53451DB9" w14:textId="2CC557D0" w:rsidR="006A3DBC" w:rsidRPr="00FA4B2D" w:rsidRDefault="3A7FC69B" w:rsidP="006A3DBC">
      <w:pPr>
        <w:pStyle w:val="Prrafodelista"/>
        <w:spacing w:after="0" w:line="240" w:lineRule="auto"/>
        <w:ind w:left="0"/>
        <w:jc w:val="both"/>
        <w:rPr>
          <w:rFonts w:cs="Arial"/>
        </w:rPr>
      </w:pPr>
      <w:r w:rsidRPr="00FA4B2D">
        <w:rPr>
          <w:rFonts w:cs="Arial"/>
        </w:rPr>
        <w:t xml:space="preserve">Esta zona está localizada en el Sur de Honduras, y limita con Nicaragua y El Salvador. Se separa del Mar Pacífico al oeste por la zona 6. La topografía y la calidad del suelo varían. Existen tierras planas y </w:t>
      </w:r>
      <w:r w:rsidR="2DB3A4B1" w:rsidRPr="00FA4B2D">
        <w:rPr>
          <w:rFonts w:cs="Arial"/>
        </w:rPr>
        <w:t xml:space="preserve">laderas </w:t>
      </w:r>
      <w:r w:rsidRPr="00FA4B2D">
        <w:rPr>
          <w:rFonts w:cs="Arial"/>
        </w:rPr>
        <w:t>con suelos de tipo rocoso, arenosos, arcillosos y de origen volcánico. El promedio de precipitación anual es de 1.800 mm, que cae principalmente entre mayo y octubre. Existe una disminución de los acumulados de lluvia (canícula) entre julio y agosto. Este clima ayuda al crecimiento de pastizales, matorrales, bosques mixtos, bosques latifoliados y bosques de pino. La densidad poblacional de esta zona es de 64 a 100 habitantes por km2; sin embargo, en el centro de Choluteca la densidad poblacional oscila entre las 100 a 163 habitantes por km2. Esta zona es bastante similar a la zona Pesquera y Salinera del Golfo de Fonseca (zona 6) al sur, con respecto a su alta dependencia sobre el mercado para acceso a los alimentos y, al menos entre los pobres, sobre la venta de mano de obra para generar ingresos. Sin embargo, la agricultura, incluyendo las pequeñas cantidades de producción de maíz y frijol para subsistencia reemplaza a la pesca como la principal actividad de medios de vida en la zona.</w:t>
      </w:r>
    </w:p>
    <w:p w14:paraId="1D921947" w14:textId="77777777" w:rsidR="006A3DBC" w:rsidRPr="00FA4B2D" w:rsidRDefault="006A3DBC" w:rsidP="006A3DBC">
      <w:pPr>
        <w:pStyle w:val="Prrafodelista"/>
        <w:spacing w:after="0" w:line="240" w:lineRule="auto"/>
        <w:ind w:left="0"/>
        <w:jc w:val="both"/>
        <w:rPr>
          <w:rFonts w:cs="Arial"/>
        </w:rPr>
      </w:pPr>
    </w:p>
    <w:p w14:paraId="08E06ED2" w14:textId="29C696E3" w:rsidR="006A3DBC" w:rsidRPr="00FA4B2D" w:rsidRDefault="006A3DBC" w:rsidP="006A3DBC">
      <w:pPr>
        <w:pStyle w:val="Prrafodelista"/>
        <w:spacing w:after="0" w:line="240" w:lineRule="auto"/>
        <w:ind w:left="0"/>
        <w:jc w:val="both"/>
        <w:rPr>
          <w:rFonts w:cs="Arial"/>
        </w:rPr>
      </w:pPr>
      <w:r w:rsidRPr="00FA4B2D">
        <w:rPr>
          <w:rFonts w:cs="Arial"/>
        </w:rPr>
        <w:t>Los alimentos de consumo básico a nivel local son suministrados por los mercados municipales de Monjar</w:t>
      </w:r>
      <w:r w:rsidR="00EE3569" w:rsidRPr="00FA4B2D">
        <w:rPr>
          <w:rFonts w:cs="Arial"/>
        </w:rPr>
        <w:t>á</w:t>
      </w:r>
      <w:r w:rsidRPr="00FA4B2D">
        <w:rPr>
          <w:rFonts w:cs="Arial"/>
        </w:rPr>
        <w:t>s, Choluteca, San Lorenzo y Nacaome. El comercio a mayor escala se hace a través de intermediarios en Tegucigalpa, San Pedro, Siguatepeque y La Ceiba. Las amenazas más importantes en la zona son la sequía, la irregularidad en la canícula, y las inundaciones (usualmente asociadas con los huracanes o el fenómeno del Niño), debido a su impacto significante en los cultivos, las granjas de camarón y la demanda de mano de obra para la agricultura. Los hogares pobres tienden a hacer frente a las amenazas migrando a otras zonas en búsqueda de oportunidades de empleo y/o intensificando la recolección y venta de leña.</w:t>
      </w:r>
    </w:p>
    <w:p w14:paraId="25082058" w14:textId="77777777" w:rsidR="006A3DBC" w:rsidRPr="00FA4B2D" w:rsidRDefault="006A3DBC" w:rsidP="006A3DBC">
      <w:pPr>
        <w:pStyle w:val="Prrafodelista"/>
        <w:spacing w:after="0" w:line="240" w:lineRule="auto"/>
        <w:ind w:left="0"/>
        <w:jc w:val="both"/>
        <w:rPr>
          <w:rFonts w:cs="Arial"/>
        </w:rPr>
      </w:pPr>
    </w:p>
    <w:p w14:paraId="4026E7D8" w14:textId="77777777" w:rsidR="006A3DBC" w:rsidRPr="00FA4B2D" w:rsidRDefault="006A3DBC" w:rsidP="006A3DBC">
      <w:pPr>
        <w:pStyle w:val="Prrafodelista"/>
        <w:numPr>
          <w:ilvl w:val="0"/>
          <w:numId w:val="3"/>
        </w:numPr>
        <w:spacing w:after="0" w:line="240" w:lineRule="auto"/>
        <w:ind w:left="0" w:firstLine="0"/>
        <w:jc w:val="both"/>
        <w:rPr>
          <w:rFonts w:cs="Arial"/>
          <w:b/>
        </w:rPr>
      </w:pPr>
      <w:r w:rsidRPr="00FA4B2D">
        <w:rPr>
          <w:rFonts w:cs="Arial"/>
          <w:b/>
        </w:rPr>
        <w:t>Zona 9: La Zona de Granos Básicos y Ganadería del centro-oriente del país</w:t>
      </w:r>
    </w:p>
    <w:p w14:paraId="2F991094" w14:textId="77777777" w:rsidR="006A3DBC" w:rsidRPr="00FA4B2D" w:rsidRDefault="006A3DBC" w:rsidP="006A3DBC">
      <w:pPr>
        <w:pStyle w:val="Prrafodelista"/>
        <w:spacing w:after="0" w:line="240" w:lineRule="auto"/>
        <w:ind w:left="0"/>
        <w:jc w:val="both"/>
        <w:rPr>
          <w:rFonts w:cs="Arial"/>
        </w:rPr>
      </w:pPr>
      <w:r w:rsidRPr="00FA4B2D">
        <w:rPr>
          <w:rFonts w:cs="Arial"/>
        </w:rPr>
        <w:t>La Zona de Granos Básicos y Ganadería del centro-oriente del país se caracteriza por ser una zona de producción excedentaria de maíz y frijol rojo y por la creciente ganadería. También extrae madera y minerales (óxido de hierro) en las partes del centro. Es una zona de extensos valles en la parte central y algunas planicies diseminadas en toda la zona y flanqueadas por zonas montañosas. Estas condiciones favorecen la vegetación de bosque de coníferas, en menor escala el latifoliados, con grandes pastizales en zona del valle. La densidad poblacional en la va de 50 a 85 habitantes por km2. Valle y Yoro son las zonas con mayor densidad. Los medios de vida se basan en la producción de secano y venta de maíz y frijol rojo. En menor escala se dedican al cultivo de hortalizas como tomate, pepino, cebolla y chile. Predomina el manejo tradicional de los cultivos en la zona de laderas. Otros productores ubicados en zonas más planas utilizan maquinaria para la preparación del suelo y siembran con bueyes. En los grandes valles predomina la mecanización de los cultivos.</w:t>
      </w:r>
    </w:p>
    <w:p w14:paraId="1E1DBFB4" w14:textId="77777777" w:rsidR="006A3DBC" w:rsidRPr="00FA4B2D" w:rsidRDefault="006A3DBC" w:rsidP="006A3DBC">
      <w:pPr>
        <w:pStyle w:val="Prrafodelista"/>
        <w:spacing w:after="0" w:line="240" w:lineRule="auto"/>
        <w:ind w:left="0"/>
        <w:jc w:val="both"/>
        <w:rPr>
          <w:rFonts w:cs="Arial"/>
        </w:rPr>
      </w:pPr>
    </w:p>
    <w:p w14:paraId="7650303B" w14:textId="77777777" w:rsidR="006A3DBC" w:rsidRPr="00FA4B2D" w:rsidRDefault="006A3DBC" w:rsidP="006A3DBC">
      <w:pPr>
        <w:pStyle w:val="Prrafodelista"/>
        <w:spacing w:after="0" w:line="240" w:lineRule="auto"/>
        <w:ind w:left="0"/>
        <w:jc w:val="both"/>
        <w:rPr>
          <w:rFonts w:cs="Arial"/>
        </w:rPr>
      </w:pPr>
      <w:r w:rsidRPr="00FA4B2D">
        <w:rPr>
          <w:rFonts w:cs="Arial"/>
        </w:rPr>
        <w:t xml:space="preserve">La ganadería extensiva para la producción de carne también es una actividad importante, así como la producción de lácteos en el valle Guayape con una cresta en la producción de leche entre junio y enero. La ganadería intensiva mecanizada </w:t>
      </w:r>
      <w:r w:rsidRPr="00FA4B2D">
        <w:rPr>
          <w:rFonts w:cs="Arial"/>
        </w:rPr>
        <w:lastRenderedPageBreak/>
        <w:t>para lácteos es de menor escala. Los grupos socioeconómicos más pobres de la zona se destacan por el consumo de la producción propia entre seis meses del año, el doble de la duración de reservas de los hogares pobres en la mayoría de las otras zonas. Además, la venta de cultivos es más importante entre los pobres de esta zona que en otras zonas. La venta de mano de obra agrícola es todavía importante como fuente de ingresos entre los pobres. Los hogares medios se dedican más a la producción y venta de granos básicos. Además, los medios de vida son relativamente más diversificados por el comercio formal, y algunos hogares tienen miembros asalariados. Los acomodados producen y comercializan en mayor escala granos básicos y se dedican a la ganadería de doble propósito. La venta de granos básicos y lácteos en mayor escala se realiza en los mercados de Tegucigalpa y San Pedro Sula. Los mercados intermediarios son Catacamas, Juticalpa, Danlí, El Paraíso, Yoro, Talanga, Nacaome y Choluteca. La distancia de las aldeas rurales a estos oscila entre los rangos de 30 a 60 km. Los precios bajos al momento de la cosecha pueden ser una amenaza a la seguridad alimentaria de los hogares pobres, particularmente cuando el almacenamiento a nivel del hogar sea limitado.</w:t>
      </w:r>
    </w:p>
    <w:p w14:paraId="7D575173" w14:textId="77777777" w:rsidR="006A3DBC" w:rsidRPr="00FA4B2D" w:rsidRDefault="006A3DBC" w:rsidP="006A3DBC">
      <w:pPr>
        <w:pStyle w:val="Prrafodelista"/>
        <w:spacing w:after="0" w:line="240" w:lineRule="auto"/>
        <w:ind w:left="0"/>
        <w:jc w:val="both"/>
        <w:rPr>
          <w:rFonts w:cs="Arial"/>
        </w:rPr>
      </w:pPr>
    </w:p>
    <w:p w14:paraId="3EEA1259" w14:textId="77777777" w:rsidR="006A3DBC" w:rsidRPr="00EF7331" w:rsidRDefault="006A3DBC" w:rsidP="00411720">
      <w:pPr>
        <w:pStyle w:val="Ttulo2"/>
        <w:numPr>
          <w:ilvl w:val="2"/>
          <w:numId w:val="70"/>
        </w:numPr>
        <w:spacing w:before="0" w:line="240" w:lineRule="auto"/>
        <w:jc w:val="both"/>
        <w:rPr>
          <w:rFonts w:ascii="Arial" w:hAnsi="Arial" w:cs="Arial"/>
          <w:b/>
          <w:bCs/>
          <w:color w:val="767171" w:themeColor="background2" w:themeShade="80"/>
          <w:sz w:val="24"/>
          <w:szCs w:val="24"/>
        </w:rPr>
      </w:pPr>
      <w:bookmarkStart w:id="640" w:name="_Toc65884180"/>
      <w:bookmarkStart w:id="641" w:name="_Toc67573403"/>
      <w:bookmarkStart w:id="642" w:name="_Toc202456923"/>
      <w:r w:rsidRPr="00EF7331">
        <w:rPr>
          <w:rFonts w:ascii="Arial" w:hAnsi="Arial" w:cs="Arial"/>
          <w:b/>
          <w:bCs/>
          <w:color w:val="767171" w:themeColor="background2" w:themeShade="80"/>
          <w:sz w:val="24"/>
          <w:szCs w:val="24"/>
        </w:rPr>
        <w:t>Desarrollo humano</w:t>
      </w:r>
      <w:bookmarkEnd w:id="640"/>
      <w:bookmarkEnd w:id="641"/>
      <w:bookmarkEnd w:id="642"/>
    </w:p>
    <w:p w14:paraId="34CEB800" w14:textId="77777777" w:rsidR="006A3DBC" w:rsidRPr="00FA4B2D" w:rsidRDefault="006A3DBC" w:rsidP="006A3DBC">
      <w:pPr>
        <w:pStyle w:val="Prrafodelista"/>
        <w:spacing w:after="0" w:line="240" w:lineRule="auto"/>
        <w:ind w:left="0"/>
        <w:jc w:val="both"/>
        <w:rPr>
          <w:rFonts w:cs="Arial"/>
        </w:rPr>
      </w:pPr>
    </w:p>
    <w:p w14:paraId="79759F67" w14:textId="77777777" w:rsidR="006A3DBC" w:rsidRPr="00FA4B2D" w:rsidRDefault="006A3DBC" w:rsidP="006A3DBC">
      <w:pPr>
        <w:pStyle w:val="Prrafodelista"/>
        <w:spacing w:after="0" w:line="240" w:lineRule="auto"/>
        <w:ind w:left="0"/>
        <w:jc w:val="both"/>
        <w:rPr>
          <w:rFonts w:cs="Arial"/>
        </w:rPr>
      </w:pPr>
      <w:r w:rsidRPr="00FA4B2D">
        <w:rPr>
          <w:rFonts w:cs="Arial"/>
        </w:rPr>
        <w:t>El IDH es el instrumento que ha diseñado el Programa de las Naciones Unidas para el Desarrollo (PNUD) para medir la situación del desarrollo humano de las regiones, países o territorios dentro de los mismos países. Este índice fue diseñado como un índice simple, compuesto por indicadores robustos en tres dimensiones básicas del desarrollo humano: salud, educación e ingresos. Para cada una de las dimensiones, a partir de los indicadores correspondientes, se calculan índices cuyo valor va de cero hasta un máximo de uno.</w:t>
      </w:r>
    </w:p>
    <w:p w14:paraId="30713698" w14:textId="77777777" w:rsidR="006A3DBC" w:rsidRPr="00FA4B2D" w:rsidRDefault="006A3DBC" w:rsidP="006A3DBC">
      <w:pPr>
        <w:pStyle w:val="Prrafodelista"/>
        <w:spacing w:after="0" w:line="240" w:lineRule="auto"/>
        <w:ind w:left="0"/>
        <w:jc w:val="both"/>
        <w:rPr>
          <w:rFonts w:cs="Arial"/>
        </w:rPr>
      </w:pPr>
    </w:p>
    <w:p w14:paraId="02482895" w14:textId="77777777" w:rsidR="006A3DBC" w:rsidRPr="00FA4B2D" w:rsidRDefault="006A3DBC" w:rsidP="006A3DBC">
      <w:pPr>
        <w:pStyle w:val="Prrafodelista"/>
        <w:spacing w:after="0" w:line="240" w:lineRule="auto"/>
        <w:ind w:left="0"/>
        <w:jc w:val="both"/>
        <w:rPr>
          <w:rFonts w:cs="Arial"/>
        </w:rPr>
      </w:pPr>
      <w:r w:rsidRPr="00FA4B2D">
        <w:rPr>
          <w:rFonts w:cs="Arial"/>
        </w:rPr>
        <w:t>Entre el 2020 y 2022, el Índice de Desarrollo Humano (IDH) en Honduras se ha mantenido en 0,621, lo que supone una mejora respecto al año 2017 en el que se situó en 0,617.</w:t>
      </w:r>
    </w:p>
    <w:p w14:paraId="25499AEC" w14:textId="77777777" w:rsidR="006A3DBC" w:rsidRPr="00FA4B2D" w:rsidRDefault="006A3DBC" w:rsidP="006A3DBC">
      <w:pPr>
        <w:spacing w:after="0" w:line="240" w:lineRule="auto"/>
        <w:rPr>
          <w:rFonts w:cs="Arial"/>
        </w:rPr>
      </w:pPr>
    </w:p>
    <w:p w14:paraId="13C90B75" w14:textId="77777777" w:rsidR="006A3DBC" w:rsidRPr="00FA4B2D" w:rsidRDefault="006A3DBC" w:rsidP="006A3DBC">
      <w:pPr>
        <w:rPr>
          <w:rFonts w:cs="Arial"/>
          <w:b/>
          <w:bCs/>
        </w:rPr>
      </w:pPr>
      <w:bookmarkStart w:id="643" w:name="_Toc65884243"/>
      <w:bookmarkStart w:id="644" w:name="_Toc67573495"/>
      <w:r w:rsidRPr="00FA4B2D">
        <w:rPr>
          <w:rFonts w:cs="Arial"/>
          <w:b/>
          <w:bCs/>
          <w:i/>
          <w:iCs/>
        </w:rPr>
        <w:br w:type="page"/>
      </w:r>
    </w:p>
    <w:p w14:paraId="04C9912D" w14:textId="4EE834BB" w:rsidR="00EF7331" w:rsidRDefault="00EF7331" w:rsidP="00EF7331">
      <w:pPr>
        <w:pStyle w:val="Descripcin"/>
        <w:keepNext/>
        <w:jc w:val="center"/>
      </w:pPr>
      <w:bookmarkStart w:id="645" w:name="_Toc202455440"/>
      <w:bookmarkEnd w:id="643"/>
      <w:bookmarkEnd w:id="644"/>
      <w:r>
        <w:lastRenderedPageBreak/>
        <w:t xml:space="preserve">Tabla </w:t>
      </w:r>
      <w:r>
        <w:fldChar w:fldCharType="begin"/>
      </w:r>
      <w:r>
        <w:instrText xml:space="preserve"> SEQ Tabla \* ARABIC </w:instrText>
      </w:r>
      <w:r>
        <w:fldChar w:fldCharType="separate"/>
      </w:r>
      <w:r w:rsidR="000E6D86">
        <w:rPr>
          <w:noProof/>
        </w:rPr>
        <w:t>14</w:t>
      </w:r>
      <w:r>
        <w:fldChar w:fldCharType="end"/>
      </w:r>
      <w:r>
        <w:t xml:space="preserve">: </w:t>
      </w:r>
      <w:r w:rsidRPr="00FF1874">
        <w:t>Índice de Desarrollo Humano por Departamento. Honduras 2022</w:t>
      </w:r>
      <w:bookmarkEnd w:id="645"/>
    </w:p>
    <w:p w14:paraId="40569BFD" w14:textId="77777777" w:rsidR="006A3DBC" w:rsidRPr="00FA4B2D" w:rsidRDefault="006A3DBC" w:rsidP="006A3DBC">
      <w:pPr>
        <w:pStyle w:val="Prrafodelista"/>
        <w:spacing w:line="240" w:lineRule="auto"/>
        <w:ind w:left="708"/>
        <w:jc w:val="center"/>
        <w:rPr>
          <w:rFonts w:cs="Arial"/>
        </w:rPr>
      </w:pPr>
      <w:r w:rsidRPr="00FA4B2D">
        <w:rPr>
          <w:rFonts w:cs="Arial"/>
          <w:noProof/>
          <w:lang w:val="es-HN" w:eastAsia="es-HN"/>
        </w:rPr>
        <w:drawing>
          <wp:inline distT="0" distB="0" distL="0" distR="0" wp14:anchorId="56AFA889" wp14:editId="1B88D049">
            <wp:extent cx="3838441" cy="6088380"/>
            <wp:effectExtent l="0" t="0" r="0" b="7620"/>
            <wp:docPr id="18092562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256211" name=""/>
                    <pic:cNvPicPr/>
                  </pic:nvPicPr>
                  <pic:blipFill rotWithShape="1">
                    <a:blip r:embed="rId55"/>
                    <a:srcRect l="25187" t="24842" r="55417" b="20440"/>
                    <a:stretch/>
                  </pic:blipFill>
                  <pic:spPr bwMode="auto">
                    <a:xfrm>
                      <a:off x="0" y="0"/>
                      <a:ext cx="3844636" cy="6098206"/>
                    </a:xfrm>
                    <a:prstGeom prst="rect">
                      <a:avLst/>
                    </a:prstGeom>
                    <a:ln>
                      <a:noFill/>
                    </a:ln>
                    <a:extLst>
                      <a:ext uri="{53640926-AAD7-44D8-BBD7-CCE9431645EC}">
                        <a14:shadowObscured xmlns:a14="http://schemas.microsoft.com/office/drawing/2010/main"/>
                      </a:ext>
                    </a:extLst>
                  </pic:spPr>
                </pic:pic>
              </a:graphicData>
            </a:graphic>
          </wp:inline>
        </w:drawing>
      </w:r>
    </w:p>
    <w:p w14:paraId="55AB05C9" w14:textId="77777777" w:rsidR="006A3DBC" w:rsidRPr="00EF7331" w:rsidRDefault="006A3DBC" w:rsidP="006A3DBC">
      <w:pPr>
        <w:pStyle w:val="Prrafodelista"/>
        <w:spacing w:line="240" w:lineRule="auto"/>
        <w:ind w:left="708"/>
        <w:jc w:val="center"/>
        <w:rPr>
          <w:rFonts w:cs="Arial"/>
          <w:sz w:val="20"/>
          <w:szCs w:val="18"/>
        </w:rPr>
      </w:pPr>
      <w:r w:rsidRPr="00EF7331">
        <w:rPr>
          <w:rFonts w:cs="Arial"/>
          <w:b/>
          <w:bCs/>
          <w:sz w:val="20"/>
          <w:szCs w:val="18"/>
        </w:rPr>
        <w:t>Fuente</w:t>
      </w:r>
      <w:r w:rsidRPr="00EF7331">
        <w:rPr>
          <w:rFonts w:cs="Arial"/>
          <w:sz w:val="20"/>
          <w:szCs w:val="18"/>
        </w:rPr>
        <w:t>: © PNUD, Honduras, julio de 2022</w:t>
      </w:r>
    </w:p>
    <w:p w14:paraId="1D09D7CC" w14:textId="77777777" w:rsidR="006A3DBC" w:rsidRPr="00FA4B2D" w:rsidRDefault="006A3DBC" w:rsidP="006A3DBC">
      <w:pPr>
        <w:pStyle w:val="Prrafodelista"/>
        <w:spacing w:line="240" w:lineRule="auto"/>
        <w:ind w:left="708"/>
        <w:rPr>
          <w:rFonts w:cs="Arial"/>
        </w:rPr>
      </w:pPr>
    </w:p>
    <w:p w14:paraId="62D86645" w14:textId="77777777" w:rsidR="006A3DBC" w:rsidRPr="00FA4B2D" w:rsidRDefault="006A3DBC" w:rsidP="006A3DBC">
      <w:pPr>
        <w:pStyle w:val="Prrafodelista"/>
        <w:spacing w:after="0" w:line="240" w:lineRule="auto"/>
        <w:ind w:left="0"/>
        <w:jc w:val="both"/>
        <w:rPr>
          <w:rFonts w:cs="Arial"/>
        </w:rPr>
      </w:pPr>
      <w:r w:rsidRPr="00FA4B2D">
        <w:rPr>
          <w:rFonts w:cs="Arial"/>
        </w:rPr>
        <w:t>En Honduras, las inequidades sociales en los sectores de educación y salud son significativas. Aunque los mecanismos de las transferencias monetarias condicionadas han promovido en alguna medida la reducción de las inequidades en el sector social, aún se debe mejorar.</w:t>
      </w:r>
    </w:p>
    <w:p w14:paraId="22D8529D" w14:textId="77777777" w:rsidR="006A3DBC" w:rsidRPr="00FA4B2D" w:rsidRDefault="006A3DBC" w:rsidP="006A3DBC">
      <w:pPr>
        <w:pStyle w:val="Prrafodelista"/>
        <w:spacing w:after="0" w:line="240" w:lineRule="auto"/>
        <w:ind w:left="0"/>
        <w:jc w:val="both"/>
        <w:rPr>
          <w:rFonts w:cs="Arial"/>
        </w:rPr>
      </w:pPr>
    </w:p>
    <w:p w14:paraId="5FE619F0" w14:textId="77777777" w:rsidR="006A3DBC" w:rsidRPr="00FA4B2D" w:rsidRDefault="006A3DBC" w:rsidP="006A3DBC">
      <w:pPr>
        <w:pStyle w:val="Prrafodelista"/>
        <w:spacing w:after="0" w:line="240" w:lineRule="auto"/>
        <w:ind w:left="0"/>
        <w:jc w:val="both"/>
        <w:rPr>
          <w:rFonts w:cs="Arial"/>
        </w:rPr>
      </w:pPr>
      <w:r w:rsidRPr="00FA4B2D">
        <w:rPr>
          <w:rFonts w:cs="Arial"/>
        </w:rPr>
        <w:t xml:space="preserve">Sobre la composición del IDH (Según IDH Honduras, 2022 PNUD), Honduras se ha caracterizado por mostrar un mayor índice de esperanza de vida y menores índices de ingreso y educación (este último compuesto de dos indicadores: años de escolaridad promedio y años de escolaridad esperada). Esto indica que educación e </w:t>
      </w:r>
      <w:r w:rsidRPr="00FA4B2D">
        <w:rPr>
          <w:rFonts w:cs="Arial"/>
        </w:rPr>
        <w:lastRenderedPageBreak/>
        <w:t>ingresos presentan una mayor distancia respecto a los logros ideales en las dimensiones que el IDH refleja. Con todo, si se analizan los logros relativos que se han presentado entre el 2000 y el 2019, al considerar el índice de cada dimensión, se observa un mayor avance en educación (19 % de crecimiento), en comparación con la esperanza de vida (9 %) y los ingresos (8 %). El índice de ingresos es el que menor avances ha mostrado. Este mismo orden se presenta al analizar la variación en términos absolutos, de modo que los avances en los indicadores educativos son mayores que los presentados por los indicadores de esperanza de vida e ingresos dentro del IDH.</w:t>
      </w:r>
    </w:p>
    <w:p w14:paraId="197E0247" w14:textId="77777777" w:rsidR="006A3DBC" w:rsidRPr="00FA4B2D" w:rsidRDefault="006A3DBC" w:rsidP="006A3DBC">
      <w:pPr>
        <w:pStyle w:val="Prrafodelista"/>
        <w:spacing w:after="0" w:line="240" w:lineRule="auto"/>
        <w:jc w:val="both"/>
        <w:rPr>
          <w:rFonts w:cs="Arial"/>
        </w:rPr>
      </w:pPr>
    </w:p>
    <w:p w14:paraId="122A1B76" w14:textId="77777777" w:rsidR="006A3DBC" w:rsidRPr="00FA4B2D" w:rsidRDefault="006A3DBC" w:rsidP="00411720">
      <w:pPr>
        <w:pStyle w:val="Ttulo2"/>
        <w:numPr>
          <w:ilvl w:val="2"/>
          <w:numId w:val="70"/>
        </w:numPr>
        <w:spacing w:before="0" w:line="240" w:lineRule="auto"/>
        <w:jc w:val="both"/>
        <w:rPr>
          <w:rFonts w:ascii="Arial" w:hAnsi="Arial" w:cs="Arial"/>
          <w:b/>
          <w:bCs/>
          <w:color w:val="767171" w:themeColor="background2" w:themeShade="80"/>
          <w:sz w:val="22"/>
          <w:szCs w:val="22"/>
        </w:rPr>
      </w:pPr>
      <w:bookmarkStart w:id="646" w:name="_Toc65884181"/>
      <w:bookmarkStart w:id="647" w:name="_Toc67573404"/>
      <w:bookmarkStart w:id="648" w:name="_Toc202456924"/>
      <w:r w:rsidRPr="00FA4B2D">
        <w:rPr>
          <w:rFonts w:ascii="Arial" w:hAnsi="Arial" w:cs="Arial"/>
          <w:b/>
          <w:bCs/>
          <w:color w:val="767171" w:themeColor="background2" w:themeShade="80"/>
          <w:sz w:val="22"/>
          <w:szCs w:val="22"/>
        </w:rPr>
        <w:t>Migración y sus Implicaciones Socioeconómicas</w:t>
      </w:r>
      <w:bookmarkEnd w:id="646"/>
      <w:bookmarkEnd w:id="647"/>
      <w:bookmarkEnd w:id="648"/>
      <w:r w:rsidRPr="00FA4B2D">
        <w:rPr>
          <w:rFonts w:ascii="Arial" w:hAnsi="Arial" w:cs="Arial"/>
          <w:b/>
          <w:bCs/>
          <w:color w:val="767171" w:themeColor="background2" w:themeShade="80"/>
          <w:sz w:val="22"/>
          <w:szCs w:val="22"/>
        </w:rPr>
        <w:t xml:space="preserve"> </w:t>
      </w:r>
    </w:p>
    <w:p w14:paraId="746C4426" w14:textId="77777777" w:rsidR="006A3DBC" w:rsidRPr="00FA4B2D" w:rsidRDefault="006A3DBC" w:rsidP="006A3DBC">
      <w:pPr>
        <w:pStyle w:val="Prrafodelista"/>
        <w:spacing w:after="0" w:line="240" w:lineRule="auto"/>
        <w:ind w:left="360"/>
        <w:jc w:val="both"/>
        <w:rPr>
          <w:rFonts w:cs="Arial"/>
        </w:rPr>
      </w:pPr>
    </w:p>
    <w:p w14:paraId="787F4E2D" w14:textId="77777777" w:rsidR="006A3DBC" w:rsidRPr="00FA4B2D" w:rsidRDefault="006A3DBC" w:rsidP="006A3DBC">
      <w:pPr>
        <w:pStyle w:val="Prrafodelista"/>
        <w:spacing w:after="0" w:line="240" w:lineRule="auto"/>
        <w:ind w:left="0"/>
        <w:jc w:val="both"/>
        <w:rPr>
          <w:rFonts w:cs="Arial"/>
        </w:rPr>
      </w:pPr>
      <w:r w:rsidRPr="00FA4B2D">
        <w:rPr>
          <w:rFonts w:cs="Arial"/>
        </w:rPr>
        <w:t>Las migraciones son desplazamientos de población desde sus lugares de origen hacia otros espacios. En la actualidad las personas emigran de sus lugares de origen debido a múltiples factores de índole social, económica política, cultural y ecológica. La migración desde el punto de vista espacial se divide en interiores y exteriores. Las migraciones interiores son las que se realizan dentro del mismo país, región o provincia y los exteriores las que se realizan fuera de sus fronteras.</w:t>
      </w:r>
    </w:p>
    <w:p w14:paraId="46E71599" w14:textId="77777777" w:rsidR="006A3DBC" w:rsidRPr="00FA4B2D" w:rsidRDefault="006A3DBC" w:rsidP="006A3DBC">
      <w:pPr>
        <w:pStyle w:val="Prrafodelista"/>
        <w:spacing w:after="0" w:line="240" w:lineRule="auto"/>
        <w:ind w:left="0"/>
        <w:jc w:val="both"/>
        <w:rPr>
          <w:rFonts w:cs="Arial"/>
        </w:rPr>
      </w:pPr>
    </w:p>
    <w:p w14:paraId="2A347529" w14:textId="77777777" w:rsidR="006A3DBC" w:rsidRPr="00FA4B2D" w:rsidRDefault="006A3DBC" w:rsidP="006A3DBC">
      <w:pPr>
        <w:pStyle w:val="Prrafodelista"/>
        <w:spacing w:after="0" w:line="240" w:lineRule="auto"/>
        <w:ind w:left="0"/>
        <w:jc w:val="both"/>
        <w:rPr>
          <w:rFonts w:cs="Arial"/>
        </w:rPr>
      </w:pPr>
      <w:r w:rsidRPr="00FA4B2D">
        <w:rPr>
          <w:rFonts w:cs="Arial"/>
        </w:rPr>
        <w:t xml:space="preserve">En el caso particular de Honduras, el fenómeno migratorio interno ha sido permanente y parte de la dinámica socioeconómica, la población en busca de mejores oportunidades y condiciones de vida abandona sus hogares principalmente de las regiones del sur, centro y occidente del país para encontrar empleo en la región de la Costa Atlántica. </w:t>
      </w:r>
    </w:p>
    <w:p w14:paraId="397F72EC" w14:textId="77777777" w:rsidR="006A3DBC" w:rsidRPr="00FA4B2D" w:rsidRDefault="006A3DBC" w:rsidP="006A3DBC">
      <w:pPr>
        <w:pStyle w:val="Prrafodelista"/>
        <w:spacing w:after="0" w:line="240" w:lineRule="auto"/>
        <w:ind w:left="0"/>
        <w:jc w:val="both"/>
        <w:rPr>
          <w:rFonts w:cs="Arial"/>
        </w:rPr>
      </w:pPr>
    </w:p>
    <w:p w14:paraId="69689715" w14:textId="77777777" w:rsidR="006A3DBC" w:rsidRPr="00FA4B2D" w:rsidRDefault="006A3DBC" w:rsidP="006A3DBC">
      <w:pPr>
        <w:pStyle w:val="Prrafodelista"/>
        <w:spacing w:after="0" w:line="240" w:lineRule="auto"/>
        <w:ind w:left="0"/>
        <w:jc w:val="both"/>
        <w:rPr>
          <w:rFonts w:cs="Arial"/>
        </w:rPr>
      </w:pPr>
      <w:r w:rsidRPr="00FA4B2D">
        <w:rPr>
          <w:rFonts w:cs="Arial"/>
        </w:rPr>
        <w:t>A partir de los años 90 la principal atracción de la migración interna fue siempre la costa norte, principalmente al departamento de Cortes, esta vez motivados por la instalación de la industria de la maquila.</w:t>
      </w:r>
    </w:p>
    <w:p w14:paraId="6C78E82D" w14:textId="77777777" w:rsidR="006A3DBC" w:rsidRPr="00FA4B2D" w:rsidRDefault="006A3DBC" w:rsidP="006A3DBC">
      <w:pPr>
        <w:pStyle w:val="Prrafodelista"/>
        <w:spacing w:after="0" w:line="240" w:lineRule="auto"/>
        <w:ind w:left="0"/>
        <w:jc w:val="both"/>
        <w:rPr>
          <w:rFonts w:cs="Arial"/>
        </w:rPr>
      </w:pPr>
    </w:p>
    <w:p w14:paraId="75700799" w14:textId="77777777" w:rsidR="006A3DBC" w:rsidRPr="00FA4B2D" w:rsidRDefault="006A3DBC" w:rsidP="006A3DBC">
      <w:pPr>
        <w:pStyle w:val="Prrafodelista"/>
        <w:spacing w:after="0" w:line="240" w:lineRule="auto"/>
        <w:ind w:left="0"/>
        <w:jc w:val="both"/>
        <w:rPr>
          <w:rFonts w:cs="Arial"/>
        </w:rPr>
      </w:pPr>
      <w:r w:rsidRPr="00FA4B2D">
        <w:rPr>
          <w:rFonts w:cs="Arial"/>
        </w:rPr>
        <w:t>Ha sido la población y familias jóvenes los grupos poblacionales que han formado parte de la migración interna del centro-sur-occidente y oriente al norte, cuyas ciudades receptoras como Choloma, Villanueva, El Progreso, La Lima y Puerto Cortes, ubicadas en los departamentos de Cortes y Yoro, la que han sido desbordadas con efectos de alta vulnerabilidad y riesgo a fenómenos naturales, acceso a servicios básicos, infraestructura social, alta densidad poblacional, seguridad ciudadana, crimen y violencia.</w:t>
      </w:r>
    </w:p>
    <w:p w14:paraId="65E05F28" w14:textId="77777777" w:rsidR="006A3DBC" w:rsidRPr="00FA4B2D" w:rsidRDefault="006A3DBC" w:rsidP="006A3DBC">
      <w:pPr>
        <w:pStyle w:val="Prrafodelista"/>
        <w:spacing w:after="0" w:line="240" w:lineRule="auto"/>
        <w:ind w:left="0"/>
        <w:jc w:val="both"/>
        <w:rPr>
          <w:rFonts w:cs="Arial"/>
        </w:rPr>
      </w:pPr>
    </w:p>
    <w:p w14:paraId="6BAF74FE" w14:textId="77777777" w:rsidR="006A3DBC" w:rsidRPr="00FA4B2D" w:rsidRDefault="006A3DBC" w:rsidP="006A3DBC">
      <w:pPr>
        <w:jc w:val="both"/>
        <w:rPr>
          <w:rFonts w:eastAsia="Arial" w:cs="Arial"/>
        </w:rPr>
      </w:pPr>
      <w:r w:rsidRPr="00FA4B2D">
        <w:rPr>
          <w:rFonts w:eastAsia="Arial" w:cs="Arial"/>
        </w:rPr>
        <w:t>A nivel departamental, el 68.1% de los hogares desplazados tenía su lugar de residencia previa al desplazamiento en los departamentos de Francisco Morazán y Cortés, que son también los departamentos con mayor concentración de población a nivel nacional. Estos departamentos, además de concentrar la mayoría de la población y actividades económicas del país, también acumulan las tasas de homicidio más elevadas. Municipios como San Pedro Sula y el Distrito Central cuentan de hecho con una tasa de homicidios de 147.15 y de 80.9747 por cada cien mil habitantes respectivamente para el 2014. Esto podría evidenciar una relación entre tasa de homicidio y el desplazamiento.</w:t>
      </w:r>
    </w:p>
    <w:p w14:paraId="452830F4" w14:textId="77777777" w:rsidR="006A3DBC" w:rsidRPr="00FA4B2D" w:rsidRDefault="006A3DBC" w:rsidP="006A3DBC">
      <w:pPr>
        <w:pStyle w:val="Prrafodelista"/>
        <w:spacing w:after="0" w:line="240" w:lineRule="auto"/>
        <w:ind w:left="0"/>
        <w:jc w:val="both"/>
        <w:rPr>
          <w:rFonts w:cs="Arial"/>
        </w:rPr>
      </w:pPr>
    </w:p>
    <w:p w14:paraId="31EAE412" w14:textId="77777777" w:rsidR="006A3DBC" w:rsidRPr="00FA4B2D" w:rsidRDefault="006A3DBC" w:rsidP="006A3DBC">
      <w:pPr>
        <w:pStyle w:val="Prrafodelista"/>
        <w:spacing w:after="0" w:line="240" w:lineRule="auto"/>
        <w:ind w:left="0"/>
        <w:jc w:val="both"/>
        <w:rPr>
          <w:rFonts w:cs="Arial"/>
        </w:rPr>
      </w:pPr>
      <w:r w:rsidRPr="00FA4B2D">
        <w:rPr>
          <w:rFonts w:cs="Arial"/>
        </w:rPr>
        <w:t>Respecto al proyecto COMRURAL, según experiencias a la fecha y como efectos indirectos puede ocasionar la afluencia de mano de obra de otros lugares del país, que podrían generar impactos en la población local o comunidades rurales donde se ejecutan las obras e inversiones (subproyectos), flujo migratorio interno propenso para generar conflictos entre familias, incluyendo otras como enfermedades de transmisión sexual, relaciones conflictivas entre la población local y los trabajadores, presión sobre los servicios públicos de las comunidades, etc. Para efectos de prevenir este tipo de acontecimientos en lo posible y esté al alcance del equipo técnico, se procurara durante las actividades identificar e incluirlos en el marco de la evaluación social asociada a la preparación de los PGAS de las OPRs, los cuales incluirán las medidas de gestión necesarias, de manera proporcional a los riesgos, incluyendo como mínimo un código de conducta para los trabajadores (el cual incluye provisiones para prevenir la violencia de género, incluyendo agresión y explotación sexual, y el acoso sexual), además de medidas para verificar que dicho código se cumpla en la práctica, incluyendo actividades de supervisión y penalidades por su infracción.</w:t>
      </w:r>
    </w:p>
    <w:p w14:paraId="1B3C61CE" w14:textId="77777777" w:rsidR="006A3DBC" w:rsidRPr="00FA4B2D" w:rsidRDefault="006A3DBC" w:rsidP="006A3DBC">
      <w:pPr>
        <w:spacing w:after="0" w:line="240" w:lineRule="auto"/>
        <w:jc w:val="both"/>
        <w:rPr>
          <w:rFonts w:cs="Arial"/>
        </w:rPr>
      </w:pPr>
    </w:p>
    <w:p w14:paraId="7680D873" w14:textId="77777777" w:rsidR="006A3DBC" w:rsidRPr="00FA4B2D" w:rsidRDefault="006A3DBC" w:rsidP="006A3DBC">
      <w:pPr>
        <w:pStyle w:val="Prrafodelista"/>
        <w:spacing w:after="0" w:line="240" w:lineRule="auto"/>
        <w:ind w:left="0"/>
        <w:jc w:val="both"/>
        <w:rPr>
          <w:rFonts w:cs="Arial"/>
          <w:bCs/>
          <w:u w:val="single"/>
        </w:rPr>
      </w:pPr>
      <w:r w:rsidRPr="00FA4B2D">
        <w:rPr>
          <w:rFonts w:cs="Arial"/>
          <w:bCs/>
          <w:u w:val="single"/>
        </w:rPr>
        <w:t>Migración Externa</w:t>
      </w:r>
    </w:p>
    <w:p w14:paraId="47FCB1F5" w14:textId="77777777" w:rsidR="006A3DBC" w:rsidRPr="00FA4B2D" w:rsidRDefault="006A3DBC" w:rsidP="006A3DBC">
      <w:pPr>
        <w:spacing w:after="0" w:line="240" w:lineRule="auto"/>
        <w:jc w:val="both"/>
        <w:rPr>
          <w:rFonts w:cs="Arial"/>
        </w:rPr>
      </w:pPr>
    </w:p>
    <w:p w14:paraId="4443D959" w14:textId="77777777" w:rsidR="006A3DBC" w:rsidRPr="00FA4B2D" w:rsidRDefault="006A3DBC" w:rsidP="006A3DBC">
      <w:pPr>
        <w:pStyle w:val="Prrafodelista"/>
        <w:spacing w:after="0" w:line="240" w:lineRule="auto"/>
        <w:ind w:left="0"/>
        <w:jc w:val="both"/>
        <w:rPr>
          <w:rFonts w:cs="Arial"/>
        </w:rPr>
      </w:pPr>
      <w:r w:rsidRPr="00FA4B2D">
        <w:rPr>
          <w:rFonts w:cs="Arial"/>
        </w:rPr>
        <w:t>En las últimas dos décadas (1990-2010), Honduras ha venido presentando un incremento acelerado en la salida de una parte de su población. La mayoría del flujo es con destino a Estados Unidos, pero también a otros países cercanos y más distantes, entre los cuales figuran Canadá, México, España, Italia, El Salvador y Guatemala. En el caso de esos dos últimos países, la migración internacional resulta ser muy significativa, por el hecho de que los escenarios migratorios han ido cambiando, ya que en décadas pasadas la migración fue a la inversa, salvadoreños y guatemaltecos emigraban a territorio hondureño.</w:t>
      </w:r>
    </w:p>
    <w:p w14:paraId="79F600E6" w14:textId="77777777" w:rsidR="006A3DBC" w:rsidRPr="00FA4B2D" w:rsidRDefault="006A3DBC" w:rsidP="006A3DBC">
      <w:pPr>
        <w:pStyle w:val="Prrafodelista"/>
        <w:spacing w:after="0" w:line="240" w:lineRule="auto"/>
        <w:ind w:left="0"/>
        <w:jc w:val="both"/>
        <w:rPr>
          <w:rFonts w:cs="Arial"/>
        </w:rPr>
      </w:pPr>
    </w:p>
    <w:p w14:paraId="6D8D6206" w14:textId="77777777" w:rsidR="006A3DBC" w:rsidRPr="00FA4B2D" w:rsidRDefault="006A3DBC" w:rsidP="006A3DBC">
      <w:pPr>
        <w:pStyle w:val="Prrafodelista"/>
        <w:spacing w:after="0" w:line="240" w:lineRule="auto"/>
        <w:ind w:left="0"/>
        <w:jc w:val="both"/>
        <w:rPr>
          <w:rFonts w:cs="Arial"/>
        </w:rPr>
      </w:pPr>
      <w:r w:rsidRPr="00FA4B2D">
        <w:rPr>
          <w:rFonts w:cs="Arial"/>
        </w:rPr>
        <w:t>Las causas son diversas pero la mayoría de los estudios coinciden que se debe a factores relacionados con la inseguridad, crimen y violencia, falta de empleo y oportunidades de mejora económica, pobreza y alta desigualdad, causas profundizadas por crisis e inestabilidad políticas, ha provocado que cada año mayor número de familias abandonen el país, siendo según estudios realizados los Estados Unidos y España los principales objetivos de nueva residencia de los que emigran.</w:t>
      </w:r>
    </w:p>
    <w:p w14:paraId="63F684BA" w14:textId="77777777" w:rsidR="006A3DBC" w:rsidRPr="00FA4B2D" w:rsidRDefault="006A3DBC" w:rsidP="006A3DBC">
      <w:pPr>
        <w:pStyle w:val="Prrafodelista"/>
        <w:spacing w:after="0" w:line="240" w:lineRule="auto"/>
        <w:ind w:left="0"/>
        <w:jc w:val="both"/>
        <w:rPr>
          <w:rFonts w:cs="Arial"/>
        </w:rPr>
      </w:pPr>
    </w:p>
    <w:p w14:paraId="034EB9DA" w14:textId="77777777" w:rsidR="006A3DBC" w:rsidRPr="00FA4B2D" w:rsidRDefault="006A3DBC" w:rsidP="006A3DBC">
      <w:pPr>
        <w:pStyle w:val="Prrafodelista"/>
        <w:spacing w:after="0" w:line="240" w:lineRule="auto"/>
        <w:ind w:left="0"/>
        <w:jc w:val="both"/>
        <w:rPr>
          <w:rFonts w:cs="Arial"/>
          <w:lang w:val="es-ES"/>
        </w:rPr>
      </w:pPr>
      <w:r w:rsidRPr="00FA4B2D">
        <w:rPr>
          <w:rFonts w:cs="Arial"/>
          <w:lang w:val="es-ES"/>
        </w:rPr>
        <w:t>Honduras tiene, según los últimos datos publicados por el Organismo Internacional de Migración (OIM), en 2021, 800.707 emigrantes, lo que supone un 8,2% de la población de Honduras. Si lo comparamos con el resto de los países vemos que tiene un porcentaje de emigrantes medio, ya que está en el puesto 113º de los 195 del ranking de emigrantes</w:t>
      </w:r>
      <w:r w:rsidRPr="00FA4B2D">
        <w:rPr>
          <w:rStyle w:val="Refdenotaalpie"/>
          <w:rFonts w:cs="Arial"/>
          <w:lang w:val="es-ES"/>
        </w:rPr>
        <w:footnoteReference w:id="23"/>
      </w:r>
      <w:r w:rsidRPr="00FA4B2D">
        <w:rPr>
          <w:rFonts w:cs="Arial"/>
          <w:lang w:val="es-ES"/>
        </w:rPr>
        <w:t>.</w:t>
      </w:r>
    </w:p>
    <w:p w14:paraId="7E3C9158" w14:textId="77777777" w:rsidR="006A3DBC" w:rsidRPr="00FA4B2D" w:rsidRDefault="006A3DBC" w:rsidP="006A3DBC">
      <w:pPr>
        <w:pStyle w:val="Prrafodelista"/>
        <w:spacing w:after="0" w:line="240" w:lineRule="auto"/>
        <w:ind w:left="0"/>
        <w:jc w:val="both"/>
        <w:rPr>
          <w:rFonts w:cs="Arial"/>
          <w:lang w:val="es-ES"/>
        </w:rPr>
      </w:pPr>
      <w:r w:rsidRPr="00FA4B2D">
        <w:rPr>
          <w:rFonts w:cs="Arial"/>
          <w:lang w:val="es-ES"/>
        </w:rPr>
        <w:t xml:space="preserve">La emigración femenina, 472.012 mujeres un 58.94% del total de emigrantes, es superior a la masculina, 328.695 emigrantes varones, que son el 41.05%. Conviene </w:t>
      </w:r>
      <w:r w:rsidRPr="00FA4B2D">
        <w:rPr>
          <w:rFonts w:cs="Arial"/>
          <w:lang w:val="es-ES"/>
        </w:rPr>
        <w:lastRenderedPageBreak/>
        <w:t>fijarse en que el porcentaje de emigración femenina en Honduras es muy superior a la de emigrantes hombres.</w:t>
      </w:r>
    </w:p>
    <w:p w14:paraId="74A0E32A" w14:textId="77777777" w:rsidR="006A3DBC" w:rsidRPr="00FA4B2D" w:rsidRDefault="006A3DBC" w:rsidP="006A3DBC">
      <w:pPr>
        <w:pStyle w:val="Prrafodelista"/>
        <w:spacing w:after="0" w:line="240" w:lineRule="auto"/>
        <w:ind w:left="0"/>
        <w:jc w:val="both"/>
        <w:rPr>
          <w:rFonts w:cs="Arial"/>
          <w:lang w:val="es-ES"/>
        </w:rPr>
      </w:pPr>
      <w:r w:rsidRPr="00FA4B2D">
        <w:rPr>
          <w:rFonts w:cs="Arial"/>
          <w:lang w:val="es-ES"/>
        </w:rPr>
        <w:t>La emigración de Honduras se ha dirigido especialmente a Estados Unidos, donde van el 81,93%, seguido de lejos por España, el 7,21% y México, el 1,91%.</w:t>
      </w:r>
    </w:p>
    <w:p w14:paraId="5B37BF50" w14:textId="77777777" w:rsidR="006A3DBC" w:rsidRPr="00FA4B2D" w:rsidRDefault="006A3DBC" w:rsidP="006A3DBC">
      <w:pPr>
        <w:pStyle w:val="Prrafodelista"/>
        <w:spacing w:after="0" w:line="240" w:lineRule="auto"/>
        <w:jc w:val="both"/>
        <w:rPr>
          <w:rFonts w:cs="Arial"/>
          <w:lang w:val="es-ES"/>
        </w:rPr>
      </w:pPr>
    </w:p>
    <w:p w14:paraId="04B3400D" w14:textId="77777777" w:rsidR="006A3DBC" w:rsidRPr="00FA4B2D" w:rsidRDefault="006A3DBC" w:rsidP="006A3DBC">
      <w:pPr>
        <w:pStyle w:val="Prrafodelista"/>
        <w:spacing w:after="0" w:line="240" w:lineRule="auto"/>
        <w:ind w:left="0"/>
        <w:jc w:val="both"/>
        <w:rPr>
          <w:rFonts w:cs="Arial"/>
          <w:lang w:val="es-ES"/>
        </w:rPr>
      </w:pPr>
      <w:r w:rsidRPr="00FA4B2D">
        <w:rPr>
          <w:rFonts w:cs="Arial"/>
          <w:lang w:val="es-ES"/>
        </w:rPr>
        <w:t>En los últimos años, el número de emigrantes hondureños ha aumentado en 78.277 personas, un 10,84%.</w:t>
      </w:r>
    </w:p>
    <w:p w14:paraId="4B6E30CA" w14:textId="77777777" w:rsidR="00CF0F96" w:rsidRDefault="00CF0F96" w:rsidP="00EF7331">
      <w:pPr>
        <w:pStyle w:val="Descripcin"/>
        <w:keepNext/>
      </w:pPr>
      <w:bookmarkStart w:id="649" w:name="_Toc202455441"/>
    </w:p>
    <w:p w14:paraId="6E39987D" w14:textId="7D2339D2" w:rsidR="00EF7331" w:rsidRDefault="00EF7331" w:rsidP="00EF7331">
      <w:pPr>
        <w:pStyle w:val="Descripcin"/>
        <w:keepNext/>
      </w:pPr>
      <w:r>
        <w:t xml:space="preserve">Tabla </w:t>
      </w:r>
      <w:r>
        <w:fldChar w:fldCharType="begin"/>
      </w:r>
      <w:r>
        <w:instrText xml:space="preserve"> SEQ Tabla \* ARABIC </w:instrText>
      </w:r>
      <w:r>
        <w:fldChar w:fldCharType="separate"/>
      </w:r>
      <w:r w:rsidR="000E6D86">
        <w:rPr>
          <w:noProof/>
        </w:rPr>
        <w:t>15</w:t>
      </w:r>
      <w:r>
        <w:fldChar w:fldCharType="end"/>
      </w:r>
      <w:r>
        <w:t xml:space="preserve">: </w:t>
      </w:r>
      <w:r w:rsidRPr="00C66CE5">
        <w:t>Honduras. Emigrantes totales</w:t>
      </w:r>
      <w:bookmarkEnd w:id="649"/>
    </w:p>
    <w:tbl>
      <w:tblPr>
        <w:tblW w:w="7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729"/>
        <w:gridCol w:w="2262"/>
        <w:gridCol w:w="1985"/>
        <w:gridCol w:w="1240"/>
        <w:gridCol w:w="1701"/>
      </w:tblGrid>
      <w:tr w:rsidR="006A3DBC" w:rsidRPr="00FA4B2D" w14:paraId="34AC019C" w14:textId="77777777" w:rsidTr="00016847">
        <w:trPr>
          <w:trHeight w:hRule="exact" w:val="660"/>
          <w:jc w:val="center"/>
        </w:trPr>
        <w:tc>
          <w:tcPr>
            <w:tcW w:w="729" w:type="dxa"/>
            <w:shd w:val="clear" w:color="auto" w:fill="5CC5DA"/>
            <w:noWrap/>
            <w:tcMar>
              <w:top w:w="75" w:type="dxa"/>
              <w:left w:w="75" w:type="dxa"/>
              <w:bottom w:w="75" w:type="dxa"/>
              <w:right w:w="75" w:type="dxa"/>
            </w:tcMar>
            <w:vAlign w:val="center"/>
          </w:tcPr>
          <w:p w14:paraId="0ADA616B" w14:textId="77777777" w:rsidR="006A3DBC" w:rsidRPr="00FA4B2D" w:rsidRDefault="006A3DBC" w:rsidP="005F4A92">
            <w:pPr>
              <w:spacing w:before="120" w:after="120" w:line="240" w:lineRule="auto"/>
              <w:jc w:val="center"/>
              <w:rPr>
                <w:rFonts w:eastAsia="Times New Roman" w:cs="Arial"/>
                <w:b/>
                <w:bCs/>
                <w:color w:val="171717" w:themeColor="background2" w:themeShade="1A"/>
                <w:sz w:val="20"/>
                <w:szCs w:val="20"/>
                <w:lang w:eastAsia="es-AR"/>
              </w:rPr>
            </w:pPr>
            <w:r w:rsidRPr="00FA4B2D">
              <w:rPr>
                <w:rFonts w:eastAsia="Times New Roman" w:cs="Arial"/>
                <w:b/>
                <w:bCs/>
                <w:color w:val="171717" w:themeColor="background2" w:themeShade="1A"/>
                <w:sz w:val="20"/>
                <w:szCs w:val="20"/>
                <w:lang w:eastAsia="es-AR"/>
              </w:rPr>
              <w:t>Fecha</w:t>
            </w:r>
          </w:p>
        </w:tc>
        <w:tc>
          <w:tcPr>
            <w:tcW w:w="2262" w:type="dxa"/>
            <w:shd w:val="clear" w:color="auto" w:fill="5CC5DA"/>
            <w:noWrap/>
            <w:tcMar>
              <w:top w:w="75" w:type="dxa"/>
              <w:left w:w="75" w:type="dxa"/>
              <w:bottom w:w="75" w:type="dxa"/>
              <w:right w:w="75" w:type="dxa"/>
            </w:tcMar>
            <w:vAlign w:val="center"/>
          </w:tcPr>
          <w:p w14:paraId="76D80C13" w14:textId="77777777" w:rsidR="006A3DBC" w:rsidRPr="00FA4B2D" w:rsidRDefault="006A3DBC" w:rsidP="005F4A92">
            <w:pPr>
              <w:spacing w:before="120" w:after="120" w:line="240" w:lineRule="auto"/>
              <w:jc w:val="center"/>
              <w:rPr>
                <w:rFonts w:eastAsia="Times New Roman" w:cs="Arial"/>
                <w:b/>
                <w:bCs/>
                <w:color w:val="171717" w:themeColor="background2" w:themeShade="1A"/>
                <w:sz w:val="20"/>
                <w:szCs w:val="20"/>
                <w:lang w:eastAsia="es-AR"/>
              </w:rPr>
            </w:pPr>
            <w:r w:rsidRPr="00FA4B2D">
              <w:rPr>
                <w:rFonts w:eastAsia="Times New Roman" w:cs="Arial"/>
                <w:b/>
                <w:bCs/>
                <w:color w:val="171717" w:themeColor="background2" w:themeShade="1A"/>
                <w:sz w:val="20"/>
                <w:szCs w:val="20"/>
                <w:lang w:eastAsia="es-AR"/>
              </w:rPr>
              <w:t>Emigrantes hombres</w:t>
            </w:r>
          </w:p>
        </w:tc>
        <w:tc>
          <w:tcPr>
            <w:tcW w:w="1985" w:type="dxa"/>
            <w:shd w:val="clear" w:color="auto" w:fill="5CC5DA"/>
            <w:noWrap/>
            <w:tcMar>
              <w:top w:w="75" w:type="dxa"/>
              <w:left w:w="75" w:type="dxa"/>
              <w:bottom w:w="75" w:type="dxa"/>
              <w:right w:w="75" w:type="dxa"/>
            </w:tcMar>
            <w:vAlign w:val="center"/>
          </w:tcPr>
          <w:p w14:paraId="59543CAC" w14:textId="77777777" w:rsidR="006A3DBC" w:rsidRPr="00FA4B2D" w:rsidRDefault="006A3DBC" w:rsidP="005F4A92">
            <w:pPr>
              <w:spacing w:before="120" w:after="120" w:line="240" w:lineRule="auto"/>
              <w:jc w:val="center"/>
              <w:rPr>
                <w:rFonts w:eastAsia="Times New Roman" w:cs="Arial"/>
                <w:b/>
                <w:bCs/>
                <w:color w:val="171717" w:themeColor="background2" w:themeShade="1A"/>
                <w:sz w:val="20"/>
                <w:szCs w:val="20"/>
                <w:lang w:eastAsia="es-AR"/>
              </w:rPr>
            </w:pPr>
            <w:r w:rsidRPr="00FA4B2D">
              <w:rPr>
                <w:rFonts w:eastAsia="Times New Roman" w:cs="Arial"/>
                <w:b/>
                <w:bCs/>
                <w:color w:val="171717" w:themeColor="background2" w:themeShade="1A"/>
                <w:sz w:val="20"/>
                <w:szCs w:val="20"/>
                <w:lang w:eastAsia="es-AR"/>
              </w:rPr>
              <w:t>Emigrantes mujeres</w:t>
            </w:r>
          </w:p>
        </w:tc>
        <w:tc>
          <w:tcPr>
            <w:tcW w:w="1240" w:type="dxa"/>
            <w:shd w:val="clear" w:color="auto" w:fill="5CC5DA"/>
            <w:noWrap/>
            <w:tcMar>
              <w:top w:w="75" w:type="dxa"/>
              <w:left w:w="75" w:type="dxa"/>
              <w:bottom w:w="75" w:type="dxa"/>
              <w:right w:w="75" w:type="dxa"/>
            </w:tcMar>
            <w:vAlign w:val="center"/>
          </w:tcPr>
          <w:p w14:paraId="0FA8716C" w14:textId="77777777" w:rsidR="006A3DBC" w:rsidRPr="00FA4B2D" w:rsidRDefault="006A3DBC" w:rsidP="005F4A92">
            <w:pPr>
              <w:spacing w:before="120" w:after="120" w:line="240" w:lineRule="auto"/>
              <w:jc w:val="center"/>
              <w:rPr>
                <w:rFonts w:eastAsia="Times New Roman" w:cs="Arial"/>
                <w:b/>
                <w:bCs/>
                <w:color w:val="171717" w:themeColor="background2" w:themeShade="1A"/>
                <w:sz w:val="20"/>
                <w:szCs w:val="20"/>
                <w:lang w:eastAsia="es-AR"/>
              </w:rPr>
            </w:pPr>
            <w:r w:rsidRPr="00FA4B2D">
              <w:rPr>
                <w:rFonts w:eastAsia="Times New Roman" w:cs="Arial"/>
                <w:b/>
                <w:bCs/>
                <w:color w:val="171717" w:themeColor="background2" w:themeShade="1A"/>
                <w:sz w:val="20"/>
                <w:szCs w:val="20"/>
                <w:lang w:eastAsia="es-AR"/>
              </w:rPr>
              <w:t>Emigrantes</w:t>
            </w:r>
          </w:p>
        </w:tc>
        <w:tc>
          <w:tcPr>
            <w:tcW w:w="1701" w:type="dxa"/>
            <w:shd w:val="clear" w:color="auto" w:fill="5CC5DA"/>
            <w:noWrap/>
            <w:tcMar>
              <w:top w:w="75" w:type="dxa"/>
              <w:left w:w="75" w:type="dxa"/>
              <w:bottom w:w="75" w:type="dxa"/>
              <w:right w:w="75" w:type="dxa"/>
            </w:tcMar>
            <w:vAlign w:val="center"/>
          </w:tcPr>
          <w:p w14:paraId="4C13F508" w14:textId="77777777" w:rsidR="006A3DBC" w:rsidRPr="00FA4B2D" w:rsidRDefault="006A3DBC" w:rsidP="005F4A92">
            <w:pPr>
              <w:spacing w:before="120" w:after="120" w:line="240" w:lineRule="auto"/>
              <w:jc w:val="center"/>
              <w:rPr>
                <w:rFonts w:eastAsia="Times New Roman" w:cs="Arial"/>
                <w:b/>
                <w:bCs/>
                <w:color w:val="171717" w:themeColor="background2" w:themeShade="1A"/>
                <w:sz w:val="20"/>
                <w:szCs w:val="20"/>
                <w:lang w:eastAsia="es-AR"/>
              </w:rPr>
            </w:pPr>
            <w:r w:rsidRPr="00FA4B2D">
              <w:rPr>
                <w:rFonts w:eastAsia="Times New Roman" w:cs="Arial"/>
                <w:b/>
                <w:bCs/>
                <w:color w:val="171717" w:themeColor="background2" w:themeShade="1A"/>
                <w:sz w:val="20"/>
                <w:szCs w:val="20"/>
                <w:lang w:eastAsia="es-AR"/>
              </w:rPr>
              <w:t>% Emigrantes</w:t>
            </w:r>
          </w:p>
        </w:tc>
      </w:tr>
      <w:tr w:rsidR="006A3DBC" w:rsidRPr="00FA4B2D" w14:paraId="6D74AA87" w14:textId="77777777" w:rsidTr="005F4A92">
        <w:trPr>
          <w:trHeight w:hRule="exact" w:val="284"/>
          <w:jc w:val="center"/>
        </w:trPr>
        <w:tc>
          <w:tcPr>
            <w:tcW w:w="729" w:type="dxa"/>
            <w:shd w:val="clear" w:color="auto" w:fill="FFFFFF" w:themeFill="background1"/>
            <w:noWrap/>
            <w:tcMar>
              <w:top w:w="75" w:type="dxa"/>
              <w:left w:w="75" w:type="dxa"/>
              <w:bottom w:w="75" w:type="dxa"/>
              <w:right w:w="75" w:type="dxa"/>
            </w:tcMar>
            <w:vAlign w:val="center"/>
            <w:hideMark/>
          </w:tcPr>
          <w:p w14:paraId="45C67F02" w14:textId="77777777" w:rsidR="006A3DBC" w:rsidRPr="00FA4B2D" w:rsidRDefault="006A3DBC" w:rsidP="005F4A92">
            <w:pPr>
              <w:spacing w:after="300" w:line="240" w:lineRule="auto"/>
              <w:jc w:val="center"/>
              <w:rPr>
                <w:rFonts w:eastAsia="Times New Roman" w:cs="Arial"/>
                <w:sz w:val="20"/>
                <w:szCs w:val="20"/>
                <w:lang w:eastAsia="es-AR"/>
              </w:rPr>
            </w:pPr>
            <w:r w:rsidRPr="00FA4B2D">
              <w:rPr>
                <w:rFonts w:eastAsia="Times New Roman" w:cs="Arial"/>
                <w:sz w:val="20"/>
                <w:szCs w:val="20"/>
                <w:lang w:eastAsia="es-AR"/>
              </w:rPr>
              <w:t>2019</w:t>
            </w:r>
          </w:p>
        </w:tc>
        <w:tc>
          <w:tcPr>
            <w:tcW w:w="2262" w:type="dxa"/>
            <w:shd w:val="clear" w:color="auto" w:fill="FFFFFF" w:themeFill="background1"/>
            <w:noWrap/>
            <w:tcMar>
              <w:top w:w="75" w:type="dxa"/>
              <w:left w:w="75" w:type="dxa"/>
              <w:bottom w:w="75" w:type="dxa"/>
              <w:right w:w="75" w:type="dxa"/>
            </w:tcMar>
            <w:vAlign w:val="center"/>
            <w:hideMark/>
          </w:tcPr>
          <w:p w14:paraId="6B03588D" w14:textId="77777777" w:rsidR="006A3DBC" w:rsidRPr="00FA4B2D" w:rsidRDefault="006A3DBC" w:rsidP="005F4A92">
            <w:pPr>
              <w:spacing w:after="300" w:line="240" w:lineRule="auto"/>
              <w:jc w:val="center"/>
              <w:rPr>
                <w:rFonts w:eastAsia="Times New Roman" w:cs="Arial"/>
                <w:sz w:val="20"/>
                <w:szCs w:val="20"/>
                <w:lang w:eastAsia="es-AR"/>
              </w:rPr>
            </w:pPr>
            <w:r w:rsidRPr="00FA4B2D">
              <w:rPr>
                <w:rFonts w:eastAsia="Times New Roman" w:cs="Arial"/>
                <w:sz w:val="20"/>
                <w:szCs w:val="20"/>
                <w:lang w:eastAsia="es-AR"/>
              </w:rPr>
              <w:t>328.695</w:t>
            </w:r>
          </w:p>
        </w:tc>
        <w:tc>
          <w:tcPr>
            <w:tcW w:w="1985" w:type="dxa"/>
            <w:shd w:val="clear" w:color="auto" w:fill="FFFFFF" w:themeFill="background1"/>
            <w:noWrap/>
            <w:tcMar>
              <w:top w:w="75" w:type="dxa"/>
              <w:left w:w="75" w:type="dxa"/>
              <w:bottom w:w="75" w:type="dxa"/>
              <w:right w:w="75" w:type="dxa"/>
            </w:tcMar>
            <w:vAlign w:val="center"/>
            <w:hideMark/>
          </w:tcPr>
          <w:p w14:paraId="7A68F77B" w14:textId="77777777" w:rsidR="006A3DBC" w:rsidRPr="00FA4B2D" w:rsidRDefault="006A3DBC" w:rsidP="005F4A92">
            <w:pPr>
              <w:spacing w:after="300" w:line="240" w:lineRule="auto"/>
              <w:jc w:val="center"/>
              <w:rPr>
                <w:rFonts w:eastAsia="Times New Roman" w:cs="Arial"/>
                <w:sz w:val="20"/>
                <w:szCs w:val="20"/>
                <w:lang w:eastAsia="es-AR"/>
              </w:rPr>
            </w:pPr>
            <w:r w:rsidRPr="00FA4B2D">
              <w:rPr>
                <w:rFonts w:eastAsia="Times New Roman" w:cs="Arial"/>
                <w:sz w:val="20"/>
                <w:szCs w:val="20"/>
                <w:lang w:eastAsia="es-AR"/>
              </w:rPr>
              <w:t>472.012</w:t>
            </w:r>
          </w:p>
        </w:tc>
        <w:tc>
          <w:tcPr>
            <w:tcW w:w="1240" w:type="dxa"/>
            <w:shd w:val="clear" w:color="auto" w:fill="FFFFFF" w:themeFill="background1"/>
            <w:noWrap/>
            <w:tcMar>
              <w:top w:w="75" w:type="dxa"/>
              <w:left w:w="75" w:type="dxa"/>
              <w:bottom w:w="75" w:type="dxa"/>
              <w:right w:w="75" w:type="dxa"/>
            </w:tcMar>
            <w:vAlign w:val="center"/>
            <w:hideMark/>
          </w:tcPr>
          <w:p w14:paraId="27EB1701" w14:textId="77777777" w:rsidR="006A3DBC" w:rsidRPr="00FA4B2D" w:rsidRDefault="006A3DBC" w:rsidP="005F4A92">
            <w:pPr>
              <w:spacing w:after="300" w:line="240" w:lineRule="auto"/>
              <w:jc w:val="center"/>
              <w:rPr>
                <w:rFonts w:eastAsia="Times New Roman" w:cs="Arial"/>
                <w:sz w:val="20"/>
                <w:szCs w:val="20"/>
                <w:lang w:eastAsia="es-AR"/>
              </w:rPr>
            </w:pPr>
            <w:r w:rsidRPr="00FA4B2D">
              <w:rPr>
                <w:rFonts w:eastAsia="Times New Roman" w:cs="Arial"/>
                <w:sz w:val="20"/>
                <w:szCs w:val="20"/>
                <w:lang w:eastAsia="es-AR"/>
              </w:rPr>
              <w:t>800.707</w:t>
            </w:r>
          </w:p>
        </w:tc>
        <w:tc>
          <w:tcPr>
            <w:tcW w:w="1701" w:type="dxa"/>
            <w:shd w:val="clear" w:color="auto" w:fill="FFFFFF" w:themeFill="background1"/>
            <w:noWrap/>
            <w:tcMar>
              <w:top w:w="75" w:type="dxa"/>
              <w:left w:w="75" w:type="dxa"/>
              <w:bottom w:w="75" w:type="dxa"/>
              <w:right w:w="75" w:type="dxa"/>
            </w:tcMar>
            <w:vAlign w:val="center"/>
            <w:hideMark/>
          </w:tcPr>
          <w:p w14:paraId="00DE5BCE" w14:textId="77777777" w:rsidR="006A3DBC" w:rsidRPr="00FA4B2D" w:rsidRDefault="006A3DBC" w:rsidP="005F4A92">
            <w:pPr>
              <w:spacing w:after="300" w:line="240" w:lineRule="auto"/>
              <w:jc w:val="center"/>
              <w:rPr>
                <w:rFonts w:eastAsia="Times New Roman" w:cs="Arial"/>
                <w:sz w:val="20"/>
                <w:szCs w:val="20"/>
                <w:lang w:eastAsia="es-AR"/>
              </w:rPr>
            </w:pPr>
            <w:r w:rsidRPr="00FA4B2D">
              <w:rPr>
                <w:rFonts w:eastAsia="Times New Roman" w:cs="Arial"/>
                <w:sz w:val="20"/>
                <w:szCs w:val="20"/>
                <w:lang w:eastAsia="es-AR"/>
              </w:rPr>
              <w:t>8,20%</w:t>
            </w:r>
          </w:p>
        </w:tc>
      </w:tr>
      <w:tr w:rsidR="006A3DBC" w:rsidRPr="00FA4B2D" w14:paraId="54328240" w14:textId="77777777" w:rsidTr="005F4A92">
        <w:trPr>
          <w:trHeight w:hRule="exact" w:val="284"/>
          <w:jc w:val="center"/>
        </w:trPr>
        <w:tc>
          <w:tcPr>
            <w:tcW w:w="729" w:type="dxa"/>
            <w:shd w:val="clear" w:color="auto" w:fill="FFFFFF" w:themeFill="background1"/>
            <w:noWrap/>
            <w:tcMar>
              <w:top w:w="75" w:type="dxa"/>
              <w:left w:w="75" w:type="dxa"/>
              <w:bottom w:w="75" w:type="dxa"/>
              <w:right w:w="75" w:type="dxa"/>
            </w:tcMar>
            <w:vAlign w:val="center"/>
            <w:hideMark/>
          </w:tcPr>
          <w:p w14:paraId="2FBEDBD4" w14:textId="77777777" w:rsidR="006A3DBC" w:rsidRPr="00FA4B2D" w:rsidRDefault="006A3DBC" w:rsidP="005F4A92">
            <w:pPr>
              <w:spacing w:after="300" w:line="240" w:lineRule="auto"/>
              <w:jc w:val="center"/>
              <w:rPr>
                <w:rFonts w:eastAsia="Times New Roman" w:cs="Arial"/>
                <w:sz w:val="20"/>
                <w:szCs w:val="20"/>
                <w:lang w:eastAsia="es-AR"/>
              </w:rPr>
            </w:pPr>
            <w:r w:rsidRPr="00FA4B2D">
              <w:rPr>
                <w:rFonts w:eastAsia="Times New Roman" w:cs="Arial"/>
                <w:sz w:val="20"/>
                <w:szCs w:val="20"/>
                <w:lang w:eastAsia="es-AR"/>
              </w:rPr>
              <w:t>2017</w:t>
            </w:r>
          </w:p>
        </w:tc>
        <w:tc>
          <w:tcPr>
            <w:tcW w:w="2262" w:type="dxa"/>
            <w:shd w:val="clear" w:color="auto" w:fill="FFFFFF" w:themeFill="background1"/>
            <w:noWrap/>
            <w:tcMar>
              <w:top w:w="75" w:type="dxa"/>
              <w:left w:w="75" w:type="dxa"/>
              <w:bottom w:w="75" w:type="dxa"/>
              <w:right w:w="75" w:type="dxa"/>
            </w:tcMar>
            <w:vAlign w:val="center"/>
            <w:hideMark/>
          </w:tcPr>
          <w:p w14:paraId="480430DA" w14:textId="77777777" w:rsidR="006A3DBC" w:rsidRPr="00FA4B2D" w:rsidRDefault="006A3DBC" w:rsidP="005F4A92">
            <w:pPr>
              <w:spacing w:after="300" w:line="240" w:lineRule="auto"/>
              <w:jc w:val="center"/>
              <w:rPr>
                <w:rFonts w:eastAsia="Times New Roman" w:cs="Arial"/>
                <w:sz w:val="20"/>
                <w:szCs w:val="20"/>
                <w:lang w:eastAsia="es-AR"/>
              </w:rPr>
            </w:pPr>
            <w:r w:rsidRPr="00FA4B2D">
              <w:rPr>
                <w:rFonts w:eastAsia="Times New Roman" w:cs="Arial"/>
                <w:sz w:val="20"/>
                <w:szCs w:val="20"/>
                <w:lang w:eastAsia="es-AR"/>
              </w:rPr>
              <w:t>302.173</w:t>
            </w:r>
          </w:p>
        </w:tc>
        <w:tc>
          <w:tcPr>
            <w:tcW w:w="1985" w:type="dxa"/>
            <w:shd w:val="clear" w:color="auto" w:fill="FFFFFF" w:themeFill="background1"/>
            <w:noWrap/>
            <w:tcMar>
              <w:top w:w="75" w:type="dxa"/>
              <w:left w:w="75" w:type="dxa"/>
              <w:bottom w:w="75" w:type="dxa"/>
              <w:right w:w="75" w:type="dxa"/>
            </w:tcMar>
            <w:vAlign w:val="center"/>
            <w:hideMark/>
          </w:tcPr>
          <w:p w14:paraId="63D2F70E" w14:textId="77777777" w:rsidR="006A3DBC" w:rsidRPr="00FA4B2D" w:rsidRDefault="006A3DBC" w:rsidP="005F4A92">
            <w:pPr>
              <w:spacing w:after="300" w:line="240" w:lineRule="auto"/>
              <w:jc w:val="center"/>
              <w:rPr>
                <w:rFonts w:eastAsia="Times New Roman" w:cs="Arial"/>
                <w:sz w:val="20"/>
                <w:szCs w:val="20"/>
                <w:lang w:eastAsia="es-AR"/>
              </w:rPr>
            </w:pPr>
            <w:r w:rsidRPr="00FA4B2D">
              <w:rPr>
                <w:rFonts w:eastAsia="Times New Roman" w:cs="Arial"/>
                <w:sz w:val="20"/>
                <w:szCs w:val="20"/>
                <w:lang w:eastAsia="es-AR"/>
              </w:rPr>
              <w:t>420.257</w:t>
            </w:r>
          </w:p>
        </w:tc>
        <w:tc>
          <w:tcPr>
            <w:tcW w:w="1240" w:type="dxa"/>
            <w:shd w:val="clear" w:color="auto" w:fill="FFFFFF" w:themeFill="background1"/>
            <w:noWrap/>
            <w:tcMar>
              <w:top w:w="75" w:type="dxa"/>
              <w:left w:w="75" w:type="dxa"/>
              <w:bottom w:w="75" w:type="dxa"/>
              <w:right w:w="75" w:type="dxa"/>
            </w:tcMar>
            <w:vAlign w:val="center"/>
            <w:hideMark/>
          </w:tcPr>
          <w:p w14:paraId="2F5CC873" w14:textId="77777777" w:rsidR="006A3DBC" w:rsidRPr="00FA4B2D" w:rsidRDefault="006A3DBC" w:rsidP="005F4A92">
            <w:pPr>
              <w:spacing w:after="300" w:line="240" w:lineRule="auto"/>
              <w:jc w:val="center"/>
              <w:rPr>
                <w:rFonts w:eastAsia="Times New Roman" w:cs="Arial"/>
                <w:sz w:val="20"/>
                <w:szCs w:val="20"/>
                <w:lang w:eastAsia="es-AR"/>
              </w:rPr>
            </w:pPr>
            <w:r w:rsidRPr="00FA4B2D">
              <w:rPr>
                <w:rFonts w:eastAsia="Times New Roman" w:cs="Arial"/>
                <w:sz w:val="20"/>
                <w:szCs w:val="20"/>
                <w:lang w:eastAsia="es-AR"/>
              </w:rPr>
              <w:t>722.430</w:t>
            </w:r>
          </w:p>
        </w:tc>
        <w:tc>
          <w:tcPr>
            <w:tcW w:w="1701" w:type="dxa"/>
            <w:shd w:val="clear" w:color="auto" w:fill="FFFFFF" w:themeFill="background1"/>
            <w:noWrap/>
            <w:tcMar>
              <w:top w:w="75" w:type="dxa"/>
              <w:left w:w="75" w:type="dxa"/>
              <w:bottom w:w="75" w:type="dxa"/>
              <w:right w:w="75" w:type="dxa"/>
            </w:tcMar>
            <w:vAlign w:val="center"/>
            <w:hideMark/>
          </w:tcPr>
          <w:p w14:paraId="1582C0FE" w14:textId="77777777" w:rsidR="006A3DBC" w:rsidRPr="00FA4B2D" w:rsidRDefault="006A3DBC" w:rsidP="005F4A92">
            <w:pPr>
              <w:spacing w:after="300" w:line="240" w:lineRule="auto"/>
              <w:jc w:val="center"/>
              <w:rPr>
                <w:rFonts w:eastAsia="Times New Roman" w:cs="Arial"/>
                <w:sz w:val="20"/>
                <w:szCs w:val="20"/>
                <w:lang w:eastAsia="es-AR"/>
              </w:rPr>
            </w:pPr>
            <w:r w:rsidRPr="00FA4B2D">
              <w:rPr>
                <w:rFonts w:eastAsia="Times New Roman" w:cs="Arial"/>
                <w:sz w:val="20"/>
                <w:szCs w:val="20"/>
                <w:lang w:eastAsia="es-AR"/>
              </w:rPr>
              <w:t>7,66%</w:t>
            </w:r>
          </w:p>
        </w:tc>
      </w:tr>
      <w:tr w:rsidR="006A3DBC" w:rsidRPr="00FA4B2D" w14:paraId="44EEE2E8" w14:textId="77777777" w:rsidTr="005F4A92">
        <w:trPr>
          <w:trHeight w:hRule="exact" w:val="284"/>
          <w:jc w:val="center"/>
        </w:trPr>
        <w:tc>
          <w:tcPr>
            <w:tcW w:w="729" w:type="dxa"/>
            <w:shd w:val="clear" w:color="auto" w:fill="FFFFFF" w:themeFill="background1"/>
            <w:noWrap/>
            <w:tcMar>
              <w:top w:w="75" w:type="dxa"/>
              <w:left w:w="75" w:type="dxa"/>
              <w:bottom w:w="75" w:type="dxa"/>
              <w:right w:w="75" w:type="dxa"/>
            </w:tcMar>
            <w:vAlign w:val="center"/>
            <w:hideMark/>
          </w:tcPr>
          <w:p w14:paraId="30BBB102" w14:textId="77777777" w:rsidR="006A3DBC" w:rsidRPr="00FA4B2D" w:rsidRDefault="006A3DBC" w:rsidP="005F4A92">
            <w:pPr>
              <w:spacing w:after="300" w:line="240" w:lineRule="auto"/>
              <w:jc w:val="center"/>
              <w:rPr>
                <w:rFonts w:eastAsia="Times New Roman" w:cs="Arial"/>
                <w:sz w:val="20"/>
                <w:szCs w:val="20"/>
                <w:lang w:eastAsia="es-AR"/>
              </w:rPr>
            </w:pPr>
            <w:r w:rsidRPr="00FA4B2D">
              <w:rPr>
                <w:rFonts w:eastAsia="Times New Roman" w:cs="Arial"/>
                <w:sz w:val="20"/>
                <w:szCs w:val="20"/>
                <w:lang w:eastAsia="es-AR"/>
              </w:rPr>
              <w:t>2015</w:t>
            </w:r>
          </w:p>
        </w:tc>
        <w:tc>
          <w:tcPr>
            <w:tcW w:w="2262" w:type="dxa"/>
            <w:shd w:val="clear" w:color="auto" w:fill="FFFFFF" w:themeFill="background1"/>
            <w:noWrap/>
            <w:tcMar>
              <w:top w:w="75" w:type="dxa"/>
              <w:left w:w="75" w:type="dxa"/>
              <w:bottom w:w="75" w:type="dxa"/>
              <w:right w:w="75" w:type="dxa"/>
            </w:tcMar>
            <w:vAlign w:val="center"/>
            <w:hideMark/>
          </w:tcPr>
          <w:p w14:paraId="2B8278D0" w14:textId="77777777" w:rsidR="006A3DBC" w:rsidRPr="00FA4B2D" w:rsidRDefault="006A3DBC" w:rsidP="005F4A92">
            <w:pPr>
              <w:spacing w:after="300" w:line="240" w:lineRule="auto"/>
              <w:jc w:val="center"/>
              <w:rPr>
                <w:rFonts w:eastAsia="Times New Roman" w:cs="Arial"/>
                <w:sz w:val="20"/>
                <w:szCs w:val="20"/>
                <w:lang w:eastAsia="es-AR"/>
              </w:rPr>
            </w:pPr>
            <w:r w:rsidRPr="00FA4B2D">
              <w:rPr>
                <w:rFonts w:eastAsia="Times New Roman" w:cs="Arial"/>
                <w:sz w:val="20"/>
                <w:szCs w:val="20"/>
                <w:lang w:eastAsia="es-AR"/>
              </w:rPr>
              <w:t>306.211</w:t>
            </w:r>
          </w:p>
        </w:tc>
        <w:tc>
          <w:tcPr>
            <w:tcW w:w="1985" w:type="dxa"/>
            <w:shd w:val="clear" w:color="auto" w:fill="FFFFFF" w:themeFill="background1"/>
            <w:noWrap/>
            <w:tcMar>
              <w:top w:w="75" w:type="dxa"/>
              <w:left w:w="75" w:type="dxa"/>
              <w:bottom w:w="75" w:type="dxa"/>
              <w:right w:w="75" w:type="dxa"/>
            </w:tcMar>
            <w:vAlign w:val="center"/>
            <w:hideMark/>
          </w:tcPr>
          <w:p w14:paraId="47618A4B" w14:textId="77777777" w:rsidR="006A3DBC" w:rsidRPr="00FA4B2D" w:rsidRDefault="006A3DBC" w:rsidP="005F4A92">
            <w:pPr>
              <w:spacing w:after="300" w:line="240" w:lineRule="auto"/>
              <w:jc w:val="center"/>
              <w:rPr>
                <w:rFonts w:eastAsia="Times New Roman" w:cs="Arial"/>
                <w:sz w:val="20"/>
                <w:szCs w:val="20"/>
                <w:lang w:eastAsia="es-AR"/>
              </w:rPr>
            </w:pPr>
            <w:r w:rsidRPr="00FA4B2D">
              <w:rPr>
                <w:rFonts w:eastAsia="Times New Roman" w:cs="Arial"/>
                <w:sz w:val="20"/>
                <w:szCs w:val="20"/>
                <w:lang w:eastAsia="es-AR"/>
              </w:rPr>
              <w:t>424.885</w:t>
            </w:r>
          </w:p>
        </w:tc>
        <w:tc>
          <w:tcPr>
            <w:tcW w:w="1240" w:type="dxa"/>
            <w:shd w:val="clear" w:color="auto" w:fill="FFFFFF" w:themeFill="background1"/>
            <w:noWrap/>
            <w:tcMar>
              <w:top w:w="75" w:type="dxa"/>
              <w:left w:w="75" w:type="dxa"/>
              <w:bottom w:w="75" w:type="dxa"/>
              <w:right w:w="75" w:type="dxa"/>
            </w:tcMar>
            <w:vAlign w:val="center"/>
            <w:hideMark/>
          </w:tcPr>
          <w:p w14:paraId="04034B12" w14:textId="77777777" w:rsidR="006A3DBC" w:rsidRPr="00FA4B2D" w:rsidRDefault="006A3DBC" w:rsidP="005F4A92">
            <w:pPr>
              <w:spacing w:after="300" w:line="240" w:lineRule="auto"/>
              <w:jc w:val="center"/>
              <w:rPr>
                <w:rFonts w:eastAsia="Times New Roman" w:cs="Arial"/>
                <w:sz w:val="20"/>
                <w:szCs w:val="20"/>
                <w:lang w:eastAsia="es-AR"/>
              </w:rPr>
            </w:pPr>
            <w:r w:rsidRPr="00FA4B2D">
              <w:rPr>
                <w:rFonts w:eastAsia="Times New Roman" w:cs="Arial"/>
                <w:sz w:val="20"/>
                <w:szCs w:val="20"/>
                <w:lang w:eastAsia="es-AR"/>
              </w:rPr>
              <w:t>731.096</w:t>
            </w:r>
          </w:p>
        </w:tc>
        <w:tc>
          <w:tcPr>
            <w:tcW w:w="1701" w:type="dxa"/>
            <w:shd w:val="clear" w:color="auto" w:fill="FFFFFF" w:themeFill="background1"/>
            <w:noWrap/>
            <w:tcMar>
              <w:top w:w="75" w:type="dxa"/>
              <w:left w:w="75" w:type="dxa"/>
              <w:bottom w:w="75" w:type="dxa"/>
              <w:right w:w="75" w:type="dxa"/>
            </w:tcMar>
            <w:vAlign w:val="center"/>
            <w:hideMark/>
          </w:tcPr>
          <w:p w14:paraId="0D63B3A1" w14:textId="77777777" w:rsidR="006A3DBC" w:rsidRPr="00FA4B2D" w:rsidRDefault="006A3DBC" w:rsidP="005F4A92">
            <w:pPr>
              <w:spacing w:after="300" w:line="240" w:lineRule="auto"/>
              <w:jc w:val="center"/>
              <w:rPr>
                <w:rFonts w:eastAsia="Times New Roman" w:cs="Arial"/>
                <w:sz w:val="20"/>
                <w:szCs w:val="20"/>
                <w:lang w:eastAsia="es-AR"/>
              </w:rPr>
            </w:pPr>
            <w:r w:rsidRPr="00FA4B2D">
              <w:rPr>
                <w:rFonts w:eastAsia="Times New Roman" w:cs="Arial"/>
                <w:sz w:val="20"/>
                <w:szCs w:val="20"/>
                <w:lang w:eastAsia="es-AR"/>
              </w:rPr>
              <w:t>8,02%</w:t>
            </w:r>
          </w:p>
        </w:tc>
      </w:tr>
      <w:tr w:rsidR="006A3DBC" w:rsidRPr="00FA4B2D" w14:paraId="05F9AABE" w14:textId="77777777" w:rsidTr="005F4A92">
        <w:trPr>
          <w:trHeight w:hRule="exact" w:val="284"/>
          <w:jc w:val="center"/>
        </w:trPr>
        <w:tc>
          <w:tcPr>
            <w:tcW w:w="729" w:type="dxa"/>
            <w:shd w:val="clear" w:color="auto" w:fill="FFFFFF" w:themeFill="background1"/>
            <w:noWrap/>
            <w:tcMar>
              <w:top w:w="75" w:type="dxa"/>
              <w:left w:w="75" w:type="dxa"/>
              <w:bottom w:w="75" w:type="dxa"/>
              <w:right w:w="75" w:type="dxa"/>
            </w:tcMar>
            <w:vAlign w:val="center"/>
            <w:hideMark/>
          </w:tcPr>
          <w:p w14:paraId="1B83B9B2" w14:textId="77777777" w:rsidR="006A3DBC" w:rsidRPr="00FA4B2D" w:rsidRDefault="006A3DBC" w:rsidP="005F4A92">
            <w:pPr>
              <w:spacing w:after="300" w:line="240" w:lineRule="auto"/>
              <w:jc w:val="center"/>
              <w:rPr>
                <w:rFonts w:eastAsia="Times New Roman" w:cs="Arial"/>
                <w:sz w:val="20"/>
                <w:szCs w:val="20"/>
                <w:lang w:eastAsia="es-AR"/>
              </w:rPr>
            </w:pPr>
            <w:r w:rsidRPr="00FA4B2D">
              <w:rPr>
                <w:rFonts w:eastAsia="Times New Roman" w:cs="Arial"/>
                <w:sz w:val="20"/>
                <w:szCs w:val="20"/>
                <w:lang w:eastAsia="es-AR"/>
              </w:rPr>
              <w:t>2010</w:t>
            </w:r>
          </w:p>
        </w:tc>
        <w:tc>
          <w:tcPr>
            <w:tcW w:w="2262" w:type="dxa"/>
            <w:shd w:val="clear" w:color="auto" w:fill="FFFFFF" w:themeFill="background1"/>
            <w:noWrap/>
            <w:tcMar>
              <w:top w:w="75" w:type="dxa"/>
              <w:left w:w="75" w:type="dxa"/>
              <w:bottom w:w="75" w:type="dxa"/>
              <w:right w:w="75" w:type="dxa"/>
            </w:tcMar>
            <w:vAlign w:val="center"/>
            <w:hideMark/>
          </w:tcPr>
          <w:p w14:paraId="2777AC38" w14:textId="77777777" w:rsidR="006A3DBC" w:rsidRPr="00FA4B2D" w:rsidRDefault="006A3DBC" w:rsidP="005F4A92">
            <w:pPr>
              <w:spacing w:after="300" w:line="240" w:lineRule="auto"/>
              <w:jc w:val="center"/>
              <w:rPr>
                <w:rFonts w:eastAsia="Times New Roman" w:cs="Arial"/>
                <w:sz w:val="20"/>
                <w:szCs w:val="20"/>
                <w:lang w:eastAsia="es-AR"/>
              </w:rPr>
            </w:pPr>
            <w:r w:rsidRPr="00FA4B2D">
              <w:rPr>
                <w:rFonts w:eastAsia="Times New Roman" w:cs="Arial"/>
                <w:sz w:val="20"/>
                <w:szCs w:val="20"/>
                <w:lang w:eastAsia="es-AR"/>
              </w:rPr>
              <w:t>250.151</w:t>
            </w:r>
          </w:p>
        </w:tc>
        <w:tc>
          <w:tcPr>
            <w:tcW w:w="1985" w:type="dxa"/>
            <w:shd w:val="clear" w:color="auto" w:fill="FFFFFF" w:themeFill="background1"/>
            <w:noWrap/>
            <w:tcMar>
              <w:top w:w="75" w:type="dxa"/>
              <w:left w:w="75" w:type="dxa"/>
              <w:bottom w:w="75" w:type="dxa"/>
              <w:right w:w="75" w:type="dxa"/>
            </w:tcMar>
            <w:vAlign w:val="center"/>
            <w:hideMark/>
          </w:tcPr>
          <w:p w14:paraId="3516AFEB" w14:textId="77777777" w:rsidR="006A3DBC" w:rsidRPr="00FA4B2D" w:rsidRDefault="006A3DBC" w:rsidP="005F4A92">
            <w:pPr>
              <w:spacing w:after="300" w:line="240" w:lineRule="auto"/>
              <w:jc w:val="center"/>
              <w:rPr>
                <w:rFonts w:eastAsia="Times New Roman" w:cs="Arial"/>
                <w:sz w:val="20"/>
                <w:szCs w:val="20"/>
                <w:lang w:eastAsia="es-AR"/>
              </w:rPr>
            </w:pPr>
            <w:r w:rsidRPr="00FA4B2D">
              <w:rPr>
                <w:rFonts w:eastAsia="Times New Roman" w:cs="Arial"/>
                <w:sz w:val="20"/>
                <w:szCs w:val="20"/>
                <w:lang w:eastAsia="es-AR"/>
              </w:rPr>
              <w:t>337.735</w:t>
            </w:r>
          </w:p>
        </w:tc>
        <w:tc>
          <w:tcPr>
            <w:tcW w:w="1240" w:type="dxa"/>
            <w:shd w:val="clear" w:color="auto" w:fill="FFFFFF" w:themeFill="background1"/>
            <w:noWrap/>
            <w:tcMar>
              <w:top w:w="75" w:type="dxa"/>
              <w:left w:w="75" w:type="dxa"/>
              <w:bottom w:w="75" w:type="dxa"/>
              <w:right w:w="75" w:type="dxa"/>
            </w:tcMar>
            <w:vAlign w:val="center"/>
            <w:hideMark/>
          </w:tcPr>
          <w:p w14:paraId="4267A077" w14:textId="77777777" w:rsidR="006A3DBC" w:rsidRPr="00FA4B2D" w:rsidRDefault="006A3DBC" w:rsidP="005F4A92">
            <w:pPr>
              <w:spacing w:after="300" w:line="240" w:lineRule="auto"/>
              <w:jc w:val="center"/>
              <w:rPr>
                <w:rFonts w:eastAsia="Times New Roman" w:cs="Arial"/>
                <w:sz w:val="20"/>
                <w:szCs w:val="20"/>
                <w:lang w:eastAsia="es-AR"/>
              </w:rPr>
            </w:pPr>
            <w:r w:rsidRPr="00FA4B2D">
              <w:rPr>
                <w:rFonts w:eastAsia="Times New Roman" w:cs="Arial"/>
                <w:sz w:val="20"/>
                <w:szCs w:val="20"/>
                <w:lang w:eastAsia="es-AR"/>
              </w:rPr>
              <w:t>587.886</w:t>
            </w:r>
          </w:p>
        </w:tc>
        <w:tc>
          <w:tcPr>
            <w:tcW w:w="1701" w:type="dxa"/>
            <w:shd w:val="clear" w:color="auto" w:fill="FFFFFF" w:themeFill="background1"/>
            <w:noWrap/>
            <w:tcMar>
              <w:top w:w="75" w:type="dxa"/>
              <w:left w:w="75" w:type="dxa"/>
              <w:bottom w:w="75" w:type="dxa"/>
              <w:right w:w="75" w:type="dxa"/>
            </w:tcMar>
            <w:vAlign w:val="center"/>
            <w:hideMark/>
          </w:tcPr>
          <w:p w14:paraId="1C83C3C2" w14:textId="77777777" w:rsidR="006A3DBC" w:rsidRPr="00FA4B2D" w:rsidRDefault="006A3DBC" w:rsidP="005F4A92">
            <w:pPr>
              <w:spacing w:after="300" w:line="240" w:lineRule="auto"/>
              <w:jc w:val="center"/>
              <w:rPr>
                <w:rFonts w:eastAsia="Times New Roman" w:cs="Arial"/>
                <w:sz w:val="20"/>
                <w:szCs w:val="20"/>
                <w:lang w:eastAsia="es-AR"/>
              </w:rPr>
            </w:pPr>
            <w:r w:rsidRPr="00FA4B2D">
              <w:rPr>
                <w:rFonts w:eastAsia="Times New Roman" w:cs="Arial"/>
                <w:sz w:val="20"/>
                <w:szCs w:val="20"/>
                <w:lang w:eastAsia="es-AR"/>
              </w:rPr>
              <w:t>7,07%</w:t>
            </w:r>
          </w:p>
        </w:tc>
      </w:tr>
      <w:tr w:rsidR="006A3DBC" w:rsidRPr="00FA4B2D" w14:paraId="0267B87F" w14:textId="77777777" w:rsidTr="005F4A92">
        <w:trPr>
          <w:trHeight w:hRule="exact" w:val="284"/>
          <w:jc w:val="center"/>
        </w:trPr>
        <w:tc>
          <w:tcPr>
            <w:tcW w:w="729" w:type="dxa"/>
            <w:shd w:val="clear" w:color="auto" w:fill="FFFFFF" w:themeFill="background1"/>
            <w:noWrap/>
            <w:tcMar>
              <w:top w:w="75" w:type="dxa"/>
              <w:left w:w="75" w:type="dxa"/>
              <w:bottom w:w="75" w:type="dxa"/>
              <w:right w:w="75" w:type="dxa"/>
            </w:tcMar>
            <w:vAlign w:val="center"/>
            <w:hideMark/>
          </w:tcPr>
          <w:p w14:paraId="5617F684" w14:textId="77777777" w:rsidR="006A3DBC" w:rsidRPr="00FA4B2D" w:rsidRDefault="006A3DBC" w:rsidP="005F4A92">
            <w:pPr>
              <w:spacing w:after="300" w:line="240" w:lineRule="auto"/>
              <w:jc w:val="center"/>
              <w:rPr>
                <w:rFonts w:eastAsia="Times New Roman" w:cs="Arial"/>
                <w:sz w:val="20"/>
                <w:szCs w:val="20"/>
                <w:lang w:eastAsia="es-AR"/>
              </w:rPr>
            </w:pPr>
            <w:r w:rsidRPr="00FA4B2D">
              <w:rPr>
                <w:rFonts w:eastAsia="Times New Roman" w:cs="Arial"/>
                <w:sz w:val="20"/>
                <w:szCs w:val="20"/>
                <w:lang w:eastAsia="es-AR"/>
              </w:rPr>
              <w:t>2005</w:t>
            </w:r>
          </w:p>
        </w:tc>
        <w:tc>
          <w:tcPr>
            <w:tcW w:w="2262" w:type="dxa"/>
            <w:shd w:val="clear" w:color="auto" w:fill="FFFFFF" w:themeFill="background1"/>
            <w:noWrap/>
            <w:tcMar>
              <w:top w:w="75" w:type="dxa"/>
              <w:left w:w="75" w:type="dxa"/>
              <w:bottom w:w="75" w:type="dxa"/>
              <w:right w:w="75" w:type="dxa"/>
            </w:tcMar>
            <w:vAlign w:val="center"/>
            <w:hideMark/>
          </w:tcPr>
          <w:p w14:paraId="70590855" w14:textId="77777777" w:rsidR="006A3DBC" w:rsidRPr="00FA4B2D" w:rsidRDefault="006A3DBC" w:rsidP="005F4A92">
            <w:pPr>
              <w:spacing w:after="300" w:line="240" w:lineRule="auto"/>
              <w:jc w:val="center"/>
              <w:rPr>
                <w:rFonts w:eastAsia="Times New Roman" w:cs="Arial"/>
                <w:sz w:val="20"/>
                <w:szCs w:val="20"/>
                <w:lang w:eastAsia="es-AR"/>
              </w:rPr>
            </w:pPr>
            <w:r w:rsidRPr="00FA4B2D">
              <w:rPr>
                <w:rFonts w:eastAsia="Times New Roman" w:cs="Arial"/>
                <w:sz w:val="20"/>
                <w:szCs w:val="20"/>
                <w:lang w:eastAsia="es-AR"/>
              </w:rPr>
              <w:t>195.927</w:t>
            </w:r>
          </w:p>
        </w:tc>
        <w:tc>
          <w:tcPr>
            <w:tcW w:w="1985" w:type="dxa"/>
            <w:shd w:val="clear" w:color="auto" w:fill="FFFFFF" w:themeFill="background1"/>
            <w:noWrap/>
            <w:tcMar>
              <w:top w:w="75" w:type="dxa"/>
              <w:left w:w="75" w:type="dxa"/>
              <w:bottom w:w="75" w:type="dxa"/>
              <w:right w:w="75" w:type="dxa"/>
            </w:tcMar>
            <w:vAlign w:val="center"/>
            <w:hideMark/>
          </w:tcPr>
          <w:p w14:paraId="22A191AD" w14:textId="77777777" w:rsidR="006A3DBC" w:rsidRPr="00FA4B2D" w:rsidRDefault="006A3DBC" w:rsidP="005F4A92">
            <w:pPr>
              <w:spacing w:after="300" w:line="240" w:lineRule="auto"/>
              <w:jc w:val="center"/>
              <w:rPr>
                <w:rFonts w:eastAsia="Times New Roman" w:cs="Arial"/>
                <w:sz w:val="20"/>
                <w:szCs w:val="20"/>
                <w:lang w:eastAsia="es-AR"/>
              </w:rPr>
            </w:pPr>
            <w:r w:rsidRPr="00FA4B2D">
              <w:rPr>
                <w:rFonts w:eastAsia="Times New Roman" w:cs="Arial"/>
                <w:sz w:val="20"/>
                <w:szCs w:val="20"/>
                <w:lang w:eastAsia="es-AR"/>
              </w:rPr>
              <w:t>253.376</w:t>
            </w:r>
          </w:p>
        </w:tc>
        <w:tc>
          <w:tcPr>
            <w:tcW w:w="1240" w:type="dxa"/>
            <w:shd w:val="clear" w:color="auto" w:fill="FFFFFF" w:themeFill="background1"/>
            <w:noWrap/>
            <w:tcMar>
              <w:top w:w="75" w:type="dxa"/>
              <w:left w:w="75" w:type="dxa"/>
              <w:bottom w:w="75" w:type="dxa"/>
              <w:right w:w="75" w:type="dxa"/>
            </w:tcMar>
            <w:vAlign w:val="center"/>
            <w:hideMark/>
          </w:tcPr>
          <w:p w14:paraId="2B5E69CC" w14:textId="77777777" w:rsidR="006A3DBC" w:rsidRPr="00FA4B2D" w:rsidRDefault="006A3DBC" w:rsidP="005F4A92">
            <w:pPr>
              <w:spacing w:after="300" w:line="240" w:lineRule="auto"/>
              <w:jc w:val="center"/>
              <w:rPr>
                <w:rFonts w:eastAsia="Times New Roman" w:cs="Arial"/>
                <w:sz w:val="20"/>
                <w:szCs w:val="20"/>
                <w:lang w:eastAsia="es-AR"/>
              </w:rPr>
            </w:pPr>
            <w:r w:rsidRPr="00FA4B2D">
              <w:rPr>
                <w:rFonts w:eastAsia="Times New Roman" w:cs="Arial"/>
                <w:sz w:val="20"/>
                <w:szCs w:val="20"/>
                <w:lang w:eastAsia="es-AR"/>
              </w:rPr>
              <w:t>449.303</w:t>
            </w:r>
          </w:p>
        </w:tc>
        <w:tc>
          <w:tcPr>
            <w:tcW w:w="1701" w:type="dxa"/>
            <w:shd w:val="clear" w:color="auto" w:fill="FFFFFF" w:themeFill="background1"/>
            <w:noWrap/>
            <w:tcMar>
              <w:top w:w="75" w:type="dxa"/>
              <w:left w:w="75" w:type="dxa"/>
              <w:bottom w:w="75" w:type="dxa"/>
              <w:right w:w="75" w:type="dxa"/>
            </w:tcMar>
            <w:vAlign w:val="center"/>
            <w:hideMark/>
          </w:tcPr>
          <w:p w14:paraId="600D89AE" w14:textId="77777777" w:rsidR="006A3DBC" w:rsidRPr="00FA4B2D" w:rsidRDefault="006A3DBC" w:rsidP="005F4A92">
            <w:pPr>
              <w:spacing w:after="300" w:line="240" w:lineRule="auto"/>
              <w:jc w:val="center"/>
              <w:rPr>
                <w:rFonts w:eastAsia="Times New Roman" w:cs="Arial"/>
                <w:sz w:val="20"/>
                <w:szCs w:val="20"/>
                <w:lang w:eastAsia="es-AR"/>
              </w:rPr>
            </w:pPr>
            <w:r w:rsidRPr="00FA4B2D">
              <w:rPr>
                <w:rFonts w:eastAsia="Times New Roman" w:cs="Arial"/>
                <w:sz w:val="20"/>
                <w:szCs w:val="20"/>
                <w:lang w:eastAsia="es-AR"/>
              </w:rPr>
              <w:t>6,02%</w:t>
            </w:r>
          </w:p>
        </w:tc>
      </w:tr>
      <w:tr w:rsidR="006A3DBC" w:rsidRPr="00FA4B2D" w14:paraId="412220F0" w14:textId="77777777" w:rsidTr="005F4A92">
        <w:trPr>
          <w:trHeight w:hRule="exact" w:val="284"/>
          <w:jc w:val="center"/>
        </w:trPr>
        <w:tc>
          <w:tcPr>
            <w:tcW w:w="729" w:type="dxa"/>
            <w:shd w:val="clear" w:color="auto" w:fill="FFFFFF" w:themeFill="background1"/>
            <w:noWrap/>
            <w:tcMar>
              <w:top w:w="75" w:type="dxa"/>
              <w:left w:w="75" w:type="dxa"/>
              <w:bottom w:w="75" w:type="dxa"/>
              <w:right w:w="75" w:type="dxa"/>
            </w:tcMar>
            <w:vAlign w:val="center"/>
            <w:hideMark/>
          </w:tcPr>
          <w:p w14:paraId="601DA345" w14:textId="77777777" w:rsidR="006A3DBC" w:rsidRPr="00FA4B2D" w:rsidRDefault="006A3DBC" w:rsidP="005F4A92">
            <w:pPr>
              <w:spacing w:after="300" w:line="240" w:lineRule="auto"/>
              <w:jc w:val="center"/>
              <w:rPr>
                <w:rFonts w:eastAsia="Times New Roman" w:cs="Arial"/>
                <w:sz w:val="20"/>
                <w:szCs w:val="20"/>
                <w:lang w:eastAsia="es-AR"/>
              </w:rPr>
            </w:pPr>
            <w:r w:rsidRPr="00FA4B2D">
              <w:rPr>
                <w:rFonts w:eastAsia="Times New Roman" w:cs="Arial"/>
                <w:sz w:val="20"/>
                <w:szCs w:val="20"/>
                <w:lang w:eastAsia="es-AR"/>
              </w:rPr>
              <w:t>2000</w:t>
            </w:r>
          </w:p>
        </w:tc>
        <w:tc>
          <w:tcPr>
            <w:tcW w:w="2262" w:type="dxa"/>
            <w:shd w:val="clear" w:color="auto" w:fill="FFFFFF" w:themeFill="background1"/>
            <w:noWrap/>
            <w:tcMar>
              <w:top w:w="75" w:type="dxa"/>
              <w:left w:w="75" w:type="dxa"/>
              <w:bottom w:w="75" w:type="dxa"/>
              <w:right w:w="75" w:type="dxa"/>
            </w:tcMar>
            <w:vAlign w:val="center"/>
            <w:hideMark/>
          </w:tcPr>
          <w:p w14:paraId="6C0D84AE" w14:textId="77777777" w:rsidR="006A3DBC" w:rsidRPr="00FA4B2D" w:rsidRDefault="006A3DBC" w:rsidP="005F4A92">
            <w:pPr>
              <w:spacing w:after="300" w:line="240" w:lineRule="auto"/>
              <w:jc w:val="center"/>
              <w:rPr>
                <w:rFonts w:eastAsia="Times New Roman" w:cs="Arial"/>
                <w:sz w:val="20"/>
                <w:szCs w:val="20"/>
                <w:lang w:eastAsia="es-AR"/>
              </w:rPr>
            </w:pPr>
            <w:r w:rsidRPr="00FA4B2D">
              <w:rPr>
                <w:rFonts w:eastAsia="Times New Roman" w:cs="Arial"/>
                <w:sz w:val="20"/>
                <w:szCs w:val="20"/>
                <w:lang w:eastAsia="es-AR"/>
              </w:rPr>
              <w:t>148.486</w:t>
            </w:r>
          </w:p>
        </w:tc>
        <w:tc>
          <w:tcPr>
            <w:tcW w:w="1985" w:type="dxa"/>
            <w:shd w:val="clear" w:color="auto" w:fill="FFFFFF" w:themeFill="background1"/>
            <w:noWrap/>
            <w:tcMar>
              <w:top w:w="75" w:type="dxa"/>
              <w:left w:w="75" w:type="dxa"/>
              <w:bottom w:w="75" w:type="dxa"/>
              <w:right w:w="75" w:type="dxa"/>
            </w:tcMar>
            <w:vAlign w:val="center"/>
            <w:hideMark/>
          </w:tcPr>
          <w:p w14:paraId="5DA7E64B" w14:textId="77777777" w:rsidR="006A3DBC" w:rsidRPr="00FA4B2D" w:rsidRDefault="006A3DBC" w:rsidP="005F4A92">
            <w:pPr>
              <w:spacing w:after="300" w:line="240" w:lineRule="auto"/>
              <w:jc w:val="center"/>
              <w:rPr>
                <w:rFonts w:eastAsia="Times New Roman" w:cs="Arial"/>
                <w:sz w:val="20"/>
                <w:szCs w:val="20"/>
                <w:lang w:eastAsia="es-AR"/>
              </w:rPr>
            </w:pPr>
            <w:r w:rsidRPr="00FA4B2D">
              <w:rPr>
                <w:rFonts w:eastAsia="Times New Roman" w:cs="Arial"/>
                <w:sz w:val="20"/>
                <w:szCs w:val="20"/>
                <w:lang w:eastAsia="es-AR"/>
              </w:rPr>
              <w:t>193.851</w:t>
            </w:r>
          </w:p>
        </w:tc>
        <w:tc>
          <w:tcPr>
            <w:tcW w:w="1240" w:type="dxa"/>
            <w:shd w:val="clear" w:color="auto" w:fill="FFFFFF" w:themeFill="background1"/>
            <w:noWrap/>
            <w:tcMar>
              <w:top w:w="75" w:type="dxa"/>
              <w:left w:w="75" w:type="dxa"/>
              <w:bottom w:w="75" w:type="dxa"/>
              <w:right w:w="75" w:type="dxa"/>
            </w:tcMar>
            <w:vAlign w:val="center"/>
            <w:hideMark/>
          </w:tcPr>
          <w:p w14:paraId="0D3AB86C" w14:textId="77777777" w:rsidR="006A3DBC" w:rsidRPr="00FA4B2D" w:rsidRDefault="006A3DBC" w:rsidP="005F4A92">
            <w:pPr>
              <w:spacing w:after="300" w:line="240" w:lineRule="auto"/>
              <w:jc w:val="center"/>
              <w:rPr>
                <w:rFonts w:eastAsia="Times New Roman" w:cs="Arial"/>
                <w:sz w:val="20"/>
                <w:szCs w:val="20"/>
                <w:lang w:eastAsia="es-AR"/>
              </w:rPr>
            </w:pPr>
            <w:r w:rsidRPr="00FA4B2D">
              <w:rPr>
                <w:rFonts w:eastAsia="Times New Roman" w:cs="Arial"/>
                <w:sz w:val="20"/>
                <w:szCs w:val="20"/>
                <w:lang w:eastAsia="es-AR"/>
              </w:rPr>
              <w:t>342.337</w:t>
            </w:r>
          </w:p>
        </w:tc>
        <w:tc>
          <w:tcPr>
            <w:tcW w:w="1701" w:type="dxa"/>
            <w:shd w:val="clear" w:color="auto" w:fill="FFFFFF" w:themeFill="background1"/>
            <w:noWrap/>
            <w:tcMar>
              <w:top w:w="75" w:type="dxa"/>
              <w:left w:w="75" w:type="dxa"/>
              <w:bottom w:w="75" w:type="dxa"/>
              <w:right w:w="75" w:type="dxa"/>
            </w:tcMar>
            <w:vAlign w:val="center"/>
            <w:hideMark/>
          </w:tcPr>
          <w:p w14:paraId="20C1AD4D" w14:textId="77777777" w:rsidR="006A3DBC" w:rsidRPr="00FA4B2D" w:rsidRDefault="006A3DBC" w:rsidP="005F4A92">
            <w:pPr>
              <w:spacing w:after="300" w:line="240" w:lineRule="auto"/>
              <w:jc w:val="center"/>
              <w:rPr>
                <w:rFonts w:eastAsia="Times New Roman" w:cs="Arial"/>
                <w:sz w:val="20"/>
                <w:szCs w:val="20"/>
                <w:lang w:eastAsia="es-AR"/>
              </w:rPr>
            </w:pPr>
            <w:r w:rsidRPr="00FA4B2D">
              <w:rPr>
                <w:rFonts w:eastAsia="Times New Roman" w:cs="Arial"/>
                <w:sz w:val="20"/>
                <w:szCs w:val="20"/>
                <w:lang w:eastAsia="es-AR"/>
              </w:rPr>
              <w:t>5,21%</w:t>
            </w:r>
          </w:p>
        </w:tc>
      </w:tr>
      <w:tr w:rsidR="006A3DBC" w:rsidRPr="00FA4B2D" w14:paraId="577F9F0B" w14:textId="77777777" w:rsidTr="005F4A92">
        <w:trPr>
          <w:trHeight w:hRule="exact" w:val="284"/>
          <w:jc w:val="center"/>
        </w:trPr>
        <w:tc>
          <w:tcPr>
            <w:tcW w:w="729" w:type="dxa"/>
            <w:shd w:val="clear" w:color="auto" w:fill="FFFFFF" w:themeFill="background1"/>
            <w:noWrap/>
            <w:tcMar>
              <w:top w:w="75" w:type="dxa"/>
              <w:left w:w="75" w:type="dxa"/>
              <w:bottom w:w="75" w:type="dxa"/>
              <w:right w:w="75" w:type="dxa"/>
            </w:tcMar>
            <w:vAlign w:val="center"/>
            <w:hideMark/>
          </w:tcPr>
          <w:p w14:paraId="55567958" w14:textId="77777777" w:rsidR="006A3DBC" w:rsidRPr="00FA4B2D" w:rsidRDefault="006A3DBC" w:rsidP="005F4A92">
            <w:pPr>
              <w:spacing w:after="300" w:line="240" w:lineRule="auto"/>
              <w:jc w:val="center"/>
              <w:rPr>
                <w:rFonts w:eastAsia="Times New Roman" w:cs="Arial"/>
                <w:sz w:val="20"/>
                <w:szCs w:val="20"/>
                <w:lang w:eastAsia="es-AR"/>
              </w:rPr>
            </w:pPr>
            <w:r w:rsidRPr="00FA4B2D">
              <w:rPr>
                <w:rFonts w:eastAsia="Times New Roman" w:cs="Arial"/>
                <w:sz w:val="20"/>
                <w:szCs w:val="20"/>
                <w:lang w:eastAsia="es-AR"/>
              </w:rPr>
              <w:t>1995</w:t>
            </w:r>
          </w:p>
        </w:tc>
        <w:tc>
          <w:tcPr>
            <w:tcW w:w="2262" w:type="dxa"/>
            <w:shd w:val="clear" w:color="auto" w:fill="FFFFFF" w:themeFill="background1"/>
            <w:noWrap/>
            <w:tcMar>
              <w:top w:w="75" w:type="dxa"/>
              <w:left w:w="75" w:type="dxa"/>
              <w:bottom w:w="75" w:type="dxa"/>
              <w:right w:w="75" w:type="dxa"/>
            </w:tcMar>
            <w:vAlign w:val="center"/>
            <w:hideMark/>
          </w:tcPr>
          <w:p w14:paraId="7179FCDB" w14:textId="77777777" w:rsidR="006A3DBC" w:rsidRPr="00FA4B2D" w:rsidRDefault="006A3DBC" w:rsidP="005F4A92">
            <w:pPr>
              <w:spacing w:after="300" w:line="240" w:lineRule="auto"/>
              <w:jc w:val="center"/>
              <w:rPr>
                <w:rFonts w:eastAsia="Times New Roman" w:cs="Arial"/>
                <w:sz w:val="20"/>
                <w:szCs w:val="20"/>
                <w:lang w:eastAsia="es-AR"/>
              </w:rPr>
            </w:pPr>
            <w:r w:rsidRPr="00FA4B2D">
              <w:rPr>
                <w:rFonts w:eastAsia="Times New Roman" w:cs="Arial"/>
                <w:sz w:val="20"/>
                <w:szCs w:val="20"/>
                <w:lang w:eastAsia="es-AR"/>
              </w:rPr>
              <w:t>106.409</w:t>
            </w:r>
          </w:p>
        </w:tc>
        <w:tc>
          <w:tcPr>
            <w:tcW w:w="1985" w:type="dxa"/>
            <w:shd w:val="clear" w:color="auto" w:fill="FFFFFF" w:themeFill="background1"/>
            <w:noWrap/>
            <w:tcMar>
              <w:top w:w="75" w:type="dxa"/>
              <w:left w:w="75" w:type="dxa"/>
              <w:bottom w:w="75" w:type="dxa"/>
              <w:right w:w="75" w:type="dxa"/>
            </w:tcMar>
            <w:vAlign w:val="center"/>
            <w:hideMark/>
          </w:tcPr>
          <w:p w14:paraId="6FE6603B" w14:textId="77777777" w:rsidR="006A3DBC" w:rsidRPr="00FA4B2D" w:rsidRDefault="006A3DBC" w:rsidP="005F4A92">
            <w:pPr>
              <w:spacing w:after="300" w:line="240" w:lineRule="auto"/>
              <w:jc w:val="center"/>
              <w:rPr>
                <w:rFonts w:eastAsia="Times New Roman" w:cs="Arial"/>
                <w:sz w:val="20"/>
                <w:szCs w:val="20"/>
                <w:lang w:eastAsia="es-AR"/>
              </w:rPr>
            </w:pPr>
            <w:r w:rsidRPr="00FA4B2D">
              <w:rPr>
                <w:rFonts w:eastAsia="Times New Roman" w:cs="Arial"/>
                <w:sz w:val="20"/>
                <w:szCs w:val="20"/>
                <w:lang w:eastAsia="es-AR"/>
              </w:rPr>
              <w:t>140.390</w:t>
            </w:r>
          </w:p>
        </w:tc>
        <w:tc>
          <w:tcPr>
            <w:tcW w:w="1240" w:type="dxa"/>
            <w:shd w:val="clear" w:color="auto" w:fill="FFFFFF" w:themeFill="background1"/>
            <w:noWrap/>
            <w:tcMar>
              <w:top w:w="75" w:type="dxa"/>
              <w:left w:w="75" w:type="dxa"/>
              <w:bottom w:w="75" w:type="dxa"/>
              <w:right w:w="75" w:type="dxa"/>
            </w:tcMar>
            <w:vAlign w:val="center"/>
            <w:hideMark/>
          </w:tcPr>
          <w:p w14:paraId="7406AF3E" w14:textId="77777777" w:rsidR="006A3DBC" w:rsidRPr="00FA4B2D" w:rsidRDefault="006A3DBC" w:rsidP="005F4A92">
            <w:pPr>
              <w:spacing w:after="300" w:line="240" w:lineRule="auto"/>
              <w:jc w:val="center"/>
              <w:rPr>
                <w:rFonts w:eastAsia="Times New Roman" w:cs="Arial"/>
                <w:sz w:val="20"/>
                <w:szCs w:val="20"/>
                <w:lang w:eastAsia="es-AR"/>
              </w:rPr>
            </w:pPr>
            <w:r w:rsidRPr="00FA4B2D">
              <w:rPr>
                <w:rFonts w:eastAsia="Times New Roman" w:cs="Arial"/>
                <w:sz w:val="20"/>
                <w:szCs w:val="20"/>
                <w:lang w:eastAsia="es-AR"/>
              </w:rPr>
              <w:t>246.799</w:t>
            </w:r>
          </w:p>
        </w:tc>
        <w:tc>
          <w:tcPr>
            <w:tcW w:w="1701" w:type="dxa"/>
            <w:shd w:val="clear" w:color="auto" w:fill="FFFFFF" w:themeFill="background1"/>
            <w:noWrap/>
            <w:tcMar>
              <w:top w:w="75" w:type="dxa"/>
              <w:left w:w="75" w:type="dxa"/>
              <w:bottom w:w="75" w:type="dxa"/>
              <w:right w:w="75" w:type="dxa"/>
            </w:tcMar>
            <w:vAlign w:val="center"/>
            <w:hideMark/>
          </w:tcPr>
          <w:p w14:paraId="3F7DC872" w14:textId="77777777" w:rsidR="006A3DBC" w:rsidRPr="00FA4B2D" w:rsidRDefault="006A3DBC" w:rsidP="005F4A92">
            <w:pPr>
              <w:spacing w:after="300" w:line="240" w:lineRule="auto"/>
              <w:jc w:val="center"/>
              <w:rPr>
                <w:rFonts w:eastAsia="Times New Roman" w:cs="Arial"/>
                <w:sz w:val="20"/>
                <w:szCs w:val="20"/>
                <w:lang w:eastAsia="es-AR"/>
              </w:rPr>
            </w:pPr>
            <w:r w:rsidRPr="00FA4B2D">
              <w:rPr>
                <w:rFonts w:eastAsia="Times New Roman" w:cs="Arial"/>
                <w:sz w:val="20"/>
                <w:szCs w:val="20"/>
                <w:lang w:eastAsia="es-AR"/>
              </w:rPr>
              <w:t>4,32%</w:t>
            </w:r>
          </w:p>
        </w:tc>
      </w:tr>
      <w:tr w:rsidR="006A3DBC" w:rsidRPr="00FA4B2D" w14:paraId="4360ADA8" w14:textId="77777777" w:rsidTr="005F4A92">
        <w:trPr>
          <w:trHeight w:hRule="exact" w:val="523"/>
          <w:jc w:val="center"/>
        </w:trPr>
        <w:tc>
          <w:tcPr>
            <w:tcW w:w="729" w:type="dxa"/>
            <w:shd w:val="clear" w:color="auto" w:fill="FFFFFF" w:themeFill="background1"/>
            <w:noWrap/>
            <w:tcMar>
              <w:top w:w="75" w:type="dxa"/>
              <w:left w:w="75" w:type="dxa"/>
              <w:bottom w:w="75" w:type="dxa"/>
              <w:right w:w="75" w:type="dxa"/>
            </w:tcMar>
            <w:vAlign w:val="center"/>
            <w:hideMark/>
          </w:tcPr>
          <w:p w14:paraId="56055CD6" w14:textId="77777777" w:rsidR="006A3DBC" w:rsidRPr="00FA4B2D" w:rsidRDefault="006A3DBC" w:rsidP="005F4A92">
            <w:pPr>
              <w:spacing w:after="300" w:line="240" w:lineRule="auto"/>
              <w:jc w:val="center"/>
              <w:rPr>
                <w:rFonts w:eastAsia="Times New Roman" w:cs="Arial"/>
                <w:sz w:val="20"/>
                <w:szCs w:val="20"/>
                <w:lang w:eastAsia="es-AR"/>
              </w:rPr>
            </w:pPr>
            <w:r w:rsidRPr="00FA4B2D">
              <w:rPr>
                <w:rFonts w:eastAsia="Times New Roman" w:cs="Arial"/>
                <w:sz w:val="20"/>
                <w:szCs w:val="20"/>
                <w:lang w:eastAsia="es-AR"/>
              </w:rPr>
              <w:t>1990</w:t>
            </w:r>
          </w:p>
        </w:tc>
        <w:tc>
          <w:tcPr>
            <w:tcW w:w="2262" w:type="dxa"/>
            <w:shd w:val="clear" w:color="auto" w:fill="FFFFFF" w:themeFill="background1"/>
            <w:noWrap/>
            <w:tcMar>
              <w:top w:w="75" w:type="dxa"/>
              <w:left w:w="75" w:type="dxa"/>
              <w:bottom w:w="75" w:type="dxa"/>
              <w:right w:w="75" w:type="dxa"/>
            </w:tcMar>
            <w:vAlign w:val="center"/>
            <w:hideMark/>
          </w:tcPr>
          <w:p w14:paraId="26C7508A" w14:textId="77777777" w:rsidR="006A3DBC" w:rsidRPr="00FA4B2D" w:rsidRDefault="006A3DBC" w:rsidP="005F4A92">
            <w:pPr>
              <w:spacing w:after="300" w:line="240" w:lineRule="auto"/>
              <w:jc w:val="center"/>
              <w:rPr>
                <w:rFonts w:eastAsia="Times New Roman" w:cs="Arial"/>
                <w:sz w:val="20"/>
                <w:szCs w:val="20"/>
                <w:lang w:eastAsia="es-AR"/>
              </w:rPr>
            </w:pPr>
            <w:r w:rsidRPr="00FA4B2D">
              <w:rPr>
                <w:rFonts w:eastAsia="Times New Roman" w:cs="Arial"/>
                <w:sz w:val="20"/>
                <w:szCs w:val="20"/>
                <w:lang w:eastAsia="es-AR"/>
              </w:rPr>
              <w:t>66.907</w:t>
            </w:r>
          </w:p>
        </w:tc>
        <w:tc>
          <w:tcPr>
            <w:tcW w:w="1985" w:type="dxa"/>
            <w:shd w:val="clear" w:color="auto" w:fill="FFFFFF" w:themeFill="background1"/>
            <w:noWrap/>
            <w:tcMar>
              <w:top w:w="75" w:type="dxa"/>
              <w:left w:w="75" w:type="dxa"/>
              <w:bottom w:w="75" w:type="dxa"/>
              <w:right w:w="75" w:type="dxa"/>
            </w:tcMar>
            <w:vAlign w:val="center"/>
            <w:hideMark/>
          </w:tcPr>
          <w:p w14:paraId="47698CF5" w14:textId="77777777" w:rsidR="006A3DBC" w:rsidRPr="00FA4B2D" w:rsidRDefault="006A3DBC" w:rsidP="005F4A92">
            <w:pPr>
              <w:spacing w:after="300" w:line="240" w:lineRule="auto"/>
              <w:jc w:val="center"/>
              <w:rPr>
                <w:rFonts w:eastAsia="Times New Roman" w:cs="Arial"/>
                <w:sz w:val="20"/>
                <w:szCs w:val="20"/>
                <w:lang w:eastAsia="es-AR"/>
              </w:rPr>
            </w:pPr>
            <w:r w:rsidRPr="00FA4B2D">
              <w:rPr>
                <w:rFonts w:eastAsia="Times New Roman" w:cs="Arial"/>
                <w:sz w:val="20"/>
                <w:szCs w:val="20"/>
                <w:lang w:eastAsia="es-AR"/>
              </w:rPr>
              <w:t>89.687</w:t>
            </w:r>
          </w:p>
        </w:tc>
        <w:tc>
          <w:tcPr>
            <w:tcW w:w="1240" w:type="dxa"/>
            <w:shd w:val="clear" w:color="auto" w:fill="FFFFFF" w:themeFill="background1"/>
            <w:noWrap/>
            <w:tcMar>
              <w:top w:w="75" w:type="dxa"/>
              <w:left w:w="75" w:type="dxa"/>
              <w:bottom w:w="75" w:type="dxa"/>
              <w:right w:w="75" w:type="dxa"/>
            </w:tcMar>
            <w:vAlign w:val="center"/>
            <w:hideMark/>
          </w:tcPr>
          <w:p w14:paraId="37517024" w14:textId="77777777" w:rsidR="006A3DBC" w:rsidRPr="00FA4B2D" w:rsidRDefault="006A3DBC" w:rsidP="005F4A92">
            <w:pPr>
              <w:spacing w:after="300" w:line="240" w:lineRule="auto"/>
              <w:jc w:val="center"/>
              <w:rPr>
                <w:rFonts w:eastAsia="Times New Roman" w:cs="Arial"/>
                <w:sz w:val="20"/>
                <w:szCs w:val="20"/>
                <w:lang w:eastAsia="es-AR"/>
              </w:rPr>
            </w:pPr>
            <w:r w:rsidRPr="00FA4B2D">
              <w:rPr>
                <w:rFonts w:eastAsia="Times New Roman" w:cs="Arial"/>
                <w:sz w:val="20"/>
                <w:szCs w:val="20"/>
                <w:lang w:eastAsia="es-AR"/>
              </w:rPr>
              <w:t>156.594</w:t>
            </w:r>
          </w:p>
        </w:tc>
        <w:tc>
          <w:tcPr>
            <w:tcW w:w="1701" w:type="dxa"/>
            <w:shd w:val="clear" w:color="auto" w:fill="FFFFFF" w:themeFill="background1"/>
            <w:noWrap/>
            <w:tcMar>
              <w:top w:w="75" w:type="dxa"/>
              <w:left w:w="75" w:type="dxa"/>
              <w:bottom w:w="75" w:type="dxa"/>
              <w:right w:w="75" w:type="dxa"/>
            </w:tcMar>
            <w:vAlign w:val="center"/>
            <w:hideMark/>
          </w:tcPr>
          <w:p w14:paraId="4A47E673" w14:textId="77777777" w:rsidR="006A3DBC" w:rsidRPr="00FA4B2D" w:rsidRDefault="006A3DBC" w:rsidP="005F4A92">
            <w:pPr>
              <w:spacing w:after="300" w:line="240" w:lineRule="auto"/>
              <w:jc w:val="center"/>
              <w:rPr>
                <w:rFonts w:eastAsia="Times New Roman" w:cs="Arial"/>
                <w:sz w:val="20"/>
                <w:szCs w:val="20"/>
                <w:lang w:eastAsia="es-AR"/>
              </w:rPr>
            </w:pPr>
            <w:r w:rsidRPr="00FA4B2D">
              <w:rPr>
                <w:rFonts w:eastAsia="Times New Roman" w:cs="Arial"/>
                <w:sz w:val="20"/>
                <w:szCs w:val="20"/>
                <w:lang w:eastAsia="es-AR"/>
              </w:rPr>
              <w:t>3,16%</w:t>
            </w:r>
          </w:p>
        </w:tc>
      </w:tr>
    </w:tbl>
    <w:p w14:paraId="6EF2E4BD" w14:textId="77777777" w:rsidR="006A3DBC" w:rsidRPr="00FA4B2D" w:rsidRDefault="006A3DBC" w:rsidP="006A3DBC">
      <w:pPr>
        <w:pStyle w:val="Prrafodelista"/>
        <w:spacing w:after="0" w:line="240" w:lineRule="auto"/>
        <w:ind w:left="0"/>
        <w:jc w:val="both"/>
        <w:rPr>
          <w:rFonts w:cs="Arial"/>
          <w:sz w:val="20"/>
          <w:szCs w:val="20"/>
          <w:lang w:val="es-ES"/>
        </w:rPr>
      </w:pPr>
      <w:r w:rsidRPr="00FA4B2D">
        <w:rPr>
          <w:rFonts w:cs="Arial"/>
          <w:b/>
          <w:bCs/>
          <w:sz w:val="20"/>
          <w:szCs w:val="20"/>
          <w:lang w:val="es-ES"/>
        </w:rPr>
        <w:t>Fuente</w:t>
      </w:r>
      <w:r w:rsidRPr="00FA4B2D">
        <w:rPr>
          <w:rFonts w:cs="Arial"/>
          <w:sz w:val="20"/>
          <w:szCs w:val="20"/>
          <w:lang w:val="es-ES"/>
        </w:rPr>
        <w:t>: ONU 2017</w:t>
      </w:r>
    </w:p>
    <w:p w14:paraId="773E1746" w14:textId="77777777" w:rsidR="006A3DBC" w:rsidRPr="00FA4B2D" w:rsidRDefault="006A3DBC" w:rsidP="006A3DBC">
      <w:pPr>
        <w:spacing w:after="0" w:line="240" w:lineRule="auto"/>
        <w:jc w:val="both"/>
        <w:rPr>
          <w:rFonts w:cs="Arial"/>
        </w:rPr>
      </w:pPr>
    </w:p>
    <w:p w14:paraId="240FD8EF" w14:textId="77777777" w:rsidR="006A3DBC" w:rsidRPr="00FA4B2D" w:rsidRDefault="006A3DBC" w:rsidP="006A3DBC">
      <w:pPr>
        <w:pStyle w:val="Prrafodelista"/>
        <w:spacing w:after="0" w:line="240" w:lineRule="auto"/>
        <w:ind w:left="0"/>
        <w:jc w:val="both"/>
        <w:rPr>
          <w:rFonts w:cs="Arial"/>
        </w:rPr>
      </w:pPr>
      <w:r w:rsidRPr="00FA4B2D">
        <w:rPr>
          <w:rFonts w:cs="Arial"/>
        </w:rPr>
        <w:t>Los efectos de la migración externa es que a nivel económico el aporte de las remesas representó para el año 2017 cerca del 18% del total de Producto Interno Bruto (PIB)</w:t>
      </w:r>
      <w:r w:rsidRPr="00FA4B2D">
        <w:rPr>
          <w:rStyle w:val="Refdenotaalpie"/>
          <w:rFonts w:cs="Arial"/>
        </w:rPr>
        <w:footnoteReference w:id="24"/>
      </w:r>
      <w:r w:rsidRPr="00FA4B2D">
        <w:rPr>
          <w:rFonts w:cs="Arial"/>
        </w:rPr>
        <w:t>, por lo tanto, es una fuente de ingresos que sostiene la economía en periodos donde las divisas decaen por baja de precios y falta de competitividad en los mercados internacionales. La pandemia de la COVID-19 está afectando significativamente la fuente de remesas. Se espera que estas pérdidas de ingresos afecten especialmente a los pobres, los vulnerables y la clase media.</w:t>
      </w:r>
    </w:p>
    <w:p w14:paraId="0F021016" w14:textId="77777777" w:rsidR="006A3DBC" w:rsidRPr="00FA4B2D" w:rsidRDefault="006A3DBC" w:rsidP="006A3DBC">
      <w:pPr>
        <w:pStyle w:val="Prrafodelista"/>
        <w:spacing w:after="0" w:line="240" w:lineRule="auto"/>
        <w:ind w:left="0"/>
        <w:jc w:val="both"/>
        <w:rPr>
          <w:rFonts w:cs="Arial"/>
        </w:rPr>
      </w:pPr>
    </w:p>
    <w:p w14:paraId="5D2FC580" w14:textId="77777777" w:rsidR="006A3DBC" w:rsidRPr="00FA4B2D" w:rsidRDefault="006A3DBC" w:rsidP="006A3DBC">
      <w:pPr>
        <w:pStyle w:val="Prrafodelista"/>
        <w:spacing w:after="0" w:line="240" w:lineRule="auto"/>
        <w:ind w:left="0"/>
        <w:jc w:val="both"/>
        <w:rPr>
          <w:rFonts w:cs="Arial"/>
        </w:rPr>
      </w:pPr>
      <w:r w:rsidRPr="00FA4B2D">
        <w:rPr>
          <w:rFonts w:cs="Arial"/>
        </w:rPr>
        <w:t>Muy a pesar de esta implicación favorable de las remesas, es evidente que los efectos en las familias hondureñas son desfavorables, muchos hogares desintegrados, hijos bajo responsabilidad de familiares y particulares, pérdida del control y valores en la familia, las remesas son utilizados para el consumo sin generar riqueza, familias dependientes sin expectativas de desarrollo, etc.</w:t>
      </w:r>
    </w:p>
    <w:p w14:paraId="0CB8B178" w14:textId="77777777" w:rsidR="006A3DBC" w:rsidRPr="00FA4B2D" w:rsidRDefault="006A3DBC" w:rsidP="006A3DBC">
      <w:pPr>
        <w:pStyle w:val="Prrafodelista"/>
        <w:spacing w:after="0" w:line="240" w:lineRule="auto"/>
        <w:ind w:left="0"/>
        <w:jc w:val="both"/>
        <w:rPr>
          <w:rFonts w:cs="Arial"/>
        </w:rPr>
      </w:pPr>
    </w:p>
    <w:p w14:paraId="247D06A3" w14:textId="77777777" w:rsidR="006A3DBC" w:rsidRPr="00FA4B2D" w:rsidRDefault="006A3DBC" w:rsidP="006A3DBC">
      <w:pPr>
        <w:pStyle w:val="Prrafodelista"/>
        <w:spacing w:after="0" w:line="240" w:lineRule="auto"/>
        <w:ind w:left="0"/>
        <w:jc w:val="both"/>
        <w:rPr>
          <w:rFonts w:cs="Arial"/>
        </w:rPr>
      </w:pPr>
      <w:r w:rsidRPr="00FA4B2D">
        <w:rPr>
          <w:rFonts w:cs="Arial"/>
        </w:rPr>
        <w:t xml:space="preserve">En el caso de las zonas rurales de los países de origen, la migración afecta a la oferta de mano de obra, así como a la combinación relativa de destrezas y a la composición demográfica de la población que permanece en la zona. La migración puede reducir la presión de los mercados de trabajo locales y contribuir a una asignación más eficiente de la mano de obra y al aumento de los salarios agrícolas; sin embargo, las </w:t>
      </w:r>
      <w:r w:rsidRPr="00FA4B2D">
        <w:rPr>
          <w:rFonts w:cs="Arial"/>
        </w:rPr>
        <w:lastRenderedPageBreak/>
        <w:t xml:space="preserve">zonas rurales de origen corren el riesgo de perder la parte más joven, vital y dinámica de su mano de obra. </w:t>
      </w:r>
    </w:p>
    <w:p w14:paraId="6B745DF9" w14:textId="77777777" w:rsidR="006A3DBC" w:rsidRPr="00FA4B2D" w:rsidRDefault="006A3DBC" w:rsidP="006A3DBC">
      <w:pPr>
        <w:pStyle w:val="Prrafodelista"/>
        <w:spacing w:after="0" w:line="240" w:lineRule="auto"/>
        <w:ind w:left="0"/>
        <w:jc w:val="both"/>
        <w:rPr>
          <w:rFonts w:cs="Arial"/>
        </w:rPr>
      </w:pPr>
    </w:p>
    <w:p w14:paraId="6A461397" w14:textId="77777777" w:rsidR="006A3DBC" w:rsidRPr="00FA4B2D" w:rsidRDefault="006A3DBC" w:rsidP="00411720">
      <w:pPr>
        <w:pStyle w:val="Ttulo2"/>
        <w:numPr>
          <w:ilvl w:val="2"/>
          <w:numId w:val="70"/>
        </w:numPr>
        <w:spacing w:before="0" w:line="240" w:lineRule="auto"/>
        <w:jc w:val="both"/>
        <w:rPr>
          <w:rFonts w:ascii="Arial" w:hAnsi="Arial" w:cs="Arial"/>
          <w:b/>
          <w:bCs/>
          <w:color w:val="767171" w:themeColor="background2" w:themeShade="80"/>
          <w:sz w:val="22"/>
          <w:szCs w:val="22"/>
        </w:rPr>
      </w:pPr>
      <w:bookmarkStart w:id="650" w:name="_Toc65884183"/>
      <w:bookmarkStart w:id="651" w:name="_Toc67573406"/>
      <w:bookmarkStart w:id="652" w:name="_Toc202456925"/>
      <w:r w:rsidRPr="00FA4B2D">
        <w:rPr>
          <w:rFonts w:ascii="Arial" w:hAnsi="Arial" w:cs="Arial"/>
          <w:b/>
          <w:bCs/>
          <w:color w:val="767171" w:themeColor="background2" w:themeShade="80"/>
          <w:sz w:val="22"/>
          <w:szCs w:val="22"/>
        </w:rPr>
        <w:t>Contexto de Crimen y Violencia</w:t>
      </w:r>
      <w:bookmarkEnd w:id="650"/>
      <w:bookmarkEnd w:id="651"/>
      <w:bookmarkEnd w:id="652"/>
      <w:r w:rsidRPr="00FA4B2D">
        <w:rPr>
          <w:rFonts w:ascii="Arial" w:hAnsi="Arial" w:cs="Arial"/>
          <w:b/>
          <w:bCs/>
          <w:color w:val="767171" w:themeColor="background2" w:themeShade="80"/>
          <w:sz w:val="22"/>
          <w:szCs w:val="22"/>
        </w:rPr>
        <w:t xml:space="preserve"> </w:t>
      </w:r>
    </w:p>
    <w:p w14:paraId="1D6A64B2" w14:textId="77777777" w:rsidR="006A3DBC" w:rsidRPr="00FA4B2D" w:rsidRDefault="006A3DBC" w:rsidP="006A3DBC">
      <w:pPr>
        <w:pStyle w:val="Prrafodelista"/>
        <w:spacing w:after="0" w:line="240" w:lineRule="auto"/>
        <w:ind w:left="360"/>
        <w:jc w:val="both"/>
        <w:rPr>
          <w:rFonts w:cs="Arial"/>
          <w:b/>
        </w:rPr>
      </w:pPr>
    </w:p>
    <w:p w14:paraId="15A5B62A" w14:textId="77777777" w:rsidR="006A3DBC" w:rsidRPr="00FA4B2D" w:rsidRDefault="006A3DBC" w:rsidP="006A3DBC">
      <w:pPr>
        <w:spacing w:line="240" w:lineRule="auto"/>
        <w:jc w:val="both"/>
        <w:rPr>
          <w:rFonts w:cs="Arial"/>
        </w:rPr>
      </w:pPr>
      <w:r w:rsidRPr="00FA4B2D">
        <w:rPr>
          <w:rFonts w:cs="Arial"/>
        </w:rPr>
        <w:t>Honduras es uno de los países que no está en guerra más violentos del planeta. La violencia en el país es perpetrada por organizaciones criminales transnacionales, grupos locales de tráfico de drogas, pandillas y miembros corruptos de las fuerzas de seguridad, entre otros actores. Esta violencia constituye un foco de atención de los organismos de cooperación internacional, los gobiernos y las organizaciones multilaterales que suministran asistencia a Honduras, y es un tema central de los medios de comunicación dentro y fuera del país.</w:t>
      </w:r>
    </w:p>
    <w:p w14:paraId="114A3743" w14:textId="77777777" w:rsidR="006A3DBC" w:rsidRPr="00FA4B2D" w:rsidRDefault="006A3DBC" w:rsidP="006A3DBC">
      <w:pPr>
        <w:spacing w:line="240" w:lineRule="auto"/>
        <w:jc w:val="both"/>
        <w:rPr>
          <w:rFonts w:cs="Arial"/>
        </w:rPr>
      </w:pPr>
      <w:r w:rsidRPr="00FA4B2D">
        <w:rPr>
          <w:rFonts w:cs="Arial"/>
        </w:rPr>
        <w:t xml:space="preserve">Varias razones explican este hecho. La violencia afecta desproporcionadamente a las personas de las zonas pobres y marginales, y tiende a permanecer concentrada en ellas un círculo vicioso difícil de romper en las naciones pobres. Además, la violencia impide el desarrollo económico y altera la vida de todos en la dinámica socioeconómica. Puede dar lugar a significativos cambios demográficos y a crisis, cuando grandes sectores de la población se trasladan a zonas urbanas o intentan migrar a otros países. </w:t>
      </w:r>
    </w:p>
    <w:p w14:paraId="6736BC2F" w14:textId="77777777" w:rsidR="006A3DBC" w:rsidRPr="00FA4B2D" w:rsidRDefault="006A3DBC" w:rsidP="006A3DBC">
      <w:pPr>
        <w:spacing w:after="0" w:line="240" w:lineRule="auto"/>
        <w:jc w:val="both"/>
        <w:rPr>
          <w:rFonts w:cs="Arial"/>
        </w:rPr>
      </w:pPr>
      <w:r w:rsidRPr="00FA4B2D">
        <w:rPr>
          <w:rFonts w:cs="Arial"/>
        </w:rPr>
        <w:t>La tasa de homicidios en Honduras durante 2017 fue de 43.6 víctimas por cada cien mil habitantes; pese a la reducción de 15.5 puntos en el riesgo en comparación con la de 2016 (59.1), sigue siendo cinco veces más alta que el estándar mundial (8.8). Entre el 2004 y 2017, existieron 67,961 víctimas de homicidio</w:t>
      </w:r>
      <w:r w:rsidRPr="00FA4B2D">
        <w:rPr>
          <w:rStyle w:val="Refdenotaalpie"/>
          <w:rFonts w:cs="Arial"/>
        </w:rPr>
        <w:footnoteReference w:id="25"/>
      </w:r>
      <w:r w:rsidRPr="00FA4B2D">
        <w:rPr>
          <w:rFonts w:cs="Arial"/>
        </w:rPr>
        <w:t xml:space="preserve">. </w:t>
      </w:r>
    </w:p>
    <w:p w14:paraId="39DE55C7" w14:textId="77777777" w:rsidR="006A3DBC" w:rsidRPr="00FA4B2D" w:rsidRDefault="006A3DBC" w:rsidP="006A3DBC">
      <w:pPr>
        <w:spacing w:after="0" w:line="240" w:lineRule="auto"/>
        <w:jc w:val="both"/>
        <w:rPr>
          <w:rFonts w:cs="Arial"/>
        </w:rPr>
      </w:pPr>
    </w:p>
    <w:p w14:paraId="218D930E" w14:textId="3A680BDC" w:rsidR="006A3DBC" w:rsidRPr="00FA4B2D" w:rsidRDefault="006A3DBC" w:rsidP="006A3DBC">
      <w:pPr>
        <w:spacing w:after="0" w:line="240" w:lineRule="auto"/>
        <w:jc w:val="both"/>
        <w:rPr>
          <w:rFonts w:cs="Arial"/>
        </w:rPr>
      </w:pPr>
      <w:r w:rsidRPr="00FA4B2D">
        <w:rPr>
          <w:rFonts w:cs="Arial"/>
        </w:rPr>
        <w:t xml:space="preserve">Datos más recientes de la </w:t>
      </w:r>
      <w:r w:rsidR="3DAEC439" w:rsidRPr="00FA4B2D">
        <w:rPr>
          <w:rFonts w:cs="Arial"/>
        </w:rPr>
        <w:t>Policía</w:t>
      </w:r>
      <w:r w:rsidRPr="00FA4B2D">
        <w:rPr>
          <w:rFonts w:cs="Arial"/>
        </w:rPr>
        <w:t xml:space="preserve"> Nacional, definen que para el año 2023, se obtuvo una reducción de 626 casos de homicidios comparados con el año 2022, así como una reducción de 7 puntos en la tasa de homicidios por cada 100 mil habitantes, que preliminarmente cerró en 31.14. De las 3,035 víctimas de homicidio, 380 (13%) son del sexo femenino y 145 (5%) son menores de 18 años. La incidencia de homicidios múltiples refleja una reducción del 23%, con 11 hechos violentos menos, comparado con el año 2022. 1,604 homicidios se suscitaron en área urbana y 1,431 en área rural, 1,507 homicidios fueron por intolerancia en la convivencia social, 2,253 homicidios fueron perpetrados con arma de fuego</w:t>
      </w:r>
      <w:r w:rsidRPr="00FA4B2D">
        <w:rPr>
          <w:rStyle w:val="Refdenotaalpie"/>
          <w:rFonts w:cs="Arial"/>
        </w:rPr>
        <w:footnoteReference w:id="26"/>
      </w:r>
      <w:r w:rsidRPr="00FA4B2D">
        <w:rPr>
          <w:rFonts w:cs="Arial"/>
        </w:rPr>
        <w:t>.</w:t>
      </w:r>
    </w:p>
    <w:p w14:paraId="4F4F38CE" w14:textId="77777777" w:rsidR="006A3DBC" w:rsidRPr="00FA4B2D" w:rsidRDefault="006A3DBC" w:rsidP="006A3DBC">
      <w:pPr>
        <w:spacing w:after="0" w:line="240" w:lineRule="auto"/>
        <w:jc w:val="both"/>
        <w:rPr>
          <w:rFonts w:cs="Arial"/>
        </w:rPr>
      </w:pPr>
    </w:p>
    <w:p w14:paraId="03C64D49" w14:textId="77777777" w:rsidR="006A3DBC" w:rsidRPr="00FA4B2D" w:rsidRDefault="006A3DBC" w:rsidP="006A3DBC">
      <w:pPr>
        <w:spacing w:after="0" w:line="240" w:lineRule="auto"/>
        <w:jc w:val="both"/>
        <w:rPr>
          <w:rFonts w:cs="Arial"/>
        </w:rPr>
      </w:pPr>
    </w:p>
    <w:p w14:paraId="115FDD02" w14:textId="08F92355" w:rsidR="00EF7331" w:rsidRDefault="00EF7331" w:rsidP="00EF7331">
      <w:pPr>
        <w:pStyle w:val="Descripcin"/>
        <w:keepNext/>
        <w:jc w:val="both"/>
      </w:pPr>
      <w:bookmarkStart w:id="653" w:name="_Toc202455585"/>
      <w:r>
        <w:lastRenderedPageBreak/>
        <w:t xml:space="preserve">Ilustración </w:t>
      </w:r>
      <w:r>
        <w:fldChar w:fldCharType="begin"/>
      </w:r>
      <w:r>
        <w:instrText xml:space="preserve"> SEQ Ilustración \* ARABIC </w:instrText>
      </w:r>
      <w:r>
        <w:fldChar w:fldCharType="separate"/>
      </w:r>
      <w:r w:rsidR="00F94AC4">
        <w:rPr>
          <w:noProof/>
        </w:rPr>
        <w:t>23</w:t>
      </w:r>
      <w:r>
        <w:fldChar w:fldCharType="end"/>
      </w:r>
      <w:r>
        <w:t xml:space="preserve">: </w:t>
      </w:r>
      <w:r w:rsidRPr="002938E9">
        <w:t>Tasa de Homicidios por Departamento</w:t>
      </w:r>
      <w:bookmarkEnd w:id="653"/>
      <w:r w:rsidR="00CF0F96">
        <w:t>, 2023</w:t>
      </w:r>
    </w:p>
    <w:p w14:paraId="698FAB9B" w14:textId="77777777" w:rsidR="006A3DBC" w:rsidRPr="00FA4B2D" w:rsidRDefault="006A3DBC" w:rsidP="006A3DBC">
      <w:pPr>
        <w:spacing w:after="0" w:line="240" w:lineRule="auto"/>
        <w:jc w:val="both"/>
        <w:rPr>
          <w:rFonts w:cs="Arial"/>
        </w:rPr>
      </w:pPr>
      <w:r w:rsidRPr="00FA4B2D">
        <w:rPr>
          <w:rFonts w:cs="Arial"/>
          <w:noProof/>
          <w:lang w:val="es-HN" w:eastAsia="es-HN"/>
        </w:rPr>
        <w:drawing>
          <wp:inline distT="0" distB="0" distL="0" distR="0" wp14:anchorId="006F84ED" wp14:editId="73401C9C">
            <wp:extent cx="5668645" cy="2644085"/>
            <wp:effectExtent l="0" t="0" r="8255" b="4445"/>
            <wp:docPr id="586391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39184" name=""/>
                    <pic:cNvPicPr/>
                  </pic:nvPicPr>
                  <pic:blipFill rotWithShape="1">
                    <a:blip r:embed="rId56"/>
                    <a:srcRect l="24020" t="34217" r="5599" b="7399"/>
                    <a:stretch/>
                  </pic:blipFill>
                  <pic:spPr bwMode="auto">
                    <a:xfrm>
                      <a:off x="0" y="0"/>
                      <a:ext cx="5670550" cy="2644974"/>
                    </a:xfrm>
                    <a:prstGeom prst="rect">
                      <a:avLst/>
                    </a:prstGeom>
                    <a:ln>
                      <a:noFill/>
                    </a:ln>
                    <a:extLst>
                      <a:ext uri="{53640926-AAD7-44D8-BBD7-CCE9431645EC}">
                        <a14:shadowObscured xmlns:a14="http://schemas.microsoft.com/office/drawing/2010/main"/>
                      </a:ext>
                    </a:extLst>
                  </pic:spPr>
                </pic:pic>
              </a:graphicData>
            </a:graphic>
          </wp:inline>
        </w:drawing>
      </w:r>
    </w:p>
    <w:p w14:paraId="5B62BCC4" w14:textId="77777777" w:rsidR="006A3DBC" w:rsidRPr="00FA4B2D" w:rsidRDefault="006A3DBC" w:rsidP="001616DF">
      <w:pPr>
        <w:spacing w:after="0" w:line="240" w:lineRule="auto"/>
        <w:rPr>
          <w:rFonts w:cs="Arial"/>
        </w:rPr>
      </w:pPr>
    </w:p>
    <w:p w14:paraId="75F09C1E" w14:textId="5A93E0DF" w:rsidR="006A3DBC" w:rsidRPr="00FA4B2D" w:rsidRDefault="006A3DBC" w:rsidP="006A3DBC">
      <w:pPr>
        <w:spacing w:after="0" w:line="240" w:lineRule="auto"/>
        <w:jc w:val="both"/>
        <w:rPr>
          <w:rFonts w:cs="Arial"/>
          <w:sz w:val="20"/>
          <w:szCs w:val="20"/>
        </w:rPr>
      </w:pPr>
      <w:r w:rsidRPr="00FA4B2D">
        <w:rPr>
          <w:rFonts w:cs="Arial"/>
          <w:b/>
          <w:bCs/>
          <w:sz w:val="20"/>
          <w:szCs w:val="20"/>
        </w:rPr>
        <w:t>Fuente</w:t>
      </w:r>
      <w:r w:rsidRPr="00FA4B2D">
        <w:rPr>
          <w:rFonts w:cs="Arial"/>
          <w:sz w:val="20"/>
          <w:szCs w:val="20"/>
        </w:rPr>
        <w:t xml:space="preserve">: Dirección General de Medicina </w:t>
      </w:r>
      <w:r w:rsidR="00EF7331" w:rsidRPr="00FA4B2D">
        <w:rPr>
          <w:rFonts w:cs="Arial"/>
          <w:sz w:val="20"/>
          <w:szCs w:val="20"/>
        </w:rPr>
        <w:t>Forense 2023</w:t>
      </w:r>
    </w:p>
    <w:p w14:paraId="2AA220D6" w14:textId="77777777" w:rsidR="006A3DBC" w:rsidRPr="00FA4B2D" w:rsidRDefault="006A3DBC" w:rsidP="006A3DBC">
      <w:pPr>
        <w:spacing w:after="0" w:line="240" w:lineRule="auto"/>
        <w:jc w:val="both"/>
        <w:rPr>
          <w:rFonts w:cs="Arial"/>
        </w:rPr>
      </w:pPr>
    </w:p>
    <w:p w14:paraId="7D0FFBCA" w14:textId="23272E09" w:rsidR="00EF7331" w:rsidRDefault="00EF7331" w:rsidP="00EF7331">
      <w:pPr>
        <w:pStyle w:val="Descripcin"/>
        <w:keepNext/>
      </w:pPr>
      <w:bookmarkStart w:id="654" w:name="_Toc202455442"/>
      <w:r>
        <w:t xml:space="preserve">Tabla </w:t>
      </w:r>
      <w:r>
        <w:fldChar w:fldCharType="begin"/>
      </w:r>
      <w:r>
        <w:instrText xml:space="preserve"> SEQ Tabla \* ARABIC </w:instrText>
      </w:r>
      <w:r>
        <w:fldChar w:fldCharType="separate"/>
      </w:r>
      <w:r w:rsidR="000E6D86">
        <w:rPr>
          <w:noProof/>
        </w:rPr>
        <w:t>16</w:t>
      </w:r>
      <w:r>
        <w:fldChar w:fldCharType="end"/>
      </w:r>
      <w:r>
        <w:t xml:space="preserve">: </w:t>
      </w:r>
      <w:r w:rsidRPr="00BC1358">
        <w:t>Muertes por Homicidio Según Zona de Ocurrencia de los Hechos</w:t>
      </w:r>
      <w:bookmarkEnd w:id="654"/>
    </w:p>
    <w:tbl>
      <w:tblPr>
        <w:tblW w:w="9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30"/>
        <w:gridCol w:w="1920"/>
        <w:gridCol w:w="1958"/>
        <w:gridCol w:w="795"/>
        <w:gridCol w:w="707"/>
        <w:gridCol w:w="850"/>
        <w:gridCol w:w="864"/>
        <w:gridCol w:w="693"/>
        <w:gridCol w:w="1218"/>
      </w:tblGrid>
      <w:tr w:rsidR="00CF0F96" w:rsidRPr="00CF0F96" w14:paraId="42BD9D9C" w14:textId="77777777" w:rsidTr="00016847">
        <w:trPr>
          <w:trHeight w:val="268"/>
          <w:jc w:val="center"/>
        </w:trPr>
        <w:tc>
          <w:tcPr>
            <w:tcW w:w="30" w:type="dxa"/>
            <w:shd w:val="clear" w:color="auto" w:fill="5B9BD5" w:themeFill="accent1"/>
            <w:vAlign w:val="center"/>
          </w:tcPr>
          <w:p w14:paraId="2FB7AB02" w14:textId="77777777" w:rsidR="006A3DBC" w:rsidRPr="00CF0F96" w:rsidRDefault="006A3DBC" w:rsidP="005F4A92">
            <w:pPr>
              <w:spacing w:after="0" w:line="0" w:lineRule="atLeast"/>
              <w:rPr>
                <w:rFonts w:eastAsia="Times New Roman" w:cs="Arial"/>
                <w:sz w:val="18"/>
                <w:szCs w:val="18"/>
                <w:lang w:val="es-HN" w:eastAsia="es-HN"/>
              </w:rPr>
            </w:pPr>
          </w:p>
        </w:tc>
        <w:tc>
          <w:tcPr>
            <w:tcW w:w="1920" w:type="dxa"/>
            <w:vMerge w:val="restart"/>
            <w:shd w:val="clear" w:color="auto" w:fill="5CC5DA"/>
            <w:vAlign w:val="center"/>
          </w:tcPr>
          <w:p w14:paraId="34284B1C" w14:textId="77777777" w:rsidR="006A3DBC" w:rsidRPr="00CF0F96" w:rsidRDefault="006A3DBC" w:rsidP="005F4A92">
            <w:pPr>
              <w:spacing w:after="0" w:line="0" w:lineRule="atLeast"/>
              <w:ind w:left="220"/>
              <w:jc w:val="center"/>
              <w:rPr>
                <w:rFonts w:cs="Arial"/>
                <w:b/>
                <w:sz w:val="18"/>
                <w:lang w:val="es-HN"/>
              </w:rPr>
            </w:pPr>
            <w:r w:rsidRPr="00CF0F96">
              <w:rPr>
                <w:rFonts w:cs="Arial"/>
                <w:b/>
                <w:sz w:val="18"/>
                <w:lang w:val="es-HN"/>
              </w:rPr>
              <w:t>Departamento</w:t>
            </w:r>
          </w:p>
        </w:tc>
        <w:tc>
          <w:tcPr>
            <w:tcW w:w="1958" w:type="dxa"/>
            <w:shd w:val="clear" w:color="auto" w:fill="5CC5DA"/>
            <w:vAlign w:val="center"/>
          </w:tcPr>
          <w:p w14:paraId="08D653C8" w14:textId="77777777" w:rsidR="006A3DBC" w:rsidRPr="00CF0F96" w:rsidRDefault="006A3DBC" w:rsidP="005F4A92">
            <w:pPr>
              <w:spacing w:after="0" w:line="0" w:lineRule="atLeast"/>
              <w:jc w:val="center"/>
              <w:rPr>
                <w:rFonts w:cs="Arial"/>
                <w:b/>
                <w:sz w:val="18"/>
                <w:lang w:val="es-HN"/>
              </w:rPr>
            </w:pPr>
            <w:r w:rsidRPr="00CF0F96">
              <w:rPr>
                <w:rFonts w:cs="Arial"/>
                <w:b/>
                <w:sz w:val="18"/>
                <w:lang w:val="es-HN"/>
              </w:rPr>
              <w:t>Casos</w:t>
            </w:r>
          </w:p>
        </w:tc>
        <w:tc>
          <w:tcPr>
            <w:tcW w:w="795" w:type="dxa"/>
            <w:shd w:val="clear" w:color="auto" w:fill="5CC5DA"/>
            <w:vAlign w:val="center"/>
          </w:tcPr>
          <w:p w14:paraId="2158D4A2" w14:textId="77777777" w:rsidR="006A3DBC" w:rsidRPr="00CF0F96" w:rsidRDefault="006A3DBC" w:rsidP="005F4A92">
            <w:pPr>
              <w:spacing w:after="0" w:line="0" w:lineRule="atLeast"/>
              <w:jc w:val="center"/>
              <w:rPr>
                <w:rFonts w:cs="Arial"/>
                <w:sz w:val="18"/>
                <w:lang w:val="es-HN"/>
              </w:rPr>
            </w:pPr>
          </w:p>
        </w:tc>
        <w:tc>
          <w:tcPr>
            <w:tcW w:w="1557" w:type="dxa"/>
            <w:gridSpan w:val="2"/>
            <w:shd w:val="clear" w:color="auto" w:fill="5CC5DA"/>
            <w:vAlign w:val="center"/>
          </w:tcPr>
          <w:p w14:paraId="67E20E6F" w14:textId="77777777" w:rsidR="006A3DBC" w:rsidRPr="00CF0F96" w:rsidRDefault="006A3DBC" w:rsidP="005F4A92">
            <w:pPr>
              <w:spacing w:after="0" w:line="0" w:lineRule="atLeast"/>
              <w:ind w:right="177"/>
              <w:jc w:val="center"/>
              <w:rPr>
                <w:rFonts w:cs="Arial"/>
                <w:b/>
                <w:sz w:val="18"/>
                <w:lang w:val="es-HN"/>
              </w:rPr>
            </w:pPr>
            <w:r w:rsidRPr="00CF0F96">
              <w:rPr>
                <w:rFonts w:cs="Arial"/>
                <w:b/>
                <w:sz w:val="18"/>
                <w:lang w:val="es-HN"/>
              </w:rPr>
              <w:t>Tasas por 100,000</w:t>
            </w:r>
          </w:p>
        </w:tc>
        <w:tc>
          <w:tcPr>
            <w:tcW w:w="864" w:type="dxa"/>
            <w:vMerge w:val="restart"/>
            <w:shd w:val="clear" w:color="auto" w:fill="5CC5DA"/>
            <w:vAlign w:val="center"/>
          </w:tcPr>
          <w:p w14:paraId="6650B261" w14:textId="77777777" w:rsidR="006A3DBC" w:rsidRPr="00CF0F96" w:rsidRDefault="006A3DBC" w:rsidP="005F4A92">
            <w:pPr>
              <w:spacing w:after="0" w:line="0" w:lineRule="atLeast"/>
              <w:ind w:right="137"/>
              <w:jc w:val="center"/>
              <w:rPr>
                <w:rFonts w:cs="Arial"/>
                <w:b/>
                <w:sz w:val="18"/>
                <w:lang w:val="es-HN"/>
              </w:rPr>
            </w:pPr>
            <w:proofErr w:type="gramStart"/>
            <w:r w:rsidRPr="00CF0F96">
              <w:rPr>
                <w:rFonts w:cs="Arial"/>
                <w:b/>
                <w:sz w:val="18"/>
                <w:lang w:val="es-HN"/>
              </w:rPr>
              <w:t>Total</w:t>
            </w:r>
            <w:proofErr w:type="gramEnd"/>
            <w:r w:rsidRPr="00CF0F96">
              <w:rPr>
                <w:rFonts w:cs="Arial"/>
                <w:b/>
                <w:sz w:val="18"/>
                <w:lang w:val="es-HN"/>
              </w:rPr>
              <w:t xml:space="preserve"> Casos</w:t>
            </w:r>
          </w:p>
        </w:tc>
        <w:tc>
          <w:tcPr>
            <w:tcW w:w="693" w:type="dxa"/>
            <w:vMerge w:val="restart"/>
            <w:shd w:val="clear" w:color="auto" w:fill="5CC5DA"/>
            <w:vAlign w:val="center"/>
          </w:tcPr>
          <w:p w14:paraId="40D82F52" w14:textId="77777777" w:rsidR="006A3DBC" w:rsidRPr="00CF0F96" w:rsidRDefault="006A3DBC" w:rsidP="005F4A92">
            <w:pPr>
              <w:spacing w:after="0" w:line="0" w:lineRule="atLeast"/>
              <w:ind w:right="77"/>
              <w:jc w:val="center"/>
              <w:rPr>
                <w:rFonts w:cs="Arial"/>
                <w:b/>
                <w:sz w:val="18"/>
                <w:lang w:val="es-HN"/>
              </w:rPr>
            </w:pPr>
            <w:r w:rsidRPr="00CF0F96">
              <w:rPr>
                <w:rFonts w:cs="Arial"/>
                <w:b/>
                <w:sz w:val="18"/>
                <w:lang w:val="es-HN"/>
              </w:rPr>
              <w:t>Tasa</w:t>
            </w:r>
          </w:p>
        </w:tc>
        <w:tc>
          <w:tcPr>
            <w:tcW w:w="1218" w:type="dxa"/>
            <w:vMerge w:val="restart"/>
            <w:shd w:val="clear" w:color="auto" w:fill="5CC5DA"/>
            <w:vAlign w:val="center"/>
          </w:tcPr>
          <w:p w14:paraId="409C2ED6" w14:textId="77777777" w:rsidR="006A3DBC" w:rsidRPr="00CF0F96" w:rsidRDefault="006A3DBC" w:rsidP="005F4A92">
            <w:pPr>
              <w:spacing w:after="0" w:line="0" w:lineRule="atLeast"/>
              <w:ind w:right="117"/>
              <w:jc w:val="center"/>
              <w:rPr>
                <w:rFonts w:cs="Arial"/>
                <w:b/>
                <w:sz w:val="18"/>
                <w:lang w:val="es-HN"/>
              </w:rPr>
            </w:pPr>
            <w:r w:rsidRPr="00CF0F96">
              <w:rPr>
                <w:rFonts w:cs="Arial"/>
                <w:b/>
                <w:sz w:val="18"/>
                <w:lang w:val="es-HN"/>
              </w:rPr>
              <w:t>Población</w:t>
            </w:r>
          </w:p>
        </w:tc>
      </w:tr>
      <w:tr w:rsidR="00CF0F96" w:rsidRPr="00CF0F96" w14:paraId="194549DE" w14:textId="77777777" w:rsidTr="00016847">
        <w:trPr>
          <w:trHeight w:val="73"/>
          <w:jc w:val="center"/>
        </w:trPr>
        <w:tc>
          <w:tcPr>
            <w:tcW w:w="30" w:type="dxa"/>
            <w:shd w:val="clear" w:color="auto" w:fill="FFFFFF" w:themeFill="background1"/>
            <w:vAlign w:val="center"/>
          </w:tcPr>
          <w:p w14:paraId="7F5449A7" w14:textId="77777777" w:rsidR="006A3DBC" w:rsidRPr="00CF0F96" w:rsidRDefault="006A3DBC" w:rsidP="005F4A92">
            <w:pPr>
              <w:spacing w:after="0" w:line="0" w:lineRule="atLeast"/>
              <w:rPr>
                <w:rFonts w:eastAsia="Times New Roman" w:cs="Arial"/>
                <w:sz w:val="18"/>
                <w:szCs w:val="18"/>
                <w:lang w:val="es-HN" w:eastAsia="es-HN"/>
              </w:rPr>
            </w:pPr>
          </w:p>
        </w:tc>
        <w:tc>
          <w:tcPr>
            <w:tcW w:w="1920" w:type="dxa"/>
            <w:vMerge/>
            <w:shd w:val="clear" w:color="auto" w:fill="5CC5DA"/>
            <w:vAlign w:val="center"/>
          </w:tcPr>
          <w:p w14:paraId="5F9A7FA8" w14:textId="77777777" w:rsidR="006A3DBC" w:rsidRPr="00CF0F96" w:rsidRDefault="006A3DBC" w:rsidP="005F4A92">
            <w:pPr>
              <w:spacing w:after="0" w:line="0" w:lineRule="atLeast"/>
              <w:jc w:val="center"/>
              <w:rPr>
                <w:rFonts w:cs="Arial"/>
                <w:sz w:val="18"/>
                <w:lang w:val="es-HN"/>
              </w:rPr>
            </w:pPr>
          </w:p>
        </w:tc>
        <w:tc>
          <w:tcPr>
            <w:tcW w:w="1958" w:type="dxa"/>
            <w:vMerge w:val="restart"/>
            <w:shd w:val="clear" w:color="auto" w:fill="5CC5DA"/>
            <w:vAlign w:val="center"/>
          </w:tcPr>
          <w:p w14:paraId="452030C4" w14:textId="77777777" w:rsidR="006A3DBC" w:rsidRPr="00CF0F96" w:rsidRDefault="006A3DBC" w:rsidP="005F4A92">
            <w:pPr>
              <w:spacing w:after="0" w:line="0" w:lineRule="atLeast"/>
              <w:jc w:val="center"/>
              <w:rPr>
                <w:rFonts w:cs="Arial"/>
                <w:b/>
                <w:sz w:val="18"/>
                <w:lang w:val="es-HN"/>
              </w:rPr>
            </w:pPr>
            <w:r w:rsidRPr="00CF0F96">
              <w:rPr>
                <w:rFonts w:cs="Arial"/>
                <w:b/>
                <w:sz w:val="18"/>
                <w:lang w:val="es-HN"/>
              </w:rPr>
              <w:t>Cabecera Departamental</w:t>
            </w:r>
          </w:p>
        </w:tc>
        <w:tc>
          <w:tcPr>
            <w:tcW w:w="795" w:type="dxa"/>
            <w:vMerge w:val="restart"/>
            <w:shd w:val="clear" w:color="auto" w:fill="5CC5DA"/>
            <w:vAlign w:val="center"/>
          </w:tcPr>
          <w:p w14:paraId="7EFB95C8" w14:textId="77777777" w:rsidR="006A3DBC" w:rsidRPr="00CF0F96" w:rsidRDefault="006A3DBC" w:rsidP="005F4A92">
            <w:pPr>
              <w:spacing w:after="0" w:line="0" w:lineRule="atLeast"/>
              <w:ind w:right="137"/>
              <w:jc w:val="center"/>
              <w:rPr>
                <w:rFonts w:cs="Arial"/>
                <w:b/>
                <w:sz w:val="18"/>
                <w:lang w:val="es-HN"/>
              </w:rPr>
            </w:pPr>
            <w:r w:rsidRPr="00CF0F96">
              <w:rPr>
                <w:rFonts w:cs="Arial"/>
                <w:b/>
                <w:sz w:val="18"/>
                <w:lang w:val="es-HN"/>
              </w:rPr>
              <w:t>Resto</w:t>
            </w:r>
          </w:p>
        </w:tc>
        <w:tc>
          <w:tcPr>
            <w:tcW w:w="707" w:type="dxa"/>
            <w:vMerge w:val="restart"/>
            <w:shd w:val="clear" w:color="auto" w:fill="5CC5DA"/>
            <w:vAlign w:val="center"/>
          </w:tcPr>
          <w:p w14:paraId="14AE1DE8" w14:textId="77777777" w:rsidR="006A3DBC" w:rsidRPr="00CF0F96" w:rsidRDefault="006A3DBC" w:rsidP="005F4A92">
            <w:pPr>
              <w:spacing w:after="0" w:line="0" w:lineRule="atLeast"/>
              <w:ind w:right="97"/>
              <w:jc w:val="center"/>
              <w:rPr>
                <w:rFonts w:cs="Arial"/>
                <w:b/>
                <w:sz w:val="18"/>
                <w:lang w:val="es-HN"/>
              </w:rPr>
            </w:pPr>
            <w:r w:rsidRPr="00CF0F96">
              <w:rPr>
                <w:rFonts w:cs="Arial"/>
                <w:b/>
                <w:sz w:val="18"/>
                <w:lang w:val="es-HN"/>
              </w:rPr>
              <w:t>Cabecera</w:t>
            </w:r>
          </w:p>
        </w:tc>
        <w:tc>
          <w:tcPr>
            <w:tcW w:w="850" w:type="dxa"/>
            <w:vMerge w:val="restart"/>
            <w:shd w:val="clear" w:color="auto" w:fill="5CC5DA"/>
            <w:vAlign w:val="center"/>
          </w:tcPr>
          <w:p w14:paraId="76BE17AF" w14:textId="77777777" w:rsidR="006A3DBC" w:rsidRPr="00CF0F96" w:rsidRDefault="006A3DBC" w:rsidP="005F4A92">
            <w:pPr>
              <w:spacing w:after="0" w:line="0" w:lineRule="atLeast"/>
              <w:ind w:right="177"/>
              <w:jc w:val="center"/>
              <w:rPr>
                <w:rFonts w:cs="Arial"/>
                <w:b/>
                <w:sz w:val="18"/>
                <w:lang w:val="es-HN"/>
              </w:rPr>
            </w:pPr>
            <w:r w:rsidRPr="00CF0F96">
              <w:rPr>
                <w:rFonts w:cs="Arial"/>
                <w:b/>
                <w:sz w:val="18"/>
                <w:lang w:val="es-HN"/>
              </w:rPr>
              <w:t>Resto</w:t>
            </w:r>
          </w:p>
        </w:tc>
        <w:tc>
          <w:tcPr>
            <w:tcW w:w="864" w:type="dxa"/>
            <w:vMerge/>
            <w:shd w:val="clear" w:color="auto" w:fill="FFFFFF" w:themeFill="background1"/>
            <w:vAlign w:val="center"/>
          </w:tcPr>
          <w:p w14:paraId="759F7C92" w14:textId="77777777" w:rsidR="006A3DBC" w:rsidRPr="00CF0F96" w:rsidRDefault="006A3DBC" w:rsidP="005F4A92">
            <w:pPr>
              <w:spacing w:after="0" w:line="0" w:lineRule="atLeast"/>
              <w:rPr>
                <w:rFonts w:cs="Arial"/>
                <w:sz w:val="18"/>
                <w:lang w:val="es-HN"/>
              </w:rPr>
            </w:pPr>
          </w:p>
        </w:tc>
        <w:tc>
          <w:tcPr>
            <w:tcW w:w="693" w:type="dxa"/>
            <w:vMerge/>
            <w:shd w:val="clear" w:color="auto" w:fill="FFFFFF" w:themeFill="background1"/>
            <w:vAlign w:val="center"/>
          </w:tcPr>
          <w:p w14:paraId="027AF1BE" w14:textId="77777777" w:rsidR="006A3DBC" w:rsidRPr="00CF0F96" w:rsidRDefault="006A3DBC" w:rsidP="005F4A92">
            <w:pPr>
              <w:spacing w:after="0" w:line="0" w:lineRule="atLeast"/>
              <w:rPr>
                <w:rFonts w:cs="Arial"/>
                <w:sz w:val="18"/>
                <w:lang w:val="es-HN"/>
              </w:rPr>
            </w:pPr>
          </w:p>
        </w:tc>
        <w:tc>
          <w:tcPr>
            <w:tcW w:w="1218" w:type="dxa"/>
            <w:vMerge/>
            <w:shd w:val="clear" w:color="auto" w:fill="FFFFFF" w:themeFill="background1"/>
            <w:vAlign w:val="center"/>
          </w:tcPr>
          <w:p w14:paraId="4198AD83" w14:textId="77777777" w:rsidR="006A3DBC" w:rsidRPr="00CF0F96" w:rsidRDefault="006A3DBC" w:rsidP="005F4A92">
            <w:pPr>
              <w:spacing w:after="0" w:line="0" w:lineRule="atLeast"/>
              <w:rPr>
                <w:rFonts w:cs="Arial"/>
                <w:sz w:val="18"/>
                <w:lang w:val="es-HN"/>
              </w:rPr>
            </w:pPr>
          </w:p>
        </w:tc>
      </w:tr>
      <w:tr w:rsidR="00CF0F96" w:rsidRPr="00CF0F96" w14:paraId="35D5860A" w14:textId="77777777" w:rsidTr="00016847">
        <w:trPr>
          <w:trHeight w:val="190"/>
          <w:jc w:val="center"/>
        </w:trPr>
        <w:tc>
          <w:tcPr>
            <w:tcW w:w="30" w:type="dxa"/>
            <w:shd w:val="clear" w:color="auto" w:fill="FFFFFF" w:themeFill="background1"/>
            <w:vAlign w:val="center"/>
          </w:tcPr>
          <w:p w14:paraId="122F9AE0" w14:textId="77777777" w:rsidR="006A3DBC" w:rsidRPr="00CF0F96" w:rsidRDefault="006A3DBC" w:rsidP="005F4A92">
            <w:pPr>
              <w:spacing w:after="0" w:line="0" w:lineRule="atLeast"/>
              <w:rPr>
                <w:rFonts w:eastAsia="Times New Roman" w:cs="Arial"/>
                <w:sz w:val="18"/>
                <w:szCs w:val="18"/>
                <w:lang w:val="es-HN" w:eastAsia="es-HN"/>
              </w:rPr>
            </w:pPr>
          </w:p>
        </w:tc>
        <w:tc>
          <w:tcPr>
            <w:tcW w:w="1920" w:type="dxa"/>
            <w:vMerge/>
            <w:shd w:val="clear" w:color="auto" w:fill="5CC5DA"/>
            <w:vAlign w:val="center"/>
          </w:tcPr>
          <w:p w14:paraId="475532F4" w14:textId="77777777" w:rsidR="006A3DBC" w:rsidRPr="00CF0F96" w:rsidRDefault="006A3DBC" w:rsidP="005F4A92">
            <w:pPr>
              <w:spacing w:after="0" w:line="0" w:lineRule="atLeast"/>
              <w:rPr>
                <w:rFonts w:cs="Arial"/>
                <w:sz w:val="18"/>
                <w:lang w:val="es-HN"/>
              </w:rPr>
            </w:pPr>
          </w:p>
        </w:tc>
        <w:tc>
          <w:tcPr>
            <w:tcW w:w="1958" w:type="dxa"/>
            <w:vMerge/>
            <w:shd w:val="clear" w:color="auto" w:fill="5CC5DA"/>
            <w:vAlign w:val="center"/>
          </w:tcPr>
          <w:p w14:paraId="2A90A198" w14:textId="77777777" w:rsidR="006A3DBC" w:rsidRPr="00CF0F96" w:rsidRDefault="006A3DBC" w:rsidP="005F4A92">
            <w:pPr>
              <w:spacing w:after="0" w:line="0" w:lineRule="atLeast"/>
              <w:rPr>
                <w:rFonts w:cs="Arial"/>
                <w:sz w:val="18"/>
                <w:lang w:val="es-HN"/>
              </w:rPr>
            </w:pPr>
          </w:p>
        </w:tc>
        <w:tc>
          <w:tcPr>
            <w:tcW w:w="795" w:type="dxa"/>
            <w:vMerge/>
            <w:shd w:val="clear" w:color="auto" w:fill="5CC5DA"/>
            <w:vAlign w:val="center"/>
          </w:tcPr>
          <w:p w14:paraId="09940DBA" w14:textId="77777777" w:rsidR="006A3DBC" w:rsidRPr="00CF0F96" w:rsidRDefault="006A3DBC" w:rsidP="005F4A92">
            <w:pPr>
              <w:spacing w:after="0" w:line="0" w:lineRule="atLeast"/>
              <w:rPr>
                <w:rFonts w:cs="Arial"/>
                <w:sz w:val="18"/>
                <w:lang w:val="es-HN"/>
              </w:rPr>
            </w:pPr>
          </w:p>
        </w:tc>
        <w:tc>
          <w:tcPr>
            <w:tcW w:w="707" w:type="dxa"/>
            <w:vMerge/>
            <w:shd w:val="clear" w:color="auto" w:fill="5CC5DA"/>
            <w:vAlign w:val="center"/>
          </w:tcPr>
          <w:p w14:paraId="0FDF5351" w14:textId="77777777" w:rsidR="006A3DBC" w:rsidRPr="00CF0F96" w:rsidRDefault="006A3DBC" w:rsidP="005F4A92">
            <w:pPr>
              <w:spacing w:after="0" w:line="0" w:lineRule="atLeast"/>
              <w:rPr>
                <w:rFonts w:cs="Arial"/>
                <w:sz w:val="18"/>
                <w:lang w:val="es-HN"/>
              </w:rPr>
            </w:pPr>
          </w:p>
        </w:tc>
        <w:tc>
          <w:tcPr>
            <w:tcW w:w="850" w:type="dxa"/>
            <w:vMerge/>
            <w:shd w:val="clear" w:color="auto" w:fill="5CC5DA"/>
            <w:vAlign w:val="center"/>
          </w:tcPr>
          <w:p w14:paraId="058C0D7E" w14:textId="77777777" w:rsidR="006A3DBC" w:rsidRPr="00CF0F96" w:rsidRDefault="006A3DBC" w:rsidP="005F4A92">
            <w:pPr>
              <w:spacing w:after="0" w:line="0" w:lineRule="atLeast"/>
              <w:rPr>
                <w:rFonts w:cs="Arial"/>
                <w:sz w:val="18"/>
                <w:lang w:val="es-HN"/>
              </w:rPr>
            </w:pPr>
          </w:p>
        </w:tc>
        <w:tc>
          <w:tcPr>
            <w:tcW w:w="864" w:type="dxa"/>
            <w:vMerge/>
            <w:shd w:val="clear" w:color="auto" w:fill="FFFFFF" w:themeFill="background1"/>
            <w:vAlign w:val="center"/>
          </w:tcPr>
          <w:p w14:paraId="68EE3DB0" w14:textId="77777777" w:rsidR="006A3DBC" w:rsidRPr="00CF0F96" w:rsidRDefault="006A3DBC" w:rsidP="005F4A92">
            <w:pPr>
              <w:spacing w:after="0" w:line="0" w:lineRule="atLeast"/>
              <w:rPr>
                <w:rFonts w:cs="Arial"/>
                <w:sz w:val="18"/>
                <w:lang w:val="es-HN"/>
              </w:rPr>
            </w:pPr>
          </w:p>
        </w:tc>
        <w:tc>
          <w:tcPr>
            <w:tcW w:w="693" w:type="dxa"/>
            <w:vMerge/>
            <w:shd w:val="clear" w:color="auto" w:fill="FFFFFF" w:themeFill="background1"/>
            <w:vAlign w:val="center"/>
          </w:tcPr>
          <w:p w14:paraId="16C17B81" w14:textId="77777777" w:rsidR="006A3DBC" w:rsidRPr="00CF0F96" w:rsidRDefault="006A3DBC" w:rsidP="005F4A92">
            <w:pPr>
              <w:spacing w:after="0" w:line="0" w:lineRule="atLeast"/>
              <w:rPr>
                <w:rFonts w:cs="Arial"/>
                <w:sz w:val="18"/>
                <w:lang w:val="es-HN"/>
              </w:rPr>
            </w:pPr>
          </w:p>
        </w:tc>
        <w:tc>
          <w:tcPr>
            <w:tcW w:w="1218" w:type="dxa"/>
            <w:vMerge/>
            <w:shd w:val="clear" w:color="auto" w:fill="FFFFFF" w:themeFill="background1"/>
            <w:vAlign w:val="center"/>
          </w:tcPr>
          <w:p w14:paraId="17ABD34A" w14:textId="77777777" w:rsidR="006A3DBC" w:rsidRPr="00CF0F96" w:rsidRDefault="006A3DBC" w:rsidP="005F4A92">
            <w:pPr>
              <w:spacing w:after="0" w:line="0" w:lineRule="atLeast"/>
              <w:rPr>
                <w:rFonts w:cs="Arial"/>
                <w:sz w:val="18"/>
                <w:lang w:val="es-HN"/>
              </w:rPr>
            </w:pPr>
          </w:p>
        </w:tc>
      </w:tr>
      <w:tr w:rsidR="00CF0F96" w:rsidRPr="00CF0F96" w14:paraId="2A2B562D" w14:textId="77777777" w:rsidTr="005F4A92">
        <w:trPr>
          <w:trHeight w:val="204"/>
          <w:jc w:val="center"/>
        </w:trPr>
        <w:tc>
          <w:tcPr>
            <w:tcW w:w="30" w:type="dxa"/>
            <w:shd w:val="clear" w:color="auto" w:fill="FFFFFF" w:themeFill="background1"/>
            <w:vAlign w:val="center"/>
          </w:tcPr>
          <w:p w14:paraId="5B840466" w14:textId="77777777" w:rsidR="006A3DBC" w:rsidRPr="00CF0F96" w:rsidRDefault="006A3DBC" w:rsidP="005F4A92">
            <w:pPr>
              <w:spacing w:after="0" w:line="0" w:lineRule="atLeast"/>
              <w:rPr>
                <w:rFonts w:eastAsia="Times New Roman" w:cs="Arial"/>
                <w:sz w:val="18"/>
                <w:szCs w:val="18"/>
                <w:lang w:val="es-HN" w:eastAsia="es-HN"/>
              </w:rPr>
            </w:pPr>
          </w:p>
        </w:tc>
        <w:tc>
          <w:tcPr>
            <w:tcW w:w="1920" w:type="dxa"/>
            <w:shd w:val="clear" w:color="auto" w:fill="FFFFFF" w:themeFill="background1"/>
            <w:vAlign w:val="center"/>
          </w:tcPr>
          <w:p w14:paraId="72A9A3EE" w14:textId="77777777" w:rsidR="006A3DBC" w:rsidRPr="00CF0F96" w:rsidRDefault="006A3DBC" w:rsidP="005F4A92">
            <w:pPr>
              <w:spacing w:after="0" w:line="0" w:lineRule="atLeast"/>
              <w:ind w:left="20"/>
              <w:rPr>
                <w:rFonts w:cs="Arial"/>
                <w:sz w:val="18"/>
                <w:lang w:val="es-HN"/>
              </w:rPr>
            </w:pPr>
            <w:r w:rsidRPr="00CF0F96">
              <w:rPr>
                <w:rFonts w:cs="Arial"/>
                <w:sz w:val="18"/>
                <w:lang w:val="es-HN"/>
              </w:rPr>
              <w:t>ATLÁNTIDA</w:t>
            </w:r>
          </w:p>
        </w:tc>
        <w:tc>
          <w:tcPr>
            <w:tcW w:w="1958" w:type="dxa"/>
            <w:shd w:val="clear" w:color="auto" w:fill="FFFFFF" w:themeFill="background1"/>
            <w:vAlign w:val="center"/>
          </w:tcPr>
          <w:p w14:paraId="7102CA5C" w14:textId="606118AB" w:rsidR="006A3DBC" w:rsidRPr="00CF0F96" w:rsidRDefault="006A3DBC" w:rsidP="005F4A92">
            <w:pPr>
              <w:spacing w:after="0" w:line="0" w:lineRule="atLeast"/>
              <w:ind w:left="20"/>
              <w:rPr>
                <w:rFonts w:cs="Arial"/>
                <w:sz w:val="18"/>
                <w:lang w:val="es-HN"/>
              </w:rPr>
            </w:pPr>
            <w:r w:rsidRPr="00CF0F96">
              <w:rPr>
                <w:rFonts w:cs="Arial"/>
                <w:sz w:val="18"/>
                <w:lang w:val="es-HN"/>
              </w:rPr>
              <w:t>LA CEIBA</w:t>
            </w:r>
            <w:r w:rsidR="00771180" w:rsidRPr="00CF0F96">
              <w:rPr>
                <w:rFonts w:cs="Arial"/>
                <w:sz w:val="18"/>
                <w:lang w:val="es-HN"/>
              </w:rPr>
              <w:t xml:space="preserve"> </w:t>
            </w:r>
            <w:r w:rsidRPr="00CF0F96">
              <w:rPr>
                <w:rFonts w:cs="Arial"/>
                <w:sz w:val="18"/>
                <w:lang w:val="es-HN"/>
              </w:rPr>
              <w:t>(137)</w:t>
            </w:r>
          </w:p>
        </w:tc>
        <w:tc>
          <w:tcPr>
            <w:tcW w:w="795" w:type="dxa"/>
            <w:shd w:val="clear" w:color="auto" w:fill="FFFFFF" w:themeFill="background1"/>
            <w:vAlign w:val="center"/>
          </w:tcPr>
          <w:p w14:paraId="131A10A7"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134</w:t>
            </w:r>
          </w:p>
        </w:tc>
        <w:tc>
          <w:tcPr>
            <w:tcW w:w="707" w:type="dxa"/>
            <w:shd w:val="clear" w:color="auto" w:fill="FFFFFF" w:themeFill="background1"/>
            <w:vAlign w:val="center"/>
          </w:tcPr>
          <w:p w14:paraId="69FD996D"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64.8</w:t>
            </w:r>
          </w:p>
        </w:tc>
        <w:tc>
          <w:tcPr>
            <w:tcW w:w="850" w:type="dxa"/>
            <w:shd w:val="clear" w:color="auto" w:fill="FFFFFF" w:themeFill="background1"/>
            <w:vAlign w:val="center"/>
          </w:tcPr>
          <w:p w14:paraId="40F3E4BB"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53.0</w:t>
            </w:r>
          </w:p>
        </w:tc>
        <w:tc>
          <w:tcPr>
            <w:tcW w:w="864" w:type="dxa"/>
            <w:shd w:val="clear" w:color="auto" w:fill="FFFFFF" w:themeFill="background1"/>
            <w:vAlign w:val="center"/>
          </w:tcPr>
          <w:p w14:paraId="679AB69E"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271</w:t>
            </w:r>
          </w:p>
        </w:tc>
        <w:tc>
          <w:tcPr>
            <w:tcW w:w="693" w:type="dxa"/>
            <w:shd w:val="clear" w:color="auto" w:fill="FFFFFF" w:themeFill="background1"/>
            <w:vAlign w:val="center"/>
          </w:tcPr>
          <w:p w14:paraId="355CBFB0"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58.4</w:t>
            </w:r>
          </w:p>
        </w:tc>
        <w:tc>
          <w:tcPr>
            <w:tcW w:w="1218" w:type="dxa"/>
            <w:shd w:val="clear" w:color="auto" w:fill="FFFFFF" w:themeFill="background1"/>
            <w:vAlign w:val="center"/>
          </w:tcPr>
          <w:p w14:paraId="4232992E" w14:textId="77777777" w:rsidR="006A3DBC" w:rsidRPr="00CF0F96" w:rsidRDefault="006A3DBC" w:rsidP="005F4A92">
            <w:pPr>
              <w:spacing w:after="0" w:line="0" w:lineRule="atLeast"/>
              <w:jc w:val="right"/>
              <w:rPr>
                <w:rFonts w:cs="Arial"/>
                <w:sz w:val="18"/>
                <w:lang w:val="es-HN"/>
              </w:rPr>
            </w:pPr>
            <w:r w:rsidRPr="00CF0F96">
              <w:rPr>
                <w:rFonts w:cs="Arial"/>
                <w:sz w:val="18"/>
                <w:lang w:val="es-HN"/>
              </w:rPr>
              <w:t>464,288</w:t>
            </w:r>
          </w:p>
        </w:tc>
      </w:tr>
      <w:tr w:rsidR="00CF0F96" w:rsidRPr="00CF0F96" w14:paraId="1C4117C6" w14:textId="77777777" w:rsidTr="005F4A92">
        <w:trPr>
          <w:trHeight w:val="215"/>
          <w:jc w:val="center"/>
        </w:trPr>
        <w:tc>
          <w:tcPr>
            <w:tcW w:w="30" w:type="dxa"/>
            <w:shd w:val="clear" w:color="auto" w:fill="FFFFFF" w:themeFill="background1"/>
            <w:vAlign w:val="center"/>
          </w:tcPr>
          <w:p w14:paraId="5B95B55E" w14:textId="77777777" w:rsidR="006A3DBC" w:rsidRPr="00CF0F96" w:rsidRDefault="006A3DBC" w:rsidP="005F4A92">
            <w:pPr>
              <w:spacing w:after="0" w:line="0" w:lineRule="atLeast"/>
              <w:rPr>
                <w:rFonts w:eastAsia="Times New Roman" w:cs="Arial"/>
                <w:sz w:val="18"/>
                <w:szCs w:val="18"/>
                <w:lang w:val="es-HN" w:eastAsia="es-HN"/>
              </w:rPr>
            </w:pPr>
          </w:p>
        </w:tc>
        <w:tc>
          <w:tcPr>
            <w:tcW w:w="1920" w:type="dxa"/>
            <w:shd w:val="clear" w:color="auto" w:fill="FFFFFF" w:themeFill="background1"/>
            <w:vAlign w:val="center"/>
          </w:tcPr>
          <w:p w14:paraId="195BB9C2" w14:textId="77777777" w:rsidR="006A3DBC" w:rsidRPr="00CF0F96" w:rsidRDefault="006A3DBC" w:rsidP="005F4A92">
            <w:pPr>
              <w:spacing w:after="0" w:line="0" w:lineRule="atLeast"/>
              <w:ind w:left="20"/>
              <w:rPr>
                <w:rFonts w:cs="Arial"/>
                <w:sz w:val="18"/>
                <w:lang w:val="es-HN"/>
              </w:rPr>
            </w:pPr>
            <w:r w:rsidRPr="00CF0F96">
              <w:rPr>
                <w:rFonts w:cs="Arial"/>
                <w:sz w:val="18"/>
                <w:lang w:val="es-HN"/>
              </w:rPr>
              <w:t>YORO</w:t>
            </w:r>
          </w:p>
        </w:tc>
        <w:tc>
          <w:tcPr>
            <w:tcW w:w="1958" w:type="dxa"/>
            <w:shd w:val="clear" w:color="auto" w:fill="FFFFFF" w:themeFill="background1"/>
            <w:vAlign w:val="center"/>
          </w:tcPr>
          <w:p w14:paraId="6EF1FC73" w14:textId="5FA9AD07" w:rsidR="006A3DBC" w:rsidRPr="00CF0F96" w:rsidRDefault="006A3DBC" w:rsidP="005F4A92">
            <w:pPr>
              <w:spacing w:after="0" w:line="0" w:lineRule="atLeast"/>
              <w:ind w:left="20"/>
              <w:rPr>
                <w:rFonts w:cs="Arial"/>
                <w:sz w:val="18"/>
                <w:lang w:val="es-HN"/>
              </w:rPr>
            </w:pPr>
            <w:r w:rsidRPr="00CF0F96">
              <w:rPr>
                <w:rFonts w:cs="Arial"/>
                <w:sz w:val="18"/>
                <w:lang w:val="es-HN"/>
              </w:rPr>
              <w:t>YORO</w:t>
            </w:r>
            <w:r w:rsidR="00771180" w:rsidRPr="00CF0F96">
              <w:rPr>
                <w:rFonts w:cs="Arial"/>
                <w:sz w:val="18"/>
                <w:lang w:val="es-HN"/>
              </w:rPr>
              <w:t xml:space="preserve"> </w:t>
            </w:r>
            <w:r w:rsidRPr="00CF0F96">
              <w:rPr>
                <w:rFonts w:cs="Arial"/>
                <w:sz w:val="18"/>
                <w:lang w:val="es-HN"/>
              </w:rPr>
              <w:t>(68)</w:t>
            </w:r>
          </w:p>
        </w:tc>
        <w:tc>
          <w:tcPr>
            <w:tcW w:w="795" w:type="dxa"/>
            <w:shd w:val="clear" w:color="auto" w:fill="FFFFFF" w:themeFill="background1"/>
            <w:vAlign w:val="center"/>
          </w:tcPr>
          <w:p w14:paraId="546EB1BA"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279</w:t>
            </w:r>
          </w:p>
        </w:tc>
        <w:tc>
          <w:tcPr>
            <w:tcW w:w="707" w:type="dxa"/>
            <w:shd w:val="clear" w:color="auto" w:fill="FFFFFF" w:themeFill="background1"/>
            <w:vAlign w:val="center"/>
          </w:tcPr>
          <w:p w14:paraId="35A5006B"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72.7</w:t>
            </w:r>
          </w:p>
        </w:tc>
        <w:tc>
          <w:tcPr>
            <w:tcW w:w="850" w:type="dxa"/>
            <w:shd w:val="clear" w:color="auto" w:fill="FFFFFF" w:themeFill="background1"/>
            <w:vAlign w:val="center"/>
          </w:tcPr>
          <w:p w14:paraId="160DC62A"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54.6</w:t>
            </w:r>
          </w:p>
        </w:tc>
        <w:tc>
          <w:tcPr>
            <w:tcW w:w="864" w:type="dxa"/>
            <w:shd w:val="clear" w:color="auto" w:fill="FFFFFF" w:themeFill="background1"/>
            <w:vAlign w:val="center"/>
          </w:tcPr>
          <w:p w14:paraId="29780310"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347</w:t>
            </w:r>
          </w:p>
        </w:tc>
        <w:tc>
          <w:tcPr>
            <w:tcW w:w="693" w:type="dxa"/>
            <w:shd w:val="clear" w:color="auto" w:fill="FFFFFF" w:themeFill="background1"/>
            <w:vAlign w:val="center"/>
          </w:tcPr>
          <w:p w14:paraId="7C1A536D"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57.4</w:t>
            </w:r>
          </w:p>
        </w:tc>
        <w:tc>
          <w:tcPr>
            <w:tcW w:w="1218" w:type="dxa"/>
            <w:shd w:val="clear" w:color="auto" w:fill="FFFFFF" w:themeFill="background1"/>
            <w:vAlign w:val="center"/>
          </w:tcPr>
          <w:p w14:paraId="18FF7BE7" w14:textId="77777777" w:rsidR="006A3DBC" w:rsidRPr="00CF0F96" w:rsidRDefault="006A3DBC" w:rsidP="005F4A92">
            <w:pPr>
              <w:spacing w:after="0" w:line="0" w:lineRule="atLeast"/>
              <w:jc w:val="right"/>
              <w:rPr>
                <w:rFonts w:cs="Arial"/>
                <w:sz w:val="18"/>
                <w:lang w:val="es-HN"/>
              </w:rPr>
            </w:pPr>
            <w:r w:rsidRPr="00CF0F96">
              <w:rPr>
                <w:rFonts w:cs="Arial"/>
                <w:sz w:val="18"/>
                <w:lang w:val="es-HN"/>
              </w:rPr>
              <w:t>604,844</w:t>
            </w:r>
          </w:p>
        </w:tc>
      </w:tr>
      <w:tr w:rsidR="00CF0F96" w:rsidRPr="00CF0F96" w14:paraId="5C38CD2D" w14:textId="77777777" w:rsidTr="005F4A92">
        <w:trPr>
          <w:trHeight w:val="176"/>
          <w:jc w:val="center"/>
        </w:trPr>
        <w:tc>
          <w:tcPr>
            <w:tcW w:w="30" w:type="dxa"/>
            <w:shd w:val="clear" w:color="auto" w:fill="FFFFFF" w:themeFill="background1"/>
            <w:vAlign w:val="center"/>
          </w:tcPr>
          <w:p w14:paraId="0839CC04" w14:textId="77777777" w:rsidR="006A3DBC" w:rsidRPr="00CF0F96" w:rsidRDefault="006A3DBC" w:rsidP="005F4A92">
            <w:pPr>
              <w:spacing w:after="0" w:line="0" w:lineRule="atLeast"/>
              <w:rPr>
                <w:rFonts w:eastAsia="Times New Roman" w:cs="Arial"/>
                <w:sz w:val="18"/>
                <w:szCs w:val="18"/>
                <w:lang w:val="es-HN" w:eastAsia="es-HN"/>
              </w:rPr>
            </w:pPr>
          </w:p>
        </w:tc>
        <w:tc>
          <w:tcPr>
            <w:tcW w:w="1920" w:type="dxa"/>
            <w:shd w:val="clear" w:color="auto" w:fill="FFFFFF" w:themeFill="background1"/>
            <w:vAlign w:val="center"/>
          </w:tcPr>
          <w:p w14:paraId="2C547B10" w14:textId="77777777" w:rsidR="006A3DBC" w:rsidRPr="00CF0F96" w:rsidRDefault="006A3DBC" w:rsidP="005F4A92">
            <w:pPr>
              <w:spacing w:after="0" w:line="0" w:lineRule="atLeast"/>
              <w:ind w:left="20"/>
              <w:rPr>
                <w:rFonts w:cs="Arial"/>
                <w:sz w:val="18"/>
                <w:lang w:val="es-HN"/>
              </w:rPr>
            </w:pPr>
            <w:r w:rsidRPr="00CF0F96">
              <w:rPr>
                <w:rFonts w:cs="Arial"/>
                <w:sz w:val="18"/>
                <w:lang w:val="es-HN"/>
              </w:rPr>
              <w:t>CORTÉS</w:t>
            </w:r>
          </w:p>
        </w:tc>
        <w:tc>
          <w:tcPr>
            <w:tcW w:w="1958" w:type="dxa"/>
            <w:shd w:val="clear" w:color="auto" w:fill="FFFFFF" w:themeFill="background1"/>
            <w:vAlign w:val="center"/>
          </w:tcPr>
          <w:p w14:paraId="4001E4D6" w14:textId="04804F89" w:rsidR="006A3DBC" w:rsidRPr="00CF0F96" w:rsidRDefault="006A3DBC" w:rsidP="005F4A92">
            <w:pPr>
              <w:spacing w:after="0" w:line="0" w:lineRule="atLeast"/>
              <w:ind w:left="20"/>
              <w:rPr>
                <w:rFonts w:cs="Arial"/>
                <w:sz w:val="18"/>
                <w:lang w:val="es-HN"/>
              </w:rPr>
            </w:pPr>
            <w:r w:rsidRPr="00CF0F96">
              <w:rPr>
                <w:rFonts w:cs="Arial"/>
                <w:sz w:val="18"/>
                <w:lang w:val="es-HN"/>
              </w:rPr>
              <w:t>SAN PEDRO SULA</w:t>
            </w:r>
            <w:r w:rsidR="00771180" w:rsidRPr="00CF0F96">
              <w:rPr>
                <w:rFonts w:cs="Arial"/>
                <w:sz w:val="18"/>
                <w:lang w:val="es-HN"/>
              </w:rPr>
              <w:t xml:space="preserve"> </w:t>
            </w:r>
            <w:r w:rsidRPr="00CF0F96">
              <w:rPr>
                <w:rFonts w:cs="Arial"/>
                <w:sz w:val="18"/>
                <w:lang w:val="es-HN"/>
              </w:rPr>
              <w:t>(402)</w:t>
            </w:r>
          </w:p>
        </w:tc>
        <w:tc>
          <w:tcPr>
            <w:tcW w:w="795" w:type="dxa"/>
            <w:shd w:val="clear" w:color="auto" w:fill="FFFFFF" w:themeFill="background1"/>
            <w:vAlign w:val="center"/>
          </w:tcPr>
          <w:p w14:paraId="23B4BF49"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545</w:t>
            </w:r>
          </w:p>
        </w:tc>
        <w:tc>
          <w:tcPr>
            <w:tcW w:w="707" w:type="dxa"/>
            <w:shd w:val="clear" w:color="auto" w:fill="FFFFFF" w:themeFill="background1"/>
            <w:vAlign w:val="center"/>
          </w:tcPr>
          <w:p w14:paraId="681B0951"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52.5</w:t>
            </w:r>
          </w:p>
        </w:tc>
        <w:tc>
          <w:tcPr>
            <w:tcW w:w="850" w:type="dxa"/>
            <w:shd w:val="clear" w:color="auto" w:fill="FFFFFF" w:themeFill="background1"/>
            <w:vAlign w:val="center"/>
          </w:tcPr>
          <w:p w14:paraId="7041524C"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59.2</w:t>
            </w:r>
          </w:p>
        </w:tc>
        <w:tc>
          <w:tcPr>
            <w:tcW w:w="864" w:type="dxa"/>
            <w:shd w:val="clear" w:color="auto" w:fill="FFFFFF" w:themeFill="background1"/>
            <w:vAlign w:val="center"/>
          </w:tcPr>
          <w:p w14:paraId="14FF20B4"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947</w:t>
            </w:r>
          </w:p>
        </w:tc>
        <w:tc>
          <w:tcPr>
            <w:tcW w:w="693" w:type="dxa"/>
            <w:shd w:val="clear" w:color="auto" w:fill="FFFFFF" w:themeFill="background1"/>
            <w:vAlign w:val="center"/>
          </w:tcPr>
          <w:p w14:paraId="1A964CDE"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56.2</w:t>
            </w:r>
          </w:p>
        </w:tc>
        <w:tc>
          <w:tcPr>
            <w:tcW w:w="1218" w:type="dxa"/>
            <w:shd w:val="clear" w:color="auto" w:fill="FFFFFF" w:themeFill="background1"/>
            <w:vAlign w:val="center"/>
          </w:tcPr>
          <w:p w14:paraId="130FB253" w14:textId="77777777" w:rsidR="006A3DBC" w:rsidRPr="00CF0F96" w:rsidRDefault="006A3DBC" w:rsidP="005F4A92">
            <w:pPr>
              <w:spacing w:after="0" w:line="0" w:lineRule="atLeast"/>
              <w:jc w:val="right"/>
              <w:rPr>
                <w:rFonts w:cs="Arial"/>
                <w:sz w:val="18"/>
                <w:lang w:val="es-HN"/>
              </w:rPr>
            </w:pPr>
            <w:r w:rsidRPr="00CF0F96">
              <w:rPr>
                <w:rFonts w:cs="Arial"/>
                <w:sz w:val="18"/>
                <w:lang w:val="es-HN"/>
              </w:rPr>
              <w:t>1,686,094</w:t>
            </w:r>
          </w:p>
        </w:tc>
      </w:tr>
      <w:tr w:rsidR="00CF0F96" w:rsidRPr="00CF0F96" w14:paraId="26E9A1BE" w14:textId="77777777" w:rsidTr="005F4A92">
        <w:trPr>
          <w:trHeight w:val="176"/>
          <w:jc w:val="center"/>
        </w:trPr>
        <w:tc>
          <w:tcPr>
            <w:tcW w:w="30" w:type="dxa"/>
            <w:shd w:val="clear" w:color="auto" w:fill="FFFFFF" w:themeFill="background1"/>
            <w:vAlign w:val="center"/>
          </w:tcPr>
          <w:p w14:paraId="0A242BF1" w14:textId="77777777" w:rsidR="006A3DBC" w:rsidRPr="00CF0F96" w:rsidRDefault="006A3DBC" w:rsidP="005F4A92">
            <w:pPr>
              <w:spacing w:after="0" w:line="0" w:lineRule="atLeast"/>
              <w:rPr>
                <w:rFonts w:eastAsia="Times New Roman" w:cs="Arial"/>
                <w:sz w:val="18"/>
                <w:szCs w:val="18"/>
                <w:lang w:val="es-HN" w:eastAsia="es-HN"/>
              </w:rPr>
            </w:pPr>
          </w:p>
        </w:tc>
        <w:tc>
          <w:tcPr>
            <w:tcW w:w="1920" w:type="dxa"/>
            <w:shd w:val="clear" w:color="auto" w:fill="FFFFFF" w:themeFill="background1"/>
            <w:vAlign w:val="center"/>
          </w:tcPr>
          <w:p w14:paraId="28B661F1" w14:textId="77777777" w:rsidR="006A3DBC" w:rsidRPr="00CF0F96" w:rsidRDefault="006A3DBC" w:rsidP="005F4A92">
            <w:pPr>
              <w:spacing w:after="0" w:line="0" w:lineRule="atLeast"/>
              <w:ind w:left="20"/>
              <w:rPr>
                <w:rFonts w:cs="Arial"/>
                <w:sz w:val="18"/>
                <w:lang w:val="es-HN"/>
              </w:rPr>
            </w:pPr>
            <w:r w:rsidRPr="00CF0F96">
              <w:rPr>
                <w:rFonts w:cs="Arial"/>
                <w:sz w:val="18"/>
                <w:lang w:val="es-HN"/>
              </w:rPr>
              <w:t>COMAYAGUA</w:t>
            </w:r>
          </w:p>
        </w:tc>
        <w:tc>
          <w:tcPr>
            <w:tcW w:w="1958" w:type="dxa"/>
            <w:shd w:val="clear" w:color="auto" w:fill="FFFFFF" w:themeFill="background1"/>
            <w:vAlign w:val="center"/>
          </w:tcPr>
          <w:p w14:paraId="77D82686" w14:textId="4A302D3D" w:rsidR="006A3DBC" w:rsidRPr="00CF0F96" w:rsidRDefault="006A3DBC" w:rsidP="005F4A92">
            <w:pPr>
              <w:spacing w:after="0" w:line="0" w:lineRule="atLeast"/>
              <w:ind w:left="20"/>
              <w:rPr>
                <w:rFonts w:cs="Arial"/>
                <w:sz w:val="18"/>
                <w:lang w:val="es-HN"/>
              </w:rPr>
            </w:pPr>
            <w:r w:rsidRPr="00CF0F96">
              <w:rPr>
                <w:rFonts w:cs="Arial"/>
                <w:sz w:val="18"/>
                <w:lang w:val="es-HN"/>
              </w:rPr>
              <w:t>COMAYAGUA</w:t>
            </w:r>
            <w:r w:rsidR="00771180" w:rsidRPr="00CF0F96">
              <w:rPr>
                <w:rFonts w:cs="Arial"/>
                <w:sz w:val="18"/>
                <w:lang w:val="es-HN"/>
              </w:rPr>
              <w:t xml:space="preserve"> </w:t>
            </w:r>
            <w:r w:rsidRPr="00CF0F96">
              <w:rPr>
                <w:rFonts w:cs="Arial"/>
                <w:sz w:val="18"/>
                <w:lang w:val="es-HN"/>
              </w:rPr>
              <w:t>(82)</w:t>
            </w:r>
          </w:p>
        </w:tc>
        <w:tc>
          <w:tcPr>
            <w:tcW w:w="795" w:type="dxa"/>
            <w:shd w:val="clear" w:color="auto" w:fill="FFFFFF" w:themeFill="background1"/>
            <w:vAlign w:val="center"/>
          </w:tcPr>
          <w:p w14:paraId="3A4AE9ED"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190</w:t>
            </w:r>
          </w:p>
        </w:tc>
        <w:tc>
          <w:tcPr>
            <w:tcW w:w="707" w:type="dxa"/>
            <w:shd w:val="clear" w:color="auto" w:fill="FFFFFF" w:themeFill="background1"/>
            <w:vAlign w:val="center"/>
          </w:tcPr>
          <w:p w14:paraId="66FCFDB1"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51.3</w:t>
            </w:r>
          </w:p>
        </w:tc>
        <w:tc>
          <w:tcPr>
            <w:tcW w:w="850" w:type="dxa"/>
            <w:shd w:val="clear" w:color="auto" w:fill="FFFFFF" w:themeFill="background1"/>
            <w:vAlign w:val="center"/>
          </w:tcPr>
          <w:p w14:paraId="129D4BEA"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51.1</w:t>
            </w:r>
          </w:p>
        </w:tc>
        <w:tc>
          <w:tcPr>
            <w:tcW w:w="864" w:type="dxa"/>
            <w:shd w:val="clear" w:color="auto" w:fill="FFFFFF" w:themeFill="background1"/>
            <w:vAlign w:val="center"/>
          </w:tcPr>
          <w:p w14:paraId="377616F7"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272</w:t>
            </w:r>
          </w:p>
        </w:tc>
        <w:tc>
          <w:tcPr>
            <w:tcW w:w="693" w:type="dxa"/>
            <w:shd w:val="clear" w:color="auto" w:fill="FFFFFF" w:themeFill="background1"/>
            <w:vAlign w:val="center"/>
          </w:tcPr>
          <w:p w14:paraId="485BDC18"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51.2</w:t>
            </w:r>
          </w:p>
        </w:tc>
        <w:tc>
          <w:tcPr>
            <w:tcW w:w="1218" w:type="dxa"/>
            <w:shd w:val="clear" w:color="auto" w:fill="FFFFFF" w:themeFill="background1"/>
            <w:vAlign w:val="center"/>
          </w:tcPr>
          <w:p w14:paraId="071760CF" w14:textId="77777777" w:rsidR="006A3DBC" w:rsidRPr="00CF0F96" w:rsidRDefault="006A3DBC" w:rsidP="005F4A92">
            <w:pPr>
              <w:spacing w:after="0" w:line="0" w:lineRule="atLeast"/>
              <w:jc w:val="right"/>
              <w:rPr>
                <w:rFonts w:cs="Arial"/>
                <w:sz w:val="18"/>
                <w:lang w:val="es-HN"/>
              </w:rPr>
            </w:pPr>
            <w:r w:rsidRPr="00CF0F96">
              <w:rPr>
                <w:rFonts w:cs="Arial"/>
                <w:sz w:val="18"/>
                <w:lang w:val="es-HN"/>
              </w:rPr>
              <w:t>531,676</w:t>
            </w:r>
          </w:p>
        </w:tc>
      </w:tr>
      <w:tr w:rsidR="00CF0F96" w:rsidRPr="00CF0F96" w14:paraId="7D7B8C61" w14:textId="77777777" w:rsidTr="005F4A92">
        <w:trPr>
          <w:trHeight w:val="176"/>
          <w:jc w:val="center"/>
        </w:trPr>
        <w:tc>
          <w:tcPr>
            <w:tcW w:w="30" w:type="dxa"/>
            <w:shd w:val="clear" w:color="auto" w:fill="FFFFFF" w:themeFill="background1"/>
            <w:vAlign w:val="center"/>
          </w:tcPr>
          <w:p w14:paraId="6BEEC6DE" w14:textId="77777777" w:rsidR="006A3DBC" w:rsidRPr="00CF0F96" w:rsidRDefault="006A3DBC" w:rsidP="005F4A92">
            <w:pPr>
              <w:spacing w:after="0" w:line="0" w:lineRule="atLeast"/>
              <w:rPr>
                <w:rFonts w:eastAsia="Times New Roman" w:cs="Arial"/>
                <w:sz w:val="18"/>
                <w:szCs w:val="18"/>
                <w:lang w:val="es-HN" w:eastAsia="es-HN"/>
              </w:rPr>
            </w:pPr>
          </w:p>
        </w:tc>
        <w:tc>
          <w:tcPr>
            <w:tcW w:w="1920" w:type="dxa"/>
            <w:shd w:val="clear" w:color="auto" w:fill="FFFFFF" w:themeFill="background1"/>
            <w:vAlign w:val="center"/>
          </w:tcPr>
          <w:p w14:paraId="4250327A" w14:textId="77777777" w:rsidR="006A3DBC" w:rsidRPr="00CF0F96" w:rsidRDefault="006A3DBC" w:rsidP="005F4A92">
            <w:pPr>
              <w:spacing w:after="0" w:line="0" w:lineRule="atLeast"/>
              <w:ind w:left="20"/>
              <w:rPr>
                <w:rFonts w:cs="Arial"/>
                <w:sz w:val="18"/>
                <w:lang w:val="es-HN"/>
              </w:rPr>
            </w:pPr>
            <w:r w:rsidRPr="00CF0F96">
              <w:rPr>
                <w:rFonts w:cs="Arial"/>
                <w:sz w:val="18"/>
                <w:lang w:val="es-HN"/>
              </w:rPr>
              <w:t>SANTA BÁRBARA</w:t>
            </w:r>
          </w:p>
        </w:tc>
        <w:tc>
          <w:tcPr>
            <w:tcW w:w="1958" w:type="dxa"/>
            <w:shd w:val="clear" w:color="auto" w:fill="FFFFFF" w:themeFill="background1"/>
            <w:vAlign w:val="center"/>
          </w:tcPr>
          <w:p w14:paraId="19AD47AB" w14:textId="38C9542C" w:rsidR="006A3DBC" w:rsidRPr="00CF0F96" w:rsidRDefault="006A3DBC" w:rsidP="005F4A92">
            <w:pPr>
              <w:spacing w:after="0" w:line="0" w:lineRule="atLeast"/>
              <w:ind w:left="20"/>
              <w:rPr>
                <w:rFonts w:cs="Arial"/>
                <w:sz w:val="18"/>
                <w:lang w:val="es-HN"/>
              </w:rPr>
            </w:pPr>
            <w:r w:rsidRPr="00CF0F96">
              <w:rPr>
                <w:rFonts w:cs="Arial"/>
                <w:sz w:val="18"/>
                <w:lang w:val="es-HN"/>
              </w:rPr>
              <w:t>SANTA BÁRBARA</w:t>
            </w:r>
            <w:r w:rsidR="00771180" w:rsidRPr="00CF0F96">
              <w:rPr>
                <w:rFonts w:cs="Arial"/>
                <w:sz w:val="18"/>
                <w:lang w:val="es-HN"/>
              </w:rPr>
              <w:t xml:space="preserve"> </w:t>
            </w:r>
            <w:r w:rsidRPr="00CF0F96">
              <w:rPr>
                <w:rFonts w:cs="Arial"/>
                <w:sz w:val="18"/>
                <w:lang w:val="es-HN"/>
              </w:rPr>
              <w:t>(14)</w:t>
            </w:r>
          </w:p>
        </w:tc>
        <w:tc>
          <w:tcPr>
            <w:tcW w:w="795" w:type="dxa"/>
            <w:shd w:val="clear" w:color="auto" w:fill="FFFFFF" w:themeFill="background1"/>
            <w:vAlign w:val="center"/>
          </w:tcPr>
          <w:p w14:paraId="27A31A54"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198</w:t>
            </w:r>
          </w:p>
        </w:tc>
        <w:tc>
          <w:tcPr>
            <w:tcW w:w="707" w:type="dxa"/>
            <w:shd w:val="clear" w:color="auto" w:fill="FFFFFF" w:themeFill="background1"/>
            <w:vAlign w:val="center"/>
          </w:tcPr>
          <w:p w14:paraId="3735CCA0"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31.1</w:t>
            </w:r>
          </w:p>
        </w:tc>
        <w:tc>
          <w:tcPr>
            <w:tcW w:w="850" w:type="dxa"/>
            <w:shd w:val="clear" w:color="auto" w:fill="FFFFFF" w:themeFill="background1"/>
            <w:vAlign w:val="center"/>
          </w:tcPr>
          <w:p w14:paraId="25F7F43D"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49.0</w:t>
            </w:r>
          </w:p>
        </w:tc>
        <w:tc>
          <w:tcPr>
            <w:tcW w:w="864" w:type="dxa"/>
            <w:shd w:val="clear" w:color="auto" w:fill="FFFFFF" w:themeFill="background1"/>
            <w:vAlign w:val="center"/>
          </w:tcPr>
          <w:p w14:paraId="34618108"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212</w:t>
            </w:r>
          </w:p>
        </w:tc>
        <w:tc>
          <w:tcPr>
            <w:tcW w:w="693" w:type="dxa"/>
            <w:shd w:val="clear" w:color="auto" w:fill="FFFFFF" w:themeFill="background1"/>
            <w:vAlign w:val="center"/>
          </w:tcPr>
          <w:p w14:paraId="1B9FE494"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47.2</w:t>
            </w:r>
          </w:p>
        </w:tc>
        <w:tc>
          <w:tcPr>
            <w:tcW w:w="1218" w:type="dxa"/>
            <w:shd w:val="clear" w:color="auto" w:fill="FFFFFF" w:themeFill="background1"/>
            <w:vAlign w:val="center"/>
          </w:tcPr>
          <w:p w14:paraId="6010BEFB" w14:textId="77777777" w:rsidR="006A3DBC" w:rsidRPr="00CF0F96" w:rsidRDefault="006A3DBC" w:rsidP="005F4A92">
            <w:pPr>
              <w:spacing w:after="0" w:line="0" w:lineRule="atLeast"/>
              <w:jc w:val="right"/>
              <w:rPr>
                <w:rFonts w:cs="Arial"/>
                <w:sz w:val="18"/>
                <w:lang w:val="es-HN"/>
              </w:rPr>
            </w:pPr>
            <w:r w:rsidRPr="00CF0F96">
              <w:rPr>
                <w:rFonts w:cs="Arial"/>
                <w:sz w:val="18"/>
                <w:lang w:val="es-HN"/>
              </w:rPr>
              <w:t>448,942</w:t>
            </w:r>
          </w:p>
        </w:tc>
      </w:tr>
      <w:tr w:rsidR="00CF0F96" w:rsidRPr="00CF0F96" w14:paraId="0E01705C" w14:textId="77777777" w:rsidTr="005F4A92">
        <w:trPr>
          <w:trHeight w:val="172"/>
          <w:jc w:val="center"/>
        </w:trPr>
        <w:tc>
          <w:tcPr>
            <w:tcW w:w="30" w:type="dxa"/>
            <w:shd w:val="clear" w:color="auto" w:fill="FFFFFF" w:themeFill="background1"/>
            <w:vAlign w:val="center"/>
          </w:tcPr>
          <w:p w14:paraId="07C56658" w14:textId="77777777" w:rsidR="006A3DBC" w:rsidRPr="00CF0F96" w:rsidRDefault="006A3DBC" w:rsidP="005F4A92">
            <w:pPr>
              <w:spacing w:after="0" w:line="0" w:lineRule="atLeast"/>
              <w:rPr>
                <w:rFonts w:eastAsia="Times New Roman" w:cs="Arial"/>
                <w:sz w:val="18"/>
                <w:szCs w:val="18"/>
                <w:lang w:val="es-HN" w:eastAsia="es-HN"/>
              </w:rPr>
            </w:pPr>
          </w:p>
        </w:tc>
        <w:tc>
          <w:tcPr>
            <w:tcW w:w="1920" w:type="dxa"/>
            <w:shd w:val="clear" w:color="auto" w:fill="FFFFFF" w:themeFill="background1"/>
            <w:vAlign w:val="center"/>
          </w:tcPr>
          <w:p w14:paraId="3AF3F03F" w14:textId="77777777" w:rsidR="006A3DBC" w:rsidRPr="00CF0F96" w:rsidRDefault="006A3DBC" w:rsidP="005F4A92">
            <w:pPr>
              <w:spacing w:after="0" w:line="0" w:lineRule="atLeast"/>
              <w:ind w:left="20"/>
              <w:rPr>
                <w:rFonts w:cs="Arial"/>
                <w:sz w:val="18"/>
                <w:lang w:val="es-HN"/>
              </w:rPr>
            </w:pPr>
            <w:r w:rsidRPr="00CF0F96">
              <w:rPr>
                <w:rFonts w:cs="Arial"/>
                <w:sz w:val="18"/>
                <w:lang w:val="es-HN"/>
              </w:rPr>
              <w:t>COPÁN</w:t>
            </w:r>
          </w:p>
        </w:tc>
        <w:tc>
          <w:tcPr>
            <w:tcW w:w="1958" w:type="dxa"/>
            <w:shd w:val="clear" w:color="auto" w:fill="FFFFFF" w:themeFill="background1"/>
            <w:vAlign w:val="center"/>
          </w:tcPr>
          <w:p w14:paraId="3B547628" w14:textId="69CC5AC3" w:rsidR="006A3DBC" w:rsidRPr="00CF0F96" w:rsidRDefault="006A3DBC" w:rsidP="005F4A92">
            <w:pPr>
              <w:spacing w:after="0" w:line="0" w:lineRule="atLeast"/>
              <w:ind w:left="20"/>
              <w:rPr>
                <w:rFonts w:cs="Arial"/>
                <w:sz w:val="18"/>
                <w:lang w:val="es-HN"/>
              </w:rPr>
            </w:pPr>
            <w:r w:rsidRPr="00CF0F96">
              <w:rPr>
                <w:rFonts w:cs="Arial"/>
                <w:sz w:val="18"/>
                <w:lang w:val="es-HN"/>
              </w:rPr>
              <w:t>SANTA ROSA DE COPÁN</w:t>
            </w:r>
            <w:r w:rsidR="00771180" w:rsidRPr="00CF0F96">
              <w:rPr>
                <w:rFonts w:cs="Arial"/>
                <w:sz w:val="18"/>
                <w:lang w:val="es-HN"/>
              </w:rPr>
              <w:t xml:space="preserve"> </w:t>
            </w:r>
            <w:r w:rsidRPr="00CF0F96">
              <w:rPr>
                <w:rFonts w:cs="Arial"/>
                <w:sz w:val="18"/>
                <w:lang w:val="es-HN"/>
              </w:rPr>
              <w:t>(19)</w:t>
            </w:r>
          </w:p>
        </w:tc>
        <w:tc>
          <w:tcPr>
            <w:tcW w:w="795" w:type="dxa"/>
            <w:shd w:val="clear" w:color="auto" w:fill="FFFFFF" w:themeFill="background1"/>
            <w:vAlign w:val="center"/>
          </w:tcPr>
          <w:p w14:paraId="3245AB22"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165</w:t>
            </w:r>
          </w:p>
        </w:tc>
        <w:tc>
          <w:tcPr>
            <w:tcW w:w="707" w:type="dxa"/>
            <w:shd w:val="clear" w:color="auto" w:fill="FFFFFF" w:themeFill="background1"/>
            <w:vAlign w:val="center"/>
          </w:tcPr>
          <w:p w14:paraId="35C2FF95"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28.5</w:t>
            </w:r>
          </w:p>
        </w:tc>
        <w:tc>
          <w:tcPr>
            <w:tcW w:w="850" w:type="dxa"/>
            <w:shd w:val="clear" w:color="auto" w:fill="FFFFFF" w:themeFill="background1"/>
            <w:vAlign w:val="center"/>
          </w:tcPr>
          <w:p w14:paraId="14D3D4DE"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50.3</w:t>
            </w:r>
          </w:p>
        </w:tc>
        <w:tc>
          <w:tcPr>
            <w:tcW w:w="864" w:type="dxa"/>
            <w:shd w:val="clear" w:color="auto" w:fill="FFFFFF" w:themeFill="background1"/>
            <w:vAlign w:val="center"/>
          </w:tcPr>
          <w:p w14:paraId="1D9A050B"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184</w:t>
            </w:r>
          </w:p>
        </w:tc>
        <w:tc>
          <w:tcPr>
            <w:tcW w:w="693" w:type="dxa"/>
            <w:shd w:val="clear" w:color="auto" w:fill="FFFFFF" w:themeFill="background1"/>
            <w:vAlign w:val="center"/>
          </w:tcPr>
          <w:p w14:paraId="38C039E8"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46.6</w:t>
            </w:r>
          </w:p>
        </w:tc>
        <w:tc>
          <w:tcPr>
            <w:tcW w:w="1218" w:type="dxa"/>
            <w:shd w:val="clear" w:color="auto" w:fill="FFFFFF" w:themeFill="background1"/>
            <w:vAlign w:val="center"/>
          </w:tcPr>
          <w:p w14:paraId="417A5AFD" w14:textId="77777777" w:rsidR="006A3DBC" w:rsidRPr="00CF0F96" w:rsidRDefault="006A3DBC" w:rsidP="005F4A92">
            <w:pPr>
              <w:spacing w:after="0" w:line="0" w:lineRule="atLeast"/>
              <w:jc w:val="right"/>
              <w:rPr>
                <w:rFonts w:cs="Arial"/>
                <w:sz w:val="18"/>
                <w:lang w:val="es-HN"/>
              </w:rPr>
            </w:pPr>
            <w:r w:rsidRPr="00CF0F96">
              <w:rPr>
                <w:rFonts w:cs="Arial"/>
                <w:sz w:val="18"/>
                <w:lang w:val="es-HN"/>
              </w:rPr>
              <w:t>394,890</w:t>
            </w:r>
          </w:p>
        </w:tc>
      </w:tr>
      <w:tr w:rsidR="00CF0F96" w:rsidRPr="00CF0F96" w14:paraId="2193AE04" w14:textId="77777777" w:rsidTr="005F4A92">
        <w:trPr>
          <w:trHeight w:val="163"/>
          <w:jc w:val="center"/>
        </w:trPr>
        <w:tc>
          <w:tcPr>
            <w:tcW w:w="30" w:type="dxa"/>
            <w:shd w:val="clear" w:color="auto" w:fill="FFFFFF" w:themeFill="background1"/>
            <w:vAlign w:val="center"/>
          </w:tcPr>
          <w:p w14:paraId="684021BB" w14:textId="77777777" w:rsidR="006A3DBC" w:rsidRPr="00CF0F96" w:rsidRDefault="006A3DBC" w:rsidP="005F4A92">
            <w:pPr>
              <w:spacing w:after="0" w:line="0" w:lineRule="atLeast"/>
              <w:rPr>
                <w:rFonts w:eastAsia="Times New Roman" w:cs="Arial"/>
                <w:sz w:val="18"/>
                <w:szCs w:val="18"/>
                <w:lang w:val="es-HN" w:eastAsia="es-HN"/>
              </w:rPr>
            </w:pPr>
          </w:p>
        </w:tc>
        <w:tc>
          <w:tcPr>
            <w:tcW w:w="1920" w:type="dxa"/>
            <w:shd w:val="clear" w:color="auto" w:fill="FFFFFF" w:themeFill="background1"/>
            <w:vAlign w:val="center"/>
          </w:tcPr>
          <w:p w14:paraId="7F5AF87E" w14:textId="77777777" w:rsidR="006A3DBC" w:rsidRPr="00CF0F96" w:rsidRDefault="006A3DBC" w:rsidP="005F4A92">
            <w:pPr>
              <w:spacing w:after="0" w:line="0" w:lineRule="atLeast"/>
              <w:ind w:left="20"/>
              <w:rPr>
                <w:rFonts w:cs="Arial"/>
                <w:w w:val="98"/>
                <w:sz w:val="18"/>
                <w:lang w:val="es-HN"/>
              </w:rPr>
            </w:pPr>
            <w:r w:rsidRPr="00CF0F96">
              <w:rPr>
                <w:rFonts w:cs="Arial"/>
                <w:w w:val="98"/>
                <w:sz w:val="18"/>
                <w:lang w:val="es-HN"/>
              </w:rPr>
              <w:t>FRANCISCO MORAZÁN</w:t>
            </w:r>
          </w:p>
        </w:tc>
        <w:tc>
          <w:tcPr>
            <w:tcW w:w="1958" w:type="dxa"/>
            <w:shd w:val="clear" w:color="auto" w:fill="FFFFFF" w:themeFill="background1"/>
            <w:vAlign w:val="center"/>
          </w:tcPr>
          <w:p w14:paraId="5FFBF9C0" w14:textId="5EF4154B" w:rsidR="006A3DBC" w:rsidRPr="00CF0F96" w:rsidRDefault="006A3DBC" w:rsidP="005F4A92">
            <w:pPr>
              <w:spacing w:after="0" w:line="0" w:lineRule="atLeast"/>
              <w:ind w:left="20"/>
              <w:rPr>
                <w:rFonts w:cs="Arial"/>
                <w:sz w:val="18"/>
                <w:lang w:val="es-HN"/>
              </w:rPr>
            </w:pPr>
            <w:r w:rsidRPr="00CF0F96">
              <w:rPr>
                <w:rFonts w:cs="Arial"/>
                <w:sz w:val="18"/>
                <w:lang w:val="es-HN"/>
              </w:rPr>
              <w:t>DISTRITO CENTRAL</w:t>
            </w:r>
            <w:r w:rsidR="00771180" w:rsidRPr="00CF0F96">
              <w:rPr>
                <w:rFonts w:cs="Arial"/>
                <w:sz w:val="18"/>
                <w:lang w:val="es-HN"/>
              </w:rPr>
              <w:t xml:space="preserve"> </w:t>
            </w:r>
            <w:r w:rsidRPr="00CF0F96">
              <w:rPr>
                <w:rFonts w:cs="Arial"/>
                <w:sz w:val="18"/>
                <w:lang w:val="es-HN"/>
              </w:rPr>
              <w:t>(596)</w:t>
            </w:r>
          </w:p>
        </w:tc>
        <w:tc>
          <w:tcPr>
            <w:tcW w:w="795" w:type="dxa"/>
            <w:shd w:val="clear" w:color="auto" w:fill="FFFFFF" w:themeFill="background1"/>
            <w:vAlign w:val="center"/>
          </w:tcPr>
          <w:p w14:paraId="60A91DE1"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100</w:t>
            </w:r>
          </w:p>
        </w:tc>
        <w:tc>
          <w:tcPr>
            <w:tcW w:w="707" w:type="dxa"/>
            <w:shd w:val="clear" w:color="auto" w:fill="FFFFFF" w:themeFill="background1"/>
            <w:vAlign w:val="center"/>
          </w:tcPr>
          <w:p w14:paraId="52EC267D"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48.7</w:t>
            </w:r>
          </w:p>
        </w:tc>
        <w:tc>
          <w:tcPr>
            <w:tcW w:w="850" w:type="dxa"/>
            <w:shd w:val="clear" w:color="auto" w:fill="FFFFFF" w:themeFill="background1"/>
            <w:vAlign w:val="center"/>
          </w:tcPr>
          <w:p w14:paraId="488D7CE0"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26.6</w:t>
            </w:r>
          </w:p>
        </w:tc>
        <w:tc>
          <w:tcPr>
            <w:tcW w:w="864" w:type="dxa"/>
            <w:shd w:val="clear" w:color="auto" w:fill="FFFFFF" w:themeFill="background1"/>
            <w:vAlign w:val="center"/>
          </w:tcPr>
          <w:p w14:paraId="76FC73B0"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696</w:t>
            </w:r>
          </w:p>
        </w:tc>
        <w:tc>
          <w:tcPr>
            <w:tcW w:w="693" w:type="dxa"/>
            <w:shd w:val="clear" w:color="auto" w:fill="FFFFFF" w:themeFill="background1"/>
            <w:vAlign w:val="center"/>
          </w:tcPr>
          <w:p w14:paraId="4DEF30BB"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43.5</w:t>
            </w:r>
          </w:p>
        </w:tc>
        <w:tc>
          <w:tcPr>
            <w:tcW w:w="1218" w:type="dxa"/>
            <w:shd w:val="clear" w:color="auto" w:fill="FFFFFF" w:themeFill="background1"/>
            <w:vAlign w:val="center"/>
          </w:tcPr>
          <w:p w14:paraId="6C2D5145" w14:textId="77777777" w:rsidR="006A3DBC" w:rsidRPr="00CF0F96" w:rsidRDefault="006A3DBC" w:rsidP="005F4A92">
            <w:pPr>
              <w:spacing w:after="0" w:line="0" w:lineRule="atLeast"/>
              <w:jc w:val="right"/>
              <w:rPr>
                <w:rFonts w:cs="Arial"/>
                <w:sz w:val="18"/>
                <w:lang w:val="es-HN"/>
              </w:rPr>
            </w:pPr>
            <w:r w:rsidRPr="00CF0F96">
              <w:rPr>
                <w:rFonts w:cs="Arial"/>
                <w:sz w:val="18"/>
                <w:lang w:val="es-HN"/>
              </w:rPr>
              <w:t>1,601,291</w:t>
            </w:r>
          </w:p>
        </w:tc>
      </w:tr>
      <w:tr w:rsidR="00CF0F96" w:rsidRPr="00CF0F96" w14:paraId="1896C7D7" w14:textId="77777777" w:rsidTr="005F4A92">
        <w:trPr>
          <w:trHeight w:val="169"/>
          <w:jc w:val="center"/>
        </w:trPr>
        <w:tc>
          <w:tcPr>
            <w:tcW w:w="30" w:type="dxa"/>
            <w:shd w:val="clear" w:color="auto" w:fill="FFFFFF" w:themeFill="background1"/>
            <w:vAlign w:val="center"/>
          </w:tcPr>
          <w:p w14:paraId="3987A34C" w14:textId="77777777" w:rsidR="006A3DBC" w:rsidRPr="00CF0F96" w:rsidRDefault="006A3DBC" w:rsidP="005F4A92">
            <w:pPr>
              <w:spacing w:after="0" w:line="0" w:lineRule="atLeast"/>
              <w:rPr>
                <w:rFonts w:eastAsia="Times New Roman" w:cs="Arial"/>
                <w:sz w:val="18"/>
                <w:szCs w:val="18"/>
                <w:lang w:val="es-HN" w:eastAsia="es-HN"/>
              </w:rPr>
            </w:pPr>
          </w:p>
        </w:tc>
        <w:tc>
          <w:tcPr>
            <w:tcW w:w="1920" w:type="dxa"/>
            <w:shd w:val="clear" w:color="auto" w:fill="FFFFFF" w:themeFill="background1"/>
            <w:vAlign w:val="center"/>
          </w:tcPr>
          <w:p w14:paraId="23907E44" w14:textId="77777777" w:rsidR="006A3DBC" w:rsidRPr="00CF0F96" w:rsidRDefault="006A3DBC" w:rsidP="005F4A92">
            <w:pPr>
              <w:spacing w:after="0" w:line="0" w:lineRule="atLeast"/>
              <w:ind w:left="20"/>
              <w:rPr>
                <w:rFonts w:cs="Arial"/>
                <w:sz w:val="18"/>
                <w:lang w:val="es-HN"/>
              </w:rPr>
            </w:pPr>
            <w:r w:rsidRPr="00CF0F96">
              <w:rPr>
                <w:rFonts w:cs="Arial"/>
                <w:sz w:val="18"/>
                <w:lang w:val="es-HN"/>
              </w:rPr>
              <w:t>COLÓN</w:t>
            </w:r>
          </w:p>
        </w:tc>
        <w:tc>
          <w:tcPr>
            <w:tcW w:w="1958" w:type="dxa"/>
            <w:shd w:val="clear" w:color="auto" w:fill="FFFFFF" w:themeFill="background1"/>
            <w:vAlign w:val="center"/>
          </w:tcPr>
          <w:p w14:paraId="7948C081" w14:textId="48B40A71" w:rsidR="006A3DBC" w:rsidRPr="00CF0F96" w:rsidRDefault="006A3DBC" w:rsidP="005F4A92">
            <w:pPr>
              <w:spacing w:after="0" w:line="0" w:lineRule="atLeast"/>
              <w:ind w:left="20"/>
              <w:rPr>
                <w:rFonts w:cs="Arial"/>
                <w:sz w:val="18"/>
                <w:lang w:val="es-HN"/>
              </w:rPr>
            </w:pPr>
            <w:r w:rsidRPr="00CF0F96">
              <w:rPr>
                <w:rFonts w:cs="Arial"/>
                <w:sz w:val="18"/>
                <w:lang w:val="es-HN"/>
              </w:rPr>
              <w:t>TRUJILLO</w:t>
            </w:r>
            <w:r w:rsidR="00771180" w:rsidRPr="00CF0F96">
              <w:rPr>
                <w:rFonts w:cs="Arial"/>
                <w:sz w:val="18"/>
                <w:lang w:val="es-HN"/>
              </w:rPr>
              <w:t xml:space="preserve"> </w:t>
            </w:r>
            <w:r w:rsidRPr="00CF0F96">
              <w:rPr>
                <w:rFonts w:cs="Arial"/>
                <w:sz w:val="18"/>
                <w:lang w:val="es-HN"/>
              </w:rPr>
              <w:t>(28)</w:t>
            </w:r>
          </w:p>
        </w:tc>
        <w:tc>
          <w:tcPr>
            <w:tcW w:w="795" w:type="dxa"/>
            <w:shd w:val="clear" w:color="auto" w:fill="FFFFFF" w:themeFill="background1"/>
            <w:vAlign w:val="center"/>
          </w:tcPr>
          <w:p w14:paraId="770E11D7"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112</w:t>
            </w:r>
          </w:p>
        </w:tc>
        <w:tc>
          <w:tcPr>
            <w:tcW w:w="707" w:type="dxa"/>
            <w:shd w:val="clear" w:color="auto" w:fill="FFFFFF" w:themeFill="background1"/>
            <w:vAlign w:val="center"/>
          </w:tcPr>
          <w:p w14:paraId="71CF6468"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43.3</w:t>
            </w:r>
          </w:p>
        </w:tc>
        <w:tc>
          <w:tcPr>
            <w:tcW w:w="850" w:type="dxa"/>
            <w:shd w:val="clear" w:color="auto" w:fill="FFFFFF" w:themeFill="background1"/>
            <w:vAlign w:val="center"/>
          </w:tcPr>
          <w:p w14:paraId="3C4BDB00"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42.2</w:t>
            </w:r>
          </w:p>
        </w:tc>
        <w:tc>
          <w:tcPr>
            <w:tcW w:w="864" w:type="dxa"/>
            <w:shd w:val="clear" w:color="auto" w:fill="FFFFFF" w:themeFill="background1"/>
            <w:vAlign w:val="center"/>
          </w:tcPr>
          <w:p w14:paraId="451D5429"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140</w:t>
            </w:r>
          </w:p>
        </w:tc>
        <w:tc>
          <w:tcPr>
            <w:tcW w:w="693" w:type="dxa"/>
            <w:shd w:val="clear" w:color="auto" w:fill="FFFFFF" w:themeFill="background1"/>
            <w:vAlign w:val="center"/>
          </w:tcPr>
          <w:p w14:paraId="11327579"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42.4</w:t>
            </w:r>
          </w:p>
        </w:tc>
        <w:tc>
          <w:tcPr>
            <w:tcW w:w="1218" w:type="dxa"/>
            <w:shd w:val="clear" w:color="auto" w:fill="FFFFFF" w:themeFill="background1"/>
            <w:vAlign w:val="center"/>
          </w:tcPr>
          <w:p w14:paraId="57D16EDC" w14:textId="77777777" w:rsidR="006A3DBC" w:rsidRPr="00CF0F96" w:rsidRDefault="006A3DBC" w:rsidP="005F4A92">
            <w:pPr>
              <w:spacing w:after="0" w:line="0" w:lineRule="atLeast"/>
              <w:jc w:val="right"/>
              <w:rPr>
                <w:rFonts w:cs="Arial"/>
                <w:sz w:val="18"/>
                <w:lang w:val="es-HN"/>
              </w:rPr>
            </w:pPr>
            <w:r w:rsidRPr="00CF0F96">
              <w:rPr>
                <w:rFonts w:cs="Arial"/>
                <w:sz w:val="18"/>
                <w:lang w:val="es-HN"/>
              </w:rPr>
              <w:t>330,105</w:t>
            </w:r>
          </w:p>
        </w:tc>
      </w:tr>
      <w:tr w:rsidR="00CF0F96" w:rsidRPr="00CF0F96" w14:paraId="503405AB" w14:textId="77777777" w:rsidTr="005F4A92">
        <w:trPr>
          <w:trHeight w:val="163"/>
          <w:jc w:val="center"/>
        </w:trPr>
        <w:tc>
          <w:tcPr>
            <w:tcW w:w="30" w:type="dxa"/>
            <w:shd w:val="clear" w:color="auto" w:fill="FFFFFF" w:themeFill="background1"/>
            <w:vAlign w:val="center"/>
          </w:tcPr>
          <w:p w14:paraId="6B7D3561" w14:textId="77777777" w:rsidR="006A3DBC" w:rsidRPr="00CF0F96" w:rsidRDefault="006A3DBC" w:rsidP="005F4A92">
            <w:pPr>
              <w:spacing w:after="0" w:line="0" w:lineRule="atLeast"/>
              <w:rPr>
                <w:rFonts w:eastAsia="Times New Roman" w:cs="Arial"/>
                <w:sz w:val="18"/>
                <w:szCs w:val="18"/>
                <w:lang w:val="es-HN" w:eastAsia="es-HN"/>
              </w:rPr>
            </w:pPr>
          </w:p>
        </w:tc>
        <w:tc>
          <w:tcPr>
            <w:tcW w:w="1920" w:type="dxa"/>
            <w:shd w:val="clear" w:color="auto" w:fill="FFFFFF" w:themeFill="background1"/>
            <w:vAlign w:val="center"/>
          </w:tcPr>
          <w:p w14:paraId="3D75C5DF" w14:textId="77777777" w:rsidR="006A3DBC" w:rsidRPr="00CF0F96" w:rsidRDefault="006A3DBC" w:rsidP="005F4A92">
            <w:pPr>
              <w:spacing w:after="0" w:line="0" w:lineRule="atLeast"/>
              <w:ind w:left="20"/>
              <w:rPr>
                <w:rFonts w:cs="Arial"/>
                <w:sz w:val="18"/>
                <w:lang w:val="es-HN"/>
              </w:rPr>
            </w:pPr>
            <w:r w:rsidRPr="00CF0F96">
              <w:rPr>
                <w:rFonts w:cs="Arial"/>
                <w:sz w:val="18"/>
                <w:lang w:val="es-HN"/>
              </w:rPr>
              <w:t>OLANCHO</w:t>
            </w:r>
          </w:p>
        </w:tc>
        <w:tc>
          <w:tcPr>
            <w:tcW w:w="1958" w:type="dxa"/>
            <w:shd w:val="clear" w:color="auto" w:fill="FFFFFF" w:themeFill="background1"/>
            <w:vAlign w:val="center"/>
          </w:tcPr>
          <w:p w14:paraId="6A34CAC2" w14:textId="5CD004FE" w:rsidR="006A3DBC" w:rsidRPr="00CF0F96" w:rsidRDefault="006A3DBC" w:rsidP="005F4A92">
            <w:pPr>
              <w:spacing w:after="0" w:line="0" w:lineRule="atLeast"/>
              <w:ind w:left="20"/>
              <w:rPr>
                <w:rFonts w:cs="Arial"/>
                <w:sz w:val="18"/>
                <w:lang w:val="es-HN"/>
              </w:rPr>
            </w:pPr>
            <w:r w:rsidRPr="00CF0F96">
              <w:rPr>
                <w:rFonts w:cs="Arial"/>
                <w:sz w:val="18"/>
                <w:lang w:val="es-HN"/>
              </w:rPr>
              <w:t>JUTICALPA</w:t>
            </w:r>
            <w:r w:rsidR="00771180" w:rsidRPr="00CF0F96">
              <w:rPr>
                <w:rFonts w:cs="Arial"/>
                <w:sz w:val="18"/>
                <w:lang w:val="es-HN"/>
              </w:rPr>
              <w:t xml:space="preserve"> </w:t>
            </w:r>
            <w:r w:rsidRPr="00CF0F96">
              <w:rPr>
                <w:rFonts w:cs="Arial"/>
                <w:sz w:val="18"/>
                <w:lang w:val="es-HN"/>
              </w:rPr>
              <w:t>(65)</w:t>
            </w:r>
          </w:p>
        </w:tc>
        <w:tc>
          <w:tcPr>
            <w:tcW w:w="795" w:type="dxa"/>
            <w:shd w:val="clear" w:color="auto" w:fill="FFFFFF" w:themeFill="background1"/>
            <w:vAlign w:val="center"/>
          </w:tcPr>
          <w:p w14:paraId="06537103"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138</w:t>
            </w:r>
          </w:p>
        </w:tc>
        <w:tc>
          <w:tcPr>
            <w:tcW w:w="707" w:type="dxa"/>
            <w:shd w:val="clear" w:color="auto" w:fill="FFFFFF" w:themeFill="background1"/>
            <w:vAlign w:val="center"/>
          </w:tcPr>
          <w:p w14:paraId="4A232F38"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48.1</w:t>
            </w:r>
          </w:p>
        </w:tc>
        <w:tc>
          <w:tcPr>
            <w:tcW w:w="850" w:type="dxa"/>
            <w:shd w:val="clear" w:color="auto" w:fill="FFFFFF" w:themeFill="background1"/>
            <w:vAlign w:val="center"/>
          </w:tcPr>
          <w:p w14:paraId="42D75AD9"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32.9</w:t>
            </w:r>
          </w:p>
        </w:tc>
        <w:tc>
          <w:tcPr>
            <w:tcW w:w="864" w:type="dxa"/>
            <w:shd w:val="clear" w:color="auto" w:fill="FFFFFF" w:themeFill="background1"/>
            <w:vAlign w:val="center"/>
          </w:tcPr>
          <w:p w14:paraId="5AC51910"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203</w:t>
            </w:r>
          </w:p>
        </w:tc>
        <w:tc>
          <w:tcPr>
            <w:tcW w:w="693" w:type="dxa"/>
            <w:shd w:val="clear" w:color="auto" w:fill="FFFFFF" w:themeFill="background1"/>
            <w:vAlign w:val="center"/>
          </w:tcPr>
          <w:p w14:paraId="565F59AC"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36.6</w:t>
            </w:r>
          </w:p>
        </w:tc>
        <w:tc>
          <w:tcPr>
            <w:tcW w:w="1218" w:type="dxa"/>
            <w:shd w:val="clear" w:color="auto" w:fill="FFFFFF" w:themeFill="background1"/>
            <w:vAlign w:val="center"/>
          </w:tcPr>
          <w:p w14:paraId="22FFF3AD" w14:textId="77777777" w:rsidR="006A3DBC" w:rsidRPr="00CF0F96" w:rsidRDefault="006A3DBC" w:rsidP="005F4A92">
            <w:pPr>
              <w:spacing w:after="0" w:line="0" w:lineRule="atLeast"/>
              <w:jc w:val="right"/>
              <w:rPr>
                <w:rFonts w:cs="Arial"/>
                <w:sz w:val="18"/>
                <w:lang w:val="es-HN"/>
              </w:rPr>
            </w:pPr>
            <w:r w:rsidRPr="00CF0F96">
              <w:rPr>
                <w:rFonts w:cs="Arial"/>
                <w:sz w:val="18"/>
                <w:lang w:val="es-HN"/>
              </w:rPr>
              <w:t>554,282</w:t>
            </w:r>
          </w:p>
        </w:tc>
      </w:tr>
      <w:tr w:rsidR="00CF0F96" w:rsidRPr="00CF0F96" w14:paraId="4F241E36" w14:textId="77777777" w:rsidTr="005F4A92">
        <w:trPr>
          <w:trHeight w:val="173"/>
          <w:jc w:val="center"/>
        </w:trPr>
        <w:tc>
          <w:tcPr>
            <w:tcW w:w="30" w:type="dxa"/>
            <w:shd w:val="clear" w:color="auto" w:fill="FFFFFF" w:themeFill="background1"/>
            <w:vAlign w:val="center"/>
          </w:tcPr>
          <w:p w14:paraId="76CA5872" w14:textId="77777777" w:rsidR="006A3DBC" w:rsidRPr="00CF0F96" w:rsidRDefault="006A3DBC" w:rsidP="005F4A92">
            <w:pPr>
              <w:spacing w:after="0" w:line="0" w:lineRule="atLeast"/>
              <w:rPr>
                <w:rFonts w:eastAsia="Times New Roman" w:cs="Arial"/>
                <w:sz w:val="18"/>
                <w:szCs w:val="18"/>
                <w:lang w:val="es-HN" w:eastAsia="es-HN"/>
              </w:rPr>
            </w:pPr>
          </w:p>
        </w:tc>
        <w:tc>
          <w:tcPr>
            <w:tcW w:w="1920" w:type="dxa"/>
            <w:shd w:val="clear" w:color="auto" w:fill="FFFFFF" w:themeFill="background1"/>
            <w:vAlign w:val="center"/>
          </w:tcPr>
          <w:p w14:paraId="4BAFF9C3" w14:textId="77777777" w:rsidR="006A3DBC" w:rsidRPr="00CF0F96" w:rsidRDefault="006A3DBC" w:rsidP="005F4A92">
            <w:pPr>
              <w:spacing w:after="0" w:line="0" w:lineRule="atLeast"/>
              <w:ind w:left="20"/>
              <w:rPr>
                <w:rFonts w:cs="Arial"/>
                <w:sz w:val="18"/>
                <w:lang w:val="es-HN"/>
              </w:rPr>
            </w:pPr>
            <w:r w:rsidRPr="00CF0F96">
              <w:rPr>
                <w:rFonts w:cs="Arial"/>
                <w:sz w:val="18"/>
                <w:lang w:val="es-HN"/>
              </w:rPr>
              <w:t>ISLAS DE LA BAHÍA</w:t>
            </w:r>
          </w:p>
        </w:tc>
        <w:tc>
          <w:tcPr>
            <w:tcW w:w="1958" w:type="dxa"/>
            <w:shd w:val="clear" w:color="auto" w:fill="FFFFFF" w:themeFill="background1"/>
            <w:vAlign w:val="center"/>
          </w:tcPr>
          <w:p w14:paraId="390D7A7E" w14:textId="71EFE6AE" w:rsidR="006A3DBC" w:rsidRPr="00CF0F96" w:rsidRDefault="006A3DBC" w:rsidP="005F4A92">
            <w:pPr>
              <w:spacing w:after="0" w:line="0" w:lineRule="atLeast"/>
              <w:ind w:left="20"/>
              <w:rPr>
                <w:rFonts w:cs="Arial"/>
                <w:sz w:val="18"/>
                <w:lang w:val="es-HN"/>
              </w:rPr>
            </w:pPr>
            <w:r w:rsidRPr="00CF0F96">
              <w:rPr>
                <w:rFonts w:cs="Arial"/>
                <w:sz w:val="18"/>
                <w:lang w:val="es-HN"/>
              </w:rPr>
              <w:t>ROATÁN</w:t>
            </w:r>
            <w:r w:rsidR="00771180" w:rsidRPr="00CF0F96">
              <w:rPr>
                <w:rFonts w:cs="Arial"/>
                <w:sz w:val="18"/>
                <w:lang w:val="es-HN"/>
              </w:rPr>
              <w:t xml:space="preserve"> </w:t>
            </w:r>
            <w:r w:rsidRPr="00CF0F96">
              <w:rPr>
                <w:rFonts w:cs="Arial"/>
                <w:sz w:val="18"/>
                <w:lang w:val="es-HN"/>
              </w:rPr>
              <w:t>(17)</w:t>
            </w:r>
          </w:p>
        </w:tc>
        <w:tc>
          <w:tcPr>
            <w:tcW w:w="795" w:type="dxa"/>
            <w:shd w:val="clear" w:color="auto" w:fill="FFFFFF" w:themeFill="background1"/>
            <w:vAlign w:val="center"/>
          </w:tcPr>
          <w:p w14:paraId="552106A5"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7</w:t>
            </w:r>
          </w:p>
        </w:tc>
        <w:tc>
          <w:tcPr>
            <w:tcW w:w="707" w:type="dxa"/>
            <w:shd w:val="clear" w:color="auto" w:fill="FFFFFF" w:themeFill="background1"/>
            <w:vAlign w:val="center"/>
          </w:tcPr>
          <w:p w14:paraId="6F08BDBB"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35.7</w:t>
            </w:r>
          </w:p>
        </w:tc>
        <w:tc>
          <w:tcPr>
            <w:tcW w:w="850" w:type="dxa"/>
            <w:shd w:val="clear" w:color="auto" w:fill="FFFFFF" w:themeFill="background1"/>
            <w:vAlign w:val="center"/>
          </w:tcPr>
          <w:p w14:paraId="3D63AE50"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32.0</w:t>
            </w:r>
          </w:p>
        </w:tc>
        <w:tc>
          <w:tcPr>
            <w:tcW w:w="864" w:type="dxa"/>
            <w:shd w:val="clear" w:color="auto" w:fill="FFFFFF" w:themeFill="background1"/>
            <w:vAlign w:val="center"/>
          </w:tcPr>
          <w:p w14:paraId="342304CF"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24</w:t>
            </w:r>
          </w:p>
        </w:tc>
        <w:tc>
          <w:tcPr>
            <w:tcW w:w="693" w:type="dxa"/>
            <w:shd w:val="clear" w:color="auto" w:fill="FFFFFF" w:themeFill="background1"/>
            <w:vAlign w:val="center"/>
          </w:tcPr>
          <w:p w14:paraId="3E7C598F"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34.5</w:t>
            </w:r>
          </w:p>
        </w:tc>
        <w:tc>
          <w:tcPr>
            <w:tcW w:w="1218" w:type="dxa"/>
            <w:shd w:val="clear" w:color="auto" w:fill="FFFFFF" w:themeFill="background1"/>
            <w:vAlign w:val="center"/>
          </w:tcPr>
          <w:p w14:paraId="43848D0E" w14:textId="77777777" w:rsidR="006A3DBC" w:rsidRPr="00CF0F96" w:rsidRDefault="006A3DBC" w:rsidP="005F4A92">
            <w:pPr>
              <w:spacing w:after="0" w:line="0" w:lineRule="atLeast"/>
              <w:jc w:val="right"/>
              <w:rPr>
                <w:rFonts w:cs="Arial"/>
                <w:sz w:val="18"/>
                <w:lang w:val="es-HN"/>
              </w:rPr>
            </w:pPr>
            <w:r w:rsidRPr="00CF0F96">
              <w:rPr>
                <w:rFonts w:cs="Arial"/>
                <w:sz w:val="18"/>
                <w:lang w:val="es-HN"/>
              </w:rPr>
              <w:t>69,493</w:t>
            </w:r>
          </w:p>
        </w:tc>
      </w:tr>
      <w:tr w:rsidR="00CF0F96" w:rsidRPr="00CF0F96" w14:paraId="170DB038" w14:textId="77777777" w:rsidTr="005F4A92">
        <w:trPr>
          <w:trHeight w:val="176"/>
          <w:jc w:val="center"/>
        </w:trPr>
        <w:tc>
          <w:tcPr>
            <w:tcW w:w="30" w:type="dxa"/>
            <w:shd w:val="clear" w:color="auto" w:fill="FFFFFF" w:themeFill="background1"/>
            <w:vAlign w:val="center"/>
          </w:tcPr>
          <w:p w14:paraId="37A7EC70" w14:textId="77777777" w:rsidR="006A3DBC" w:rsidRPr="00CF0F96" w:rsidRDefault="006A3DBC" w:rsidP="005F4A92">
            <w:pPr>
              <w:spacing w:after="0" w:line="0" w:lineRule="atLeast"/>
              <w:rPr>
                <w:rFonts w:eastAsia="Times New Roman" w:cs="Arial"/>
                <w:sz w:val="18"/>
                <w:szCs w:val="18"/>
                <w:lang w:val="es-HN" w:eastAsia="es-HN"/>
              </w:rPr>
            </w:pPr>
          </w:p>
        </w:tc>
        <w:tc>
          <w:tcPr>
            <w:tcW w:w="1920" w:type="dxa"/>
            <w:shd w:val="clear" w:color="auto" w:fill="FFFFFF" w:themeFill="background1"/>
            <w:vAlign w:val="center"/>
          </w:tcPr>
          <w:p w14:paraId="402650F7" w14:textId="77777777" w:rsidR="006A3DBC" w:rsidRPr="00CF0F96" w:rsidRDefault="006A3DBC" w:rsidP="005F4A92">
            <w:pPr>
              <w:spacing w:after="0" w:line="0" w:lineRule="atLeast"/>
              <w:ind w:left="20"/>
              <w:rPr>
                <w:rFonts w:cs="Arial"/>
                <w:sz w:val="18"/>
                <w:lang w:val="es-HN"/>
              </w:rPr>
            </w:pPr>
            <w:r w:rsidRPr="00CF0F96">
              <w:rPr>
                <w:rFonts w:cs="Arial"/>
                <w:sz w:val="18"/>
                <w:lang w:val="es-HN"/>
              </w:rPr>
              <w:t>LEMPIRA</w:t>
            </w:r>
          </w:p>
        </w:tc>
        <w:tc>
          <w:tcPr>
            <w:tcW w:w="1958" w:type="dxa"/>
            <w:shd w:val="clear" w:color="auto" w:fill="FFFFFF" w:themeFill="background1"/>
            <w:vAlign w:val="center"/>
          </w:tcPr>
          <w:p w14:paraId="18FCEA20" w14:textId="43A96D2F" w:rsidR="006A3DBC" w:rsidRPr="00CF0F96" w:rsidRDefault="006A3DBC" w:rsidP="005F4A92">
            <w:pPr>
              <w:spacing w:after="0" w:line="0" w:lineRule="atLeast"/>
              <w:ind w:left="20"/>
              <w:rPr>
                <w:rFonts w:cs="Arial"/>
                <w:sz w:val="18"/>
                <w:lang w:val="es-HN"/>
              </w:rPr>
            </w:pPr>
            <w:r w:rsidRPr="00CF0F96">
              <w:rPr>
                <w:rFonts w:cs="Arial"/>
                <w:sz w:val="18"/>
                <w:lang w:val="es-HN"/>
              </w:rPr>
              <w:t>GRACIAS</w:t>
            </w:r>
            <w:r w:rsidR="00771180" w:rsidRPr="00CF0F96">
              <w:rPr>
                <w:rFonts w:cs="Arial"/>
                <w:sz w:val="18"/>
                <w:lang w:val="es-HN"/>
              </w:rPr>
              <w:t xml:space="preserve"> </w:t>
            </w:r>
            <w:r w:rsidRPr="00CF0F96">
              <w:rPr>
                <w:rFonts w:cs="Arial"/>
                <w:sz w:val="18"/>
                <w:lang w:val="es-HN"/>
              </w:rPr>
              <w:t>(25)</w:t>
            </w:r>
          </w:p>
        </w:tc>
        <w:tc>
          <w:tcPr>
            <w:tcW w:w="795" w:type="dxa"/>
            <w:shd w:val="clear" w:color="auto" w:fill="FFFFFF" w:themeFill="background1"/>
            <w:vAlign w:val="center"/>
          </w:tcPr>
          <w:p w14:paraId="39AE91A9"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91</w:t>
            </w:r>
          </w:p>
        </w:tc>
        <w:tc>
          <w:tcPr>
            <w:tcW w:w="707" w:type="dxa"/>
            <w:shd w:val="clear" w:color="auto" w:fill="FFFFFF" w:themeFill="background1"/>
            <w:vAlign w:val="center"/>
          </w:tcPr>
          <w:p w14:paraId="7916D788"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47.2</w:t>
            </w:r>
          </w:p>
        </w:tc>
        <w:tc>
          <w:tcPr>
            <w:tcW w:w="850" w:type="dxa"/>
            <w:shd w:val="clear" w:color="auto" w:fill="FFFFFF" w:themeFill="background1"/>
            <w:vAlign w:val="center"/>
          </w:tcPr>
          <w:p w14:paraId="7C57861F"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31.1</w:t>
            </w:r>
          </w:p>
        </w:tc>
        <w:tc>
          <w:tcPr>
            <w:tcW w:w="864" w:type="dxa"/>
            <w:shd w:val="clear" w:color="auto" w:fill="FFFFFF" w:themeFill="background1"/>
            <w:vAlign w:val="center"/>
          </w:tcPr>
          <w:p w14:paraId="44C14E12"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116</w:t>
            </w:r>
          </w:p>
        </w:tc>
        <w:tc>
          <w:tcPr>
            <w:tcW w:w="693" w:type="dxa"/>
            <w:shd w:val="clear" w:color="auto" w:fill="FFFFFF" w:themeFill="background1"/>
            <w:vAlign w:val="center"/>
          </w:tcPr>
          <w:p w14:paraId="46DCD74A"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33.6</w:t>
            </w:r>
          </w:p>
        </w:tc>
        <w:tc>
          <w:tcPr>
            <w:tcW w:w="1218" w:type="dxa"/>
            <w:shd w:val="clear" w:color="auto" w:fill="FFFFFF" w:themeFill="background1"/>
            <w:vAlign w:val="center"/>
          </w:tcPr>
          <w:p w14:paraId="213C080D" w14:textId="77777777" w:rsidR="006A3DBC" w:rsidRPr="00CF0F96" w:rsidRDefault="006A3DBC" w:rsidP="005F4A92">
            <w:pPr>
              <w:spacing w:after="0" w:line="0" w:lineRule="atLeast"/>
              <w:jc w:val="right"/>
              <w:rPr>
                <w:rFonts w:cs="Arial"/>
                <w:sz w:val="18"/>
                <w:lang w:val="es-HN"/>
              </w:rPr>
            </w:pPr>
            <w:r w:rsidRPr="00CF0F96">
              <w:rPr>
                <w:rFonts w:cs="Arial"/>
                <w:sz w:val="18"/>
                <w:lang w:val="es-HN"/>
              </w:rPr>
              <w:t>345,489</w:t>
            </w:r>
          </w:p>
        </w:tc>
      </w:tr>
      <w:tr w:rsidR="00CF0F96" w:rsidRPr="00CF0F96" w14:paraId="1FADB8DB" w14:textId="77777777" w:rsidTr="005F4A92">
        <w:trPr>
          <w:trHeight w:val="176"/>
          <w:jc w:val="center"/>
        </w:trPr>
        <w:tc>
          <w:tcPr>
            <w:tcW w:w="30" w:type="dxa"/>
            <w:shd w:val="clear" w:color="auto" w:fill="FFFFFF" w:themeFill="background1"/>
            <w:vAlign w:val="center"/>
          </w:tcPr>
          <w:p w14:paraId="032E117D" w14:textId="77777777" w:rsidR="006A3DBC" w:rsidRPr="00CF0F96" w:rsidRDefault="006A3DBC" w:rsidP="005F4A92">
            <w:pPr>
              <w:spacing w:after="0" w:line="0" w:lineRule="atLeast"/>
              <w:rPr>
                <w:rFonts w:eastAsia="Times New Roman" w:cs="Arial"/>
                <w:sz w:val="18"/>
                <w:szCs w:val="18"/>
                <w:lang w:val="es-HN" w:eastAsia="es-HN"/>
              </w:rPr>
            </w:pPr>
          </w:p>
        </w:tc>
        <w:tc>
          <w:tcPr>
            <w:tcW w:w="1920" w:type="dxa"/>
            <w:shd w:val="clear" w:color="auto" w:fill="FFFFFF" w:themeFill="background1"/>
            <w:vAlign w:val="center"/>
          </w:tcPr>
          <w:p w14:paraId="1961A448" w14:textId="77777777" w:rsidR="006A3DBC" w:rsidRPr="00CF0F96" w:rsidRDefault="006A3DBC" w:rsidP="005F4A92">
            <w:pPr>
              <w:spacing w:after="0" w:line="0" w:lineRule="atLeast"/>
              <w:ind w:left="20"/>
              <w:rPr>
                <w:rFonts w:cs="Arial"/>
                <w:sz w:val="18"/>
                <w:lang w:val="es-HN"/>
              </w:rPr>
            </w:pPr>
            <w:r w:rsidRPr="00CF0F96">
              <w:rPr>
                <w:rFonts w:cs="Arial"/>
                <w:sz w:val="18"/>
                <w:lang w:val="es-HN"/>
              </w:rPr>
              <w:t>INTIBUCÁ</w:t>
            </w:r>
          </w:p>
        </w:tc>
        <w:tc>
          <w:tcPr>
            <w:tcW w:w="1958" w:type="dxa"/>
            <w:shd w:val="clear" w:color="auto" w:fill="FFFFFF" w:themeFill="background1"/>
            <w:vAlign w:val="center"/>
          </w:tcPr>
          <w:p w14:paraId="51E816A7" w14:textId="3FA01A8D" w:rsidR="006A3DBC" w:rsidRPr="00CF0F96" w:rsidRDefault="006A3DBC" w:rsidP="005F4A92">
            <w:pPr>
              <w:spacing w:after="0" w:line="0" w:lineRule="atLeast"/>
              <w:ind w:left="20"/>
              <w:rPr>
                <w:rFonts w:cs="Arial"/>
                <w:sz w:val="18"/>
                <w:lang w:val="es-HN"/>
              </w:rPr>
            </w:pPr>
            <w:r w:rsidRPr="00CF0F96">
              <w:rPr>
                <w:rFonts w:cs="Arial"/>
                <w:sz w:val="18"/>
                <w:lang w:val="es-HN"/>
              </w:rPr>
              <w:t>LA ESPERANZA</w:t>
            </w:r>
            <w:r w:rsidR="00771180" w:rsidRPr="00CF0F96">
              <w:rPr>
                <w:rFonts w:cs="Arial"/>
                <w:sz w:val="18"/>
                <w:lang w:val="es-HN"/>
              </w:rPr>
              <w:t xml:space="preserve"> </w:t>
            </w:r>
            <w:r w:rsidRPr="00CF0F96">
              <w:rPr>
                <w:rFonts w:cs="Arial"/>
                <w:sz w:val="18"/>
                <w:lang w:val="es-HN"/>
              </w:rPr>
              <w:t>(10)</w:t>
            </w:r>
          </w:p>
        </w:tc>
        <w:tc>
          <w:tcPr>
            <w:tcW w:w="795" w:type="dxa"/>
            <w:shd w:val="clear" w:color="auto" w:fill="FFFFFF" w:themeFill="background1"/>
            <w:vAlign w:val="center"/>
          </w:tcPr>
          <w:p w14:paraId="4FB9F3DC"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65</w:t>
            </w:r>
          </w:p>
        </w:tc>
        <w:tc>
          <w:tcPr>
            <w:tcW w:w="707" w:type="dxa"/>
            <w:shd w:val="clear" w:color="auto" w:fill="FFFFFF" w:themeFill="background1"/>
            <w:vAlign w:val="center"/>
          </w:tcPr>
          <w:p w14:paraId="2BCD2E0B"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74.6</w:t>
            </w:r>
          </w:p>
        </w:tc>
        <w:tc>
          <w:tcPr>
            <w:tcW w:w="850" w:type="dxa"/>
            <w:shd w:val="clear" w:color="auto" w:fill="FFFFFF" w:themeFill="background1"/>
            <w:vAlign w:val="center"/>
          </w:tcPr>
          <w:p w14:paraId="796C1DC8"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27.4</w:t>
            </w:r>
          </w:p>
        </w:tc>
        <w:tc>
          <w:tcPr>
            <w:tcW w:w="864" w:type="dxa"/>
            <w:shd w:val="clear" w:color="auto" w:fill="FFFFFF" w:themeFill="background1"/>
            <w:vAlign w:val="center"/>
          </w:tcPr>
          <w:p w14:paraId="43BF6DEE"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75</w:t>
            </w:r>
          </w:p>
        </w:tc>
        <w:tc>
          <w:tcPr>
            <w:tcW w:w="693" w:type="dxa"/>
            <w:shd w:val="clear" w:color="auto" w:fill="FFFFFF" w:themeFill="background1"/>
            <w:vAlign w:val="center"/>
          </w:tcPr>
          <w:p w14:paraId="21E90912"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29.9</w:t>
            </w:r>
          </w:p>
        </w:tc>
        <w:tc>
          <w:tcPr>
            <w:tcW w:w="1218" w:type="dxa"/>
            <w:shd w:val="clear" w:color="auto" w:fill="FFFFFF" w:themeFill="background1"/>
            <w:vAlign w:val="center"/>
          </w:tcPr>
          <w:p w14:paraId="040DC791" w14:textId="77777777" w:rsidR="006A3DBC" w:rsidRPr="00CF0F96" w:rsidRDefault="006A3DBC" w:rsidP="005F4A92">
            <w:pPr>
              <w:spacing w:after="0" w:line="0" w:lineRule="atLeast"/>
              <w:jc w:val="right"/>
              <w:rPr>
                <w:rFonts w:cs="Arial"/>
                <w:sz w:val="18"/>
                <w:lang w:val="es-HN"/>
              </w:rPr>
            </w:pPr>
            <w:r w:rsidRPr="00CF0F96">
              <w:rPr>
                <w:rFonts w:cs="Arial"/>
                <w:sz w:val="18"/>
                <w:lang w:val="es-HN"/>
              </w:rPr>
              <w:t>250,959</w:t>
            </w:r>
          </w:p>
        </w:tc>
      </w:tr>
      <w:tr w:rsidR="00CF0F96" w:rsidRPr="00CF0F96" w14:paraId="74FEDCCE" w14:textId="77777777" w:rsidTr="005F4A92">
        <w:trPr>
          <w:trHeight w:val="176"/>
          <w:jc w:val="center"/>
        </w:trPr>
        <w:tc>
          <w:tcPr>
            <w:tcW w:w="30" w:type="dxa"/>
            <w:shd w:val="clear" w:color="auto" w:fill="FFFFFF" w:themeFill="background1"/>
            <w:vAlign w:val="center"/>
          </w:tcPr>
          <w:p w14:paraId="66995F5B" w14:textId="77777777" w:rsidR="006A3DBC" w:rsidRPr="00CF0F96" w:rsidRDefault="006A3DBC" w:rsidP="005F4A92">
            <w:pPr>
              <w:spacing w:after="0" w:line="0" w:lineRule="atLeast"/>
              <w:rPr>
                <w:rFonts w:eastAsia="Times New Roman" w:cs="Arial"/>
                <w:sz w:val="18"/>
                <w:szCs w:val="18"/>
                <w:lang w:val="es-HN" w:eastAsia="es-HN"/>
              </w:rPr>
            </w:pPr>
          </w:p>
        </w:tc>
        <w:tc>
          <w:tcPr>
            <w:tcW w:w="1920" w:type="dxa"/>
            <w:shd w:val="clear" w:color="auto" w:fill="FFFFFF" w:themeFill="background1"/>
            <w:vAlign w:val="center"/>
          </w:tcPr>
          <w:p w14:paraId="24EC0FEF" w14:textId="77777777" w:rsidR="006A3DBC" w:rsidRPr="00CF0F96" w:rsidRDefault="006A3DBC" w:rsidP="005F4A92">
            <w:pPr>
              <w:spacing w:after="0" w:line="0" w:lineRule="atLeast"/>
              <w:ind w:left="20"/>
              <w:rPr>
                <w:rFonts w:cs="Arial"/>
                <w:sz w:val="18"/>
                <w:lang w:val="es-HN"/>
              </w:rPr>
            </w:pPr>
            <w:r w:rsidRPr="00CF0F96">
              <w:rPr>
                <w:rFonts w:cs="Arial"/>
                <w:sz w:val="18"/>
                <w:lang w:val="es-HN"/>
              </w:rPr>
              <w:t>OCOTEPEQUE</w:t>
            </w:r>
          </w:p>
        </w:tc>
        <w:tc>
          <w:tcPr>
            <w:tcW w:w="1958" w:type="dxa"/>
            <w:shd w:val="clear" w:color="auto" w:fill="FFFFFF" w:themeFill="background1"/>
            <w:vAlign w:val="center"/>
          </w:tcPr>
          <w:p w14:paraId="0F2C108E" w14:textId="2F9DF248" w:rsidR="006A3DBC" w:rsidRPr="00CF0F96" w:rsidRDefault="006A3DBC" w:rsidP="005F4A92">
            <w:pPr>
              <w:spacing w:after="0" w:line="0" w:lineRule="atLeast"/>
              <w:ind w:left="20"/>
              <w:rPr>
                <w:rFonts w:cs="Arial"/>
                <w:sz w:val="18"/>
                <w:lang w:val="es-HN"/>
              </w:rPr>
            </w:pPr>
            <w:r w:rsidRPr="00CF0F96">
              <w:rPr>
                <w:rFonts w:cs="Arial"/>
                <w:sz w:val="18"/>
                <w:lang w:val="es-HN"/>
              </w:rPr>
              <w:t>OCOTEPEQUE</w:t>
            </w:r>
            <w:r w:rsidR="00771180" w:rsidRPr="00CF0F96">
              <w:rPr>
                <w:rFonts w:cs="Arial"/>
                <w:sz w:val="18"/>
                <w:lang w:val="es-HN"/>
              </w:rPr>
              <w:t xml:space="preserve"> </w:t>
            </w:r>
            <w:r w:rsidRPr="00CF0F96">
              <w:rPr>
                <w:rFonts w:cs="Arial"/>
                <w:sz w:val="18"/>
                <w:lang w:val="es-HN"/>
              </w:rPr>
              <w:t>(8)</w:t>
            </w:r>
          </w:p>
        </w:tc>
        <w:tc>
          <w:tcPr>
            <w:tcW w:w="795" w:type="dxa"/>
            <w:shd w:val="clear" w:color="auto" w:fill="FFFFFF" w:themeFill="background1"/>
            <w:vAlign w:val="center"/>
          </w:tcPr>
          <w:p w14:paraId="2883CB10"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38</w:t>
            </w:r>
          </w:p>
        </w:tc>
        <w:tc>
          <w:tcPr>
            <w:tcW w:w="707" w:type="dxa"/>
            <w:shd w:val="clear" w:color="auto" w:fill="FFFFFF" w:themeFill="background1"/>
            <w:vAlign w:val="center"/>
          </w:tcPr>
          <w:p w14:paraId="6311F67C"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32.3</w:t>
            </w:r>
          </w:p>
        </w:tc>
        <w:tc>
          <w:tcPr>
            <w:tcW w:w="850" w:type="dxa"/>
            <w:shd w:val="clear" w:color="auto" w:fill="FFFFFF" w:themeFill="background1"/>
            <w:vAlign w:val="center"/>
          </w:tcPr>
          <w:p w14:paraId="4329CC70"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28.7</w:t>
            </w:r>
          </w:p>
        </w:tc>
        <w:tc>
          <w:tcPr>
            <w:tcW w:w="864" w:type="dxa"/>
            <w:shd w:val="clear" w:color="auto" w:fill="FFFFFF" w:themeFill="background1"/>
            <w:vAlign w:val="center"/>
          </w:tcPr>
          <w:p w14:paraId="3594B2EA"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46</w:t>
            </w:r>
          </w:p>
        </w:tc>
        <w:tc>
          <w:tcPr>
            <w:tcW w:w="693" w:type="dxa"/>
            <w:shd w:val="clear" w:color="auto" w:fill="FFFFFF" w:themeFill="background1"/>
            <w:vAlign w:val="center"/>
          </w:tcPr>
          <w:p w14:paraId="24A086C3"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29.3</w:t>
            </w:r>
          </w:p>
        </w:tc>
        <w:tc>
          <w:tcPr>
            <w:tcW w:w="1218" w:type="dxa"/>
            <w:shd w:val="clear" w:color="auto" w:fill="FFFFFF" w:themeFill="background1"/>
            <w:vAlign w:val="center"/>
          </w:tcPr>
          <w:p w14:paraId="3D5EB2D1" w14:textId="77777777" w:rsidR="006A3DBC" w:rsidRPr="00CF0F96" w:rsidRDefault="006A3DBC" w:rsidP="005F4A92">
            <w:pPr>
              <w:spacing w:after="0" w:line="0" w:lineRule="atLeast"/>
              <w:jc w:val="right"/>
              <w:rPr>
                <w:rFonts w:cs="Arial"/>
                <w:sz w:val="18"/>
                <w:lang w:val="es-HN"/>
              </w:rPr>
            </w:pPr>
            <w:r w:rsidRPr="00CF0F96">
              <w:rPr>
                <w:rFonts w:cs="Arial"/>
                <w:sz w:val="18"/>
                <w:lang w:val="es-HN"/>
              </w:rPr>
              <w:t>157,018</w:t>
            </w:r>
          </w:p>
        </w:tc>
      </w:tr>
      <w:tr w:rsidR="00CF0F96" w:rsidRPr="00CF0F96" w14:paraId="76621F77" w14:textId="77777777" w:rsidTr="005F4A92">
        <w:trPr>
          <w:trHeight w:val="176"/>
          <w:jc w:val="center"/>
        </w:trPr>
        <w:tc>
          <w:tcPr>
            <w:tcW w:w="30" w:type="dxa"/>
            <w:shd w:val="clear" w:color="auto" w:fill="FFFFFF" w:themeFill="background1"/>
            <w:vAlign w:val="center"/>
          </w:tcPr>
          <w:p w14:paraId="7069C5B7" w14:textId="77777777" w:rsidR="006A3DBC" w:rsidRPr="00CF0F96" w:rsidRDefault="006A3DBC" w:rsidP="005F4A92">
            <w:pPr>
              <w:spacing w:after="0" w:line="0" w:lineRule="atLeast"/>
              <w:rPr>
                <w:rFonts w:eastAsia="Times New Roman" w:cs="Arial"/>
                <w:sz w:val="18"/>
                <w:szCs w:val="18"/>
                <w:lang w:val="es-HN" w:eastAsia="es-HN"/>
              </w:rPr>
            </w:pPr>
          </w:p>
        </w:tc>
        <w:tc>
          <w:tcPr>
            <w:tcW w:w="1920" w:type="dxa"/>
            <w:shd w:val="clear" w:color="auto" w:fill="FFFFFF" w:themeFill="background1"/>
            <w:vAlign w:val="center"/>
          </w:tcPr>
          <w:p w14:paraId="24D2F97D" w14:textId="77777777" w:rsidR="006A3DBC" w:rsidRPr="00CF0F96" w:rsidRDefault="006A3DBC" w:rsidP="005F4A92">
            <w:pPr>
              <w:spacing w:after="0" w:line="0" w:lineRule="atLeast"/>
              <w:ind w:left="20"/>
              <w:rPr>
                <w:rFonts w:cs="Arial"/>
                <w:sz w:val="18"/>
                <w:lang w:val="es-HN"/>
              </w:rPr>
            </w:pPr>
            <w:r w:rsidRPr="00CF0F96">
              <w:rPr>
                <w:rFonts w:cs="Arial"/>
                <w:sz w:val="18"/>
                <w:lang w:val="es-HN"/>
              </w:rPr>
              <w:t>EL PARAÍSO</w:t>
            </w:r>
          </w:p>
        </w:tc>
        <w:tc>
          <w:tcPr>
            <w:tcW w:w="1958" w:type="dxa"/>
            <w:shd w:val="clear" w:color="auto" w:fill="FFFFFF" w:themeFill="background1"/>
            <w:vAlign w:val="center"/>
          </w:tcPr>
          <w:p w14:paraId="4CB9FB90" w14:textId="2394317C" w:rsidR="006A3DBC" w:rsidRPr="00CF0F96" w:rsidRDefault="006A3DBC" w:rsidP="005F4A92">
            <w:pPr>
              <w:spacing w:after="0" w:line="0" w:lineRule="atLeast"/>
              <w:ind w:left="20"/>
              <w:rPr>
                <w:rFonts w:cs="Arial"/>
                <w:sz w:val="18"/>
                <w:lang w:val="es-HN"/>
              </w:rPr>
            </w:pPr>
            <w:r w:rsidRPr="00CF0F96">
              <w:rPr>
                <w:rFonts w:cs="Arial"/>
                <w:sz w:val="18"/>
                <w:lang w:val="es-HN"/>
              </w:rPr>
              <w:t>YUSCARÁN</w:t>
            </w:r>
            <w:r w:rsidR="00771180" w:rsidRPr="00CF0F96">
              <w:rPr>
                <w:rFonts w:cs="Arial"/>
                <w:sz w:val="18"/>
                <w:lang w:val="es-HN"/>
              </w:rPr>
              <w:t xml:space="preserve"> </w:t>
            </w:r>
            <w:r w:rsidRPr="00CF0F96">
              <w:rPr>
                <w:rFonts w:cs="Arial"/>
                <w:sz w:val="18"/>
                <w:lang w:val="es-HN"/>
              </w:rPr>
              <w:t>(4)</w:t>
            </w:r>
          </w:p>
        </w:tc>
        <w:tc>
          <w:tcPr>
            <w:tcW w:w="795" w:type="dxa"/>
            <w:shd w:val="clear" w:color="auto" w:fill="FFFFFF" w:themeFill="background1"/>
            <w:vAlign w:val="center"/>
          </w:tcPr>
          <w:p w14:paraId="15F4A446"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125</w:t>
            </w:r>
          </w:p>
        </w:tc>
        <w:tc>
          <w:tcPr>
            <w:tcW w:w="707" w:type="dxa"/>
            <w:shd w:val="clear" w:color="auto" w:fill="FFFFFF" w:themeFill="background1"/>
            <w:vAlign w:val="center"/>
          </w:tcPr>
          <w:p w14:paraId="654EC68D"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26.2</w:t>
            </w:r>
          </w:p>
        </w:tc>
        <w:tc>
          <w:tcPr>
            <w:tcW w:w="850" w:type="dxa"/>
            <w:shd w:val="clear" w:color="auto" w:fill="FFFFFF" w:themeFill="background1"/>
            <w:vAlign w:val="center"/>
          </w:tcPr>
          <w:p w14:paraId="1A24071C"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27.3</w:t>
            </w:r>
          </w:p>
        </w:tc>
        <w:tc>
          <w:tcPr>
            <w:tcW w:w="864" w:type="dxa"/>
            <w:shd w:val="clear" w:color="auto" w:fill="FFFFFF" w:themeFill="background1"/>
            <w:vAlign w:val="center"/>
          </w:tcPr>
          <w:p w14:paraId="7331889F"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129</w:t>
            </w:r>
          </w:p>
        </w:tc>
        <w:tc>
          <w:tcPr>
            <w:tcW w:w="693" w:type="dxa"/>
            <w:shd w:val="clear" w:color="auto" w:fill="FFFFFF" w:themeFill="background1"/>
            <w:vAlign w:val="center"/>
          </w:tcPr>
          <w:p w14:paraId="4E533897"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27.3</w:t>
            </w:r>
          </w:p>
        </w:tc>
        <w:tc>
          <w:tcPr>
            <w:tcW w:w="1218" w:type="dxa"/>
            <w:shd w:val="clear" w:color="auto" w:fill="FFFFFF" w:themeFill="background1"/>
            <w:vAlign w:val="center"/>
          </w:tcPr>
          <w:p w14:paraId="69AEEA5F" w14:textId="77777777" w:rsidR="006A3DBC" w:rsidRPr="00CF0F96" w:rsidRDefault="006A3DBC" w:rsidP="005F4A92">
            <w:pPr>
              <w:spacing w:after="0" w:line="0" w:lineRule="atLeast"/>
              <w:jc w:val="right"/>
              <w:rPr>
                <w:rFonts w:cs="Arial"/>
                <w:sz w:val="18"/>
                <w:lang w:val="es-HN"/>
              </w:rPr>
            </w:pPr>
            <w:r w:rsidRPr="00CF0F96">
              <w:rPr>
                <w:rFonts w:cs="Arial"/>
                <w:sz w:val="18"/>
                <w:lang w:val="es-HN"/>
              </w:rPr>
              <w:t>473,277</w:t>
            </w:r>
          </w:p>
        </w:tc>
      </w:tr>
      <w:tr w:rsidR="00CF0F96" w:rsidRPr="00CF0F96" w14:paraId="7990DF47" w14:textId="77777777" w:rsidTr="005F4A92">
        <w:trPr>
          <w:trHeight w:val="176"/>
          <w:jc w:val="center"/>
        </w:trPr>
        <w:tc>
          <w:tcPr>
            <w:tcW w:w="30" w:type="dxa"/>
            <w:shd w:val="clear" w:color="auto" w:fill="FFFFFF" w:themeFill="background1"/>
            <w:vAlign w:val="center"/>
          </w:tcPr>
          <w:p w14:paraId="2D5E1A15" w14:textId="77777777" w:rsidR="006A3DBC" w:rsidRPr="00CF0F96" w:rsidRDefault="006A3DBC" w:rsidP="005F4A92">
            <w:pPr>
              <w:spacing w:after="0" w:line="0" w:lineRule="atLeast"/>
              <w:rPr>
                <w:rFonts w:eastAsia="Times New Roman" w:cs="Arial"/>
                <w:sz w:val="18"/>
                <w:szCs w:val="18"/>
                <w:lang w:val="es-HN" w:eastAsia="es-HN"/>
              </w:rPr>
            </w:pPr>
          </w:p>
        </w:tc>
        <w:tc>
          <w:tcPr>
            <w:tcW w:w="1920" w:type="dxa"/>
            <w:shd w:val="clear" w:color="auto" w:fill="FFFFFF" w:themeFill="background1"/>
            <w:vAlign w:val="center"/>
          </w:tcPr>
          <w:p w14:paraId="0E1B693B" w14:textId="77777777" w:rsidR="006A3DBC" w:rsidRPr="00CF0F96" w:rsidRDefault="006A3DBC" w:rsidP="005F4A92">
            <w:pPr>
              <w:spacing w:after="0" w:line="0" w:lineRule="atLeast"/>
              <w:ind w:left="20"/>
              <w:rPr>
                <w:rFonts w:cs="Arial"/>
                <w:sz w:val="18"/>
                <w:lang w:val="es-HN"/>
              </w:rPr>
            </w:pPr>
            <w:r w:rsidRPr="00CF0F96">
              <w:rPr>
                <w:rFonts w:cs="Arial"/>
                <w:sz w:val="18"/>
                <w:lang w:val="es-HN"/>
              </w:rPr>
              <w:t>VALLE</w:t>
            </w:r>
          </w:p>
        </w:tc>
        <w:tc>
          <w:tcPr>
            <w:tcW w:w="1958" w:type="dxa"/>
            <w:shd w:val="clear" w:color="auto" w:fill="FFFFFF" w:themeFill="background1"/>
            <w:vAlign w:val="center"/>
          </w:tcPr>
          <w:p w14:paraId="4CA0A87E" w14:textId="219EB5EB" w:rsidR="006A3DBC" w:rsidRPr="00CF0F96" w:rsidRDefault="006A3DBC" w:rsidP="005F4A92">
            <w:pPr>
              <w:spacing w:after="0" w:line="0" w:lineRule="atLeast"/>
              <w:ind w:left="20"/>
              <w:rPr>
                <w:rFonts w:cs="Arial"/>
                <w:sz w:val="18"/>
                <w:lang w:val="es-HN"/>
              </w:rPr>
            </w:pPr>
            <w:r w:rsidRPr="00CF0F96">
              <w:rPr>
                <w:rFonts w:cs="Arial"/>
                <w:sz w:val="18"/>
                <w:lang w:val="es-HN"/>
              </w:rPr>
              <w:t>NACAOME</w:t>
            </w:r>
            <w:r w:rsidR="00771180" w:rsidRPr="00CF0F96">
              <w:rPr>
                <w:rFonts w:cs="Arial"/>
                <w:sz w:val="18"/>
                <w:lang w:val="es-HN"/>
              </w:rPr>
              <w:t xml:space="preserve"> </w:t>
            </w:r>
            <w:r w:rsidRPr="00CF0F96">
              <w:rPr>
                <w:rFonts w:cs="Arial"/>
                <w:sz w:val="18"/>
                <w:lang w:val="es-HN"/>
              </w:rPr>
              <w:t>(18)</w:t>
            </w:r>
          </w:p>
        </w:tc>
        <w:tc>
          <w:tcPr>
            <w:tcW w:w="795" w:type="dxa"/>
            <w:shd w:val="clear" w:color="auto" w:fill="FFFFFF" w:themeFill="background1"/>
            <w:vAlign w:val="center"/>
          </w:tcPr>
          <w:p w14:paraId="4A6CBC1F"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24</w:t>
            </w:r>
          </w:p>
        </w:tc>
        <w:tc>
          <w:tcPr>
            <w:tcW w:w="707" w:type="dxa"/>
            <w:shd w:val="clear" w:color="auto" w:fill="FFFFFF" w:themeFill="background1"/>
            <w:vAlign w:val="center"/>
          </w:tcPr>
          <w:p w14:paraId="4879BCA4"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30.0</w:t>
            </w:r>
          </w:p>
        </w:tc>
        <w:tc>
          <w:tcPr>
            <w:tcW w:w="850" w:type="dxa"/>
            <w:shd w:val="clear" w:color="auto" w:fill="FFFFFF" w:themeFill="background1"/>
            <w:vAlign w:val="center"/>
          </w:tcPr>
          <w:p w14:paraId="0146AF15"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19.5</w:t>
            </w:r>
          </w:p>
        </w:tc>
        <w:tc>
          <w:tcPr>
            <w:tcW w:w="864" w:type="dxa"/>
            <w:shd w:val="clear" w:color="auto" w:fill="FFFFFF" w:themeFill="background1"/>
            <w:vAlign w:val="center"/>
          </w:tcPr>
          <w:p w14:paraId="0FB76165"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42</w:t>
            </w:r>
          </w:p>
        </w:tc>
        <w:tc>
          <w:tcPr>
            <w:tcW w:w="693" w:type="dxa"/>
            <w:shd w:val="clear" w:color="auto" w:fill="FFFFFF" w:themeFill="background1"/>
            <w:vAlign w:val="center"/>
          </w:tcPr>
          <w:p w14:paraId="09200BFB"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23.0</w:t>
            </w:r>
          </w:p>
        </w:tc>
        <w:tc>
          <w:tcPr>
            <w:tcW w:w="1218" w:type="dxa"/>
            <w:shd w:val="clear" w:color="auto" w:fill="FFFFFF" w:themeFill="background1"/>
            <w:vAlign w:val="center"/>
          </w:tcPr>
          <w:p w14:paraId="2D784236" w14:textId="77777777" w:rsidR="006A3DBC" w:rsidRPr="00CF0F96" w:rsidRDefault="006A3DBC" w:rsidP="005F4A92">
            <w:pPr>
              <w:spacing w:after="0" w:line="0" w:lineRule="atLeast"/>
              <w:jc w:val="right"/>
              <w:rPr>
                <w:rFonts w:cs="Arial"/>
                <w:sz w:val="18"/>
                <w:lang w:val="es-HN"/>
              </w:rPr>
            </w:pPr>
            <w:r w:rsidRPr="00CF0F96">
              <w:rPr>
                <w:rFonts w:cs="Arial"/>
                <w:sz w:val="18"/>
                <w:lang w:val="es-HN"/>
              </w:rPr>
              <w:t>182,996</w:t>
            </w:r>
          </w:p>
        </w:tc>
      </w:tr>
      <w:tr w:rsidR="00CF0F96" w:rsidRPr="00CF0F96" w14:paraId="63226039" w14:textId="77777777" w:rsidTr="005F4A92">
        <w:trPr>
          <w:trHeight w:val="176"/>
          <w:jc w:val="center"/>
        </w:trPr>
        <w:tc>
          <w:tcPr>
            <w:tcW w:w="30" w:type="dxa"/>
            <w:shd w:val="clear" w:color="auto" w:fill="FFFFFF" w:themeFill="background1"/>
            <w:vAlign w:val="center"/>
          </w:tcPr>
          <w:p w14:paraId="45D29E31" w14:textId="77777777" w:rsidR="006A3DBC" w:rsidRPr="00CF0F96" w:rsidRDefault="006A3DBC" w:rsidP="005F4A92">
            <w:pPr>
              <w:spacing w:after="0" w:line="0" w:lineRule="atLeast"/>
              <w:rPr>
                <w:rFonts w:eastAsia="Times New Roman" w:cs="Arial"/>
                <w:sz w:val="18"/>
                <w:szCs w:val="18"/>
                <w:lang w:val="es-HN" w:eastAsia="es-HN"/>
              </w:rPr>
            </w:pPr>
          </w:p>
        </w:tc>
        <w:tc>
          <w:tcPr>
            <w:tcW w:w="1920" w:type="dxa"/>
            <w:shd w:val="clear" w:color="auto" w:fill="FFFFFF" w:themeFill="background1"/>
            <w:vAlign w:val="center"/>
          </w:tcPr>
          <w:p w14:paraId="3C0B958B" w14:textId="77777777" w:rsidR="006A3DBC" w:rsidRPr="00CF0F96" w:rsidRDefault="006A3DBC" w:rsidP="005F4A92">
            <w:pPr>
              <w:spacing w:after="0" w:line="0" w:lineRule="atLeast"/>
              <w:ind w:left="20"/>
              <w:rPr>
                <w:rFonts w:cs="Arial"/>
                <w:sz w:val="18"/>
                <w:lang w:val="es-HN"/>
              </w:rPr>
            </w:pPr>
            <w:r w:rsidRPr="00CF0F96">
              <w:rPr>
                <w:rFonts w:cs="Arial"/>
                <w:sz w:val="18"/>
                <w:lang w:val="es-HN"/>
              </w:rPr>
              <w:t>CHOLUTECA</w:t>
            </w:r>
          </w:p>
        </w:tc>
        <w:tc>
          <w:tcPr>
            <w:tcW w:w="1958" w:type="dxa"/>
            <w:shd w:val="clear" w:color="auto" w:fill="FFFFFF" w:themeFill="background1"/>
            <w:vAlign w:val="center"/>
          </w:tcPr>
          <w:p w14:paraId="2374C3E0" w14:textId="69883AD9" w:rsidR="006A3DBC" w:rsidRPr="00CF0F96" w:rsidRDefault="006A3DBC" w:rsidP="005F4A92">
            <w:pPr>
              <w:spacing w:after="0" w:line="0" w:lineRule="atLeast"/>
              <w:ind w:left="20"/>
              <w:rPr>
                <w:rFonts w:cs="Arial"/>
                <w:sz w:val="18"/>
                <w:lang w:val="es-HN"/>
              </w:rPr>
            </w:pPr>
            <w:r w:rsidRPr="00CF0F96">
              <w:rPr>
                <w:rFonts w:cs="Arial"/>
                <w:sz w:val="18"/>
                <w:lang w:val="es-HN"/>
              </w:rPr>
              <w:t>CHOLUTECA</w:t>
            </w:r>
            <w:r w:rsidR="00771180" w:rsidRPr="00CF0F96">
              <w:rPr>
                <w:rFonts w:cs="Arial"/>
                <w:sz w:val="18"/>
                <w:lang w:val="es-HN"/>
              </w:rPr>
              <w:t xml:space="preserve"> </w:t>
            </w:r>
            <w:r w:rsidRPr="00CF0F96">
              <w:rPr>
                <w:rFonts w:cs="Arial"/>
                <w:sz w:val="18"/>
                <w:lang w:val="es-HN"/>
              </w:rPr>
              <w:t>(48)</w:t>
            </w:r>
          </w:p>
        </w:tc>
        <w:tc>
          <w:tcPr>
            <w:tcW w:w="795" w:type="dxa"/>
            <w:shd w:val="clear" w:color="auto" w:fill="FFFFFF" w:themeFill="background1"/>
            <w:vAlign w:val="center"/>
          </w:tcPr>
          <w:p w14:paraId="518B1BB3"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52</w:t>
            </w:r>
          </w:p>
        </w:tc>
        <w:tc>
          <w:tcPr>
            <w:tcW w:w="707" w:type="dxa"/>
            <w:shd w:val="clear" w:color="auto" w:fill="FFFFFF" w:themeFill="background1"/>
            <w:vAlign w:val="center"/>
          </w:tcPr>
          <w:p w14:paraId="60B28C20"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29.6</w:t>
            </w:r>
          </w:p>
        </w:tc>
        <w:tc>
          <w:tcPr>
            <w:tcW w:w="850" w:type="dxa"/>
            <w:shd w:val="clear" w:color="auto" w:fill="FFFFFF" w:themeFill="background1"/>
            <w:vAlign w:val="center"/>
          </w:tcPr>
          <w:p w14:paraId="3CB68942"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17.5</w:t>
            </w:r>
          </w:p>
        </w:tc>
        <w:tc>
          <w:tcPr>
            <w:tcW w:w="864" w:type="dxa"/>
            <w:shd w:val="clear" w:color="auto" w:fill="FFFFFF" w:themeFill="background1"/>
            <w:vAlign w:val="center"/>
          </w:tcPr>
          <w:p w14:paraId="41BC7674"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100</w:t>
            </w:r>
          </w:p>
        </w:tc>
        <w:tc>
          <w:tcPr>
            <w:tcW w:w="693" w:type="dxa"/>
            <w:shd w:val="clear" w:color="auto" w:fill="FFFFFF" w:themeFill="background1"/>
            <w:vAlign w:val="center"/>
          </w:tcPr>
          <w:p w14:paraId="761912EF"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21.8</w:t>
            </w:r>
          </w:p>
        </w:tc>
        <w:tc>
          <w:tcPr>
            <w:tcW w:w="1218" w:type="dxa"/>
            <w:shd w:val="clear" w:color="auto" w:fill="FFFFFF" w:themeFill="background1"/>
            <w:vAlign w:val="center"/>
          </w:tcPr>
          <w:p w14:paraId="3AF85003" w14:textId="77777777" w:rsidR="006A3DBC" w:rsidRPr="00CF0F96" w:rsidRDefault="006A3DBC" w:rsidP="005F4A92">
            <w:pPr>
              <w:spacing w:after="0" w:line="0" w:lineRule="atLeast"/>
              <w:jc w:val="right"/>
              <w:rPr>
                <w:rFonts w:cs="Arial"/>
                <w:sz w:val="18"/>
                <w:lang w:val="es-HN"/>
              </w:rPr>
            </w:pPr>
            <w:r w:rsidRPr="00CF0F96">
              <w:rPr>
                <w:rFonts w:cs="Arial"/>
                <w:sz w:val="18"/>
                <w:lang w:val="es-HN"/>
              </w:rPr>
              <w:t>458,871</w:t>
            </w:r>
          </w:p>
        </w:tc>
      </w:tr>
      <w:tr w:rsidR="00CF0F96" w:rsidRPr="00CF0F96" w14:paraId="7F1BC47F" w14:textId="77777777" w:rsidTr="005F4A92">
        <w:trPr>
          <w:trHeight w:val="176"/>
          <w:jc w:val="center"/>
        </w:trPr>
        <w:tc>
          <w:tcPr>
            <w:tcW w:w="30" w:type="dxa"/>
            <w:shd w:val="clear" w:color="auto" w:fill="FFFFFF" w:themeFill="background1"/>
            <w:vAlign w:val="center"/>
          </w:tcPr>
          <w:p w14:paraId="38D26271" w14:textId="77777777" w:rsidR="006A3DBC" w:rsidRPr="00CF0F96" w:rsidRDefault="006A3DBC" w:rsidP="005F4A92">
            <w:pPr>
              <w:spacing w:after="0" w:line="0" w:lineRule="atLeast"/>
              <w:rPr>
                <w:rFonts w:eastAsia="Times New Roman" w:cs="Arial"/>
                <w:sz w:val="18"/>
                <w:szCs w:val="18"/>
                <w:lang w:val="es-HN" w:eastAsia="es-HN"/>
              </w:rPr>
            </w:pPr>
          </w:p>
        </w:tc>
        <w:tc>
          <w:tcPr>
            <w:tcW w:w="1920" w:type="dxa"/>
            <w:shd w:val="clear" w:color="auto" w:fill="FFFFFF" w:themeFill="background1"/>
            <w:vAlign w:val="center"/>
          </w:tcPr>
          <w:p w14:paraId="7A176CED" w14:textId="77777777" w:rsidR="006A3DBC" w:rsidRPr="00CF0F96" w:rsidRDefault="006A3DBC" w:rsidP="005F4A92">
            <w:pPr>
              <w:spacing w:after="0" w:line="0" w:lineRule="atLeast"/>
              <w:ind w:left="20"/>
              <w:rPr>
                <w:rFonts w:cs="Arial"/>
                <w:sz w:val="18"/>
                <w:lang w:val="es-HN"/>
              </w:rPr>
            </w:pPr>
            <w:r w:rsidRPr="00CF0F96">
              <w:rPr>
                <w:rFonts w:cs="Arial"/>
                <w:sz w:val="18"/>
                <w:lang w:val="es-HN"/>
              </w:rPr>
              <w:t>GRACIAS A DIOS</w:t>
            </w:r>
          </w:p>
        </w:tc>
        <w:tc>
          <w:tcPr>
            <w:tcW w:w="1958" w:type="dxa"/>
            <w:shd w:val="clear" w:color="auto" w:fill="FFFFFF" w:themeFill="background1"/>
            <w:vAlign w:val="center"/>
          </w:tcPr>
          <w:p w14:paraId="6FBAC52B" w14:textId="55D13E92" w:rsidR="006A3DBC" w:rsidRPr="00CF0F96" w:rsidRDefault="006A3DBC" w:rsidP="005F4A92">
            <w:pPr>
              <w:spacing w:after="0" w:line="0" w:lineRule="atLeast"/>
              <w:ind w:left="20"/>
              <w:rPr>
                <w:rFonts w:cs="Arial"/>
                <w:sz w:val="18"/>
                <w:lang w:val="es-HN"/>
              </w:rPr>
            </w:pPr>
            <w:r w:rsidRPr="00CF0F96">
              <w:rPr>
                <w:rFonts w:cs="Arial"/>
                <w:sz w:val="18"/>
                <w:lang w:val="es-HN"/>
              </w:rPr>
              <w:t>PUERTO LEMPIRA</w:t>
            </w:r>
            <w:r w:rsidR="00771180" w:rsidRPr="00CF0F96">
              <w:rPr>
                <w:rFonts w:cs="Arial"/>
                <w:sz w:val="18"/>
                <w:lang w:val="es-HN"/>
              </w:rPr>
              <w:t xml:space="preserve"> </w:t>
            </w:r>
            <w:r w:rsidRPr="00CF0F96">
              <w:rPr>
                <w:rFonts w:cs="Arial"/>
                <w:sz w:val="18"/>
                <w:lang w:val="es-HN"/>
              </w:rPr>
              <w:t>(9)</w:t>
            </w:r>
          </w:p>
        </w:tc>
        <w:tc>
          <w:tcPr>
            <w:tcW w:w="795" w:type="dxa"/>
            <w:shd w:val="clear" w:color="auto" w:fill="FFFFFF" w:themeFill="background1"/>
            <w:vAlign w:val="center"/>
          </w:tcPr>
          <w:p w14:paraId="6B2AF33C"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12</w:t>
            </w:r>
          </w:p>
        </w:tc>
        <w:tc>
          <w:tcPr>
            <w:tcW w:w="707" w:type="dxa"/>
            <w:shd w:val="clear" w:color="auto" w:fill="FFFFFF" w:themeFill="background1"/>
            <w:vAlign w:val="center"/>
          </w:tcPr>
          <w:p w14:paraId="69C2454C"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16.9</w:t>
            </w:r>
          </w:p>
        </w:tc>
        <w:tc>
          <w:tcPr>
            <w:tcW w:w="850" w:type="dxa"/>
            <w:shd w:val="clear" w:color="auto" w:fill="FFFFFF" w:themeFill="background1"/>
            <w:vAlign w:val="center"/>
          </w:tcPr>
          <w:p w14:paraId="5CE9623A"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26.5</w:t>
            </w:r>
          </w:p>
        </w:tc>
        <w:tc>
          <w:tcPr>
            <w:tcW w:w="864" w:type="dxa"/>
            <w:shd w:val="clear" w:color="auto" w:fill="FFFFFF" w:themeFill="background1"/>
            <w:vAlign w:val="center"/>
          </w:tcPr>
          <w:p w14:paraId="006A4150"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21</w:t>
            </w:r>
          </w:p>
        </w:tc>
        <w:tc>
          <w:tcPr>
            <w:tcW w:w="693" w:type="dxa"/>
            <w:shd w:val="clear" w:color="auto" w:fill="FFFFFF" w:themeFill="background1"/>
            <w:vAlign w:val="center"/>
          </w:tcPr>
          <w:p w14:paraId="07583F4E"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21.4</w:t>
            </w:r>
          </w:p>
        </w:tc>
        <w:tc>
          <w:tcPr>
            <w:tcW w:w="1218" w:type="dxa"/>
            <w:shd w:val="clear" w:color="auto" w:fill="FFFFFF" w:themeFill="background1"/>
            <w:vAlign w:val="center"/>
          </w:tcPr>
          <w:p w14:paraId="5F815160" w14:textId="77777777" w:rsidR="006A3DBC" w:rsidRPr="00CF0F96" w:rsidRDefault="006A3DBC" w:rsidP="005F4A92">
            <w:pPr>
              <w:spacing w:after="0" w:line="0" w:lineRule="atLeast"/>
              <w:jc w:val="right"/>
              <w:rPr>
                <w:rFonts w:cs="Arial"/>
                <w:sz w:val="18"/>
                <w:lang w:val="es-HN"/>
              </w:rPr>
            </w:pPr>
            <w:r w:rsidRPr="00CF0F96">
              <w:rPr>
                <w:rFonts w:cs="Arial"/>
                <w:sz w:val="18"/>
                <w:lang w:val="es-HN"/>
              </w:rPr>
              <w:t>98,337</w:t>
            </w:r>
          </w:p>
        </w:tc>
      </w:tr>
      <w:tr w:rsidR="00CF0F96" w:rsidRPr="00CF0F96" w14:paraId="5FFF5C54" w14:textId="77777777" w:rsidTr="005F4A92">
        <w:trPr>
          <w:trHeight w:val="172"/>
          <w:jc w:val="center"/>
        </w:trPr>
        <w:tc>
          <w:tcPr>
            <w:tcW w:w="30" w:type="dxa"/>
            <w:shd w:val="clear" w:color="auto" w:fill="FFFFFF" w:themeFill="background1"/>
            <w:vAlign w:val="center"/>
          </w:tcPr>
          <w:p w14:paraId="674E44F4" w14:textId="77777777" w:rsidR="006A3DBC" w:rsidRPr="00CF0F96" w:rsidRDefault="006A3DBC" w:rsidP="005F4A92">
            <w:pPr>
              <w:spacing w:after="0" w:line="0" w:lineRule="atLeast"/>
              <w:rPr>
                <w:rFonts w:eastAsia="Times New Roman" w:cs="Arial"/>
                <w:sz w:val="18"/>
                <w:szCs w:val="18"/>
                <w:lang w:val="es-HN" w:eastAsia="es-HN"/>
              </w:rPr>
            </w:pPr>
          </w:p>
        </w:tc>
        <w:tc>
          <w:tcPr>
            <w:tcW w:w="1920" w:type="dxa"/>
            <w:shd w:val="clear" w:color="auto" w:fill="FFFFFF" w:themeFill="background1"/>
            <w:vAlign w:val="center"/>
          </w:tcPr>
          <w:p w14:paraId="40B8388E" w14:textId="77777777" w:rsidR="006A3DBC" w:rsidRPr="00CF0F96" w:rsidRDefault="006A3DBC" w:rsidP="005F4A92">
            <w:pPr>
              <w:spacing w:after="0" w:line="0" w:lineRule="atLeast"/>
              <w:ind w:left="20"/>
              <w:rPr>
                <w:rFonts w:cs="Arial"/>
                <w:sz w:val="18"/>
                <w:lang w:val="es-HN"/>
              </w:rPr>
            </w:pPr>
            <w:r w:rsidRPr="00CF0F96">
              <w:rPr>
                <w:rFonts w:cs="Arial"/>
                <w:sz w:val="18"/>
                <w:lang w:val="es-HN"/>
              </w:rPr>
              <w:t>LA PAZ</w:t>
            </w:r>
          </w:p>
        </w:tc>
        <w:tc>
          <w:tcPr>
            <w:tcW w:w="1958" w:type="dxa"/>
            <w:shd w:val="clear" w:color="auto" w:fill="FFFFFF" w:themeFill="background1"/>
            <w:vAlign w:val="center"/>
          </w:tcPr>
          <w:p w14:paraId="765E7959" w14:textId="4D7F24D0" w:rsidR="006A3DBC" w:rsidRPr="00CF0F96" w:rsidRDefault="006A3DBC" w:rsidP="005F4A92">
            <w:pPr>
              <w:spacing w:after="0" w:line="0" w:lineRule="atLeast"/>
              <w:ind w:left="20"/>
              <w:rPr>
                <w:rFonts w:cs="Arial"/>
                <w:sz w:val="18"/>
                <w:lang w:val="es-HN"/>
              </w:rPr>
            </w:pPr>
            <w:r w:rsidRPr="00CF0F96">
              <w:rPr>
                <w:rFonts w:cs="Arial"/>
                <w:sz w:val="18"/>
                <w:lang w:val="es-HN"/>
              </w:rPr>
              <w:t>LA PAZ</w:t>
            </w:r>
            <w:r w:rsidR="00771180" w:rsidRPr="00CF0F96">
              <w:rPr>
                <w:rFonts w:cs="Arial"/>
                <w:sz w:val="18"/>
                <w:lang w:val="es-HN"/>
              </w:rPr>
              <w:t xml:space="preserve"> </w:t>
            </w:r>
            <w:r w:rsidRPr="00CF0F96">
              <w:rPr>
                <w:rFonts w:cs="Arial"/>
                <w:sz w:val="18"/>
                <w:lang w:val="es-HN"/>
              </w:rPr>
              <w:t>(11)</w:t>
            </w:r>
          </w:p>
        </w:tc>
        <w:tc>
          <w:tcPr>
            <w:tcW w:w="795" w:type="dxa"/>
            <w:shd w:val="clear" w:color="auto" w:fill="FFFFFF" w:themeFill="background1"/>
            <w:vAlign w:val="center"/>
          </w:tcPr>
          <w:p w14:paraId="21623C67"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30</w:t>
            </w:r>
          </w:p>
        </w:tc>
        <w:tc>
          <w:tcPr>
            <w:tcW w:w="707" w:type="dxa"/>
            <w:shd w:val="clear" w:color="auto" w:fill="FFFFFF" w:themeFill="background1"/>
            <w:vAlign w:val="center"/>
          </w:tcPr>
          <w:p w14:paraId="50B3F2A4"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22.6</w:t>
            </w:r>
          </w:p>
        </w:tc>
        <w:tc>
          <w:tcPr>
            <w:tcW w:w="850" w:type="dxa"/>
            <w:shd w:val="clear" w:color="auto" w:fill="FFFFFF" w:themeFill="background1"/>
            <w:vAlign w:val="center"/>
          </w:tcPr>
          <w:p w14:paraId="22705266"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18.2</w:t>
            </w:r>
          </w:p>
        </w:tc>
        <w:tc>
          <w:tcPr>
            <w:tcW w:w="864" w:type="dxa"/>
            <w:shd w:val="clear" w:color="auto" w:fill="FFFFFF" w:themeFill="background1"/>
            <w:vAlign w:val="center"/>
          </w:tcPr>
          <w:p w14:paraId="4A15DE35"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41</w:t>
            </w:r>
          </w:p>
        </w:tc>
        <w:tc>
          <w:tcPr>
            <w:tcW w:w="693" w:type="dxa"/>
            <w:shd w:val="clear" w:color="auto" w:fill="FFFFFF" w:themeFill="background1"/>
            <w:vAlign w:val="center"/>
          </w:tcPr>
          <w:p w14:paraId="43FA7836" w14:textId="77777777" w:rsidR="006A3DBC" w:rsidRPr="00CF0F96" w:rsidRDefault="006A3DBC" w:rsidP="005F4A92">
            <w:pPr>
              <w:spacing w:after="0" w:line="0" w:lineRule="atLeast"/>
              <w:jc w:val="center"/>
              <w:rPr>
                <w:rFonts w:cs="Arial"/>
                <w:sz w:val="18"/>
                <w:lang w:val="es-HN"/>
              </w:rPr>
            </w:pPr>
            <w:r w:rsidRPr="00CF0F96">
              <w:rPr>
                <w:rFonts w:cs="Arial"/>
                <w:sz w:val="18"/>
                <w:lang w:val="es-HN"/>
              </w:rPr>
              <w:t>19.2</w:t>
            </w:r>
          </w:p>
        </w:tc>
        <w:tc>
          <w:tcPr>
            <w:tcW w:w="1218" w:type="dxa"/>
            <w:shd w:val="clear" w:color="auto" w:fill="FFFFFF" w:themeFill="background1"/>
            <w:vAlign w:val="center"/>
          </w:tcPr>
          <w:p w14:paraId="7AE28B1A" w14:textId="77777777" w:rsidR="006A3DBC" w:rsidRPr="00CF0F96" w:rsidRDefault="006A3DBC" w:rsidP="005F4A92">
            <w:pPr>
              <w:spacing w:after="0" w:line="0" w:lineRule="atLeast"/>
              <w:jc w:val="right"/>
              <w:rPr>
                <w:rFonts w:cs="Arial"/>
                <w:sz w:val="18"/>
                <w:lang w:val="es-HN"/>
              </w:rPr>
            </w:pPr>
            <w:r w:rsidRPr="00CF0F96">
              <w:rPr>
                <w:rFonts w:cs="Arial"/>
                <w:sz w:val="18"/>
                <w:lang w:val="es-HN"/>
              </w:rPr>
              <w:t>213,499</w:t>
            </w:r>
          </w:p>
        </w:tc>
      </w:tr>
      <w:tr w:rsidR="00CF0F96" w:rsidRPr="00CF0F96" w14:paraId="1CD22DA6" w14:textId="77777777" w:rsidTr="005F4A92">
        <w:trPr>
          <w:trHeight w:val="195"/>
          <w:jc w:val="center"/>
        </w:trPr>
        <w:tc>
          <w:tcPr>
            <w:tcW w:w="30" w:type="dxa"/>
            <w:shd w:val="clear" w:color="auto" w:fill="FFFFFF" w:themeFill="background1"/>
            <w:vAlign w:val="center"/>
          </w:tcPr>
          <w:p w14:paraId="6285F454" w14:textId="77777777" w:rsidR="006A3DBC" w:rsidRPr="00CF0F96" w:rsidRDefault="006A3DBC" w:rsidP="005F4A92">
            <w:pPr>
              <w:spacing w:after="0" w:line="0" w:lineRule="atLeast"/>
              <w:rPr>
                <w:rFonts w:eastAsia="Times New Roman" w:cs="Arial"/>
                <w:sz w:val="18"/>
                <w:szCs w:val="18"/>
                <w:lang w:val="es-HN" w:eastAsia="es-HN"/>
              </w:rPr>
            </w:pPr>
          </w:p>
        </w:tc>
        <w:tc>
          <w:tcPr>
            <w:tcW w:w="1920" w:type="dxa"/>
            <w:shd w:val="clear" w:color="auto" w:fill="FFFFFF" w:themeFill="background1"/>
            <w:vAlign w:val="center"/>
          </w:tcPr>
          <w:p w14:paraId="47FB3759" w14:textId="77777777" w:rsidR="006A3DBC" w:rsidRPr="00CF0F96" w:rsidRDefault="006A3DBC" w:rsidP="005F4A92">
            <w:pPr>
              <w:spacing w:after="0" w:line="0" w:lineRule="atLeast"/>
              <w:rPr>
                <w:rFonts w:cs="Arial"/>
                <w:sz w:val="18"/>
                <w:lang w:val="es-HN"/>
              </w:rPr>
            </w:pPr>
          </w:p>
        </w:tc>
        <w:tc>
          <w:tcPr>
            <w:tcW w:w="1958" w:type="dxa"/>
            <w:shd w:val="clear" w:color="auto" w:fill="FFFFFF" w:themeFill="background1"/>
            <w:vAlign w:val="center"/>
          </w:tcPr>
          <w:p w14:paraId="0B871C57" w14:textId="77777777" w:rsidR="006A3DBC" w:rsidRPr="00CF0F96" w:rsidRDefault="006A3DBC" w:rsidP="005F4A92">
            <w:pPr>
              <w:spacing w:after="0" w:line="0" w:lineRule="atLeast"/>
              <w:ind w:left="560"/>
              <w:rPr>
                <w:rFonts w:cs="Arial"/>
                <w:b/>
                <w:sz w:val="18"/>
                <w:lang w:val="es-HN"/>
              </w:rPr>
            </w:pPr>
            <w:r w:rsidRPr="00CF0F96">
              <w:rPr>
                <w:rFonts w:cs="Arial"/>
                <w:b/>
                <w:sz w:val="18"/>
                <w:lang w:val="es-HN"/>
              </w:rPr>
              <w:t>Total</w:t>
            </w:r>
          </w:p>
        </w:tc>
        <w:tc>
          <w:tcPr>
            <w:tcW w:w="795" w:type="dxa"/>
            <w:shd w:val="clear" w:color="auto" w:fill="FFFFFF" w:themeFill="background1"/>
            <w:vAlign w:val="center"/>
          </w:tcPr>
          <w:p w14:paraId="5956E243" w14:textId="77777777" w:rsidR="006A3DBC" w:rsidRPr="00CF0F96" w:rsidRDefault="006A3DBC" w:rsidP="005F4A92">
            <w:pPr>
              <w:spacing w:after="0" w:line="0" w:lineRule="atLeast"/>
              <w:jc w:val="center"/>
              <w:rPr>
                <w:rFonts w:cs="Arial"/>
                <w:sz w:val="18"/>
                <w:lang w:val="es-HN"/>
              </w:rPr>
            </w:pPr>
          </w:p>
        </w:tc>
        <w:tc>
          <w:tcPr>
            <w:tcW w:w="707" w:type="dxa"/>
            <w:shd w:val="clear" w:color="auto" w:fill="FFFFFF" w:themeFill="background1"/>
            <w:vAlign w:val="center"/>
          </w:tcPr>
          <w:p w14:paraId="75330811" w14:textId="77777777" w:rsidR="006A3DBC" w:rsidRPr="00CF0F96" w:rsidRDefault="006A3DBC" w:rsidP="005F4A92">
            <w:pPr>
              <w:spacing w:after="0" w:line="0" w:lineRule="atLeast"/>
              <w:jc w:val="center"/>
              <w:rPr>
                <w:rFonts w:cs="Arial"/>
                <w:b/>
                <w:sz w:val="18"/>
                <w:lang w:val="es-HN"/>
              </w:rPr>
            </w:pPr>
            <w:r w:rsidRPr="00CF0F96">
              <w:rPr>
                <w:rFonts w:cs="Arial"/>
                <w:b/>
                <w:sz w:val="18"/>
                <w:lang w:val="es-HN"/>
              </w:rPr>
              <w:t>49.8</w:t>
            </w:r>
          </w:p>
        </w:tc>
        <w:tc>
          <w:tcPr>
            <w:tcW w:w="850" w:type="dxa"/>
            <w:shd w:val="clear" w:color="auto" w:fill="FFFFFF" w:themeFill="background1"/>
            <w:vAlign w:val="center"/>
          </w:tcPr>
          <w:p w14:paraId="41C96B50" w14:textId="77777777" w:rsidR="006A3DBC" w:rsidRPr="00CF0F96" w:rsidRDefault="006A3DBC" w:rsidP="005F4A92">
            <w:pPr>
              <w:spacing w:after="0" w:line="0" w:lineRule="atLeast"/>
              <w:jc w:val="center"/>
              <w:rPr>
                <w:rFonts w:cs="Arial"/>
                <w:b/>
                <w:sz w:val="18"/>
                <w:lang w:val="es-HN"/>
              </w:rPr>
            </w:pPr>
            <w:r w:rsidRPr="00CF0F96">
              <w:rPr>
                <w:rFonts w:cs="Arial"/>
                <w:b/>
                <w:sz w:val="18"/>
                <w:lang w:val="es-HN"/>
              </w:rPr>
              <w:t>40.2</w:t>
            </w:r>
          </w:p>
        </w:tc>
        <w:tc>
          <w:tcPr>
            <w:tcW w:w="864" w:type="dxa"/>
            <w:shd w:val="clear" w:color="auto" w:fill="FFFFFF" w:themeFill="background1"/>
            <w:vAlign w:val="center"/>
          </w:tcPr>
          <w:p w14:paraId="6726AEB5" w14:textId="77777777" w:rsidR="006A3DBC" w:rsidRPr="00CF0F96" w:rsidRDefault="006A3DBC" w:rsidP="005F4A92">
            <w:pPr>
              <w:spacing w:after="0" w:line="0" w:lineRule="atLeast"/>
              <w:jc w:val="center"/>
              <w:rPr>
                <w:rFonts w:cs="Arial"/>
                <w:b/>
                <w:sz w:val="18"/>
                <w:lang w:val="es-HN"/>
              </w:rPr>
            </w:pPr>
            <w:r w:rsidRPr="00CF0F96">
              <w:rPr>
                <w:rFonts w:cs="Arial"/>
                <w:b/>
                <w:sz w:val="18"/>
                <w:lang w:val="es-HN"/>
              </w:rPr>
              <w:t>3,866</w:t>
            </w:r>
          </w:p>
        </w:tc>
        <w:tc>
          <w:tcPr>
            <w:tcW w:w="693" w:type="dxa"/>
            <w:shd w:val="clear" w:color="auto" w:fill="FFFFFF" w:themeFill="background1"/>
            <w:vAlign w:val="center"/>
          </w:tcPr>
          <w:p w14:paraId="52093D01" w14:textId="77777777" w:rsidR="006A3DBC" w:rsidRPr="00CF0F96" w:rsidRDefault="006A3DBC" w:rsidP="005F4A92">
            <w:pPr>
              <w:spacing w:after="0" w:line="0" w:lineRule="atLeast"/>
              <w:jc w:val="center"/>
              <w:rPr>
                <w:rFonts w:cs="Arial"/>
                <w:b/>
                <w:sz w:val="18"/>
                <w:lang w:val="es-HN"/>
              </w:rPr>
            </w:pPr>
            <w:r w:rsidRPr="00CF0F96">
              <w:rPr>
                <w:rFonts w:cs="Arial"/>
                <w:b/>
                <w:sz w:val="18"/>
                <w:lang w:val="es-HN"/>
              </w:rPr>
              <w:t>43.6</w:t>
            </w:r>
          </w:p>
        </w:tc>
        <w:tc>
          <w:tcPr>
            <w:tcW w:w="1218" w:type="dxa"/>
            <w:shd w:val="clear" w:color="auto" w:fill="FFFFFF" w:themeFill="background1"/>
            <w:vAlign w:val="center"/>
          </w:tcPr>
          <w:p w14:paraId="477634BE" w14:textId="77777777" w:rsidR="006A3DBC" w:rsidRPr="00CF0F96" w:rsidRDefault="006A3DBC" w:rsidP="005F4A92">
            <w:pPr>
              <w:spacing w:after="0" w:line="0" w:lineRule="atLeast"/>
              <w:jc w:val="right"/>
              <w:rPr>
                <w:rFonts w:cs="Arial"/>
                <w:b/>
                <w:sz w:val="18"/>
                <w:lang w:val="es-HN"/>
              </w:rPr>
            </w:pPr>
            <w:r w:rsidRPr="00CF0F96">
              <w:rPr>
                <w:rFonts w:cs="Arial"/>
                <w:b/>
                <w:sz w:val="18"/>
                <w:lang w:val="es-HN"/>
              </w:rPr>
              <w:t>8,866,351</w:t>
            </w:r>
          </w:p>
        </w:tc>
      </w:tr>
    </w:tbl>
    <w:p w14:paraId="462DFDDD" w14:textId="77777777" w:rsidR="006A3DBC" w:rsidRPr="00FA4B2D" w:rsidRDefault="006A3DBC" w:rsidP="006A3DBC">
      <w:pPr>
        <w:spacing w:after="0" w:line="93" w:lineRule="exact"/>
        <w:rPr>
          <w:rFonts w:eastAsia="Garamond" w:cs="Arial"/>
          <w:lang w:val="es-HN" w:eastAsia="es-HN"/>
        </w:rPr>
      </w:pPr>
    </w:p>
    <w:p w14:paraId="6D70E8D7" w14:textId="377A5573" w:rsidR="006A3DBC" w:rsidRPr="00FA4B2D" w:rsidRDefault="006A3DBC" w:rsidP="006A3DBC">
      <w:pPr>
        <w:spacing w:after="0" w:line="0" w:lineRule="atLeast"/>
        <w:jc w:val="both"/>
        <w:rPr>
          <w:rFonts w:eastAsia="Arial" w:cs="Arial"/>
          <w:sz w:val="20"/>
          <w:szCs w:val="20"/>
          <w:lang w:val="es-HN" w:eastAsia="es-HN"/>
        </w:rPr>
      </w:pPr>
      <w:r w:rsidRPr="00FA4B2D">
        <w:rPr>
          <w:rFonts w:eastAsia="Arial" w:cs="Arial"/>
          <w:sz w:val="20"/>
          <w:szCs w:val="20"/>
          <w:lang w:val="es-HN" w:eastAsia="es-HN"/>
        </w:rPr>
        <w:t>Fuente: Dirección General de Medicina Forense / Policía Nacional / Monitoreo de Medios/Observatorio de la Violencia Local / Nacional - UNAH - Honduras.</w:t>
      </w:r>
      <w:r w:rsidR="007E4391" w:rsidRPr="00FA4B2D">
        <w:rPr>
          <w:rFonts w:eastAsia="Arial" w:cs="Arial"/>
          <w:sz w:val="20"/>
          <w:szCs w:val="20"/>
          <w:lang w:val="es-HN" w:eastAsia="es-HN"/>
        </w:rPr>
        <w:t xml:space="preserve"> Año 2017.</w:t>
      </w:r>
    </w:p>
    <w:p w14:paraId="1FA16CFB" w14:textId="77777777" w:rsidR="006A3DBC" w:rsidRPr="00FA4B2D" w:rsidRDefault="006A3DBC" w:rsidP="006A3DBC">
      <w:pPr>
        <w:spacing w:after="0" w:line="240" w:lineRule="auto"/>
        <w:jc w:val="both"/>
        <w:rPr>
          <w:rFonts w:cs="Arial"/>
          <w:sz w:val="20"/>
          <w:szCs w:val="20"/>
        </w:rPr>
      </w:pPr>
    </w:p>
    <w:p w14:paraId="0EDE89D1" w14:textId="77777777" w:rsidR="006A3DBC" w:rsidRPr="00FA4B2D" w:rsidRDefault="006A3DBC" w:rsidP="006A3DBC">
      <w:pPr>
        <w:jc w:val="both"/>
        <w:rPr>
          <w:rFonts w:eastAsia="Times New Roman" w:cs="Arial"/>
        </w:rPr>
      </w:pPr>
    </w:p>
    <w:p w14:paraId="0A59C5FC" w14:textId="77777777" w:rsidR="006A3DBC" w:rsidRPr="00FA4B2D" w:rsidRDefault="006A3DBC" w:rsidP="006A3DBC">
      <w:pPr>
        <w:jc w:val="both"/>
        <w:rPr>
          <w:rFonts w:cs="Arial"/>
        </w:rPr>
      </w:pPr>
      <w:r w:rsidRPr="00FA4B2D">
        <w:rPr>
          <w:rFonts w:eastAsia="Times New Roman" w:cs="Arial"/>
        </w:rPr>
        <w:lastRenderedPageBreak/>
        <w:t xml:space="preserve">Una cantidad significativa de delitos y violencia en Honduras puede atribuirse a pandillas de jóvenes y al crimen organizado como ser redes y carteles de narcotráfico. </w:t>
      </w:r>
    </w:p>
    <w:p w14:paraId="310D0AB9" w14:textId="77777777" w:rsidR="006A3DBC" w:rsidRPr="00FA4B2D" w:rsidRDefault="006A3DBC" w:rsidP="006A3DBC">
      <w:pPr>
        <w:jc w:val="both"/>
        <w:rPr>
          <w:rFonts w:cs="Arial"/>
        </w:rPr>
      </w:pPr>
      <w:r w:rsidRPr="00FA4B2D">
        <w:rPr>
          <w:rFonts w:eastAsia="Times New Roman" w:cs="Arial"/>
        </w:rPr>
        <w:t>Si bien las pandillas de jóvenes operan en zonas urbanas principalmente, también se hacen presente en zonas rurales cercanas a la frontera con El Salvador, donde han conseguido un refugio. De todos los homicidios informados en 2020, un 47 % tuvo lugar en zonas rurales. Alrededor de un 22 % de estos delitos puede ser atribuido a la delincuencia, sin embargo, la forma más frecuente de violencia en áreas rurales se relaciona con el género.</w:t>
      </w:r>
    </w:p>
    <w:p w14:paraId="5C611B32" w14:textId="77777777" w:rsidR="006A3DBC" w:rsidRPr="00FA4B2D" w:rsidRDefault="006A3DBC" w:rsidP="00411720">
      <w:pPr>
        <w:pStyle w:val="Prrafodelista"/>
        <w:numPr>
          <w:ilvl w:val="0"/>
          <w:numId w:val="103"/>
        </w:numPr>
        <w:jc w:val="both"/>
        <w:rPr>
          <w:rFonts w:eastAsia="Times New Roman" w:cs="Arial"/>
          <w:b/>
          <w:bCs/>
          <w:i/>
          <w:iCs/>
        </w:rPr>
      </w:pPr>
      <w:r w:rsidRPr="00FA4B2D">
        <w:rPr>
          <w:rFonts w:eastAsia="Times New Roman" w:cs="Arial"/>
          <w:b/>
          <w:bCs/>
          <w:i/>
          <w:iCs/>
        </w:rPr>
        <w:t>Delito y violencia en zonas rurales de Honduras</w:t>
      </w:r>
    </w:p>
    <w:p w14:paraId="145D2BA7" w14:textId="77777777" w:rsidR="006A3DBC" w:rsidRPr="00FA4B2D" w:rsidRDefault="006A3DBC" w:rsidP="006A3DBC">
      <w:pPr>
        <w:jc w:val="both"/>
        <w:rPr>
          <w:rFonts w:cs="Arial"/>
        </w:rPr>
      </w:pPr>
      <w:r w:rsidRPr="00FA4B2D">
        <w:rPr>
          <w:rFonts w:eastAsia="Times New Roman" w:cs="Arial"/>
        </w:rPr>
        <w:t>Se han realizados pocos estudios en las zonas rurales de Honduras sobre cómo los altos niveles de violencia son influenciados por la juventud y viceversa en estas zonas.</w:t>
      </w:r>
    </w:p>
    <w:p w14:paraId="55605B04" w14:textId="77777777" w:rsidR="006A3DBC" w:rsidRPr="00FA4B2D" w:rsidRDefault="006A3DBC" w:rsidP="006A3DBC">
      <w:pPr>
        <w:jc w:val="both"/>
        <w:rPr>
          <w:rFonts w:cs="Arial"/>
        </w:rPr>
      </w:pPr>
      <w:r w:rsidRPr="00FA4B2D">
        <w:rPr>
          <w:rFonts w:eastAsia="Times New Roman" w:cs="Arial"/>
        </w:rPr>
        <w:t xml:space="preserve">Aunque los niveles de violencia delictiva no son tan altos como en las zonas urbanas de Honduras, estos siguen siendo altos y existen varios factores de riesgo en el Corredor Seco y comunidades rurales que pueden llevar a jóvenes a unirse a pandillas o grupos de crimen organizado. Estos factores de riesgo incluyen desintegración familiar y falta de control parental debido a la inmigración, acceso a drogas, mercados ilegales, tráfico de estupefacientes, presencia de armas y presencia de pandillas. </w:t>
      </w:r>
    </w:p>
    <w:p w14:paraId="6C908EE1" w14:textId="77777777" w:rsidR="006A3DBC" w:rsidRPr="00FA4B2D" w:rsidRDefault="006A3DBC" w:rsidP="006A3DBC">
      <w:pPr>
        <w:jc w:val="both"/>
        <w:rPr>
          <w:rFonts w:cs="Arial"/>
        </w:rPr>
      </w:pPr>
      <w:r w:rsidRPr="00FA4B2D">
        <w:rPr>
          <w:rFonts w:eastAsia="Times New Roman" w:cs="Arial"/>
        </w:rPr>
        <w:t xml:space="preserve">Además, existen factores de riesgo adicionales presentes en el Corredor Seco y en las comunidades rurales, entre los que se encuentran la alta desigualdad de ingresos; la falta de acceso al empleo, a la salud y a la infraestructura física; la administración deficiente; la falta de confianza en las fuerzas policiales; las normas culturales y la socialización de género; y el aumento en el tamaño y densidad de los hogares. Estos factores de riesgo, al combinarse con otros, pueden ocasionar un aumento de la actividad delictiva y la participación en grupos violentos como las pandillas. En otras palabras, el Corredor Seco y potencialmente otras zonas rurales en Honduras tienen todas las chances de convertirse en regiones extremadamente violentas.  </w:t>
      </w:r>
    </w:p>
    <w:p w14:paraId="00C63332" w14:textId="77777777" w:rsidR="006A3DBC" w:rsidRPr="00FA4B2D" w:rsidRDefault="006A3DBC" w:rsidP="00411720">
      <w:pPr>
        <w:pStyle w:val="Prrafodelista"/>
        <w:numPr>
          <w:ilvl w:val="0"/>
          <w:numId w:val="103"/>
        </w:numPr>
        <w:jc w:val="both"/>
        <w:rPr>
          <w:rFonts w:eastAsia="Times New Roman" w:cs="Arial"/>
          <w:b/>
          <w:bCs/>
          <w:i/>
          <w:iCs/>
        </w:rPr>
      </w:pPr>
      <w:r w:rsidRPr="00FA4B2D">
        <w:rPr>
          <w:rFonts w:eastAsia="Times New Roman" w:cs="Arial"/>
          <w:b/>
          <w:bCs/>
          <w:i/>
          <w:iCs/>
        </w:rPr>
        <w:t>Impactos del delito y la violencia en la agricultura y la acumulación de capital humano en la Honduras rural</w:t>
      </w:r>
    </w:p>
    <w:p w14:paraId="4EA6B68B" w14:textId="77777777" w:rsidR="006A3DBC" w:rsidRPr="00FA4B2D" w:rsidRDefault="006A3DBC" w:rsidP="006A3DBC">
      <w:pPr>
        <w:jc w:val="both"/>
        <w:rPr>
          <w:rFonts w:cs="Arial"/>
        </w:rPr>
      </w:pPr>
      <w:r w:rsidRPr="00FA4B2D">
        <w:rPr>
          <w:rFonts w:eastAsia="Times New Roman" w:cs="Arial"/>
        </w:rPr>
        <w:t xml:space="preserve">La violencia de pandillas en las zonas rurales podría desplazar a agricultores por medio de la fuerza y llevarlos a abandonar temporal o permanentemente sus tierras y cultivos. Este desplazamiento podría reducir la fuerza de trabajo en algunas áreas, afectando aún más el crecimiento económico y las oportunidades para las comunidades. Este desplazamiento puede ser tanto interno, hacia otras zonas del país, como externo, principalmente hacia los Estados Unidos.   </w:t>
      </w:r>
    </w:p>
    <w:p w14:paraId="6CB5C0DF" w14:textId="2F9D7360" w:rsidR="006A3DBC" w:rsidRPr="00FA4B2D" w:rsidRDefault="00EF7331" w:rsidP="006A3DBC">
      <w:pPr>
        <w:jc w:val="both"/>
        <w:rPr>
          <w:rFonts w:cs="Arial"/>
        </w:rPr>
      </w:pPr>
      <w:r w:rsidRPr="00FA4B2D">
        <w:rPr>
          <w:rFonts w:eastAsia="Times New Roman" w:cs="Arial"/>
        </w:rPr>
        <w:lastRenderedPageBreak/>
        <w:t>Las pandillas podrían</w:t>
      </w:r>
      <w:r w:rsidR="006A3DBC" w:rsidRPr="00FA4B2D">
        <w:rPr>
          <w:rFonts w:eastAsia="Times New Roman" w:cs="Arial"/>
        </w:rPr>
        <w:t xml:space="preserve"> restringir el movimiento de personas en territorios rurales, impidiéndoles de esa forma cuidar de sus cultivos o acceder a mercados. Las restricciones a la movilidad podrían afectar también a la distribución de alimentos, en tanto las pandillas podrían restringir la entrada de vehículos de reparto o la libre movilidad de </w:t>
      </w:r>
      <w:proofErr w:type="gramStart"/>
      <w:r w:rsidR="006A3DBC" w:rsidRPr="00FA4B2D">
        <w:rPr>
          <w:rFonts w:eastAsia="Times New Roman" w:cs="Arial"/>
        </w:rPr>
        <w:t>vendedores y vendedoras</w:t>
      </w:r>
      <w:proofErr w:type="gramEnd"/>
      <w:r w:rsidR="006A3DBC" w:rsidRPr="00FA4B2D">
        <w:rPr>
          <w:rFonts w:eastAsia="Times New Roman" w:cs="Arial"/>
        </w:rPr>
        <w:t xml:space="preserve"> en territorios controlados por estas pandillas. </w:t>
      </w:r>
    </w:p>
    <w:p w14:paraId="13B5102B" w14:textId="77777777" w:rsidR="006A3DBC" w:rsidRPr="00FA4B2D" w:rsidRDefault="006A3DBC" w:rsidP="006A3DBC">
      <w:pPr>
        <w:jc w:val="both"/>
        <w:rPr>
          <w:rFonts w:cs="Arial"/>
        </w:rPr>
      </w:pPr>
      <w:r w:rsidRPr="00FA4B2D">
        <w:rPr>
          <w:rFonts w:eastAsia="Times New Roman" w:cs="Arial"/>
        </w:rPr>
        <w:t>Campesinos, agricultores y comerciantes también podrían ser extorsionados por las pandillas, lo que incrementaría el precio de productos agrícolas, y obligaría a parte de esta población a dejar sus cultivos o cerrar sus negocios.</w:t>
      </w:r>
    </w:p>
    <w:p w14:paraId="2439FD7E" w14:textId="77777777" w:rsidR="006A3DBC" w:rsidRPr="00FA4B2D" w:rsidRDefault="006A3DBC" w:rsidP="006A3DBC">
      <w:pPr>
        <w:jc w:val="both"/>
        <w:rPr>
          <w:rFonts w:cs="Arial"/>
        </w:rPr>
      </w:pPr>
      <w:r w:rsidRPr="00FA4B2D">
        <w:rPr>
          <w:rFonts w:eastAsia="Times New Roman" w:cs="Arial"/>
        </w:rPr>
        <w:t xml:space="preserve">La expansión de la operación de pandillas en territorios rurales podría ser perjudicial para cualquier actividad de conectividad del mercado y podría incluso beneficiar a las pandillas u otros grupos criminales. La infraestructura mejorada que puede brindar un proyecto podría potencialmente ofrecer herramientas mejoradas para que las pandillas involucradas en diferentes formas de tráfico desarrollen sus actividades ilícitas. </w:t>
      </w:r>
    </w:p>
    <w:p w14:paraId="5FBE8345" w14:textId="77777777" w:rsidR="006A3DBC" w:rsidRPr="00FA4B2D" w:rsidRDefault="006A3DBC" w:rsidP="006A3DBC">
      <w:pPr>
        <w:jc w:val="both"/>
        <w:rPr>
          <w:rFonts w:eastAsia="Times New Roman" w:cs="Arial"/>
        </w:rPr>
      </w:pPr>
      <w:r w:rsidRPr="00FA4B2D">
        <w:rPr>
          <w:rFonts w:eastAsia="Times New Roman" w:cs="Arial"/>
        </w:rPr>
        <w:t xml:space="preserve">La delincuencia y la violencia disminuyen el capital social, impidiendo que las comunidades desarrollen resiliencia para enfrentar cualquier posible amenaza. Las redes sociales fracturadas en las comunidades impedirán que las personas trabajen hacia un objetivo común y reducirán su confianza en que juntos pueden enfrentar la adversidad (eficacia comunitaria). El capital social debilitado puede tener un efecto adverso en varios niveles de la cadena de valor, afectando la producción general o los esfuerzos para fortalecerla. </w:t>
      </w:r>
    </w:p>
    <w:bookmarkEnd w:id="442"/>
    <w:p w14:paraId="2ABEC642" w14:textId="77777777" w:rsidR="006A3DBC" w:rsidRPr="00FA4B2D" w:rsidRDefault="006A3DBC" w:rsidP="006A3DBC">
      <w:pPr>
        <w:spacing w:after="0" w:line="240" w:lineRule="auto"/>
        <w:jc w:val="both"/>
        <w:rPr>
          <w:rFonts w:cs="Arial"/>
        </w:rPr>
      </w:pPr>
    </w:p>
    <w:p w14:paraId="73C8A3CC" w14:textId="77777777" w:rsidR="006A3DBC" w:rsidRPr="00FA4B2D" w:rsidRDefault="006A3DBC" w:rsidP="00411720">
      <w:pPr>
        <w:pStyle w:val="Ttulo2"/>
        <w:numPr>
          <w:ilvl w:val="2"/>
          <w:numId w:val="70"/>
        </w:numPr>
        <w:spacing w:before="0" w:line="240" w:lineRule="auto"/>
        <w:jc w:val="both"/>
        <w:rPr>
          <w:rFonts w:ascii="Arial" w:hAnsi="Arial" w:cs="Arial"/>
          <w:b/>
          <w:bCs/>
          <w:color w:val="767171" w:themeColor="background2" w:themeShade="80"/>
          <w:sz w:val="22"/>
          <w:szCs w:val="22"/>
        </w:rPr>
      </w:pPr>
      <w:bookmarkStart w:id="655" w:name="_Toc65884185"/>
      <w:bookmarkStart w:id="656" w:name="_Toc67573408"/>
      <w:bookmarkStart w:id="657" w:name="_Toc202456926"/>
      <w:r w:rsidRPr="00FA4B2D">
        <w:rPr>
          <w:rFonts w:ascii="Arial" w:hAnsi="Arial" w:cs="Arial"/>
          <w:b/>
          <w:bCs/>
          <w:color w:val="767171" w:themeColor="background2" w:themeShade="80"/>
          <w:sz w:val="22"/>
          <w:szCs w:val="22"/>
        </w:rPr>
        <w:t>Situacional territorial</w:t>
      </w:r>
      <w:bookmarkEnd w:id="655"/>
      <w:bookmarkEnd w:id="656"/>
      <w:bookmarkEnd w:id="657"/>
      <w:r w:rsidRPr="00FA4B2D">
        <w:rPr>
          <w:rFonts w:ascii="Arial" w:hAnsi="Arial" w:cs="Arial"/>
          <w:b/>
          <w:bCs/>
          <w:color w:val="767171" w:themeColor="background2" w:themeShade="80"/>
          <w:sz w:val="22"/>
          <w:szCs w:val="22"/>
        </w:rPr>
        <w:t xml:space="preserve"> </w:t>
      </w:r>
    </w:p>
    <w:p w14:paraId="7340B06F" w14:textId="77777777" w:rsidR="006A3DBC" w:rsidRPr="00FA4B2D" w:rsidRDefault="006A3DBC" w:rsidP="006A3DBC">
      <w:pPr>
        <w:pStyle w:val="Prrafodelista"/>
        <w:spacing w:after="0" w:line="240" w:lineRule="auto"/>
        <w:ind w:left="0"/>
        <w:jc w:val="both"/>
        <w:rPr>
          <w:rFonts w:cs="Arial"/>
        </w:rPr>
      </w:pPr>
    </w:p>
    <w:p w14:paraId="13BD7EC0" w14:textId="77777777" w:rsidR="006A3DBC" w:rsidRPr="00FA4B2D" w:rsidRDefault="006A3DBC" w:rsidP="006A3DBC">
      <w:pPr>
        <w:pStyle w:val="Prrafodelista"/>
        <w:spacing w:after="0" w:line="240" w:lineRule="auto"/>
        <w:ind w:left="0"/>
        <w:jc w:val="both"/>
        <w:rPr>
          <w:rFonts w:cs="Arial"/>
        </w:rPr>
      </w:pPr>
      <w:r w:rsidRPr="00FA4B2D">
        <w:rPr>
          <w:rFonts w:cs="Arial"/>
        </w:rPr>
        <w:t>El propósito de esta dimensión es caracterizar la estructura y dinámica de las áreas en el cual se prevean llevar a cabo las actividades del proyecto. Se deben identificar los usos preponderantes reales y los planificados según el ordenamiento territorial.</w:t>
      </w:r>
    </w:p>
    <w:p w14:paraId="67B438EE" w14:textId="77777777" w:rsidR="006A3DBC" w:rsidRPr="00FA4B2D" w:rsidRDefault="006A3DBC" w:rsidP="006A3DBC">
      <w:pPr>
        <w:pStyle w:val="Prrafodelista"/>
        <w:spacing w:after="0" w:line="240" w:lineRule="auto"/>
        <w:ind w:left="0"/>
        <w:jc w:val="both"/>
        <w:rPr>
          <w:rFonts w:cs="Arial"/>
        </w:rPr>
      </w:pPr>
    </w:p>
    <w:p w14:paraId="07F8F09C" w14:textId="77777777" w:rsidR="006A3DBC" w:rsidRPr="00FA4B2D" w:rsidRDefault="006A3DBC" w:rsidP="006A3DBC">
      <w:pPr>
        <w:pStyle w:val="Prrafodelista"/>
        <w:spacing w:after="0" w:line="240" w:lineRule="auto"/>
        <w:ind w:left="0"/>
        <w:jc w:val="both"/>
        <w:rPr>
          <w:rFonts w:cs="Arial"/>
        </w:rPr>
      </w:pPr>
      <w:r w:rsidRPr="00FA4B2D">
        <w:rPr>
          <w:rFonts w:cs="Arial"/>
        </w:rPr>
        <w:t>En Honduras la disponibilidad de datos para caracterizar la estructura y dinámicas en zonas de cobertura del Proyecto COMRURAL a nivel de uso de suelos y ordenamiento territorial enfrenta limitaciones de acceso a información a nivel de país. Si existen departamentos y municipios que disponen de planes de desarrollo con enfoques en ordenamiento territorial, pero estos están dispersos, no integrados a una visión real de desarrollo territorial macro y regional.</w:t>
      </w:r>
    </w:p>
    <w:p w14:paraId="74334498" w14:textId="77777777" w:rsidR="006A3DBC" w:rsidRPr="00FA4B2D" w:rsidRDefault="006A3DBC" w:rsidP="006A3DBC">
      <w:pPr>
        <w:pStyle w:val="Prrafodelista"/>
        <w:spacing w:after="0" w:line="240" w:lineRule="auto"/>
        <w:ind w:left="0"/>
        <w:jc w:val="both"/>
        <w:rPr>
          <w:rFonts w:cs="Arial"/>
        </w:rPr>
      </w:pPr>
      <w:r w:rsidRPr="00FA4B2D">
        <w:rPr>
          <w:rFonts w:cs="Arial"/>
        </w:rPr>
        <w:t xml:space="preserve"> </w:t>
      </w:r>
    </w:p>
    <w:p w14:paraId="6DDB76B3" w14:textId="77777777" w:rsidR="006A3DBC" w:rsidRPr="00FA4B2D" w:rsidRDefault="006A3DBC" w:rsidP="006A3DBC">
      <w:pPr>
        <w:jc w:val="both"/>
        <w:rPr>
          <w:rFonts w:cs="Arial"/>
        </w:rPr>
      </w:pPr>
      <w:r w:rsidRPr="00FA4B2D">
        <w:rPr>
          <w:rFonts w:cs="Arial"/>
        </w:rPr>
        <w:t xml:space="preserve">La Estrategia Nacional de Cambio Climático determina que acorde a diversas estimaciones, entre el 21.5 y el 24% del territorio nacional los suelos poseen vocación agrícola para cultivos intensivos o extensivos de rotación, mientras un 74% representa suelos de uso forestal. Sin embargo, para 2002 se estableció que 49.3% del territorio nacional se dedicaba a actividades agropecuarias lo cual implica el conflicto más significativo en el uso de la tierra. De hecho, 30.5% del territorio se emplea para agricultura, cuando tiene vocación forestal, lo cual se asocia a las </w:t>
      </w:r>
      <w:r w:rsidRPr="00FA4B2D">
        <w:rPr>
          <w:rFonts w:cs="Arial"/>
        </w:rPr>
        <w:lastRenderedPageBreak/>
        <w:t>presiones demográficas por el acceso a la tierra para la producción de alimentos y la garantía de la seguridad alimentaria, así como a los costos de oportunidad, incentivos y barreras de entrada de usos alternativos de la tierra, que han colocado un menor atractivo a las actividades forestales como fuente generadora de ingresos (SERNA, 2010).</w:t>
      </w:r>
    </w:p>
    <w:p w14:paraId="1765980E" w14:textId="77777777" w:rsidR="006A3DBC" w:rsidRPr="00FA4B2D" w:rsidRDefault="006A3DBC" w:rsidP="006A3DBC">
      <w:pPr>
        <w:jc w:val="both"/>
        <w:rPr>
          <w:rFonts w:cs="Arial"/>
        </w:rPr>
      </w:pPr>
      <w:r w:rsidRPr="00FA4B2D">
        <w:rPr>
          <w:rFonts w:cs="Arial"/>
        </w:rPr>
        <w:t xml:space="preserve">Un área relativamente grande del territorio nacional está dedicada a la producción de la agricultura tradicional de subsistencia, para el autoconsumo y el mercado nacional; de lo cual, una proporción significativa se realiza en condiciones de ladera y bajo forma de tenencia de minifundio, en tierras marginales de baja fertilidad, poca profundidad, mal avenamiento y, consecuentemente, de menor productividad y mayor demanda de superficie; con técnicas que implican daños significativos en la calidad del suelo, e impactos ambientales asociados (contaminación por agroquímicos); y para la producción de granos básicos que alimentarían a la mitad de la población productora del país. Por el contrario, las actividades de ganadería extensiva se realizan en una proporción relativamente baja del territorio (9,7%) y en las mejores tierras de valles y llanuras costeras, expulsando a muchos pequeños productores de subsistencia hacia las laderas. (SERNA, 2010). </w:t>
      </w:r>
    </w:p>
    <w:p w14:paraId="2F8721A3" w14:textId="77777777" w:rsidR="006A3DBC" w:rsidRPr="00EF7331" w:rsidRDefault="006A3DBC" w:rsidP="006A3DBC">
      <w:pPr>
        <w:pStyle w:val="NormalWeb"/>
        <w:spacing w:before="0" w:beforeAutospacing="0" w:after="300" w:afterAutospacing="0"/>
        <w:jc w:val="both"/>
        <w:rPr>
          <w:rFonts w:ascii="Arial" w:eastAsiaTheme="minorHAnsi" w:hAnsi="Arial" w:cs="Arial"/>
          <w:lang w:val="es-AR" w:eastAsia="en-US"/>
        </w:rPr>
      </w:pPr>
      <w:r w:rsidRPr="00EF7331">
        <w:rPr>
          <w:rFonts w:ascii="Arial" w:eastAsiaTheme="minorHAnsi" w:hAnsi="Arial" w:cs="Arial"/>
          <w:lang w:val="es-AR" w:eastAsia="en-US"/>
        </w:rPr>
        <w:t>El sector ganadero, pilar fundamental de la economía hondureña, está a punto de experimentar una transformación trascendental para alcanzar más productividad y rentabilidad, a la vez que logra reducir sus emisiones de carbono.</w:t>
      </w:r>
    </w:p>
    <w:p w14:paraId="6E2227CE" w14:textId="77777777" w:rsidR="006A3DBC" w:rsidRPr="00EF7331" w:rsidRDefault="006A3DBC" w:rsidP="006A3DBC">
      <w:pPr>
        <w:pStyle w:val="NormalWeb"/>
        <w:spacing w:before="0" w:beforeAutospacing="0" w:after="300" w:afterAutospacing="0"/>
        <w:jc w:val="both"/>
        <w:rPr>
          <w:rFonts w:ascii="Arial" w:eastAsiaTheme="minorHAnsi" w:hAnsi="Arial" w:cs="Arial"/>
          <w:lang w:val="es-AR" w:eastAsia="en-US"/>
        </w:rPr>
      </w:pPr>
      <w:r w:rsidRPr="00EF7331">
        <w:rPr>
          <w:rFonts w:ascii="Arial" w:eastAsiaTheme="minorHAnsi" w:hAnsi="Arial" w:cs="Arial"/>
          <w:lang w:val="es-AR" w:eastAsia="en-US"/>
        </w:rPr>
        <w:t>Con un aporte del 13% al Producto Interno Bruto (PIB) agrícola, la ganadería genera más de 400 000 empleos anuales, representando un 36% de la población económicamente activa. Sin embargo, el sector enfrenta desafíos cruciales, especialmente en cuanto a su impacto ambiental y climático</w:t>
      </w:r>
      <w:r w:rsidRPr="00EF7331">
        <w:rPr>
          <w:rStyle w:val="Refdenotaalpie"/>
          <w:rFonts w:ascii="Arial" w:eastAsiaTheme="minorHAnsi" w:hAnsi="Arial" w:cs="Arial"/>
          <w:lang w:eastAsia="en-US"/>
        </w:rPr>
        <w:footnoteReference w:id="27"/>
      </w:r>
      <w:r w:rsidRPr="00EF7331">
        <w:rPr>
          <w:rFonts w:ascii="Arial" w:eastAsiaTheme="minorHAnsi" w:hAnsi="Arial" w:cs="Arial"/>
          <w:lang w:val="es-AR" w:eastAsia="en-US"/>
        </w:rPr>
        <w:t>.</w:t>
      </w:r>
    </w:p>
    <w:p w14:paraId="2F5DEF84" w14:textId="77777777" w:rsidR="006A3DBC" w:rsidRPr="00FA4B2D" w:rsidRDefault="006A3DBC" w:rsidP="006A3DBC">
      <w:pPr>
        <w:jc w:val="both"/>
        <w:rPr>
          <w:rFonts w:cs="Arial"/>
        </w:rPr>
      </w:pPr>
      <w:r w:rsidRPr="00FA4B2D">
        <w:rPr>
          <w:rFonts w:cs="Arial"/>
        </w:rPr>
        <w:t>La conversión de uso del suelo hacia prácticas agrícolas y ganaderas de carácter extensivo, la expansión de monocultivos, así como la falta de una regulación efectiva del uso de los recursos naturales y la falta de información y educación siguen siendo parte de las amenazas. Causas indirectas lo constituyen la pobreza y falta de oportunidades de empleo, la costumbre arraigada por el uso indiscriminado de los recursos, el desarrollo turístico no planificado o regulado, la falta de acuerdos concertados para el desarrollo de la región, y la migración y el crecimiento de la población (SERNA, 2010).</w:t>
      </w:r>
    </w:p>
    <w:p w14:paraId="41BA6129" w14:textId="6AEB2837" w:rsidR="006A3DBC" w:rsidRPr="00FA4B2D" w:rsidRDefault="006A3DBC" w:rsidP="006A3DBC">
      <w:pPr>
        <w:rPr>
          <w:rFonts w:cs="Arial"/>
          <w:b/>
          <w:bCs/>
          <w:i/>
          <w:iCs/>
        </w:rPr>
      </w:pPr>
      <w:bookmarkStart w:id="658" w:name="_Toc65884249"/>
      <w:bookmarkStart w:id="659" w:name="_Toc67573500"/>
      <w:r w:rsidRPr="00FA4B2D">
        <w:rPr>
          <w:rFonts w:cs="Arial"/>
          <w:b/>
          <w:bCs/>
          <w:i/>
          <w:iCs/>
        </w:rPr>
        <w:br w:type="page"/>
      </w:r>
      <w:bookmarkEnd w:id="658"/>
      <w:bookmarkEnd w:id="659"/>
    </w:p>
    <w:p w14:paraId="312ABB65" w14:textId="08813943" w:rsidR="00EF7331" w:rsidRDefault="00EF7331" w:rsidP="00EF7331">
      <w:pPr>
        <w:pStyle w:val="Descripcin"/>
        <w:keepNext/>
      </w:pPr>
      <w:bookmarkStart w:id="660" w:name="_Toc202455443"/>
      <w:r>
        <w:lastRenderedPageBreak/>
        <w:t xml:space="preserve">Tabla </w:t>
      </w:r>
      <w:r>
        <w:fldChar w:fldCharType="begin"/>
      </w:r>
      <w:r>
        <w:instrText xml:space="preserve"> SEQ Tabla \* ARABIC </w:instrText>
      </w:r>
      <w:r>
        <w:fldChar w:fldCharType="separate"/>
      </w:r>
      <w:r w:rsidR="000E6D86">
        <w:rPr>
          <w:noProof/>
        </w:rPr>
        <w:t>17</w:t>
      </w:r>
      <w:r>
        <w:fldChar w:fldCharType="end"/>
      </w:r>
      <w:r>
        <w:t xml:space="preserve">: </w:t>
      </w:r>
      <w:r w:rsidRPr="002510A2">
        <w:t>Uso de Suelo en Honduras</w:t>
      </w:r>
      <w:bookmarkEnd w:id="660"/>
    </w:p>
    <w:p w14:paraId="262E434E" w14:textId="77777777" w:rsidR="006A3DBC" w:rsidRPr="00FA4B2D" w:rsidRDefault="006A3DBC" w:rsidP="006A3DBC">
      <w:pPr>
        <w:jc w:val="center"/>
        <w:rPr>
          <w:rFonts w:cs="Arial"/>
        </w:rPr>
      </w:pPr>
      <w:r w:rsidRPr="00FA4B2D">
        <w:rPr>
          <w:rFonts w:cs="Arial"/>
          <w:noProof/>
          <w:lang w:val="es-HN" w:eastAsia="es-HN"/>
        </w:rPr>
        <w:drawing>
          <wp:inline distT="0" distB="0" distL="0" distR="0" wp14:anchorId="4D5D465B" wp14:editId="0E6100C8">
            <wp:extent cx="4834467" cy="4890061"/>
            <wp:effectExtent l="0" t="0" r="444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48013" cy="4903763"/>
                    </a:xfrm>
                    <a:prstGeom prst="rect">
                      <a:avLst/>
                    </a:prstGeom>
                    <a:noFill/>
                    <a:ln>
                      <a:noFill/>
                    </a:ln>
                  </pic:spPr>
                </pic:pic>
              </a:graphicData>
            </a:graphic>
          </wp:inline>
        </w:drawing>
      </w:r>
    </w:p>
    <w:p w14:paraId="57D8BFE8" w14:textId="77777777" w:rsidR="006A3DBC" w:rsidRPr="00FA4B2D" w:rsidRDefault="006A3DBC" w:rsidP="006A3DBC">
      <w:pPr>
        <w:pStyle w:val="Prrafodelista"/>
        <w:spacing w:after="0" w:line="240" w:lineRule="auto"/>
        <w:ind w:left="0"/>
        <w:jc w:val="both"/>
        <w:rPr>
          <w:rFonts w:cs="Arial"/>
          <w:sz w:val="20"/>
          <w:szCs w:val="20"/>
        </w:rPr>
      </w:pPr>
      <w:r w:rsidRPr="00FA4B2D">
        <w:rPr>
          <w:rFonts w:cs="Arial"/>
          <w:b/>
          <w:bCs/>
          <w:sz w:val="20"/>
          <w:szCs w:val="20"/>
        </w:rPr>
        <w:t>Fuente</w:t>
      </w:r>
      <w:r w:rsidRPr="00FA4B2D">
        <w:rPr>
          <w:rFonts w:cs="Arial"/>
          <w:sz w:val="20"/>
          <w:szCs w:val="20"/>
        </w:rPr>
        <w:t>: ICF. Año 2014.</w:t>
      </w:r>
    </w:p>
    <w:p w14:paraId="31470671" w14:textId="77777777" w:rsidR="006A3DBC" w:rsidRPr="00FA4B2D" w:rsidRDefault="006A3DBC" w:rsidP="006A3DBC">
      <w:pPr>
        <w:spacing w:after="0" w:line="240" w:lineRule="auto"/>
        <w:jc w:val="both"/>
        <w:rPr>
          <w:rFonts w:cs="Arial"/>
        </w:rPr>
      </w:pPr>
    </w:p>
    <w:p w14:paraId="0CCEEAC1" w14:textId="77777777" w:rsidR="006A3DBC" w:rsidRPr="00FA4B2D" w:rsidRDefault="006A3DBC" w:rsidP="006A3DBC">
      <w:pPr>
        <w:spacing w:after="0" w:line="240" w:lineRule="auto"/>
        <w:jc w:val="both"/>
        <w:rPr>
          <w:rFonts w:cs="Arial"/>
        </w:rPr>
      </w:pPr>
      <w:r w:rsidRPr="00FA4B2D">
        <w:rPr>
          <w:rFonts w:cs="Arial"/>
        </w:rPr>
        <w:t>La superficie de bosque es de 53,981.4 Kilómetros Cuadrados, equivalentes a 5.398,137.30 hectáreas y el 48% del total de país. Existe un 52% de no bosques, en donde el 30.19% es de uso agropecuario, un 18.13% tienen usos diversos, incluye zonas urbanizadas con el 0.81% y el 1.53% del total de la superficie es de cuerpos de aguas. Según el ICF, hace 50 años la cobertura de bosque era del 65%, lo que representa una pérdida del 17% en este período.  Las principales causales se asocian a aprovechamiento ilegal de la madera, cambio de uso para actividades agropecuarias, y corte de árboles para leña vinculada al consumo doméstico, comercial e industrial. En uso agropecuario, el 28.06% es para uso de pastos y cultivos, mientras que el 1.08 % para palma africana. El café es considerado un cultivo agroforestal y abarca el 2.16%.</w:t>
      </w:r>
    </w:p>
    <w:p w14:paraId="7910AF73" w14:textId="77777777" w:rsidR="006A3DBC" w:rsidRPr="00FA4B2D" w:rsidRDefault="006A3DBC" w:rsidP="006A3DBC">
      <w:pPr>
        <w:spacing w:after="0" w:line="240" w:lineRule="auto"/>
        <w:jc w:val="both"/>
        <w:rPr>
          <w:rFonts w:cs="Arial"/>
        </w:rPr>
      </w:pPr>
    </w:p>
    <w:p w14:paraId="1027B79B" w14:textId="77777777" w:rsidR="006A3DBC" w:rsidRPr="00FA4B2D" w:rsidRDefault="006A3DBC" w:rsidP="006A3DBC">
      <w:pPr>
        <w:spacing w:after="0" w:line="240" w:lineRule="auto"/>
        <w:jc w:val="both"/>
        <w:rPr>
          <w:rFonts w:cs="Arial"/>
        </w:rPr>
      </w:pPr>
    </w:p>
    <w:p w14:paraId="5EBB6D47" w14:textId="77777777" w:rsidR="006A3DBC" w:rsidRPr="00FA4B2D" w:rsidRDefault="006A3DBC" w:rsidP="006A3DBC">
      <w:pPr>
        <w:spacing w:after="0" w:line="240" w:lineRule="auto"/>
        <w:jc w:val="both"/>
        <w:rPr>
          <w:rFonts w:cs="Arial"/>
        </w:rPr>
      </w:pPr>
    </w:p>
    <w:p w14:paraId="575C30EE" w14:textId="77777777" w:rsidR="006A3DBC" w:rsidRPr="00FA4B2D" w:rsidRDefault="006A3DBC" w:rsidP="006A3DBC">
      <w:pPr>
        <w:spacing w:after="0" w:line="240" w:lineRule="auto"/>
        <w:jc w:val="both"/>
        <w:rPr>
          <w:rFonts w:cs="Arial"/>
        </w:rPr>
      </w:pPr>
    </w:p>
    <w:p w14:paraId="06CE0922" w14:textId="77777777" w:rsidR="006A3DBC" w:rsidRPr="00FA4B2D" w:rsidRDefault="006A3DBC" w:rsidP="006A3DBC">
      <w:pPr>
        <w:spacing w:after="0" w:line="240" w:lineRule="auto"/>
        <w:jc w:val="both"/>
        <w:rPr>
          <w:rFonts w:cs="Arial"/>
        </w:rPr>
      </w:pPr>
    </w:p>
    <w:p w14:paraId="29411BB2" w14:textId="77777777" w:rsidR="006A3DBC" w:rsidRPr="00FA4B2D" w:rsidRDefault="006A3DBC" w:rsidP="00411720">
      <w:pPr>
        <w:pStyle w:val="Ttulo2"/>
        <w:numPr>
          <w:ilvl w:val="2"/>
          <w:numId w:val="70"/>
        </w:numPr>
        <w:spacing w:before="0" w:line="240" w:lineRule="auto"/>
        <w:jc w:val="both"/>
        <w:rPr>
          <w:rFonts w:ascii="Arial" w:hAnsi="Arial" w:cs="Arial"/>
          <w:b/>
          <w:bCs/>
          <w:color w:val="767171" w:themeColor="background2" w:themeShade="80"/>
          <w:sz w:val="22"/>
          <w:szCs w:val="22"/>
        </w:rPr>
      </w:pPr>
      <w:bookmarkStart w:id="661" w:name="_Toc65884186"/>
      <w:bookmarkStart w:id="662" w:name="_Toc67573409"/>
      <w:bookmarkStart w:id="663" w:name="_Toc202456927"/>
      <w:r w:rsidRPr="00FA4B2D">
        <w:rPr>
          <w:rFonts w:ascii="Arial" w:hAnsi="Arial" w:cs="Arial"/>
          <w:b/>
          <w:bCs/>
          <w:color w:val="767171" w:themeColor="background2" w:themeShade="80"/>
          <w:sz w:val="22"/>
          <w:szCs w:val="22"/>
        </w:rPr>
        <w:t>Infraestructura y equipamiento</w:t>
      </w:r>
      <w:bookmarkEnd w:id="661"/>
      <w:bookmarkEnd w:id="662"/>
      <w:bookmarkEnd w:id="663"/>
      <w:r w:rsidRPr="00FA4B2D">
        <w:rPr>
          <w:rFonts w:ascii="Arial" w:hAnsi="Arial" w:cs="Arial"/>
          <w:b/>
          <w:bCs/>
          <w:color w:val="767171" w:themeColor="background2" w:themeShade="80"/>
          <w:sz w:val="22"/>
          <w:szCs w:val="22"/>
        </w:rPr>
        <w:t xml:space="preserve"> </w:t>
      </w:r>
    </w:p>
    <w:p w14:paraId="41D033EF" w14:textId="77777777" w:rsidR="006A3DBC" w:rsidRPr="00FA4B2D" w:rsidRDefault="006A3DBC" w:rsidP="006A3DBC">
      <w:pPr>
        <w:spacing w:after="0" w:line="240" w:lineRule="auto"/>
        <w:jc w:val="both"/>
        <w:rPr>
          <w:rFonts w:cs="Arial"/>
        </w:rPr>
      </w:pPr>
      <w:r w:rsidRPr="00FA4B2D">
        <w:rPr>
          <w:rFonts w:cs="Arial"/>
        </w:rPr>
        <w:t xml:space="preserve"> </w:t>
      </w:r>
    </w:p>
    <w:p w14:paraId="6B654179" w14:textId="77777777" w:rsidR="006A3DBC" w:rsidRPr="00FA4B2D" w:rsidRDefault="006A3DBC" w:rsidP="006A3DBC">
      <w:pPr>
        <w:spacing w:after="0" w:line="240" w:lineRule="auto"/>
        <w:jc w:val="both"/>
        <w:rPr>
          <w:rFonts w:cs="Arial"/>
        </w:rPr>
      </w:pPr>
      <w:r w:rsidRPr="00FA4B2D">
        <w:rPr>
          <w:rFonts w:cs="Arial"/>
        </w:rPr>
        <w:t>El propósito de esta dimensión es conocer la infraestructura y equipamiento que utiliza la población y la que comparte con la logística de las operaciones. Deben identificarse la infraestructura vial principal, de transporte y de servicios del área de influencia y el equipamiento en materia de salud y educación disponible y el utilizado por la población local.</w:t>
      </w:r>
    </w:p>
    <w:p w14:paraId="21D2545B" w14:textId="74EB69AE" w:rsidR="006A3DBC" w:rsidRPr="00FA4B2D" w:rsidRDefault="006A3DBC" w:rsidP="006A3DBC">
      <w:pPr>
        <w:pStyle w:val="Descripcin"/>
        <w:keepNext/>
        <w:rPr>
          <w:rFonts w:cs="Arial"/>
          <w:b/>
          <w:bCs/>
          <w:i w:val="0"/>
          <w:iCs w:val="0"/>
          <w:color w:val="767171" w:themeColor="background2" w:themeShade="80"/>
          <w:sz w:val="22"/>
          <w:szCs w:val="22"/>
        </w:rPr>
      </w:pPr>
    </w:p>
    <w:p w14:paraId="6235D555" w14:textId="2033CD14" w:rsidR="00EF7331" w:rsidRDefault="00EF7331" w:rsidP="00EF7331">
      <w:pPr>
        <w:pStyle w:val="Descripcin"/>
        <w:keepNext/>
      </w:pPr>
      <w:bookmarkStart w:id="664" w:name="_Toc202455444"/>
      <w:r>
        <w:t xml:space="preserve">Tabla </w:t>
      </w:r>
      <w:r>
        <w:fldChar w:fldCharType="begin"/>
      </w:r>
      <w:r>
        <w:instrText xml:space="preserve"> SEQ Tabla \* ARABIC </w:instrText>
      </w:r>
      <w:r>
        <w:fldChar w:fldCharType="separate"/>
      </w:r>
      <w:r w:rsidR="000E6D86">
        <w:rPr>
          <w:noProof/>
        </w:rPr>
        <w:t>18</w:t>
      </w:r>
      <w:r>
        <w:fldChar w:fldCharType="end"/>
      </w:r>
      <w:r>
        <w:t xml:space="preserve">: </w:t>
      </w:r>
      <w:r w:rsidRPr="00831B4B">
        <w:t>Red Vial por Departamento Año 2017</w:t>
      </w:r>
      <w:bookmarkEnd w:id="664"/>
    </w:p>
    <w:tbl>
      <w:tblPr>
        <w:tblpPr w:leftFromText="141" w:rightFromText="141" w:vertAnchor="text" w:horzAnchor="margin" w:tblpY="128"/>
        <w:tblOverlap w:val="never"/>
        <w:tblW w:w="9441" w:type="dxa"/>
        <w:tblCellMar>
          <w:left w:w="70" w:type="dxa"/>
          <w:right w:w="70" w:type="dxa"/>
        </w:tblCellMar>
        <w:tblLook w:val="04A0" w:firstRow="1" w:lastRow="0" w:firstColumn="1" w:lastColumn="0" w:noHBand="0" w:noVBand="1"/>
      </w:tblPr>
      <w:tblGrid>
        <w:gridCol w:w="553"/>
        <w:gridCol w:w="1678"/>
        <w:gridCol w:w="1154"/>
        <w:gridCol w:w="1100"/>
        <w:gridCol w:w="1227"/>
        <w:gridCol w:w="1451"/>
        <w:gridCol w:w="1154"/>
        <w:gridCol w:w="1124"/>
      </w:tblGrid>
      <w:tr w:rsidR="00CF0F96" w:rsidRPr="00CF0F96" w14:paraId="25DC0DE9" w14:textId="77777777" w:rsidTr="00016847">
        <w:trPr>
          <w:trHeight w:val="260"/>
        </w:trPr>
        <w:tc>
          <w:tcPr>
            <w:tcW w:w="553" w:type="dxa"/>
            <w:tcBorders>
              <w:top w:val="single" w:sz="4" w:space="0" w:color="auto"/>
              <w:left w:val="single" w:sz="4" w:space="0" w:color="auto"/>
              <w:bottom w:val="nil"/>
              <w:right w:val="single" w:sz="4" w:space="0" w:color="auto"/>
            </w:tcBorders>
            <w:shd w:val="clear" w:color="auto" w:fill="5CC5DA"/>
            <w:noWrap/>
            <w:vAlign w:val="center"/>
            <w:hideMark/>
          </w:tcPr>
          <w:p w14:paraId="1CFAFE94" w14:textId="77777777" w:rsidR="006A3DBC" w:rsidRPr="00CF0F96" w:rsidRDefault="006A3DBC" w:rsidP="005F4A92">
            <w:pPr>
              <w:spacing w:after="0" w:line="240" w:lineRule="auto"/>
              <w:jc w:val="center"/>
              <w:rPr>
                <w:rFonts w:eastAsia="Times New Roman" w:cs="Arial"/>
                <w:b/>
                <w:bCs/>
                <w:sz w:val="18"/>
                <w:szCs w:val="18"/>
                <w:lang w:val="es-HN" w:eastAsia="es-HN"/>
              </w:rPr>
            </w:pPr>
            <w:r w:rsidRPr="00CF0F96">
              <w:rPr>
                <w:rFonts w:eastAsia="Times New Roman" w:cs="Arial"/>
                <w:b/>
                <w:bCs/>
                <w:sz w:val="18"/>
                <w:szCs w:val="18"/>
                <w:lang w:val="es-HN" w:eastAsia="es-HN"/>
              </w:rPr>
              <w:t>No.</w:t>
            </w:r>
          </w:p>
        </w:tc>
        <w:tc>
          <w:tcPr>
            <w:tcW w:w="1678" w:type="dxa"/>
            <w:tcBorders>
              <w:top w:val="single" w:sz="4" w:space="0" w:color="auto"/>
              <w:left w:val="nil"/>
              <w:bottom w:val="nil"/>
              <w:right w:val="single" w:sz="4" w:space="0" w:color="auto"/>
            </w:tcBorders>
            <w:shd w:val="clear" w:color="auto" w:fill="5CC5DA"/>
            <w:noWrap/>
            <w:vAlign w:val="center"/>
            <w:hideMark/>
          </w:tcPr>
          <w:p w14:paraId="64052D3C" w14:textId="77777777" w:rsidR="006A3DBC" w:rsidRPr="00CF0F96" w:rsidRDefault="006A3DBC" w:rsidP="005F4A92">
            <w:pPr>
              <w:spacing w:after="0" w:line="240" w:lineRule="auto"/>
              <w:jc w:val="center"/>
              <w:rPr>
                <w:rFonts w:eastAsia="Times New Roman" w:cs="Arial"/>
                <w:b/>
                <w:bCs/>
                <w:sz w:val="18"/>
                <w:szCs w:val="18"/>
                <w:lang w:val="es-HN" w:eastAsia="es-HN"/>
              </w:rPr>
            </w:pPr>
            <w:r w:rsidRPr="00CF0F96">
              <w:rPr>
                <w:rFonts w:eastAsia="Times New Roman" w:cs="Arial"/>
                <w:b/>
                <w:bCs/>
                <w:sz w:val="18"/>
                <w:szCs w:val="18"/>
                <w:lang w:val="es-HN" w:eastAsia="es-HN"/>
              </w:rPr>
              <w:t>Departamento</w:t>
            </w:r>
          </w:p>
        </w:tc>
        <w:tc>
          <w:tcPr>
            <w:tcW w:w="1154" w:type="dxa"/>
            <w:tcBorders>
              <w:top w:val="single" w:sz="4" w:space="0" w:color="auto"/>
              <w:left w:val="nil"/>
              <w:bottom w:val="nil"/>
              <w:right w:val="single" w:sz="4" w:space="0" w:color="auto"/>
            </w:tcBorders>
            <w:shd w:val="clear" w:color="auto" w:fill="5CC5DA"/>
            <w:noWrap/>
            <w:vAlign w:val="center"/>
            <w:hideMark/>
          </w:tcPr>
          <w:p w14:paraId="35A53CDA" w14:textId="77777777" w:rsidR="006A3DBC" w:rsidRPr="00CF0F96" w:rsidRDefault="006A3DBC" w:rsidP="005F4A92">
            <w:pPr>
              <w:spacing w:after="0" w:line="240" w:lineRule="auto"/>
              <w:jc w:val="center"/>
              <w:rPr>
                <w:rFonts w:eastAsia="Times New Roman" w:cs="Arial"/>
                <w:b/>
                <w:bCs/>
                <w:sz w:val="18"/>
                <w:szCs w:val="18"/>
                <w:lang w:val="es-HN" w:eastAsia="es-HN"/>
              </w:rPr>
            </w:pPr>
            <w:proofErr w:type="gramStart"/>
            <w:r w:rsidRPr="00CF0F96">
              <w:rPr>
                <w:rFonts w:eastAsia="Times New Roman" w:cs="Arial"/>
                <w:b/>
                <w:bCs/>
                <w:sz w:val="18"/>
                <w:szCs w:val="18"/>
                <w:lang w:val="es-HN" w:eastAsia="es-HN"/>
              </w:rPr>
              <w:t>Total</w:t>
            </w:r>
            <w:proofErr w:type="gramEnd"/>
            <w:r w:rsidRPr="00CF0F96">
              <w:rPr>
                <w:rFonts w:eastAsia="Times New Roman" w:cs="Arial"/>
                <w:b/>
                <w:bCs/>
                <w:sz w:val="18"/>
                <w:szCs w:val="18"/>
                <w:lang w:val="es-HN" w:eastAsia="es-HN"/>
              </w:rPr>
              <w:t xml:space="preserve"> Km</w:t>
            </w:r>
          </w:p>
        </w:tc>
        <w:tc>
          <w:tcPr>
            <w:tcW w:w="1100" w:type="dxa"/>
            <w:vMerge w:val="restart"/>
            <w:tcBorders>
              <w:top w:val="single" w:sz="4" w:space="0" w:color="auto"/>
              <w:left w:val="nil"/>
              <w:right w:val="single" w:sz="4" w:space="0" w:color="auto"/>
            </w:tcBorders>
            <w:shd w:val="clear" w:color="auto" w:fill="5CC5DA"/>
            <w:noWrap/>
            <w:vAlign w:val="center"/>
            <w:hideMark/>
          </w:tcPr>
          <w:p w14:paraId="1F1C39CF" w14:textId="77777777" w:rsidR="006A3DBC" w:rsidRPr="00CF0F96" w:rsidRDefault="006A3DBC" w:rsidP="005F4A92">
            <w:pPr>
              <w:spacing w:after="0" w:line="240" w:lineRule="auto"/>
              <w:jc w:val="center"/>
              <w:rPr>
                <w:rFonts w:eastAsia="Times New Roman" w:cs="Arial"/>
                <w:b/>
                <w:bCs/>
                <w:sz w:val="18"/>
                <w:szCs w:val="18"/>
                <w:lang w:val="es-HN" w:eastAsia="es-HN"/>
              </w:rPr>
            </w:pPr>
            <w:r w:rsidRPr="00CF0F96">
              <w:rPr>
                <w:rFonts w:eastAsia="Times New Roman" w:cs="Arial"/>
                <w:b/>
                <w:bCs/>
                <w:sz w:val="18"/>
                <w:szCs w:val="18"/>
                <w:lang w:val="es-HN" w:eastAsia="es-HN"/>
              </w:rPr>
              <w:t>Concreto</w:t>
            </w:r>
          </w:p>
          <w:p w14:paraId="18E28009" w14:textId="77777777" w:rsidR="006A3DBC" w:rsidRPr="00CF0F96" w:rsidRDefault="006A3DBC" w:rsidP="005F4A92">
            <w:pPr>
              <w:spacing w:after="0" w:line="240" w:lineRule="auto"/>
              <w:jc w:val="center"/>
              <w:rPr>
                <w:rFonts w:eastAsia="Times New Roman" w:cs="Arial"/>
                <w:b/>
                <w:bCs/>
                <w:sz w:val="18"/>
                <w:szCs w:val="18"/>
                <w:lang w:val="es-HN" w:eastAsia="es-HN"/>
              </w:rPr>
            </w:pPr>
            <w:r w:rsidRPr="00CF0F96">
              <w:rPr>
                <w:rFonts w:eastAsia="Times New Roman" w:cs="Arial"/>
                <w:b/>
                <w:bCs/>
                <w:sz w:val="18"/>
                <w:szCs w:val="18"/>
                <w:lang w:val="es-HN" w:eastAsia="es-HN"/>
              </w:rPr>
              <w:t>Asfaltico</w:t>
            </w:r>
          </w:p>
        </w:tc>
        <w:tc>
          <w:tcPr>
            <w:tcW w:w="1227" w:type="dxa"/>
            <w:vMerge w:val="restart"/>
            <w:tcBorders>
              <w:top w:val="single" w:sz="4" w:space="0" w:color="auto"/>
              <w:left w:val="nil"/>
              <w:right w:val="single" w:sz="4" w:space="0" w:color="auto"/>
            </w:tcBorders>
            <w:shd w:val="clear" w:color="auto" w:fill="5CC5DA"/>
            <w:noWrap/>
            <w:vAlign w:val="center"/>
            <w:hideMark/>
          </w:tcPr>
          <w:p w14:paraId="445697D6" w14:textId="77777777" w:rsidR="006A3DBC" w:rsidRPr="00CF0F96" w:rsidRDefault="006A3DBC" w:rsidP="005F4A92">
            <w:pPr>
              <w:spacing w:after="0" w:line="240" w:lineRule="auto"/>
              <w:jc w:val="center"/>
              <w:rPr>
                <w:rFonts w:eastAsia="Times New Roman" w:cs="Arial"/>
                <w:b/>
                <w:bCs/>
                <w:sz w:val="18"/>
                <w:szCs w:val="18"/>
                <w:lang w:val="es-HN" w:eastAsia="es-HN"/>
              </w:rPr>
            </w:pPr>
            <w:r w:rsidRPr="00CF0F96">
              <w:rPr>
                <w:rFonts w:eastAsia="Times New Roman" w:cs="Arial"/>
                <w:b/>
                <w:bCs/>
                <w:sz w:val="18"/>
                <w:szCs w:val="18"/>
                <w:lang w:val="es-HN" w:eastAsia="es-HN"/>
              </w:rPr>
              <w:t>Concreto</w:t>
            </w:r>
          </w:p>
          <w:p w14:paraId="490BB9EB" w14:textId="77777777" w:rsidR="006A3DBC" w:rsidRPr="00CF0F96" w:rsidRDefault="006A3DBC" w:rsidP="005F4A92">
            <w:pPr>
              <w:spacing w:after="0" w:line="240" w:lineRule="auto"/>
              <w:jc w:val="center"/>
              <w:rPr>
                <w:rFonts w:eastAsia="Times New Roman" w:cs="Arial"/>
                <w:b/>
                <w:bCs/>
                <w:sz w:val="18"/>
                <w:szCs w:val="18"/>
                <w:lang w:val="es-HN" w:eastAsia="es-HN"/>
              </w:rPr>
            </w:pPr>
            <w:r w:rsidRPr="00CF0F96">
              <w:rPr>
                <w:rFonts w:eastAsia="Times New Roman" w:cs="Arial"/>
                <w:b/>
                <w:bCs/>
                <w:sz w:val="18"/>
                <w:szCs w:val="18"/>
                <w:lang w:val="es-HN" w:eastAsia="es-HN"/>
              </w:rPr>
              <w:t>Hidráulico</w:t>
            </w:r>
          </w:p>
        </w:tc>
        <w:tc>
          <w:tcPr>
            <w:tcW w:w="1451" w:type="dxa"/>
            <w:vMerge w:val="restart"/>
            <w:tcBorders>
              <w:top w:val="single" w:sz="4" w:space="0" w:color="auto"/>
              <w:left w:val="nil"/>
              <w:right w:val="single" w:sz="4" w:space="0" w:color="auto"/>
            </w:tcBorders>
            <w:shd w:val="clear" w:color="auto" w:fill="5CC5DA"/>
            <w:noWrap/>
            <w:vAlign w:val="center"/>
            <w:hideMark/>
          </w:tcPr>
          <w:p w14:paraId="61E849A8" w14:textId="77777777" w:rsidR="006A3DBC" w:rsidRPr="00CF0F96" w:rsidRDefault="006A3DBC" w:rsidP="005F4A92">
            <w:pPr>
              <w:spacing w:after="0" w:line="240" w:lineRule="auto"/>
              <w:jc w:val="center"/>
              <w:rPr>
                <w:rFonts w:eastAsia="Times New Roman" w:cs="Arial"/>
                <w:b/>
                <w:bCs/>
                <w:sz w:val="18"/>
                <w:szCs w:val="18"/>
                <w:lang w:val="es-HN" w:eastAsia="es-HN"/>
              </w:rPr>
            </w:pPr>
            <w:r w:rsidRPr="00CF0F96">
              <w:rPr>
                <w:rFonts w:eastAsia="Times New Roman" w:cs="Arial"/>
                <w:b/>
                <w:bCs/>
                <w:sz w:val="18"/>
                <w:szCs w:val="18"/>
                <w:lang w:val="es-HN" w:eastAsia="es-HN"/>
              </w:rPr>
              <w:t>Doble</w:t>
            </w:r>
          </w:p>
          <w:p w14:paraId="275E9158" w14:textId="77777777" w:rsidR="006A3DBC" w:rsidRPr="00CF0F96" w:rsidRDefault="006A3DBC" w:rsidP="005F4A92">
            <w:pPr>
              <w:spacing w:after="0" w:line="240" w:lineRule="auto"/>
              <w:jc w:val="center"/>
              <w:rPr>
                <w:rFonts w:eastAsia="Times New Roman" w:cs="Arial"/>
                <w:b/>
                <w:bCs/>
                <w:sz w:val="18"/>
                <w:szCs w:val="18"/>
                <w:lang w:val="es-HN" w:eastAsia="es-HN"/>
              </w:rPr>
            </w:pPr>
            <w:r w:rsidRPr="00CF0F96">
              <w:rPr>
                <w:rFonts w:eastAsia="Times New Roman" w:cs="Arial"/>
                <w:b/>
                <w:bCs/>
                <w:sz w:val="18"/>
                <w:szCs w:val="18"/>
                <w:lang w:val="es-HN" w:eastAsia="es-HN"/>
              </w:rPr>
              <w:t>Tratamiento</w:t>
            </w:r>
          </w:p>
        </w:tc>
        <w:tc>
          <w:tcPr>
            <w:tcW w:w="1154" w:type="dxa"/>
            <w:tcBorders>
              <w:top w:val="single" w:sz="4" w:space="0" w:color="auto"/>
              <w:left w:val="nil"/>
              <w:bottom w:val="nil"/>
              <w:right w:val="single" w:sz="4" w:space="0" w:color="auto"/>
            </w:tcBorders>
            <w:shd w:val="clear" w:color="auto" w:fill="5CC5DA"/>
            <w:noWrap/>
            <w:vAlign w:val="center"/>
            <w:hideMark/>
          </w:tcPr>
          <w:p w14:paraId="71FA923D" w14:textId="77777777" w:rsidR="006A3DBC" w:rsidRPr="00CF0F96" w:rsidRDefault="006A3DBC" w:rsidP="005F4A92">
            <w:pPr>
              <w:spacing w:after="0" w:line="240" w:lineRule="auto"/>
              <w:jc w:val="center"/>
              <w:rPr>
                <w:rFonts w:eastAsia="Times New Roman" w:cs="Arial"/>
                <w:b/>
                <w:bCs/>
                <w:sz w:val="18"/>
                <w:szCs w:val="18"/>
                <w:lang w:val="es-HN" w:eastAsia="es-HN"/>
              </w:rPr>
            </w:pPr>
            <w:r w:rsidRPr="00CF0F96">
              <w:rPr>
                <w:rFonts w:eastAsia="Times New Roman" w:cs="Arial"/>
                <w:b/>
                <w:bCs/>
                <w:sz w:val="18"/>
                <w:szCs w:val="18"/>
                <w:lang w:val="es-HN" w:eastAsia="es-HN"/>
              </w:rPr>
              <w:t>Selecto</w:t>
            </w:r>
          </w:p>
        </w:tc>
        <w:tc>
          <w:tcPr>
            <w:tcW w:w="1124" w:type="dxa"/>
            <w:tcBorders>
              <w:top w:val="single" w:sz="4" w:space="0" w:color="auto"/>
              <w:left w:val="nil"/>
              <w:bottom w:val="nil"/>
              <w:right w:val="single" w:sz="4" w:space="0" w:color="auto"/>
            </w:tcBorders>
            <w:shd w:val="clear" w:color="auto" w:fill="5CC5DA"/>
            <w:noWrap/>
            <w:vAlign w:val="center"/>
            <w:hideMark/>
          </w:tcPr>
          <w:p w14:paraId="34C933FC" w14:textId="77777777" w:rsidR="006A3DBC" w:rsidRPr="00CF0F96" w:rsidRDefault="006A3DBC" w:rsidP="005F4A92">
            <w:pPr>
              <w:spacing w:after="0" w:line="240" w:lineRule="auto"/>
              <w:jc w:val="center"/>
              <w:rPr>
                <w:rFonts w:eastAsia="Times New Roman" w:cs="Arial"/>
                <w:b/>
                <w:bCs/>
                <w:sz w:val="18"/>
                <w:szCs w:val="18"/>
                <w:lang w:val="es-HN" w:eastAsia="es-HN"/>
              </w:rPr>
            </w:pPr>
            <w:r w:rsidRPr="00CF0F96">
              <w:rPr>
                <w:rFonts w:eastAsia="Times New Roman" w:cs="Arial"/>
                <w:b/>
                <w:bCs/>
                <w:sz w:val="18"/>
                <w:szCs w:val="18"/>
                <w:lang w:val="es-HN" w:eastAsia="es-HN"/>
              </w:rPr>
              <w:t>Tierra</w:t>
            </w:r>
          </w:p>
        </w:tc>
      </w:tr>
      <w:tr w:rsidR="00CF0F96" w:rsidRPr="00CF0F96" w14:paraId="40244278" w14:textId="77777777" w:rsidTr="00016847">
        <w:trPr>
          <w:trHeight w:val="260"/>
        </w:trPr>
        <w:tc>
          <w:tcPr>
            <w:tcW w:w="553" w:type="dxa"/>
            <w:tcBorders>
              <w:top w:val="nil"/>
              <w:left w:val="single" w:sz="4" w:space="0" w:color="auto"/>
              <w:bottom w:val="single" w:sz="4" w:space="0" w:color="auto"/>
              <w:right w:val="single" w:sz="4" w:space="0" w:color="auto"/>
            </w:tcBorders>
            <w:shd w:val="clear" w:color="auto" w:fill="5CC5DA"/>
            <w:noWrap/>
            <w:vAlign w:val="bottom"/>
            <w:hideMark/>
          </w:tcPr>
          <w:p w14:paraId="060E6270" w14:textId="77777777" w:rsidR="006A3DBC" w:rsidRPr="00CF0F96" w:rsidRDefault="006A3DBC" w:rsidP="005F4A92">
            <w:pPr>
              <w:spacing w:after="0" w:line="240" w:lineRule="auto"/>
              <w:jc w:val="center"/>
              <w:rPr>
                <w:rFonts w:eastAsia="Times New Roman" w:cs="Arial"/>
                <w:sz w:val="18"/>
                <w:szCs w:val="18"/>
                <w:lang w:val="es-HN" w:eastAsia="es-HN"/>
              </w:rPr>
            </w:pPr>
          </w:p>
        </w:tc>
        <w:tc>
          <w:tcPr>
            <w:tcW w:w="1678" w:type="dxa"/>
            <w:tcBorders>
              <w:top w:val="nil"/>
              <w:left w:val="nil"/>
              <w:bottom w:val="single" w:sz="4" w:space="0" w:color="auto"/>
              <w:right w:val="single" w:sz="4" w:space="0" w:color="auto"/>
            </w:tcBorders>
            <w:shd w:val="clear" w:color="auto" w:fill="5CC5DA"/>
            <w:noWrap/>
            <w:vAlign w:val="bottom"/>
            <w:hideMark/>
          </w:tcPr>
          <w:p w14:paraId="70E31E67" w14:textId="77777777" w:rsidR="006A3DBC" w:rsidRPr="00CF0F96" w:rsidRDefault="006A3DBC" w:rsidP="005F4A92">
            <w:pPr>
              <w:spacing w:after="0" w:line="240" w:lineRule="auto"/>
              <w:jc w:val="center"/>
              <w:rPr>
                <w:rFonts w:eastAsia="Times New Roman" w:cs="Arial"/>
                <w:b/>
                <w:bCs/>
                <w:sz w:val="18"/>
                <w:szCs w:val="18"/>
                <w:lang w:val="es-HN" w:eastAsia="es-HN"/>
              </w:rPr>
            </w:pPr>
          </w:p>
        </w:tc>
        <w:tc>
          <w:tcPr>
            <w:tcW w:w="1154" w:type="dxa"/>
            <w:tcBorders>
              <w:top w:val="nil"/>
              <w:left w:val="nil"/>
              <w:bottom w:val="single" w:sz="4" w:space="0" w:color="auto"/>
              <w:right w:val="single" w:sz="4" w:space="0" w:color="auto"/>
            </w:tcBorders>
            <w:shd w:val="clear" w:color="auto" w:fill="5CC5DA"/>
            <w:noWrap/>
            <w:vAlign w:val="bottom"/>
            <w:hideMark/>
          </w:tcPr>
          <w:p w14:paraId="54124CB4" w14:textId="77777777" w:rsidR="006A3DBC" w:rsidRPr="00CF0F96" w:rsidRDefault="006A3DBC" w:rsidP="005F4A92">
            <w:pPr>
              <w:spacing w:after="0" w:line="240" w:lineRule="auto"/>
              <w:jc w:val="center"/>
              <w:rPr>
                <w:rFonts w:eastAsia="Times New Roman" w:cs="Arial"/>
                <w:b/>
                <w:bCs/>
                <w:sz w:val="18"/>
                <w:szCs w:val="18"/>
                <w:lang w:val="es-HN" w:eastAsia="es-HN"/>
              </w:rPr>
            </w:pPr>
          </w:p>
        </w:tc>
        <w:tc>
          <w:tcPr>
            <w:tcW w:w="1100" w:type="dxa"/>
            <w:vMerge/>
            <w:tcBorders>
              <w:left w:val="nil"/>
              <w:bottom w:val="single" w:sz="4" w:space="0" w:color="auto"/>
              <w:right w:val="single" w:sz="4" w:space="0" w:color="auto"/>
            </w:tcBorders>
            <w:shd w:val="clear" w:color="auto" w:fill="5CC5DA"/>
            <w:noWrap/>
            <w:vAlign w:val="bottom"/>
            <w:hideMark/>
          </w:tcPr>
          <w:p w14:paraId="5D1575D2" w14:textId="77777777" w:rsidR="006A3DBC" w:rsidRPr="00CF0F96" w:rsidRDefault="006A3DBC" w:rsidP="005F4A92">
            <w:pPr>
              <w:spacing w:after="0" w:line="240" w:lineRule="auto"/>
              <w:jc w:val="center"/>
              <w:rPr>
                <w:rFonts w:eastAsia="Times New Roman" w:cs="Arial"/>
                <w:b/>
                <w:bCs/>
                <w:sz w:val="18"/>
                <w:szCs w:val="18"/>
                <w:lang w:val="es-HN" w:eastAsia="es-HN"/>
              </w:rPr>
            </w:pPr>
          </w:p>
        </w:tc>
        <w:tc>
          <w:tcPr>
            <w:tcW w:w="1227" w:type="dxa"/>
            <w:vMerge/>
            <w:tcBorders>
              <w:left w:val="nil"/>
              <w:bottom w:val="single" w:sz="4" w:space="0" w:color="auto"/>
              <w:right w:val="single" w:sz="4" w:space="0" w:color="auto"/>
            </w:tcBorders>
            <w:shd w:val="clear" w:color="auto" w:fill="5CC5DA"/>
            <w:noWrap/>
            <w:vAlign w:val="bottom"/>
            <w:hideMark/>
          </w:tcPr>
          <w:p w14:paraId="1B55F0BA" w14:textId="77777777" w:rsidR="006A3DBC" w:rsidRPr="00CF0F96" w:rsidRDefault="006A3DBC" w:rsidP="005F4A92">
            <w:pPr>
              <w:spacing w:after="0" w:line="240" w:lineRule="auto"/>
              <w:jc w:val="center"/>
              <w:rPr>
                <w:rFonts w:eastAsia="Times New Roman" w:cs="Arial"/>
                <w:b/>
                <w:bCs/>
                <w:sz w:val="18"/>
                <w:szCs w:val="18"/>
                <w:lang w:val="es-HN" w:eastAsia="es-HN"/>
              </w:rPr>
            </w:pPr>
          </w:p>
        </w:tc>
        <w:tc>
          <w:tcPr>
            <w:tcW w:w="1451" w:type="dxa"/>
            <w:vMerge/>
            <w:tcBorders>
              <w:left w:val="nil"/>
              <w:bottom w:val="single" w:sz="4" w:space="0" w:color="auto"/>
              <w:right w:val="single" w:sz="4" w:space="0" w:color="auto"/>
            </w:tcBorders>
            <w:shd w:val="clear" w:color="auto" w:fill="5CC5DA"/>
            <w:noWrap/>
            <w:vAlign w:val="bottom"/>
            <w:hideMark/>
          </w:tcPr>
          <w:p w14:paraId="4B00D793" w14:textId="77777777" w:rsidR="006A3DBC" w:rsidRPr="00CF0F96" w:rsidRDefault="006A3DBC" w:rsidP="005F4A92">
            <w:pPr>
              <w:spacing w:after="0" w:line="240" w:lineRule="auto"/>
              <w:jc w:val="center"/>
              <w:rPr>
                <w:rFonts w:eastAsia="Times New Roman" w:cs="Arial"/>
                <w:b/>
                <w:bCs/>
                <w:sz w:val="18"/>
                <w:szCs w:val="18"/>
                <w:lang w:val="es-HN" w:eastAsia="es-HN"/>
              </w:rPr>
            </w:pPr>
          </w:p>
        </w:tc>
        <w:tc>
          <w:tcPr>
            <w:tcW w:w="1154" w:type="dxa"/>
            <w:tcBorders>
              <w:top w:val="nil"/>
              <w:left w:val="nil"/>
              <w:bottom w:val="single" w:sz="4" w:space="0" w:color="auto"/>
              <w:right w:val="single" w:sz="4" w:space="0" w:color="auto"/>
            </w:tcBorders>
            <w:shd w:val="clear" w:color="auto" w:fill="5CC5DA"/>
            <w:noWrap/>
            <w:vAlign w:val="bottom"/>
            <w:hideMark/>
          </w:tcPr>
          <w:p w14:paraId="7A5B1198" w14:textId="77777777" w:rsidR="006A3DBC" w:rsidRPr="00CF0F96" w:rsidRDefault="006A3DBC" w:rsidP="005F4A92">
            <w:pPr>
              <w:spacing w:after="0" w:line="240" w:lineRule="auto"/>
              <w:jc w:val="center"/>
              <w:rPr>
                <w:rFonts w:eastAsia="Times New Roman" w:cs="Arial"/>
                <w:b/>
                <w:bCs/>
                <w:sz w:val="18"/>
                <w:szCs w:val="18"/>
                <w:lang w:val="es-HN" w:eastAsia="es-HN"/>
              </w:rPr>
            </w:pPr>
          </w:p>
        </w:tc>
        <w:tc>
          <w:tcPr>
            <w:tcW w:w="1124" w:type="dxa"/>
            <w:tcBorders>
              <w:top w:val="nil"/>
              <w:left w:val="nil"/>
              <w:bottom w:val="single" w:sz="4" w:space="0" w:color="auto"/>
              <w:right w:val="single" w:sz="4" w:space="0" w:color="auto"/>
            </w:tcBorders>
            <w:shd w:val="clear" w:color="auto" w:fill="5CC5DA"/>
            <w:noWrap/>
            <w:vAlign w:val="bottom"/>
            <w:hideMark/>
          </w:tcPr>
          <w:p w14:paraId="12BEE357" w14:textId="77777777" w:rsidR="006A3DBC" w:rsidRPr="00CF0F96" w:rsidRDefault="006A3DBC" w:rsidP="005F4A92">
            <w:pPr>
              <w:spacing w:after="0" w:line="240" w:lineRule="auto"/>
              <w:jc w:val="center"/>
              <w:rPr>
                <w:rFonts w:eastAsia="Times New Roman" w:cs="Arial"/>
                <w:b/>
                <w:bCs/>
                <w:sz w:val="18"/>
                <w:szCs w:val="18"/>
                <w:lang w:val="es-HN" w:eastAsia="es-HN"/>
              </w:rPr>
            </w:pPr>
          </w:p>
        </w:tc>
      </w:tr>
      <w:tr w:rsidR="00CF0F96" w:rsidRPr="00CF0F96" w14:paraId="5D389648" w14:textId="77777777" w:rsidTr="005F4A92">
        <w:trPr>
          <w:trHeight w:val="260"/>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14:paraId="4A16C278" w14:textId="77777777" w:rsidR="006A3DBC" w:rsidRPr="00CF0F96" w:rsidRDefault="006A3DBC" w:rsidP="005F4A92">
            <w:pPr>
              <w:spacing w:after="0" w:line="240" w:lineRule="auto"/>
              <w:jc w:val="center"/>
              <w:rPr>
                <w:rFonts w:eastAsia="Times New Roman" w:cs="Arial"/>
                <w:sz w:val="18"/>
                <w:szCs w:val="18"/>
                <w:lang w:val="es-HN" w:eastAsia="es-HN"/>
              </w:rPr>
            </w:pPr>
            <w:r w:rsidRPr="00CF0F96">
              <w:rPr>
                <w:rFonts w:eastAsia="Times New Roman" w:cs="Arial"/>
                <w:sz w:val="18"/>
                <w:szCs w:val="18"/>
                <w:lang w:val="es-HN" w:eastAsia="es-HN"/>
              </w:rPr>
              <w:t>1</w:t>
            </w:r>
          </w:p>
        </w:tc>
        <w:tc>
          <w:tcPr>
            <w:tcW w:w="1678" w:type="dxa"/>
            <w:tcBorders>
              <w:top w:val="nil"/>
              <w:left w:val="nil"/>
              <w:bottom w:val="single" w:sz="4" w:space="0" w:color="auto"/>
              <w:right w:val="single" w:sz="4" w:space="0" w:color="auto"/>
            </w:tcBorders>
            <w:shd w:val="clear" w:color="auto" w:fill="auto"/>
            <w:noWrap/>
            <w:vAlign w:val="bottom"/>
            <w:hideMark/>
          </w:tcPr>
          <w:p w14:paraId="662F5D5E" w14:textId="77777777" w:rsidR="006A3DBC" w:rsidRPr="00CF0F96" w:rsidRDefault="006A3DBC" w:rsidP="005F4A92">
            <w:pPr>
              <w:spacing w:after="0" w:line="240" w:lineRule="auto"/>
              <w:rPr>
                <w:rFonts w:eastAsia="Times New Roman" w:cs="Arial"/>
                <w:sz w:val="18"/>
                <w:szCs w:val="18"/>
                <w:lang w:val="es-HN" w:eastAsia="es-HN"/>
              </w:rPr>
            </w:pPr>
            <w:r w:rsidRPr="00CF0F96">
              <w:rPr>
                <w:rFonts w:eastAsia="Times New Roman" w:cs="Arial"/>
                <w:sz w:val="18"/>
                <w:szCs w:val="18"/>
                <w:lang w:val="es-HN" w:eastAsia="es-HN"/>
              </w:rPr>
              <w:t>Atlántida</w:t>
            </w:r>
          </w:p>
        </w:tc>
        <w:tc>
          <w:tcPr>
            <w:tcW w:w="1154" w:type="dxa"/>
            <w:tcBorders>
              <w:top w:val="nil"/>
              <w:left w:val="nil"/>
              <w:bottom w:val="single" w:sz="4" w:space="0" w:color="auto"/>
              <w:right w:val="single" w:sz="4" w:space="0" w:color="auto"/>
            </w:tcBorders>
            <w:shd w:val="clear" w:color="auto" w:fill="auto"/>
            <w:noWrap/>
            <w:vAlign w:val="bottom"/>
            <w:hideMark/>
          </w:tcPr>
          <w:p w14:paraId="421DCEF1"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692.16</w:t>
            </w:r>
          </w:p>
        </w:tc>
        <w:tc>
          <w:tcPr>
            <w:tcW w:w="1100" w:type="dxa"/>
            <w:tcBorders>
              <w:top w:val="nil"/>
              <w:left w:val="nil"/>
              <w:bottom w:val="single" w:sz="4" w:space="0" w:color="auto"/>
              <w:right w:val="single" w:sz="4" w:space="0" w:color="auto"/>
            </w:tcBorders>
            <w:shd w:val="clear" w:color="auto" w:fill="auto"/>
            <w:noWrap/>
            <w:vAlign w:val="bottom"/>
            <w:hideMark/>
          </w:tcPr>
          <w:p w14:paraId="0C98CDB1"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203.86</w:t>
            </w:r>
          </w:p>
        </w:tc>
        <w:tc>
          <w:tcPr>
            <w:tcW w:w="1227" w:type="dxa"/>
            <w:tcBorders>
              <w:top w:val="nil"/>
              <w:left w:val="nil"/>
              <w:bottom w:val="single" w:sz="4" w:space="0" w:color="auto"/>
              <w:right w:val="single" w:sz="4" w:space="0" w:color="auto"/>
            </w:tcBorders>
            <w:shd w:val="clear" w:color="auto" w:fill="auto"/>
            <w:noWrap/>
            <w:vAlign w:val="bottom"/>
            <w:hideMark/>
          </w:tcPr>
          <w:p w14:paraId="5D17C67B"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11.59</w:t>
            </w:r>
          </w:p>
        </w:tc>
        <w:tc>
          <w:tcPr>
            <w:tcW w:w="1451" w:type="dxa"/>
            <w:tcBorders>
              <w:top w:val="nil"/>
              <w:left w:val="nil"/>
              <w:bottom w:val="single" w:sz="4" w:space="0" w:color="auto"/>
              <w:right w:val="single" w:sz="4" w:space="0" w:color="auto"/>
            </w:tcBorders>
            <w:shd w:val="clear" w:color="auto" w:fill="auto"/>
            <w:noWrap/>
            <w:vAlign w:val="bottom"/>
            <w:hideMark/>
          </w:tcPr>
          <w:p w14:paraId="74264BF3"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34.03</w:t>
            </w:r>
          </w:p>
        </w:tc>
        <w:tc>
          <w:tcPr>
            <w:tcW w:w="1154" w:type="dxa"/>
            <w:tcBorders>
              <w:top w:val="nil"/>
              <w:left w:val="nil"/>
              <w:bottom w:val="single" w:sz="4" w:space="0" w:color="auto"/>
              <w:right w:val="single" w:sz="4" w:space="0" w:color="auto"/>
            </w:tcBorders>
            <w:shd w:val="clear" w:color="auto" w:fill="auto"/>
            <w:noWrap/>
            <w:vAlign w:val="bottom"/>
            <w:hideMark/>
          </w:tcPr>
          <w:p w14:paraId="7C3C9F5C"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400.48</w:t>
            </w:r>
          </w:p>
        </w:tc>
        <w:tc>
          <w:tcPr>
            <w:tcW w:w="1124" w:type="dxa"/>
            <w:tcBorders>
              <w:top w:val="nil"/>
              <w:left w:val="nil"/>
              <w:bottom w:val="single" w:sz="4" w:space="0" w:color="auto"/>
              <w:right w:val="single" w:sz="4" w:space="0" w:color="auto"/>
            </w:tcBorders>
            <w:shd w:val="clear" w:color="auto" w:fill="auto"/>
            <w:noWrap/>
            <w:vAlign w:val="bottom"/>
            <w:hideMark/>
          </w:tcPr>
          <w:p w14:paraId="3CBA96D1"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42.2</w:t>
            </w:r>
          </w:p>
        </w:tc>
      </w:tr>
      <w:tr w:rsidR="00CF0F96" w:rsidRPr="00CF0F96" w14:paraId="2EC5EDC6" w14:textId="77777777" w:rsidTr="005F4A92">
        <w:trPr>
          <w:trHeight w:val="260"/>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14:paraId="5EEA3780" w14:textId="77777777" w:rsidR="006A3DBC" w:rsidRPr="00CF0F96" w:rsidRDefault="006A3DBC" w:rsidP="005F4A92">
            <w:pPr>
              <w:spacing w:after="0" w:line="240" w:lineRule="auto"/>
              <w:jc w:val="center"/>
              <w:rPr>
                <w:rFonts w:eastAsia="Times New Roman" w:cs="Arial"/>
                <w:sz w:val="18"/>
                <w:szCs w:val="18"/>
                <w:lang w:val="es-HN" w:eastAsia="es-HN"/>
              </w:rPr>
            </w:pPr>
            <w:r w:rsidRPr="00CF0F96">
              <w:rPr>
                <w:rFonts w:eastAsia="Times New Roman" w:cs="Arial"/>
                <w:sz w:val="18"/>
                <w:szCs w:val="18"/>
                <w:lang w:val="es-HN" w:eastAsia="es-HN"/>
              </w:rPr>
              <w:t>2</w:t>
            </w:r>
          </w:p>
        </w:tc>
        <w:tc>
          <w:tcPr>
            <w:tcW w:w="1678" w:type="dxa"/>
            <w:tcBorders>
              <w:top w:val="nil"/>
              <w:left w:val="nil"/>
              <w:bottom w:val="single" w:sz="4" w:space="0" w:color="auto"/>
              <w:right w:val="single" w:sz="4" w:space="0" w:color="auto"/>
            </w:tcBorders>
            <w:shd w:val="clear" w:color="auto" w:fill="auto"/>
            <w:noWrap/>
            <w:vAlign w:val="bottom"/>
            <w:hideMark/>
          </w:tcPr>
          <w:p w14:paraId="5A600031" w14:textId="77777777" w:rsidR="006A3DBC" w:rsidRPr="00CF0F96" w:rsidRDefault="006A3DBC" w:rsidP="005F4A92">
            <w:pPr>
              <w:spacing w:after="0" w:line="240" w:lineRule="auto"/>
              <w:rPr>
                <w:rFonts w:eastAsia="Times New Roman" w:cs="Arial"/>
                <w:sz w:val="18"/>
                <w:szCs w:val="18"/>
                <w:lang w:val="es-HN" w:eastAsia="es-HN"/>
              </w:rPr>
            </w:pPr>
            <w:r w:rsidRPr="00CF0F96">
              <w:rPr>
                <w:rFonts w:eastAsia="Times New Roman" w:cs="Arial"/>
                <w:sz w:val="18"/>
                <w:szCs w:val="18"/>
                <w:lang w:val="es-HN" w:eastAsia="es-HN"/>
              </w:rPr>
              <w:t>Colón</w:t>
            </w:r>
          </w:p>
        </w:tc>
        <w:tc>
          <w:tcPr>
            <w:tcW w:w="1154" w:type="dxa"/>
            <w:tcBorders>
              <w:top w:val="nil"/>
              <w:left w:val="nil"/>
              <w:bottom w:val="single" w:sz="4" w:space="0" w:color="auto"/>
              <w:right w:val="single" w:sz="4" w:space="0" w:color="auto"/>
            </w:tcBorders>
            <w:shd w:val="clear" w:color="auto" w:fill="auto"/>
            <w:noWrap/>
            <w:vAlign w:val="bottom"/>
            <w:hideMark/>
          </w:tcPr>
          <w:p w14:paraId="2FF437B6"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775.47</w:t>
            </w:r>
          </w:p>
        </w:tc>
        <w:tc>
          <w:tcPr>
            <w:tcW w:w="1100" w:type="dxa"/>
            <w:tcBorders>
              <w:top w:val="nil"/>
              <w:left w:val="nil"/>
              <w:bottom w:val="single" w:sz="4" w:space="0" w:color="auto"/>
              <w:right w:val="single" w:sz="4" w:space="0" w:color="auto"/>
            </w:tcBorders>
            <w:shd w:val="clear" w:color="auto" w:fill="auto"/>
            <w:noWrap/>
            <w:vAlign w:val="bottom"/>
            <w:hideMark/>
          </w:tcPr>
          <w:p w14:paraId="470A07C6"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129.98</w:t>
            </w:r>
          </w:p>
        </w:tc>
        <w:tc>
          <w:tcPr>
            <w:tcW w:w="1227" w:type="dxa"/>
            <w:tcBorders>
              <w:top w:val="nil"/>
              <w:left w:val="nil"/>
              <w:bottom w:val="single" w:sz="4" w:space="0" w:color="auto"/>
              <w:right w:val="single" w:sz="4" w:space="0" w:color="auto"/>
            </w:tcBorders>
            <w:shd w:val="clear" w:color="auto" w:fill="auto"/>
            <w:noWrap/>
            <w:vAlign w:val="bottom"/>
            <w:hideMark/>
          </w:tcPr>
          <w:p w14:paraId="66D91BC8"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0</w:t>
            </w:r>
          </w:p>
        </w:tc>
        <w:tc>
          <w:tcPr>
            <w:tcW w:w="1451" w:type="dxa"/>
            <w:tcBorders>
              <w:top w:val="nil"/>
              <w:left w:val="nil"/>
              <w:bottom w:val="single" w:sz="4" w:space="0" w:color="auto"/>
              <w:right w:val="single" w:sz="4" w:space="0" w:color="auto"/>
            </w:tcBorders>
            <w:shd w:val="clear" w:color="auto" w:fill="auto"/>
            <w:noWrap/>
            <w:vAlign w:val="bottom"/>
            <w:hideMark/>
          </w:tcPr>
          <w:p w14:paraId="320BB43B"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57.1</w:t>
            </w:r>
          </w:p>
        </w:tc>
        <w:tc>
          <w:tcPr>
            <w:tcW w:w="1154" w:type="dxa"/>
            <w:tcBorders>
              <w:top w:val="nil"/>
              <w:left w:val="nil"/>
              <w:bottom w:val="single" w:sz="4" w:space="0" w:color="auto"/>
              <w:right w:val="single" w:sz="4" w:space="0" w:color="auto"/>
            </w:tcBorders>
            <w:shd w:val="clear" w:color="auto" w:fill="auto"/>
            <w:noWrap/>
            <w:vAlign w:val="bottom"/>
            <w:hideMark/>
          </w:tcPr>
          <w:p w14:paraId="060DF67B"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429.48</w:t>
            </w:r>
          </w:p>
        </w:tc>
        <w:tc>
          <w:tcPr>
            <w:tcW w:w="1124" w:type="dxa"/>
            <w:tcBorders>
              <w:top w:val="nil"/>
              <w:left w:val="nil"/>
              <w:bottom w:val="single" w:sz="4" w:space="0" w:color="auto"/>
              <w:right w:val="single" w:sz="4" w:space="0" w:color="auto"/>
            </w:tcBorders>
            <w:shd w:val="clear" w:color="auto" w:fill="auto"/>
            <w:noWrap/>
            <w:vAlign w:val="bottom"/>
            <w:hideMark/>
          </w:tcPr>
          <w:p w14:paraId="60B58541"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158.91</w:t>
            </w:r>
          </w:p>
        </w:tc>
      </w:tr>
      <w:tr w:rsidR="00CF0F96" w:rsidRPr="00CF0F96" w14:paraId="6FB64E61" w14:textId="77777777" w:rsidTr="005F4A92">
        <w:trPr>
          <w:trHeight w:val="260"/>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14:paraId="7A3F92A1" w14:textId="77777777" w:rsidR="006A3DBC" w:rsidRPr="00CF0F96" w:rsidRDefault="006A3DBC" w:rsidP="005F4A92">
            <w:pPr>
              <w:spacing w:after="0" w:line="240" w:lineRule="auto"/>
              <w:jc w:val="center"/>
              <w:rPr>
                <w:rFonts w:eastAsia="Times New Roman" w:cs="Arial"/>
                <w:sz w:val="18"/>
                <w:szCs w:val="18"/>
                <w:lang w:val="es-HN" w:eastAsia="es-HN"/>
              </w:rPr>
            </w:pPr>
            <w:r w:rsidRPr="00CF0F96">
              <w:rPr>
                <w:rFonts w:eastAsia="Times New Roman" w:cs="Arial"/>
                <w:sz w:val="18"/>
                <w:szCs w:val="18"/>
                <w:lang w:val="es-HN" w:eastAsia="es-HN"/>
              </w:rPr>
              <w:t>3</w:t>
            </w:r>
          </w:p>
        </w:tc>
        <w:tc>
          <w:tcPr>
            <w:tcW w:w="1678" w:type="dxa"/>
            <w:tcBorders>
              <w:top w:val="nil"/>
              <w:left w:val="nil"/>
              <w:bottom w:val="single" w:sz="4" w:space="0" w:color="auto"/>
              <w:right w:val="single" w:sz="4" w:space="0" w:color="auto"/>
            </w:tcBorders>
            <w:shd w:val="clear" w:color="auto" w:fill="auto"/>
            <w:noWrap/>
            <w:vAlign w:val="bottom"/>
            <w:hideMark/>
          </w:tcPr>
          <w:p w14:paraId="73E91230" w14:textId="77777777" w:rsidR="006A3DBC" w:rsidRPr="00CF0F96" w:rsidRDefault="006A3DBC" w:rsidP="005F4A92">
            <w:pPr>
              <w:spacing w:after="0" w:line="240" w:lineRule="auto"/>
              <w:rPr>
                <w:rFonts w:eastAsia="Times New Roman" w:cs="Arial"/>
                <w:sz w:val="18"/>
                <w:szCs w:val="18"/>
                <w:lang w:val="es-HN" w:eastAsia="es-HN"/>
              </w:rPr>
            </w:pPr>
            <w:r w:rsidRPr="00CF0F96">
              <w:rPr>
                <w:rFonts w:eastAsia="Times New Roman" w:cs="Arial"/>
                <w:sz w:val="18"/>
                <w:szCs w:val="18"/>
                <w:lang w:val="es-HN" w:eastAsia="es-HN"/>
              </w:rPr>
              <w:t>Comayagua</w:t>
            </w:r>
          </w:p>
        </w:tc>
        <w:tc>
          <w:tcPr>
            <w:tcW w:w="1154" w:type="dxa"/>
            <w:tcBorders>
              <w:top w:val="nil"/>
              <w:left w:val="nil"/>
              <w:bottom w:val="single" w:sz="4" w:space="0" w:color="auto"/>
              <w:right w:val="single" w:sz="4" w:space="0" w:color="auto"/>
            </w:tcBorders>
            <w:shd w:val="clear" w:color="auto" w:fill="auto"/>
            <w:noWrap/>
            <w:vAlign w:val="bottom"/>
            <w:hideMark/>
          </w:tcPr>
          <w:p w14:paraId="4F6BA443"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875.66</w:t>
            </w:r>
          </w:p>
        </w:tc>
        <w:tc>
          <w:tcPr>
            <w:tcW w:w="1100" w:type="dxa"/>
            <w:tcBorders>
              <w:top w:val="nil"/>
              <w:left w:val="nil"/>
              <w:bottom w:val="single" w:sz="4" w:space="0" w:color="auto"/>
              <w:right w:val="single" w:sz="4" w:space="0" w:color="auto"/>
            </w:tcBorders>
            <w:shd w:val="clear" w:color="auto" w:fill="auto"/>
            <w:noWrap/>
            <w:vAlign w:val="bottom"/>
            <w:hideMark/>
          </w:tcPr>
          <w:p w14:paraId="6F897CAC"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117.68</w:t>
            </w:r>
          </w:p>
        </w:tc>
        <w:tc>
          <w:tcPr>
            <w:tcW w:w="1227" w:type="dxa"/>
            <w:tcBorders>
              <w:top w:val="nil"/>
              <w:left w:val="nil"/>
              <w:bottom w:val="single" w:sz="4" w:space="0" w:color="auto"/>
              <w:right w:val="single" w:sz="4" w:space="0" w:color="auto"/>
            </w:tcBorders>
            <w:shd w:val="clear" w:color="auto" w:fill="auto"/>
            <w:noWrap/>
            <w:vAlign w:val="bottom"/>
            <w:hideMark/>
          </w:tcPr>
          <w:p w14:paraId="0880C6A0"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35.41</w:t>
            </w:r>
          </w:p>
        </w:tc>
        <w:tc>
          <w:tcPr>
            <w:tcW w:w="1451" w:type="dxa"/>
            <w:tcBorders>
              <w:top w:val="nil"/>
              <w:left w:val="nil"/>
              <w:bottom w:val="single" w:sz="4" w:space="0" w:color="auto"/>
              <w:right w:val="single" w:sz="4" w:space="0" w:color="auto"/>
            </w:tcBorders>
            <w:shd w:val="clear" w:color="auto" w:fill="auto"/>
            <w:noWrap/>
            <w:vAlign w:val="bottom"/>
            <w:hideMark/>
          </w:tcPr>
          <w:p w14:paraId="4F50B094"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73.24</w:t>
            </w:r>
          </w:p>
        </w:tc>
        <w:tc>
          <w:tcPr>
            <w:tcW w:w="1154" w:type="dxa"/>
            <w:tcBorders>
              <w:top w:val="nil"/>
              <w:left w:val="nil"/>
              <w:bottom w:val="single" w:sz="4" w:space="0" w:color="auto"/>
              <w:right w:val="single" w:sz="4" w:space="0" w:color="auto"/>
            </w:tcBorders>
            <w:shd w:val="clear" w:color="auto" w:fill="auto"/>
            <w:noWrap/>
            <w:vAlign w:val="bottom"/>
            <w:hideMark/>
          </w:tcPr>
          <w:p w14:paraId="65931067"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547.47</w:t>
            </w:r>
          </w:p>
        </w:tc>
        <w:tc>
          <w:tcPr>
            <w:tcW w:w="1124" w:type="dxa"/>
            <w:tcBorders>
              <w:top w:val="nil"/>
              <w:left w:val="nil"/>
              <w:bottom w:val="single" w:sz="4" w:space="0" w:color="auto"/>
              <w:right w:val="single" w:sz="4" w:space="0" w:color="auto"/>
            </w:tcBorders>
            <w:shd w:val="clear" w:color="auto" w:fill="auto"/>
            <w:noWrap/>
            <w:vAlign w:val="bottom"/>
            <w:hideMark/>
          </w:tcPr>
          <w:p w14:paraId="55E93C2C"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101.86</w:t>
            </w:r>
          </w:p>
        </w:tc>
      </w:tr>
      <w:tr w:rsidR="00CF0F96" w:rsidRPr="00CF0F96" w14:paraId="2FEFFEB1" w14:textId="77777777" w:rsidTr="005F4A92">
        <w:trPr>
          <w:trHeight w:val="260"/>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14:paraId="3FE9DCBE" w14:textId="77777777" w:rsidR="006A3DBC" w:rsidRPr="00CF0F96" w:rsidRDefault="006A3DBC" w:rsidP="005F4A92">
            <w:pPr>
              <w:spacing w:after="0" w:line="240" w:lineRule="auto"/>
              <w:jc w:val="center"/>
              <w:rPr>
                <w:rFonts w:eastAsia="Times New Roman" w:cs="Arial"/>
                <w:sz w:val="18"/>
                <w:szCs w:val="18"/>
                <w:lang w:val="es-HN" w:eastAsia="es-HN"/>
              </w:rPr>
            </w:pPr>
            <w:r w:rsidRPr="00CF0F96">
              <w:rPr>
                <w:rFonts w:eastAsia="Times New Roman" w:cs="Arial"/>
                <w:sz w:val="18"/>
                <w:szCs w:val="18"/>
                <w:lang w:val="es-HN" w:eastAsia="es-HN"/>
              </w:rPr>
              <w:t>4</w:t>
            </w:r>
          </w:p>
        </w:tc>
        <w:tc>
          <w:tcPr>
            <w:tcW w:w="1678" w:type="dxa"/>
            <w:tcBorders>
              <w:top w:val="nil"/>
              <w:left w:val="nil"/>
              <w:bottom w:val="single" w:sz="4" w:space="0" w:color="auto"/>
              <w:right w:val="single" w:sz="4" w:space="0" w:color="auto"/>
            </w:tcBorders>
            <w:shd w:val="clear" w:color="auto" w:fill="auto"/>
            <w:noWrap/>
            <w:vAlign w:val="bottom"/>
            <w:hideMark/>
          </w:tcPr>
          <w:p w14:paraId="09C64875" w14:textId="77777777" w:rsidR="006A3DBC" w:rsidRPr="00CF0F96" w:rsidRDefault="006A3DBC" w:rsidP="005F4A92">
            <w:pPr>
              <w:spacing w:after="0" w:line="240" w:lineRule="auto"/>
              <w:rPr>
                <w:rFonts w:eastAsia="Times New Roman" w:cs="Arial"/>
                <w:sz w:val="18"/>
                <w:szCs w:val="18"/>
                <w:lang w:val="es-HN" w:eastAsia="es-HN"/>
              </w:rPr>
            </w:pPr>
            <w:r w:rsidRPr="00CF0F96">
              <w:rPr>
                <w:rFonts w:eastAsia="Times New Roman" w:cs="Arial"/>
                <w:sz w:val="18"/>
                <w:szCs w:val="18"/>
                <w:lang w:val="es-HN" w:eastAsia="es-HN"/>
              </w:rPr>
              <w:t>Copán</w:t>
            </w:r>
          </w:p>
        </w:tc>
        <w:tc>
          <w:tcPr>
            <w:tcW w:w="1154" w:type="dxa"/>
            <w:tcBorders>
              <w:top w:val="nil"/>
              <w:left w:val="nil"/>
              <w:bottom w:val="single" w:sz="4" w:space="0" w:color="auto"/>
              <w:right w:val="single" w:sz="4" w:space="0" w:color="auto"/>
            </w:tcBorders>
            <w:shd w:val="clear" w:color="auto" w:fill="auto"/>
            <w:noWrap/>
            <w:vAlign w:val="bottom"/>
            <w:hideMark/>
          </w:tcPr>
          <w:p w14:paraId="16D66568"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829.80</w:t>
            </w:r>
          </w:p>
        </w:tc>
        <w:tc>
          <w:tcPr>
            <w:tcW w:w="1100" w:type="dxa"/>
            <w:tcBorders>
              <w:top w:val="nil"/>
              <w:left w:val="nil"/>
              <w:bottom w:val="single" w:sz="4" w:space="0" w:color="auto"/>
              <w:right w:val="single" w:sz="4" w:space="0" w:color="auto"/>
            </w:tcBorders>
            <w:shd w:val="clear" w:color="auto" w:fill="auto"/>
            <w:noWrap/>
            <w:vAlign w:val="bottom"/>
            <w:hideMark/>
          </w:tcPr>
          <w:p w14:paraId="39FD0366"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173.10</w:t>
            </w:r>
          </w:p>
        </w:tc>
        <w:tc>
          <w:tcPr>
            <w:tcW w:w="1227" w:type="dxa"/>
            <w:tcBorders>
              <w:top w:val="nil"/>
              <w:left w:val="nil"/>
              <w:bottom w:val="single" w:sz="4" w:space="0" w:color="auto"/>
              <w:right w:val="single" w:sz="4" w:space="0" w:color="auto"/>
            </w:tcBorders>
            <w:shd w:val="clear" w:color="auto" w:fill="auto"/>
            <w:noWrap/>
            <w:vAlign w:val="bottom"/>
            <w:hideMark/>
          </w:tcPr>
          <w:p w14:paraId="3A7837DF"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21.20</w:t>
            </w:r>
          </w:p>
        </w:tc>
        <w:tc>
          <w:tcPr>
            <w:tcW w:w="1451" w:type="dxa"/>
            <w:tcBorders>
              <w:top w:val="nil"/>
              <w:left w:val="nil"/>
              <w:bottom w:val="single" w:sz="4" w:space="0" w:color="auto"/>
              <w:right w:val="single" w:sz="4" w:space="0" w:color="auto"/>
            </w:tcBorders>
            <w:shd w:val="clear" w:color="auto" w:fill="auto"/>
            <w:noWrap/>
            <w:vAlign w:val="bottom"/>
            <w:hideMark/>
          </w:tcPr>
          <w:p w14:paraId="31043B5B"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63.52</w:t>
            </w:r>
          </w:p>
        </w:tc>
        <w:tc>
          <w:tcPr>
            <w:tcW w:w="1154" w:type="dxa"/>
            <w:tcBorders>
              <w:top w:val="nil"/>
              <w:left w:val="nil"/>
              <w:bottom w:val="single" w:sz="4" w:space="0" w:color="auto"/>
              <w:right w:val="single" w:sz="4" w:space="0" w:color="auto"/>
            </w:tcBorders>
            <w:shd w:val="clear" w:color="auto" w:fill="auto"/>
            <w:noWrap/>
            <w:vAlign w:val="bottom"/>
            <w:hideMark/>
          </w:tcPr>
          <w:p w14:paraId="0A65E7A1"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373.40</w:t>
            </w:r>
          </w:p>
        </w:tc>
        <w:tc>
          <w:tcPr>
            <w:tcW w:w="1124" w:type="dxa"/>
            <w:tcBorders>
              <w:top w:val="nil"/>
              <w:left w:val="nil"/>
              <w:bottom w:val="single" w:sz="4" w:space="0" w:color="auto"/>
              <w:right w:val="single" w:sz="4" w:space="0" w:color="auto"/>
            </w:tcBorders>
            <w:shd w:val="clear" w:color="auto" w:fill="auto"/>
            <w:noWrap/>
            <w:vAlign w:val="bottom"/>
            <w:hideMark/>
          </w:tcPr>
          <w:p w14:paraId="0273CF9A"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198.58</w:t>
            </w:r>
          </w:p>
        </w:tc>
      </w:tr>
      <w:tr w:rsidR="00CF0F96" w:rsidRPr="00CF0F96" w14:paraId="38FD7945" w14:textId="77777777" w:rsidTr="005F4A92">
        <w:trPr>
          <w:trHeight w:val="260"/>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14:paraId="250AAB8A" w14:textId="77777777" w:rsidR="006A3DBC" w:rsidRPr="00CF0F96" w:rsidRDefault="006A3DBC" w:rsidP="005F4A92">
            <w:pPr>
              <w:spacing w:after="0" w:line="240" w:lineRule="auto"/>
              <w:jc w:val="center"/>
              <w:rPr>
                <w:rFonts w:eastAsia="Times New Roman" w:cs="Arial"/>
                <w:sz w:val="18"/>
                <w:szCs w:val="18"/>
                <w:lang w:val="es-HN" w:eastAsia="es-HN"/>
              </w:rPr>
            </w:pPr>
            <w:r w:rsidRPr="00CF0F96">
              <w:rPr>
                <w:rFonts w:eastAsia="Times New Roman" w:cs="Arial"/>
                <w:sz w:val="18"/>
                <w:szCs w:val="18"/>
                <w:lang w:val="es-HN" w:eastAsia="es-HN"/>
              </w:rPr>
              <w:t>5</w:t>
            </w:r>
          </w:p>
        </w:tc>
        <w:tc>
          <w:tcPr>
            <w:tcW w:w="1678" w:type="dxa"/>
            <w:tcBorders>
              <w:top w:val="nil"/>
              <w:left w:val="nil"/>
              <w:bottom w:val="single" w:sz="4" w:space="0" w:color="auto"/>
              <w:right w:val="single" w:sz="4" w:space="0" w:color="auto"/>
            </w:tcBorders>
            <w:shd w:val="clear" w:color="auto" w:fill="auto"/>
            <w:noWrap/>
            <w:vAlign w:val="bottom"/>
            <w:hideMark/>
          </w:tcPr>
          <w:p w14:paraId="25639272" w14:textId="77777777" w:rsidR="006A3DBC" w:rsidRPr="00CF0F96" w:rsidRDefault="006A3DBC" w:rsidP="005F4A92">
            <w:pPr>
              <w:spacing w:after="0" w:line="240" w:lineRule="auto"/>
              <w:rPr>
                <w:rFonts w:eastAsia="Times New Roman" w:cs="Arial"/>
                <w:sz w:val="18"/>
                <w:szCs w:val="18"/>
                <w:lang w:val="es-HN" w:eastAsia="es-HN"/>
              </w:rPr>
            </w:pPr>
            <w:r w:rsidRPr="00CF0F96">
              <w:rPr>
                <w:rFonts w:eastAsia="Times New Roman" w:cs="Arial"/>
                <w:sz w:val="18"/>
                <w:szCs w:val="18"/>
                <w:lang w:val="es-HN" w:eastAsia="es-HN"/>
              </w:rPr>
              <w:t>Cortés</w:t>
            </w:r>
          </w:p>
        </w:tc>
        <w:tc>
          <w:tcPr>
            <w:tcW w:w="1154" w:type="dxa"/>
            <w:tcBorders>
              <w:top w:val="nil"/>
              <w:left w:val="nil"/>
              <w:bottom w:val="single" w:sz="4" w:space="0" w:color="auto"/>
              <w:right w:val="single" w:sz="4" w:space="0" w:color="auto"/>
            </w:tcBorders>
            <w:shd w:val="clear" w:color="auto" w:fill="auto"/>
            <w:noWrap/>
            <w:vAlign w:val="bottom"/>
            <w:hideMark/>
          </w:tcPr>
          <w:p w14:paraId="77F5D390" w14:textId="1FE51078"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1</w:t>
            </w:r>
            <w:r w:rsidR="00FA2E2D" w:rsidRPr="00CF0F96">
              <w:rPr>
                <w:rFonts w:eastAsia="Times New Roman" w:cs="Arial"/>
                <w:sz w:val="18"/>
                <w:szCs w:val="18"/>
                <w:lang w:val="es-HN" w:eastAsia="es-HN"/>
              </w:rPr>
              <w:t>,</w:t>
            </w:r>
            <w:r w:rsidRPr="00CF0F96">
              <w:rPr>
                <w:rFonts w:eastAsia="Times New Roman" w:cs="Arial"/>
                <w:sz w:val="18"/>
                <w:szCs w:val="18"/>
                <w:lang w:val="es-HN" w:eastAsia="es-HN"/>
              </w:rPr>
              <w:t>067.94</w:t>
            </w:r>
          </w:p>
        </w:tc>
        <w:tc>
          <w:tcPr>
            <w:tcW w:w="1100" w:type="dxa"/>
            <w:tcBorders>
              <w:top w:val="nil"/>
              <w:left w:val="nil"/>
              <w:bottom w:val="single" w:sz="4" w:space="0" w:color="auto"/>
              <w:right w:val="single" w:sz="4" w:space="0" w:color="auto"/>
            </w:tcBorders>
            <w:shd w:val="clear" w:color="auto" w:fill="auto"/>
            <w:noWrap/>
            <w:vAlign w:val="bottom"/>
            <w:hideMark/>
          </w:tcPr>
          <w:p w14:paraId="2CC22556"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297.18</w:t>
            </w:r>
          </w:p>
        </w:tc>
        <w:tc>
          <w:tcPr>
            <w:tcW w:w="1227" w:type="dxa"/>
            <w:tcBorders>
              <w:top w:val="nil"/>
              <w:left w:val="nil"/>
              <w:bottom w:val="single" w:sz="4" w:space="0" w:color="auto"/>
              <w:right w:val="single" w:sz="4" w:space="0" w:color="auto"/>
            </w:tcBorders>
            <w:shd w:val="clear" w:color="auto" w:fill="auto"/>
            <w:noWrap/>
            <w:vAlign w:val="bottom"/>
            <w:hideMark/>
          </w:tcPr>
          <w:p w14:paraId="2F1F2EFB"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210.48</w:t>
            </w:r>
          </w:p>
        </w:tc>
        <w:tc>
          <w:tcPr>
            <w:tcW w:w="1451" w:type="dxa"/>
            <w:tcBorders>
              <w:top w:val="nil"/>
              <w:left w:val="nil"/>
              <w:bottom w:val="single" w:sz="4" w:space="0" w:color="auto"/>
              <w:right w:val="single" w:sz="4" w:space="0" w:color="auto"/>
            </w:tcBorders>
            <w:shd w:val="clear" w:color="auto" w:fill="auto"/>
            <w:noWrap/>
            <w:vAlign w:val="bottom"/>
            <w:hideMark/>
          </w:tcPr>
          <w:p w14:paraId="5A5A2BBF"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47.96</w:t>
            </w:r>
          </w:p>
        </w:tc>
        <w:tc>
          <w:tcPr>
            <w:tcW w:w="1154" w:type="dxa"/>
            <w:tcBorders>
              <w:top w:val="nil"/>
              <w:left w:val="nil"/>
              <w:bottom w:val="single" w:sz="4" w:space="0" w:color="auto"/>
              <w:right w:val="single" w:sz="4" w:space="0" w:color="auto"/>
            </w:tcBorders>
            <w:shd w:val="clear" w:color="auto" w:fill="auto"/>
            <w:noWrap/>
            <w:vAlign w:val="bottom"/>
            <w:hideMark/>
          </w:tcPr>
          <w:p w14:paraId="504D330D"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414.25</w:t>
            </w:r>
          </w:p>
        </w:tc>
        <w:tc>
          <w:tcPr>
            <w:tcW w:w="1124" w:type="dxa"/>
            <w:tcBorders>
              <w:top w:val="nil"/>
              <w:left w:val="nil"/>
              <w:bottom w:val="single" w:sz="4" w:space="0" w:color="auto"/>
              <w:right w:val="single" w:sz="4" w:space="0" w:color="auto"/>
            </w:tcBorders>
            <w:shd w:val="clear" w:color="auto" w:fill="auto"/>
            <w:noWrap/>
            <w:vAlign w:val="bottom"/>
            <w:hideMark/>
          </w:tcPr>
          <w:p w14:paraId="3CAC4C72"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98.07</w:t>
            </w:r>
          </w:p>
        </w:tc>
      </w:tr>
      <w:tr w:rsidR="00CF0F96" w:rsidRPr="00CF0F96" w14:paraId="4F2A108C" w14:textId="77777777" w:rsidTr="005F4A92">
        <w:trPr>
          <w:trHeight w:val="260"/>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14:paraId="6F222D52" w14:textId="77777777" w:rsidR="006A3DBC" w:rsidRPr="00CF0F96" w:rsidRDefault="006A3DBC" w:rsidP="005F4A92">
            <w:pPr>
              <w:spacing w:after="0" w:line="240" w:lineRule="auto"/>
              <w:jc w:val="center"/>
              <w:rPr>
                <w:rFonts w:eastAsia="Times New Roman" w:cs="Arial"/>
                <w:sz w:val="18"/>
                <w:szCs w:val="18"/>
                <w:lang w:val="es-HN" w:eastAsia="es-HN"/>
              </w:rPr>
            </w:pPr>
            <w:r w:rsidRPr="00CF0F96">
              <w:rPr>
                <w:rFonts w:eastAsia="Times New Roman" w:cs="Arial"/>
                <w:sz w:val="18"/>
                <w:szCs w:val="18"/>
                <w:lang w:val="es-HN" w:eastAsia="es-HN"/>
              </w:rPr>
              <w:t>6</w:t>
            </w:r>
          </w:p>
        </w:tc>
        <w:tc>
          <w:tcPr>
            <w:tcW w:w="1678" w:type="dxa"/>
            <w:tcBorders>
              <w:top w:val="nil"/>
              <w:left w:val="nil"/>
              <w:bottom w:val="single" w:sz="4" w:space="0" w:color="auto"/>
              <w:right w:val="single" w:sz="4" w:space="0" w:color="auto"/>
            </w:tcBorders>
            <w:shd w:val="clear" w:color="auto" w:fill="auto"/>
            <w:noWrap/>
            <w:vAlign w:val="bottom"/>
            <w:hideMark/>
          </w:tcPr>
          <w:p w14:paraId="0D319A27" w14:textId="77777777" w:rsidR="006A3DBC" w:rsidRPr="00CF0F96" w:rsidRDefault="006A3DBC" w:rsidP="005F4A92">
            <w:pPr>
              <w:spacing w:after="0" w:line="240" w:lineRule="auto"/>
              <w:rPr>
                <w:rFonts w:eastAsia="Times New Roman" w:cs="Arial"/>
                <w:sz w:val="18"/>
                <w:szCs w:val="18"/>
                <w:lang w:val="es-HN" w:eastAsia="es-HN"/>
              </w:rPr>
            </w:pPr>
            <w:r w:rsidRPr="00CF0F96">
              <w:rPr>
                <w:rFonts w:eastAsia="Times New Roman" w:cs="Arial"/>
                <w:sz w:val="18"/>
                <w:szCs w:val="18"/>
                <w:lang w:val="es-HN" w:eastAsia="es-HN"/>
              </w:rPr>
              <w:t>Choluteca</w:t>
            </w:r>
          </w:p>
        </w:tc>
        <w:tc>
          <w:tcPr>
            <w:tcW w:w="1154" w:type="dxa"/>
            <w:tcBorders>
              <w:top w:val="nil"/>
              <w:left w:val="nil"/>
              <w:bottom w:val="single" w:sz="4" w:space="0" w:color="auto"/>
              <w:right w:val="single" w:sz="4" w:space="0" w:color="auto"/>
            </w:tcBorders>
            <w:shd w:val="clear" w:color="auto" w:fill="auto"/>
            <w:noWrap/>
            <w:vAlign w:val="bottom"/>
            <w:hideMark/>
          </w:tcPr>
          <w:p w14:paraId="42F38B48" w14:textId="32EE23F0"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1</w:t>
            </w:r>
            <w:r w:rsidR="00FA2E2D" w:rsidRPr="00CF0F96">
              <w:rPr>
                <w:rFonts w:eastAsia="Times New Roman" w:cs="Arial"/>
                <w:sz w:val="18"/>
                <w:szCs w:val="18"/>
                <w:lang w:val="es-HN" w:eastAsia="es-HN"/>
              </w:rPr>
              <w:t>,</w:t>
            </w:r>
            <w:r w:rsidRPr="00CF0F96">
              <w:rPr>
                <w:rFonts w:eastAsia="Times New Roman" w:cs="Arial"/>
                <w:sz w:val="18"/>
                <w:szCs w:val="18"/>
                <w:lang w:val="es-HN" w:eastAsia="es-HN"/>
              </w:rPr>
              <w:t>024.93</w:t>
            </w:r>
          </w:p>
        </w:tc>
        <w:tc>
          <w:tcPr>
            <w:tcW w:w="1100" w:type="dxa"/>
            <w:tcBorders>
              <w:top w:val="nil"/>
              <w:left w:val="nil"/>
              <w:bottom w:val="single" w:sz="4" w:space="0" w:color="auto"/>
              <w:right w:val="single" w:sz="4" w:space="0" w:color="auto"/>
            </w:tcBorders>
            <w:shd w:val="clear" w:color="auto" w:fill="auto"/>
            <w:noWrap/>
            <w:vAlign w:val="bottom"/>
            <w:hideMark/>
          </w:tcPr>
          <w:p w14:paraId="14331D14"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205.32</w:t>
            </w:r>
          </w:p>
        </w:tc>
        <w:tc>
          <w:tcPr>
            <w:tcW w:w="1227" w:type="dxa"/>
            <w:tcBorders>
              <w:top w:val="nil"/>
              <w:left w:val="nil"/>
              <w:bottom w:val="single" w:sz="4" w:space="0" w:color="auto"/>
              <w:right w:val="single" w:sz="4" w:space="0" w:color="auto"/>
            </w:tcBorders>
            <w:shd w:val="clear" w:color="auto" w:fill="auto"/>
            <w:noWrap/>
            <w:vAlign w:val="bottom"/>
            <w:hideMark/>
          </w:tcPr>
          <w:p w14:paraId="07EF4C87"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0</w:t>
            </w:r>
          </w:p>
        </w:tc>
        <w:tc>
          <w:tcPr>
            <w:tcW w:w="1451" w:type="dxa"/>
            <w:tcBorders>
              <w:top w:val="nil"/>
              <w:left w:val="nil"/>
              <w:bottom w:val="single" w:sz="4" w:space="0" w:color="auto"/>
              <w:right w:val="single" w:sz="4" w:space="0" w:color="auto"/>
            </w:tcBorders>
            <w:shd w:val="clear" w:color="auto" w:fill="auto"/>
            <w:noWrap/>
            <w:vAlign w:val="bottom"/>
            <w:hideMark/>
          </w:tcPr>
          <w:p w14:paraId="02579CBB"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47.10</w:t>
            </w:r>
          </w:p>
        </w:tc>
        <w:tc>
          <w:tcPr>
            <w:tcW w:w="1154" w:type="dxa"/>
            <w:tcBorders>
              <w:top w:val="nil"/>
              <w:left w:val="nil"/>
              <w:bottom w:val="single" w:sz="4" w:space="0" w:color="auto"/>
              <w:right w:val="single" w:sz="4" w:space="0" w:color="auto"/>
            </w:tcBorders>
            <w:shd w:val="clear" w:color="auto" w:fill="auto"/>
            <w:noWrap/>
            <w:vAlign w:val="bottom"/>
            <w:hideMark/>
          </w:tcPr>
          <w:p w14:paraId="7624628F"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676.23</w:t>
            </w:r>
          </w:p>
        </w:tc>
        <w:tc>
          <w:tcPr>
            <w:tcW w:w="1124" w:type="dxa"/>
            <w:tcBorders>
              <w:top w:val="nil"/>
              <w:left w:val="nil"/>
              <w:bottom w:val="single" w:sz="4" w:space="0" w:color="auto"/>
              <w:right w:val="single" w:sz="4" w:space="0" w:color="auto"/>
            </w:tcBorders>
            <w:shd w:val="clear" w:color="auto" w:fill="auto"/>
            <w:noWrap/>
            <w:vAlign w:val="bottom"/>
            <w:hideMark/>
          </w:tcPr>
          <w:p w14:paraId="6CE603BB"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96.28</w:t>
            </w:r>
          </w:p>
        </w:tc>
      </w:tr>
      <w:tr w:rsidR="00CF0F96" w:rsidRPr="00CF0F96" w14:paraId="4CDB0CB2" w14:textId="77777777" w:rsidTr="005F4A92">
        <w:trPr>
          <w:trHeight w:val="260"/>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14:paraId="1BC9AF31" w14:textId="77777777" w:rsidR="006A3DBC" w:rsidRPr="00CF0F96" w:rsidRDefault="006A3DBC" w:rsidP="005F4A92">
            <w:pPr>
              <w:spacing w:after="0" w:line="240" w:lineRule="auto"/>
              <w:jc w:val="center"/>
              <w:rPr>
                <w:rFonts w:eastAsia="Times New Roman" w:cs="Arial"/>
                <w:sz w:val="18"/>
                <w:szCs w:val="18"/>
                <w:lang w:val="es-HN" w:eastAsia="es-HN"/>
              </w:rPr>
            </w:pPr>
            <w:r w:rsidRPr="00CF0F96">
              <w:rPr>
                <w:rFonts w:eastAsia="Times New Roman" w:cs="Arial"/>
                <w:sz w:val="18"/>
                <w:szCs w:val="18"/>
                <w:lang w:val="es-HN" w:eastAsia="es-HN"/>
              </w:rPr>
              <w:t>7</w:t>
            </w:r>
          </w:p>
        </w:tc>
        <w:tc>
          <w:tcPr>
            <w:tcW w:w="1678" w:type="dxa"/>
            <w:tcBorders>
              <w:top w:val="nil"/>
              <w:left w:val="nil"/>
              <w:bottom w:val="single" w:sz="4" w:space="0" w:color="auto"/>
              <w:right w:val="single" w:sz="4" w:space="0" w:color="auto"/>
            </w:tcBorders>
            <w:shd w:val="clear" w:color="auto" w:fill="auto"/>
            <w:noWrap/>
            <w:vAlign w:val="bottom"/>
            <w:hideMark/>
          </w:tcPr>
          <w:p w14:paraId="2352A698" w14:textId="77777777" w:rsidR="006A3DBC" w:rsidRPr="00CF0F96" w:rsidRDefault="006A3DBC" w:rsidP="005F4A92">
            <w:pPr>
              <w:spacing w:after="0" w:line="240" w:lineRule="auto"/>
              <w:rPr>
                <w:rFonts w:eastAsia="Times New Roman" w:cs="Arial"/>
                <w:sz w:val="18"/>
                <w:szCs w:val="18"/>
                <w:lang w:val="es-HN" w:eastAsia="es-HN"/>
              </w:rPr>
            </w:pPr>
            <w:r w:rsidRPr="00CF0F96">
              <w:rPr>
                <w:rFonts w:eastAsia="Times New Roman" w:cs="Arial"/>
                <w:sz w:val="18"/>
                <w:szCs w:val="18"/>
                <w:lang w:val="es-HN" w:eastAsia="es-HN"/>
              </w:rPr>
              <w:t>El Paraíso</w:t>
            </w:r>
          </w:p>
        </w:tc>
        <w:tc>
          <w:tcPr>
            <w:tcW w:w="1154" w:type="dxa"/>
            <w:tcBorders>
              <w:top w:val="nil"/>
              <w:left w:val="nil"/>
              <w:bottom w:val="single" w:sz="4" w:space="0" w:color="auto"/>
              <w:right w:val="single" w:sz="4" w:space="0" w:color="auto"/>
            </w:tcBorders>
            <w:shd w:val="clear" w:color="auto" w:fill="auto"/>
            <w:noWrap/>
            <w:vAlign w:val="bottom"/>
            <w:hideMark/>
          </w:tcPr>
          <w:p w14:paraId="34CDED1C" w14:textId="57651AF3"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1</w:t>
            </w:r>
            <w:r w:rsidR="00FA2E2D" w:rsidRPr="00CF0F96">
              <w:rPr>
                <w:rFonts w:eastAsia="Times New Roman" w:cs="Arial"/>
                <w:sz w:val="18"/>
                <w:szCs w:val="18"/>
                <w:lang w:val="es-HN" w:eastAsia="es-HN"/>
              </w:rPr>
              <w:t>,</w:t>
            </w:r>
            <w:r w:rsidRPr="00CF0F96">
              <w:rPr>
                <w:rFonts w:eastAsia="Times New Roman" w:cs="Arial"/>
                <w:sz w:val="18"/>
                <w:szCs w:val="18"/>
                <w:lang w:val="es-HN" w:eastAsia="es-HN"/>
              </w:rPr>
              <w:t>602.56</w:t>
            </w:r>
          </w:p>
        </w:tc>
        <w:tc>
          <w:tcPr>
            <w:tcW w:w="1100" w:type="dxa"/>
            <w:tcBorders>
              <w:top w:val="nil"/>
              <w:left w:val="nil"/>
              <w:bottom w:val="single" w:sz="4" w:space="0" w:color="auto"/>
              <w:right w:val="single" w:sz="4" w:space="0" w:color="auto"/>
            </w:tcBorders>
            <w:shd w:val="clear" w:color="auto" w:fill="auto"/>
            <w:noWrap/>
            <w:vAlign w:val="bottom"/>
            <w:hideMark/>
          </w:tcPr>
          <w:p w14:paraId="5B0E277B"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101.20</w:t>
            </w:r>
          </w:p>
        </w:tc>
        <w:tc>
          <w:tcPr>
            <w:tcW w:w="1227" w:type="dxa"/>
            <w:tcBorders>
              <w:top w:val="nil"/>
              <w:left w:val="nil"/>
              <w:bottom w:val="single" w:sz="4" w:space="0" w:color="auto"/>
              <w:right w:val="single" w:sz="4" w:space="0" w:color="auto"/>
            </w:tcBorders>
            <w:shd w:val="clear" w:color="auto" w:fill="auto"/>
            <w:noWrap/>
            <w:vAlign w:val="bottom"/>
            <w:hideMark/>
          </w:tcPr>
          <w:p w14:paraId="490D917E"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2.05</w:t>
            </w:r>
          </w:p>
        </w:tc>
        <w:tc>
          <w:tcPr>
            <w:tcW w:w="1451" w:type="dxa"/>
            <w:tcBorders>
              <w:top w:val="nil"/>
              <w:left w:val="nil"/>
              <w:bottom w:val="single" w:sz="4" w:space="0" w:color="auto"/>
              <w:right w:val="single" w:sz="4" w:space="0" w:color="auto"/>
            </w:tcBorders>
            <w:shd w:val="clear" w:color="auto" w:fill="auto"/>
            <w:noWrap/>
            <w:vAlign w:val="bottom"/>
            <w:hideMark/>
          </w:tcPr>
          <w:p w14:paraId="2893799F"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62.53</w:t>
            </w:r>
          </w:p>
        </w:tc>
        <w:tc>
          <w:tcPr>
            <w:tcW w:w="1154" w:type="dxa"/>
            <w:tcBorders>
              <w:top w:val="nil"/>
              <w:left w:val="nil"/>
              <w:bottom w:val="single" w:sz="4" w:space="0" w:color="auto"/>
              <w:right w:val="single" w:sz="4" w:space="0" w:color="auto"/>
            </w:tcBorders>
            <w:shd w:val="clear" w:color="auto" w:fill="auto"/>
            <w:noWrap/>
            <w:vAlign w:val="bottom"/>
            <w:hideMark/>
          </w:tcPr>
          <w:p w14:paraId="3CADA35A"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960.80</w:t>
            </w:r>
          </w:p>
        </w:tc>
        <w:tc>
          <w:tcPr>
            <w:tcW w:w="1124" w:type="dxa"/>
            <w:tcBorders>
              <w:top w:val="nil"/>
              <w:left w:val="nil"/>
              <w:bottom w:val="single" w:sz="4" w:space="0" w:color="auto"/>
              <w:right w:val="single" w:sz="4" w:space="0" w:color="auto"/>
            </w:tcBorders>
            <w:shd w:val="clear" w:color="auto" w:fill="auto"/>
            <w:noWrap/>
            <w:vAlign w:val="bottom"/>
            <w:hideMark/>
          </w:tcPr>
          <w:p w14:paraId="6C607E52"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475.98</w:t>
            </w:r>
          </w:p>
        </w:tc>
      </w:tr>
      <w:tr w:rsidR="00CF0F96" w:rsidRPr="00CF0F96" w14:paraId="7193CB93" w14:textId="77777777" w:rsidTr="005F4A92">
        <w:trPr>
          <w:trHeight w:val="260"/>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14:paraId="0A82DAB7" w14:textId="77777777" w:rsidR="006A3DBC" w:rsidRPr="00CF0F96" w:rsidRDefault="006A3DBC" w:rsidP="005F4A92">
            <w:pPr>
              <w:spacing w:after="0" w:line="240" w:lineRule="auto"/>
              <w:jc w:val="center"/>
              <w:rPr>
                <w:rFonts w:eastAsia="Times New Roman" w:cs="Arial"/>
                <w:sz w:val="18"/>
                <w:szCs w:val="18"/>
                <w:lang w:val="es-HN" w:eastAsia="es-HN"/>
              </w:rPr>
            </w:pPr>
            <w:r w:rsidRPr="00CF0F96">
              <w:rPr>
                <w:rFonts w:eastAsia="Times New Roman" w:cs="Arial"/>
                <w:sz w:val="18"/>
                <w:szCs w:val="18"/>
                <w:lang w:val="es-HN" w:eastAsia="es-HN"/>
              </w:rPr>
              <w:t>8</w:t>
            </w:r>
          </w:p>
        </w:tc>
        <w:tc>
          <w:tcPr>
            <w:tcW w:w="1678" w:type="dxa"/>
            <w:tcBorders>
              <w:top w:val="nil"/>
              <w:left w:val="nil"/>
              <w:bottom w:val="single" w:sz="4" w:space="0" w:color="auto"/>
              <w:right w:val="single" w:sz="4" w:space="0" w:color="auto"/>
            </w:tcBorders>
            <w:shd w:val="clear" w:color="auto" w:fill="auto"/>
            <w:noWrap/>
            <w:vAlign w:val="bottom"/>
            <w:hideMark/>
          </w:tcPr>
          <w:p w14:paraId="590D4DFC" w14:textId="77777777" w:rsidR="006A3DBC" w:rsidRPr="00CF0F96" w:rsidRDefault="006A3DBC" w:rsidP="005F4A92">
            <w:pPr>
              <w:spacing w:after="0" w:line="240" w:lineRule="auto"/>
              <w:rPr>
                <w:rFonts w:eastAsia="Times New Roman" w:cs="Arial"/>
                <w:sz w:val="18"/>
                <w:szCs w:val="18"/>
                <w:lang w:val="es-HN" w:eastAsia="es-HN"/>
              </w:rPr>
            </w:pPr>
            <w:r w:rsidRPr="00CF0F96">
              <w:rPr>
                <w:rFonts w:eastAsia="Times New Roman" w:cs="Arial"/>
                <w:sz w:val="18"/>
                <w:szCs w:val="18"/>
                <w:lang w:val="es-HN" w:eastAsia="es-HN"/>
              </w:rPr>
              <w:t>Francisco Morazán</w:t>
            </w:r>
          </w:p>
        </w:tc>
        <w:tc>
          <w:tcPr>
            <w:tcW w:w="1154" w:type="dxa"/>
            <w:tcBorders>
              <w:top w:val="nil"/>
              <w:left w:val="nil"/>
              <w:bottom w:val="single" w:sz="4" w:space="0" w:color="auto"/>
              <w:right w:val="single" w:sz="4" w:space="0" w:color="auto"/>
            </w:tcBorders>
            <w:shd w:val="clear" w:color="auto" w:fill="auto"/>
            <w:noWrap/>
            <w:vAlign w:val="bottom"/>
            <w:hideMark/>
          </w:tcPr>
          <w:p w14:paraId="6E759C87"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1649.3</w:t>
            </w:r>
          </w:p>
        </w:tc>
        <w:tc>
          <w:tcPr>
            <w:tcW w:w="1100" w:type="dxa"/>
            <w:tcBorders>
              <w:top w:val="nil"/>
              <w:left w:val="nil"/>
              <w:bottom w:val="single" w:sz="4" w:space="0" w:color="auto"/>
              <w:right w:val="single" w:sz="4" w:space="0" w:color="auto"/>
            </w:tcBorders>
            <w:shd w:val="clear" w:color="auto" w:fill="auto"/>
            <w:noWrap/>
            <w:vAlign w:val="bottom"/>
            <w:hideMark/>
          </w:tcPr>
          <w:p w14:paraId="3102DB08"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372.16</w:t>
            </w:r>
          </w:p>
        </w:tc>
        <w:tc>
          <w:tcPr>
            <w:tcW w:w="1227" w:type="dxa"/>
            <w:tcBorders>
              <w:top w:val="nil"/>
              <w:left w:val="nil"/>
              <w:bottom w:val="single" w:sz="4" w:space="0" w:color="auto"/>
              <w:right w:val="single" w:sz="4" w:space="0" w:color="auto"/>
            </w:tcBorders>
            <w:shd w:val="clear" w:color="auto" w:fill="auto"/>
            <w:noWrap/>
            <w:vAlign w:val="bottom"/>
            <w:hideMark/>
          </w:tcPr>
          <w:p w14:paraId="5599A2A3"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15.98</w:t>
            </w:r>
          </w:p>
        </w:tc>
        <w:tc>
          <w:tcPr>
            <w:tcW w:w="1451" w:type="dxa"/>
            <w:tcBorders>
              <w:top w:val="nil"/>
              <w:left w:val="nil"/>
              <w:bottom w:val="single" w:sz="4" w:space="0" w:color="auto"/>
              <w:right w:val="single" w:sz="4" w:space="0" w:color="auto"/>
            </w:tcBorders>
            <w:shd w:val="clear" w:color="auto" w:fill="auto"/>
            <w:noWrap/>
            <w:vAlign w:val="bottom"/>
            <w:hideMark/>
          </w:tcPr>
          <w:p w14:paraId="0201342A"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145.57</w:t>
            </w:r>
          </w:p>
        </w:tc>
        <w:tc>
          <w:tcPr>
            <w:tcW w:w="1154" w:type="dxa"/>
            <w:tcBorders>
              <w:top w:val="nil"/>
              <w:left w:val="nil"/>
              <w:bottom w:val="single" w:sz="4" w:space="0" w:color="auto"/>
              <w:right w:val="single" w:sz="4" w:space="0" w:color="auto"/>
            </w:tcBorders>
            <w:shd w:val="clear" w:color="auto" w:fill="auto"/>
            <w:noWrap/>
            <w:vAlign w:val="bottom"/>
            <w:hideMark/>
          </w:tcPr>
          <w:p w14:paraId="033AE6C9"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990.99</w:t>
            </w:r>
          </w:p>
        </w:tc>
        <w:tc>
          <w:tcPr>
            <w:tcW w:w="1124" w:type="dxa"/>
            <w:tcBorders>
              <w:top w:val="nil"/>
              <w:left w:val="nil"/>
              <w:bottom w:val="single" w:sz="4" w:space="0" w:color="auto"/>
              <w:right w:val="single" w:sz="4" w:space="0" w:color="auto"/>
            </w:tcBorders>
            <w:shd w:val="clear" w:color="auto" w:fill="auto"/>
            <w:noWrap/>
            <w:vAlign w:val="bottom"/>
            <w:hideMark/>
          </w:tcPr>
          <w:p w14:paraId="05B450FE"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124.60</w:t>
            </w:r>
          </w:p>
        </w:tc>
      </w:tr>
      <w:tr w:rsidR="00CF0F96" w:rsidRPr="00CF0F96" w14:paraId="40BB6B18" w14:textId="77777777" w:rsidTr="005F4A92">
        <w:trPr>
          <w:trHeight w:val="260"/>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14:paraId="4DF5BE87" w14:textId="77777777" w:rsidR="006A3DBC" w:rsidRPr="00CF0F96" w:rsidRDefault="006A3DBC" w:rsidP="005F4A92">
            <w:pPr>
              <w:spacing w:after="0" w:line="240" w:lineRule="auto"/>
              <w:jc w:val="center"/>
              <w:rPr>
                <w:rFonts w:eastAsia="Times New Roman" w:cs="Arial"/>
                <w:sz w:val="18"/>
                <w:szCs w:val="18"/>
                <w:lang w:val="es-HN" w:eastAsia="es-HN"/>
              </w:rPr>
            </w:pPr>
            <w:r w:rsidRPr="00CF0F96">
              <w:rPr>
                <w:rFonts w:eastAsia="Times New Roman" w:cs="Arial"/>
                <w:sz w:val="18"/>
                <w:szCs w:val="18"/>
                <w:lang w:val="es-HN" w:eastAsia="es-HN"/>
              </w:rPr>
              <w:t>9</w:t>
            </w:r>
          </w:p>
        </w:tc>
        <w:tc>
          <w:tcPr>
            <w:tcW w:w="1678" w:type="dxa"/>
            <w:tcBorders>
              <w:top w:val="nil"/>
              <w:left w:val="nil"/>
              <w:bottom w:val="single" w:sz="4" w:space="0" w:color="auto"/>
              <w:right w:val="single" w:sz="4" w:space="0" w:color="auto"/>
            </w:tcBorders>
            <w:shd w:val="clear" w:color="auto" w:fill="auto"/>
            <w:noWrap/>
            <w:vAlign w:val="bottom"/>
            <w:hideMark/>
          </w:tcPr>
          <w:p w14:paraId="679B120A" w14:textId="77777777" w:rsidR="006A3DBC" w:rsidRPr="00CF0F96" w:rsidRDefault="006A3DBC" w:rsidP="005F4A92">
            <w:pPr>
              <w:spacing w:after="0" w:line="240" w:lineRule="auto"/>
              <w:rPr>
                <w:rFonts w:eastAsia="Times New Roman" w:cs="Arial"/>
                <w:sz w:val="18"/>
                <w:szCs w:val="18"/>
                <w:lang w:val="es-HN" w:eastAsia="es-HN"/>
              </w:rPr>
            </w:pPr>
            <w:r w:rsidRPr="00CF0F96">
              <w:rPr>
                <w:rFonts w:eastAsia="Times New Roman" w:cs="Arial"/>
                <w:sz w:val="18"/>
                <w:szCs w:val="18"/>
                <w:lang w:val="es-HN" w:eastAsia="es-HN"/>
              </w:rPr>
              <w:t>Gracias a Dios</w:t>
            </w:r>
          </w:p>
        </w:tc>
        <w:tc>
          <w:tcPr>
            <w:tcW w:w="1154" w:type="dxa"/>
            <w:tcBorders>
              <w:top w:val="nil"/>
              <w:left w:val="nil"/>
              <w:bottom w:val="single" w:sz="4" w:space="0" w:color="auto"/>
              <w:right w:val="single" w:sz="4" w:space="0" w:color="auto"/>
            </w:tcBorders>
            <w:shd w:val="clear" w:color="auto" w:fill="auto"/>
            <w:noWrap/>
            <w:vAlign w:val="bottom"/>
            <w:hideMark/>
          </w:tcPr>
          <w:p w14:paraId="430FF109"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342.35</w:t>
            </w:r>
          </w:p>
        </w:tc>
        <w:tc>
          <w:tcPr>
            <w:tcW w:w="1100" w:type="dxa"/>
            <w:tcBorders>
              <w:top w:val="nil"/>
              <w:left w:val="nil"/>
              <w:bottom w:val="single" w:sz="4" w:space="0" w:color="auto"/>
              <w:right w:val="single" w:sz="4" w:space="0" w:color="auto"/>
            </w:tcBorders>
            <w:shd w:val="clear" w:color="auto" w:fill="auto"/>
            <w:noWrap/>
            <w:vAlign w:val="bottom"/>
            <w:hideMark/>
          </w:tcPr>
          <w:p w14:paraId="559EB338"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0</w:t>
            </w:r>
          </w:p>
        </w:tc>
        <w:tc>
          <w:tcPr>
            <w:tcW w:w="1227" w:type="dxa"/>
            <w:tcBorders>
              <w:top w:val="nil"/>
              <w:left w:val="nil"/>
              <w:bottom w:val="single" w:sz="4" w:space="0" w:color="auto"/>
              <w:right w:val="single" w:sz="4" w:space="0" w:color="auto"/>
            </w:tcBorders>
            <w:shd w:val="clear" w:color="auto" w:fill="auto"/>
            <w:noWrap/>
            <w:vAlign w:val="bottom"/>
            <w:hideMark/>
          </w:tcPr>
          <w:p w14:paraId="444E5A16"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0</w:t>
            </w:r>
          </w:p>
        </w:tc>
        <w:tc>
          <w:tcPr>
            <w:tcW w:w="1451" w:type="dxa"/>
            <w:tcBorders>
              <w:top w:val="nil"/>
              <w:left w:val="nil"/>
              <w:bottom w:val="single" w:sz="4" w:space="0" w:color="auto"/>
              <w:right w:val="single" w:sz="4" w:space="0" w:color="auto"/>
            </w:tcBorders>
            <w:shd w:val="clear" w:color="auto" w:fill="auto"/>
            <w:noWrap/>
            <w:vAlign w:val="bottom"/>
            <w:hideMark/>
          </w:tcPr>
          <w:p w14:paraId="0CE2E9AB"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0</w:t>
            </w:r>
          </w:p>
        </w:tc>
        <w:tc>
          <w:tcPr>
            <w:tcW w:w="1154" w:type="dxa"/>
            <w:tcBorders>
              <w:top w:val="nil"/>
              <w:left w:val="nil"/>
              <w:bottom w:val="single" w:sz="4" w:space="0" w:color="auto"/>
              <w:right w:val="single" w:sz="4" w:space="0" w:color="auto"/>
            </w:tcBorders>
            <w:shd w:val="clear" w:color="auto" w:fill="auto"/>
            <w:noWrap/>
            <w:vAlign w:val="bottom"/>
            <w:hideMark/>
          </w:tcPr>
          <w:p w14:paraId="782AF945"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297.64</w:t>
            </w:r>
          </w:p>
        </w:tc>
        <w:tc>
          <w:tcPr>
            <w:tcW w:w="1124" w:type="dxa"/>
            <w:tcBorders>
              <w:top w:val="nil"/>
              <w:left w:val="nil"/>
              <w:bottom w:val="single" w:sz="4" w:space="0" w:color="auto"/>
              <w:right w:val="single" w:sz="4" w:space="0" w:color="auto"/>
            </w:tcBorders>
            <w:shd w:val="clear" w:color="auto" w:fill="auto"/>
            <w:noWrap/>
            <w:vAlign w:val="bottom"/>
            <w:hideMark/>
          </w:tcPr>
          <w:p w14:paraId="23A9B618"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44.71</w:t>
            </w:r>
          </w:p>
        </w:tc>
      </w:tr>
      <w:tr w:rsidR="00CF0F96" w:rsidRPr="00CF0F96" w14:paraId="11B734F4" w14:textId="77777777" w:rsidTr="005F4A92">
        <w:trPr>
          <w:trHeight w:val="260"/>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14:paraId="71085048" w14:textId="77777777" w:rsidR="006A3DBC" w:rsidRPr="00CF0F96" w:rsidRDefault="006A3DBC" w:rsidP="005F4A92">
            <w:pPr>
              <w:spacing w:after="0" w:line="240" w:lineRule="auto"/>
              <w:jc w:val="center"/>
              <w:rPr>
                <w:rFonts w:eastAsia="Times New Roman" w:cs="Arial"/>
                <w:sz w:val="18"/>
                <w:szCs w:val="18"/>
                <w:lang w:val="es-HN" w:eastAsia="es-HN"/>
              </w:rPr>
            </w:pPr>
            <w:r w:rsidRPr="00CF0F96">
              <w:rPr>
                <w:rFonts w:eastAsia="Times New Roman" w:cs="Arial"/>
                <w:sz w:val="18"/>
                <w:szCs w:val="18"/>
                <w:lang w:val="es-HN" w:eastAsia="es-HN"/>
              </w:rPr>
              <w:t>10</w:t>
            </w:r>
          </w:p>
        </w:tc>
        <w:tc>
          <w:tcPr>
            <w:tcW w:w="1678" w:type="dxa"/>
            <w:tcBorders>
              <w:top w:val="nil"/>
              <w:left w:val="nil"/>
              <w:bottom w:val="single" w:sz="4" w:space="0" w:color="auto"/>
              <w:right w:val="single" w:sz="4" w:space="0" w:color="auto"/>
            </w:tcBorders>
            <w:shd w:val="clear" w:color="auto" w:fill="auto"/>
            <w:noWrap/>
            <w:vAlign w:val="bottom"/>
            <w:hideMark/>
          </w:tcPr>
          <w:p w14:paraId="66FCCED1" w14:textId="77777777" w:rsidR="006A3DBC" w:rsidRPr="00CF0F96" w:rsidRDefault="006A3DBC" w:rsidP="005F4A92">
            <w:pPr>
              <w:spacing w:after="0" w:line="240" w:lineRule="auto"/>
              <w:rPr>
                <w:rFonts w:eastAsia="Times New Roman" w:cs="Arial"/>
                <w:sz w:val="18"/>
                <w:szCs w:val="18"/>
                <w:lang w:val="es-HN" w:eastAsia="es-HN"/>
              </w:rPr>
            </w:pPr>
            <w:r w:rsidRPr="00CF0F96">
              <w:rPr>
                <w:rFonts w:eastAsia="Times New Roman" w:cs="Arial"/>
                <w:sz w:val="18"/>
                <w:szCs w:val="18"/>
                <w:lang w:val="es-HN" w:eastAsia="es-HN"/>
              </w:rPr>
              <w:t>Intibucá</w:t>
            </w:r>
          </w:p>
        </w:tc>
        <w:tc>
          <w:tcPr>
            <w:tcW w:w="1154" w:type="dxa"/>
            <w:tcBorders>
              <w:top w:val="nil"/>
              <w:left w:val="nil"/>
              <w:bottom w:val="single" w:sz="4" w:space="0" w:color="auto"/>
              <w:right w:val="single" w:sz="4" w:space="0" w:color="auto"/>
            </w:tcBorders>
            <w:shd w:val="clear" w:color="auto" w:fill="auto"/>
            <w:noWrap/>
            <w:vAlign w:val="bottom"/>
            <w:hideMark/>
          </w:tcPr>
          <w:p w14:paraId="0B972117"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832.23</w:t>
            </w:r>
          </w:p>
        </w:tc>
        <w:tc>
          <w:tcPr>
            <w:tcW w:w="1100" w:type="dxa"/>
            <w:tcBorders>
              <w:top w:val="nil"/>
              <w:left w:val="nil"/>
              <w:bottom w:val="single" w:sz="4" w:space="0" w:color="auto"/>
              <w:right w:val="single" w:sz="4" w:space="0" w:color="auto"/>
            </w:tcBorders>
            <w:shd w:val="clear" w:color="auto" w:fill="auto"/>
            <w:noWrap/>
            <w:vAlign w:val="bottom"/>
            <w:hideMark/>
          </w:tcPr>
          <w:p w14:paraId="3FDD17D1"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0</w:t>
            </w:r>
          </w:p>
        </w:tc>
        <w:tc>
          <w:tcPr>
            <w:tcW w:w="1227" w:type="dxa"/>
            <w:tcBorders>
              <w:top w:val="nil"/>
              <w:left w:val="nil"/>
              <w:bottom w:val="single" w:sz="4" w:space="0" w:color="auto"/>
              <w:right w:val="single" w:sz="4" w:space="0" w:color="auto"/>
            </w:tcBorders>
            <w:shd w:val="clear" w:color="auto" w:fill="auto"/>
            <w:noWrap/>
            <w:vAlign w:val="bottom"/>
            <w:hideMark/>
          </w:tcPr>
          <w:p w14:paraId="1FE78A10"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0</w:t>
            </w:r>
          </w:p>
        </w:tc>
        <w:tc>
          <w:tcPr>
            <w:tcW w:w="1451" w:type="dxa"/>
            <w:tcBorders>
              <w:top w:val="nil"/>
              <w:left w:val="nil"/>
              <w:bottom w:val="single" w:sz="4" w:space="0" w:color="auto"/>
              <w:right w:val="single" w:sz="4" w:space="0" w:color="auto"/>
            </w:tcBorders>
            <w:shd w:val="clear" w:color="auto" w:fill="auto"/>
            <w:noWrap/>
            <w:vAlign w:val="bottom"/>
            <w:hideMark/>
          </w:tcPr>
          <w:p w14:paraId="10A85930"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80.36</w:t>
            </w:r>
          </w:p>
        </w:tc>
        <w:tc>
          <w:tcPr>
            <w:tcW w:w="1154" w:type="dxa"/>
            <w:tcBorders>
              <w:top w:val="nil"/>
              <w:left w:val="nil"/>
              <w:bottom w:val="single" w:sz="4" w:space="0" w:color="auto"/>
              <w:right w:val="single" w:sz="4" w:space="0" w:color="auto"/>
            </w:tcBorders>
            <w:shd w:val="clear" w:color="auto" w:fill="auto"/>
            <w:noWrap/>
            <w:vAlign w:val="bottom"/>
            <w:hideMark/>
          </w:tcPr>
          <w:p w14:paraId="257243F5"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563.25</w:t>
            </w:r>
          </w:p>
        </w:tc>
        <w:tc>
          <w:tcPr>
            <w:tcW w:w="1124" w:type="dxa"/>
            <w:tcBorders>
              <w:top w:val="nil"/>
              <w:left w:val="nil"/>
              <w:bottom w:val="single" w:sz="4" w:space="0" w:color="auto"/>
              <w:right w:val="single" w:sz="4" w:space="0" w:color="auto"/>
            </w:tcBorders>
            <w:shd w:val="clear" w:color="auto" w:fill="auto"/>
            <w:noWrap/>
            <w:vAlign w:val="bottom"/>
            <w:hideMark/>
          </w:tcPr>
          <w:p w14:paraId="2BA5C65A"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188.62</w:t>
            </w:r>
          </w:p>
        </w:tc>
      </w:tr>
      <w:tr w:rsidR="00CF0F96" w:rsidRPr="00CF0F96" w14:paraId="5C5900AF" w14:textId="77777777" w:rsidTr="005F4A92">
        <w:trPr>
          <w:trHeight w:val="260"/>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14:paraId="3C772857" w14:textId="77777777" w:rsidR="006A3DBC" w:rsidRPr="00CF0F96" w:rsidRDefault="006A3DBC" w:rsidP="005F4A92">
            <w:pPr>
              <w:spacing w:after="0" w:line="240" w:lineRule="auto"/>
              <w:jc w:val="center"/>
              <w:rPr>
                <w:rFonts w:eastAsia="Times New Roman" w:cs="Arial"/>
                <w:sz w:val="18"/>
                <w:szCs w:val="18"/>
                <w:lang w:val="es-HN" w:eastAsia="es-HN"/>
              </w:rPr>
            </w:pPr>
            <w:r w:rsidRPr="00CF0F96">
              <w:rPr>
                <w:rFonts w:eastAsia="Times New Roman" w:cs="Arial"/>
                <w:sz w:val="18"/>
                <w:szCs w:val="18"/>
                <w:lang w:val="es-HN" w:eastAsia="es-HN"/>
              </w:rPr>
              <w:t>11</w:t>
            </w:r>
          </w:p>
        </w:tc>
        <w:tc>
          <w:tcPr>
            <w:tcW w:w="1678" w:type="dxa"/>
            <w:tcBorders>
              <w:top w:val="nil"/>
              <w:left w:val="nil"/>
              <w:bottom w:val="single" w:sz="4" w:space="0" w:color="auto"/>
              <w:right w:val="single" w:sz="4" w:space="0" w:color="auto"/>
            </w:tcBorders>
            <w:shd w:val="clear" w:color="auto" w:fill="auto"/>
            <w:noWrap/>
            <w:vAlign w:val="bottom"/>
            <w:hideMark/>
          </w:tcPr>
          <w:p w14:paraId="4253782F" w14:textId="77777777" w:rsidR="006A3DBC" w:rsidRPr="00CF0F96" w:rsidRDefault="006A3DBC" w:rsidP="005F4A92">
            <w:pPr>
              <w:spacing w:after="0" w:line="240" w:lineRule="auto"/>
              <w:rPr>
                <w:rFonts w:eastAsia="Times New Roman" w:cs="Arial"/>
                <w:sz w:val="18"/>
                <w:szCs w:val="18"/>
                <w:lang w:val="es-HN" w:eastAsia="es-HN"/>
              </w:rPr>
            </w:pPr>
            <w:r w:rsidRPr="00CF0F96">
              <w:rPr>
                <w:rFonts w:eastAsia="Times New Roman" w:cs="Arial"/>
                <w:sz w:val="18"/>
                <w:szCs w:val="18"/>
                <w:lang w:val="es-HN" w:eastAsia="es-HN"/>
              </w:rPr>
              <w:t>Islas de la Bahía</w:t>
            </w:r>
          </w:p>
        </w:tc>
        <w:tc>
          <w:tcPr>
            <w:tcW w:w="1154" w:type="dxa"/>
            <w:tcBorders>
              <w:top w:val="nil"/>
              <w:left w:val="nil"/>
              <w:bottom w:val="single" w:sz="4" w:space="0" w:color="auto"/>
              <w:right w:val="single" w:sz="4" w:space="0" w:color="auto"/>
            </w:tcBorders>
            <w:shd w:val="clear" w:color="auto" w:fill="auto"/>
            <w:noWrap/>
            <w:vAlign w:val="bottom"/>
            <w:hideMark/>
          </w:tcPr>
          <w:p w14:paraId="1736701A"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100.51</w:t>
            </w:r>
          </w:p>
        </w:tc>
        <w:tc>
          <w:tcPr>
            <w:tcW w:w="1100" w:type="dxa"/>
            <w:tcBorders>
              <w:top w:val="nil"/>
              <w:left w:val="nil"/>
              <w:bottom w:val="single" w:sz="4" w:space="0" w:color="auto"/>
              <w:right w:val="single" w:sz="4" w:space="0" w:color="auto"/>
            </w:tcBorders>
            <w:shd w:val="clear" w:color="auto" w:fill="auto"/>
            <w:noWrap/>
            <w:vAlign w:val="bottom"/>
            <w:hideMark/>
          </w:tcPr>
          <w:p w14:paraId="1E7764CC"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17.90</w:t>
            </w:r>
          </w:p>
        </w:tc>
        <w:tc>
          <w:tcPr>
            <w:tcW w:w="1227" w:type="dxa"/>
            <w:tcBorders>
              <w:top w:val="nil"/>
              <w:left w:val="nil"/>
              <w:bottom w:val="single" w:sz="4" w:space="0" w:color="auto"/>
              <w:right w:val="single" w:sz="4" w:space="0" w:color="auto"/>
            </w:tcBorders>
            <w:shd w:val="clear" w:color="auto" w:fill="auto"/>
            <w:noWrap/>
            <w:vAlign w:val="bottom"/>
            <w:hideMark/>
          </w:tcPr>
          <w:p w14:paraId="6562A74C"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6.2</w:t>
            </w:r>
          </w:p>
        </w:tc>
        <w:tc>
          <w:tcPr>
            <w:tcW w:w="1451" w:type="dxa"/>
            <w:tcBorders>
              <w:top w:val="nil"/>
              <w:left w:val="nil"/>
              <w:bottom w:val="single" w:sz="4" w:space="0" w:color="auto"/>
              <w:right w:val="single" w:sz="4" w:space="0" w:color="auto"/>
            </w:tcBorders>
            <w:shd w:val="clear" w:color="auto" w:fill="auto"/>
            <w:noWrap/>
            <w:vAlign w:val="bottom"/>
            <w:hideMark/>
          </w:tcPr>
          <w:p w14:paraId="14B8E980"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41.66</w:t>
            </w:r>
          </w:p>
        </w:tc>
        <w:tc>
          <w:tcPr>
            <w:tcW w:w="1154" w:type="dxa"/>
            <w:tcBorders>
              <w:top w:val="nil"/>
              <w:left w:val="nil"/>
              <w:bottom w:val="single" w:sz="4" w:space="0" w:color="auto"/>
              <w:right w:val="single" w:sz="4" w:space="0" w:color="auto"/>
            </w:tcBorders>
            <w:shd w:val="clear" w:color="auto" w:fill="auto"/>
            <w:noWrap/>
            <w:vAlign w:val="bottom"/>
            <w:hideMark/>
          </w:tcPr>
          <w:p w14:paraId="14E293A4"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20.55</w:t>
            </w:r>
          </w:p>
        </w:tc>
        <w:tc>
          <w:tcPr>
            <w:tcW w:w="1124" w:type="dxa"/>
            <w:tcBorders>
              <w:top w:val="nil"/>
              <w:left w:val="nil"/>
              <w:bottom w:val="single" w:sz="4" w:space="0" w:color="auto"/>
              <w:right w:val="single" w:sz="4" w:space="0" w:color="auto"/>
            </w:tcBorders>
            <w:shd w:val="clear" w:color="auto" w:fill="auto"/>
            <w:noWrap/>
            <w:vAlign w:val="bottom"/>
            <w:hideMark/>
          </w:tcPr>
          <w:p w14:paraId="5346C0A3"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14.20</w:t>
            </w:r>
          </w:p>
        </w:tc>
      </w:tr>
      <w:tr w:rsidR="00CF0F96" w:rsidRPr="00CF0F96" w14:paraId="384C7502" w14:textId="77777777" w:rsidTr="005F4A92">
        <w:trPr>
          <w:trHeight w:val="260"/>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14:paraId="5D7C20C0" w14:textId="77777777" w:rsidR="006A3DBC" w:rsidRPr="00CF0F96" w:rsidRDefault="006A3DBC" w:rsidP="005F4A92">
            <w:pPr>
              <w:spacing w:after="0" w:line="240" w:lineRule="auto"/>
              <w:jc w:val="center"/>
              <w:rPr>
                <w:rFonts w:eastAsia="Times New Roman" w:cs="Arial"/>
                <w:sz w:val="18"/>
                <w:szCs w:val="18"/>
                <w:lang w:val="es-HN" w:eastAsia="es-HN"/>
              </w:rPr>
            </w:pPr>
            <w:r w:rsidRPr="00CF0F96">
              <w:rPr>
                <w:rFonts w:eastAsia="Times New Roman" w:cs="Arial"/>
                <w:sz w:val="18"/>
                <w:szCs w:val="18"/>
                <w:lang w:val="es-HN" w:eastAsia="es-HN"/>
              </w:rPr>
              <w:t>12</w:t>
            </w:r>
          </w:p>
        </w:tc>
        <w:tc>
          <w:tcPr>
            <w:tcW w:w="1678" w:type="dxa"/>
            <w:tcBorders>
              <w:top w:val="nil"/>
              <w:left w:val="nil"/>
              <w:bottom w:val="single" w:sz="4" w:space="0" w:color="auto"/>
              <w:right w:val="single" w:sz="4" w:space="0" w:color="auto"/>
            </w:tcBorders>
            <w:shd w:val="clear" w:color="auto" w:fill="auto"/>
            <w:noWrap/>
            <w:vAlign w:val="bottom"/>
            <w:hideMark/>
          </w:tcPr>
          <w:p w14:paraId="7E014428" w14:textId="77777777" w:rsidR="006A3DBC" w:rsidRPr="00CF0F96" w:rsidRDefault="006A3DBC" w:rsidP="005F4A92">
            <w:pPr>
              <w:spacing w:after="0" w:line="240" w:lineRule="auto"/>
              <w:rPr>
                <w:rFonts w:eastAsia="Times New Roman" w:cs="Arial"/>
                <w:sz w:val="18"/>
                <w:szCs w:val="18"/>
                <w:lang w:val="es-HN" w:eastAsia="es-HN"/>
              </w:rPr>
            </w:pPr>
            <w:r w:rsidRPr="00CF0F96">
              <w:rPr>
                <w:rFonts w:eastAsia="Times New Roman" w:cs="Arial"/>
                <w:sz w:val="18"/>
                <w:szCs w:val="18"/>
                <w:lang w:val="es-HN" w:eastAsia="es-HN"/>
              </w:rPr>
              <w:t>La Paz</w:t>
            </w:r>
          </w:p>
        </w:tc>
        <w:tc>
          <w:tcPr>
            <w:tcW w:w="1154" w:type="dxa"/>
            <w:tcBorders>
              <w:top w:val="nil"/>
              <w:left w:val="nil"/>
              <w:bottom w:val="single" w:sz="4" w:space="0" w:color="auto"/>
              <w:right w:val="single" w:sz="4" w:space="0" w:color="auto"/>
            </w:tcBorders>
            <w:shd w:val="clear" w:color="auto" w:fill="auto"/>
            <w:noWrap/>
            <w:vAlign w:val="bottom"/>
            <w:hideMark/>
          </w:tcPr>
          <w:p w14:paraId="11A0ADA4"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530.00</w:t>
            </w:r>
          </w:p>
        </w:tc>
        <w:tc>
          <w:tcPr>
            <w:tcW w:w="1100" w:type="dxa"/>
            <w:tcBorders>
              <w:top w:val="nil"/>
              <w:left w:val="nil"/>
              <w:bottom w:val="single" w:sz="4" w:space="0" w:color="auto"/>
              <w:right w:val="single" w:sz="4" w:space="0" w:color="auto"/>
            </w:tcBorders>
            <w:shd w:val="clear" w:color="auto" w:fill="auto"/>
            <w:noWrap/>
            <w:vAlign w:val="bottom"/>
            <w:hideMark/>
          </w:tcPr>
          <w:p w14:paraId="5C3230D6"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2.82</w:t>
            </w:r>
          </w:p>
        </w:tc>
        <w:tc>
          <w:tcPr>
            <w:tcW w:w="1227" w:type="dxa"/>
            <w:tcBorders>
              <w:top w:val="nil"/>
              <w:left w:val="nil"/>
              <w:bottom w:val="single" w:sz="4" w:space="0" w:color="auto"/>
              <w:right w:val="single" w:sz="4" w:space="0" w:color="auto"/>
            </w:tcBorders>
            <w:shd w:val="clear" w:color="auto" w:fill="auto"/>
            <w:noWrap/>
            <w:vAlign w:val="bottom"/>
            <w:hideMark/>
          </w:tcPr>
          <w:p w14:paraId="0C886DCB"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3.12</w:t>
            </w:r>
          </w:p>
        </w:tc>
        <w:tc>
          <w:tcPr>
            <w:tcW w:w="1451" w:type="dxa"/>
            <w:tcBorders>
              <w:top w:val="nil"/>
              <w:left w:val="nil"/>
              <w:bottom w:val="single" w:sz="4" w:space="0" w:color="auto"/>
              <w:right w:val="single" w:sz="4" w:space="0" w:color="auto"/>
            </w:tcBorders>
            <w:shd w:val="clear" w:color="auto" w:fill="auto"/>
            <w:noWrap/>
            <w:vAlign w:val="bottom"/>
            <w:hideMark/>
          </w:tcPr>
          <w:p w14:paraId="68E8B55F"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89.33</w:t>
            </w:r>
          </w:p>
        </w:tc>
        <w:tc>
          <w:tcPr>
            <w:tcW w:w="1154" w:type="dxa"/>
            <w:tcBorders>
              <w:top w:val="nil"/>
              <w:left w:val="nil"/>
              <w:bottom w:val="single" w:sz="4" w:space="0" w:color="auto"/>
              <w:right w:val="single" w:sz="4" w:space="0" w:color="auto"/>
            </w:tcBorders>
            <w:shd w:val="clear" w:color="auto" w:fill="auto"/>
            <w:noWrap/>
            <w:vAlign w:val="bottom"/>
            <w:hideMark/>
          </w:tcPr>
          <w:p w14:paraId="4282F94B"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319.96</w:t>
            </w:r>
          </w:p>
        </w:tc>
        <w:tc>
          <w:tcPr>
            <w:tcW w:w="1124" w:type="dxa"/>
            <w:tcBorders>
              <w:top w:val="nil"/>
              <w:left w:val="nil"/>
              <w:bottom w:val="single" w:sz="4" w:space="0" w:color="auto"/>
              <w:right w:val="single" w:sz="4" w:space="0" w:color="auto"/>
            </w:tcBorders>
            <w:shd w:val="clear" w:color="auto" w:fill="auto"/>
            <w:noWrap/>
            <w:vAlign w:val="bottom"/>
            <w:hideMark/>
          </w:tcPr>
          <w:p w14:paraId="35A28EC9"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114.77</w:t>
            </w:r>
          </w:p>
        </w:tc>
      </w:tr>
      <w:tr w:rsidR="00CF0F96" w:rsidRPr="00CF0F96" w14:paraId="11902616" w14:textId="77777777" w:rsidTr="005F4A92">
        <w:trPr>
          <w:trHeight w:val="260"/>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14:paraId="6831AC36" w14:textId="77777777" w:rsidR="006A3DBC" w:rsidRPr="00CF0F96" w:rsidRDefault="006A3DBC" w:rsidP="005F4A92">
            <w:pPr>
              <w:spacing w:after="0" w:line="240" w:lineRule="auto"/>
              <w:jc w:val="center"/>
              <w:rPr>
                <w:rFonts w:eastAsia="Times New Roman" w:cs="Arial"/>
                <w:sz w:val="18"/>
                <w:szCs w:val="18"/>
                <w:lang w:val="es-HN" w:eastAsia="es-HN"/>
              </w:rPr>
            </w:pPr>
            <w:r w:rsidRPr="00CF0F96">
              <w:rPr>
                <w:rFonts w:eastAsia="Times New Roman" w:cs="Arial"/>
                <w:sz w:val="18"/>
                <w:szCs w:val="18"/>
                <w:lang w:val="es-HN" w:eastAsia="es-HN"/>
              </w:rPr>
              <w:t>13</w:t>
            </w:r>
          </w:p>
        </w:tc>
        <w:tc>
          <w:tcPr>
            <w:tcW w:w="1678" w:type="dxa"/>
            <w:tcBorders>
              <w:top w:val="nil"/>
              <w:left w:val="nil"/>
              <w:bottom w:val="single" w:sz="4" w:space="0" w:color="auto"/>
              <w:right w:val="single" w:sz="4" w:space="0" w:color="auto"/>
            </w:tcBorders>
            <w:shd w:val="clear" w:color="auto" w:fill="auto"/>
            <w:noWrap/>
            <w:vAlign w:val="bottom"/>
            <w:hideMark/>
          </w:tcPr>
          <w:p w14:paraId="54A86F54" w14:textId="77777777" w:rsidR="006A3DBC" w:rsidRPr="00CF0F96" w:rsidRDefault="006A3DBC" w:rsidP="005F4A92">
            <w:pPr>
              <w:spacing w:after="0" w:line="240" w:lineRule="auto"/>
              <w:rPr>
                <w:rFonts w:eastAsia="Times New Roman" w:cs="Arial"/>
                <w:sz w:val="18"/>
                <w:szCs w:val="18"/>
                <w:lang w:val="es-HN" w:eastAsia="es-HN"/>
              </w:rPr>
            </w:pPr>
            <w:r w:rsidRPr="00CF0F96">
              <w:rPr>
                <w:rFonts w:eastAsia="Times New Roman" w:cs="Arial"/>
                <w:sz w:val="18"/>
                <w:szCs w:val="18"/>
                <w:lang w:val="es-HN" w:eastAsia="es-HN"/>
              </w:rPr>
              <w:t>Lempira</w:t>
            </w:r>
          </w:p>
        </w:tc>
        <w:tc>
          <w:tcPr>
            <w:tcW w:w="1154" w:type="dxa"/>
            <w:tcBorders>
              <w:top w:val="nil"/>
              <w:left w:val="nil"/>
              <w:bottom w:val="single" w:sz="4" w:space="0" w:color="auto"/>
              <w:right w:val="single" w:sz="4" w:space="0" w:color="auto"/>
            </w:tcBorders>
            <w:shd w:val="clear" w:color="auto" w:fill="auto"/>
            <w:noWrap/>
            <w:vAlign w:val="bottom"/>
            <w:hideMark/>
          </w:tcPr>
          <w:p w14:paraId="5CC3CFF1"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719.87</w:t>
            </w:r>
          </w:p>
        </w:tc>
        <w:tc>
          <w:tcPr>
            <w:tcW w:w="1100" w:type="dxa"/>
            <w:tcBorders>
              <w:top w:val="nil"/>
              <w:left w:val="nil"/>
              <w:bottom w:val="single" w:sz="4" w:space="0" w:color="auto"/>
              <w:right w:val="single" w:sz="4" w:space="0" w:color="auto"/>
            </w:tcBorders>
            <w:shd w:val="clear" w:color="auto" w:fill="auto"/>
            <w:noWrap/>
            <w:vAlign w:val="bottom"/>
            <w:hideMark/>
          </w:tcPr>
          <w:p w14:paraId="5F0D3601"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2.98</w:t>
            </w:r>
          </w:p>
        </w:tc>
        <w:tc>
          <w:tcPr>
            <w:tcW w:w="1227" w:type="dxa"/>
            <w:tcBorders>
              <w:top w:val="nil"/>
              <w:left w:val="nil"/>
              <w:bottom w:val="single" w:sz="4" w:space="0" w:color="auto"/>
              <w:right w:val="single" w:sz="4" w:space="0" w:color="auto"/>
            </w:tcBorders>
            <w:shd w:val="clear" w:color="auto" w:fill="auto"/>
            <w:noWrap/>
            <w:vAlign w:val="bottom"/>
            <w:hideMark/>
          </w:tcPr>
          <w:p w14:paraId="18DD9BF5"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0</w:t>
            </w:r>
          </w:p>
        </w:tc>
        <w:tc>
          <w:tcPr>
            <w:tcW w:w="1451" w:type="dxa"/>
            <w:tcBorders>
              <w:top w:val="nil"/>
              <w:left w:val="nil"/>
              <w:bottom w:val="single" w:sz="4" w:space="0" w:color="auto"/>
              <w:right w:val="single" w:sz="4" w:space="0" w:color="auto"/>
            </w:tcBorders>
            <w:shd w:val="clear" w:color="auto" w:fill="auto"/>
            <w:noWrap/>
            <w:vAlign w:val="bottom"/>
            <w:hideMark/>
          </w:tcPr>
          <w:p w14:paraId="08B4C672"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95.44</w:t>
            </w:r>
          </w:p>
        </w:tc>
        <w:tc>
          <w:tcPr>
            <w:tcW w:w="1154" w:type="dxa"/>
            <w:tcBorders>
              <w:top w:val="nil"/>
              <w:left w:val="nil"/>
              <w:bottom w:val="single" w:sz="4" w:space="0" w:color="auto"/>
              <w:right w:val="single" w:sz="4" w:space="0" w:color="auto"/>
            </w:tcBorders>
            <w:shd w:val="clear" w:color="auto" w:fill="auto"/>
            <w:noWrap/>
            <w:vAlign w:val="bottom"/>
            <w:hideMark/>
          </w:tcPr>
          <w:p w14:paraId="1A2DBEFC"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495.64</w:t>
            </w:r>
          </w:p>
        </w:tc>
        <w:tc>
          <w:tcPr>
            <w:tcW w:w="1124" w:type="dxa"/>
            <w:tcBorders>
              <w:top w:val="nil"/>
              <w:left w:val="nil"/>
              <w:bottom w:val="single" w:sz="4" w:space="0" w:color="auto"/>
              <w:right w:val="single" w:sz="4" w:space="0" w:color="auto"/>
            </w:tcBorders>
            <w:shd w:val="clear" w:color="auto" w:fill="auto"/>
            <w:noWrap/>
            <w:vAlign w:val="bottom"/>
            <w:hideMark/>
          </w:tcPr>
          <w:p w14:paraId="68048C88"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125.81</w:t>
            </w:r>
          </w:p>
        </w:tc>
      </w:tr>
      <w:tr w:rsidR="00CF0F96" w:rsidRPr="00CF0F96" w14:paraId="674B84AB" w14:textId="77777777" w:rsidTr="005F4A92">
        <w:trPr>
          <w:trHeight w:val="260"/>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14:paraId="6211C3F3" w14:textId="77777777" w:rsidR="006A3DBC" w:rsidRPr="00CF0F96" w:rsidRDefault="006A3DBC" w:rsidP="005F4A92">
            <w:pPr>
              <w:spacing w:after="0" w:line="240" w:lineRule="auto"/>
              <w:jc w:val="center"/>
              <w:rPr>
                <w:rFonts w:eastAsia="Times New Roman" w:cs="Arial"/>
                <w:sz w:val="18"/>
                <w:szCs w:val="18"/>
                <w:lang w:val="es-HN" w:eastAsia="es-HN"/>
              </w:rPr>
            </w:pPr>
            <w:r w:rsidRPr="00CF0F96">
              <w:rPr>
                <w:rFonts w:eastAsia="Times New Roman" w:cs="Arial"/>
                <w:sz w:val="18"/>
                <w:szCs w:val="18"/>
                <w:lang w:val="es-HN" w:eastAsia="es-HN"/>
              </w:rPr>
              <w:t>14</w:t>
            </w:r>
          </w:p>
        </w:tc>
        <w:tc>
          <w:tcPr>
            <w:tcW w:w="1678" w:type="dxa"/>
            <w:tcBorders>
              <w:top w:val="nil"/>
              <w:left w:val="nil"/>
              <w:bottom w:val="single" w:sz="4" w:space="0" w:color="auto"/>
              <w:right w:val="single" w:sz="4" w:space="0" w:color="auto"/>
            </w:tcBorders>
            <w:shd w:val="clear" w:color="auto" w:fill="auto"/>
            <w:noWrap/>
            <w:vAlign w:val="bottom"/>
            <w:hideMark/>
          </w:tcPr>
          <w:p w14:paraId="5E9736B0" w14:textId="77777777" w:rsidR="006A3DBC" w:rsidRPr="00CF0F96" w:rsidRDefault="006A3DBC" w:rsidP="005F4A92">
            <w:pPr>
              <w:spacing w:after="0" w:line="240" w:lineRule="auto"/>
              <w:rPr>
                <w:rFonts w:eastAsia="Times New Roman" w:cs="Arial"/>
                <w:sz w:val="18"/>
                <w:szCs w:val="18"/>
                <w:lang w:val="es-HN" w:eastAsia="es-HN"/>
              </w:rPr>
            </w:pPr>
            <w:r w:rsidRPr="00CF0F96">
              <w:rPr>
                <w:rFonts w:eastAsia="Times New Roman" w:cs="Arial"/>
                <w:sz w:val="18"/>
                <w:szCs w:val="18"/>
                <w:lang w:val="es-HN" w:eastAsia="es-HN"/>
              </w:rPr>
              <w:t>Ocotepeque</w:t>
            </w:r>
          </w:p>
        </w:tc>
        <w:tc>
          <w:tcPr>
            <w:tcW w:w="1154" w:type="dxa"/>
            <w:tcBorders>
              <w:top w:val="nil"/>
              <w:left w:val="nil"/>
              <w:bottom w:val="single" w:sz="4" w:space="0" w:color="auto"/>
              <w:right w:val="single" w:sz="4" w:space="0" w:color="auto"/>
            </w:tcBorders>
            <w:shd w:val="clear" w:color="auto" w:fill="auto"/>
            <w:noWrap/>
            <w:vAlign w:val="bottom"/>
            <w:hideMark/>
          </w:tcPr>
          <w:p w14:paraId="6A19EFFA"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469.87</w:t>
            </w:r>
          </w:p>
        </w:tc>
        <w:tc>
          <w:tcPr>
            <w:tcW w:w="1100" w:type="dxa"/>
            <w:tcBorders>
              <w:top w:val="nil"/>
              <w:left w:val="nil"/>
              <w:bottom w:val="single" w:sz="4" w:space="0" w:color="auto"/>
              <w:right w:val="single" w:sz="4" w:space="0" w:color="auto"/>
            </w:tcBorders>
            <w:shd w:val="clear" w:color="auto" w:fill="auto"/>
            <w:noWrap/>
            <w:vAlign w:val="bottom"/>
            <w:hideMark/>
          </w:tcPr>
          <w:p w14:paraId="00183532"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85.10</w:t>
            </w:r>
          </w:p>
        </w:tc>
        <w:tc>
          <w:tcPr>
            <w:tcW w:w="1227" w:type="dxa"/>
            <w:tcBorders>
              <w:top w:val="nil"/>
              <w:left w:val="nil"/>
              <w:bottom w:val="single" w:sz="4" w:space="0" w:color="auto"/>
              <w:right w:val="single" w:sz="4" w:space="0" w:color="auto"/>
            </w:tcBorders>
            <w:shd w:val="clear" w:color="auto" w:fill="auto"/>
            <w:noWrap/>
            <w:vAlign w:val="bottom"/>
            <w:hideMark/>
          </w:tcPr>
          <w:p w14:paraId="3BBD7DCE"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1.60</w:t>
            </w:r>
          </w:p>
        </w:tc>
        <w:tc>
          <w:tcPr>
            <w:tcW w:w="1451" w:type="dxa"/>
            <w:tcBorders>
              <w:top w:val="nil"/>
              <w:left w:val="nil"/>
              <w:bottom w:val="single" w:sz="4" w:space="0" w:color="auto"/>
              <w:right w:val="single" w:sz="4" w:space="0" w:color="auto"/>
            </w:tcBorders>
            <w:shd w:val="clear" w:color="auto" w:fill="auto"/>
            <w:noWrap/>
            <w:vAlign w:val="bottom"/>
            <w:hideMark/>
          </w:tcPr>
          <w:p w14:paraId="6F901BFB"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29.28</w:t>
            </w:r>
          </w:p>
        </w:tc>
        <w:tc>
          <w:tcPr>
            <w:tcW w:w="1154" w:type="dxa"/>
            <w:tcBorders>
              <w:top w:val="nil"/>
              <w:left w:val="nil"/>
              <w:bottom w:val="single" w:sz="4" w:space="0" w:color="auto"/>
              <w:right w:val="single" w:sz="4" w:space="0" w:color="auto"/>
            </w:tcBorders>
            <w:shd w:val="clear" w:color="auto" w:fill="auto"/>
            <w:noWrap/>
            <w:vAlign w:val="bottom"/>
            <w:hideMark/>
          </w:tcPr>
          <w:p w14:paraId="068E52FD"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299.69</w:t>
            </w:r>
          </w:p>
        </w:tc>
        <w:tc>
          <w:tcPr>
            <w:tcW w:w="1124" w:type="dxa"/>
            <w:tcBorders>
              <w:top w:val="nil"/>
              <w:left w:val="nil"/>
              <w:bottom w:val="single" w:sz="4" w:space="0" w:color="auto"/>
              <w:right w:val="single" w:sz="4" w:space="0" w:color="auto"/>
            </w:tcBorders>
            <w:shd w:val="clear" w:color="auto" w:fill="auto"/>
            <w:noWrap/>
            <w:vAlign w:val="bottom"/>
            <w:hideMark/>
          </w:tcPr>
          <w:p w14:paraId="1D126F7B"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54.20</w:t>
            </w:r>
          </w:p>
        </w:tc>
      </w:tr>
      <w:tr w:rsidR="00CF0F96" w:rsidRPr="00CF0F96" w14:paraId="5C92BAA0" w14:textId="77777777" w:rsidTr="005F4A92">
        <w:trPr>
          <w:trHeight w:val="77"/>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14:paraId="572D7CCB" w14:textId="77777777" w:rsidR="006A3DBC" w:rsidRPr="00CF0F96" w:rsidRDefault="006A3DBC" w:rsidP="005F4A92">
            <w:pPr>
              <w:spacing w:after="0" w:line="240" w:lineRule="auto"/>
              <w:jc w:val="center"/>
              <w:rPr>
                <w:rFonts w:eastAsia="Times New Roman" w:cs="Arial"/>
                <w:sz w:val="18"/>
                <w:szCs w:val="18"/>
                <w:lang w:val="es-HN" w:eastAsia="es-HN"/>
              </w:rPr>
            </w:pPr>
            <w:r w:rsidRPr="00CF0F96">
              <w:rPr>
                <w:rFonts w:eastAsia="Times New Roman" w:cs="Arial"/>
                <w:sz w:val="18"/>
                <w:szCs w:val="18"/>
                <w:lang w:val="es-HN" w:eastAsia="es-HN"/>
              </w:rPr>
              <w:t>15</w:t>
            </w:r>
          </w:p>
        </w:tc>
        <w:tc>
          <w:tcPr>
            <w:tcW w:w="1678" w:type="dxa"/>
            <w:tcBorders>
              <w:top w:val="nil"/>
              <w:left w:val="nil"/>
              <w:bottom w:val="single" w:sz="4" w:space="0" w:color="auto"/>
              <w:right w:val="single" w:sz="4" w:space="0" w:color="auto"/>
            </w:tcBorders>
            <w:shd w:val="clear" w:color="auto" w:fill="auto"/>
            <w:noWrap/>
            <w:vAlign w:val="bottom"/>
            <w:hideMark/>
          </w:tcPr>
          <w:p w14:paraId="07196E70" w14:textId="77777777" w:rsidR="006A3DBC" w:rsidRPr="00CF0F96" w:rsidRDefault="006A3DBC" w:rsidP="005F4A92">
            <w:pPr>
              <w:spacing w:after="0" w:line="240" w:lineRule="auto"/>
              <w:rPr>
                <w:rFonts w:eastAsia="Times New Roman" w:cs="Arial"/>
                <w:sz w:val="18"/>
                <w:szCs w:val="18"/>
                <w:lang w:val="es-HN" w:eastAsia="es-HN"/>
              </w:rPr>
            </w:pPr>
            <w:r w:rsidRPr="00CF0F96">
              <w:rPr>
                <w:rFonts w:eastAsia="Times New Roman" w:cs="Arial"/>
                <w:sz w:val="18"/>
                <w:szCs w:val="18"/>
                <w:lang w:val="es-HN" w:eastAsia="es-HN"/>
              </w:rPr>
              <w:t>Olancho</w:t>
            </w:r>
          </w:p>
        </w:tc>
        <w:tc>
          <w:tcPr>
            <w:tcW w:w="1154" w:type="dxa"/>
            <w:tcBorders>
              <w:top w:val="nil"/>
              <w:left w:val="nil"/>
              <w:bottom w:val="single" w:sz="4" w:space="0" w:color="auto"/>
              <w:right w:val="single" w:sz="4" w:space="0" w:color="auto"/>
            </w:tcBorders>
            <w:shd w:val="clear" w:color="auto" w:fill="auto"/>
            <w:noWrap/>
            <w:vAlign w:val="bottom"/>
            <w:hideMark/>
          </w:tcPr>
          <w:p w14:paraId="75AE675F" w14:textId="36D447D8"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2</w:t>
            </w:r>
            <w:r w:rsidR="00FA2E2D" w:rsidRPr="00CF0F96">
              <w:rPr>
                <w:rFonts w:eastAsia="Times New Roman" w:cs="Arial"/>
                <w:sz w:val="18"/>
                <w:szCs w:val="18"/>
                <w:lang w:val="es-HN" w:eastAsia="es-HN"/>
              </w:rPr>
              <w:t>,</w:t>
            </w:r>
            <w:r w:rsidRPr="00CF0F96">
              <w:rPr>
                <w:rFonts w:eastAsia="Times New Roman" w:cs="Arial"/>
                <w:sz w:val="18"/>
                <w:szCs w:val="18"/>
                <w:lang w:val="es-HN" w:eastAsia="es-HN"/>
              </w:rPr>
              <w:t>115.04</w:t>
            </w:r>
          </w:p>
        </w:tc>
        <w:tc>
          <w:tcPr>
            <w:tcW w:w="1100" w:type="dxa"/>
            <w:tcBorders>
              <w:top w:val="nil"/>
              <w:left w:val="nil"/>
              <w:bottom w:val="single" w:sz="4" w:space="0" w:color="auto"/>
              <w:right w:val="single" w:sz="4" w:space="0" w:color="auto"/>
            </w:tcBorders>
            <w:shd w:val="clear" w:color="auto" w:fill="auto"/>
            <w:noWrap/>
            <w:vAlign w:val="bottom"/>
            <w:hideMark/>
          </w:tcPr>
          <w:p w14:paraId="3EC0998E"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74.76</w:t>
            </w:r>
          </w:p>
        </w:tc>
        <w:tc>
          <w:tcPr>
            <w:tcW w:w="1227" w:type="dxa"/>
            <w:tcBorders>
              <w:top w:val="nil"/>
              <w:left w:val="nil"/>
              <w:bottom w:val="single" w:sz="4" w:space="0" w:color="auto"/>
              <w:right w:val="single" w:sz="4" w:space="0" w:color="auto"/>
            </w:tcBorders>
            <w:shd w:val="clear" w:color="auto" w:fill="auto"/>
            <w:noWrap/>
            <w:vAlign w:val="bottom"/>
            <w:hideMark/>
          </w:tcPr>
          <w:p w14:paraId="7DCFA1BE"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42.20</w:t>
            </w:r>
          </w:p>
        </w:tc>
        <w:tc>
          <w:tcPr>
            <w:tcW w:w="1451" w:type="dxa"/>
            <w:tcBorders>
              <w:top w:val="nil"/>
              <w:left w:val="nil"/>
              <w:bottom w:val="single" w:sz="4" w:space="0" w:color="auto"/>
              <w:right w:val="single" w:sz="4" w:space="0" w:color="auto"/>
            </w:tcBorders>
            <w:shd w:val="clear" w:color="auto" w:fill="auto"/>
            <w:noWrap/>
            <w:vAlign w:val="bottom"/>
            <w:hideMark/>
          </w:tcPr>
          <w:p w14:paraId="217CE8F7"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169.70</w:t>
            </w:r>
          </w:p>
        </w:tc>
        <w:tc>
          <w:tcPr>
            <w:tcW w:w="1154" w:type="dxa"/>
            <w:tcBorders>
              <w:top w:val="nil"/>
              <w:left w:val="nil"/>
              <w:bottom w:val="single" w:sz="4" w:space="0" w:color="auto"/>
              <w:right w:val="single" w:sz="4" w:space="0" w:color="auto"/>
            </w:tcBorders>
            <w:shd w:val="clear" w:color="auto" w:fill="auto"/>
            <w:noWrap/>
            <w:vAlign w:val="bottom"/>
            <w:hideMark/>
          </w:tcPr>
          <w:p w14:paraId="500217C8"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1447.88</w:t>
            </w:r>
          </w:p>
        </w:tc>
        <w:tc>
          <w:tcPr>
            <w:tcW w:w="1124" w:type="dxa"/>
            <w:tcBorders>
              <w:top w:val="nil"/>
              <w:left w:val="nil"/>
              <w:bottom w:val="single" w:sz="4" w:space="0" w:color="auto"/>
              <w:right w:val="single" w:sz="4" w:space="0" w:color="auto"/>
            </w:tcBorders>
            <w:shd w:val="clear" w:color="auto" w:fill="auto"/>
            <w:noWrap/>
            <w:vAlign w:val="bottom"/>
            <w:hideMark/>
          </w:tcPr>
          <w:p w14:paraId="7B573B81"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380.50</w:t>
            </w:r>
          </w:p>
        </w:tc>
      </w:tr>
      <w:tr w:rsidR="00CF0F96" w:rsidRPr="00CF0F96" w14:paraId="2F5F9920" w14:textId="77777777" w:rsidTr="005F4A92">
        <w:trPr>
          <w:trHeight w:val="260"/>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14:paraId="040E6239" w14:textId="77777777" w:rsidR="006A3DBC" w:rsidRPr="00CF0F96" w:rsidRDefault="006A3DBC" w:rsidP="005F4A92">
            <w:pPr>
              <w:spacing w:after="0" w:line="240" w:lineRule="auto"/>
              <w:jc w:val="center"/>
              <w:rPr>
                <w:rFonts w:eastAsia="Times New Roman" w:cs="Arial"/>
                <w:sz w:val="18"/>
                <w:szCs w:val="18"/>
                <w:lang w:val="es-HN" w:eastAsia="es-HN"/>
              </w:rPr>
            </w:pPr>
            <w:r w:rsidRPr="00CF0F96">
              <w:rPr>
                <w:rFonts w:eastAsia="Times New Roman" w:cs="Arial"/>
                <w:sz w:val="18"/>
                <w:szCs w:val="18"/>
                <w:lang w:val="es-HN" w:eastAsia="es-HN"/>
              </w:rPr>
              <w:t>16</w:t>
            </w:r>
          </w:p>
        </w:tc>
        <w:tc>
          <w:tcPr>
            <w:tcW w:w="1678" w:type="dxa"/>
            <w:tcBorders>
              <w:top w:val="nil"/>
              <w:left w:val="nil"/>
              <w:bottom w:val="single" w:sz="4" w:space="0" w:color="auto"/>
              <w:right w:val="single" w:sz="4" w:space="0" w:color="auto"/>
            </w:tcBorders>
            <w:shd w:val="clear" w:color="auto" w:fill="auto"/>
            <w:noWrap/>
            <w:vAlign w:val="bottom"/>
            <w:hideMark/>
          </w:tcPr>
          <w:p w14:paraId="36DACCDF" w14:textId="77777777" w:rsidR="006A3DBC" w:rsidRPr="00CF0F96" w:rsidRDefault="006A3DBC" w:rsidP="005F4A92">
            <w:pPr>
              <w:spacing w:after="0" w:line="240" w:lineRule="auto"/>
              <w:rPr>
                <w:rFonts w:eastAsia="Times New Roman" w:cs="Arial"/>
                <w:sz w:val="18"/>
                <w:szCs w:val="18"/>
                <w:lang w:val="es-HN" w:eastAsia="es-HN"/>
              </w:rPr>
            </w:pPr>
            <w:r w:rsidRPr="00CF0F96">
              <w:rPr>
                <w:rFonts w:eastAsia="Times New Roman" w:cs="Arial"/>
                <w:sz w:val="18"/>
                <w:szCs w:val="18"/>
                <w:lang w:val="es-HN" w:eastAsia="es-HN"/>
              </w:rPr>
              <w:t>Santa Bárbara</w:t>
            </w:r>
          </w:p>
        </w:tc>
        <w:tc>
          <w:tcPr>
            <w:tcW w:w="1154" w:type="dxa"/>
            <w:tcBorders>
              <w:top w:val="nil"/>
              <w:left w:val="nil"/>
              <w:bottom w:val="single" w:sz="4" w:space="0" w:color="auto"/>
              <w:right w:val="single" w:sz="4" w:space="0" w:color="auto"/>
            </w:tcBorders>
            <w:shd w:val="clear" w:color="auto" w:fill="auto"/>
            <w:noWrap/>
            <w:vAlign w:val="bottom"/>
            <w:hideMark/>
          </w:tcPr>
          <w:p w14:paraId="02F24847" w14:textId="402E1958"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1</w:t>
            </w:r>
            <w:r w:rsidR="00FA2E2D" w:rsidRPr="00CF0F96">
              <w:rPr>
                <w:rFonts w:eastAsia="Times New Roman" w:cs="Arial"/>
                <w:sz w:val="18"/>
                <w:szCs w:val="18"/>
                <w:lang w:val="es-HN" w:eastAsia="es-HN"/>
              </w:rPr>
              <w:t>,</w:t>
            </w:r>
            <w:r w:rsidRPr="00CF0F96">
              <w:rPr>
                <w:rFonts w:eastAsia="Times New Roman" w:cs="Arial"/>
                <w:sz w:val="18"/>
                <w:szCs w:val="18"/>
                <w:lang w:val="es-HN" w:eastAsia="es-HN"/>
              </w:rPr>
              <w:t>322.97</w:t>
            </w:r>
          </w:p>
        </w:tc>
        <w:tc>
          <w:tcPr>
            <w:tcW w:w="1100" w:type="dxa"/>
            <w:tcBorders>
              <w:top w:val="nil"/>
              <w:left w:val="nil"/>
              <w:bottom w:val="single" w:sz="4" w:space="0" w:color="auto"/>
              <w:right w:val="single" w:sz="4" w:space="0" w:color="auto"/>
            </w:tcBorders>
            <w:shd w:val="clear" w:color="auto" w:fill="auto"/>
            <w:noWrap/>
            <w:vAlign w:val="bottom"/>
            <w:hideMark/>
          </w:tcPr>
          <w:p w14:paraId="23CB874A"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67.68</w:t>
            </w:r>
          </w:p>
        </w:tc>
        <w:tc>
          <w:tcPr>
            <w:tcW w:w="1227" w:type="dxa"/>
            <w:tcBorders>
              <w:top w:val="nil"/>
              <w:left w:val="nil"/>
              <w:bottom w:val="single" w:sz="4" w:space="0" w:color="auto"/>
              <w:right w:val="single" w:sz="4" w:space="0" w:color="auto"/>
            </w:tcBorders>
            <w:shd w:val="clear" w:color="auto" w:fill="auto"/>
            <w:noWrap/>
            <w:vAlign w:val="bottom"/>
            <w:hideMark/>
          </w:tcPr>
          <w:p w14:paraId="5211DDE7"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15.40</w:t>
            </w:r>
          </w:p>
        </w:tc>
        <w:tc>
          <w:tcPr>
            <w:tcW w:w="1451" w:type="dxa"/>
            <w:tcBorders>
              <w:top w:val="nil"/>
              <w:left w:val="nil"/>
              <w:bottom w:val="single" w:sz="4" w:space="0" w:color="auto"/>
              <w:right w:val="single" w:sz="4" w:space="0" w:color="auto"/>
            </w:tcBorders>
            <w:shd w:val="clear" w:color="auto" w:fill="auto"/>
            <w:noWrap/>
            <w:vAlign w:val="bottom"/>
            <w:hideMark/>
          </w:tcPr>
          <w:p w14:paraId="127AC45B"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168.27</w:t>
            </w:r>
          </w:p>
        </w:tc>
        <w:tc>
          <w:tcPr>
            <w:tcW w:w="1154" w:type="dxa"/>
            <w:tcBorders>
              <w:top w:val="nil"/>
              <w:left w:val="nil"/>
              <w:bottom w:val="single" w:sz="4" w:space="0" w:color="auto"/>
              <w:right w:val="single" w:sz="4" w:space="0" w:color="auto"/>
            </w:tcBorders>
            <w:shd w:val="clear" w:color="auto" w:fill="auto"/>
            <w:noWrap/>
            <w:vAlign w:val="bottom"/>
            <w:hideMark/>
          </w:tcPr>
          <w:p w14:paraId="0ACB9DF2"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924.55</w:t>
            </w:r>
          </w:p>
        </w:tc>
        <w:tc>
          <w:tcPr>
            <w:tcW w:w="1124" w:type="dxa"/>
            <w:tcBorders>
              <w:top w:val="nil"/>
              <w:left w:val="nil"/>
              <w:bottom w:val="single" w:sz="4" w:space="0" w:color="auto"/>
              <w:right w:val="single" w:sz="4" w:space="0" w:color="auto"/>
            </w:tcBorders>
            <w:shd w:val="clear" w:color="auto" w:fill="auto"/>
            <w:noWrap/>
            <w:vAlign w:val="bottom"/>
            <w:hideMark/>
          </w:tcPr>
          <w:p w14:paraId="4076F9F2"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147.07</w:t>
            </w:r>
          </w:p>
        </w:tc>
      </w:tr>
      <w:tr w:rsidR="00CF0F96" w:rsidRPr="00CF0F96" w14:paraId="24DBFBE6" w14:textId="77777777" w:rsidTr="005F4A92">
        <w:trPr>
          <w:trHeight w:val="260"/>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14:paraId="01821CCC" w14:textId="77777777" w:rsidR="006A3DBC" w:rsidRPr="00CF0F96" w:rsidRDefault="006A3DBC" w:rsidP="005F4A92">
            <w:pPr>
              <w:spacing w:after="0" w:line="240" w:lineRule="auto"/>
              <w:jc w:val="center"/>
              <w:rPr>
                <w:rFonts w:eastAsia="Times New Roman" w:cs="Arial"/>
                <w:sz w:val="18"/>
                <w:szCs w:val="18"/>
                <w:lang w:val="es-HN" w:eastAsia="es-HN"/>
              </w:rPr>
            </w:pPr>
            <w:r w:rsidRPr="00CF0F96">
              <w:rPr>
                <w:rFonts w:eastAsia="Times New Roman" w:cs="Arial"/>
                <w:sz w:val="18"/>
                <w:szCs w:val="18"/>
                <w:lang w:val="es-HN" w:eastAsia="es-HN"/>
              </w:rPr>
              <w:t>17</w:t>
            </w:r>
          </w:p>
        </w:tc>
        <w:tc>
          <w:tcPr>
            <w:tcW w:w="1678" w:type="dxa"/>
            <w:tcBorders>
              <w:top w:val="nil"/>
              <w:left w:val="nil"/>
              <w:bottom w:val="single" w:sz="4" w:space="0" w:color="auto"/>
              <w:right w:val="single" w:sz="4" w:space="0" w:color="auto"/>
            </w:tcBorders>
            <w:shd w:val="clear" w:color="auto" w:fill="auto"/>
            <w:noWrap/>
            <w:vAlign w:val="bottom"/>
            <w:hideMark/>
          </w:tcPr>
          <w:p w14:paraId="77976C1D" w14:textId="77777777" w:rsidR="006A3DBC" w:rsidRPr="00CF0F96" w:rsidRDefault="006A3DBC" w:rsidP="005F4A92">
            <w:pPr>
              <w:spacing w:after="0" w:line="240" w:lineRule="auto"/>
              <w:rPr>
                <w:rFonts w:eastAsia="Times New Roman" w:cs="Arial"/>
                <w:sz w:val="18"/>
                <w:szCs w:val="18"/>
                <w:lang w:val="es-HN" w:eastAsia="es-HN"/>
              </w:rPr>
            </w:pPr>
            <w:r w:rsidRPr="00CF0F96">
              <w:rPr>
                <w:rFonts w:eastAsia="Times New Roman" w:cs="Arial"/>
                <w:sz w:val="18"/>
                <w:szCs w:val="18"/>
                <w:lang w:val="es-HN" w:eastAsia="es-HN"/>
              </w:rPr>
              <w:t>Valle</w:t>
            </w:r>
          </w:p>
        </w:tc>
        <w:tc>
          <w:tcPr>
            <w:tcW w:w="1154" w:type="dxa"/>
            <w:tcBorders>
              <w:top w:val="nil"/>
              <w:left w:val="nil"/>
              <w:bottom w:val="single" w:sz="4" w:space="0" w:color="auto"/>
              <w:right w:val="single" w:sz="4" w:space="0" w:color="auto"/>
            </w:tcBorders>
            <w:shd w:val="clear" w:color="auto" w:fill="auto"/>
            <w:noWrap/>
            <w:vAlign w:val="bottom"/>
            <w:hideMark/>
          </w:tcPr>
          <w:p w14:paraId="071B829C"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576.61</w:t>
            </w:r>
          </w:p>
        </w:tc>
        <w:tc>
          <w:tcPr>
            <w:tcW w:w="1100" w:type="dxa"/>
            <w:tcBorders>
              <w:top w:val="nil"/>
              <w:left w:val="nil"/>
              <w:bottom w:val="single" w:sz="4" w:space="0" w:color="auto"/>
              <w:right w:val="single" w:sz="4" w:space="0" w:color="auto"/>
            </w:tcBorders>
            <w:shd w:val="clear" w:color="auto" w:fill="auto"/>
            <w:noWrap/>
            <w:vAlign w:val="bottom"/>
            <w:hideMark/>
          </w:tcPr>
          <w:p w14:paraId="456E533E"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77.22</w:t>
            </w:r>
          </w:p>
        </w:tc>
        <w:tc>
          <w:tcPr>
            <w:tcW w:w="1227" w:type="dxa"/>
            <w:tcBorders>
              <w:top w:val="nil"/>
              <w:left w:val="nil"/>
              <w:bottom w:val="single" w:sz="4" w:space="0" w:color="auto"/>
              <w:right w:val="single" w:sz="4" w:space="0" w:color="auto"/>
            </w:tcBorders>
            <w:shd w:val="clear" w:color="auto" w:fill="auto"/>
            <w:noWrap/>
            <w:vAlign w:val="bottom"/>
            <w:hideMark/>
          </w:tcPr>
          <w:p w14:paraId="347C50AF"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0</w:t>
            </w:r>
          </w:p>
        </w:tc>
        <w:tc>
          <w:tcPr>
            <w:tcW w:w="1451" w:type="dxa"/>
            <w:tcBorders>
              <w:top w:val="nil"/>
              <w:left w:val="nil"/>
              <w:bottom w:val="single" w:sz="4" w:space="0" w:color="auto"/>
              <w:right w:val="single" w:sz="4" w:space="0" w:color="auto"/>
            </w:tcBorders>
            <w:shd w:val="clear" w:color="auto" w:fill="auto"/>
            <w:noWrap/>
            <w:vAlign w:val="bottom"/>
            <w:hideMark/>
          </w:tcPr>
          <w:p w14:paraId="20301747"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38.35</w:t>
            </w:r>
          </w:p>
        </w:tc>
        <w:tc>
          <w:tcPr>
            <w:tcW w:w="1154" w:type="dxa"/>
            <w:tcBorders>
              <w:top w:val="nil"/>
              <w:left w:val="nil"/>
              <w:bottom w:val="single" w:sz="4" w:space="0" w:color="auto"/>
              <w:right w:val="single" w:sz="4" w:space="0" w:color="auto"/>
            </w:tcBorders>
            <w:shd w:val="clear" w:color="auto" w:fill="auto"/>
            <w:noWrap/>
            <w:vAlign w:val="bottom"/>
            <w:hideMark/>
          </w:tcPr>
          <w:p w14:paraId="6FF9C021"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375.95</w:t>
            </w:r>
          </w:p>
        </w:tc>
        <w:tc>
          <w:tcPr>
            <w:tcW w:w="1124" w:type="dxa"/>
            <w:tcBorders>
              <w:top w:val="nil"/>
              <w:left w:val="nil"/>
              <w:bottom w:val="single" w:sz="4" w:space="0" w:color="auto"/>
              <w:right w:val="single" w:sz="4" w:space="0" w:color="auto"/>
            </w:tcBorders>
            <w:shd w:val="clear" w:color="auto" w:fill="auto"/>
            <w:noWrap/>
            <w:vAlign w:val="bottom"/>
            <w:hideMark/>
          </w:tcPr>
          <w:p w14:paraId="5B4C9AD0"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84.89</w:t>
            </w:r>
          </w:p>
        </w:tc>
      </w:tr>
      <w:tr w:rsidR="00CF0F96" w:rsidRPr="00CF0F96" w14:paraId="543FEDCF" w14:textId="77777777" w:rsidTr="005F4A92">
        <w:trPr>
          <w:trHeight w:val="260"/>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14:paraId="265B7455" w14:textId="77777777" w:rsidR="006A3DBC" w:rsidRPr="00CF0F96" w:rsidRDefault="006A3DBC" w:rsidP="005F4A92">
            <w:pPr>
              <w:spacing w:after="0" w:line="240" w:lineRule="auto"/>
              <w:jc w:val="center"/>
              <w:rPr>
                <w:rFonts w:eastAsia="Times New Roman" w:cs="Arial"/>
                <w:sz w:val="18"/>
                <w:szCs w:val="18"/>
                <w:lang w:val="es-HN" w:eastAsia="es-HN"/>
              </w:rPr>
            </w:pPr>
            <w:r w:rsidRPr="00CF0F96">
              <w:rPr>
                <w:rFonts w:eastAsia="Times New Roman" w:cs="Arial"/>
                <w:sz w:val="18"/>
                <w:szCs w:val="18"/>
                <w:lang w:val="es-HN" w:eastAsia="es-HN"/>
              </w:rPr>
              <w:t>18</w:t>
            </w:r>
          </w:p>
        </w:tc>
        <w:tc>
          <w:tcPr>
            <w:tcW w:w="1678" w:type="dxa"/>
            <w:tcBorders>
              <w:top w:val="nil"/>
              <w:left w:val="nil"/>
              <w:bottom w:val="single" w:sz="4" w:space="0" w:color="auto"/>
              <w:right w:val="single" w:sz="4" w:space="0" w:color="auto"/>
            </w:tcBorders>
            <w:shd w:val="clear" w:color="auto" w:fill="auto"/>
            <w:noWrap/>
            <w:vAlign w:val="bottom"/>
            <w:hideMark/>
          </w:tcPr>
          <w:p w14:paraId="1D8AA930" w14:textId="77777777" w:rsidR="006A3DBC" w:rsidRPr="00CF0F96" w:rsidRDefault="006A3DBC" w:rsidP="005F4A92">
            <w:pPr>
              <w:spacing w:after="0" w:line="240" w:lineRule="auto"/>
              <w:rPr>
                <w:rFonts w:eastAsia="Times New Roman" w:cs="Arial"/>
                <w:sz w:val="18"/>
                <w:szCs w:val="18"/>
                <w:lang w:val="es-HN" w:eastAsia="es-HN"/>
              </w:rPr>
            </w:pPr>
            <w:r w:rsidRPr="00CF0F96">
              <w:rPr>
                <w:rFonts w:eastAsia="Times New Roman" w:cs="Arial"/>
                <w:sz w:val="18"/>
                <w:szCs w:val="18"/>
                <w:lang w:val="es-HN" w:eastAsia="es-HN"/>
              </w:rPr>
              <w:t>Yoro</w:t>
            </w:r>
          </w:p>
        </w:tc>
        <w:tc>
          <w:tcPr>
            <w:tcW w:w="1154" w:type="dxa"/>
            <w:tcBorders>
              <w:top w:val="nil"/>
              <w:left w:val="nil"/>
              <w:bottom w:val="single" w:sz="4" w:space="0" w:color="auto"/>
              <w:right w:val="single" w:sz="4" w:space="0" w:color="auto"/>
            </w:tcBorders>
            <w:shd w:val="clear" w:color="auto" w:fill="auto"/>
            <w:noWrap/>
            <w:vAlign w:val="bottom"/>
            <w:hideMark/>
          </w:tcPr>
          <w:p w14:paraId="6B8954C7"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888.28</w:t>
            </w:r>
          </w:p>
        </w:tc>
        <w:tc>
          <w:tcPr>
            <w:tcW w:w="1100" w:type="dxa"/>
            <w:tcBorders>
              <w:top w:val="nil"/>
              <w:left w:val="nil"/>
              <w:bottom w:val="single" w:sz="4" w:space="0" w:color="auto"/>
              <w:right w:val="single" w:sz="4" w:space="0" w:color="auto"/>
            </w:tcBorders>
            <w:shd w:val="clear" w:color="auto" w:fill="auto"/>
            <w:noWrap/>
            <w:vAlign w:val="bottom"/>
            <w:hideMark/>
          </w:tcPr>
          <w:p w14:paraId="0E8634EE"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96.13</w:t>
            </w:r>
          </w:p>
        </w:tc>
        <w:tc>
          <w:tcPr>
            <w:tcW w:w="1227" w:type="dxa"/>
            <w:tcBorders>
              <w:top w:val="nil"/>
              <w:left w:val="nil"/>
              <w:bottom w:val="single" w:sz="4" w:space="0" w:color="auto"/>
              <w:right w:val="single" w:sz="4" w:space="0" w:color="auto"/>
            </w:tcBorders>
            <w:shd w:val="clear" w:color="auto" w:fill="auto"/>
            <w:noWrap/>
            <w:vAlign w:val="bottom"/>
            <w:hideMark/>
          </w:tcPr>
          <w:p w14:paraId="4DA951D2"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2.30</w:t>
            </w:r>
          </w:p>
        </w:tc>
        <w:tc>
          <w:tcPr>
            <w:tcW w:w="1451" w:type="dxa"/>
            <w:tcBorders>
              <w:top w:val="nil"/>
              <w:left w:val="nil"/>
              <w:bottom w:val="single" w:sz="4" w:space="0" w:color="auto"/>
              <w:right w:val="single" w:sz="4" w:space="0" w:color="auto"/>
            </w:tcBorders>
            <w:shd w:val="clear" w:color="auto" w:fill="auto"/>
            <w:noWrap/>
            <w:vAlign w:val="bottom"/>
            <w:hideMark/>
          </w:tcPr>
          <w:p w14:paraId="73B4CA70"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157.3</w:t>
            </w:r>
          </w:p>
        </w:tc>
        <w:tc>
          <w:tcPr>
            <w:tcW w:w="1154" w:type="dxa"/>
            <w:tcBorders>
              <w:top w:val="nil"/>
              <w:left w:val="nil"/>
              <w:bottom w:val="single" w:sz="4" w:space="0" w:color="auto"/>
              <w:right w:val="single" w:sz="4" w:space="0" w:color="auto"/>
            </w:tcBorders>
            <w:shd w:val="clear" w:color="auto" w:fill="auto"/>
            <w:noWrap/>
            <w:vAlign w:val="bottom"/>
            <w:hideMark/>
          </w:tcPr>
          <w:p w14:paraId="79C73321"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615.57</w:t>
            </w:r>
          </w:p>
        </w:tc>
        <w:tc>
          <w:tcPr>
            <w:tcW w:w="1124" w:type="dxa"/>
            <w:tcBorders>
              <w:top w:val="nil"/>
              <w:left w:val="nil"/>
              <w:bottom w:val="single" w:sz="4" w:space="0" w:color="auto"/>
              <w:right w:val="single" w:sz="4" w:space="0" w:color="auto"/>
            </w:tcBorders>
            <w:shd w:val="clear" w:color="auto" w:fill="auto"/>
            <w:noWrap/>
            <w:vAlign w:val="bottom"/>
            <w:hideMark/>
          </w:tcPr>
          <w:p w14:paraId="6A017059" w14:textId="77777777" w:rsidR="006A3DBC" w:rsidRPr="00CF0F96" w:rsidRDefault="006A3DBC" w:rsidP="005F4A92">
            <w:pPr>
              <w:spacing w:after="0" w:line="240" w:lineRule="auto"/>
              <w:jc w:val="right"/>
              <w:rPr>
                <w:rFonts w:eastAsia="Times New Roman" w:cs="Arial"/>
                <w:sz w:val="18"/>
                <w:szCs w:val="18"/>
                <w:lang w:val="es-HN" w:eastAsia="es-HN"/>
              </w:rPr>
            </w:pPr>
            <w:r w:rsidRPr="00CF0F96">
              <w:rPr>
                <w:rFonts w:eastAsia="Times New Roman" w:cs="Arial"/>
                <w:sz w:val="18"/>
                <w:szCs w:val="18"/>
                <w:lang w:val="es-HN" w:eastAsia="es-HN"/>
              </w:rPr>
              <w:t>16.98</w:t>
            </w:r>
          </w:p>
        </w:tc>
      </w:tr>
      <w:tr w:rsidR="00CF0F96" w:rsidRPr="00CF0F96" w14:paraId="4B9048C2" w14:textId="77777777" w:rsidTr="005F4A92">
        <w:trPr>
          <w:trHeight w:val="260"/>
        </w:trPr>
        <w:tc>
          <w:tcPr>
            <w:tcW w:w="553" w:type="dxa"/>
            <w:tcBorders>
              <w:top w:val="nil"/>
              <w:left w:val="single" w:sz="4" w:space="0" w:color="auto"/>
              <w:bottom w:val="single" w:sz="4" w:space="0" w:color="auto"/>
              <w:right w:val="single" w:sz="4" w:space="0" w:color="auto"/>
            </w:tcBorders>
            <w:shd w:val="clear" w:color="auto" w:fill="auto"/>
            <w:noWrap/>
            <w:vAlign w:val="bottom"/>
            <w:hideMark/>
          </w:tcPr>
          <w:p w14:paraId="3392F21F" w14:textId="77777777" w:rsidR="006A3DBC" w:rsidRPr="00CF0F96" w:rsidRDefault="006A3DBC" w:rsidP="005F4A92">
            <w:pPr>
              <w:spacing w:after="0" w:line="240" w:lineRule="auto"/>
              <w:rPr>
                <w:rFonts w:eastAsia="Times New Roman" w:cs="Arial"/>
                <w:sz w:val="18"/>
                <w:szCs w:val="18"/>
                <w:lang w:val="es-HN" w:eastAsia="es-HN"/>
              </w:rPr>
            </w:pPr>
            <w:r w:rsidRPr="00CF0F96">
              <w:rPr>
                <w:rFonts w:eastAsia="Times New Roman" w:cs="Arial"/>
                <w:sz w:val="18"/>
                <w:szCs w:val="18"/>
                <w:lang w:val="es-HN" w:eastAsia="es-HN"/>
              </w:rPr>
              <w:t> </w:t>
            </w:r>
          </w:p>
        </w:tc>
        <w:tc>
          <w:tcPr>
            <w:tcW w:w="1678" w:type="dxa"/>
            <w:tcBorders>
              <w:top w:val="nil"/>
              <w:left w:val="nil"/>
              <w:bottom w:val="single" w:sz="4" w:space="0" w:color="auto"/>
              <w:right w:val="single" w:sz="4" w:space="0" w:color="auto"/>
            </w:tcBorders>
            <w:shd w:val="clear" w:color="auto" w:fill="auto"/>
            <w:noWrap/>
            <w:vAlign w:val="bottom"/>
            <w:hideMark/>
          </w:tcPr>
          <w:p w14:paraId="275F5386" w14:textId="77777777" w:rsidR="006A3DBC" w:rsidRPr="00CF0F96" w:rsidRDefault="006A3DBC" w:rsidP="005F4A92">
            <w:pPr>
              <w:spacing w:after="0" w:line="240" w:lineRule="auto"/>
              <w:rPr>
                <w:rFonts w:eastAsia="Times New Roman" w:cs="Arial"/>
                <w:b/>
                <w:bCs/>
                <w:sz w:val="18"/>
                <w:szCs w:val="18"/>
                <w:lang w:val="es-HN" w:eastAsia="es-HN"/>
              </w:rPr>
            </w:pPr>
            <w:r w:rsidRPr="00CF0F96">
              <w:rPr>
                <w:rFonts w:eastAsia="Times New Roman" w:cs="Arial"/>
                <w:b/>
                <w:bCs/>
                <w:sz w:val="18"/>
                <w:szCs w:val="18"/>
                <w:lang w:val="es-HN" w:eastAsia="es-HN"/>
              </w:rPr>
              <w:t>Total</w:t>
            </w:r>
          </w:p>
        </w:tc>
        <w:tc>
          <w:tcPr>
            <w:tcW w:w="1154" w:type="dxa"/>
            <w:tcBorders>
              <w:top w:val="nil"/>
              <w:left w:val="nil"/>
              <w:bottom w:val="single" w:sz="4" w:space="0" w:color="auto"/>
              <w:right w:val="single" w:sz="4" w:space="0" w:color="auto"/>
            </w:tcBorders>
            <w:shd w:val="clear" w:color="auto" w:fill="auto"/>
            <w:noWrap/>
            <w:vAlign w:val="bottom"/>
            <w:hideMark/>
          </w:tcPr>
          <w:p w14:paraId="0F14015E" w14:textId="0B47DA3B" w:rsidR="006A3DBC" w:rsidRPr="00CF0F96" w:rsidRDefault="006A3DBC" w:rsidP="005F4A92">
            <w:pPr>
              <w:spacing w:after="0" w:line="240" w:lineRule="auto"/>
              <w:jc w:val="center"/>
              <w:rPr>
                <w:rFonts w:eastAsia="Times New Roman" w:cs="Arial"/>
                <w:b/>
                <w:bCs/>
                <w:sz w:val="18"/>
                <w:szCs w:val="18"/>
                <w:lang w:val="es-HN" w:eastAsia="es-HN"/>
              </w:rPr>
            </w:pPr>
            <w:r w:rsidRPr="00CF0F96">
              <w:rPr>
                <w:rFonts w:eastAsia="Times New Roman" w:cs="Arial"/>
                <w:b/>
                <w:bCs/>
                <w:sz w:val="18"/>
                <w:szCs w:val="18"/>
                <w:lang w:val="es-HN" w:eastAsia="es-HN"/>
              </w:rPr>
              <w:t>16</w:t>
            </w:r>
            <w:r w:rsidR="009456BF" w:rsidRPr="00CF0F96">
              <w:rPr>
                <w:rFonts w:eastAsia="Times New Roman" w:cs="Arial"/>
                <w:b/>
                <w:bCs/>
                <w:sz w:val="18"/>
                <w:szCs w:val="18"/>
                <w:lang w:val="es-HN" w:eastAsia="es-HN"/>
              </w:rPr>
              <w:t>,</w:t>
            </w:r>
            <w:r w:rsidRPr="00CF0F96">
              <w:rPr>
                <w:rFonts w:eastAsia="Times New Roman" w:cs="Arial"/>
                <w:b/>
                <w:bCs/>
                <w:sz w:val="18"/>
                <w:szCs w:val="18"/>
                <w:lang w:val="es-HN" w:eastAsia="es-HN"/>
              </w:rPr>
              <w:t>415.55</w:t>
            </w:r>
          </w:p>
        </w:tc>
        <w:tc>
          <w:tcPr>
            <w:tcW w:w="1100" w:type="dxa"/>
            <w:tcBorders>
              <w:top w:val="nil"/>
              <w:left w:val="nil"/>
              <w:bottom w:val="single" w:sz="4" w:space="0" w:color="auto"/>
              <w:right w:val="single" w:sz="4" w:space="0" w:color="auto"/>
            </w:tcBorders>
            <w:shd w:val="clear" w:color="auto" w:fill="auto"/>
            <w:noWrap/>
            <w:vAlign w:val="bottom"/>
            <w:hideMark/>
          </w:tcPr>
          <w:p w14:paraId="0D8523C8" w14:textId="59950B19" w:rsidR="006A3DBC" w:rsidRPr="00CF0F96" w:rsidRDefault="006A3DBC" w:rsidP="005F4A92">
            <w:pPr>
              <w:spacing w:after="0" w:line="240" w:lineRule="auto"/>
              <w:jc w:val="center"/>
              <w:rPr>
                <w:rFonts w:eastAsia="Times New Roman" w:cs="Arial"/>
                <w:b/>
                <w:bCs/>
                <w:sz w:val="18"/>
                <w:szCs w:val="18"/>
                <w:lang w:val="es-HN" w:eastAsia="es-HN"/>
              </w:rPr>
            </w:pPr>
            <w:r w:rsidRPr="00CF0F96">
              <w:rPr>
                <w:rFonts w:eastAsia="Times New Roman" w:cs="Arial"/>
                <w:b/>
                <w:bCs/>
                <w:sz w:val="18"/>
                <w:szCs w:val="18"/>
                <w:lang w:val="es-HN" w:eastAsia="es-HN"/>
              </w:rPr>
              <w:t>2</w:t>
            </w:r>
            <w:r w:rsidR="009456BF" w:rsidRPr="00CF0F96">
              <w:rPr>
                <w:rFonts w:eastAsia="Times New Roman" w:cs="Arial"/>
                <w:b/>
                <w:bCs/>
                <w:sz w:val="18"/>
                <w:szCs w:val="18"/>
                <w:lang w:val="es-HN" w:eastAsia="es-HN"/>
              </w:rPr>
              <w:t>,</w:t>
            </w:r>
            <w:r w:rsidRPr="00CF0F96">
              <w:rPr>
                <w:rFonts w:eastAsia="Times New Roman" w:cs="Arial"/>
                <w:b/>
                <w:bCs/>
                <w:sz w:val="18"/>
                <w:szCs w:val="18"/>
                <w:lang w:val="es-HN" w:eastAsia="es-HN"/>
              </w:rPr>
              <w:t>025.07</w:t>
            </w:r>
          </w:p>
        </w:tc>
        <w:tc>
          <w:tcPr>
            <w:tcW w:w="1227" w:type="dxa"/>
            <w:tcBorders>
              <w:top w:val="nil"/>
              <w:left w:val="nil"/>
              <w:bottom w:val="single" w:sz="4" w:space="0" w:color="auto"/>
              <w:right w:val="single" w:sz="4" w:space="0" w:color="auto"/>
            </w:tcBorders>
            <w:shd w:val="clear" w:color="auto" w:fill="auto"/>
            <w:noWrap/>
            <w:vAlign w:val="bottom"/>
            <w:hideMark/>
          </w:tcPr>
          <w:p w14:paraId="47BA5EB6" w14:textId="77777777" w:rsidR="006A3DBC" w:rsidRPr="00CF0F96" w:rsidRDefault="006A3DBC" w:rsidP="005F4A92">
            <w:pPr>
              <w:spacing w:after="0" w:line="240" w:lineRule="auto"/>
              <w:jc w:val="center"/>
              <w:rPr>
                <w:rFonts w:eastAsia="Times New Roman" w:cs="Arial"/>
                <w:b/>
                <w:bCs/>
                <w:sz w:val="18"/>
                <w:szCs w:val="18"/>
                <w:lang w:val="es-HN" w:eastAsia="es-HN"/>
              </w:rPr>
            </w:pPr>
            <w:r w:rsidRPr="00CF0F96">
              <w:rPr>
                <w:rFonts w:eastAsia="Times New Roman" w:cs="Arial"/>
                <w:b/>
                <w:bCs/>
                <w:sz w:val="18"/>
                <w:szCs w:val="18"/>
                <w:lang w:val="es-HN" w:eastAsia="es-HN"/>
              </w:rPr>
              <w:t>367.53</w:t>
            </w:r>
          </w:p>
        </w:tc>
        <w:tc>
          <w:tcPr>
            <w:tcW w:w="1451" w:type="dxa"/>
            <w:tcBorders>
              <w:top w:val="nil"/>
              <w:left w:val="nil"/>
              <w:bottom w:val="single" w:sz="4" w:space="0" w:color="auto"/>
              <w:right w:val="single" w:sz="4" w:space="0" w:color="auto"/>
            </w:tcBorders>
            <w:shd w:val="clear" w:color="auto" w:fill="auto"/>
            <w:noWrap/>
            <w:vAlign w:val="bottom"/>
            <w:hideMark/>
          </w:tcPr>
          <w:p w14:paraId="53D048A7" w14:textId="38920650" w:rsidR="006A3DBC" w:rsidRPr="00CF0F96" w:rsidRDefault="006A3DBC" w:rsidP="005F4A92">
            <w:pPr>
              <w:spacing w:after="0" w:line="240" w:lineRule="auto"/>
              <w:jc w:val="center"/>
              <w:rPr>
                <w:rFonts w:eastAsia="Times New Roman" w:cs="Arial"/>
                <w:b/>
                <w:bCs/>
                <w:sz w:val="18"/>
                <w:szCs w:val="18"/>
                <w:lang w:val="es-HN" w:eastAsia="es-HN"/>
              </w:rPr>
            </w:pPr>
            <w:r w:rsidRPr="00CF0F96">
              <w:rPr>
                <w:rFonts w:eastAsia="Times New Roman" w:cs="Arial"/>
                <w:b/>
                <w:bCs/>
                <w:sz w:val="18"/>
                <w:szCs w:val="18"/>
                <w:lang w:val="es-HN" w:eastAsia="es-HN"/>
              </w:rPr>
              <w:t>1</w:t>
            </w:r>
            <w:r w:rsidR="009456BF" w:rsidRPr="00CF0F96">
              <w:rPr>
                <w:rFonts w:eastAsia="Times New Roman" w:cs="Arial"/>
                <w:b/>
                <w:bCs/>
                <w:sz w:val="18"/>
                <w:szCs w:val="18"/>
                <w:lang w:val="es-HN" w:eastAsia="es-HN"/>
              </w:rPr>
              <w:t>,</w:t>
            </w:r>
            <w:r w:rsidRPr="00CF0F96">
              <w:rPr>
                <w:rFonts w:eastAsia="Times New Roman" w:cs="Arial"/>
                <w:b/>
                <w:bCs/>
                <w:sz w:val="18"/>
                <w:szCs w:val="18"/>
                <w:lang w:val="es-HN" w:eastAsia="es-HN"/>
              </w:rPr>
              <w:t>400.74</w:t>
            </w:r>
          </w:p>
        </w:tc>
        <w:tc>
          <w:tcPr>
            <w:tcW w:w="1154" w:type="dxa"/>
            <w:tcBorders>
              <w:top w:val="nil"/>
              <w:left w:val="nil"/>
              <w:bottom w:val="single" w:sz="4" w:space="0" w:color="auto"/>
              <w:right w:val="single" w:sz="4" w:space="0" w:color="auto"/>
            </w:tcBorders>
            <w:shd w:val="clear" w:color="auto" w:fill="auto"/>
            <w:noWrap/>
            <w:vAlign w:val="bottom"/>
            <w:hideMark/>
          </w:tcPr>
          <w:p w14:paraId="78801504" w14:textId="4C6B1EB3" w:rsidR="006A3DBC" w:rsidRPr="00CF0F96" w:rsidRDefault="006A3DBC" w:rsidP="005F4A92">
            <w:pPr>
              <w:spacing w:after="0" w:line="240" w:lineRule="auto"/>
              <w:jc w:val="center"/>
              <w:rPr>
                <w:rFonts w:eastAsia="Times New Roman" w:cs="Arial"/>
                <w:b/>
                <w:bCs/>
                <w:sz w:val="18"/>
                <w:szCs w:val="18"/>
                <w:lang w:val="es-HN" w:eastAsia="es-HN"/>
              </w:rPr>
            </w:pPr>
            <w:r w:rsidRPr="00CF0F96">
              <w:rPr>
                <w:rFonts w:eastAsia="Times New Roman" w:cs="Arial"/>
                <w:b/>
                <w:bCs/>
                <w:sz w:val="18"/>
                <w:szCs w:val="18"/>
                <w:lang w:val="es-HN" w:eastAsia="es-HN"/>
              </w:rPr>
              <w:t>10</w:t>
            </w:r>
            <w:r w:rsidR="009456BF" w:rsidRPr="00CF0F96">
              <w:rPr>
                <w:rFonts w:eastAsia="Times New Roman" w:cs="Arial"/>
                <w:b/>
                <w:bCs/>
                <w:sz w:val="18"/>
                <w:szCs w:val="18"/>
                <w:lang w:val="es-HN" w:eastAsia="es-HN"/>
              </w:rPr>
              <w:t>,</w:t>
            </w:r>
            <w:r w:rsidRPr="00CF0F96">
              <w:rPr>
                <w:rFonts w:eastAsia="Times New Roman" w:cs="Arial"/>
                <w:b/>
                <w:bCs/>
                <w:sz w:val="18"/>
                <w:szCs w:val="18"/>
                <w:lang w:val="es-HN" w:eastAsia="es-HN"/>
              </w:rPr>
              <w:t>153.78</w:t>
            </w:r>
          </w:p>
        </w:tc>
        <w:tc>
          <w:tcPr>
            <w:tcW w:w="1124" w:type="dxa"/>
            <w:tcBorders>
              <w:top w:val="nil"/>
              <w:left w:val="nil"/>
              <w:bottom w:val="single" w:sz="4" w:space="0" w:color="auto"/>
              <w:right w:val="single" w:sz="4" w:space="0" w:color="auto"/>
            </w:tcBorders>
            <w:shd w:val="clear" w:color="auto" w:fill="auto"/>
            <w:noWrap/>
            <w:vAlign w:val="bottom"/>
            <w:hideMark/>
          </w:tcPr>
          <w:p w14:paraId="64B33F4D" w14:textId="6A35EACF" w:rsidR="006A3DBC" w:rsidRPr="00CF0F96" w:rsidRDefault="006A3DBC" w:rsidP="005F4A92">
            <w:pPr>
              <w:spacing w:after="0" w:line="240" w:lineRule="auto"/>
              <w:jc w:val="center"/>
              <w:rPr>
                <w:rFonts w:eastAsia="Times New Roman" w:cs="Arial"/>
                <w:b/>
                <w:bCs/>
                <w:sz w:val="18"/>
                <w:szCs w:val="18"/>
                <w:lang w:val="es-HN" w:eastAsia="es-HN"/>
              </w:rPr>
            </w:pPr>
            <w:r w:rsidRPr="00CF0F96">
              <w:rPr>
                <w:rFonts w:eastAsia="Times New Roman" w:cs="Arial"/>
                <w:b/>
                <w:bCs/>
                <w:sz w:val="18"/>
                <w:szCs w:val="18"/>
                <w:lang w:val="es-HN" w:eastAsia="es-HN"/>
              </w:rPr>
              <w:t>2</w:t>
            </w:r>
            <w:r w:rsidR="009456BF" w:rsidRPr="00CF0F96">
              <w:rPr>
                <w:rFonts w:eastAsia="Times New Roman" w:cs="Arial"/>
                <w:b/>
                <w:bCs/>
                <w:sz w:val="18"/>
                <w:szCs w:val="18"/>
                <w:lang w:val="es-HN" w:eastAsia="es-HN"/>
              </w:rPr>
              <w:t>,</w:t>
            </w:r>
            <w:r w:rsidRPr="00CF0F96">
              <w:rPr>
                <w:rFonts w:eastAsia="Times New Roman" w:cs="Arial"/>
                <w:b/>
                <w:bCs/>
                <w:sz w:val="18"/>
                <w:szCs w:val="18"/>
                <w:lang w:val="es-HN" w:eastAsia="es-HN"/>
              </w:rPr>
              <w:t>468.23</w:t>
            </w:r>
          </w:p>
        </w:tc>
      </w:tr>
      <w:tr w:rsidR="00CF0F96" w:rsidRPr="00CF0F96" w14:paraId="3DC26F46" w14:textId="77777777" w:rsidTr="005F4A92">
        <w:trPr>
          <w:trHeight w:val="260"/>
        </w:trPr>
        <w:tc>
          <w:tcPr>
            <w:tcW w:w="553" w:type="dxa"/>
            <w:tcBorders>
              <w:top w:val="nil"/>
              <w:left w:val="nil"/>
              <w:bottom w:val="nil"/>
              <w:right w:val="nil"/>
            </w:tcBorders>
            <w:shd w:val="clear" w:color="auto" w:fill="auto"/>
            <w:noWrap/>
            <w:vAlign w:val="bottom"/>
            <w:hideMark/>
          </w:tcPr>
          <w:p w14:paraId="794427DE" w14:textId="77777777" w:rsidR="006A3DBC" w:rsidRPr="00CF0F96" w:rsidRDefault="006A3DBC" w:rsidP="005F4A92">
            <w:pPr>
              <w:spacing w:after="0" w:line="240" w:lineRule="auto"/>
              <w:jc w:val="center"/>
              <w:rPr>
                <w:rFonts w:eastAsia="Times New Roman" w:cs="Arial"/>
                <w:b/>
                <w:bCs/>
                <w:sz w:val="18"/>
                <w:szCs w:val="18"/>
                <w:lang w:val="es-HN" w:eastAsia="es-HN"/>
              </w:rPr>
            </w:pPr>
          </w:p>
        </w:tc>
        <w:tc>
          <w:tcPr>
            <w:tcW w:w="1678" w:type="dxa"/>
            <w:tcBorders>
              <w:top w:val="nil"/>
              <w:left w:val="nil"/>
              <w:bottom w:val="nil"/>
              <w:right w:val="nil"/>
            </w:tcBorders>
            <w:shd w:val="clear" w:color="auto" w:fill="auto"/>
            <w:noWrap/>
            <w:vAlign w:val="bottom"/>
            <w:hideMark/>
          </w:tcPr>
          <w:p w14:paraId="46BA7758" w14:textId="77777777" w:rsidR="006A3DBC" w:rsidRPr="00CF0F96" w:rsidRDefault="006A3DBC" w:rsidP="005F4A92">
            <w:pPr>
              <w:spacing w:after="0" w:line="240" w:lineRule="auto"/>
              <w:rPr>
                <w:rFonts w:eastAsia="Times New Roman" w:cs="Arial"/>
                <w:sz w:val="18"/>
                <w:szCs w:val="18"/>
                <w:lang w:val="es-HN" w:eastAsia="es-HN"/>
              </w:rPr>
            </w:pPr>
          </w:p>
        </w:tc>
        <w:tc>
          <w:tcPr>
            <w:tcW w:w="1154" w:type="dxa"/>
            <w:tcBorders>
              <w:top w:val="nil"/>
              <w:left w:val="nil"/>
              <w:bottom w:val="nil"/>
              <w:right w:val="nil"/>
            </w:tcBorders>
            <w:shd w:val="clear" w:color="auto" w:fill="auto"/>
            <w:noWrap/>
            <w:vAlign w:val="bottom"/>
            <w:hideMark/>
          </w:tcPr>
          <w:p w14:paraId="7A814302" w14:textId="77777777" w:rsidR="006A3DBC" w:rsidRPr="00CF0F96" w:rsidRDefault="006A3DBC" w:rsidP="005F4A92">
            <w:pPr>
              <w:spacing w:after="0" w:line="240" w:lineRule="auto"/>
              <w:rPr>
                <w:rFonts w:eastAsia="Times New Roman" w:cs="Arial"/>
                <w:sz w:val="18"/>
                <w:szCs w:val="18"/>
                <w:lang w:val="es-HN" w:eastAsia="es-HN"/>
              </w:rPr>
            </w:pP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4BF48DF9" w14:textId="77777777" w:rsidR="006A3DBC" w:rsidRPr="00CF0F96" w:rsidRDefault="006A3DBC" w:rsidP="005F4A92">
            <w:pPr>
              <w:spacing w:after="0" w:line="240" w:lineRule="auto"/>
              <w:jc w:val="center"/>
              <w:rPr>
                <w:rFonts w:eastAsia="Times New Roman" w:cs="Arial"/>
                <w:b/>
                <w:bCs/>
                <w:sz w:val="18"/>
                <w:szCs w:val="18"/>
                <w:lang w:val="es-HN" w:eastAsia="es-HN"/>
              </w:rPr>
            </w:pPr>
            <w:r w:rsidRPr="00CF0F96">
              <w:rPr>
                <w:rFonts w:eastAsia="Times New Roman" w:cs="Arial"/>
                <w:b/>
                <w:bCs/>
                <w:sz w:val="18"/>
                <w:szCs w:val="18"/>
                <w:lang w:val="es-HN" w:eastAsia="es-HN"/>
              </w:rPr>
              <w:t>12%</w:t>
            </w:r>
          </w:p>
        </w:tc>
        <w:tc>
          <w:tcPr>
            <w:tcW w:w="1227" w:type="dxa"/>
            <w:tcBorders>
              <w:top w:val="nil"/>
              <w:left w:val="nil"/>
              <w:bottom w:val="single" w:sz="4" w:space="0" w:color="auto"/>
              <w:right w:val="single" w:sz="4" w:space="0" w:color="auto"/>
            </w:tcBorders>
            <w:shd w:val="clear" w:color="auto" w:fill="auto"/>
            <w:noWrap/>
            <w:vAlign w:val="bottom"/>
            <w:hideMark/>
          </w:tcPr>
          <w:p w14:paraId="7FF7792C" w14:textId="77777777" w:rsidR="006A3DBC" w:rsidRPr="00CF0F96" w:rsidRDefault="006A3DBC" w:rsidP="005F4A92">
            <w:pPr>
              <w:spacing w:after="0" w:line="240" w:lineRule="auto"/>
              <w:jc w:val="center"/>
              <w:rPr>
                <w:rFonts w:eastAsia="Times New Roman" w:cs="Arial"/>
                <w:b/>
                <w:bCs/>
                <w:sz w:val="18"/>
                <w:szCs w:val="18"/>
                <w:lang w:val="es-HN" w:eastAsia="es-HN"/>
              </w:rPr>
            </w:pPr>
            <w:r w:rsidRPr="00CF0F96">
              <w:rPr>
                <w:rFonts w:eastAsia="Times New Roman" w:cs="Arial"/>
                <w:b/>
                <w:bCs/>
                <w:sz w:val="18"/>
                <w:szCs w:val="18"/>
                <w:lang w:val="es-HN" w:eastAsia="es-HN"/>
              </w:rPr>
              <w:t>2%</w:t>
            </w:r>
          </w:p>
        </w:tc>
        <w:tc>
          <w:tcPr>
            <w:tcW w:w="1451" w:type="dxa"/>
            <w:tcBorders>
              <w:top w:val="nil"/>
              <w:left w:val="nil"/>
              <w:bottom w:val="single" w:sz="4" w:space="0" w:color="auto"/>
              <w:right w:val="single" w:sz="4" w:space="0" w:color="auto"/>
            </w:tcBorders>
            <w:shd w:val="clear" w:color="auto" w:fill="auto"/>
            <w:noWrap/>
            <w:vAlign w:val="bottom"/>
            <w:hideMark/>
          </w:tcPr>
          <w:p w14:paraId="53F08684" w14:textId="77777777" w:rsidR="006A3DBC" w:rsidRPr="00CF0F96" w:rsidRDefault="006A3DBC" w:rsidP="005F4A92">
            <w:pPr>
              <w:spacing w:after="0" w:line="240" w:lineRule="auto"/>
              <w:jc w:val="center"/>
              <w:rPr>
                <w:rFonts w:eastAsia="Times New Roman" w:cs="Arial"/>
                <w:b/>
                <w:bCs/>
                <w:sz w:val="18"/>
                <w:szCs w:val="18"/>
                <w:lang w:val="es-HN" w:eastAsia="es-HN"/>
              </w:rPr>
            </w:pPr>
            <w:r w:rsidRPr="00CF0F96">
              <w:rPr>
                <w:rFonts w:eastAsia="Times New Roman" w:cs="Arial"/>
                <w:b/>
                <w:bCs/>
                <w:sz w:val="18"/>
                <w:szCs w:val="18"/>
                <w:lang w:val="es-HN" w:eastAsia="es-HN"/>
              </w:rPr>
              <w:t>9%</w:t>
            </w:r>
          </w:p>
        </w:tc>
        <w:tc>
          <w:tcPr>
            <w:tcW w:w="1154" w:type="dxa"/>
            <w:tcBorders>
              <w:top w:val="nil"/>
              <w:left w:val="nil"/>
              <w:bottom w:val="single" w:sz="4" w:space="0" w:color="auto"/>
              <w:right w:val="single" w:sz="4" w:space="0" w:color="auto"/>
            </w:tcBorders>
            <w:shd w:val="clear" w:color="auto" w:fill="auto"/>
            <w:noWrap/>
            <w:vAlign w:val="bottom"/>
            <w:hideMark/>
          </w:tcPr>
          <w:p w14:paraId="4D6567C5" w14:textId="77777777" w:rsidR="006A3DBC" w:rsidRPr="00CF0F96" w:rsidRDefault="006A3DBC" w:rsidP="005F4A92">
            <w:pPr>
              <w:spacing w:after="0" w:line="240" w:lineRule="auto"/>
              <w:jc w:val="center"/>
              <w:rPr>
                <w:rFonts w:eastAsia="Times New Roman" w:cs="Arial"/>
                <w:b/>
                <w:bCs/>
                <w:sz w:val="18"/>
                <w:szCs w:val="18"/>
                <w:lang w:val="es-HN" w:eastAsia="es-HN"/>
              </w:rPr>
            </w:pPr>
            <w:r w:rsidRPr="00CF0F96">
              <w:rPr>
                <w:rFonts w:eastAsia="Times New Roman" w:cs="Arial"/>
                <w:b/>
                <w:bCs/>
                <w:sz w:val="18"/>
                <w:szCs w:val="18"/>
                <w:lang w:val="es-HN" w:eastAsia="es-HN"/>
              </w:rPr>
              <w:t>62%</w:t>
            </w:r>
          </w:p>
        </w:tc>
        <w:tc>
          <w:tcPr>
            <w:tcW w:w="1124" w:type="dxa"/>
            <w:tcBorders>
              <w:top w:val="nil"/>
              <w:left w:val="nil"/>
              <w:bottom w:val="single" w:sz="4" w:space="0" w:color="auto"/>
              <w:right w:val="single" w:sz="4" w:space="0" w:color="auto"/>
            </w:tcBorders>
            <w:shd w:val="clear" w:color="auto" w:fill="auto"/>
            <w:noWrap/>
            <w:vAlign w:val="bottom"/>
            <w:hideMark/>
          </w:tcPr>
          <w:p w14:paraId="464AC709" w14:textId="77777777" w:rsidR="006A3DBC" w:rsidRPr="00CF0F96" w:rsidRDefault="006A3DBC" w:rsidP="005F4A92">
            <w:pPr>
              <w:spacing w:after="0" w:line="240" w:lineRule="auto"/>
              <w:jc w:val="center"/>
              <w:rPr>
                <w:rFonts w:eastAsia="Times New Roman" w:cs="Arial"/>
                <w:b/>
                <w:bCs/>
                <w:sz w:val="18"/>
                <w:szCs w:val="18"/>
                <w:lang w:val="es-HN" w:eastAsia="es-HN"/>
              </w:rPr>
            </w:pPr>
            <w:r w:rsidRPr="00CF0F96">
              <w:rPr>
                <w:rFonts w:eastAsia="Times New Roman" w:cs="Arial"/>
                <w:b/>
                <w:bCs/>
                <w:sz w:val="18"/>
                <w:szCs w:val="18"/>
                <w:lang w:val="es-HN" w:eastAsia="es-HN"/>
              </w:rPr>
              <w:t>15%</w:t>
            </w:r>
          </w:p>
        </w:tc>
      </w:tr>
    </w:tbl>
    <w:p w14:paraId="6733A373" w14:textId="77777777" w:rsidR="006A3DBC" w:rsidRPr="00FA4B2D" w:rsidRDefault="006A3DBC" w:rsidP="006A3DBC">
      <w:pPr>
        <w:spacing w:after="0" w:line="240" w:lineRule="auto"/>
        <w:jc w:val="both"/>
        <w:rPr>
          <w:rFonts w:cs="Arial"/>
        </w:rPr>
      </w:pPr>
    </w:p>
    <w:p w14:paraId="43125682" w14:textId="77777777" w:rsidR="006A3DBC" w:rsidRPr="00FA4B2D" w:rsidRDefault="006A3DBC" w:rsidP="006A3DBC">
      <w:pPr>
        <w:jc w:val="center"/>
        <w:rPr>
          <w:rFonts w:cs="Arial"/>
          <w:sz w:val="20"/>
          <w:szCs w:val="20"/>
        </w:rPr>
      </w:pPr>
      <w:r w:rsidRPr="00FA4B2D">
        <w:rPr>
          <w:rFonts w:cs="Arial"/>
          <w:b/>
          <w:bCs/>
          <w:sz w:val="20"/>
          <w:szCs w:val="20"/>
        </w:rPr>
        <w:t>Fuente</w:t>
      </w:r>
      <w:r w:rsidRPr="00FA4B2D">
        <w:rPr>
          <w:rFonts w:cs="Arial"/>
          <w:sz w:val="20"/>
          <w:szCs w:val="20"/>
        </w:rPr>
        <w:t>: Secretaría de Infraestructura y Servicios Públicos (INSEP) Año 2017.</w:t>
      </w:r>
    </w:p>
    <w:p w14:paraId="1DF3F480" w14:textId="66947ADD" w:rsidR="006A3DBC" w:rsidRPr="00FA4B2D" w:rsidRDefault="006A3DBC" w:rsidP="006A3DBC">
      <w:pPr>
        <w:spacing w:after="0" w:line="240" w:lineRule="auto"/>
        <w:jc w:val="both"/>
        <w:rPr>
          <w:rFonts w:cs="Arial"/>
        </w:rPr>
      </w:pPr>
      <w:r w:rsidRPr="00FA4B2D">
        <w:rPr>
          <w:rFonts w:cs="Arial"/>
        </w:rPr>
        <w:t xml:space="preserve">El 77% de la red vial principal en los 18 departamentos está construida con material selecto y tierra, que en épocas de invierno y lluvia es una limitante para el acceso a los mercados que se ubican en los principales centros urbanos donde </w:t>
      </w:r>
      <w:r w:rsidR="001C5243" w:rsidRPr="00FA4B2D">
        <w:rPr>
          <w:rFonts w:cs="Arial"/>
        </w:rPr>
        <w:t>existe</w:t>
      </w:r>
      <w:r w:rsidRPr="00FA4B2D">
        <w:rPr>
          <w:rFonts w:cs="Arial"/>
        </w:rPr>
        <w:t xml:space="preserve"> mejor disponibilidad vial.  El departamento de Cortés presenta un equilibrio entre vías de mejor nivel respecto a las de selecto y tierra; los restantes departamentos mantienen déficit y desequilibrios.</w:t>
      </w:r>
    </w:p>
    <w:p w14:paraId="32F78574" w14:textId="77777777" w:rsidR="006A3DBC" w:rsidRPr="00FA4B2D" w:rsidRDefault="006A3DBC" w:rsidP="006A3DBC">
      <w:pPr>
        <w:spacing w:after="0" w:line="240" w:lineRule="auto"/>
        <w:jc w:val="both"/>
        <w:rPr>
          <w:rFonts w:cs="Arial"/>
        </w:rPr>
      </w:pPr>
    </w:p>
    <w:p w14:paraId="5CC77A65" w14:textId="77777777" w:rsidR="006A3DBC" w:rsidRPr="00FA4B2D" w:rsidRDefault="006A3DBC" w:rsidP="006A3DBC">
      <w:pPr>
        <w:spacing w:after="0" w:line="240" w:lineRule="auto"/>
        <w:jc w:val="both"/>
        <w:rPr>
          <w:rFonts w:cs="Arial"/>
        </w:rPr>
      </w:pPr>
      <w:r w:rsidRPr="00FA4B2D">
        <w:rPr>
          <w:rFonts w:cs="Arial"/>
        </w:rPr>
        <w:t>En cuanto al transporte aéreo, Honduras cuenta con 4 aeropuertos internacionales:</w:t>
      </w:r>
    </w:p>
    <w:p w14:paraId="43A5F810" w14:textId="693A58F6" w:rsidR="006A3DBC" w:rsidRPr="00FA4B2D" w:rsidRDefault="7C0DBB5E" w:rsidP="006A3DBC">
      <w:pPr>
        <w:pStyle w:val="Prrafodelista"/>
        <w:numPr>
          <w:ilvl w:val="0"/>
          <w:numId w:val="4"/>
        </w:numPr>
        <w:spacing w:after="0" w:line="240" w:lineRule="auto"/>
        <w:ind w:firstLine="0"/>
        <w:jc w:val="both"/>
        <w:rPr>
          <w:rFonts w:cs="Arial"/>
        </w:rPr>
      </w:pPr>
      <w:r w:rsidRPr="00FA4B2D">
        <w:rPr>
          <w:rFonts w:cs="Arial"/>
        </w:rPr>
        <w:t>Aeropuerto</w:t>
      </w:r>
      <w:r w:rsidR="006A3DBC" w:rsidRPr="00FA4B2D">
        <w:rPr>
          <w:rFonts w:cs="Arial"/>
        </w:rPr>
        <w:t xml:space="preserve"> Internacional Palmerola, ubicado en Comayagua.</w:t>
      </w:r>
    </w:p>
    <w:p w14:paraId="512A624A" w14:textId="77777777" w:rsidR="006A3DBC" w:rsidRPr="00FA4B2D" w:rsidRDefault="006A3DBC" w:rsidP="006A3DBC">
      <w:pPr>
        <w:pStyle w:val="Prrafodelista"/>
        <w:numPr>
          <w:ilvl w:val="0"/>
          <w:numId w:val="4"/>
        </w:numPr>
        <w:spacing w:after="0" w:line="240" w:lineRule="auto"/>
        <w:ind w:firstLine="0"/>
        <w:jc w:val="both"/>
        <w:rPr>
          <w:rFonts w:cs="Arial"/>
        </w:rPr>
      </w:pPr>
      <w:r w:rsidRPr="00FA4B2D">
        <w:rPr>
          <w:rFonts w:cs="Arial"/>
        </w:rPr>
        <w:t>Toncontín, ubicado en Tegucigalpa.</w:t>
      </w:r>
    </w:p>
    <w:p w14:paraId="6209A0F9" w14:textId="77777777" w:rsidR="006A3DBC" w:rsidRPr="00FA4B2D" w:rsidRDefault="006A3DBC" w:rsidP="006A3DBC">
      <w:pPr>
        <w:pStyle w:val="Prrafodelista"/>
        <w:numPr>
          <w:ilvl w:val="0"/>
          <w:numId w:val="4"/>
        </w:numPr>
        <w:spacing w:after="0" w:line="240" w:lineRule="auto"/>
        <w:ind w:firstLine="0"/>
        <w:jc w:val="both"/>
        <w:rPr>
          <w:rFonts w:cs="Arial"/>
        </w:rPr>
      </w:pPr>
      <w:r w:rsidRPr="00FA4B2D">
        <w:rPr>
          <w:rFonts w:cs="Arial"/>
        </w:rPr>
        <w:t>Dr. Ramón Villeda Morales, ubicado en la ciudad de San Pedro Sula.</w:t>
      </w:r>
    </w:p>
    <w:p w14:paraId="26716679" w14:textId="77777777" w:rsidR="006A3DBC" w:rsidRPr="00FA4B2D" w:rsidRDefault="006A3DBC" w:rsidP="006A3DBC">
      <w:pPr>
        <w:pStyle w:val="Prrafodelista"/>
        <w:numPr>
          <w:ilvl w:val="0"/>
          <w:numId w:val="4"/>
        </w:numPr>
        <w:spacing w:after="0" w:line="240" w:lineRule="auto"/>
        <w:ind w:firstLine="0"/>
        <w:jc w:val="both"/>
        <w:rPr>
          <w:rFonts w:cs="Arial"/>
        </w:rPr>
      </w:pPr>
      <w:r w:rsidRPr="00FA4B2D">
        <w:rPr>
          <w:rFonts w:cs="Arial"/>
        </w:rPr>
        <w:lastRenderedPageBreak/>
        <w:t>Golosón, ubicado en la ciudad de La Ceiba.</w:t>
      </w:r>
    </w:p>
    <w:p w14:paraId="6774E6A7" w14:textId="77777777" w:rsidR="006A3DBC" w:rsidRPr="00FA4B2D" w:rsidRDefault="006A3DBC" w:rsidP="006A3DBC">
      <w:pPr>
        <w:pStyle w:val="Prrafodelista"/>
        <w:numPr>
          <w:ilvl w:val="0"/>
          <w:numId w:val="4"/>
        </w:numPr>
        <w:spacing w:after="0" w:line="240" w:lineRule="auto"/>
        <w:ind w:firstLine="0"/>
        <w:jc w:val="both"/>
        <w:rPr>
          <w:rFonts w:cs="Arial"/>
        </w:rPr>
      </w:pPr>
      <w:r w:rsidRPr="00FA4B2D">
        <w:rPr>
          <w:rFonts w:cs="Arial"/>
        </w:rPr>
        <w:t>Dr. Juan Manuel Gálvez, ubicado en Roatán, Islas de la Bahía.</w:t>
      </w:r>
    </w:p>
    <w:p w14:paraId="0AC18570" w14:textId="77777777" w:rsidR="006A3DBC" w:rsidRPr="00FA4B2D" w:rsidRDefault="006A3DBC" w:rsidP="006A3DBC">
      <w:pPr>
        <w:spacing w:after="0" w:line="240" w:lineRule="auto"/>
        <w:jc w:val="both"/>
        <w:rPr>
          <w:rFonts w:cs="Arial"/>
        </w:rPr>
      </w:pPr>
    </w:p>
    <w:p w14:paraId="3D28DB53" w14:textId="77777777" w:rsidR="006A3DBC" w:rsidRPr="00FA4B2D" w:rsidRDefault="006A3DBC" w:rsidP="006A3DBC">
      <w:pPr>
        <w:spacing w:after="0" w:line="240" w:lineRule="auto"/>
        <w:jc w:val="both"/>
        <w:rPr>
          <w:rFonts w:cs="Arial"/>
        </w:rPr>
      </w:pPr>
      <w:r w:rsidRPr="00FA4B2D">
        <w:rPr>
          <w:rFonts w:cs="Arial"/>
        </w:rPr>
        <w:t>Asimismo, Honduras cuenta con puertos en la costa atlántica y caribeña: Puerto Cortés, La Ceiba, y Trujillo; en el litoral del Pacífico se encuentra el puerto de San Lorenzo. Hay barcos que llega a Puerto Cortés desde Europa, y Estados Unidos entre otros. Algunos barcos conectan este puerto con las Islas de la Bahía. Para negociar ese trayecto hay que contactar directamente con los dueños de las embarcaciones</w:t>
      </w:r>
      <w:r w:rsidRPr="00FA4B2D">
        <w:rPr>
          <w:rStyle w:val="Refdenotaalpie"/>
          <w:rFonts w:cs="Arial"/>
        </w:rPr>
        <w:footnoteReference w:id="28"/>
      </w:r>
      <w:r w:rsidRPr="00FA4B2D">
        <w:rPr>
          <w:rFonts w:cs="Arial"/>
        </w:rPr>
        <w:t>.</w:t>
      </w:r>
    </w:p>
    <w:p w14:paraId="6372DD7C" w14:textId="77777777" w:rsidR="006A3DBC" w:rsidRPr="00FA4B2D" w:rsidRDefault="006A3DBC" w:rsidP="006A3DBC">
      <w:pPr>
        <w:spacing w:after="0" w:line="240" w:lineRule="auto"/>
        <w:jc w:val="both"/>
        <w:rPr>
          <w:rFonts w:cs="Arial"/>
        </w:rPr>
      </w:pPr>
    </w:p>
    <w:p w14:paraId="48A7D22F" w14:textId="77777777" w:rsidR="006A3DBC" w:rsidRPr="00FA4B2D" w:rsidRDefault="006A3DBC" w:rsidP="00411720">
      <w:pPr>
        <w:pStyle w:val="Ttulo2"/>
        <w:numPr>
          <w:ilvl w:val="2"/>
          <w:numId w:val="70"/>
        </w:numPr>
        <w:spacing w:before="0" w:line="240" w:lineRule="auto"/>
        <w:jc w:val="both"/>
        <w:rPr>
          <w:rFonts w:ascii="Arial" w:hAnsi="Arial" w:cs="Arial"/>
          <w:b/>
          <w:bCs/>
          <w:color w:val="767171" w:themeColor="background2" w:themeShade="80"/>
          <w:sz w:val="22"/>
          <w:szCs w:val="22"/>
        </w:rPr>
      </w:pPr>
      <w:bookmarkStart w:id="665" w:name="_Toc65884187"/>
      <w:bookmarkStart w:id="666" w:name="_Toc67573410"/>
      <w:bookmarkStart w:id="667" w:name="_Toc202456928"/>
      <w:r w:rsidRPr="00FA4B2D">
        <w:rPr>
          <w:rFonts w:ascii="Arial" w:hAnsi="Arial" w:cs="Arial"/>
          <w:b/>
          <w:bCs/>
          <w:color w:val="767171" w:themeColor="background2" w:themeShade="80"/>
          <w:sz w:val="22"/>
          <w:szCs w:val="22"/>
        </w:rPr>
        <w:t>Situaciones de género</w:t>
      </w:r>
      <w:bookmarkEnd w:id="665"/>
      <w:bookmarkEnd w:id="666"/>
      <w:bookmarkEnd w:id="667"/>
      <w:r w:rsidRPr="00FA4B2D">
        <w:rPr>
          <w:rFonts w:ascii="Arial" w:hAnsi="Arial" w:cs="Arial"/>
          <w:b/>
          <w:bCs/>
          <w:color w:val="767171" w:themeColor="background2" w:themeShade="80"/>
          <w:sz w:val="22"/>
          <w:szCs w:val="22"/>
        </w:rPr>
        <w:t xml:space="preserve"> </w:t>
      </w:r>
    </w:p>
    <w:p w14:paraId="693743BE" w14:textId="77777777" w:rsidR="006A3DBC" w:rsidRPr="00FA4B2D" w:rsidRDefault="006A3DBC" w:rsidP="006A3DBC">
      <w:pPr>
        <w:pStyle w:val="NormalWeb"/>
        <w:jc w:val="both"/>
        <w:rPr>
          <w:rFonts w:ascii="Arial" w:hAnsi="Arial" w:cs="Arial"/>
          <w:sz w:val="22"/>
          <w:szCs w:val="22"/>
          <w:lang w:val="es-MX"/>
        </w:rPr>
      </w:pPr>
      <w:r w:rsidRPr="00FA4B2D">
        <w:rPr>
          <w:rFonts w:ascii="Arial" w:hAnsi="Arial" w:cs="Arial"/>
          <w:sz w:val="22"/>
          <w:szCs w:val="22"/>
          <w:lang w:val="es-MX"/>
        </w:rPr>
        <w:t>La igualdad de género es importante no sólo como derecho humano, sino también para el desarrollo. Permite un acceso igualitario a bienes, servicios y recursos para hombres y mujeres, además de un disfrute equitativo de las oportunidades y los beneficios del desarrollo económico. La igualdad de género es “economía inteligente” y puede contribuir a la reducción de la extrema pobreza y la desigualdad: el BM (2012) atribuye el 26% de la reducción de la extrema pobreza y el 28% de la reducción de la desigualdad durante el período 2000-2010 al aumento de los ingresos por parte de las mujeres en el mercado laboral.</w:t>
      </w:r>
    </w:p>
    <w:p w14:paraId="082EB4BB" w14:textId="77777777" w:rsidR="006A3DBC" w:rsidRPr="00EF7331" w:rsidRDefault="006A3DBC" w:rsidP="006A3DBC">
      <w:pPr>
        <w:pStyle w:val="NormalWeb"/>
        <w:jc w:val="both"/>
        <w:rPr>
          <w:rFonts w:ascii="Arial" w:hAnsi="Arial" w:cs="Arial"/>
          <w:lang w:val="es-MX"/>
        </w:rPr>
      </w:pPr>
      <w:r w:rsidRPr="00EF7331">
        <w:rPr>
          <w:rFonts w:ascii="Arial" w:hAnsi="Arial" w:cs="Arial"/>
          <w:lang w:val="es-MX"/>
        </w:rPr>
        <w:t>En la región de América Latina y el Caribe, se han realizado avances significativos en cuanto al acceso a la salud, la educación y las oportunidades económicas en cuanto a la igualdad para el hombre y la mujer, sin embargo, aún existen desafíos en las áreas de la capacidad de acción y decisión (</w:t>
      </w:r>
      <w:r w:rsidRPr="00EF7331">
        <w:rPr>
          <w:rFonts w:ascii="Arial" w:hAnsi="Arial" w:cs="Arial"/>
          <w:i/>
          <w:iCs/>
          <w:lang w:val="es-MX"/>
        </w:rPr>
        <w:t>agencia</w:t>
      </w:r>
      <w:r w:rsidRPr="00EF7331">
        <w:rPr>
          <w:rFonts w:ascii="Arial" w:hAnsi="Arial" w:cs="Arial"/>
          <w:lang w:val="es-MX"/>
        </w:rPr>
        <w:t>) y voz dentro de la sociedad. Las normas de género arraigadas en la vida social, política, económica y cultural perpetúan las desigualdades en los hogares y en las comunidades a nivel nacional y regional. Son especialmente preocupantes las manifestaciones de la falta de la capacidad de acción y decisión por parte de las mujeres en la región, incluyendo: tasas persistentes de embarazo adolescente, violencia sexual y de género, y una continua exclusión de los espacios de toma de decisiones.</w:t>
      </w:r>
    </w:p>
    <w:p w14:paraId="02D82235" w14:textId="77777777" w:rsidR="006A3DBC" w:rsidRPr="00FA4B2D" w:rsidRDefault="006A3DBC" w:rsidP="006A3DBC">
      <w:pPr>
        <w:jc w:val="both"/>
        <w:rPr>
          <w:rFonts w:eastAsia="Arial" w:cs="Arial"/>
          <w:lang w:val="es-CR"/>
        </w:rPr>
      </w:pPr>
      <w:r w:rsidRPr="00FA4B2D">
        <w:rPr>
          <w:rFonts w:eastAsia="Arial" w:cs="Arial"/>
        </w:rPr>
        <w:t xml:space="preserve">Honduras cuenta con un marco de políticas para la igualdad de género que afecta todos los sectores y entidades vinculadas al desarrollo de la nación. Desde La Visión de País </w:t>
      </w:r>
      <w:r w:rsidRPr="00FA4B2D">
        <w:rPr>
          <w:rFonts w:eastAsia="Arial" w:cs="Arial"/>
          <w:lang w:val="es-CR"/>
        </w:rPr>
        <w:t xml:space="preserve">2010-2038 que está dirigida a lograr la “solidaridad y equidad como criterios para la intervención estatal”, se contempla como eje transversal la equidad de género, que se retoma en el Plan de Gobierno 2018-2022. Estos instrumentos complementan la Ley de igualdad de oportunidades para la mujer (2000) y el II Plan de Igualdad y Equidad de Género de Honduras (II PIEGH 2010-2022) que define 6 ejes de acción para la promoción, protección y garantía de la participación social y política de las mujeres, el derecho a la paz y a una vida libre de violencia, a la salud durante todo el ciclo de vida y de sus derechos sexuales y reproductivos, del derecho a la educación, los derechos culturales e interculturalidad y el derecho a la información, de los derechos económicos, trabajo, empleo, acceso, uso y control de </w:t>
      </w:r>
      <w:r w:rsidRPr="00FA4B2D">
        <w:rPr>
          <w:rFonts w:eastAsia="Arial" w:cs="Arial"/>
          <w:lang w:val="es-CR"/>
        </w:rPr>
        <w:lastRenderedPageBreak/>
        <w:t>los recursos y del acceso, uso sostenible y control de la biodiversidad, los recursos naturales y la gestión del riesgo.</w:t>
      </w:r>
    </w:p>
    <w:p w14:paraId="38A50E8A" w14:textId="77777777" w:rsidR="006A3DBC" w:rsidRPr="00FA4B2D" w:rsidRDefault="006A3DBC" w:rsidP="006A3DBC">
      <w:pPr>
        <w:jc w:val="both"/>
        <w:rPr>
          <w:rFonts w:eastAsia="Arial" w:cs="Arial"/>
          <w:lang w:val="es-CR"/>
        </w:rPr>
      </w:pPr>
      <w:r w:rsidRPr="00FA4B2D">
        <w:rPr>
          <w:rFonts w:eastAsia="Arial" w:cs="Arial"/>
          <w:lang w:val="es-CR"/>
        </w:rPr>
        <w:t>Aunque se reconoce la importancia de este marco de políticas e instrumentos de aplicación, existen brechas de género que deben ser removidas para alcanzar la igualdad y equidad de género, principalmente en las áreas rurales de Honduras. Las condiciones de las áreas rurales, así como la pobreza existente en los hogares rurales afectan mayoritariamente a las mujeres debido a las dificultades que experimentan en el desempeño de sus roles económicos y aquellos tradicionales como trabajadoras no remuneradas en las labores domésticas y el cuido.</w:t>
      </w:r>
    </w:p>
    <w:p w14:paraId="2F2BA252" w14:textId="77777777" w:rsidR="006A3DBC" w:rsidRPr="00FA4B2D" w:rsidRDefault="006A3DBC" w:rsidP="006A3DBC">
      <w:pPr>
        <w:jc w:val="both"/>
        <w:rPr>
          <w:rFonts w:cs="Arial"/>
          <w:lang w:val="es-HN"/>
        </w:rPr>
      </w:pPr>
      <w:r w:rsidRPr="00FA4B2D">
        <w:rPr>
          <w:rFonts w:cs="Arial"/>
          <w:lang w:val="es-HN"/>
        </w:rPr>
        <w:t>La importancia de estas Políticas para la mujer rural estriba en el reconocimiento de la necesidad de respetar su protagonismo como actora del desarrollo, mediante el fomento e incremento de su participación social y productiva de largo alcance, lo cual significa un gran avance al menos a nivel propositivo para la búsqueda de la equidad y la democracia. Otro reto no menos relevante, es la promoción de Políticas encaminadas a la remoción de los obstáculos que, por razones de género, todavía enfrentan las mujeres para lograr una participación más equitativa.</w:t>
      </w:r>
    </w:p>
    <w:p w14:paraId="37FEFAA2" w14:textId="77777777" w:rsidR="006A3DBC" w:rsidRPr="00FA4B2D" w:rsidRDefault="006A3DBC" w:rsidP="006A3DBC">
      <w:pPr>
        <w:jc w:val="both"/>
        <w:rPr>
          <w:rFonts w:cs="Arial"/>
        </w:rPr>
      </w:pPr>
      <w:r w:rsidRPr="00FA4B2D">
        <w:rPr>
          <w:rFonts w:cs="Arial"/>
        </w:rPr>
        <w:t xml:space="preserve">La inclusión social y el enfoque de género en la ejecución de iniciativas tienen un impacto directo en los resultados de los proyectos, porque contribuyen a promover la participación y la justicia que son elementos importantes para el logro del desarrollo sostenible y mejorar la calidad de vida de la población. </w:t>
      </w:r>
    </w:p>
    <w:p w14:paraId="4BE1E055" w14:textId="77777777" w:rsidR="006A3DBC" w:rsidRPr="00FA4B2D" w:rsidRDefault="006A3DBC" w:rsidP="006A3DBC">
      <w:pPr>
        <w:jc w:val="both"/>
        <w:rPr>
          <w:rFonts w:cs="Arial"/>
        </w:rPr>
      </w:pPr>
      <w:r w:rsidRPr="00FA4B2D">
        <w:rPr>
          <w:rFonts w:cs="Arial"/>
        </w:rPr>
        <w:t xml:space="preserve">No cabe duda de que las mujeres aportan contribuciones significativas a la economía rural en todas las regiones de los países en desarrollo. Sus roles difieren según las regiones, aunque siempre tienen un menor acceso que los hombres a los recursos y oportunidades que necesitan para ser más productivas. Si se incrementara el acceso de las mujeres a la tierra, la educación, tecnología, los servicios financieros, la asistencia técnica y el empleo rural, aumentaría su productividad, así como la competitividad global y el bienestar social del territorio. </w:t>
      </w:r>
    </w:p>
    <w:p w14:paraId="336801A9" w14:textId="77777777" w:rsidR="006A3DBC" w:rsidRPr="00FA4B2D" w:rsidRDefault="006A3DBC" w:rsidP="006A3DBC">
      <w:pPr>
        <w:jc w:val="both"/>
        <w:rPr>
          <w:rFonts w:cs="Arial"/>
        </w:rPr>
      </w:pPr>
      <w:r w:rsidRPr="00FA4B2D">
        <w:rPr>
          <w:rFonts w:cs="Arial"/>
        </w:rPr>
        <w:t>Aunque en las últimas décadas se han logrado avances significativos en los diferentes ámbitos para alcanzar la equidad de género, aún se necesita desarrollar y reafirmar más estas políticas, junto con acciones de concienciación y visibilizarían de los aportes de las mujeres a las economías rurales y urbanas, a la reproducción de patrones culturales, al cuidado del ambiente y a los procesos de reivindicación de derechos individuales y colectivos.</w:t>
      </w:r>
    </w:p>
    <w:p w14:paraId="38146FA3" w14:textId="65AE33DF" w:rsidR="006A3DBC" w:rsidRPr="00FA4B2D" w:rsidRDefault="006A3DBC" w:rsidP="006A3DBC">
      <w:pPr>
        <w:spacing w:before="100" w:beforeAutospacing="1" w:after="100" w:afterAutospacing="1" w:line="240" w:lineRule="auto"/>
        <w:jc w:val="both"/>
        <w:rPr>
          <w:rFonts w:cs="Arial"/>
          <w:lang w:val="es-MX"/>
        </w:rPr>
      </w:pPr>
      <w:r w:rsidRPr="00FA4B2D">
        <w:rPr>
          <w:rFonts w:cs="Arial"/>
          <w:lang w:val="es-MX"/>
        </w:rPr>
        <w:t>La Violencia Basada en Género (</w:t>
      </w:r>
      <w:r w:rsidR="00B52936" w:rsidRPr="00FA4B2D">
        <w:rPr>
          <w:rFonts w:cs="Arial"/>
          <w:lang w:val="es-MX"/>
        </w:rPr>
        <w:t>VBG</w:t>
      </w:r>
      <w:r w:rsidRPr="00FA4B2D">
        <w:rPr>
          <w:rFonts w:cs="Arial"/>
          <w:lang w:val="es-MX"/>
        </w:rPr>
        <w:t xml:space="preserve">), incluida la </w:t>
      </w:r>
      <w:r w:rsidR="00B52936" w:rsidRPr="00FA4B2D">
        <w:rPr>
          <w:rFonts w:cs="Arial"/>
          <w:lang w:val="es-MX"/>
        </w:rPr>
        <w:t>E</w:t>
      </w:r>
      <w:r w:rsidRPr="00FA4B2D">
        <w:rPr>
          <w:rFonts w:cs="Arial"/>
          <w:lang w:val="es-MX"/>
        </w:rPr>
        <w:t xml:space="preserve">xplotación y el </w:t>
      </w:r>
      <w:r w:rsidR="00B52936" w:rsidRPr="00FA4B2D">
        <w:rPr>
          <w:rFonts w:cs="Arial"/>
          <w:lang w:val="es-MX"/>
        </w:rPr>
        <w:t>A</w:t>
      </w:r>
      <w:r w:rsidRPr="00FA4B2D">
        <w:rPr>
          <w:rFonts w:cs="Arial"/>
          <w:lang w:val="es-MX"/>
        </w:rPr>
        <w:t xml:space="preserve">buso </w:t>
      </w:r>
      <w:r w:rsidR="00B52936" w:rsidRPr="00FA4B2D">
        <w:rPr>
          <w:rFonts w:cs="Arial"/>
          <w:lang w:val="es-MX"/>
        </w:rPr>
        <w:t>S</w:t>
      </w:r>
      <w:r w:rsidRPr="00FA4B2D">
        <w:rPr>
          <w:rFonts w:cs="Arial"/>
          <w:lang w:val="es-MX"/>
        </w:rPr>
        <w:t>exual</w:t>
      </w:r>
      <w:r w:rsidR="00B52936" w:rsidRPr="00FA4B2D">
        <w:rPr>
          <w:rFonts w:cs="Arial"/>
          <w:lang w:val="es-MX"/>
        </w:rPr>
        <w:t xml:space="preserve"> (EyAS)</w:t>
      </w:r>
      <w:r w:rsidRPr="00FA4B2D">
        <w:rPr>
          <w:rFonts w:cs="Arial"/>
          <w:lang w:val="es-MX"/>
        </w:rPr>
        <w:t xml:space="preserve">, es un desafío frecuente. Se entiende por violencia de género cualquier acto violento o agresión, basados en una situación de desigualdad en el marco de un sistema de relaciones de dominación de los hombres sobre las mujeres que tenga o pueda tener como consecuencia un daño físico, sexual o psicológico, incluidas las amenazas de tales actos y la coacción o privación arbitraria de la libertad, tanto si ocurren en el ámbito público como en la vida familiar o personal. La violencia contra </w:t>
      </w:r>
      <w:r w:rsidRPr="00FA4B2D">
        <w:rPr>
          <w:rFonts w:cs="Arial"/>
          <w:lang w:val="es-MX"/>
        </w:rPr>
        <w:lastRenderedPageBreak/>
        <w:t>las mujeres y los niños, y a veces incluso contra los hombres, contribuye a sufrir daños físicos y mentales, al tiempo que socava la capacidad de los sobrevivientes y, a menudo, de sus familias, de participar en vidas significativas y productivas. Encontrar soluciones para reducir y responder a la violencia de género es un imperativo crítico del desarrollo, con implicaciones para la productividad, la agencia y el bienestar de las personas y las comunidades.</w:t>
      </w:r>
    </w:p>
    <w:p w14:paraId="030B7F62" w14:textId="77777777" w:rsidR="006A3DBC" w:rsidRPr="00FA4B2D" w:rsidRDefault="006A3DBC" w:rsidP="006A3DBC">
      <w:pPr>
        <w:spacing w:before="100" w:beforeAutospacing="1" w:after="100" w:afterAutospacing="1" w:line="240" w:lineRule="auto"/>
        <w:jc w:val="both"/>
        <w:rPr>
          <w:rFonts w:cs="Arial"/>
          <w:lang w:val="es-MX"/>
        </w:rPr>
      </w:pPr>
      <w:r w:rsidRPr="00FA4B2D">
        <w:rPr>
          <w:rFonts w:cs="Arial"/>
          <w:lang w:val="es-MX"/>
        </w:rPr>
        <w:t>Identificar y comprender el riesgo para las mujeres y los niños, así como para otras poblaciones vulnerables, de explotación sexual y abuso y violencia de género es crítico pero desafiante. Los factores de riesgo son innumerables y abarcan múltiples ámbitos, incluidos los niveles individuales, de relación, comunitarios, institucionales y de políticas. Los proyectos de desarrollo, dependiendo de su alcance, pueden exacerbar los riesgos existentes o pueden crear otros nuevos. Los factores de riesgo relacionados con el proyecto pueden incluir el tamaño y la escala de un proyecto, la escala de la afluencia laboral (“labor influx”), el grado en que una comunidad tiene capacidad para absorber la afluencia laboral o requiere instalaciones de campamento separadas, la afluencia de ingresos a los trabajadores que puede exacerbar las ya existentes inequidades entre trabajadores y miembros de la comunidad, y la ubicación geográfica de las actividades del proyecto.</w:t>
      </w:r>
    </w:p>
    <w:p w14:paraId="6B228ACC" w14:textId="77777777" w:rsidR="006A3DBC" w:rsidRPr="00FA4B2D" w:rsidRDefault="006A3DBC" w:rsidP="00411720">
      <w:pPr>
        <w:pStyle w:val="Ttulo2"/>
        <w:numPr>
          <w:ilvl w:val="1"/>
          <w:numId w:val="100"/>
        </w:numPr>
        <w:spacing w:before="0" w:line="240" w:lineRule="auto"/>
        <w:jc w:val="both"/>
        <w:rPr>
          <w:rFonts w:ascii="Arial" w:hAnsi="Arial" w:cs="Arial"/>
          <w:b/>
          <w:bCs/>
          <w:color w:val="767171" w:themeColor="background2" w:themeShade="80"/>
          <w:sz w:val="22"/>
          <w:szCs w:val="22"/>
        </w:rPr>
      </w:pPr>
      <w:bookmarkStart w:id="668" w:name="_Toc202456929"/>
      <w:r w:rsidRPr="00FA4B2D">
        <w:rPr>
          <w:rFonts w:ascii="Arial" w:hAnsi="Arial" w:cs="Arial"/>
          <w:b/>
          <w:bCs/>
          <w:color w:val="767171" w:themeColor="background2" w:themeShade="80"/>
          <w:sz w:val="22"/>
          <w:szCs w:val="22"/>
        </w:rPr>
        <w:t>Caracterización de los Departamentos que se incorporar en COMRURAL III: Valle, Yoro y Olancho</w:t>
      </w:r>
      <w:bookmarkEnd w:id="668"/>
      <w:r w:rsidRPr="00FA4B2D">
        <w:rPr>
          <w:rFonts w:ascii="Arial" w:hAnsi="Arial" w:cs="Arial"/>
          <w:b/>
          <w:bCs/>
          <w:color w:val="767171" w:themeColor="background2" w:themeShade="80"/>
          <w:sz w:val="22"/>
          <w:szCs w:val="22"/>
        </w:rPr>
        <w:t xml:space="preserve"> </w:t>
      </w:r>
    </w:p>
    <w:p w14:paraId="012CBCB2" w14:textId="77777777" w:rsidR="006A3DBC" w:rsidRPr="00FA4B2D" w:rsidRDefault="006A3DBC" w:rsidP="006A3DBC">
      <w:pPr>
        <w:jc w:val="both"/>
        <w:rPr>
          <w:rFonts w:cs="Arial"/>
        </w:rPr>
      </w:pPr>
      <w:r w:rsidRPr="00FA4B2D">
        <w:rPr>
          <w:rFonts w:cs="Arial"/>
        </w:rPr>
        <w:t>A continuación, se presenta la caracterización socioeconómica y cultural de las nuevas regiones a ser incorporadas en COMRURAL III: los departamentos de Olancho, Yoro y Valle.  Estos han sido actualizados en el mes de marzo de 2023, y de forma general se identifican:</w:t>
      </w:r>
    </w:p>
    <w:p w14:paraId="2C4FAF10" w14:textId="77777777" w:rsidR="006A3DBC" w:rsidRPr="00EF7331" w:rsidRDefault="006A3DBC" w:rsidP="00411720">
      <w:pPr>
        <w:pStyle w:val="Ttulo2"/>
        <w:numPr>
          <w:ilvl w:val="2"/>
          <w:numId w:val="100"/>
        </w:numPr>
        <w:spacing w:before="0" w:line="240" w:lineRule="auto"/>
        <w:jc w:val="both"/>
        <w:rPr>
          <w:rFonts w:ascii="Arial" w:hAnsi="Arial" w:cs="Arial"/>
          <w:color w:val="767171" w:themeColor="background2" w:themeShade="80"/>
          <w:sz w:val="24"/>
          <w:szCs w:val="24"/>
        </w:rPr>
      </w:pPr>
      <w:bookmarkStart w:id="669" w:name="_Toc202456930"/>
      <w:r w:rsidRPr="00EF7331">
        <w:rPr>
          <w:rFonts w:ascii="Arial" w:hAnsi="Arial" w:cs="Arial"/>
          <w:color w:val="767171" w:themeColor="background2" w:themeShade="80"/>
          <w:sz w:val="24"/>
          <w:szCs w:val="24"/>
        </w:rPr>
        <w:t>Población de las áreas de intervención</w:t>
      </w:r>
      <w:bookmarkEnd w:id="669"/>
      <w:r w:rsidRPr="00EF7331">
        <w:rPr>
          <w:rFonts w:ascii="Arial" w:hAnsi="Arial" w:cs="Arial"/>
          <w:color w:val="767171" w:themeColor="background2" w:themeShade="80"/>
          <w:sz w:val="24"/>
          <w:szCs w:val="24"/>
        </w:rPr>
        <w:t xml:space="preserve"> </w:t>
      </w:r>
    </w:p>
    <w:p w14:paraId="07FBCDB6" w14:textId="77777777" w:rsidR="006A3DBC" w:rsidRPr="00FA4B2D" w:rsidRDefault="006A3DBC" w:rsidP="006A3DBC">
      <w:pPr>
        <w:spacing w:after="0" w:line="240" w:lineRule="auto"/>
        <w:rPr>
          <w:rFonts w:eastAsia="Times New Roman" w:cs="Arial"/>
          <w:lang w:val="es-HN"/>
        </w:rPr>
      </w:pPr>
    </w:p>
    <w:p w14:paraId="620F7660" w14:textId="77777777" w:rsidR="006A3DBC" w:rsidRPr="00FA4B2D" w:rsidRDefault="006A3DBC" w:rsidP="006A3DBC">
      <w:pPr>
        <w:spacing w:after="0" w:line="240" w:lineRule="auto"/>
        <w:rPr>
          <w:rFonts w:eastAsia="Times New Roman" w:cs="Arial"/>
          <w:lang w:val="es-HN"/>
        </w:rPr>
      </w:pPr>
      <w:r w:rsidRPr="00FA4B2D">
        <w:rPr>
          <w:rFonts w:eastAsia="Times New Roman" w:cs="Arial"/>
          <w:lang w:val="es-HN"/>
        </w:rPr>
        <w:t xml:space="preserve">La población total de los tres departamentos de incidencia del Proyecto ha sido proyectada por el INE en 1,473,177 habitantes, representando el 14.89% del nivel nacional. </w:t>
      </w:r>
    </w:p>
    <w:p w14:paraId="310E4DD6" w14:textId="49A2E8A2" w:rsidR="00EF7331" w:rsidRDefault="00EF7331" w:rsidP="00EF7331">
      <w:pPr>
        <w:pStyle w:val="Descripcin"/>
        <w:keepNext/>
      </w:pPr>
      <w:bookmarkStart w:id="670" w:name="_Toc202455445"/>
      <w:r>
        <w:t xml:space="preserve">Tabla </w:t>
      </w:r>
      <w:r>
        <w:fldChar w:fldCharType="begin"/>
      </w:r>
      <w:r>
        <w:instrText xml:space="preserve"> SEQ Tabla \* ARABIC </w:instrText>
      </w:r>
      <w:r>
        <w:fldChar w:fldCharType="separate"/>
      </w:r>
      <w:r w:rsidR="000E6D86">
        <w:rPr>
          <w:noProof/>
        </w:rPr>
        <w:t>19</w:t>
      </w:r>
      <w:r>
        <w:fldChar w:fldCharType="end"/>
      </w:r>
      <w:r>
        <w:t xml:space="preserve">: </w:t>
      </w:r>
      <w:r w:rsidRPr="00451753">
        <w:t>Composición de la población de los tres Departamentos de intervención</w:t>
      </w:r>
      <w:bookmarkEnd w:id="670"/>
    </w:p>
    <w:p w14:paraId="4BD87ABE" w14:textId="77777777" w:rsidR="006A3DBC" w:rsidRPr="00FA4B2D" w:rsidRDefault="006A3DBC" w:rsidP="006A3DBC">
      <w:pPr>
        <w:spacing w:after="0" w:line="240" w:lineRule="auto"/>
        <w:jc w:val="center"/>
        <w:rPr>
          <w:rFonts w:eastAsia="Times New Roman" w:cs="Arial"/>
          <w:sz w:val="20"/>
          <w:szCs w:val="20"/>
          <w:lang w:eastAsia="es-SV"/>
        </w:rPr>
      </w:pPr>
      <w:r w:rsidRPr="00FA4B2D">
        <w:rPr>
          <w:rFonts w:cs="Arial"/>
          <w:noProof/>
          <w:lang w:val="es-HN" w:eastAsia="es-HN"/>
        </w:rPr>
        <w:drawing>
          <wp:inline distT="0" distB="0" distL="0" distR="0" wp14:anchorId="3A67A577" wp14:editId="35439189">
            <wp:extent cx="4477871" cy="1409700"/>
            <wp:effectExtent l="0" t="0" r="0" b="0"/>
            <wp:docPr id="118438339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80109" cy="1410405"/>
                    </a:xfrm>
                    <a:prstGeom prst="rect">
                      <a:avLst/>
                    </a:prstGeom>
                    <a:noFill/>
                    <a:ln>
                      <a:noFill/>
                    </a:ln>
                  </pic:spPr>
                </pic:pic>
              </a:graphicData>
            </a:graphic>
          </wp:inline>
        </w:drawing>
      </w:r>
    </w:p>
    <w:p w14:paraId="4AE9B5F2" w14:textId="77777777" w:rsidR="006A3DBC" w:rsidRPr="00FA4B2D" w:rsidRDefault="006A3DBC" w:rsidP="006A3DBC">
      <w:pPr>
        <w:spacing w:after="0" w:line="240" w:lineRule="auto"/>
        <w:jc w:val="center"/>
        <w:rPr>
          <w:rFonts w:eastAsia="Times New Roman" w:cs="Arial"/>
          <w:sz w:val="20"/>
          <w:szCs w:val="20"/>
          <w:lang w:eastAsia="es-SV"/>
        </w:rPr>
      </w:pPr>
      <w:r w:rsidRPr="00FA4B2D">
        <w:rPr>
          <w:rFonts w:eastAsia="Times New Roman" w:cs="Arial"/>
          <w:b/>
          <w:bCs/>
          <w:sz w:val="20"/>
          <w:szCs w:val="20"/>
          <w:lang w:eastAsia="es-SV"/>
        </w:rPr>
        <w:t>Fuente</w:t>
      </w:r>
      <w:r w:rsidRPr="00FA4B2D">
        <w:rPr>
          <w:rFonts w:eastAsia="Times New Roman" w:cs="Arial"/>
          <w:sz w:val="20"/>
          <w:szCs w:val="20"/>
          <w:lang w:eastAsia="es-SV"/>
        </w:rPr>
        <w:t>:</w:t>
      </w:r>
      <w:r w:rsidRPr="00FA4B2D">
        <w:rPr>
          <w:rFonts w:eastAsia="Times New Roman" w:cs="Arial"/>
          <w:b/>
          <w:bCs/>
          <w:sz w:val="20"/>
          <w:szCs w:val="20"/>
          <w:lang w:eastAsia="es-SV"/>
        </w:rPr>
        <w:t xml:space="preserve"> </w:t>
      </w:r>
      <w:r w:rsidRPr="00FA4B2D">
        <w:rPr>
          <w:rFonts w:eastAsia="Times New Roman" w:cs="Arial"/>
          <w:sz w:val="20"/>
          <w:szCs w:val="20"/>
          <w:lang w:eastAsia="es-SV"/>
        </w:rPr>
        <w:t>INE. Proyección de Población por departamento y sexo, con base a</w:t>
      </w:r>
    </w:p>
    <w:p w14:paraId="02F5E67A" w14:textId="77777777" w:rsidR="006A3DBC" w:rsidRPr="00FA4B2D" w:rsidRDefault="006A3DBC" w:rsidP="006A3DBC">
      <w:pPr>
        <w:spacing w:after="0" w:line="240" w:lineRule="auto"/>
        <w:jc w:val="center"/>
        <w:rPr>
          <w:rFonts w:eastAsia="Times New Roman" w:cs="Arial"/>
          <w:sz w:val="20"/>
          <w:szCs w:val="20"/>
          <w:lang w:val="es-HN"/>
        </w:rPr>
      </w:pPr>
      <w:r w:rsidRPr="00FA4B2D">
        <w:rPr>
          <w:rFonts w:eastAsia="Times New Roman" w:cs="Arial"/>
          <w:sz w:val="20"/>
          <w:szCs w:val="20"/>
          <w:lang w:eastAsia="es-SV"/>
        </w:rPr>
        <w:t>datos del Censo INE 2013</w:t>
      </w:r>
      <w:r w:rsidRPr="00FA4B2D">
        <w:rPr>
          <w:rStyle w:val="Refdenotaalpie"/>
          <w:rFonts w:eastAsia="Times New Roman" w:cs="Arial"/>
          <w:lang w:eastAsia="es-SV"/>
        </w:rPr>
        <w:footnoteReference w:id="29"/>
      </w:r>
      <w:r w:rsidRPr="00FA4B2D">
        <w:rPr>
          <w:rFonts w:eastAsia="Times New Roman" w:cs="Arial"/>
          <w:sz w:val="20"/>
          <w:szCs w:val="20"/>
          <w:lang w:eastAsia="es-SV"/>
        </w:rPr>
        <w:t xml:space="preserve">. </w:t>
      </w:r>
    </w:p>
    <w:p w14:paraId="2E977677" w14:textId="77777777" w:rsidR="006A3DBC" w:rsidRPr="00FA4B2D" w:rsidRDefault="006A3DBC" w:rsidP="006A3DBC">
      <w:pPr>
        <w:pStyle w:val="Prrafodelista"/>
        <w:spacing w:after="0" w:line="240" w:lineRule="auto"/>
        <w:ind w:left="1080"/>
        <w:jc w:val="center"/>
        <w:rPr>
          <w:rFonts w:eastAsia="Times New Roman" w:cs="Arial"/>
          <w:lang w:val="es-HN"/>
        </w:rPr>
      </w:pPr>
    </w:p>
    <w:p w14:paraId="03A88A27" w14:textId="77777777" w:rsidR="006A3DBC" w:rsidRPr="00FA4B2D" w:rsidRDefault="006A3DBC" w:rsidP="006A3DBC">
      <w:pPr>
        <w:jc w:val="both"/>
        <w:rPr>
          <w:rFonts w:eastAsia="Times New Roman" w:cs="Arial"/>
          <w:lang w:val="es-HN"/>
        </w:rPr>
      </w:pPr>
      <w:r w:rsidRPr="00FA4B2D">
        <w:rPr>
          <w:rFonts w:eastAsia="Times New Roman" w:cs="Arial"/>
          <w:lang w:val="es-HN"/>
        </w:rPr>
        <w:lastRenderedPageBreak/>
        <w:t xml:space="preserve">En relación con el total de hogares en los tres departamentos fue de 332,114 hogares (115,505 están liderados por mujeres y 216, 609 por hombres).  De manera desagregada en cada uno de los departamentos, los resultados son: Olancho, son 134,731 hogares, Valle 47,542 hogares y Yoro 149,841 hogares. </w:t>
      </w:r>
    </w:p>
    <w:p w14:paraId="0BC4597F" w14:textId="50FC6A2C" w:rsidR="00EF7331" w:rsidRDefault="00EF7331" w:rsidP="00EF7331">
      <w:pPr>
        <w:pStyle w:val="Descripcin"/>
        <w:keepNext/>
      </w:pPr>
      <w:bookmarkStart w:id="671" w:name="_Toc202455446"/>
      <w:r>
        <w:t xml:space="preserve">Tabla </w:t>
      </w:r>
      <w:r>
        <w:fldChar w:fldCharType="begin"/>
      </w:r>
      <w:r>
        <w:instrText xml:space="preserve"> SEQ Tabla \* ARABIC </w:instrText>
      </w:r>
      <w:r>
        <w:fldChar w:fldCharType="separate"/>
      </w:r>
      <w:r w:rsidR="000E6D86">
        <w:rPr>
          <w:noProof/>
        </w:rPr>
        <w:t>20</w:t>
      </w:r>
      <w:r>
        <w:fldChar w:fldCharType="end"/>
      </w:r>
      <w:r>
        <w:t xml:space="preserve">: </w:t>
      </w:r>
      <w:r w:rsidRPr="00A82716">
        <w:t>Distribución de hogares por área geográfica en los 3 Departamentos</w:t>
      </w:r>
      <w:bookmarkEnd w:id="671"/>
    </w:p>
    <w:tbl>
      <w:tblPr>
        <w:tblW w:w="6168" w:type="dxa"/>
        <w:jc w:val="center"/>
        <w:tblCellMar>
          <w:left w:w="70" w:type="dxa"/>
          <w:right w:w="70" w:type="dxa"/>
        </w:tblCellMar>
        <w:tblLook w:val="04A0" w:firstRow="1" w:lastRow="0" w:firstColumn="1" w:lastColumn="0" w:noHBand="0" w:noVBand="1"/>
      </w:tblPr>
      <w:tblGrid>
        <w:gridCol w:w="3040"/>
        <w:gridCol w:w="1060"/>
        <w:gridCol w:w="1060"/>
        <w:gridCol w:w="1008"/>
      </w:tblGrid>
      <w:tr w:rsidR="00CF0F96" w:rsidRPr="00CF0F96" w14:paraId="757B2E49" w14:textId="77777777" w:rsidTr="00EF7331">
        <w:trPr>
          <w:trHeight w:val="300"/>
          <w:tblHeader/>
          <w:jc w:val="center"/>
        </w:trPr>
        <w:tc>
          <w:tcPr>
            <w:tcW w:w="3040" w:type="dxa"/>
            <w:tcBorders>
              <w:top w:val="single" w:sz="4" w:space="0" w:color="auto"/>
              <w:left w:val="single" w:sz="4" w:space="0" w:color="auto"/>
              <w:bottom w:val="single" w:sz="4" w:space="0" w:color="auto"/>
              <w:right w:val="single" w:sz="4" w:space="0" w:color="auto"/>
            </w:tcBorders>
            <w:shd w:val="clear" w:color="auto" w:fill="5CC5DA"/>
            <w:noWrap/>
            <w:vAlign w:val="bottom"/>
            <w:hideMark/>
          </w:tcPr>
          <w:p w14:paraId="55D3256F" w14:textId="77777777" w:rsidR="006A3DBC" w:rsidRPr="00CF0F96" w:rsidRDefault="006A3DBC" w:rsidP="005F4A92">
            <w:pPr>
              <w:spacing w:after="0" w:line="240" w:lineRule="auto"/>
              <w:jc w:val="center"/>
              <w:rPr>
                <w:rFonts w:eastAsia="Times New Roman" w:cs="Arial"/>
                <w:b/>
                <w:lang w:eastAsia="es-SV"/>
              </w:rPr>
            </w:pPr>
            <w:r w:rsidRPr="00CF0F96">
              <w:rPr>
                <w:rFonts w:eastAsia="Times New Roman" w:cs="Arial"/>
                <w:b/>
                <w:lang w:eastAsia="es-SV"/>
              </w:rPr>
              <w:t>Departamento</w:t>
            </w:r>
          </w:p>
        </w:tc>
        <w:tc>
          <w:tcPr>
            <w:tcW w:w="1060" w:type="dxa"/>
            <w:tcBorders>
              <w:top w:val="single" w:sz="4" w:space="0" w:color="auto"/>
              <w:left w:val="nil"/>
              <w:bottom w:val="single" w:sz="4" w:space="0" w:color="auto"/>
              <w:right w:val="single" w:sz="4" w:space="0" w:color="auto"/>
            </w:tcBorders>
            <w:shd w:val="clear" w:color="auto" w:fill="5CC5DA"/>
            <w:noWrap/>
            <w:vAlign w:val="bottom"/>
            <w:hideMark/>
          </w:tcPr>
          <w:p w14:paraId="204FFF39" w14:textId="77777777" w:rsidR="006A3DBC" w:rsidRPr="00CF0F96" w:rsidRDefault="006A3DBC" w:rsidP="005F4A92">
            <w:pPr>
              <w:spacing w:after="0" w:line="240" w:lineRule="auto"/>
              <w:jc w:val="center"/>
              <w:rPr>
                <w:rFonts w:eastAsia="Times New Roman" w:cs="Arial"/>
                <w:b/>
                <w:lang w:eastAsia="es-SV"/>
              </w:rPr>
            </w:pPr>
            <w:r w:rsidRPr="00CF0F96">
              <w:rPr>
                <w:rFonts w:eastAsia="Times New Roman" w:cs="Arial"/>
                <w:b/>
                <w:lang w:eastAsia="es-SV"/>
              </w:rPr>
              <w:t>Urbano</w:t>
            </w:r>
          </w:p>
        </w:tc>
        <w:tc>
          <w:tcPr>
            <w:tcW w:w="1060" w:type="dxa"/>
            <w:tcBorders>
              <w:top w:val="single" w:sz="4" w:space="0" w:color="auto"/>
              <w:left w:val="nil"/>
              <w:bottom w:val="single" w:sz="4" w:space="0" w:color="auto"/>
              <w:right w:val="single" w:sz="4" w:space="0" w:color="auto"/>
            </w:tcBorders>
            <w:shd w:val="clear" w:color="auto" w:fill="5CC5DA"/>
            <w:noWrap/>
            <w:vAlign w:val="bottom"/>
            <w:hideMark/>
          </w:tcPr>
          <w:p w14:paraId="37FEF6C3" w14:textId="77777777" w:rsidR="006A3DBC" w:rsidRPr="00CF0F96" w:rsidRDefault="006A3DBC" w:rsidP="005F4A92">
            <w:pPr>
              <w:spacing w:after="0" w:line="240" w:lineRule="auto"/>
              <w:jc w:val="center"/>
              <w:rPr>
                <w:rFonts w:eastAsia="Times New Roman" w:cs="Arial"/>
                <w:b/>
                <w:lang w:eastAsia="es-SV"/>
              </w:rPr>
            </w:pPr>
            <w:r w:rsidRPr="00CF0F96">
              <w:rPr>
                <w:rFonts w:eastAsia="Times New Roman" w:cs="Arial"/>
                <w:b/>
                <w:lang w:eastAsia="es-SV"/>
              </w:rPr>
              <w:t>Rural</w:t>
            </w:r>
          </w:p>
        </w:tc>
        <w:tc>
          <w:tcPr>
            <w:tcW w:w="1008" w:type="dxa"/>
            <w:tcBorders>
              <w:top w:val="single" w:sz="4" w:space="0" w:color="auto"/>
              <w:left w:val="nil"/>
              <w:bottom w:val="single" w:sz="4" w:space="0" w:color="auto"/>
              <w:right w:val="single" w:sz="4" w:space="0" w:color="auto"/>
            </w:tcBorders>
            <w:shd w:val="clear" w:color="auto" w:fill="5CC5DA"/>
            <w:noWrap/>
            <w:vAlign w:val="bottom"/>
            <w:hideMark/>
          </w:tcPr>
          <w:p w14:paraId="4B4D7480" w14:textId="77777777" w:rsidR="006A3DBC" w:rsidRPr="00CF0F96" w:rsidRDefault="006A3DBC" w:rsidP="005F4A92">
            <w:pPr>
              <w:spacing w:after="0" w:line="240" w:lineRule="auto"/>
              <w:jc w:val="center"/>
              <w:rPr>
                <w:rFonts w:eastAsia="Times New Roman" w:cs="Arial"/>
                <w:b/>
                <w:lang w:eastAsia="es-SV"/>
              </w:rPr>
            </w:pPr>
            <w:r w:rsidRPr="00CF0F96">
              <w:rPr>
                <w:rFonts w:eastAsia="Times New Roman" w:cs="Arial"/>
                <w:b/>
                <w:lang w:eastAsia="es-SV"/>
              </w:rPr>
              <w:t>Total</w:t>
            </w:r>
          </w:p>
        </w:tc>
      </w:tr>
      <w:tr w:rsidR="00CF0F96" w:rsidRPr="00CF0F96" w14:paraId="297E70DC" w14:textId="77777777" w:rsidTr="00EF7331">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11AB93EB" w14:textId="77777777" w:rsidR="006A3DBC" w:rsidRPr="00CF0F96" w:rsidRDefault="006A3DBC" w:rsidP="005F4A92">
            <w:pPr>
              <w:spacing w:after="0" w:line="240" w:lineRule="auto"/>
              <w:jc w:val="center"/>
              <w:rPr>
                <w:rFonts w:eastAsia="Times New Roman" w:cs="Arial"/>
                <w:lang w:eastAsia="es-SV"/>
              </w:rPr>
            </w:pPr>
            <w:r w:rsidRPr="00CF0F96">
              <w:rPr>
                <w:rFonts w:eastAsia="Times New Roman" w:cs="Arial"/>
                <w:lang w:eastAsia="es-SV"/>
              </w:rPr>
              <w:t>Olancho</w:t>
            </w:r>
          </w:p>
        </w:tc>
        <w:tc>
          <w:tcPr>
            <w:tcW w:w="1060" w:type="dxa"/>
            <w:tcBorders>
              <w:top w:val="nil"/>
              <w:left w:val="nil"/>
              <w:bottom w:val="single" w:sz="4" w:space="0" w:color="auto"/>
              <w:right w:val="single" w:sz="4" w:space="0" w:color="auto"/>
            </w:tcBorders>
            <w:shd w:val="clear" w:color="auto" w:fill="auto"/>
            <w:noWrap/>
            <w:vAlign w:val="bottom"/>
            <w:hideMark/>
          </w:tcPr>
          <w:p w14:paraId="7E565956" w14:textId="57B94700" w:rsidR="006A3DBC" w:rsidRPr="00CF0F96" w:rsidRDefault="006A3DBC" w:rsidP="005F4A92">
            <w:pPr>
              <w:spacing w:after="0" w:line="240" w:lineRule="auto"/>
              <w:jc w:val="center"/>
              <w:rPr>
                <w:rFonts w:eastAsia="Times New Roman" w:cs="Arial"/>
                <w:lang w:eastAsia="es-SV"/>
              </w:rPr>
            </w:pPr>
            <w:r w:rsidRPr="00CF0F96">
              <w:rPr>
                <w:rFonts w:eastAsia="Times New Roman" w:cs="Arial"/>
                <w:lang w:eastAsia="es-SV"/>
              </w:rPr>
              <w:t>50</w:t>
            </w:r>
            <w:r w:rsidR="007F4D40" w:rsidRPr="00CF0F96">
              <w:rPr>
                <w:rFonts w:eastAsia="Times New Roman" w:cs="Arial"/>
                <w:lang w:eastAsia="es-SV"/>
              </w:rPr>
              <w:t>,</w:t>
            </w:r>
            <w:r w:rsidRPr="00CF0F96">
              <w:rPr>
                <w:rFonts w:eastAsia="Times New Roman" w:cs="Arial"/>
                <w:lang w:eastAsia="es-SV"/>
              </w:rPr>
              <w:t>971</w:t>
            </w:r>
          </w:p>
        </w:tc>
        <w:tc>
          <w:tcPr>
            <w:tcW w:w="1060" w:type="dxa"/>
            <w:tcBorders>
              <w:top w:val="nil"/>
              <w:left w:val="nil"/>
              <w:bottom w:val="single" w:sz="4" w:space="0" w:color="auto"/>
              <w:right w:val="single" w:sz="4" w:space="0" w:color="auto"/>
            </w:tcBorders>
            <w:shd w:val="clear" w:color="auto" w:fill="auto"/>
            <w:noWrap/>
            <w:vAlign w:val="bottom"/>
            <w:hideMark/>
          </w:tcPr>
          <w:p w14:paraId="51AE3692" w14:textId="3969A9AB" w:rsidR="006A3DBC" w:rsidRPr="00CF0F96" w:rsidRDefault="006A3DBC" w:rsidP="005F4A92">
            <w:pPr>
              <w:spacing w:after="0" w:line="240" w:lineRule="auto"/>
              <w:jc w:val="center"/>
              <w:rPr>
                <w:rFonts w:eastAsia="Times New Roman" w:cs="Arial"/>
                <w:lang w:eastAsia="es-SV"/>
              </w:rPr>
            </w:pPr>
            <w:r w:rsidRPr="00CF0F96">
              <w:rPr>
                <w:rFonts w:eastAsia="Times New Roman" w:cs="Arial"/>
                <w:lang w:eastAsia="es-SV"/>
              </w:rPr>
              <w:t>83</w:t>
            </w:r>
            <w:r w:rsidR="007F4D40" w:rsidRPr="00CF0F96">
              <w:rPr>
                <w:rFonts w:eastAsia="Times New Roman" w:cs="Arial"/>
                <w:lang w:eastAsia="es-SV"/>
              </w:rPr>
              <w:t>,</w:t>
            </w:r>
            <w:r w:rsidRPr="00CF0F96">
              <w:rPr>
                <w:rFonts w:eastAsia="Times New Roman" w:cs="Arial"/>
                <w:lang w:eastAsia="es-SV"/>
              </w:rPr>
              <w:t>760</w:t>
            </w:r>
          </w:p>
        </w:tc>
        <w:tc>
          <w:tcPr>
            <w:tcW w:w="1008" w:type="dxa"/>
            <w:tcBorders>
              <w:top w:val="nil"/>
              <w:left w:val="nil"/>
              <w:bottom w:val="single" w:sz="4" w:space="0" w:color="auto"/>
              <w:right w:val="single" w:sz="4" w:space="0" w:color="auto"/>
            </w:tcBorders>
            <w:shd w:val="clear" w:color="auto" w:fill="auto"/>
            <w:noWrap/>
            <w:vAlign w:val="bottom"/>
            <w:hideMark/>
          </w:tcPr>
          <w:p w14:paraId="23706279" w14:textId="1F3CB64C" w:rsidR="006A3DBC" w:rsidRPr="00CF0F96" w:rsidRDefault="006A3DBC" w:rsidP="005F4A92">
            <w:pPr>
              <w:spacing w:after="0" w:line="240" w:lineRule="auto"/>
              <w:jc w:val="center"/>
              <w:rPr>
                <w:rFonts w:eastAsia="Times New Roman" w:cs="Arial"/>
                <w:lang w:eastAsia="es-SV"/>
              </w:rPr>
            </w:pPr>
            <w:r w:rsidRPr="00CF0F96">
              <w:rPr>
                <w:rFonts w:eastAsia="Times New Roman" w:cs="Arial"/>
                <w:lang w:eastAsia="es-SV"/>
              </w:rPr>
              <w:t>134</w:t>
            </w:r>
            <w:r w:rsidR="007F4D40" w:rsidRPr="00CF0F96">
              <w:rPr>
                <w:rFonts w:eastAsia="Times New Roman" w:cs="Arial"/>
                <w:lang w:eastAsia="es-SV"/>
              </w:rPr>
              <w:t>,</w:t>
            </w:r>
            <w:r w:rsidRPr="00CF0F96">
              <w:rPr>
                <w:rFonts w:eastAsia="Times New Roman" w:cs="Arial"/>
                <w:lang w:eastAsia="es-SV"/>
              </w:rPr>
              <w:t>731</w:t>
            </w:r>
          </w:p>
        </w:tc>
      </w:tr>
      <w:tr w:rsidR="00CF0F96" w:rsidRPr="00CF0F96" w14:paraId="6D4799FC" w14:textId="77777777" w:rsidTr="00EF7331">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72BC6489" w14:textId="77777777" w:rsidR="006A3DBC" w:rsidRPr="00CF0F96" w:rsidRDefault="006A3DBC" w:rsidP="005F4A92">
            <w:pPr>
              <w:spacing w:after="0" w:line="240" w:lineRule="auto"/>
              <w:jc w:val="center"/>
              <w:rPr>
                <w:rFonts w:eastAsia="Times New Roman" w:cs="Arial"/>
                <w:lang w:eastAsia="es-SV"/>
              </w:rPr>
            </w:pPr>
            <w:r w:rsidRPr="00CF0F96">
              <w:rPr>
                <w:rFonts w:eastAsia="Times New Roman" w:cs="Arial"/>
                <w:lang w:eastAsia="es-SV"/>
              </w:rPr>
              <w:t>Valle</w:t>
            </w:r>
          </w:p>
        </w:tc>
        <w:tc>
          <w:tcPr>
            <w:tcW w:w="1060" w:type="dxa"/>
            <w:tcBorders>
              <w:top w:val="nil"/>
              <w:left w:val="nil"/>
              <w:bottom w:val="single" w:sz="4" w:space="0" w:color="auto"/>
              <w:right w:val="single" w:sz="4" w:space="0" w:color="auto"/>
            </w:tcBorders>
            <w:shd w:val="clear" w:color="auto" w:fill="auto"/>
            <w:noWrap/>
            <w:hideMark/>
          </w:tcPr>
          <w:p w14:paraId="4069D9F3" w14:textId="506358AE" w:rsidR="006A3DBC" w:rsidRPr="00CF0F96" w:rsidRDefault="006A3DBC" w:rsidP="005F4A92">
            <w:pPr>
              <w:spacing w:after="0" w:line="240" w:lineRule="auto"/>
              <w:jc w:val="center"/>
              <w:rPr>
                <w:rFonts w:eastAsia="Times New Roman" w:cs="Arial"/>
                <w:lang w:eastAsia="es-SV"/>
              </w:rPr>
            </w:pPr>
            <w:r w:rsidRPr="00CF0F96">
              <w:rPr>
                <w:rFonts w:eastAsia="Times New Roman" w:cs="Arial"/>
                <w:lang w:eastAsia="es-SV"/>
              </w:rPr>
              <w:t>18</w:t>
            </w:r>
            <w:r w:rsidR="007F4D40" w:rsidRPr="00CF0F96">
              <w:rPr>
                <w:rFonts w:eastAsia="Times New Roman" w:cs="Arial"/>
                <w:lang w:eastAsia="es-SV"/>
              </w:rPr>
              <w:t>,</w:t>
            </w:r>
            <w:r w:rsidRPr="00CF0F96">
              <w:rPr>
                <w:rFonts w:eastAsia="Times New Roman" w:cs="Arial"/>
                <w:lang w:eastAsia="es-SV"/>
              </w:rPr>
              <w:t>751</w:t>
            </w:r>
          </w:p>
        </w:tc>
        <w:tc>
          <w:tcPr>
            <w:tcW w:w="1060" w:type="dxa"/>
            <w:tcBorders>
              <w:top w:val="nil"/>
              <w:left w:val="nil"/>
              <w:bottom w:val="single" w:sz="4" w:space="0" w:color="auto"/>
              <w:right w:val="single" w:sz="4" w:space="0" w:color="auto"/>
            </w:tcBorders>
            <w:shd w:val="clear" w:color="auto" w:fill="auto"/>
            <w:noWrap/>
            <w:hideMark/>
          </w:tcPr>
          <w:p w14:paraId="37DB149F" w14:textId="5AF940C0" w:rsidR="006A3DBC" w:rsidRPr="00CF0F96" w:rsidRDefault="006A3DBC" w:rsidP="005F4A92">
            <w:pPr>
              <w:spacing w:after="0" w:line="240" w:lineRule="auto"/>
              <w:jc w:val="center"/>
              <w:rPr>
                <w:rFonts w:eastAsia="Times New Roman" w:cs="Arial"/>
                <w:lang w:eastAsia="es-SV"/>
              </w:rPr>
            </w:pPr>
            <w:r w:rsidRPr="00CF0F96">
              <w:rPr>
                <w:rFonts w:eastAsia="Times New Roman" w:cs="Arial"/>
                <w:lang w:eastAsia="es-SV"/>
              </w:rPr>
              <w:t>28</w:t>
            </w:r>
            <w:r w:rsidR="007F4D40" w:rsidRPr="00CF0F96">
              <w:rPr>
                <w:rFonts w:eastAsia="Times New Roman" w:cs="Arial"/>
                <w:lang w:eastAsia="es-SV"/>
              </w:rPr>
              <w:t>,</w:t>
            </w:r>
            <w:r w:rsidRPr="00CF0F96">
              <w:rPr>
                <w:rFonts w:eastAsia="Times New Roman" w:cs="Arial"/>
                <w:lang w:eastAsia="es-SV"/>
              </w:rPr>
              <w:t>791</w:t>
            </w:r>
          </w:p>
        </w:tc>
        <w:tc>
          <w:tcPr>
            <w:tcW w:w="1008" w:type="dxa"/>
            <w:tcBorders>
              <w:top w:val="nil"/>
              <w:left w:val="nil"/>
              <w:bottom w:val="single" w:sz="4" w:space="0" w:color="auto"/>
              <w:right w:val="single" w:sz="4" w:space="0" w:color="auto"/>
            </w:tcBorders>
            <w:shd w:val="clear" w:color="auto" w:fill="auto"/>
            <w:noWrap/>
            <w:hideMark/>
          </w:tcPr>
          <w:p w14:paraId="6AB2ED54" w14:textId="66ACA220" w:rsidR="006A3DBC" w:rsidRPr="00CF0F96" w:rsidRDefault="006A3DBC" w:rsidP="005F4A92">
            <w:pPr>
              <w:spacing w:after="0" w:line="240" w:lineRule="auto"/>
              <w:jc w:val="center"/>
              <w:rPr>
                <w:rFonts w:eastAsia="Times New Roman" w:cs="Arial"/>
                <w:lang w:eastAsia="es-SV"/>
              </w:rPr>
            </w:pPr>
            <w:r w:rsidRPr="00CF0F96">
              <w:rPr>
                <w:rFonts w:eastAsia="Times New Roman" w:cs="Arial"/>
                <w:lang w:eastAsia="es-SV"/>
              </w:rPr>
              <w:t>47</w:t>
            </w:r>
            <w:r w:rsidR="007F4D40" w:rsidRPr="00CF0F96">
              <w:rPr>
                <w:rFonts w:eastAsia="Times New Roman" w:cs="Arial"/>
                <w:lang w:eastAsia="es-SV"/>
              </w:rPr>
              <w:t>,</w:t>
            </w:r>
            <w:r w:rsidRPr="00CF0F96">
              <w:rPr>
                <w:rFonts w:eastAsia="Times New Roman" w:cs="Arial"/>
                <w:lang w:eastAsia="es-SV"/>
              </w:rPr>
              <w:t>542</w:t>
            </w:r>
          </w:p>
        </w:tc>
      </w:tr>
      <w:tr w:rsidR="00CF0F96" w:rsidRPr="00CF0F96" w14:paraId="3F43615F" w14:textId="77777777" w:rsidTr="00EF7331">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6EEB5D04" w14:textId="77777777" w:rsidR="006A3DBC" w:rsidRPr="00CF0F96" w:rsidRDefault="006A3DBC" w:rsidP="005F4A92">
            <w:pPr>
              <w:spacing w:after="0" w:line="240" w:lineRule="auto"/>
              <w:jc w:val="center"/>
              <w:rPr>
                <w:rFonts w:eastAsia="Times New Roman" w:cs="Arial"/>
                <w:lang w:eastAsia="es-SV"/>
              </w:rPr>
            </w:pPr>
            <w:r w:rsidRPr="00CF0F96">
              <w:rPr>
                <w:rFonts w:eastAsia="Times New Roman" w:cs="Arial"/>
                <w:lang w:eastAsia="es-SV"/>
              </w:rPr>
              <w:t>Yoro</w:t>
            </w:r>
          </w:p>
        </w:tc>
        <w:tc>
          <w:tcPr>
            <w:tcW w:w="1060" w:type="dxa"/>
            <w:tcBorders>
              <w:top w:val="nil"/>
              <w:left w:val="nil"/>
              <w:bottom w:val="single" w:sz="4" w:space="0" w:color="auto"/>
              <w:right w:val="single" w:sz="4" w:space="0" w:color="auto"/>
            </w:tcBorders>
            <w:shd w:val="clear" w:color="auto" w:fill="auto"/>
            <w:noWrap/>
            <w:hideMark/>
          </w:tcPr>
          <w:p w14:paraId="565C680D" w14:textId="44F20303" w:rsidR="006A3DBC" w:rsidRPr="00CF0F96" w:rsidRDefault="006A3DBC" w:rsidP="005F4A92">
            <w:pPr>
              <w:spacing w:after="0" w:line="240" w:lineRule="auto"/>
              <w:jc w:val="center"/>
              <w:rPr>
                <w:rFonts w:eastAsia="Times New Roman" w:cs="Arial"/>
                <w:lang w:eastAsia="es-SV"/>
              </w:rPr>
            </w:pPr>
            <w:r w:rsidRPr="00CF0F96">
              <w:rPr>
                <w:rFonts w:eastAsia="Times New Roman" w:cs="Arial"/>
                <w:lang w:eastAsia="es-SV"/>
              </w:rPr>
              <w:t>81</w:t>
            </w:r>
            <w:r w:rsidR="007F4D40" w:rsidRPr="00CF0F96">
              <w:rPr>
                <w:rFonts w:eastAsia="Times New Roman" w:cs="Arial"/>
                <w:lang w:eastAsia="es-SV"/>
              </w:rPr>
              <w:t>,</w:t>
            </w:r>
            <w:r w:rsidRPr="00CF0F96">
              <w:rPr>
                <w:rFonts w:eastAsia="Times New Roman" w:cs="Arial"/>
                <w:lang w:eastAsia="es-SV"/>
              </w:rPr>
              <w:t>424</w:t>
            </w:r>
          </w:p>
        </w:tc>
        <w:tc>
          <w:tcPr>
            <w:tcW w:w="1060" w:type="dxa"/>
            <w:tcBorders>
              <w:top w:val="nil"/>
              <w:left w:val="nil"/>
              <w:bottom w:val="single" w:sz="4" w:space="0" w:color="auto"/>
              <w:right w:val="single" w:sz="4" w:space="0" w:color="auto"/>
            </w:tcBorders>
            <w:shd w:val="clear" w:color="auto" w:fill="auto"/>
            <w:noWrap/>
            <w:hideMark/>
          </w:tcPr>
          <w:p w14:paraId="32108F78" w14:textId="65591A10" w:rsidR="006A3DBC" w:rsidRPr="00CF0F96" w:rsidRDefault="006A3DBC" w:rsidP="005F4A92">
            <w:pPr>
              <w:spacing w:after="0" w:line="240" w:lineRule="auto"/>
              <w:jc w:val="center"/>
              <w:rPr>
                <w:rFonts w:eastAsia="Times New Roman" w:cs="Arial"/>
                <w:lang w:eastAsia="es-SV"/>
              </w:rPr>
            </w:pPr>
            <w:r w:rsidRPr="00CF0F96">
              <w:rPr>
                <w:rFonts w:eastAsia="Times New Roman" w:cs="Arial"/>
                <w:lang w:eastAsia="es-SV"/>
              </w:rPr>
              <w:t>68</w:t>
            </w:r>
            <w:r w:rsidR="007F4D40" w:rsidRPr="00CF0F96">
              <w:rPr>
                <w:rFonts w:eastAsia="Times New Roman" w:cs="Arial"/>
                <w:lang w:eastAsia="es-SV"/>
              </w:rPr>
              <w:t>,</w:t>
            </w:r>
            <w:r w:rsidRPr="00CF0F96">
              <w:rPr>
                <w:rFonts w:eastAsia="Times New Roman" w:cs="Arial"/>
                <w:lang w:eastAsia="es-SV"/>
              </w:rPr>
              <w:t>417</w:t>
            </w:r>
          </w:p>
        </w:tc>
        <w:tc>
          <w:tcPr>
            <w:tcW w:w="1008" w:type="dxa"/>
            <w:tcBorders>
              <w:top w:val="nil"/>
              <w:left w:val="nil"/>
              <w:bottom w:val="single" w:sz="4" w:space="0" w:color="auto"/>
              <w:right w:val="single" w:sz="4" w:space="0" w:color="auto"/>
            </w:tcBorders>
            <w:shd w:val="clear" w:color="auto" w:fill="auto"/>
            <w:noWrap/>
            <w:hideMark/>
          </w:tcPr>
          <w:p w14:paraId="405CB2C7" w14:textId="72AE1426" w:rsidR="006A3DBC" w:rsidRPr="00CF0F96" w:rsidRDefault="006A3DBC" w:rsidP="005F4A92">
            <w:pPr>
              <w:spacing w:after="0" w:line="240" w:lineRule="auto"/>
              <w:jc w:val="center"/>
              <w:rPr>
                <w:rFonts w:eastAsia="Times New Roman" w:cs="Arial"/>
                <w:lang w:eastAsia="es-SV"/>
              </w:rPr>
            </w:pPr>
            <w:r w:rsidRPr="00CF0F96">
              <w:rPr>
                <w:rFonts w:eastAsia="Times New Roman" w:cs="Arial"/>
                <w:lang w:eastAsia="es-SV"/>
              </w:rPr>
              <w:t>149</w:t>
            </w:r>
            <w:r w:rsidR="007F4D40" w:rsidRPr="00CF0F96">
              <w:rPr>
                <w:rFonts w:eastAsia="Times New Roman" w:cs="Arial"/>
                <w:lang w:eastAsia="es-SV"/>
              </w:rPr>
              <w:t>,</w:t>
            </w:r>
            <w:r w:rsidRPr="00CF0F96">
              <w:rPr>
                <w:rFonts w:eastAsia="Times New Roman" w:cs="Arial"/>
                <w:lang w:eastAsia="es-SV"/>
              </w:rPr>
              <w:t>841</w:t>
            </w:r>
          </w:p>
        </w:tc>
      </w:tr>
      <w:tr w:rsidR="00CF0F96" w:rsidRPr="00CF0F96" w14:paraId="7AFADE72" w14:textId="77777777" w:rsidTr="00EF7331">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16FB54A1" w14:textId="77777777" w:rsidR="006A3DBC" w:rsidRPr="00CF0F96" w:rsidRDefault="006A3DBC" w:rsidP="005F4A92">
            <w:pPr>
              <w:spacing w:after="0" w:line="240" w:lineRule="auto"/>
              <w:jc w:val="center"/>
              <w:rPr>
                <w:rFonts w:eastAsia="Times New Roman" w:cs="Arial"/>
                <w:lang w:eastAsia="es-SV"/>
              </w:rPr>
            </w:pPr>
          </w:p>
        </w:tc>
        <w:tc>
          <w:tcPr>
            <w:tcW w:w="1060" w:type="dxa"/>
            <w:tcBorders>
              <w:top w:val="nil"/>
              <w:left w:val="nil"/>
              <w:bottom w:val="single" w:sz="4" w:space="0" w:color="auto"/>
              <w:right w:val="single" w:sz="4" w:space="0" w:color="auto"/>
            </w:tcBorders>
            <w:shd w:val="clear" w:color="auto" w:fill="auto"/>
            <w:noWrap/>
            <w:vAlign w:val="bottom"/>
            <w:hideMark/>
          </w:tcPr>
          <w:p w14:paraId="42EA532B" w14:textId="089CEA5C" w:rsidR="006A3DBC" w:rsidRPr="00CF0F96" w:rsidRDefault="006A3DBC" w:rsidP="005F4A92">
            <w:pPr>
              <w:spacing w:after="0" w:line="240" w:lineRule="auto"/>
              <w:jc w:val="center"/>
              <w:rPr>
                <w:rFonts w:eastAsia="Times New Roman" w:cs="Arial"/>
                <w:lang w:eastAsia="es-SV"/>
              </w:rPr>
            </w:pPr>
            <w:r w:rsidRPr="00CF0F96">
              <w:rPr>
                <w:rFonts w:eastAsia="Times New Roman" w:cs="Arial"/>
                <w:lang w:eastAsia="es-SV"/>
              </w:rPr>
              <w:t>151</w:t>
            </w:r>
            <w:r w:rsidR="007F4D40" w:rsidRPr="00CF0F96">
              <w:rPr>
                <w:rFonts w:eastAsia="Times New Roman" w:cs="Arial"/>
                <w:lang w:eastAsia="es-SV"/>
              </w:rPr>
              <w:t>,</w:t>
            </w:r>
            <w:r w:rsidRPr="00CF0F96">
              <w:rPr>
                <w:rFonts w:eastAsia="Times New Roman" w:cs="Arial"/>
                <w:lang w:eastAsia="es-SV"/>
              </w:rPr>
              <w:t>146</w:t>
            </w:r>
          </w:p>
        </w:tc>
        <w:tc>
          <w:tcPr>
            <w:tcW w:w="1060" w:type="dxa"/>
            <w:tcBorders>
              <w:top w:val="nil"/>
              <w:left w:val="nil"/>
              <w:bottom w:val="single" w:sz="4" w:space="0" w:color="auto"/>
              <w:right w:val="single" w:sz="4" w:space="0" w:color="auto"/>
            </w:tcBorders>
            <w:shd w:val="clear" w:color="auto" w:fill="auto"/>
            <w:noWrap/>
            <w:vAlign w:val="bottom"/>
            <w:hideMark/>
          </w:tcPr>
          <w:p w14:paraId="328578AE" w14:textId="1643ADA6" w:rsidR="006A3DBC" w:rsidRPr="00CF0F96" w:rsidRDefault="006A3DBC" w:rsidP="005F4A92">
            <w:pPr>
              <w:spacing w:after="0" w:line="240" w:lineRule="auto"/>
              <w:jc w:val="center"/>
              <w:rPr>
                <w:rFonts w:eastAsia="Times New Roman" w:cs="Arial"/>
                <w:lang w:eastAsia="es-SV"/>
              </w:rPr>
            </w:pPr>
            <w:r w:rsidRPr="00CF0F96">
              <w:rPr>
                <w:rFonts w:eastAsia="Times New Roman" w:cs="Arial"/>
                <w:lang w:eastAsia="es-SV"/>
              </w:rPr>
              <w:t>180</w:t>
            </w:r>
            <w:r w:rsidR="007F4D40" w:rsidRPr="00CF0F96">
              <w:rPr>
                <w:rFonts w:eastAsia="Times New Roman" w:cs="Arial"/>
                <w:lang w:eastAsia="es-SV"/>
              </w:rPr>
              <w:t>,</w:t>
            </w:r>
            <w:r w:rsidRPr="00CF0F96">
              <w:rPr>
                <w:rFonts w:eastAsia="Times New Roman" w:cs="Arial"/>
                <w:lang w:eastAsia="es-SV"/>
              </w:rPr>
              <w:t>968</w:t>
            </w:r>
          </w:p>
        </w:tc>
        <w:tc>
          <w:tcPr>
            <w:tcW w:w="1008" w:type="dxa"/>
            <w:tcBorders>
              <w:top w:val="nil"/>
              <w:left w:val="nil"/>
              <w:bottom w:val="single" w:sz="4" w:space="0" w:color="auto"/>
              <w:right w:val="single" w:sz="4" w:space="0" w:color="auto"/>
            </w:tcBorders>
            <w:shd w:val="clear" w:color="auto" w:fill="auto"/>
            <w:noWrap/>
            <w:vAlign w:val="bottom"/>
            <w:hideMark/>
          </w:tcPr>
          <w:p w14:paraId="45737FCE" w14:textId="42C12AF5" w:rsidR="006A3DBC" w:rsidRPr="00CF0F96" w:rsidRDefault="006A3DBC" w:rsidP="005F4A92">
            <w:pPr>
              <w:spacing w:after="0" w:line="240" w:lineRule="auto"/>
              <w:jc w:val="center"/>
              <w:rPr>
                <w:rFonts w:eastAsia="Times New Roman" w:cs="Arial"/>
                <w:lang w:eastAsia="es-SV"/>
              </w:rPr>
            </w:pPr>
            <w:r w:rsidRPr="00CF0F96">
              <w:rPr>
                <w:rFonts w:eastAsia="Times New Roman" w:cs="Arial"/>
                <w:lang w:eastAsia="es-SV"/>
              </w:rPr>
              <w:t>332</w:t>
            </w:r>
            <w:r w:rsidR="007F4D40" w:rsidRPr="00CF0F96">
              <w:rPr>
                <w:rFonts w:eastAsia="Times New Roman" w:cs="Arial"/>
                <w:lang w:eastAsia="es-SV"/>
              </w:rPr>
              <w:t>,</w:t>
            </w:r>
            <w:r w:rsidRPr="00CF0F96">
              <w:rPr>
                <w:rFonts w:eastAsia="Times New Roman" w:cs="Arial"/>
                <w:lang w:eastAsia="es-SV"/>
              </w:rPr>
              <w:t>114</w:t>
            </w:r>
          </w:p>
        </w:tc>
      </w:tr>
    </w:tbl>
    <w:p w14:paraId="0534A8BD" w14:textId="77777777" w:rsidR="006A3DBC" w:rsidRPr="00FA4B2D" w:rsidRDefault="006A3DBC" w:rsidP="006A3DBC">
      <w:pPr>
        <w:jc w:val="center"/>
        <w:rPr>
          <w:rFonts w:eastAsia="Times New Roman" w:cs="Arial"/>
          <w:sz w:val="20"/>
          <w:szCs w:val="20"/>
          <w:lang w:val="es-HN"/>
        </w:rPr>
      </w:pPr>
      <w:r w:rsidRPr="00FA4B2D">
        <w:rPr>
          <w:rFonts w:eastAsia="Times New Roman" w:cs="Arial"/>
          <w:sz w:val="20"/>
          <w:szCs w:val="20"/>
          <w:lang w:val="es-HN"/>
        </w:rPr>
        <w:t>Fuente: EHPM 2019, INE</w:t>
      </w:r>
    </w:p>
    <w:p w14:paraId="503A0EBC" w14:textId="77777777" w:rsidR="006A3DBC" w:rsidRPr="00FA4B2D" w:rsidRDefault="006A3DBC" w:rsidP="00411720">
      <w:pPr>
        <w:pStyle w:val="Prrafodelista"/>
        <w:numPr>
          <w:ilvl w:val="0"/>
          <w:numId w:val="103"/>
        </w:numPr>
        <w:rPr>
          <w:rFonts w:cs="Arial"/>
          <w:i/>
          <w:iCs/>
          <w:szCs w:val="24"/>
        </w:rPr>
      </w:pPr>
      <w:bookmarkStart w:id="672" w:name="_Toc536569494"/>
      <w:r w:rsidRPr="00FA4B2D">
        <w:rPr>
          <w:rFonts w:cs="Arial"/>
          <w:i/>
          <w:iCs/>
          <w:szCs w:val="24"/>
        </w:rPr>
        <w:t>Departamento de Olancho</w:t>
      </w:r>
      <w:bookmarkEnd w:id="672"/>
    </w:p>
    <w:p w14:paraId="5E54255A" w14:textId="77777777" w:rsidR="006A3DBC" w:rsidRPr="00FA4B2D" w:rsidRDefault="006A3DBC" w:rsidP="006A3DBC">
      <w:pPr>
        <w:jc w:val="both"/>
        <w:rPr>
          <w:rFonts w:cs="Arial"/>
          <w:shd w:val="clear" w:color="auto" w:fill="FFFFFF"/>
          <w:lang w:val="es-ES_tradnl"/>
        </w:rPr>
      </w:pPr>
      <w:r w:rsidRPr="00FA4B2D">
        <w:rPr>
          <w:rFonts w:cs="Arial"/>
          <w:lang w:val="es-ES_tradnl"/>
        </w:rPr>
        <w:t>Olancho es el departamento más grande de Honduras con una extensión territorial de 23,905 km², fue creado el 28 de junio de 1,825</w:t>
      </w:r>
      <w:r w:rsidRPr="00FA4B2D">
        <w:rPr>
          <w:rFonts w:cs="Arial"/>
          <w:b/>
          <w:lang w:val="es-ES_tradnl"/>
        </w:rPr>
        <w:t xml:space="preserve">, </w:t>
      </w:r>
      <w:r w:rsidRPr="00FA4B2D">
        <w:rPr>
          <w:rFonts w:cs="Arial"/>
          <w:shd w:val="clear" w:color="auto" w:fill="FFFFFF"/>
          <w:lang w:val="es-ES_tradnl"/>
        </w:rPr>
        <w:t>Olancho está ubicado en la zona Nororiental del país, dentro de los habitantes se identifican 3,683 indígenas Pech y 818 Nahua</w:t>
      </w:r>
      <w:r w:rsidRPr="00FA4B2D">
        <w:rPr>
          <w:rStyle w:val="Refdenotaalpie"/>
          <w:rFonts w:cs="Arial"/>
          <w:shd w:val="clear" w:color="auto" w:fill="FFFFFF"/>
          <w:lang w:val="es-ES_tradnl"/>
        </w:rPr>
        <w:footnoteReference w:id="30"/>
      </w:r>
      <w:r w:rsidRPr="00FA4B2D">
        <w:rPr>
          <w:rFonts w:cs="Arial"/>
          <w:shd w:val="clear" w:color="auto" w:fill="FFFFFF"/>
          <w:lang w:val="es-ES_tradnl"/>
        </w:rPr>
        <w:t>. El territorio del departamento está dividido en 23 municipios, 289 aldeas y 3,010 caseríos. Las ciudades más importantes son Juticalpa, Catacamas, San Esteban y Campamento.</w:t>
      </w:r>
    </w:p>
    <w:p w14:paraId="50A41FB9" w14:textId="33894D44" w:rsidR="00EF7331" w:rsidRDefault="00EF7331" w:rsidP="00EF7331">
      <w:pPr>
        <w:pStyle w:val="Descripcin"/>
        <w:keepNext/>
        <w:jc w:val="center"/>
      </w:pPr>
      <w:bookmarkStart w:id="673" w:name="_Toc202455586"/>
      <w:r>
        <w:t xml:space="preserve">Ilustración </w:t>
      </w:r>
      <w:r>
        <w:fldChar w:fldCharType="begin"/>
      </w:r>
      <w:r>
        <w:instrText xml:space="preserve"> SEQ Ilustración \* ARABIC </w:instrText>
      </w:r>
      <w:r>
        <w:fldChar w:fldCharType="separate"/>
      </w:r>
      <w:r w:rsidR="00F94AC4">
        <w:rPr>
          <w:noProof/>
        </w:rPr>
        <w:t>24</w:t>
      </w:r>
      <w:r>
        <w:fldChar w:fldCharType="end"/>
      </w:r>
      <w:r>
        <w:t xml:space="preserve">: </w:t>
      </w:r>
      <w:r w:rsidRPr="00F97D23">
        <w:t>Mapa del departamento de Olancho</w:t>
      </w:r>
      <w:bookmarkEnd w:id="673"/>
    </w:p>
    <w:p w14:paraId="27965BE8" w14:textId="77777777" w:rsidR="006A3DBC" w:rsidRPr="00FA4B2D" w:rsidRDefault="006A3DBC" w:rsidP="006A3DBC">
      <w:pPr>
        <w:jc w:val="center"/>
        <w:rPr>
          <w:rFonts w:cs="Arial"/>
          <w:b/>
          <w:lang w:val="es-ES_tradnl"/>
        </w:rPr>
      </w:pPr>
      <w:r w:rsidRPr="00FA4B2D">
        <w:rPr>
          <w:rFonts w:cs="Arial"/>
          <w:noProof/>
          <w:lang w:val="es-HN" w:eastAsia="es-HN"/>
        </w:rPr>
        <w:drawing>
          <wp:inline distT="0" distB="0" distL="0" distR="0" wp14:anchorId="7C32FD4C" wp14:editId="4B2C4638">
            <wp:extent cx="3571220" cy="2355485"/>
            <wp:effectExtent l="0" t="0" r="0" b="6985"/>
            <wp:docPr id="21" name="Picture 21" descr="Resultado de imagen para mapa carreteras departamento de olan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59">
                      <a:extLst>
                        <a:ext uri="{28A0092B-C50C-407E-A947-70E740481C1C}">
                          <a14:useLocalDpi xmlns:a14="http://schemas.microsoft.com/office/drawing/2010/main" val="0"/>
                        </a:ext>
                      </a:extLst>
                    </a:blip>
                    <a:stretch>
                      <a:fillRect/>
                    </a:stretch>
                  </pic:blipFill>
                  <pic:spPr>
                    <a:xfrm>
                      <a:off x="0" y="0"/>
                      <a:ext cx="3571220" cy="2355485"/>
                    </a:xfrm>
                    <a:prstGeom prst="rect">
                      <a:avLst/>
                    </a:prstGeom>
                  </pic:spPr>
                </pic:pic>
              </a:graphicData>
            </a:graphic>
          </wp:inline>
        </w:drawing>
      </w:r>
    </w:p>
    <w:p w14:paraId="4E50A939" w14:textId="77777777" w:rsidR="006A3DBC" w:rsidRPr="00FA4B2D" w:rsidRDefault="006A3DBC" w:rsidP="006A3DBC">
      <w:pPr>
        <w:jc w:val="both"/>
        <w:rPr>
          <w:rFonts w:cs="Arial"/>
          <w:lang w:val="es-ES"/>
        </w:rPr>
      </w:pPr>
      <w:r w:rsidRPr="00FA4B2D">
        <w:rPr>
          <w:rFonts w:cs="Arial"/>
          <w:b/>
          <w:bCs/>
          <w:lang w:val="es-ES"/>
        </w:rPr>
        <w:t>Actividad económica</w:t>
      </w:r>
      <w:r w:rsidRPr="00FA4B2D">
        <w:rPr>
          <w:rFonts w:cs="Arial"/>
          <w:lang w:val="es-ES"/>
        </w:rPr>
        <w:t xml:space="preserve">. La economía de departamento de Olancho se basa en la agricultura, la ganadería con cría de ganado vacuno, porcino y equino y la explotación de madera, rubro para el que posee grandes aserraderos en todo el departamento. Sus principales cultivos son: granos básicos (Maíz, frijol, maicillo y arroz), hortalizas (tomate, repollo, chile, cebolla, pepino, ayote y camote), hortalizas </w:t>
      </w:r>
      <w:r w:rsidRPr="00FA4B2D">
        <w:rPr>
          <w:rFonts w:cs="Arial"/>
          <w:lang w:val="es-ES"/>
        </w:rPr>
        <w:lastRenderedPageBreak/>
        <w:t>de exportación (calabacita, vegetales orientales, y pepinillo), musáceas (plátano y banano) tubérculos (malanga y Yuca) frutales (papaya, maracuyá, yuyuga, aguacate, cítricos, guayaba, sandia) y cultivos industriales café y cacao. Olancho es un departamento con abundante bosque de coníferas y es el principal productor de madera.</w:t>
      </w:r>
    </w:p>
    <w:p w14:paraId="0778D6AA" w14:textId="77777777" w:rsidR="006A3DBC" w:rsidRPr="00FA4B2D" w:rsidRDefault="006A3DBC" w:rsidP="006A3DBC">
      <w:pPr>
        <w:jc w:val="both"/>
        <w:rPr>
          <w:rFonts w:cs="Arial"/>
          <w:lang w:val="es-ES_tradnl"/>
        </w:rPr>
      </w:pPr>
      <w:bookmarkStart w:id="674" w:name="_Toc536569495"/>
      <w:r w:rsidRPr="00FA4B2D">
        <w:rPr>
          <w:rFonts w:cs="Arial"/>
          <w:lang w:val="es-ES_tradnl"/>
        </w:rPr>
        <w:t>Es un departamento diverso en producción existe agroindustria de café, lácteos, turismo, madera, cuero, artesanías (bisutería, suvenires entre otros). En materia de comunicación Olancho se enlaza con la costa atlántica de Honduras a través de la carretera pavimentada conocida como el Corredor Agrícola que conecta directamente con Puerto Castilla, Trujillo.  En materia energética, existe una represa hidroeléctrica (Patuca III) con potencial de producir 104 megavatios de energía en promedio. Hay una amplia oferta académica con presencia de la Universidad Cristiana Evangélica Nuevo Milenio (UCENM) Universidad Metropolitana (UNIMETRO), ambas privadas y las estatales Universidad Nacional Autónoma de Honduras (UNAH), Universidad Pedagógica Nacional Francisco Morazán (UPNFM) y la Universidad Nacional de Agricultura (UNA).</w:t>
      </w:r>
    </w:p>
    <w:p w14:paraId="41CFDAE6" w14:textId="77777777" w:rsidR="006A3DBC" w:rsidRPr="00FA4B2D" w:rsidRDefault="006A3DBC" w:rsidP="006A3DBC">
      <w:pPr>
        <w:jc w:val="both"/>
        <w:rPr>
          <w:rFonts w:cs="Arial"/>
          <w:lang w:val="es-ES_tradnl"/>
        </w:rPr>
      </w:pPr>
      <w:r w:rsidRPr="00FA4B2D">
        <w:rPr>
          <w:rFonts w:cs="Arial"/>
          <w:lang w:val="es-ES_tradnl"/>
        </w:rPr>
        <w:t>El departamento de Olancho produce cerca del 60 % de los granos básicos que se consumen en el país, lo que lo convierte en estratégico para garantizar la seguridad alimentaria de la nación.</w:t>
      </w:r>
    </w:p>
    <w:p w14:paraId="5E0D8AA9" w14:textId="77777777" w:rsidR="006A3DBC" w:rsidRPr="00FA4B2D" w:rsidRDefault="006A3DBC" w:rsidP="006A3DBC">
      <w:pPr>
        <w:jc w:val="both"/>
        <w:rPr>
          <w:rFonts w:cs="Arial"/>
          <w:lang w:val="es-ES"/>
        </w:rPr>
      </w:pPr>
      <w:r w:rsidRPr="00FA4B2D">
        <w:rPr>
          <w:rFonts w:cs="Arial"/>
          <w:lang w:val="es-ES"/>
        </w:rPr>
        <w:t>Complementario a lo antes señalado, en el Departamento de Olancho, existen cerca más de 243 mil personas que declaran múltiples ocupaciones, siendo que las tres actividades que tienen mayor incidencia en el Departamento con el 72% de la población total del mismo, según datos del INE 2019, son: 1)  con un total de 113,218 personas (cerca del 50%), de las cuales el 90% son hombres y el restante 10% mujeres es la Agricultura, ganadería, silvicultura y pesca; 2) La segunda actividad predominante es la de comercio al por mayor y al por menor, reparación de vehículos automotores y motocicletas, en la que se encuentran inmersas 39,639 personas (16%), de las cuales 61.2% son mujeres y 33.8% son hombres; 3) La tercera posición la ocupa las actividades de manufactura, en la que se encuentra inmerso 22,409 personas (9%), de los cuales el 53.2% son mujeres y el restante 46.8% son hombres. En la cuarta actividad productiva corresponde a la industria de la construcción con 15,176 personas (98.4% hombres y 1.6% mujeres), seguida de la quinta posición que corresponde con alojamientos y lugares de comida, en el que se encuentran inmersas 8234 personas (79.3% mujeres y 20.7% hombres). Por el contrario, las tres actividades con mejor incidencia de personas inmersas que representan menos del 1% del total de población con ocupación son: actividades inmobiliarias con 173 personas (100 hombres), seguida de las actividades de suministro de gas aire acondicionados (236 personas, 33.9% mujeres y 66.1% hombres); y finalmente la explotación de minas y calderas (504 personas, 100% hombres). Los datos desagregados sobre las actividades productivas del Departamento se presentan a continuación:</w:t>
      </w:r>
    </w:p>
    <w:p w14:paraId="684FB37F" w14:textId="02938BAA" w:rsidR="00EF7331" w:rsidRDefault="00EF7331" w:rsidP="00EF7331">
      <w:pPr>
        <w:pStyle w:val="Descripcin"/>
        <w:keepNext/>
      </w:pPr>
      <w:bookmarkStart w:id="675" w:name="_Toc202455447"/>
      <w:r>
        <w:lastRenderedPageBreak/>
        <w:t xml:space="preserve">Tabla </w:t>
      </w:r>
      <w:r>
        <w:fldChar w:fldCharType="begin"/>
      </w:r>
      <w:r>
        <w:instrText xml:space="preserve"> SEQ Tabla \* ARABIC </w:instrText>
      </w:r>
      <w:r>
        <w:fldChar w:fldCharType="separate"/>
      </w:r>
      <w:r w:rsidR="000E6D86">
        <w:rPr>
          <w:noProof/>
        </w:rPr>
        <w:t>21</w:t>
      </w:r>
      <w:r>
        <w:fldChar w:fldCharType="end"/>
      </w:r>
      <w:r>
        <w:t xml:space="preserve">: </w:t>
      </w:r>
      <w:r w:rsidRPr="00D05539">
        <w:t>Actividades productivas u ocupaciones principales. Departamento de Olancho 2019</w:t>
      </w:r>
      <w:bookmarkEnd w:id="675"/>
    </w:p>
    <w:tbl>
      <w:tblPr>
        <w:tblW w:w="10489" w:type="dxa"/>
        <w:jc w:val="center"/>
        <w:tblCellMar>
          <w:left w:w="70" w:type="dxa"/>
          <w:right w:w="70" w:type="dxa"/>
        </w:tblCellMar>
        <w:tblLook w:val="04A0" w:firstRow="1" w:lastRow="0" w:firstColumn="1" w:lastColumn="0" w:noHBand="0" w:noVBand="1"/>
      </w:tblPr>
      <w:tblGrid>
        <w:gridCol w:w="4841"/>
        <w:gridCol w:w="1112"/>
        <w:gridCol w:w="1113"/>
        <w:gridCol w:w="1113"/>
        <w:gridCol w:w="1113"/>
        <w:gridCol w:w="1197"/>
      </w:tblGrid>
      <w:tr w:rsidR="00CF0F96" w:rsidRPr="00CF0F96" w14:paraId="530FEF07" w14:textId="77777777" w:rsidTr="00EF7331">
        <w:trPr>
          <w:trHeight w:val="300"/>
          <w:tblHeader/>
          <w:jc w:val="center"/>
        </w:trPr>
        <w:tc>
          <w:tcPr>
            <w:tcW w:w="4841" w:type="dxa"/>
            <w:tcBorders>
              <w:top w:val="single" w:sz="4" w:space="0" w:color="auto"/>
              <w:left w:val="single" w:sz="4" w:space="0" w:color="auto"/>
              <w:bottom w:val="single" w:sz="4" w:space="0" w:color="auto"/>
              <w:right w:val="single" w:sz="4" w:space="0" w:color="auto"/>
            </w:tcBorders>
            <w:shd w:val="clear" w:color="auto" w:fill="5CC5DA"/>
            <w:noWrap/>
            <w:vAlign w:val="center"/>
            <w:hideMark/>
          </w:tcPr>
          <w:p w14:paraId="727B6791" w14:textId="77777777" w:rsidR="006A3DBC" w:rsidRPr="00CF0F96" w:rsidRDefault="006A3DBC" w:rsidP="005F4A92">
            <w:pPr>
              <w:spacing w:after="0" w:line="240" w:lineRule="auto"/>
              <w:jc w:val="center"/>
              <w:rPr>
                <w:rFonts w:eastAsia="Times New Roman" w:cs="Arial"/>
                <w:b/>
                <w:bCs/>
                <w:sz w:val="20"/>
                <w:szCs w:val="20"/>
                <w:lang w:eastAsia="es-SV"/>
              </w:rPr>
            </w:pPr>
            <w:r w:rsidRPr="00CF0F96">
              <w:rPr>
                <w:rFonts w:eastAsia="Times New Roman" w:cs="Arial"/>
                <w:b/>
                <w:bCs/>
                <w:sz w:val="20"/>
                <w:szCs w:val="20"/>
                <w:lang w:eastAsia="es-SV"/>
              </w:rPr>
              <w:t>Rama de actividad económica ocupación Principal</w:t>
            </w:r>
          </w:p>
        </w:tc>
        <w:tc>
          <w:tcPr>
            <w:tcW w:w="1112" w:type="dxa"/>
            <w:tcBorders>
              <w:top w:val="single" w:sz="4" w:space="0" w:color="auto"/>
              <w:left w:val="nil"/>
              <w:bottom w:val="single" w:sz="4" w:space="0" w:color="auto"/>
              <w:right w:val="single" w:sz="4" w:space="0" w:color="auto"/>
            </w:tcBorders>
            <w:shd w:val="clear" w:color="auto" w:fill="5CC5DA"/>
            <w:noWrap/>
            <w:vAlign w:val="center"/>
            <w:hideMark/>
          </w:tcPr>
          <w:p w14:paraId="0341183F" w14:textId="77777777" w:rsidR="006A3DBC" w:rsidRPr="00CF0F96" w:rsidRDefault="006A3DBC" w:rsidP="005F4A92">
            <w:pPr>
              <w:spacing w:after="0" w:line="240" w:lineRule="auto"/>
              <w:jc w:val="center"/>
              <w:rPr>
                <w:rFonts w:eastAsia="Times New Roman" w:cs="Arial"/>
                <w:b/>
                <w:bCs/>
                <w:sz w:val="20"/>
                <w:szCs w:val="20"/>
                <w:lang w:eastAsia="es-SV"/>
              </w:rPr>
            </w:pPr>
            <w:r w:rsidRPr="00CF0F96">
              <w:rPr>
                <w:rFonts w:eastAsia="Times New Roman" w:cs="Arial"/>
                <w:b/>
                <w:bCs/>
                <w:sz w:val="20"/>
                <w:szCs w:val="20"/>
                <w:lang w:eastAsia="es-SV"/>
              </w:rPr>
              <w:t>Hombre</w:t>
            </w:r>
          </w:p>
        </w:tc>
        <w:tc>
          <w:tcPr>
            <w:tcW w:w="1113" w:type="dxa"/>
            <w:tcBorders>
              <w:top w:val="single" w:sz="4" w:space="0" w:color="auto"/>
              <w:left w:val="nil"/>
              <w:bottom w:val="single" w:sz="4" w:space="0" w:color="auto"/>
              <w:right w:val="single" w:sz="4" w:space="0" w:color="auto"/>
            </w:tcBorders>
            <w:shd w:val="clear" w:color="auto" w:fill="5CC5DA"/>
            <w:noWrap/>
            <w:vAlign w:val="center"/>
            <w:hideMark/>
          </w:tcPr>
          <w:p w14:paraId="734BD205" w14:textId="77777777" w:rsidR="006A3DBC" w:rsidRPr="00CF0F96" w:rsidRDefault="006A3DBC" w:rsidP="005F4A92">
            <w:pPr>
              <w:spacing w:after="0" w:line="240" w:lineRule="auto"/>
              <w:jc w:val="center"/>
              <w:rPr>
                <w:rFonts w:eastAsia="Times New Roman" w:cs="Arial"/>
                <w:b/>
                <w:bCs/>
                <w:sz w:val="20"/>
                <w:szCs w:val="20"/>
                <w:lang w:eastAsia="es-SV"/>
              </w:rPr>
            </w:pPr>
            <w:r w:rsidRPr="00CF0F96">
              <w:rPr>
                <w:rFonts w:eastAsia="Times New Roman" w:cs="Arial"/>
                <w:b/>
                <w:bCs/>
                <w:sz w:val="20"/>
                <w:szCs w:val="20"/>
                <w:lang w:eastAsia="es-SV"/>
              </w:rPr>
              <w:t>Mujer</w:t>
            </w:r>
          </w:p>
        </w:tc>
        <w:tc>
          <w:tcPr>
            <w:tcW w:w="1113" w:type="dxa"/>
            <w:tcBorders>
              <w:top w:val="single" w:sz="4" w:space="0" w:color="auto"/>
              <w:left w:val="nil"/>
              <w:bottom w:val="single" w:sz="4" w:space="0" w:color="auto"/>
              <w:right w:val="single" w:sz="4" w:space="0" w:color="auto"/>
            </w:tcBorders>
            <w:shd w:val="clear" w:color="auto" w:fill="5CC5DA"/>
            <w:noWrap/>
            <w:vAlign w:val="center"/>
            <w:hideMark/>
          </w:tcPr>
          <w:p w14:paraId="3EC4FF4F" w14:textId="77777777" w:rsidR="006A3DBC" w:rsidRPr="00CF0F96" w:rsidRDefault="006A3DBC" w:rsidP="005F4A92">
            <w:pPr>
              <w:spacing w:after="0" w:line="240" w:lineRule="auto"/>
              <w:jc w:val="center"/>
              <w:rPr>
                <w:rFonts w:eastAsia="Times New Roman" w:cs="Arial"/>
                <w:b/>
                <w:bCs/>
                <w:sz w:val="20"/>
                <w:szCs w:val="20"/>
                <w:lang w:eastAsia="es-SV"/>
              </w:rPr>
            </w:pPr>
            <w:r w:rsidRPr="00CF0F96">
              <w:rPr>
                <w:rFonts w:eastAsia="Times New Roman" w:cs="Arial"/>
                <w:b/>
                <w:bCs/>
                <w:sz w:val="20"/>
                <w:szCs w:val="20"/>
                <w:lang w:eastAsia="es-SV"/>
              </w:rPr>
              <w:t>Total</w:t>
            </w:r>
          </w:p>
        </w:tc>
        <w:tc>
          <w:tcPr>
            <w:tcW w:w="1113" w:type="dxa"/>
            <w:tcBorders>
              <w:top w:val="single" w:sz="4" w:space="0" w:color="auto"/>
              <w:left w:val="nil"/>
              <w:bottom w:val="single" w:sz="4" w:space="0" w:color="auto"/>
              <w:right w:val="single" w:sz="4" w:space="0" w:color="auto"/>
            </w:tcBorders>
            <w:shd w:val="clear" w:color="auto" w:fill="5CC5DA"/>
            <w:noWrap/>
            <w:vAlign w:val="center"/>
            <w:hideMark/>
          </w:tcPr>
          <w:p w14:paraId="26833D10" w14:textId="77777777" w:rsidR="006A3DBC" w:rsidRPr="00CF0F96" w:rsidRDefault="006A3DBC" w:rsidP="005F4A92">
            <w:pPr>
              <w:spacing w:after="0" w:line="240" w:lineRule="auto"/>
              <w:jc w:val="center"/>
              <w:rPr>
                <w:rFonts w:eastAsia="Times New Roman" w:cs="Arial"/>
                <w:b/>
                <w:bCs/>
                <w:sz w:val="20"/>
                <w:szCs w:val="20"/>
                <w:lang w:eastAsia="es-SV"/>
              </w:rPr>
            </w:pPr>
            <w:r w:rsidRPr="00CF0F96">
              <w:rPr>
                <w:rFonts w:eastAsia="Times New Roman" w:cs="Arial"/>
                <w:b/>
                <w:bCs/>
                <w:sz w:val="20"/>
                <w:szCs w:val="20"/>
                <w:lang w:eastAsia="es-SV"/>
              </w:rPr>
              <w:t>Total</w:t>
            </w:r>
          </w:p>
        </w:tc>
        <w:tc>
          <w:tcPr>
            <w:tcW w:w="1197" w:type="dxa"/>
            <w:tcBorders>
              <w:top w:val="single" w:sz="4" w:space="0" w:color="auto"/>
              <w:left w:val="nil"/>
              <w:bottom w:val="single" w:sz="4" w:space="0" w:color="auto"/>
              <w:right w:val="single" w:sz="4" w:space="0" w:color="auto"/>
            </w:tcBorders>
            <w:shd w:val="clear" w:color="auto" w:fill="5CC5DA"/>
            <w:vAlign w:val="center"/>
          </w:tcPr>
          <w:p w14:paraId="13CA4D9B" w14:textId="77777777" w:rsidR="006A3DBC" w:rsidRPr="00CF0F96" w:rsidRDefault="006A3DBC" w:rsidP="005F4A92">
            <w:pPr>
              <w:spacing w:after="0" w:line="240" w:lineRule="auto"/>
              <w:jc w:val="center"/>
              <w:rPr>
                <w:rFonts w:eastAsia="Times New Roman" w:cs="Arial"/>
                <w:b/>
                <w:bCs/>
                <w:sz w:val="20"/>
                <w:szCs w:val="20"/>
                <w:lang w:eastAsia="es-SV"/>
              </w:rPr>
            </w:pPr>
            <w:r w:rsidRPr="00CF0F96">
              <w:rPr>
                <w:rFonts w:eastAsia="Times New Roman" w:cs="Arial"/>
                <w:b/>
                <w:bCs/>
                <w:sz w:val="20"/>
                <w:szCs w:val="20"/>
                <w:lang w:eastAsia="es-SV"/>
              </w:rPr>
              <w:t>Frecuencia acumulada</w:t>
            </w:r>
          </w:p>
        </w:tc>
      </w:tr>
      <w:tr w:rsidR="00CF0F96" w:rsidRPr="00CF0F96" w14:paraId="56F8DA53" w14:textId="77777777" w:rsidTr="00EF7331">
        <w:trPr>
          <w:trHeight w:val="300"/>
          <w:jc w:val="center"/>
        </w:trPr>
        <w:tc>
          <w:tcPr>
            <w:tcW w:w="4841"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2551B078"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eastAsia="Times New Roman" w:cs="Arial"/>
                <w:sz w:val="18"/>
                <w:szCs w:val="18"/>
                <w:lang w:eastAsia="es-SV"/>
              </w:rPr>
              <w:t>Agricultura, ganadería, silvicultura y pesca.</w:t>
            </w:r>
          </w:p>
        </w:tc>
        <w:tc>
          <w:tcPr>
            <w:tcW w:w="1112" w:type="dxa"/>
            <w:tcBorders>
              <w:top w:val="nil"/>
              <w:left w:val="nil"/>
              <w:bottom w:val="single" w:sz="4" w:space="0" w:color="auto"/>
              <w:right w:val="single" w:sz="4" w:space="0" w:color="auto"/>
            </w:tcBorders>
            <w:shd w:val="clear" w:color="auto" w:fill="auto"/>
            <w:noWrap/>
            <w:vAlign w:val="bottom"/>
            <w:hideMark/>
          </w:tcPr>
          <w:p w14:paraId="49EBA5AA" w14:textId="427888FA"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101</w:t>
            </w:r>
            <w:r w:rsidR="007F4D40" w:rsidRPr="00CF0F96">
              <w:rPr>
                <w:rFonts w:eastAsia="Times New Roman" w:cs="Arial"/>
                <w:sz w:val="18"/>
                <w:szCs w:val="18"/>
                <w:lang w:eastAsia="es-SV"/>
              </w:rPr>
              <w:t>,</w:t>
            </w:r>
            <w:r w:rsidRPr="00CF0F96">
              <w:rPr>
                <w:rFonts w:eastAsia="Times New Roman" w:cs="Arial"/>
                <w:sz w:val="18"/>
                <w:szCs w:val="18"/>
                <w:lang w:eastAsia="es-SV"/>
              </w:rPr>
              <w:t>932</w:t>
            </w:r>
          </w:p>
        </w:tc>
        <w:tc>
          <w:tcPr>
            <w:tcW w:w="1113" w:type="dxa"/>
            <w:tcBorders>
              <w:top w:val="nil"/>
              <w:left w:val="nil"/>
              <w:bottom w:val="single" w:sz="4" w:space="0" w:color="auto"/>
              <w:right w:val="single" w:sz="4" w:space="0" w:color="auto"/>
            </w:tcBorders>
            <w:shd w:val="clear" w:color="auto" w:fill="auto"/>
            <w:noWrap/>
            <w:vAlign w:val="bottom"/>
            <w:hideMark/>
          </w:tcPr>
          <w:p w14:paraId="703F3BD4" w14:textId="3960DA7E"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11</w:t>
            </w:r>
            <w:r w:rsidR="007F4D40" w:rsidRPr="00CF0F96">
              <w:rPr>
                <w:rFonts w:eastAsia="Times New Roman" w:cs="Arial"/>
                <w:sz w:val="18"/>
                <w:szCs w:val="18"/>
                <w:lang w:eastAsia="es-SV"/>
              </w:rPr>
              <w:t>,</w:t>
            </w:r>
            <w:r w:rsidRPr="00CF0F96">
              <w:rPr>
                <w:rFonts w:eastAsia="Times New Roman" w:cs="Arial"/>
                <w:sz w:val="18"/>
                <w:szCs w:val="18"/>
                <w:lang w:eastAsia="es-SV"/>
              </w:rPr>
              <w:t>286</w:t>
            </w:r>
          </w:p>
        </w:tc>
        <w:tc>
          <w:tcPr>
            <w:tcW w:w="1113" w:type="dxa"/>
            <w:tcBorders>
              <w:top w:val="nil"/>
              <w:left w:val="nil"/>
              <w:bottom w:val="single" w:sz="4" w:space="0" w:color="auto"/>
              <w:right w:val="single" w:sz="4" w:space="0" w:color="auto"/>
            </w:tcBorders>
            <w:shd w:val="clear" w:color="auto" w:fill="auto"/>
            <w:noWrap/>
            <w:vAlign w:val="bottom"/>
            <w:hideMark/>
          </w:tcPr>
          <w:p w14:paraId="44E72263" w14:textId="4A0485B6"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113</w:t>
            </w:r>
            <w:r w:rsidR="007F4D40" w:rsidRPr="00CF0F96">
              <w:rPr>
                <w:rFonts w:eastAsia="Times New Roman" w:cs="Arial"/>
                <w:sz w:val="18"/>
                <w:szCs w:val="18"/>
                <w:lang w:eastAsia="es-SV"/>
              </w:rPr>
              <w:t>,</w:t>
            </w:r>
            <w:r w:rsidRPr="00CF0F96">
              <w:rPr>
                <w:rFonts w:eastAsia="Times New Roman" w:cs="Arial"/>
                <w:sz w:val="18"/>
                <w:szCs w:val="18"/>
                <w:lang w:eastAsia="es-SV"/>
              </w:rPr>
              <w:t>218</w:t>
            </w:r>
          </w:p>
        </w:tc>
        <w:tc>
          <w:tcPr>
            <w:tcW w:w="1113" w:type="dxa"/>
            <w:tcBorders>
              <w:top w:val="nil"/>
              <w:left w:val="nil"/>
              <w:bottom w:val="single" w:sz="4" w:space="0" w:color="auto"/>
              <w:right w:val="single" w:sz="4" w:space="0" w:color="auto"/>
            </w:tcBorders>
            <w:shd w:val="clear" w:color="auto" w:fill="auto"/>
            <w:noWrap/>
            <w:vAlign w:val="bottom"/>
            <w:hideMark/>
          </w:tcPr>
          <w:p w14:paraId="721EF8DE"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46.5%</w:t>
            </w:r>
          </w:p>
        </w:tc>
        <w:tc>
          <w:tcPr>
            <w:tcW w:w="1197" w:type="dxa"/>
            <w:tcBorders>
              <w:top w:val="nil"/>
              <w:left w:val="nil"/>
              <w:bottom w:val="single" w:sz="4" w:space="0" w:color="auto"/>
              <w:right w:val="single" w:sz="4" w:space="0" w:color="auto"/>
            </w:tcBorders>
            <w:vAlign w:val="bottom"/>
          </w:tcPr>
          <w:p w14:paraId="293E52BD"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46.5%</w:t>
            </w:r>
          </w:p>
        </w:tc>
      </w:tr>
      <w:tr w:rsidR="00CF0F96" w:rsidRPr="00CF0F96" w14:paraId="5167EAE5" w14:textId="77777777" w:rsidTr="00EF7331">
        <w:trPr>
          <w:trHeight w:val="601"/>
          <w:jc w:val="center"/>
        </w:trPr>
        <w:tc>
          <w:tcPr>
            <w:tcW w:w="4841"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23DC8ECD"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eastAsia="Times New Roman" w:cs="Arial"/>
                <w:sz w:val="18"/>
                <w:szCs w:val="18"/>
                <w:lang w:eastAsia="es-SV"/>
              </w:rPr>
              <w:t>Comercio al por mayor y al por menor, reparación de vehículos automotores y motocicletas.</w:t>
            </w:r>
          </w:p>
        </w:tc>
        <w:tc>
          <w:tcPr>
            <w:tcW w:w="1112" w:type="dxa"/>
            <w:tcBorders>
              <w:top w:val="nil"/>
              <w:left w:val="nil"/>
              <w:bottom w:val="single" w:sz="4" w:space="0" w:color="auto"/>
              <w:right w:val="single" w:sz="4" w:space="0" w:color="auto"/>
            </w:tcBorders>
            <w:shd w:val="clear" w:color="auto" w:fill="auto"/>
            <w:noWrap/>
            <w:vAlign w:val="bottom"/>
            <w:hideMark/>
          </w:tcPr>
          <w:p w14:paraId="5F5F107C" w14:textId="551F1413"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15</w:t>
            </w:r>
            <w:r w:rsidR="007F4D40" w:rsidRPr="00CF0F96">
              <w:rPr>
                <w:rFonts w:eastAsia="Times New Roman" w:cs="Arial"/>
                <w:sz w:val="18"/>
                <w:szCs w:val="18"/>
                <w:lang w:eastAsia="es-SV"/>
              </w:rPr>
              <w:t>,</w:t>
            </w:r>
            <w:r w:rsidRPr="00CF0F96">
              <w:rPr>
                <w:rFonts w:eastAsia="Times New Roman" w:cs="Arial"/>
                <w:sz w:val="18"/>
                <w:szCs w:val="18"/>
                <w:lang w:eastAsia="es-SV"/>
              </w:rPr>
              <w:t>380</w:t>
            </w:r>
          </w:p>
        </w:tc>
        <w:tc>
          <w:tcPr>
            <w:tcW w:w="1113" w:type="dxa"/>
            <w:tcBorders>
              <w:top w:val="nil"/>
              <w:left w:val="nil"/>
              <w:bottom w:val="single" w:sz="4" w:space="0" w:color="auto"/>
              <w:right w:val="single" w:sz="4" w:space="0" w:color="auto"/>
            </w:tcBorders>
            <w:shd w:val="clear" w:color="auto" w:fill="auto"/>
            <w:noWrap/>
            <w:vAlign w:val="bottom"/>
            <w:hideMark/>
          </w:tcPr>
          <w:p w14:paraId="5D083FDC" w14:textId="7514044D"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24</w:t>
            </w:r>
            <w:r w:rsidR="007F4D40" w:rsidRPr="00CF0F96">
              <w:rPr>
                <w:rFonts w:eastAsia="Times New Roman" w:cs="Arial"/>
                <w:sz w:val="18"/>
                <w:szCs w:val="18"/>
                <w:lang w:eastAsia="es-SV"/>
              </w:rPr>
              <w:t>,</w:t>
            </w:r>
            <w:r w:rsidRPr="00CF0F96">
              <w:rPr>
                <w:rFonts w:eastAsia="Times New Roman" w:cs="Arial"/>
                <w:sz w:val="18"/>
                <w:szCs w:val="18"/>
                <w:lang w:eastAsia="es-SV"/>
              </w:rPr>
              <w:t>259</w:t>
            </w:r>
          </w:p>
        </w:tc>
        <w:tc>
          <w:tcPr>
            <w:tcW w:w="1113" w:type="dxa"/>
            <w:tcBorders>
              <w:top w:val="nil"/>
              <w:left w:val="nil"/>
              <w:bottom w:val="single" w:sz="4" w:space="0" w:color="auto"/>
              <w:right w:val="single" w:sz="4" w:space="0" w:color="auto"/>
            </w:tcBorders>
            <w:shd w:val="clear" w:color="auto" w:fill="auto"/>
            <w:noWrap/>
            <w:vAlign w:val="bottom"/>
            <w:hideMark/>
          </w:tcPr>
          <w:p w14:paraId="2086BA75" w14:textId="3158DAAC"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39</w:t>
            </w:r>
            <w:r w:rsidR="007F4D40" w:rsidRPr="00CF0F96">
              <w:rPr>
                <w:rFonts w:eastAsia="Times New Roman" w:cs="Arial"/>
                <w:sz w:val="18"/>
                <w:szCs w:val="18"/>
                <w:lang w:eastAsia="es-SV"/>
              </w:rPr>
              <w:t>,</w:t>
            </w:r>
            <w:r w:rsidRPr="00CF0F96">
              <w:rPr>
                <w:rFonts w:eastAsia="Times New Roman" w:cs="Arial"/>
                <w:sz w:val="18"/>
                <w:szCs w:val="18"/>
                <w:lang w:eastAsia="es-SV"/>
              </w:rPr>
              <w:t>639</w:t>
            </w:r>
          </w:p>
        </w:tc>
        <w:tc>
          <w:tcPr>
            <w:tcW w:w="1113" w:type="dxa"/>
            <w:tcBorders>
              <w:top w:val="nil"/>
              <w:left w:val="nil"/>
              <w:bottom w:val="single" w:sz="4" w:space="0" w:color="auto"/>
              <w:right w:val="single" w:sz="4" w:space="0" w:color="auto"/>
            </w:tcBorders>
            <w:shd w:val="clear" w:color="auto" w:fill="auto"/>
            <w:noWrap/>
            <w:vAlign w:val="bottom"/>
            <w:hideMark/>
          </w:tcPr>
          <w:p w14:paraId="6BABE4AE"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16.3%</w:t>
            </w:r>
          </w:p>
        </w:tc>
        <w:tc>
          <w:tcPr>
            <w:tcW w:w="1197" w:type="dxa"/>
            <w:tcBorders>
              <w:top w:val="nil"/>
              <w:left w:val="nil"/>
              <w:bottom w:val="single" w:sz="4" w:space="0" w:color="auto"/>
              <w:right w:val="single" w:sz="4" w:space="0" w:color="auto"/>
            </w:tcBorders>
            <w:vAlign w:val="bottom"/>
          </w:tcPr>
          <w:p w14:paraId="3C70E0AC"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62.8%</w:t>
            </w:r>
          </w:p>
        </w:tc>
      </w:tr>
      <w:tr w:rsidR="00CF0F96" w:rsidRPr="00CF0F96" w14:paraId="388EB834" w14:textId="77777777" w:rsidTr="00EF7331">
        <w:trPr>
          <w:trHeight w:val="300"/>
          <w:jc w:val="center"/>
        </w:trPr>
        <w:tc>
          <w:tcPr>
            <w:tcW w:w="4841"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1AAB26D0"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eastAsia="Times New Roman" w:cs="Arial"/>
                <w:sz w:val="18"/>
                <w:szCs w:val="18"/>
                <w:lang w:eastAsia="es-SV"/>
              </w:rPr>
              <w:t>Industria manufacturera.</w:t>
            </w:r>
          </w:p>
        </w:tc>
        <w:tc>
          <w:tcPr>
            <w:tcW w:w="1112" w:type="dxa"/>
            <w:tcBorders>
              <w:top w:val="nil"/>
              <w:left w:val="nil"/>
              <w:bottom w:val="single" w:sz="4" w:space="0" w:color="auto"/>
              <w:right w:val="single" w:sz="4" w:space="0" w:color="auto"/>
            </w:tcBorders>
            <w:shd w:val="clear" w:color="auto" w:fill="auto"/>
            <w:noWrap/>
            <w:vAlign w:val="bottom"/>
            <w:hideMark/>
          </w:tcPr>
          <w:p w14:paraId="32FCC850" w14:textId="3F7A639F"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10</w:t>
            </w:r>
            <w:r w:rsidR="007F4D40" w:rsidRPr="00CF0F96">
              <w:rPr>
                <w:rFonts w:eastAsia="Times New Roman" w:cs="Arial"/>
                <w:sz w:val="18"/>
                <w:szCs w:val="18"/>
                <w:lang w:eastAsia="es-SV"/>
              </w:rPr>
              <w:t>,</w:t>
            </w:r>
            <w:r w:rsidRPr="00CF0F96">
              <w:rPr>
                <w:rFonts w:eastAsia="Times New Roman" w:cs="Arial"/>
                <w:sz w:val="18"/>
                <w:szCs w:val="18"/>
                <w:lang w:eastAsia="es-SV"/>
              </w:rPr>
              <w:t>487</w:t>
            </w:r>
          </w:p>
        </w:tc>
        <w:tc>
          <w:tcPr>
            <w:tcW w:w="1113" w:type="dxa"/>
            <w:tcBorders>
              <w:top w:val="nil"/>
              <w:left w:val="nil"/>
              <w:bottom w:val="single" w:sz="4" w:space="0" w:color="auto"/>
              <w:right w:val="single" w:sz="4" w:space="0" w:color="auto"/>
            </w:tcBorders>
            <w:shd w:val="clear" w:color="auto" w:fill="auto"/>
            <w:noWrap/>
            <w:vAlign w:val="bottom"/>
            <w:hideMark/>
          </w:tcPr>
          <w:p w14:paraId="269D7B3B" w14:textId="716BE8CD"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11</w:t>
            </w:r>
            <w:r w:rsidR="007F4D40" w:rsidRPr="00CF0F96">
              <w:rPr>
                <w:rFonts w:eastAsia="Times New Roman" w:cs="Arial"/>
                <w:sz w:val="18"/>
                <w:szCs w:val="18"/>
                <w:lang w:eastAsia="es-SV"/>
              </w:rPr>
              <w:t>,</w:t>
            </w:r>
            <w:r w:rsidRPr="00CF0F96">
              <w:rPr>
                <w:rFonts w:eastAsia="Times New Roman" w:cs="Arial"/>
                <w:sz w:val="18"/>
                <w:szCs w:val="18"/>
                <w:lang w:eastAsia="es-SV"/>
              </w:rPr>
              <w:t>922</w:t>
            </w:r>
          </w:p>
        </w:tc>
        <w:tc>
          <w:tcPr>
            <w:tcW w:w="1113" w:type="dxa"/>
            <w:tcBorders>
              <w:top w:val="nil"/>
              <w:left w:val="nil"/>
              <w:bottom w:val="single" w:sz="4" w:space="0" w:color="auto"/>
              <w:right w:val="single" w:sz="4" w:space="0" w:color="auto"/>
            </w:tcBorders>
            <w:shd w:val="clear" w:color="auto" w:fill="auto"/>
            <w:noWrap/>
            <w:vAlign w:val="bottom"/>
            <w:hideMark/>
          </w:tcPr>
          <w:p w14:paraId="028D5BEE" w14:textId="2539E735"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22</w:t>
            </w:r>
            <w:r w:rsidR="007F4D40" w:rsidRPr="00CF0F96">
              <w:rPr>
                <w:rFonts w:eastAsia="Times New Roman" w:cs="Arial"/>
                <w:sz w:val="18"/>
                <w:szCs w:val="18"/>
                <w:lang w:eastAsia="es-SV"/>
              </w:rPr>
              <w:t>,</w:t>
            </w:r>
            <w:r w:rsidRPr="00CF0F96">
              <w:rPr>
                <w:rFonts w:eastAsia="Times New Roman" w:cs="Arial"/>
                <w:sz w:val="18"/>
                <w:szCs w:val="18"/>
                <w:lang w:eastAsia="es-SV"/>
              </w:rPr>
              <w:t>409</w:t>
            </w:r>
          </w:p>
        </w:tc>
        <w:tc>
          <w:tcPr>
            <w:tcW w:w="1113" w:type="dxa"/>
            <w:tcBorders>
              <w:top w:val="nil"/>
              <w:left w:val="nil"/>
              <w:bottom w:val="single" w:sz="4" w:space="0" w:color="auto"/>
              <w:right w:val="single" w:sz="4" w:space="0" w:color="auto"/>
            </w:tcBorders>
            <w:shd w:val="clear" w:color="auto" w:fill="auto"/>
            <w:noWrap/>
            <w:vAlign w:val="bottom"/>
            <w:hideMark/>
          </w:tcPr>
          <w:p w14:paraId="040C769B"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9.2%</w:t>
            </w:r>
          </w:p>
        </w:tc>
        <w:tc>
          <w:tcPr>
            <w:tcW w:w="1197" w:type="dxa"/>
            <w:tcBorders>
              <w:top w:val="nil"/>
              <w:left w:val="nil"/>
              <w:bottom w:val="single" w:sz="4" w:space="0" w:color="auto"/>
              <w:right w:val="single" w:sz="4" w:space="0" w:color="auto"/>
            </w:tcBorders>
            <w:vAlign w:val="bottom"/>
          </w:tcPr>
          <w:p w14:paraId="6D2ED42D"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72.1%</w:t>
            </w:r>
          </w:p>
        </w:tc>
      </w:tr>
      <w:tr w:rsidR="00CF0F96" w:rsidRPr="00CF0F96" w14:paraId="04477112" w14:textId="77777777" w:rsidTr="00EF7331">
        <w:trPr>
          <w:trHeight w:val="300"/>
          <w:jc w:val="center"/>
        </w:trPr>
        <w:tc>
          <w:tcPr>
            <w:tcW w:w="4841"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563D62CE"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eastAsia="Times New Roman" w:cs="Arial"/>
                <w:sz w:val="18"/>
                <w:szCs w:val="18"/>
                <w:lang w:eastAsia="es-SV"/>
              </w:rPr>
              <w:t>Construcción.</w:t>
            </w:r>
          </w:p>
        </w:tc>
        <w:tc>
          <w:tcPr>
            <w:tcW w:w="1112" w:type="dxa"/>
            <w:tcBorders>
              <w:top w:val="nil"/>
              <w:left w:val="nil"/>
              <w:bottom w:val="single" w:sz="4" w:space="0" w:color="auto"/>
              <w:right w:val="single" w:sz="4" w:space="0" w:color="auto"/>
            </w:tcBorders>
            <w:shd w:val="clear" w:color="auto" w:fill="auto"/>
            <w:noWrap/>
            <w:vAlign w:val="bottom"/>
            <w:hideMark/>
          </w:tcPr>
          <w:p w14:paraId="0C04505B" w14:textId="554C9803"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14</w:t>
            </w:r>
            <w:r w:rsidR="007F4D40" w:rsidRPr="00CF0F96">
              <w:rPr>
                <w:rFonts w:eastAsia="Times New Roman" w:cs="Arial"/>
                <w:sz w:val="18"/>
                <w:szCs w:val="18"/>
                <w:lang w:eastAsia="es-SV"/>
              </w:rPr>
              <w:t>,</w:t>
            </w:r>
            <w:r w:rsidRPr="00CF0F96">
              <w:rPr>
                <w:rFonts w:eastAsia="Times New Roman" w:cs="Arial"/>
                <w:sz w:val="18"/>
                <w:szCs w:val="18"/>
                <w:lang w:eastAsia="es-SV"/>
              </w:rPr>
              <w:t>935</w:t>
            </w:r>
          </w:p>
        </w:tc>
        <w:tc>
          <w:tcPr>
            <w:tcW w:w="1113" w:type="dxa"/>
            <w:tcBorders>
              <w:top w:val="nil"/>
              <w:left w:val="nil"/>
              <w:bottom w:val="single" w:sz="4" w:space="0" w:color="auto"/>
              <w:right w:val="single" w:sz="4" w:space="0" w:color="auto"/>
            </w:tcBorders>
            <w:shd w:val="clear" w:color="auto" w:fill="auto"/>
            <w:noWrap/>
            <w:vAlign w:val="bottom"/>
            <w:hideMark/>
          </w:tcPr>
          <w:p w14:paraId="1C8B6C88"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241</w:t>
            </w:r>
          </w:p>
        </w:tc>
        <w:tc>
          <w:tcPr>
            <w:tcW w:w="1113" w:type="dxa"/>
            <w:tcBorders>
              <w:top w:val="nil"/>
              <w:left w:val="nil"/>
              <w:bottom w:val="single" w:sz="4" w:space="0" w:color="auto"/>
              <w:right w:val="single" w:sz="4" w:space="0" w:color="auto"/>
            </w:tcBorders>
            <w:shd w:val="clear" w:color="auto" w:fill="auto"/>
            <w:noWrap/>
            <w:vAlign w:val="bottom"/>
            <w:hideMark/>
          </w:tcPr>
          <w:p w14:paraId="2BCF5D19" w14:textId="4C32D23D"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15</w:t>
            </w:r>
            <w:r w:rsidR="007F4D40" w:rsidRPr="00CF0F96">
              <w:rPr>
                <w:rFonts w:eastAsia="Times New Roman" w:cs="Arial"/>
                <w:sz w:val="18"/>
                <w:szCs w:val="18"/>
                <w:lang w:eastAsia="es-SV"/>
              </w:rPr>
              <w:t>,</w:t>
            </w:r>
            <w:r w:rsidRPr="00CF0F96">
              <w:rPr>
                <w:rFonts w:eastAsia="Times New Roman" w:cs="Arial"/>
                <w:sz w:val="18"/>
                <w:szCs w:val="18"/>
                <w:lang w:eastAsia="es-SV"/>
              </w:rPr>
              <w:t>176</w:t>
            </w:r>
          </w:p>
        </w:tc>
        <w:tc>
          <w:tcPr>
            <w:tcW w:w="1113" w:type="dxa"/>
            <w:tcBorders>
              <w:top w:val="nil"/>
              <w:left w:val="nil"/>
              <w:bottom w:val="single" w:sz="4" w:space="0" w:color="auto"/>
              <w:right w:val="single" w:sz="4" w:space="0" w:color="auto"/>
            </w:tcBorders>
            <w:shd w:val="clear" w:color="auto" w:fill="auto"/>
            <w:noWrap/>
            <w:vAlign w:val="bottom"/>
            <w:hideMark/>
          </w:tcPr>
          <w:p w14:paraId="4D334AB1"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6.2%</w:t>
            </w:r>
          </w:p>
        </w:tc>
        <w:tc>
          <w:tcPr>
            <w:tcW w:w="1197" w:type="dxa"/>
            <w:tcBorders>
              <w:top w:val="nil"/>
              <w:left w:val="nil"/>
              <w:bottom w:val="single" w:sz="4" w:space="0" w:color="auto"/>
              <w:right w:val="single" w:sz="4" w:space="0" w:color="auto"/>
            </w:tcBorders>
            <w:vAlign w:val="bottom"/>
          </w:tcPr>
          <w:p w14:paraId="43C5547F"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78.3%</w:t>
            </w:r>
          </w:p>
        </w:tc>
      </w:tr>
      <w:tr w:rsidR="00CF0F96" w:rsidRPr="00CF0F96" w14:paraId="2853A989" w14:textId="77777777" w:rsidTr="00EF7331">
        <w:trPr>
          <w:trHeight w:val="300"/>
          <w:jc w:val="center"/>
        </w:trPr>
        <w:tc>
          <w:tcPr>
            <w:tcW w:w="4841"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43C9665A"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eastAsia="Times New Roman" w:cs="Arial"/>
                <w:sz w:val="18"/>
                <w:szCs w:val="18"/>
                <w:lang w:eastAsia="es-SV"/>
              </w:rPr>
              <w:t>Otras actividades de servicios.</w:t>
            </w:r>
          </w:p>
        </w:tc>
        <w:tc>
          <w:tcPr>
            <w:tcW w:w="1112" w:type="dxa"/>
            <w:tcBorders>
              <w:top w:val="nil"/>
              <w:left w:val="nil"/>
              <w:bottom w:val="single" w:sz="4" w:space="0" w:color="auto"/>
              <w:right w:val="single" w:sz="4" w:space="0" w:color="auto"/>
            </w:tcBorders>
            <w:shd w:val="clear" w:color="auto" w:fill="auto"/>
            <w:noWrap/>
            <w:vAlign w:val="bottom"/>
            <w:hideMark/>
          </w:tcPr>
          <w:p w14:paraId="206867FC" w14:textId="76708F5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3</w:t>
            </w:r>
            <w:r w:rsidR="007F4D40" w:rsidRPr="00CF0F96">
              <w:rPr>
                <w:rFonts w:eastAsia="Times New Roman" w:cs="Arial"/>
                <w:sz w:val="18"/>
                <w:szCs w:val="18"/>
                <w:lang w:eastAsia="es-SV"/>
              </w:rPr>
              <w:t>,</w:t>
            </w:r>
            <w:r w:rsidRPr="00CF0F96">
              <w:rPr>
                <w:rFonts w:eastAsia="Times New Roman" w:cs="Arial"/>
                <w:sz w:val="18"/>
                <w:szCs w:val="18"/>
                <w:lang w:eastAsia="es-SV"/>
              </w:rPr>
              <w:t>223</w:t>
            </w:r>
          </w:p>
        </w:tc>
        <w:tc>
          <w:tcPr>
            <w:tcW w:w="1113" w:type="dxa"/>
            <w:tcBorders>
              <w:top w:val="nil"/>
              <w:left w:val="nil"/>
              <w:bottom w:val="single" w:sz="4" w:space="0" w:color="auto"/>
              <w:right w:val="single" w:sz="4" w:space="0" w:color="auto"/>
            </w:tcBorders>
            <w:shd w:val="clear" w:color="auto" w:fill="auto"/>
            <w:noWrap/>
            <w:vAlign w:val="bottom"/>
            <w:hideMark/>
          </w:tcPr>
          <w:p w14:paraId="6069E77E" w14:textId="38E06E29"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5</w:t>
            </w:r>
            <w:r w:rsidR="007F4D40" w:rsidRPr="00CF0F96">
              <w:rPr>
                <w:rFonts w:eastAsia="Times New Roman" w:cs="Arial"/>
                <w:sz w:val="18"/>
                <w:szCs w:val="18"/>
                <w:lang w:eastAsia="es-SV"/>
              </w:rPr>
              <w:t>,</w:t>
            </w:r>
            <w:r w:rsidRPr="00CF0F96">
              <w:rPr>
                <w:rFonts w:eastAsia="Times New Roman" w:cs="Arial"/>
                <w:sz w:val="18"/>
                <w:szCs w:val="18"/>
                <w:lang w:eastAsia="es-SV"/>
              </w:rPr>
              <w:t>995</w:t>
            </w:r>
          </w:p>
        </w:tc>
        <w:tc>
          <w:tcPr>
            <w:tcW w:w="1113" w:type="dxa"/>
            <w:tcBorders>
              <w:top w:val="nil"/>
              <w:left w:val="nil"/>
              <w:bottom w:val="single" w:sz="4" w:space="0" w:color="auto"/>
              <w:right w:val="single" w:sz="4" w:space="0" w:color="auto"/>
            </w:tcBorders>
            <w:shd w:val="clear" w:color="auto" w:fill="auto"/>
            <w:noWrap/>
            <w:vAlign w:val="bottom"/>
            <w:hideMark/>
          </w:tcPr>
          <w:p w14:paraId="59E2A869" w14:textId="39BD5A15"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9</w:t>
            </w:r>
            <w:r w:rsidR="007F4D40" w:rsidRPr="00CF0F96">
              <w:rPr>
                <w:rFonts w:eastAsia="Times New Roman" w:cs="Arial"/>
                <w:sz w:val="18"/>
                <w:szCs w:val="18"/>
                <w:lang w:eastAsia="es-SV"/>
              </w:rPr>
              <w:t>,</w:t>
            </w:r>
            <w:r w:rsidRPr="00CF0F96">
              <w:rPr>
                <w:rFonts w:eastAsia="Times New Roman" w:cs="Arial"/>
                <w:sz w:val="18"/>
                <w:szCs w:val="18"/>
                <w:lang w:eastAsia="es-SV"/>
              </w:rPr>
              <w:t>218</w:t>
            </w:r>
          </w:p>
        </w:tc>
        <w:tc>
          <w:tcPr>
            <w:tcW w:w="1113" w:type="dxa"/>
            <w:tcBorders>
              <w:top w:val="nil"/>
              <w:left w:val="nil"/>
              <w:bottom w:val="single" w:sz="4" w:space="0" w:color="auto"/>
              <w:right w:val="single" w:sz="4" w:space="0" w:color="auto"/>
            </w:tcBorders>
            <w:shd w:val="clear" w:color="auto" w:fill="auto"/>
            <w:noWrap/>
            <w:vAlign w:val="bottom"/>
            <w:hideMark/>
          </w:tcPr>
          <w:p w14:paraId="6763A39A"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3.8%</w:t>
            </w:r>
          </w:p>
        </w:tc>
        <w:tc>
          <w:tcPr>
            <w:tcW w:w="1197" w:type="dxa"/>
            <w:tcBorders>
              <w:top w:val="nil"/>
              <w:left w:val="nil"/>
              <w:bottom w:val="single" w:sz="4" w:space="0" w:color="auto"/>
              <w:right w:val="single" w:sz="4" w:space="0" w:color="auto"/>
            </w:tcBorders>
            <w:vAlign w:val="bottom"/>
          </w:tcPr>
          <w:p w14:paraId="74883484"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82.1%</w:t>
            </w:r>
          </w:p>
        </w:tc>
      </w:tr>
      <w:tr w:rsidR="00CF0F96" w:rsidRPr="00CF0F96" w14:paraId="37155095" w14:textId="77777777" w:rsidTr="00EF7331">
        <w:trPr>
          <w:trHeight w:val="300"/>
          <w:jc w:val="center"/>
        </w:trPr>
        <w:tc>
          <w:tcPr>
            <w:tcW w:w="4841"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2C9BB0BB"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eastAsia="Times New Roman" w:cs="Arial"/>
                <w:sz w:val="18"/>
                <w:szCs w:val="18"/>
                <w:lang w:eastAsia="es-SV"/>
              </w:rPr>
              <w:t>Actividades de alojamiento y de servicios de comida.</w:t>
            </w:r>
          </w:p>
        </w:tc>
        <w:tc>
          <w:tcPr>
            <w:tcW w:w="1112" w:type="dxa"/>
            <w:tcBorders>
              <w:top w:val="nil"/>
              <w:left w:val="nil"/>
              <w:bottom w:val="single" w:sz="4" w:space="0" w:color="auto"/>
              <w:right w:val="single" w:sz="4" w:space="0" w:color="auto"/>
            </w:tcBorders>
            <w:shd w:val="clear" w:color="auto" w:fill="auto"/>
            <w:noWrap/>
            <w:vAlign w:val="bottom"/>
            <w:hideMark/>
          </w:tcPr>
          <w:p w14:paraId="6BD7C61B" w14:textId="5737FE28"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1</w:t>
            </w:r>
            <w:r w:rsidR="007F4D40" w:rsidRPr="00CF0F96">
              <w:rPr>
                <w:rFonts w:eastAsia="Times New Roman" w:cs="Arial"/>
                <w:sz w:val="18"/>
                <w:szCs w:val="18"/>
                <w:lang w:eastAsia="es-SV"/>
              </w:rPr>
              <w:t>,</w:t>
            </w:r>
            <w:r w:rsidRPr="00CF0F96">
              <w:rPr>
                <w:rFonts w:eastAsia="Times New Roman" w:cs="Arial"/>
                <w:sz w:val="18"/>
                <w:szCs w:val="18"/>
                <w:lang w:eastAsia="es-SV"/>
              </w:rPr>
              <w:t>705</w:t>
            </w:r>
          </w:p>
        </w:tc>
        <w:tc>
          <w:tcPr>
            <w:tcW w:w="1113" w:type="dxa"/>
            <w:tcBorders>
              <w:top w:val="nil"/>
              <w:left w:val="nil"/>
              <w:bottom w:val="single" w:sz="4" w:space="0" w:color="auto"/>
              <w:right w:val="single" w:sz="4" w:space="0" w:color="auto"/>
            </w:tcBorders>
            <w:shd w:val="clear" w:color="auto" w:fill="auto"/>
            <w:noWrap/>
            <w:vAlign w:val="bottom"/>
            <w:hideMark/>
          </w:tcPr>
          <w:p w14:paraId="4FD7E149" w14:textId="573260D1"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6</w:t>
            </w:r>
            <w:r w:rsidR="007F4D40" w:rsidRPr="00CF0F96">
              <w:rPr>
                <w:rFonts w:eastAsia="Times New Roman" w:cs="Arial"/>
                <w:sz w:val="18"/>
                <w:szCs w:val="18"/>
                <w:lang w:eastAsia="es-SV"/>
              </w:rPr>
              <w:t>,</w:t>
            </w:r>
            <w:r w:rsidRPr="00CF0F96">
              <w:rPr>
                <w:rFonts w:eastAsia="Times New Roman" w:cs="Arial"/>
                <w:sz w:val="18"/>
                <w:szCs w:val="18"/>
                <w:lang w:eastAsia="es-SV"/>
              </w:rPr>
              <w:t>529</w:t>
            </w:r>
          </w:p>
        </w:tc>
        <w:tc>
          <w:tcPr>
            <w:tcW w:w="1113" w:type="dxa"/>
            <w:tcBorders>
              <w:top w:val="nil"/>
              <w:left w:val="nil"/>
              <w:bottom w:val="single" w:sz="4" w:space="0" w:color="auto"/>
              <w:right w:val="single" w:sz="4" w:space="0" w:color="auto"/>
            </w:tcBorders>
            <w:shd w:val="clear" w:color="auto" w:fill="auto"/>
            <w:noWrap/>
            <w:vAlign w:val="bottom"/>
            <w:hideMark/>
          </w:tcPr>
          <w:p w14:paraId="27EA8184" w14:textId="31BD8CEF"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8</w:t>
            </w:r>
            <w:r w:rsidR="007F4D40" w:rsidRPr="00CF0F96">
              <w:rPr>
                <w:rFonts w:eastAsia="Times New Roman" w:cs="Arial"/>
                <w:sz w:val="18"/>
                <w:szCs w:val="18"/>
                <w:lang w:eastAsia="es-SV"/>
              </w:rPr>
              <w:t>,</w:t>
            </w:r>
            <w:r w:rsidRPr="00CF0F96">
              <w:rPr>
                <w:rFonts w:eastAsia="Times New Roman" w:cs="Arial"/>
                <w:sz w:val="18"/>
                <w:szCs w:val="18"/>
                <w:lang w:eastAsia="es-SV"/>
              </w:rPr>
              <w:t>234</w:t>
            </w:r>
          </w:p>
        </w:tc>
        <w:tc>
          <w:tcPr>
            <w:tcW w:w="1113" w:type="dxa"/>
            <w:tcBorders>
              <w:top w:val="nil"/>
              <w:left w:val="nil"/>
              <w:bottom w:val="single" w:sz="4" w:space="0" w:color="auto"/>
              <w:right w:val="single" w:sz="4" w:space="0" w:color="auto"/>
            </w:tcBorders>
            <w:shd w:val="clear" w:color="auto" w:fill="auto"/>
            <w:noWrap/>
            <w:vAlign w:val="bottom"/>
            <w:hideMark/>
          </w:tcPr>
          <w:p w14:paraId="6A77702E"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3.4%</w:t>
            </w:r>
          </w:p>
        </w:tc>
        <w:tc>
          <w:tcPr>
            <w:tcW w:w="1197" w:type="dxa"/>
            <w:tcBorders>
              <w:top w:val="nil"/>
              <w:left w:val="nil"/>
              <w:bottom w:val="single" w:sz="4" w:space="0" w:color="auto"/>
              <w:right w:val="single" w:sz="4" w:space="0" w:color="auto"/>
            </w:tcBorders>
            <w:vAlign w:val="bottom"/>
          </w:tcPr>
          <w:p w14:paraId="03177CA4"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85.5%</w:t>
            </w:r>
          </w:p>
        </w:tc>
      </w:tr>
      <w:tr w:rsidR="00CF0F96" w:rsidRPr="00CF0F96" w14:paraId="5DEE415E" w14:textId="77777777" w:rsidTr="00EF7331">
        <w:trPr>
          <w:trHeight w:val="601"/>
          <w:jc w:val="center"/>
        </w:trPr>
        <w:tc>
          <w:tcPr>
            <w:tcW w:w="4841"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47C13607"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eastAsia="Times New Roman" w:cs="Arial"/>
                <w:sz w:val="18"/>
                <w:szCs w:val="18"/>
                <w:lang w:eastAsia="es-SV"/>
              </w:rPr>
              <w:t>Actividades de los hogares como empleadores y actividades no diferenciadas de los hogares.</w:t>
            </w:r>
          </w:p>
        </w:tc>
        <w:tc>
          <w:tcPr>
            <w:tcW w:w="1112" w:type="dxa"/>
            <w:tcBorders>
              <w:top w:val="nil"/>
              <w:left w:val="nil"/>
              <w:bottom w:val="single" w:sz="4" w:space="0" w:color="auto"/>
              <w:right w:val="single" w:sz="4" w:space="0" w:color="auto"/>
            </w:tcBorders>
            <w:shd w:val="clear" w:color="auto" w:fill="auto"/>
            <w:noWrap/>
            <w:vAlign w:val="bottom"/>
            <w:hideMark/>
          </w:tcPr>
          <w:p w14:paraId="5A42897A"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93</w:t>
            </w:r>
          </w:p>
        </w:tc>
        <w:tc>
          <w:tcPr>
            <w:tcW w:w="1113" w:type="dxa"/>
            <w:tcBorders>
              <w:top w:val="nil"/>
              <w:left w:val="nil"/>
              <w:bottom w:val="single" w:sz="4" w:space="0" w:color="auto"/>
              <w:right w:val="single" w:sz="4" w:space="0" w:color="auto"/>
            </w:tcBorders>
            <w:shd w:val="clear" w:color="auto" w:fill="auto"/>
            <w:noWrap/>
            <w:vAlign w:val="bottom"/>
            <w:hideMark/>
          </w:tcPr>
          <w:p w14:paraId="45A0EC7B" w14:textId="7E8FD4C1"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6</w:t>
            </w:r>
            <w:r w:rsidR="007F4D40" w:rsidRPr="00CF0F96">
              <w:rPr>
                <w:rFonts w:eastAsia="Times New Roman" w:cs="Arial"/>
                <w:sz w:val="18"/>
                <w:szCs w:val="18"/>
                <w:lang w:eastAsia="es-SV"/>
              </w:rPr>
              <w:t>,</w:t>
            </w:r>
            <w:r w:rsidRPr="00CF0F96">
              <w:rPr>
                <w:rFonts w:eastAsia="Times New Roman" w:cs="Arial"/>
                <w:sz w:val="18"/>
                <w:szCs w:val="18"/>
                <w:lang w:eastAsia="es-SV"/>
              </w:rPr>
              <w:t>320</w:t>
            </w:r>
          </w:p>
        </w:tc>
        <w:tc>
          <w:tcPr>
            <w:tcW w:w="1113" w:type="dxa"/>
            <w:tcBorders>
              <w:top w:val="nil"/>
              <w:left w:val="nil"/>
              <w:bottom w:val="single" w:sz="4" w:space="0" w:color="auto"/>
              <w:right w:val="single" w:sz="4" w:space="0" w:color="auto"/>
            </w:tcBorders>
            <w:shd w:val="clear" w:color="auto" w:fill="auto"/>
            <w:noWrap/>
            <w:vAlign w:val="bottom"/>
            <w:hideMark/>
          </w:tcPr>
          <w:p w14:paraId="499CF862" w14:textId="31A73440"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6</w:t>
            </w:r>
            <w:r w:rsidR="007F4D40" w:rsidRPr="00CF0F96">
              <w:rPr>
                <w:rFonts w:eastAsia="Times New Roman" w:cs="Arial"/>
                <w:sz w:val="18"/>
                <w:szCs w:val="18"/>
                <w:lang w:eastAsia="es-SV"/>
              </w:rPr>
              <w:t>,</w:t>
            </w:r>
            <w:r w:rsidRPr="00CF0F96">
              <w:rPr>
                <w:rFonts w:eastAsia="Times New Roman" w:cs="Arial"/>
                <w:sz w:val="18"/>
                <w:szCs w:val="18"/>
                <w:lang w:eastAsia="es-SV"/>
              </w:rPr>
              <w:t>413</w:t>
            </w:r>
          </w:p>
        </w:tc>
        <w:tc>
          <w:tcPr>
            <w:tcW w:w="1113" w:type="dxa"/>
            <w:tcBorders>
              <w:top w:val="nil"/>
              <w:left w:val="nil"/>
              <w:bottom w:val="single" w:sz="4" w:space="0" w:color="auto"/>
              <w:right w:val="single" w:sz="4" w:space="0" w:color="auto"/>
            </w:tcBorders>
            <w:shd w:val="clear" w:color="auto" w:fill="auto"/>
            <w:noWrap/>
            <w:vAlign w:val="bottom"/>
            <w:hideMark/>
          </w:tcPr>
          <w:p w14:paraId="25F1AF4E"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2.6%</w:t>
            </w:r>
          </w:p>
        </w:tc>
        <w:tc>
          <w:tcPr>
            <w:tcW w:w="1197" w:type="dxa"/>
            <w:tcBorders>
              <w:top w:val="nil"/>
              <w:left w:val="nil"/>
              <w:bottom w:val="single" w:sz="4" w:space="0" w:color="auto"/>
              <w:right w:val="single" w:sz="4" w:space="0" w:color="auto"/>
            </w:tcBorders>
            <w:vAlign w:val="bottom"/>
          </w:tcPr>
          <w:p w14:paraId="43DF05CC"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88.1%</w:t>
            </w:r>
          </w:p>
        </w:tc>
      </w:tr>
      <w:tr w:rsidR="00CF0F96" w:rsidRPr="00CF0F96" w14:paraId="446704CD" w14:textId="77777777" w:rsidTr="00EF7331">
        <w:trPr>
          <w:trHeight w:val="300"/>
          <w:jc w:val="center"/>
        </w:trPr>
        <w:tc>
          <w:tcPr>
            <w:tcW w:w="4841"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184EA052"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eastAsia="Times New Roman" w:cs="Arial"/>
                <w:sz w:val="18"/>
                <w:szCs w:val="18"/>
                <w:lang w:eastAsia="es-SV"/>
              </w:rPr>
              <w:t>Enseñanza.</w:t>
            </w:r>
          </w:p>
        </w:tc>
        <w:tc>
          <w:tcPr>
            <w:tcW w:w="1112" w:type="dxa"/>
            <w:tcBorders>
              <w:top w:val="nil"/>
              <w:left w:val="nil"/>
              <w:bottom w:val="single" w:sz="4" w:space="0" w:color="auto"/>
              <w:right w:val="single" w:sz="4" w:space="0" w:color="auto"/>
            </w:tcBorders>
            <w:shd w:val="clear" w:color="auto" w:fill="auto"/>
            <w:noWrap/>
            <w:vAlign w:val="bottom"/>
            <w:hideMark/>
          </w:tcPr>
          <w:p w14:paraId="1B693638" w14:textId="1A1E209F"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1</w:t>
            </w:r>
            <w:r w:rsidR="007F4D40" w:rsidRPr="00CF0F96">
              <w:rPr>
                <w:rFonts w:eastAsia="Times New Roman" w:cs="Arial"/>
                <w:sz w:val="18"/>
                <w:szCs w:val="18"/>
                <w:lang w:eastAsia="es-SV"/>
              </w:rPr>
              <w:t>,</w:t>
            </w:r>
            <w:r w:rsidRPr="00CF0F96">
              <w:rPr>
                <w:rFonts w:eastAsia="Times New Roman" w:cs="Arial"/>
                <w:sz w:val="18"/>
                <w:szCs w:val="18"/>
                <w:lang w:eastAsia="es-SV"/>
              </w:rPr>
              <w:t>786</w:t>
            </w:r>
          </w:p>
        </w:tc>
        <w:tc>
          <w:tcPr>
            <w:tcW w:w="1113" w:type="dxa"/>
            <w:tcBorders>
              <w:top w:val="nil"/>
              <w:left w:val="nil"/>
              <w:bottom w:val="single" w:sz="4" w:space="0" w:color="auto"/>
              <w:right w:val="single" w:sz="4" w:space="0" w:color="auto"/>
            </w:tcBorders>
            <w:shd w:val="clear" w:color="auto" w:fill="auto"/>
            <w:noWrap/>
            <w:vAlign w:val="bottom"/>
            <w:hideMark/>
          </w:tcPr>
          <w:p w14:paraId="2E51C050" w14:textId="2970EC8C"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4</w:t>
            </w:r>
            <w:r w:rsidR="007F4D40" w:rsidRPr="00CF0F96">
              <w:rPr>
                <w:rFonts w:eastAsia="Times New Roman" w:cs="Arial"/>
                <w:sz w:val="18"/>
                <w:szCs w:val="18"/>
                <w:lang w:eastAsia="es-SV"/>
              </w:rPr>
              <w:t>,</w:t>
            </w:r>
            <w:r w:rsidRPr="00CF0F96">
              <w:rPr>
                <w:rFonts w:eastAsia="Times New Roman" w:cs="Arial"/>
                <w:sz w:val="18"/>
                <w:szCs w:val="18"/>
                <w:lang w:eastAsia="es-SV"/>
              </w:rPr>
              <w:t>558</w:t>
            </w:r>
          </w:p>
        </w:tc>
        <w:tc>
          <w:tcPr>
            <w:tcW w:w="1113" w:type="dxa"/>
            <w:tcBorders>
              <w:top w:val="nil"/>
              <w:left w:val="nil"/>
              <w:bottom w:val="single" w:sz="4" w:space="0" w:color="auto"/>
              <w:right w:val="single" w:sz="4" w:space="0" w:color="auto"/>
            </w:tcBorders>
            <w:shd w:val="clear" w:color="auto" w:fill="auto"/>
            <w:noWrap/>
            <w:vAlign w:val="bottom"/>
            <w:hideMark/>
          </w:tcPr>
          <w:p w14:paraId="114B78DC" w14:textId="55CED979"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6</w:t>
            </w:r>
            <w:r w:rsidR="007F4D40" w:rsidRPr="00CF0F96">
              <w:rPr>
                <w:rFonts w:eastAsia="Times New Roman" w:cs="Arial"/>
                <w:sz w:val="18"/>
                <w:szCs w:val="18"/>
                <w:lang w:eastAsia="es-SV"/>
              </w:rPr>
              <w:t>,</w:t>
            </w:r>
            <w:r w:rsidRPr="00CF0F96">
              <w:rPr>
                <w:rFonts w:eastAsia="Times New Roman" w:cs="Arial"/>
                <w:sz w:val="18"/>
                <w:szCs w:val="18"/>
                <w:lang w:eastAsia="es-SV"/>
              </w:rPr>
              <w:t>344</w:t>
            </w:r>
          </w:p>
        </w:tc>
        <w:tc>
          <w:tcPr>
            <w:tcW w:w="1113" w:type="dxa"/>
            <w:tcBorders>
              <w:top w:val="nil"/>
              <w:left w:val="nil"/>
              <w:bottom w:val="single" w:sz="4" w:space="0" w:color="auto"/>
              <w:right w:val="single" w:sz="4" w:space="0" w:color="auto"/>
            </w:tcBorders>
            <w:shd w:val="clear" w:color="auto" w:fill="auto"/>
            <w:noWrap/>
            <w:vAlign w:val="bottom"/>
            <w:hideMark/>
          </w:tcPr>
          <w:p w14:paraId="17684174"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2.6%</w:t>
            </w:r>
          </w:p>
        </w:tc>
        <w:tc>
          <w:tcPr>
            <w:tcW w:w="1197" w:type="dxa"/>
            <w:tcBorders>
              <w:top w:val="nil"/>
              <w:left w:val="nil"/>
              <w:bottom w:val="single" w:sz="4" w:space="0" w:color="auto"/>
              <w:right w:val="single" w:sz="4" w:space="0" w:color="auto"/>
            </w:tcBorders>
            <w:vAlign w:val="bottom"/>
          </w:tcPr>
          <w:p w14:paraId="15A3B518"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90.7%</w:t>
            </w:r>
          </w:p>
        </w:tc>
      </w:tr>
      <w:tr w:rsidR="00CF0F96" w:rsidRPr="00CF0F96" w14:paraId="75E452E1" w14:textId="77777777" w:rsidTr="00EF7331">
        <w:trPr>
          <w:trHeight w:val="300"/>
          <w:jc w:val="center"/>
        </w:trPr>
        <w:tc>
          <w:tcPr>
            <w:tcW w:w="4841"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3F301752"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eastAsia="Times New Roman" w:cs="Arial"/>
                <w:sz w:val="18"/>
                <w:szCs w:val="18"/>
                <w:lang w:eastAsia="es-SV"/>
              </w:rPr>
              <w:t>Busca trabajo por primera vez.</w:t>
            </w:r>
          </w:p>
        </w:tc>
        <w:tc>
          <w:tcPr>
            <w:tcW w:w="1112" w:type="dxa"/>
            <w:tcBorders>
              <w:top w:val="nil"/>
              <w:left w:val="nil"/>
              <w:bottom w:val="single" w:sz="4" w:space="0" w:color="auto"/>
              <w:right w:val="single" w:sz="4" w:space="0" w:color="auto"/>
            </w:tcBorders>
            <w:shd w:val="clear" w:color="auto" w:fill="auto"/>
            <w:noWrap/>
            <w:vAlign w:val="bottom"/>
            <w:hideMark/>
          </w:tcPr>
          <w:p w14:paraId="32FB7F61" w14:textId="10D6304F"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1</w:t>
            </w:r>
            <w:r w:rsidR="007F4D40" w:rsidRPr="00CF0F96">
              <w:rPr>
                <w:rFonts w:eastAsia="Times New Roman" w:cs="Arial"/>
                <w:sz w:val="18"/>
                <w:szCs w:val="18"/>
                <w:lang w:eastAsia="es-SV"/>
              </w:rPr>
              <w:t>,</w:t>
            </w:r>
            <w:r w:rsidRPr="00CF0F96">
              <w:rPr>
                <w:rFonts w:eastAsia="Times New Roman" w:cs="Arial"/>
                <w:sz w:val="18"/>
                <w:szCs w:val="18"/>
                <w:lang w:eastAsia="es-SV"/>
              </w:rPr>
              <w:t>013</w:t>
            </w:r>
          </w:p>
        </w:tc>
        <w:tc>
          <w:tcPr>
            <w:tcW w:w="1113" w:type="dxa"/>
            <w:tcBorders>
              <w:top w:val="nil"/>
              <w:left w:val="nil"/>
              <w:bottom w:val="single" w:sz="4" w:space="0" w:color="auto"/>
              <w:right w:val="single" w:sz="4" w:space="0" w:color="auto"/>
            </w:tcBorders>
            <w:shd w:val="clear" w:color="auto" w:fill="auto"/>
            <w:noWrap/>
            <w:vAlign w:val="bottom"/>
            <w:hideMark/>
          </w:tcPr>
          <w:p w14:paraId="755276DD" w14:textId="13AEF71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4</w:t>
            </w:r>
            <w:r w:rsidR="007F4D40" w:rsidRPr="00CF0F96">
              <w:rPr>
                <w:rFonts w:eastAsia="Times New Roman" w:cs="Arial"/>
                <w:sz w:val="18"/>
                <w:szCs w:val="18"/>
                <w:lang w:eastAsia="es-SV"/>
              </w:rPr>
              <w:t>,</w:t>
            </w:r>
            <w:r w:rsidRPr="00CF0F96">
              <w:rPr>
                <w:rFonts w:eastAsia="Times New Roman" w:cs="Arial"/>
                <w:sz w:val="18"/>
                <w:szCs w:val="18"/>
                <w:lang w:eastAsia="es-SV"/>
              </w:rPr>
              <w:t>838</w:t>
            </w:r>
          </w:p>
        </w:tc>
        <w:tc>
          <w:tcPr>
            <w:tcW w:w="1113" w:type="dxa"/>
            <w:tcBorders>
              <w:top w:val="nil"/>
              <w:left w:val="nil"/>
              <w:bottom w:val="single" w:sz="4" w:space="0" w:color="auto"/>
              <w:right w:val="single" w:sz="4" w:space="0" w:color="auto"/>
            </w:tcBorders>
            <w:shd w:val="clear" w:color="auto" w:fill="auto"/>
            <w:noWrap/>
            <w:vAlign w:val="bottom"/>
            <w:hideMark/>
          </w:tcPr>
          <w:p w14:paraId="77A6F930" w14:textId="158B5D0B"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5</w:t>
            </w:r>
            <w:r w:rsidR="007F4D40" w:rsidRPr="00CF0F96">
              <w:rPr>
                <w:rFonts w:eastAsia="Times New Roman" w:cs="Arial"/>
                <w:sz w:val="18"/>
                <w:szCs w:val="18"/>
                <w:lang w:eastAsia="es-SV"/>
              </w:rPr>
              <w:t>,</w:t>
            </w:r>
            <w:r w:rsidRPr="00CF0F96">
              <w:rPr>
                <w:rFonts w:eastAsia="Times New Roman" w:cs="Arial"/>
                <w:sz w:val="18"/>
                <w:szCs w:val="18"/>
                <w:lang w:eastAsia="es-SV"/>
              </w:rPr>
              <w:t>851</w:t>
            </w:r>
          </w:p>
        </w:tc>
        <w:tc>
          <w:tcPr>
            <w:tcW w:w="1113" w:type="dxa"/>
            <w:tcBorders>
              <w:top w:val="nil"/>
              <w:left w:val="nil"/>
              <w:bottom w:val="single" w:sz="4" w:space="0" w:color="auto"/>
              <w:right w:val="single" w:sz="4" w:space="0" w:color="auto"/>
            </w:tcBorders>
            <w:shd w:val="clear" w:color="auto" w:fill="auto"/>
            <w:noWrap/>
            <w:vAlign w:val="bottom"/>
            <w:hideMark/>
          </w:tcPr>
          <w:p w14:paraId="5BB29ED9"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2.4%</w:t>
            </w:r>
          </w:p>
        </w:tc>
        <w:tc>
          <w:tcPr>
            <w:tcW w:w="1197" w:type="dxa"/>
            <w:tcBorders>
              <w:top w:val="nil"/>
              <w:left w:val="nil"/>
              <w:bottom w:val="single" w:sz="4" w:space="0" w:color="auto"/>
              <w:right w:val="single" w:sz="4" w:space="0" w:color="auto"/>
            </w:tcBorders>
            <w:vAlign w:val="bottom"/>
          </w:tcPr>
          <w:p w14:paraId="6E84C0C6"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93.1%</w:t>
            </w:r>
          </w:p>
        </w:tc>
      </w:tr>
      <w:tr w:rsidR="00CF0F96" w:rsidRPr="00CF0F96" w14:paraId="74F8AA52" w14:textId="77777777" w:rsidTr="00EF7331">
        <w:trPr>
          <w:trHeight w:val="601"/>
          <w:jc w:val="center"/>
        </w:trPr>
        <w:tc>
          <w:tcPr>
            <w:tcW w:w="4841"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534C71C1"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eastAsia="Times New Roman" w:cs="Arial"/>
                <w:sz w:val="18"/>
                <w:szCs w:val="18"/>
                <w:lang w:eastAsia="es-SV"/>
              </w:rPr>
              <w:t>Actividades de atención de la salud humana y de asistencia social.</w:t>
            </w:r>
          </w:p>
        </w:tc>
        <w:tc>
          <w:tcPr>
            <w:tcW w:w="1112" w:type="dxa"/>
            <w:tcBorders>
              <w:top w:val="nil"/>
              <w:left w:val="nil"/>
              <w:bottom w:val="single" w:sz="4" w:space="0" w:color="auto"/>
              <w:right w:val="single" w:sz="4" w:space="0" w:color="auto"/>
            </w:tcBorders>
            <w:shd w:val="clear" w:color="auto" w:fill="auto"/>
            <w:noWrap/>
            <w:vAlign w:val="bottom"/>
            <w:hideMark/>
          </w:tcPr>
          <w:p w14:paraId="36B4E83C" w14:textId="0407F130"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1</w:t>
            </w:r>
            <w:r w:rsidR="007F4D40" w:rsidRPr="00CF0F96">
              <w:rPr>
                <w:rFonts w:eastAsia="Times New Roman" w:cs="Arial"/>
                <w:sz w:val="18"/>
                <w:szCs w:val="18"/>
                <w:lang w:eastAsia="es-SV"/>
              </w:rPr>
              <w:t>,</w:t>
            </w:r>
            <w:r w:rsidRPr="00CF0F96">
              <w:rPr>
                <w:rFonts w:eastAsia="Times New Roman" w:cs="Arial"/>
                <w:sz w:val="18"/>
                <w:szCs w:val="18"/>
                <w:lang w:eastAsia="es-SV"/>
              </w:rPr>
              <w:t>296</w:t>
            </w:r>
          </w:p>
        </w:tc>
        <w:tc>
          <w:tcPr>
            <w:tcW w:w="1113" w:type="dxa"/>
            <w:tcBorders>
              <w:top w:val="nil"/>
              <w:left w:val="nil"/>
              <w:bottom w:val="single" w:sz="4" w:space="0" w:color="auto"/>
              <w:right w:val="single" w:sz="4" w:space="0" w:color="auto"/>
            </w:tcBorders>
            <w:shd w:val="clear" w:color="auto" w:fill="auto"/>
            <w:noWrap/>
            <w:vAlign w:val="bottom"/>
            <w:hideMark/>
          </w:tcPr>
          <w:p w14:paraId="553E0795" w14:textId="1FC33B70"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2</w:t>
            </w:r>
            <w:r w:rsidR="007F4D40" w:rsidRPr="00CF0F96">
              <w:rPr>
                <w:rFonts w:eastAsia="Times New Roman" w:cs="Arial"/>
                <w:sz w:val="18"/>
                <w:szCs w:val="18"/>
                <w:lang w:eastAsia="es-SV"/>
              </w:rPr>
              <w:t>,</w:t>
            </w:r>
            <w:r w:rsidRPr="00CF0F96">
              <w:rPr>
                <w:rFonts w:eastAsia="Times New Roman" w:cs="Arial"/>
                <w:sz w:val="18"/>
                <w:szCs w:val="18"/>
                <w:lang w:eastAsia="es-SV"/>
              </w:rPr>
              <w:t>771</w:t>
            </w:r>
          </w:p>
        </w:tc>
        <w:tc>
          <w:tcPr>
            <w:tcW w:w="1113" w:type="dxa"/>
            <w:tcBorders>
              <w:top w:val="nil"/>
              <w:left w:val="nil"/>
              <w:bottom w:val="single" w:sz="4" w:space="0" w:color="auto"/>
              <w:right w:val="single" w:sz="4" w:space="0" w:color="auto"/>
            </w:tcBorders>
            <w:shd w:val="clear" w:color="auto" w:fill="auto"/>
            <w:noWrap/>
            <w:vAlign w:val="bottom"/>
            <w:hideMark/>
          </w:tcPr>
          <w:p w14:paraId="47B5CB66" w14:textId="0779378F"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4</w:t>
            </w:r>
            <w:r w:rsidR="007F4D40" w:rsidRPr="00CF0F96">
              <w:rPr>
                <w:rFonts w:eastAsia="Times New Roman" w:cs="Arial"/>
                <w:sz w:val="18"/>
                <w:szCs w:val="18"/>
                <w:lang w:eastAsia="es-SV"/>
              </w:rPr>
              <w:t>,</w:t>
            </w:r>
            <w:r w:rsidRPr="00CF0F96">
              <w:rPr>
                <w:rFonts w:eastAsia="Times New Roman" w:cs="Arial"/>
                <w:sz w:val="18"/>
                <w:szCs w:val="18"/>
                <w:lang w:eastAsia="es-SV"/>
              </w:rPr>
              <w:t>067</w:t>
            </w:r>
          </w:p>
        </w:tc>
        <w:tc>
          <w:tcPr>
            <w:tcW w:w="1113" w:type="dxa"/>
            <w:tcBorders>
              <w:top w:val="nil"/>
              <w:left w:val="nil"/>
              <w:bottom w:val="single" w:sz="4" w:space="0" w:color="auto"/>
              <w:right w:val="single" w:sz="4" w:space="0" w:color="auto"/>
            </w:tcBorders>
            <w:shd w:val="clear" w:color="auto" w:fill="auto"/>
            <w:noWrap/>
            <w:vAlign w:val="bottom"/>
            <w:hideMark/>
          </w:tcPr>
          <w:p w14:paraId="2448F3F4"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1.7%</w:t>
            </w:r>
          </w:p>
        </w:tc>
        <w:tc>
          <w:tcPr>
            <w:tcW w:w="1197" w:type="dxa"/>
            <w:tcBorders>
              <w:top w:val="nil"/>
              <w:left w:val="nil"/>
              <w:bottom w:val="single" w:sz="4" w:space="0" w:color="auto"/>
              <w:right w:val="single" w:sz="4" w:space="0" w:color="auto"/>
            </w:tcBorders>
            <w:vAlign w:val="bottom"/>
          </w:tcPr>
          <w:p w14:paraId="1DC3A0B3"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94.8%</w:t>
            </w:r>
          </w:p>
        </w:tc>
      </w:tr>
      <w:tr w:rsidR="00CF0F96" w:rsidRPr="00CF0F96" w14:paraId="4B8DD96D" w14:textId="77777777" w:rsidTr="00EF7331">
        <w:trPr>
          <w:trHeight w:val="300"/>
          <w:jc w:val="center"/>
        </w:trPr>
        <w:tc>
          <w:tcPr>
            <w:tcW w:w="4841"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2AB0DF2"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eastAsia="Times New Roman" w:cs="Arial"/>
                <w:sz w:val="18"/>
                <w:szCs w:val="18"/>
                <w:lang w:eastAsia="es-SV"/>
              </w:rPr>
              <w:t>Transporte y almacenamiento.</w:t>
            </w:r>
          </w:p>
        </w:tc>
        <w:tc>
          <w:tcPr>
            <w:tcW w:w="1112" w:type="dxa"/>
            <w:tcBorders>
              <w:top w:val="nil"/>
              <w:left w:val="nil"/>
              <w:bottom w:val="single" w:sz="4" w:space="0" w:color="auto"/>
              <w:right w:val="single" w:sz="4" w:space="0" w:color="auto"/>
            </w:tcBorders>
            <w:shd w:val="clear" w:color="auto" w:fill="auto"/>
            <w:noWrap/>
            <w:vAlign w:val="bottom"/>
            <w:hideMark/>
          </w:tcPr>
          <w:p w14:paraId="77429DA8" w14:textId="3FBC718A"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2</w:t>
            </w:r>
            <w:r w:rsidR="007F4D40" w:rsidRPr="00CF0F96">
              <w:rPr>
                <w:rFonts w:eastAsia="Times New Roman" w:cs="Arial"/>
                <w:sz w:val="18"/>
                <w:szCs w:val="18"/>
                <w:lang w:eastAsia="es-SV"/>
              </w:rPr>
              <w:t>,</w:t>
            </w:r>
            <w:r w:rsidRPr="00CF0F96">
              <w:rPr>
                <w:rFonts w:eastAsia="Times New Roman" w:cs="Arial"/>
                <w:sz w:val="18"/>
                <w:szCs w:val="18"/>
                <w:lang w:eastAsia="es-SV"/>
              </w:rPr>
              <w:t>646</w:t>
            </w:r>
          </w:p>
        </w:tc>
        <w:tc>
          <w:tcPr>
            <w:tcW w:w="1113" w:type="dxa"/>
            <w:tcBorders>
              <w:top w:val="nil"/>
              <w:left w:val="nil"/>
              <w:bottom w:val="single" w:sz="4" w:space="0" w:color="auto"/>
              <w:right w:val="single" w:sz="4" w:space="0" w:color="auto"/>
            </w:tcBorders>
            <w:shd w:val="clear" w:color="auto" w:fill="auto"/>
            <w:noWrap/>
            <w:vAlign w:val="bottom"/>
            <w:hideMark/>
          </w:tcPr>
          <w:p w14:paraId="51A71E55"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0</w:t>
            </w:r>
          </w:p>
        </w:tc>
        <w:tc>
          <w:tcPr>
            <w:tcW w:w="1113" w:type="dxa"/>
            <w:tcBorders>
              <w:top w:val="nil"/>
              <w:left w:val="nil"/>
              <w:bottom w:val="single" w:sz="4" w:space="0" w:color="auto"/>
              <w:right w:val="single" w:sz="4" w:space="0" w:color="auto"/>
            </w:tcBorders>
            <w:shd w:val="clear" w:color="auto" w:fill="auto"/>
            <w:noWrap/>
            <w:vAlign w:val="bottom"/>
            <w:hideMark/>
          </w:tcPr>
          <w:p w14:paraId="13438DCE" w14:textId="2FE36BF4"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2</w:t>
            </w:r>
            <w:r w:rsidR="007F4D40" w:rsidRPr="00CF0F96">
              <w:rPr>
                <w:rFonts w:eastAsia="Times New Roman" w:cs="Arial"/>
                <w:sz w:val="18"/>
                <w:szCs w:val="18"/>
                <w:lang w:eastAsia="es-SV"/>
              </w:rPr>
              <w:t>,</w:t>
            </w:r>
            <w:r w:rsidRPr="00CF0F96">
              <w:rPr>
                <w:rFonts w:eastAsia="Times New Roman" w:cs="Arial"/>
                <w:sz w:val="18"/>
                <w:szCs w:val="18"/>
                <w:lang w:eastAsia="es-SV"/>
              </w:rPr>
              <w:t>646</w:t>
            </w:r>
          </w:p>
        </w:tc>
        <w:tc>
          <w:tcPr>
            <w:tcW w:w="1113" w:type="dxa"/>
            <w:tcBorders>
              <w:top w:val="nil"/>
              <w:left w:val="nil"/>
              <w:bottom w:val="single" w:sz="4" w:space="0" w:color="auto"/>
              <w:right w:val="single" w:sz="4" w:space="0" w:color="auto"/>
            </w:tcBorders>
            <w:shd w:val="clear" w:color="auto" w:fill="auto"/>
            <w:noWrap/>
            <w:vAlign w:val="bottom"/>
            <w:hideMark/>
          </w:tcPr>
          <w:p w14:paraId="21A3D308"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1.1%</w:t>
            </w:r>
          </w:p>
        </w:tc>
        <w:tc>
          <w:tcPr>
            <w:tcW w:w="1197" w:type="dxa"/>
            <w:tcBorders>
              <w:top w:val="nil"/>
              <w:left w:val="nil"/>
              <w:bottom w:val="single" w:sz="4" w:space="0" w:color="auto"/>
              <w:right w:val="single" w:sz="4" w:space="0" w:color="auto"/>
            </w:tcBorders>
            <w:vAlign w:val="bottom"/>
          </w:tcPr>
          <w:p w14:paraId="24E3A06A"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95.9%</w:t>
            </w:r>
          </w:p>
        </w:tc>
      </w:tr>
      <w:tr w:rsidR="00CF0F96" w:rsidRPr="00CF0F96" w14:paraId="51B23F93" w14:textId="77777777" w:rsidTr="00EF7331">
        <w:trPr>
          <w:trHeight w:val="601"/>
          <w:jc w:val="center"/>
        </w:trPr>
        <w:tc>
          <w:tcPr>
            <w:tcW w:w="4841"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1BDAF90D"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eastAsia="Times New Roman" w:cs="Arial"/>
                <w:sz w:val="18"/>
                <w:szCs w:val="18"/>
                <w:lang w:eastAsia="es-SV"/>
              </w:rPr>
              <w:t>Administración pública y defensa, planes de seguridad social de afiliación obligatoria.</w:t>
            </w:r>
          </w:p>
        </w:tc>
        <w:tc>
          <w:tcPr>
            <w:tcW w:w="1112" w:type="dxa"/>
            <w:tcBorders>
              <w:top w:val="nil"/>
              <w:left w:val="nil"/>
              <w:bottom w:val="single" w:sz="4" w:space="0" w:color="auto"/>
              <w:right w:val="single" w:sz="4" w:space="0" w:color="auto"/>
            </w:tcBorders>
            <w:shd w:val="clear" w:color="auto" w:fill="auto"/>
            <w:noWrap/>
            <w:vAlign w:val="bottom"/>
            <w:hideMark/>
          </w:tcPr>
          <w:p w14:paraId="3A912204" w14:textId="3B5C9054"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1</w:t>
            </w:r>
            <w:r w:rsidR="007F4D40" w:rsidRPr="00CF0F96">
              <w:rPr>
                <w:rFonts w:eastAsia="Times New Roman" w:cs="Arial"/>
                <w:sz w:val="18"/>
                <w:szCs w:val="18"/>
                <w:lang w:eastAsia="es-SV"/>
              </w:rPr>
              <w:t>,</w:t>
            </w:r>
            <w:r w:rsidRPr="00CF0F96">
              <w:rPr>
                <w:rFonts w:eastAsia="Times New Roman" w:cs="Arial"/>
                <w:sz w:val="18"/>
                <w:szCs w:val="18"/>
                <w:lang w:eastAsia="es-SV"/>
              </w:rPr>
              <w:t>314</w:t>
            </w:r>
          </w:p>
        </w:tc>
        <w:tc>
          <w:tcPr>
            <w:tcW w:w="1113" w:type="dxa"/>
            <w:tcBorders>
              <w:top w:val="nil"/>
              <w:left w:val="nil"/>
              <w:bottom w:val="single" w:sz="4" w:space="0" w:color="auto"/>
              <w:right w:val="single" w:sz="4" w:space="0" w:color="auto"/>
            </w:tcBorders>
            <w:shd w:val="clear" w:color="auto" w:fill="auto"/>
            <w:noWrap/>
            <w:vAlign w:val="bottom"/>
            <w:hideMark/>
          </w:tcPr>
          <w:p w14:paraId="6CD2D96E" w14:textId="1F286389"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1</w:t>
            </w:r>
            <w:r w:rsidR="007F4D40" w:rsidRPr="00CF0F96">
              <w:rPr>
                <w:rFonts w:eastAsia="Times New Roman" w:cs="Arial"/>
                <w:sz w:val="18"/>
                <w:szCs w:val="18"/>
                <w:lang w:eastAsia="es-SV"/>
              </w:rPr>
              <w:t>,</w:t>
            </w:r>
            <w:r w:rsidRPr="00CF0F96">
              <w:rPr>
                <w:rFonts w:eastAsia="Times New Roman" w:cs="Arial"/>
                <w:sz w:val="18"/>
                <w:szCs w:val="18"/>
                <w:lang w:eastAsia="es-SV"/>
              </w:rPr>
              <w:t>005</w:t>
            </w:r>
          </w:p>
        </w:tc>
        <w:tc>
          <w:tcPr>
            <w:tcW w:w="1113" w:type="dxa"/>
            <w:tcBorders>
              <w:top w:val="nil"/>
              <w:left w:val="nil"/>
              <w:bottom w:val="single" w:sz="4" w:space="0" w:color="auto"/>
              <w:right w:val="single" w:sz="4" w:space="0" w:color="auto"/>
            </w:tcBorders>
            <w:shd w:val="clear" w:color="auto" w:fill="auto"/>
            <w:noWrap/>
            <w:vAlign w:val="bottom"/>
            <w:hideMark/>
          </w:tcPr>
          <w:p w14:paraId="6FEC32F7" w14:textId="0953B10F"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2</w:t>
            </w:r>
            <w:r w:rsidR="007F4D40" w:rsidRPr="00CF0F96">
              <w:rPr>
                <w:rFonts w:eastAsia="Times New Roman" w:cs="Arial"/>
                <w:sz w:val="18"/>
                <w:szCs w:val="18"/>
                <w:lang w:eastAsia="es-SV"/>
              </w:rPr>
              <w:t>,</w:t>
            </w:r>
            <w:r w:rsidRPr="00CF0F96">
              <w:rPr>
                <w:rFonts w:eastAsia="Times New Roman" w:cs="Arial"/>
                <w:sz w:val="18"/>
                <w:szCs w:val="18"/>
                <w:lang w:eastAsia="es-SV"/>
              </w:rPr>
              <w:t>319</w:t>
            </w:r>
          </w:p>
        </w:tc>
        <w:tc>
          <w:tcPr>
            <w:tcW w:w="1113" w:type="dxa"/>
            <w:tcBorders>
              <w:top w:val="nil"/>
              <w:left w:val="nil"/>
              <w:bottom w:val="single" w:sz="4" w:space="0" w:color="auto"/>
              <w:right w:val="single" w:sz="4" w:space="0" w:color="auto"/>
            </w:tcBorders>
            <w:shd w:val="clear" w:color="auto" w:fill="auto"/>
            <w:noWrap/>
            <w:vAlign w:val="bottom"/>
            <w:hideMark/>
          </w:tcPr>
          <w:p w14:paraId="536C1E0C"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1.0%</w:t>
            </w:r>
          </w:p>
        </w:tc>
        <w:tc>
          <w:tcPr>
            <w:tcW w:w="1197" w:type="dxa"/>
            <w:tcBorders>
              <w:top w:val="nil"/>
              <w:left w:val="nil"/>
              <w:bottom w:val="single" w:sz="4" w:space="0" w:color="auto"/>
              <w:right w:val="single" w:sz="4" w:space="0" w:color="auto"/>
            </w:tcBorders>
            <w:vAlign w:val="bottom"/>
          </w:tcPr>
          <w:p w14:paraId="75C996FC"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96.8%</w:t>
            </w:r>
          </w:p>
        </w:tc>
      </w:tr>
      <w:tr w:rsidR="00CF0F96" w:rsidRPr="00CF0F96" w14:paraId="253CBBB2" w14:textId="77777777" w:rsidTr="00EF7331">
        <w:trPr>
          <w:trHeight w:val="601"/>
          <w:jc w:val="center"/>
        </w:trPr>
        <w:tc>
          <w:tcPr>
            <w:tcW w:w="4841"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3E3DD853"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eastAsia="Times New Roman" w:cs="Arial"/>
                <w:sz w:val="18"/>
                <w:szCs w:val="18"/>
                <w:lang w:eastAsia="es-SV"/>
              </w:rPr>
              <w:t>Actividades artísticas, de entretenimiento y recreativas.</w:t>
            </w:r>
          </w:p>
        </w:tc>
        <w:tc>
          <w:tcPr>
            <w:tcW w:w="1112" w:type="dxa"/>
            <w:tcBorders>
              <w:top w:val="nil"/>
              <w:left w:val="nil"/>
              <w:bottom w:val="single" w:sz="4" w:space="0" w:color="auto"/>
              <w:right w:val="single" w:sz="4" w:space="0" w:color="auto"/>
            </w:tcBorders>
            <w:shd w:val="clear" w:color="auto" w:fill="auto"/>
            <w:noWrap/>
            <w:vAlign w:val="bottom"/>
            <w:hideMark/>
          </w:tcPr>
          <w:p w14:paraId="65A0AD89" w14:textId="42C5D85B"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1</w:t>
            </w:r>
            <w:r w:rsidR="007F4D40" w:rsidRPr="00CF0F96">
              <w:rPr>
                <w:rFonts w:eastAsia="Times New Roman" w:cs="Arial"/>
                <w:sz w:val="18"/>
                <w:szCs w:val="18"/>
                <w:lang w:eastAsia="es-SV"/>
              </w:rPr>
              <w:t>,</w:t>
            </w:r>
            <w:r w:rsidRPr="00CF0F96">
              <w:rPr>
                <w:rFonts w:eastAsia="Times New Roman" w:cs="Arial"/>
                <w:sz w:val="18"/>
                <w:szCs w:val="18"/>
                <w:lang w:eastAsia="es-SV"/>
              </w:rPr>
              <w:t>493</w:t>
            </w:r>
          </w:p>
        </w:tc>
        <w:tc>
          <w:tcPr>
            <w:tcW w:w="1113" w:type="dxa"/>
            <w:tcBorders>
              <w:top w:val="nil"/>
              <w:left w:val="nil"/>
              <w:bottom w:val="single" w:sz="4" w:space="0" w:color="auto"/>
              <w:right w:val="single" w:sz="4" w:space="0" w:color="auto"/>
            </w:tcBorders>
            <w:shd w:val="clear" w:color="auto" w:fill="auto"/>
            <w:noWrap/>
            <w:vAlign w:val="bottom"/>
            <w:hideMark/>
          </w:tcPr>
          <w:p w14:paraId="602E4240"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319</w:t>
            </w:r>
          </w:p>
        </w:tc>
        <w:tc>
          <w:tcPr>
            <w:tcW w:w="1113" w:type="dxa"/>
            <w:tcBorders>
              <w:top w:val="nil"/>
              <w:left w:val="nil"/>
              <w:bottom w:val="single" w:sz="4" w:space="0" w:color="auto"/>
              <w:right w:val="single" w:sz="4" w:space="0" w:color="auto"/>
            </w:tcBorders>
            <w:shd w:val="clear" w:color="auto" w:fill="auto"/>
            <w:noWrap/>
            <w:vAlign w:val="bottom"/>
            <w:hideMark/>
          </w:tcPr>
          <w:p w14:paraId="69B07726" w14:textId="5C6BCDDA"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1</w:t>
            </w:r>
            <w:r w:rsidR="007F4D40" w:rsidRPr="00CF0F96">
              <w:rPr>
                <w:rFonts w:eastAsia="Times New Roman" w:cs="Arial"/>
                <w:sz w:val="18"/>
                <w:szCs w:val="18"/>
                <w:lang w:eastAsia="es-SV"/>
              </w:rPr>
              <w:t>,</w:t>
            </w:r>
            <w:r w:rsidRPr="00CF0F96">
              <w:rPr>
                <w:rFonts w:eastAsia="Times New Roman" w:cs="Arial"/>
                <w:sz w:val="18"/>
                <w:szCs w:val="18"/>
                <w:lang w:eastAsia="es-SV"/>
              </w:rPr>
              <w:t>812</w:t>
            </w:r>
          </w:p>
        </w:tc>
        <w:tc>
          <w:tcPr>
            <w:tcW w:w="1113" w:type="dxa"/>
            <w:tcBorders>
              <w:top w:val="nil"/>
              <w:left w:val="nil"/>
              <w:bottom w:val="single" w:sz="4" w:space="0" w:color="auto"/>
              <w:right w:val="single" w:sz="4" w:space="0" w:color="auto"/>
            </w:tcBorders>
            <w:shd w:val="clear" w:color="auto" w:fill="auto"/>
            <w:noWrap/>
            <w:vAlign w:val="bottom"/>
            <w:hideMark/>
          </w:tcPr>
          <w:p w14:paraId="31D7EE35"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0.7%</w:t>
            </w:r>
          </w:p>
        </w:tc>
        <w:tc>
          <w:tcPr>
            <w:tcW w:w="1197" w:type="dxa"/>
            <w:tcBorders>
              <w:top w:val="nil"/>
              <w:left w:val="nil"/>
              <w:bottom w:val="single" w:sz="4" w:space="0" w:color="auto"/>
              <w:right w:val="single" w:sz="4" w:space="0" w:color="auto"/>
            </w:tcBorders>
            <w:vAlign w:val="bottom"/>
          </w:tcPr>
          <w:p w14:paraId="43DA3554"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97.6%</w:t>
            </w:r>
          </w:p>
        </w:tc>
      </w:tr>
      <w:tr w:rsidR="00CF0F96" w:rsidRPr="00CF0F96" w14:paraId="6031A6AA" w14:textId="77777777" w:rsidTr="00EF7331">
        <w:trPr>
          <w:trHeight w:val="300"/>
          <w:jc w:val="center"/>
        </w:trPr>
        <w:tc>
          <w:tcPr>
            <w:tcW w:w="4841"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25F96FE3"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eastAsia="Times New Roman" w:cs="Arial"/>
                <w:sz w:val="18"/>
                <w:szCs w:val="18"/>
                <w:lang w:eastAsia="es-SV"/>
              </w:rPr>
              <w:t>Actividades de servicios administrativos y de apoyo.</w:t>
            </w:r>
          </w:p>
        </w:tc>
        <w:tc>
          <w:tcPr>
            <w:tcW w:w="1112" w:type="dxa"/>
            <w:tcBorders>
              <w:top w:val="nil"/>
              <w:left w:val="nil"/>
              <w:bottom w:val="single" w:sz="4" w:space="0" w:color="auto"/>
              <w:right w:val="single" w:sz="4" w:space="0" w:color="auto"/>
            </w:tcBorders>
            <w:shd w:val="clear" w:color="auto" w:fill="auto"/>
            <w:noWrap/>
            <w:vAlign w:val="bottom"/>
            <w:hideMark/>
          </w:tcPr>
          <w:p w14:paraId="6D46113B" w14:textId="31B1C05C"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1</w:t>
            </w:r>
            <w:r w:rsidR="007F4D40" w:rsidRPr="00CF0F96">
              <w:rPr>
                <w:rFonts w:eastAsia="Times New Roman" w:cs="Arial"/>
                <w:sz w:val="18"/>
                <w:szCs w:val="18"/>
                <w:lang w:eastAsia="es-SV"/>
              </w:rPr>
              <w:t>,</w:t>
            </w:r>
            <w:r w:rsidRPr="00CF0F96">
              <w:rPr>
                <w:rFonts w:eastAsia="Times New Roman" w:cs="Arial"/>
                <w:sz w:val="18"/>
                <w:szCs w:val="18"/>
                <w:lang w:eastAsia="es-SV"/>
              </w:rPr>
              <w:t>049</w:t>
            </w:r>
          </w:p>
        </w:tc>
        <w:tc>
          <w:tcPr>
            <w:tcW w:w="1113" w:type="dxa"/>
            <w:tcBorders>
              <w:top w:val="nil"/>
              <w:left w:val="nil"/>
              <w:bottom w:val="single" w:sz="4" w:space="0" w:color="auto"/>
              <w:right w:val="single" w:sz="4" w:space="0" w:color="auto"/>
            </w:tcBorders>
            <w:shd w:val="clear" w:color="auto" w:fill="auto"/>
            <w:noWrap/>
            <w:vAlign w:val="bottom"/>
            <w:hideMark/>
          </w:tcPr>
          <w:p w14:paraId="3410065C"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650</w:t>
            </w:r>
          </w:p>
        </w:tc>
        <w:tc>
          <w:tcPr>
            <w:tcW w:w="1113" w:type="dxa"/>
            <w:tcBorders>
              <w:top w:val="nil"/>
              <w:left w:val="nil"/>
              <w:bottom w:val="single" w:sz="4" w:space="0" w:color="auto"/>
              <w:right w:val="single" w:sz="4" w:space="0" w:color="auto"/>
            </w:tcBorders>
            <w:shd w:val="clear" w:color="auto" w:fill="auto"/>
            <w:noWrap/>
            <w:vAlign w:val="bottom"/>
            <w:hideMark/>
          </w:tcPr>
          <w:p w14:paraId="65D0D00F" w14:textId="3329F095"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1</w:t>
            </w:r>
            <w:r w:rsidR="007F4D40" w:rsidRPr="00CF0F96">
              <w:rPr>
                <w:rFonts w:eastAsia="Times New Roman" w:cs="Arial"/>
                <w:sz w:val="18"/>
                <w:szCs w:val="18"/>
                <w:lang w:eastAsia="es-SV"/>
              </w:rPr>
              <w:t>,</w:t>
            </w:r>
            <w:r w:rsidRPr="00CF0F96">
              <w:rPr>
                <w:rFonts w:eastAsia="Times New Roman" w:cs="Arial"/>
                <w:sz w:val="18"/>
                <w:szCs w:val="18"/>
                <w:lang w:eastAsia="es-SV"/>
              </w:rPr>
              <w:t>699</w:t>
            </w:r>
          </w:p>
        </w:tc>
        <w:tc>
          <w:tcPr>
            <w:tcW w:w="1113" w:type="dxa"/>
            <w:tcBorders>
              <w:top w:val="nil"/>
              <w:left w:val="nil"/>
              <w:bottom w:val="single" w:sz="4" w:space="0" w:color="auto"/>
              <w:right w:val="single" w:sz="4" w:space="0" w:color="auto"/>
            </w:tcBorders>
            <w:shd w:val="clear" w:color="auto" w:fill="auto"/>
            <w:noWrap/>
            <w:vAlign w:val="bottom"/>
            <w:hideMark/>
          </w:tcPr>
          <w:p w14:paraId="16CACB15"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0.7%</w:t>
            </w:r>
          </w:p>
        </w:tc>
        <w:tc>
          <w:tcPr>
            <w:tcW w:w="1197" w:type="dxa"/>
            <w:tcBorders>
              <w:top w:val="nil"/>
              <w:left w:val="nil"/>
              <w:bottom w:val="single" w:sz="4" w:space="0" w:color="auto"/>
              <w:right w:val="single" w:sz="4" w:space="0" w:color="auto"/>
            </w:tcBorders>
            <w:vAlign w:val="bottom"/>
          </w:tcPr>
          <w:p w14:paraId="7CDDB33A"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98.3%</w:t>
            </w:r>
          </w:p>
        </w:tc>
      </w:tr>
      <w:tr w:rsidR="00CF0F96" w:rsidRPr="00CF0F96" w14:paraId="14BFD6F6" w14:textId="77777777" w:rsidTr="00EF7331">
        <w:trPr>
          <w:trHeight w:val="300"/>
          <w:jc w:val="center"/>
        </w:trPr>
        <w:tc>
          <w:tcPr>
            <w:tcW w:w="4841"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6BD3A57E"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eastAsia="Times New Roman" w:cs="Arial"/>
                <w:sz w:val="18"/>
                <w:szCs w:val="18"/>
                <w:lang w:eastAsia="es-SV"/>
              </w:rPr>
              <w:t>información y comunicaciones.</w:t>
            </w:r>
          </w:p>
        </w:tc>
        <w:tc>
          <w:tcPr>
            <w:tcW w:w="1112" w:type="dxa"/>
            <w:tcBorders>
              <w:top w:val="nil"/>
              <w:left w:val="nil"/>
              <w:bottom w:val="single" w:sz="4" w:space="0" w:color="auto"/>
              <w:right w:val="single" w:sz="4" w:space="0" w:color="auto"/>
            </w:tcBorders>
            <w:shd w:val="clear" w:color="auto" w:fill="auto"/>
            <w:noWrap/>
            <w:vAlign w:val="bottom"/>
            <w:hideMark/>
          </w:tcPr>
          <w:p w14:paraId="3180B588"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744</w:t>
            </w:r>
          </w:p>
        </w:tc>
        <w:tc>
          <w:tcPr>
            <w:tcW w:w="1113" w:type="dxa"/>
            <w:tcBorders>
              <w:top w:val="nil"/>
              <w:left w:val="nil"/>
              <w:bottom w:val="single" w:sz="4" w:space="0" w:color="auto"/>
              <w:right w:val="single" w:sz="4" w:space="0" w:color="auto"/>
            </w:tcBorders>
            <w:shd w:val="clear" w:color="auto" w:fill="auto"/>
            <w:noWrap/>
            <w:vAlign w:val="bottom"/>
            <w:hideMark/>
          </w:tcPr>
          <w:p w14:paraId="31C0E578"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148</w:t>
            </w:r>
          </w:p>
        </w:tc>
        <w:tc>
          <w:tcPr>
            <w:tcW w:w="1113" w:type="dxa"/>
            <w:tcBorders>
              <w:top w:val="nil"/>
              <w:left w:val="nil"/>
              <w:bottom w:val="single" w:sz="4" w:space="0" w:color="auto"/>
              <w:right w:val="single" w:sz="4" w:space="0" w:color="auto"/>
            </w:tcBorders>
            <w:shd w:val="clear" w:color="auto" w:fill="auto"/>
            <w:noWrap/>
            <w:vAlign w:val="bottom"/>
            <w:hideMark/>
          </w:tcPr>
          <w:p w14:paraId="502FF5DF"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892</w:t>
            </w:r>
          </w:p>
        </w:tc>
        <w:tc>
          <w:tcPr>
            <w:tcW w:w="1113" w:type="dxa"/>
            <w:tcBorders>
              <w:top w:val="nil"/>
              <w:left w:val="nil"/>
              <w:bottom w:val="single" w:sz="4" w:space="0" w:color="auto"/>
              <w:right w:val="single" w:sz="4" w:space="0" w:color="auto"/>
            </w:tcBorders>
            <w:shd w:val="clear" w:color="auto" w:fill="auto"/>
            <w:noWrap/>
            <w:vAlign w:val="bottom"/>
            <w:hideMark/>
          </w:tcPr>
          <w:p w14:paraId="5AF85E93"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0.4%</w:t>
            </w:r>
          </w:p>
        </w:tc>
        <w:tc>
          <w:tcPr>
            <w:tcW w:w="1197" w:type="dxa"/>
            <w:tcBorders>
              <w:top w:val="nil"/>
              <w:left w:val="nil"/>
              <w:bottom w:val="single" w:sz="4" w:space="0" w:color="auto"/>
              <w:right w:val="single" w:sz="4" w:space="0" w:color="auto"/>
            </w:tcBorders>
            <w:vAlign w:val="bottom"/>
          </w:tcPr>
          <w:p w14:paraId="05512332"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98.6%</w:t>
            </w:r>
          </w:p>
        </w:tc>
      </w:tr>
      <w:tr w:rsidR="00CF0F96" w:rsidRPr="00CF0F96" w14:paraId="2A0B34C0" w14:textId="77777777" w:rsidTr="00EF7331">
        <w:trPr>
          <w:trHeight w:val="300"/>
          <w:jc w:val="center"/>
        </w:trPr>
        <w:tc>
          <w:tcPr>
            <w:tcW w:w="4841"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1EA64BC6"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eastAsia="Times New Roman" w:cs="Arial"/>
                <w:sz w:val="18"/>
                <w:szCs w:val="18"/>
                <w:lang w:eastAsia="es-SV"/>
              </w:rPr>
              <w:t>Actividades profesionales, científicas y técnicas.</w:t>
            </w:r>
          </w:p>
        </w:tc>
        <w:tc>
          <w:tcPr>
            <w:tcW w:w="1112" w:type="dxa"/>
            <w:tcBorders>
              <w:top w:val="nil"/>
              <w:left w:val="nil"/>
              <w:bottom w:val="single" w:sz="4" w:space="0" w:color="auto"/>
              <w:right w:val="single" w:sz="4" w:space="0" w:color="auto"/>
            </w:tcBorders>
            <w:shd w:val="clear" w:color="auto" w:fill="auto"/>
            <w:noWrap/>
            <w:vAlign w:val="bottom"/>
            <w:hideMark/>
          </w:tcPr>
          <w:p w14:paraId="6CB5AB71"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618</w:t>
            </w:r>
          </w:p>
        </w:tc>
        <w:tc>
          <w:tcPr>
            <w:tcW w:w="1113" w:type="dxa"/>
            <w:tcBorders>
              <w:top w:val="nil"/>
              <w:left w:val="nil"/>
              <w:bottom w:val="single" w:sz="4" w:space="0" w:color="auto"/>
              <w:right w:val="single" w:sz="4" w:space="0" w:color="auto"/>
            </w:tcBorders>
            <w:shd w:val="clear" w:color="auto" w:fill="auto"/>
            <w:noWrap/>
            <w:vAlign w:val="bottom"/>
            <w:hideMark/>
          </w:tcPr>
          <w:p w14:paraId="107EF6F4"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227</w:t>
            </w:r>
          </w:p>
        </w:tc>
        <w:tc>
          <w:tcPr>
            <w:tcW w:w="1113" w:type="dxa"/>
            <w:tcBorders>
              <w:top w:val="nil"/>
              <w:left w:val="nil"/>
              <w:bottom w:val="single" w:sz="4" w:space="0" w:color="auto"/>
              <w:right w:val="single" w:sz="4" w:space="0" w:color="auto"/>
            </w:tcBorders>
            <w:shd w:val="clear" w:color="auto" w:fill="auto"/>
            <w:noWrap/>
            <w:vAlign w:val="bottom"/>
            <w:hideMark/>
          </w:tcPr>
          <w:p w14:paraId="71D4AD81"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845</w:t>
            </w:r>
          </w:p>
        </w:tc>
        <w:tc>
          <w:tcPr>
            <w:tcW w:w="1113" w:type="dxa"/>
            <w:tcBorders>
              <w:top w:val="nil"/>
              <w:left w:val="nil"/>
              <w:bottom w:val="single" w:sz="4" w:space="0" w:color="auto"/>
              <w:right w:val="single" w:sz="4" w:space="0" w:color="auto"/>
            </w:tcBorders>
            <w:shd w:val="clear" w:color="auto" w:fill="auto"/>
            <w:noWrap/>
            <w:vAlign w:val="bottom"/>
            <w:hideMark/>
          </w:tcPr>
          <w:p w14:paraId="071116EB"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0.3%</w:t>
            </w:r>
          </w:p>
        </w:tc>
        <w:tc>
          <w:tcPr>
            <w:tcW w:w="1197" w:type="dxa"/>
            <w:tcBorders>
              <w:top w:val="nil"/>
              <w:left w:val="nil"/>
              <w:bottom w:val="single" w:sz="4" w:space="0" w:color="auto"/>
              <w:right w:val="single" w:sz="4" w:space="0" w:color="auto"/>
            </w:tcBorders>
            <w:vAlign w:val="bottom"/>
          </w:tcPr>
          <w:p w14:paraId="35A8DBF6"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99.0%</w:t>
            </w:r>
          </w:p>
        </w:tc>
      </w:tr>
      <w:tr w:rsidR="00CF0F96" w:rsidRPr="00CF0F96" w14:paraId="0DC2E7AC" w14:textId="77777777" w:rsidTr="00EF7331">
        <w:trPr>
          <w:trHeight w:val="300"/>
          <w:jc w:val="center"/>
        </w:trPr>
        <w:tc>
          <w:tcPr>
            <w:tcW w:w="4841"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AF36F10"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eastAsia="Times New Roman" w:cs="Arial"/>
                <w:sz w:val="18"/>
                <w:szCs w:val="18"/>
                <w:lang w:eastAsia="es-SV"/>
              </w:rPr>
              <w:t>Actividades financieras y de seguros.</w:t>
            </w:r>
          </w:p>
        </w:tc>
        <w:tc>
          <w:tcPr>
            <w:tcW w:w="1112" w:type="dxa"/>
            <w:tcBorders>
              <w:top w:val="nil"/>
              <w:left w:val="nil"/>
              <w:bottom w:val="single" w:sz="4" w:space="0" w:color="auto"/>
              <w:right w:val="single" w:sz="4" w:space="0" w:color="auto"/>
            </w:tcBorders>
            <w:shd w:val="clear" w:color="auto" w:fill="auto"/>
            <w:noWrap/>
            <w:vAlign w:val="bottom"/>
            <w:hideMark/>
          </w:tcPr>
          <w:p w14:paraId="37F86CF7"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404</w:t>
            </w:r>
          </w:p>
        </w:tc>
        <w:tc>
          <w:tcPr>
            <w:tcW w:w="1113" w:type="dxa"/>
            <w:tcBorders>
              <w:top w:val="nil"/>
              <w:left w:val="nil"/>
              <w:bottom w:val="single" w:sz="4" w:space="0" w:color="auto"/>
              <w:right w:val="single" w:sz="4" w:space="0" w:color="auto"/>
            </w:tcBorders>
            <w:shd w:val="clear" w:color="auto" w:fill="auto"/>
            <w:noWrap/>
            <w:vAlign w:val="bottom"/>
            <w:hideMark/>
          </w:tcPr>
          <w:p w14:paraId="50790364"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390</w:t>
            </w:r>
          </w:p>
        </w:tc>
        <w:tc>
          <w:tcPr>
            <w:tcW w:w="1113" w:type="dxa"/>
            <w:tcBorders>
              <w:top w:val="nil"/>
              <w:left w:val="nil"/>
              <w:bottom w:val="single" w:sz="4" w:space="0" w:color="auto"/>
              <w:right w:val="single" w:sz="4" w:space="0" w:color="auto"/>
            </w:tcBorders>
            <w:shd w:val="clear" w:color="auto" w:fill="auto"/>
            <w:noWrap/>
            <w:vAlign w:val="bottom"/>
            <w:hideMark/>
          </w:tcPr>
          <w:p w14:paraId="4D83EDFE"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794</w:t>
            </w:r>
          </w:p>
        </w:tc>
        <w:tc>
          <w:tcPr>
            <w:tcW w:w="1113" w:type="dxa"/>
            <w:tcBorders>
              <w:top w:val="nil"/>
              <w:left w:val="nil"/>
              <w:bottom w:val="single" w:sz="4" w:space="0" w:color="auto"/>
              <w:right w:val="single" w:sz="4" w:space="0" w:color="auto"/>
            </w:tcBorders>
            <w:shd w:val="clear" w:color="auto" w:fill="auto"/>
            <w:noWrap/>
            <w:vAlign w:val="bottom"/>
            <w:hideMark/>
          </w:tcPr>
          <w:p w14:paraId="594DFADE"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0.3%</w:t>
            </w:r>
          </w:p>
        </w:tc>
        <w:tc>
          <w:tcPr>
            <w:tcW w:w="1197" w:type="dxa"/>
            <w:tcBorders>
              <w:top w:val="nil"/>
              <w:left w:val="nil"/>
              <w:bottom w:val="single" w:sz="4" w:space="0" w:color="auto"/>
              <w:right w:val="single" w:sz="4" w:space="0" w:color="auto"/>
            </w:tcBorders>
            <w:vAlign w:val="bottom"/>
          </w:tcPr>
          <w:p w14:paraId="1F9E0F6F"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99.3%</w:t>
            </w:r>
          </w:p>
        </w:tc>
      </w:tr>
      <w:tr w:rsidR="00CF0F96" w:rsidRPr="00CF0F96" w14:paraId="1F9C358B" w14:textId="77777777" w:rsidTr="00EF7331">
        <w:trPr>
          <w:trHeight w:val="601"/>
          <w:jc w:val="center"/>
        </w:trPr>
        <w:tc>
          <w:tcPr>
            <w:tcW w:w="4841"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93E7CDE"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eastAsia="Times New Roman" w:cs="Arial"/>
                <w:sz w:val="18"/>
                <w:szCs w:val="18"/>
                <w:lang w:eastAsia="es-SV"/>
              </w:rPr>
              <w:t>Suministro de agua, evacuación de aguas residuales, gestión de desechos y descontaminación.</w:t>
            </w:r>
          </w:p>
        </w:tc>
        <w:tc>
          <w:tcPr>
            <w:tcW w:w="1112" w:type="dxa"/>
            <w:tcBorders>
              <w:top w:val="nil"/>
              <w:left w:val="nil"/>
              <w:bottom w:val="single" w:sz="4" w:space="0" w:color="auto"/>
              <w:right w:val="single" w:sz="4" w:space="0" w:color="auto"/>
            </w:tcBorders>
            <w:shd w:val="clear" w:color="auto" w:fill="auto"/>
            <w:noWrap/>
            <w:vAlign w:val="bottom"/>
            <w:hideMark/>
          </w:tcPr>
          <w:p w14:paraId="3D48F9C9"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767</w:t>
            </w:r>
          </w:p>
        </w:tc>
        <w:tc>
          <w:tcPr>
            <w:tcW w:w="1113" w:type="dxa"/>
            <w:tcBorders>
              <w:top w:val="nil"/>
              <w:left w:val="nil"/>
              <w:bottom w:val="single" w:sz="4" w:space="0" w:color="auto"/>
              <w:right w:val="single" w:sz="4" w:space="0" w:color="auto"/>
            </w:tcBorders>
            <w:shd w:val="clear" w:color="auto" w:fill="auto"/>
            <w:noWrap/>
            <w:vAlign w:val="bottom"/>
            <w:hideMark/>
          </w:tcPr>
          <w:p w14:paraId="33A36325"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0</w:t>
            </w:r>
          </w:p>
        </w:tc>
        <w:tc>
          <w:tcPr>
            <w:tcW w:w="1113" w:type="dxa"/>
            <w:tcBorders>
              <w:top w:val="nil"/>
              <w:left w:val="nil"/>
              <w:bottom w:val="single" w:sz="4" w:space="0" w:color="auto"/>
              <w:right w:val="single" w:sz="4" w:space="0" w:color="auto"/>
            </w:tcBorders>
            <w:shd w:val="clear" w:color="auto" w:fill="auto"/>
            <w:noWrap/>
            <w:vAlign w:val="bottom"/>
            <w:hideMark/>
          </w:tcPr>
          <w:p w14:paraId="1E1F5517"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767</w:t>
            </w:r>
          </w:p>
        </w:tc>
        <w:tc>
          <w:tcPr>
            <w:tcW w:w="1113" w:type="dxa"/>
            <w:tcBorders>
              <w:top w:val="nil"/>
              <w:left w:val="nil"/>
              <w:bottom w:val="single" w:sz="4" w:space="0" w:color="auto"/>
              <w:right w:val="single" w:sz="4" w:space="0" w:color="auto"/>
            </w:tcBorders>
            <w:shd w:val="clear" w:color="auto" w:fill="auto"/>
            <w:noWrap/>
            <w:vAlign w:val="bottom"/>
            <w:hideMark/>
          </w:tcPr>
          <w:p w14:paraId="3310143F"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0.3%</w:t>
            </w:r>
          </w:p>
        </w:tc>
        <w:tc>
          <w:tcPr>
            <w:tcW w:w="1197" w:type="dxa"/>
            <w:tcBorders>
              <w:top w:val="nil"/>
              <w:left w:val="nil"/>
              <w:bottom w:val="single" w:sz="4" w:space="0" w:color="auto"/>
              <w:right w:val="single" w:sz="4" w:space="0" w:color="auto"/>
            </w:tcBorders>
            <w:vAlign w:val="bottom"/>
          </w:tcPr>
          <w:p w14:paraId="0AE573E8"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99.6%</w:t>
            </w:r>
          </w:p>
        </w:tc>
      </w:tr>
      <w:tr w:rsidR="00CF0F96" w:rsidRPr="00CF0F96" w14:paraId="0B971BEE" w14:textId="77777777" w:rsidTr="00EF7331">
        <w:trPr>
          <w:trHeight w:val="425"/>
          <w:jc w:val="center"/>
        </w:trPr>
        <w:tc>
          <w:tcPr>
            <w:tcW w:w="4841"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46BEDA0E"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eastAsia="Times New Roman" w:cs="Arial"/>
                <w:sz w:val="18"/>
                <w:szCs w:val="18"/>
                <w:lang w:eastAsia="es-SV"/>
              </w:rPr>
              <w:t>Explotación de minas y canteras.</w:t>
            </w:r>
          </w:p>
        </w:tc>
        <w:tc>
          <w:tcPr>
            <w:tcW w:w="1112" w:type="dxa"/>
            <w:tcBorders>
              <w:top w:val="nil"/>
              <w:left w:val="nil"/>
              <w:bottom w:val="single" w:sz="4" w:space="0" w:color="auto"/>
              <w:right w:val="single" w:sz="4" w:space="0" w:color="auto"/>
            </w:tcBorders>
            <w:shd w:val="clear" w:color="auto" w:fill="auto"/>
            <w:noWrap/>
            <w:vAlign w:val="bottom"/>
            <w:hideMark/>
          </w:tcPr>
          <w:p w14:paraId="22C02CA5"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504</w:t>
            </w:r>
          </w:p>
        </w:tc>
        <w:tc>
          <w:tcPr>
            <w:tcW w:w="1113" w:type="dxa"/>
            <w:tcBorders>
              <w:top w:val="nil"/>
              <w:left w:val="nil"/>
              <w:bottom w:val="single" w:sz="4" w:space="0" w:color="auto"/>
              <w:right w:val="single" w:sz="4" w:space="0" w:color="auto"/>
            </w:tcBorders>
            <w:shd w:val="clear" w:color="auto" w:fill="auto"/>
            <w:noWrap/>
            <w:vAlign w:val="bottom"/>
            <w:hideMark/>
          </w:tcPr>
          <w:p w14:paraId="417D7C73"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0</w:t>
            </w:r>
          </w:p>
        </w:tc>
        <w:tc>
          <w:tcPr>
            <w:tcW w:w="1113" w:type="dxa"/>
            <w:tcBorders>
              <w:top w:val="nil"/>
              <w:left w:val="nil"/>
              <w:bottom w:val="single" w:sz="4" w:space="0" w:color="auto"/>
              <w:right w:val="single" w:sz="4" w:space="0" w:color="auto"/>
            </w:tcBorders>
            <w:shd w:val="clear" w:color="auto" w:fill="auto"/>
            <w:noWrap/>
            <w:vAlign w:val="bottom"/>
            <w:hideMark/>
          </w:tcPr>
          <w:p w14:paraId="061C1EB3"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504</w:t>
            </w:r>
          </w:p>
        </w:tc>
        <w:tc>
          <w:tcPr>
            <w:tcW w:w="1113" w:type="dxa"/>
            <w:tcBorders>
              <w:top w:val="nil"/>
              <w:left w:val="nil"/>
              <w:bottom w:val="single" w:sz="4" w:space="0" w:color="auto"/>
              <w:right w:val="single" w:sz="4" w:space="0" w:color="auto"/>
            </w:tcBorders>
            <w:shd w:val="clear" w:color="auto" w:fill="auto"/>
            <w:noWrap/>
            <w:vAlign w:val="bottom"/>
            <w:hideMark/>
          </w:tcPr>
          <w:p w14:paraId="7FD2611C"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0.2%</w:t>
            </w:r>
          </w:p>
        </w:tc>
        <w:tc>
          <w:tcPr>
            <w:tcW w:w="1197" w:type="dxa"/>
            <w:tcBorders>
              <w:top w:val="nil"/>
              <w:left w:val="nil"/>
              <w:bottom w:val="single" w:sz="4" w:space="0" w:color="auto"/>
              <w:right w:val="single" w:sz="4" w:space="0" w:color="auto"/>
            </w:tcBorders>
            <w:vAlign w:val="bottom"/>
          </w:tcPr>
          <w:p w14:paraId="44E47631"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99.8%</w:t>
            </w:r>
          </w:p>
        </w:tc>
      </w:tr>
      <w:tr w:rsidR="00CF0F96" w:rsidRPr="00CF0F96" w14:paraId="1732D940" w14:textId="77777777" w:rsidTr="00EF7331">
        <w:trPr>
          <w:trHeight w:val="601"/>
          <w:jc w:val="center"/>
        </w:trPr>
        <w:tc>
          <w:tcPr>
            <w:tcW w:w="4841"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3F17430A"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eastAsia="Times New Roman" w:cs="Arial"/>
                <w:sz w:val="18"/>
                <w:szCs w:val="18"/>
                <w:lang w:eastAsia="es-SV"/>
              </w:rPr>
              <w:t>Suministro de electricidad, gas, vapor y aire acondicionado.</w:t>
            </w:r>
          </w:p>
        </w:tc>
        <w:tc>
          <w:tcPr>
            <w:tcW w:w="1112" w:type="dxa"/>
            <w:tcBorders>
              <w:top w:val="nil"/>
              <w:left w:val="nil"/>
              <w:bottom w:val="single" w:sz="4" w:space="0" w:color="auto"/>
              <w:right w:val="single" w:sz="4" w:space="0" w:color="auto"/>
            </w:tcBorders>
            <w:shd w:val="clear" w:color="auto" w:fill="auto"/>
            <w:noWrap/>
            <w:vAlign w:val="bottom"/>
            <w:hideMark/>
          </w:tcPr>
          <w:p w14:paraId="7A73BEB4"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156</w:t>
            </w:r>
          </w:p>
        </w:tc>
        <w:tc>
          <w:tcPr>
            <w:tcW w:w="1113" w:type="dxa"/>
            <w:tcBorders>
              <w:top w:val="nil"/>
              <w:left w:val="nil"/>
              <w:bottom w:val="single" w:sz="4" w:space="0" w:color="auto"/>
              <w:right w:val="single" w:sz="4" w:space="0" w:color="auto"/>
            </w:tcBorders>
            <w:shd w:val="clear" w:color="auto" w:fill="auto"/>
            <w:noWrap/>
            <w:vAlign w:val="bottom"/>
            <w:hideMark/>
          </w:tcPr>
          <w:p w14:paraId="45680B0F"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80</w:t>
            </w:r>
          </w:p>
        </w:tc>
        <w:tc>
          <w:tcPr>
            <w:tcW w:w="1113" w:type="dxa"/>
            <w:tcBorders>
              <w:top w:val="nil"/>
              <w:left w:val="nil"/>
              <w:bottom w:val="single" w:sz="4" w:space="0" w:color="auto"/>
              <w:right w:val="single" w:sz="4" w:space="0" w:color="auto"/>
            </w:tcBorders>
            <w:shd w:val="clear" w:color="auto" w:fill="auto"/>
            <w:noWrap/>
            <w:vAlign w:val="bottom"/>
            <w:hideMark/>
          </w:tcPr>
          <w:p w14:paraId="437D081B"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236</w:t>
            </w:r>
          </w:p>
        </w:tc>
        <w:tc>
          <w:tcPr>
            <w:tcW w:w="1113" w:type="dxa"/>
            <w:tcBorders>
              <w:top w:val="nil"/>
              <w:left w:val="nil"/>
              <w:bottom w:val="single" w:sz="4" w:space="0" w:color="auto"/>
              <w:right w:val="single" w:sz="4" w:space="0" w:color="auto"/>
            </w:tcBorders>
            <w:shd w:val="clear" w:color="auto" w:fill="auto"/>
            <w:noWrap/>
            <w:vAlign w:val="bottom"/>
            <w:hideMark/>
          </w:tcPr>
          <w:p w14:paraId="2EACBC7E"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0.1%</w:t>
            </w:r>
          </w:p>
        </w:tc>
        <w:tc>
          <w:tcPr>
            <w:tcW w:w="1197" w:type="dxa"/>
            <w:tcBorders>
              <w:top w:val="nil"/>
              <w:left w:val="nil"/>
              <w:bottom w:val="single" w:sz="4" w:space="0" w:color="auto"/>
              <w:right w:val="single" w:sz="4" w:space="0" w:color="auto"/>
            </w:tcBorders>
            <w:vAlign w:val="bottom"/>
          </w:tcPr>
          <w:p w14:paraId="33C7E898"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99.9%</w:t>
            </w:r>
          </w:p>
        </w:tc>
      </w:tr>
      <w:tr w:rsidR="00CF0F96" w:rsidRPr="00CF0F96" w14:paraId="0AE9B611" w14:textId="77777777" w:rsidTr="00EF7331">
        <w:trPr>
          <w:trHeight w:val="300"/>
          <w:jc w:val="center"/>
        </w:trPr>
        <w:tc>
          <w:tcPr>
            <w:tcW w:w="4841"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14C53169"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eastAsia="Times New Roman" w:cs="Arial"/>
                <w:sz w:val="18"/>
                <w:szCs w:val="18"/>
                <w:lang w:eastAsia="es-SV"/>
              </w:rPr>
              <w:t>Actividades inmobiliarias.</w:t>
            </w:r>
          </w:p>
        </w:tc>
        <w:tc>
          <w:tcPr>
            <w:tcW w:w="1112" w:type="dxa"/>
            <w:tcBorders>
              <w:top w:val="nil"/>
              <w:left w:val="nil"/>
              <w:bottom w:val="single" w:sz="4" w:space="0" w:color="auto"/>
              <w:right w:val="single" w:sz="4" w:space="0" w:color="auto"/>
            </w:tcBorders>
            <w:shd w:val="clear" w:color="auto" w:fill="auto"/>
            <w:noWrap/>
            <w:vAlign w:val="bottom"/>
            <w:hideMark/>
          </w:tcPr>
          <w:p w14:paraId="6C0555B8"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173</w:t>
            </w:r>
          </w:p>
        </w:tc>
        <w:tc>
          <w:tcPr>
            <w:tcW w:w="1113" w:type="dxa"/>
            <w:tcBorders>
              <w:top w:val="nil"/>
              <w:left w:val="nil"/>
              <w:bottom w:val="single" w:sz="4" w:space="0" w:color="auto"/>
              <w:right w:val="single" w:sz="4" w:space="0" w:color="auto"/>
            </w:tcBorders>
            <w:shd w:val="clear" w:color="auto" w:fill="auto"/>
            <w:noWrap/>
            <w:vAlign w:val="bottom"/>
            <w:hideMark/>
          </w:tcPr>
          <w:p w14:paraId="23B6661D"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0</w:t>
            </w:r>
          </w:p>
        </w:tc>
        <w:tc>
          <w:tcPr>
            <w:tcW w:w="1113" w:type="dxa"/>
            <w:tcBorders>
              <w:top w:val="nil"/>
              <w:left w:val="nil"/>
              <w:bottom w:val="single" w:sz="4" w:space="0" w:color="auto"/>
              <w:right w:val="single" w:sz="4" w:space="0" w:color="auto"/>
            </w:tcBorders>
            <w:shd w:val="clear" w:color="auto" w:fill="auto"/>
            <w:noWrap/>
            <w:vAlign w:val="bottom"/>
            <w:hideMark/>
          </w:tcPr>
          <w:p w14:paraId="27781A2A"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173</w:t>
            </w:r>
          </w:p>
        </w:tc>
        <w:tc>
          <w:tcPr>
            <w:tcW w:w="1113" w:type="dxa"/>
            <w:tcBorders>
              <w:top w:val="nil"/>
              <w:left w:val="nil"/>
              <w:bottom w:val="single" w:sz="4" w:space="0" w:color="auto"/>
              <w:right w:val="single" w:sz="4" w:space="0" w:color="auto"/>
            </w:tcBorders>
            <w:shd w:val="clear" w:color="auto" w:fill="auto"/>
            <w:noWrap/>
            <w:vAlign w:val="bottom"/>
            <w:hideMark/>
          </w:tcPr>
          <w:p w14:paraId="45907681"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0.1%</w:t>
            </w:r>
          </w:p>
        </w:tc>
        <w:tc>
          <w:tcPr>
            <w:tcW w:w="1197" w:type="dxa"/>
            <w:tcBorders>
              <w:top w:val="nil"/>
              <w:left w:val="nil"/>
              <w:bottom w:val="single" w:sz="4" w:space="0" w:color="auto"/>
              <w:right w:val="single" w:sz="4" w:space="0" w:color="auto"/>
            </w:tcBorders>
            <w:vAlign w:val="bottom"/>
          </w:tcPr>
          <w:p w14:paraId="521F0403"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100.0%</w:t>
            </w:r>
          </w:p>
        </w:tc>
      </w:tr>
      <w:tr w:rsidR="00CF0F96" w:rsidRPr="00CF0F96" w14:paraId="4F5254DC" w14:textId="77777777" w:rsidTr="00EF7331">
        <w:trPr>
          <w:trHeight w:val="300"/>
          <w:jc w:val="center"/>
        </w:trPr>
        <w:tc>
          <w:tcPr>
            <w:tcW w:w="484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2FA6EE3"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TOTALES</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CC399" w14:textId="11E5A66A" w:rsidR="006A3DBC" w:rsidRPr="00CF0F96" w:rsidRDefault="006A3DBC" w:rsidP="005F4A92">
            <w:pPr>
              <w:jc w:val="center"/>
              <w:rPr>
                <w:rFonts w:eastAsia="Times New Roman" w:cs="Arial"/>
                <w:sz w:val="18"/>
                <w:szCs w:val="18"/>
                <w:lang w:eastAsia="es-SV"/>
              </w:rPr>
            </w:pPr>
            <w:r w:rsidRPr="00CF0F96">
              <w:rPr>
                <w:rFonts w:eastAsia="Times New Roman" w:cs="Arial"/>
                <w:sz w:val="18"/>
                <w:szCs w:val="18"/>
                <w:lang w:eastAsia="es-SV"/>
              </w:rPr>
              <w:t>16118</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6882D8" w14:textId="77777777" w:rsidR="006A3DBC" w:rsidRPr="00CF0F96" w:rsidRDefault="006A3DBC" w:rsidP="005F4A92">
            <w:pPr>
              <w:jc w:val="center"/>
              <w:rPr>
                <w:rFonts w:eastAsia="Times New Roman" w:cs="Arial"/>
                <w:sz w:val="18"/>
                <w:szCs w:val="18"/>
                <w:lang w:eastAsia="es-SV"/>
              </w:rPr>
            </w:pPr>
            <w:r w:rsidRPr="00CF0F96">
              <w:rPr>
                <w:rFonts w:eastAsia="Times New Roman" w:cs="Arial"/>
                <w:sz w:val="18"/>
                <w:szCs w:val="18"/>
                <w:lang w:eastAsia="es-SV"/>
              </w:rPr>
              <w:t>81,538</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09680" w14:textId="77777777" w:rsidR="006A3DBC" w:rsidRPr="00CF0F96" w:rsidRDefault="006A3DBC" w:rsidP="005F4A92">
            <w:pPr>
              <w:jc w:val="center"/>
              <w:rPr>
                <w:rFonts w:eastAsia="Times New Roman" w:cs="Arial"/>
                <w:sz w:val="18"/>
                <w:szCs w:val="18"/>
                <w:lang w:eastAsia="es-SV"/>
              </w:rPr>
            </w:pPr>
            <w:r w:rsidRPr="00CF0F96">
              <w:rPr>
                <w:rFonts w:eastAsia="Times New Roman" w:cs="Arial"/>
                <w:sz w:val="18"/>
                <w:szCs w:val="18"/>
                <w:lang w:eastAsia="es-SV"/>
              </w:rPr>
              <w:t>243,256</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A740F" w14:textId="77777777" w:rsidR="006A3DBC" w:rsidRPr="00CF0F96" w:rsidRDefault="006A3DBC" w:rsidP="005F4A92">
            <w:pPr>
              <w:jc w:val="center"/>
              <w:rPr>
                <w:rFonts w:eastAsia="Times New Roman" w:cs="Arial"/>
                <w:sz w:val="18"/>
                <w:szCs w:val="18"/>
                <w:lang w:eastAsia="es-SV"/>
              </w:rPr>
            </w:pPr>
            <w:r w:rsidRPr="00CF0F96">
              <w:rPr>
                <w:rFonts w:eastAsia="Times New Roman" w:cs="Arial"/>
                <w:sz w:val="18"/>
                <w:szCs w:val="18"/>
                <w:lang w:eastAsia="es-SV"/>
              </w:rPr>
              <w:t>100.0%</w:t>
            </w:r>
          </w:p>
        </w:tc>
        <w:tc>
          <w:tcPr>
            <w:tcW w:w="1197" w:type="dxa"/>
            <w:tcBorders>
              <w:top w:val="single" w:sz="4" w:space="0" w:color="auto"/>
              <w:left w:val="single" w:sz="4" w:space="0" w:color="auto"/>
              <w:bottom w:val="single" w:sz="4" w:space="0" w:color="auto"/>
              <w:right w:val="single" w:sz="4" w:space="0" w:color="auto"/>
            </w:tcBorders>
          </w:tcPr>
          <w:p w14:paraId="565328D5" w14:textId="77777777" w:rsidR="006A3DBC" w:rsidRPr="00CF0F96" w:rsidRDefault="006A3DBC" w:rsidP="005F4A92">
            <w:pPr>
              <w:jc w:val="center"/>
              <w:rPr>
                <w:rFonts w:eastAsia="Times New Roman" w:cs="Arial"/>
                <w:sz w:val="18"/>
                <w:szCs w:val="18"/>
                <w:lang w:eastAsia="es-SV"/>
              </w:rPr>
            </w:pPr>
          </w:p>
        </w:tc>
      </w:tr>
      <w:tr w:rsidR="00CF0F96" w:rsidRPr="00CF0F96" w14:paraId="3DC3B128" w14:textId="77777777" w:rsidTr="00EF7331">
        <w:trPr>
          <w:trHeight w:val="300"/>
          <w:jc w:val="center"/>
        </w:trPr>
        <w:tc>
          <w:tcPr>
            <w:tcW w:w="484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48E61D4"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Porcentajes totales</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4BB6B2" w14:textId="77777777" w:rsidR="006A3DBC" w:rsidRPr="00CF0F96" w:rsidRDefault="006A3DBC" w:rsidP="005F4A92">
            <w:pPr>
              <w:jc w:val="center"/>
              <w:rPr>
                <w:rFonts w:eastAsia="Times New Roman" w:cs="Arial"/>
                <w:sz w:val="18"/>
                <w:szCs w:val="18"/>
                <w:lang w:eastAsia="es-SV"/>
              </w:rPr>
            </w:pPr>
            <w:r w:rsidRPr="00CF0F96">
              <w:rPr>
                <w:rFonts w:eastAsia="Times New Roman" w:cs="Arial"/>
                <w:sz w:val="18"/>
                <w:szCs w:val="18"/>
                <w:lang w:eastAsia="es-SV"/>
              </w:rPr>
              <w:t>66.5%</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AC7260" w14:textId="77777777" w:rsidR="006A3DBC" w:rsidRPr="00CF0F96" w:rsidRDefault="006A3DBC" w:rsidP="005F4A92">
            <w:pPr>
              <w:jc w:val="center"/>
              <w:rPr>
                <w:rFonts w:eastAsia="Times New Roman" w:cs="Arial"/>
                <w:sz w:val="18"/>
                <w:szCs w:val="18"/>
                <w:lang w:eastAsia="es-SV"/>
              </w:rPr>
            </w:pPr>
            <w:r w:rsidRPr="00CF0F96">
              <w:rPr>
                <w:rFonts w:eastAsia="Times New Roman" w:cs="Arial"/>
                <w:sz w:val="18"/>
                <w:szCs w:val="18"/>
                <w:lang w:eastAsia="es-SV"/>
              </w:rPr>
              <w:t>33.5%</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ACB10E" w14:textId="77777777" w:rsidR="006A3DBC" w:rsidRPr="00CF0F96" w:rsidRDefault="006A3DBC" w:rsidP="005F4A92">
            <w:pPr>
              <w:jc w:val="center"/>
              <w:rPr>
                <w:rFonts w:eastAsia="Times New Roman" w:cs="Arial"/>
                <w:sz w:val="18"/>
                <w:szCs w:val="18"/>
                <w:lang w:eastAsia="es-SV"/>
              </w:rPr>
            </w:pPr>
            <w:r w:rsidRPr="00CF0F96">
              <w:rPr>
                <w:rFonts w:eastAsia="Times New Roman" w:cs="Arial"/>
                <w:sz w:val="18"/>
                <w:szCs w:val="18"/>
                <w:lang w:eastAsia="es-SV"/>
              </w:rPr>
              <w:t>100%</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113A4E" w14:textId="77777777" w:rsidR="006A3DBC" w:rsidRPr="00CF0F96" w:rsidRDefault="006A3DBC" w:rsidP="005F4A92">
            <w:pPr>
              <w:jc w:val="center"/>
              <w:rPr>
                <w:rFonts w:eastAsia="Times New Roman" w:cs="Arial"/>
                <w:sz w:val="18"/>
                <w:szCs w:val="18"/>
                <w:lang w:eastAsia="es-SV"/>
              </w:rPr>
            </w:pPr>
          </w:p>
        </w:tc>
        <w:tc>
          <w:tcPr>
            <w:tcW w:w="1197" w:type="dxa"/>
            <w:tcBorders>
              <w:top w:val="single" w:sz="4" w:space="0" w:color="auto"/>
              <w:left w:val="single" w:sz="4" w:space="0" w:color="auto"/>
              <w:bottom w:val="single" w:sz="4" w:space="0" w:color="auto"/>
              <w:right w:val="single" w:sz="4" w:space="0" w:color="auto"/>
            </w:tcBorders>
          </w:tcPr>
          <w:p w14:paraId="11F6A279" w14:textId="77777777" w:rsidR="006A3DBC" w:rsidRPr="00CF0F96" w:rsidRDefault="006A3DBC" w:rsidP="005F4A92">
            <w:pPr>
              <w:jc w:val="center"/>
              <w:rPr>
                <w:rFonts w:eastAsia="Times New Roman" w:cs="Arial"/>
                <w:sz w:val="18"/>
                <w:szCs w:val="18"/>
                <w:lang w:eastAsia="es-SV"/>
              </w:rPr>
            </w:pPr>
          </w:p>
        </w:tc>
      </w:tr>
    </w:tbl>
    <w:p w14:paraId="17702406" w14:textId="77777777" w:rsidR="006A3DBC" w:rsidRPr="00FA4B2D" w:rsidRDefault="006A3DBC" w:rsidP="006A3DBC">
      <w:pPr>
        <w:spacing w:line="240" w:lineRule="auto"/>
        <w:ind w:left="708"/>
        <w:jc w:val="both"/>
        <w:rPr>
          <w:rFonts w:cs="Arial"/>
          <w:sz w:val="20"/>
          <w:szCs w:val="20"/>
        </w:rPr>
      </w:pPr>
      <w:r w:rsidRPr="00FA4B2D">
        <w:rPr>
          <w:rFonts w:cs="Arial"/>
          <w:b/>
          <w:bCs/>
          <w:sz w:val="20"/>
          <w:szCs w:val="20"/>
        </w:rPr>
        <w:t>Fuente</w:t>
      </w:r>
      <w:r w:rsidRPr="00FA4B2D">
        <w:rPr>
          <w:rFonts w:cs="Arial"/>
          <w:sz w:val="20"/>
          <w:szCs w:val="20"/>
        </w:rPr>
        <w:t>: elaboración propia con base a tabulados de la Encuesta de Hogares, INE 2019.</w:t>
      </w:r>
    </w:p>
    <w:p w14:paraId="4422C183" w14:textId="77777777" w:rsidR="006A3DBC" w:rsidRPr="00FA4B2D" w:rsidRDefault="006A3DBC" w:rsidP="00411720">
      <w:pPr>
        <w:pStyle w:val="Prrafodelista"/>
        <w:numPr>
          <w:ilvl w:val="0"/>
          <w:numId w:val="103"/>
        </w:numPr>
        <w:rPr>
          <w:rFonts w:cs="Arial"/>
          <w:i/>
          <w:iCs/>
          <w:szCs w:val="24"/>
        </w:rPr>
      </w:pPr>
      <w:r w:rsidRPr="00FA4B2D">
        <w:rPr>
          <w:rFonts w:cs="Arial"/>
          <w:i/>
          <w:iCs/>
          <w:szCs w:val="24"/>
        </w:rPr>
        <w:t>Departamento de Yoro</w:t>
      </w:r>
      <w:bookmarkEnd w:id="674"/>
    </w:p>
    <w:p w14:paraId="04669570" w14:textId="3AB50931" w:rsidR="006A3DBC" w:rsidRPr="00FA4B2D" w:rsidRDefault="006A3DBC" w:rsidP="006A3DBC">
      <w:pPr>
        <w:jc w:val="both"/>
        <w:rPr>
          <w:rFonts w:cs="Arial"/>
          <w:bCs/>
          <w:lang w:val="es-ES_tradnl"/>
        </w:rPr>
      </w:pPr>
      <w:r w:rsidRPr="00FA4B2D">
        <w:rPr>
          <w:rFonts w:cs="Arial"/>
          <w:lang w:val="es-ES_tradnl"/>
        </w:rPr>
        <w:t>El </w:t>
      </w:r>
      <w:r w:rsidRPr="00FA4B2D">
        <w:rPr>
          <w:rFonts w:cs="Arial"/>
          <w:iCs/>
          <w:lang w:val="es-ES_tradnl"/>
        </w:rPr>
        <w:t>departamento</w:t>
      </w:r>
      <w:r w:rsidRPr="00FA4B2D">
        <w:rPr>
          <w:rFonts w:cs="Arial"/>
          <w:i/>
          <w:iCs/>
          <w:lang w:val="es-ES_tradnl"/>
        </w:rPr>
        <w:t xml:space="preserve"> </w:t>
      </w:r>
      <w:r w:rsidRPr="00FA4B2D">
        <w:rPr>
          <w:rFonts w:cs="Arial"/>
          <w:iCs/>
          <w:lang w:val="es-ES_tradnl"/>
        </w:rPr>
        <w:t>de Yoro</w:t>
      </w:r>
      <w:r w:rsidRPr="00FA4B2D">
        <w:rPr>
          <w:rFonts w:cs="Arial"/>
          <w:lang w:val="es-ES_tradnl"/>
        </w:rPr>
        <w:t> está ubicado en la zona Centro-Norte de Honduras, su cabecera departamental es la ciudad de Yoro, la que junto a El Progreso y Olanchito son sus ciudades más importantes. La extensión territorial del departamento es de 7,781 km². Dentro de su población se identificaban hasta 2015 16,683 indígenas Tolupanes. El territorio se divide en </w:t>
      </w:r>
      <w:r w:rsidRPr="00FA4B2D">
        <w:rPr>
          <w:rFonts w:cs="Arial"/>
          <w:bCs/>
          <w:lang w:val="es-ES_tradnl"/>
        </w:rPr>
        <w:t xml:space="preserve">11 municipios, 263 aldeas y 2,015 caseríos. </w:t>
      </w:r>
    </w:p>
    <w:p w14:paraId="3D799EA2" w14:textId="76A615D4" w:rsidR="00EF7331" w:rsidRDefault="00EF7331" w:rsidP="00EF7331">
      <w:pPr>
        <w:pStyle w:val="Descripcin"/>
        <w:keepNext/>
        <w:jc w:val="center"/>
      </w:pPr>
      <w:bookmarkStart w:id="676" w:name="_Toc202455587"/>
      <w:r>
        <w:lastRenderedPageBreak/>
        <w:t xml:space="preserve">Ilustración </w:t>
      </w:r>
      <w:r>
        <w:fldChar w:fldCharType="begin"/>
      </w:r>
      <w:r>
        <w:instrText xml:space="preserve"> SEQ Ilustración \* ARABIC </w:instrText>
      </w:r>
      <w:r>
        <w:fldChar w:fldCharType="separate"/>
      </w:r>
      <w:r w:rsidR="00F94AC4">
        <w:rPr>
          <w:noProof/>
        </w:rPr>
        <w:t>25</w:t>
      </w:r>
      <w:r>
        <w:fldChar w:fldCharType="end"/>
      </w:r>
      <w:r>
        <w:t xml:space="preserve">: </w:t>
      </w:r>
      <w:r w:rsidRPr="006C3515">
        <w:t>Mapa del departamento de Yoro</w:t>
      </w:r>
      <w:bookmarkEnd w:id="676"/>
    </w:p>
    <w:p w14:paraId="625AAA89" w14:textId="77777777" w:rsidR="006A3DBC" w:rsidRPr="00FA4B2D" w:rsidRDefault="006A3DBC" w:rsidP="006A3DBC">
      <w:pPr>
        <w:jc w:val="center"/>
        <w:rPr>
          <w:rFonts w:cs="Arial"/>
          <w:b/>
          <w:bCs/>
          <w:lang w:val="es-ES_tradnl"/>
        </w:rPr>
      </w:pPr>
      <w:r w:rsidRPr="00FA4B2D">
        <w:rPr>
          <w:rFonts w:cs="Arial"/>
          <w:noProof/>
          <w:lang w:val="es-HN" w:eastAsia="es-HN"/>
        </w:rPr>
        <w:drawing>
          <wp:inline distT="0" distB="0" distL="0" distR="0" wp14:anchorId="7C8EA4B0" wp14:editId="0750E5AF">
            <wp:extent cx="3076424" cy="1776635"/>
            <wp:effectExtent l="0" t="0" r="0" b="0"/>
            <wp:docPr id="24" name="Picture 24" descr="Resultado de imagen para mapa carreteras departamento de y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60">
                      <a:extLst>
                        <a:ext uri="{28A0092B-C50C-407E-A947-70E740481C1C}">
                          <a14:useLocalDpi xmlns:a14="http://schemas.microsoft.com/office/drawing/2010/main" val="0"/>
                        </a:ext>
                      </a:extLst>
                    </a:blip>
                    <a:stretch>
                      <a:fillRect/>
                    </a:stretch>
                  </pic:blipFill>
                  <pic:spPr>
                    <a:xfrm>
                      <a:off x="0" y="0"/>
                      <a:ext cx="3076424" cy="1776635"/>
                    </a:xfrm>
                    <a:prstGeom prst="rect">
                      <a:avLst/>
                    </a:prstGeom>
                  </pic:spPr>
                </pic:pic>
              </a:graphicData>
            </a:graphic>
          </wp:inline>
        </w:drawing>
      </w:r>
    </w:p>
    <w:p w14:paraId="4B4D4134" w14:textId="77777777" w:rsidR="006A3DBC" w:rsidRPr="00FA4B2D" w:rsidRDefault="006A3DBC" w:rsidP="006A3DBC">
      <w:pPr>
        <w:jc w:val="both"/>
        <w:rPr>
          <w:rFonts w:cs="Arial"/>
          <w:lang w:val="es-ES_tradnl"/>
        </w:rPr>
      </w:pPr>
      <w:r w:rsidRPr="00FA4B2D">
        <w:rPr>
          <w:rFonts w:cs="Arial"/>
          <w:b/>
          <w:bCs/>
          <w:lang w:val="es-ES_tradnl"/>
        </w:rPr>
        <w:t>Actividad económica:</w:t>
      </w:r>
      <w:r w:rsidRPr="00FA4B2D">
        <w:rPr>
          <w:rFonts w:cs="Arial"/>
          <w:bCs/>
          <w:lang w:val="es-ES_tradnl"/>
        </w:rPr>
        <w:t xml:space="preserve"> Está basada en la agricultura y la ganadería con cría de ganado vacuno, producción de lácteos y carne, porcinos, caprinos, abejas, peces y aves. Sus principales cultivos son: banano, palma africana, caña de azúcar, maíz, arroz, yuca, jengibre, plátano, café, maicillo, frijol, cacao, rambután, piña y cítricos. Yoro posee abundante bosque y produce apreciable cantidad de madera. </w:t>
      </w:r>
    </w:p>
    <w:p w14:paraId="6DCB5642" w14:textId="77777777" w:rsidR="006A3DBC" w:rsidRPr="00FA4B2D" w:rsidRDefault="006A3DBC" w:rsidP="006A3DBC">
      <w:pPr>
        <w:jc w:val="both"/>
        <w:rPr>
          <w:rFonts w:cs="Arial"/>
          <w:lang w:val="es-ES_tradnl"/>
        </w:rPr>
      </w:pPr>
      <w:r w:rsidRPr="00FA4B2D">
        <w:rPr>
          <w:rFonts w:cs="Arial"/>
          <w:lang w:val="es-ES_tradnl"/>
        </w:rPr>
        <w:t>Una ventaja de ubicación del departamento de Yoro para los productores agrícolas es su cercanía a las instalaciones de la Fundación Hondureña de Investigación Agrícola, FHIA que tiene su centro de operaciones en La Lima y desarrolla muchas actividades de investigación en el departamento de Yoro.</w:t>
      </w:r>
    </w:p>
    <w:p w14:paraId="2CB9112C" w14:textId="77777777" w:rsidR="006A3DBC" w:rsidRPr="00FA4B2D" w:rsidRDefault="006A3DBC" w:rsidP="006A3DBC">
      <w:pPr>
        <w:jc w:val="both"/>
        <w:rPr>
          <w:rFonts w:cs="Arial"/>
        </w:rPr>
      </w:pPr>
      <w:r w:rsidRPr="00FA4B2D">
        <w:rPr>
          <w:rFonts w:cs="Arial"/>
          <w:lang w:val="es-ES_tradnl"/>
        </w:rPr>
        <w:t xml:space="preserve">En el caso del Departamento de Yoro, </w:t>
      </w:r>
      <w:r w:rsidRPr="00FA4B2D">
        <w:rPr>
          <w:rFonts w:cs="Arial"/>
        </w:rPr>
        <w:t>existe cerca de 260 mil personas que se declaran ocupadas por rama de actividad económica. En el departamento al igual que el resto de departamento, la principal actividad económica es: Agricultura, ganadería, silvicultura y pesca, Comercio al por mayor y al por menor, reparación de vehículos automotores y motocicletas e Industria manufacturera</w:t>
      </w:r>
    </w:p>
    <w:p w14:paraId="3626691A" w14:textId="29BAC8DE" w:rsidR="00EF7331" w:rsidRDefault="00EF7331" w:rsidP="00EF7331">
      <w:pPr>
        <w:pStyle w:val="Descripcin"/>
        <w:keepNext/>
      </w:pPr>
      <w:bookmarkStart w:id="677" w:name="_Toc202455448"/>
      <w:r>
        <w:t xml:space="preserve">Tabla </w:t>
      </w:r>
      <w:r>
        <w:fldChar w:fldCharType="begin"/>
      </w:r>
      <w:r>
        <w:instrText xml:space="preserve"> SEQ Tabla \* ARABIC </w:instrText>
      </w:r>
      <w:r>
        <w:fldChar w:fldCharType="separate"/>
      </w:r>
      <w:r w:rsidR="000E6D86">
        <w:rPr>
          <w:noProof/>
        </w:rPr>
        <w:t>22</w:t>
      </w:r>
      <w:r>
        <w:fldChar w:fldCharType="end"/>
      </w:r>
      <w:r>
        <w:t xml:space="preserve">: </w:t>
      </w:r>
      <w:r w:rsidRPr="00AE7D97">
        <w:t>Actividades productivas u ocupaciones principales. Yoro 2019</w:t>
      </w:r>
      <w:bookmarkEnd w:id="677"/>
    </w:p>
    <w:tbl>
      <w:tblPr>
        <w:tblW w:w="10192" w:type="dxa"/>
        <w:jc w:val="center"/>
        <w:tblCellMar>
          <w:left w:w="70" w:type="dxa"/>
          <w:right w:w="70" w:type="dxa"/>
        </w:tblCellMar>
        <w:tblLook w:val="04A0" w:firstRow="1" w:lastRow="0" w:firstColumn="1" w:lastColumn="0" w:noHBand="0" w:noVBand="1"/>
      </w:tblPr>
      <w:tblGrid>
        <w:gridCol w:w="4693"/>
        <w:gridCol w:w="1090"/>
        <w:gridCol w:w="1090"/>
        <w:gridCol w:w="1090"/>
        <w:gridCol w:w="1106"/>
        <w:gridCol w:w="1123"/>
      </w:tblGrid>
      <w:tr w:rsidR="00CF0F96" w:rsidRPr="00CF0F96" w14:paraId="0B379903" w14:textId="77777777" w:rsidTr="00016847">
        <w:trPr>
          <w:trHeight w:val="311"/>
          <w:tblHeader/>
          <w:jc w:val="center"/>
        </w:trPr>
        <w:tc>
          <w:tcPr>
            <w:tcW w:w="4693" w:type="dxa"/>
            <w:tcBorders>
              <w:top w:val="single" w:sz="4" w:space="0" w:color="auto"/>
              <w:left w:val="single" w:sz="4" w:space="0" w:color="auto"/>
              <w:bottom w:val="single" w:sz="4" w:space="0" w:color="auto"/>
              <w:right w:val="single" w:sz="4" w:space="0" w:color="auto"/>
            </w:tcBorders>
            <w:shd w:val="clear" w:color="auto" w:fill="5CC5DA"/>
            <w:vAlign w:val="center"/>
            <w:hideMark/>
          </w:tcPr>
          <w:p w14:paraId="3F4E73D0" w14:textId="77777777" w:rsidR="006A3DBC" w:rsidRPr="00CF0F96" w:rsidRDefault="006A3DBC" w:rsidP="005F4A92">
            <w:pPr>
              <w:spacing w:after="0" w:line="240" w:lineRule="auto"/>
              <w:rPr>
                <w:rFonts w:eastAsia="Times New Roman" w:cs="Arial"/>
                <w:b/>
                <w:bCs/>
                <w:sz w:val="18"/>
                <w:szCs w:val="18"/>
                <w:lang w:eastAsia="es-SV"/>
              </w:rPr>
            </w:pPr>
            <w:r w:rsidRPr="00CF0F96">
              <w:rPr>
                <w:rFonts w:eastAsia="Times New Roman" w:cs="Arial"/>
                <w:b/>
                <w:bCs/>
                <w:sz w:val="18"/>
                <w:szCs w:val="18"/>
                <w:lang w:eastAsia="es-SV"/>
              </w:rPr>
              <w:t>Rama de actividad económica/ ocupación Principal</w:t>
            </w:r>
          </w:p>
        </w:tc>
        <w:tc>
          <w:tcPr>
            <w:tcW w:w="1090" w:type="dxa"/>
            <w:tcBorders>
              <w:top w:val="single" w:sz="4" w:space="0" w:color="auto"/>
              <w:left w:val="nil"/>
              <w:bottom w:val="single" w:sz="4" w:space="0" w:color="auto"/>
              <w:right w:val="single" w:sz="4" w:space="0" w:color="auto"/>
            </w:tcBorders>
            <w:shd w:val="clear" w:color="auto" w:fill="5CC5DA"/>
            <w:noWrap/>
            <w:vAlign w:val="center"/>
            <w:hideMark/>
          </w:tcPr>
          <w:p w14:paraId="3FBDB879" w14:textId="77777777" w:rsidR="006A3DBC" w:rsidRPr="00CF0F96" w:rsidRDefault="006A3DBC" w:rsidP="005F4A92">
            <w:pPr>
              <w:spacing w:after="0" w:line="240" w:lineRule="auto"/>
              <w:jc w:val="center"/>
              <w:rPr>
                <w:rFonts w:eastAsia="Times New Roman" w:cs="Arial"/>
                <w:b/>
                <w:bCs/>
                <w:sz w:val="18"/>
                <w:szCs w:val="18"/>
                <w:lang w:eastAsia="es-SV"/>
              </w:rPr>
            </w:pPr>
            <w:r w:rsidRPr="00CF0F96">
              <w:rPr>
                <w:rFonts w:eastAsia="Times New Roman" w:cs="Arial"/>
                <w:b/>
                <w:bCs/>
                <w:sz w:val="18"/>
                <w:szCs w:val="18"/>
                <w:lang w:eastAsia="es-SV"/>
              </w:rPr>
              <w:t>Hombre</w:t>
            </w:r>
          </w:p>
        </w:tc>
        <w:tc>
          <w:tcPr>
            <w:tcW w:w="1090" w:type="dxa"/>
            <w:tcBorders>
              <w:top w:val="single" w:sz="4" w:space="0" w:color="auto"/>
              <w:left w:val="nil"/>
              <w:bottom w:val="single" w:sz="4" w:space="0" w:color="auto"/>
              <w:right w:val="single" w:sz="4" w:space="0" w:color="auto"/>
            </w:tcBorders>
            <w:shd w:val="clear" w:color="auto" w:fill="5CC5DA"/>
            <w:noWrap/>
            <w:vAlign w:val="center"/>
            <w:hideMark/>
          </w:tcPr>
          <w:p w14:paraId="6C5ABF7D" w14:textId="77777777" w:rsidR="006A3DBC" w:rsidRPr="00CF0F96" w:rsidRDefault="006A3DBC" w:rsidP="005F4A92">
            <w:pPr>
              <w:spacing w:after="0" w:line="240" w:lineRule="auto"/>
              <w:jc w:val="center"/>
              <w:rPr>
                <w:rFonts w:eastAsia="Times New Roman" w:cs="Arial"/>
                <w:b/>
                <w:bCs/>
                <w:sz w:val="18"/>
                <w:szCs w:val="18"/>
                <w:lang w:eastAsia="es-SV"/>
              </w:rPr>
            </w:pPr>
            <w:r w:rsidRPr="00CF0F96">
              <w:rPr>
                <w:rFonts w:eastAsia="Times New Roman" w:cs="Arial"/>
                <w:b/>
                <w:bCs/>
                <w:sz w:val="18"/>
                <w:szCs w:val="18"/>
                <w:lang w:eastAsia="es-SV"/>
              </w:rPr>
              <w:t>Mujer</w:t>
            </w:r>
          </w:p>
        </w:tc>
        <w:tc>
          <w:tcPr>
            <w:tcW w:w="1090" w:type="dxa"/>
            <w:tcBorders>
              <w:top w:val="single" w:sz="4" w:space="0" w:color="auto"/>
              <w:left w:val="nil"/>
              <w:bottom w:val="single" w:sz="4" w:space="0" w:color="auto"/>
              <w:right w:val="single" w:sz="4" w:space="0" w:color="auto"/>
            </w:tcBorders>
            <w:shd w:val="clear" w:color="auto" w:fill="5CC5DA"/>
            <w:noWrap/>
            <w:vAlign w:val="center"/>
            <w:hideMark/>
          </w:tcPr>
          <w:p w14:paraId="70710DD3" w14:textId="77777777" w:rsidR="006A3DBC" w:rsidRPr="00CF0F96" w:rsidRDefault="006A3DBC" w:rsidP="005F4A92">
            <w:pPr>
              <w:spacing w:after="0" w:line="240" w:lineRule="auto"/>
              <w:jc w:val="center"/>
              <w:rPr>
                <w:rFonts w:eastAsia="Times New Roman" w:cs="Arial"/>
                <w:b/>
                <w:bCs/>
                <w:sz w:val="18"/>
                <w:szCs w:val="18"/>
                <w:lang w:eastAsia="es-SV"/>
              </w:rPr>
            </w:pPr>
            <w:r w:rsidRPr="00CF0F96">
              <w:rPr>
                <w:rFonts w:eastAsia="Times New Roman" w:cs="Arial"/>
                <w:b/>
                <w:bCs/>
                <w:sz w:val="18"/>
                <w:szCs w:val="18"/>
                <w:lang w:eastAsia="es-SV"/>
              </w:rPr>
              <w:t>Total</w:t>
            </w:r>
          </w:p>
        </w:tc>
        <w:tc>
          <w:tcPr>
            <w:tcW w:w="1106" w:type="dxa"/>
            <w:tcBorders>
              <w:top w:val="single" w:sz="4" w:space="0" w:color="auto"/>
              <w:left w:val="nil"/>
              <w:bottom w:val="single" w:sz="4" w:space="0" w:color="auto"/>
              <w:right w:val="single" w:sz="4" w:space="0" w:color="auto"/>
            </w:tcBorders>
            <w:shd w:val="clear" w:color="auto" w:fill="5CC5DA"/>
            <w:noWrap/>
            <w:vAlign w:val="center"/>
            <w:hideMark/>
          </w:tcPr>
          <w:p w14:paraId="3C2C5BC0" w14:textId="77777777" w:rsidR="006A3DBC" w:rsidRPr="00CF0F96" w:rsidRDefault="006A3DBC" w:rsidP="005F4A92">
            <w:pPr>
              <w:spacing w:after="0" w:line="240" w:lineRule="auto"/>
              <w:jc w:val="center"/>
              <w:rPr>
                <w:rFonts w:eastAsia="Times New Roman" w:cs="Arial"/>
                <w:b/>
                <w:bCs/>
                <w:sz w:val="18"/>
                <w:szCs w:val="18"/>
                <w:lang w:eastAsia="es-SV"/>
              </w:rPr>
            </w:pPr>
            <w:r w:rsidRPr="00CF0F96">
              <w:rPr>
                <w:rFonts w:eastAsia="Times New Roman" w:cs="Arial"/>
                <w:b/>
                <w:bCs/>
                <w:sz w:val="18"/>
                <w:szCs w:val="18"/>
                <w:lang w:eastAsia="es-SV"/>
              </w:rPr>
              <w:t>Porcentaje</w:t>
            </w:r>
          </w:p>
        </w:tc>
        <w:tc>
          <w:tcPr>
            <w:tcW w:w="1123" w:type="dxa"/>
            <w:tcBorders>
              <w:top w:val="single" w:sz="4" w:space="0" w:color="auto"/>
              <w:left w:val="nil"/>
              <w:bottom w:val="single" w:sz="4" w:space="0" w:color="auto"/>
              <w:right w:val="single" w:sz="4" w:space="0" w:color="auto"/>
            </w:tcBorders>
            <w:shd w:val="clear" w:color="auto" w:fill="5CC5DA"/>
            <w:noWrap/>
            <w:vAlign w:val="center"/>
            <w:hideMark/>
          </w:tcPr>
          <w:p w14:paraId="0CC8B795" w14:textId="77777777" w:rsidR="006A3DBC" w:rsidRPr="00CF0F96" w:rsidRDefault="006A3DBC" w:rsidP="005F4A92">
            <w:pPr>
              <w:spacing w:after="0" w:line="240" w:lineRule="auto"/>
              <w:jc w:val="center"/>
              <w:rPr>
                <w:rFonts w:eastAsia="Times New Roman" w:cs="Arial"/>
                <w:b/>
                <w:bCs/>
                <w:sz w:val="18"/>
                <w:szCs w:val="18"/>
                <w:lang w:eastAsia="es-SV"/>
              </w:rPr>
            </w:pPr>
            <w:r w:rsidRPr="00CF0F96">
              <w:rPr>
                <w:rFonts w:eastAsia="Times New Roman" w:cs="Arial"/>
                <w:b/>
                <w:bCs/>
                <w:sz w:val="18"/>
                <w:szCs w:val="18"/>
                <w:lang w:eastAsia="es-SV"/>
              </w:rPr>
              <w:t>Frecuencia acumulada</w:t>
            </w:r>
          </w:p>
        </w:tc>
      </w:tr>
      <w:tr w:rsidR="00CF0F96" w:rsidRPr="00CF0F96" w14:paraId="329AB121" w14:textId="77777777" w:rsidTr="005F4A92">
        <w:trPr>
          <w:trHeight w:val="311"/>
          <w:jc w:val="center"/>
        </w:trPr>
        <w:tc>
          <w:tcPr>
            <w:tcW w:w="4693" w:type="dxa"/>
            <w:tcBorders>
              <w:top w:val="nil"/>
              <w:left w:val="single" w:sz="4" w:space="0" w:color="auto"/>
              <w:bottom w:val="single" w:sz="4" w:space="0" w:color="auto"/>
              <w:right w:val="single" w:sz="4" w:space="0" w:color="auto"/>
            </w:tcBorders>
            <w:shd w:val="clear" w:color="000000" w:fill="E0E0E0"/>
          </w:tcPr>
          <w:p w14:paraId="6EF5BF4F"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cs="Arial"/>
                <w:sz w:val="18"/>
                <w:szCs w:val="18"/>
              </w:rPr>
              <w:t>Agricultura, ganadería, silvicultura y pesca</w:t>
            </w:r>
          </w:p>
        </w:tc>
        <w:tc>
          <w:tcPr>
            <w:tcW w:w="1090" w:type="dxa"/>
            <w:tcBorders>
              <w:top w:val="nil"/>
              <w:left w:val="nil"/>
              <w:bottom w:val="single" w:sz="4" w:space="0" w:color="auto"/>
              <w:right w:val="single" w:sz="4" w:space="0" w:color="auto"/>
            </w:tcBorders>
            <w:shd w:val="clear" w:color="auto" w:fill="auto"/>
            <w:noWrap/>
          </w:tcPr>
          <w:p w14:paraId="64B934E1" w14:textId="1A89F4EE"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89</w:t>
            </w:r>
            <w:r w:rsidR="007F4D40" w:rsidRPr="00CF0F96">
              <w:rPr>
                <w:rFonts w:cs="Arial"/>
                <w:sz w:val="18"/>
                <w:szCs w:val="18"/>
              </w:rPr>
              <w:t>,</w:t>
            </w:r>
            <w:r w:rsidRPr="00CF0F96">
              <w:rPr>
                <w:rFonts w:cs="Arial"/>
                <w:sz w:val="18"/>
                <w:szCs w:val="18"/>
              </w:rPr>
              <w:t>256</w:t>
            </w:r>
          </w:p>
        </w:tc>
        <w:tc>
          <w:tcPr>
            <w:tcW w:w="1090" w:type="dxa"/>
            <w:tcBorders>
              <w:top w:val="nil"/>
              <w:left w:val="nil"/>
              <w:bottom w:val="single" w:sz="4" w:space="0" w:color="auto"/>
              <w:right w:val="single" w:sz="4" w:space="0" w:color="auto"/>
            </w:tcBorders>
            <w:shd w:val="clear" w:color="auto" w:fill="auto"/>
            <w:noWrap/>
          </w:tcPr>
          <w:p w14:paraId="302E8D42" w14:textId="069B2001"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13</w:t>
            </w:r>
            <w:r w:rsidR="007F4D40" w:rsidRPr="00CF0F96">
              <w:rPr>
                <w:rFonts w:cs="Arial"/>
                <w:sz w:val="18"/>
                <w:szCs w:val="18"/>
              </w:rPr>
              <w:t>,</w:t>
            </w:r>
            <w:r w:rsidRPr="00CF0F96">
              <w:rPr>
                <w:rFonts w:cs="Arial"/>
                <w:sz w:val="18"/>
                <w:szCs w:val="18"/>
              </w:rPr>
              <w:t>180</w:t>
            </w:r>
          </w:p>
        </w:tc>
        <w:tc>
          <w:tcPr>
            <w:tcW w:w="1090" w:type="dxa"/>
            <w:tcBorders>
              <w:top w:val="nil"/>
              <w:left w:val="nil"/>
              <w:bottom w:val="single" w:sz="4" w:space="0" w:color="auto"/>
              <w:right w:val="single" w:sz="4" w:space="0" w:color="auto"/>
            </w:tcBorders>
            <w:shd w:val="clear" w:color="auto" w:fill="auto"/>
            <w:noWrap/>
          </w:tcPr>
          <w:p w14:paraId="04EDD793" w14:textId="282D4485"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102</w:t>
            </w:r>
            <w:r w:rsidR="007F4D40" w:rsidRPr="00CF0F96">
              <w:rPr>
                <w:rFonts w:cs="Arial"/>
                <w:sz w:val="18"/>
                <w:szCs w:val="18"/>
              </w:rPr>
              <w:t>,</w:t>
            </w:r>
            <w:r w:rsidRPr="00CF0F96">
              <w:rPr>
                <w:rFonts w:cs="Arial"/>
                <w:sz w:val="18"/>
                <w:szCs w:val="18"/>
              </w:rPr>
              <w:t>436</w:t>
            </w:r>
          </w:p>
        </w:tc>
        <w:tc>
          <w:tcPr>
            <w:tcW w:w="1106" w:type="dxa"/>
            <w:tcBorders>
              <w:top w:val="nil"/>
              <w:left w:val="nil"/>
              <w:bottom w:val="single" w:sz="4" w:space="0" w:color="auto"/>
              <w:right w:val="single" w:sz="4" w:space="0" w:color="auto"/>
            </w:tcBorders>
            <w:shd w:val="clear" w:color="auto" w:fill="auto"/>
            <w:noWrap/>
          </w:tcPr>
          <w:p w14:paraId="3373D787"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39.5%</w:t>
            </w:r>
          </w:p>
        </w:tc>
        <w:tc>
          <w:tcPr>
            <w:tcW w:w="1123" w:type="dxa"/>
            <w:tcBorders>
              <w:top w:val="nil"/>
              <w:left w:val="nil"/>
              <w:bottom w:val="single" w:sz="4" w:space="0" w:color="auto"/>
              <w:right w:val="single" w:sz="4" w:space="0" w:color="auto"/>
            </w:tcBorders>
            <w:shd w:val="clear" w:color="auto" w:fill="auto"/>
            <w:noWrap/>
          </w:tcPr>
          <w:p w14:paraId="7E202790"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39.5%</w:t>
            </w:r>
          </w:p>
        </w:tc>
      </w:tr>
      <w:tr w:rsidR="00CF0F96" w:rsidRPr="00CF0F96" w14:paraId="64505CE4" w14:textId="77777777" w:rsidTr="005F4A92">
        <w:trPr>
          <w:trHeight w:val="498"/>
          <w:jc w:val="center"/>
        </w:trPr>
        <w:tc>
          <w:tcPr>
            <w:tcW w:w="4693" w:type="dxa"/>
            <w:tcBorders>
              <w:top w:val="nil"/>
              <w:left w:val="single" w:sz="4" w:space="0" w:color="auto"/>
              <w:bottom w:val="single" w:sz="4" w:space="0" w:color="auto"/>
              <w:right w:val="single" w:sz="4" w:space="0" w:color="auto"/>
            </w:tcBorders>
            <w:shd w:val="clear" w:color="000000" w:fill="E0E0E0"/>
          </w:tcPr>
          <w:p w14:paraId="738A1587"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cs="Arial"/>
                <w:sz w:val="18"/>
                <w:szCs w:val="18"/>
              </w:rPr>
              <w:t>Comercio al por mayor y al por menor, reparación de vehículos automotores y motocicletas.</w:t>
            </w:r>
          </w:p>
        </w:tc>
        <w:tc>
          <w:tcPr>
            <w:tcW w:w="1090" w:type="dxa"/>
            <w:tcBorders>
              <w:top w:val="nil"/>
              <w:left w:val="nil"/>
              <w:bottom w:val="single" w:sz="4" w:space="0" w:color="auto"/>
              <w:right w:val="single" w:sz="4" w:space="0" w:color="auto"/>
            </w:tcBorders>
            <w:shd w:val="clear" w:color="auto" w:fill="auto"/>
            <w:noWrap/>
          </w:tcPr>
          <w:p w14:paraId="1368D462" w14:textId="07726823"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23</w:t>
            </w:r>
            <w:r w:rsidR="007F4D40" w:rsidRPr="00CF0F96">
              <w:rPr>
                <w:rFonts w:cs="Arial"/>
                <w:sz w:val="18"/>
                <w:szCs w:val="18"/>
              </w:rPr>
              <w:t>,</w:t>
            </w:r>
            <w:r w:rsidRPr="00CF0F96">
              <w:rPr>
                <w:rFonts w:cs="Arial"/>
                <w:sz w:val="18"/>
                <w:szCs w:val="18"/>
              </w:rPr>
              <w:t>569</w:t>
            </w:r>
          </w:p>
        </w:tc>
        <w:tc>
          <w:tcPr>
            <w:tcW w:w="1090" w:type="dxa"/>
            <w:tcBorders>
              <w:top w:val="nil"/>
              <w:left w:val="nil"/>
              <w:bottom w:val="single" w:sz="4" w:space="0" w:color="auto"/>
              <w:right w:val="single" w:sz="4" w:space="0" w:color="auto"/>
            </w:tcBorders>
            <w:shd w:val="clear" w:color="auto" w:fill="auto"/>
            <w:noWrap/>
          </w:tcPr>
          <w:p w14:paraId="37A85C4A" w14:textId="683D046F"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26</w:t>
            </w:r>
            <w:r w:rsidR="007F4D40" w:rsidRPr="00CF0F96">
              <w:rPr>
                <w:rFonts w:cs="Arial"/>
                <w:sz w:val="18"/>
                <w:szCs w:val="18"/>
              </w:rPr>
              <w:t>,</w:t>
            </w:r>
            <w:r w:rsidRPr="00CF0F96">
              <w:rPr>
                <w:rFonts w:cs="Arial"/>
                <w:sz w:val="18"/>
                <w:szCs w:val="18"/>
              </w:rPr>
              <w:t>563</w:t>
            </w:r>
          </w:p>
        </w:tc>
        <w:tc>
          <w:tcPr>
            <w:tcW w:w="1090" w:type="dxa"/>
            <w:tcBorders>
              <w:top w:val="nil"/>
              <w:left w:val="nil"/>
              <w:bottom w:val="single" w:sz="4" w:space="0" w:color="auto"/>
              <w:right w:val="single" w:sz="4" w:space="0" w:color="auto"/>
            </w:tcBorders>
            <w:shd w:val="clear" w:color="auto" w:fill="auto"/>
            <w:noWrap/>
          </w:tcPr>
          <w:p w14:paraId="50E94E8F" w14:textId="6F70383A"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50</w:t>
            </w:r>
            <w:r w:rsidR="007F4D40" w:rsidRPr="00CF0F96">
              <w:rPr>
                <w:rFonts w:cs="Arial"/>
                <w:sz w:val="18"/>
                <w:szCs w:val="18"/>
              </w:rPr>
              <w:t>,</w:t>
            </w:r>
            <w:r w:rsidRPr="00CF0F96">
              <w:rPr>
                <w:rFonts w:cs="Arial"/>
                <w:sz w:val="18"/>
                <w:szCs w:val="18"/>
              </w:rPr>
              <w:t>132</w:t>
            </w:r>
          </w:p>
        </w:tc>
        <w:tc>
          <w:tcPr>
            <w:tcW w:w="1106" w:type="dxa"/>
            <w:tcBorders>
              <w:top w:val="nil"/>
              <w:left w:val="nil"/>
              <w:bottom w:val="single" w:sz="4" w:space="0" w:color="auto"/>
              <w:right w:val="single" w:sz="4" w:space="0" w:color="auto"/>
            </w:tcBorders>
            <w:shd w:val="clear" w:color="auto" w:fill="auto"/>
            <w:noWrap/>
          </w:tcPr>
          <w:p w14:paraId="2177AF53"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19.3%</w:t>
            </w:r>
          </w:p>
        </w:tc>
        <w:tc>
          <w:tcPr>
            <w:tcW w:w="1123" w:type="dxa"/>
            <w:tcBorders>
              <w:top w:val="nil"/>
              <w:left w:val="nil"/>
              <w:bottom w:val="single" w:sz="4" w:space="0" w:color="auto"/>
              <w:right w:val="single" w:sz="4" w:space="0" w:color="auto"/>
            </w:tcBorders>
            <w:shd w:val="clear" w:color="auto" w:fill="auto"/>
            <w:noWrap/>
          </w:tcPr>
          <w:p w14:paraId="078DC1CC"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58.8%</w:t>
            </w:r>
          </w:p>
        </w:tc>
      </w:tr>
      <w:tr w:rsidR="00CF0F96" w:rsidRPr="00CF0F96" w14:paraId="71EE0EEC" w14:textId="77777777" w:rsidTr="005F4A92">
        <w:trPr>
          <w:trHeight w:val="311"/>
          <w:jc w:val="center"/>
        </w:trPr>
        <w:tc>
          <w:tcPr>
            <w:tcW w:w="4693" w:type="dxa"/>
            <w:tcBorders>
              <w:top w:val="nil"/>
              <w:left w:val="single" w:sz="4" w:space="0" w:color="auto"/>
              <w:bottom w:val="single" w:sz="4" w:space="0" w:color="auto"/>
              <w:right w:val="single" w:sz="4" w:space="0" w:color="auto"/>
            </w:tcBorders>
            <w:shd w:val="clear" w:color="000000" w:fill="E0E0E0"/>
          </w:tcPr>
          <w:p w14:paraId="7A086FFD"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cs="Arial"/>
                <w:sz w:val="18"/>
                <w:szCs w:val="18"/>
              </w:rPr>
              <w:t>Industria manufacturera.</w:t>
            </w:r>
          </w:p>
        </w:tc>
        <w:tc>
          <w:tcPr>
            <w:tcW w:w="1090" w:type="dxa"/>
            <w:tcBorders>
              <w:top w:val="nil"/>
              <w:left w:val="nil"/>
              <w:bottom w:val="single" w:sz="4" w:space="0" w:color="auto"/>
              <w:right w:val="single" w:sz="4" w:space="0" w:color="auto"/>
            </w:tcBorders>
            <w:shd w:val="clear" w:color="auto" w:fill="auto"/>
            <w:noWrap/>
          </w:tcPr>
          <w:p w14:paraId="30BD42F5" w14:textId="60B18BCE"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14</w:t>
            </w:r>
            <w:r w:rsidR="007F4D40" w:rsidRPr="00CF0F96">
              <w:rPr>
                <w:rFonts w:cs="Arial"/>
                <w:sz w:val="18"/>
                <w:szCs w:val="18"/>
              </w:rPr>
              <w:t>,</w:t>
            </w:r>
            <w:r w:rsidRPr="00CF0F96">
              <w:rPr>
                <w:rFonts w:cs="Arial"/>
                <w:sz w:val="18"/>
                <w:szCs w:val="18"/>
              </w:rPr>
              <w:t>857</w:t>
            </w:r>
          </w:p>
        </w:tc>
        <w:tc>
          <w:tcPr>
            <w:tcW w:w="1090" w:type="dxa"/>
            <w:tcBorders>
              <w:top w:val="nil"/>
              <w:left w:val="nil"/>
              <w:bottom w:val="single" w:sz="4" w:space="0" w:color="auto"/>
              <w:right w:val="single" w:sz="4" w:space="0" w:color="auto"/>
            </w:tcBorders>
            <w:shd w:val="clear" w:color="auto" w:fill="auto"/>
            <w:noWrap/>
          </w:tcPr>
          <w:p w14:paraId="67BE8931" w14:textId="4CDF2896"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12</w:t>
            </w:r>
            <w:r w:rsidR="007F4D40" w:rsidRPr="00CF0F96">
              <w:rPr>
                <w:rFonts w:cs="Arial"/>
                <w:sz w:val="18"/>
                <w:szCs w:val="18"/>
              </w:rPr>
              <w:t>,</w:t>
            </w:r>
            <w:r w:rsidRPr="00CF0F96">
              <w:rPr>
                <w:rFonts w:cs="Arial"/>
                <w:sz w:val="18"/>
                <w:szCs w:val="18"/>
              </w:rPr>
              <w:t>861</w:t>
            </w:r>
          </w:p>
        </w:tc>
        <w:tc>
          <w:tcPr>
            <w:tcW w:w="1090" w:type="dxa"/>
            <w:tcBorders>
              <w:top w:val="nil"/>
              <w:left w:val="nil"/>
              <w:bottom w:val="single" w:sz="4" w:space="0" w:color="auto"/>
              <w:right w:val="single" w:sz="4" w:space="0" w:color="auto"/>
            </w:tcBorders>
            <w:shd w:val="clear" w:color="auto" w:fill="auto"/>
            <w:noWrap/>
          </w:tcPr>
          <w:p w14:paraId="13A214FD" w14:textId="1C6BDB03"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27</w:t>
            </w:r>
            <w:r w:rsidR="007F4D40" w:rsidRPr="00CF0F96">
              <w:rPr>
                <w:rFonts w:cs="Arial"/>
                <w:sz w:val="18"/>
                <w:szCs w:val="18"/>
              </w:rPr>
              <w:t>,</w:t>
            </w:r>
            <w:r w:rsidRPr="00CF0F96">
              <w:rPr>
                <w:rFonts w:cs="Arial"/>
                <w:sz w:val="18"/>
                <w:szCs w:val="18"/>
              </w:rPr>
              <w:t>718</w:t>
            </w:r>
          </w:p>
        </w:tc>
        <w:tc>
          <w:tcPr>
            <w:tcW w:w="1106" w:type="dxa"/>
            <w:tcBorders>
              <w:top w:val="nil"/>
              <w:left w:val="nil"/>
              <w:bottom w:val="single" w:sz="4" w:space="0" w:color="auto"/>
              <w:right w:val="single" w:sz="4" w:space="0" w:color="auto"/>
            </w:tcBorders>
            <w:shd w:val="clear" w:color="auto" w:fill="auto"/>
            <w:noWrap/>
          </w:tcPr>
          <w:p w14:paraId="4C0BEEDF"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10.7%</w:t>
            </w:r>
          </w:p>
        </w:tc>
        <w:tc>
          <w:tcPr>
            <w:tcW w:w="1123" w:type="dxa"/>
            <w:tcBorders>
              <w:top w:val="nil"/>
              <w:left w:val="nil"/>
              <w:bottom w:val="single" w:sz="4" w:space="0" w:color="auto"/>
              <w:right w:val="single" w:sz="4" w:space="0" w:color="auto"/>
            </w:tcBorders>
            <w:shd w:val="clear" w:color="auto" w:fill="auto"/>
            <w:noWrap/>
          </w:tcPr>
          <w:p w14:paraId="00D7CD5D"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69.5%</w:t>
            </w:r>
          </w:p>
        </w:tc>
      </w:tr>
      <w:tr w:rsidR="00CF0F96" w:rsidRPr="00CF0F96" w14:paraId="664F2F2E" w14:textId="77777777" w:rsidTr="005F4A92">
        <w:trPr>
          <w:trHeight w:val="311"/>
          <w:jc w:val="center"/>
        </w:trPr>
        <w:tc>
          <w:tcPr>
            <w:tcW w:w="4693" w:type="dxa"/>
            <w:tcBorders>
              <w:top w:val="nil"/>
              <w:left w:val="single" w:sz="4" w:space="0" w:color="auto"/>
              <w:bottom w:val="single" w:sz="4" w:space="0" w:color="auto"/>
              <w:right w:val="single" w:sz="4" w:space="0" w:color="auto"/>
            </w:tcBorders>
            <w:shd w:val="clear" w:color="000000" w:fill="E0E0E0"/>
          </w:tcPr>
          <w:p w14:paraId="54BF5F08"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cs="Arial"/>
                <w:sz w:val="18"/>
                <w:szCs w:val="18"/>
              </w:rPr>
              <w:t>Actividades de alojamiento y de servicios de comida.</w:t>
            </w:r>
          </w:p>
        </w:tc>
        <w:tc>
          <w:tcPr>
            <w:tcW w:w="1090" w:type="dxa"/>
            <w:tcBorders>
              <w:top w:val="nil"/>
              <w:left w:val="nil"/>
              <w:bottom w:val="single" w:sz="4" w:space="0" w:color="auto"/>
              <w:right w:val="single" w:sz="4" w:space="0" w:color="auto"/>
            </w:tcBorders>
            <w:shd w:val="clear" w:color="auto" w:fill="auto"/>
            <w:noWrap/>
          </w:tcPr>
          <w:p w14:paraId="4CAD9F7B" w14:textId="746C31E9"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2</w:t>
            </w:r>
            <w:r w:rsidR="007F4D40" w:rsidRPr="00CF0F96">
              <w:rPr>
                <w:rFonts w:cs="Arial"/>
                <w:sz w:val="18"/>
                <w:szCs w:val="18"/>
              </w:rPr>
              <w:t>,</w:t>
            </w:r>
            <w:r w:rsidRPr="00CF0F96">
              <w:rPr>
                <w:rFonts w:cs="Arial"/>
                <w:sz w:val="18"/>
                <w:szCs w:val="18"/>
              </w:rPr>
              <w:t>387</w:t>
            </w:r>
          </w:p>
        </w:tc>
        <w:tc>
          <w:tcPr>
            <w:tcW w:w="1090" w:type="dxa"/>
            <w:tcBorders>
              <w:top w:val="nil"/>
              <w:left w:val="nil"/>
              <w:bottom w:val="single" w:sz="4" w:space="0" w:color="auto"/>
              <w:right w:val="single" w:sz="4" w:space="0" w:color="auto"/>
            </w:tcBorders>
            <w:shd w:val="clear" w:color="auto" w:fill="auto"/>
            <w:noWrap/>
          </w:tcPr>
          <w:p w14:paraId="3BCC08E7" w14:textId="72353ECF"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9</w:t>
            </w:r>
            <w:r w:rsidR="007F4D40" w:rsidRPr="00CF0F96">
              <w:rPr>
                <w:rFonts w:cs="Arial"/>
                <w:sz w:val="18"/>
                <w:szCs w:val="18"/>
              </w:rPr>
              <w:t>,</w:t>
            </w:r>
            <w:r w:rsidRPr="00CF0F96">
              <w:rPr>
                <w:rFonts w:cs="Arial"/>
                <w:sz w:val="18"/>
                <w:szCs w:val="18"/>
              </w:rPr>
              <w:t>146</w:t>
            </w:r>
          </w:p>
        </w:tc>
        <w:tc>
          <w:tcPr>
            <w:tcW w:w="1090" w:type="dxa"/>
            <w:tcBorders>
              <w:top w:val="nil"/>
              <w:left w:val="nil"/>
              <w:bottom w:val="single" w:sz="4" w:space="0" w:color="auto"/>
              <w:right w:val="single" w:sz="4" w:space="0" w:color="auto"/>
            </w:tcBorders>
            <w:shd w:val="clear" w:color="auto" w:fill="auto"/>
            <w:noWrap/>
          </w:tcPr>
          <w:p w14:paraId="1D7E49E1" w14:textId="3CB227B3"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11</w:t>
            </w:r>
            <w:r w:rsidR="007F4D40" w:rsidRPr="00CF0F96">
              <w:rPr>
                <w:rFonts w:cs="Arial"/>
                <w:sz w:val="18"/>
                <w:szCs w:val="18"/>
              </w:rPr>
              <w:t>,</w:t>
            </w:r>
            <w:r w:rsidRPr="00CF0F96">
              <w:rPr>
                <w:rFonts w:cs="Arial"/>
                <w:sz w:val="18"/>
                <w:szCs w:val="18"/>
              </w:rPr>
              <w:t>533</w:t>
            </w:r>
          </w:p>
        </w:tc>
        <w:tc>
          <w:tcPr>
            <w:tcW w:w="1106" w:type="dxa"/>
            <w:tcBorders>
              <w:top w:val="nil"/>
              <w:left w:val="nil"/>
              <w:bottom w:val="single" w:sz="4" w:space="0" w:color="auto"/>
              <w:right w:val="single" w:sz="4" w:space="0" w:color="auto"/>
            </w:tcBorders>
            <w:shd w:val="clear" w:color="auto" w:fill="auto"/>
            <w:noWrap/>
          </w:tcPr>
          <w:p w14:paraId="10E50CEA"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4.4%</w:t>
            </w:r>
          </w:p>
        </w:tc>
        <w:tc>
          <w:tcPr>
            <w:tcW w:w="1123" w:type="dxa"/>
            <w:tcBorders>
              <w:top w:val="nil"/>
              <w:left w:val="nil"/>
              <w:bottom w:val="single" w:sz="4" w:space="0" w:color="auto"/>
              <w:right w:val="single" w:sz="4" w:space="0" w:color="auto"/>
            </w:tcBorders>
            <w:shd w:val="clear" w:color="auto" w:fill="auto"/>
            <w:noWrap/>
          </w:tcPr>
          <w:p w14:paraId="3E2D2E1F"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73.9%</w:t>
            </w:r>
          </w:p>
        </w:tc>
      </w:tr>
      <w:tr w:rsidR="00CF0F96" w:rsidRPr="00CF0F96" w14:paraId="3CFC319D" w14:textId="77777777" w:rsidTr="005F4A92">
        <w:trPr>
          <w:trHeight w:val="311"/>
          <w:jc w:val="center"/>
        </w:trPr>
        <w:tc>
          <w:tcPr>
            <w:tcW w:w="4693" w:type="dxa"/>
            <w:tcBorders>
              <w:top w:val="nil"/>
              <w:left w:val="single" w:sz="4" w:space="0" w:color="auto"/>
              <w:bottom w:val="single" w:sz="4" w:space="0" w:color="auto"/>
              <w:right w:val="single" w:sz="4" w:space="0" w:color="auto"/>
            </w:tcBorders>
            <w:shd w:val="clear" w:color="000000" w:fill="E0E0E0"/>
          </w:tcPr>
          <w:p w14:paraId="06D1E256"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cs="Arial"/>
                <w:sz w:val="18"/>
                <w:szCs w:val="18"/>
              </w:rPr>
              <w:t>Otras actividades de servicios.</w:t>
            </w:r>
          </w:p>
        </w:tc>
        <w:tc>
          <w:tcPr>
            <w:tcW w:w="1090" w:type="dxa"/>
            <w:tcBorders>
              <w:top w:val="nil"/>
              <w:left w:val="nil"/>
              <w:bottom w:val="single" w:sz="4" w:space="0" w:color="auto"/>
              <w:right w:val="single" w:sz="4" w:space="0" w:color="auto"/>
            </w:tcBorders>
            <w:shd w:val="clear" w:color="auto" w:fill="auto"/>
            <w:noWrap/>
          </w:tcPr>
          <w:p w14:paraId="3CE4C2ED" w14:textId="0387E2AD"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3</w:t>
            </w:r>
            <w:r w:rsidR="007F4D40" w:rsidRPr="00CF0F96">
              <w:rPr>
                <w:rFonts w:cs="Arial"/>
                <w:sz w:val="18"/>
                <w:szCs w:val="18"/>
              </w:rPr>
              <w:t>,</w:t>
            </w:r>
            <w:r w:rsidRPr="00CF0F96">
              <w:rPr>
                <w:rFonts w:cs="Arial"/>
                <w:sz w:val="18"/>
                <w:szCs w:val="18"/>
              </w:rPr>
              <w:t>558</w:t>
            </w:r>
          </w:p>
        </w:tc>
        <w:tc>
          <w:tcPr>
            <w:tcW w:w="1090" w:type="dxa"/>
            <w:tcBorders>
              <w:top w:val="nil"/>
              <w:left w:val="nil"/>
              <w:bottom w:val="single" w:sz="4" w:space="0" w:color="auto"/>
              <w:right w:val="single" w:sz="4" w:space="0" w:color="auto"/>
            </w:tcBorders>
            <w:shd w:val="clear" w:color="auto" w:fill="auto"/>
            <w:noWrap/>
          </w:tcPr>
          <w:p w14:paraId="2F16D517" w14:textId="7DD8E1E8"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7</w:t>
            </w:r>
            <w:r w:rsidR="007F4D40" w:rsidRPr="00CF0F96">
              <w:rPr>
                <w:rFonts w:cs="Arial"/>
                <w:sz w:val="18"/>
                <w:szCs w:val="18"/>
              </w:rPr>
              <w:t>,</w:t>
            </w:r>
            <w:r w:rsidRPr="00CF0F96">
              <w:rPr>
                <w:rFonts w:cs="Arial"/>
                <w:sz w:val="18"/>
                <w:szCs w:val="18"/>
              </w:rPr>
              <w:t>741</w:t>
            </w:r>
          </w:p>
        </w:tc>
        <w:tc>
          <w:tcPr>
            <w:tcW w:w="1090" w:type="dxa"/>
            <w:tcBorders>
              <w:top w:val="nil"/>
              <w:left w:val="nil"/>
              <w:bottom w:val="single" w:sz="4" w:space="0" w:color="auto"/>
              <w:right w:val="single" w:sz="4" w:space="0" w:color="auto"/>
            </w:tcBorders>
            <w:shd w:val="clear" w:color="auto" w:fill="auto"/>
            <w:noWrap/>
          </w:tcPr>
          <w:p w14:paraId="19F9A8C7" w14:textId="2AEEB2E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11</w:t>
            </w:r>
            <w:r w:rsidR="007F4D40" w:rsidRPr="00CF0F96">
              <w:rPr>
                <w:rFonts w:cs="Arial"/>
                <w:sz w:val="18"/>
                <w:szCs w:val="18"/>
              </w:rPr>
              <w:t>,</w:t>
            </w:r>
            <w:r w:rsidRPr="00CF0F96">
              <w:rPr>
                <w:rFonts w:cs="Arial"/>
                <w:sz w:val="18"/>
                <w:szCs w:val="18"/>
              </w:rPr>
              <w:t>299</w:t>
            </w:r>
          </w:p>
        </w:tc>
        <w:tc>
          <w:tcPr>
            <w:tcW w:w="1106" w:type="dxa"/>
            <w:tcBorders>
              <w:top w:val="nil"/>
              <w:left w:val="nil"/>
              <w:bottom w:val="single" w:sz="4" w:space="0" w:color="auto"/>
              <w:right w:val="single" w:sz="4" w:space="0" w:color="auto"/>
            </w:tcBorders>
            <w:shd w:val="clear" w:color="auto" w:fill="auto"/>
            <w:noWrap/>
          </w:tcPr>
          <w:p w14:paraId="19CC9078"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4.4%</w:t>
            </w:r>
          </w:p>
        </w:tc>
        <w:tc>
          <w:tcPr>
            <w:tcW w:w="1123" w:type="dxa"/>
            <w:tcBorders>
              <w:top w:val="nil"/>
              <w:left w:val="nil"/>
              <w:bottom w:val="single" w:sz="4" w:space="0" w:color="auto"/>
              <w:right w:val="single" w:sz="4" w:space="0" w:color="auto"/>
            </w:tcBorders>
            <w:shd w:val="clear" w:color="auto" w:fill="auto"/>
            <w:noWrap/>
          </w:tcPr>
          <w:p w14:paraId="57CF0B95"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78.3%</w:t>
            </w:r>
          </w:p>
        </w:tc>
      </w:tr>
      <w:tr w:rsidR="00CF0F96" w:rsidRPr="00CF0F96" w14:paraId="14E4E764" w14:textId="77777777" w:rsidTr="005F4A92">
        <w:trPr>
          <w:trHeight w:val="311"/>
          <w:jc w:val="center"/>
        </w:trPr>
        <w:tc>
          <w:tcPr>
            <w:tcW w:w="4693" w:type="dxa"/>
            <w:tcBorders>
              <w:top w:val="nil"/>
              <w:left w:val="single" w:sz="4" w:space="0" w:color="auto"/>
              <w:bottom w:val="single" w:sz="4" w:space="0" w:color="auto"/>
              <w:right w:val="single" w:sz="4" w:space="0" w:color="auto"/>
            </w:tcBorders>
            <w:shd w:val="clear" w:color="000000" w:fill="E0E0E0"/>
          </w:tcPr>
          <w:p w14:paraId="32082FC0"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cs="Arial"/>
                <w:sz w:val="18"/>
                <w:szCs w:val="18"/>
              </w:rPr>
              <w:t>Construcción.</w:t>
            </w:r>
          </w:p>
        </w:tc>
        <w:tc>
          <w:tcPr>
            <w:tcW w:w="1090" w:type="dxa"/>
            <w:tcBorders>
              <w:top w:val="nil"/>
              <w:left w:val="nil"/>
              <w:bottom w:val="single" w:sz="4" w:space="0" w:color="auto"/>
              <w:right w:val="single" w:sz="4" w:space="0" w:color="auto"/>
            </w:tcBorders>
            <w:shd w:val="clear" w:color="auto" w:fill="auto"/>
            <w:noWrap/>
          </w:tcPr>
          <w:p w14:paraId="7F1C98CF" w14:textId="1D0A5F44"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10</w:t>
            </w:r>
            <w:r w:rsidR="007F4D40" w:rsidRPr="00CF0F96">
              <w:rPr>
                <w:rFonts w:cs="Arial"/>
                <w:sz w:val="18"/>
                <w:szCs w:val="18"/>
              </w:rPr>
              <w:t>,</w:t>
            </w:r>
            <w:r w:rsidRPr="00CF0F96">
              <w:rPr>
                <w:rFonts w:cs="Arial"/>
                <w:sz w:val="18"/>
                <w:szCs w:val="18"/>
              </w:rPr>
              <w:t>920</w:t>
            </w:r>
          </w:p>
        </w:tc>
        <w:tc>
          <w:tcPr>
            <w:tcW w:w="1090" w:type="dxa"/>
            <w:tcBorders>
              <w:top w:val="nil"/>
              <w:left w:val="nil"/>
              <w:bottom w:val="single" w:sz="4" w:space="0" w:color="auto"/>
              <w:right w:val="single" w:sz="4" w:space="0" w:color="auto"/>
            </w:tcBorders>
            <w:shd w:val="clear" w:color="auto" w:fill="auto"/>
            <w:noWrap/>
          </w:tcPr>
          <w:p w14:paraId="071F4905"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178</w:t>
            </w:r>
          </w:p>
        </w:tc>
        <w:tc>
          <w:tcPr>
            <w:tcW w:w="1090" w:type="dxa"/>
            <w:tcBorders>
              <w:top w:val="nil"/>
              <w:left w:val="nil"/>
              <w:bottom w:val="single" w:sz="4" w:space="0" w:color="auto"/>
              <w:right w:val="single" w:sz="4" w:space="0" w:color="auto"/>
            </w:tcBorders>
            <w:shd w:val="clear" w:color="auto" w:fill="auto"/>
            <w:noWrap/>
          </w:tcPr>
          <w:p w14:paraId="5640F631" w14:textId="67A7D85D"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11</w:t>
            </w:r>
            <w:r w:rsidR="007F4D40" w:rsidRPr="00CF0F96">
              <w:rPr>
                <w:rFonts w:cs="Arial"/>
                <w:sz w:val="18"/>
                <w:szCs w:val="18"/>
              </w:rPr>
              <w:t>,</w:t>
            </w:r>
            <w:r w:rsidRPr="00CF0F96">
              <w:rPr>
                <w:rFonts w:cs="Arial"/>
                <w:sz w:val="18"/>
                <w:szCs w:val="18"/>
              </w:rPr>
              <w:t>098</w:t>
            </w:r>
          </w:p>
        </w:tc>
        <w:tc>
          <w:tcPr>
            <w:tcW w:w="1106" w:type="dxa"/>
            <w:tcBorders>
              <w:top w:val="nil"/>
              <w:left w:val="nil"/>
              <w:bottom w:val="single" w:sz="4" w:space="0" w:color="auto"/>
              <w:right w:val="single" w:sz="4" w:space="0" w:color="auto"/>
            </w:tcBorders>
            <w:shd w:val="clear" w:color="auto" w:fill="auto"/>
            <w:noWrap/>
          </w:tcPr>
          <w:p w14:paraId="1531AA8B"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4.3%</w:t>
            </w:r>
          </w:p>
        </w:tc>
        <w:tc>
          <w:tcPr>
            <w:tcW w:w="1123" w:type="dxa"/>
            <w:tcBorders>
              <w:top w:val="nil"/>
              <w:left w:val="nil"/>
              <w:bottom w:val="single" w:sz="4" w:space="0" w:color="auto"/>
              <w:right w:val="single" w:sz="4" w:space="0" w:color="auto"/>
            </w:tcBorders>
            <w:shd w:val="clear" w:color="auto" w:fill="auto"/>
            <w:noWrap/>
          </w:tcPr>
          <w:p w14:paraId="2D6849D3"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82.5%</w:t>
            </w:r>
          </w:p>
        </w:tc>
      </w:tr>
      <w:tr w:rsidR="00CF0F96" w:rsidRPr="00CF0F96" w14:paraId="28E5764C" w14:textId="77777777" w:rsidTr="005F4A92">
        <w:trPr>
          <w:trHeight w:val="498"/>
          <w:jc w:val="center"/>
        </w:trPr>
        <w:tc>
          <w:tcPr>
            <w:tcW w:w="4693" w:type="dxa"/>
            <w:tcBorders>
              <w:top w:val="nil"/>
              <w:left w:val="single" w:sz="4" w:space="0" w:color="auto"/>
              <w:bottom w:val="single" w:sz="4" w:space="0" w:color="auto"/>
              <w:right w:val="single" w:sz="4" w:space="0" w:color="auto"/>
            </w:tcBorders>
            <w:shd w:val="clear" w:color="000000" w:fill="E0E0E0"/>
          </w:tcPr>
          <w:p w14:paraId="2C8DA299"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cs="Arial"/>
                <w:sz w:val="18"/>
                <w:szCs w:val="18"/>
              </w:rPr>
              <w:t>Busca trabajo por primera vez.</w:t>
            </w:r>
          </w:p>
        </w:tc>
        <w:tc>
          <w:tcPr>
            <w:tcW w:w="1090" w:type="dxa"/>
            <w:tcBorders>
              <w:top w:val="nil"/>
              <w:left w:val="nil"/>
              <w:bottom w:val="single" w:sz="4" w:space="0" w:color="auto"/>
              <w:right w:val="single" w:sz="4" w:space="0" w:color="auto"/>
            </w:tcBorders>
            <w:shd w:val="clear" w:color="auto" w:fill="auto"/>
            <w:noWrap/>
          </w:tcPr>
          <w:p w14:paraId="50A3950F" w14:textId="29D59BE4"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2</w:t>
            </w:r>
            <w:r w:rsidR="007F4D40" w:rsidRPr="00CF0F96">
              <w:rPr>
                <w:rFonts w:cs="Arial"/>
                <w:sz w:val="18"/>
                <w:szCs w:val="18"/>
              </w:rPr>
              <w:t>,</w:t>
            </w:r>
            <w:r w:rsidRPr="00CF0F96">
              <w:rPr>
                <w:rFonts w:cs="Arial"/>
                <w:sz w:val="18"/>
                <w:szCs w:val="18"/>
              </w:rPr>
              <w:t>503</w:t>
            </w:r>
          </w:p>
        </w:tc>
        <w:tc>
          <w:tcPr>
            <w:tcW w:w="1090" w:type="dxa"/>
            <w:tcBorders>
              <w:top w:val="nil"/>
              <w:left w:val="nil"/>
              <w:bottom w:val="single" w:sz="4" w:space="0" w:color="auto"/>
              <w:right w:val="single" w:sz="4" w:space="0" w:color="auto"/>
            </w:tcBorders>
            <w:shd w:val="clear" w:color="auto" w:fill="auto"/>
            <w:noWrap/>
          </w:tcPr>
          <w:p w14:paraId="2E9A333F" w14:textId="0658D05A"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4</w:t>
            </w:r>
            <w:r w:rsidR="007F4D40" w:rsidRPr="00CF0F96">
              <w:rPr>
                <w:rFonts w:cs="Arial"/>
                <w:sz w:val="18"/>
                <w:szCs w:val="18"/>
              </w:rPr>
              <w:t>,</w:t>
            </w:r>
            <w:r w:rsidRPr="00CF0F96">
              <w:rPr>
                <w:rFonts w:cs="Arial"/>
                <w:sz w:val="18"/>
                <w:szCs w:val="18"/>
              </w:rPr>
              <w:t>872</w:t>
            </w:r>
          </w:p>
        </w:tc>
        <w:tc>
          <w:tcPr>
            <w:tcW w:w="1090" w:type="dxa"/>
            <w:tcBorders>
              <w:top w:val="nil"/>
              <w:left w:val="nil"/>
              <w:bottom w:val="single" w:sz="4" w:space="0" w:color="auto"/>
              <w:right w:val="single" w:sz="4" w:space="0" w:color="auto"/>
            </w:tcBorders>
            <w:shd w:val="clear" w:color="auto" w:fill="auto"/>
            <w:noWrap/>
          </w:tcPr>
          <w:p w14:paraId="6CACC6B5" w14:textId="652D68B9"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7</w:t>
            </w:r>
            <w:r w:rsidR="007F4D40" w:rsidRPr="00CF0F96">
              <w:rPr>
                <w:rFonts w:cs="Arial"/>
                <w:sz w:val="18"/>
                <w:szCs w:val="18"/>
              </w:rPr>
              <w:t>,</w:t>
            </w:r>
            <w:r w:rsidRPr="00CF0F96">
              <w:rPr>
                <w:rFonts w:cs="Arial"/>
                <w:sz w:val="18"/>
                <w:szCs w:val="18"/>
              </w:rPr>
              <w:t>375</w:t>
            </w:r>
          </w:p>
        </w:tc>
        <w:tc>
          <w:tcPr>
            <w:tcW w:w="1106" w:type="dxa"/>
            <w:tcBorders>
              <w:top w:val="nil"/>
              <w:left w:val="nil"/>
              <w:bottom w:val="single" w:sz="4" w:space="0" w:color="auto"/>
              <w:right w:val="single" w:sz="4" w:space="0" w:color="auto"/>
            </w:tcBorders>
            <w:shd w:val="clear" w:color="auto" w:fill="auto"/>
            <w:noWrap/>
          </w:tcPr>
          <w:p w14:paraId="3B501141"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2.8%</w:t>
            </w:r>
          </w:p>
        </w:tc>
        <w:tc>
          <w:tcPr>
            <w:tcW w:w="1123" w:type="dxa"/>
            <w:tcBorders>
              <w:top w:val="nil"/>
              <w:left w:val="nil"/>
              <w:bottom w:val="single" w:sz="4" w:space="0" w:color="auto"/>
              <w:right w:val="single" w:sz="4" w:space="0" w:color="auto"/>
            </w:tcBorders>
            <w:shd w:val="clear" w:color="auto" w:fill="auto"/>
            <w:noWrap/>
          </w:tcPr>
          <w:p w14:paraId="09B2BC10"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85.4%</w:t>
            </w:r>
          </w:p>
        </w:tc>
      </w:tr>
      <w:tr w:rsidR="00CF0F96" w:rsidRPr="00CF0F96" w14:paraId="0CEC87E5" w14:textId="77777777" w:rsidTr="005F4A92">
        <w:trPr>
          <w:trHeight w:val="311"/>
          <w:jc w:val="center"/>
        </w:trPr>
        <w:tc>
          <w:tcPr>
            <w:tcW w:w="4693" w:type="dxa"/>
            <w:tcBorders>
              <w:top w:val="nil"/>
              <w:left w:val="single" w:sz="4" w:space="0" w:color="auto"/>
              <w:bottom w:val="single" w:sz="4" w:space="0" w:color="auto"/>
              <w:right w:val="single" w:sz="4" w:space="0" w:color="auto"/>
            </w:tcBorders>
            <w:shd w:val="clear" w:color="000000" w:fill="E0E0E0"/>
          </w:tcPr>
          <w:p w14:paraId="05F81C34"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cs="Arial"/>
                <w:sz w:val="18"/>
                <w:szCs w:val="18"/>
              </w:rPr>
              <w:t>Administración pública y defensa, planes de seguridad social de afiliación obligatoria.</w:t>
            </w:r>
          </w:p>
        </w:tc>
        <w:tc>
          <w:tcPr>
            <w:tcW w:w="1090" w:type="dxa"/>
            <w:tcBorders>
              <w:top w:val="nil"/>
              <w:left w:val="nil"/>
              <w:bottom w:val="single" w:sz="4" w:space="0" w:color="auto"/>
              <w:right w:val="single" w:sz="4" w:space="0" w:color="auto"/>
            </w:tcBorders>
            <w:shd w:val="clear" w:color="auto" w:fill="auto"/>
            <w:noWrap/>
          </w:tcPr>
          <w:p w14:paraId="1A5E9B29" w14:textId="00BE555A"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4</w:t>
            </w:r>
            <w:r w:rsidR="007F4D40" w:rsidRPr="00CF0F96">
              <w:rPr>
                <w:rFonts w:cs="Arial"/>
                <w:sz w:val="18"/>
                <w:szCs w:val="18"/>
              </w:rPr>
              <w:t>,</w:t>
            </w:r>
            <w:r w:rsidRPr="00CF0F96">
              <w:rPr>
                <w:rFonts w:cs="Arial"/>
                <w:sz w:val="18"/>
                <w:szCs w:val="18"/>
              </w:rPr>
              <w:t>298</w:t>
            </w:r>
          </w:p>
        </w:tc>
        <w:tc>
          <w:tcPr>
            <w:tcW w:w="1090" w:type="dxa"/>
            <w:tcBorders>
              <w:top w:val="nil"/>
              <w:left w:val="nil"/>
              <w:bottom w:val="single" w:sz="4" w:space="0" w:color="auto"/>
              <w:right w:val="single" w:sz="4" w:space="0" w:color="auto"/>
            </w:tcBorders>
            <w:shd w:val="clear" w:color="auto" w:fill="auto"/>
            <w:noWrap/>
          </w:tcPr>
          <w:p w14:paraId="3A732413" w14:textId="7F582B45"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2</w:t>
            </w:r>
            <w:r w:rsidR="007F4D40" w:rsidRPr="00CF0F96">
              <w:rPr>
                <w:rFonts w:cs="Arial"/>
                <w:sz w:val="18"/>
                <w:szCs w:val="18"/>
              </w:rPr>
              <w:t>,</w:t>
            </w:r>
            <w:r w:rsidRPr="00CF0F96">
              <w:rPr>
                <w:rFonts w:cs="Arial"/>
                <w:sz w:val="18"/>
                <w:szCs w:val="18"/>
              </w:rPr>
              <w:t>790</w:t>
            </w:r>
          </w:p>
        </w:tc>
        <w:tc>
          <w:tcPr>
            <w:tcW w:w="1090" w:type="dxa"/>
            <w:tcBorders>
              <w:top w:val="nil"/>
              <w:left w:val="nil"/>
              <w:bottom w:val="single" w:sz="4" w:space="0" w:color="auto"/>
              <w:right w:val="single" w:sz="4" w:space="0" w:color="auto"/>
            </w:tcBorders>
            <w:shd w:val="clear" w:color="auto" w:fill="auto"/>
            <w:noWrap/>
          </w:tcPr>
          <w:p w14:paraId="6E3BBEDF" w14:textId="7439F4E1"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7</w:t>
            </w:r>
            <w:r w:rsidR="007F4D40" w:rsidRPr="00CF0F96">
              <w:rPr>
                <w:rFonts w:cs="Arial"/>
                <w:sz w:val="18"/>
                <w:szCs w:val="18"/>
              </w:rPr>
              <w:t>,</w:t>
            </w:r>
            <w:r w:rsidRPr="00CF0F96">
              <w:rPr>
                <w:rFonts w:cs="Arial"/>
                <w:sz w:val="18"/>
                <w:szCs w:val="18"/>
              </w:rPr>
              <w:t>088</w:t>
            </w:r>
          </w:p>
        </w:tc>
        <w:tc>
          <w:tcPr>
            <w:tcW w:w="1106" w:type="dxa"/>
            <w:tcBorders>
              <w:top w:val="nil"/>
              <w:left w:val="nil"/>
              <w:bottom w:val="single" w:sz="4" w:space="0" w:color="auto"/>
              <w:right w:val="single" w:sz="4" w:space="0" w:color="auto"/>
            </w:tcBorders>
            <w:shd w:val="clear" w:color="auto" w:fill="auto"/>
            <w:noWrap/>
          </w:tcPr>
          <w:p w14:paraId="05166647"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2.7%</w:t>
            </w:r>
          </w:p>
        </w:tc>
        <w:tc>
          <w:tcPr>
            <w:tcW w:w="1123" w:type="dxa"/>
            <w:tcBorders>
              <w:top w:val="nil"/>
              <w:left w:val="nil"/>
              <w:bottom w:val="single" w:sz="4" w:space="0" w:color="auto"/>
              <w:right w:val="single" w:sz="4" w:space="0" w:color="auto"/>
            </w:tcBorders>
            <w:shd w:val="clear" w:color="auto" w:fill="auto"/>
            <w:noWrap/>
          </w:tcPr>
          <w:p w14:paraId="475E6F9C"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88.1%</w:t>
            </w:r>
          </w:p>
        </w:tc>
      </w:tr>
      <w:tr w:rsidR="00CF0F96" w:rsidRPr="00CF0F96" w14:paraId="2B37DD20" w14:textId="77777777" w:rsidTr="005F4A92">
        <w:trPr>
          <w:trHeight w:val="498"/>
          <w:jc w:val="center"/>
        </w:trPr>
        <w:tc>
          <w:tcPr>
            <w:tcW w:w="4693" w:type="dxa"/>
            <w:tcBorders>
              <w:top w:val="nil"/>
              <w:left w:val="single" w:sz="4" w:space="0" w:color="auto"/>
              <w:bottom w:val="single" w:sz="4" w:space="0" w:color="auto"/>
              <w:right w:val="single" w:sz="4" w:space="0" w:color="auto"/>
            </w:tcBorders>
            <w:shd w:val="clear" w:color="000000" w:fill="E0E0E0"/>
          </w:tcPr>
          <w:p w14:paraId="692615F5"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cs="Arial"/>
                <w:sz w:val="18"/>
                <w:szCs w:val="18"/>
              </w:rPr>
              <w:t>Enseñanza.</w:t>
            </w:r>
          </w:p>
        </w:tc>
        <w:tc>
          <w:tcPr>
            <w:tcW w:w="1090" w:type="dxa"/>
            <w:tcBorders>
              <w:top w:val="nil"/>
              <w:left w:val="nil"/>
              <w:bottom w:val="single" w:sz="4" w:space="0" w:color="auto"/>
              <w:right w:val="single" w:sz="4" w:space="0" w:color="auto"/>
            </w:tcBorders>
            <w:shd w:val="clear" w:color="auto" w:fill="auto"/>
            <w:noWrap/>
          </w:tcPr>
          <w:p w14:paraId="752559ED" w14:textId="7F1CECB2"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2</w:t>
            </w:r>
            <w:r w:rsidR="007F4D40" w:rsidRPr="00CF0F96">
              <w:rPr>
                <w:rFonts w:cs="Arial"/>
                <w:sz w:val="18"/>
                <w:szCs w:val="18"/>
              </w:rPr>
              <w:t>,</w:t>
            </w:r>
            <w:r w:rsidRPr="00CF0F96">
              <w:rPr>
                <w:rFonts w:cs="Arial"/>
                <w:sz w:val="18"/>
                <w:szCs w:val="18"/>
              </w:rPr>
              <w:t>395</w:t>
            </w:r>
          </w:p>
        </w:tc>
        <w:tc>
          <w:tcPr>
            <w:tcW w:w="1090" w:type="dxa"/>
            <w:tcBorders>
              <w:top w:val="nil"/>
              <w:left w:val="nil"/>
              <w:bottom w:val="single" w:sz="4" w:space="0" w:color="auto"/>
              <w:right w:val="single" w:sz="4" w:space="0" w:color="auto"/>
            </w:tcBorders>
            <w:shd w:val="clear" w:color="auto" w:fill="auto"/>
            <w:noWrap/>
          </w:tcPr>
          <w:p w14:paraId="34F7D7F4" w14:textId="031CEBE3"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4</w:t>
            </w:r>
            <w:r w:rsidR="007F4D40" w:rsidRPr="00CF0F96">
              <w:rPr>
                <w:rFonts w:cs="Arial"/>
                <w:sz w:val="18"/>
                <w:szCs w:val="18"/>
              </w:rPr>
              <w:t>,</w:t>
            </w:r>
            <w:r w:rsidRPr="00CF0F96">
              <w:rPr>
                <w:rFonts w:cs="Arial"/>
                <w:sz w:val="18"/>
                <w:szCs w:val="18"/>
              </w:rPr>
              <w:t>190</w:t>
            </w:r>
          </w:p>
        </w:tc>
        <w:tc>
          <w:tcPr>
            <w:tcW w:w="1090" w:type="dxa"/>
            <w:tcBorders>
              <w:top w:val="nil"/>
              <w:left w:val="nil"/>
              <w:bottom w:val="single" w:sz="4" w:space="0" w:color="auto"/>
              <w:right w:val="single" w:sz="4" w:space="0" w:color="auto"/>
            </w:tcBorders>
            <w:shd w:val="clear" w:color="auto" w:fill="auto"/>
            <w:noWrap/>
          </w:tcPr>
          <w:p w14:paraId="2324730D" w14:textId="46463968"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6</w:t>
            </w:r>
            <w:r w:rsidR="007F4D40" w:rsidRPr="00CF0F96">
              <w:rPr>
                <w:rFonts w:cs="Arial"/>
                <w:sz w:val="18"/>
                <w:szCs w:val="18"/>
              </w:rPr>
              <w:t>,</w:t>
            </w:r>
            <w:r w:rsidRPr="00CF0F96">
              <w:rPr>
                <w:rFonts w:cs="Arial"/>
                <w:sz w:val="18"/>
                <w:szCs w:val="18"/>
              </w:rPr>
              <w:t>585</w:t>
            </w:r>
          </w:p>
        </w:tc>
        <w:tc>
          <w:tcPr>
            <w:tcW w:w="1106" w:type="dxa"/>
            <w:tcBorders>
              <w:top w:val="nil"/>
              <w:left w:val="nil"/>
              <w:bottom w:val="single" w:sz="4" w:space="0" w:color="auto"/>
              <w:right w:val="single" w:sz="4" w:space="0" w:color="auto"/>
            </w:tcBorders>
            <w:shd w:val="clear" w:color="auto" w:fill="auto"/>
            <w:noWrap/>
          </w:tcPr>
          <w:p w14:paraId="485E712B"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2.5%</w:t>
            </w:r>
          </w:p>
        </w:tc>
        <w:tc>
          <w:tcPr>
            <w:tcW w:w="1123" w:type="dxa"/>
            <w:tcBorders>
              <w:top w:val="nil"/>
              <w:left w:val="nil"/>
              <w:bottom w:val="single" w:sz="4" w:space="0" w:color="auto"/>
              <w:right w:val="single" w:sz="4" w:space="0" w:color="auto"/>
            </w:tcBorders>
            <w:shd w:val="clear" w:color="auto" w:fill="auto"/>
            <w:noWrap/>
          </w:tcPr>
          <w:p w14:paraId="6A286858"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90.6%</w:t>
            </w:r>
          </w:p>
        </w:tc>
      </w:tr>
      <w:tr w:rsidR="00CF0F96" w:rsidRPr="00CF0F96" w14:paraId="740243C6" w14:textId="77777777" w:rsidTr="005F4A92">
        <w:trPr>
          <w:trHeight w:val="311"/>
          <w:jc w:val="center"/>
        </w:trPr>
        <w:tc>
          <w:tcPr>
            <w:tcW w:w="4693" w:type="dxa"/>
            <w:tcBorders>
              <w:top w:val="nil"/>
              <w:left w:val="single" w:sz="4" w:space="0" w:color="auto"/>
              <w:bottom w:val="single" w:sz="4" w:space="0" w:color="auto"/>
              <w:right w:val="single" w:sz="4" w:space="0" w:color="auto"/>
            </w:tcBorders>
            <w:shd w:val="clear" w:color="000000" w:fill="E0E0E0"/>
          </w:tcPr>
          <w:p w14:paraId="192AD058"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cs="Arial"/>
                <w:sz w:val="18"/>
                <w:szCs w:val="18"/>
              </w:rPr>
              <w:t>Transporte y almacenamiento.</w:t>
            </w:r>
          </w:p>
        </w:tc>
        <w:tc>
          <w:tcPr>
            <w:tcW w:w="1090" w:type="dxa"/>
            <w:tcBorders>
              <w:top w:val="nil"/>
              <w:left w:val="nil"/>
              <w:bottom w:val="single" w:sz="4" w:space="0" w:color="auto"/>
              <w:right w:val="single" w:sz="4" w:space="0" w:color="auto"/>
            </w:tcBorders>
            <w:shd w:val="clear" w:color="auto" w:fill="auto"/>
            <w:noWrap/>
          </w:tcPr>
          <w:p w14:paraId="1A8790E5" w14:textId="6566C71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5</w:t>
            </w:r>
            <w:r w:rsidR="007F4D40" w:rsidRPr="00CF0F96">
              <w:rPr>
                <w:rFonts w:cs="Arial"/>
                <w:sz w:val="18"/>
                <w:szCs w:val="18"/>
              </w:rPr>
              <w:t>,</w:t>
            </w:r>
            <w:r w:rsidRPr="00CF0F96">
              <w:rPr>
                <w:rFonts w:cs="Arial"/>
                <w:sz w:val="18"/>
                <w:szCs w:val="18"/>
              </w:rPr>
              <w:t>834</w:t>
            </w:r>
          </w:p>
        </w:tc>
        <w:tc>
          <w:tcPr>
            <w:tcW w:w="1090" w:type="dxa"/>
            <w:tcBorders>
              <w:top w:val="nil"/>
              <w:left w:val="nil"/>
              <w:bottom w:val="single" w:sz="4" w:space="0" w:color="auto"/>
              <w:right w:val="single" w:sz="4" w:space="0" w:color="auto"/>
            </w:tcBorders>
            <w:shd w:val="clear" w:color="auto" w:fill="auto"/>
            <w:noWrap/>
          </w:tcPr>
          <w:p w14:paraId="5DCE5B42"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544</w:t>
            </w:r>
          </w:p>
        </w:tc>
        <w:tc>
          <w:tcPr>
            <w:tcW w:w="1090" w:type="dxa"/>
            <w:tcBorders>
              <w:top w:val="nil"/>
              <w:left w:val="nil"/>
              <w:bottom w:val="single" w:sz="4" w:space="0" w:color="auto"/>
              <w:right w:val="single" w:sz="4" w:space="0" w:color="auto"/>
            </w:tcBorders>
            <w:shd w:val="clear" w:color="auto" w:fill="auto"/>
            <w:noWrap/>
          </w:tcPr>
          <w:p w14:paraId="508FEA69" w14:textId="00265CFD"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6</w:t>
            </w:r>
            <w:r w:rsidR="007F4D40" w:rsidRPr="00CF0F96">
              <w:rPr>
                <w:rFonts w:cs="Arial"/>
                <w:sz w:val="18"/>
                <w:szCs w:val="18"/>
              </w:rPr>
              <w:t>,</w:t>
            </w:r>
            <w:r w:rsidRPr="00CF0F96">
              <w:rPr>
                <w:rFonts w:cs="Arial"/>
                <w:sz w:val="18"/>
                <w:szCs w:val="18"/>
              </w:rPr>
              <w:t>378</w:t>
            </w:r>
          </w:p>
        </w:tc>
        <w:tc>
          <w:tcPr>
            <w:tcW w:w="1106" w:type="dxa"/>
            <w:tcBorders>
              <w:top w:val="nil"/>
              <w:left w:val="nil"/>
              <w:bottom w:val="single" w:sz="4" w:space="0" w:color="auto"/>
              <w:right w:val="single" w:sz="4" w:space="0" w:color="auto"/>
            </w:tcBorders>
            <w:shd w:val="clear" w:color="auto" w:fill="auto"/>
            <w:noWrap/>
          </w:tcPr>
          <w:p w14:paraId="3C20AC84"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2.5%</w:t>
            </w:r>
          </w:p>
        </w:tc>
        <w:tc>
          <w:tcPr>
            <w:tcW w:w="1123" w:type="dxa"/>
            <w:tcBorders>
              <w:top w:val="nil"/>
              <w:left w:val="nil"/>
              <w:bottom w:val="single" w:sz="4" w:space="0" w:color="auto"/>
              <w:right w:val="single" w:sz="4" w:space="0" w:color="auto"/>
            </w:tcBorders>
            <w:shd w:val="clear" w:color="auto" w:fill="auto"/>
            <w:noWrap/>
          </w:tcPr>
          <w:p w14:paraId="4C870CC8"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93.1%</w:t>
            </w:r>
          </w:p>
        </w:tc>
      </w:tr>
      <w:tr w:rsidR="00CF0F96" w:rsidRPr="00CF0F96" w14:paraId="77278ACC" w14:textId="77777777" w:rsidTr="005F4A92">
        <w:trPr>
          <w:trHeight w:val="498"/>
          <w:jc w:val="center"/>
        </w:trPr>
        <w:tc>
          <w:tcPr>
            <w:tcW w:w="4693" w:type="dxa"/>
            <w:tcBorders>
              <w:top w:val="nil"/>
              <w:left w:val="single" w:sz="4" w:space="0" w:color="auto"/>
              <w:bottom w:val="single" w:sz="4" w:space="0" w:color="auto"/>
              <w:right w:val="single" w:sz="4" w:space="0" w:color="auto"/>
            </w:tcBorders>
            <w:shd w:val="clear" w:color="000000" w:fill="E0E0E0"/>
          </w:tcPr>
          <w:p w14:paraId="15EEEB15"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cs="Arial"/>
                <w:sz w:val="18"/>
                <w:szCs w:val="18"/>
              </w:rPr>
              <w:lastRenderedPageBreak/>
              <w:t>Actividades de los hogares como empleadores y actividades no diferenciadas de los hogares.</w:t>
            </w:r>
          </w:p>
        </w:tc>
        <w:tc>
          <w:tcPr>
            <w:tcW w:w="1090" w:type="dxa"/>
            <w:tcBorders>
              <w:top w:val="nil"/>
              <w:left w:val="nil"/>
              <w:bottom w:val="single" w:sz="4" w:space="0" w:color="auto"/>
              <w:right w:val="single" w:sz="4" w:space="0" w:color="auto"/>
            </w:tcBorders>
            <w:shd w:val="clear" w:color="auto" w:fill="auto"/>
            <w:noWrap/>
          </w:tcPr>
          <w:p w14:paraId="09BD4AB1"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142</w:t>
            </w:r>
          </w:p>
        </w:tc>
        <w:tc>
          <w:tcPr>
            <w:tcW w:w="1090" w:type="dxa"/>
            <w:tcBorders>
              <w:top w:val="nil"/>
              <w:left w:val="nil"/>
              <w:bottom w:val="single" w:sz="4" w:space="0" w:color="auto"/>
              <w:right w:val="single" w:sz="4" w:space="0" w:color="auto"/>
            </w:tcBorders>
            <w:shd w:val="clear" w:color="auto" w:fill="auto"/>
            <w:noWrap/>
          </w:tcPr>
          <w:p w14:paraId="3DE71568" w14:textId="3F539569"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4</w:t>
            </w:r>
            <w:r w:rsidR="007F4D40" w:rsidRPr="00CF0F96">
              <w:rPr>
                <w:rFonts w:cs="Arial"/>
                <w:sz w:val="18"/>
                <w:szCs w:val="18"/>
              </w:rPr>
              <w:t>,</w:t>
            </w:r>
            <w:r w:rsidRPr="00CF0F96">
              <w:rPr>
                <w:rFonts w:cs="Arial"/>
                <w:sz w:val="18"/>
                <w:szCs w:val="18"/>
              </w:rPr>
              <w:t>552</w:t>
            </w:r>
          </w:p>
        </w:tc>
        <w:tc>
          <w:tcPr>
            <w:tcW w:w="1090" w:type="dxa"/>
            <w:tcBorders>
              <w:top w:val="nil"/>
              <w:left w:val="nil"/>
              <w:bottom w:val="single" w:sz="4" w:space="0" w:color="auto"/>
              <w:right w:val="single" w:sz="4" w:space="0" w:color="auto"/>
            </w:tcBorders>
            <w:shd w:val="clear" w:color="auto" w:fill="auto"/>
            <w:noWrap/>
          </w:tcPr>
          <w:p w14:paraId="652D1DF5" w14:textId="715FAF8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4</w:t>
            </w:r>
            <w:r w:rsidR="007F4D40" w:rsidRPr="00CF0F96">
              <w:rPr>
                <w:rFonts w:cs="Arial"/>
                <w:sz w:val="18"/>
                <w:szCs w:val="18"/>
              </w:rPr>
              <w:t>,</w:t>
            </w:r>
            <w:r w:rsidRPr="00CF0F96">
              <w:rPr>
                <w:rFonts w:cs="Arial"/>
                <w:sz w:val="18"/>
                <w:szCs w:val="18"/>
              </w:rPr>
              <w:t>694</w:t>
            </w:r>
          </w:p>
        </w:tc>
        <w:tc>
          <w:tcPr>
            <w:tcW w:w="1106" w:type="dxa"/>
            <w:tcBorders>
              <w:top w:val="nil"/>
              <w:left w:val="nil"/>
              <w:bottom w:val="single" w:sz="4" w:space="0" w:color="auto"/>
              <w:right w:val="single" w:sz="4" w:space="0" w:color="auto"/>
            </w:tcBorders>
            <w:shd w:val="clear" w:color="auto" w:fill="auto"/>
            <w:noWrap/>
          </w:tcPr>
          <w:p w14:paraId="0EE31E6B"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1.8%</w:t>
            </w:r>
          </w:p>
        </w:tc>
        <w:tc>
          <w:tcPr>
            <w:tcW w:w="1123" w:type="dxa"/>
            <w:tcBorders>
              <w:top w:val="nil"/>
              <w:left w:val="nil"/>
              <w:bottom w:val="single" w:sz="4" w:space="0" w:color="auto"/>
              <w:right w:val="single" w:sz="4" w:space="0" w:color="auto"/>
            </w:tcBorders>
            <w:shd w:val="clear" w:color="auto" w:fill="auto"/>
            <w:noWrap/>
          </w:tcPr>
          <w:p w14:paraId="3A129D41"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94.9%</w:t>
            </w:r>
          </w:p>
        </w:tc>
      </w:tr>
      <w:tr w:rsidR="00CF0F96" w:rsidRPr="00CF0F96" w14:paraId="346DEECB" w14:textId="77777777" w:rsidTr="005F4A92">
        <w:trPr>
          <w:trHeight w:val="311"/>
          <w:jc w:val="center"/>
        </w:trPr>
        <w:tc>
          <w:tcPr>
            <w:tcW w:w="4693" w:type="dxa"/>
            <w:tcBorders>
              <w:top w:val="nil"/>
              <w:left w:val="single" w:sz="4" w:space="0" w:color="auto"/>
              <w:bottom w:val="single" w:sz="4" w:space="0" w:color="auto"/>
              <w:right w:val="single" w:sz="4" w:space="0" w:color="auto"/>
            </w:tcBorders>
            <w:shd w:val="clear" w:color="000000" w:fill="E0E0E0"/>
          </w:tcPr>
          <w:p w14:paraId="43049930"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cs="Arial"/>
                <w:sz w:val="18"/>
                <w:szCs w:val="18"/>
              </w:rPr>
              <w:t>Actividades financieras y de seguros.</w:t>
            </w:r>
          </w:p>
        </w:tc>
        <w:tc>
          <w:tcPr>
            <w:tcW w:w="1090" w:type="dxa"/>
            <w:tcBorders>
              <w:top w:val="nil"/>
              <w:left w:val="nil"/>
              <w:bottom w:val="single" w:sz="4" w:space="0" w:color="auto"/>
              <w:right w:val="single" w:sz="4" w:space="0" w:color="auto"/>
            </w:tcBorders>
            <w:shd w:val="clear" w:color="auto" w:fill="auto"/>
            <w:noWrap/>
          </w:tcPr>
          <w:p w14:paraId="2275A1A1" w14:textId="40C8178F"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1</w:t>
            </w:r>
            <w:r w:rsidR="007F4D40" w:rsidRPr="00CF0F96">
              <w:rPr>
                <w:rFonts w:cs="Arial"/>
                <w:sz w:val="18"/>
                <w:szCs w:val="18"/>
              </w:rPr>
              <w:t>,</w:t>
            </w:r>
            <w:r w:rsidRPr="00CF0F96">
              <w:rPr>
                <w:rFonts w:cs="Arial"/>
                <w:sz w:val="18"/>
                <w:szCs w:val="18"/>
              </w:rPr>
              <w:t>365</w:t>
            </w:r>
          </w:p>
        </w:tc>
        <w:tc>
          <w:tcPr>
            <w:tcW w:w="1090" w:type="dxa"/>
            <w:tcBorders>
              <w:top w:val="nil"/>
              <w:left w:val="nil"/>
              <w:bottom w:val="single" w:sz="4" w:space="0" w:color="auto"/>
              <w:right w:val="single" w:sz="4" w:space="0" w:color="auto"/>
            </w:tcBorders>
            <w:shd w:val="clear" w:color="auto" w:fill="auto"/>
            <w:noWrap/>
          </w:tcPr>
          <w:p w14:paraId="15C65324" w14:textId="7D9278D8"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1</w:t>
            </w:r>
            <w:r w:rsidR="007F4D40" w:rsidRPr="00CF0F96">
              <w:rPr>
                <w:rFonts w:cs="Arial"/>
                <w:sz w:val="18"/>
                <w:szCs w:val="18"/>
              </w:rPr>
              <w:t>,</w:t>
            </w:r>
            <w:r w:rsidRPr="00CF0F96">
              <w:rPr>
                <w:rFonts w:cs="Arial"/>
                <w:sz w:val="18"/>
                <w:szCs w:val="18"/>
              </w:rPr>
              <w:t>516</w:t>
            </w:r>
          </w:p>
        </w:tc>
        <w:tc>
          <w:tcPr>
            <w:tcW w:w="1090" w:type="dxa"/>
            <w:tcBorders>
              <w:top w:val="nil"/>
              <w:left w:val="nil"/>
              <w:bottom w:val="single" w:sz="4" w:space="0" w:color="auto"/>
              <w:right w:val="single" w:sz="4" w:space="0" w:color="auto"/>
            </w:tcBorders>
            <w:shd w:val="clear" w:color="auto" w:fill="auto"/>
            <w:noWrap/>
          </w:tcPr>
          <w:p w14:paraId="747041A6" w14:textId="118E4F39"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2</w:t>
            </w:r>
            <w:r w:rsidR="007F4D40" w:rsidRPr="00CF0F96">
              <w:rPr>
                <w:rFonts w:cs="Arial"/>
                <w:sz w:val="18"/>
                <w:szCs w:val="18"/>
              </w:rPr>
              <w:t>,</w:t>
            </w:r>
            <w:r w:rsidRPr="00CF0F96">
              <w:rPr>
                <w:rFonts w:cs="Arial"/>
                <w:sz w:val="18"/>
                <w:szCs w:val="18"/>
              </w:rPr>
              <w:t>881</w:t>
            </w:r>
          </w:p>
        </w:tc>
        <w:tc>
          <w:tcPr>
            <w:tcW w:w="1106" w:type="dxa"/>
            <w:tcBorders>
              <w:top w:val="nil"/>
              <w:left w:val="nil"/>
              <w:bottom w:val="single" w:sz="4" w:space="0" w:color="auto"/>
              <w:right w:val="single" w:sz="4" w:space="0" w:color="auto"/>
            </w:tcBorders>
            <w:shd w:val="clear" w:color="auto" w:fill="auto"/>
            <w:noWrap/>
          </w:tcPr>
          <w:p w14:paraId="119378A4"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1.1%</w:t>
            </w:r>
          </w:p>
        </w:tc>
        <w:tc>
          <w:tcPr>
            <w:tcW w:w="1123" w:type="dxa"/>
            <w:tcBorders>
              <w:top w:val="nil"/>
              <w:left w:val="nil"/>
              <w:bottom w:val="single" w:sz="4" w:space="0" w:color="auto"/>
              <w:right w:val="single" w:sz="4" w:space="0" w:color="auto"/>
            </w:tcBorders>
            <w:shd w:val="clear" w:color="auto" w:fill="auto"/>
            <w:noWrap/>
          </w:tcPr>
          <w:p w14:paraId="6187DE74"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96.0%</w:t>
            </w:r>
          </w:p>
        </w:tc>
      </w:tr>
      <w:tr w:rsidR="00CF0F96" w:rsidRPr="00CF0F96" w14:paraId="403581A1" w14:textId="77777777" w:rsidTr="005F4A92">
        <w:trPr>
          <w:trHeight w:val="498"/>
          <w:jc w:val="center"/>
        </w:trPr>
        <w:tc>
          <w:tcPr>
            <w:tcW w:w="4693" w:type="dxa"/>
            <w:tcBorders>
              <w:top w:val="nil"/>
              <w:left w:val="single" w:sz="4" w:space="0" w:color="auto"/>
              <w:bottom w:val="single" w:sz="4" w:space="0" w:color="auto"/>
              <w:right w:val="single" w:sz="4" w:space="0" w:color="auto"/>
            </w:tcBorders>
            <w:shd w:val="clear" w:color="000000" w:fill="E0E0E0"/>
          </w:tcPr>
          <w:p w14:paraId="786EB5BD"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cs="Arial"/>
                <w:sz w:val="18"/>
                <w:szCs w:val="18"/>
              </w:rPr>
              <w:t>Actividades de servicios administrativos y de apoyo.</w:t>
            </w:r>
          </w:p>
        </w:tc>
        <w:tc>
          <w:tcPr>
            <w:tcW w:w="1090" w:type="dxa"/>
            <w:tcBorders>
              <w:top w:val="nil"/>
              <w:left w:val="nil"/>
              <w:bottom w:val="single" w:sz="4" w:space="0" w:color="auto"/>
              <w:right w:val="single" w:sz="4" w:space="0" w:color="auto"/>
            </w:tcBorders>
            <w:shd w:val="clear" w:color="auto" w:fill="auto"/>
            <w:noWrap/>
          </w:tcPr>
          <w:p w14:paraId="4A3F0540" w14:textId="5AAEFCDA"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1</w:t>
            </w:r>
            <w:r w:rsidR="007F4D40" w:rsidRPr="00CF0F96">
              <w:rPr>
                <w:rFonts w:cs="Arial"/>
                <w:sz w:val="18"/>
                <w:szCs w:val="18"/>
              </w:rPr>
              <w:t>,</w:t>
            </w:r>
            <w:r w:rsidRPr="00CF0F96">
              <w:rPr>
                <w:rFonts w:cs="Arial"/>
                <w:sz w:val="18"/>
                <w:szCs w:val="18"/>
              </w:rPr>
              <w:t>792</w:t>
            </w:r>
          </w:p>
        </w:tc>
        <w:tc>
          <w:tcPr>
            <w:tcW w:w="1090" w:type="dxa"/>
            <w:tcBorders>
              <w:top w:val="nil"/>
              <w:left w:val="nil"/>
              <w:bottom w:val="single" w:sz="4" w:space="0" w:color="auto"/>
              <w:right w:val="single" w:sz="4" w:space="0" w:color="auto"/>
            </w:tcBorders>
            <w:shd w:val="clear" w:color="auto" w:fill="auto"/>
            <w:noWrap/>
          </w:tcPr>
          <w:p w14:paraId="6EB9502C"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764</w:t>
            </w:r>
          </w:p>
        </w:tc>
        <w:tc>
          <w:tcPr>
            <w:tcW w:w="1090" w:type="dxa"/>
            <w:tcBorders>
              <w:top w:val="nil"/>
              <w:left w:val="nil"/>
              <w:bottom w:val="single" w:sz="4" w:space="0" w:color="auto"/>
              <w:right w:val="single" w:sz="4" w:space="0" w:color="auto"/>
            </w:tcBorders>
            <w:shd w:val="clear" w:color="auto" w:fill="auto"/>
            <w:noWrap/>
          </w:tcPr>
          <w:p w14:paraId="5645A5B7" w14:textId="0CFCB06A"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2</w:t>
            </w:r>
            <w:r w:rsidR="007F4D40" w:rsidRPr="00CF0F96">
              <w:rPr>
                <w:rFonts w:cs="Arial"/>
                <w:sz w:val="18"/>
                <w:szCs w:val="18"/>
              </w:rPr>
              <w:t>,</w:t>
            </w:r>
            <w:r w:rsidRPr="00CF0F96">
              <w:rPr>
                <w:rFonts w:cs="Arial"/>
                <w:sz w:val="18"/>
                <w:szCs w:val="18"/>
              </w:rPr>
              <w:t>556</w:t>
            </w:r>
          </w:p>
        </w:tc>
        <w:tc>
          <w:tcPr>
            <w:tcW w:w="1106" w:type="dxa"/>
            <w:tcBorders>
              <w:top w:val="nil"/>
              <w:left w:val="nil"/>
              <w:bottom w:val="single" w:sz="4" w:space="0" w:color="auto"/>
              <w:right w:val="single" w:sz="4" w:space="0" w:color="auto"/>
            </w:tcBorders>
            <w:shd w:val="clear" w:color="auto" w:fill="auto"/>
            <w:noWrap/>
          </w:tcPr>
          <w:p w14:paraId="48F32F87"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1.0%</w:t>
            </w:r>
          </w:p>
        </w:tc>
        <w:tc>
          <w:tcPr>
            <w:tcW w:w="1123" w:type="dxa"/>
            <w:tcBorders>
              <w:top w:val="nil"/>
              <w:left w:val="nil"/>
              <w:bottom w:val="single" w:sz="4" w:space="0" w:color="auto"/>
              <w:right w:val="single" w:sz="4" w:space="0" w:color="auto"/>
            </w:tcBorders>
            <w:shd w:val="clear" w:color="auto" w:fill="auto"/>
            <w:noWrap/>
          </w:tcPr>
          <w:p w14:paraId="347323E9"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97.0%</w:t>
            </w:r>
          </w:p>
        </w:tc>
      </w:tr>
      <w:tr w:rsidR="00CF0F96" w:rsidRPr="00CF0F96" w14:paraId="4473F646" w14:textId="77777777" w:rsidTr="005F4A92">
        <w:trPr>
          <w:trHeight w:val="311"/>
          <w:jc w:val="center"/>
        </w:trPr>
        <w:tc>
          <w:tcPr>
            <w:tcW w:w="4693" w:type="dxa"/>
            <w:tcBorders>
              <w:top w:val="nil"/>
              <w:left w:val="single" w:sz="4" w:space="0" w:color="auto"/>
              <w:bottom w:val="single" w:sz="4" w:space="0" w:color="auto"/>
              <w:right w:val="single" w:sz="4" w:space="0" w:color="auto"/>
            </w:tcBorders>
            <w:shd w:val="clear" w:color="000000" w:fill="E0E0E0"/>
          </w:tcPr>
          <w:p w14:paraId="5FBACB1D"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cs="Arial"/>
                <w:sz w:val="18"/>
                <w:szCs w:val="18"/>
              </w:rPr>
              <w:t>Actividades de atención de la salud humana y de asistencia social.</w:t>
            </w:r>
          </w:p>
        </w:tc>
        <w:tc>
          <w:tcPr>
            <w:tcW w:w="1090" w:type="dxa"/>
            <w:tcBorders>
              <w:top w:val="nil"/>
              <w:left w:val="nil"/>
              <w:bottom w:val="single" w:sz="4" w:space="0" w:color="auto"/>
              <w:right w:val="single" w:sz="4" w:space="0" w:color="auto"/>
            </w:tcBorders>
            <w:shd w:val="clear" w:color="auto" w:fill="auto"/>
            <w:noWrap/>
          </w:tcPr>
          <w:p w14:paraId="1C0EF845"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972</w:t>
            </w:r>
          </w:p>
        </w:tc>
        <w:tc>
          <w:tcPr>
            <w:tcW w:w="1090" w:type="dxa"/>
            <w:tcBorders>
              <w:top w:val="nil"/>
              <w:left w:val="nil"/>
              <w:bottom w:val="single" w:sz="4" w:space="0" w:color="auto"/>
              <w:right w:val="single" w:sz="4" w:space="0" w:color="auto"/>
            </w:tcBorders>
            <w:shd w:val="clear" w:color="auto" w:fill="auto"/>
            <w:noWrap/>
          </w:tcPr>
          <w:p w14:paraId="055735A7" w14:textId="6C7E4185"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1</w:t>
            </w:r>
            <w:r w:rsidR="007F4D40" w:rsidRPr="00CF0F96">
              <w:rPr>
                <w:rFonts w:cs="Arial"/>
                <w:sz w:val="18"/>
                <w:szCs w:val="18"/>
              </w:rPr>
              <w:t>,</w:t>
            </w:r>
            <w:r w:rsidRPr="00CF0F96">
              <w:rPr>
                <w:rFonts w:cs="Arial"/>
                <w:sz w:val="18"/>
                <w:szCs w:val="18"/>
              </w:rPr>
              <w:t>391</w:t>
            </w:r>
          </w:p>
        </w:tc>
        <w:tc>
          <w:tcPr>
            <w:tcW w:w="1090" w:type="dxa"/>
            <w:tcBorders>
              <w:top w:val="nil"/>
              <w:left w:val="nil"/>
              <w:bottom w:val="single" w:sz="4" w:space="0" w:color="auto"/>
              <w:right w:val="single" w:sz="4" w:space="0" w:color="auto"/>
            </w:tcBorders>
            <w:shd w:val="clear" w:color="auto" w:fill="auto"/>
            <w:noWrap/>
          </w:tcPr>
          <w:p w14:paraId="7DB1FF30" w14:textId="5E4D3119"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2</w:t>
            </w:r>
            <w:r w:rsidR="007F4D40" w:rsidRPr="00CF0F96">
              <w:rPr>
                <w:rFonts w:cs="Arial"/>
                <w:sz w:val="18"/>
                <w:szCs w:val="18"/>
              </w:rPr>
              <w:t>,</w:t>
            </w:r>
            <w:r w:rsidRPr="00CF0F96">
              <w:rPr>
                <w:rFonts w:cs="Arial"/>
                <w:sz w:val="18"/>
                <w:szCs w:val="18"/>
              </w:rPr>
              <w:t>363</w:t>
            </w:r>
          </w:p>
        </w:tc>
        <w:tc>
          <w:tcPr>
            <w:tcW w:w="1106" w:type="dxa"/>
            <w:tcBorders>
              <w:top w:val="nil"/>
              <w:left w:val="nil"/>
              <w:bottom w:val="single" w:sz="4" w:space="0" w:color="auto"/>
              <w:right w:val="single" w:sz="4" w:space="0" w:color="auto"/>
            </w:tcBorders>
            <w:shd w:val="clear" w:color="auto" w:fill="auto"/>
            <w:noWrap/>
          </w:tcPr>
          <w:p w14:paraId="3097C522"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0.9%</w:t>
            </w:r>
          </w:p>
        </w:tc>
        <w:tc>
          <w:tcPr>
            <w:tcW w:w="1123" w:type="dxa"/>
            <w:tcBorders>
              <w:top w:val="nil"/>
              <w:left w:val="nil"/>
              <w:bottom w:val="single" w:sz="4" w:space="0" w:color="auto"/>
              <w:right w:val="single" w:sz="4" w:space="0" w:color="auto"/>
            </w:tcBorders>
            <w:shd w:val="clear" w:color="auto" w:fill="auto"/>
            <w:noWrap/>
          </w:tcPr>
          <w:p w14:paraId="49726405"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97.9%</w:t>
            </w:r>
          </w:p>
        </w:tc>
      </w:tr>
      <w:tr w:rsidR="00CF0F96" w:rsidRPr="00CF0F96" w14:paraId="0E63E600" w14:textId="77777777" w:rsidTr="005F4A92">
        <w:trPr>
          <w:trHeight w:val="311"/>
          <w:jc w:val="center"/>
        </w:trPr>
        <w:tc>
          <w:tcPr>
            <w:tcW w:w="4693" w:type="dxa"/>
            <w:tcBorders>
              <w:top w:val="nil"/>
              <w:left w:val="single" w:sz="4" w:space="0" w:color="auto"/>
              <w:bottom w:val="single" w:sz="4" w:space="0" w:color="auto"/>
              <w:right w:val="single" w:sz="4" w:space="0" w:color="auto"/>
            </w:tcBorders>
            <w:shd w:val="clear" w:color="000000" w:fill="E0E0E0"/>
          </w:tcPr>
          <w:p w14:paraId="2FBBA8D5"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cs="Arial"/>
                <w:sz w:val="18"/>
                <w:szCs w:val="18"/>
              </w:rPr>
              <w:t>Actividades profesionales, científicas y técnicas.</w:t>
            </w:r>
          </w:p>
        </w:tc>
        <w:tc>
          <w:tcPr>
            <w:tcW w:w="1090" w:type="dxa"/>
            <w:tcBorders>
              <w:top w:val="nil"/>
              <w:left w:val="nil"/>
              <w:bottom w:val="single" w:sz="4" w:space="0" w:color="auto"/>
              <w:right w:val="single" w:sz="4" w:space="0" w:color="auto"/>
            </w:tcBorders>
            <w:shd w:val="clear" w:color="auto" w:fill="auto"/>
            <w:noWrap/>
          </w:tcPr>
          <w:p w14:paraId="4D48BF35" w14:textId="16692D8D"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1</w:t>
            </w:r>
            <w:r w:rsidR="007F4D40" w:rsidRPr="00CF0F96">
              <w:rPr>
                <w:rFonts w:cs="Arial"/>
                <w:sz w:val="18"/>
                <w:szCs w:val="18"/>
              </w:rPr>
              <w:t>,</w:t>
            </w:r>
            <w:r w:rsidRPr="00CF0F96">
              <w:rPr>
                <w:rFonts w:cs="Arial"/>
                <w:sz w:val="18"/>
                <w:szCs w:val="18"/>
              </w:rPr>
              <w:t>438</w:t>
            </w:r>
          </w:p>
        </w:tc>
        <w:tc>
          <w:tcPr>
            <w:tcW w:w="1090" w:type="dxa"/>
            <w:tcBorders>
              <w:top w:val="nil"/>
              <w:left w:val="nil"/>
              <w:bottom w:val="single" w:sz="4" w:space="0" w:color="auto"/>
              <w:right w:val="single" w:sz="4" w:space="0" w:color="auto"/>
            </w:tcBorders>
            <w:shd w:val="clear" w:color="auto" w:fill="auto"/>
            <w:noWrap/>
          </w:tcPr>
          <w:p w14:paraId="7ADC2732"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363</w:t>
            </w:r>
          </w:p>
        </w:tc>
        <w:tc>
          <w:tcPr>
            <w:tcW w:w="1090" w:type="dxa"/>
            <w:tcBorders>
              <w:top w:val="nil"/>
              <w:left w:val="nil"/>
              <w:bottom w:val="single" w:sz="4" w:space="0" w:color="auto"/>
              <w:right w:val="single" w:sz="4" w:space="0" w:color="auto"/>
            </w:tcBorders>
            <w:shd w:val="clear" w:color="auto" w:fill="auto"/>
            <w:noWrap/>
          </w:tcPr>
          <w:p w14:paraId="6AD8AC49" w14:textId="1401CB9D"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1</w:t>
            </w:r>
            <w:r w:rsidR="007F4D40" w:rsidRPr="00CF0F96">
              <w:rPr>
                <w:rFonts w:cs="Arial"/>
                <w:sz w:val="18"/>
                <w:szCs w:val="18"/>
              </w:rPr>
              <w:t>,</w:t>
            </w:r>
            <w:r w:rsidRPr="00CF0F96">
              <w:rPr>
                <w:rFonts w:cs="Arial"/>
                <w:sz w:val="18"/>
                <w:szCs w:val="18"/>
              </w:rPr>
              <w:t>801</w:t>
            </w:r>
          </w:p>
        </w:tc>
        <w:tc>
          <w:tcPr>
            <w:tcW w:w="1106" w:type="dxa"/>
            <w:tcBorders>
              <w:top w:val="nil"/>
              <w:left w:val="nil"/>
              <w:bottom w:val="single" w:sz="4" w:space="0" w:color="auto"/>
              <w:right w:val="single" w:sz="4" w:space="0" w:color="auto"/>
            </w:tcBorders>
            <w:shd w:val="clear" w:color="auto" w:fill="auto"/>
            <w:noWrap/>
          </w:tcPr>
          <w:p w14:paraId="155667EE"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0.7%</w:t>
            </w:r>
          </w:p>
        </w:tc>
        <w:tc>
          <w:tcPr>
            <w:tcW w:w="1123" w:type="dxa"/>
            <w:tcBorders>
              <w:top w:val="nil"/>
              <w:left w:val="nil"/>
              <w:bottom w:val="single" w:sz="4" w:space="0" w:color="auto"/>
              <w:right w:val="single" w:sz="4" w:space="0" w:color="auto"/>
            </w:tcBorders>
            <w:shd w:val="clear" w:color="auto" w:fill="auto"/>
            <w:noWrap/>
          </w:tcPr>
          <w:p w14:paraId="2EDDCF3B"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98.6%</w:t>
            </w:r>
          </w:p>
        </w:tc>
      </w:tr>
      <w:tr w:rsidR="00CF0F96" w:rsidRPr="00CF0F96" w14:paraId="76485AA7" w14:textId="77777777" w:rsidTr="005F4A92">
        <w:trPr>
          <w:trHeight w:val="311"/>
          <w:jc w:val="center"/>
        </w:trPr>
        <w:tc>
          <w:tcPr>
            <w:tcW w:w="4693" w:type="dxa"/>
            <w:tcBorders>
              <w:top w:val="nil"/>
              <w:left w:val="single" w:sz="4" w:space="0" w:color="auto"/>
              <w:bottom w:val="single" w:sz="4" w:space="0" w:color="auto"/>
              <w:right w:val="single" w:sz="4" w:space="0" w:color="auto"/>
            </w:tcBorders>
            <w:shd w:val="clear" w:color="000000" w:fill="E0E0E0"/>
          </w:tcPr>
          <w:p w14:paraId="297B4021"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cs="Arial"/>
                <w:sz w:val="18"/>
                <w:szCs w:val="18"/>
              </w:rPr>
              <w:t>información y comunicaciones.</w:t>
            </w:r>
          </w:p>
        </w:tc>
        <w:tc>
          <w:tcPr>
            <w:tcW w:w="1090" w:type="dxa"/>
            <w:tcBorders>
              <w:top w:val="nil"/>
              <w:left w:val="nil"/>
              <w:bottom w:val="single" w:sz="4" w:space="0" w:color="auto"/>
              <w:right w:val="single" w:sz="4" w:space="0" w:color="auto"/>
            </w:tcBorders>
            <w:shd w:val="clear" w:color="auto" w:fill="auto"/>
            <w:noWrap/>
          </w:tcPr>
          <w:p w14:paraId="7857F951"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981</w:t>
            </w:r>
          </w:p>
        </w:tc>
        <w:tc>
          <w:tcPr>
            <w:tcW w:w="1090" w:type="dxa"/>
            <w:tcBorders>
              <w:top w:val="nil"/>
              <w:left w:val="nil"/>
              <w:bottom w:val="single" w:sz="4" w:space="0" w:color="auto"/>
              <w:right w:val="single" w:sz="4" w:space="0" w:color="auto"/>
            </w:tcBorders>
            <w:shd w:val="clear" w:color="auto" w:fill="auto"/>
            <w:noWrap/>
          </w:tcPr>
          <w:p w14:paraId="620495A1"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176</w:t>
            </w:r>
          </w:p>
        </w:tc>
        <w:tc>
          <w:tcPr>
            <w:tcW w:w="1090" w:type="dxa"/>
            <w:tcBorders>
              <w:top w:val="nil"/>
              <w:left w:val="nil"/>
              <w:bottom w:val="single" w:sz="4" w:space="0" w:color="auto"/>
              <w:right w:val="single" w:sz="4" w:space="0" w:color="auto"/>
            </w:tcBorders>
            <w:shd w:val="clear" w:color="auto" w:fill="auto"/>
            <w:noWrap/>
          </w:tcPr>
          <w:p w14:paraId="64ED2F68" w14:textId="7A40291E"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1</w:t>
            </w:r>
            <w:r w:rsidR="007F4D40" w:rsidRPr="00CF0F96">
              <w:rPr>
                <w:rFonts w:cs="Arial"/>
                <w:sz w:val="18"/>
                <w:szCs w:val="18"/>
              </w:rPr>
              <w:t>,</w:t>
            </w:r>
            <w:r w:rsidRPr="00CF0F96">
              <w:rPr>
                <w:rFonts w:cs="Arial"/>
                <w:sz w:val="18"/>
                <w:szCs w:val="18"/>
              </w:rPr>
              <w:t>157</w:t>
            </w:r>
          </w:p>
        </w:tc>
        <w:tc>
          <w:tcPr>
            <w:tcW w:w="1106" w:type="dxa"/>
            <w:tcBorders>
              <w:top w:val="nil"/>
              <w:left w:val="nil"/>
              <w:bottom w:val="single" w:sz="4" w:space="0" w:color="auto"/>
              <w:right w:val="single" w:sz="4" w:space="0" w:color="auto"/>
            </w:tcBorders>
            <w:shd w:val="clear" w:color="auto" w:fill="auto"/>
            <w:noWrap/>
          </w:tcPr>
          <w:p w14:paraId="7A409486"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0.4%</w:t>
            </w:r>
          </w:p>
        </w:tc>
        <w:tc>
          <w:tcPr>
            <w:tcW w:w="1123" w:type="dxa"/>
            <w:tcBorders>
              <w:top w:val="nil"/>
              <w:left w:val="nil"/>
              <w:bottom w:val="single" w:sz="4" w:space="0" w:color="auto"/>
              <w:right w:val="single" w:sz="4" w:space="0" w:color="auto"/>
            </w:tcBorders>
            <w:shd w:val="clear" w:color="auto" w:fill="auto"/>
            <w:noWrap/>
          </w:tcPr>
          <w:p w14:paraId="1A8EE087"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99.1%</w:t>
            </w:r>
          </w:p>
        </w:tc>
      </w:tr>
      <w:tr w:rsidR="00CF0F96" w:rsidRPr="00CF0F96" w14:paraId="6D8516EE" w14:textId="77777777" w:rsidTr="005F4A92">
        <w:trPr>
          <w:trHeight w:val="311"/>
          <w:jc w:val="center"/>
        </w:trPr>
        <w:tc>
          <w:tcPr>
            <w:tcW w:w="4693" w:type="dxa"/>
            <w:tcBorders>
              <w:top w:val="nil"/>
              <w:left w:val="single" w:sz="4" w:space="0" w:color="auto"/>
              <w:bottom w:val="single" w:sz="4" w:space="0" w:color="auto"/>
              <w:right w:val="single" w:sz="4" w:space="0" w:color="auto"/>
            </w:tcBorders>
            <w:shd w:val="clear" w:color="000000" w:fill="E0E0E0"/>
          </w:tcPr>
          <w:p w14:paraId="50CAC109"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cs="Arial"/>
                <w:sz w:val="18"/>
                <w:szCs w:val="18"/>
              </w:rPr>
              <w:t>Suministro de agua, evacuación de aguas residuales, gestión de desechos y descontaminación.</w:t>
            </w:r>
          </w:p>
        </w:tc>
        <w:tc>
          <w:tcPr>
            <w:tcW w:w="1090" w:type="dxa"/>
            <w:tcBorders>
              <w:top w:val="nil"/>
              <w:left w:val="nil"/>
              <w:bottom w:val="single" w:sz="4" w:space="0" w:color="auto"/>
              <w:right w:val="single" w:sz="4" w:space="0" w:color="auto"/>
            </w:tcBorders>
            <w:shd w:val="clear" w:color="auto" w:fill="auto"/>
            <w:noWrap/>
          </w:tcPr>
          <w:p w14:paraId="0D5C6697"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730</w:t>
            </w:r>
          </w:p>
        </w:tc>
        <w:tc>
          <w:tcPr>
            <w:tcW w:w="1090" w:type="dxa"/>
            <w:tcBorders>
              <w:top w:val="nil"/>
              <w:left w:val="nil"/>
              <w:bottom w:val="single" w:sz="4" w:space="0" w:color="auto"/>
              <w:right w:val="single" w:sz="4" w:space="0" w:color="auto"/>
            </w:tcBorders>
            <w:shd w:val="clear" w:color="auto" w:fill="auto"/>
            <w:noWrap/>
          </w:tcPr>
          <w:p w14:paraId="2CD86D0C"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384</w:t>
            </w:r>
          </w:p>
        </w:tc>
        <w:tc>
          <w:tcPr>
            <w:tcW w:w="1090" w:type="dxa"/>
            <w:tcBorders>
              <w:top w:val="nil"/>
              <w:left w:val="nil"/>
              <w:bottom w:val="single" w:sz="4" w:space="0" w:color="auto"/>
              <w:right w:val="single" w:sz="4" w:space="0" w:color="auto"/>
            </w:tcBorders>
            <w:shd w:val="clear" w:color="auto" w:fill="auto"/>
            <w:noWrap/>
          </w:tcPr>
          <w:p w14:paraId="05DC3610" w14:textId="1CDF378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1</w:t>
            </w:r>
            <w:r w:rsidR="007F4D40" w:rsidRPr="00CF0F96">
              <w:rPr>
                <w:rFonts w:cs="Arial"/>
                <w:sz w:val="18"/>
                <w:szCs w:val="18"/>
              </w:rPr>
              <w:t>,</w:t>
            </w:r>
            <w:r w:rsidRPr="00CF0F96">
              <w:rPr>
                <w:rFonts w:cs="Arial"/>
                <w:sz w:val="18"/>
                <w:szCs w:val="18"/>
              </w:rPr>
              <w:t>114</w:t>
            </w:r>
          </w:p>
        </w:tc>
        <w:tc>
          <w:tcPr>
            <w:tcW w:w="1106" w:type="dxa"/>
            <w:tcBorders>
              <w:top w:val="nil"/>
              <w:left w:val="nil"/>
              <w:bottom w:val="single" w:sz="4" w:space="0" w:color="auto"/>
              <w:right w:val="single" w:sz="4" w:space="0" w:color="auto"/>
            </w:tcBorders>
            <w:shd w:val="clear" w:color="auto" w:fill="auto"/>
            <w:noWrap/>
          </w:tcPr>
          <w:p w14:paraId="6C12A8F9"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0.4%</w:t>
            </w:r>
          </w:p>
        </w:tc>
        <w:tc>
          <w:tcPr>
            <w:tcW w:w="1123" w:type="dxa"/>
            <w:tcBorders>
              <w:top w:val="nil"/>
              <w:left w:val="nil"/>
              <w:bottom w:val="single" w:sz="4" w:space="0" w:color="auto"/>
              <w:right w:val="single" w:sz="4" w:space="0" w:color="auto"/>
            </w:tcBorders>
            <w:shd w:val="clear" w:color="auto" w:fill="auto"/>
            <w:noWrap/>
          </w:tcPr>
          <w:p w14:paraId="22E95C42"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99.5%</w:t>
            </w:r>
          </w:p>
        </w:tc>
      </w:tr>
      <w:tr w:rsidR="00CF0F96" w:rsidRPr="00CF0F96" w14:paraId="7CA267BD" w14:textId="77777777" w:rsidTr="005F4A92">
        <w:trPr>
          <w:trHeight w:val="311"/>
          <w:jc w:val="center"/>
        </w:trPr>
        <w:tc>
          <w:tcPr>
            <w:tcW w:w="4693" w:type="dxa"/>
            <w:tcBorders>
              <w:top w:val="nil"/>
              <w:left w:val="single" w:sz="4" w:space="0" w:color="auto"/>
              <w:bottom w:val="single" w:sz="4" w:space="0" w:color="auto"/>
              <w:right w:val="single" w:sz="4" w:space="0" w:color="auto"/>
            </w:tcBorders>
            <w:shd w:val="clear" w:color="000000" w:fill="E0E0E0"/>
          </w:tcPr>
          <w:p w14:paraId="25CDA931"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cs="Arial"/>
                <w:sz w:val="18"/>
                <w:szCs w:val="18"/>
              </w:rPr>
              <w:t>Actividades artísticas, de entretenimiento y recreativas.</w:t>
            </w:r>
          </w:p>
        </w:tc>
        <w:tc>
          <w:tcPr>
            <w:tcW w:w="1090" w:type="dxa"/>
            <w:tcBorders>
              <w:top w:val="nil"/>
              <w:left w:val="nil"/>
              <w:bottom w:val="single" w:sz="4" w:space="0" w:color="auto"/>
              <w:right w:val="single" w:sz="4" w:space="0" w:color="auto"/>
            </w:tcBorders>
            <w:shd w:val="clear" w:color="auto" w:fill="auto"/>
            <w:noWrap/>
          </w:tcPr>
          <w:p w14:paraId="5DE072AC"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351</w:t>
            </w:r>
          </w:p>
        </w:tc>
        <w:tc>
          <w:tcPr>
            <w:tcW w:w="1090" w:type="dxa"/>
            <w:tcBorders>
              <w:top w:val="nil"/>
              <w:left w:val="nil"/>
              <w:bottom w:val="single" w:sz="4" w:space="0" w:color="auto"/>
              <w:right w:val="single" w:sz="4" w:space="0" w:color="auto"/>
            </w:tcBorders>
            <w:shd w:val="clear" w:color="auto" w:fill="auto"/>
            <w:noWrap/>
          </w:tcPr>
          <w:p w14:paraId="069C2155"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595</w:t>
            </w:r>
          </w:p>
        </w:tc>
        <w:tc>
          <w:tcPr>
            <w:tcW w:w="1090" w:type="dxa"/>
            <w:tcBorders>
              <w:top w:val="nil"/>
              <w:left w:val="nil"/>
              <w:bottom w:val="single" w:sz="4" w:space="0" w:color="auto"/>
              <w:right w:val="single" w:sz="4" w:space="0" w:color="auto"/>
            </w:tcBorders>
            <w:shd w:val="clear" w:color="auto" w:fill="auto"/>
            <w:noWrap/>
          </w:tcPr>
          <w:p w14:paraId="2EB75C1F"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946</w:t>
            </w:r>
          </w:p>
        </w:tc>
        <w:tc>
          <w:tcPr>
            <w:tcW w:w="1106" w:type="dxa"/>
            <w:tcBorders>
              <w:top w:val="nil"/>
              <w:left w:val="nil"/>
              <w:bottom w:val="single" w:sz="4" w:space="0" w:color="auto"/>
              <w:right w:val="single" w:sz="4" w:space="0" w:color="auto"/>
            </w:tcBorders>
            <w:shd w:val="clear" w:color="auto" w:fill="auto"/>
            <w:noWrap/>
          </w:tcPr>
          <w:p w14:paraId="4B55EB7A"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0.4%</w:t>
            </w:r>
          </w:p>
        </w:tc>
        <w:tc>
          <w:tcPr>
            <w:tcW w:w="1123" w:type="dxa"/>
            <w:tcBorders>
              <w:top w:val="nil"/>
              <w:left w:val="nil"/>
              <w:bottom w:val="single" w:sz="4" w:space="0" w:color="auto"/>
              <w:right w:val="single" w:sz="4" w:space="0" w:color="auto"/>
            </w:tcBorders>
            <w:shd w:val="clear" w:color="auto" w:fill="auto"/>
            <w:noWrap/>
          </w:tcPr>
          <w:p w14:paraId="3A377579"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99.8%</w:t>
            </w:r>
          </w:p>
        </w:tc>
      </w:tr>
      <w:tr w:rsidR="00CF0F96" w:rsidRPr="00CF0F96" w14:paraId="3499A906" w14:textId="77777777" w:rsidTr="005F4A92">
        <w:trPr>
          <w:trHeight w:val="311"/>
          <w:jc w:val="center"/>
        </w:trPr>
        <w:tc>
          <w:tcPr>
            <w:tcW w:w="4693" w:type="dxa"/>
            <w:tcBorders>
              <w:top w:val="nil"/>
              <w:left w:val="single" w:sz="4" w:space="0" w:color="auto"/>
              <w:bottom w:val="single" w:sz="4" w:space="0" w:color="auto"/>
              <w:right w:val="single" w:sz="4" w:space="0" w:color="auto"/>
            </w:tcBorders>
            <w:shd w:val="clear" w:color="000000" w:fill="E0E0E0"/>
          </w:tcPr>
          <w:p w14:paraId="7D72B41E"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cs="Arial"/>
                <w:sz w:val="18"/>
                <w:szCs w:val="18"/>
              </w:rPr>
              <w:t>Actividades inmobiliarias.</w:t>
            </w:r>
          </w:p>
        </w:tc>
        <w:tc>
          <w:tcPr>
            <w:tcW w:w="1090" w:type="dxa"/>
            <w:tcBorders>
              <w:top w:val="nil"/>
              <w:left w:val="nil"/>
              <w:bottom w:val="single" w:sz="4" w:space="0" w:color="auto"/>
              <w:right w:val="single" w:sz="4" w:space="0" w:color="auto"/>
            </w:tcBorders>
            <w:shd w:val="clear" w:color="auto" w:fill="auto"/>
            <w:noWrap/>
          </w:tcPr>
          <w:p w14:paraId="3474E9D8"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149</w:t>
            </w:r>
          </w:p>
        </w:tc>
        <w:tc>
          <w:tcPr>
            <w:tcW w:w="1090" w:type="dxa"/>
            <w:tcBorders>
              <w:top w:val="nil"/>
              <w:left w:val="nil"/>
              <w:bottom w:val="single" w:sz="4" w:space="0" w:color="auto"/>
              <w:right w:val="single" w:sz="4" w:space="0" w:color="auto"/>
            </w:tcBorders>
            <w:shd w:val="clear" w:color="auto" w:fill="auto"/>
            <w:noWrap/>
          </w:tcPr>
          <w:p w14:paraId="043BE28F"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149</w:t>
            </w:r>
          </w:p>
        </w:tc>
        <w:tc>
          <w:tcPr>
            <w:tcW w:w="1090" w:type="dxa"/>
            <w:tcBorders>
              <w:top w:val="nil"/>
              <w:left w:val="nil"/>
              <w:bottom w:val="single" w:sz="4" w:space="0" w:color="auto"/>
              <w:right w:val="single" w:sz="4" w:space="0" w:color="auto"/>
            </w:tcBorders>
            <w:shd w:val="clear" w:color="auto" w:fill="auto"/>
            <w:noWrap/>
          </w:tcPr>
          <w:p w14:paraId="086F2852"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298</w:t>
            </w:r>
          </w:p>
        </w:tc>
        <w:tc>
          <w:tcPr>
            <w:tcW w:w="1106" w:type="dxa"/>
            <w:tcBorders>
              <w:top w:val="nil"/>
              <w:left w:val="nil"/>
              <w:bottom w:val="single" w:sz="4" w:space="0" w:color="auto"/>
              <w:right w:val="single" w:sz="4" w:space="0" w:color="auto"/>
            </w:tcBorders>
            <w:shd w:val="clear" w:color="auto" w:fill="auto"/>
            <w:noWrap/>
          </w:tcPr>
          <w:p w14:paraId="2B6A9740"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0.1%</w:t>
            </w:r>
          </w:p>
        </w:tc>
        <w:tc>
          <w:tcPr>
            <w:tcW w:w="1123" w:type="dxa"/>
            <w:tcBorders>
              <w:top w:val="nil"/>
              <w:left w:val="nil"/>
              <w:bottom w:val="single" w:sz="4" w:space="0" w:color="auto"/>
              <w:right w:val="single" w:sz="4" w:space="0" w:color="auto"/>
            </w:tcBorders>
            <w:shd w:val="clear" w:color="auto" w:fill="auto"/>
            <w:noWrap/>
          </w:tcPr>
          <w:p w14:paraId="33393456"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100.0%</w:t>
            </w:r>
          </w:p>
        </w:tc>
      </w:tr>
      <w:tr w:rsidR="00CF0F96" w:rsidRPr="00CF0F96" w14:paraId="10F54532" w14:textId="77777777" w:rsidTr="005F4A92">
        <w:trPr>
          <w:trHeight w:val="311"/>
          <w:jc w:val="center"/>
        </w:trPr>
        <w:tc>
          <w:tcPr>
            <w:tcW w:w="4693" w:type="dxa"/>
            <w:tcBorders>
              <w:top w:val="single" w:sz="4" w:space="0" w:color="auto"/>
              <w:left w:val="single" w:sz="4" w:space="0" w:color="auto"/>
              <w:bottom w:val="single" w:sz="4" w:space="0" w:color="auto"/>
              <w:right w:val="single" w:sz="4" w:space="0" w:color="auto"/>
            </w:tcBorders>
            <w:shd w:val="clear" w:color="000000" w:fill="E0E0E0"/>
          </w:tcPr>
          <w:p w14:paraId="05F62699"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cs="Arial"/>
                <w:sz w:val="18"/>
                <w:szCs w:val="18"/>
              </w:rPr>
              <w:t>explotación de minas y canteras.</w:t>
            </w:r>
          </w:p>
        </w:tc>
        <w:tc>
          <w:tcPr>
            <w:tcW w:w="1090" w:type="dxa"/>
            <w:tcBorders>
              <w:top w:val="single" w:sz="4" w:space="0" w:color="auto"/>
              <w:left w:val="nil"/>
              <w:bottom w:val="single" w:sz="4" w:space="0" w:color="auto"/>
              <w:right w:val="single" w:sz="4" w:space="0" w:color="auto"/>
            </w:tcBorders>
            <w:shd w:val="clear" w:color="auto" w:fill="auto"/>
            <w:noWrap/>
          </w:tcPr>
          <w:p w14:paraId="4F335FC6"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95</w:t>
            </w:r>
          </w:p>
        </w:tc>
        <w:tc>
          <w:tcPr>
            <w:tcW w:w="1090" w:type="dxa"/>
            <w:tcBorders>
              <w:top w:val="single" w:sz="4" w:space="0" w:color="auto"/>
              <w:left w:val="nil"/>
              <w:bottom w:val="single" w:sz="4" w:space="0" w:color="auto"/>
              <w:right w:val="single" w:sz="4" w:space="0" w:color="auto"/>
            </w:tcBorders>
            <w:shd w:val="clear" w:color="auto" w:fill="auto"/>
            <w:noWrap/>
          </w:tcPr>
          <w:p w14:paraId="00EDFE82"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0</w:t>
            </w:r>
          </w:p>
        </w:tc>
        <w:tc>
          <w:tcPr>
            <w:tcW w:w="1090" w:type="dxa"/>
            <w:tcBorders>
              <w:top w:val="single" w:sz="4" w:space="0" w:color="auto"/>
              <w:left w:val="nil"/>
              <w:bottom w:val="single" w:sz="4" w:space="0" w:color="auto"/>
              <w:right w:val="single" w:sz="4" w:space="0" w:color="auto"/>
            </w:tcBorders>
            <w:shd w:val="clear" w:color="auto" w:fill="auto"/>
            <w:noWrap/>
          </w:tcPr>
          <w:p w14:paraId="454970F5"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95</w:t>
            </w:r>
          </w:p>
        </w:tc>
        <w:tc>
          <w:tcPr>
            <w:tcW w:w="1106" w:type="dxa"/>
            <w:tcBorders>
              <w:top w:val="single" w:sz="4" w:space="0" w:color="auto"/>
              <w:left w:val="nil"/>
              <w:bottom w:val="single" w:sz="4" w:space="0" w:color="auto"/>
              <w:right w:val="single" w:sz="4" w:space="0" w:color="auto"/>
            </w:tcBorders>
            <w:shd w:val="clear" w:color="auto" w:fill="auto"/>
            <w:noWrap/>
          </w:tcPr>
          <w:p w14:paraId="2D7F3588"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0.04%</w:t>
            </w:r>
          </w:p>
        </w:tc>
        <w:tc>
          <w:tcPr>
            <w:tcW w:w="1123" w:type="dxa"/>
            <w:tcBorders>
              <w:top w:val="single" w:sz="4" w:space="0" w:color="auto"/>
              <w:left w:val="nil"/>
              <w:bottom w:val="single" w:sz="4" w:space="0" w:color="auto"/>
              <w:right w:val="single" w:sz="4" w:space="0" w:color="auto"/>
            </w:tcBorders>
            <w:shd w:val="clear" w:color="auto" w:fill="auto"/>
            <w:noWrap/>
          </w:tcPr>
          <w:p w14:paraId="04356F23"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100.0%</w:t>
            </w:r>
          </w:p>
        </w:tc>
      </w:tr>
      <w:tr w:rsidR="00CF0F96" w:rsidRPr="00CF0F96" w14:paraId="5FEEB92A" w14:textId="77777777" w:rsidTr="005F4A92">
        <w:trPr>
          <w:trHeight w:val="311"/>
          <w:jc w:val="center"/>
        </w:trPr>
        <w:tc>
          <w:tcPr>
            <w:tcW w:w="4693" w:type="dxa"/>
            <w:tcBorders>
              <w:top w:val="single" w:sz="4" w:space="0" w:color="auto"/>
              <w:left w:val="single" w:sz="4" w:space="0" w:color="auto"/>
              <w:bottom w:val="single" w:sz="4" w:space="0" w:color="auto"/>
              <w:right w:val="single" w:sz="4" w:space="0" w:color="auto"/>
            </w:tcBorders>
            <w:shd w:val="clear" w:color="000000" w:fill="E0E0E0"/>
            <w:vAlign w:val="bottom"/>
          </w:tcPr>
          <w:p w14:paraId="2C6C3A79" w14:textId="77777777" w:rsidR="006A3DBC" w:rsidRPr="00CF0F96" w:rsidRDefault="006A3DBC" w:rsidP="005F4A92">
            <w:pPr>
              <w:spacing w:after="0" w:line="240" w:lineRule="auto"/>
              <w:jc w:val="both"/>
              <w:rPr>
                <w:rFonts w:cs="Arial"/>
                <w:b/>
                <w:bCs/>
                <w:sz w:val="18"/>
                <w:szCs w:val="18"/>
              </w:rPr>
            </w:pPr>
            <w:r w:rsidRPr="00CF0F96">
              <w:rPr>
                <w:rFonts w:cs="Arial"/>
                <w:b/>
                <w:bCs/>
                <w:sz w:val="18"/>
                <w:szCs w:val="18"/>
              </w:rPr>
              <w:t>Total</w:t>
            </w:r>
          </w:p>
        </w:tc>
        <w:tc>
          <w:tcPr>
            <w:tcW w:w="1090" w:type="dxa"/>
            <w:tcBorders>
              <w:top w:val="single" w:sz="4" w:space="0" w:color="auto"/>
              <w:left w:val="nil"/>
              <w:bottom w:val="single" w:sz="4" w:space="0" w:color="auto"/>
              <w:right w:val="single" w:sz="4" w:space="0" w:color="auto"/>
            </w:tcBorders>
            <w:shd w:val="clear" w:color="auto" w:fill="auto"/>
            <w:noWrap/>
          </w:tcPr>
          <w:p w14:paraId="4F0C0D59" w14:textId="77777777" w:rsidR="006A3DBC" w:rsidRPr="00CF0F96" w:rsidRDefault="006A3DBC" w:rsidP="005F4A92">
            <w:pPr>
              <w:spacing w:after="0" w:line="240" w:lineRule="auto"/>
              <w:jc w:val="center"/>
              <w:rPr>
                <w:rFonts w:eastAsia="Times New Roman" w:cs="Arial"/>
                <w:b/>
                <w:bCs/>
                <w:sz w:val="18"/>
                <w:szCs w:val="18"/>
                <w:lang w:eastAsia="es-SV"/>
              </w:rPr>
            </w:pPr>
            <w:r w:rsidRPr="00CF0F96">
              <w:rPr>
                <w:rFonts w:cs="Arial"/>
                <w:b/>
                <w:bCs/>
                <w:sz w:val="18"/>
                <w:szCs w:val="18"/>
              </w:rPr>
              <w:t>167,592</w:t>
            </w:r>
          </w:p>
        </w:tc>
        <w:tc>
          <w:tcPr>
            <w:tcW w:w="1090" w:type="dxa"/>
            <w:tcBorders>
              <w:top w:val="single" w:sz="4" w:space="0" w:color="auto"/>
              <w:left w:val="nil"/>
              <w:bottom w:val="single" w:sz="4" w:space="0" w:color="auto"/>
              <w:right w:val="single" w:sz="4" w:space="0" w:color="auto"/>
            </w:tcBorders>
            <w:shd w:val="clear" w:color="auto" w:fill="auto"/>
            <w:noWrap/>
          </w:tcPr>
          <w:p w14:paraId="1C68DD8F" w14:textId="77777777" w:rsidR="006A3DBC" w:rsidRPr="00CF0F96" w:rsidRDefault="006A3DBC" w:rsidP="005F4A92">
            <w:pPr>
              <w:spacing w:after="0" w:line="240" w:lineRule="auto"/>
              <w:jc w:val="center"/>
              <w:rPr>
                <w:rFonts w:eastAsia="Times New Roman" w:cs="Arial"/>
                <w:b/>
                <w:bCs/>
                <w:sz w:val="18"/>
                <w:szCs w:val="18"/>
                <w:lang w:eastAsia="es-SV"/>
              </w:rPr>
            </w:pPr>
            <w:r w:rsidRPr="00CF0F96">
              <w:rPr>
                <w:rFonts w:cs="Arial"/>
                <w:b/>
                <w:bCs/>
                <w:sz w:val="18"/>
                <w:szCs w:val="18"/>
              </w:rPr>
              <w:t>91,955</w:t>
            </w:r>
          </w:p>
        </w:tc>
        <w:tc>
          <w:tcPr>
            <w:tcW w:w="1090" w:type="dxa"/>
            <w:tcBorders>
              <w:top w:val="single" w:sz="4" w:space="0" w:color="auto"/>
              <w:left w:val="nil"/>
              <w:bottom w:val="single" w:sz="4" w:space="0" w:color="auto"/>
              <w:right w:val="single" w:sz="4" w:space="0" w:color="auto"/>
            </w:tcBorders>
            <w:shd w:val="clear" w:color="auto" w:fill="auto"/>
            <w:noWrap/>
          </w:tcPr>
          <w:p w14:paraId="7E0882B3" w14:textId="77777777" w:rsidR="006A3DBC" w:rsidRPr="00CF0F96" w:rsidRDefault="006A3DBC" w:rsidP="005F4A92">
            <w:pPr>
              <w:spacing w:after="0" w:line="240" w:lineRule="auto"/>
              <w:jc w:val="center"/>
              <w:rPr>
                <w:rFonts w:eastAsia="Times New Roman" w:cs="Arial"/>
                <w:b/>
                <w:bCs/>
                <w:sz w:val="18"/>
                <w:szCs w:val="18"/>
                <w:lang w:eastAsia="es-SV"/>
              </w:rPr>
            </w:pPr>
            <w:r w:rsidRPr="00CF0F96">
              <w:rPr>
                <w:rFonts w:cs="Arial"/>
                <w:b/>
                <w:bCs/>
                <w:sz w:val="18"/>
                <w:szCs w:val="18"/>
              </w:rPr>
              <w:t>259,547</w:t>
            </w:r>
          </w:p>
        </w:tc>
        <w:tc>
          <w:tcPr>
            <w:tcW w:w="1106" w:type="dxa"/>
            <w:tcBorders>
              <w:top w:val="single" w:sz="4" w:space="0" w:color="auto"/>
              <w:left w:val="nil"/>
              <w:bottom w:val="single" w:sz="4" w:space="0" w:color="auto"/>
              <w:right w:val="single" w:sz="4" w:space="0" w:color="auto"/>
            </w:tcBorders>
            <w:shd w:val="clear" w:color="auto" w:fill="auto"/>
            <w:noWrap/>
          </w:tcPr>
          <w:p w14:paraId="278AFF5F" w14:textId="77777777" w:rsidR="006A3DBC" w:rsidRPr="00CF0F96" w:rsidRDefault="006A3DBC" w:rsidP="005F4A92">
            <w:pPr>
              <w:spacing w:after="0" w:line="240" w:lineRule="auto"/>
              <w:jc w:val="center"/>
              <w:rPr>
                <w:rFonts w:eastAsia="Times New Roman" w:cs="Arial"/>
                <w:b/>
                <w:bCs/>
                <w:sz w:val="18"/>
                <w:szCs w:val="18"/>
                <w:lang w:eastAsia="es-SV"/>
              </w:rPr>
            </w:pPr>
            <w:r w:rsidRPr="00CF0F96">
              <w:rPr>
                <w:rFonts w:cs="Arial"/>
                <w:b/>
                <w:bCs/>
                <w:sz w:val="18"/>
                <w:szCs w:val="18"/>
              </w:rPr>
              <w:t>100.0%</w:t>
            </w:r>
          </w:p>
        </w:tc>
        <w:tc>
          <w:tcPr>
            <w:tcW w:w="1123" w:type="dxa"/>
            <w:tcBorders>
              <w:top w:val="single" w:sz="4" w:space="0" w:color="auto"/>
              <w:left w:val="nil"/>
              <w:bottom w:val="single" w:sz="4" w:space="0" w:color="auto"/>
              <w:right w:val="single" w:sz="4" w:space="0" w:color="auto"/>
            </w:tcBorders>
            <w:shd w:val="clear" w:color="auto" w:fill="auto"/>
            <w:noWrap/>
          </w:tcPr>
          <w:p w14:paraId="1A739A2F" w14:textId="77777777" w:rsidR="006A3DBC" w:rsidRPr="00CF0F96" w:rsidRDefault="006A3DBC" w:rsidP="005F4A92">
            <w:pPr>
              <w:spacing w:after="0" w:line="240" w:lineRule="auto"/>
              <w:jc w:val="center"/>
              <w:rPr>
                <w:rFonts w:eastAsia="Times New Roman" w:cs="Arial"/>
                <w:b/>
                <w:bCs/>
                <w:sz w:val="18"/>
                <w:szCs w:val="18"/>
                <w:lang w:eastAsia="es-SV"/>
              </w:rPr>
            </w:pPr>
          </w:p>
        </w:tc>
      </w:tr>
      <w:tr w:rsidR="00CF0F96" w:rsidRPr="00CF0F96" w14:paraId="748ADA20" w14:textId="77777777" w:rsidTr="005F4A92">
        <w:trPr>
          <w:trHeight w:val="311"/>
          <w:jc w:val="center"/>
        </w:trPr>
        <w:tc>
          <w:tcPr>
            <w:tcW w:w="4693" w:type="dxa"/>
            <w:tcBorders>
              <w:top w:val="single" w:sz="4" w:space="0" w:color="auto"/>
              <w:left w:val="single" w:sz="4" w:space="0" w:color="auto"/>
              <w:bottom w:val="single" w:sz="4" w:space="0" w:color="auto"/>
              <w:right w:val="single" w:sz="4" w:space="0" w:color="auto"/>
            </w:tcBorders>
            <w:shd w:val="clear" w:color="000000" w:fill="E0E0E0"/>
            <w:vAlign w:val="bottom"/>
          </w:tcPr>
          <w:p w14:paraId="64427405" w14:textId="77777777" w:rsidR="006A3DBC" w:rsidRPr="00CF0F96" w:rsidRDefault="006A3DBC" w:rsidP="005F4A92">
            <w:pPr>
              <w:spacing w:after="0" w:line="240" w:lineRule="auto"/>
              <w:jc w:val="both"/>
              <w:rPr>
                <w:rFonts w:cs="Arial"/>
                <w:b/>
                <w:bCs/>
                <w:sz w:val="18"/>
                <w:szCs w:val="18"/>
              </w:rPr>
            </w:pPr>
            <w:r w:rsidRPr="00CF0F96">
              <w:rPr>
                <w:rFonts w:cs="Arial"/>
                <w:sz w:val="18"/>
                <w:szCs w:val="18"/>
              </w:rPr>
              <w:t>Porcentajes totales.</w:t>
            </w:r>
          </w:p>
        </w:tc>
        <w:tc>
          <w:tcPr>
            <w:tcW w:w="1090" w:type="dxa"/>
            <w:tcBorders>
              <w:top w:val="single" w:sz="4" w:space="0" w:color="auto"/>
              <w:left w:val="nil"/>
              <w:bottom w:val="single" w:sz="4" w:space="0" w:color="auto"/>
              <w:right w:val="single" w:sz="4" w:space="0" w:color="auto"/>
            </w:tcBorders>
            <w:shd w:val="clear" w:color="auto" w:fill="auto"/>
            <w:noWrap/>
            <w:vAlign w:val="bottom"/>
          </w:tcPr>
          <w:p w14:paraId="6469D601" w14:textId="77777777" w:rsidR="006A3DBC" w:rsidRPr="00CF0F96" w:rsidRDefault="006A3DBC" w:rsidP="005F4A92">
            <w:pPr>
              <w:spacing w:after="0" w:line="240" w:lineRule="auto"/>
              <w:jc w:val="center"/>
              <w:rPr>
                <w:rFonts w:cs="Arial"/>
                <w:sz w:val="18"/>
                <w:szCs w:val="18"/>
              </w:rPr>
            </w:pPr>
            <w:r w:rsidRPr="00CF0F96">
              <w:rPr>
                <w:rFonts w:cs="Arial"/>
                <w:sz w:val="18"/>
                <w:szCs w:val="18"/>
              </w:rPr>
              <w:t>64.6%</w:t>
            </w:r>
          </w:p>
        </w:tc>
        <w:tc>
          <w:tcPr>
            <w:tcW w:w="1090" w:type="dxa"/>
            <w:tcBorders>
              <w:top w:val="single" w:sz="4" w:space="0" w:color="auto"/>
              <w:left w:val="nil"/>
              <w:bottom w:val="single" w:sz="4" w:space="0" w:color="auto"/>
              <w:right w:val="single" w:sz="4" w:space="0" w:color="auto"/>
            </w:tcBorders>
            <w:shd w:val="clear" w:color="auto" w:fill="auto"/>
            <w:noWrap/>
            <w:vAlign w:val="bottom"/>
          </w:tcPr>
          <w:p w14:paraId="4B43DDAC" w14:textId="77777777" w:rsidR="006A3DBC" w:rsidRPr="00CF0F96" w:rsidRDefault="006A3DBC" w:rsidP="005F4A92">
            <w:pPr>
              <w:spacing w:after="0" w:line="240" w:lineRule="auto"/>
              <w:jc w:val="center"/>
              <w:rPr>
                <w:rFonts w:cs="Arial"/>
                <w:sz w:val="18"/>
                <w:szCs w:val="18"/>
              </w:rPr>
            </w:pPr>
            <w:r w:rsidRPr="00CF0F96">
              <w:rPr>
                <w:rFonts w:cs="Arial"/>
                <w:sz w:val="18"/>
                <w:szCs w:val="18"/>
              </w:rPr>
              <w:t>35%</w:t>
            </w:r>
          </w:p>
        </w:tc>
        <w:tc>
          <w:tcPr>
            <w:tcW w:w="1090" w:type="dxa"/>
            <w:tcBorders>
              <w:top w:val="single" w:sz="4" w:space="0" w:color="auto"/>
              <w:left w:val="nil"/>
              <w:bottom w:val="single" w:sz="4" w:space="0" w:color="auto"/>
              <w:right w:val="single" w:sz="4" w:space="0" w:color="auto"/>
            </w:tcBorders>
            <w:shd w:val="clear" w:color="auto" w:fill="auto"/>
            <w:noWrap/>
            <w:vAlign w:val="bottom"/>
          </w:tcPr>
          <w:p w14:paraId="059BEC40" w14:textId="77777777" w:rsidR="006A3DBC" w:rsidRPr="00CF0F96" w:rsidRDefault="006A3DBC" w:rsidP="005F4A92">
            <w:pPr>
              <w:spacing w:after="0" w:line="240" w:lineRule="auto"/>
              <w:jc w:val="center"/>
              <w:rPr>
                <w:rFonts w:cs="Arial"/>
                <w:sz w:val="18"/>
                <w:szCs w:val="18"/>
              </w:rPr>
            </w:pPr>
          </w:p>
        </w:tc>
        <w:tc>
          <w:tcPr>
            <w:tcW w:w="1106" w:type="dxa"/>
            <w:tcBorders>
              <w:top w:val="single" w:sz="4" w:space="0" w:color="auto"/>
              <w:left w:val="nil"/>
              <w:bottom w:val="single" w:sz="4" w:space="0" w:color="auto"/>
              <w:right w:val="single" w:sz="4" w:space="0" w:color="auto"/>
            </w:tcBorders>
            <w:shd w:val="clear" w:color="auto" w:fill="auto"/>
            <w:noWrap/>
            <w:vAlign w:val="bottom"/>
          </w:tcPr>
          <w:p w14:paraId="49C301C8" w14:textId="77777777" w:rsidR="006A3DBC" w:rsidRPr="00CF0F96" w:rsidRDefault="006A3DBC" w:rsidP="005F4A92">
            <w:pPr>
              <w:spacing w:after="0" w:line="240" w:lineRule="auto"/>
              <w:jc w:val="center"/>
              <w:rPr>
                <w:rFonts w:cs="Arial"/>
                <w:sz w:val="18"/>
                <w:szCs w:val="18"/>
              </w:rPr>
            </w:pPr>
            <w:r w:rsidRPr="00CF0F96">
              <w:rPr>
                <w:rFonts w:cs="Arial"/>
                <w:sz w:val="18"/>
                <w:szCs w:val="18"/>
              </w:rPr>
              <w:t>100%</w:t>
            </w:r>
          </w:p>
        </w:tc>
        <w:tc>
          <w:tcPr>
            <w:tcW w:w="1123" w:type="dxa"/>
            <w:tcBorders>
              <w:top w:val="single" w:sz="4" w:space="0" w:color="auto"/>
              <w:left w:val="nil"/>
              <w:bottom w:val="single" w:sz="4" w:space="0" w:color="auto"/>
              <w:right w:val="single" w:sz="4" w:space="0" w:color="auto"/>
            </w:tcBorders>
            <w:shd w:val="clear" w:color="auto" w:fill="auto"/>
            <w:noWrap/>
            <w:vAlign w:val="bottom"/>
          </w:tcPr>
          <w:p w14:paraId="592827C7" w14:textId="77777777" w:rsidR="006A3DBC" w:rsidRPr="00CF0F96" w:rsidRDefault="006A3DBC" w:rsidP="005F4A92">
            <w:pPr>
              <w:spacing w:after="0" w:line="240" w:lineRule="auto"/>
              <w:jc w:val="center"/>
              <w:rPr>
                <w:rFonts w:cs="Arial"/>
                <w:sz w:val="18"/>
                <w:szCs w:val="18"/>
              </w:rPr>
            </w:pPr>
          </w:p>
        </w:tc>
      </w:tr>
    </w:tbl>
    <w:p w14:paraId="0DDEFFDB" w14:textId="77777777" w:rsidR="006A3DBC" w:rsidRPr="00FA4B2D" w:rsidRDefault="006A3DBC" w:rsidP="006A3DBC">
      <w:pPr>
        <w:spacing w:line="240" w:lineRule="auto"/>
        <w:ind w:left="708"/>
        <w:jc w:val="both"/>
        <w:rPr>
          <w:rFonts w:cs="Arial"/>
          <w:sz w:val="20"/>
          <w:szCs w:val="20"/>
        </w:rPr>
      </w:pPr>
      <w:r w:rsidRPr="00FA4B2D">
        <w:rPr>
          <w:rFonts w:cs="Arial"/>
          <w:b/>
          <w:bCs/>
          <w:sz w:val="20"/>
          <w:szCs w:val="20"/>
        </w:rPr>
        <w:t>Fuente</w:t>
      </w:r>
      <w:r w:rsidRPr="00FA4B2D">
        <w:rPr>
          <w:rFonts w:cs="Arial"/>
          <w:sz w:val="20"/>
          <w:szCs w:val="20"/>
        </w:rPr>
        <w:t>: elaboración propia con base a tabulados de la Encuesta de Hogares, INE 2019.</w:t>
      </w:r>
    </w:p>
    <w:p w14:paraId="3F0A1C59" w14:textId="77777777" w:rsidR="006A3DBC" w:rsidRPr="00FA4B2D" w:rsidRDefault="006A3DBC" w:rsidP="00411720">
      <w:pPr>
        <w:pStyle w:val="Prrafodelista"/>
        <w:numPr>
          <w:ilvl w:val="0"/>
          <w:numId w:val="103"/>
        </w:numPr>
        <w:rPr>
          <w:rFonts w:cs="Arial"/>
          <w:i/>
          <w:iCs/>
          <w:szCs w:val="24"/>
        </w:rPr>
      </w:pPr>
      <w:bookmarkStart w:id="678" w:name="_Toc536569496"/>
      <w:r w:rsidRPr="00FA4B2D">
        <w:rPr>
          <w:rFonts w:cs="Arial"/>
          <w:i/>
          <w:iCs/>
          <w:szCs w:val="24"/>
        </w:rPr>
        <w:t>Departamento de Valle</w:t>
      </w:r>
      <w:bookmarkEnd w:id="678"/>
    </w:p>
    <w:p w14:paraId="01EE471F" w14:textId="77777777" w:rsidR="006A3DBC" w:rsidRPr="00FA4B2D" w:rsidRDefault="006A3DBC" w:rsidP="006A3DBC">
      <w:pPr>
        <w:jc w:val="both"/>
        <w:rPr>
          <w:rFonts w:cs="Arial"/>
          <w:lang w:val="es-ES_tradnl"/>
        </w:rPr>
      </w:pPr>
      <w:r w:rsidRPr="00FA4B2D">
        <w:rPr>
          <w:rFonts w:cs="Arial"/>
          <w:lang w:val="es-ES_tradnl"/>
        </w:rPr>
        <w:t>El departamento de Valle tiene una extensión territorial de 1,665 km², dentro de su población, aunque el INE identifica indígenas de diferentes pueblos, estos no tienen un arraigo histórico con el territorio, más bien son migrantes de otros departamentos. El territorio está dividido en 9 municipios, 86 aldeas y 781 caseríos, sus municipios importantes son Nacaome, Amapala y San Lorenzo.</w:t>
      </w:r>
    </w:p>
    <w:p w14:paraId="2921D00D" w14:textId="3D2BFCD8" w:rsidR="00EF7331" w:rsidRDefault="00EF7331" w:rsidP="00EF7331">
      <w:pPr>
        <w:pStyle w:val="Descripcin"/>
        <w:keepNext/>
        <w:jc w:val="center"/>
      </w:pPr>
      <w:bookmarkStart w:id="679" w:name="_Toc202455588"/>
      <w:r>
        <w:t xml:space="preserve">Ilustración </w:t>
      </w:r>
      <w:r>
        <w:fldChar w:fldCharType="begin"/>
      </w:r>
      <w:r>
        <w:instrText xml:space="preserve"> SEQ Ilustración \* ARABIC </w:instrText>
      </w:r>
      <w:r>
        <w:fldChar w:fldCharType="separate"/>
      </w:r>
      <w:r w:rsidR="00F94AC4">
        <w:rPr>
          <w:noProof/>
        </w:rPr>
        <w:t>26</w:t>
      </w:r>
      <w:r>
        <w:fldChar w:fldCharType="end"/>
      </w:r>
      <w:r>
        <w:t>:</w:t>
      </w:r>
      <w:r w:rsidRPr="00A36822">
        <w:t>Mapa del departamento de Valle</w:t>
      </w:r>
      <w:bookmarkEnd w:id="679"/>
    </w:p>
    <w:p w14:paraId="69912C25" w14:textId="77777777" w:rsidR="006A3DBC" w:rsidRPr="00FA4B2D" w:rsidRDefault="006A3DBC" w:rsidP="006A3DBC">
      <w:pPr>
        <w:jc w:val="center"/>
        <w:rPr>
          <w:rFonts w:cs="Arial"/>
          <w:b/>
          <w:lang w:val="es-ES_tradnl"/>
        </w:rPr>
      </w:pPr>
      <w:r w:rsidRPr="00FA4B2D">
        <w:rPr>
          <w:rFonts w:cs="Arial"/>
          <w:noProof/>
          <w:lang w:val="es-HN" w:eastAsia="es-HN"/>
        </w:rPr>
        <w:drawing>
          <wp:inline distT="0" distB="0" distL="0" distR="0" wp14:anchorId="458813DC" wp14:editId="0558A0AF">
            <wp:extent cx="2657475" cy="2938987"/>
            <wp:effectExtent l="0" t="0" r="0" b="0"/>
            <wp:docPr id="35" name="Picture 35" descr="Resultado de imagen para mapa carreteras departamento de valle hondu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61">
                      <a:extLst>
                        <a:ext uri="{28A0092B-C50C-407E-A947-70E740481C1C}">
                          <a14:useLocalDpi xmlns:a14="http://schemas.microsoft.com/office/drawing/2010/main" val="0"/>
                        </a:ext>
                      </a:extLst>
                    </a:blip>
                    <a:stretch>
                      <a:fillRect/>
                    </a:stretch>
                  </pic:blipFill>
                  <pic:spPr>
                    <a:xfrm>
                      <a:off x="0" y="0"/>
                      <a:ext cx="2657475" cy="2938987"/>
                    </a:xfrm>
                    <a:prstGeom prst="rect">
                      <a:avLst/>
                    </a:prstGeom>
                  </pic:spPr>
                </pic:pic>
              </a:graphicData>
            </a:graphic>
          </wp:inline>
        </w:drawing>
      </w:r>
    </w:p>
    <w:p w14:paraId="0157767D" w14:textId="77777777" w:rsidR="006A3DBC" w:rsidRPr="00FA4B2D" w:rsidRDefault="006A3DBC" w:rsidP="006A3DBC">
      <w:pPr>
        <w:jc w:val="both"/>
        <w:rPr>
          <w:rFonts w:cs="Arial"/>
          <w:lang w:val="es-ES_tradnl"/>
        </w:rPr>
      </w:pPr>
      <w:r w:rsidRPr="00FA4B2D">
        <w:rPr>
          <w:rFonts w:cs="Arial"/>
          <w:lang w:val="es-ES_tradnl"/>
        </w:rPr>
        <w:lastRenderedPageBreak/>
        <w:t>La actividad económica del departamento se basa en la cría de </w:t>
      </w:r>
      <w:r w:rsidRPr="00FA4B2D">
        <w:rPr>
          <w:rFonts w:cs="Arial"/>
        </w:rPr>
        <w:t>camarones,</w:t>
      </w:r>
      <w:r w:rsidRPr="00FA4B2D">
        <w:rPr>
          <w:rFonts w:cs="Arial"/>
          <w:lang w:val="es-ES_tradnl"/>
        </w:rPr>
        <w:t>con la cría de </w:t>
      </w:r>
      <w:r w:rsidRPr="00FA4B2D">
        <w:rPr>
          <w:rFonts w:cs="Arial"/>
        </w:rPr>
        <w:t>ganado vacuno</w:t>
      </w:r>
      <w:r w:rsidRPr="00FA4B2D">
        <w:rPr>
          <w:rFonts w:cs="Arial"/>
          <w:lang w:val="es-ES_tradnl"/>
        </w:rPr>
        <w:t>, porcino y caprino, la </w:t>
      </w:r>
      <w:r w:rsidRPr="00FA4B2D">
        <w:rPr>
          <w:rFonts w:cs="Arial"/>
        </w:rPr>
        <w:t>industria</w:t>
      </w:r>
      <w:r w:rsidRPr="00FA4B2D">
        <w:rPr>
          <w:rFonts w:cs="Arial"/>
          <w:lang w:val="es-ES_tradnl"/>
        </w:rPr>
        <w:t> salinera, el </w:t>
      </w:r>
      <w:hyperlink r:id="rId62" w:tooltip="Turismo" w:history="1">
        <w:r w:rsidRPr="00FA4B2D">
          <w:rPr>
            <w:rFonts w:cs="Arial"/>
          </w:rPr>
          <w:t>turismo</w:t>
        </w:r>
      </w:hyperlink>
      <w:r w:rsidRPr="00FA4B2D">
        <w:rPr>
          <w:rFonts w:cs="Arial"/>
          <w:lang w:val="es-ES_tradnl"/>
        </w:rPr>
        <w:t> y la </w:t>
      </w:r>
      <w:hyperlink r:id="rId63" w:tooltip="Agricultura" w:history="1">
        <w:r w:rsidRPr="00FA4B2D">
          <w:rPr>
            <w:rFonts w:cs="Arial"/>
          </w:rPr>
          <w:t>agricultura</w:t>
        </w:r>
      </w:hyperlink>
      <w:r w:rsidRPr="00FA4B2D">
        <w:rPr>
          <w:rFonts w:cs="Arial"/>
          <w:lang w:val="es-ES_tradnl"/>
        </w:rPr>
        <w:t xml:space="preserve"> con la siembra de: </w:t>
      </w:r>
      <w:hyperlink r:id="rId64" w:tooltip="Melón" w:history="1">
        <w:r w:rsidRPr="00FA4B2D">
          <w:rPr>
            <w:rFonts w:cs="Arial"/>
          </w:rPr>
          <w:t>melón</w:t>
        </w:r>
      </w:hyperlink>
      <w:r w:rsidRPr="00FA4B2D">
        <w:rPr>
          <w:rFonts w:cs="Arial"/>
        </w:rPr>
        <w:t xml:space="preserve">, </w:t>
      </w:r>
      <w:hyperlink r:id="rId65" w:tooltip="Sandia" w:history="1">
        <w:r w:rsidRPr="00FA4B2D">
          <w:rPr>
            <w:rFonts w:cs="Arial"/>
          </w:rPr>
          <w:t>sandía</w:t>
        </w:r>
      </w:hyperlink>
      <w:r w:rsidRPr="00FA4B2D">
        <w:rPr>
          <w:rFonts w:cs="Arial"/>
          <w:lang w:val="es-ES_tradnl"/>
        </w:rPr>
        <w:t xml:space="preserve">, </w:t>
      </w:r>
      <w:r w:rsidRPr="00FA4B2D">
        <w:rPr>
          <w:rFonts w:cs="Arial"/>
        </w:rPr>
        <w:t xml:space="preserve">sorgo y </w:t>
      </w:r>
      <w:hyperlink r:id="rId66" w:tooltip="Caña de azúcar" w:history="1">
        <w:r w:rsidRPr="00FA4B2D">
          <w:rPr>
            <w:rFonts w:cs="Arial"/>
          </w:rPr>
          <w:t>caña de azúcar</w:t>
        </w:r>
      </w:hyperlink>
      <w:r w:rsidRPr="00FA4B2D">
        <w:rPr>
          <w:rFonts w:cs="Arial"/>
          <w:lang w:val="es-ES_tradnl"/>
        </w:rPr>
        <w:t>. La </w:t>
      </w:r>
      <w:hyperlink r:id="rId67" w:tooltip="Industria" w:history="1">
        <w:r w:rsidRPr="00FA4B2D">
          <w:rPr>
            <w:rFonts w:cs="Arial"/>
            <w:lang w:val="es-ES_tradnl"/>
          </w:rPr>
          <w:t>industria</w:t>
        </w:r>
      </w:hyperlink>
      <w:r w:rsidRPr="00FA4B2D">
        <w:rPr>
          <w:rFonts w:cs="Arial"/>
          <w:lang w:val="es-ES_tradnl"/>
        </w:rPr>
        <w:t>  consiste en la manufactura de artículos agropecuarios y manufactura de sal - aquí está localizado el único puerto que tiene </w:t>
      </w:r>
      <w:hyperlink r:id="rId68" w:tooltip="Honduras" w:history="1">
        <w:r w:rsidRPr="00FA4B2D">
          <w:rPr>
            <w:rFonts w:cs="Arial"/>
            <w:lang w:val="es-ES_tradnl"/>
          </w:rPr>
          <w:t>Honduras</w:t>
        </w:r>
      </w:hyperlink>
      <w:r w:rsidRPr="00FA4B2D">
        <w:rPr>
          <w:rFonts w:cs="Arial"/>
          <w:lang w:val="es-ES_tradnl"/>
        </w:rPr>
        <w:t> al </w:t>
      </w:r>
      <w:hyperlink r:id="rId69" w:tooltip="Sur" w:history="1">
        <w:r w:rsidRPr="00FA4B2D">
          <w:rPr>
            <w:rFonts w:cs="Arial"/>
            <w:lang w:val="es-ES_tradnl"/>
          </w:rPr>
          <w:t>sur</w:t>
        </w:r>
      </w:hyperlink>
      <w:r w:rsidRPr="00FA4B2D">
        <w:rPr>
          <w:rFonts w:cs="Arial"/>
          <w:lang w:val="es-ES_tradnl"/>
        </w:rPr>
        <w:t> en el </w:t>
      </w:r>
      <w:hyperlink r:id="rId70" w:tooltip="Océano Pacífico" w:history="1">
        <w:r w:rsidRPr="00FA4B2D">
          <w:rPr>
            <w:rFonts w:cs="Arial"/>
            <w:lang w:val="es-ES_tradnl"/>
          </w:rPr>
          <w:t>Pacífico</w:t>
        </w:r>
      </w:hyperlink>
      <w:r w:rsidRPr="00FA4B2D">
        <w:rPr>
          <w:rFonts w:cs="Arial"/>
          <w:lang w:val="es-ES_tradnl"/>
        </w:rPr>
        <w:t>, </w:t>
      </w:r>
      <w:hyperlink r:id="rId71" w:tooltip="Amapala (Honduras)" w:history="1">
        <w:r w:rsidRPr="00FA4B2D">
          <w:rPr>
            <w:rFonts w:cs="Arial"/>
            <w:lang w:val="es-ES_tradnl"/>
          </w:rPr>
          <w:t>Amapala</w:t>
        </w:r>
      </w:hyperlink>
      <w:r w:rsidRPr="00FA4B2D">
        <w:rPr>
          <w:rFonts w:cs="Arial"/>
          <w:lang w:val="es-ES_tradnl"/>
        </w:rPr>
        <w:t>.</w:t>
      </w:r>
    </w:p>
    <w:p w14:paraId="1369543B" w14:textId="77777777" w:rsidR="006A3DBC" w:rsidRPr="00FA4B2D" w:rsidRDefault="006A3DBC" w:rsidP="006A3DBC">
      <w:pPr>
        <w:jc w:val="both"/>
        <w:rPr>
          <w:rFonts w:cs="Arial"/>
          <w:lang w:val="es-ES_tradnl"/>
        </w:rPr>
      </w:pPr>
      <w:r w:rsidRPr="00FA4B2D">
        <w:rPr>
          <w:rFonts w:cs="Arial"/>
          <w:lang w:val="es-ES_tradnl"/>
        </w:rPr>
        <w:t>El 22 de enero de 2010, mediante Decreto 207-2009 fue publicado el decreto legislativo que dio vida a la Ley para el Desarrollo Integral del Departamento de Valle que tiene por objeto crear el marco jurídico que regule la creación y operación de un régimen de ordenamiento territorial del departamento, para promover su desarrollo de manera eficiente siendo la entidad responsable la Comisión de Desarrollo del Departamento de Valle CODEVA que dentro de sus atribuciones se incluye la formulación de la planificación del desarrollo.</w:t>
      </w:r>
    </w:p>
    <w:p w14:paraId="4AD12577" w14:textId="77777777" w:rsidR="006A3DBC" w:rsidRPr="00FA4B2D" w:rsidRDefault="006A3DBC" w:rsidP="006A3DBC">
      <w:pPr>
        <w:spacing w:line="240" w:lineRule="auto"/>
        <w:jc w:val="both"/>
        <w:rPr>
          <w:rFonts w:cs="Arial"/>
          <w:lang w:val="es-ES"/>
        </w:rPr>
      </w:pPr>
      <w:r w:rsidRPr="00FA4B2D">
        <w:rPr>
          <w:rFonts w:cs="Arial"/>
          <w:lang w:val="es-ES"/>
        </w:rPr>
        <w:t xml:space="preserve">En el </w:t>
      </w:r>
      <w:r w:rsidRPr="00FA4B2D">
        <w:rPr>
          <w:rFonts w:cs="Arial"/>
          <w:b/>
          <w:bCs/>
          <w:lang w:val="es-ES"/>
        </w:rPr>
        <w:t>Departamento de Valle</w:t>
      </w:r>
      <w:r w:rsidRPr="00FA4B2D">
        <w:rPr>
          <w:rFonts w:cs="Arial"/>
          <w:lang w:val="es-ES"/>
        </w:rPr>
        <w:t>, existen un total de 86 mil personas declaradas como desarrollando actividades económicas u ocupaciones, de las cuales el 59% son hombres y el 41% mujeres. Al considerar las actividades a las que se dedica la población, la mayor incidencia es decir 60.1% de las personas se encuentran concentradas en las ramas de actividad económica siguientes: 1) la agricultura, ganadería, silvicultura y pesca representando 24.6% del total de personas ocupadas (21,147, 82.5% hombres y 17.5% mujeres); 2) Comercio al mayor y menos, reparaciones de vehículos y motocicletas con el 19.5% del total (16,739 personas, 54.5% mujeres y 45.5% hombres) y la tercera actividad económica con mayor incidencia la representa en el Departamento con un 16.1% la industria manufacturera que aglutina a 13,868 personas (57.2% mujeres y 42.8% hombres). Mientras que las tres actividades con menor incidencia entre la población ocupada con 0.9% (786 personas) son: información y comunicaciones, explotación de minas y canteras y actividades financieras y de seguros como se observa en la tabla a continuación:</w:t>
      </w:r>
    </w:p>
    <w:p w14:paraId="6CFAC2E6" w14:textId="3FFA6696" w:rsidR="00EF7331" w:rsidRDefault="00EF7331" w:rsidP="00EF7331">
      <w:pPr>
        <w:pStyle w:val="Descripcin"/>
        <w:keepNext/>
      </w:pPr>
      <w:bookmarkStart w:id="680" w:name="_Toc202455449"/>
      <w:r>
        <w:t xml:space="preserve">Tabla </w:t>
      </w:r>
      <w:r>
        <w:fldChar w:fldCharType="begin"/>
      </w:r>
      <w:r>
        <w:instrText xml:space="preserve"> SEQ Tabla \* ARABIC </w:instrText>
      </w:r>
      <w:r>
        <w:fldChar w:fldCharType="separate"/>
      </w:r>
      <w:r w:rsidR="000E6D86">
        <w:rPr>
          <w:noProof/>
        </w:rPr>
        <w:t>23</w:t>
      </w:r>
      <w:r>
        <w:fldChar w:fldCharType="end"/>
      </w:r>
      <w:r>
        <w:t xml:space="preserve">: </w:t>
      </w:r>
      <w:r w:rsidRPr="00613806">
        <w:t>Actividades productivas u ocupaciones principales. Valle 2019</w:t>
      </w:r>
      <w:bookmarkEnd w:id="680"/>
    </w:p>
    <w:tbl>
      <w:tblPr>
        <w:tblW w:w="10192" w:type="dxa"/>
        <w:jc w:val="center"/>
        <w:tblCellMar>
          <w:left w:w="70" w:type="dxa"/>
          <w:right w:w="70" w:type="dxa"/>
        </w:tblCellMar>
        <w:tblLook w:val="04A0" w:firstRow="1" w:lastRow="0" w:firstColumn="1" w:lastColumn="0" w:noHBand="0" w:noVBand="1"/>
      </w:tblPr>
      <w:tblGrid>
        <w:gridCol w:w="4693"/>
        <w:gridCol w:w="1090"/>
        <w:gridCol w:w="1090"/>
        <w:gridCol w:w="1090"/>
        <w:gridCol w:w="1106"/>
        <w:gridCol w:w="1123"/>
      </w:tblGrid>
      <w:tr w:rsidR="00CF0F96" w:rsidRPr="00CF0F96" w14:paraId="6AC57DE1" w14:textId="77777777" w:rsidTr="00016847">
        <w:trPr>
          <w:trHeight w:val="311"/>
          <w:tblHeader/>
          <w:jc w:val="center"/>
        </w:trPr>
        <w:tc>
          <w:tcPr>
            <w:tcW w:w="4693" w:type="dxa"/>
            <w:tcBorders>
              <w:top w:val="single" w:sz="4" w:space="0" w:color="auto"/>
              <w:left w:val="single" w:sz="4" w:space="0" w:color="auto"/>
              <w:bottom w:val="single" w:sz="4" w:space="0" w:color="auto"/>
              <w:right w:val="single" w:sz="4" w:space="0" w:color="auto"/>
            </w:tcBorders>
            <w:shd w:val="clear" w:color="auto" w:fill="5CC5DA"/>
            <w:vAlign w:val="center"/>
            <w:hideMark/>
          </w:tcPr>
          <w:p w14:paraId="43560417" w14:textId="77777777" w:rsidR="006A3DBC" w:rsidRPr="00CF0F96" w:rsidRDefault="006A3DBC" w:rsidP="005F4A92">
            <w:pPr>
              <w:spacing w:after="0" w:line="240" w:lineRule="auto"/>
              <w:jc w:val="center"/>
              <w:rPr>
                <w:rFonts w:eastAsia="Times New Roman" w:cs="Arial"/>
                <w:b/>
                <w:bCs/>
                <w:sz w:val="18"/>
                <w:szCs w:val="18"/>
                <w:lang w:eastAsia="es-SV"/>
              </w:rPr>
            </w:pPr>
            <w:r w:rsidRPr="00CF0F96">
              <w:rPr>
                <w:rFonts w:eastAsia="Times New Roman" w:cs="Arial"/>
                <w:b/>
                <w:bCs/>
                <w:sz w:val="18"/>
                <w:szCs w:val="18"/>
                <w:lang w:eastAsia="es-SV"/>
              </w:rPr>
              <w:t>Rama de actividad económica/ ocupación Principal</w:t>
            </w:r>
          </w:p>
        </w:tc>
        <w:tc>
          <w:tcPr>
            <w:tcW w:w="1090" w:type="dxa"/>
            <w:tcBorders>
              <w:top w:val="single" w:sz="4" w:space="0" w:color="auto"/>
              <w:left w:val="nil"/>
              <w:bottom w:val="single" w:sz="4" w:space="0" w:color="auto"/>
              <w:right w:val="single" w:sz="4" w:space="0" w:color="auto"/>
            </w:tcBorders>
            <w:shd w:val="clear" w:color="auto" w:fill="5CC5DA"/>
            <w:noWrap/>
            <w:vAlign w:val="center"/>
            <w:hideMark/>
          </w:tcPr>
          <w:p w14:paraId="55E7C956" w14:textId="77777777" w:rsidR="006A3DBC" w:rsidRPr="00CF0F96" w:rsidRDefault="006A3DBC" w:rsidP="005F4A92">
            <w:pPr>
              <w:spacing w:after="0" w:line="240" w:lineRule="auto"/>
              <w:jc w:val="center"/>
              <w:rPr>
                <w:rFonts w:eastAsia="Times New Roman" w:cs="Arial"/>
                <w:b/>
                <w:bCs/>
                <w:sz w:val="18"/>
                <w:szCs w:val="18"/>
                <w:lang w:eastAsia="es-SV"/>
              </w:rPr>
            </w:pPr>
            <w:r w:rsidRPr="00CF0F96">
              <w:rPr>
                <w:rFonts w:eastAsia="Times New Roman" w:cs="Arial"/>
                <w:b/>
                <w:bCs/>
                <w:sz w:val="18"/>
                <w:szCs w:val="18"/>
                <w:lang w:eastAsia="es-SV"/>
              </w:rPr>
              <w:t>Hombre</w:t>
            </w:r>
          </w:p>
        </w:tc>
        <w:tc>
          <w:tcPr>
            <w:tcW w:w="1090" w:type="dxa"/>
            <w:tcBorders>
              <w:top w:val="single" w:sz="4" w:space="0" w:color="auto"/>
              <w:left w:val="nil"/>
              <w:bottom w:val="single" w:sz="4" w:space="0" w:color="auto"/>
              <w:right w:val="single" w:sz="4" w:space="0" w:color="auto"/>
            </w:tcBorders>
            <w:shd w:val="clear" w:color="auto" w:fill="5CC5DA"/>
            <w:noWrap/>
            <w:vAlign w:val="center"/>
            <w:hideMark/>
          </w:tcPr>
          <w:p w14:paraId="3823C00F" w14:textId="77777777" w:rsidR="006A3DBC" w:rsidRPr="00CF0F96" w:rsidRDefault="006A3DBC" w:rsidP="005F4A92">
            <w:pPr>
              <w:spacing w:after="0" w:line="240" w:lineRule="auto"/>
              <w:jc w:val="center"/>
              <w:rPr>
                <w:rFonts w:eastAsia="Times New Roman" w:cs="Arial"/>
                <w:b/>
                <w:bCs/>
                <w:sz w:val="18"/>
                <w:szCs w:val="18"/>
                <w:lang w:eastAsia="es-SV"/>
              </w:rPr>
            </w:pPr>
            <w:r w:rsidRPr="00CF0F96">
              <w:rPr>
                <w:rFonts w:eastAsia="Times New Roman" w:cs="Arial"/>
                <w:b/>
                <w:bCs/>
                <w:sz w:val="18"/>
                <w:szCs w:val="18"/>
                <w:lang w:eastAsia="es-SV"/>
              </w:rPr>
              <w:t>Mujer</w:t>
            </w:r>
          </w:p>
        </w:tc>
        <w:tc>
          <w:tcPr>
            <w:tcW w:w="1090" w:type="dxa"/>
            <w:tcBorders>
              <w:top w:val="single" w:sz="4" w:space="0" w:color="auto"/>
              <w:left w:val="nil"/>
              <w:bottom w:val="single" w:sz="4" w:space="0" w:color="auto"/>
              <w:right w:val="single" w:sz="4" w:space="0" w:color="auto"/>
            </w:tcBorders>
            <w:shd w:val="clear" w:color="auto" w:fill="5CC5DA"/>
            <w:noWrap/>
            <w:vAlign w:val="center"/>
            <w:hideMark/>
          </w:tcPr>
          <w:p w14:paraId="4E8BD4CB" w14:textId="77777777" w:rsidR="006A3DBC" w:rsidRPr="00CF0F96" w:rsidRDefault="006A3DBC" w:rsidP="005F4A92">
            <w:pPr>
              <w:spacing w:after="0" w:line="240" w:lineRule="auto"/>
              <w:jc w:val="center"/>
              <w:rPr>
                <w:rFonts w:eastAsia="Times New Roman" w:cs="Arial"/>
                <w:b/>
                <w:bCs/>
                <w:sz w:val="18"/>
                <w:szCs w:val="18"/>
                <w:lang w:eastAsia="es-SV"/>
              </w:rPr>
            </w:pPr>
            <w:r w:rsidRPr="00CF0F96">
              <w:rPr>
                <w:rFonts w:eastAsia="Times New Roman" w:cs="Arial"/>
                <w:b/>
                <w:bCs/>
                <w:sz w:val="18"/>
                <w:szCs w:val="18"/>
                <w:lang w:eastAsia="es-SV"/>
              </w:rPr>
              <w:t>Total</w:t>
            </w:r>
          </w:p>
        </w:tc>
        <w:tc>
          <w:tcPr>
            <w:tcW w:w="1106" w:type="dxa"/>
            <w:tcBorders>
              <w:top w:val="single" w:sz="4" w:space="0" w:color="auto"/>
              <w:left w:val="nil"/>
              <w:bottom w:val="single" w:sz="4" w:space="0" w:color="auto"/>
              <w:right w:val="single" w:sz="4" w:space="0" w:color="auto"/>
            </w:tcBorders>
            <w:shd w:val="clear" w:color="auto" w:fill="5CC5DA"/>
            <w:noWrap/>
            <w:vAlign w:val="center"/>
            <w:hideMark/>
          </w:tcPr>
          <w:p w14:paraId="656F4550" w14:textId="77777777" w:rsidR="006A3DBC" w:rsidRPr="00CF0F96" w:rsidRDefault="006A3DBC" w:rsidP="005F4A92">
            <w:pPr>
              <w:spacing w:after="0" w:line="240" w:lineRule="auto"/>
              <w:jc w:val="center"/>
              <w:rPr>
                <w:rFonts w:eastAsia="Times New Roman" w:cs="Arial"/>
                <w:b/>
                <w:bCs/>
                <w:sz w:val="18"/>
                <w:szCs w:val="18"/>
                <w:lang w:eastAsia="es-SV"/>
              </w:rPr>
            </w:pPr>
            <w:r w:rsidRPr="00CF0F96">
              <w:rPr>
                <w:rFonts w:eastAsia="Times New Roman" w:cs="Arial"/>
                <w:b/>
                <w:bCs/>
                <w:sz w:val="18"/>
                <w:szCs w:val="18"/>
                <w:lang w:eastAsia="es-SV"/>
              </w:rPr>
              <w:t>Porcentaje</w:t>
            </w:r>
          </w:p>
        </w:tc>
        <w:tc>
          <w:tcPr>
            <w:tcW w:w="1123" w:type="dxa"/>
            <w:tcBorders>
              <w:top w:val="single" w:sz="4" w:space="0" w:color="auto"/>
              <w:left w:val="nil"/>
              <w:bottom w:val="single" w:sz="4" w:space="0" w:color="auto"/>
              <w:right w:val="single" w:sz="4" w:space="0" w:color="auto"/>
            </w:tcBorders>
            <w:shd w:val="clear" w:color="auto" w:fill="5CC5DA"/>
            <w:noWrap/>
            <w:vAlign w:val="center"/>
            <w:hideMark/>
          </w:tcPr>
          <w:p w14:paraId="78C2F888" w14:textId="77777777" w:rsidR="006A3DBC" w:rsidRPr="00CF0F96" w:rsidRDefault="006A3DBC" w:rsidP="005F4A92">
            <w:pPr>
              <w:spacing w:after="0" w:line="240" w:lineRule="auto"/>
              <w:jc w:val="center"/>
              <w:rPr>
                <w:rFonts w:eastAsia="Times New Roman" w:cs="Arial"/>
                <w:b/>
                <w:bCs/>
                <w:sz w:val="18"/>
                <w:szCs w:val="18"/>
                <w:lang w:eastAsia="es-SV"/>
              </w:rPr>
            </w:pPr>
            <w:r w:rsidRPr="00CF0F96">
              <w:rPr>
                <w:rFonts w:eastAsia="Times New Roman" w:cs="Arial"/>
                <w:b/>
                <w:bCs/>
                <w:sz w:val="18"/>
                <w:szCs w:val="18"/>
                <w:lang w:eastAsia="es-SV"/>
              </w:rPr>
              <w:t>Frecuencia acumulada</w:t>
            </w:r>
          </w:p>
        </w:tc>
      </w:tr>
      <w:tr w:rsidR="00CF0F96" w:rsidRPr="00CF0F96" w14:paraId="43D4789E" w14:textId="77777777" w:rsidTr="005F4A92">
        <w:trPr>
          <w:trHeight w:val="311"/>
          <w:jc w:val="center"/>
        </w:trPr>
        <w:tc>
          <w:tcPr>
            <w:tcW w:w="4693" w:type="dxa"/>
            <w:tcBorders>
              <w:top w:val="nil"/>
              <w:left w:val="single" w:sz="4" w:space="0" w:color="auto"/>
              <w:bottom w:val="single" w:sz="4" w:space="0" w:color="auto"/>
              <w:right w:val="single" w:sz="4" w:space="0" w:color="auto"/>
            </w:tcBorders>
            <w:shd w:val="clear" w:color="000000" w:fill="E0E0E0"/>
            <w:hideMark/>
          </w:tcPr>
          <w:p w14:paraId="357AFFF9"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cs="Arial"/>
                <w:sz w:val="18"/>
                <w:szCs w:val="18"/>
              </w:rPr>
              <w:t>Agricultura, ganadería, silvicultura y pesca.</w:t>
            </w:r>
          </w:p>
        </w:tc>
        <w:tc>
          <w:tcPr>
            <w:tcW w:w="1090" w:type="dxa"/>
            <w:tcBorders>
              <w:top w:val="nil"/>
              <w:left w:val="nil"/>
              <w:bottom w:val="single" w:sz="4" w:space="0" w:color="auto"/>
              <w:right w:val="single" w:sz="4" w:space="0" w:color="auto"/>
            </w:tcBorders>
            <w:shd w:val="clear" w:color="auto" w:fill="auto"/>
            <w:noWrap/>
            <w:vAlign w:val="center"/>
            <w:hideMark/>
          </w:tcPr>
          <w:p w14:paraId="4ABAC833" w14:textId="67A14A74"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17</w:t>
            </w:r>
            <w:r w:rsidR="007F4D40" w:rsidRPr="00CF0F96">
              <w:rPr>
                <w:rFonts w:cs="Arial"/>
                <w:sz w:val="18"/>
                <w:szCs w:val="18"/>
              </w:rPr>
              <w:t>,</w:t>
            </w:r>
            <w:r w:rsidRPr="00CF0F96">
              <w:rPr>
                <w:rFonts w:cs="Arial"/>
                <w:sz w:val="18"/>
                <w:szCs w:val="18"/>
              </w:rPr>
              <w:t>456</w:t>
            </w:r>
          </w:p>
        </w:tc>
        <w:tc>
          <w:tcPr>
            <w:tcW w:w="1090" w:type="dxa"/>
            <w:tcBorders>
              <w:top w:val="nil"/>
              <w:left w:val="nil"/>
              <w:bottom w:val="single" w:sz="4" w:space="0" w:color="auto"/>
              <w:right w:val="single" w:sz="4" w:space="0" w:color="auto"/>
            </w:tcBorders>
            <w:shd w:val="clear" w:color="auto" w:fill="auto"/>
            <w:noWrap/>
            <w:vAlign w:val="center"/>
            <w:hideMark/>
          </w:tcPr>
          <w:p w14:paraId="7A9F3712" w14:textId="2F86DDDC"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3</w:t>
            </w:r>
            <w:r w:rsidR="007F4D40" w:rsidRPr="00CF0F96">
              <w:rPr>
                <w:rFonts w:cs="Arial"/>
                <w:sz w:val="18"/>
                <w:szCs w:val="18"/>
              </w:rPr>
              <w:t>,</w:t>
            </w:r>
            <w:r w:rsidRPr="00CF0F96">
              <w:rPr>
                <w:rFonts w:cs="Arial"/>
                <w:sz w:val="18"/>
                <w:szCs w:val="18"/>
              </w:rPr>
              <w:t>691</w:t>
            </w:r>
          </w:p>
        </w:tc>
        <w:tc>
          <w:tcPr>
            <w:tcW w:w="1090" w:type="dxa"/>
            <w:tcBorders>
              <w:top w:val="nil"/>
              <w:left w:val="nil"/>
              <w:bottom w:val="single" w:sz="4" w:space="0" w:color="auto"/>
              <w:right w:val="single" w:sz="4" w:space="0" w:color="auto"/>
            </w:tcBorders>
            <w:shd w:val="clear" w:color="auto" w:fill="auto"/>
            <w:noWrap/>
            <w:vAlign w:val="center"/>
            <w:hideMark/>
          </w:tcPr>
          <w:p w14:paraId="4910B8FB" w14:textId="5C99CDCC"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21</w:t>
            </w:r>
            <w:r w:rsidR="007F4D40" w:rsidRPr="00CF0F96">
              <w:rPr>
                <w:rFonts w:cs="Arial"/>
                <w:sz w:val="18"/>
                <w:szCs w:val="18"/>
              </w:rPr>
              <w:t>,</w:t>
            </w:r>
            <w:r w:rsidRPr="00CF0F96">
              <w:rPr>
                <w:rFonts w:cs="Arial"/>
                <w:sz w:val="18"/>
                <w:szCs w:val="18"/>
              </w:rPr>
              <w:t>147</w:t>
            </w:r>
          </w:p>
        </w:tc>
        <w:tc>
          <w:tcPr>
            <w:tcW w:w="1106" w:type="dxa"/>
            <w:tcBorders>
              <w:top w:val="nil"/>
              <w:left w:val="nil"/>
              <w:bottom w:val="single" w:sz="4" w:space="0" w:color="auto"/>
              <w:right w:val="single" w:sz="4" w:space="0" w:color="auto"/>
            </w:tcBorders>
            <w:shd w:val="clear" w:color="auto" w:fill="auto"/>
            <w:noWrap/>
            <w:vAlign w:val="center"/>
            <w:hideMark/>
          </w:tcPr>
          <w:p w14:paraId="21955060"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24.6%</w:t>
            </w:r>
          </w:p>
        </w:tc>
        <w:tc>
          <w:tcPr>
            <w:tcW w:w="1123" w:type="dxa"/>
            <w:tcBorders>
              <w:top w:val="nil"/>
              <w:left w:val="nil"/>
              <w:bottom w:val="single" w:sz="4" w:space="0" w:color="auto"/>
              <w:right w:val="single" w:sz="4" w:space="0" w:color="auto"/>
            </w:tcBorders>
            <w:shd w:val="clear" w:color="auto" w:fill="auto"/>
            <w:noWrap/>
            <w:vAlign w:val="center"/>
            <w:hideMark/>
          </w:tcPr>
          <w:p w14:paraId="78392885"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24.6%</w:t>
            </w:r>
          </w:p>
        </w:tc>
      </w:tr>
      <w:tr w:rsidR="00CF0F96" w:rsidRPr="00CF0F96" w14:paraId="3B3C9B78" w14:textId="77777777" w:rsidTr="005F4A92">
        <w:trPr>
          <w:trHeight w:val="498"/>
          <w:jc w:val="center"/>
        </w:trPr>
        <w:tc>
          <w:tcPr>
            <w:tcW w:w="4693" w:type="dxa"/>
            <w:tcBorders>
              <w:top w:val="nil"/>
              <w:left w:val="single" w:sz="4" w:space="0" w:color="auto"/>
              <w:bottom w:val="single" w:sz="4" w:space="0" w:color="auto"/>
              <w:right w:val="single" w:sz="4" w:space="0" w:color="auto"/>
            </w:tcBorders>
            <w:shd w:val="clear" w:color="000000" w:fill="E0E0E0"/>
            <w:hideMark/>
          </w:tcPr>
          <w:p w14:paraId="49241A71"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cs="Arial"/>
                <w:sz w:val="18"/>
                <w:szCs w:val="18"/>
              </w:rPr>
              <w:t>Comercio al por mayor y al por menor, reparación de vehículos automotores y motocicletas.</w:t>
            </w:r>
          </w:p>
        </w:tc>
        <w:tc>
          <w:tcPr>
            <w:tcW w:w="1090" w:type="dxa"/>
            <w:tcBorders>
              <w:top w:val="nil"/>
              <w:left w:val="nil"/>
              <w:bottom w:val="single" w:sz="4" w:space="0" w:color="auto"/>
              <w:right w:val="single" w:sz="4" w:space="0" w:color="auto"/>
            </w:tcBorders>
            <w:shd w:val="clear" w:color="auto" w:fill="auto"/>
            <w:noWrap/>
            <w:vAlign w:val="center"/>
            <w:hideMark/>
          </w:tcPr>
          <w:p w14:paraId="0917411D" w14:textId="690C44D0"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7</w:t>
            </w:r>
            <w:r w:rsidR="007F4D40" w:rsidRPr="00CF0F96">
              <w:rPr>
                <w:rFonts w:cs="Arial"/>
                <w:sz w:val="18"/>
                <w:szCs w:val="18"/>
              </w:rPr>
              <w:t>,</w:t>
            </w:r>
            <w:r w:rsidRPr="00CF0F96">
              <w:rPr>
                <w:rFonts w:cs="Arial"/>
                <w:sz w:val="18"/>
                <w:szCs w:val="18"/>
              </w:rPr>
              <w:t>619</w:t>
            </w:r>
          </w:p>
        </w:tc>
        <w:tc>
          <w:tcPr>
            <w:tcW w:w="1090" w:type="dxa"/>
            <w:tcBorders>
              <w:top w:val="nil"/>
              <w:left w:val="nil"/>
              <w:bottom w:val="single" w:sz="4" w:space="0" w:color="auto"/>
              <w:right w:val="single" w:sz="4" w:space="0" w:color="auto"/>
            </w:tcBorders>
            <w:shd w:val="clear" w:color="auto" w:fill="auto"/>
            <w:noWrap/>
            <w:vAlign w:val="center"/>
            <w:hideMark/>
          </w:tcPr>
          <w:p w14:paraId="5C29A3C4" w14:textId="4482AB09"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9</w:t>
            </w:r>
            <w:r w:rsidR="007F4D40" w:rsidRPr="00CF0F96">
              <w:rPr>
                <w:rFonts w:cs="Arial"/>
                <w:sz w:val="18"/>
                <w:szCs w:val="18"/>
              </w:rPr>
              <w:t>,</w:t>
            </w:r>
            <w:r w:rsidRPr="00CF0F96">
              <w:rPr>
                <w:rFonts w:cs="Arial"/>
                <w:sz w:val="18"/>
                <w:szCs w:val="18"/>
              </w:rPr>
              <w:t>120</w:t>
            </w:r>
          </w:p>
        </w:tc>
        <w:tc>
          <w:tcPr>
            <w:tcW w:w="1090" w:type="dxa"/>
            <w:tcBorders>
              <w:top w:val="nil"/>
              <w:left w:val="nil"/>
              <w:bottom w:val="single" w:sz="4" w:space="0" w:color="auto"/>
              <w:right w:val="single" w:sz="4" w:space="0" w:color="auto"/>
            </w:tcBorders>
            <w:shd w:val="clear" w:color="auto" w:fill="auto"/>
            <w:noWrap/>
            <w:vAlign w:val="center"/>
            <w:hideMark/>
          </w:tcPr>
          <w:p w14:paraId="447C72D1" w14:textId="531D92ED"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16</w:t>
            </w:r>
            <w:r w:rsidR="007F4D40" w:rsidRPr="00CF0F96">
              <w:rPr>
                <w:rFonts w:cs="Arial"/>
                <w:sz w:val="18"/>
                <w:szCs w:val="18"/>
              </w:rPr>
              <w:t>,</w:t>
            </w:r>
            <w:r w:rsidRPr="00CF0F96">
              <w:rPr>
                <w:rFonts w:cs="Arial"/>
                <w:sz w:val="18"/>
                <w:szCs w:val="18"/>
              </w:rPr>
              <w:t>739</w:t>
            </w:r>
          </w:p>
        </w:tc>
        <w:tc>
          <w:tcPr>
            <w:tcW w:w="1106" w:type="dxa"/>
            <w:tcBorders>
              <w:top w:val="nil"/>
              <w:left w:val="nil"/>
              <w:bottom w:val="single" w:sz="4" w:space="0" w:color="auto"/>
              <w:right w:val="single" w:sz="4" w:space="0" w:color="auto"/>
            </w:tcBorders>
            <w:shd w:val="clear" w:color="auto" w:fill="auto"/>
            <w:noWrap/>
            <w:vAlign w:val="center"/>
            <w:hideMark/>
          </w:tcPr>
          <w:p w14:paraId="754D82E1"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19.5%</w:t>
            </w:r>
          </w:p>
        </w:tc>
        <w:tc>
          <w:tcPr>
            <w:tcW w:w="1123" w:type="dxa"/>
            <w:tcBorders>
              <w:top w:val="nil"/>
              <w:left w:val="nil"/>
              <w:bottom w:val="single" w:sz="4" w:space="0" w:color="auto"/>
              <w:right w:val="single" w:sz="4" w:space="0" w:color="auto"/>
            </w:tcBorders>
            <w:shd w:val="clear" w:color="auto" w:fill="auto"/>
            <w:noWrap/>
            <w:vAlign w:val="center"/>
            <w:hideMark/>
          </w:tcPr>
          <w:p w14:paraId="39A2F277"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44.0%</w:t>
            </w:r>
          </w:p>
        </w:tc>
      </w:tr>
      <w:tr w:rsidR="00CF0F96" w:rsidRPr="00CF0F96" w14:paraId="361AE76C" w14:textId="77777777" w:rsidTr="005F4A92">
        <w:trPr>
          <w:trHeight w:val="311"/>
          <w:jc w:val="center"/>
        </w:trPr>
        <w:tc>
          <w:tcPr>
            <w:tcW w:w="4693" w:type="dxa"/>
            <w:tcBorders>
              <w:top w:val="nil"/>
              <w:left w:val="single" w:sz="4" w:space="0" w:color="auto"/>
              <w:bottom w:val="single" w:sz="4" w:space="0" w:color="auto"/>
              <w:right w:val="single" w:sz="4" w:space="0" w:color="auto"/>
            </w:tcBorders>
            <w:shd w:val="clear" w:color="000000" w:fill="E0E0E0"/>
            <w:hideMark/>
          </w:tcPr>
          <w:p w14:paraId="1F251513"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cs="Arial"/>
                <w:sz w:val="18"/>
                <w:szCs w:val="18"/>
              </w:rPr>
              <w:t>Industria manufacturera.</w:t>
            </w:r>
          </w:p>
        </w:tc>
        <w:tc>
          <w:tcPr>
            <w:tcW w:w="1090" w:type="dxa"/>
            <w:tcBorders>
              <w:top w:val="nil"/>
              <w:left w:val="nil"/>
              <w:bottom w:val="single" w:sz="4" w:space="0" w:color="auto"/>
              <w:right w:val="single" w:sz="4" w:space="0" w:color="auto"/>
            </w:tcBorders>
            <w:shd w:val="clear" w:color="auto" w:fill="auto"/>
            <w:noWrap/>
            <w:vAlign w:val="center"/>
            <w:hideMark/>
          </w:tcPr>
          <w:p w14:paraId="6CA64281" w14:textId="1B97373C"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5</w:t>
            </w:r>
            <w:r w:rsidR="007F4D40" w:rsidRPr="00CF0F96">
              <w:rPr>
                <w:rFonts w:cs="Arial"/>
                <w:sz w:val="18"/>
                <w:szCs w:val="18"/>
              </w:rPr>
              <w:t>,</w:t>
            </w:r>
            <w:r w:rsidRPr="00CF0F96">
              <w:rPr>
                <w:rFonts w:cs="Arial"/>
                <w:sz w:val="18"/>
                <w:szCs w:val="18"/>
              </w:rPr>
              <w:t>929</w:t>
            </w:r>
          </w:p>
        </w:tc>
        <w:tc>
          <w:tcPr>
            <w:tcW w:w="1090" w:type="dxa"/>
            <w:tcBorders>
              <w:top w:val="nil"/>
              <w:left w:val="nil"/>
              <w:bottom w:val="single" w:sz="4" w:space="0" w:color="auto"/>
              <w:right w:val="single" w:sz="4" w:space="0" w:color="auto"/>
            </w:tcBorders>
            <w:shd w:val="clear" w:color="auto" w:fill="auto"/>
            <w:noWrap/>
            <w:vAlign w:val="center"/>
            <w:hideMark/>
          </w:tcPr>
          <w:p w14:paraId="41524F71" w14:textId="04977A23"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7</w:t>
            </w:r>
            <w:r w:rsidR="007F4D40" w:rsidRPr="00CF0F96">
              <w:rPr>
                <w:rFonts w:cs="Arial"/>
                <w:sz w:val="18"/>
                <w:szCs w:val="18"/>
              </w:rPr>
              <w:t>,</w:t>
            </w:r>
            <w:r w:rsidRPr="00CF0F96">
              <w:rPr>
                <w:rFonts w:cs="Arial"/>
                <w:sz w:val="18"/>
                <w:szCs w:val="18"/>
              </w:rPr>
              <w:t>939</w:t>
            </w:r>
          </w:p>
        </w:tc>
        <w:tc>
          <w:tcPr>
            <w:tcW w:w="1090" w:type="dxa"/>
            <w:tcBorders>
              <w:top w:val="nil"/>
              <w:left w:val="nil"/>
              <w:bottom w:val="single" w:sz="4" w:space="0" w:color="auto"/>
              <w:right w:val="single" w:sz="4" w:space="0" w:color="auto"/>
            </w:tcBorders>
            <w:shd w:val="clear" w:color="auto" w:fill="auto"/>
            <w:noWrap/>
            <w:vAlign w:val="center"/>
            <w:hideMark/>
          </w:tcPr>
          <w:p w14:paraId="0DBE7034" w14:textId="69FD18E6"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13</w:t>
            </w:r>
            <w:r w:rsidR="007F4D40" w:rsidRPr="00CF0F96">
              <w:rPr>
                <w:rFonts w:cs="Arial"/>
                <w:sz w:val="18"/>
                <w:szCs w:val="18"/>
              </w:rPr>
              <w:t>,</w:t>
            </w:r>
            <w:r w:rsidRPr="00CF0F96">
              <w:rPr>
                <w:rFonts w:cs="Arial"/>
                <w:sz w:val="18"/>
                <w:szCs w:val="18"/>
              </w:rPr>
              <w:t>868</w:t>
            </w:r>
          </w:p>
        </w:tc>
        <w:tc>
          <w:tcPr>
            <w:tcW w:w="1106" w:type="dxa"/>
            <w:tcBorders>
              <w:top w:val="nil"/>
              <w:left w:val="nil"/>
              <w:bottom w:val="single" w:sz="4" w:space="0" w:color="auto"/>
              <w:right w:val="single" w:sz="4" w:space="0" w:color="auto"/>
            </w:tcBorders>
            <w:shd w:val="clear" w:color="auto" w:fill="auto"/>
            <w:noWrap/>
            <w:vAlign w:val="center"/>
            <w:hideMark/>
          </w:tcPr>
          <w:p w14:paraId="5DE33FAC"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16.1%</w:t>
            </w:r>
          </w:p>
        </w:tc>
        <w:tc>
          <w:tcPr>
            <w:tcW w:w="1123" w:type="dxa"/>
            <w:tcBorders>
              <w:top w:val="nil"/>
              <w:left w:val="nil"/>
              <w:bottom w:val="single" w:sz="4" w:space="0" w:color="auto"/>
              <w:right w:val="single" w:sz="4" w:space="0" w:color="auto"/>
            </w:tcBorders>
            <w:shd w:val="clear" w:color="auto" w:fill="auto"/>
            <w:noWrap/>
            <w:vAlign w:val="center"/>
            <w:hideMark/>
          </w:tcPr>
          <w:p w14:paraId="720E9FF1"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60.1%</w:t>
            </w:r>
          </w:p>
        </w:tc>
      </w:tr>
      <w:tr w:rsidR="00CF0F96" w:rsidRPr="00CF0F96" w14:paraId="7ABF9A98" w14:textId="77777777" w:rsidTr="005F4A92">
        <w:trPr>
          <w:trHeight w:val="311"/>
          <w:jc w:val="center"/>
        </w:trPr>
        <w:tc>
          <w:tcPr>
            <w:tcW w:w="4693" w:type="dxa"/>
            <w:tcBorders>
              <w:top w:val="nil"/>
              <w:left w:val="single" w:sz="4" w:space="0" w:color="auto"/>
              <w:bottom w:val="single" w:sz="4" w:space="0" w:color="auto"/>
              <w:right w:val="single" w:sz="4" w:space="0" w:color="auto"/>
            </w:tcBorders>
            <w:shd w:val="clear" w:color="000000" w:fill="E0E0E0"/>
            <w:hideMark/>
          </w:tcPr>
          <w:p w14:paraId="412CF246"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cs="Arial"/>
                <w:sz w:val="18"/>
                <w:szCs w:val="18"/>
              </w:rPr>
              <w:t>Construcción.</w:t>
            </w:r>
          </w:p>
        </w:tc>
        <w:tc>
          <w:tcPr>
            <w:tcW w:w="1090" w:type="dxa"/>
            <w:tcBorders>
              <w:top w:val="nil"/>
              <w:left w:val="nil"/>
              <w:bottom w:val="single" w:sz="4" w:space="0" w:color="auto"/>
              <w:right w:val="single" w:sz="4" w:space="0" w:color="auto"/>
            </w:tcBorders>
            <w:shd w:val="clear" w:color="auto" w:fill="auto"/>
            <w:noWrap/>
            <w:vAlign w:val="center"/>
            <w:hideMark/>
          </w:tcPr>
          <w:p w14:paraId="745751AD" w14:textId="4C01CD6B"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7</w:t>
            </w:r>
            <w:r w:rsidR="007F4D40" w:rsidRPr="00CF0F96">
              <w:rPr>
                <w:rFonts w:cs="Arial"/>
                <w:sz w:val="18"/>
                <w:szCs w:val="18"/>
              </w:rPr>
              <w:t>,</w:t>
            </w:r>
            <w:r w:rsidRPr="00CF0F96">
              <w:rPr>
                <w:rFonts w:cs="Arial"/>
                <w:sz w:val="18"/>
                <w:szCs w:val="18"/>
              </w:rPr>
              <w:t>010</w:t>
            </w:r>
          </w:p>
        </w:tc>
        <w:tc>
          <w:tcPr>
            <w:tcW w:w="1090" w:type="dxa"/>
            <w:tcBorders>
              <w:top w:val="nil"/>
              <w:left w:val="nil"/>
              <w:bottom w:val="single" w:sz="4" w:space="0" w:color="auto"/>
              <w:right w:val="single" w:sz="4" w:space="0" w:color="auto"/>
            </w:tcBorders>
            <w:shd w:val="clear" w:color="auto" w:fill="auto"/>
            <w:noWrap/>
            <w:vAlign w:val="center"/>
            <w:hideMark/>
          </w:tcPr>
          <w:p w14:paraId="54E5496A" w14:textId="6387D04C"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0</w:t>
            </w:r>
          </w:p>
        </w:tc>
        <w:tc>
          <w:tcPr>
            <w:tcW w:w="1090" w:type="dxa"/>
            <w:tcBorders>
              <w:top w:val="nil"/>
              <w:left w:val="nil"/>
              <w:bottom w:val="single" w:sz="4" w:space="0" w:color="auto"/>
              <w:right w:val="single" w:sz="4" w:space="0" w:color="auto"/>
            </w:tcBorders>
            <w:shd w:val="clear" w:color="auto" w:fill="auto"/>
            <w:noWrap/>
            <w:vAlign w:val="center"/>
            <w:hideMark/>
          </w:tcPr>
          <w:p w14:paraId="7B3E532D" w14:textId="4E3B82D9"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7</w:t>
            </w:r>
            <w:r w:rsidR="007F4D40" w:rsidRPr="00CF0F96">
              <w:rPr>
                <w:rFonts w:cs="Arial"/>
                <w:sz w:val="18"/>
                <w:szCs w:val="18"/>
              </w:rPr>
              <w:t>,</w:t>
            </w:r>
            <w:r w:rsidRPr="00CF0F96">
              <w:rPr>
                <w:rFonts w:cs="Arial"/>
                <w:sz w:val="18"/>
                <w:szCs w:val="18"/>
              </w:rPr>
              <w:t>010</w:t>
            </w:r>
          </w:p>
        </w:tc>
        <w:tc>
          <w:tcPr>
            <w:tcW w:w="1106" w:type="dxa"/>
            <w:tcBorders>
              <w:top w:val="nil"/>
              <w:left w:val="nil"/>
              <w:bottom w:val="single" w:sz="4" w:space="0" w:color="auto"/>
              <w:right w:val="single" w:sz="4" w:space="0" w:color="auto"/>
            </w:tcBorders>
            <w:shd w:val="clear" w:color="auto" w:fill="auto"/>
            <w:noWrap/>
            <w:vAlign w:val="center"/>
            <w:hideMark/>
          </w:tcPr>
          <w:p w14:paraId="2109E63A"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8.1%</w:t>
            </w:r>
          </w:p>
        </w:tc>
        <w:tc>
          <w:tcPr>
            <w:tcW w:w="1123" w:type="dxa"/>
            <w:tcBorders>
              <w:top w:val="nil"/>
              <w:left w:val="nil"/>
              <w:bottom w:val="single" w:sz="4" w:space="0" w:color="auto"/>
              <w:right w:val="single" w:sz="4" w:space="0" w:color="auto"/>
            </w:tcBorders>
            <w:shd w:val="clear" w:color="auto" w:fill="auto"/>
            <w:noWrap/>
            <w:vAlign w:val="center"/>
            <w:hideMark/>
          </w:tcPr>
          <w:p w14:paraId="13D202BC"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68.3%</w:t>
            </w:r>
          </w:p>
        </w:tc>
      </w:tr>
      <w:tr w:rsidR="00CF0F96" w:rsidRPr="00CF0F96" w14:paraId="4665A3FD" w14:textId="77777777" w:rsidTr="005F4A92">
        <w:trPr>
          <w:trHeight w:val="311"/>
          <w:jc w:val="center"/>
        </w:trPr>
        <w:tc>
          <w:tcPr>
            <w:tcW w:w="4693" w:type="dxa"/>
            <w:tcBorders>
              <w:top w:val="nil"/>
              <w:left w:val="single" w:sz="4" w:space="0" w:color="auto"/>
              <w:bottom w:val="single" w:sz="4" w:space="0" w:color="auto"/>
              <w:right w:val="single" w:sz="4" w:space="0" w:color="auto"/>
            </w:tcBorders>
            <w:shd w:val="clear" w:color="000000" w:fill="E0E0E0"/>
            <w:hideMark/>
          </w:tcPr>
          <w:p w14:paraId="239AB12E"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cs="Arial"/>
                <w:sz w:val="18"/>
                <w:szCs w:val="18"/>
              </w:rPr>
              <w:t>Actividades de alojamiento y de servicios de comida.</w:t>
            </w:r>
          </w:p>
        </w:tc>
        <w:tc>
          <w:tcPr>
            <w:tcW w:w="1090" w:type="dxa"/>
            <w:tcBorders>
              <w:top w:val="nil"/>
              <w:left w:val="nil"/>
              <w:bottom w:val="single" w:sz="4" w:space="0" w:color="auto"/>
              <w:right w:val="single" w:sz="4" w:space="0" w:color="auto"/>
            </w:tcBorders>
            <w:shd w:val="clear" w:color="auto" w:fill="auto"/>
            <w:noWrap/>
            <w:vAlign w:val="center"/>
            <w:hideMark/>
          </w:tcPr>
          <w:p w14:paraId="008C0436" w14:textId="3336229D"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1</w:t>
            </w:r>
            <w:r w:rsidR="007F4D40" w:rsidRPr="00CF0F96">
              <w:rPr>
                <w:rFonts w:cs="Arial"/>
                <w:sz w:val="18"/>
                <w:szCs w:val="18"/>
              </w:rPr>
              <w:t>,</w:t>
            </w:r>
            <w:r w:rsidRPr="00CF0F96">
              <w:rPr>
                <w:rFonts w:cs="Arial"/>
                <w:sz w:val="18"/>
                <w:szCs w:val="18"/>
              </w:rPr>
              <w:t>102</w:t>
            </w:r>
          </w:p>
        </w:tc>
        <w:tc>
          <w:tcPr>
            <w:tcW w:w="1090" w:type="dxa"/>
            <w:tcBorders>
              <w:top w:val="nil"/>
              <w:left w:val="nil"/>
              <w:bottom w:val="single" w:sz="4" w:space="0" w:color="auto"/>
              <w:right w:val="single" w:sz="4" w:space="0" w:color="auto"/>
            </w:tcBorders>
            <w:shd w:val="clear" w:color="auto" w:fill="auto"/>
            <w:noWrap/>
            <w:vAlign w:val="center"/>
            <w:hideMark/>
          </w:tcPr>
          <w:p w14:paraId="168A3E92" w14:textId="6066C675"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2</w:t>
            </w:r>
            <w:r w:rsidR="007F4D40" w:rsidRPr="00CF0F96">
              <w:rPr>
                <w:rFonts w:cs="Arial"/>
                <w:sz w:val="18"/>
                <w:szCs w:val="18"/>
              </w:rPr>
              <w:t>,</w:t>
            </w:r>
            <w:r w:rsidRPr="00CF0F96">
              <w:rPr>
                <w:rFonts w:cs="Arial"/>
                <w:sz w:val="18"/>
                <w:szCs w:val="18"/>
              </w:rPr>
              <w:t>860</w:t>
            </w:r>
          </w:p>
        </w:tc>
        <w:tc>
          <w:tcPr>
            <w:tcW w:w="1090" w:type="dxa"/>
            <w:tcBorders>
              <w:top w:val="nil"/>
              <w:left w:val="nil"/>
              <w:bottom w:val="single" w:sz="4" w:space="0" w:color="auto"/>
              <w:right w:val="single" w:sz="4" w:space="0" w:color="auto"/>
            </w:tcBorders>
            <w:shd w:val="clear" w:color="auto" w:fill="auto"/>
            <w:noWrap/>
            <w:vAlign w:val="center"/>
            <w:hideMark/>
          </w:tcPr>
          <w:p w14:paraId="508F2E4C" w14:textId="3EA7EC8C"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3</w:t>
            </w:r>
            <w:r w:rsidR="007F4D40" w:rsidRPr="00CF0F96">
              <w:rPr>
                <w:rFonts w:cs="Arial"/>
                <w:sz w:val="18"/>
                <w:szCs w:val="18"/>
              </w:rPr>
              <w:t>,</w:t>
            </w:r>
            <w:r w:rsidRPr="00CF0F96">
              <w:rPr>
                <w:rFonts w:cs="Arial"/>
                <w:sz w:val="18"/>
                <w:szCs w:val="18"/>
              </w:rPr>
              <w:t>962</w:t>
            </w:r>
          </w:p>
        </w:tc>
        <w:tc>
          <w:tcPr>
            <w:tcW w:w="1106" w:type="dxa"/>
            <w:tcBorders>
              <w:top w:val="nil"/>
              <w:left w:val="nil"/>
              <w:bottom w:val="single" w:sz="4" w:space="0" w:color="auto"/>
              <w:right w:val="single" w:sz="4" w:space="0" w:color="auto"/>
            </w:tcBorders>
            <w:shd w:val="clear" w:color="auto" w:fill="auto"/>
            <w:noWrap/>
            <w:vAlign w:val="center"/>
            <w:hideMark/>
          </w:tcPr>
          <w:p w14:paraId="1FEFF4FD"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4.6%</w:t>
            </w:r>
          </w:p>
        </w:tc>
        <w:tc>
          <w:tcPr>
            <w:tcW w:w="1123" w:type="dxa"/>
            <w:tcBorders>
              <w:top w:val="nil"/>
              <w:left w:val="nil"/>
              <w:bottom w:val="single" w:sz="4" w:space="0" w:color="auto"/>
              <w:right w:val="single" w:sz="4" w:space="0" w:color="auto"/>
            </w:tcBorders>
            <w:shd w:val="clear" w:color="auto" w:fill="auto"/>
            <w:noWrap/>
            <w:vAlign w:val="center"/>
            <w:hideMark/>
          </w:tcPr>
          <w:p w14:paraId="539641C2"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72.9%</w:t>
            </w:r>
          </w:p>
        </w:tc>
      </w:tr>
      <w:tr w:rsidR="00CF0F96" w:rsidRPr="00CF0F96" w14:paraId="78F0E8AC" w14:textId="77777777" w:rsidTr="005F4A92">
        <w:trPr>
          <w:trHeight w:val="311"/>
          <w:jc w:val="center"/>
        </w:trPr>
        <w:tc>
          <w:tcPr>
            <w:tcW w:w="4693" w:type="dxa"/>
            <w:tcBorders>
              <w:top w:val="nil"/>
              <w:left w:val="single" w:sz="4" w:space="0" w:color="auto"/>
              <w:bottom w:val="single" w:sz="4" w:space="0" w:color="auto"/>
              <w:right w:val="single" w:sz="4" w:space="0" w:color="auto"/>
            </w:tcBorders>
            <w:shd w:val="clear" w:color="000000" w:fill="E0E0E0"/>
            <w:hideMark/>
          </w:tcPr>
          <w:p w14:paraId="44510C0F"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cs="Arial"/>
                <w:sz w:val="18"/>
                <w:szCs w:val="18"/>
              </w:rPr>
              <w:t>Enseñanza.</w:t>
            </w:r>
          </w:p>
        </w:tc>
        <w:tc>
          <w:tcPr>
            <w:tcW w:w="1090" w:type="dxa"/>
            <w:tcBorders>
              <w:top w:val="nil"/>
              <w:left w:val="nil"/>
              <w:bottom w:val="single" w:sz="4" w:space="0" w:color="auto"/>
              <w:right w:val="single" w:sz="4" w:space="0" w:color="auto"/>
            </w:tcBorders>
            <w:shd w:val="clear" w:color="auto" w:fill="auto"/>
            <w:noWrap/>
            <w:vAlign w:val="center"/>
            <w:hideMark/>
          </w:tcPr>
          <w:p w14:paraId="74486B8B"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890</w:t>
            </w:r>
          </w:p>
        </w:tc>
        <w:tc>
          <w:tcPr>
            <w:tcW w:w="1090" w:type="dxa"/>
            <w:tcBorders>
              <w:top w:val="nil"/>
              <w:left w:val="nil"/>
              <w:bottom w:val="single" w:sz="4" w:space="0" w:color="auto"/>
              <w:right w:val="single" w:sz="4" w:space="0" w:color="auto"/>
            </w:tcBorders>
            <w:shd w:val="clear" w:color="auto" w:fill="auto"/>
            <w:noWrap/>
            <w:vAlign w:val="center"/>
            <w:hideMark/>
          </w:tcPr>
          <w:p w14:paraId="1952BA5F" w14:textId="7FBD6C64"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2</w:t>
            </w:r>
            <w:r w:rsidR="007F4D40" w:rsidRPr="00CF0F96">
              <w:rPr>
                <w:rFonts w:cs="Arial"/>
                <w:sz w:val="18"/>
                <w:szCs w:val="18"/>
              </w:rPr>
              <w:t>,</w:t>
            </w:r>
            <w:r w:rsidRPr="00CF0F96">
              <w:rPr>
                <w:rFonts w:cs="Arial"/>
                <w:sz w:val="18"/>
                <w:szCs w:val="18"/>
              </w:rPr>
              <w:t>718</w:t>
            </w:r>
          </w:p>
        </w:tc>
        <w:tc>
          <w:tcPr>
            <w:tcW w:w="1090" w:type="dxa"/>
            <w:tcBorders>
              <w:top w:val="nil"/>
              <w:left w:val="nil"/>
              <w:bottom w:val="single" w:sz="4" w:space="0" w:color="auto"/>
              <w:right w:val="single" w:sz="4" w:space="0" w:color="auto"/>
            </w:tcBorders>
            <w:shd w:val="clear" w:color="auto" w:fill="auto"/>
            <w:noWrap/>
            <w:vAlign w:val="center"/>
            <w:hideMark/>
          </w:tcPr>
          <w:p w14:paraId="15C48031" w14:textId="592ACE41"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3</w:t>
            </w:r>
            <w:r w:rsidR="007F4D40" w:rsidRPr="00CF0F96">
              <w:rPr>
                <w:rFonts w:cs="Arial"/>
                <w:sz w:val="18"/>
                <w:szCs w:val="18"/>
              </w:rPr>
              <w:t>,</w:t>
            </w:r>
            <w:r w:rsidRPr="00CF0F96">
              <w:rPr>
                <w:rFonts w:cs="Arial"/>
                <w:sz w:val="18"/>
                <w:szCs w:val="18"/>
              </w:rPr>
              <w:t>608</w:t>
            </w:r>
          </w:p>
        </w:tc>
        <w:tc>
          <w:tcPr>
            <w:tcW w:w="1106" w:type="dxa"/>
            <w:tcBorders>
              <w:top w:val="nil"/>
              <w:left w:val="nil"/>
              <w:bottom w:val="single" w:sz="4" w:space="0" w:color="auto"/>
              <w:right w:val="single" w:sz="4" w:space="0" w:color="auto"/>
            </w:tcBorders>
            <w:shd w:val="clear" w:color="auto" w:fill="auto"/>
            <w:noWrap/>
            <w:vAlign w:val="center"/>
            <w:hideMark/>
          </w:tcPr>
          <w:p w14:paraId="2E769BB0"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4.2%</w:t>
            </w:r>
          </w:p>
        </w:tc>
        <w:tc>
          <w:tcPr>
            <w:tcW w:w="1123" w:type="dxa"/>
            <w:tcBorders>
              <w:top w:val="nil"/>
              <w:left w:val="nil"/>
              <w:bottom w:val="single" w:sz="4" w:space="0" w:color="auto"/>
              <w:right w:val="single" w:sz="4" w:space="0" w:color="auto"/>
            </w:tcBorders>
            <w:shd w:val="clear" w:color="auto" w:fill="auto"/>
            <w:noWrap/>
            <w:vAlign w:val="center"/>
            <w:hideMark/>
          </w:tcPr>
          <w:p w14:paraId="173F7825"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77.1%</w:t>
            </w:r>
          </w:p>
        </w:tc>
      </w:tr>
      <w:tr w:rsidR="00CF0F96" w:rsidRPr="00CF0F96" w14:paraId="766DAD70" w14:textId="77777777" w:rsidTr="005F4A92">
        <w:trPr>
          <w:trHeight w:val="498"/>
          <w:jc w:val="center"/>
        </w:trPr>
        <w:tc>
          <w:tcPr>
            <w:tcW w:w="4693" w:type="dxa"/>
            <w:tcBorders>
              <w:top w:val="nil"/>
              <w:left w:val="single" w:sz="4" w:space="0" w:color="auto"/>
              <w:bottom w:val="single" w:sz="4" w:space="0" w:color="auto"/>
              <w:right w:val="single" w:sz="4" w:space="0" w:color="auto"/>
            </w:tcBorders>
            <w:shd w:val="clear" w:color="000000" w:fill="E0E0E0"/>
            <w:hideMark/>
          </w:tcPr>
          <w:p w14:paraId="4D1B0864"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cs="Arial"/>
                <w:sz w:val="18"/>
                <w:szCs w:val="18"/>
              </w:rPr>
              <w:t>Administración pública y defensa, planes de seguridad social de afiliación obligatoria.</w:t>
            </w:r>
          </w:p>
        </w:tc>
        <w:tc>
          <w:tcPr>
            <w:tcW w:w="1090" w:type="dxa"/>
            <w:tcBorders>
              <w:top w:val="nil"/>
              <w:left w:val="nil"/>
              <w:bottom w:val="single" w:sz="4" w:space="0" w:color="auto"/>
              <w:right w:val="single" w:sz="4" w:space="0" w:color="auto"/>
            </w:tcBorders>
            <w:shd w:val="clear" w:color="auto" w:fill="auto"/>
            <w:noWrap/>
            <w:vAlign w:val="center"/>
            <w:hideMark/>
          </w:tcPr>
          <w:p w14:paraId="211DD28D" w14:textId="32FFF4EB"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2</w:t>
            </w:r>
            <w:r w:rsidR="007F4D40" w:rsidRPr="00CF0F96">
              <w:rPr>
                <w:rFonts w:cs="Arial"/>
                <w:sz w:val="18"/>
                <w:szCs w:val="18"/>
              </w:rPr>
              <w:t>,</w:t>
            </w:r>
            <w:r w:rsidRPr="00CF0F96">
              <w:rPr>
                <w:rFonts w:cs="Arial"/>
                <w:sz w:val="18"/>
                <w:szCs w:val="18"/>
              </w:rPr>
              <w:t>006</w:t>
            </w:r>
          </w:p>
        </w:tc>
        <w:tc>
          <w:tcPr>
            <w:tcW w:w="1090" w:type="dxa"/>
            <w:tcBorders>
              <w:top w:val="nil"/>
              <w:left w:val="nil"/>
              <w:bottom w:val="single" w:sz="4" w:space="0" w:color="auto"/>
              <w:right w:val="single" w:sz="4" w:space="0" w:color="auto"/>
            </w:tcBorders>
            <w:shd w:val="clear" w:color="auto" w:fill="auto"/>
            <w:noWrap/>
            <w:vAlign w:val="center"/>
            <w:hideMark/>
          </w:tcPr>
          <w:p w14:paraId="1023261F"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858</w:t>
            </w:r>
          </w:p>
        </w:tc>
        <w:tc>
          <w:tcPr>
            <w:tcW w:w="1090" w:type="dxa"/>
            <w:tcBorders>
              <w:top w:val="nil"/>
              <w:left w:val="nil"/>
              <w:bottom w:val="single" w:sz="4" w:space="0" w:color="auto"/>
              <w:right w:val="single" w:sz="4" w:space="0" w:color="auto"/>
            </w:tcBorders>
            <w:shd w:val="clear" w:color="auto" w:fill="auto"/>
            <w:noWrap/>
            <w:vAlign w:val="center"/>
            <w:hideMark/>
          </w:tcPr>
          <w:p w14:paraId="2F7A1DE6" w14:textId="785F8866"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2</w:t>
            </w:r>
            <w:r w:rsidR="007F4D40" w:rsidRPr="00CF0F96">
              <w:rPr>
                <w:rFonts w:cs="Arial"/>
                <w:sz w:val="18"/>
                <w:szCs w:val="18"/>
              </w:rPr>
              <w:t>,</w:t>
            </w:r>
            <w:r w:rsidRPr="00CF0F96">
              <w:rPr>
                <w:rFonts w:cs="Arial"/>
                <w:sz w:val="18"/>
                <w:szCs w:val="18"/>
              </w:rPr>
              <w:t>864</w:t>
            </w:r>
          </w:p>
        </w:tc>
        <w:tc>
          <w:tcPr>
            <w:tcW w:w="1106" w:type="dxa"/>
            <w:tcBorders>
              <w:top w:val="nil"/>
              <w:left w:val="nil"/>
              <w:bottom w:val="single" w:sz="4" w:space="0" w:color="auto"/>
              <w:right w:val="single" w:sz="4" w:space="0" w:color="auto"/>
            </w:tcBorders>
            <w:shd w:val="clear" w:color="auto" w:fill="auto"/>
            <w:noWrap/>
            <w:vAlign w:val="center"/>
            <w:hideMark/>
          </w:tcPr>
          <w:p w14:paraId="7AD9C197"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3.3%</w:t>
            </w:r>
          </w:p>
        </w:tc>
        <w:tc>
          <w:tcPr>
            <w:tcW w:w="1123" w:type="dxa"/>
            <w:tcBorders>
              <w:top w:val="nil"/>
              <w:left w:val="nil"/>
              <w:bottom w:val="single" w:sz="4" w:space="0" w:color="auto"/>
              <w:right w:val="single" w:sz="4" w:space="0" w:color="auto"/>
            </w:tcBorders>
            <w:shd w:val="clear" w:color="auto" w:fill="auto"/>
            <w:noWrap/>
            <w:vAlign w:val="center"/>
            <w:hideMark/>
          </w:tcPr>
          <w:p w14:paraId="0EE4B12C"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80.4%</w:t>
            </w:r>
          </w:p>
        </w:tc>
      </w:tr>
      <w:tr w:rsidR="00CF0F96" w:rsidRPr="00CF0F96" w14:paraId="2DEBC15E" w14:textId="77777777" w:rsidTr="005F4A92">
        <w:trPr>
          <w:trHeight w:val="311"/>
          <w:jc w:val="center"/>
        </w:trPr>
        <w:tc>
          <w:tcPr>
            <w:tcW w:w="4693" w:type="dxa"/>
            <w:tcBorders>
              <w:top w:val="nil"/>
              <w:left w:val="single" w:sz="4" w:space="0" w:color="auto"/>
              <w:bottom w:val="single" w:sz="4" w:space="0" w:color="auto"/>
              <w:right w:val="single" w:sz="4" w:space="0" w:color="auto"/>
            </w:tcBorders>
            <w:shd w:val="clear" w:color="000000" w:fill="E0E0E0"/>
            <w:hideMark/>
          </w:tcPr>
          <w:p w14:paraId="68A39453"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cs="Arial"/>
                <w:sz w:val="18"/>
                <w:szCs w:val="18"/>
              </w:rPr>
              <w:t>Otras actividades de servicios.</w:t>
            </w:r>
          </w:p>
        </w:tc>
        <w:tc>
          <w:tcPr>
            <w:tcW w:w="1090" w:type="dxa"/>
            <w:tcBorders>
              <w:top w:val="nil"/>
              <w:left w:val="nil"/>
              <w:bottom w:val="single" w:sz="4" w:space="0" w:color="auto"/>
              <w:right w:val="single" w:sz="4" w:space="0" w:color="auto"/>
            </w:tcBorders>
            <w:shd w:val="clear" w:color="auto" w:fill="auto"/>
            <w:noWrap/>
            <w:vAlign w:val="center"/>
            <w:hideMark/>
          </w:tcPr>
          <w:p w14:paraId="667E310E"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699</w:t>
            </w:r>
          </w:p>
        </w:tc>
        <w:tc>
          <w:tcPr>
            <w:tcW w:w="1090" w:type="dxa"/>
            <w:tcBorders>
              <w:top w:val="nil"/>
              <w:left w:val="nil"/>
              <w:bottom w:val="single" w:sz="4" w:space="0" w:color="auto"/>
              <w:right w:val="single" w:sz="4" w:space="0" w:color="auto"/>
            </w:tcBorders>
            <w:shd w:val="clear" w:color="auto" w:fill="auto"/>
            <w:noWrap/>
            <w:vAlign w:val="center"/>
            <w:hideMark/>
          </w:tcPr>
          <w:p w14:paraId="122CDE6D" w14:textId="054F5699"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2</w:t>
            </w:r>
            <w:r w:rsidR="007F4D40" w:rsidRPr="00CF0F96">
              <w:rPr>
                <w:rFonts w:cs="Arial"/>
                <w:sz w:val="18"/>
                <w:szCs w:val="18"/>
              </w:rPr>
              <w:t>,</w:t>
            </w:r>
            <w:r w:rsidRPr="00CF0F96">
              <w:rPr>
                <w:rFonts w:cs="Arial"/>
                <w:sz w:val="18"/>
                <w:szCs w:val="18"/>
              </w:rPr>
              <w:t>165</w:t>
            </w:r>
          </w:p>
        </w:tc>
        <w:tc>
          <w:tcPr>
            <w:tcW w:w="1090" w:type="dxa"/>
            <w:tcBorders>
              <w:top w:val="nil"/>
              <w:left w:val="nil"/>
              <w:bottom w:val="single" w:sz="4" w:space="0" w:color="auto"/>
              <w:right w:val="single" w:sz="4" w:space="0" w:color="auto"/>
            </w:tcBorders>
            <w:shd w:val="clear" w:color="auto" w:fill="auto"/>
            <w:noWrap/>
            <w:vAlign w:val="center"/>
            <w:hideMark/>
          </w:tcPr>
          <w:p w14:paraId="5E5DA422" w14:textId="256A5980"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2</w:t>
            </w:r>
            <w:r w:rsidR="007F4D40" w:rsidRPr="00CF0F96">
              <w:rPr>
                <w:rFonts w:cs="Arial"/>
                <w:sz w:val="18"/>
                <w:szCs w:val="18"/>
              </w:rPr>
              <w:t>,</w:t>
            </w:r>
            <w:r w:rsidRPr="00CF0F96">
              <w:rPr>
                <w:rFonts w:cs="Arial"/>
                <w:sz w:val="18"/>
                <w:szCs w:val="18"/>
              </w:rPr>
              <w:t>864</w:t>
            </w:r>
          </w:p>
        </w:tc>
        <w:tc>
          <w:tcPr>
            <w:tcW w:w="1106" w:type="dxa"/>
            <w:tcBorders>
              <w:top w:val="nil"/>
              <w:left w:val="nil"/>
              <w:bottom w:val="single" w:sz="4" w:space="0" w:color="auto"/>
              <w:right w:val="single" w:sz="4" w:space="0" w:color="auto"/>
            </w:tcBorders>
            <w:shd w:val="clear" w:color="auto" w:fill="auto"/>
            <w:noWrap/>
            <w:vAlign w:val="center"/>
            <w:hideMark/>
          </w:tcPr>
          <w:p w14:paraId="496E9075"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3.3%</w:t>
            </w:r>
          </w:p>
        </w:tc>
        <w:tc>
          <w:tcPr>
            <w:tcW w:w="1123" w:type="dxa"/>
            <w:tcBorders>
              <w:top w:val="nil"/>
              <w:left w:val="nil"/>
              <w:bottom w:val="single" w:sz="4" w:space="0" w:color="auto"/>
              <w:right w:val="single" w:sz="4" w:space="0" w:color="auto"/>
            </w:tcBorders>
            <w:shd w:val="clear" w:color="auto" w:fill="auto"/>
            <w:noWrap/>
            <w:vAlign w:val="center"/>
            <w:hideMark/>
          </w:tcPr>
          <w:p w14:paraId="31A8A5C2"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83.7%</w:t>
            </w:r>
          </w:p>
        </w:tc>
      </w:tr>
      <w:tr w:rsidR="00CF0F96" w:rsidRPr="00CF0F96" w14:paraId="2B3E5FBC" w14:textId="77777777" w:rsidTr="005F4A92">
        <w:trPr>
          <w:trHeight w:val="498"/>
          <w:jc w:val="center"/>
        </w:trPr>
        <w:tc>
          <w:tcPr>
            <w:tcW w:w="4693" w:type="dxa"/>
            <w:tcBorders>
              <w:top w:val="nil"/>
              <w:left w:val="single" w:sz="4" w:space="0" w:color="auto"/>
              <w:bottom w:val="single" w:sz="4" w:space="0" w:color="auto"/>
              <w:right w:val="single" w:sz="4" w:space="0" w:color="auto"/>
            </w:tcBorders>
            <w:shd w:val="clear" w:color="000000" w:fill="E0E0E0"/>
            <w:hideMark/>
          </w:tcPr>
          <w:p w14:paraId="48660E56"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cs="Arial"/>
                <w:sz w:val="18"/>
                <w:szCs w:val="18"/>
              </w:rPr>
              <w:t>Actividades de los hogares como empleadores y actividades no diferenciadas de los hogares.</w:t>
            </w:r>
          </w:p>
        </w:tc>
        <w:tc>
          <w:tcPr>
            <w:tcW w:w="1090" w:type="dxa"/>
            <w:tcBorders>
              <w:top w:val="nil"/>
              <w:left w:val="nil"/>
              <w:bottom w:val="single" w:sz="4" w:space="0" w:color="auto"/>
              <w:right w:val="single" w:sz="4" w:space="0" w:color="auto"/>
            </w:tcBorders>
            <w:shd w:val="clear" w:color="auto" w:fill="auto"/>
            <w:noWrap/>
            <w:vAlign w:val="center"/>
            <w:hideMark/>
          </w:tcPr>
          <w:p w14:paraId="0E40D542"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496</w:t>
            </w:r>
          </w:p>
        </w:tc>
        <w:tc>
          <w:tcPr>
            <w:tcW w:w="1090" w:type="dxa"/>
            <w:tcBorders>
              <w:top w:val="nil"/>
              <w:left w:val="nil"/>
              <w:bottom w:val="single" w:sz="4" w:space="0" w:color="auto"/>
              <w:right w:val="single" w:sz="4" w:space="0" w:color="auto"/>
            </w:tcBorders>
            <w:shd w:val="clear" w:color="auto" w:fill="auto"/>
            <w:noWrap/>
            <w:vAlign w:val="center"/>
            <w:hideMark/>
          </w:tcPr>
          <w:p w14:paraId="6841FA8C" w14:textId="4FAF1874"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2</w:t>
            </w:r>
            <w:r w:rsidR="007F4D40" w:rsidRPr="00CF0F96">
              <w:rPr>
                <w:rFonts w:cs="Arial"/>
                <w:sz w:val="18"/>
                <w:szCs w:val="18"/>
              </w:rPr>
              <w:t>,</w:t>
            </w:r>
            <w:r w:rsidRPr="00CF0F96">
              <w:rPr>
                <w:rFonts w:cs="Arial"/>
                <w:sz w:val="18"/>
                <w:szCs w:val="18"/>
              </w:rPr>
              <w:t>223</w:t>
            </w:r>
          </w:p>
        </w:tc>
        <w:tc>
          <w:tcPr>
            <w:tcW w:w="1090" w:type="dxa"/>
            <w:tcBorders>
              <w:top w:val="nil"/>
              <w:left w:val="nil"/>
              <w:bottom w:val="single" w:sz="4" w:space="0" w:color="auto"/>
              <w:right w:val="single" w:sz="4" w:space="0" w:color="auto"/>
            </w:tcBorders>
            <w:shd w:val="clear" w:color="auto" w:fill="auto"/>
            <w:noWrap/>
            <w:vAlign w:val="center"/>
            <w:hideMark/>
          </w:tcPr>
          <w:p w14:paraId="4635C831" w14:textId="7D3149F3"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2</w:t>
            </w:r>
            <w:r w:rsidR="007F4D40" w:rsidRPr="00CF0F96">
              <w:rPr>
                <w:rFonts w:cs="Arial"/>
                <w:sz w:val="18"/>
                <w:szCs w:val="18"/>
              </w:rPr>
              <w:t>,</w:t>
            </w:r>
            <w:r w:rsidRPr="00CF0F96">
              <w:rPr>
                <w:rFonts w:cs="Arial"/>
                <w:sz w:val="18"/>
                <w:szCs w:val="18"/>
              </w:rPr>
              <w:t>719</w:t>
            </w:r>
          </w:p>
        </w:tc>
        <w:tc>
          <w:tcPr>
            <w:tcW w:w="1106" w:type="dxa"/>
            <w:tcBorders>
              <w:top w:val="nil"/>
              <w:left w:val="nil"/>
              <w:bottom w:val="single" w:sz="4" w:space="0" w:color="auto"/>
              <w:right w:val="single" w:sz="4" w:space="0" w:color="auto"/>
            </w:tcBorders>
            <w:shd w:val="clear" w:color="auto" w:fill="auto"/>
            <w:noWrap/>
            <w:vAlign w:val="center"/>
            <w:hideMark/>
          </w:tcPr>
          <w:p w14:paraId="184DD8E5"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3.2%</w:t>
            </w:r>
          </w:p>
        </w:tc>
        <w:tc>
          <w:tcPr>
            <w:tcW w:w="1123" w:type="dxa"/>
            <w:tcBorders>
              <w:top w:val="nil"/>
              <w:left w:val="nil"/>
              <w:bottom w:val="single" w:sz="4" w:space="0" w:color="auto"/>
              <w:right w:val="single" w:sz="4" w:space="0" w:color="auto"/>
            </w:tcBorders>
            <w:shd w:val="clear" w:color="auto" w:fill="auto"/>
            <w:noWrap/>
            <w:vAlign w:val="center"/>
            <w:hideMark/>
          </w:tcPr>
          <w:p w14:paraId="7D867B8A"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86.9%</w:t>
            </w:r>
          </w:p>
        </w:tc>
      </w:tr>
      <w:tr w:rsidR="00CF0F96" w:rsidRPr="00CF0F96" w14:paraId="76320D5B" w14:textId="77777777" w:rsidTr="005F4A92">
        <w:trPr>
          <w:trHeight w:val="311"/>
          <w:jc w:val="center"/>
        </w:trPr>
        <w:tc>
          <w:tcPr>
            <w:tcW w:w="4693" w:type="dxa"/>
            <w:tcBorders>
              <w:top w:val="nil"/>
              <w:left w:val="single" w:sz="4" w:space="0" w:color="auto"/>
              <w:bottom w:val="single" w:sz="4" w:space="0" w:color="auto"/>
              <w:right w:val="single" w:sz="4" w:space="0" w:color="auto"/>
            </w:tcBorders>
            <w:shd w:val="clear" w:color="000000" w:fill="E0E0E0"/>
            <w:hideMark/>
          </w:tcPr>
          <w:p w14:paraId="12EB79DB"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cs="Arial"/>
                <w:sz w:val="18"/>
                <w:szCs w:val="18"/>
              </w:rPr>
              <w:t>Busca trabajo por primera vez.</w:t>
            </w:r>
          </w:p>
        </w:tc>
        <w:tc>
          <w:tcPr>
            <w:tcW w:w="1090" w:type="dxa"/>
            <w:tcBorders>
              <w:top w:val="nil"/>
              <w:left w:val="nil"/>
              <w:bottom w:val="single" w:sz="4" w:space="0" w:color="auto"/>
              <w:right w:val="single" w:sz="4" w:space="0" w:color="auto"/>
            </w:tcBorders>
            <w:shd w:val="clear" w:color="auto" w:fill="auto"/>
            <w:noWrap/>
            <w:vAlign w:val="center"/>
            <w:hideMark/>
          </w:tcPr>
          <w:p w14:paraId="6EAE6FC4"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469</w:t>
            </w:r>
          </w:p>
        </w:tc>
        <w:tc>
          <w:tcPr>
            <w:tcW w:w="1090" w:type="dxa"/>
            <w:tcBorders>
              <w:top w:val="nil"/>
              <w:left w:val="nil"/>
              <w:bottom w:val="single" w:sz="4" w:space="0" w:color="auto"/>
              <w:right w:val="single" w:sz="4" w:space="0" w:color="auto"/>
            </w:tcBorders>
            <w:shd w:val="clear" w:color="auto" w:fill="auto"/>
            <w:noWrap/>
            <w:vAlign w:val="center"/>
            <w:hideMark/>
          </w:tcPr>
          <w:p w14:paraId="3502AEA9" w14:textId="528511EE"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2</w:t>
            </w:r>
            <w:r w:rsidR="007F4D40" w:rsidRPr="00CF0F96">
              <w:rPr>
                <w:rFonts w:cs="Arial"/>
                <w:sz w:val="18"/>
                <w:szCs w:val="18"/>
              </w:rPr>
              <w:t>,</w:t>
            </w:r>
            <w:r w:rsidRPr="00CF0F96">
              <w:rPr>
                <w:rFonts w:cs="Arial"/>
                <w:sz w:val="18"/>
                <w:szCs w:val="18"/>
              </w:rPr>
              <w:t>052</w:t>
            </w:r>
          </w:p>
        </w:tc>
        <w:tc>
          <w:tcPr>
            <w:tcW w:w="1090" w:type="dxa"/>
            <w:tcBorders>
              <w:top w:val="nil"/>
              <w:left w:val="nil"/>
              <w:bottom w:val="single" w:sz="4" w:space="0" w:color="auto"/>
              <w:right w:val="single" w:sz="4" w:space="0" w:color="auto"/>
            </w:tcBorders>
            <w:shd w:val="clear" w:color="auto" w:fill="auto"/>
            <w:noWrap/>
            <w:vAlign w:val="center"/>
            <w:hideMark/>
          </w:tcPr>
          <w:p w14:paraId="42F357FF" w14:textId="32D386A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2</w:t>
            </w:r>
            <w:r w:rsidR="007F4D40" w:rsidRPr="00CF0F96">
              <w:rPr>
                <w:rFonts w:cs="Arial"/>
                <w:sz w:val="18"/>
                <w:szCs w:val="18"/>
              </w:rPr>
              <w:t>,</w:t>
            </w:r>
            <w:r w:rsidRPr="00CF0F96">
              <w:rPr>
                <w:rFonts w:cs="Arial"/>
                <w:sz w:val="18"/>
                <w:szCs w:val="18"/>
              </w:rPr>
              <w:t>521</w:t>
            </w:r>
          </w:p>
        </w:tc>
        <w:tc>
          <w:tcPr>
            <w:tcW w:w="1106" w:type="dxa"/>
            <w:tcBorders>
              <w:top w:val="nil"/>
              <w:left w:val="nil"/>
              <w:bottom w:val="single" w:sz="4" w:space="0" w:color="auto"/>
              <w:right w:val="single" w:sz="4" w:space="0" w:color="auto"/>
            </w:tcBorders>
            <w:shd w:val="clear" w:color="auto" w:fill="auto"/>
            <w:noWrap/>
            <w:vAlign w:val="center"/>
            <w:hideMark/>
          </w:tcPr>
          <w:p w14:paraId="0C8399DF"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2.9%</w:t>
            </w:r>
          </w:p>
        </w:tc>
        <w:tc>
          <w:tcPr>
            <w:tcW w:w="1123" w:type="dxa"/>
            <w:tcBorders>
              <w:top w:val="nil"/>
              <w:left w:val="nil"/>
              <w:bottom w:val="single" w:sz="4" w:space="0" w:color="auto"/>
              <w:right w:val="single" w:sz="4" w:space="0" w:color="auto"/>
            </w:tcBorders>
            <w:shd w:val="clear" w:color="auto" w:fill="auto"/>
            <w:noWrap/>
            <w:vAlign w:val="center"/>
            <w:hideMark/>
          </w:tcPr>
          <w:p w14:paraId="2FB2B763"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89.8%</w:t>
            </w:r>
          </w:p>
        </w:tc>
      </w:tr>
      <w:tr w:rsidR="00CF0F96" w:rsidRPr="00CF0F96" w14:paraId="0039E5CE" w14:textId="77777777" w:rsidTr="005F4A92">
        <w:trPr>
          <w:trHeight w:val="498"/>
          <w:jc w:val="center"/>
        </w:trPr>
        <w:tc>
          <w:tcPr>
            <w:tcW w:w="4693" w:type="dxa"/>
            <w:tcBorders>
              <w:top w:val="nil"/>
              <w:left w:val="single" w:sz="4" w:space="0" w:color="auto"/>
              <w:bottom w:val="single" w:sz="4" w:space="0" w:color="auto"/>
              <w:right w:val="single" w:sz="4" w:space="0" w:color="auto"/>
            </w:tcBorders>
            <w:shd w:val="clear" w:color="000000" w:fill="E0E0E0"/>
            <w:hideMark/>
          </w:tcPr>
          <w:p w14:paraId="79374554"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cs="Arial"/>
                <w:sz w:val="18"/>
                <w:szCs w:val="18"/>
              </w:rPr>
              <w:lastRenderedPageBreak/>
              <w:t>Suministro de agua, evacuación de aguas residuales, gestión de desechos y descontaminación.</w:t>
            </w:r>
          </w:p>
        </w:tc>
        <w:tc>
          <w:tcPr>
            <w:tcW w:w="1090" w:type="dxa"/>
            <w:tcBorders>
              <w:top w:val="nil"/>
              <w:left w:val="nil"/>
              <w:bottom w:val="single" w:sz="4" w:space="0" w:color="auto"/>
              <w:right w:val="single" w:sz="4" w:space="0" w:color="auto"/>
            </w:tcBorders>
            <w:shd w:val="clear" w:color="auto" w:fill="auto"/>
            <w:noWrap/>
            <w:vAlign w:val="center"/>
            <w:hideMark/>
          </w:tcPr>
          <w:p w14:paraId="586BAFA9" w14:textId="4FF387ED"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2</w:t>
            </w:r>
            <w:r w:rsidR="007F4D40" w:rsidRPr="00CF0F96">
              <w:rPr>
                <w:rFonts w:cs="Arial"/>
                <w:sz w:val="18"/>
                <w:szCs w:val="18"/>
              </w:rPr>
              <w:t>,</w:t>
            </w:r>
            <w:r w:rsidRPr="00CF0F96">
              <w:rPr>
                <w:rFonts w:cs="Arial"/>
                <w:sz w:val="18"/>
                <w:szCs w:val="18"/>
              </w:rPr>
              <w:t>407</w:t>
            </w:r>
          </w:p>
        </w:tc>
        <w:tc>
          <w:tcPr>
            <w:tcW w:w="1090" w:type="dxa"/>
            <w:tcBorders>
              <w:top w:val="nil"/>
              <w:left w:val="nil"/>
              <w:bottom w:val="single" w:sz="4" w:space="0" w:color="auto"/>
              <w:right w:val="single" w:sz="4" w:space="0" w:color="auto"/>
            </w:tcBorders>
            <w:shd w:val="clear" w:color="auto" w:fill="auto"/>
            <w:noWrap/>
            <w:vAlign w:val="center"/>
            <w:hideMark/>
          </w:tcPr>
          <w:p w14:paraId="363EC1E2"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0</w:t>
            </w:r>
          </w:p>
        </w:tc>
        <w:tc>
          <w:tcPr>
            <w:tcW w:w="1090" w:type="dxa"/>
            <w:tcBorders>
              <w:top w:val="nil"/>
              <w:left w:val="nil"/>
              <w:bottom w:val="single" w:sz="4" w:space="0" w:color="auto"/>
              <w:right w:val="single" w:sz="4" w:space="0" w:color="auto"/>
            </w:tcBorders>
            <w:shd w:val="clear" w:color="auto" w:fill="auto"/>
            <w:noWrap/>
            <w:vAlign w:val="center"/>
            <w:hideMark/>
          </w:tcPr>
          <w:p w14:paraId="20A0CCA0" w14:textId="7F6BA3EF"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2</w:t>
            </w:r>
            <w:r w:rsidR="007F4D40" w:rsidRPr="00CF0F96">
              <w:rPr>
                <w:rFonts w:cs="Arial"/>
                <w:sz w:val="18"/>
                <w:szCs w:val="18"/>
              </w:rPr>
              <w:t>,</w:t>
            </w:r>
            <w:r w:rsidRPr="00CF0F96">
              <w:rPr>
                <w:rFonts w:cs="Arial"/>
                <w:sz w:val="18"/>
                <w:szCs w:val="18"/>
              </w:rPr>
              <w:t>407</w:t>
            </w:r>
          </w:p>
        </w:tc>
        <w:tc>
          <w:tcPr>
            <w:tcW w:w="1106" w:type="dxa"/>
            <w:tcBorders>
              <w:top w:val="nil"/>
              <w:left w:val="nil"/>
              <w:bottom w:val="single" w:sz="4" w:space="0" w:color="auto"/>
              <w:right w:val="single" w:sz="4" w:space="0" w:color="auto"/>
            </w:tcBorders>
            <w:shd w:val="clear" w:color="auto" w:fill="auto"/>
            <w:noWrap/>
            <w:vAlign w:val="center"/>
            <w:hideMark/>
          </w:tcPr>
          <w:p w14:paraId="53D6E194"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2.8%</w:t>
            </w:r>
          </w:p>
        </w:tc>
        <w:tc>
          <w:tcPr>
            <w:tcW w:w="1123" w:type="dxa"/>
            <w:tcBorders>
              <w:top w:val="nil"/>
              <w:left w:val="nil"/>
              <w:bottom w:val="single" w:sz="4" w:space="0" w:color="auto"/>
              <w:right w:val="single" w:sz="4" w:space="0" w:color="auto"/>
            </w:tcBorders>
            <w:shd w:val="clear" w:color="auto" w:fill="auto"/>
            <w:noWrap/>
            <w:vAlign w:val="center"/>
            <w:hideMark/>
          </w:tcPr>
          <w:p w14:paraId="7598C13B"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92.6%</w:t>
            </w:r>
          </w:p>
        </w:tc>
      </w:tr>
      <w:tr w:rsidR="00CF0F96" w:rsidRPr="00CF0F96" w14:paraId="13461402" w14:textId="77777777" w:rsidTr="005F4A92">
        <w:trPr>
          <w:trHeight w:val="311"/>
          <w:jc w:val="center"/>
        </w:trPr>
        <w:tc>
          <w:tcPr>
            <w:tcW w:w="4693" w:type="dxa"/>
            <w:tcBorders>
              <w:top w:val="nil"/>
              <w:left w:val="single" w:sz="4" w:space="0" w:color="auto"/>
              <w:bottom w:val="single" w:sz="4" w:space="0" w:color="auto"/>
              <w:right w:val="single" w:sz="4" w:space="0" w:color="auto"/>
            </w:tcBorders>
            <w:shd w:val="clear" w:color="000000" w:fill="E0E0E0"/>
            <w:hideMark/>
          </w:tcPr>
          <w:p w14:paraId="4831BC91"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cs="Arial"/>
                <w:sz w:val="18"/>
                <w:szCs w:val="18"/>
              </w:rPr>
              <w:t>Transporte y almacenamiento.</w:t>
            </w:r>
          </w:p>
        </w:tc>
        <w:tc>
          <w:tcPr>
            <w:tcW w:w="1090" w:type="dxa"/>
            <w:tcBorders>
              <w:top w:val="nil"/>
              <w:left w:val="nil"/>
              <w:bottom w:val="single" w:sz="4" w:space="0" w:color="auto"/>
              <w:right w:val="single" w:sz="4" w:space="0" w:color="auto"/>
            </w:tcBorders>
            <w:shd w:val="clear" w:color="auto" w:fill="auto"/>
            <w:noWrap/>
            <w:vAlign w:val="center"/>
            <w:hideMark/>
          </w:tcPr>
          <w:p w14:paraId="371BF160" w14:textId="1CFE2DA8"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2</w:t>
            </w:r>
            <w:r w:rsidR="007F4D40" w:rsidRPr="00CF0F96">
              <w:rPr>
                <w:rFonts w:cs="Arial"/>
                <w:sz w:val="18"/>
                <w:szCs w:val="18"/>
              </w:rPr>
              <w:t>,</w:t>
            </w:r>
            <w:r w:rsidRPr="00CF0F96">
              <w:rPr>
                <w:rFonts w:cs="Arial"/>
                <w:sz w:val="18"/>
                <w:szCs w:val="18"/>
              </w:rPr>
              <w:t>393</w:t>
            </w:r>
          </w:p>
        </w:tc>
        <w:tc>
          <w:tcPr>
            <w:tcW w:w="1090" w:type="dxa"/>
            <w:tcBorders>
              <w:top w:val="nil"/>
              <w:left w:val="nil"/>
              <w:bottom w:val="single" w:sz="4" w:space="0" w:color="auto"/>
              <w:right w:val="single" w:sz="4" w:space="0" w:color="auto"/>
            </w:tcBorders>
            <w:shd w:val="clear" w:color="auto" w:fill="auto"/>
            <w:noWrap/>
            <w:vAlign w:val="center"/>
            <w:hideMark/>
          </w:tcPr>
          <w:p w14:paraId="4607CAEA"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0</w:t>
            </w:r>
          </w:p>
        </w:tc>
        <w:tc>
          <w:tcPr>
            <w:tcW w:w="1090" w:type="dxa"/>
            <w:tcBorders>
              <w:top w:val="nil"/>
              <w:left w:val="nil"/>
              <w:bottom w:val="single" w:sz="4" w:space="0" w:color="auto"/>
              <w:right w:val="single" w:sz="4" w:space="0" w:color="auto"/>
            </w:tcBorders>
            <w:shd w:val="clear" w:color="auto" w:fill="auto"/>
            <w:noWrap/>
            <w:vAlign w:val="center"/>
            <w:hideMark/>
          </w:tcPr>
          <w:p w14:paraId="34004116" w14:textId="13C17E49"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2</w:t>
            </w:r>
            <w:r w:rsidR="007F4D40" w:rsidRPr="00CF0F96">
              <w:rPr>
                <w:rFonts w:cs="Arial"/>
                <w:sz w:val="18"/>
                <w:szCs w:val="18"/>
              </w:rPr>
              <w:t>,</w:t>
            </w:r>
            <w:r w:rsidRPr="00CF0F96">
              <w:rPr>
                <w:rFonts w:cs="Arial"/>
                <w:sz w:val="18"/>
                <w:szCs w:val="18"/>
              </w:rPr>
              <w:t>393</w:t>
            </w:r>
          </w:p>
        </w:tc>
        <w:tc>
          <w:tcPr>
            <w:tcW w:w="1106" w:type="dxa"/>
            <w:tcBorders>
              <w:top w:val="nil"/>
              <w:left w:val="nil"/>
              <w:bottom w:val="single" w:sz="4" w:space="0" w:color="auto"/>
              <w:right w:val="single" w:sz="4" w:space="0" w:color="auto"/>
            </w:tcBorders>
            <w:shd w:val="clear" w:color="auto" w:fill="auto"/>
            <w:noWrap/>
            <w:vAlign w:val="center"/>
            <w:hideMark/>
          </w:tcPr>
          <w:p w14:paraId="08CDA6D0"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2.8%</w:t>
            </w:r>
          </w:p>
        </w:tc>
        <w:tc>
          <w:tcPr>
            <w:tcW w:w="1123" w:type="dxa"/>
            <w:tcBorders>
              <w:top w:val="nil"/>
              <w:left w:val="nil"/>
              <w:bottom w:val="single" w:sz="4" w:space="0" w:color="auto"/>
              <w:right w:val="single" w:sz="4" w:space="0" w:color="auto"/>
            </w:tcBorders>
            <w:shd w:val="clear" w:color="auto" w:fill="auto"/>
            <w:noWrap/>
            <w:vAlign w:val="center"/>
            <w:hideMark/>
          </w:tcPr>
          <w:p w14:paraId="5485276B"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95.4%</w:t>
            </w:r>
          </w:p>
        </w:tc>
      </w:tr>
      <w:tr w:rsidR="00CF0F96" w:rsidRPr="00CF0F96" w14:paraId="23936321" w14:textId="77777777" w:rsidTr="005F4A92">
        <w:trPr>
          <w:trHeight w:val="498"/>
          <w:jc w:val="center"/>
        </w:trPr>
        <w:tc>
          <w:tcPr>
            <w:tcW w:w="4693" w:type="dxa"/>
            <w:tcBorders>
              <w:top w:val="nil"/>
              <w:left w:val="single" w:sz="4" w:space="0" w:color="auto"/>
              <w:bottom w:val="single" w:sz="4" w:space="0" w:color="auto"/>
              <w:right w:val="single" w:sz="4" w:space="0" w:color="auto"/>
            </w:tcBorders>
            <w:shd w:val="clear" w:color="000000" w:fill="E0E0E0"/>
            <w:hideMark/>
          </w:tcPr>
          <w:p w14:paraId="027A45EE"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cs="Arial"/>
                <w:sz w:val="18"/>
                <w:szCs w:val="18"/>
              </w:rPr>
              <w:t>Actividades de atención de la salud humana y de asistencia social.</w:t>
            </w:r>
          </w:p>
        </w:tc>
        <w:tc>
          <w:tcPr>
            <w:tcW w:w="1090" w:type="dxa"/>
            <w:tcBorders>
              <w:top w:val="nil"/>
              <w:left w:val="nil"/>
              <w:bottom w:val="single" w:sz="4" w:space="0" w:color="auto"/>
              <w:right w:val="single" w:sz="4" w:space="0" w:color="auto"/>
            </w:tcBorders>
            <w:shd w:val="clear" w:color="auto" w:fill="auto"/>
            <w:noWrap/>
            <w:vAlign w:val="center"/>
            <w:hideMark/>
          </w:tcPr>
          <w:p w14:paraId="27D96D97"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375</w:t>
            </w:r>
          </w:p>
        </w:tc>
        <w:tc>
          <w:tcPr>
            <w:tcW w:w="1090" w:type="dxa"/>
            <w:tcBorders>
              <w:top w:val="nil"/>
              <w:left w:val="nil"/>
              <w:bottom w:val="single" w:sz="4" w:space="0" w:color="auto"/>
              <w:right w:val="single" w:sz="4" w:space="0" w:color="auto"/>
            </w:tcBorders>
            <w:shd w:val="clear" w:color="auto" w:fill="auto"/>
            <w:noWrap/>
            <w:vAlign w:val="center"/>
            <w:hideMark/>
          </w:tcPr>
          <w:p w14:paraId="5B4E0130"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863</w:t>
            </w:r>
          </w:p>
        </w:tc>
        <w:tc>
          <w:tcPr>
            <w:tcW w:w="1090" w:type="dxa"/>
            <w:tcBorders>
              <w:top w:val="nil"/>
              <w:left w:val="nil"/>
              <w:bottom w:val="single" w:sz="4" w:space="0" w:color="auto"/>
              <w:right w:val="single" w:sz="4" w:space="0" w:color="auto"/>
            </w:tcBorders>
            <w:shd w:val="clear" w:color="auto" w:fill="auto"/>
            <w:noWrap/>
            <w:vAlign w:val="center"/>
            <w:hideMark/>
          </w:tcPr>
          <w:p w14:paraId="5A907C48" w14:textId="68E01BF4"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1</w:t>
            </w:r>
            <w:r w:rsidR="007F4D40" w:rsidRPr="00CF0F96">
              <w:rPr>
                <w:rFonts w:cs="Arial"/>
                <w:sz w:val="18"/>
                <w:szCs w:val="18"/>
              </w:rPr>
              <w:t>,</w:t>
            </w:r>
            <w:r w:rsidRPr="00CF0F96">
              <w:rPr>
                <w:rFonts w:cs="Arial"/>
                <w:sz w:val="18"/>
                <w:szCs w:val="18"/>
              </w:rPr>
              <w:t>238</w:t>
            </w:r>
          </w:p>
        </w:tc>
        <w:tc>
          <w:tcPr>
            <w:tcW w:w="1106" w:type="dxa"/>
            <w:tcBorders>
              <w:top w:val="nil"/>
              <w:left w:val="nil"/>
              <w:bottom w:val="single" w:sz="4" w:space="0" w:color="auto"/>
              <w:right w:val="single" w:sz="4" w:space="0" w:color="auto"/>
            </w:tcBorders>
            <w:shd w:val="clear" w:color="auto" w:fill="auto"/>
            <w:noWrap/>
            <w:vAlign w:val="center"/>
            <w:hideMark/>
          </w:tcPr>
          <w:p w14:paraId="73FCBAEF"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1.4%</w:t>
            </w:r>
          </w:p>
        </w:tc>
        <w:tc>
          <w:tcPr>
            <w:tcW w:w="1123" w:type="dxa"/>
            <w:tcBorders>
              <w:top w:val="nil"/>
              <w:left w:val="nil"/>
              <w:bottom w:val="single" w:sz="4" w:space="0" w:color="auto"/>
              <w:right w:val="single" w:sz="4" w:space="0" w:color="auto"/>
            </w:tcBorders>
            <w:shd w:val="clear" w:color="auto" w:fill="auto"/>
            <w:noWrap/>
            <w:vAlign w:val="center"/>
            <w:hideMark/>
          </w:tcPr>
          <w:p w14:paraId="419C486D"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96.9%</w:t>
            </w:r>
          </w:p>
        </w:tc>
      </w:tr>
      <w:tr w:rsidR="00CF0F96" w:rsidRPr="00CF0F96" w14:paraId="10D5B3A4" w14:textId="77777777" w:rsidTr="005F4A92">
        <w:trPr>
          <w:trHeight w:val="311"/>
          <w:jc w:val="center"/>
        </w:trPr>
        <w:tc>
          <w:tcPr>
            <w:tcW w:w="4693" w:type="dxa"/>
            <w:tcBorders>
              <w:top w:val="nil"/>
              <w:left w:val="single" w:sz="4" w:space="0" w:color="auto"/>
              <w:bottom w:val="single" w:sz="4" w:space="0" w:color="auto"/>
              <w:right w:val="single" w:sz="4" w:space="0" w:color="auto"/>
            </w:tcBorders>
            <w:shd w:val="clear" w:color="000000" w:fill="E0E0E0"/>
            <w:hideMark/>
          </w:tcPr>
          <w:p w14:paraId="684EA12F"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cs="Arial"/>
                <w:sz w:val="18"/>
                <w:szCs w:val="18"/>
              </w:rPr>
              <w:t>Actividades de servicios administrativos y de apoyo.</w:t>
            </w:r>
          </w:p>
        </w:tc>
        <w:tc>
          <w:tcPr>
            <w:tcW w:w="1090" w:type="dxa"/>
            <w:tcBorders>
              <w:top w:val="nil"/>
              <w:left w:val="nil"/>
              <w:bottom w:val="single" w:sz="4" w:space="0" w:color="auto"/>
              <w:right w:val="single" w:sz="4" w:space="0" w:color="auto"/>
            </w:tcBorders>
            <w:shd w:val="clear" w:color="auto" w:fill="auto"/>
            <w:noWrap/>
            <w:vAlign w:val="center"/>
            <w:hideMark/>
          </w:tcPr>
          <w:p w14:paraId="2B8A6AC2"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509</w:t>
            </w:r>
          </w:p>
        </w:tc>
        <w:tc>
          <w:tcPr>
            <w:tcW w:w="1090" w:type="dxa"/>
            <w:tcBorders>
              <w:top w:val="nil"/>
              <w:left w:val="nil"/>
              <w:bottom w:val="single" w:sz="4" w:space="0" w:color="auto"/>
              <w:right w:val="single" w:sz="4" w:space="0" w:color="auto"/>
            </w:tcBorders>
            <w:shd w:val="clear" w:color="auto" w:fill="auto"/>
            <w:noWrap/>
            <w:vAlign w:val="center"/>
            <w:hideMark/>
          </w:tcPr>
          <w:p w14:paraId="782E506B"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350</w:t>
            </w:r>
          </w:p>
        </w:tc>
        <w:tc>
          <w:tcPr>
            <w:tcW w:w="1090" w:type="dxa"/>
            <w:tcBorders>
              <w:top w:val="nil"/>
              <w:left w:val="nil"/>
              <w:bottom w:val="single" w:sz="4" w:space="0" w:color="auto"/>
              <w:right w:val="single" w:sz="4" w:space="0" w:color="auto"/>
            </w:tcBorders>
            <w:shd w:val="clear" w:color="auto" w:fill="auto"/>
            <w:noWrap/>
            <w:vAlign w:val="center"/>
            <w:hideMark/>
          </w:tcPr>
          <w:p w14:paraId="23CFFEB3"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859</w:t>
            </w:r>
          </w:p>
        </w:tc>
        <w:tc>
          <w:tcPr>
            <w:tcW w:w="1106" w:type="dxa"/>
            <w:tcBorders>
              <w:top w:val="nil"/>
              <w:left w:val="nil"/>
              <w:bottom w:val="single" w:sz="4" w:space="0" w:color="auto"/>
              <w:right w:val="single" w:sz="4" w:space="0" w:color="auto"/>
            </w:tcBorders>
            <w:shd w:val="clear" w:color="auto" w:fill="auto"/>
            <w:noWrap/>
            <w:vAlign w:val="center"/>
            <w:hideMark/>
          </w:tcPr>
          <w:p w14:paraId="7D6AED2B"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1.0%</w:t>
            </w:r>
          </w:p>
        </w:tc>
        <w:tc>
          <w:tcPr>
            <w:tcW w:w="1123" w:type="dxa"/>
            <w:tcBorders>
              <w:top w:val="nil"/>
              <w:left w:val="nil"/>
              <w:bottom w:val="single" w:sz="4" w:space="0" w:color="auto"/>
              <w:right w:val="single" w:sz="4" w:space="0" w:color="auto"/>
            </w:tcBorders>
            <w:shd w:val="clear" w:color="auto" w:fill="auto"/>
            <w:noWrap/>
            <w:vAlign w:val="center"/>
            <w:hideMark/>
          </w:tcPr>
          <w:p w14:paraId="0A198A27"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97.9%</w:t>
            </w:r>
          </w:p>
        </w:tc>
      </w:tr>
      <w:tr w:rsidR="00CF0F96" w:rsidRPr="00CF0F96" w14:paraId="67143828" w14:textId="77777777" w:rsidTr="005F4A92">
        <w:trPr>
          <w:trHeight w:val="311"/>
          <w:jc w:val="center"/>
        </w:trPr>
        <w:tc>
          <w:tcPr>
            <w:tcW w:w="4693" w:type="dxa"/>
            <w:tcBorders>
              <w:top w:val="nil"/>
              <w:left w:val="single" w:sz="4" w:space="0" w:color="auto"/>
              <w:bottom w:val="single" w:sz="4" w:space="0" w:color="auto"/>
              <w:right w:val="single" w:sz="4" w:space="0" w:color="auto"/>
            </w:tcBorders>
            <w:shd w:val="clear" w:color="000000" w:fill="E0E0E0"/>
            <w:hideMark/>
          </w:tcPr>
          <w:p w14:paraId="71595A44"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cs="Arial"/>
                <w:sz w:val="18"/>
                <w:szCs w:val="18"/>
              </w:rPr>
              <w:t>Actividades artísticas, de entretenimiento y recreativas.</w:t>
            </w:r>
          </w:p>
        </w:tc>
        <w:tc>
          <w:tcPr>
            <w:tcW w:w="1090" w:type="dxa"/>
            <w:tcBorders>
              <w:top w:val="nil"/>
              <w:left w:val="nil"/>
              <w:bottom w:val="single" w:sz="4" w:space="0" w:color="auto"/>
              <w:right w:val="single" w:sz="4" w:space="0" w:color="auto"/>
            </w:tcBorders>
            <w:shd w:val="clear" w:color="auto" w:fill="auto"/>
            <w:noWrap/>
            <w:vAlign w:val="center"/>
            <w:hideMark/>
          </w:tcPr>
          <w:p w14:paraId="0BE8CBAE"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676</w:t>
            </w:r>
          </w:p>
        </w:tc>
        <w:tc>
          <w:tcPr>
            <w:tcW w:w="1090" w:type="dxa"/>
            <w:tcBorders>
              <w:top w:val="nil"/>
              <w:left w:val="nil"/>
              <w:bottom w:val="single" w:sz="4" w:space="0" w:color="auto"/>
              <w:right w:val="single" w:sz="4" w:space="0" w:color="auto"/>
            </w:tcBorders>
            <w:shd w:val="clear" w:color="auto" w:fill="auto"/>
            <w:noWrap/>
            <w:vAlign w:val="center"/>
            <w:hideMark/>
          </w:tcPr>
          <w:p w14:paraId="7CDA981E"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0</w:t>
            </w:r>
          </w:p>
        </w:tc>
        <w:tc>
          <w:tcPr>
            <w:tcW w:w="1090" w:type="dxa"/>
            <w:tcBorders>
              <w:top w:val="nil"/>
              <w:left w:val="nil"/>
              <w:bottom w:val="single" w:sz="4" w:space="0" w:color="auto"/>
              <w:right w:val="single" w:sz="4" w:space="0" w:color="auto"/>
            </w:tcBorders>
            <w:shd w:val="clear" w:color="auto" w:fill="auto"/>
            <w:noWrap/>
            <w:vAlign w:val="center"/>
            <w:hideMark/>
          </w:tcPr>
          <w:p w14:paraId="690AA2CB"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676</w:t>
            </w:r>
          </w:p>
        </w:tc>
        <w:tc>
          <w:tcPr>
            <w:tcW w:w="1106" w:type="dxa"/>
            <w:tcBorders>
              <w:top w:val="nil"/>
              <w:left w:val="nil"/>
              <w:bottom w:val="single" w:sz="4" w:space="0" w:color="auto"/>
              <w:right w:val="single" w:sz="4" w:space="0" w:color="auto"/>
            </w:tcBorders>
            <w:shd w:val="clear" w:color="auto" w:fill="auto"/>
            <w:noWrap/>
            <w:vAlign w:val="center"/>
            <w:hideMark/>
          </w:tcPr>
          <w:p w14:paraId="5814352A"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0.8%</w:t>
            </w:r>
          </w:p>
        </w:tc>
        <w:tc>
          <w:tcPr>
            <w:tcW w:w="1123" w:type="dxa"/>
            <w:tcBorders>
              <w:top w:val="nil"/>
              <w:left w:val="nil"/>
              <w:bottom w:val="single" w:sz="4" w:space="0" w:color="auto"/>
              <w:right w:val="single" w:sz="4" w:space="0" w:color="auto"/>
            </w:tcBorders>
            <w:shd w:val="clear" w:color="auto" w:fill="auto"/>
            <w:noWrap/>
            <w:vAlign w:val="center"/>
            <w:hideMark/>
          </w:tcPr>
          <w:p w14:paraId="1A4869EC"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98.6%</w:t>
            </w:r>
          </w:p>
        </w:tc>
      </w:tr>
      <w:tr w:rsidR="00CF0F96" w:rsidRPr="00CF0F96" w14:paraId="6BEAD9D5" w14:textId="77777777" w:rsidTr="005F4A92">
        <w:trPr>
          <w:trHeight w:val="311"/>
          <w:jc w:val="center"/>
        </w:trPr>
        <w:tc>
          <w:tcPr>
            <w:tcW w:w="4693" w:type="dxa"/>
            <w:tcBorders>
              <w:top w:val="nil"/>
              <w:left w:val="single" w:sz="4" w:space="0" w:color="auto"/>
              <w:bottom w:val="single" w:sz="4" w:space="0" w:color="auto"/>
              <w:right w:val="single" w:sz="4" w:space="0" w:color="auto"/>
            </w:tcBorders>
            <w:shd w:val="clear" w:color="000000" w:fill="E0E0E0"/>
            <w:hideMark/>
          </w:tcPr>
          <w:p w14:paraId="0DBB43EE"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cs="Arial"/>
                <w:sz w:val="18"/>
                <w:szCs w:val="18"/>
              </w:rPr>
              <w:t>Actividades profesionales, científicas y técnicas.</w:t>
            </w:r>
          </w:p>
        </w:tc>
        <w:tc>
          <w:tcPr>
            <w:tcW w:w="1090" w:type="dxa"/>
            <w:tcBorders>
              <w:top w:val="nil"/>
              <w:left w:val="nil"/>
              <w:bottom w:val="single" w:sz="4" w:space="0" w:color="auto"/>
              <w:right w:val="single" w:sz="4" w:space="0" w:color="auto"/>
            </w:tcBorders>
            <w:shd w:val="clear" w:color="auto" w:fill="auto"/>
            <w:noWrap/>
            <w:vAlign w:val="center"/>
            <w:hideMark/>
          </w:tcPr>
          <w:p w14:paraId="6429BC6D"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139</w:t>
            </w:r>
          </w:p>
        </w:tc>
        <w:tc>
          <w:tcPr>
            <w:tcW w:w="1090" w:type="dxa"/>
            <w:tcBorders>
              <w:top w:val="nil"/>
              <w:left w:val="nil"/>
              <w:bottom w:val="single" w:sz="4" w:space="0" w:color="auto"/>
              <w:right w:val="single" w:sz="4" w:space="0" w:color="auto"/>
            </w:tcBorders>
            <w:shd w:val="clear" w:color="auto" w:fill="auto"/>
            <w:noWrap/>
            <w:vAlign w:val="center"/>
            <w:hideMark/>
          </w:tcPr>
          <w:p w14:paraId="302E9FEE"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249</w:t>
            </w:r>
          </w:p>
        </w:tc>
        <w:tc>
          <w:tcPr>
            <w:tcW w:w="1090" w:type="dxa"/>
            <w:tcBorders>
              <w:top w:val="nil"/>
              <w:left w:val="nil"/>
              <w:bottom w:val="single" w:sz="4" w:space="0" w:color="auto"/>
              <w:right w:val="single" w:sz="4" w:space="0" w:color="auto"/>
            </w:tcBorders>
            <w:shd w:val="clear" w:color="auto" w:fill="auto"/>
            <w:noWrap/>
            <w:vAlign w:val="center"/>
            <w:hideMark/>
          </w:tcPr>
          <w:p w14:paraId="07BA2A62"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388</w:t>
            </w:r>
          </w:p>
        </w:tc>
        <w:tc>
          <w:tcPr>
            <w:tcW w:w="1106" w:type="dxa"/>
            <w:tcBorders>
              <w:top w:val="nil"/>
              <w:left w:val="nil"/>
              <w:bottom w:val="single" w:sz="4" w:space="0" w:color="auto"/>
              <w:right w:val="single" w:sz="4" w:space="0" w:color="auto"/>
            </w:tcBorders>
            <w:shd w:val="clear" w:color="auto" w:fill="auto"/>
            <w:noWrap/>
            <w:vAlign w:val="center"/>
            <w:hideMark/>
          </w:tcPr>
          <w:p w14:paraId="0BF89891"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0.5%</w:t>
            </w:r>
          </w:p>
        </w:tc>
        <w:tc>
          <w:tcPr>
            <w:tcW w:w="1123" w:type="dxa"/>
            <w:tcBorders>
              <w:top w:val="nil"/>
              <w:left w:val="nil"/>
              <w:bottom w:val="single" w:sz="4" w:space="0" w:color="auto"/>
              <w:right w:val="single" w:sz="4" w:space="0" w:color="auto"/>
            </w:tcBorders>
            <w:shd w:val="clear" w:color="auto" w:fill="auto"/>
            <w:noWrap/>
            <w:vAlign w:val="center"/>
            <w:hideMark/>
          </w:tcPr>
          <w:p w14:paraId="5B01B789"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99.1%</w:t>
            </w:r>
          </w:p>
        </w:tc>
      </w:tr>
      <w:tr w:rsidR="00CF0F96" w:rsidRPr="00CF0F96" w14:paraId="676AAEF4" w14:textId="77777777" w:rsidTr="005F4A92">
        <w:trPr>
          <w:trHeight w:val="311"/>
          <w:jc w:val="center"/>
        </w:trPr>
        <w:tc>
          <w:tcPr>
            <w:tcW w:w="4693" w:type="dxa"/>
            <w:tcBorders>
              <w:top w:val="nil"/>
              <w:left w:val="single" w:sz="4" w:space="0" w:color="auto"/>
              <w:bottom w:val="single" w:sz="4" w:space="0" w:color="auto"/>
              <w:right w:val="single" w:sz="4" w:space="0" w:color="auto"/>
            </w:tcBorders>
            <w:shd w:val="clear" w:color="000000" w:fill="E0E0E0"/>
            <w:hideMark/>
          </w:tcPr>
          <w:p w14:paraId="2BB3C321"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cs="Arial"/>
                <w:sz w:val="18"/>
                <w:szCs w:val="18"/>
              </w:rPr>
              <w:t>información y comunicaciones.</w:t>
            </w:r>
          </w:p>
        </w:tc>
        <w:tc>
          <w:tcPr>
            <w:tcW w:w="1090" w:type="dxa"/>
            <w:tcBorders>
              <w:top w:val="nil"/>
              <w:left w:val="nil"/>
              <w:bottom w:val="single" w:sz="4" w:space="0" w:color="auto"/>
              <w:right w:val="single" w:sz="4" w:space="0" w:color="auto"/>
            </w:tcBorders>
            <w:shd w:val="clear" w:color="auto" w:fill="auto"/>
            <w:noWrap/>
            <w:vAlign w:val="center"/>
            <w:hideMark/>
          </w:tcPr>
          <w:p w14:paraId="2A51A17B"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286</w:t>
            </w:r>
          </w:p>
        </w:tc>
        <w:tc>
          <w:tcPr>
            <w:tcW w:w="1090" w:type="dxa"/>
            <w:tcBorders>
              <w:top w:val="nil"/>
              <w:left w:val="nil"/>
              <w:bottom w:val="single" w:sz="4" w:space="0" w:color="auto"/>
              <w:right w:val="single" w:sz="4" w:space="0" w:color="auto"/>
            </w:tcBorders>
            <w:shd w:val="clear" w:color="auto" w:fill="auto"/>
            <w:noWrap/>
            <w:vAlign w:val="center"/>
            <w:hideMark/>
          </w:tcPr>
          <w:p w14:paraId="18ACB305"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0</w:t>
            </w:r>
          </w:p>
        </w:tc>
        <w:tc>
          <w:tcPr>
            <w:tcW w:w="1090" w:type="dxa"/>
            <w:tcBorders>
              <w:top w:val="nil"/>
              <w:left w:val="nil"/>
              <w:bottom w:val="single" w:sz="4" w:space="0" w:color="auto"/>
              <w:right w:val="single" w:sz="4" w:space="0" w:color="auto"/>
            </w:tcBorders>
            <w:shd w:val="clear" w:color="auto" w:fill="auto"/>
            <w:noWrap/>
            <w:vAlign w:val="center"/>
            <w:hideMark/>
          </w:tcPr>
          <w:p w14:paraId="345C774C"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286</w:t>
            </w:r>
          </w:p>
        </w:tc>
        <w:tc>
          <w:tcPr>
            <w:tcW w:w="1106" w:type="dxa"/>
            <w:tcBorders>
              <w:top w:val="nil"/>
              <w:left w:val="nil"/>
              <w:bottom w:val="single" w:sz="4" w:space="0" w:color="auto"/>
              <w:right w:val="single" w:sz="4" w:space="0" w:color="auto"/>
            </w:tcBorders>
            <w:shd w:val="clear" w:color="auto" w:fill="auto"/>
            <w:noWrap/>
            <w:vAlign w:val="center"/>
            <w:hideMark/>
          </w:tcPr>
          <w:p w14:paraId="5A596617"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0.3%</w:t>
            </w:r>
          </w:p>
        </w:tc>
        <w:tc>
          <w:tcPr>
            <w:tcW w:w="1123" w:type="dxa"/>
            <w:tcBorders>
              <w:top w:val="nil"/>
              <w:left w:val="nil"/>
              <w:bottom w:val="single" w:sz="4" w:space="0" w:color="auto"/>
              <w:right w:val="single" w:sz="4" w:space="0" w:color="auto"/>
            </w:tcBorders>
            <w:shd w:val="clear" w:color="auto" w:fill="auto"/>
            <w:noWrap/>
            <w:vAlign w:val="center"/>
            <w:hideMark/>
          </w:tcPr>
          <w:p w14:paraId="32AE6523"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99.4%</w:t>
            </w:r>
          </w:p>
        </w:tc>
      </w:tr>
      <w:tr w:rsidR="00CF0F96" w:rsidRPr="00CF0F96" w14:paraId="1AF3547F" w14:textId="77777777" w:rsidTr="005F4A92">
        <w:trPr>
          <w:trHeight w:val="311"/>
          <w:jc w:val="center"/>
        </w:trPr>
        <w:tc>
          <w:tcPr>
            <w:tcW w:w="4693" w:type="dxa"/>
            <w:tcBorders>
              <w:top w:val="nil"/>
              <w:left w:val="single" w:sz="4" w:space="0" w:color="auto"/>
              <w:bottom w:val="single" w:sz="4" w:space="0" w:color="auto"/>
              <w:right w:val="single" w:sz="4" w:space="0" w:color="auto"/>
            </w:tcBorders>
            <w:shd w:val="clear" w:color="000000" w:fill="E0E0E0"/>
            <w:hideMark/>
          </w:tcPr>
          <w:p w14:paraId="02C6AC2C"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cs="Arial"/>
                <w:sz w:val="18"/>
                <w:szCs w:val="18"/>
              </w:rPr>
              <w:t>explotación de minas y canteras.</w:t>
            </w:r>
          </w:p>
        </w:tc>
        <w:tc>
          <w:tcPr>
            <w:tcW w:w="1090" w:type="dxa"/>
            <w:tcBorders>
              <w:top w:val="nil"/>
              <w:left w:val="nil"/>
              <w:bottom w:val="single" w:sz="4" w:space="0" w:color="auto"/>
              <w:right w:val="single" w:sz="4" w:space="0" w:color="auto"/>
            </w:tcBorders>
            <w:shd w:val="clear" w:color="auto" w:fill="auto"/>
            <w:noWrap/>
            <w:vAlign w:val="center"/>
            <w:hideMark/>
          </w:tcPr>
          <w:p w14:paraId="1AC7CC2F"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282</w:t>
            </w:r>
          </w:p>
        </w:tc>
        <w:tc>
          <w:tcPr>
            <w:tcW w:w="1090" w:type="dxa"/>
            <w:tcBorders>
              <w:top w:val="nil"/>
              <w:left w:val="nil"/>
              <w:bottom w:val="single" w:sz="4" w:space="0" w:color="auto"/>
              <w:right w:val="single" w:sz="4" w:space="0" w:color="auto"/>
            </w:tcBorders>
            <w:shd w:val="clear" w:color="auto" w:fill="auto"/>
            <w:noWrap/>
            <w:vAlign w:val="center"/>
            <w:hideMark/>
          </w:tcPr>
          <w:p w14:paraId="7DF0E364"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0</w:t>
            </w:r>
          </w:p>
        </w:tc>
        <w:tc>
          <w:tcPr>
            <w:tcW w:w="1090" w:type="dxa"/>
            <w:tcBorders>
              <w:top w:val="nil"/>
              <w:left w:val="nil"/>
              <w:bottom w:val="single" w:sz="4" w:space="0" w:color="auto"/>
              <w:right w:val="single" w:sz="4" w:space="0" w:color="auto"/>
            </w:tcBorders>
            <w:shd w:val="clear" w:color="auto" w:fill="auto"/>
            <w:noWrap/>
            <w:vAlign w:val="center"/>
            <w:hideMark/>
          </w:tcPr>
          <w:p w14:paraId="1D506CA4"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282</w:t>
            </w:r>
          </w:p>
        </w:tc>
        <w:tc>
          <w:tcPr>
            <w:tcW w:w="1106" w:type="dxa"/>
            <w:tcBorders>
              <w:top w:val="nil"/>
              <w:left w:val="nil"/>
              <w:bottom w:val="single" w:sz="4" w:space="0" w:color="auto"/>
              <w:right w:val="single" w:sz="4" w:space="0" w:color="auto"/>
            </w:tcBorders>
            <w:shd w:val="clear" w:color="auto" w:fill="auto"/>
            <w:noWrap/>
            <w:vAlign w:val="center"/>
            <w:hideMark/>
          </w:tcPr>
          <w:p w14:paraId="3164860D"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0.3%</w:t>
            </w:r>
          </w:p>
        </w:tc>
        <w:tc>
          <w:tcPr>
            <w:tcW w:w="1123" w:type="dxa"/>
            <w:tcBorders>
              <w:top w:val="nil"/>
              <w:left w:val="nil"/>
              <w:bottom w:val="single" w:sz="4" w:space="0" w:color="auto"/>
              <w:right w:val="single" w:sz="4" w:space="0" w:color="auto"/>
            </w:tcBorders>
            <w:shd w:val="clear" w:color="auto" w:fill="auto"/>
            <w:noWrap/>
            <w:vAlign w:val="center"/>
            <w:hideMark/>
          </w:tcPr>
          <w:p w14:paraId="78777C95"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99.7%</w:t>
            </w:r>
          </w:p>
        </w:tc>
      </w:tr>
      <w:tr w:rsidR="00CF0F96" w:rsidRPr="00CF0F96" w14:paraId="198955AF" w14:textId="77777777" w:rsidTr="005F4A92">
        <w:trPr>
          <w:trHeight w:val="311"/>
          <w:jc w:val="center"/>
        </w:trPr>
        <w:tc>
          <w:tcPr>
            <w:tcW w:w="4693" w:type="dxa"/>
            <w:tcBorders>
              <w:top w:val="nil"/>
              <w:left w:val="single" w:sz="4" w:space="0" w:color="auto"/>
              <w:bottom w:val="single" w:sz="4" w:space="0" w:color="auto"/>
              <w:right w:val="single" w:sz="4" w:space="0" w:color="auto"/>
            </w:tcBorders>
            <w:shd w:val="clear" w:color="000000" w:fill="E0E0E0"/>
            <w:hideMark/>
          </w:tcPr>
          <w:p w14:paraId="03FD4310"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cs="Arial"/>
                <w:sz w:val="18"/>
                <w:szCs w:val="18"/>
              </w:rPr>
              <w:t>Actividades financieras y de seguros.</w:t>
            </w:r>
          </w:p>
        </w:tc>
        <w:tc>
          <w:tcPr>
            <w:tcW w:w="1090" w:type="dxa"/>
            <w:tcBorders>
              <w:top w:val="nil"/>
              <w:left w:val="nil"/>
              <w:bottom w:val="single" w:sz="4" w:space="0" w:color="auto"/>
              <w:right w:val="single" w:sz="4" w:space="0" w:color="auto"/>
            </w:tcBorders>
            <w:shd w:val="clear" w:color="auto" w:fill="auto"/>
            <w:noWrap/>
            <w:vAlign w:val="center"/>
            <w:hideMark/>
          </w:tcPr>
          <w:p w14:paraId="260275C3"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0</w:t>
            </w:r>
          </w:p>
        </w:tc>
        <w:tc>
          <w:tcPr>
            <w:tcW w:w="1090" w:type="dxa"/>
            <w:tcBorders>
              <w:top w:val="nil"/>
              <w:left w:val="nil"/>
              <w:bottom w:val="single" w:sz="4" w:space="0" w:color="auto"/>
              <w:right w:val="single" w:sz="4" w:space="0" w:color="auto"/>
            </w:tcBorders>
            <w:shd w:val="clear" w:color="auto" w:fill="auto"/>
            <w:noWrap/>
            <w:vAlign w:val="center"/>
            <w:hideMark/>
          </w:tcPr>
          <w:p w14:paraId="476C6F1D"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218</w:t>
            </w:r>
          </w:p>
        </w:tc>
        <w:tc>
          <w:tcPr>
            <w:tcW w:w="1090" w:type="dxa"/>
            <w:tcBorders>
              <w:top w:val="nil"/>
              <w:left w:val="nil"/>
              <w:bottom w:val="single" w:sz="4" w:space="0" w:color="auto"/>
              <w:right w:val="single" w:sz="4" w:space="0" w:color="auto"/>
            </w:tcBorders>
            <w:shd w:val="clear" w:color="auto" w:fill="auto"/>
            <w:noWrap/>
            <w:vAlign w:val="center"/>
            <w:hideMark/>
          </w:tcPr>
          <w:p w14:paraId="25EF8AFF"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218</w:t>
            </w:r>
          </w:p>
        </w:tc>
        <w:tc>
          <w:tcPr>
            <w:tcW w:w="1106" w:type="dxa"/>
            <w:tcBorders>
              <w:top w:val="nil"/>
              <w:left w:val="nil"/>
              <w:bottom w:val="single" w:sz="4" w:space="0" w:color="auto"/>
              <w:right w:val="single" w:sz="4" w:space="0" w:color="auto"/>
            </w:tcBorders>
            <w:shd w:val="clear" w:color="auto" w:fill="auto"/>
            <w:noWrap/>
            <w:vAlign w:val="center"/>
            <w:hideMark/>
          </w:tcPr>
          <w:p w14:paraId="71B41BD8"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0.3%</w:t>
            </w:r>
          </w:p>
        </w:tc>
        <w:tc>
          <w:tcPr>
            <w:tcW w:w="1123" w:type="dxa"/>
            <w:tcBorders>
              <w:top w:val="nil"/>
              <w:left w:val="nil"/>
              <w:bottom w:val="single" w:sz="4" w:space="0" w:color="auto"/>
              <w:right w:val="single" w:sz="4" w:space="0" w:color="auto"/>
            </w:tcBorders>
            <w:shd w:val="clear" w:color="auto" w:fill="auto"/>
            <w:noWrap/>
            <w:vAlign w:val="center"/>
            <w:hideMark/>
          </w:tcPr>
          <w:p w14:paraId="259D2B0D"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100.0%</w:t>
            </w:r>
          </w:p>
        </w:tc>
      </w:tr>
      <w:tr w:rsidR="00CF0F96" w:rsidRPr="00CF0F96" w14:paraId="148BF26B" w14:textId="77777777" w:rsidTr="005F4A92">
        <w:trPr>
          <w:trHeight w:val="311"/>
          <w:jc w:val="center"/>
        </w:trPr>
        <w:tc>
          <w:tcPr>
            <w:tcW w:w="4693" w:type="dxa"/>
            <w:tcBorders>
              <w:top w:val="single" w:sz="4" w:space="0" w:color="auto"/>
              <w:left w:val="single" w:sz="4" w:space="0" w:color="auto"/>
              <w:bottom w:val="single" w:sz="4" w:space="0" w:color="auto"/>
              <w:right w:val="single" w:sz="4" w:space="0" w:color="auto"/>
            </w:tcBorders>
            <w:shd w:val="clear" w:color="000000" w:fill="E0E0E0"/>
            <w:hideMark/>
          </w:tcPr>
          <w:p w14:paraId="44A8EABF"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cs="Arial"/>
                <w:sz w:val="18"/>
                <w:szCs w:val="18"/>
              </w:rPr>
              <w:t xml:space="preserve"> Total </w:t>
            </w:r>
          </w:p>
        </w:tc>
        <w:tc>
          <w:tcPr>
            <w:tcW w:w="1090" w:type="dxa"/>
            <w:tcBorders>
              <w:top w:val="single" w:sz="4" w:space="0" w:color="auto"/>
              <w:left w:val="nil"/>
              <w:bottom w:val="single" w:sz="4" w:space="0" w:color="auto"/>
              <w:right w:val="single" w:sz="4" w:space="0" w:color="auto"/>
            </w:tcBorders>
            <w:shd w:val="clear" w:color="auto" w:fill="auto"/>
            <w:noWrap/>
            <w:vAlign w:val="center"/>
            <w:hideMark/>
          </w:tcPr>
          <w:p w14:paraId="1F4288DD"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50,743</w:t>
            </w:r>
          </w:p>
        </w:tc>
        <w:tc>
          <w:tcPr>
            <w:tcW w:w="1090" w:type="dxa"/>
            <w:tcBorders>
              <w:top w:val="single" w:sz="4" w:space="0" w:color="auto"/>
              <w:left w:val="nil"/>
              <w:bottom w:val="single" w:sz="4" w:space="0" w:color="auto"/>
              <w:right w:val="single" w:sz="4" w:space="0" w:color="auto"/>
            </w:tcBorders>
            <w:shd w:val="clear" w:color="auto" w:fill="auto"/>
            <w:noWrap/>
            <w:vAlign w:val="center"/>
            <w:hideMark/>
          </w:tcPr>
          <w:p w14:paraId="56895A34"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35,306</w:t>
            </w:r>
          </w:p>
        </w:tc>
        <w:tc>
          <w:tcPr>
            <w:tcW w:w="1090" w:type="dxa"/>
            <w:tcBorders>
              <w:top w:val="single" w:sz="4" w:space="0" w:color="auto"/>
              <w:left w:val="nil"/>
              <w:bottom w:val="single" w:sz="4" w:space="0" w:color="auto"/>
              <w:right w:val="single" w:sz="4" w:space="0" w:color="auto"/>
            </w:tcBorders>
            <w:shd w:val="clear" w:color="auto" w:fill="auto"/>
            <w:noWrap/>
            <w:vAlign w:val="center"/>
            <w:hideMark/>
          </w:tcPr>
          <w:p w14:paraId="6E566783"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86,049</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14:paraId="03CDF8A4"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100.0%</w:t>
            </w:r>
          </w:p>
        </w:tc>
        <w:tc>
          <w:tcPr>
            <w:tcW w:w="1123" w:type="dxa"/>
            <w:tcBorders>
              <w:top w:val="single" w:sz="4" w:space="0" w:color="auto"/>
              <w:left w:val="nil"/>
              <w:bottom w:val="single" w:sz="4" w:space="0" w:color="auto"/>
              <w:right w:val="single" w:sz="4" w:space="0" w:color="auto"/>
            </w:tcBorders>
            <w:shd w:val="clear" w:color="auto" w:fill="auto"/>
            <w:noWrap/>
            <w:vAlign w:val="center"/>
            <w:hideMark/>
          </w:tcPr>
          <w:p w14:paraId="0FC85C5C"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cs="Arial"/>
                <w:sz w:val="18"/>
                <w:szCs w:val="18"/>
              </w:rPr>
              <w:t> </w:t>
            </w:r>
          </w:p>
        </w:tc>
      </w:tr>
      <w:tr w:rsidR="00CF0F96" w:rsidRPr="00CF0F96" w14:paraId="189CDF4B" w14:textId="77777777" w:rsidTr="005F4A92">
        <w:trPr>
          <w:trHeight w:val="311"/>
          <w:jc w:val="center"/>
        </w:trPr>
        <w:tc>
          <w:tcPr>
            <w:tcW w:w="4693" w:type="dxa"/>
            <w:tcBorders>
              <w:top w:val="single" w:sz="4" w:space="0" w:color="auto"/>
              <w:left w:val="single" w:sz="4" w:space="0" w:color="auto"/>
              <w:bottom w:val="single" w:sz="4" w:space="0" w:color="auto"/>
              <w:right w:val="single" w:sz="4" w:space="0" w:color="auto"/>
            </w:tcBorders>
            <w:shd w:val="clear" w:color="000000" w:fill="E0E0E0"/>
          </w:tcPr>
          <w:p w14:paraId="57DFA0CD" w14:textId="77777777" w:rsidR="006A3DBC" w:rsidRPr="00CF0F96" w:rsidRDefault="006A3DBC" w:rsidP="005F4A92">
            <w:pPr>
              <w:spacing w:after="0" w:line="240" w:lineRule="auto"/>
              <w:jc w:val="both"/>
              <w:rPr>
                <w:rFonts w:cs="Arial"/>
                <w:sz w:val="18"/>
                <w:szCs w:val="18"/>
              </w:rPr>
            </w:pPr>
            <w:r w:rsidRPr="00CF0F96">
              <w:rPr>
                <w:rFonts w:cs="Arial"/>
                <w:sz w:val="18"/>
                <w:szCs w:val="18"/>
              </w:rPr>
              <w:t>Porcentajes totales</w:t>
            </w:r>
          </w:p>
        </w:tc>
        <w:tc>
          <w:tcPr>
            <w:tcW w:w="1090" w:type="dxa"/>
            <w:tcBorders>
              <w:top w:val="single" w:sz="4" w:space="0" w:color="auto"/>
              <w:left w:val="nil"/>
              <w:bottom w:val="single" w:sz="4" w:space="0" w:color="auto"/>
              <w:right w:val="single" w:sz="4" w:space="0" w:color="auto"/>
            </w:tcBorders>
            <w:shd w:val="clear" w:color="auto" w:fill="auto"/>
            <w:noWrap/>
            <w:vAlign w:val="center"/>
          </w:tcPr>
          <w:p w14:paraId="3928BF93" w14:textId="77777777" w:rsidR="006A3DBC" w:rsidRPr="00CF0F96" w:rsidRDefault="006A3DBC" w:rsidP="005F4A92">
            <w:pPr>
              <w:spacing w:after="0" w:line="240" w:lineRule="auto"/>
              <w:jc w:val="center"/>
              <w:rPr>
                <w:rFonts w:cs="Arial"/>
                <w:sz w:val="18"/>
                <w:szCs w:val="18"/>
              </w:rPr>
            </w:pPr>
            <w:r w:rsidRPr="00CF0F96">
              <w:rPr>
                <w:rFonts w:cs="Arial"/>
                <w:sz w:val="18"/>
                <w:szCs w:val="18"/>
              </w:rPr>
              <w:t>59.0%</w:t>
            </w:r>
          </w:p>
        </w:tc>
        <w:tc>
          <w:tcPr>
            <w:tcW w:w="1090" w:type="dxa"/>
            <w:tcBorders>
              <w:top w:val="single" w:sz="4" w:space="0" w:color="auto"/>
              <w:left w:val="nil"/>
              <w:bottom w:val="single" w:sz="4" w:space="0" w:color="auto"/>
              <w:right w:val="single" w:sz="4" w:space="0" w:color="auto"/>
            </w:tcBorders>
            <w:shd w:val="clear" w:color="auto" w:fill="auto"/>
            <w:noWrap/>
            <w:vAlign w:val="center"/>
          </w:tcPr>
          <w:p w14:paraId="6B4A41D7" w14:textId="77777777" w:rsidR="006A3DBC" w:rsidRPr="00CF0F96" w:rsidRDefault="006A3DBC" w:rsidP="005F4A92">
            <w:pPr>
              <w:spacing w:after="0" w:line="240" w:lineRule="auto"/>
              <w:jc w:val="center"/>
              <w:rPr>
                <w:rFonts w:cs="Arial"/>
                <w:sz w:val="18"/>
                <w:szCs w:val="18"/>
              </w:rPr>
            </w:pPr>
            <w:r w:rsidRPr="00CF0F96">
              <w:rPr>
                <w:rFonts w:cs="Arial"/>
                <w:sz w:val="18"/>
                <w:szCs w:val="18"/>
              </w:rPr>
              <w:t>41.0%</w:t>
            </w:r>
          </w:p>
        </w:tc>
        <w:tc>
          <w:tcPr>
            <w:tcW w:w="1090" w:type="dxa"/>
            <w:tcBorders>
              <w:top w:val="single" w:sz="4" w:space="0" w:color="auto"/>
              <w:left w:val="nil"/>
              <w:bottom w:val="single" w:sz="4" w:space="0" w:color="auto"/>
              <w:right w:val="single" w:sz="4" w:space="0" w:color="auto"/>
            </w:tcBorders>
            <w:shd w:val="clear" w:color="auto" w:fill="auto"/>
            <w:noWrap/>
            <w:vAlign w:val="center"/>
          </w:tcPr>
          <w:p w14:paraId="1ACCD456" w14:textId="77777777" w:rsidR="006A3DBC" w:rsidRPr="00CF0F96" w:rsidRDefault="006A3DBC" w:rsidP="005F4A92">
            <w:pPr>
              <w:spacing w:after="0" w:line="240" w:lineRule="auto"/>
              <w:jc w:val="center"/>
              <w:rPr>
                <w:rFonts w:cs="Arial"/>
                <w:sz w:val="18"/>
                <w:szCs w:val="18"/>
              </w:rPr>
            </w:pPr>
          </w:p>
        </w:tc>
        <w:tc>
          <w:tcPr>
            <w:tcW w:w="1106" w:type="dxa"/>
            <w:tcBorders>
              <w:top w:val="single" w:sz="4" w:space="0" w:color="auto"/>
              <w:left w:val="nil"/>
              <w:bottom w:val="single" w:sz="4" w:space="0" w:color="auto"/>
              <w:right w:val="single" w:sz="4" w:space="0" w:color="auto"/>
            </w:tcBorders>
            <w:shd w:val="clear" w:color="auto" w:fill="auto"/>
            <w:noWrap/>
            <w:vAlign w:val="center"/>
          </w:tcPr>
          <w:p w14:paraId="3EFAAB34" w14:textId="77777777" w:rsidR="006A3DBC" w:rsidRPr="00CF0F96" w:rsidRDefault="006A3DBC" w:rsidP="005F4A92">
            <w:pPr>
              <w:spacing w:after="0" w:line="240" w:lineRule="auto"/>
              <w:jc w:val="center"/>
              <w:rPr>
                <w:rFonts w:cs="Arial"/>
                <w:sz w:val="18"/>
                <w:szCs w:val="18"/>
              </w:rPr>
            </w:pPr>
            <w:r w:rsidRPr="00CF0F96">
              <w:rPr>
                <w:rFonts w:cs="Arial"/>
                <w:sz w:val="18"/>
                <w:szCs w:val="18"/>
              </w:rPr>
              <w:t>100.0%</w:t>
            </w:r>
          </w:p>
        </w:tc>
        <w:tc>
          <w:tcPr>
            <w:tcW w:w="1123" w:type="dxa"/>
            <w:tcBorders>
              <w:top w:val="single" w:sz="4" w:space="0" w:color="auto"/>
              <w:left w:val="nil"/>
              <w:bottom w:val="single" w:sz="4" w:space="0" w:color="auto"/>
              <w:right w:val="single" w:sz="4" w:space="0" w:color="auto"/>
            </w:tcBorders>
            <w:shd w:val="clear" w:color="auto" w:fill="auto"/>
            <w:noWrap/>
            <w:vAlign w:val="center"/>
          </w:tcPr>
          <w:p w14:paraId="3186BA11" w14:textId="77777777" w:rsidR="006A3DBC" w:rsidRPr="00CF0F96" w:rsidRDefault="006A3DBC" w:rsidP="005F4A92">
            <w:pPr>
              <w:spacing w:after="0" w:line="240" w:lineRule="auto"/>
              <w:jc w:val="center"/>
              <w:rPr>
                <w:rFonts w:cs="Arial"/>
                <w:sz w:val="18"/>
                <w:szCs w:val="18"/>
              </w:rPr>
            </w:pPr>
          </w:p>
        </w:tc>
      </w:tr>
    </w:tbl>
    <w:p w14:paraId="552EEDCD" w14:textId="77777777" w:rsidR="006A3DBC" w:rsidRPr="00FA4B2D" w:rsidRDefault="006A3DBC" w:rsidP="006A3DBC">
      <w:pPr>
        <w:spacing w:line="240" w:lineRule="auto"/>
        <w:ind w:left="708"/>
        <w:jc w:val="both"/>
        <w:rPr>
          <w:rFonts w:cs="Arial"/>
          <w:sz w:val="20"/>
          <w:szCs w:val="20"/>
        </w:rPr>
      </w:pPr>
      <w:r w:rsidRPr="00FA4B2D">
        <w:rPr>
          <w:rFonts w:cs="Arial"/>
          <w:b/>
          <w:bCs/>
          <w:sz w:val="20"/>
          <w:szCs w:val="20"/>
        </w:rPr>
        <w:t>Fuente</w:t>
      </w:r>
      <w:r w:rsidRPr="00FA4B2D">
        <w:rPr>
          <w:rFonts w:cs="Arial"/>
          <w:sz w:val="20"/>
          <w:szCs w:val="20"/>
        </w:rPr>
        <w:t>: elaboración propia con base a tabulados de la Encuesta de Hogares, INE 2019.</w:t>
      </w:r>
    </w:p>
    <w:p w14:paraId="0465BC19" w14:textId="77777777" w:rsidR="006A3DBC" w:rsidRPr="00FA4B2D" w:rsidRDefault="006A3DBC" w:rsidP="006A3DBC">
      <w:pPr>
        <w:spacing w:line="240" w:lineRule="auto"/>
        <w:jc w:val="both"/>
        <w:rPr>
          <w:rFonts w:cs="Arial"/>
        </w:rPr>
      </w:pPr>
      <w:r w:rsidRPr="00FA4B2D">
        <w:rPr>
          <w:rFonts w:cs="Arial"/>
        </w:rPr>
        <w:t>En términos generales, el INE señala que las actividades productivas con mayor incidencia como actividad primaria a nivel de los tres departamentos de forma acumulada con 40.2% del total de personas que desarrollan actividades económicas o se encuentran ocupadas: la agricultura, ganadería, silvicultura y pesca, seguida por el sector secundario que son Comercio al por mayor y al por menor, reparación de vehículos automotores y motocicletas (18.1%) y la industria manufacturera (10.9%). Mientras que las tres actividades con menor incidencia de personas, representando únicamente el 0.3% del total a nivel de los tres departamentos son: explotación de minas y canteras (0.1%), Actividades inmobiliarias (0.1%) y Suministro de electricidad, gas, vapor y aire acondicionado (0.03%). Sin embargo, existen otras actividades que se desarrollan, como se describe a continuación:</w:t>
      </w:r>
    </w:p>
    <w:p w14:paraId="48D86E6F" w14:textId="516CE9F3" w:rsidR="00EF7331" w:rsidRDefault="00EF7331" w:rsidP="00EF7331">
      <w:pPr>
        <w:pStyle w:val="Descripcin"/>
        <w:keepNext/>
      </w:pPr>
      <w:bookmarkStart w:id="681" w:name="_Toc202455450"/>
      <w:r>
        <w:t xml:space="preserve">Tabla </w:t>
      </w:r>
      <w:r>
        <w:fldChar w:fldCharType="begin"/>
      </w:r>
      <w:r>
        <w:instrText xml:space="preserve"> SEQ Tabla \* ARABIC </w:instrText>
      </w:r>
      <w:r>
        <w:fldChar w:fldCharType="separate"/>
      </w:r>
      <w:r w:rsidR="000E6D86">
        <w:rPr>
          <w:noProof/>
        </w:rPr>
        <w:t>24</w:t>
      </w:r>
      <w:r>
        <w:fldChar w:fldCharType="end"/>
      </w:r>
      <w:r>
        <w:t xml:space="preserve">: </w:t>
      </w:r>
      <w:r w:rsidRPr="00876F9A">
        <w:t>Actividades productivas u ocupaciones principales. Tres Departamentos agregados, 2019</w:t>
      </w:r>
      <w:bookmarkEnd w:id="681"/>
    </w:p>
    <w:tbl>
      <w:tblPr>
        <w:tblW w:w="9776" w:type="dxa"/>
        <w:jc w:val="center"/>
        <w:tblCellMar>
          <w:left w:w="70" w:type="dxa"/>
          <w:right w:w="70" w:type="dxa"/>
        </w:tblCellMar>
        <w:tblLook w:val="04A0" w:firstRow="1" w:lastRow="0" w:firstColumn="1" w:lastColumn="0" w:noHBand="0" w:noVBand="1"/>
      </w:tblPr>
      <w:tblGrid>
        <w:gridCol w:w="4203"/>
        <w:gridCol w:w="1071"/>
        <w:gridCol w:w="1071"/>
        <w:gridCol w:w="1071"/>
        <w:gridCol w:w="1163"/>
        <w:gridCol w:w="1197"/>
      </w:tblGrid>
      <w:tr w:rsidR="00CF0F96" w:rsidRPr="00CF0F96" w14:paraId="40D605A3" w14:textId="77777777" w:rsidTr="00EF7331">
        <w:trPr>
          <w:trHeight w:val="601"/>
          <w:tblHeader/>
          <w:jc w:val="center"/>
        </w:trPr>
        <w:tc>
          <w:tcPr>
            <w:tcW w:w="4203" w:type="dxa"/>
            <w:tcBorders>
              <w:top w:val="single" w:sz="4" w:space="0" w:color="auto"/>
              <w:left w:val="single" w:sz="4" w:space="0" w:color="auto"/>
              <w:bottom w:val="single" w:sz="4" w:space="0" w:color="auto"/>
              <w:right w:val="single" w:sz="4" w:space="0" w:color="auto"/>
            </w:tcBorders>
            <w:shd w:val="clear" w:color="auto" w:fill="5CC5DA"/>
            <w:vAlign w:val="center"/>
            <w:hideMark/>
          </w:tcPr>
          <w:p w14:paraId="376EC632" w14:textId="77777777" w:rsidR="006A3DBC" w:rsidRPr="00CF0F96" w:rsidRDefault="006A3DBC" w:rsidP="005F4A92">
            <w:pPr>
              <w:spacing w:after="0" w:line="240" w:lineRule="auto"/>
              <w:jc w:val="center"/>
              <w:rPr>
                <w:rFonts w:eastAsia="Times New Roman" w:cs="Arial"/>
                <w:b/>
                <w:bCs/>
                <w:sz w:val="20"/>
                <w:szCs w:val="20"/>
                <w:lang w:eastAsia="es-SV"/>
              </w:rPr>
            </w:pPr>
            <w:r w:rsidRPr="00CF0F96">
              <w:rPr>
                <w:rFonts w:eastAsia="Times New Roman" w:cs="Arial"/>
                <w:b/>
                <w:bCs/>
                <w:sz w:val="20"/>
                <w:szCs w:val="20"/>
                <w:lang w:eastAsia="es-SV"/>
              </w:rPr>
              <w:t>Rama de actividad económica/</w:t>
            </w:r>
          </w:p>
          <w:p w14:paraId="2FB64195" w14:textId="77777777" w:rsidR="006A3DBC" w:rsidRPr="00CF0F96" w:rsidRDefault="006A3DBC" w:rsidP="005F4A92">
            <w:pPr>
              <w:spacing w:after="0" w:line="240" w:lineRule="auto"/>
              <w:jc w:val="center"/>
              <w:rPr>
                <w:rFonts w:eastAsia="Times New Roman" w:cs="Arial"/>
                <w:b/>
                <w:bCs/>
                <w:sz w:val="20"/>
                <w:szCs w:val="20"/>
                <w:lang w:eastAsia="es-SV"/>
              </w:rPr>
            </w:pPr>
            <w:r w:rsidRPr="00CF0F96">
              <w:rPr>
                <w:rFonts w:eastAsia="Times New Roman" w:cs="Arial"/>
                <w:b/>
                <w:bCs/>
                <w:sz w:val="20"/>
                <w:szCs w:val="20"/>
                <w:lang w:eastAsia="es-SV"/>
              </w:rPr>
              <w:t>Ocupación Principal</w:t>
            </w:r>
          </w:p>
        </w:tc>
        <w:tc>
          <w:tcPr>
            <w:tcW w:w="1071" w:type="dxa"/>
            <w:tcBorders>
              <w:top w:val="single" w:sz="4" w:space="0" w:color="auto"/>
              <w:left w:val="nil"/>
              <w:bottom w:val="single" w:sz="4" w:space="0" w:color="auto"/>
              <w:right w:val="single" w:sz="4" w:space="0" w:color="auto"/>
            </w:tcBorders>
            <w:shd w:val="clear" w:color="auto" w:fill="5CC5DA"/>
            <w:noWrap/>
            <w:vAlign w:val="center"/>
            <w:hideMark/>
          </w:tcPr>
          <w:p w14:paraId="7DFECDA9" w14:textId="77777777" w:rsidR="006A3DBC" w:rsidRPr="00CF0F96" w:rsidRDefault="006A3DBC" w:rsidP="005F4A92">
            <w:pPr>
              <w:spacing w:after="0" w:line="240" w:lineRule="auto"/>
              <w:jc w:val="center"/>
              <w:rPr>
                <w:rFonts w:eastAsia="Times New Roman" w:cs="Arial"/>
                <w:b/>
                <w:bCs/>
                <w:sz w:val="20"/>
                <w:szCs w:val="20"/>
                <w:lang w:eastAsia="es-SV"/>
              </w:rPr>
            </w:pPr>
            <w:r w:rsidRPr="00CF0F96">
              <w:rPr>
                <w:rFonts w:eastAsia="Times New Roman" w:cs="Arial"/>
                <w:b/>
                <w:bCs/>
                <w:sz w:val="20"/>
                <w:szCs w:val="20"/>
                <w:lang w:eastAsia="es-SV"/>
              </w:rPr>
              <w:t>Hombres</w:t>
            </w:r>
          </w:p>
        </w:tc>
        <w:tc>
          <w:tcPr>
            <w:tcW w:w="1071" w:type="dxa"/>
            <w:tcBorders>
              <w:top w:val="single" w:sz="4" w:space="0" w:color="auto"/>
              <w:left w:val="nil"/>
              <w:bottom w:val="single" w:sz="4" w:space="0" w:color="auto"/>
              <w:right w:val="single" w:sz="4" w:space="0" w:color="auto"/>
            </w:tcBorders>
            <w:shd w:val="clear" w:color="auto" w:fill="5CC5DA"/>
            <w:noWrap/>
            <w:vAlign w:val="center"/>
            <w:hideMark/>
          </w:tcPr>
          <w:p w14:paraId="3324D91C" w14:textId="77777777" w:rsidR="006A3DBC" w:rsidRPr="00CF0F96" w:rsidRDefault="006A3DBC" w:rsidP="005F4A92">
            <w:pPr>
              <w:spacing w:after="0" w:line="240" w:lineRule="auto"/>
              <w:jc w:val="center"/>
              <w:rPr>
                <w:rFonts w:eastAsia="Times New Roman" w:cs="Arial"/>
                <w:b/>
                <w:bCs/>
                <w:sz w:val="20"/>
                <w:szCs w:val="20"/>
                <w:lang w:eastAsia="es-SV"/>
              </w:rPr>
            </w:pPr>
            <w:r w:rsidRPr="00CF0F96">
              <w:rPr>
                <w:rFonts w:eastAsia="Times New Roman" w:cs="Arial"/>
                <w:b/>
                <w:bCs/>
                <w:sz w:val="20"/>
                <w:szCs w:val="20"/>
                <w:lang w:eastAsia="es-SV"/>
              </w:rPr>
              <w:t>Mujeres</w:t>
            </w:r>
          </w:p>
        </w:tc>
        <w:tc>
          <w:tcPr>
            <w:tcW w:w="1071" w:type="dxa"/>
            <w:tcBorders>
              <w:top w:val="single" w:sz="4" w:space="0" w:color="auto"/>
              <w:left w:val="nil"/>
              <w:bottom w:val="single" w:sz="4" w:space="0" w:color="auto"/>
              <w:right w:val="single" w:sz="4" w:space="0" w:color="auto"/>
            </w:tcBorders>
            <w:shd w:val="clear" w:color="auto" w:fill="5CC5DA"/>
            <w:noWrap/>
            <w:vAlign w:val="center"/>
            <w:hideMark/>
          </w:tcPr>
          <w:p w14:paraId="27A9E5CF" w14:textId="77777777" w:rsidR="006A3DBC" w:rsidRPr="00CF0F96" w:rsidRDefault="006A3DBC" w:rsidP="005F4A92">
            <w:pPr>
              <w:spacing w:after="0" w:line="240" w:lineRule="auto"/>
              <w:jc w:val="center"/>
              <w:rPr>
                <w:rFonts w:eastAsia="Times New Roman" w:cs="Arial"/>
                <w:b/>
                <w:bCs/>
                <w:sz w:val="20"/>
                <w:szCs w:val="20"/>
                <w:lang w:eastAsia="es-SV"/>
              </w:rPr>
            </w:pPr>
            <w:r w:rsidRPr="00CF0F96">
              <w:rPr>
                <w:rFonts w:eastAsia="Times New Roman" w:cs="Arial"/>
                <w:b/>
                <w:bCs/>
                <w:sz w:val="20"/>
                <w:szCs w:val="20"/>
                <w:lang w:eastAsia="es-SV"/>
              </w:rPr>
              <w:t>Total</w:t>
            </w:r>
          </w:p>
        </w:tc>
        <w:tc>
          <w:tcPr>
            <w:tcW w:w="1163" w:type="dxa"/>
            <w:tcBorders>
              <w:top w:val="single" w:sz="4" w:space="0" w:color="auto"/>
              <w:left w:val="nil"/>
              <w:bottom w:val="single" w:sz="4" w:space="0" w:color="auto"/>
              <w:right w:val="single" w:sz="4" w:space="0" w:color="auto"/>
            </w:tcBorders>
            <w:shd w:val="clear" w:color="auto" w:fill="5CC5DA"/>
            <w:noWrap/>
            <w:vAlign w:val="center"/>
            <w:hideMark/>
          </w:tcPr>
          <w:p w14:paraId="3BE1F97C" w14:textId="77777777" w:rsidR="006A3DBC" w:rsidRPr="00CF0F96" w:rsidRDefault="006A3DBC" w:rsidP="005F4A92">
            <w:pPr>
              <w:spacing w:after="0" w:line="240" w:lineRule="auto"/>
              <w:jc w:val="center"/>
              <w:rPr>
                <w:rFonts w:eastAsia="Times New Roman" w:cs="Arial"/>
                <w:b/>
                <w:bCs/>
                <w:sz w:val="20"/>
                <w:szCs w:val="20"/>
                <w:lang w:eastAsia="es-SV"/>
              </w:rPr>
            </w:pPr>
            <w:r w:rsidRPr="00CF0F96">
              <w:rPr>
                <w:rFonts w:eastAsia="Times New Roman" w:cs="Arial"/>
                <w:b/>
                <w:bCs/>
                <w:sz w:val="20"/>
                <w:szCs w:val="20"/>
                <w:lang w:eastAsia="es-SV"/>
              </w:rPr>
              <w:t>Porcentaje</w:t>
            </w:r>
          </w:p>
        </w:tc>
        <w:tc>
          <w:tcPr>
            <w:tcW w:w="1197" w:type="dxa"/>
            <w:tcBorders>
              <w:top w:val="single" w:sz="4" w:space="0" w:color="auto"/>
              <w:left w:val="nil"/>
              <w:bottom w:val="single" w:sz="4" w:space="0" w:color="auto"/>
              <w:right w:val="single" w:sz="4" w:space="0" w:color="auto"/>
            </w:tcBorders>
            <w:shd w:val="clear" w:color="auto" w:fill="5CC5DA"/>
            <w:vAlign w:val="center"/>
            <w:hideMark/>
          </w:tcPr>
          <w:p w14:paraId="672CE83B" w14:textId="77777777" w:rsidR="006A3DBC" w:rsidRPr="00CF0F96" w:rsidRDefault="006A3DBC" w:rsidP="005F4A92">
            <w:pPr>
              <w:spacing w:after="0" w:line="240" w:lineRule="auto"/>
              <w:jc w:val="center"/>
              <w:rPr>
                <w:rFonts w:eastAsia="Times New Roman" w:cs="Arial"/>
                <w:b/>
                <w:bCs/>
                <w:sz w:val="20"/>
                <w:szCs w:val="20"/>
                <w:lang w:eastAsia="es-SV"/>
              </w:rPr>
            </w:pPr>
            <w:r w:rsidRPr="00CF0F96">
              <w:rPr>
                <w:rFonts w:eastAsia="Times New Roman" w:cs="Arial"/>
                <w:b/>
                <w:bCs/>
                <w:sz w:val="20"/>
                <w:szCs w:val="20"/>
                <w:lang w:eastAsia="es-SV"/>
              </w:rPr>
              <w:t>Frecuencia acumulada</w:t>
            </w:r>
          </w:p>
        </w:tc>
      </w:tr>
      <w:tr w:rsidR="00CF0F96" w:rsidRPr="00CF0F96" w14:paraId="7AC65D32" w14:textId="77777777" w:rsidTr="00EF7331">
        <w:trPr>
          <w:trHeight w:val="300"/>
          <w:jc w:val="center"/>
        </w:trPr>
        <w:tc>
          <w:tcPr>
            <w:tcW w:w="4203" w:type="dxa"/>
            <w:tcBorders>
              <w:top w:val="nil"/>
              <w:left w:val="single" w:sz="4" w:space="0" w:color="auto"/>
              <w:bottom w:val="single" w:sz="4" w:space="0" w:color="auto"/>
              <w:right w:val="single" w:sz="4" w:space="0" w:color="auto"/>
            </w:tcBorders>
            <w:shd w:val="clear" w:color="auto" w:fill="E0E0E0"/>
            <w:hideMark/>
          </w:tcPr>
          <w:p w14:paraId="6DA30EC3"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eastAsia="Times New Roman" w:cs="Arial"/>
                <w:sz w:val="18"/>
                <w:szCs w:val="18"/>
                <w:lang w:eastAsia="es-SV"/>
              </w:rPr>
              <w:t>Agricultura, ganadería, silvicultura y pesca.</w:t>
            </w:r>
          </w:p>
        </w:tc>
        <w:tc>
          <w:tcPr>
            <w:tcW w:w="1071" w:type="dxa"/>
            <w:tcBorders>
              <w:top w:val="nil"/>
              <w:left w:val="nil"/>
              <w:bottom w:val="single" w:sz="4" w:space="0" w:color="auto"/>
              <w:right w:val="single" w:sz="4" w:space="0" w:color="auto"/>
            </w:tcBorders>
            <w:shd w:val="clear" w:color="auto" w:fill="auto"/>
            <w:noWrap/>
            <w:hideMark/>
          </w:tcPr>
          <w:p w14:paraId="237A32CC" w14:textId="2D93219E"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208</w:t>
            </w:r>
            <w:r w:rsidR="007F4D40" w:rsidRPr="00CF0F96">
              <w:rPr>
                <w:rFonts w:eastAsia="Times New Roman" w:cs="Arial"/>
                <w:sz w:val="18"/>
                <w:szCs w:val="18"/>
                <w:lang w:eastAsia="es-SV"/>
              </w:rPr>
              <w:t>,</w:t>
            </w:r>
            <w:r w:rsidRPr="00CF0F96">
              <w:rPr>
                <w:rFonts w:eastAsia="Times New Roman" w:cs="Arial"/>
                <w:sz w:val="18"/>
                <w:szCs w:val="18"/>
                <w:lang w:eastAsia="es-SV"/>
              </w:rPr>
              <w:t>644</w:t>
            </w:r>
          </w:p>
        </w:tc>
        <w:tc>
          <w:tcPr>
            <w:tcW w:w="1071" w:type="dxa"/>
            <w:tcBorders>
              <w:top w:val="nil"/>
              <w:left w:val="nil"/>
              <w:bottom w:val="single" w:sz="4" w:space="0" w:color="auto"/>
              <w:right w:val="single" w:sz="4" w:space="0" w:color="auto"/>
            </w:tcBorders>
            <w:shd w:val="clear" w:color="auto" w:fill="auto"/>
            <w:noWrap/>
            <w:hideMark/>
          </w:tcPr>
          <w:p w14:paraId="21FB7B93" w14:textId="52852728"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28</w:t>
            </w:r>
            <w:r w:rsidR="007F4D40" w:rsidRPr="00CF0F96">
              <w:rPr>
                <w:rFonts w:eastAsia="Times New Roman" w:cs="Arial"/>
                <w:sz w:val="18"/>
                <w:szCs w:val="18"/>
                <w:lang w:eastAsia="es-SV"/>
              </w:rPr>
              <w:t>,</w:t>
            </w:r>
            <w:r w:rsidRPr="00CF0F96">
              <w:rPr>
                <w:rFonts w:eastAsia="Times New Roman" w:cs="Arial"/>
                <w:sz w:val="18"/>
                <w:szCs w:val="18"/>
                <w:lang w:eastAsia="es-SV"/>
              </w:rPr>
              <w:t>157</w:t>
            </w:r>
          </w:p>
        </w:tc>
        <w:tc>
          <w:tcPr>
            <w:tcW w:w="1071" w:type="dxa"/>
            <w:tcBorders>
              <w:top w:val="nil"/>
              <w:left w:val="nil"/>
              <w:bottom w:val="single" w:sz="4" w:space="0" w:color="auto"/>
              <w:right w:val="single" w:sz="4" w:space="0" w:color="auto"/>
            </w:tcBorders>
            <w:shd w:val="clear" w:color="auto" w:fill="auto"/>
            <w:noWrap/>
            <w:hideMark/>
          </w:tcPr>
          <w:p w14:paraId="47C08A79" w14:textId="2A2DF464"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236</w:t>
            </w:r>
            <w:r w:rsidR="007F4D40" w:rsidRPr="00CF0F96">
              <w:rPr>
                <w:rFonts w:eastAsia="Times New Roman" w:cs="Arial"/>
                <w:sz w:val="18"/>
                <w:szCs w:val="18"/>
                <w:lang w:eastAsia="es-SV"/>
              </w:rPr>
              <w:t>,</w:t>
            </w:r>
            <w:r w:rsidRPr="00CF0F96">
              <w:rPr>
                <w:rFonts w:eastAsia="Times New Roman" w:cs="Arial"/>
                <w:sz w:val="18"/>
                <w:szCs w:val="18"/>
                <w:lang w:eastAsia="es-SV"/>
              </w:rPr>
              <w:t>801</w:t>
            </w:r>
          </w:p>
        </w:tc>
        <w:tc>
          <w:tcPr>
            <w:tcW w:w="1163" w:type="dxa"/>
            <w:tcBorders>
              <w:top w:val="nil"/>
              <w:left w:val="nil"/>
              <w:bottom w:val="single" w:sz="4" w:space="0" w:color="auto"/>
              <w:right w:val="single" w:sz="4" w:space="0" w:color="auto"/>
            </w:tcBorders>
            <w:shd w:val="clear" w:color="auto" w:fill="auto"/>
            <w:noWrap/>
            <w:hideMark/>
          </w:tcPr>
          <w:p w14:paraId="408D1627"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40.2%</w:t>
            </w:r>
          </w:p>
        </w:tc>
        <w:tc>
          <w:tcPr>
            <w:tcW w:w="1197" w:type="dxa"/>
            <w:tcBorders>
              <w:top w:val="nil"/>
              <w:left w:val="nil"/>
              <w:bottom w:val="single" w:sz="4" w:space="0" w:color="auto"/>
              <w:right w:val="single" w:sz="4" w:space="0" w:color="auto"/>
            </w:tcBorders>
            <w:shd w:val="clear" w:color="auto" w:fill="auto"/>
            <w:noWrap/>
            <w:hideMark/>
          </w:tcPr>
          <w:p w14:paraId="7F97B9F8"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40.2%</w:t>
            </w:r>
          </w:p>
        </w:tc>
      </w:tr>
      <w:tr w:rsidR="00CF0F96" w:rsidRPr="00CF0F96" w14:paraId="03628BDC" w14:textId="77777777" w:rsidTr="00EF7331">
        <w:trPr>
          <w:trHeight w:val="480"/>
          <w:jc w:val="center"/>
        </w:trPr>
        <w:tc>
          <w:tcPr>
            <w:tcW w:w="4203" w:type="dxa"/>
            <w:tcBorders>
              <w:top w:val="nil"/>
              <w:left w:val="single" w:sz="4" w:space="0" w:color="auto"/>
              <w:bottom w:val="single" w:sz="4" w:space="0" w:color="auto"/>
              <w:right w:val="single" w:sz="4" w:space="0" w:color="auto"/>
            </w:tcBorders>
            <w:shd w:val="clear" w:color="auto" w:fill="E0E0E0"/>
            <w:hideMark/>
          </w:tcPr>
          <w:p w14:paraId="26F23BFB"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eastAsia="Times New Roman" w:cs="Arial"/>
                <w:sz w:val="18"/>
                <w:szCs w:val="18"/>
                <w:lang w:eastAsia="es-SV"/>
              </w:rPr>
              <w:t>Comercio al por mayor y al por menor, reparación de vehículos automotores y motocicletas.</w:t>
            </w:r>
          </w:p>
        </w:tc>
        <w:tc>
          <w:tcPr>
            <w:tcW w:w="1071" w:type="dxa"/>
            <w:tcBorders>
              <w:top w:val="nil"/>
              <w:left w:val="nil"/>
              <w:bottom w:val="single" w:sz="4" w:space="0" w:color="auto"/>
              <w:right w:val="single" w:sz="4" w:space="0" w:color="auto"/>
            </w:tcBorders>
            <w:shd w:val="clear" w:color="auto" w:fill="auto"/>
            <w:noWrap/>
            <w:hideMark/>
          </w:tcPr>
          <w:p w14:paraId="35F3C68E" w14:textId="5EA64ADB"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46</w:t>
            </w:r>
            <w:r w:rsidR="007F4D40" w:rsidRPr="00CF0F96">
              <w:rPr>
                <w:rFonts w:eastAsia="Times New Roman" w:cs="Arial"/>
                <w:sz w:val="18"/>
                <w:szCs w:val="18"/>
                <w:lang w:eastAsia="es-SV"/>
              </w:rPr>
              <w:t>,</w:t>
            </w:r>
            <w:r w:rsidRPr="00CF0F96">
              <w:rPr>
                <w:rFonts w:eastAsia="Times New Roman" w:cs="Arial"/>
                <w:sz w:val="18"/>
                <w:szCs w:val="18"/>
                <w:lang w:eastAsia="es-SV"/>
              </w:rPr>
              <w:t>568</w:t>
            </w:r>
          </w:p>
        </w:tc>
        <w:tc>
          <w:tcPr>
            <w:tcW w:w="1071" w:type="dxa"/>
            <w:tcBorders>
              <w:top w:val="nil"/>
              <w:left w:val="nil"/>
              <w:bottom w:val="single" w:sz="4" w:space="0" w:color="auto"/>
              <w:right w:val="single" w:sz="4" w:space="0" w:color="auto"/>
            </w:tcBorders>
            <w:shd w:val="clear" w:color="auto" w:fill="auto"/>
            <w:noWrap/>
            <w:hideMark/>
          </w:tcPr>
          <w:p w14:paraId="6414FC2B" w14:textId="4D426A04"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59</w:t>
            </w:r>
            <w:r w:rsidR="007F4D40" w:rsidRPr="00CF0F96">
              <w:rPr>
                <w:rFonts w:eastAsia="Times New Roman" w:cs="Arial"/>
                <w:sz w:val="18"/>
                <w:szCs w:val="18"/>
                <w:lang w:eastAsia="es-SV"/>
              </w:rPr>
              <w:t>,</w:t>
            </w:r>
            <w:r w:rsidRPr="00CF0F96">
              <w:rPr>
                <w:rFonts w:eastAsia="Times New Roman" w:cs="Arial"/>
                <w:sz w:val="18"/>
                <w:szCs w:val="18"/>
                <w:lang w:eastAsia="es-SV"/>
              </w:rPr>
              <w:t>942</w:t>
            </w:r>
          </w:p>
        </w:tc>
        <w:tc>
          <w:tcPr>
            <w:tcW w:w="1071" w:type="dxa"/>
            <w:tcBorders>
              <w:top w:val="nil"/>
              <w:left w:val="nil"/>
              <w:bottom w:val="single" w:sz="4" w:space="0" w:color="auto"/>
              <w:right w:val="single" w:sz="4" w:space="0" w:color="auto"/>
            </w:tcBorders>
            <w:shd w:val="clear" w:color="auto" w:fill="auto"/>
            <w:noWrap/>
            <w:hideMark/>
          </w:tcPr>
          <w:p w14:paraId="141ADB82" w14:textId="31E663DD"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106</w:t>
            </w:r>
            <w:r w:rsidR="007F4D40" w:rsidRPr="00CF0F96">
              <w:rPr>
                <w:rFonts w:eastAsia="Times New Roman" w:cs="Arial"/>
                <w:sz w:val="18"/>
                <w:szCs w:val="18"/>
                <w:lang w:eastAsia="es-SV"/>
              </w:rPr>
              <w:t>,</w:t>
            </w:r>
            <w:r w:rsidRPr="00CF0F96">
              <w:rPr>
                <w:rFonts w:eastAsia="Times New Roman" w:cs="Arial"/>
                <w:sz w:val="18"/>
                <w:szCs w:val="18"/>
                <w:lang w:eastAsia="es-SV"/>
              </w:rPr>
              <w:t>510</w:t>
            </w:r>
          </w:p>
        </w:tc>
        <w:tc>
          <w:tcPr>
            <w:tcW w:w="1163" w:type="dxa"/>
            <w:tcBorders>
              <w:top w:val="nil"/>
              <w:left w:val="nil"/>
              <w:bottom w:val="single" w:sz="4" w:space="0" w:color="auto"/>
              <w:right w:val="single" w:sz="4" w:space="0" w:color="auto"/>
            </w:tcBorders>
            <w:shd w:val="clear" w:color="auto" w:fill="auto"/>
            <w:noWrap/>
            <w:hideMark/>
          </w:tcPr>
          <w:p w14:paraId="6563D48E"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18.1%</w:t>
            </w:r>
          </w:p>
        </w:tc>
        <w:tc>
          <w:tcPr>
            <w:tcW w:w="1197" w:type="dxa"/>
            <w:tcBorders>
              <w:top w:val="nil"/>
              <w:left w:val="nil"/>
              <w:bottom w:val="single" w:sz="4" w:space="0" w:color="auto"/>
              <w:right w:val="single" w:sz="4" w:space="0" w:color="auto"/>
            </w:tcBorders>
            <w:shd w:val="clear" w:color="auto" w:fill="auto"/>
            <w:noWrap/>
            <w:hideMark/>
          </w:tcPr>
          <w:p w14:paraId="41DE2C9E"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58.3%</w:t>
            </w:r>
          </w:p>
        </w:tc>
      </w:tr>
      <w:tr w:rsidR="00CF0F96" w:rsidRPr="00CF0F96" w14:paraId="230F7292" w14:textId="77777777" w:rsidTr="00EF7331">
        <w:trPr>
          <w:trHeight w:val="300"/>
          <w:jc w:val="center"/>
        </w:trPr>
        <w:tc>
          <w:tcPr>
            <w:tcW w:w="4203" w:type="dxa"/>
            <w:tcBorders>
              <w:top w:val="nil"/>
              <w:left w:val="single" w:sz="4" w:space="0" w:color="auto"/>
              <w:bottom w:val="single" w:sz="4" w:space="0" w:color="auto"/>
              <w:right w:val="single" w:sz="4" w:space="0" w:color="auto"/>
            </w:tcBorders>
            <w:shd w:val="clear" w:color="auto" w:fill="E0E0E0"/>
            <w:hideMark/>
          </w:tcPr>
          <w:p w14:paraId="769C1DF5"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eastAsia="Times New Roman" w:cs="Arial"/>
                <w:sz w:val="18"/>
                <w:szCs w:val="18"/>
                <w:lang w:eastAsia="es-SV"/>
              </w:rPr>
              <w:t>Industria manufacturera.</w:t>
            </w:r>
          </w:p>
        </w:tc>
        <w:tc>
          <w:tcPr>
            <w:tcW w:w="1071" w:type="dxa"/>
            <w:tcBorders>
              <w:top w:val="nil"/>
              <w:left w:val="nil"/>
              <w:bottom w:val="single" w:sz="4" w:space="0" w:color="auto"/>
              <w:right w:val="single" w:sz="4" w:space="0" w:color="auto"/>
            </w:tcBorders>
            <w:shd w:val="clear" w:color="auto" w:fill="auto"/>
            <w:noWrap/>
            <w:hideMark/>
          </w:tcPr>
          <w:p w14:paraId="5E363231" w14:textId="46A52408"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31</w:t>
            </w:r>
            <w:r w:rsidR="007F4D40" w:rsidRPr="00CF0F96">
              <w:rPr>
                <w:rFonts w:eastAsia="Times New Roman" w:cs="Arial"/>
                <w:sz w:val="18"/>
                <w:szCs w:val="18"/>
                <w:lang w:eastAsia="es-SV"/>
              </w:rPr>
              <w:t>,</w:t>
            </w:r>
            <w:r w:rsidRPr="00CF0F96">
              <w:rPr>
                <w:rFonts w:eastAsia="Times New Roman" w:cs="Arial"/>
                <w:sz w:val="18"/>
                <w:szCs w:val="18"/>
                <w:lang w:eastAsia="es-SV"/>
              </w:rPr>
              <w:t>273</w:t>
            </w:r>
          </w:p>
        </w:tc>
        <w:tc>
          <w:tcPr>
            <w:tcW w:w="1071" w:type="dxa"/>
            <w:tcBorders>
              <w:top w:val="nil"/>
              <w:left w:val="nil"/>
              <w:bottom w:val="single" w:sz="4" w:space="0" w:color="auto"/>
              <w:right w:val="single" w:sz="4" w:space="0" w:color="auto"/>
            </w:tcBorders>
            <w:shd w:val="clear" w:color="auto" w:fill="auto"/>
            <w:noWrap/>
            <w:hideMark/>
          </w:tcPr>
          <w:p w14:paraId="60307B1C" w14:textId="1F66E378"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32</w:t>
            </w:r>
            <w:r w:rsidR="007F4D40" w:rsidRPr="00CF0F96">
              <w:rPr>
                <w:rFonts w:eastAsia="Times New Roman" w:cs="Arial"/>
                <w:sz w:val="18"/>
                <w:szCs w:val="18"/>
                <w:lang w:eastAsia="es-SV"/>
              </w:rPr>
              <w:t>,</w:t>
            </w:r>
            <w:r w:rsidRPr="00CF0F96">
              <w:rPr>
                <w:rFonts w:eastAsia="Times New Roman" w:cs="Arial"/>
                <w:sz w:val="18"/>
                <w:szCs w:val="18"/>
                <w:lang w:eastAsia="es-SV"/>
              </w:rPr>
              <w:t>722</w:t>
            </w:r>
          </w:p>
        </w:tc>
        <w:tc>
          <w:tcPr>
            <w:tcW w:w="1071" w:type="dxa"/>
            <w:tcBorders>
              <w:top w:val="nil"/>
              <w:left w:val="nil"/>
              <w:bottom w:val="single" w:sz="4" w:space="0" w:color="auto"/>
              <w:right w:val="single" w:sz="4" w:space="0" w:color="auto"/>
            </w:tcBorders>
            <w:shd w:val="clear" w:color="auto" w:fill="auto"/>
            <w:noWrap/>
            <w:hideMark/>
          </w:tcPr>
          <w:p w14:paraId="3EEFBDEF" w14:textId="4A0FAAA6"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63</w:t>
            </w:r>
            <w:r w:rsidR="007F4D40" w:rsidRPr="00CF0F96">
              <w:rPr>
                <w:rFonts w:eastAsia="Times New Roman" w:cs="Arial"/>
                <w:sz w:val="18"/>
                <w:szCs w:val="18"/>
                <w:lang w:eastAsia="es-SV"/>
              </w:rPr>
              <w:t>,</w:t>
            </w:r>
            <w:r w:rsidRPr="00CF0F96">
              <w:rPr>
                <w:rFonts w:eastAsia="Times New Roman" w:cs="Arial"/>
                <w:sz w:val="18"/>
                <w:szCs w:val="18"/>
                <w:lang w:eastAsia="es-SV"/>
              </w:rPr>
              <w:t>995</w:t>
            </w:r>
          </w:p>
        </w:tc>
        <w:tc>
          <w:tcPr>
            <w:tcW w:w="1163" w:type="dxa"/>
            <w:tcBorders>
              <w:top w:val="nil"/>
              <w:left w:val="nil"/>
              <w:bottom w:val="single" w:sz="4" w:space="0" w:color="auto"/>
              <w:right w:val="single" w:sz="4" w:space="0" w:color="auto"/>
            </w:tcBorders>
            <w:shd w:val="clear" w:color="auto" w:fill="auto"/>
            <w:noWrap/>
            <w:hideMark/>
          </w:tcPr>
          <w:p w14:paraId="0E564EB9"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10.9%</w:t>
            </w:r>
          </w:p>
        </w:tc>
        <w:tc>
          <w:tcPr>
            <w:tcW w:w="1197" w:type="dxa"/>
            <w:tcBorders>
              <w:top w:val="nil"/>
              <w:left w:val="nil"/>
              <w:bottom w:val="single" w:sz="4" w:space="0" w:color="auto"/>
              <w:right w:val="single" w:sz="4" w:space="0" w:color="auto"/>
            </w:tcBorders>
            <w:shd w:val="clear" w:color="auto" w:fill="auto"/>
            <w:noWrap/>
            <w:hideMark/>
          </w:tcPr>
          <w:p w14:paraId="2016BAF8"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69.2%</w:t>
            </w:r>
          </w:p>
        </w:tc>
      </w:tr>
      <w:tr w:rsidR="00CF0F96" w:rsidRPr="00CF0F96" w14:paraId="6315674E" w14:textId="77777777" w:rsidTr="00EF7331">
        <w:trPr>
          <w:trHeight w:val="300"/>
          <w:jc w:val="center"/>
        </w:trPr>
        <w:tc>
          <w:tcPr>
            <w:tcW w:w="4203" w:type="dxa"/>
            <w:tcBorders>
              <w:top w:val="nil"/>
              <w:left w:val="single" w:sz="4" w:space="0" w:color="auto"/>
              <w:bottom w:val="single" w:sz="4" w:space="0" w:color="auto"/>
              <w:right w:val="single" w:sz="4" w:space="0" w:color="auto"/>
            </w:tcBorders>
            <w:shd w:val="clear" w:color="auto" w:fill="E0E0E0"/>
            <w:hideMark/>
          </w:tcPr>
          <w:p w14:paraId="22AB008A"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eastAsia="Times New Roman" w:cs="Arial"/>
                <w:sz w:val="18"/>
                <w:szCs w:val="18"/>
                <w:lang w:eastAsia="es-SV"/>
              </w:rPr>
              <w:t>Construcción.</w:t>
            </w:r>
          </w:p>
        </w:tc>
        <w:tc>
          <w:tcPr>
            <w:tcW w:w="1071" w:type="dxa"/>
            <w:tcBorders>
              <w:top w:val="nil"/>
              <w:left w:val="nil"/>
              <w:bottom w:val="single" w:sz="4" w:space="0" w:color="auto"/>
              <w:right w:val="single" w:sz="4" w:space="0" w:color="auto"/>
            </w:tcBorders>
            <w:shd w:val="clear" w:color="auto" w:fill="auto"/>
            <w:noWrap/>
            <w:hideMark/>
          </w:tcPr>
          <w:p w14:paraId="15407C23" w14:textId="4EDB6CD4"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32</w:t>
            </w:r>
            <w:r w:rsidR="007F4D40" w:rsidRPr="00CF0F96">
              <w:rPr>
                <w:rFonts w:eastAsia="Times New Roman" w:cs="Arial"/>
                <w:sz w:val="18"/>
                <w:szCs w:val="18"/>
                <w:lang w:eastAsia="es-SV"/>
              </w:rPr>
              <w:t>,</w:t>
            </w:r>
            <w:r w:rsidRPr="00CF0F96">
              <w:rPr>
                <w:rFonts w:eastAsia="Times New Roman" w:cs="Arial"/>
                <w:sz w:val="18"/>
                <w:szCs w:val="18"/>
                <w:lang w:eastAsia="es-SV"/>
              </w:rPr>
              <w:t>865</w:t>
            </w:r>
          </w:p>
        </w:tc>
        <w:tc>
          <w:tcPr>
            <w:tcW w:w="1071" w:type="dxa"/>
            <w:tcBorders>
              <w:top w:val="nil"/>
              <w:left w:val="nil"/>
              <w:bottom w:val="single" w:sz="4" w:space="0" w:color="auto"/>
              <w:right w:val="single" w:sz="4" w:space="0" w:color="auto"/>
            </w:tcBorders>
            <w:shd w:val="clear" w:color="auto" w:fill="auto"/>
            <w:noWrap/>
            <w:hideMark/>
          </w:tcPr>
          <w:p w14:paraId="65E7018F"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419</w:t>
            </w:r>
          </w:p>
        </w:tc>
        <w:tc>
          <w:tcPr>
            <w:tcW w:w="1071" w:type="dxa"/>
            <w:tcBorders>
              <w:top w:val="nil"/>
              <w:left w:val="nil"/>
              <w:bottom w:val="single" w:sz="4" w:space="0" w:color="auto"/>
              <w:right w:val="single" w:sz="4" w:space="0" w:color="auto"/>
            </w:tcBorders>
            <w:shd w:val="clear" w:color="auto" w:fill="auto"/>
            <w:noWrap/>
            <w:hideMark/>
          </w:tcPr>
          <w:p w14:paraId="6A33C9A7" w14:textId="203F1363"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33</w:t>
            </w:r>
            <w:r w:rsidR="007F4D40" w:rsidRPr="00CF0F96">
              <w:rPr>
                <w:rFonts w:eastAsia="Times New Roman" w:cs="Arial"/>
                <w:sz w:val="18"/>
                <w:szCs w:val="18"/>
                <w:lang w:eastAsia="es-SV"/>
              </w:rPr>
              <w:t>,</w:t>
            </w:r>
            <w:r w:rsidRPr="00CF0F96">
              <w:rPr>
                <w:rFonts w:eastAsia="Times New Roman" w:cs="Arial"/>
                <w:sz w:val="18"/>
                <w:szCs w:val="18"/>
                <w:lang w:eastAsia="es-SV"/>
              </w:rPr>
              <w:t>284</w:t>
            </w:r>
          </w:p>
        </w:tc>
        <w:tc>
          <w:tcPr>
            <w:tcW w:w="1163" w:type="dxa"/>
            <w:tcBorders>
              <w:top w:val="nil"/>
              <w:left w:val="nil"/>
              <w:bottom w:val="single" w:sz="4" w:space="0" w:color="auto"/>
              <w:right w:val="single" w:sz="4" w:space="0" w:color="auto"/>
            </w:tcBorders>
            <w:shd w:val="clear" w:color="auto" w:fill="auto"/>
            <w:noWrap/>
            <w:hideMark/>
          </w:tcPr>
          <w:p w14:paraId="5FCBEB6D"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5.7%</w:t>
            </w:r>
          </w:p>
        </w:tc>
        <w:tc>
          <w:tcPr>
            <w:tcW w:w="1197" w:type="dxa"/>
            <w:tcBorders>
              <w:top w:val="nil"/>
              <w:left w:val="nil"/>
              <w:bottom w:val="single" w:sz="4" w:space="0" w:color="auto"/>
              <w:right w:val="single" w:sz="4" w:space="0" w:color="auto"/>
            </w:tcBorders>
            <w:shd w:val="clear" w:color="auto" w:fill="auto"/>
            <w:noWrap/>
            <w:hideMark/>
          </w:tcPr>
          <w:p w14:paraId="2D1393AF"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74.8%</w:t>
            </w:r>
          </w:p>
        </w:tc>
      </w:tr>
      <w:tr w:rsidR="00CF0F96" w:rsidRPr="00CF0F96" w14:paraId="05DCBA2D" w14:textId="77777777" w:rsidTr="00EF7331">
        <w:trPr>
          <w:trHeight w:val="300"/>
          <w:jc w:val="center"/>
        </w:trPr>
        <w:tc>
          <w:tcPr>
            <w:tcW w:w="4203" w:type="dxa"/>
            <w:tcBorders>
              <w:top w:val="nil"/>
              <w:left w:val="single" w:sz="4" w:space="0" w:color="auto"/>
              <w:bottom w:val="single" w:sz="4" w:space="0" w:color="auto"/>
              <w:right w:val="single" w:sz="4" w:space="0" w:color="auto"/>
            </w:tcBorders>
            <w:shd w:val="clear" w:color="auto" w:fill="E0E0E0"/>
            <w:hideMark/>
          </w:tcPr>
          <w:p w14:paraId="47290728"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eastAsia="Times New Roman" w:cs="Arial"/>
                <w:sz w:val="18"/>
                <w:szCs w:val="18"/>
                <w:lang w:eastAsia="es-SV"/>
              </w:rPr>
              <w:t>Actividades de alojamiento y de servicios de comida.</w:t>
            </w:r>
          </w:p>
        </w:tc>
        <w:tc>
          <w:tcPr>
            <w:tcW w:w="1071" w:type="dxa"/>
            <w:tcBorders>
              <w:top w:val="nil"/>
              <w:left w:val="nil"/>
              <w:bottom w:val="single" w:sz="4" w:space="0" w:color="auto"/>
              <w:right w:val="single" w:sz="4" w:space="0" w:color="auto"/>
            </w:tcBorders>
            <w:shd w:val="clear" w:color="auto" w:fill="auto"/>
            <w:noWrap/>
            <w:hideMark/>
          </w:tcPr>
          <w:p w14:paraId="0C0471FC" w14:textId="6C755BA6"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5</w:t>
            </w:r>
            <w:r w:rsidR="007F4D40" w:rsidRPr="00CF0F96">
              <w:rPr>
                <w:rFonts w:eastAsia="Times New Roman" w:cs="Arial"/>
                <w:sz w:val="18"/>
                <w:szCs w:val="18"/>
                <w:lang w:eastAsia="es-SV"/>
              </w:rPr>
              <w:t>,</w:t>
            </w:r>
            <w:r w:rsidRPr="00CF0F96">
              <w:rPr>
                <w:rFonts w:eastAsia="Times New Roman" w:cs="Arial"/>
                <w:sz w:val="18"/>
                <w:szCs w:val="18"/>
                <w:lang w:eastAsia="es-SV"/>
              </w:rPr>
              <w:t>194</w:t>
            </w:r>
          </w:p>
        </w:tc>
        <w:tc>
          <w:tcPr>
            <w:tcW w:w="1071" w:type="dxa"/>
            <w:tcBorders>
              <w:top w:val="nil"/>
              <w:left w:val="nil"/>
              <w:bottom w:val="single" w:sz="4" w:space="0" w:color="auto"/>
              <w:right w:val="single" w:sz="4" w:space="0" w:color="auto"/>
            </w:tcBorders>
            <w:shd w:val="clear" w:color="auto" w:fill="auto"/>
            <w:noWrap/>
            <w:hideMark/>
          </w:tcPr>
          <w:p w14:paraId="21958BF8" w14:textId="2C2E0A70"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18</w:t>
            </w:r>
            <w:r w:rsidR="007F4D40" w:rsidRPr="00CF0F96">
              <w:rPr>
                <w:rFonts w:eastAsia="Times New Roman" w:cs="Arial"/>
                <w:sz w:val="18"/>
                <w:szCs w:val="18"/>
                <w:lang w:eastAsia="es-SV"/>
              </w:rPr>
              <w:t>,</w:t>
            </w:r>
            <w:r w:rsidRPr="00CF0F96">
              <w:rPr>
                <w:rFonts w:eastAsia="Times New Roman" w:cs="Arial"/>
                <w:sz w:val="18"/>
                <w:szCs w:val="18"/>
                <w:lang w:eastAsia="es-SV"/>
              </w:rPr>
              <w:t>535</w:t>
            </w:r>
          </w:p>
        </w:tc>
        <w:tc>
          <w:tcPr>
            <w:tcW w:w="1071" w:type="dxa"/>
            <w:tcBorders>
              <w:top w:val="nil"/>
              <w:left w:val="nil"/>
              <w:bottom w:val="single" w:sz="4" w:space="0" w:color="auto"/>
              <w:right w:val="single" w:sz="4" w:space="0" w:color="auto"/>
            </w:tcBorders>
            <w:shd w:val="clear" w:color="auto" w:fill="auto"/>
            <w:noWrap/>
            <w:hideMark/>
          </w:tcPr>
          <w:p w14:paraId="01275E26" w14:textId="024BD10D"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23</w:t>
            </w:r>
            <w:r w:rsidR="007F4D40" w:rsidRPr="00CF0F96">
              <w:rPr>
                <w:rFonts w:eastAsia="Times New Roman" w:cs="Arial"/>
                <w:sz w:val="18"/>
                <w:szCs w:val="18"/>
                <w:lang w:eastAsia="es-SV"/>
              </w:rPr>
              <w:t>,</w:t>
            </w:r>
            <w:r w:rsidRPr="00CF0F96">
              <w:rPr>
                <w:rFonts w:eastAsia="Times New Roman" w:cs="Arial"/>
                <w:sz w:val="18"/>
                <w:szCs w:val="18"/>
                <w:lang w:eastAsia="es-SV"/>
              </w:rPr>
              <w:t>729</w:t>
            </w:r>
          </w:p>
        </w:tc>
        <w:tc>
          <w:tcPr>
            <w:tcW w:w="1163" w:type="dxa"/>
            <w:tcBorders>
              <w:top w:val="nil"/>
              <w:left w:val="nil"/>
              <w:bottom w:val="single" w:sz="4" w:space="0" w:color="auto"/>
              <w:right w:val="single" w:sz="4" w:space="0" w:color="auto"/>
            </w:tcBorders>
            <w:shd w:val="clear" w:color="auto" w:fill="auto"/>
            <w:noWrap/>
            <w:hideMark/>
          </w:tcPr>
          <w:p w14:paraId="5E537BFE"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4.0%</w:t>
            </w:r>
          </w:p>
        </w:tc>
        <w:tc>
          <w:tcPr>
            <w:tcW w:w="1197" w:type="dxa"/>
            <w:tcBorders>
              <w:top w:val="nil"/>
              <w:left w:val="nil"/>
              <w:bottom w:val="single" w:sz="4" w:space="0" w:color="auto"/>
              <w:right w:val="single" w:sz="4" w:space="0" w:color="auto"/>
            </w:tcBorders>
            <w:shd w:val="clear" w:color="auto" w:fill="auto"/>
            <w:noWrap/>
            <w:hideMark/>
          </w:tcPr>
          <w:p w14:paraId="43C8B536"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78.9%</w:t>
            </w:r>
          </w:p>
        </w:tc>
      </w:tr>
      <w:tr w:rsidR="00CF0F96" w:rsidRPr="00CF0F96" w14:paraId="1AEB7F16" w14:textId="77777777" w:rsidTr="00EF7331">
        <w:trPr>
          <w:trHeight w:val="300"/>
          <w:jc w:val="center"/>
        </w:trPr>
        <w:tc>
          <w:tcPr>
            <w:tcW w:w="4203" w:type="dxa"/>
            <w:tcBorders>
              <w:top w:val="nil"/>
              <w:left w:val="single" w:sz="4" w:space="0" w:color="auto"/>
              <w:bottom w:val="single" w:sz="4" w:space="0" w:color="auto"/>
              <w:right w:val="single" w:sz="4" w:space="0" w:color="auto"/>
            </w:tcBorders>
            <w:shd w:val="clear" w:color="auto" w:fill="E0E0E0"/>
            <w:hideMark/>
          </w:tcPr>
          <w:p w14:paraId="7FDF16DA"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eastAsia="Times New Roman" w:cs="Arial"/>
                <w:sz w:val="18"/>
                <w:szCs w:val="18"/>
                <w:lang w:eastAsia="es-SV"/>
              </w:rPr>
              <w:t>Otras actividades de servicios.</w:t>
            </w:r>
          </w:p>
        </w:tc>
        <w:tc>
          <w:tcPr>
            <w:tcW w:w="1071" w:type="dxa"/>
            <w:tcBorders>
              <w:top w:val="nil"/>
              <w:left w:val="nil"/>
              <w:bottom w:val="single" w:sz="4" w:space="0" w:color="auto"/>
              <w:right w:val="single" w:sz="4" w:space="0" w:color="auto"/>
            </w:tcBorders>
            <w:shd w:val="clear" w:color="auto" w:fill="auto"/>
            <w:noWrap/>
            <w:hideMark/>
          </w:tcPr>
          <w:p w14:paraId="2C7CA67A" w14:textId="706563FF"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7</w:t>
            </w:r>
            <w:r w:rsidR="007F4D40" w:rsidRPr="00CF0F96">
              <w:rPr>
                <w:rFonts w:eastAsia="Times New Roman" w:cs="Arial"/>
                <w:sz w:val="18"/>
                <w:szCs w:val="18"/>
                <w:lang w:eastAsia="es-SV"/>
              </w:rPr>
              <w:t>,</w:t>
            </w:r>
            <w:r w:rsidRPr="00CF0F96">
              <w:rPr>
                <w:rFonts w:eastAsia="Times New Roman" w:cs="Arial"/>
                <w:sz w:val="18"/>
                <w:szCs w:val="18"/>
                <w:lang w:eastAsia="es-SV"/>
              </w:rPr>
              <w:t>480</w:t>
            </w:r>
          </w:p>
        </w:tc>
        <w:tc>
          <w:tcPr>
            <w:tcW w:w="1071" w:type="dxa"/>
            <w:tcBorders>
              <w:top w:val="nil"/>
              <w:left w:val="nil"/>
              <w:bottom w:val="single" w:sz="4" w:space="0" w:color="auto"/>
              <w:right w:val="single" w:sz="4" w:space="0" w:color="auto"/>
            </w:tcBorders>
            <w:shd w:val="clear" w:color="auto" w:fill="auto"/>
            <w:noWrap/>
            <w:hideMark/>
          </w:tcPr>
          <w:p w14:paraId="450B64C5" w14:textId="1986EEF1"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15</w:t>
            </w:r>
            <w:r w:rsidR="007F4D40" w:rsidRPr="00CF0F96">
              <w:rPr>
                <w:rFonts w:eastAsia="Times New Roman" w:cs="Arial"/>
                <w:sz w:val="18"/>
                <w:szCs w:val="18"/>
                <w:lang w:eastAsia="es-SV"/>
              </w:rPr>
              <w:t>,</w:t>
            </w:r>
            <w:r w:rsidRPr="00CF0F96">
              <w:rPr>
                <w:rFonts w:eastAsia="Times New Roman" w:cs="Arial"/>
                <w:sz w:val="18"/>
                <w:szCs w:val="18"/>
                <w:lang w:eastAsia="es-SV"/>
              </w:rPr>
              <w:t>901</w:t>
            </w:r>
          </w:p>
        </w:tc>
        <w:tc>
          <w:tcPr>
            <w:tcW w:w="1071" w:type="dxa"/>
            <w:tcBorders>
              <w:top w:val="nil"/>
              <w:left w:val="nil"/>
              <w:bottom w:val="single" w:sz="4" w:space="0" w:color="auto"/>
              <w:right w:val="single" w:sz="4" w:space="0" w:color="auto"/>
            </w:tcBorders>
            <w:shd w:val="clear" w:color="auto" w:fill="auto"/>
            <w:noWrap/>
            <w:hideMark/>
          </w:tcPr>
          <w:p w14:paraId="6125BA39" w14:textId="042C273B"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23</w:t>
            </w:r>
            <w:r w:rsidR="007F4D40" w:rsidRPr="00CF0F96">
              <w:rPr>
                <w:rFonts w:eastAsia="Times New Roman" w:cs="Arial"/>
                <w:sz w:val="18"/>
                <w:szCs w:val="18"/>
                <w:lang w:eastAsia="es-SV"/>
              </w:rPr>
              <w:t>,</w:t>
            </w:r>
            <w:r w:rsidRPr="00CF0F96">
              <w:rPr>
                <w:rFonts w:eastAsia="Times New Roman" w:cs="Arial"/>
                <w:sz w:val="18"/>
                <w:szCs w:val="18"/>
                <w:lang w:eastAsia="es-SV"/>
              </w:rPr>
              <w:t>381</w:t>
            </w:r>
          </w:p>
        </w:tc>
        <w:tc>
          <w:tcPr>
            <w:tcW w:w="1163" w:type="dxa"/>
            <w:tcBorders>
              <w:top w:val="nil"/>
              <w:left w:val="nil"/>
              <w:bottom w:val="single" w:sz="4" w:space="0" w:color="auto"/>
              <w:right w:val="single" w:sz="4" w:space="0" w:color="auto"/>
            </w:tcBorders>
            <w:shd w:val="clear" w:color="auto" w:fill="auto"/>
            <w:noWrap/>
            <w:hideMark/>
          </w:tcPr>
          <w:p w14:paraId="7F6602AE"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4.0%</w:t>
            </w:r>
          </w:p>
        </w:tc>
        <w:tc>
          <w:tcPr>
            <w:tcW w:w="1197" w:type="dxa"/>
            <w:tcBorders>
              <w:top w:val="nil"/>
              <w:left w:val="nil"/>
              <w:bottom w:val="single" w:sz="4" w:space="0" w:color="auto"/>
              <w:right w:val="single" w:sz="4" w:space="0" w:color="auto"/>
            </w:tcBorders>
            <w:shd w:val="clear" w:color="auto" w:fill="auto"/>
            <w:noWrap/>
            <w:hideMark/>
          </w:tcPr>
          <w:p w14:paraId="0781D596"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82.8%</w:t>
            </w:r>
          </w:p>
        </w:tc>
      </w:tr>
      <w:tr w:rsidR="00CF0F96" w:rsidRPr="00CF0F96" w14:paraId="4B6BFBDE" w14:textId="77777777" w:rsidTr="00EF7331">
        <w:trPr>
          <w:trHeight w:val="300"/>
          <w:jc w:val="center"/>
        </w:trPr>
        <w:tc>
          <w:tcPr>
            <w:tcW w:w="4203" w:type="dxa"/>
            <w:tcBorders>
              <w:top w:val="nil"/>
              <w:left w:val="single" w:sz="4" w:space="0" w:color="auto"/>
              <w:bottom w:val="single" w:sz="4" w:space="0" w:color="auto"/>
              <w:right w:val="single" w:sz="4" w:space="0" w:color="auto"/>
            </w:tcBorders>
            <w:shd w:val="clear" w:color="auto" w:fill="E0E0E0"/>
            <w:hideMark/>
          </w:tcPr>
          <w:p w14:paraId="57772D2E"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eastAsia="Times New Roman" w:cs="Arial"/>
                <w:sz w:val="18"/>
                <w:szCs w:val="18"/>
                <w:lang w:eastAsia="es-SV"/>
              </w:rPr>
              <w:t>Enseñanza.</w:t>
            </w:r>
          </w:p>
        </w:tc>
        <w:tc>
          <w:tcPr>
            <w:tcW w:w="1071" w:type="dxa"/>
            <w:tcBorders>
              <w:top w:val="nil"/>
              <w:left w:val="nil"/>
              <w:bottom w:val="single" w:sz="4" w:space="0" w:color="auto"/>
              <w:right w:val="single" w:sz="4" w:space="0" w:color="auto"/>
            </w:tcBorders>
            <w:shd w:val="clear" w:color="auto" w:fill="auto"/>
            <w:noWrap/>
            <w:hideMark/>
          </w:tcPr>
          <w:p w14:paraId="120D34C6" w14:textId="64454F3B"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5</w:t>
            </w:r>
            <w:r w:rsidR="007F4D40" w:rsidRPr="00CF0F96">
              <w:rPr>
                <w:rFonts w:eastAsia="Times New Roman" w:cs="Arial"/>
                <w:sz w:val="18"/>
                <w:szCs w:val="18"/>
                <w:lang w:eastAsia="es-SV"/>
              </w:rPr>
              <w:t>,</w:t>
            </w:r>
            <w:r w:rsidRPr="00CF0F96">
              <w:rPr>
                <w:rFonts w:eastAsia="Times New Roman" w:cs="Arial"/>
                <w:sz w:val="18"/>
                <w:szCs w:val="18"/>
                <w:lang w:eastAsia="es-SV"/>
              </w:rPr>
              <w:t>071</w:t>
            </w:r>
          </w:p>
        </w:tc>
        <w:tc>
          <w:tcPr>
            <w:tcW w:w="1071" w:type="dxa"/>
            <w:tcBorders>
              <w:top w:val="nil"/>
              <w:left w:val="nil"/>
              <w:bottom w:val="single" w:sz="4" w:space="0" w:color="auto"/>
              <w:right w:val="single" w:sz="4" w:space="0" w:color="auto"/>
            </w:tcBorders>
            <w:shd w:val="clear" w:color="auto" w:fill="auto"/>
            <w:noWrap/>
            <w:hideMark/>
          </w:tcPr>
          <w:p w14:paraId="1FAE5B76" w14:textId="3D2D4BFE"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11</w:t>
            </w:r>
            <w:r w:rsidR="007F4D40" w:rsidRPr="00CF0F96">
              <w:rPr>
                <w:rFonts w:eastAsia="Times New Roman" w:cs="Arial"/>
                <w:sz w:val="18"/>
                <w:szCs w:val="18"/>
                <w:lang w:eastAsia="es-SV"/>
              </w:rPr>
              <w:t>,</w:t>
            </w:r>
            <w:r w:rsidRPr="00CF0F96">
              <w:rPr>
                <w:rFonts w:eastAsia="Times New Roman" w:cs="Arial"/>
                <w:sz w:val="18"/>
                <w:szCs w:val="18"/>
                <w:lang w:eastAsia="es-SV"/>
              </w:rPr>
              <w:t>466</w:t>
            </w:r>
          </w:p>
        </w:tc>
        <w:tc>
          <w:tcPr>
            <w:tcW w:w="1071" w:type="dxa"/>
            <w:tcBorders>
              <w:top w:val="nil"/>
              <w:left w:val="nil"/>
              <w:bottom w:val="single" w:sz="4" w:space="0" w:color="auto"/>
              <w:right w:val="single" w:sz="4" w:space="0" w:color="auto"/>
            </w:tcBorders>
            <w:shd w:val="clear" w:color="auto" w:fill="auto"/>
            <w:noWrap/>
            <w:hideMark/>
          </w:tcPr>
          <w:p w14:paraId="7EF774F0" w14:textId="7B44A488"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16</w:t>
            </w:r>
            <w:r w:rsidR="007F4D40" w:rsidRPr="00CF0F96">
              <w:rPr>
                <w:rFonts w:eastAsia="Times New Roman" w:cs="Arial"/>
                <w:sz w:val="18"/>
                <w:szCs w:val="18"/>
                <w:lang w:eastAsia="es-SV"/>
              </w:rPr>
              <w:t>,</w:t>
            </w:r>
            <w:r w:rsidRPr="00CF0F96">
              <w:rPr>
                <w:rFonts w:eastAsia="Times New Roman" w:cs="Arial"/>
                <w:sz w:val="18"/>
                <w:szCs w:val="18"/>
                <w:lang w:eastAsia="es-SV"/>
              </w:rPr>
              <w:t>537</w:t>
            </w:r>
          </w:p>
        </w:tc>
        <w:tc>
          <w:tcPr>
            <w:tcW w:w="1163" w:type="dxa"/>
            <w:tcBorders>
              <w:top w:val="nil"/>
              <w:left w:val="nil"/>
              <w:bottom w:val="single" w:sz="4" w:space="0" w:color="auto"/>
              <w:right w:val="single" w:sz="4" w:space="0" w:color="auto"/>
            </w:tcBorders>
            <w:shd w:val="clear" w:color="auto" w:fill="auto"/>
            <w:noWrap/>
            <w:hideMark/>
          </w:tcPr>
          <w:p w14:paraId="764E086E"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2.8%</w:t>
            </w:r>
          </w:p>
        </w:tc>
        <w:tc>
          <w:tcPr>
            <w:tcW w:w="1197" w:type="dxa"/>
            <w:tcBorders>
              <w:top w:val="nil"/>
              <w:left w:val="nil"/>
              <w:bottom w:val="single" w:sz="4" w:space="0" w:color="auto"/>
              <w:right w:val="single" w:sz="4" w:space="0" w:color="auto"/>
            </w:tcBorders>
            <w:shd w:val="clear" w:color="auto" w:fill="auto"/>
            <w:noWrap/>
            <w:hideMark/>
          </w:tcPr>
          <w:p w14:paraId="2AA65DDF"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85.6%</w:t>
            </w:r>
          </w:p>
        </w:tc>
      </w:tr>
      <w:tr w:rsidR="00CF0F96" w:rsidRPr="00CF0F96" w14:paraId="5A6178D1" w14:textId="77777777" w:rsidTr="00EF7331">
        <w:trPr>
          <w:trHeight w:val="300"/>
          <w:jc w:val="center"/>
        </w:trPr>
        <w:tc>
          <w:tcPr>
            <w:tcW w:w="4203" w:type="dxa"/>
            <w:tcBorders>
              <w:top w:val="nil"/>
              <w:left w:val="single" w:sz="4" w:space="0" w:color="auto"/>
              <w:bottom w:val="single" w:sz="4" w:space="0" w:color="auto"/>
              <w:right w:val="single" w:sz="4" w:space="0" w:color="auto"/>
            </w:tcBorders>
            <w:shd w:val="clear" w:color="auto" w:fill="E0E0E0"/>
            <w:hideMark/>
          </w:tcPr>
          <w:p w14:paraId="08AA54E9"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eastAsia="Times New Roman" w:cs="Arial"/>
                <w:sz w:val="18"/>
                <w:szCs w:val="18"/>
                <w:lang w:eastAsia="es-SV"/>
              </w:rPr>
              <w:t>Busca trabajo por primera vez.</w:t>
            </w:r>
          </w:p>
        </w:tc>
        <w:tc>
          <w:tcPr>
            <w:tcW w:w="1071" w:type="dxa"/>
            <w:tcBorders>
              <w:top w:val="nil"/>
              <w:left w:val="nil"/>
              <w:bottom w:val="single" w:sz="4" w:space="0" w:color="auto"/>
              <w:right w:val="single" w:sz="4" w:space="0" w:color="auto"/>
            </w:tcBorders>
            <w:shd w:val="clear" w:color="auto" w:fill="auto"/>
            <w:noWrap/>
            <w:hideMark/>
          </w:tcPr>
          <w:p w14:paraId="09881948" w14:textId="01F9AC73"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3</w:t>
            </w:r>
            <w:r w:rsidR="007F4D40" w:rsidRPr="00CF0F96">
              <w:rPr>
                <w:rFonts w:eastAsia="Times New Roman" w:cs="Arial"/>
                <w:sz w:val="18"/>
                <w:szCs w:val="18"/>
                <w:lang w:eastAsia="es-SV"/>
              </w:rPr>
              <w:t>,</w:t>
            </w:r>
            <w:r w:rsidRPr="00CF0F96">
              <w:rPr>
                <w:rFonts w:eastAsia="Times New Roman" w:cs="Arial"/>
                <w:sz w:val="18"/>
                <w:szCs w:val="18"/>
                <w:lang w:eastAsia="es-SV"/>
              </w:rPr>
              <w:t>985</w:t>
            </w:r>
          </w:p>
        </w:tc>
        <w:tc>
          <w:tcPr>
            <w:tcW w:w="1071" w:type="dxa"/>
            <w:tcBorders>
              <w:top w:val="nil"/>
              <w:left w:val="nil"/>
              <w:bottom w:val="single" w:sz="4" w:space="0" w:color="auto"/>
              <w:right w:val="single" w:sz="4" w:space="0" w:color="auto"/>
            </w:tcBorders>
            <w:shd w:val="clear" w:color="auto" w:fill="auto"/>
            <w:noWrap/>
            <w:hideMark/>
          </w:tcPr>
          <w:p w14:paraId="453EA032" w14:textId="0A443BCB"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11</w:t>
            </w:r>
            <w:r w:rsidR="007F4D40" w:rsidRPr="00CF0F96">
              <w:rPr>
                <w:rFonts w:eastAsia="Times New Roman" w:cs="Arial"/>
                <w:sz w:val="18"/>
                <w:szCs w:val="18"/>
                <w:lang w:eastAsia="es-SV"/>
              </w:rPr>
              <w:t>,</w:t>
            </w:r>
            <w:r w:rsidRPr="00CF0F96">
              <w:rPr>
                <w:rFonts w:eastAsia="Times New Roman" w:cs="Arial"/>
                <w:sz w:val="18"/>
                <w:szCs w:val="18"/>
                <w:lang w:eastAsia="es-SV"/>
              </w:rPr>
              <w:t>762</w:t>
            </w:r>
          </w:p>
        </w:tc>
        <w:tc>
          <w:tcPr>
            <w:tcW w:w="1071" w:type="dxa"/>
            <w:tcBorders>
              <w:top w:val="nil"/>
              <w:left w:val="nil"/>
              <w:bottom w:val="single" w:sz="4" w:space="0" w:color="auto"/>
              <w:right w:val="single" w:sz="4" w:space="0" w:color="auto"/>
            </w:tcBorders>
            <w:shd w:val="clear" w:color="auto" w:fill="auto"/>
            <w:noWrap/>
            <w:hideMark/>
          </w:tcPr>
          <w:p w14:paraId="0E946B1E" w14:textId="51C5AF16"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15</w:t>
            </w:r>
            <w:r w:rsidR="007F4D40" w:rsidRPr="00CF0F96">
              <w:rPr>
                <w:rFonts w:eastAsia="Times New Roman" w:cs="Arial"/>
                <w:sz w:val="18"/>
                <w:szCs w:val="18"/>
                <w:lang w:eastAsia="es-SV"/>
              </w:rPr>
              <w:t>,</w:t>
            </w:r>
            <w:r w:rsidRPr="00CF0F96">
              <w:rPr>
                <w:rFonts w:eastAsia="Times New Roman" w:cs="Arial"/>
                <w:sz w:val="18"/>
                <w:szCs w:val="18"/>
                <w:lang w:eastAsia="es-SV"/>
              </w:rPr>
              <w:t>747</w:t>
            </w:r>
          </w:p>
        </w:tc>
        <w:tc>
          <w:tcPr>
            <w:tcW w:w="1163" w:type="dxa"/>
            <w:tcBorders>
              <w:top w:val="nil"/>
              <w:left w:val="nil"/>
              <w:bottom w:val="single" w:sz="4" w:space="0" w:color="auto"/>
              <w:right w:val="single" w:sz="4" w:space="0" w:color="auto"/>
            </w:tcBorders>
            <w:shd w:val="clear" w:color="auto" w:fill="auto"/>
            <w:noWrap/>
            <w:hideMark/>
          </w:tcPr>
          <w:p w14:paraId="6EDE2647"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2.7%</w:t>
            </w:r>
          </w:p>
        </w:tc>
        <w:tc>
          <w:tcPr>
            <w:tcW w:w="1197" w:type="dxa"/>
            <w:tcBorders>
              <w:top w:val="nil"/>
              <w:left w:val="nil"/>
              <w:bottom w:val="single" w:sz="4" w:space="0" w:color="auto"/>
              <w:right w:val="single" w:sz="4" w:space="0" w:color="auto"/>
            </w:tcBorders>
            <w:shd w:val="clear" w:color="auto" w:fill="auto"/>
            <w:noWrap/>
            <w:hideMark/>
          </w:tcPr>
          <w:p w14:paraId="5B6F5D77"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88.3%</w:t>
            </w:r>
          </w:p>
        </w:tc>
      </w:tr>
      <w:tr w:rsidR="00CF0F96" w:rsidRPr="00CF0F96" w14:paraId="6668C11E" w14:textId="77777777" w:rsidTr="00EF7331">
        <w:trPr>
          <w:trHeight w:val="480"/>
          <w:jc w:val="center"/>
        </w:trPr>
        <w:tc>
          <w:tcPr>
            <w:tcW w:w="4203" w:type="dxa"/>
            <w:tcBorders>
              <w:top w:val="nil"/>
              <w:left w:val="single" w:sz="4" w:space="0" w:color="auto"/>
              <w:bottom w:val="single" w:sz="4" w:space="0" w:color="auto"/>
              <w:right w:val="single" w:sz="4" w:space="0" w:color="auto"/>
            </w:tcBorders>
            <w:shd w:val="clear" w:color="auto" w:fill="E0E0E0"/>
            <w:hideMark/>
          </w:tcPr>
          <w:p w14:paraId="6864DAEA"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eastAsia="Times New Roman" w:cs="Arial"/>
                <w:sz w:val="18"/>
                <w:szCs w:val="18"/>
                <w:lang w:eastAsia="es-SV"/>
              </w:rPr>
              <w:t>Actividades de los hogares como empleadores y actividades no diferenciadas de los hogares.</w:t>
            </w:r>
          </w:p>
        </w:tc>
        <w:tc>
          <w:tcPr>
            <w:tcW w:w="1071" w:type="dxa"/>
            <w:tcBorders>
              <w:top w:val="nil"/>
              <w:left w:val="nil"/>
              <w:bottom w:val="single" w:sz="4" w:space="0" w:color="auto"/>
              <w:right w:val="single" w:sz="4" w:space="0" w:color="auto"/>
            </w:tcBorders>
            <w:shd w:val="clear" w:color="auto" w:fill="auto"/>
            <w:noWrap/>
            <w:hideMark/>
          </w:tcPr>
          <w:p w14:paraId="002F3FEB"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731</w:t>
            </w:r>
          </w:p>
        </w:tc>
        <w:tc>
          <w:tcPr>
            <w:tcW w:w="1071" w:type="dxa"/>
            <w:tcBorders>
              <w:top w:val="nil"/>
              <w:left w:val="nil"/>
              <w:bottom w:val="single" w:sz="4" w:space="0" w:color="auto"/>
              <w:right w:val="single" w:sz="4" w:space="0" w:color="auto"/>
            </w:tcBorders>
            <w:shd w:val="clear" w:color="auto" w:fill="auto"/>
            <w:noWrap/>
            <w:hideMark/>
          </w:tcPr>
          <w:p w14:paraId="2FB3C5FB" w14:textId="7D48B001"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13</w:t>
            </w:r>
            <w:r w:rsidR="007F4D40" w:rsidRPr="00CF0F96">
              <w:rPr>
                <w:rFonts w:eastAsia="Times New Roman" w:cs="Arial"/>
                <w:sz w:val="18"/>
                <w:szCs w:val="18"/>
                <w:lang w:eastAsia="es-SV"/>
              </w:rPr>
              <w:t>,</w:t>
            </w:r>
            <w:r w:rsidRPr="00CF0F96">
              <w:rPr>
                <w:rFonts w:eastAsia="Times New Roman" w:cs="Arial"/>
                <w:sz w:val="18"/>
                <w:szCs w:val="18"/>
                <w:lang w:eastAsia="es-SV"/>
              </w:rPr>
              <w:t>095</w:t>
            </w:r>
          </w:p>
        </w:tc>
        <w:tc>
          <w:tcPr>
            <w:tcW w:w="1071" w:type="dxa"/>
            <w:tcBorders>
              <w:top w:val="nil"/>
              <w:left w:val="nil"/>
              <w:bottom w:val="single" w:sz="4" w:space="0" w:color="auto"/>
              <w:right w:val="single" w:sz="4" w:space="0" w:color="auto"/>
            </w:tcBorders>
            <w:shd w:val="clear" w:color="auto" w:fill="auto"/>
            <w:noWrap/>
            <w:hideMark/>
          </w:tcPr>
          <w:p w14:paraId="1EBEFD16" w14:textId="55EF7ACC"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13</w:t>
            </w:r>
            <w:r w:rsidR="007F4D40" w:rsidRPr="00CF0F96">
              <w:rPr>
                <w:rFonts w:eastAsia="Times New Roman" w:cs="Arial"/>
                <w:sz w:val="18"/>
                <w:szCs w:val="18"/>
                <w:lang w:eastAsia="es-SV"/>
              </w:rPr>
              <w:t>,</w:t>
            </w:r>
            <w:r w:rsidRPr="00CF0F96">
              <w:rPr>
                <w:rFonts w:eastAsia="Times New Roman" w:cs="Arial"/>
                <w:sz w:val="18"/>
                <w:szCs w:val="18"/>
                <w:lang w:eastAsia="es-SV"/>
              </w:rPr>
              <w:t>826</w:t>
            </w:r>
          </w:p>
        </w:tc>
        <w:tc>
          <w:tcPr>
            <w:tcW w:w="1163" w:type="dxa"/>
            <w:tcBorders>
              <w:top w:val="nil"/>
              <w:left w:val="nil"/>
              <w:bottom w:val="single" w:sz="4" w:space="0" w:color="auto"/>
              <w:right w:val="single" w:sz="4" w:space="0" w:color="auto"/>
            </w:tcBorders>
            <w:shd w:val="clear" w:color="auto" w:fill="auto"/>
            <w:noWrap/>
            <w:hideMark/>
          </w:tcPr>
          <w:p w14:paraId="2000011F"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2.3%</w:t>
            </w:r>
          </w:p>
        </w:tc>
        <w:tc>
          <w:tcPr>
            <w:tcW w:w="1197" w:type="dxa"/>
            <w:tcBorders>
              <w:top w:val="nil"/>
              <w:left w:val="nil"/>
              <w:bottom w:val="single" w:sz="4" w:space="0" w:color="auto"/>
              <w:right w:val="single" w:sz="4" w:space="0" w:color="auto"/>
            </w:tcBorders>
            <w:shd w:val="clear" w:color="auto" w:fill="auto"/>
            <w:noWrap/>
            <w:hideMark/>
          </w:tcPr>
          <w:p w14:paraId="3B37CAB8"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90.7%</w:t>
            </w:r>
          </w:p>
        </w:tc>
      </w:tr>
      <w:tr w:rsidR="00CF0F96" w:rsidRPr="00CF0F96" w14:paraId="4148B376" w14:textId="77777777" w:rsidTr="00EF7331">
        <w:trPr>
          <w:trHeight w:val="480"/>
          <w:jc w:val="center"/>
        </w:trPr>
        <w:tc>
          <w:tcPr>
            <w:tcW w:w="4203" w:type="dxa"/>
            <w:tcBorders>
              <w:top w:val="nil"/>
              <w:left w:val="single" w:sz="4" w:space="0" w:color="auto"/>
              <w:bottom w:val="single" w:sz="4" w:space="0" w:color="auto"/>
              <w:right w:val="single" w:sz="4" w:space="0" w:color="auto"/>
            </w:tcBorders>
            <w:shd w:val="clear" w:color="auto" w:fill="E0E0E0"/>
            <w:hideMark/>
          </w:tcPr>
          <w:p w14:paraId="5BC598A7"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eastAsia="Times New Roman" w:cs="Arial"/>
                <w:sz w:val="18"/>
                <w:szCs w:val="18"/>
                <w:lang w:eastAsia="es-SV"/>
              </w:rPr>
              <w:t>Administración pública y defensa, planes de seguridad social de afiliación obligatoria.</w:t>
            </w:r>
          </w:p>
        </w:tc>
        <w:tc>
          <w:tcPr>
            <w:tcW w:w="1071" w:type="dxa"/>
            <w:tcBorders>
              <w:top w:val="nil"/>
              <w:left w:val="nil"/>
              <w:bottom w:val="single" w:sz="4" w:space="0" w:color="auto"/>
              <w:right w:val="single" w:sz="4" w:space="0" w:color="auto"/>
            </w:tcBorders>
            <w:shd w:val="clear" w:color="auto" w:fill="auto"/>
            <w:noWrap/>
            <w:hideMark/>
          </w:tcPr>
          <w:p w14:paraId="467E2911"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7618</w:t>
            </w:r>
          </w:p>
        </w:tc>
        <w:tc>
          <w:tcPr>
            <w:tcW w:w="1071" w:type="dxa"/>
            <w:tcBorders>
              <w:top w:val="nil"/>
              <w:left w:val="nil"/>
              <w:bottom w:val="single" w:sz="4" w:space="0" w:color="auto"/>
              <w:right w:val="single" w:sz="4" w:space="0" w:color="auto"/>
            </w:tcBorders>
            <w:shd w:val="clear" w:color="auto" w:fill="auto"/>
            <w:noWrap/>
            <w:hideMark/>
          </w:tcPr>
          <w:p w14:paraId="70FA4851" w14:textId="7195524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4</w:t>
            </w:r>
            <w:r w:rsidR="007F4D40" w:rsidRPr="00CF0F96">
              <w:rPr>
                <w:rFonts w:eastAsia="Times New Roman" w:cs="Arial"/>
                <w:sz w:val="18"/>
                <w:szCs w:val="18"/>
                <w:lang w:eastAsia="es-SV"/>
              </w:rPr>
              <w:t>,</w:t>
            </w:r>
            <w:r w:rsidRPr="00CF0F96">
              <w:rPr>
                <w:rFonts w:eastAsia="Times New Roman" w:cs="Arial"/>
                <w:sz w:val="18"/>
                <w:szCs w:val="18"/>
                <w:lang w:eastAsia="es-SV"/>
              </w:rPr>
              <w:t>653</w:t>
            </w:r>
          </w:p>
        </w:tc>
        <w:tc>
          <w:tcPr>
            <w:tcW w:w="1071" w:type="dxa"/>
            <w:tcBorders>
              <w:top w:val="nil"/>
              <w:left w:val="nil"/>
              <w:bottom w:val="single" w:sz="4" w:space="0" w:color="auto"/>
              <w:right w:val="single" w:sz="4" w:space="0" w:color="auto"/>
            </w:tcBorders>
            <w:shd w:val="clear" w:color="auto" w:fill="auto"/>
            <w:noWrap/>
            <w:hideMark/>
          </w:tcPr>
          <w:p w14:paraId="4CB52EC8" w14:textId="309CC51E"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12</w:t>
            </w:r>
            <w:r w:rsidR="007F4D40" w:rsidRPr="00CF0F96">
              <w:rPr>
                <w:rFonts w:eastAsia="Times New Roman" w:cs="Arial"/>
                <w:sz w:val="18"/>
                <w:szCs w:val="18"/>
                <w:lang w:eastAsia="es-SV"/>
              </w:rPr>
              <w:t>,</w:t>
            </w:r>
            <w:r w:rsidRPr="00CF0F96">
              <w:rPr>
                <w:rFonts w:eastAsia="Times New Roman" w:cs="Arial"/>
                <w:sz w:val="18"/>
                <w:szCs w:val="18"/>
                <w:lang w:eastAsia="es-SV"/>
              </w:rPr>
              <w:t>271</w:t>
            </w:r>
          </w:p>
        </w:tc>
        <w:tc>
          <w:tcPr>
            <w:tcW w:w="1163" w:type="dxa"/>
            <w:tcBorders>
              <w:top w:val="nil"/>
              <w:left w:val="nil"/>
              <w:bottom w:val="single" w:sz="4" w:space="0" w:color="auto"/>
              <w:right w:val="single" w:sz="4" w:space="0" w:color="auto"/>
            </w:tcBorders>
            <w:shd w:val="clear" w:color="auto" w:fill="auto"/>
            <w:noWrap/>
            <w:hideMark/>
          </w:tcPr>
          <w:p w14:paraId="5DD08319"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2.1%</w:t>
            </w:r>
          </w:p>
        </w:tc>
        <w:tc>
          <w:tcPr>
            <w:tcW w:w="1197" w:type="dxa"/>
            <w:tcBorders>
              <w:top w:val="nil"/>
              <w:left w:val="nil"/>
              <w:bottom w:val="single" w:sz="4" w:space="0" w:color="auto"/>
              <w:right w:val="single" w:sz="4" w:space="0" w:color="auto"/>
            </w:tcBorders>
            <w:shd w:val="clear" w:color="auto" w:fill="auto"/>
            <w:noWrap/>
            <w:hideMark/>
          </w:tcPr>
          <w:p w14:paraId="23424B1F"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92.7%</w:t>
            </w:r>
          </w:p>
        </w:tc>
      </w:tr>
      <w:tr w:rsidR="00CF0F96" w:rsidRPr="00CF0F96" w14:paraId="427880DD" w14:textId="77777777" w:rsidTr="00EF7331">
        <w:trPr>
          <w:trHeight w:val="300"/>
          <w:jc w:val="center"/>
        </w:trPr>
        <w:tc>
          <w:tcPr>
            <w:tcW w:w="4203" w:type="dxa"/>
            <w:tcBorders>
              <w:top w:val="nil"/>
              <w:left w:val="single" w:sz="4" w:space="0" w:color="auto"/>
              <w:bottom w:val="single" w:sz="4" w:space="0" w:color="auto"/>
              <w:right w:val="single" w:sz="4" w:space="0" w:color="auto"/>
            </w:tcBorders>
            <w:shd w:val="clear" w:color="auto" w:fill="E0E0E0"/>
            <w:hideMark/>
          </w:tcPr>
          <w:p w14:paraId="1D198F7C"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eastAsia="Times New Roman" w:cs="Arial"/>
                <w:sz w:val="18"/>
                <w:szCs w:val="18"/>
                <w:lang w:eastAsia="es-SV"/>
              </w:rPr>
              <w:lastRenderedPageBreak/>
              <w:t>Transporte y almacenamiento.</w:t>
            </w:r>
          </w:p>
        </w:tc>
        <w:tc>
          <w:tcPr>
            <w:tcW w:w="1071" w:type="dxa"/>
            <w:tcBorders>
              <w:top w:val="nil"/>
              <w:left w:val="nil"/>
              <w:bottom w:val="single" w:sz="4" w:space="0" w:color="auto"/>
              <w:right w:val="single" w:sz="4" w:space="0" w:color="auto"/>
            </w:tcBorders>
            <w:shd w:val="clear" w:color="auto" w:fill="auto"/>
            <w:noWrap/>
            <w:hideMark/>
          </w:tcPr>
          <w:p w14:paraId="78A244D0" w14:textId="4DADDEAB"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10</w:t>
            </w:r>
            <w:r w:rsidR="007F4D40" w:rsidRPr="00CF0F96">
              <w:rPr>
                <w:rFonts w:eastAsia="Times New Roman" w:cs="Arial"/>
                <w:sz w:val="18"/>
                <w:szCs w:val="18"/>
                <w:lang w:eastAsia="es-SV"/>
              </w:rPr>
              <w:t>,</w:t>
            </w:r>
            <w:r w:rsidRPr="00CF0F96">
              <w:rPr>
                <w:rFonts w:eastAsia="Times New Roman" w:cs="Arial"/>
                <w:sz w:val="18"/>
                <w:szCs w:val="18"/>
                <w:lang w:eastAsia="es-SV"/>
              </w:rPr>
              <w:t>873</w:t>
            </w:r>
          </w:p>
        </w:tc>
        <w:tc>
          <w:tcPr>
            <w:tcW w:w="1071" w:type="dxa"/>
            <w:tcBorders>
              <w:top w:val="nil"/>
              <w:left w:val="nil"/>
              <w:bottom w:val="single" w:sz="4" w:space="0" w:color="auto"/>
              <w:right w:val="single" w:sz="4" w:space="0" w:color="auto"/>
            </w:tcBorders>
            <w:shd w:val="clear" w:color="auto" w:fill="auto"/>
            <w:noWrap/>
            <w:hideMark/>
          </w:tcPr>
          <w:p w14:paraId="0436C552"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544</w:t>
            </w:r>
          </w:p>
        </w:tc>
        <w:tc>
          <w:tcPr>
            <w:tcW w:w="1071" w:type="dxa"/>
            <w:tcBorders>
              <w:top w:val="nil"/>
              <w:left w:val="nil"/>
              <w:bottom w:val="single" w:sz="4" w:space="0" w:color="auto"/>
              <w:right w:val="single" w:sz="4" w:space="0" w:color="auto"/>
            </w:tcBorders>
            <w:shd w:val="clear" w:color="auto" w:fill="auto"/>
            <w:noWrap/>
            <w:hideMark/>
          </w:tcPr>
          <w:p w14:paraId="443C81AD" w14:textId="3994309D"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11</w:t>
            </w:r>
            <w:r w:rsidR="007F4D40" w:rsidRPr="00CF0F96">
              <w:rPr>
                <w:rFonts w:eastAsia="Times New Roman" w:cs="Arial"/>
                <w:sz w:val="18"/>
                <w:szCs w:val="18"/>
                <w:lang w:eastAsia="es-SV"/>
              </w:rPr>
              <w:t>,</w:t>
            </w:r>
            <w:r w:rsidRPr="00CF0F96">
              <w:rPr>
                <w:rFonts w:eastAsia="Times New Roman" w:cs="Arial"/>
                <w:sz w:val="18"/>
                <w:szCs w:val="18"/>
                <w:lang w:eastAsia="es-SV"/>
              </w:rPr>
              <w:t>417</w:t>
            </w:r>
          </w:p>
        </w:tc>
        <w:tc>
          <w:tcPr>
            <w:tcW w:w="1163" w:type="dxa"/>
            <w:tcBorders>
              <w:top w:val="nil"/>
              <w:left w:val="nil"/>
              <w:bottom w:val="single" w:sz="4" w:space="0" w:color="auto"/>
              <w:right w:val="single" w:sz="4" w:space="0" w:color="auto"/>
            </w:tcBorders>
            <w:shd w:val="clear" w:color="auto" w:fill="auto"/>
            <w:noWrap/>
            <w:hideMark/>
          </w:tcPr>
          <w:p w14:paraId="6047AE1A"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1.9%</w:t>
            </w:r>
          </w:p>
        </w:tc>
        <w:tc>
          <w:tcPr>
            <w:tcW w:w="1197" w:type="dxa"/>
            <w:tcBorders>
              <w:top w:val="nil"/>
              <w:left w:val="nil"/>
              <w:bottom w:val="single" w:sz="4" w:space="0" w:color="auto"/>
              <w:right w:val="single" w:sz="4" w:space="0" w:color="auto"/>
            </w:tcBorders>
            <w:shd w:val="clear" w:color="auto" w:fill="auto"/>
            <w:noWrap/>
            <w:hideMark/>
          </w:tcPr>
          <w:p w14:paraId="38EEF6A2"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94.7%</w:t>
            </w:r>
          </w:p>
        </w:tc>
      </w:tr>
      <w:tr w:rsidR="00CF0F96" w:rsidRPr="00CF0F96" w14:paraId="327E17E6" w14:textId="77777777" w:rsidTr="00EF7331">
        <w:trPr>
          <w:trHeight w:val="480"/>
          <w:jc w:val="center"/>
        </w:trPr>
        <w:tc>
          <w:tcPr>
            <w:tcW w:w="4203" w:type="dxa"/>
            <w:tcBorders>
              <w:top w:val="nil"/>
              <w:left w:val="single" w:sz="4" w:space="0" w:color="auto"/>
              <w:bottom w:val="single" w:sz="4" w:space="0" w:color="auto"/>
              <w:right w:val="single" w:sz="4" w:space="0" w:color="auto"/>
            </w:tcBorders>
            <w:shd w:val="clear" w:color="auto" w:fill="E0E0E0"/>
            <w:hideMark/>
          </w:tcPr>
          <w:p w14:paraId="23F47A39"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eastAsia="Times New Roman" w:cs="Arial"/>
                <w:sz w:val="18"/>
                <w:szCs w:val="18"/>
                <w:lang w:eastAsia="es-SV"/>
              </w:rPr>
              <w:t>Actividades de atención de la salud humana y de asistencia social.</w:t>
            </w:r>
          </w:p>
        </w:tc>
        <w:tc>
          <w:tcPr>
            <w:tcW w:w="1071" w:type="dxa"/>
            <w:tcBorders>
              <w:top w:val="nil"/>
              <w:left w:val="nil"/>
              <w:bottom w:val="single" w:sz="4" w:space="0" w:color="auto"/>
              <w:right w:val="single" w:sz="4" w:space="0" w:color="auto"/>
            </w:tcBorders>
            <w:shd w:val="clear" w:color="auto" w:fill="auto"/>
            <w:noWrap/>
            <w:hideMark/>
          </w:tcPr>
          <w:p w14:paraId="7501B1AC" w14:textId="62897894"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2</w:t>
            </w:r>
            <w:r w:rsidR="007F4D40" w:rsidRPr="00CF0F96">
              <w:rPr>
                <w:rFonts w:eastAsia="Times New Roman" w:cs="Arial"/>
                <w:sz w:val="18"/>
                <w:szCs w:val="18"/>
                <w:lang w:eastAsia="es-SV"/>
              </w:rPr>
              <w:t>,</w:t>
            </w:r>
            <w:r w:rsidRPr="00CF0F96">
              <w:rPr>
                <w:rFonts w:eastAsia="Times New Roman" w:cs="Arial"/>
                <w:sz w:val="18"/>
                <w:szCs w:val="18"/>
                <w:lang w:eastAsia="es-SV"/>
              </w:rPr>
              <w:t>643</w:t>
            </w:r>
          </w:p>
        </w:tc>
        <w:tc>
          <w:tcPr>
            <w:tcW w:w="1071" w:type="dxa"/>
            <w:tcBorders>
              <w:top w:val="nil"/>
              <w:left w:val="nil"/>
              <w:bottom w:val="single" w:sz="4" w:space="0" w:color="auto"/>
              <w:right w:val="single" w:sz="4" w:space="0" w:color="auto"/>
            </w:tcBorders>
            <w:shd w:val="clear" w:color="auto" w:fill="auto"/>
            <w:noWrap/>
            <w:hideMark/>
          </w:tcPr>
          <w:p w14:paraId="5D0A12F0" w14:textId="1A325125"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5</w:t>
            </w:r>
            <w:r w:rsidR="007F4D40" w:rsidRPr="00CF0F96">
              <w:rPr>
                <w:rFonts w:eastAsia="Times New Roman" w:cs="Arial"/>
                <w:sz w:val="18"/>
                <w:szCs w:val="18"/>
                <w:lang w:eastAsia="es-SV"/>
              </w:rPr>
              <w:t>,</w:t>
            </w:r>
            <w:r w:rsidRPr="00CF0F96">
              <w:rPr>
                <w:rFonts w:eastAsia="Times New Roman" w:cs="Arial"/>
                <w:sz w:val="18"/>
                <w:szCs w:val="18"/>
                <w:lang w:eastAsia="es-SV"/>
              </w:rPr>
              <w:t>025</w:t>
            </w:r>
          </w:p>
        </w:tc>
        <w:tc>
          <w:tcPr>
            <w:tcW w:w="1071" w:type="dxa"/>
            <w:tcBorders>
              <w:top w:val="nil"/>
              <w:left w:val="nil"/>
              <w:bottom w:val="single" w:sz="4" w:space="0" w:color="auto"/>
              <w:right w:val="single" w:sz="4" w:space="0" w:color="auto"/>
            </w:tcBorders>
            <w:shd w:val="clear" w:color="auto" w:fill="auto"/>
            <w:noWrap/>
            <w:hideMark/>
          </w:tcPr>
          <w:p w14:paraId="668559FA" w14:textId="1ABB0148"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7</w:t>
            </w:r>
            <w:r w:rsidR="007F4D40" w:rsidRPr="00CF0F96">
              <w:rPr>
                <w:rFonts w:eastAsia="Times New Roman" w:cs="Arial"/>
                <w:sz w:val="18"/>
                <w:szCs w:val="18"/>
                <w:lang w:eastAsia="es-SV"/>
              </w:rPr>
              <w:t>,</w:t>
            </w:r>
            <w:r w:rsidRPr="00CF0F96">
              <w:rPr>
                <w:rFonts w:eastAsia="Times New Roman" w:cs="Arial"/>
                <w:sz w:val="18"/>
                <w:szCs w:val="18"/>
                <w:lang w:eastAsia="es-SV"/>
              </w:rPr>
              <w:t>668</w:t>
            </w:r>
          </w:p>
        </w:tc>
        <w:tc>
          <w:tcPr>
            <w:tcW w:w="1163" w:type="dxa"/>
            <w:tcBorders>
              <w:top w:val="nil"/>
              <w:left w:val="nil"/>
              <w:bottom w:val="single" w:sz="4" w:space="0" w:color="auto"/>
              <w:right w:val="single" w:sz="4" w:space="0" w:color="auto"/>
            </w:tcBorders>
            <w:shd w:val="clear" w:color="auto" w:fill="auto"/>
            <w:noWrap/>
            <w:hideMark/>
          </w:tcPr>
          <w:p w14:paraId="24D9AF07"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1.3%</w:t>
            </w:r>
          </w:p>
        </w:tc>
        <w:tc>
          <w:tcPr>
            <w:tcW w:w="1197" w:type="dxa"/>
            <w:tcBorders>
              <w:top w:val="nil"/>
              <w:left w:val="nil"/>
              <w:bottom w:val="single" w:sz="4" w:space="0" w:color="auto"/>
              <w:right w:val="single" w:sz="4" w:space="0" w:color="auto"/>
            </w:tcBorders>
            <w:shd w:val="clear" w:color="auto" w:fill="auto"/>
            <w:noWrap/>
            <w:hideMark/>
          </w:tcPr>
          <w:p w14:paraId="4E1C65E6"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96.0%</w:t>
            </w:r>
          </w:p>
        </w:tc>
      </w:tr>
      <w:tr w:rsidR="00CF0F96" w:rsidRPr="00CF0F96" w14:paraId="6719477E" w14:textId="77777777" w:rsidTr="00EF7331">
        <w:trPr>
          <w:trHeight w:val="300"/>
          <w:jc w:val="center"/>
        </w:trPr>
        <w:tc>
          <w:tcPr>
            <w:tcW w:w="4203" w:type="dxa"/>
            <w:tcBorders>
              <w:top w:val="nil"/>
              <w:left w:val="single" w:sz="4" w:space="0" w:color="auto"/>
              <w:bottom w:val="single" w:sz="4" w:space="0" w:color="auto"/>
              <w:right w:val="single" w:sz="4" w:space="0" w:color="auto"/>
            </w:tcBorders>
            <w:shd w:val="clear" w:color="auto" w:fill="E0E0E0"/>
            <w:hideMark/>
          </w:tcPr>
          <w:p w14:paraId="2A67A940"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eastAsia="Times New Roman" w:cs="Arial"/>
                <w:sz w:val="18"/>
                <w:szCs w:val="18"/>
                <w:lang w:eastAsia="es-SV"/>
              </w:rPr>
              <w:t>Actividades de servicios administrativos y de apoyo.</w:t>
            </w:r>
          </w:p>
        </w:tc>
        <w:tc>
          <w:tcPr>
            <w:tcW w:w="1071" w:type="dxa"/>
            <w:tcBorders>
              <w:top w:val="nil"/>
              <w:left w:val="nil"/>
              <w:bottom w:val="single" w:sz="4" w:space="0" w:color="auto"/>
              <w:right w:val="single" w:sz="4" w:space="0" w:color="auto"/>
            </w:tcBorders>
            <w:shd w:val="clear" w:color="auto" w:fill="auto"/>
            <w:noWrap/>
            <w:hideMark/>
          </w:tcPr>
          <w:p w14:paraId="65D4B5CB" w14:textId="283F481E"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3</w:t>
            </w:r>
            <w:r w:rsidR="007F4D40" w:rsidRPr="00CF0F96">
              <w:rPr>
                <w:rFonts w:eastAsia="Times New Roman" w:cs="Arial"/>
                <w:sz w:val="18"/>
                <w:szCs w:val="18"/>
                <w:lang w:eastAsia="es-SV"/>
              </w:rPr>
              <w:t>,</w:t>
            </w:r>
            <w:r w:rsidRPr="00CF0F96">
              <w:rPr>
                <w:rFonts w:eastAsia="Times New Roman" w:cs="Arial"/>
                <w:sz w:val="18"/>
                <w:szCs w:val="18"/>
                <w:lang w:eastAsia="es-SV"/>
              </w:rPr>
              <w:t>350</w:t>
            </w:r>
          </w:p>
        </w:tc>
        <w:tc>
          <w:tcPr>
            <w:tcW w:w="1071" w:type="dxa"/>
            <w:tcBorders>
              <w:top w:val="nil"/>
              <w:left w:val="nil"/>
              <w:bottom w:val="single" w:sz="4" w:space="0" w:color="auto"/>
              <w:right w:val="single" w:sz="4" w:space="0" w:color="auto"/>
            </w:tcBorders>
            <w:shd w:val="clear" w:color="auto" w:fill="auto"/>
            <w:noWrap/>
            <w:hideMark/>
          </w:tcPr>
          <w:p w14:paraId="2C4F19C5" w14:textId="62F1F7B3"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1</w:t>
            </w:r>
            <w:r w:rsidR="007F4D40" w:rsidRPr="00CF0F96">
              <w:rPr>
                <w:rFonts w:eastAsia="Times New Roman" w:cs="Arial"/>
                <w:sz w:val="18"/>
                <w:szCs w:val="18"/>
                <w:lang w:eastAsia="es-SV"/>
              </w:rPr>
              <w:t>,</w:t>
            </w:r>
            <w:r w:rsidRPr="00CF0F96">
              <w:rPr>
                <w:rFonts w:eastAsia="Times New Roman" w:cs="Arial"/>
                <w:sz w:val="18"/>
                <w:szCs w:val="18"/>
                <w:lang w:eastAsia="es-SV"/>
              </w:rPr>
              <w:t>764</w:t>
            </w:r>
          </w:p>
        </w:tc>
        <w:tc>
          <w:tcPr>
            <w:tcW w:w="1071" w:type="dxa"/>
            <w:tcBorders>
              <w:top w:val="nil"/>
              <w:left w:val="nil"/>
              <w:bottom w:val="single" w:sz="4" w:space="0" w:color="auto"/>
              <w:right w:val="single" w:sz="4" w:space="0" w:color="auto"/>
            </w:tcBorders>
            <w:shd w:val="clear" w:color="auto" w:fill="auto"/>
            <w:noWrap/>
            <w:hideMark/>
          </w:tcPr>
          <w:p w14:paraId="719C590E" w14:textId="2EA59BD5"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5</w:t>
            </w:r>
            <w:r w:rsidR="007F4D40" w:rsidRPr="00CF0F96">
              <w:rPr>
                <w:rFonts w:eastAsia="Times New Roman" w:cs="Arial"/>
                <w:sz w:val="18"/>
                <w:szCs w:val="18"/>
                <w:lang w:eastAsia="es-SV"/>
              </w:rPr>
              <w:t>,</w:t>
            </w:r>
            <w:r w:rsidRPr="00CF0F96">
              <w:rPr>
                <w:rFonts w:eastAsia="Times New Roman" w:cs="Arial"/>
                <w:sz w:val="18"/>
                <w:szCs w:val="18"/>
                <w:lang w:eastAsia="es-SV"/>
              </w:rPr>
              <w:t>114</w:t>
            </w:r>
          </w:p>
        </w:tc>
        <w:tc>
          <w:tcPr>
            <w:tcW w:w="1163" w:type="dxa"/>
            <w:tcBorders>
              <w:top w:val="nil"/>
              <w:left w:val="nil"/>
              <w:bottom w:val="single" w:sz="4" w:space="0" w:color="auto"/>
              <w:right w:val="single" w:sz="4" w:space="0" w:color="auto"/>
            </w:tcBorders>
            <w:shd w:val="clear" w:color="auto" w:fill="auto"/>
            <w:noWrap/>
            <w:hideMark/>
          </w:tcPr>
          <w:p w14:paraId="16115AA9"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0.9%</w:t>
            </w:r>
          </w:p>
        </w:tc>
        <w:tc>
          <w:tcPr>
            <w:tcW w:w="1197" w:type="dxa"/>
            <w:tcBorders>
              <w:top w:val="nil"/>
              <w:left w:val="nil"/>
              <w:bottom w:val="single" w:sz="4" w:space="0" w:color="auto"/>
              <w:right w:val="single" w:sz="4" w:space="0" w:color="auto"/>
            </w:tcBorders>
            <w:shd w:val="clear" w:color="auto" w:fill="auto"/>
            <w:noWrap/>
            <w:hideMark/>
          </w:tcPr>
          <w:p w14:paraId="32CFC084"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96.8%</w:t>
            </w:r>
          </w:p>
        </w:tc>
      </w:tr>
      <w:tr w:rsidR="00CF0F96" w:rsidRPr="00CF0F96" w14:paraId="2234C00D" w14:textId="77777777" w:rsidTr="00EF7331">
        <w:trPr>
          <w:trHeight w:val="480"/>
          <w:jc w:val="center"/>
        </w:trPr>
        <w:tc>
          <w:tcPr>
            <w:tcW w:w="4203" w:type="dxa"/>
            <w:tcBorders>
              <w:top w:val="nil"/>
              <w:left w:val="single" w:sz="4" w:space="0" w:color="auto"/>
              <w:bottom w:val="single" w:sz="4" w:space="0" w:color="auto"/>
              <w:right w:val="single" w:sz="4" w:space="0" w:color="auto"/>
            </w:tcBorders>
            <w:shd w:val="clear" w:color="auto" w:fill="E0E0E0"/>
            <w:hideMark/>
          </w:tcPr>
          <w:p w14:paraId="4FD887D0"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eastAsia="Times New Roman" w:cs="Arial"/>
                <w:sz w:val="18"/>
                <w:szCs w:val="18"/>
                <w:lang w:eastAsia="es-SV"/>
              </w:rPr>
              <w:t>Suministro de agua, evacuación de aguas residuales, gestión de desechos y descontaminación.</w:t>
            </w:r>
          </w:p>
        </w:tc>
        <w:tc>
          <w:tcPr>
            <w:tcW w:w="1071" w:type="dxa"/>
            <w:tcBorders>
              <w:top w:val="nil"/>
              <w:left w:val="nil"/>
              <w:bottom w:val="single" w:sz="4" w:space="0" w:color="auto"/>
              <w:right w:val="single" w:sz="4" w:space="0" w:color="auto"/>
            </w:tcBorders>
            <w:shd w:val="clear" w:color="auto" w:fill="auto"/>
            <w:noWrap/>
            <w:hideMark/>
          </w:tcPr>
          <w:p w14:paraId="40DF04A3" w14:textId="20416061"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3</w:t>
            </w:r>
            <w:r w:rsidR="007F4D40" w:rsidRPr="00CF0F96">
              <w:rPr>
                <w:rFonts w:eastAsia="Times New Roman" w:cs="Arial"/>
                <w:sz w:val="18"/>
                <w:szCs w:val="18"/>
                <w:lang w:eastAsia="es-SV"/>
              </w:rPr>
              <w:t>,</w:t>
            </w:r>
            <w:r w:rsidRPr="00CF0F96">
              <w:rPr>
                <w:rFonts w:eastAsia="Times New Roman" w:cs="Arial"/>
                <w:sz w:val="18"/>
                <w:szCs w:val="18"/>
                <w:lang w:eastAsia="es-SV"/>
              </w:rPr>
              <w:t>904</w:t>
            </w:r>
          </w:p>
        </w:tc>
        <w:tc>
          <w:tcPr>
            <w:tcW w:w="1071" w:type="dxa"/>
            <w:tcBorders>
              <w:top w:val="nil"/>
              <w:left w:val="nil"/>
              <w:bottom w:val="single" w:sz="4" w:space="0" w:color="auto"/>
              <w:right w:val="single" w:sz="4" w:space="0" w:color="auto"/>
            </w:tcBorders>
            <w:shd w:val="clear" w:color="auto" w:fill="auto"/>
            <w:noWrap/>
            <w:hideMark/>
          </w:tcPr>
          <w:p w14:paraId="46C1C565"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384</w:t>
            </w:r>
          </w:p>
        </w:tc>
        <w:tc>
          <w:tcPr>
            <w:tcW w:w="1071" w:type="dxa"/>
            <w:tcBorders>
              <w:top w:val="nil"/>
              <w:left w:val="nil"/>
              <w:bottom w:val="single" w:sz="4" w:space="0" w:color="auto"/>
              <w:right w:val="single" w:sz="4" w:space="0" w:color="auto"/>
            </w:tcBorders>
            <w:shd w:val="clear" w:color="auto" w:fill="auto"/>
            <w:noWrap/>
            <w:hideMark/>
          </w:tcPr>
          <w:p w14:paraId="12BE87EA" w14:textId="7488E0B9"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4</w:t>
            </w:r>
            <w:r w:rsidR="007F4D40" w:rsidRPr="00CF0F96">
              <w:rPr>
                <w:rFonts w:eastAsia="Times New Roman" w:cs="Arial"/>
                <w:sz w:val="18"/>
                <w:szCs w:val="18"/>
                <w:lang w:eastAsia="es-SV"/>
              </w:rPr>
              <w:t>,</w:t>
            </w:r>
            <w:r w:rsidRPr="00CF0F96">
              <w:rPr>
                <w:rFonts w:eastAsia="Times New Roman" w:cs="Arial"/>
                <w:sz w:val="18"/>
                <w:szCs w:val="18"/>
                <w:lang w:eastAsia="es-SV"/>
              </w:rPr>
              <w:t>288</w:t>
            </w:r>
          </w:p>
        </w:tc>
        <w:tc>
          <w:tcPr>
            <w:tcW w:w="1163" w:type="dxa"/>
            <w:tcBorders>
              <w:top w:val="nil"/>
              <w:left w:val="nil"/>
              <w:bottom w:val="single" w:sz="4" w:space="0" w:color="auto"/>
              <w:right w:val="single" w:sz="4" w:space="0" w:color="auto"/>
            </w:tcBorders>
            <w:shd w:val="clear" w:color="auto" w:fill="auto"/>
            <w:noWrap/>
            <w:hideMark/>
          </w:tcPr>
          <w:p w14:paraId="3270D5C7"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0.7%</w:t>
            </w:r>
          </w:p>
        </w:tc>
        <w:tc>
          <w:tcPr>
            <w:tcW w:w="1197" w:type="dxa"/>
            <w:tcBorders>
              <w:top w:val="nil"/>
              <w:left w:val="nil"/>
              <w:bottom w:val="single" w:sz="4" w:space="0" w:color="auto"/>
              <w:right w:val="single" w:sz="4" w:space="0" w:color="auto"/>
            </w:tcBorders>
            <w:shd w:val="clear" w:color="auto" w:fill="auto"/>
            <w:noWrap/>
            <w:hideMark/>
          </w:tcPr>
          <w:p w14:paraId="2DC60EDB"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97.6%</w:t>
            </w:r>
          </w:p>
        </w:tc>
      </w:tr>
      <w:tr w:rsidR="00CF0F96" w:rsidRPr="00CF0F96" w14:paraId="31D85C29" w14:textId="77777777" w:rsidTr="00EF7331">
        <w:trPr>
          <w:trHeight w:val="300"/>
          <w:jc w:val="center"/>
        </w:trPr>
        <w:tc>
          <w:tcPr>
            <w:tcW w:w="4203" w:type="dxa"/>
            <w:tcBorders>
              <w:top w:val="nil"/>
              <w:left w:val="single" w:sz="4" w:space="0" w:color="auto"/>
              <w:bottom w:val="single" w:sz="4" w:space="0" w:color="auto"/>
              <w:right w:val="single" w:sz="4" w:space="0" w:color="auto"/>
            </w:tcBorders>
            <w:shd w:val="clear" w:color="auto" w:fill="E0E0E0"/>
            <w:hideMark/>
          </w:tcPr>
          <w:p w14:paraId="5CB87A0E"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eastAsia="Times New Roman" w:cs="Arial"/>
                <w:sz w:val="18"/>
                <w:szCs w:val="18"/>
                <w:lang w:eastAsia="es-SV"/>
              </w:rPr>
              <w:t>Actividades financieras y de seguros.</w:t>
            </w:r>
          </w:p>
        </w:tc>
        <w:tc>
          <w:tcPr>
            <w:tcW w:w="1071" w:type="dxa"/>
            <w:tcBorders>
              <w:top w:val="nil"/>
              <w:left w:val="nil"/>
              <w:bottom w:val="single" w:sz="4" w:space="0" w:color="auto"/>
              <w:right w:val="single" w:sz="4" w:space="0" w:color="auto"/>
            </w:tcBorders>
            <w:shd w:val="clear" w:color="auto" w:fill="auto"/>
            <w:noWrap/>
            <w:hideMark/>
          </w:tcPr>
          <w:p w14:paraId="2C2F41EE" w14:textId="3B689EE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1</w:t>
            </w:r>
            <w:r w:rsidR="007F4D40" w:rsidRPr="00CF0F96">
              <w:rPr>
                <w:rFonts w:eastAsia="Times New Roman" w:cs="Arial"/>
                <w:sz w:val="18"/>
                <w:szCs w:val="18"/>
                <w:lang w:eastAsia="es-SV"/>
              </w:rPr>
              <w:t>,</w:t>
            </w:r>
            <w:r w:rsidRPr="00CF0F96">
              <w:rPr>
                <w:rFonts w:eastAsia="Times New Roman" w:cs="Arial"/>
                <w:sz w:val="18"/>
                <w:szCs w:val="18"/>
                <w:lang w:eastAsia="es-SV"/>
              </w:rPr>
              <w:t>769</w:t>
            </w:r>
          </w:p>
        </w:tc>
        <w:tc>
          <w:tcPr>
            <w:tcW w:w="1071" w:type="dxa"/>
            <w:tcBorders>
              <w:top w:val="nil"/>
              <w:left w:val="nil"/>
              <w:bottom w:val="single" w:sz="4" w:space="0" w:color="auto"/>
              <w:right w:val="single" w:sz="4" w:space="0" w:color="auto"/>
            </w:tcBorders>
            <w:shd w:val="clear" w:color="auto" w:fill="auto"/>
            <w:noWrap/>
            <w:hideMark/>
          </w:tcPr>
          <w:p w14:paraId="2C010EF2" w14:textId="5B243744"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2</w:t>
            </w:r>
            <w:r w:rsidR="007F4D40" w:rsidRPr="00CF0F96">
              <w:rPr>
                <w:rFonts w:eastAsia="Times New Roman" w:cs="Arial"/>
                <w:sz w:val="18"/>
                <w:szCs w:val="18"/>
                <w:lang w:eastAsia="es-SV"/>
              </w:rPr>
              <w:t>,</w:t>
            </w:r>
            <w:r w:rsidRPr="00CF0F96">
              <w:rPr>
                <w:rFonts w:eastAsia="Times New Roman" w:cs="Arial"/>
                <w:sz w:val="18"/>
                <w:szCs w:val="18"/>
                <w:lang w:eastAsia="es-SV"/>
              </w:rPr>
              <w:t>124</w:t>
            </w:r>
          </w:p>
        </w:tc>
        <w:tc>
          <w:tcPr>
            <w:tcW w:w="1071" w:type="dxa"/>
            <w:tcBorders>
              <w:top w:val="nil"/>
              <w:left w:val="nil"/>
              <w:bottom w:val="single" w:sz="4" w:space="0" w:color="auto"/>
              <w:right w:val="single" w:sz="4" w:space="0" w:color="auto"/>
            </w:tcBorders>
            <w:shd w:val="clear" w:color="auto" w:fill="auto"/>
            <w:noWrap/>
            <w:hideMark/>
          </w:tcPr>
          <w:p w14:paraId="3FA71854" w14:textId="4446A13D"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3</w:t>
            </w:r>
            <w:r w:rsidR="007F4D40" w:rsidRPr="00CF0F96">
              <w:rPr>
                <w:rFonts w:eastAsia="Times New Roman" w:cs="Arial"/>
                <w:sz w:val="18"/>
                <w:szCs w:val="18"/>
                <w:lang w:eastAsia="es-SV"/>
              </w:rPr>
              <w:t>,</w:t>
            </w:r>
            <w:r w:rsidRPr="00CF0F96">
              <w:rPr>
                <w:rFonts w:eastAsia="Times New Roman" w:cs="Arial"/>
                <w:sz w:val="18"/>
                <w:szCs w:val="18"/>
                <w:lang w:eastAsia="es-SV"/>
              </w:rPr>
              <w:t>893</w:t>
            </w:r>
          </w:p>
        </w:tc>
        <w:tc>
          <w:tcPr>
            <w:tcW w:w="1163" w:type="dxa"/>
            <w:tcBorders>
              <w:top w:val="nil"/>
              <w:left w:val="nil"/>
              <w:bottom w:val="single" w:sz="4" w:space="0" w:color="auto"/>
              <w:right w:val="single" w:sz="4" w:space="0" w:color="auto"/>
            </w:tcBorders>
            <w:shd w:val="clear" w:color="auto" w:fill="auto"/>
            <w:noWrap/>
            <w:hideMark/>
          </w:tcPr>
          <w:p w14:paraId="085D341F"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0.7%</w:t>
            </w:r>
          </w:p>
        </w:tc>
        <w:tc>
          <w:tcPr>
            <w:tcW w:w="1197" w:type="dxa"/>
            <w:tcBorders>
              <w:top w:val="nil"/>
              <w:left w:val="nil"/>
              <w:bottom w:val="single" w:sz="4" w:space="0" w:color="auto"/>
              <w:right w:val="single" w:sz="4" w:space="0" w:color="auto"/>
            </w:tcBorders>
            <w:shd w:val="clear" w:color="auto" w:fill="auto"/>
            <w:noWrap/>
            <w:hideMark/>
          </w:tcPr>
          <w:p w14:paraId="7AA5486C"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98.2%</w:t>
            </w:r>
          </w:p>
        </w:tc>
      </w:tr>
      <w:tr w:rsidR="00CF0F96" w:rsidRPr="00CF0F96" w14:paraId="4AAFF80F" w14:textId="77777777" w:rsidTr="00EF7331">
        <w:trPr>
          <w:trHeight w:val="300"/>
          <w:jc w:val="center"/>
        </w:trPr>
        <w:tc>
          <w:tcPr>
            <w:tcW w:w="4203" w:type="dxa"/>
            <w:tcBorders>
              <w:top w:val="nil"/>
              <w:left w:val="single" w:sz="4" w:space="0" w:color="auto"/>
              <w:bottom w:val="single" w:sz="4" w:space="0" w:color="auto"/>
              <w:right w:val="single" w:sz="4" w:space="0" w:color="auto"/>
            </w:tcBorders>
            <w:shd w:val="clear" w:color="auto" w:fill="E0E0E0"/>
            <w:hideMark/>
          </w:tcPr>
          <w:p w14:paraId="54544D5C"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eastAsia="Times New Roman" w:cs="Arial"/>
                <w:sz w:val="18"/>
                <w:szCs w:val="18"/>
                <w:lang w:eastAsia="es-SV"/>
              </w:rPr>
              <w:t>Actividades artísticas, de entretenimiento y recreativas.</w:t>
            </w:r>
          </w:p>
        </w:tc>
        <w:tc>
          <w:tcPr>
            <w:tcW w:w="1071" w:type="dxa"/>
            <w:tcBorders>
              <w:top w:val="nil"/>
              <w:left w:val="nil"/>
              <w:bottom w:val="single" w:sz="4" w:space="0" w:color="auto"/>
              <w:right w:val="single" w:sz="4" w:space="0" w:color="auto"/>
            </w:tcBorders>
            <w:shd w:val="clear" w:color="auto" w:fill="auto"/>
            <w:noWrap/>
            <w:hideMark/>
          </w:tcPr>
          <w:p w14:paraId="4128B2AA" w14:textId="2096D9F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2</w:t>
            </w:r>
            <w:r w:rsidR="007F4D40" w:rsidRPr="00CF0F96">
              <w:rPr>
                <w:rFonts w:eastAsia="Times New Roman" w:cs="Arial"/>
                <w:sz w:val="18"/>
                <w:szCs w:val="18"/>
                <w:lang w:eastAsia="es-SV"/>
              </w:rPr>
              <w:t>,</w:t>
            </w:r>
            <w:r w:rsidRPr="00CF0F96">
              <w:rPr>
                <w:rFonts w:eastAsia="Times New Roman" w:cs="Arial"/>
                <w:sz w:val="18"/>
                <w:szCs w:val="18"/>
                <w:lang w:eastAsia="es-SV"/>
              </w:rPr>
              <w:t>520</w:t>
            </w:r>
          </w:p>
        </w:tc>
        <w:tc>
          <w:tcPr>
            <w:tcW w:w="1071" w:type="dxa"/>
            <w:tcBorders>
              <w:top w:val="nil"/>
              <w:left w:val="nil"/>
              <w:bottom w:val="single" w:sz="4" w:space="0" w:color="auto"/>
              <w:right w:val="single" w:sz="4" w:space="0" w:color="auto"/>
            </w:tcBorders>
            <w:shd w:val="clear" w:color="auto" w:fill="auto"/>
            <w:noWrap/>
            <w:hideMark/>
          </w:tcPr>
          <w:p w14:paraId="515B0158"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914</w:t>
            </w:r>
          </w:p>
        </w:tc>
        <w:tc>
          <w:tcPr>
            <w:tcW w:w="1071" w:type="dxa"/>
            <w:tcBorders>
              <w:top w:val="nil"/>
              <w:left w:val="nil"/>
              <w:bottom w:val="single" w:sz="4" w:space="0" w:color="auto"/>
              <w:right w:val="single" w:sz="4" w:space="0" w:color="auto"/>
            </w:tcBorders>
            <w:shd w:val="clear" w:color="auto" w:fill="auto"/>
            <w:noWrap/>
            <w:hideMark/>
          </w:tcPr>
          <w:p w14:paraId="2B4F61CA" w14:textId="580FF5BC"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3</w:t>
            </w:r>
            <w:r w:rsidR="007F4D40" w:rsidRPr="00CF0F96">
              <w:rPr>
                <w:rFonts w:eastAsia="Times New Roman" w:cs="Arial"/>
                <w:sz w:val="18"/>
                <w:szCs w:val="18"/>
                <w:lang w:eastAsia="es-SV"/>
              </w:rPr>
              <w:t>,</w:t>
            </w:r>
            <w:r w:rsidRPr="00CF0F96">
              <w:rPr>
                <w:rFonts w:eastAsia="Times New Roman" w:cs="Arial"/>
                <w:sz w:val="18"/>
                <w:szCs w:val="18"/>
                <w:lang w:eastAsia="es-SV"/>
              </w:rPr>
              <w:t>434</w:t>
            </w:r>
          </w:p>
        </w:tc>
        <w:tc>
          <w:tcPr>
            <w:tcW w:w="1163" w:type="dxa"/>
            <w:tcBorders>
              <w:top w:val="nil"/>
              <w:left w:val="nil"/>
              <w:bottom w:val="single" w:sz="4" w:space="0" w:color="auto"/>
              <w:right w:val="single" w:sz="4" w:space="0" w:color="auto"/>
            </w:tcBorders>
            <w:shd w:val="clear" w:color="auto" w:fill="auto"/>
            <w:noWrap/>
            <w:hideMark/>
          </w:tcPr>
          <w:p w14:paraId="1F674D8A"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0.6%</w:t>
            </w:r>
          </w:p>
        </w:tc>
        <w:tc>
          <w:tcPr>
            <w:tcW w:w="1197" w:type="dxa"/>
            <w:tcBorders>
              <w:top w:val="nil"/>
              <w:left w:val="nil"/>
              <w:bottom w:val="single" w:sz="4" w:space="0" w:color="auto"/>
              <w:right w:val="single" w:sz="4" w:space="0" w:color="auto"/>
            </w:tcBorders>
            <w:shd w:val="clear" w:color="auto" w:fill="auto"/>
            <w:noWrap/>
            <w:hideMark/>
          </w:tcPr>
          <w:p w14:paraId="591661BA"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98.8%</w:t>
            </w:r>
          </w:p>
        </w:tc>
      </w:tr>
      <w:tr w:rsidR="00CF0F96" w:rsidRPr="00CF0F96" w14:paraId="4042A754" w14:textId="77777777" w:rsidTr="00EF7331">
        <w:trPr>
          <w:trHeight w:val="300"/>
          <w:jc w:val="center"/>
        </w:trPr>
        <w:tc>
          <w:tcPr>
            <w:tcW w:w="4203" w:type="dxa"/>
            <w:tcBorders>
              <w:top w:val="nil"/>
              <w:left w:val="single" w:sz="4" w:space="0" w:color="auto"/>
              <w:bottom w:val="single" w:sz="4" w:space="0" w:color="auto"/>
              <w:right w:val="single" w:sz="4" w:space="0" w:color="auto"/>
            </w:tcBorders>
            <w:shd w:val="clear" w:color="auto" w:fill="E0E0E0"/>
            <w:hideMark/>
          </w:tcPr>
          <w:p w14:paraId="5BCC28F8"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eastAsia="Times New Roman" w:cs="Arial"/>
                <w:sz w:val="18"/>
                <w:szCs w:val="18"/>
                <w:lang w:eastAsia="es-SV"/>
              </w:rPr>
              <w:t>Actividades profesionales, científicas y técnicas.</w:t>
            </w:r>
          </w:p>
        </w:tc>
        <w:tc>
          <w:tcPr>
            <w:tcW w:w="1071" w:type="dxa"/>
            <w:tcBorders>
              <w:top w:val="nil"/>
              <w:left w:val="nil"/>
              <w:bottom w:val="single" w:sz="4" w:space="0" w:color="auto"/>
              <w:right w:val="single" w:sz="4" w:space="0" w:color="auto"/>
            </w:tcBorders>
            <w:shd w:val="clear" w:color="auto" w:fill="auto"/>
            <w:noWrap/>
            <w:hideMark/>
          </w:tcPr>
          <w:p w14:paraId="424CA3E9" w14:textId="0FE3C80E"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2</w:t>
            </w:r>
            <w:r w:rsidR="007F4D40" w:rsidRPr="00CF0F96">
              <w:rPr>
                <w:rFonts w:eastAsia="Times New Roman" w:cs="Arial"/>
                <w:sz w:val="18"/>
                <w:szCs w:val="18"/>
                <w:lang w:eastAsia="es-SV"/>
              </w:rPr>
              <w:t>,</w:t>
            </w:r>
            <w:r w:rsidRPr="00CF0F96">
              <w:rPr>
                <w:rFonts w:eastAsia="Times New Roman" w:cs="Arial"/>
                <w:sz w:val="18"/>
                <w:szCs w:val="18"/>
                <w:lang w:eastAsia="es-SV"/>
              </w:rPr>
              <w:t>195</w:t>
            </w:r>
          </w:p>
        </w:tc>
        <w:tc>
          <w:tcPr>
            <w:tcW w:w="1071" w:type="dxa"/>
            <w:tcBorders>
              <w:top w:val="nil"/>
              <w:left w:val="nil"/>
              <w:bottom w:val="single" w:sz="4" w:space="0" w:color="auto"/>
              <w:right w:val="single" w:sz="4" w:space="0" w:color="auto"/>
            </w:tcBorders>
            <w:shd w:val="clear" w:color="auto" w:fill="auto"/>
            <w:noWrap/>
            <w:hideMark/>
          </w:tcPr>
          <w:p w14:paraId="1138F81D"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839</w:t>
            </w:r>
          </w:p>
        </w:tc>
        <w:tc>
          <w:tcPr>
            <w:tcW w:w="1071" w:type="dxa"/>
            <w:tcBorders>
              <w:top w:val="nil"/>
              <w:left w:val="nil"/>
              <w:bottom w:val="single" w:sz="4" w:space="0" w:color="auto"/>
              <w:right w:val="single" w:sz="4" w:space="0" w:color="auto"/>
            </w:tcBorders>
            <w:shd w:val="clear" w:color="auto" w:fill="auto"/>
            <w:noWrap/>
            <w:hideMark/>
          </w:tcPr>
          <w:p w14:paraId="51933B8A" w14:textId="3049650B"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3</w:t>
            </w:r>
            <w:r w:rsidR="007F4D40" w:rsidRPr="00CF0F96">
              <w:rPr>
                <w:rFonts w:eastAsia="Times New Roman" w:cs="Arial"/>
                <w:sz w:val="18"/>
                <w:szCs w:val="18"/>
                <w:lang w:eastAsia="es-SV"/>
              </w:rPr>
              <w:t>,</w:t>
            </w:r>
            <w:r w:rsidRPr="00CF0F96">
              <w:rPr>
                <w:rFonts w:eastAsia="Times New Roman" w:cs="Arial"/>
                <w:sz w:val="18"/>
                <w:szCs w:val="18"/>
                <w:lang w:eastAsia="es-SV"/>
              </w:rPr>
              <w:t>034</w:t>
            </w:r>
          </w:p>
        </w:tc>
        <w:tc>
          <w:tcPr>
            <w:tcW w:w="1163" w:type="dxa"/>
            <w:tcBorders>
              <w:top w:val="nil"/>
              <w:left w:val="nil"/>
              <w:bottom w:val="single" w:sz="4" w:space="0" w:color="auto"/>
              <w:right w:val="single" w:sz="4" w:space="0" w:color="auto"/>
            </w:tcBorders>
            <w:shd w:val="clear" w:color="auto" w:fill="auto"/>
            <w:noWrap/>
            <w:hideMark/>
          </w:tcPr>
          <w:p w14:paraId="185FF028"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0.5%</w:t>
            </w:r>
          </w:p>
        </w:tc>
        <w:tc>
          <w:tcPr>
            <w:tcW w:w="1197" w:type="dxa"/>
            <w:tcBorders>
              <w:top w:val="nil"/>
              <w:left w:val="nil"/>
              <w:bottom w:val="single" w:sz="4" w:space="0" w:color="auto"/>
              <w:right w:val="single" w:sz="4" w:space="0" w:color="auto"/>
            </w:tcBorders>
            <w:shd w:val="clear" w:color="auto" w:fill="auto"/>
            <w:noWrap/>
            <w:hideMark/>
          </w:tcPr>
          <w:p w14:paraId="338CEBE6"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99.3%</w:t>
            </w:r>
          </w:p>
        </w:tc>
      </w:tr>
      <w:tr w:rsidR="00CF0F96" w:rsidRPr="00CF0F96" w14:paraId="1C3B70B4" w14:textId="77777777" w:rsidTr="00EF7331">
        <w:trPr>
          <w:trHeight w:val="300"/>
          <w:jc w:val="center"/>
        </w:trPr>
        <w:tc>
          <w:tcPr>
            <w:tcW w:w="4203" w:type="dxa"/>
            <w:tcBorders>
              <w:top w:val="nil"/>
              <w:left w:val="single" w:sz="4" w:space="0" w:color="auto"/>
              <w:bottom w:val="single" w:sz="4" w:space="0" w:color="auto"/>
              <w:right w:val="single" w:sz="4" w:space="0" w:color="auto"/>
            </w:tcBorders>
            <w:shd w:val="clear" w:color="auto" w:fill="E0E0E0"/>
            <w:hideMark/>
          </w:tcPr>
          <w:p w14:paraId="581A1403"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eastAsia="Times New Roman" w:cs="Arial"/>
                <w:sz w:val="18"/>
                <w:szCs w:val="18"/>
                <w:lang w:eastAsia="es-SV"/>
              </w:rPr>
              <w:t>información y comunicaciones.</w:t>
            </w:r>
          </w:p>
        </w:tc>
        <w:tc>
          <w:tcPr>
            <w:tcW w:w="1071" w:type="dxa"/>
            <w:tcBorders>
              <w:top w:val="nil"/>
              <w:left w:val="nil"/>
              <w:bottom w:val="single" w:sz="4" w:space="0" w:color="auto"/>
              <w:right w:val="single" w:sz="4" w:space="0" w:color="auto"/>
            </w:tcBorders>
            <w:shd w:val="clear" w:color="auto" w:fill="auto"/>
            <w:noWrap/>
            <w:hideMark/>
          </w:tcPr>
          <w:p w14:paraId="7B7E9067" w14:textId="5F5C9780"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2</w:t>
            </w:r>
            <w:r w:rsidR="007F4D40" w:rsidRPr="00CF0F96">
              <w:rPr>
                <w:rFonts w:eastAsia="Times New Roman" w:cs="Arial"/>
                <w:sz w:val="18"/>
                <w:szCs w:val="18"/>
                <w:lang w:eastAsia="es-SV"/>
              </w:rPr>
              <w:t>,</w:t>
            </w:r>
            <w:r w:rsidRPr="00CF0F96">
              <w:rPr>
                <w:rFonts w:eastAsia="Times New Roman" w:cs="Arial"/>
                <w:sz w:val="18"/>
                <w:szCs w:val="18"/>
                <w:lang w:eastAsia="es-SV"/>
              </w:rPr>
              <w:t>011</w:t>
            </w:r>
          </w:p>
        </w:tc>
        <w:tc>
          <w:tcPr>
            <w:tcW w:w="1071" w:type="dxa"/>
            <w:tcBorders>
              <w:top w:val="nil"/>
              <w:left w:val="nil"/>
              <w:bottom w:val="single" w:sz="4" w:space="0" w:color="auto"/>
              <w:right w:val="single" w:sz="4" w:space="0" w:color="auto"/>
            </w:tcBorders>
            <w:shd w:val="clear" w:color="auto" w:fill="auto"/>
            <w:noWrap/>
            <w:hideMark/>
          </w:tcPr>
          <w:p w14:paraId="4176AD0A"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324</w:t>
            </w:r>
          </w:p>
        </w:tc>
        <w:tc>
          <w:tcPr>
            <w:tcW w:w="1071" w:type="dxa"/>
            <w:tcBorders>
              <w:top w:val="nil"/>
              <w:left w:val="nil"/>
              <w:bottom w:val="single" w:sz="4" w:space="0" w:color="auto"/>
              <w:right w:val="single" w:sz="4" w:space="0" w:color="auto"/>
            </w:tcBorders>
            <w:shd w:val="clear" w:color="auto" w:fill="auto"/>
            <w:noWrap/>
            <w:hideMark/>
          </w:tcPr>
          <w:p w14:paraId="00D92896" w14:textId="52CAD430"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2</w:t>
            </w:r>
            <w:r w:rsidR="007F4D40" w:rsidRPr="00CF0F96">
              <w:rPr>
                <w:rFonts w:eastAsia="Times New Roman" w:cs="Arial"/>
                <w:sz w:val="18"/>
                <w:szCs w:val="18"/>
                <w:lang w:eastAsia="es-SV"/>
              </w:rPr>
              <w:t>,</w:t>
            </w:r>
            <w:r w:rsidRPr="00CF0F96">
              <w:rPr>
                <w:rFonts w:eastAsia="Times New Roman" w:cs="Arial"/>
                <w:sz w:val="18"/>
                <w:szCs w:val="18"/>
                <w:lang w:eastAsia="es-SV"/>
              </w:rPr>
              <w:t>335</w:t>
            </w:r>
          </w:p>
        </w:tc>
        <w:tc>
          <w:tcPr>
            <w:tcW w:w="1163" w:type="dxa"/>
            <w:tcBorders>
              <w:top w:val="nil"/>
              <w:left w:val="nil"/>
              <w:bottom w:val="single" w:sz="4" w:space="0" w:color="auto"/>
              <w:right w:val="single" w:sz="4" w:space="0" w:color="auto"/>
            </w:tcBorders>
            <w:shd w:val="clear" w:color="auto" w:fill="auto"/>
            <w:noWrap/>
            <w:hideMark/>
          </w:tcPr>
          <w:p w14:paraId="25F6AEB4"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0.4%</w:t>
            </w:r>
          </w:p>
        </w:tc>
        <w:tc>
          <w:tcPr>
            <w:tcW w:w="1197" w:type="dxa"/>
            <w:tcBorders>
              <w:top w:val="nil"/>
              <w:left w:val="nil"/>
              <w:bottom w:val="single" w:sz="4" w:space="0" w:color="auto"/>
              <w:right w:val="single" w:sz="4" w:space="0" w:color="auto"/>
            </w:tcBorders>
            <w:shd w:val="clear" w:color="auto" w:fill="auto"/>
            <w:noWrap/>
            <w:hideMark/>
          </w:tcPr>
          <w:p w14:paraId="0398E951"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99.7%</w:t>
            </w:r>
          </w:p>
        </w:tc>
      </w:tr>
      <w:tr w:rsidR="00CF0F96" w:rsidRPr="00CF0F96" w14:paraId="27D89CA8" w14:textId="77777777" w:rsidTr="00EF7331">
        <w:trPr>
          <w:trHeight w:val="300"/>
          <w:jc w:val="center"/>
        </w:trPr>
        <w:tc>
          <w:tcPr>
            <w:tcW w:w="4203" w:type="dxa"/>
            <w:tcBorders>
              <w:top w:val="nil"/>
              <w:left w:val="single" w:sz="4" w:space="0" w:color="auto"/>
              <w:bottom w:val="single" w:sz="4" w:space="0" w:color="auto"/>
              <w:right w:val="single" w:sz="4" w:space="0" w:color="auto"/>
            </w:tcBorders>
            <w:shd w:val="clear" w:color="auto" w:fill="E0E0E0"/>
            <w:hideMark/>
          </w:tcPr>
          <w:p w14:paraId="2F5F61ED"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eastAsia="Times New Roman" w:cs="Arial"/>
                <w:sz w:val="18"/>
                <w:szCs w:val="18"/>
                <w:lang w:eastAsia="es-SV"/>
              </w:rPr>
              <w:t>explotación de minas y canteras.</w:t>
            </w:r>
          </w:p>
        </w:tc>
        <w:tc>
          <w:tcPr>
            <w:tcW w:w="1071" w:type="dxa"/>
            <w:tcBorders>
              <w:top w:val="nil"/>
              <w:left w:val="nil"/>
              <w:bottom w:val="single" w:sz="4" w:space="0" w:color="auto"/>
              <w:right w:val="single" w:sz="4" w:space="0" w:color="auto"/>
            </w:tcBorders>
            <w:shd w:val="clear" w:color="auto" w:fill="auto"/>
            <w:noWrap/>
            <w:hideMark/>
          </w:tcPr>
          <w:p w14:paraId="793C8996"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881</w:t>
            </w:r>
          </w:p>
        </w:tc>
        <w:tc>
          <w:tcPr>
            <w:tcW w:w="1071" w:type="dxa"/>
            <w:tcBorders>
              <w:top w:val="nil"/>
              <w:left w:val="nil"/>
              <w:bottom w:val="single" w:sz="4" w:space="0" w:color="auto"/>
              <w:right w:val="single" w:sz="4" w:space="0" w:color="auto"/>
            </w:tcBorders>
            <w:shd w:val="clear" w:color="auto" w:fill="auto"/>
            <w:noWrap/>
            <w:hideMark/>
          </w:tcPr>
          <w:p w14:paraId="227748CD"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0</w:t>
            </w:r>
          </w:p>
        </w:tc>
        <w:tc>
          <w:tcPr>
            <w:tcW w:w="1071" w:type="dxa"/>
            <w:tcBorders>
              <w:top w:val="nil"/>
              <w:left w:val="nil"/>
              <w:bottom w:val="single" w:sz="4" w:space="0" w:color="auto"/>
              <w:right w:val="single" w:sz="4" w:space="0" w:color="auto"/>
            </w:tcBorders>
            <w:shd w:val="clear" w:color="auto" w:fill="auto"/>
            <w:noWrap/>
            <w:hideMark/>
          </w:tcPr>
          <w:p w14:paraId="5530A1BC"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881</w:t>
            </w:r>
          </w:p>
        </w:tc>
        <w:tc>
          <w:tcPr>
            <w:tcW w:w="1163" w:type="dxa"/>
            <w:tcBorders>
              <w:top w:val="nil"/>
              <w:left w:val="nil"/>
              <w:bottom w:val="single" w:sz="4" w:space="0" w:color="auto"/>
              <w:right w:val="single" w:sz="4" w:space="0" w:color="auto"/>
            </w:tcBorders>
            <w:shd w:val="clear" w:color="auto" w:fill="auto"/>
            <w:noWrap/>
            <w:hideMark/>
          </w:tcPr>
          <w:p w14:paraId="45B98B27"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0.1%</w:t>
            </w:r>
          </w:p>
        </w:tc>
        <w:tc>
          <w:tcPr>
            <w:tcW w:w="1197" w:type="dxa"/>
            <w:tcBorders>
              <w:top w:val="nil"/>
              <w:left w:val="nil"/>
              <w:bottom w:val="single" w:sz="4" w:space="0" w:color="auto"/>
              <w:right w:val="single" w:sz="4" w:space="0" w:color="auto"/>
            </w:tcBorders>
            <w:shd w:val="clear" w:color="auto" w:fill="auto"/>
            <w:noWrap/>
            <w:hideMark/>
          </w:tcPr>
          <w:p w14:paraId="7A1C398C"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99.9%</w:t>
            </w:r>
          </w:p>
        </w:tc>
      </w:tr>
      <w:tr w:rsidR="00CF0F96" w:rsidRPr="00CF0F96" w14:paraId="242F9BA3" w14:textId="77777777" w:rsidTr="00EF7331">
        <w:trPr>
          <w:trHeight w:val="300"/>
          <w:jc w:val="center"/>
        </w:trPr>
        <w:tc>
          <w:tcPr>
            <w:tcW w:w="4203" w:type="dxa"/>
            <w:tcBorders>
              <w:top w:val="nil"/>
              <w:left w:val="single" w:sz="4" w:space="0" w:color="auto"/>
              <w:bottom w:val="single" w:sz="4" w:space="0" w:color="auto"/>
              <w:right w:val="single" w:sz="4" w:space="0" w:color="auto"/>
            </w:tcBorders>
            <w:shd w:val="clear" w:color="auto" w:fill="E0E0E0"/>
            <w:hideMark/>
          </w:tcPr>
          <w:p w14:paraId="3BFEA8FB"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eastAsia="Times New Roman" w:cs="Arial"/>
                <w:sz w:val="18"/>
                <w:szCs w:val="18"/>
                <w:lang w:eastAsia="es-SV"/>
              </w:rPr>
              <w:t>Actividades inmobiliarias.</w:t>
            </w:r>
          </w:p>
        </w:tc>
        <w:tc>
          <w:tcPr>
            <w:tcW w:w="1071" w:type="dxa"/>
            <w:tcBorders>
              <w:top w:val="nil"/>
              <w:left w:val="nil"/>
              <w:bottom w:val="single" w:sz="4" w:space="0" w:color="auto"/>
              <w:right w:val="single" w:sz="4" w:space="0" w:color="auto"/>
            </w:tcBorders>
            <w:shd w:val="clear" w:color="auto" w:fill="auto"/>
            <w:noWrap/>
            <w:hideMark/>
          </w:tcPr>
          <w:p w14:paraId="33A577C1"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322</w:t>
            </w:r>
          </w:p>
        </w:tc>
        <w:tc>
          <w:tcPr>
            <w:tcW w:w="1071" w:type="dxa"/>
            <w:tcBorders>
              <w:top w:val="nil"/>
              <w:left w:val="nil"/>
              <w:bottom w:val="single" w:sz="4" w:space="0" w:color="auto"/>
              <w:right w:val="single" w:sz="4" w:space="0" w:color="auto"/>
            </w:tcBorders>
            <w:shd w:val="clear" w:color="auto" w:fill="auto"/>
            <w:noWrap/>
            <w:hideMark/>
          </w:tcPr>
          <w:p w14:paraId="6DF00765"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149</w:t>
            </w:r>
          </w:p>
        </w:tc>
        <w:tc>
          <w:tcPr>
            <w:tcW w:w="1071" w:type="dxa"/>
            <w:tcBorders>
              <w:top w:val="nil"/>
              <w:left w:val="nil"/>
              <w:bottom w:val="single" w:sz="4" w:space="0" w:color="auto"/>
              <w:right w:val="single" w:sz="4" w:space="0" w:color="auto"/>
            </w:tcBorders>
            <w:shd w:val="clear" w:color="auto" w:fill="auto"/>
            <w:noWrap/>
            <w:hideMark/>
          </w:tcPr>
          <w:p w14:paraId="2C589731"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471</w:t>
            </w:r>
          </w:p>
        </w:tc>
        <w:tc>
          <w:tcPr>
            <w:tcW w:w="1163" w:type="dxa"/>
            <w:tcBorders>
              <w:top w:val="nil"/>
              <w:left w:val="nil"/>
              <w:bottom w:val="single" w:sz="4" w:space="0" w:color="auto"/>
              <w:right w:val="single" w:sz="4" w:space="0" w:color="auto"/>
            </w:tcBorders>
            <w:shd w:val="clear" w:color="auto" w:fill="auto"/>
            <w:noWrap/>
            <w:hideMark/>
          </w:tcPr>
          <w:p w14:paraId="5DAD030C"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0.1%</w:t>
            </w:r>
          </w:p>
        </w:tc>
        <w:tc>
          <w:tcPr>
            <w:tcW w:w="1197" w:type="dxa"/>
            <w:tcBorders>
              <w:top w:val="nil"/>
              <w:left w:val="nil"/>
              <w:bottom w:val="single" w:sz="4" w:space="0" w:color="auto"/>
              <w:right w:val="single" w:sz="4" w:space="0" w:color="auto"/>
            </w:tcBorders>
            <w:shd w:val="clear" w:color="auto" w:fill="auto"/>
            <w:noWrap/>
            <w:hideMark/>
          </w:tcPr>
          <w:p w14:paraId="515AD1CE"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100.0%</w:t>
            </w:r>
          </w:p>
        </w:tc>
      </w:tr>
      <w:tr w:rsidR="00CF0F96" w:rsidRPr="00CF0F96" w14:paraId="4744A3FA" w14:textId="77777777" w:rsidTr="00EF7331">
        <w:trPr>
          <w:trHeight w:val="300"/>
          <w:jc w:val="center"/>
        </w:trPr>
        <w:tc>
          <w:tcPr>
            <w:tcW w:w="4203" w:type="dxa"/>
            <w:tcBorders>
              <w:top w:val="nil"/>
              <w:left w:val="single" w:sz="4" w:space="0" w:color="auto"/>
              <w:bottom w:val="single" w:sz="4" w:space="0" w:color="auto"/>
              <w:right w:val="single" w:sz="4" w:space="0" w:color="auto"/>
            </w:tcBorders>
            <w:shd w:val="clear" w:color="auto" w:fill="E0E0E0"/>
            <w:hideMark/>
          </w:tcPr>
          <w:p w14:paraId="517280D9"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eastAsia="Times New Roman" w:cs="Arial"/>
                <w:sz w:val="18"/>
                <w:szCs w:val="18"/>
                <w:lang w:eastAsia="es-SV"/>
              </w:rPr>
              <w:t>Suministro de electricidad, gas, vapor y aire acondicionado.</w:t>
            </w:r>
          </w:p>
        </w:tc>
        <w:tc>
          <w:tcPr>
            <w:tcW w:w="1071" w:type="dxa"/>
            <w:tcBorders>
              <w:top w:val="nil"/>
              <w:left w:val="nil"/>
              <w:bottom w:val="single" w:sz="4" w:space="0" w:color="auto"/>
              <w:right w:val="single" w:sz="4" w:space="0" w:color="auto"/>
            </w:tcBorders>
            <w:shd w:val="clear" w:color="auto" w:fill="auto"/>
            <w:noWrap/>
            <w:hideMark/>
          </w:tcPr>
          <w:p w14:paraId="30C5ED5C"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156</w:t>
            </w:r>
          </w:p>
        </w:tc>
        <w:tc>
          <w:tcPr>
            <w:tcW w:w="1071" w:type="dxa"/>
            <w:tcBorders>
              <w:top w:val="nil"/>
              <w:left w:val="nil"/>
              <w:bottom w:val="single" w:sz="4" w:space="0" w:color="auto"/>
              <w:right w:val="single" w:sz="4" w:space="0" w:color="auto"/>
            </w:tcBorders>
            <w:shd w:val="clear" w:color="auto" w:fill="auto"/>
            <w:noWrap/>
            <w:hideMark/>
          </w:tcPr>
          <w:p w14:paraId="342FA4CF"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80</w:t>
            </w:r>
          </w:p>
        </w:tc>
        <w:tc>
          <w:tcPr>
            <w:tcW w:w="1071" w:type="dxa"/>
            <w:tcBorders>
              <w:top w:val="nil"/>
              <w:left w:val="nil"/>
              <w:bottom w:val="single" w:sz="4" w:space="0" w:color="auto"/>
              <w:right w:val="single" w:sz="4" w:space="0" w:color="auto"/>
            </w:tcBorders>
            <w:shd w:val="clear" w:color="auto" w:fill="auto"/>
            <w:noWrap/>
            <w:hideMark/>
          </w:tcPr>
          <w:p w14:paraId="22D2707E"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236</w:t>
            </w:r>
          </w:p>
        </w:tc>
        <w:tc>
          <w:tcPr>
            <w:tcW w:w="1163" w:type="dxa"/>
            <w:tcBorders>
              <w:top w:val="nil"/>
              <w:left w:val="nil"/>
              <w:bottom w:val="single" w:sz="4" w:space="0" w:color="auto"/>
              <w:right w:val="single" w:sz="4" w:space="0" w:color="auto"/>
            </w:tcBorders>
            <w:shd w:val="clear" w:color="auto" w:fill="auto"/>
            <w:noWrap/>
            <w:hideMark/>
          </w:tcPr>
          <w:p w14:paraId="7E325CB3" w14:textId="77777777" w:rsidR="006A3DBC" w:rsidRPr="00CF0F96" w:rsidRDefault="006A3DBC" w:rsidP="005F4A92">
            <w:pPr>
              <w:spacing w:after="0" w:line="240" w:lineRule="auto"/>
              <w:jc w:val="center"/>
              <w:rPr>
                <w:rFonts w:eastAsia="Times New Roman" w:cs="Arial"/>
                <w:sz w:val="18"/>
                <w:szCs w:val="18"/>
                <w:lang w:eastAsia="es-SV"/>
              </w:rPr>
            </w:pPr>
            <w:r w:rsidRPr="00CF0F96">
              <w:rPr>
                <w:rFonts w:eastAsia="Times New Roman" w:cs="Arial"/>
                <w:sz w:val="18"/>
                <w:szCs w:val="18"/>
                <w:lang w:eastAsia="es-SV"/>
              </w:rPr>
              <w:t>0.04%</w:t>
            </w:r>
          </w:p>
        </w:tc>
        <w:tc>
          <w:tcPr>
            <w:tcW w:w="1197" w:type="dxa"/>
            <w:tcBorders>
              <w:top w:val="nil"/>
              <w:left w:val="nil"/>
              <w:bottom w:val="single" w:sz="4" w:space="0" w:color="auto"/>
              <w:right w:val="single" w:sz="4" w:space="0" w:color="auto"/>
            </w:tcBorders>
            <w:shd w:val="clear" w:color="auto" w:fill="auto"/>
            <w:noWrap/>
            <w:hideMark/>
          </w:tcPr>
          <w:p w14:paraId="6D1B3171" w14:textId="77777777" w:rsidR="006A3DBC" w:rsidRPr="00CF0F96" w:rsidRDefault="006A3DBC" w:rsidP="005F4A92">
            <w:pPr>
              <w:spacing w:after="0" w:line="240" w:lineRule="auto"/>
              <w:jc w:val="center"/>
              <w:rPr>
                <w:rFonts w:eastAsia="Times New Roman" w:cs="Arial"/>
                <w:sz w:val="18"/>
                <w:szCs w:val="18"/>
                <w:lang w:eastAsia="es-SV"/>
              </w:rPr>
            </w:pPr>
          </w:p>
        </w:tc>
      </w:tr>
      <w:tr w:rsidR="00CF0F96" w:rsidRPr="00CF0F96" w14:paraId="6D6992CE" w14:textId="77777777" w:rsidTr="00EF7331">
        <w:trPr>
          <w:trHeight w:val="300"/>
          <w:jc w:val="center"/>
        </w:trPr>
        <w:tc>
          <w:tcPr>
            <w:tcW w:w="4203" w:type="dxa"/>
            <w:tcBorders>
              <w:top w:val="nil"/>
              <w:left w:val="single" w:sz="4" w:space="0" w:color="auto"/>
              <w:right w:val="single" w:sz="4" w:space="0" w:color="auto"/>
            </w:tcBorders>
            <w:shd w:val="clear" w:color="auto" w:fill="E0E0E0"/>
            <w:hideMark/>
          </w:tcPr>
          <w:p w14:paraId="2F538543"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eastAsia="Times New Roman" w:cs="Arial"/>
                <w:sz w:val="18"/>
                <w:szCs w:val="18"/>
                <w:lang w:eastAsia="es-SV"/>
              </w:rPr>
              <w:t> Totales</w:t>
            </w:r>
          </w:p>
        </w:tc>
        <w:tc>
          <w:tcPr>
            <w:tcW w:w="1071" w:type="dxa"/>
            <w:tcBorders>
              <w:top w:val="nil"/>
              <w:left w:val="nil"/>
              <w:right w:val="single" w:sz="4" w:space="0" w:color="auto"/>
            </w:tcBorders>
            <w:shd w:val="clear" w:color="auto" w:fill="auto"/>
            <w:noWrap/>
            <w:hideMark/>
          </w:tcPr>
          <w:p w14:paraId="322C3435" w14:textId="272CC213" w:rsidR="006A3DBC" w:rsidRPr="00CF0F96" w:rsidRDefault="006A3DBC" w:rsidP="005F4A92">
            <w:pPr>
              <w:spacing w:after="0" w:line="240" w:lineRule="auto"/>
              <w:jc w:val="center"/>
              <w:rPr>
                <w:rFonts w:eastAsia="Times New Roman" w:cs="Arial"/>
                <w:b/>
                <w:bCs/>
                <w:sz w:val="18"/>
                <w:szCs w:val="18"/>
                <w:lang w:eastAsia="es-SV"/>
              </w:rPr>
            </w:pPr>
            <w:r w:rsidRPr="00CF0F96">
              <w:rPr>
                <w:rFonts w:eastAsia="Times New Roman" w:cs="Arial"/>
                <w:b/>
                <w:bCs/>
                <w:sz w:val="18"/>
                <w:szCs w:val="18"/>
                <w:lang w:eastAsia="es-SV"/>
              </w:rPr>
              <w:t>380</w:t>
            </w:r>
            <w:r w:rsidR="007F4D40" w:rsidRPr="00CF0F96">
              <w:rPr>
                <w:rFonts w:eastAsia="Times New Roman" w:cs="Arial"/>
                <w:b/>
                <w:bCs/>
                <w:sz w:val="18"/>
                <w:szCs w:val="18"/>
                <w:lang w:eastAsia="es-SV"/>
              </w:rPr>
              <w:t>,</w:t>
            </w:r>
            <w:r w:rsidRPr="00CF0F96">
              <w:rPr>
                <w:rFonts w:eastAsia="Times New Roman" w:cs="Arial"/>
                <w:b/>
                <w:bCs/>
                <w:sz w:val="18"/>
                <w:szCs w:val="18"/>
                <w:lang w:eastAsia="es-SV"/>
              </w:rPr>
              <w:t>053</w:t>
            </w:r>
          </w:p>
        </w:tc>
        <w:tc>
          <w:tcPr>
            <w:tcW w:w="1071" w:type="dxa"/>
            <w:tcBorders>
              <w:top w:val="nil"/>
              <w:left w:val="nil"/>
              <w:right w:val="single" w:sz="4" w:space="0" w:color="auto"/>
            </w:tcBorders>
            <w:shd w:val="clear" w:color="auto" w:fill="auto"/>
            <w:noWrap/>
            <w:hideMark/>
          </w:tcPr>
          <w:p w14:paraId="64DB9910" w14:textId="6B86E1AF" w:rsidR="006A3DBC" w:rsidRPr="00CF0F96" w:rsidRDefault="006A3DBC" w:rsidP="005F4A92">
            <w:pPr>
              <w:spacing w:after="0" w:line="240" w:lineRule="auto"/>
              <w:jc w:val="center"/>
              <w:rPr>
                <w:rFonts w:eastAsia="Times New Roman" w:cs="Arial"/>
                <w:b/>
                <w:bCs/>
                <w:sz w:val="18"/>
                <w:szCs w:val="18"/>
                <w:lang w:eastAsia="es-SV"/>
              </w:rPr>
            </w:pPr>
            <w:r w:rsidRPr="00CF0F96">
              <w:rPr>
                <w:rFonts w:eastAsia="Times New Roman" w:cs="Arial"/>
                <w:b/>
                <w:bCs/>
                <w:sz w:val="18"/>
                <w:szCs w:val="18"/>
                <w:lang w:eastAsia="es-SV"/>
              </w:rPr>
              <w:t>208</w:t>
            </w:r>
            <w:r w:rsidR="007F4D40" w:rsidRPr="00CF0F96">
              <w:rPr>
                <w:rFonts w:eastAsia="Times New Roman" w:cs="Arial"/>
                <w:b/>
                <w:bCs/>
                <w:sz w:val="18"/>
                <w:szCs w:val="18"/>
                <w:lang w:eastAsia="es-SV"/>
              </w:rPr>
              <w:t>,</w:t>
            </w:r>
            <w:r w:rsidRPr="00CF0F96">
              <w:rPr>
                <w:rFonts w:eastAsia="Times New Roman" w:cs="Arial"/>
                <w:b/>
                <w:bCs/>
                <w:sz w:val="18"/>
                <w:szCs w:val="18"/>
                <w:lang w:eastAsia="es-SV"/>
              </w:rPr>
              <w:t>799</w:t>
            </w:r>
          </w:p>
        </w:tc>
        <w:tc>
          <w:tcPr>
            <w:tcW w:w="1071" w:type="dxa"/>
            <w:tcBorders>
              <w:top w:val="nil"/>
              <w:left w:val="nil"/>
              <w:right w:val="single" w:sz="4" w:space="0" w:color="auto"/>
            </w:tcBorders>
            <w:shd w:val="clear" w:color="auto" w:fill="auto"/>
            <w:noWrap/>
            <w:hideMark/>
          </w:tcPr>
          <w:p w14:paraId="578BE369" w14:textId="52D6474E" w:rsidR="006A3DBC" w:rsidRPr="00CF0F96" w:rsidRDefault="006A3DBC" w:rsidP="005F4A92">
            <w:pPr>
              <w:spacing w:after="0" w:line="240" w:lineRule="auto"/>
              <w:jc w:val="center"/>
              <w:rPr>
                <w:rFonts w:eastAsia="Times New Roman" w:cs="Arial"/>
                <w:b/>
                <w:bCs/>
                <w:sz w:val="18"/>
                <w:szCs w:val="18"/>
                <w:lang w:eastAsia="es-SV"/>
              </w:rPr>
            </w:pPr>
            <w:r w:rsidRPr="00CF0F96">
              <w:rPr>
                <w:rFonts w:eastAsia="Times New Roman" w:cs="Arial"/>
                <w:b/>
                <w:bCs/>
                <w:sz w:val="18"/>
                <w:szCs w:val="18"/>
                <w:lang w:eastAsia="es-SV"/>
              </w:rPr>
              <w:t>588</w:t>
            </w:r>
            <w:r w:rsidR="007F4D40" w:rsidRPr="00CF0F96">
              <w:rPr>
                <w:rFonts w:eastAsia="Times New Roman" w:cs="Arial"/>
                <w:b/>
                <w:bCs/>
                <w:sz w:val="18"/>
                <w:szCs w:val="18"/>
                <w:lang w:eastAsia="es-SV"/>
              </w:rPr>
              <w:t>,</w:t>
            </w:r>
            <w:r w:rsidRPr="00CF0F96">
              <w:rPr>
                <w:rFonts w:eastAsia="Times New Roman" w:cs="Arial"/>
                <w:b/>
                <w:bCs/>
                <w:sz w:val="18"/>
                <w:szCs w:val="18"/>
                <w:lang w:eastAsia="es-SV"/>
              </w:rPr>
              <w:t>852</w:t>
            </w:r>
          </w:p>
        </w:tc>
        <w:tc>
          <w:tcPr>
            <w:tcW w:w="1163" w:type="dxa"/>
            <w:tcBorders>
              <w:top w:val="nil"/>
              <w:left w:val="nil"/>
              <w:right w:val="single" w:sz="4" w:space="0" w:color="auto"/>
            </w:tcBorders>
            <w:shd w:val="clear" w:color="auto" w:fill="auto"/>
            <w:noWrap/>
            <w:hideMark/>
          </w:tcPr>
          <w:p w14:paraId="2CA022DD" w14:textId="77777777" w:rsidR="006A3DBC" w:rsidRPr="00CF0F96" w:rsidRDefault="006A3DBC" w:rsidP="005F4A92">
            <w:pPr>
              <w:spacing w:after="0" w:line="240" w:lineRule="auto"/>
              <w:jc w:val="center"/>
              <w:rPr>
                <w:rFonts w:eastAsia="Times New Roman" w:cs="Arial"/>
                <w:b/>
                <w:bCs/>
                <w:sz w:val="18"/>
                <w:szCs w:val="18"/>
                <w:lang w:eastAsia="es-SV"/>
              </w:rPr>
            </w:pPr>
            <w:r w:rsidRPr="00CF0F96">
              <w:rPr>
                <w:rFonts w:eastAsia="Times New Roman" w:cs="Arial"/>
                <w:b/>
                <w:bCs/>
                <w:sz w:val="18"/>
                <w:szCs w:val="18"/>
                <w:lang w:eastAsia="es-SV"/>
              </w:rPr>
              <w:t>100.0%</w:t>
            </w:r>
          </w:p>
        </w:tc>
        <w:tc>
          <w:tcPr>
            <w:tcW w:w="1197" w:type="dxa"/>
            <w:tcBorders>
              <w:top w:val="nil"/>
              <w:left w:val="nil"/>
              <w:right w:val="single" w:sz="4" w:space="0" w:color="auto"/>
            </w:tcBorders>
            <w:shd w:val="clear" w:color="auto" w:fill="auto"/>
            <w:noWrap/>
            <w:hideMark/>
          </w:tcPr>
          <w:p w14:paraId="16664B75" w14:textId="77777777" w:rsidR="006A3DBC" w:rsidRPr="00CF0F96" w:rsidRDefault="006A3DBC" w:rsidP="005F4A92">
            <w:pPr>
              <w:spacing w:after="0" w:line="240" w:lineRule="auto"/>
              <w:jc w:val="center"/>
              <w:rPr>
                <w:rFonts w:eastAsia="Times New Roman" w:cs="Arial"/>
                <w:b/>
                <w:bCs/>
                <w:sz w:val="18"/>
                <w:szCs w:val="18"/>
                <w:lang w:eastAsia="es-SV"/>
              </w:rPr>
            </w:pPr>
            <w:r w:rsidRPr="00CF0F96">
              <w:rPr>
                <w:rFonts w:eastAsia="Times New Roman" w:cs="Arial"/>
                <w:b/>
                <w:bCs/>
                <w:sz w:val="18"/>
                <w:szCs w:val="18"/>
                <w:lang w:eastAsia="es-SV"/>
              </w:rPr>
              <w:t>100.0%</w:t>
            </w:r>
          </w:p>
        </w:tc>
      </w:tr>
      <w:tr w:rsidR="00CF0F96" w:rsidRPr="00CF0F96" w14:paraId="4E83868B" w14:textId="77777777" w:rsidTr="00EF7331">
        <w:trPr>
          <w:trHeight w:val="300"/>
          <w:jc w:val="center"/>
        </w:trPr>
        <w:tc>
          <w:tcPr>
            <w:tcW w:w="4203" w:type="dxa"/>
            <w:tcBorders>
              <w:top w:val="nil"/>
              <w:left w:val="single" w:sz="4" w:space="0" w:color="auto"/>
              <w:bottom w:val="single" w:sz="4" w:space="0" w:color="auto"/>
              <w:right w:val="single" w:sz="4" w:space="0" w:color="auto"/>
            </w:tcBorders>
            <w:shd w:val="clear" w:color="auto" w:fill="E0E0E0"/>
          </w:tcPr>
          <w:p w14:paraId="0631D7BC" w14:textId="77777777" w:rsidR="006A3DBC" w:rsidRPr="00CF0F96" w:rsidRDefault="006A3DBC" w:rsidP="005F4A92">
            <w:pPr>
              <w:spacing w:after="0" w:line="240" w:lineRule="auto"/>
              <w:jc w:val="both"/>
              <w:rPr>
                <w:rFonts w:eastAsia="Times New Roman" w:cs="Arial"/>
                <w:sz w:val="18"/>
                <w:szCs w:val="18"/>
                <w:lang w:eastAsia="es-SV"/>
              </w:rPr>
            </w:pPr>
          </w:p>
        </w:tc>
        <w:tc>
          <w:tcPr>
            <w:tcW w:w="1071" w:type="dxa"/>
            <w:tcBorders>
              <w:top w:val="nil"/>
              <w:left w:val="nil"/>
              <w:bottom w:val="single" w:sz="4" w:space="0" w:color="auto"/>
              <w:right w:val="single" w:sz="4" w:space="0" w:color="auto"/>
            </w:tcBorders>
            <w:shd w:val="clear" w:color="auto" w:fill="auto"/>
            <w:noWrap/>
          </w:tcPr>
          <w:p w14:paraId="412DF42E" w14:textId="77777777" w:rsidR="006A3DBC" w:rsidRPr="00CF0F96" w:rsidRDefault="006A3DBC" w:rsidP="005F4A92">
            <w:pPr>
              <w:spacing w:after="0" w:line="240" w:lineRule="auto"/>
              <w:jc w:val="center"/>
              <w:rPr>
                <w:rFonts w:eastAsia="Times New Roman" w:cs="Arial"/>
                <w:b/>
                <w:bCs/>
                <w:sz w:val="18"/>
                <w:szCs w:val="18"/>
                <w:lang w:eastAsia="es-SV"/>
              </w:rPr>
            </w:pPr>
          </w:p>
        </w:tc>
        <w:tc>
          <w:tcPr>
            <w:tcW w:w="1071" w:type="dxa"/>
            <w:tcBorders>
              <w:top w:val="nil"/>
              <w:left w:val="nil"/>
              <w:bottom w:val="single" w:sz="4" w:space="0" w:color="auto"/>
              <w:right w:val="single" w:sz="4" w:space="0" w:color="auto"/>
            </w:tcBorders>
            <w:shd w:val="clear" w:color="auto" w:fill="auto"/>
            <w:noWrap/>
          </w:tcPr>
          <w:p w14:paraId="1AFD5AFC" w14:textId="77777777" w:rsidR="006A3DBC" w:rsidRPr="00CF0F96" w:rsidRDefault="006A3DBC" w:rsidP="005F4A92">
            <w:pPr>
              <w:spacing w:after="0" w:line="240" w:lineRule="auto"/>
              <w:jc w:val="center"/>
              <w:rPr>
                <w:rFonts w:eastAsia="Times New Roman" w:cs="Arial"/>
                <w:b/>
                <w:bCs/>
                <w:sz w:val="18"/>
                <w:szCs w:val="18"/>
                <w:lang w:eastAsia="es-SV"/>
              </w:rPr>
            </w:pPr>
          </w:p>
        </w:tc>
        <w:tc>
          <w:tcPr>
            <w:tcW w:w="1071" w:type="dxa"/>
            <w:tcBorders>
              <w:top w:val="nil"/>
              <w:left w:val="nil"/>
              <w:bottom w:val="single" w:sz="4" w:space="0" w:color="auto"/>
              <w:right w:val="single" w:sz="4" w:space="0" w:color="auto"/>
            </w:tcBorders>
            <w:shd w:val="clear" w:color="auto" w:fill="auto"/>
            <w:noWrap/>
          </w:tcPr>
          <w:p w14:paraId="049839F6" w14:textId="77777777" w:rsidR="006A3DBC" w:rsidRPr="00CF0F96" w:rsidRDefault="006A3DBC" w:rsidP="005F4A92">
            <w:pPr>
              <w:spacing w:after="0" w:line="240" w:lineRule="auto"/>
              <w:jc w:val="center"/>
              <w:rPr>
                <w:rFonts w:eastAsia="Times New Roman" w:cs="Arial"/>
                <w:b/>
                <w:bCs/>
                <w:sz w:val="18"/>
                <w:szCs w:val="18"/>
                <w:lang w:eastAsia="es-SV"/>
              </w:rPr>
            </w:pPr>
          </w:p>
        </w:tc>
        <w:tc>
          <w:tcPr>
            <w:tcW w:w="1163" w:type="dxa"/>
            <w:tcBorders>
              <w:top w:val="nil"/>
              <w:left w:val="nil"/>
              <w:bottom w:val="single" w:sz="4" w:space="0" w:color="auto"/>
              <w:right w:val="single" w:sz="4" w:space="0" w:color="auto"/>
            </w:tcBorders>
            <w:shd w:val="clear" w:color="auto" w:fill="auto"/>
            <w:noWrap/>
            <w:vAlign w:val="bottom"/>
          </w:tcPr>
          <w:p w14:paraId="5EF43F9F" w14:textId="77777777" w:rsidR="006A3DBC" w:rsidRPr="00CF0F96" w:rsidRDefault="006A3DBC" w:rsidP="005F4A92">
            <w:pPr>
              <w:spacing w:after="0" w:line="240" w:lineRule="auto"/>
              <w:jc w:val="center"/>
              <w:rPr>
                <w:rFonts w:eastAsia="Times New Roman" w:cs="Arial"/>
                <w:b/>
                <w:bCs/>
                <w:sz w:val="18"/>
                <w:szCs w:val="18"/>
                <w:lang w:eastAsia="es-SV"/>
              </w:rPr>
            </w:pPr>
          </w:p>
        </w:tc>
        <w:tc>
          <w:tcPr>
            <w:tcW w:w="1197" w:type="dxa"/>
            <w:tcBorders>
              <w:top w:val="nil"/>
              <w:left w:val="nil"/>
              <w:bottom w:val="single" w:sz="4" w:space="0" w:color="auto"/>
              <w:right w:val="single" w:sz="4" w:space="0" w:color="auto"/>
            </w:tcBorders>
            <w:shd w:val="clear" w:color="auto" w:fill="auto"/>
            <w:noWrap/>
            <w:vAlign w:val="bottom"/>
          </w:tcPr>
          <w:p w14:paraId="5B39ABE0" w14:textId="77777777" w:rsidR="006A3DBC" w:rsidRPr="00CF0F96" w:rsidRDefault="006A3DBC" w:rsidP="005F4A92">
            <w:pPr>
              <w:spacing w:after="0" w:line="240" w:lineRule="auto"/>
              <w:jc w:val="center"/>
              <w:rPr>
                <w:rFonts w:eastAsia="Times New Roman" w:cs="Arial"/>
                <w:b/>
                <w:bCs/>
                <w:sz w:val="18"/>
                <w:szCs w:val="18"/>
                <w:lang w:eastAsia="es-SV"/>
              </w:rPr>
            </w:pPr>
          </w:p>
        </w:tc>
      </w:tr>
      <w:tr w:rsidR="00CF0F96" w:rsidRPr="00CF0F96" w14:paraId="709EEFA3" w14:textId="77777777" w:rsidTr="00EF7331">
        <w:trPr>
          <w:trHeight w:val="300"/>
          <w:jc w:val="center"/>
        </w:trPr>
        <w:tc>
          <w:tcPr>
            <w:tcW w:w="4203" w:type="dxa"/>
            <w:tcBorders>
              <w:top w:val="single" w:sz="4" w:space="0" w:color="auto"/>
              <w:left w:val="single" w:sz="4" w:space="0" w:color="auto"/>
              <w:bottom w:val="single" w:sz="4" w:space="0" w:color="auto"/>
              <w:right w:val="single" w:sz="4" w:space="0" w:color="auto"/>
            </w:tcBorders>
            <w:shd w:val="clear" w:color="auto" w:fill="E0E0E0"/>
          </w:tcPr>
          <w:p w14:paraId="26CD57FE" w14:textId="77777777" w:rsidR="006A3DBC" w:rsidRPr="00CF0F96" w:rsidRDefault="006A3DBC" w:rsidP="005F4A92">
            <w:pPr>
              <w:spacing w:after="0" w:line="240" w:lineRule="auto"/>
              <w:jc w:val="both"/>
              <w:rPr>
                <w:rFonts w:eastAsia="Times New Roman" w:cs="Arial"/>
                <w:sz w:val="18"/>
                <w:szCs w:val="18"/>
                <w:lang w:eastAsia="es-SV"/>
              </w:rPr>
            </w:pPr>
            <w:r w:rsidRPr="00CF0F96">
              <w:rPr>
                <w:rFonts w:eastAsia="Times New Roman" w:cs="Arial"/>
                <w:sz w:val="18"/>
                <w:szCs w:val="18"/>
                <w:lang w:eastAsia="es-SV"/>
              </w:rPr>
              <w:t>Porcentaje</w:t>
            </w:r>
          </w:p>
        </w:tc>
        <w:tc>
          <w:tcPr>
            <w:tcW w:w="1071" w:type="dxa"/>
            <w:tcBorders>
              <w:top w:val="single" w:sz="4" w:space="0" w:color="auto"/>
              <w:left w:val="nil"/>
              <w:bottom w:val="single" w:sz="4" w:space="0" w:color="auto"/>
              <w:right w:val="single" w:sz="4" w:space="0" w:color="auto"/>
            </w:tcBorders>
            <w:shd w:val="clear" w:color="auto" w:fill="auto"/>
            <w:noWrap/>
            <w:vAlign w:val="bottom"/>
          </w:tcPr>
          <w:p w14:paraId="2EB5686B" w14:textId="77777777" w:rsidR="006A3DBC" w:rsidRPr="00CF0F96" w:rsidRDefault="006A3DBC" w:rsidP="005F4A92">
            <w:pPr>
              <w:spacing w:after="0" w:line="240" w:lineRule="auto"/>
              <w:jc w:val="center"/>
              <w:rPr>
                <w:rFonts w:eastAsia="Times New Roman" w:cs="Arial"/>
                <w:b/>
                <w:bCs/>
                <w:sz w:val="18"/>
                <w:szCs w:val="18"/>
                <w:lang w:eastAsia="es-SV"/>
              </w:rPr>
            </w:pPr>
            <w:r w:rsidRPr="00CF0F96">
              <w:rPr>
                <w:rFonts w:cs="Arial"/>
              </w:rPr>
              <w:t>64.5%</w:t>
            </w:r>
          </w:p>
        </w:tc>
        <w:tc>
          <w:tcPr>
            <w:tcW w:w="1071" w:type="dxa"/>
            <w:tcBorders>
              <w:top w:val="single" w:sz="4" w:space="0" w:color="auto"/>
              <w:left w:val="nil"/>
              <w:bottom w:val="single" w:sz="4" w:space="0" w:color="auto"/>
              <w:right w:val="single" w:sz="4" w:space="0" w:color="auto"/>
            </w:tcBorders>
            <w:shd w:val="clear" w:color="auto" w:fill="auto"/>
            <w:noWrap/>
            <w:vAlign w:val="bottom"/>
          </w:tcPr>
          <w:p w14:paraId="00738CBE" w14:textId="77777777" w:rsidR="006A3DBC" w:rsidRPr="00CF0F96" w:rsidRDefault="006A3DBC" w:rsidP="005F4A92">
            <w:pPr>
              <w:spacing w:after="0" w:line="240" w:lineRule="auto"/>
              <w:jc w:val="center"/>
              <w:rPr>
                <w:rFonts w:eastAsia="Times New Roman" w:cs="Arial"/>
                <w:b/>
                <w:bCs/>
                <w:sz w:val="18"/>
                <w:szCs w:val="18"/>
                <w:lang w:eastAsia="es-SV"/>
              </w:rPr>
            </w:pPr>
            <w:r w:rsidRPr="00CF0F96">
              <w:rPr>
                <w:rFonts w:cs="Arial"/>
              </w:rPr>
              <w:t>35.5%</w:t>
            </w:r>
          </w:p>
        </w:tc>
        <w:tc>
          <w:tcPr>
            <w:tcW w:w="1071" w:type="dxa"/>
            <w:tcBorders>
              <w:top w:val="single" w:sz="4" w:space="0" w:color="auto"/>
              <w:left w:val="nil"/>
              <w:bottom w:val="single" w:sz="4" w:space="0" w:color="auto"/>
              <w:right w:val="single" w:sz="4" w:space="0" w:color="auto"/>
            </w:tcBorders>
            <w:shd w:val="clear" w:color="auto" w:fill="auto"/>
            <w:noWrap/>
          </w:tcPr>
          <w:p w14:paraId="6BEB0D84" w14:textId="77777777" w:rsidR="006A3DBC" w:rsidRPr="00CF0F96" w:rsidRDefault="006A3DBC" w:rsidP="005F4A92">
            <w:pPr>
              <w:spacing w:after="0" w:line="240" w:lineRule="auto"/>
              <w:jc w:val="center"/>
              <w:rPr>
                <w:rFonts w:eastAsia="Times New Roman" w:cs="Arial"/>
                <w:b/>
                <w:bCs/>
                <w:sz w:val="18"/>
                <w:szCs w:val="18"/>
                <w:lang w:eastAsia="es-SV"/>
              </w:rPr>
            </w:pPr>
          </w:p>
        </w:tc>
        <w:tc>
          <w:tcPr>
            <w:tcW w:w="1163" w:type="dxa"/>
            <w:tcBorders>
              <w:top w:val="single" w:sz="4" w:space="0" w:color="auto"/>
              <w:left w:val="nil"/>
              <w:bottom w:val="single" w:sz="4" w:space="0" w:color="auto"/>
              <w:right w:val="single" w:sz="4" w:space="0" w:color="auto"/>
            </w:tcBorders>
            <w:shd w:val="clear" w:color="auto" w:fill="auto"/>
            <w:noWrap/>
            <w:vAlign w:val="bottom"/>
          </w:tcPr>
          <w:p w14:paraId="33727F82" w14:textId="77777777" w:rsidR="006A3DBC" w:rsidRPr="00CF0F96" w:rsidRDefault="006A3DBC" w:rsidP="005F4A92">
            <w:pPr>
              <w:spacing w:after="0" w:line="240" w:lineRule="auto"/>
              <w:jc w:val="center"/>
              <w:rPr>
                <w:rFonts w:eastAsia="Times New Roman" w:cs="Arial"/>
                <w:b/>
                <w:bCs/>
                <w:sz w:val="18"/>
                <w:szCs w:val="18"/>
                <w:lang w:eastAsia="es-SV"/>
              </w:rPr>
            </w:pPr>
            <w:r w:rsidRPr="00CF0F96">
              <w:rPr>
                <w:rFonts w:eastAsia="Times New Roman" w:cs="Arial"/>
                <w:b/>
                <w:bCs/>
                <w:sz w:val="18"/>
                <w:szCs w:val="18"/>
                <w:lang w:eastAsia="es-SV"/>
              </w:rPr>
              <w:t>100%</w:t>
            </w:r>
          </w:p>
        </w:tc>
        <w:tc>
          <w:tcPr>
            <w:tcW w:w="1197" w:type="dxa"/>
            <w:tcBorders>
              <w:top w:val="single" w:sz="4" w:space="0" w:color="auto"/>
              <w:left w:val="nil"/>
              <w:bottom w:val="single" w:sz="4" w:space="0" w:color="auto"/>
              <w:right w:val="single" w:sz="4" w:space="0" w:color="auto"/>
            </w:tcBorders>
            <w:shd w:val="clear" w:color="auto" w:fill="auto"/>
            <w:noWrap/>
            <w:vAlign w:val="bottom"/>
          </w:tcPr>
          <w:p w14:paraId="4A927BA9" w14:textId="77777777" w:rsidR="006A3DBC" w:rsidRPr="00CF0F96" w:rsidRDefault="006A3DBC" w:rsidP="005F4A92">
            <w:pPr>
              <w:spacing w:after="0" w:line="240" w:lineRule="auto"/>
              <w:jc w:val="center"/>
              <w:rPr>
                <w:rFonts w:eastAsia="Times New Roman" w:cs="Arial"/>
                <w:b/>
                <w:bCs/>
                <w:sz w:val="18"/>
                <w:szCs w:val="18"/>
                <w:lang w:eastAsia="es-SV"/>
              </w:rPr>
            </w:pPr>
          </w:p>
        </w:tc>
      </w:tr>
    </w:tbl>
    <w:p w14:paraId="1C5C39FA" w14:textId="77777777" w:rsidR="006A3DBC" w:rsidRPr="00FA4B2D" w:rsidRDefault="006A3DBC" w:rsidP="006A3DBC">
      <w:pPr>
        <w:spacing w:line="240" w:lineRule="auto"/>
        <w:ind w:left="708"/>
        <w:jc w:val="both"/>
        <w:rPr>
          <w:rFonts w:cs="Arial"/>
          <w:sz w:val="20"/>
          <w:szCs w:val="20"/>
        </w:rPr>
      </w:pPr>
      <w:r w:rsidRPr="00FA4B2D">
        <w:rPr>
          <w:rFonts w:cs="Arial"/>
          <w:b/>
          <w:bCs/>
          <w:sz w:val="20"/>
          <w:szCs w:val="20"/>
        </w:rPr>
        <w:t>Fuente</w:t>
      </w:r>
      <w:r w:rsidRPr="00FA4B2D">
        <w:rPr>
          <w:rFonts w:cs="Arial"/>
          <w:sz w:val="20"/>
          <w:szCs w:val="20"/>
        </w:rPr>
        <w:t>: elaboración propia con base a tabulados de la Encuesta de Hogares, INE 2019.</w:t>
      </w:r>
    </w:p>
    <w:p w14:paraId="1928E5BE" w14:textId="77777777" w:rsidR="006A3DBC" w:rsidRPr="00FA4B2D" w:rsidRDefault="006A3DBC" w:rsidP="00411720">
      <w:pPr>
        <w:pStyle w:val="Ttulo2"/>
        <w:numPr>
          <w:ilvl w:val="2"/>
          <w:numId w:val="100"/>
        </w:numPr>
        <w:spacing w:before="0" w:line="240" w:lineRule="auto"/>
        <w:jc w:val="both"/>
        <w:rPr>
          <w:rFonts w:ascii="Arial" w:hAnsi="Arial" w:cs="Arial"/>
          <w:color w:val="767171" w:themeColor="background2" w:themeShade="80"/>
          <w:sz w:val="22"/>
          <w:szCs w:val="22"/>
        </w:rPr>
      </w:pPr>
      <w:bookmarkStart w:id="682" w:name="_Toc202456931"/>
      <w:bookmarkStart w:id="683" w:name="_Toc156586900"/>
      <w:r w:rsidRPr="00FA4B2D">
        <w:rPr>
          <w:rFonts w:ascii="Arial" w:hAnsi="Arial" w:cs="Arial"/>
          <w:color w:val="767171" w:themeColor="background2" w:themeShade="80"/>
          <w:sz w:val="22"/>
          <w:szCs w:val="22"/>
        </w:rPr>
        <w:t>Situación educativa de la población</w:t>
      </w:r>
      <w:bookmarkEnd w:id="682"/>
    </w:p>
    <w:p w14:paraId="51026D29" w14:textId="77777777" w:rsidR="006A3DBC" w:rsidRPr="00FA4B2D" w:rsidRDefault="006A3DBC" w:rsidP="006A3DBC">
      <w:pPr>
        <w:spacing w:after="0"/>
        <w:jc w:val="both"/>
        <w:rPr>
          <w:rFonts w:cs="Arial"/>
          <w:lang w:eastAsia="es-SV"/>
        </w:rPr>
      </w:pPr>
    </w:p>
    <w:p w14:paraId="65228E24" w14:textId="77777777" w:rsidR="006A3DBC" w:rsidRPr="00FA4B2D" w:rsidRDefault="006A3DBC" w:rsidP="006A3DBC">
      <w:pPr>
        <w:jc w:val="both"/>
        <w:rPr>
          <w:rFonts w:cs="Arial"/>
          <w:lang w:eastAsia="es-SV"/>
        </w:rPr>
      </w:pPr>
      <w:r w:rsidRPr="00FA4B2D">
        <w:rPr>
          <w:rFonts w:cs="Arial"/>
          <w:lang w:eastAsia="es-SV"/>
        </w:rPr>
        <w:t xml:space="preserve">En el caso de los tres departamentos los resultados de INE señalan que en total 190,071 personas no tienen ningún nivel educativo. En Olancho, un total de 87,417 personas (43,271 mujeres y 44,146 hombres) no poseen ningún nivel educativo, en Valle, un total de 20,775 personas (11,899 mujeres y 8,876 hombres) no poseen ningún nivel educativo y en Yoro, son 81,879 personas (43,095 mujeres y 38,784 hombres) no poseen ningún nivel educativo alcanzado. </w:t>
      </w:r>
    </w:p>
    <w:p w14:paraId="79B3E985" w14:textId="77777777" w:rsidR="006A3DBC" w:rsidRPr="00FA4B2D" w:rsidRDefault="006A3DBC" w:rsidP="006A3DBC">
      <w:pPr>
        <w:jc w:val="both"/>
        <w:rPr>
          <w:rFonts w:cs="Arial"/>
          <w:lang w:eastAsia="es-SV"/>
        </w:rPr>
      </w:pPr>
      <w:r w:rsidRPr="00FA4B2D">
        <w:rPr>
          <w:rFonts w:cs="Arial"/>
          <w:lang w:eastAsia="es-SV"/>
        </w:rPr>
        <w:t xml:space="preserve">En relación con el resto de los niveles educativos se observa a nivel de los tres departamentos, que el 81.3% de la población no posee educación o esta es de nivel básico y ciclo común, como se presenta en la tabla siguientes. </w:t>
      </w:r>
    </w:p>
    <w:p w14:paraId="448FF741" w14:textId="47A22F9A" w:rsidR="00EF7331" w:rsidRDefault="00EF7331" w:rsidP="00EF7331">
      <w:pPr>
        <w:pStyle w:val="Descripcin"/>
        <w:keepNext/>
      </w:pPr>
      <w:bookmarkStart w:id="684" w:name="_Toc202455451"/>
      <w:r>
        <w:t xml:space="preserve">Tabla </w:t>
      </w:r>
      <w:r>
        <w:fldChar w:fldCharType="begin"/>
      </w:r>
      <w:r>
        <w:instrText xml:space="preserve"> SEQ Tabla \* ARABIC </w:instrText>
      </w:r>
      <w:r>
        <w:fldChar w:fldCharType="separate"/>
      </w:r>
      <w:r w:rsidR="000E6D86">
        <w:rPr>
          <w:noProof/>
        </w:rPr>
        <w:t>25</w:t>
      </w:r>
      <w:r>
        <w:fldChar w:fldCharType="end"/>
      </w:r>
      <w:r>
        <w:t xml:space="preserve">: </w:t>
      </w:r>
      <w:r w:rsidRPr="003B1D2C">
        <w:t>Nivel educativo más alto alcanzado</w:t>
      </w:r>
      <w:bookmarkEnd w:id="684"/>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89"/>
        <w:gridCol w:w="1266"/>
        <w:gridCol w:w="1266"/>
        <w:gridCol w:w="1266"/>
        <w:gridCol w:w="1193"/>
        <w:gridCol w:w="1376"/>
      </w:tblGrid>
      <w:tr w:rsidR="00CF0F96" w:rsidRPr="00CF0F96" w14:paraId="31E9628F" w14:textId="77777777" w:rsidTr="00016847">
        <w:trPr>
          <w:trHeight w:val="277"/>
          <w:jc w:val="center"/>
        </w:trPr>
        <w:tc>
          <w:tcPr>
            <w:tcW w:w="2789" w:type="dxa"/>
            <w:shd w:val="clear" w:color="auto" w:fill="5CC5DA"/>
            <w:vAlign w:val="center"/>
          </w:tcPr>
          <w:p w14:paraId="1030F865" w14:textId="77777777" w:rsidR="006A3DBC" w:rsidRPr="00CF0F96" w:rsidRDefault="006A3DBC" w:rsidP="005F4A92">
            <w:pPr>
              <w:spacing w:after="0" w:line="240" w:lineRule="auto"/>
              <w:jc w:val="center"/>
              <w:rPr>
                <w:rFonts w:eastAsia="Times New Roman" w:cs="Arial"/>
                <w:b/>
                <w:bCs/>
                <w:sz w:val="20"/>
                <w:szCs w:val="20"/>
                <w:lang w:eastAsia="es-SV"/>
              </w:rPr>
            </w:pPr>
            <w:r w:rsidRPr="00CF0F96">
              <w:rPr>
                <w:rFonts w:eastAsia="Times New Roman" w:cs="Arial"/>
                <w:b/>
                <w:bCs/>
                <w:sz w:val="20"/>
                <w:szCs w:val="20"/>
                <w:lang w:eastAsia="es-SV"/>
              </w:rPr>
              <w:t>Nivel educativo</w:t>
            </w:r>
          </w:p>
        </w:tc>
        <w:tc>
          <w:tcPr>
            <w:tcW w:w="1266" w:type="dxa"/>
            <w:shd w:val="clear" w:color="auto" w:fill="5CC5DA"/>
            <w:noWrap/>
            <w:vAlign w:val="center"/>
          </w:tcPr>
          <w:p w14:paraId="41B603D2" w14:textId="77777777" w:rsidR="006A3DBC" w:rsidRPr="00CF0F96" w:rsidRDefault="006A3DBC" w:rsidP="005F4A92">
            <w:pPr>
              <w:spacing w:after="0" w:line="240" w:lineRule="auto"/>
              <w:jc w:val="center"/>
              <w:rPr>
                <w:rFonts w:eastAsia="Times New Roman" w:cs="Arial"/>
                <w:b/>
                <w:bCs/>
                <w:sz w:val="20"/>
                <w:szCs w:val="20"/>
                <w:lang w:eastAsia="es-SV"/>
              </w:rPr>
            </w:pPr>
            <w:r w:rsidRPr="00CF0F96">
              <w:rPr>
                <w:rFonts w:eastAsia="Times New Roman" w:cs="Arial"/>
                <w:b/>
                <w:bCs/>
                <w:sz w:val="20"/>
                <w:szCs w:val="20"/>
                <w:lang w:eastAsia="es-SV"/>
              </w:rPr>
              <w:t>Hombre</w:t>
            </w:r>
          </w:p>
        </w:tc>
        <w:tc>
          <w:tcPr>
            <w:tcW w:w="1266" w:type="dxa"/>
            <w:shd w:val="clear" w:color="auto" w:fill="5CC5DA"/>
            <w:noWrap/>
            <w:vAlign w:val="center"/>
          </w:tcPr>
          <w:p w14:paraId="7EBD73EA" w14:textId="77777777" w:rsidR="006A3DBC" w:rsidRPr="00CF0F96" w:rsidRDefault="006A3DBC" w:rsidP="005F4A92">
            <w:pPr>
              <w:spacing w:after="0" w:line="240" w:lineRule="auto"/>
              <w:jc w:val="center"/>
              <w:rPr>
                <w:rFonts w:eastAsia="Times New Roman" w:cs="Arial"/>
                <w:b/>
                <w:bCs/>
                <w:sz w:val="20"/>
                <w:szCs w:val="20"/>
                <w:lang w:eastAsia="es-SV"/>
              </w:rPr>
            </w:pPr>
            <w:r w:rsidRPr="00CF0F96">
              <w:rPr>
                <w:rFonts w:eastAsia="Times New Roman" w:cs="Arial"/>
                <w:b/>
                <w:bCs/>
                <w:sz w:val="20"/>
                <w:szCs w:val="20"/>
                <w:lang w:eastAsia="es-SV"/>
              </w:rPr>
              <w:t>Mujer</w:t>
            </w:r>
          </w:p>
        </w:tc>
        <w:tc>
          <w:tcPr>
            <w:tcW w:w="1266" w:type="dxa"/>
            <w:shd w:val="clear" w:color="auto" w:fill="5CC5DA"/>
            <w:noWrap/>
            <w:vAlign w:val="center"/>
          </w:tcPr>
          <w:p w14:paraId="4514D60A" w14:textId="77777777" w:rsidR="006A3DBC" w:rsidRPr="00CF0F96" w:rsidRDefault="006A3DBC" w:rsidP="005F4A92">
            <w:pPr>
              <w:spacing w:after="0" w:line="240" w:lineRule="auto"/>
              <w:jc w:val="center"/>
              <w:rPr>
                <w:rFonts w:eastAsia="Times New Roman" w:cs="Arial"/>
                <w:b/>
                <w:bCs/>
                <w:sz w:val="20"/>
                <w:szCs w:val="20"/>
                <w:lang w:eastAsia="es-SV"/>
              </w:rPr>
            </w:pPr>
            <w:r w:rsidRPr="00CF0F96">
              <w:rPr>
                <w:rFonts w:eastAsia="Times New Roman" w:cs="Arial"/>
                <w:b/>
                <w:bCs/>
                <w:sz w:val="20"/>
                <w:szCs w:val="20"/>
                <w:lang w:eastAsia="es-SV"/>
              </w:rPr>
              <w:t>Total</w:t>
            </w:r>
          </w:p>
        </w:tc>
        <w:tc>
          <w:tcPr>
            <w:tcW w:w="1193" w:type="dxa"/>
            <w:shd w:val="clear" w:color="auto" w:fill="5CC5DA"/>
            <w:noWrap/>
            <w:vAlign w:val="center"/>
          </w:tcPr>
          <w:p w14:paraId="4B640530" w14:textId="77777777" w:rsidR="006A3DBC" w:rsidRPr="00CF0F96" w:rsidRDefault="006A3DBC" w:rsidP="005F4A92">
            <w:pPr>
              <w:spacing w:after="0" w:line="240" w:lineRule="auto"/>
              <w:jc w:val="center"/>
              <w:rPr>
                <w:rFonts w:cs="Arial"/>
                <w:b/>
                <w:bCs/>
                <w:sz w:val="20"/>
                <w:szCs w:val="20"/>
              </w:rPr>
            </w:pPr>
            <w:r w:rsidRPr="00CF0F96">
              <w:rPr>
                <w:rFonts w:cs="Arial"/>
                <w:b/>
                <w:bCs/>
                <w:sz w:val="20"/>
                <w:szCs w:val="20"/>
              </w:rPr>
              <w:t>%</w:t>
            </w:r>
          </w:p>
        </w:tc>
        <w:tc>
          <w:tcPr>
            <w:tcW w:w="1376" w:type="dxa"/>
            <w:shd w:val="clear" w:color="auto" w:fill="5CC5DA"/>
            <w:vAlign w:val="center"/>
          </w:tcPr>
          <w:p w14:paraId="5727EE2F" w14:textId="77777777" w:rsidR="006A3DBC" w:rsidRPr="00CF0F96" w:rsidRDefault="006A3DBC" w:rsidP="005F4A92">
            <w:pPr>
              <w:spacing w:after="0" w:line="240" w:lineRule="auto"/>
              <w:jc w:val="center"/>
              <w:rPr>
                <w:rFonts w:cs="Arial"/>
                <w:b/>
                <w:bCs/>
                <w:sz w:val="20"/>
                <w:szCs w:val="20"/>
              </w:rPr>
            </w:pPr>
            <w:r w:rsidRPr="00CF0F96">
              <w:rPr>
                <w:rFonts w:cs="Arial"/>
                <w:b/>
                <w:bCs/>
                <w:sz w:val="20"/>
                <w:szCs w:val="20"/>
              </w:rPr>
              <w:t>Frecuencia acumulada</w:t>
            </w:r>
          </w:p>
        </w:tc>
      </w:tr>
      <w:tr w:rsidR="00CF0F96" w:rsidRPr="00CF0F96" w14:paraId="4C61BED5" w14:textId="77777777" w:rsidTr="005F4A92">
        <w:trPr>
          <w:trHeight w:val="277"/>
          <w:jc w:val="center"/>
        </w:trPr>
        <w:tc>
          <w:tcPr>
            <w:tcW w:w="2789" w:type="dxa"/>
            <w:shd w:val="clear" w:color="000000" w:fill="E0E0E0"/>
            <w:hideMark/>
          </w:tcPr>
          <w:p w14:paraId="6176C77D" w14:textId="77777777" w:rsidR="006A3DBC" w:rsidRPr="00CF0F96" w:rsidRDefault="006A3DBC" w:rsidP="005F4A92">
            <w:pPr>
              <w:spacing w:after="0" w:line="240" w:lineRule="auto"/>
              <w:rPr>
                <w:rFonts w:eastAsia="Times New Roman" w:cs="Arial"/>
                <w:sz w:val="20"/>
                <w:szCs w:val="20"/>
                <w:lang w:eastAsia="es-SV"/>
              </w:rPr>
            </w:pPr>
            <w:r w:rsidRPr="00CF0F96">
              <w:rPr>
                <w:rFonts w:eastAsia="Times New Roman" w:cs="Arial"/>
                <w:sz w:val="20"/>
                <w:szCs w:val="20"/>
                <w:lang w:eastAsia="es-SV"/>
              </w:rPr>
              <w:t>Ninguno</w:t>
            </w:r>
          </w:p>
        </w:tc>
        <w:tc>
          <w:tcPr>
            <w:tcW w:w="1266" w:type="dxa"/>
            <w:shd w:val="clear" w:color="auto" w:fill="auto"/>
            <w:noWrap/>
            <w:hideMark/>
          </w:tcPr>
          <w:p w14:paraId="24CFE173" w14:textId="5D77018C" w:rsidR="006A3DBC" w:rsidRPr="00CF0F96" w:rsidRDefault="006A3DBC" w:rsidP="005B1A61">
            <w:pPr>
              <w:spacing w:after="0" w:line="240" w:lineRule="auto"/>
              <w:jc w:val="center"/>
              <w:rPr>
                <w:rFonts w:eastAsia="Times New Roman" w:cs="Arial"/>
                <w:sz w:val="20"/>
                <w:szCs w:val="20"/>
                <w:lang w:eastAsia="es-SV"/>
              </w:rPr>
            </w:pPr>
            <w:r w:rsidRPr="00CF0F96">
              <w:rPr>
                <w:rFonts w:eastAsia="Times New Roman" w:cs="Arial"/>
                <w:sz w:val="20"/>
                <w:szCs w:val="20"/>
                <w:lang w:eastAsia="es-SV"/>
              </w:rPr>
              <w:t>91</w:t>
            </w:r>
            <w:r w:rsidR="007F4D40" w:rsidRPr="00CF0F96">
              <w:rPr>
                <w:rFonts w:eastAsia="Times New Roman" w:cs="Arial"/>
                <w:sz w:val="20"/>
                <w:szCs w:val="20"/>
                <w:lang w:eastAsia="es-SV"/>
              </w:rPr>
              <w:t>,</w:t>
            </w:r>
            <w:r w:rsidRPr="00CF0F96">
              <w:rPr>
                <w:rFonts w:eastAsia="Times New Roman" w:cs="Arial"/>
                <w:sz w:val="20"/>
                <w:szCs w:val="20"/>
                <w:lang w:eastAsia="es-SV"/>
              </w:rPr>
              <w:t>806</w:t>
            </w:r>
          </w:p>
        </w:tc>
        <w:tc>
          <w:tcPr>
            <w:tcW w:w="1266" w:type="dxa"/>
            <w:shd w:val="clear" w:color="auto" w:fill="auto"/>
            <w:noWrap/>
            <w:hideMark/>
          </w:tcPr>
          <w:p w14:paraId="5608C6DA" w14:textId="04B175CC" w:rsidR="006A3DBC" w:rsidRPr="00CF0F96" w:rsidRDefault="006A3DBC" w:rsidP="005B1A61">
            <w:pPr>
              <w:spacing w:after="0" w:line="240" w:lineRule="auto"/>
              <w:jc w:val="center"/>
              <w:rPr>
                <w:rFonts w:eastAsia="Times New Roman" w:cs="Arial"/>
                <w:sz w:val="20"/>
                <w:szCs w:val="20"/>
                <w:lang w:eastAsia="es-SV"/>
              </w:rPr>
            </w:pPr>
            <w:r w:rsidRPr="00CF0F96">
              <w:rPr>
                <w:rFonts w:eastAsia="Times New Roman" w:cs="Arial"/>
                <w:sz w:val="20"/>
                <w:szCs w:val="20"/>
                <w:lang w:eastAsia="es-SV"/>
              </w:rPr>
              <w:t>98</w:t>
            </w:r>
            <w:r w:rsidR="007F4D40" w:rsidRPr="00CF0F96">
              <w:rPr>
                <w:rFonts w:eastAsia="Times New Roman" w:cs="Arial"/>
                <w:sz w:val="20"/>
                <w:szCs w:val="20"/>
                <w:lang w:eastAsia="es-SV"/>
              </w:rPr>
              <w:t>,</w:t>
            </w:r>
            <w:r w:rsidRPr="00CF0F96">
              <w:rPr>
                <w:rFonts w:eastAsia="Times New Roman" w:cs="Arial"/>
                <w:sz w:val="20"/>
                <w:szCs w:val="20"/>
                <w:lang w:eastAsia="es-SV"/>
              </w:rPr>
              <w:t>265</w:t>
            </w:r>
          </w:p>
        </w:tc>
        <w:tc>
          <w:tcPr>
            <w:tcW w:w="1266" w:type="dxa"/>
            <w:shd w:val="clear" w:color="auto" w:fill="auto"/>
            <w:noWrap/>
            <w:hideMark/>
          </w:tcPr>
          <w:p w14:paraId="29C17D60" w14:textId="56E3722E" w:rsidR="006A3DBC" w:rsidRPr="00CF0F96" w:rsidRDefault="006A3DBC" w:rsidP="005B1A61">
            <w:pPr>
              <w:spacing w:after="0" w:line="240" w:lineRule="auto"/>
              <w:jc w:val="center"/>
              <w:rPr>
                <w:rFonts w:eastAsia="Times New Roman" w:cs="Arial"/>
                <w:sz w:val="20"/>
                <w:szCs w:val="20"/>
                <w:lang w:eastAsia="es-SV"/>
              </w:rPr>
            </w:pPr>
            <w:r w:rsidRPr="00CF0F96">
              <w:rPr>
                <w:rFonts w:eastAsia="Times New Roman" w:cs="Arial"/>
                <w:sz w:val="20"/>
                <w:szCs w:val="20"/>
                <w:lang w:eastAsia="es-SV"/>
              </w:rPr>
              <w:t>190</w:t>
            </w:r>
            <w:r w:rsidR="007F4D40" w:rsidRPr="00CF0F96">
              <w:rPr>
                <w:rFonts w:eastAsia="Times New Roman" w:cs="Arial"/>
                <w:sz w:val="20"/>
                <w:szCs w:val="20"/>
                <w:lang w:eastAsia="es-SV"/>
              </w:rPr>
              <w:t>,</w:t>
            </w:r>
            <w:r w:rsidRPr="00CF0F96">
              <w:rPr>
                <w:rFonts w:eastAsia="Times New Roman" w:cs="Arial"/>
                <w:sz w:val="20"/>
                <w:szCs w:val="20"/>
                <w:lang w:eastAsia="es-SV"/>
              </w:rPr>
              <w:t>071</w:t>
            </w:r>
          </w:p>
        </w:tc>
        <w:tc>
          <w:tcPr>
            <w:tcW w:w="1193" w:type="dxa"/>
            <w:shd w:val="clear" w:color="auto" w:fill="auto"/>
            <w:noWrap/>
            <w:vAlign w:val="bottom"/>
            <w:hideMark/>
          </w:tcPr>
          <w:p w14:paraId="7EF3A017" w14:textId="77777777" w:rsidR="006A3DBC" w:rsidRPr="00CF0F96" w:rsidRDefault="006A3DBC" w:rsidP="005B1A61">
            <w:pPr>
              <w:spacing w:after="0" w:line="240" w:lineRule="auto"/>
              <w:jc w:val="center"/>
              <w:rPr>
                <w:rFonts w:eastAsia="Times New Roman" w:cs="Arial"/>
                <w:sz w:val="20"/>
                <w:szCs w:val="20"/>
                <w:lang w:eastAsia="es-SV"/>
              </w:rPr>
            </w:pPr>
            <w:r w:rsidRPr="00CF0F96">
              <w:rPr>
                <w:rFonts w:cs="Arial"/>
                <w:sz w:val="20"/>
                <w:szCs w:val="20"/>
              </w:rPr>
              <w:t>19.0%</w:t>
            </w:r>
          </w:p>
        </w:tc>
        <w:tc>
          <w:tcPr>
            <w:tcW w:w="1376" w:type="dxa"/>
            <w:vAlign w:val="bottom"/>
          </w:tcPr>
          <w:p w14:paraId="635198DA" w14:textId="77777777" w:rsidR="006A3DBC" w:rsidRPr="00CF0F96" w:rsidRDefault="006A3DBC" w:rsidP="005B1A61">
            <w:pPr>
              <w:spacing w:after="0" w:line="240" w:lineRule="auto"/>
              <w:jc w:val="center"/>
              <w:rPr>
                <w:rFonts w:cs="Arial"/>
                <w:sz w:val="20"/>
                <w:szCs w:val="20"/>
              </w:rPr>
            </w:pPr>
            <w:r w:rsidRPr="00CF0F96">
              <w:rPr>
                <w:rFonts w:cs="Arial"/>
                <w:sz w:val="20"/>
                <w:szCs w:val="20"/>
              </w:rPr>
              <w:t>19.0%</w:t>
            </w:r>
          </w:p>
        </w:tc>
      </w:tr>
      <w:tr w:rsidR="00CF0F96" w:rsidRPr="00CF0F96" w14:paraId="46486C0A" w14:textId="77777777" w:rsidTr="005F4A92">
        <w:trPr>
          <w:trHeight w:val="277"/>
          <w:jc w:val="center"/>
        </w:trPr>
        <w:tc>
          <w:tcPr>
            <w:tcW w:w="2789" w:type="dxa"/>
            <w:shd w:val="clear" w:color="000000" w:fill="E0E0E0"/>
            <w:hideMark/>
          </w:tcPr>
          <w:p w14:paraId="5CE2D0D6" w14:textId="77777777" w:rsidR="006A3DBC" w:rsidRPr="00CF0F96" w:rsidRDefault="006A3DBC" w:rsidP="005F4A92">
            <w:pPr>
              <w:spacing w:after="0" w:line="240" w:lineRule="auto"/>
              <w:rPr>
                <w:rFonts w:eastAsia="Times New Roman" w:cs="Arial"/>
                <w:sz w:val="20"/>
                <w:szCs w:val="20"/>
                <w:lang w:eastAsia="es-SV"/>
              </w:rPr>
            </w:pPr>
            <w:r w:rsidRPr="00CF0F96">
              <w:rPr>
                <w:rFonts w:eastAsia="Times New Roman" w:cs="Arial"/>
                <w:sz w:val="20"/>
                <w:szCs w:val="20"/>
                <w:lang w:eastAsia="es-SV"/>
              </w:rPr>
              <w:t>Programa de alfabetización</w:t>
            </w:r>
          </w:p>
        </w:tc>
        <w:tc>
          <w:tcPr>
            <w:tcW w:w="1266" w:type="dxa"/>
            <w:shd w:val="clear" w:color="auto" w:fill="auto"/>
            <w:noWrap/>
            <w:hideMark/>
          </w:tcPr>
          <w:p w14:paraId="04728B52" w14:textId="77777777" w:rsidR="006A3DBC" w:rsidRPr="00CF0F96" w:rsidRDefault="006A3DBC" w:rsidP="005B1A61">
            <w:pPr>
              <w:spacing w:after="0" w:line="240" w:lineRule="auto"/>
              <w:jc w:val="center"/>
              <w:rPr>
                <w:rFonts w:eastAsia="Times New Roman" w:cs="Arial"/>
                <w:sz w:val="20"/>
                <w:szCs w:val="20"/>
                <w:lang w:eastAsia="es-SV"/>
              </w:rPr>
            </w:pPr>
            <w:r w:rsidRPr="00CF0F96">
              <w:rPr>
                <w:rFonts w:eastAsia="Times New Roman" w:cs="Arial"/>
                <w:sz w:val="20"/>
                <w:szCs w:val="20"/>
                <w:lang w:eastAsia="es-SV"/>
              </w:rPr>
              <w:t>525</w:t>
            </w:r>
          </w:p>
        </w:tc>
        <w:tc>
          <w:tcPr>
            <w:tcW w:w="1266" w:type="dxa"/>
            <w:shd w:val="clear" w:color="auto" w:fill="auto"/>
            <w:noWrap/>
            <w:hideMark/>
          </w:tcPr>
          <w:p w14:paraId="395779A5" w14:textId="27A405EC" w:rsidR="006A3DBC" w:rsidRPr="00CF0F96" w:rsidRDefault="006A3DBC" w:rsidP="005B1A61">
            <w:pPr>
              <w:spacing w:after="0" w:line="240" w:lineRule="auto"/>
              <w:jc w:val="center"/>
              <w:rPr>
                <w:rFonts w:eastAsia="Times New Roman" w:cs="Arial"/>
                <w:sz w:val="20"/>
                <w:szCs w:val="20"/>
                <w:lang w:eastAsia="es-SV"/>
              </w:rPr>
            </w:pPr>
            <w:r w:rsidRPr="00CF0F96">
              <w:rPr>
                <w:rFonts w:eastAsia="Times New Roman" w:cs="Arial"/>
                <w:sz w:val="20"/>
                <w:szCs w:val="20"/>
                <w:lang w:eastAsia="es-SV"/>
              </w:rPr>
              <w:t>1</w:t>
            </w:r>
            <w:r w:rsidR="007F4D40" w:rsidRPr="00CF0F96">
              <w:rPr>
                <w:rFonts w:eastAsia="Times New Roman" w:cs="Arial"/>
                <w:sz w:val="20"/>
                <w:szCs w:val="20"/>
                <w:lang w:eastAsia="es-SV"/>
              </w:rPr>
              <w:t>,</w:t>
            </w:r>
            <w:r w:rsidRPr="00CF0F96">
              <w:rPr>
                <w:rFonts w:eastAsia="Times New Roman" w:cs="Arial"/>
                <w:sz w:val="20"/>
                <w:szCs w:val="20"/>
                <w:lang w:eastAsia="es-SV"/>
              </w:rPr>
              <w:t>120</w:t>
            </w:r>
          </w:p>
        </w:tc>
        <w:tc>
          <w:tcPr>
            <w:tcW w:w="1266" w:type="dxa"/>
            <w:shd w:val="clear" w:color="auto" w:fill="auto"/>
            <w:noWrap/>
            <w:hideMark/>
          </w:tcPr>
          <w:p w14:paraId="6BE272E6" w14:textId="03C6AFE8" w:rsidR="006A3DBC" w:rsidRPr="00CF0F96" w:rsidRDefault="006A3DBC" w:rsidP="005B1A61">
            <w:pPr>
              <w:spacing w:after="0" w:line="240" w:lineRule="auto"/>
              <w:jc w:val="center"/>
              <w:rPr>
                <w:rFonts w:eastAsia="Times New Roman" w:cs="Arial"/>
                <w:sz w:val="20"/>
                <w:szCs w:val="20"/>
                <w:lang w:eastAsia="es-SV"/>
              </w:rPr>
            </w:pPr>
            <w:r w:rsidRPr="00CF0F96">
              <w:rPr>
                <w:rFonts w:eastAsia="Times New Roman" w:cs="Arial"/>
                <w:sz w:val="20"/>
                <w:szCs w:val="20"/>
                <w:lang w:eastAsia="es-SV"/>
              </w:rPr>
              <w:t>1</w:t>
            </w:r>
            <w:r w:rsidR="007F4D40" w:rsidRPr="00CF0F96">
              <w:rPr>
                <w:rFonts w:eastAsia="Times New Roman" w:cs="Arial"/>
                <w:sz w:val="20"/>
                <w:szCs w:val="20"/>
                <w:lang w:eastAsia="es-SV"/>
              </w:rPr>
              <w:t>,</w:t>
            </w:r>
            <w:r w:rsidRPr="00CF0F96">
              <w:rPr>
                <w:rFonts w:eastAsia="Times New Roman" w:cs="Arial"/>
                <w:sz w:val="20"/>
                <w:szCs w:val="20"/>
                <w:lang w:eastAsia="es-SV"/>
              </w:rPr>
              <w:t>645</w:t>
            </w:r>
          </w:p>
        </w:tc>
        <w:tc>
          <w:tcPr>
            <w:tcW w:w="1193" w:type="dxa"/>
            <w:shd w:val="clear" w:color="auto" w:fill="auto"/>
            <w:noWrap/>
            <w:vAlign w:val="bottom"/>
            <w:hideMark/>
          </w:tcPr>
          <w:p w14:paraId="695ED817" w14:textId="77777777" w:rsidR="006A3DBC" w:rsidRPr="00CF0F96" w:rsidRDefault="006A3DBC" w:rsidP="005B1A61">
            <w:pPr>
              <w:spacing w:after="0" w:line="240" w:lineRule="auto"/>
              <w:jc w:val="center"/>
              <w:rPr>
                <w:rFonts w:eastAsia="Times New Roman" w:cs="Arial"/>
                <w:sz w:val="20"/>
                <w:szCs w:val="20"/>
                <w:lang w:eastAsia="es-SV"/>
              </w:rPr>
            </w:pPr>
            <w:r w:rsidRPr="00CF0F96">
              <w:rPr>
                <w:rFonts w:cs="Arial"/>
                <w:sz w:val="20"/>
                <w:szCs w:val="20"/>
              </w:rPr>
              <w:t>0.2%</w:t>
            </w:r>
          </w:p>
        </w:tc>
        <w:tc>
          <w:tcPr>
            <w:tcW w:w="1376" w:type="dxa"/>
            <w:vAlign w:val="bottom"/>
          </w:tcPr>
          <w:p w14:paraId="7694D1FA" w14:textId="77777777" w:rsidR="006A3DBC" w:rsidRPr="00CF0F96" w:rsidRDefault="006A3DBC" w:rsidP="005B1A61">
            <w:pPr>
              <w:spacing w:after="0" w:line="240" w:lineRule="auto"/>
              <w:jc w:val="center"/>
              <w:rPr>
                <w:rFonts w:cs="Arial"/>
                <w:sz w:val="20"/>
                <w:szCs w:val="20"/>
              </w:rPr>
            </w:pPr>
            <w:r w:rsidRPr="00CF0F96">
              <w:rPr>
                <w:rFonts w:cs="Arial"/>
                <w:sz w:val="20"/>
                <w:szCs w:val="20"/>
              </w:rPr>
              <w:t>19.2%</w:t>
            </w:r>
          </w:p>
        </w:tc>
      </w:tr>
      <w:tr w:rsidR="00CF0F96" w:rsidRPr="00CF0F96" w14:paraId="43750E71" w14:textId="77777777" w:rsidTr="005F4A92">
        <w:trPr>
          <w:trHeight w:val="277"/>
          <w:jc w:val="center"/>
        </w:trPr>
        <w:tc>
          <w:tcPr>
            <w:tcW w:w="2789" w:type="dxa"/>
            <w:shd w:val="clear" w:color="000000" w:fill="E0E0E0"/>
            <w:hideMark/>
          </w:tcPr>
          <w:p w14:paraId="63659E29" w14:textId="77777777" w:rsidR="006A3DBC" w:rsidRPr="00CF0F96" w:rsidRDefault="006A3DBC" w:rsidP="005F4A92">
            <w:pPr>
              <w:spacing w:after="0" w:line="240" w:lineRule="auto"/>
              <w:rPr>
                <w:rFonts w:eastAsia="Times New Roman" w:cs="Arial"/>
                <w:sz w:val="20"/>
                <w:szCs w:val="20"/>
                <w:lang w:eastAsia="es-SV"/>
              </w:rPr>
            </w:pPr>
            <w:r w:rsidRPr="00CF0F96">
              <w:rPr>
                <w:rFonts w:eastAsia="Times New Roman" w:cs="Arial"/>
                <w:sz w:val="20"/>
                <w:szCs w:val="20"/>
                <w:lang w:eastAsia="es-SV"/>
              </w:rPr>
              <w:t>Pre-básica</w:t>
            </w:r>
          </w:p>
        </w:tc>
        <w:tc>
          <w:tcPr>
            <w:tcW w:w="1266" w:type="dxa"/>
            <w:shd w:val="clear" w:color="auto" w:fill="auto"/>
            <w:noWrap/>
            <w:hideMark/>
          </w:tcPr>
          <w:p w14:paraId="4C7185A0" w14:textId="5BF03F94" w:rsidR="006A3DBC" w:rsidRPr="00CF0F96" w:rsidRDefault="006A3DBC" w:rsidP="005B1A61">
            <w:pPr>
              <w:spacing w:after="0" w:line="240" w:lineRule="auto"/>
              <w:jc w:val="center"/>
              <w:rPr>
                <w:rFonts w:eastAsia="Times New Roman" w:cs="Arial"/>
                <w:sz w:val="20"/>
                <w:szCs w:val="20"/>
                <w:lang w:eastAsia="es-SV"/>
              </w:rPr>
            </w:pPr>
            <w:r w:rsidRPr="00CF0F96">
              <w:rPr>
                <w:rFonts w:eastAsia="Times New Roman" w:cs="Arial"/>
                <w:sz w:val="20"/>
                <w:szCs w:val="20"/>
                <w:lang w:eastAsia="es-SV"/>
              </w:rPr>
              <w:t>5</w:t>
            </w:r>
            <w:r w:rsidR="007F4D40" w:rsidRPr="00CF0F96">
              <w:rPr>
                <w:rFonts w:eastAsia="Times New Roman" w:cs="Arial"/>
                <w:sz w:val="20"/>
                <w:szCs w:val="20"/>
                <w:lang w:eastAsia="es-SV"/>
              </w:rPr>
              <w:t>,</w:t>
            </w:r>
            <w:r w:rsidRPr="00CF0F96">
              <w:rPr>
                <w:rFonts w:eastAsia="Times New Roman" w:cs="Arial"/>
                <w:sz w:val="20"/>
                <w:szCs w:val="20"/>
                <w:lang w:eastAsia="es-SV"/>
              </w:rPr>
              <w:t>138</w:t>
            </w:r>
          </w:p>
        </w:tc>
        <w:tc>
          <w:tcPr>
            <w:tcW w:w="1266" w:type="dxa"/>
            <w:shd w:val="clear" w:color="auto" w:fill="auto"/>
            <w:noWrap/>
            <w:hideMark/>
          </w:tcPr>
          <w:p w14:paraId="3A203932" w14:textId="79D10429" w:rsidR="006A3DBC" w:rsidRPr="00CF0F96" w:rsidRDefault="006A3DBC" w:rsidP="005B1A61">
            <w:pPr>
              <w:spacing w:after="0" w:line="240" w:lineRule="auto"/>
              <w:jc w:val="center"/>
              <w:rPr>
                <w:rFonts w:eastAsia="Times New Roman" w:cs="Arial"/>
                <w:sz w:val="20"/>
                <w:szCs w:val="20"/>
                <w:lang w:eastAsia="es-SV"/>
              </w:rPr>
            </w:pPr>
            <w:r w:rsidRPr="00CF0F96">
              <w:rPr>
                <w:rFonts w:eastAsia="Times New Roman" w:cs="Arial"/>
                <w:sz w:val="20"/>
                <w:szCs w:val="20"/>
                <w:lang w:eastAsia="es-SV"/>
              </w:rPr>
              <w:t>4</w:t>
            </w:r>
            <w:r w:rsidR="007F4D40" w:rsidRPr="00CF0F96">
              <w:rPr>
                <w:rFonts w:eastAsia="Times New Roman" w:cs="Arial"/>
                <w:sz w:val="20"/>
                <w:szCs w:val="20"/>
                <w:lang w:eastAsia="es-SV"/>
              </w:rPr>
              <w:t>,</w:t>
            </w:r>
            <w:r w:rsidRPr="00CF0F96">
              <w:rPr>
                <w:rFonts w:eastAsia="Times New Roman" w:cs="Arial"/>
                <w:sz w:val="20"/>
                <w:szCs w:val="20"/>
                <w:lang w:eastAsia="es-SV"/>
              </w:rPr>
              <w:t>088</w:t>
            </w:r>
          </w:p>
        </w:tc>
        <w:tc>
          <w:tcPr>
            <w:tcW w:w="1266" w:type="dxa"/>
            <w:shd w:val="clear" w:color="auto" w:fill="auto"/>
            <w:noWrap/>
            <w:hideMark/>
          </w:tcPr>
          <w:p w14:paraId="013F067D" w14:textId="7600376E" w:rsidR="006A3DBC" w:rsidRPr="00CF0F96" w:rsidRDefault="006A3DBC" w:rsidP="005B1A61">
            <w:pPr>
              <w:spacing w:after="0" w:line="240" w:lineRule="auto"/>
              <w:jc w:val="center"/>
              <w:rPr>
                <w:rFonts w:eastAsia="Times New Roman" w:cs="Arial"/>
                <w:sz w:val="20"/>
                <w:szCs w:val="20"/>
                <w:lang w:eastAsia="es-SV"/>
              </w:rPr>
            </w:pPr>
            <w:r w:rsidRPr="00CF0F96">
              <w:rPr>
                <w:rFonts w:eastAsia="Times New Roman" w:cs="Arial"/>
                <w:sz w:val="20"/>
                <w:szCs w:val="20"/>
                <w:lang w:eastAsia="es-SV"/>
              </w:rPr>
              <w:t>9</w:t>
            </w:r>
            <w:r w:rsidR="007F4D40" w:rsidRPr="00CF0F96">
              <w:rPr>
                <w:rFonts w:eastAsia="Times New Roman" w:cs="Arial"/>
                <w:sz w:val="20"/>
                <w:szCs w:val="20"/>
                <w:lang w:eastAsia="es-SV"/>
              </w:rPr>
              <w:t>,</w:t>
            </w:r>
            <w:r w:rsidRPr="00CF0F96">
              <w:rPr>
                <w:rFonts w:eastAsia="Times New Roman" w:cs="Arial"/>
                <w:sz w:val="20"/>
                <w:szCs w:val="20"/>
                <w:lang w:eastAsia="es-SV"/>
              </w:rPr>
              <w:t>226</w:t>
            </w:r>
          </w:p>
        </w:tc>
        <w:tc>
          <w:tcPr>
            <w:tcW w:w="1193" w:type="dxa"/>
            <w:shd w:val="clear" w:color="auto" w:fill="auto"/>
            <w:noWrap/>
            <w:vAlign w:val="bottom"/>
            <w:hideMark/>
          </w:tcPr>
          <w:p w14:paraId="69E89C49" w14:textId="77777777" w:rsidR="006A3DBC" w:rsidRPr="00CF0F96" w:rsidRDefault="006A3DBC" w:rsidP="005B1A61">
            <w:pPr>
              <w:spacing w:after="0" w:line="240" w:lineRule="auto"/>
              <w:jc w:val="center"/>
              <w:rPr>
                <w:rFonts w:eastAsia="Times New Roman" w:cs="Arial"/>
                <w:sz w:val="20"/>
                <w:szCs w:val="20"/>
                <w:lang w:eastAsia="es-SV"/>
              </w:rPr>
            </w:pPr>
            <w:r w:rsidRPr="00CF0F96">
              <w:rPr>
                <w:rFonts w:cs="Arial"/>
                <w:sz w:val="20"/>
                <w:szCs w:val="20"/>
              </w:rPr>
              <w:t>0.9%</w:t>
            </w:r>
          </w:p>
        </w:tc>
        <w:tc>
          <w:tcPr>
            <w:tcW w:w="1376" w:type="dxa"/>
            <w:vAlign w:val="bottom"/>
          </w:tcPr>
          <w:p w14:paraId="1BC0832D" w14:textId="77777777" w:rsidR="006A3DBC" w:rsidRPr="00CF0F96" w:rsidRDefault="006A3DBC" w:rsidP="005B1A61">
            <w:pPr>
              <w:spacing w:after="0" w:line="240" w:lineRule="auto"/>
              <w:jc w:val="center"/>
              <w:rPr>
                <w:rFonts w:cs="Arial"/>
                <w:sz w:val="20"/>
                <w:szCs w:val="20"/>
              </w:rPr>
            </w:pPr>
            <w:r w:rsidRPr="00CF0F96">
              <w:rPr>
                <w:rFonts w:cs="Arial"/>
                <w:sz w:val="20"/>
                <w:szCs w:val="20"/>
              </w:rPr>
              <w:t>20.1%</w:t>
            </w:r>
          </w:p>
        </w:tc>
      </w:tr>
      <w:tr w:rsidR="00CF0F96" w:rsidRPr="00CF0F96" w14:paraId="325AACF3" w14:textId="77777777" w:rsidTr="005F4A92">
        <w:trPr>
          <w:trHeight w:val="277"/>
          <w:jc w:val="center"/>
        </w:trPr>
        <w:tc>
          <w:tcPr>
            <w:tcW w:w="2789" w:type="dxa"/>
            <w:shd w:val="clear" w:color="000000" w:fill="E0E0E0"/>
            <w:hideMark/>
          </w:tcPr>
          <w:p w14:paraId="7CB7EE9F" w14:textId="77777777" w:rsidR="006A3DBC" w:rsidRPr="00CF0F96" w:rsidRDefault="006A3DBC" w:rsidP="005F4A92">
            <w:pPr>
              <w:spacing w:after="0" w:line="240" w:lineRule="auto"/>
              <w:rPr>
                <w:rFonts w:eastAsia="Times New Roman" w:cs="Arial"/>
                <w:sz w:val="20"/>
                <w:szCs w:val="20"/>
                <w:lang w:eastAsia="es-SV"/>
              </w:rPr>
            </w:pPr>
            <w:r w:rsidRPr="00CF0F96">
              <w:rPr>
                <w:rFonts w:eastAsia="Times New Roman" w:cs="Arial"/>
                <w:sz w:val="20"/>
                <w:szCs w:val="20"/>
                <w:lang w:eastAsia="es-SV"/>
              </w:rPr>
              <w:t>Básica</w:t>
            </w:r>
          </w:p>
        </w:tc>
        <w:tc>
          <w:tcPr>
            <w:tcW w:w="1266" w:type="dxa"/>
            <w:shd w:val="clear" w:color="auto" w:fill="auto"/>
            <w:noWrap/>
            <w:hideMark/>
          </w:tcPr>
          <w:p w14:paraId="374A4758" w14:textId="2BE3BB8B" w:rsidR="006A3DBC" w:rsidRPr="00CF0F96" w:rsidRDefault="006A3DBC" w:rsidP="005B1A61">
            <w:pPr>
              <w:spacing w:after="0" w:line="240" w:lineRule="auto"/>
              <w:jc w:val="center"/>
              <w:rPr>
                <w:rFonts w:eastAsia="Times New Roman" w:cs="Arial"/>
                <w:sz w:val="20"/>
                <w:szCs w:val="20"/>
                <w:lang w:eastAsia="es-SV"/>
              </w:rPr>
            </w:pPr>
            <w:r w:rsidRPr="00CF0F96">
              <w:rPr>
                <w:rFonts w:eastAsia="Times New Roman" w:cs="Arial"/>
                <w:sz w:val="20"/>
                <w:szCs w:val="20"/>
                <w:lang w:eastAsia="es-SV"/>
              </w:rPr>
              <w:t>272</w:t>
            </w:r>
            <w:r w:rsidR="007F4D40" w:rsidRPr="00CF0F96">
              <w:rPr>
                <w:rFonts w:eastAsia="Times New Roman" w:cs="Arial"/>
                <w:sz w:val="20"/>
                <w:szCs w:val="20"/>
                <w:lang w:eastAsia="es-SV"/>
              </w:rPr>
              <w:t>,</w:t>
            </w:r>
            <w:r w:rsidRPr="00CF0F96">
              <w:rPr>
                <w:rFonts w:eastAsia="Times New Roman" w:cs="Arial"/>
                <w:sz w:val="20"/>
                <w:szCs w:val="20"/>
                <w:lang w:eastAsia="es-SV"/>
              </w:rPr>
              <w:t>611</w:t>
            </w:r>
          </w:p>
        </w:tc>
        <w:tc>
          <w:tcPr>
            <w:tcW w:w="1266" w:type="dxa"/>
            <w:shd w:val="clear" w:color="auto" w:fill="auto"/>
            <w:noWrap/>
            <w:hideMark/>
          </w:tcPr>
          <w:p w14:paraId="379FBEEE" w14:textId="1B37C11B" w:rsidR="006A3DBC" w:rsidRPr="00CF0F96" w:rsidRDefault="006A3DBC" w:rsidP="005B1A61">
            <w:pPr>
              <w:spacing w:after="0" w:line="240" w:lineRule="auto"/>
              <w:jc w:val="center"/>
              <w:rPr>
                <w:rFonts w:eastAsia="Times New Roman" w:cs="Arial"/>
                <w:sz w:val="20"/>
                <w:szCs w:val="20"/>
                <w:lang w:eastAsia="es-SV"/>
              </w:rPr>
            </w:pPr>
            <w:r w:rsidRPr="00CF0F96">
              <w:rPr>
                <w:rFonts w:eastAsia="Times New Roman" w:cs="Arial"/>
                <w:sz w:val="20"/>
                <w:szCs w:val="20"/>
                <w:lang w:eastAsia="es-SV"/>
              </w:rPr>
              <w:t>270</w:t>
            </w:r>
            <w:r w:rsidR="007F4D40" w:rsidRPr="00CF0F96">
              <w:rPr>
                <w:rFonts w:eastAsia="Times New Roman" w:cs="Arial"/>
                <w:sz w:val="20"/>
                <w:szCs w:val="20"/>
                <w:lang w:eastAsia="es-SV"/>
              </w:rPr>
              <w:t>,</w:t>
            </w:r>
            <w:r w:rsidRPr="00CF0F96">
              <w:rPr>
                <w:rFonts w:eastAsia="Times New Roman" w:cs="Arial"/>
                <w:sz w:val="20"/>
                <w:szCs w:val="20"/>
                <w:lang w:eastAsia="es-SV"/>
              </w:rPr>
              <w:t>470</w:t>
            </w:r>
          </w:p>
        </w:tc>
        <w:tc>
          <w:tcPr>
            <w:tcW w:w="1266" w:type="dxa"/>
            <w:shd w:val="clear" w:color="auto" w:fill="auto"/>
            <w:noWrap/>
            <w:hideMark/>
          </w:tcPr>
          <w:p w14:paraId="066C80A3" w14:textId="75595D1C" w:rsidR="006A3DBC" w:rsidRPr="00CF0F96" w:rsidRDefault="006A3DBC" w:rsidP="005B1A61">
            <w:pPr>
              <w:spacing w:after="0" w:line="240" w:lineRule="auto"/>
              <w:jc w:val="center"/>
              <w:rPr>
                <w:rFonts w:eastAsia="Times New Roman" w:cs="Arial"/>
                <w:sz w:val="20"/>
                <w:szCs w:val="20"/>
                <w:lang w:eastAsia="es-SV"/>
              </w:rPr>
            </w:pPr>
            <w:r w:rsidRPr="00CF0F96">
              <w:rPr>
                <w:rFonts w:eastAsia="Times New Roman" w:cs="Arial"/>
                <w:sz w:val="20"/>
                <w:szCs w:val="20"/>
                <w:lang w:eastAsia="es-SV"/>
              </w:rPr>
              <w:t>543</w:t>
            </w:r>
            <w:r w:rsidR="007F4D40" w:rsidRPr="00CF0F96">
              <w:rPr>
                <w:rFonts w:eastAsia="Times New Roman" w:cs="Arial"/>
                <w:sz w:val="20"/>
                <w:szCs w:val="20"/>
                <w:lang w:eastAsia="es-SV"/>
              </w:rPr>
              <w:t>,</w:t>
            </w:r>
            <w:r w:rsidRPr="00CF0F96">
              <w:rPr>
                <w:rFonts w:eastAsia="Times New Roman" w:cs="Arial"/>
                <w:sz w:val="20"/>
                <w:szCs w:val="20"/>
                <w:lang w:eastAsia="es-SV"/>
              </w:rPr>
              <w:t>081</w:t>
            </w:r>
          </w:p>
        </w:tc>
        <w:tc>
          <w:tcPr>
            <w:tcW w:w="1193" w:type="dxa"/>
            <w:shd w:val="clear" w:color="auto" w:fill="auto"/>
            <w:noWrap/>
            <w:vAlign w:val="bottom"/>
            <w:hideMark/>
          </w:tcPr>
          <w:p w14:paraId="0B8FAE55" w14:textId="77777777" w:rsidR="006A3DBC" w:rsidRPr="00CF0F96" w:rsidRDefault="006A3DBC" w:rsidP="005B1A61">
            <w:pPr>
              <w:spacing w:after="0" w:line="240" w:lineRule="auto"/>
              <w:jc w:val="center"/>
              <w:rPr>
                <w:rFonts w:eastAsia="Times New Roman" w:cs="Arial"/>
                <w:sz w:val="20"/>
                <w:szCs w:val="20"/>
                <w:lang w:eastAsia="es-SV"/>
              </w:rPr>
            </w:pPr>
            <w:r w:rsidRPr="00CF0F96">
              <w:rPr>
                <w:rFonts w:cs="Arial"/>
                <w:sz w:val="20"/>
                <w:szCs w:val="20"/>
              </w:rPr>
              <w:t>54.3%</w:t>
            </w:r>
          </w:p>
        </w:tc>
        <w:tc>
          <w:tcPr>
            <w:tcW w:w="1376" w:type="dxa"/>
            <w:vAlign w:val="bottom"/>
          </w:tcPr>
          <w:p w14:paraId="221FA070" w14:textId="77777777" w:rsidR="006A3DBC" w:rsidRPr="00CF0F96" w:rsidRDefault="006A3DBC" w:rsidP="005B1A61">
            <w:pPr>
              <w:spacing w:after="0" w:line="240" w:lineRule="auto"/>
              <w:jc w:val="center"/>
              <w:rPr>
                <w:rFonts w:cs="Arial"/>
                <w:sz w:val="20"/>
                <w:szCs w:val="20"/>
              </w:rPr>
            </w:pPr>
            <w:r w:rsidRPr="00CF0F96">
              <w:rPr>
                <w:rFonts w:cs="Arial"/>
                <w:sz w:val="20"/>
                <w:szCs w:val="20"/>
              </w:rPr>
              <w:t>74.5%</w:t>
            </w:r>
          </w:p>
        </w:tc>
      </w:tr>
      <w:tr w:rsidR="00CF0F96" w:rsidRPr="00CF0F96" w14:paraId="6E4741A0" w14:textId="77777777" w:rsidTr="005F4A92">
        <w:trPr>
          <w:trHeight w:val="277"/>
          <w:jc w:val="center"/>
        </w:trPr>
        <w:tc>
          <w:tcPr>
            <w:tcW w:w="2789" w:type="dxa"/>
            <w:shd w:val="clear" w:color="000000" w:fill="E0E0E0"/>
            <w:hideMark/>
          </w:tcPr>
          <w:p w14:paraId="5BA9ABF6" w14:textId="77777777" w:rsidR="006A3DBC" w:rsidRPr="00CF0F96" w:rsidRDefault="006A3DBC" w:rsidP="005F4A92">
            <w:pPr>
              <w:spacing w:after="0" w:line="240" w:lineRule="auto"/>
              <w:rPr>
                <w:rFonts w:eastAsia="Times New Roman" w:cs="Arial"/>
                <w:sz w:val="20"/>
                <w:szCs w:val="20"/>
                <w:lang w:eastAsia="es-SV"/>
              </w:rPr>
            </w:pPr>
            <w:r w:rsidRPr="00CF0F96">
              <w:rPr>
                <w:rFonts w:eastAsia="Times New Roman" w:cs="Arial"/>
                <w:sz w:val="20"/>
                <w:szCs w:val="20"/>
                <w:lang w:eastAsia="es-SV"/>
              </w:rPr>
              <w:t>Ciclo común</w:t>
            </w:r>
          </w:p>
        </w:tc>
        <w:tc>
          <w:tcPr>
            <w:tcW w:w="1266" w:type="dxa"/>
            <w:shd w:val="clear" w:color="auto" w:fill="auto"/>
            <w:noWrap/>
            <w:hideMark/>
          </w:tcPr>
          <w:p w14:paraId="1736D35D" w14:textId="1351A4E0" w:rsidR="006A3DBC" w:rsidRPr="00CF0F96" w:rsidRDefault="006A3DBC" w:rsidP="005B1A61">
            <w:pPr>
              <w:spacing w:after="0" w:line="240" w:lineRule="auto"/>
              <w:jc w:val="center"/>
              <w:rPr>
                <w:rFonts w:eastAsia="Times New Roman" w:cs="Arial"/>
                <w:sz w:val="20"/>
                <w:szCs w:val="20"/>
                <w:lang w:eastAsia="es-SV"/>
              </w:rPr>
            </w:pPr>
            <w:r w:rsidRPr="00CF0F96">
              <w:rPr>
                <w:rFonts w:eastAsia="Times New Roman" w:cs="Arial"/>
                <w:sz w:val="20"/>
                <w:szCs w:val="20"/>
                <w:lang w:eastAsia="es-SV"/>
              </w:rPr>
              <w:t>33</w:t>
            </w:r>
            <w:r w:rsidR="007F4D40" w:rsidRPr="00CF0F96">
              <w:rPr>
                <w:rFonts w:eastAsia="Times New Roman" w:cs="Arial"/>
                <w:sz w:val="20"/>
                <w:szCs w:val="20"/>
                <w:lang w:eastAsia="es-SV"/>
              </w:rPr>
              <w:t>,</w:t>
            </w:r>
            <w:r w:rsidRPr="00CF0F96">
              <w:rPr>
                <w:rFonts w:eastAsia="Times New Roman" w:cs="Arial"/>
                <w:sz w:val="20"/>
                <w:szCs w:val="20"/>
                <w:lang w:eastAsia="es-SV"/>
              </w:rPr>
              <w:t>776</w:t>
            </w:r>
          </w:p>
        </w:tc>
        <w:tc>
          <w:tcPr>
            <w:tcW w:w="1266" w:type="dxa"/>
            <w:shd w:val="clear" w:color="auto" w:fill="auto"/>
            <w:noWrap/>
            <w:hideMark/>
          </w:tcPr>
          <w:p w14:paraId="2D5745D7" w14:textId="2286967F" w:rsidR="006A3DBC" w:rsidRPr="00CF0F96" w:rsidRDefault="006A3DBC" w:rsidP="005B1A61">
            <w:pPr>
              <w:spacing w:after="0" w:line="240" w:lineRule="auto"/>
              <w:jc w:val="center"/>
              <w:rPr>
                <w:rFonts w:eastAsia="Times New Roman" w:cs="Arial"/>
                <w:sz w:val="20"/>
                <w:szCs w:val="20"/>
                <w:lang w:eastAsia="es-SV"/>
              </w:rPr>
            </w:pPr>
            <w:r w:rsidRPr="00CF0F96">
              <w:rPr>
                <w:rFonts w:eastAsia="Times New Roman" w:cs="Arial"/>
                <w:sz w:val="20"/>
                <w:szCs w:val="20"/>
                <w:lang w:eastAsia="es-SV"/>
              </w:rPr>
              <w:t>35</w:t>
            </w:r>
            <w:r w:rsidR="007F4D40" w:rsidRPr="00CF0F96">
              <w:rPr>
                <w:rFonts w:eastAsia="Times New Roman" w:cs="Arial"/>
                <w:sz w:val="20"/>
                <w:szCs w:val="20"/>
                <w:lang w:eastAsia="es-SV"/>
              </w:rPr>
              <w:t>,</w:t>
            </w:r>
            <w:r w:rsidRPr="00CF0F96">
              <w:rPr>
                <w:rFonts w:eastAsia="Times New Roman" w:cs="Arial"/>
                <w:sz w:val="20"/>
                <w:szCs w:val="20"/>
                <w:lang w:eastAsia="es-SV"/>
              </w:rPr>
              <w:t>046</w:t>
            </w:r>
          </w:p>
        </w:tc>
        <w:tc>
          <w:tcPr>
            <w:tcW w:w="1266" w:type="dxa"/>
            <w:shd w:val="clear" w:color="auto" w:fill="auto"/>
            <w:noWrap/>
            <w:hideMark/>
          </w:tcPr>
          <w:p w14:paraId="081F25A5" w14:textId="310E9054" w:rsidR="006A3DBC" w:rsidRPr="00CF0F96" w:rsidRDefault="006A3DBC" w:rsidP="005B1A61">
            <w:pPr>
              <w:spacing w:after="0" w:line="240" w:lineRule="auto"/>
              <w:jc w:val="center"/>
              <w:rPr>
                <w:rFonts w:eastAsia="Times New Roman" w:cs="Arial"/>
                <w:sz w:val="20"/>
                <w:szCs w:val="20"/>
                <w:lang w:eastAsia="es-SV"/>
              </w:rPr>
            </w:pPr>
            <w:r w:rsidRPr="00CF0F96">
              <w:rPr>
                <w:rFonts w:eastAsia="Times New Roman" w:cs="Arial"/>
                <w:sz w:val="20"/>
                <w:szCs w:val="20"/>
                <w:lang w:eastAsia="es-SV"/>
              </w:rPr>
              <w:t>68</w:t>
            </w:r>
            <w:r w:rsidR="007F4D40" w:rsidRPr="00CF0F96">
              <w:rPr>
                <w:rFonts w:eastAsia="Times New Roman" w:cs="Arial"/>
                <w:sz w:val="20"/>
                <w:szCs w:val="20"/>
                <w:lang w:eastAsia="es-SV"/>
              </w:rPr>
              <w:t>,</w:t>
            </w:r>
            <w:r w:rsidRPr="00CF0F96">
              <w:rPr>
                <w:rFonts w:eastAsia="Times New Roman" w:cs="Arial"/>
                <w:sz w:val="20"/>
                <w:szCs w:val="20"/>
                <w:lang w:eastAsia="es-SV"/>
              </w:rPr>
              <w:t>822</w:t>
            </w:r>
          </w:p>
        </w:tc>
        <w:tc>
          <w:tcPr>
            <w:tcW w:w="1193" w:type="dxa"/>
            <w:shd w:val="clear" w:color="auto" w:fill="auto"/>
            <w:noWrap/>
            <w:vAlign w:val="bottom"/>
            <w:hideMark/>
          </w:tcPr>
          <w:p w14:paraId="2DF3EAEE" w14:textId="77777777" w:rsidR="006A3DBC" w:rsidRPr="00CF0F96" w:rsidRDefault="006A3DBC" w:rsidP="005B1A61">
            <w:pPr>
              <w:spacing w:after="0" w:line="240" w:lineRule="auto"/>
              <w:jc w:val="center"/>
              <w:rPr>
                <w:rFonts w:eastAsia="Times New Roman" w:cs="Arial"/>
                <w:sz w:val="20"/>
                <w:szCs w:val="20"/>
                <w:lang w:eastAsia="es-SV"/>
              </w:rPr>
            </w:pPr>
            <w:r w:rsidRPr="00CF0F96">
              <w:rPr>
                <w:rFonts w:cs="Arial"/>
                <w:sz w:val="20"/>
                <w:szCs w:val="20"/>
              </w:rPr>
              <w:t>6.9%</w:t>
            </w:r>
          </w:p>
        </w:tc>
        <w:tc>
          <w:tcPr>
            <w:tcW w:w="1376" w:type="dxa"/>
            <w:vAlign w:val="bottom"/>
          </w:tcPr>
          <w:p w14:paraId="01888AF3" w14:textId="77777777" w:rsidR="006A3DBC" w:rsidRPr="00CF0F96" w:rsidRDefault="006A3DBC" w:rsidP="005B1A61">
            <w:pPr>
              <w:spacing w:after="0" w:line="240" w:lineRule="auto"/>
              <w:jc w:val="center"/>
              <w:rPr>
                <w:rFonts w:cs="Arial"/>
                <w:sz w:val="20"/>
                <w:szCs w:val="20"/>
              </w:rPr>
            </w:pPr>
            <w:r w:rsidRPr="00CF0F96">
              <w:rPr>
                <w:rFonts w:cs="Arial"/>
                <w:sz w:val="20"/>
                <w:szCs w:val="20"/>
              </w:rPr>
              <w:t>81.3%</w:t>
            </w:r>
          </w:p>
        </w:tc>
      </w:tr>
      <w:tr w:rsidR="00CF0F96" w:rsidRPr="00CF0F96" w14:paraId="56675CD0" w14:textId="77777777" w:rsidTr="005F4A92">
        <w:trPr>
          <w:trHeight w:val="277"/>
          <w:jc w:val="center"/>
        </w:trPr>
        <w:tc>
          <w:tcPr>
            <w:tcW w:w="2789" w:type="dxa"/>
            <w:shd w:val="clear" w:color="000000" w:fill="E0E0E0"/>
            <w:hideMark/>
          </w:tcPr>
          <w:p w14:paraId="3EAD7D8E" w14:textId="77777777" w:rsidR="006A3DBC" w:rsidRPr="00CF0F96" w:rsidRDefault="006A3DBC" w:rsidP="005F4A92">
            <w:pPr>
              <w:spacing w:after="0" w:line="240" w:lineRule="auto"/>
              <w:rPr>
                <w:rFonts w:eastAsia="Times New Roman" w:cs="Arial"/>
                <w:sz w:val="20"/>
                <w:szCs w:val="20"/>
                <w:lang w:eastAsia="es-SV"/>
              </w:rPr>
            </w:pPr>
            <w:r w:rsidRPr="00CF0F96">
              <w:rPr>
                <w:rFonts w:eastAsia="Times New Roman" w:cs="Arial"/>
                <w:sz w:val="20"/>
                <w:szCs w:val="20"/>
                <w:lang w:eastAsia="es-SV"/>
              </w:rPr>
              <w:t>Diversificado</w:t>
            </w:r>
          </w:p>
        </w:tc>
        <w:tc>
          <w:tcPr>
            <w:tcW w:w="1266" w:type="dxa"/>
            <w:shd w:val="clear" w:color="auto" w:fill="auto"/>
            <w:noWrap/>
            <w:hideMark/>
          </w:tcPr>
          <w:p w14:paraId="20B67B4B" w14:textId="613034E3" w:rsidR="006A3DBC" w:rsidRPr="00CF0F96" w:rsidRDefault="006A3DBC" w:rsidP="005B1A61">
            <w:pPr>
              <w:spacing w:after="0" w:line="240" w:lineRule="auto"/>
              <w:jc w:val="center"/>
              <w:rPr>
                <w:rFonts w:eastAsia="Times New Roman" w:cs="Arial"/>
                <w:sz w:val="20"/>
                <w:szCs w:val="20"/>
                <w:lang w:eastAsia="es-SV"/>
              </w:rPr>
            </w:pPr>
            <w:r w:rsidRPr="00CF0F96">
              <w:rPr>
                <w:rFonts w:eastAsia="Times New Roman" w:cs="Arial"/>
                <w:sz w:val="20"/>
                <w:szCs w:val="20"/>
                <w:lang w:eastAsia="es-SV"/>
              </w:rPr>
              <w:t>57</w:t>
            </w:r>
            <w:r w:rsidR="007F4D40" w:rsidRPr="00CF0F96">
              <w:rPr>
                <w:rFonts w:eastAsia="Times New Roman" w:cs="Arial"/>
                <w:sz w:val="20"/>
                <w:szCs w:val="20"/>
                <w:lang w:eastAsia="es-SV"/>
              </w:rPr>
              <w:t>,</w:t>
            </w:r>
            <w:r w:rsidRPr="00CF0F96">
              <w:rPr>
                <w:rFonts w:eastAsia="Times New Roman" w:cs="Arial"/>
                <w:sz w:val="20"/>
                <w:szCs w:val="20"/>
                <w:lang w:eastAsia="es-SV"/>
              </w:rPr>
              <w:t>329</w:t>
            </w:r>
          </w:p>
        </w:tc>
        <w:tc>
          <w:tcPr>
            <w:tcW w:w="1266" w:type="dxa"/>
            <w:shd w:val="clear" w:color="auto" w:fill="auto"/>
            <w:noWrap/>
            <w:hideMark/>
          </w:tcPr>
          <w:p w14:paraId="13A4A365" w14:textId="05B3C094" w:rsidR="006A3DBC" w:rsidRPr="00CF0F96" w:rsidRDefault="006A3DBC" w:rsidP="005B1A61">
            <w:pPr>
              <w:spacing w:after="0" w:line="240" w:lineRule="auto"/>
              <w:jc w:val="center"/>
              <w:rPr>
                <w:rFonts w:eastAsia="Times New Roman" w:cs="Arial"/>
                <w:sz w:val="20"/>
                <w:szCs w:val="20"/>
                <w:lang w:eastAsia="es-SV"/>
              </w:rPr>
            </w:pPr>
            <w:r w:rsidRPr="00CF0F96">
              <w:rPr>
                <w:rFonts w:eastAsia="Times New Roman" w:cs="Arial"/>
                <w:sz w:val="20"/>
                <w:szCs w:val="20"/>
                <w:lang w:eastAsia="es-SV"/>
              </w:rPr>
              <w:t>83</w:t>
            </w:r>
            <w:r w:rsidR="007F4D40" w:rsidRPr="00CF0F96">
              <w:rPr>
                <w:rFonts w:eastAsia="Times New Roman" w:cs="Arial"/>
                <w:sz w:val="20"/>
                <w:szCs w:val="20"/>
                <w:lang w:eastAsia="es-SV"/>
              </w:rPr>
              <w:t>,</w:t>
            </w:r>
            <w:r w:rsidRPr="00CF0F96">
              <w:rPr>
                <w:rFonts w:eastAsia="Times New Roman" w:cs="Arial"/>
                <w:sz w:val="20"/>
                <w:szCs w:val="20"/>
                <w:lang w:eastAsia="es-SV"/>
              </w:rPr>
              <w:t>198</w:t>
            </w:r>
          </w:p>
        </w:tc>
        <w:tc>
          <w:tcPr>
            <w:tcW w:w="1266" w:type="dxa"/>
            <w:shd w:val="clear" w:color="auto" w:fill="auto"/>
            <w:noWrap/>
            <w:hideMark/>
          </w:tcPr>
          <w:p w14:paraId="2E1D278B" w14:textId="67326DCB" w:rsidR="006A3DBC" w:rsidRPr="00CF0F96" w:rsidRDefault="006A3DBC" w:rsidP="005B1A61">
            <w:pPr>
              <w:spacing w:after="0" w:line="240" w:lineRule="auto"/>
              <w:jc w:val="center"/>
              <w:rPr>
                <w:rFonts w:eastAsia="Times New Roman" w:cs="Arial"/>
                <w:sz w:val="20"/>
                <w:szCs w:val="20"/>
                <w:lang w:eastAsia="es-SV"/>
              </w:rPr>
            </w:pPr>
            <w:r w:rsidRPr="00CF0F96">
              <w:rPr>
                <w:rFonts w:eastAsia="Times New Roman" w:cs="Arial"/>
                <w:sz w:val="20"/>
                <w:szCs w:val="20"/>
                <w:lang w:eastAsia="es-SV"/>
              </w:rPr>
              <w:t>140</w:t>
            </w:r>
            <w:r w:rsidR="007F4D40" w:rsidRPr="00CF0F96">
              <w:rPr>
                <w:rFonts w:eastAsia="Times New Roman" w:cs="Arial"/>
                <w:sz w:val="20"/>
                <w:szCs w:val="20"/>
                <w:lang w:eastAsia="es-SV"/>
              </w:rPr>
              <w:t>,</w:t>
            </w:r>
            <w:r w:rsidRPr="00CF0F96">
              <w:rPr>
                <w:rFonts w:eastAsia="Times New Roman" w:cs="Arial"/>
                <w:sz w:val="20"/>
                <w:szCs w:val="20"/>
                <w:lang w:eastAsia="es-SV"/>
              </w:rPr>
              <w:t>527</w:t>
            </w:r>
          </w:p>
        </w:tc>
        <w:tc>
          <w:tcPr>
            <w:tcW w:w="1193" w:type="dxa"/>
            <w:shd w:val="clear" w:color="auto" w:fill="auto"/>
            <w:noWrap/>
            <w:vAlign w:val="bottom"/>
            <w:hideMark/>
          </w:tcPr>
          <w:p w14:paraId="2F82CEC6" w14:textId="77777777" w:rsidR="006A3DBC" w:rsidRPr="00CF0F96" w:rsidRDefault="006A3DBC" w:rsidP="005B1A61">
            <w:pPr>
              <w:spacing w:after="0" w:line="240" w:lineRule="auto"/>
              <w:jc w:val="center"/>
              <w:rPr>
                <w:rFonts w:eastAsia="Times New Roman" w:cs="Arial"/>
                <w:sz w:val="20"/>
                <w:szCs w:val="20"/>
                <w:lang w:eastAsia="es-SV"/>
              </w:rPr>
            </w:pPr>
            <w:r w:rsidRPr="00CF0F96">
              <w:rPr>
                <w:rFonts w:cs="Arial"/>
                <w:sz w:val="20"/>
                <w:szCs w:val="20"/>
              </w:rPr>
              <w:t>14.1%</w:t>
            </w:r>
          </w:p>
        </w:tc>
        <w:tc>
          <w:tcPr>
            <w:tcW w:w="1376" w:type="dxa"/>
            <w:vAlign w:val="bottom"/>
          </w:tcPr>
          <w:p w14:paraId="48433C26" w14:textId="77777777" w:rsidR="006A3DBC" w:rsidRPr="00CF0F96" w:rsidRDefault="006A3DBC" w:rsidP="005B1A61">
            <w:pPr>
              <w:spacing w:after="0" w:line="240" w:lineRule="auto"/>
              <w:jc w:val="center"/>
              <w:rPr>
                <w:rFonts w:cs="Arial"/>
                <w:sz w:val="20"/>
                <w:szCs w:val="20"/>
              </w:rPr>
            </w:pPr>
            <w:r w:rsidRPr="00CF0F96">
              <w:rPr>
                <w:rFonts w:cs="Arial"/>
                <w:sz w:val="20"/>
                <w:szCs w:val="20"/>
              </w:rPr>
              <w:t>95.4%</w:t>
            </w:r>
          </w:p>
        </w:tc>
      </w:tr>
      <w:tr w:rsidR="00CF0F96" w:rsidRPr="00CF0F96" w14:paraId="4F2FE4A2" w14:textId="77777777" w:rsidTr="005F4A92">
        <w:trPr>
          <w:trHeight w:val="277"/>
          <w:jc w:val="center"/>
        </w:trPr>
        <w:tc>
          <w:tcPr>
            <w:tcW w:w="2789" w:type="dxa"/>
            <w:shd w:val="clear" w:color="000000" w:fill="E0E0E0"/>
            <w:hideMark/>
          </w:tcPr>
          <w:p w14:paraId="56607DB0" w14:textId="77777777" w:rsidR="006A3DBC" w:rsidRPr="00CF0F96" w:rsidRDefault="006A3DBC" w:rsidP="005F4A92">
            <w:pPr>
              <w:spacing w:after="0" w:line="240" w:lineRule="auto"/>
              <w:rPr>
                <w:rFonts w:eastAsia="Times New Roman" w:cs="Arial"/>
                <w:sz w:val="20"/>
                <w:szCs w:val="20"/>
                <w:lang w:eastAsia="es-SV"/>
              </w:rPr>
            </w:pPr>
            <w:r w:rsidRPr="00CF0F96">
              <w:rPr>
                <w:rFonts w:eastAsia="Times New Roman" w:cs="Arial"/>
                <w:sz w:val="20"/>
                <w:szCs w:val="20"/>
                <w:lang w:eastAsia="es-SV"/>
              </w:rPr>
              <w:t>Técnico superior</w:t>
            </w:r>
          </w:p>
        </w:tc>
        <w:tc>
          <w:tcPr>
            <w:tcW w:w="1266" w:type="dxa"/>
            <w:shd w:val="clear" w:color="auto" w:fill="auto"/>
            <w:noWrap/>
            <w:hideMark/>
          </w:tcPr>
          <w:p w14:paraId="4EC2B8E1" w14:textId="77777777" w:rsidR="006A3DBC" w:rsidRPr="00CF0F96" w:rsidRDefault="006A3DBC" w:rsidP="005B1A61">
            <w:pPr>
              <w:spacing w:after="0" w:line="240" w:lineRule="auto"/>
              <w:jc w:val="center"/>
              <w:rPr>
                <w:rFonts w:eastAsia="Times New Roman" w:cs="Arial"/>
                <w:sz w:val="20"/>
                <w:szCs w:val="20"/>
                <w:lang w:eastAsia="es-SV"/>
              </w:rPr>
            </w:pPr>
            <w:r w:rsidRPr="00CF0F96">
              <w:rPr>
                <w:rFonts w:eastAsia="Times New Roman" w:cs="Arial"/>
                <w:sz w:val="20"/>
                <w:szCs w:val="20"/>
                <w:lang w:eastAsia="es-SV"/>
              </w:rPr>
              <w:t>341</w:t>
            </w:r>
          </w:p>
        </w:tc>
        <w:tc>
          <w:tcPr>
            <w:tcW w:w="1266" w:type="dxa"/>
            <w:shd w:val="clear" w:color="auto" w:fill="auto"/>
            <w:noWrap/>
            <w:hideMark/>
          </w:tcPr>
          <w:p w14:paraId="1F3B77D1" w14:textId="77777777" w:rsidR="006A3DBC" w:rsidRPr="00CF0F96" w:rsidRDefault="006A3DBC" w:rsidP="005B1A61">
            <w:pPr>
              <w:spacing w:after="0" w:line="240" w:lineRule="auto"/>
              <w:jc w:val="center"/>
              <w:rPr>
                <w:rFonts w:eastAsia="Times New Roman" w:cs="Arial"/>
                <w:sz w:val="20"/>
                <w:szCs w:val="20"/>
                <w:lang w:eastAsia="es-SV"/>
              </w:rPr>
            </w:pPr>
            <w:r w:rsidRPr="00CF0F96">
              <w:rPr>
                <w:rFonts w:eastAsia="Times New Roman" w:cs="Arial"/>
                <w:sz w:val="20"/>
                <w:szCs w:val="20"/>
                <w:lang w:eastAsia="es-SV"/>
              </w:rPr>
              <w:t>898</w:t>
            </w:r>
          </w:p>
        </w:tc>
        <w:tc>
          <w:tcPr>
            <w:tcW w:w="1266" w:type="dxa"/>
            <w:shd w:val="clear" w:color="auto" w:fill="auto"/>
            <w:noWrap/>
            <w:hideMark/>
          </w:tcPr>
          <w:p w14:paraId="47704BDE" w14:textId="50A7E602" w:rsidR="006A3DBC" w:rsidRPr="00CF0F96" w:rsidRDefault="006A3DBC" w:rsidP="005B1A61">
            <w:pPr>
              <w:spacing w:after="0" w:line="240" w:lineRule="auto"/>
              <w:jc w:val="center"/>
              <w:rPr>
                <w:rFonts w:eastAsia="Times New Roman" w:cs="Arial"/>
                <w:sz w:val="20"/>
                <w:szCs w:val="20"/>
                <w:lang w:eastAsia="es-SV"/>
              </w:rPr>
            </w:pPr>
            <w:r w:rsidRPr="00CF0F96">
              <w:rPr>
                <w:rFonts w:eastAsia="Times New Roman" w:cs="Arial"/>
                <w:sz w:val="20"/>
                <w:szCs w:val="20"/>
                <w:lang w:eastAsia="es-SV"/>
              </w:rPr>
              <w:t>1</w:t>
            </w:r>
            <w:r w:rsidR="007F4D40" w:rsidRPr="00CF0F96">
              <w:rPr>
                <w:rFonts w:eastAsia="Times New Roman" w:cs="Arial"/>
                <w:sz w:val="20"/>
                <w:szCs w:val="20"/>
                <w:lang w:eastAsia="es-SV"/>
              </w:rPr>
              <w:t>,</w:t>
            </w:r>
            <w:r w:rsidRPr="00CF0F96">
              <w:rPr>
                <w:rFonts w:eastAsia="Times New Roman" w:cs="Arial"/>
                <w:sz w:val="20"/>
                <w:szCs w:val="20"/>
                <w:lang w:eastAsia="es-SV"/>
              </w:rPr>
              <w:t>239</w:t>
            </w:r>
          </w:p>
        </w:tc>
        <w:tc>
          <w:tcPr>
            <w:tcW w:w="1193" w:type="dxa"/>
            <w:shd w:val="clear" w:color="auto" w:fill="auto"/>
            <w:noWrap/>
            <w:vAlign w:val="bottom"/>
            <w:hideMark/>
          </w:tcPr>
          <w:p w14:paraId="3A1B4D4E" w14:textId="77777777" w:rsidR="006A3DBC" w:rsidRPr="00CF0F96" w:rsidRDefault="006A3DBC" w:rsidP="005B1A61">
            <w:pPr>
              <w:spacing w:after="0" w:line="240" w:lineRule="auto"/>
              <w:jc w:val="center"/>
              <w:rPr>
                <w:rFonts w:eastAsia="Times New Roman" w:cs="Arial"/>
                <w:sz w:val="20"/>
                <w:szCs w:val="20"/>
                <w:lang w:eastAsia="es-SV"/>
              </w:rPr>
            </w:pPr>
            <w:r w:rsidRPr="00CF0F96">
              <w:rPr>
                <w:rFonts w:cs="Arial"/>
                <w:sz w:val="20"/>
                <w:szCs w:val="20"/>
              </w:rPr>
              <w:t>0.1%</w:t>
            </w:r>
          </w:p>
        </w:tc>
        <w:tc>
          <w:tcPr>
            <w:tcW w:w="1376" w:type="dxa"/>
            <w:vAlign w:val="bottom"/>
          </w:tcPr>
          <w:p w14:paraId="44717204" w14:textId="77777777" w:rsidR="006A3DBC" w:rsidRPr="00CF0F96" w:rsidRDefault="006A3DBC" w:rsidP="005B1A61">
            <w:pPr>
              <w:spacing w:after="0" w:line="240" w:lineRule="auto"/>
              <w:jc w:val="center"/>
              <w:rPr>
                <w:rFonts w:cs="Arial"/>
                <w:sz w:val="20"/>
                <w:szCs w:val="20"/>
              </w:rPr>
            </w:pPr>
            <w:r w:rsidRPr="00CF0F96">
              <w:rPr>
                <w:rFonts w:cs="Arial"/>
                <w:sz w:val="20"/>
                <w:szCs w:val="20"/>
              </w:rPr>
              <w:t>95.5%</w:t>
            </w:r>
          </w:p>
        </w:tc>
      </w:tr>
      <w:tr w:rsidR="00CF0F96" w:rsidRPr="00CF0F96" w14:paraId="65D55752" w14:textId="77777777" w:rsidTr="005F4A92">
        <w:trPr>
          <w:trHeight w:val="277"/>
          <w:jc w:val="center"/>
        </w:trPr>
        <w:tc>
          <w:tcPr>
            <w:tcW w:w="2789" w:type="dxa"/>
            <w:shd w:val="clear" w:color="000000" w:fill="E0E0E0"/>
            <w:hideMark/>
          </w:tcPr>
          <w:p w14:paraId="7B630B3E" w14:textId="77777777" w:rsidR="006A3DBC" w:rsidRPr="00CF0F96" w:rsidRDefault="006A3DBC" w:rsidP="005F4A92">
            <w:pPr>
              <w:spacing w:after="0" w:line="240" w:lineRule="auto"/>
              <w:rPr>
                <w:rFonts w:eastAsia="Times New Roman" w:cs="Arial"/>
                <w:sz w:val="20"/>
                <w:szCs w:val="20"/>
                <w:lang w:eastAsia="es-SV"/>
              </w:rPr>
            </w:pPr>
            <w:r w:rsidRPr="00CF0F96">
              <w:rPr>
                <w:rFonts w:eastAsia="Times New Roman" w:cs="Arial"/>
                <w:sz w:val="20"/>
                <w:szCs w:val="20"/>
                <w:lang w:eastAsia="es-SV"/>
              </w:rPr>
              <w:t>Superior no universitaria</w:t>
            </w:r>
          </w:p>
        </w:tc>
        <w:tc>
          <w:tcPr>
            <w:tcW w:w="1266" w:type="dxa"/>
            <w:shd w:val="clear" w:color="auto" w:fill="auto"/>
            <w:noWrap/>
            <w:hideMark/>
          </w:tcPr>
          <w:p w14:paraId="21B3350C" w14:textId="77777777" w:rsidR="006A3DBC" w:rsidRPr="00CF0F96" w:rsidRDefault="006A3DBC" w:rsidP="005B1A61">
            <w:pPr>
              <w:spacing w:after="0" w:line="240" w:lineRule="auto"/>
              <w:jc w:val="center"/>
              <w:rPr>
                <w:rFonts w:eastAsia="Times New Roman" w:cs="Arial"/>
                <w:sz w:val="20"/>
                <w:szCs w:val="20"/>
                <w:lang w:eastAsia="es-SV"/>
              </w:rPr>
            </w:pPr>
            <w:r w:rsidRPr="00CF0F96">
              <w:rPr>
                <w:rFonts w:eastAsia="Times New Roman" w:cs="Arial"/>
                <w:sz w:val="20"/>
                <w:szCs w:val="20"/>
                <w:lang w:eastAsia="es-SV"/>
              </w:rPr>
              <w:t>95</w:t>
            </w:r>
          </w:p>
        </w:tc>
        <w:tc>
          <w:tcPr>
            <w:tcW w:w="1266" w:type="dxa"/>
            <w:shd w:val="clear" w:color="auto" w:fill="auto"/>
            <w:noWrap/>
            <w:hideMark/>
          </w:tcPr>
          <w:p w14:paraId="7306DA02" w14:textId="77777777" w:rsidR="006A3DBC" w:rsidRPr="00CF0F96" w:rsidRDefault="006A3DBC" w:rsidP="005B1A61">
            <w:pPr>
              <w:spacing w:after="0" w:line="240" w:lineRule="auto"/>
              <w:jc w:val="center"/>
              <w:rPr>
                <w:rFonts w:eastAsia="Times New Roman" w:cs="Arial"/>
                <w:sz w:val="20"/>
                <w:szCs w:val="20"/>
                <w:lang w:eastAsia="es-SV"/>
              </w:rPr>
            </w:pPr>
            <w:r w:rsidRPr="00CF0F96">
              <w:rPr>
                <w:rFonts w:eastAsia="Times New Roman" w:cs="Arial"/>
                <w:sz w:val="20"/>
                <w:szCs w:val="20"/>
                <w:lang w:eastAsia="es-SV"/>
              </w:rPr>
              <w:t>438</w:t>
            </w:r>
          </w:p>
        </w:tc>
        <w:tc>
          <w:tcPr>
            <w:tcW w:w="1266" w:type="dxa"/>
            <w:shd w:val="clear" w:color="auto" w:fill="auto"/>
            <w:noWrap/>
            <w:hideMark/>
          </w:tcPr>
          <w:p w14:paraId="68E677F5" w14:textId="77777777" w:rsidR="006A3DBC" w:rsidRPr="00CF0F96" w:rsidRDefault="006A3DBC" w:rsidP="005B1A61">
            <w:pPr>
              <w:spacing w:after="0" w:line="240" w:lineRule="auto"/>
              <w:jc w:val="center"/>
              <w:rPr>
                <w:rFonts w:eastAsia="Times New Roman" w:cs="Arial"/>
                <w:sz w:val="20"/>
                <w:szCs w:val="20"/>
                <w:lang w:eastAsia="es-SV"/>
              </w:rPr>
            </w:pPr>
            <w:r w:rsidRPr="00CF0F96">
              <w:rPr>
                <w:rFonts w:eastAsia="Times New Roman" w:cs="Arial"/>
                <w:sz w:val="20"/>
                <w:szCs w:val="20"/>
                <w:lang w:eastAsia="es-SV"/>
              </w:rPr>
              <w:t>533</w:t>
            </w:r>
          </w:p>
        </w:tc>
        <w:tc>
          <w:tcPr>
            <w:tcW w:w="1193" w:type="dxa"/>
            <w:shd w:val="clear" w:color="auto" w:fill="auto"/>
            <w:noWrap/>
            <w:vAlign w:val="bottom"/>
            <w:hideMark/>
          </w:tcPr>
          <w:p w14:paraId="6C94EE4F" w14:textId="77777777" w:rsidR="006A3DBC" w:rsidRPr="00CF0F96" w:rsidRDefault="006A3DBC" w:rsidP="005B1A61">
            <w:pPr>
              <w:spacing w:after="0" w:line="240" w:lineRule="auto"/>
              <w:jc w:val="center"/>
              <w:rPr>
                <w:rFonts w:eastAsia="Times New Roman" w:cs="Arial"/>
                <w:sz w:val="20"/>
                <w:szCs w:val="20"/>
                <w:lang w:eastAsia="es-SV"/>
              </w:rPr>
            </w:pPr>
            <w:r w:rsidRPr="00CF0F96">
              <w:rPr>
                <w:rFonts w:cs="Arial"/>
                <w:sz w:val="20"/>
                <w:szCs w:val="20"/>
              </w:rPr>
              <w:t>0.1%</w:t>
            </w:r>
          </w:p>
        </w:tc>
        <w:tc>
          <w:tcPr>
            <w:tcW w:w="1376" w:type="dxa"/>
            <w:vAlign w:val="bottom"/>
          </w:tcPr>
          <w:p w14:paraId="288733A7" w14:textId="77777777" w:rsidR="006A3DBC" w:rsidRPr="00CF0F96" w:rsidRDefault="006A3DBC" w:rsidP="005B1A61">
            <w:pPr>
              <w:spacing w:after="0" w:line="240" w:lineRule="auto"/>
              <w:jc w:val="center"/>
              <w:rPr>
                <w:rFonts w:cs="Arial"/>
                <w:sz w:val="20"/>
                <w:szCs w:val="20"/>
              </w:rPr>
            </w:pPr>
            <w:r w:rsidRPr="00CF0F96">
              <w:rPr>
                <w:rFonts w:cs="Arial"/>
                <w:sz w:val="20"/>
                <w:szCs w:val="20"/>
              </w:rPr>
              <w:t>95.6%</w:t>
            </w:r>
          </w:p>
        </w:tc>
      </w:tr>
      <w:tr w:rsidR="00CF0F96" w:rsidRPr="00CF0F96" w14:paraId="4D28E1AE" w14:textId="77777777" w:rsidTr="005F4A92">
        <w:trPr>
          <w:trHeight w:val="277"/>
          <w:jc w:val="center"/>
        </w:trPr>
        <w:tc>
          <w:tcPr>
            <w:tcW w:w="2789" w:type="dxa"/>
            <w:shd w:val="clear" w:color="000000" w:fill="E0E0E0"/>
            <w:hideMark/>
          </w:tcPr>
          <w:p w14:paraId="4483D3D5" w14:textId="77777777" w:rsidR="006A3DBC" w:rsidRPr="00CF0F96" w:rsidRDefault="006A3DBC" w:rsidP="005F4A92">
            <w:pPr>
              <w:spacing w:after="0" w:line="240" w:lineRule="auto"/>
              <w:rPr>
                <w:rFonts w:eastAsia="Times New Roman" w:cs="Arial"/>
                <w:sz w:val="20"/>
                <w:szCs w:val="20"/>
                <w:lang w:eastAsia="es-SV"/>
              </w:rPr>
            </w:pPr>
            <w:r w:rsidRPr="00CF0F96">
              <w:rPr>
                <w:rFonts w:eastAsia="Times New Roman" w:cs="Arial"/>
                <w:sz w:val="20"/>
                <w:szCs w:val="20"/>
                <w:lang w:eastAsia="es-SV"/>
              </w:rPr>
              <w:lastRenderedPageBreak/>
              <w:t>Superior universitaria</w:t>
            </w:r>
          </w:p>
        </w:tc>
        <w:tc>
          <w:tcPr>
            <w:tcW w:w="1266" w:type="dxa"/>
            <w:shd w:val="clear" w:color="auto" w:fill="auto"/>
            <w:noWrap/>
            <w:hideMark/>
          </w:tcPr>
          <w:p w14:paraId="10627390" w14:textId="40EF0530" w:rsidR="006A3DBC" w:rsidRPr="00CF0F96" w:rsidRDefault="006A3DBC" w:rsidP="005B1A61">
            <w:pPr>
              <w:spacing w:after="0" w:line="240" w:lineRule="auto"/>
              <w:jc w:val="center"/>
              <w:rPr>
                <w:rFonts w:eastAsia="Times New Roman" w:cs="Arial"/>
                <w:sz w:val="20"/>
                <w:szCs w:val="20"/>
                <w:lang w:eastAsia="es-SV"/>
              </w:rPr>
            </w:pPr>
            <w:r w:rsidRPr="00CF0F96">
              <w:rPr>
                <w:rFonts w:eastAsia="Times New Roman" w:cs="Arial"/>
                <w:sz w:val="20"/>
                <w:szCs w:val="20"/>
                <w:lang w:eastAsia="es-SV"/>
              </w:rPr>
              <w:t>14</w:t>
            </w:r>
            <w:r w:rsidR="007F4D40" w:rsidRPr="00CF0F96">
              <w:rPr>
                <w:rFonts w:eastAsia="Times New Roman" w:cs="Arial"/>
                <w:sz w:val="20"/>
                <w:szCs w:val="20"/>
                <w:lang w:eastAsia="es-SV"/>
              </w:rPr>
              <w:t>,</w:t>
            </w:r>
            <w:r w:rsidRPr="00CF0F96">
              <w:rPr>
                <w:rFonts w:eastAsia="Times New Roman" w:cs="Arial"/>
                <w:sz w:val="20"/>
                <w:szCs w:val="20"/>
                <w:lang w:eastAsia="es-SV"/>
              </w:rPr>
              <w:t>045</w:t>
            </w:r>
          </w:p>
        </w:tc>
        <w:tc>
          <w:tcPr>
            <w:tcW w:w="1266" w:type="dxa"/>
            <w:shd w:val="clear" w:color="auto" w:fill="auto"/>
            <w:noWrap/>
            <w:hideMark/>
          </w:tcPr>
          <w:p w14:paraId="2BF82558" w14:textId="3179D6E4" w:rsidR="006A3DBC" w:rsidRPr="00CF0F96" w:rsidRDefault="006A3DBC" w:rsidP="005B1A61">
            <w:pPr>
              <w:spacing w:after="0" w:line="240" w:lineRule="auto"/>
              <w:jc w:val="center"/>
              <w:rPr>
                <w:rFonts w:eastAsia="Times New Roman" w:cs="Arial"/>
                <w:sz w:val="20"/>
                <w:szCs w:val="20"/>
                <w:lang w:eastAsia="es-SV"/>
              </w:rPr>
            </w:pPr>
            <w:r w:rsidRPr="00CF0F96">
              <w:rPr>
                <w:rFonts w:eastAsia="Times New Roman" w:cs="Arial"/>
                <w:sz w:val="20"/>
                <w:szCs w:val="20"/>
                <w:lang w:eastAsia="es-SV"/>
              </w:rPr>
              <w:t>22</w:t>
            </w:r>
            <w:r w:rsidR="007F4D40" w:rsidRPr="00CF0F96">
              <w:rPr>
                <w:rFonts w:eastAsia="Times New Roman" w:cs="Arial"/>
                <w:sz w:val="20"/>
                <w:szCs w:val="20"/>
                <w:lang w:eastAsia="es-SV"/>
              </w:rPr>
              <w:t>,</w:t>
            </w:r>
            <w:r w:rsidRPr="00CF0F96">
              <w:rPr>
                <w:rFonts w:eastAsia="Times New Roman" w:cs="Arial"/>
                <w:sz w:val="20"/>
                <w:szCs w:val="20"/>
                <w:lang w:eastAsia="es-SV"/>
              </w:rPr>
              <w:t>868</w:t>
            </w:r>
          </w:p>
        </w:tc>
        <w:tc>
          <w:tcPr>
            <w:tcW w:w="1266" w:type="dxa"/>
            <w:shd w:val="clear" w:color="auto" w:fill="auto"/>
            <w:noWrap/>
            <w:hideMark/>
          </w:tcPr>
          <w:p w14:paraId="69BD6620" w14:textId="56D546DA" w:rsidR="006A3DBC" w:rsidRPr="00CF0F96" w:rsidRDefault="006A3DBC" w:rsidP="005B1A61">
            <w:pPr>
              <w:spacing w:after="0" w:line="240" w:lineRule="auto"/>
              <w:jc w:val="center"/>
              <w:rPr>
                <w:rFonts w:eastAsia="Times New Roman" w:cs="Arial"/>
                <w:sz w:val="20"/>
                <w:szCs w:val="20"/>
                <w:lang w:eastAsia="es-SV"/>
              </w:rPr>
            </w:pPr>
            <w:r w:rsidRPr="00CF0F96">
              <w:rPr>
                <w:rFonts w:eastAsia="Times New Roman" w:cs="Arial"/>
                <w:sz w:val="20"/>
                <w:szCs w:val="20"/>
                <w:lang w:eastAsia="es-SV"/>
              </w:rPr>
              <w:t>36</w:t>
            </w:r>
            <w:r w:rsidR="007F4D40" w:rsidRPr="00CF0F96">
              <w:rPr>
                <w:rFonts w:eastAsia="Times New Roman" w:cs="Arial"/>
                <w:sz w:val="20"/>
                <w:szCs w:val="20"/>
                <w:lang w:eastAsia="es-SV"/>
              </w:rPr>
              <w:t>,</w:t>
            </w:r>
            <w:r w:rsidRPr="00CF0F96">
              <w:rPr>
                <w:rFonts w:eastAsia="Times New Roman" w:cs="Arial"/>
                <w:sz w:val="20"/>
                <w:szCs w:val="20"/>
                <w:lang w:eastAsia="es-SV"/>
              </w:rPr>
              <w:t>913</w:t>
            </w:r>
          </w:p>
        </w:tc>
        <w:tc>
          <w:tcPr>
            <w:tcW w:w="1193" w:type="dxa"/>
            <w:shd w:val="clear" w:color="auto" w:fill="auto"/>
            <w:noWrap/>
            <w:vAlign w:val="bottom"/>
            <w:hideMark/>
          </w:tcPr>
          <w:p w14:paraId="2203CC91" w14:textId="77777777" w:rsidR="006A3DBC" w:rsidRPr="00CF0F96" w:rsidRDefault="006A3DBC" w:rsidP="005B1A61">
            <w:pPr>
              <w:spacing w:after="0" w:line="240" w:lineRule="auto"/>
              <w:jc w:val="center"/>
              <w:rPr>
                <w:rFonts w:eastAsia="Times New Roman" w:cs="Arial"/>
                <w:sz w:val="20"/>
                <w:szCs w:val="20"/>
                <w:lang w:eastAsia="es-SV"/>
              </w:rPr>
            </w:pPr>
            <w:r w:rsidRPr="00CF0F96">
              <w:rPr>
                <w:rFonts w:cs="Arial"/>
                <w:sz w:val="20"/>
                <w:szCs w:val="20"/>
              </w:rPr>
              <w:t>3.7%</w:t>
            </w:r>
          </w:p>
        </w:tc>
        <w:tc>
          <w:tcPr>
            <w:tcW w:w="1376" w:type="dxa"/>
            <w:vAlign w:val="bottom"/>
          </w:tcPr>
          <w:p w14:paraId="06CBA295" w14:textId="77777777" w:rsidR="006A3DBC" w:rsidRPr="00CF0F96" w:rsidRDefault="006A3DBC" w:rsidP="005B1A61">
            <w:pPr>
              <w:spacing w:after="0" w:line="240" w:lineRule="auto"/>
              <w:jc w:val="center"/>
              <w:rPr>
                <w:rFonts w:cs="Arial"/>
                <w:sz w:val="20"/>
                <w:szCs w:val="20"/>
              </w:rPr>
            </w:pPr>
            <w:r w:rsidRPr="00CF0F96">
              <w:rPr>
                <w:rFonts w:cs="Arial"/>
                <w:sz w:val="20"/>
                <w:szCs w:val="20"/>
              </w:rPr>
              <w:t>99.3%</w:t>
            </w:r>
          </w:p>
        </w:tc>
      </w:tr>
      <w:tr w:rsidR="00CF0F96" w:rsidRPr="00CF0F96" w14:paraId="3AEBA957" w14:textId="77777777" w:rsidTr="005F4A92">
        <w:trPr>
          <w:trHeight w:val="277"/>
          <w:jc w:val="center"/>
        </w:trPr>
        <w:tc>
          <w:tcPr>
            <w:tcW w:w="2789" w:type="dxa"/>
            <w:shd w:val="clear" w:color="000000" w:fill="E0E0E0"/>
            <w:hideMark/>
          </w:tcPr>
          <w:p w14:paraId="3466A8DA" w14:textId="77777777" w:rsidR="006A3DBC" w:rsidRPr="00CF0F96" w:rsidRDefault="006A3DBC" w:rsidP="005F4A92">
            <w:pPr>
              <w:spacing w:after="0" w:line="240" w:lineRule="auto"/>
              <w:rPr>
                <w:rFonts w:eastAsia="Times New Roman" w:cs="Arial"/>
                <w:sz w:val="20"/>
                <w:szCs w:val="20"/>
                <w:lang w:eastAsia="es-SV"/>
              </w:rPr>
            </w:pPr>
            <w:proofErr w:type="gramStart"/>
            <w:r w:rsidRPr="00CF0F96">
              <w:rPr>
                <w:rFonts w:eastAsia="Times New Roman" w:cs="Arial"/>
                <w:sz w:val="20"/>
                <w:szCs w:val="20"/>
                <w:lang w:eastAsia="es-SV"/>
              </w:rPr>
              <w:t>Post-grado</w:t>
            </w:r>
            <w:proofErr w:type="gramEnd"/>
          </w:p>
        </w:tc>
        <w:tc>
          <w:tcPr>
            <w:tcW w:w="1266" w:type="dxa"/>
            <w:shd w:val="clear" w:color="auto" w:fill="auto"/>
            <w:noWrap/>
            <w:hideMark/>
          </w:tcPr>
          <w:p w14:paraId="61688876" w14:textId="77777777" w:rsidR="006A3DBC" w:rsidRPr="00CF0F96" w:rsidRDefault="006A3DBC" w:rsidP="005B1A61">
            <w:pPr>
              <w:spacing w:after="0" w:line="240" w:lineRule="auto"/>
              <w:jc w:val="center"/>
              <w:rPr>
                <w:rFonts w:eastAsia="Times New Roman" w:cs="Arial"/>
                <w:sz w:val="20"/>
                <w:szCs w:val="20"/>
                <w:lang w:eastAsia="es-SV"/>
              </w:rPr>
            </w:pPr>
            <w:r w:rsidRPr="00CF0F96">
              <w:rPr>
                <w:rFonts w:eastAsia="Times New Roman" w:cs="Arial"/>
                <w:sz w:val="20"/>
                <w:szCs w:val="20"/>
                <w:lang w:eastAsia="es-SV"/>
              </w:rPr>
              <w:t>258</w:t>
            </w:r>
          </w:p>
        </w:tc>
        <w:tc>
          <w:tcPr>
            <w:tcW w:w="1266" w:type="dxa"/>
            <w:shd w:val="clear" w:color="auto" w:fill="auto"/>
            <w:noWrap/>
            <w:hideMark/>
          </w:tcPr>
          <w:p w14:paraId="02480BD6" w14:textId="77777777" w:rsidR="006A3DBC" w:rsidRPr="00CF0F96" w:rsidRDefault="006A3DBC" w:rsidP="005B1A61">
            <w:pPr>
              <w:spacing w:after="0" w:line="240" w:lineRule="auto"/>
              <w:jc w:val="center"/>
              <w:rPr>
                <w:rFonts w:eastAsia="Times New Roman" w:cs="Arial"/>
                <w:sz w:val="20"/>
                <w:szCs w:val="20"/>
                <w:lang w:eastAsia="es-SV"/>
              </w:rPr>
            </w:pPr>
            <w:r w:rsidRPr="00CF0F96">
              <w:rPr>
                <w:rFonts w:eastAsia="Times New Roman" w:cs="Arial"/>
                <w:sz w:val="20"/>
                <w:szCs w:val="20"/>
                <w:lang w:eastAsia="es-SV"/>
              </w:rPr>
              <w:t>270</w:t>
            </w:r>
          </w:p>
        </w:tc>
        <w:tc>
          <w:tcPr>
            <w:tcW w:w="1266" w:type="dxa"/>
            <w:shd w:val="clear" w:color="auto" w:fill="auto"/>
            <w:noWrap/>
            <w:hideMark/>
          </w:tcPr>
          <w:p w14:paraId="20FAB29D" w14:textId="77777777" w:rsidR="006A3DBC" w:rsidRPr="00CF0F96" w:rsidRDefault="006A3DBC" w:rsidP="005B1A61">
            <w:pPr>
              <w:spacing w:after="0" w:line="240" w:lineRule="auto"/>
              <w:jc w:val="center"/>
              <w:rPr>
                <w:rFonts w:eastAsia="Times New Roman" w:cs="Arial"/>
                <w:sz w:val="20"/>
                <w:szCs w:val="20"/>
                <w:lang w:eastAsia="es-SV"/>
              </w:rPr>
            </w:pPr>
            <w:r w:rsidRPr="00CF0F96">
              <w:rPr>
                <w:rFonts w:eastAsia="Times New Roman" w:cs="Arial"/>
                <w:sz w:val="20"/>
                <w:szCs w:val="20"/>
                <w:lang w:eastAsia="es-SV"/>
              </w:rPr>
              <w:t>528</w:t>
            </w:r>
          </w:p>
        </w:tc>
        <w:tc>
          <w:tcPr>
            <w:tcW w:w="1193" w:type="dxa"/>
            <w:shd w:val="clear" w:color="auto" w:fill="auto"/>
            <w:noWrap/>
            <w:vAlign w:val="bottom"/>
            <w:hideMark/>
          </w:tcPr>
          <w:p w14:paraId="4CA2E869" w14:textId="77777777" w:rsidR="006A3DBC" w:rsidRPr="00CF0F96" w:rsidRDefault="006A3DBC" w:rsidP="005B1A61">
            <w:pPr>
              <w:spacing w:after="0" w:line="240" w:lineRule="auto"/>
              <w:jc w:val="center"/>
              <w:rPr>
                <w:rFonts w:eastAsia="Times New Roman" w:cs="Arial"/>
                <w:sz w:val="20"/>
                <w:szCs w:val="20"/>
                <w:lang w:eastAsia="es-SV"/>
              </w:rPr>
            </w:pPr>
            <w:r w:rsidRPr="00CF0F96">
              <w:rPr>
                <w:rFonts w:cs="Arial"/>
                <w:sz w:val="20"/>
                <w:szCs w:val="20"/>
              </w:rPr>
              <w:t>0.1%</w:t>
            </w:r>
          </w:p>
        </w:tc>
        <w:tc>
          <w:tcPr>
            <w:tcW w:w="1376" w:type="dxa"/>
            <w:vAlign w:val="bottom"/>
          </w:tcPr>
          <w:p w14:paraId="20BAD78B" w14:textId="77777777" w:rsidR="006A3DBC" w:rsidRPr="00CF0F96" w:rsidRDefault="006A3DBC" w:rsidP="005B1A61">
            <w:pPr>
              <w:spacing w:after="0" w:line="240" w:lineRule="auto"/>
              <w:jc w:val="center"/>
              <w:rPr>
                <w:rFonts w:cs="Arial"/>
                <w:sz w:val="20"/>
                <w:szCs w:val="20"/>
              </w:rPr>
            </w:pPr>
            <w:r w:rsidRPr="00CF0F96">
              <w:rPr>
                <w:rFonts w:cs="Arial"/>
                <w:sz w:val="20"/>
                <w:szCs w:val="20"/>
              </w:rPr>
              <w:t>99.3%</w:t>
            </w:r>
          </w:p>
        </w:tc>
      </w:tr>
      <w:tr w:rsidR="00CF0F96" w:rsidRPr="00CF0F96" w14:paraId="3D885BE8" w14:textId="77777777" w:rsidTr="005F4A92">
        <w:trPr>
          <w:trHeight w:val="277"/>
          <w:jc w:val="center"/>
        </w:trPr>
        <w:tc>
          <w:tcPr>
            <w:tcW w:w="2789" w:type="dxa"/>
            <w:shd w:val="clear" w:color="000000" w:fill="E0E0E0"/>
            <w:hideMark/>
          </w:tcPr>
          <w:p w14:paraId="7DCC5122" w14:textId="77777777" w:rsidR="006A3DBC" w:rsidRPr="00CF0F96" w:rsidRDefault="006A3DBC" w:rsidP="005F4A92">
            <w:pPr>
              <w:spacing w:after="0" w:line="240" w:lineRule="auto"/>
              <w:rPr>
                <w:rFonts w:eastAsia="Times New Roman" w:cs="Arial"/>
                <w:sz w:val="20"/>
                <w:szCs w:val="20"/>
                <w:lang w:eastAsia="es-SV"/>
              </w:rPr>
            </w:pPr>
            <w:r w:rsidRPr="00CF0F96">
              <w:rPr>
                <w:rFonts w:eastAsia="Times New Roman" w:cs="Arial"/>
                <w:sz w:val="20"/>
                <w:szCs w:val="20"/>
                <w:lang w:eastAsia="es-SV"/>
              </w:rPr>
              <w:t>No sabe / No responde</w:t>
            </w:r>
          </w:p>
        </w:tc>
        <w:tc>
          <w:tcPr>
            <w:tcW w:w="1266" w:type="dxa"/>
            <w:shd w:val="clear" w:color="auto" w:fill="auto"/>
            <w:noWrap/>
            <w:hideMark/>
          </w:tcPr>
          <w:p w14:paraId="22518016" w14:textId="77777777" w:rsidR="006A3DBC" w:rsidRPr="00CF0F96" w:rsidRDefault="006A3DBC" w:rsidP="005B1A61">
            <w:pPr>
              <w:spacing w:after="0" w:line="240" w:lineRule="auto"/>
              <w:jc w:val="center"/>
              <w:rPr>
                <w:rFonts w:eastAsia="Times New Roman" w:cs="Arial"/>
                <w:sz w:val="20"/>
                <w:szCs w:val="20"/>
                <w:lang w:eastAsia="es-SV"/>
              </w:rPr>
            </w:pPr>
            <w:r w:rsidRPr="00CF0F96">
              <w:rPr>
                <w:rFonts w:eastAsia="Times New Roman" w:cs="Arial"/>
                <w:sz w:val="20"/>
                <w:szCs w:val="20"/>
                <w:lang w:eastAsia="es-SV"/>
              </w:rPr>
              <w:t>4025</w:t>
            </w:r>
          </w:p>
        </w:tc>
        <w:tc>
          <w:tcPr>
            <w:tcW w:w="1266" w:type="dxa"/>
            <w:shd w:val="clear" w:color="auto" w:fill="auto"/>
            <w:noWrap/>
            <w:hideMark/>
          </w:tcPr>
          <w:p w14:paraId="2BAB93DA" w14:textId="77777777" w:rsidR="006A3DBC" w:rsidRPr="00CF0F96" w:rsidRDefault="006A3DBC" w:rsidP="005B1A61">
            <w:pPr>
              <w:spacing w:after="0" w:line="240" w:lineRule="auto"/>
              <w:jc w:val="center"/>
              <w:rPr>
                <w:rFonts w:eastAsia="Times New Roman" w:cs="Arial"/>
                <w:sz w:val="20"/>
                <w:szCs w:val="20"/>
                <w:lang w:eastAsia="es-SV"/>
              </w:rPr>
            </w:pPr>
            <w:r w:rsidRPr="00CF0F96">
              <w:rPr>
                <w:rFonts w:eastAsia="Times New Roman" w:cs="Arial"/>
                <w:sz w:val="20"/>
                <w:szCs w:val="20"/>
                <w:lang w:eastAsia="es-SV"/>
              </w:rPr>
              <w:t>2747</w:t>
            </w:r>
          </w:p>
        </w:tc>
        <w:tc>
          <w:tcPr>
            <w:tcW w:w="1266" w:type="dxa"/>
            <w:shd w:val="clear" w:color="auto" w:fill="auto"/>
            <w:noWrap/>
            <w:hideMark/>
          </w:tcPr>
          <w:p w14:paraId="7053CD16" w14:textId="08FD41A8" w:rsidR="006A3DBC" w:rsidRPr="00CF0F96" w:rsidRDefault="006A3DBC" w:rsidP="005B1A61">
            <w:pPr>
              <w:spacing w:after="0" w:line="240" w:lineRule="auto"/>
              <w:jc w:val="center"/>
              <w:rPr>
                <w:rFonts w:eastAsia="Times New Roman" w:cs="Arial"/>
                <w:sz w:val="20"/>
                <w:szCs w:val="20"/>
                <w:lang w:eastAsia="es-SV"/>
              </w:rPr>
            </w:pPr>
            <w:r w:rsidRPr="00CF0F96">
              <w:rPr>
                <w:rFonts w:eastAsia="Times New Roman" w:cs="Arial"/>
                <w:sz w:val="20"/>
                <w:szCs w:val="20"/>
                <w:lang w:eastAsia="es-SV"/>
              </w:rPr>
              <w:t>6</w:t>
            </w:r>
            <w:r w:rsidR="007F4D40" w:rsidRPr="00CF0F96">
              <w:rPr>
                <w:rFonts w:eastAsia="Times New Roman" w:cs="Arial"/>
                <w:sz w:val="20"/>
                <w:szCs w:val="20"/>
                <w:lang w:eastAsia="es-SV"/>
              </w:rPr>
              <w:t>,</w:t>
            </w:r>
            <w:r w:rsidRPr="00CF0F96">
              <w:rPr>
                <w:rFonts w:eastAsia="Times New Roman" w:cs="Arial"/>
                <w:sz w:val="20"/>
                <w:szCs w:val="20"/>
                <w:lang w:eastAsia="es-SV"/>
              </w:rPr>
              <w:t>772</w:t>
            </w:r>
          </w:p>
        </w:tc>
        <w:tc>
          <w:tcPr>
            <w:tcW w:w="1193" w:type="dxa"/>
            <w:shd w:val="clear" w:color="auto" w:fill="auto"/>
            <w:noWrap/>
            <w:vAlign w:val="bottom"/>
            <w:hideMark/>
          </w:tcPr>
          <w:p w14:paraId="59EFBC5A" w14:textId="77777777" w:rsidR="006A3DBC" w:rsidRPr="00CF0F96" w:rsidRDefault="006A3DBC" w:rsidP="005B1A61">
            <w:pPr>
              <w:spacing w:after="0" w:line="240" w:lineRule="auto"/>
              <w:jc w:val="center"/>
              <w:rPr>
                <w:rFonts w:eastAsia="Times New Roman" w:cs="Arial"/>
                <w:sz w:val="20"/>
                <w:szCs w:val="20"/>
                <w:lang w:eastAsia="es-SV"/>
              </w:rPr>
            </w:pPr>
            <w:r w:rsidRPr="00CF0F96">
              <w:rPr>
                <w:rFonts w:cs="Arial"/>
                <w:sz w:val="20"/>
                <w:szCs w:val="20"/>
              </w:rPr>
              <w:t>0.7%</w:t>
            </w:r>
          </w:p>
        </w:tc>
        <w:tc>
          <w:tcPr>
            <w:tcW w:w="1376" w:type="dxa"/>
            <w:vAlign w:val="bottom"/>
          </w:tcPr>
          <w:p w14:paraId="5D19B02B" w14:textId="77777777" w:rsidR="006A3DBC" w:rsidRPr="00CF0F96" w:rsidRDefault="006A3DBC" w:rsidP="005B1A61">
            <w:pPr>
              <w:spacing w:after="0" w:line="240" w:lineRule="auto"/>
              <w:jc w:val="center"/>
              <w:rPr>
                <w:rFonts w:cs="Arial"/>
                <w:sz w:val="20"/>
                <w:szCs w:val="20"/>
              </w:rPr>
            </w:pPr>
            <w:r w:rsidRPr="00CF0F96">
              <w:rPr>
                <w:rFonts w:cs="Arial"/>
                <w:sz w:val="20"/>
                <w:szCs w:val="20"/>
              </w:rPr>
              <w:t>100.0%</w:t>
            </w:r>
          </w:p>
        </w:tc>
      </w:tr>
      <w:tr w:rsidR="00CF0F96" w:rsidRPr="00CF0F96" w14:paraId="06F9F3CB" w14:textId="77777777" w:rsidTr="005F4A92">
        <w:trPr>
          <w:trHeight w:val="277"/>
          <w:jc w:val="center"/>
        </w:trPr>
        <w:tc>
          <w:tcPr>
            <w:tcW w:w="2789" w:type="dxa"/>
            <w:shd w:val="clear" w:color="000000" w:fill="E0E0E0"/>
          </w:tcPr>
          <w:p w14:paraId="333A978B" w14:textId="77777777" w:rsidR="006A3DBC" w:rsidRPr="00CF0F96" w:rsidRDefault="006A3DBC" w:rsidP="00EC6B15">
            <w:pPr>
              <w:spacing w:after="0" w:line="240" w:lineRule="auto"/>
              <w:jc w:val="center"/>
              <w:rPr>
                <w:rFonts w:eastAsia="Times New Roman" w:cs="Arial"/>
                <w:b/>
                <w:bCs/>
                <w:sz w:val="20"/>
                <w:szCs w:val="20"/>
                <w:lang w:eastAsia="es-SV"/>
              </w:rPr>
            </w:pPr>
            <w:r w:rsidRPr="00CF0F96">
              <w:rPr>
                <w:rFonts w:eastAsia="Times New Roman" w:cs="Arial"/>
                <w:b/>
                <w:bCs/>
                <w:sz w:val="20"/>
                <w:szCs w:val="20"/>
                <w:lang w:eastAsia="es-SV"/>
              </w:rPr>
              <w:t>Total</w:t>
            </w:r>
          </w:p>
        </w:tc>
        <w:tc>
          <w:tcPr>
            <w:tcW w:w="1266" w:type="dxa"/>
            <w:shd w:val="clear" w:color="auto" w:fill="auto"/>
            <w:noWrap/>
          </w:tcPr>
          <w:p w14:paraId="69D4752D" w14:textId="1445AC00" w:rsidR="006A3DBC" w:rsidRPr="00CF0F96" w:rsidRDefault="006A3DBC" w:rsidP="005B1A61">
            <w:pPr>
              <w:spacing w:after="0" w:line="240" w:lineRule="auto"/>
              <w:jc w:val="center"/>
              <w:rPr>
                <w:rFonts w:eastAsia="Times New Roman" w:cs="Arial"/>
                <w:b/>
                <w:bCs/>
                <w:sz w:val="20"/>
                <w:szCs w:val="20"/>
                <w:lang w:eastAsia="es-SV"/>
              </w:rPr>
            </w:pPr>
            <w:r w:rsidRPr="00CF0F96">
              <w:rPr>
                <w:rFonts w:eastAsia="Times New Roman" w:cs="Arial"/>
                <w:b/>
                <w:bCs/>
                <w:sz w:val="20"/>
                <w:szCs w:val="20"/>
                <w:lang w:eastAsia="es-SV"/>
              </w:rPr>
              <w:t>479</w:t>
            </w:r>
            <w:r w:rsidR="007F4D40" w:rsidRPr="00CF0F96">
              <w:rPr>
                <w:rFonts w:eastAsia="Times New Roman" w:cs="Arial"/>
                <w:b/>
                <w:bCs/>
                <w:sz w:val="20"/>
                <w:szCs w:val="20"/>
                <w:lang w:eastAsia="es-SV"/>
              </w:rPr>
              <w:t>,</w:t>
            </w:r>
            <w:r w:rsidRPr="00CF0F96">
              <w:rPr>
                <w:rFonts w:eastAsia="Times New Roman" w:cs="Arial"/>
                <w:b/>
                <w:bCs/>
                <w:sz w:val="20"/>
                <w:szCs w:val="20"/>
                <w:lang w:eastAsia="es-SV"/>
              </w:rPr>
              <w:t>949</w:t>
            </w:r>
          </w:p>
        </w:tc>
        <w:tc>
          <w:tcPr>
            <w:tcW w:w="1266" w:type="dxa"/>
            <w:shd w:val="clear" w:color="auto" w:fill="auto"/>
            <w:noWrap/>
          </w:tcPr>
          <w:p w14:paraId="16A03CB5" w14:textId="0EB330E0" w:rsidR="006A3DBC" w:rsidRPr="00CF0F96" w:rsidRDefault="006A3DBC" w:rsidP="005B1A61">
            <w:pPr>
              <w:spacing w:after="0" w:line="240" w:lineRule="auto"/>
              <w:jc w:val="center"/>
              <w:rPr>
                <w:rFonts w:eastAsia="Times New Roman" w:cs="Arial"/>
                <w:b/>
                <w:bCs/>
                <w:sz w:val="20"/>
                <w:szCs w:val="20"/>
                <w:lang w:eastAsia="es-SV"/>
              </w:rPr>
            </w:pPr>
            <w:r w:rsidRPr="00CF0F96">
              <w:rPr>
                <w:rFonts w:eastAsia="Times New Roman" w:cs="Arial"/>
                <w:b/>
                <w:bCs/>
                <w:sz w:val="20"/>
                <w:szCs w:val="20"/>
                <w:lang w:eastAsia="es-SV"/>
              </w:rPr>
              <w:t>519</w:t>
            </w:r>
            <w:r w:rsidR="007F4D40" w:rsidRPr="00CF0F96">
              <w:rPr>
                <w:rFonts w:eastAsia="Times New Roman" w:cs="Arial"/>
                <w:b/>
                <w:bCs/>
                <w:sz w:val="20"/>
                <w:szCs w:val="20"/>
                <w:lang w:eastAsia="es-SV"/>
              </w:rPr>
              <w:t>,</w:t>
            </w:r>
            <w:r w:rsidRPr="00CF0F96">
              <w:rPr>
                <w:rFonts w:eastAsia="Times New Roman" w:cs="Arial"/>
                <w:b/>
                <w:bCs/>
                <w:sz w:val="20"/>
                <w:szCs w:val="20"/>
                <w:lang w:eastAsia="es-SV"/>
              </w:rPr>
              <w:t>408</w:t>
            </w:r>
          </w:p>
        </w:tc>
        <w:tc>
          <w:tcPr>
            <w:tcW w:w="1266" w:type="dxa"/>
            <w:shd w:val="clear" w:color="auto" w:fill="auto"/>
            <w:noWrap/>
          </w:tcPr>
          <w:p w14:paraId="1C459AD0" w14:textId="7D19D09B" w:rsidR="006A3DBC" w:rsidRPr="00CF0F96" w:rsidRDefault="006A3DBC" w:rsidP="005B1A61">
            <w:pPr>
              <w:spacing w:after="0" w:line="240" w:lineRule="auto"/>
              <w:jc w:val="center"/>
              <w:rPr>
                <w:rFonts w:eastAsia="Times New Roman" w:cs="Arial"/>
                <w:b/>
                <w:bCs/>
                <w:sz w:val="20"/>
                <w:szCs w:val="20"/>
                <w:lang w:eastAsia="es-SV"/>
              </w:rPr>
            </w:pPr>
            <w:r w:rsidRPr="00CF0F96">
              <w:rPr>
                <w:rFonts w:eastAsia="Times New Roman" w:cs="Arial"/>
                <w:b/>
                <w:bCs/>
                <w:sz w:val="20"/>
                <w:szCs w:val="20"/>
                <w:lang w:eastAsia="es-SV"/>
              </w:rPr>
              <w:t>999</w:t>
            </w:r>
            <w:r w:rsidR="007F4D40" w:rsidRPr="00CF0F96">
              <w:rPr>
                <w:rFonts w:eastAsia="Times New Roman" w:cs="Arial"/>
                <w:b/>
                <w:bCs/>
                <w:sz w:val="20"/>
                <w:szCs w:val="20"/>
                <w:lang w:eastAsia="es-SV"/>
              </w:rPr>
              <w:t>,</w:t>
            </w:r>
            <w:r w:rsidRPr="00CF0F96">
              <w:rPr>
                <w:rFonts w:eastAsia="Times New Roman" w:cs="Arial"/>
                <w:b/>
                <w:bCs/>
                <w:sz w:val="20"/>
                <w:szCs w:val="20"/>
                <w:lang w:eastAsia="es-SV"/>
              </w:rPr>
              <w:t>357</w:t>
            </w:r>
          </w:p>
        </w:tc>
        <w:tc>
          <w:tcPr>
            <w:tcW w:w="1193" w:type="dxa"/>
            <w:shd w:val="clear" w:color="auto" w:fill="auto"/>
            <w:noWrap/>
            <w:vAlign w:val="bottom"/>
          </w:tcPr>
          <w:p w14:paraId="3550D3BD" w14:textId="77777777" w:rsidR="006A3DBC" w:rsidRPr="00CF0F96" w:rsidRDefault="006A3DBC" w:rsidP="005B1A61">
            <w:pPr>
              <w:spacing w:after="0" w:line="240" w:lineRule="auto"/>
              <w:jc w:val="center"/>
              <w:rPr>
                <w:rFonts w:eastAsia="Times New Roman" w:cs="Arial"/>
                <w:b/>
                <w:bCs/>
                <w:sz w:val="20"/>
                <w:szCs w:val="20"/>
                <w:lang w:eastAsia="es-SV"/>
              </w:rPr>
            </w:pPr>
            <w:r w:rsidRPr="00CF0F96">
              <w:rPr>
                <w:rFonts w:eastAsia="Times New Roman" w:cs="Arial"/>
                <w:b/>
                <w:bCs/>
                <w:sz w:val="20"/>
                <w:szCs w:val="20"/>
                <w:lang w:eastAsia="es-SV"/>
              </w:rPr>
              <w:t>100%</w:t>
            </w:r>
          </w:p>
        </w:tc>
        <w:tc>
          <w:tcPr>
            <w:tcW w:w="1376" w:type="dxa"/>
          </w:tcPr>
          <w:p w14:paraId="78D7B9A5" w14:textId="77777777" w:rsidR="006A3DBC" w:rsidRPr="00CF0F96" w:rsidRDefault="006A3DBC" w:rsidP="005B1A61">
            <w:pPr>
              <w:spacing w:after="0" w:line="240" w:lineRule="auto"/>
              <w:jc w:val="center"/>
              <w:rPr>
                <w:rFonts w:eastAsia="Times New Roman" w:cs="Arial"/>
                <w:b/>
                <w:bCs/>
                <w:sz w:val="20"/>
                <w:szCs w:val="20"/>
                <w:lang w:eastAsia="es-SV"/>
              </w:rPr>
            </w:pPr>
          </w:p>
        </w:tc>
      </w:tr>
    </w:tbl>
    <w:p w14:paraId="3E0A682C" w14:textId="77777777" w:rsidR="006A3DBC" w:rsidRPr="00FA4B2D" w:rsidRDefault="006A3DBC" w:rsidP="006A3DBC">
      <w:pPr>
        <w:jc w:val="center"/>
        <w:rPr>
          <w:rFonts w:eastAsia="Times New Roman" w:cs="Arial"/>
          <w:sz w:val="20"/>
          <w:szCs w:val="20"/>
          <w:lang w:val="es-HN"/>
        </w:rPr>
      </w:pPr>
      <w:r w:rsidRPr="00FA4B2D">
        <w:rPr>
          <w:rFonts w:eastAsia="Times New Roman" w:cs="Arial"/>
          <w:b/>
          <w:bCs/>
          <w:sz w:val="20"/>
          <w:szCs w:val="20"/>
          <w:lang w:val="es-HN"/>
        </w:rPr>
        <w:t>Fuente</w:t>
      </w:r>
      <w:r w:rsidRPr="00FA4B2D">
        <w:rPr>
          <w:rFonts w:eastAsia="Times New Roman" w:cs="Arial"/>
          <w:sz w:val="20"/>
          <w:szCs w:val="20"/>
          <w:lang w:val="es-HN"/>
        </w:rPr>
        <w:t>: elaboración propia con base a Encuesta de Hogares, INE 2019.</w:t>
      </w:r>
    </w:p>
    <w:p w14:paraId="304B2705" w14:textId="77777777" w:rsidR="006A3DBC" w:rsidRPr="00FA4B2D" w:rsidRDefault="006A3DBC" w:rsidP="006A3DBC">
      <w:pPr>
        <w:jc w:val="both"/>
        <w:rPr>
          <w:rFonts w:cs="Arial"/>
          <w:lang w:eastAsia="es-SV"/>
        </w:rPr>
      </w:pPr>
      <w:r w:rsidRPr="00FA4B2D">
        <w:rPr>
          <w:rFonts w:cs="Arial"/>
          <w:lang w:eastAsia="es-SV"/>
        </w:rPr>
        <w:t xml:space="preserve">Únicamente, el 14% de la población de los tres departamentos, es decir, 1 de cada 10 personas de los tres departamentos, ha logrado el bachillerato, mientras que el 0.2% han logrado nivel de educación superior universitaria y no universitaria. </w:t>
      </w:r>
    </w:p>
    <w:p w14:paraId="4E24A5C9" w14:textId="77777777" w:rsidR="006A3DBC" w:rsidRPr="00FA4B2D" w:rsidRDefault="006A3DBC" w:rsidP="00411720">
      <w:pPr>
        <w:pStyle w:val="Prrafodelista"/>
        <w:numPr>
          <w:ilvl w:val="0"/>
          <w:numId w:val="102"/>
        </w:numPr>
        <w:rPr>
          <w:rFonts w:cs="Arial"/>
          <w:i/>
          <w:iCs/>
        </w:rPr>
      </w:pPr>
      <w:bookmarkStart w:id="685" w:name="_Toc156586918"/>
      <w:r w:rsidRPr="00FA4B2D">
        <w:rPr>
          <w:rFonts w:cs="Arial"/>
          <w:i/>
          <w:iCs/>
        </w:rPr>
        <w:t>Nivel de analfabetismo por sexo</w:t>
      </w:r>
      <w:bookmarkEnd w:id="685"/>
    </w:p>
    <w:p w14:paraId="6EF8E7FC" w14:textId="77777777" w:rsidR="006A3DBC" w:rsidRPr="00FA4B2D" w:rsidRDefault="006A3DBC" w:rsidP="006A3DBC">
      <w:pPr>
        <w:jc w:val="both"/>
        <w:rPr>
          <w:rFonts w:cs="Arial"/>
          <w:lang w:eastAsia="es-SV"/>
        </w:rPr>
      </w:pPr>
      <w:r w:rsidRPr="00FA4B2D">
        <w:rPr>
          <w:rFonts w:cs="Arial"/>
          <w:lang w:eastAsia="es-SV"/>
        </w:rPr>
        <w:t xml:space="preserve">El nivel de analfabetismo sigue siendo un problema importante en Honduras, siendo que la población mayor de 15 años no sabe leer ni escribir, el promedio nacional es de 11.5%.  En el caso de los tres departamentos, el total de personas no alfabetizadas es alto, siendo más de 140 mil personas las que se encuentran en esta condición, representando una tasa del 13.1%, algunos puntos por encima del promedio nacional de analfabetismo. </w:t>
      </w:r>
    </w:p>
    <w:p w14:paraId="02D8292A" w14:textId="5C206DA0" w:rsidR="00EF7331" w:rsidRDefault="00EF7331" w:rsidP="00EF7331">
      <w:pPr>
        <w:pStyle w:val="Descripcin"/>
        <w:keepNext/>
      </w:pPr>
      <w:bookmarkStart w:id="686" w:name="_Toc202455452"/>
      <w:r>
        <w:t xml:space="preserve">Tabla </w:t>
      </w:r>
      <w:r>
        <w:fldChar w:fldCharType="begin"/>
      </w:r>
      <w:r>
        <w:instrText xml:space="preserve"> SEQ Tabla \* ARABIC </w:instrText>
      </w:r>
      <w:r>
        <w:fldChar w:fldCharType="separate"/>
      </w:r>
      <w:r w:rsidR="000E6D86">
        <w:rPr>
          <w:noProof/>
        </w:rPr>
        <w:t>26</w:t>
      </w:r>
      <w:r>
        <w:fldChar w:fldCharType="end"/>
      </w:r>
      <w:r>
        <w:t xml:space="preserve">: </w:t>
      </w:r>
      <w:r w:rsidRPr="007B0096">
        <w:t>Personas en condición de analfabetismo en los 3 departamentos</w:t>
      </w:r>
      <w:bookmarkEnd w:id="686"/>
    </w:p>
    <w:tbl>
      <w:tblPr>
        <w:tblW w:w="7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1661"/>
        <w:gridCol w:w="1661"/>
        <w:gridCol w:w="1661"/>
      </w:tblGrid>
      <w:tr w:rsidR="00CF0F96" w:rsidRPr="00CF0F96" w14:paraId="2661CD38" w14:textId="77777777" w:rsidTr="00CF0F96">
        <w:trPr>
          <w:trHeight w:val="263"/>
          <w:jc w:val="center"/>
        </w:trPr>
        <w:tc>
          <w:tcPr>
            <w:tcW w:w="2268" w:type="dxa"/>
            <w:vMerge w:val="restart"/>
            <w:shd w:val="clear" w:color="auto" w:fill="5CC5DA"/>
            <w:vAlign w:val="center"/>
            <w:hideMark/>
          </w:tcPr>
          <w:p w14:paraId="3E2F3F6B" w14:textId="77777777" w:rsidR="006A3DBC" w:rsidRPr="00CF0F96" w:rsidRDefault="006A3DBC" w:rsidP="00CF0F96">
            <w:pPr>
              <w:spacing w:after="0" w:line="240" w:lineRule="auto"/>
              <w:jc w:val="center"/>
              <w:rPr>
                <w:rFonts w:eastAsia="Times New Roman" w:cs="Arial"/>
                <w:b/>
                <w:sz w:val="20"/>
                <w:szCs w:val="20"/>
                <w:lang w:eastAsia="es-SV"/>
              </w:rPr>
            </w:pPr>
            <w:r w:rsidRPr="00CF0F96">
              <w:rPr>
                <w:rFonts w:eastAsia="Times New Roman" w:cs="Arial"/>
                <w:b/>
                <w:sz w:val="20"/>
                <w:szCs w:val="20"/>
                <w:lang w:eastAsia="es-SV"/>
              </w:rPr>
              <w:t>Departamento</w:t>
            </w:r>
          </w:p>
        </w:tc>
        <w:tc>
          <w:tcPr>
            <w:tcW w:w="3322" w:type="dxa"/>
            <w:gridSpan w:val="2"/>
            <w:shd w:val="clear" w:color="auto" w:fill="5CC5DA"/>
            <w:vAlign w:val="center"/>
            <w:hideMark/>
          </w:tcPr>
          <w:p w14:paraId="35A0B7B3" w14:textId="77777777" w:rsidR="006A3DBC" w:rsidRPr="00CF0F96" w:rsidRDefault="006A3DBC" w:rsidP="00CF0F96">
            <w:pPr>
              <w:spacing w:after="0" w:line="240" w:lineRule="auto"/>
              <w:jc w:val="center"/>
              <w:rPr>
                <w:rFonts w:eastAsia="Times New Roman" w:cs="Arial"/>
                <w:b/>
                <w:sz w:val="20"/>
                <w:szCs w:val="20"/>
                <w:lang w:eastAsia="es-SV"/>
              </w:rPr>
            </w:pPr>
            <w:r w:rsidRPr="00CF0F96">
              <w:rPr>
                <w:rFonts w:eastAsia="Times New Roman" w:cs="Arial"/>
                <w:b/>
                <w:sz w:val="20"/>
                <w:szCs w:val="20"/>
                <w:lang w:eastAsia="es-SV"/>
              </w:rPr>
              <w:t>Sexo</w:t>
            </w:r>
          </w:p>
        </w:tc>
        <w:tc>
          <w:tcPr>
            <w:tcW w:w="1661" w:type="dxa"/>
            <w:vMerge w:val="restart"/>
            <w:shd w:val="clear" w:color="auto" w:fill="5CC5DA"/>
            <w:vAlign w:val="center"/>
            <w:hideMark/>
          </w:tcPr>
          <w:p w14:paraId="71B420F8" w14:textId="77777777" w:rsidR="006A3DBC" w:rsidRPr="00CF0F96" w:rsidRDefault="006A3DBC" w:rsidP="00CF0F96">
            <w:pPr>
              <w:spacing w:after="0" w:line="240" w:lineRule="auto"/>
              <w:jc w:val="center"/>
              <w:rPr>
                <w:rFonts w:eastAsia="Times New Roman" w:cs="Arial"/>
                <w:b/>
                <w:sz w:val="20"/>
                <w:szCs w:val="20"/>
                <w:lang w:eastAsia="es-SV"/>
              </w:rPr>
            </w:pPr>
            <w:r w:rsidRPr="00CF0F96">
              <w:rPr>
                <w:rFonts w:eastAsia="Times New Roman" w:cs="Arial"/>
                <w:b/>
                <w:sz w:val="20"/>
                <w:szCs w:val="20"/>
                <w:lang w:eastAsia="es-SV"/>
              </w:rPr>
              <w:t>Total</w:t>
            </w:r>
          </w:p>
        </w:tc>
      </w:tr>
      <w:tr w:rsidR="00CF0F96" w:rsidRPr="00CF0F96" w14:paraId="16F1ED75" w14:textId="77777777" w:rsidTr="00016847">
        <w:trPr>
          <w:trHeight w:val="263"/>
          <w:jc w:val="center"/>
        </w:trPr>
        <w:tc>
          <w:tcPr>
            <w:tcW w:w="2268" w:type="dxa"/>
            <w:vMerge/>
            <w:vAlign w:val="center"/>
            <w:hideMark/>
          </w:tcPr>
          <w:p w14:paraId="110AB264" w14:textId="77777777" w:rsidR="006A3DBC" w:rsidRPr="00CF0F96" w:rsidRDefault="006A3DBC" w:rsidP="005F4A92">
            <w:pPr>
              <w:spacing w:after="0" w:line="240" w:lineRule="auto"/>
              <w:rPr>
                <w:rFonts w:eastAsia="Times New Roman" w:cs="Arial"/>
                <w:sz w:val="20"/>
                <w:szCs w:val="20"/>
                <w:lang w:eastAsia="es-SV"/>
              </w:rPr>
            </w:pPr>
          </w:p>
        </w:tc>
        <w:tc>
          <w:tcPr>
            <w:tcW w:w="1661" w:type="dxa"/>
            <w:shd w:val="clear" w:color="auto" w:fill="5CC5DA"/>
            <w:vAlign w:val="bottom"/>
            <w:hideMark/>
          </w:tcPr>
          <w:p w14:paraId="626A6005" w14:textId="77777777" w:rsidR="006A3DBC" w:rsidRPr="00CF0F96" w:rsidRDefault="006A3DBC" w:rsidP="005F4A92">
            <w:pPr>
              <w:spacing w:after="0" w:line="240" w:lineRule="auto"/>
              <w:jc w:val="center"/>
              <w:rPr>
                <w:rFonts w:eastAsia="Times New Roman" w:cs="Arial"/>
                <w:b/>
                <w:sz w:val="20"/>
                <w:szCs w:val="20"/>
                <w:lang w:eastAsia="es-SV"/>
              </w:rPr>
            </w:pPr>
            <w:r w:rsidRPr="00CF0F96">
              <w:rPr>
                <w:rFonts w:eastAsia="Times New Roman" w:cs="Arial"/>
                <w:b/>
                <w:sz w:val="20"/>
                <w:szCs w:val="20"/>
                <w:lang w:eastAsia="es-SV"/>
              </w:rPr>
              <w:t>Hombre</w:t>
            </w:r>
          </w:p>
        </w:tc>
        <w:tc>
          <w:tcPr>
            <w:tcW w:w="1661" w:type="dxa"/>
            <w:shd w:val="clear" w:color="auto" w:fill="5CC5DA"/>
            <w:vAlign w:val="bottom"/>
            <w:hideMark/>
          </w:tcPr>
          <w:p w14:paraId="25F29AC7" w14:textId="77777777" w:rsidR="006A3DBC" w:rsidRPr="00CF0F96" w:rsidRDefault="006A3DBC" w:rsidP="005F4A92">
            <w:pPr>
              <w:spacing w:after="0" w:line="240" w:lineRule="auto"/>
              <w:jc w:val="center"/>
              <w:rPr>
                <w:rFonts w:eastAsia="Times New Roman" w:cs="Arial"/>
                <w:b/>
                <w:sz w:val="20"/>
                <w:szCs w:val="20"/>
                <w:lang w:eastAsia="es-SV"/>
              </w:rPr>
            </w:pPr>
            <w:r w:rsidRPr="00CF0F96">
              <w:rPr>
                <w:rFonts w:eastAsia="Times New Roman" w:cs="Arial"/>
                <w:b/>
                <w:sz w:val="20"/>
                <w:szCs w:val="20"/>
                <w:lang w:eastAsia="es-SV"/>
              </w:rPr>
              <w:t>Mujer</w:t>
            </w:r>
          </w:p>
        </w:tc>
        <w:tc>
          <w:tcPr>
            <w:tcW w:w="1661" w:type="dxa"/>
            <w:vMerge/>
            <w:vAlign w:val="center"/>
            <w:hideMark/>
          </w:tcPr>
          <w:p w14:paraId="67287A8A" w14:textId="77777777" w:rsidR="006A3DBC" w:rsidRPr="00CF0F96" w:rsidRDefault="006A3DBC" w:rsidP="005F4A92">
            <w:pPr>
              <w:spacing w:after="0" w:line="240" w:lineRule="auto"/>
              <w:rPr>
                <w:rFonts w:eastAsia="Times New Roman" w:cs="Arial"/>
                <w:sz w:val="20"/>
                <w:szCs w:val="20"/>
                <w:lang w:eastAsia="es-SV"/>
              </w:rPr>
            </w:pPr>
          </w:p>
        </w:tc>
      </w:tr>
      <w:tr w:rsidR="00CF0F96" w:rsidRPr="00CF0F96" w14:paraId="1F6F9033" w14:textId="77777777" w:rsidTr="005F4A92">
        <w:trPr>
          <w:trHeight w:val="263"/>
          <w:jc w:val="center"/>
        </w:trPr>
        <w:tc>
          <w:tcPr>
            <w:tcW w:w="2268" w:type="dxa"/>
            <w:shd w:val="clear" w:color="000000" w:fill="E0E0E0"/>
            <w:hideMark/>
          </w:tcPr>
          <w:p w14:paraId="5A2F5581" w14:textId="77777777" w:rsidR="006A3DBC" w:rsidRPr="00CF0F96" w:rsidRDefault="006A3DBC" w:rsidP="005D7A5B">
            <w:pPr>
              <w:spacing w:after="0" w:line="240" w:lineRule="auto"/>
              <w:jc w:val="center"/>
              <w:rPr>
                <w:rFonts w:eastAsia="Times New Roman" w:cs="Arial"/>
                <w:sz w:val="20"/>
                <w:szCs w:val="20"/>
                <w:lang w:eastAsia="es-SV"/>
              </w:rPr>
            </w:pPr>
            <w:r w:rsidRPr="00CF0F96">
              <w:rPr>
                <w:rFonts w:eastAsia="Times New Roman" w:cs="Arial"/>
                <w:sz w:val="20"/>
                <w:szCs w:val="20"/>
                <w:lang w:eastAsia="es-SV"/>
              </w:rPr>
              <w:t>Olancho</w:t>
            </w:r>
          </w:p>
        </w:tc>
        <w:tc>
          <w:tcPr>
            <w:tcW w:w="1661" w:type="dxa"/>
            <w:shd w:val="clear" w:color="auto" w:fill="auto"/>
            <w:noWrap/>
            <w:hideMark/>
          </w:tcPr>
          <w:p w14:paraId="64F011F3" w14:textId="5B9D232E" w:rsidR="006A3DBC" w:rsidRPr="00CF0F96" w:rsidRDefault="006A3DBC" w:rsidP="00EC6B15">
            <w:pPr>
              <w:spacing w:after="0" w:line="240" w:lineRule="auto"/>
              <w:jc w:val="center"/>
              <w:rPr>
                <w:rFonts w:eastAsia="Times New Roman" w:cs="Arial"/>
                <w:sz w:val="20"/>
                <w:szCs w:val="20"/>
                <w:lang w:eastAsia="es-SV"/>
              </w:rPr>
            </w:pPr>
            <w:r w:rsidRPr="00CF0F96">
              <w:rPr>
                <w:rFonts w:cs="Arial"/>
                <w:sz w:val="20"/>
                <w:szCs w:val="20"/>
              </w:rPr>
              <w:t>32</w:t>
            </w:r>
            <w:r w:rsidR="007F4D40" w:rsidRPr="00CF0F96">
              <w:rPr>
                <w:rFonts w:cs="Arial"/>
                <w:sz w:val="20"/>
                <w:szCs w:val="20"/>
              </w:rPr>
              <w:t>,</w:t>
            </w:r>
            <w:r w:rsidRPr="00CF0F96">
              <w:rPr>
                <w:rFonts w:cs="Arial"/>
                <w:sz w:val="20"/>
                <w:szCs w:val="20"/>
              </w:rPr>
              <w:t>471</w:t>
            </w:r>
          </w:p>
        </w:tc>
        <w:tc>
          <w:tcPr>
            <w:tcW w:w="1661" w:type="dxa"/>
            <w:shd w:val="clear" w:color="auto" w:fill="auto"/>
            <w:noWrap/>
            <w:hideMark/>
          </w:tcPr>
          <w:p w14:paraId="68ED7A2E" w14:textId="650E8B86" w:rsidR="006A3DBC" w:rsidRPr="00CF0F96" w:rsidRDefault="006A3DBC" w:rsidP="00EC6B15">
            <w:pPr>
              <w:spacing w:after="0" w:line="240" w:lineRule="auto"/>
              <w:jc w:val="center"/>
              <w:rPr>
                <w:rFonts w:eastAsia="Times New Roman" w:cs="Arial"/>
                <w:sz w:val="20"/>
                <w:szCs w:val="20"/>
                <w:lang w:eastAsia="es-SV"/>
              </w:rPr>
            </w:pPr>
            <w:r w:rsidRPr="00CF0F96">
              <w:rPr>
                <w:rFonts w:cs="Arial"/>
                <w:sz w:val="20"/>
                <w:szCs w:val="20"/>
              </w:rPr>
              <w:t>33</w:t>
            </w:r>
            <w:r w:rsidR="007F4D40" w:rsidRPr="00CF0F96">
              <w:rPr>
                <w:rFonts w:cs="Arial"/>
                <w:sz w:val="20"/>
                <w:szCs w:val="20"/>
              </w:rPr>
              <w:t>,</w:t>
            </w:r>
            <w:r w:rsidRPr="00CF0F96">
              <w:rPr>
                <w:rFonts w:cs="Arial"/>
                <w:sz w:val="20"/>
                <w:szCs w:val="20"/>
              </w:rPr>
              <w:t>125</w:t>
            </w:r>
          </w:p>
        </w:tc>
        <w:tc>
          <w:tcPr>
            <w:tcW w:w="1661" w:type="dxa"/>
            <w:shd w:val="clear" w:color="auto" w:fill="auto"/>
            <w:noWrap/>
            <w:hideMark/>
          </w:tcPr>
          <w:p w14:paraId="79752DEB" w14:textId="1E59D09D" w:rsidR="006A3DBC" w:rsidRPr="00CF0F96" w:rsidRDefault="006A3DBC" w:rsidP="00EC6B15">
            <w:pPr>
              <w:spacing w:after="0" w:line="240" w:lineRule="auto"/>
              <w:jc w:val="center"/>
              <w:rPr>
                <w:rFonts w:eastAsia="Times New Roman" w:cs="Arial"/>
                <w:sz w:val="20"/>
                <w:szCs w:val="20"/>
                <w:lang w:eastAsia="es-SV"/>
              </w:rPr>
            </w:pPr>
            <w:r w:rsidRPr="00CF0F96">
              <w:rPr>
                <w:rFonts w:cs="Arial"/>
                <w:sz w:val="20"/>
                <w:szCs w:val="20"/>
              </w:rPr>
              <w:t>65</w:t>
            </w:r>
            <w:r w:rsidR="007F4D40" w:rsidRPr="00CF0F96">
              <w:rPr>
                <w:rFonts w:cs="Arial"/>
                <w:sz w:val="20"/>
                <w:szCs w:val="20"/>
              </w:rPr>
              <w:t>,</w:t>
            </w:r>
            <w:r w:rsidRPr="00CF0F96">
              <w:rPr>
                <w:rFonts w:cs="Arial"/>
                <w:sz w:val="20"/>
                <w:szCs w:val="20"/>
              </w:rPr>
              <w:t>596</w:t>
            </w:r>
          </w:p>
        </w:tc>
      </w:tr>
      <w:tr w:rsidR="00CF0F96" w:rsidRPr="00CF0F96" w14:paraId="20000140" w14:textId="77777777" w:rsidTr="005F4A92">
        <w:trPr>
          <w:trHeight w:val="263"/>
          <w:jc w:val="center"/>
        </w:trPr>
        <w:tc>
          <w:tcPr>
            <w:tcW w:w="2268" w:type="dxa"/>
            <w:shd w:val="clear" w:color="000000" w:fill="E0E0E0"/>
            <w:hideMark/>
          </w:tcPr>
          <w:p w14:paraId="15FBC9E0" w14:textId="77777777" w:rsidR="006A3DBC" w:rsidRPr="00CF0F96" w:rsidRDefault="006A3DBC" w:rsidP="005D7A5B">
            <w:pPr>
              <w:spacing w:after="0" w:line="240" w:lineRule="auto"/>
              <w:jc w:val="center"/>
              <w:rPr>
                <w:rFonts w:eastAsia="Times New Roman" w:cs="Arial"/>
                <w:sz w:val="20"/>
                <w:szCs w:val="20"/>
                <w:lang w:eastAsia="es-SV"/>
              </w:rPr>
            </w:pPr>
            <w:r w:rsidRPr="00CF0F96">
              <w:rPr>
                <w:rFonts w:eastAsia="Times New Roman" w:cs="Arial"/>
                <w:sz w:val="20"/>
                <w:szCs w:val="20"/>
                <w:lang w:eastAsia="es-SV"/>
              </w:rPr>
              <w:t>Valle</w:t>
            </w:r>
          </w:p>
        </w:tc>
        <w:tc>
          <w:tcPr>
            <w:tcW w:w="1661" w:type="dxa"/>
            <w:shd w:val="clear" w:color="auto" w:fill="auto"/>
            <w:noWrap/>
            <w:hideMark/>
          </w:tcPr>
          <w:p w14:paraId="777C4594" w14:textId="32CDFCDA" w:rsidR="006A3DBC" w:rsidRPr="00CF0F96" w:rsidRDefault="006A3DBC" w:rsidP="00EC6B15">
            <w:pPr>
              <w:spacing w:after="0" w:line="240" w:lineRule="auto"/>
              <w:jc w:val="center"/>
              <w:rPr>
                <w:rFonts w:eastAsia="Times New Roman" w:cs="Arial"/>
                <w:sz w:val="20"/>
                <w:szCs w:val="20"/>
                <w:lang w:eastAsia="es-SV"/>
              </w:rPr>
            </w:pPr>
            <w:r w:rsidRPr="00CF0F96">
              <w:rPr>
                <w:rFonts w:cs="Arial"/>
                <w:sz w:val="20"/>
                <w:szCs w:val="20"/>
              </w:rPr>
              <w:t>7</w:t>
            </w:r>
            <w:r w:rsidR="007F4D40" w:rsidRPr="00CF0F96">
              <w:rPr>
                <w:rFonts w:cs="Arial"/>
                <w:sz w:val="20"/>
                <w:szCs w:val="20"/>
              </w:rPr>
              <w:t>,</w:t>
            </w:r>
            <w:r w:rsidRPr="00CF0F96">
              <w:rPr>
                <w:rFonts w:cs="Arial"/>
                <w:sz w:val="20"/>
                <w:szCs w:val="20"/>
              </w:rPr>
              <w:t>452</w:t>
            </w:r>
          </w:p>
        </w:tc>
        <w:tc>
          <w:tcPr>
            <w:tcW w:w="1661" w:type="dxa"/>
            <w:shd w:val="clear" w:color="auto" w:fill="auto"/>
            <w:noWrap/>
            <w:hideMark/>
          </w:tcPr>
          <w:p w14:paraId="7586293C" w14:textId="21E9CB69" w:rsidR="006A3DBC" w:rsidRPr="00CF0F96" w:rsidRDefault="006A3DBC" w:rsidP="00EC6B15">
            <w:pPr>
              <w:spacing w:after="0" w:line="240" w:lineRule="auto"/>
              <w:jc w:val="center"/>
              <w:rPr>
                <w:rFonts w:eastAsia="Times New Roman" w:cs="Arial"/>
                <w:sz w:val="20"/>
                <w:szCs w:val="20"/>
                <w:lang w:eastAsia="es-SV"/>
              </w:rPr>
            </w:pPr>
            <w:r w:rsidRPr="00CF0F96">
              <w:rPr>
                <w:rFonts w:cs="Arial"/>
                <w:sz w:val="20"/>
                <w:szCs w:val="20"/>
              </w:rPr>
              <w:t>9</w:t>
            </w:r>
            <w:r w:rsidR="007F4D40" w:rsidRPr="00CF0F96">
              <w:rPr>
                <w:rFonts w:cs="Arial"/>
                <w:sz w:val="20"/>
                <w:szCs w:val="20"/>
              </w:rPr>
              <w:t>,</w:t>
            </w:r>
            <w:r w:rsidRPr="00CF0F96">
              <w:rPr>
                <w:rFonts w:cs="Arial"/>
                <w:sz w:val="20"/>
                <w:szCs w:val="20"/>
              </w:rPr>
              <w:t>810</w:t>
            </w:r>
          </w:p>
        </w:tc>
        <w:tc>
          <w:tcPr>
            <w:tcW w:w="1661" w:type="dxa"/>
            <w:shd w:val="clear" w:color="auto" w:fill="auto"/>
            <w:noWrap/>
            <w:hideMark/>
          </w:tcPr>
          <w:p w14:paraId="36E8E759" w14:textId="1227868E" w:rsidR="006A3DBC" w:rsidRPr="00CF0F96" w:rsidRDefault="006A3DBC" w:rsidP="00EC6B15">
            <w:pPr>
              <w:spacing w:after="0" w:line="240" w:lineRule="auto"/>
              <w:jc w:val="center"/>
              <w:rPr>
                <w:rFonts w:eastAsia="Times New Roman" w:cs="Arial"/>
                <w:sz w:val="20"/>
                <w:szCs w:val="20"/>
                <w:lang w:eastAsia="es-SV"/>
              </w:rPr>
            </w:pPr>
            <w:r w:rsidRPr="00CF0F96">
              <w:rPr>
                <w:rFonts w:cs="Arial"/>
                <w:sz w:val="20"/>
                <w:szCs w:val="20"/>
              </w:rPr>
              <w:t>17</w:t>
            </w:r>
            <w:r w:rsidR="007F4D40" w:rsidRPr="00CF0F96">
              <w:rPr>
                <w:rFonts w:cs="Arial"/>
                <w:sz w:val="20"/>
                <w:szCs w:val="20"/>
              </w:rPr>
              <w:t>,</w:t>
            </w:r>
            <w:r w:rsidRPr="00CF0F96">
              <w:rPr>
                <w:rFonts w:cs="Arial"/>
                <w:sz w:val="20"/>
                <w:szCs w:val="20"/>
              </w:rPr>
              <w:t>262</w:t>
            </w:r>
          </w:p>
        </w:tc>
      </w:tr>
      <w:tr w:rsidR="00CF0F96" w:rsidRPr="00CF0F96" w14:paraId="5B1AFF1C" w14:textId="77777777" w:rsidTr="005F4A92">
        <w:trPr>
          <w:trHeight w:val="263"/>
          <w:jc w:val="center"/>
        </w:trPr>
        <w:tc>
          <w:tcPr>
            <w:tcW w:w="2268" w:type="dxa"/>
            <w:shd w:val="clear" w:color="000000" w:fill="E0E0E0"/>
            <w:hideMark/>
          </w:tcPr>
          <w:p w14:paraId="3B3CA567" w14:textId="77777777" w:rsidR="006A3DBC" w:rsidRPr="00CF0F96" w:rsidRDefault="006A3DBC" w:rsidP="005D7A5B">
            <w:pPr>
              <w:spacing w:after="0" w:line="240" w:lineRule="auto"/>
              <w:jc w:val="center"/>
              <w:rPr>
                <w:rFonts w:eastAsia="Times New Roman" w:cs="Arial"/>
                <w:sz w:val="20"/>
                <w:szCs w:val="20"/>
                <w:lang w:eastAsia="es-SV"/>
              </w:rPr>
            </w:pPr>
            <w:r w:rsidRPr="00CF0F96">
              <w:rPr>
                <w:rFonts w:eastAsia="Times New Roman" w:cs="Arial"/>
                <w:sz w:val="20"/>
                <w:szCs w:val="20"/>
                <w:lang w:eastAsia="es-SV"/>
              </w:rPr>
              <w:t>Yoro</w:t>
            </w:r>
          </w:p>
        </w:tc>
        <w:tc>
          <w:tcPr>
            <w:tcW w:w="1661" w:type="dxa"/>
            <w:shd w:val="clear" w:color="auto" w:fill="auto"/>
            <w:noWrap/>
            <w:hideMark/>
          </w:tcPr>
          <w:p w14:paraId="20A24041" w14:textId="1B55D00E" w:rsidR="006A3DBC" w:rsidRPr="00CF0F96" w:rsidRDefault="006A3DBC" w:rsidP="00EC6B15">
            <w:pPr>
              <w:spacing w:after="0" w:line="240" w:lineRule="auto"/>
              <w:jc w:val="center"/>
              <w:rPr>
                <w:rFonts w:eastAsia="Times New Roman" w:cs="Arial"/>
                <w:sz w:val="20"/>
                <w:szCs w:val="20"/>
                <w:lang w:eastAsia="es-SV"/>
              </w:rPr>
            </w:pPr>
            <w:r w:rsidRPr="00CF0F96">
              <w:rPr>
                <w:rFonts w:cs="Arial"/>
                <w:sz w:val="20"/>
                <w:szCs w:val="20"/>
              </w:rPr>
              <w:t>29</w:t>
            </w:r>
            <w:r w:rsidR="007F4D40" w:rsidRPr="00CF0F96">
              <w:rPr>
                <w:rFonts w:cs="Arial"/>
                <w:sz w:val="20"/>
                <w:szCs w:val="20"/>
              </w:rPr>
              <w:t>,</w:t>
            </w:r>
            <w:r w:rsidRPr="00CF0F96">
              <w:rPr>
                <w:rFonts w:cs="Arial"/>
                <w:sz w:val="20"/>
                <w:szCs w:val="20"/>
              </w:rPr>
              <w:t>559</w:t>
            </w:r>
          </w:p>
        </w:tc>
        <w:tc>
          <w:tcPr>
            <w:tcW w:w="1661" w:type="dxa"/>
            <w:shd w:val="clear" w:color="auto" w:fill="auto"/>
            <w:noWrap/>
            <w:hideMark/>
          </w:tcPr>
          <w:p w14:paraId="0B87BD4E" w14:textId="334022D4" w:rsidR="006A3DBC" w:rsidRPr="00CF0F96" w:rsidRDefault="006A3DBC" w:rsidP="00EC6B15">
            <w:pPr>
              <w:spacing w:after="0" w:line="240" w:lineRule="auto"/>
              <w:jc w:val="center"/>
              <w:rPr>
                <w:rFonts w:eastAsia="Times New Roman" w:cs="Arial"/>
                <w:sz w:val="20"/>
                <w:szCs w:val="20"/>
                <w:lang w:eastAsia="es-SV"/>
              </w:rPr>
            </w:pPr>
            <w:r w:rsidRPr="00CF0F96">
              <w:rPr>
                <w:rFonts w:cs="Arial"/>
                <w:sz w:val="20"/>
                <w:szCs w:val="20"/>
              </w:rPr>
              <w:t>29</w:t>
            </w:r>
            <w:r w:rsidR="007F4D40" w:rsidRPr="00CF0F96">
              <w:rPr>
                <w:rFonts w:cs="Arial"/>
                <w:sz w:val="20"/>
                <w:szCs w:val="20"/>
              </w:rPr>
              <w:t>,</w:t>
            </w:r>
            <w:r w:rsidRPr="00CF0F96">
              <w:rPr>
                <w:rFonts w:cs="Arial"/>
                <w:sz w:val="20"/>
                <w:szCs w:val="20"/>
              </w:rPr>
              <w:t>616</w:t>
            </w:r>
          </w:p>
        </w:tc>
        <w:tc>
          <w:tcPr>
            <w:tcW w:w="1661" w:type="dxa"/>
            <w:shd w:val="clear" w:color="auto" w:fill="auto"/>
            <w:noWrap/>
            <w:hideMark/>
          </w:tcPr>
          <w:p w14:paraId="71761BF2" w14:textId="2523DA2F" w:rsidR="006A3DBC" w:rsidRPr="00CF0F96" w:rsidRDefault="006A3DBC" w:rsidP="00EC6B15">
            <w:pPr>
              <w:spacing w:after="0" w:line="240" w:lineRule="auto"/>
              <w:jc w:val="center"/>
              <w:rPr>
                <w:rFonts w:eastAsia="Times New Roman" w:cs="Arial"/>
                <w:sz w:val="20"/>
                <w:szCs w:val="20"/>
                <w:lang w:eastAsia="es-SV"/>
              </w:rPr>
            </w:pPr>
            <w:r w:rsidRPr="00CF0F96">
              <w:rPr>
                <w:rFonts w:cs="Arial"/>
                <w:sz w:val="20"/>
                <w:szCs w:val="20"/>
              </w:rPr>
              <w:t>59</w:t>
            </w:r>
            <w:r w:rsidR="007F4D40" w:rsidRPr="00CF0F96">
              <w:rPr>
                <w:rFonts w:cs="Arial"/>
                <w:sz w:val="20"/>
                <w:szCs w:val="20"/>
              </w:rPr>
              <w:t>,</w:t>
            </w:r>
            <w:r w:rsidRPr="00CF0F96">
              <w:rPr>
                <w:rFonts w:cs="Arial"/>
                <w:sz w:val="20"/>
                <w:szCs w:val="20"/>
              </w:rPr>
              <w:t>175</w:t>
            </w:r>
          </w:p>
        </w:tc>
      </w:tr>
      <w:tr w:rsidR="00CF0F96" w:rsidRPr="00CF0F96" w14:paraId="3132E7C2" w14:textId="77777777" w:rsidTr="005F4A92">
        <w:trPr>
          <w:trHeight w:val="263"/>
          <w:jc w:val="center"/>
        </w:trPr>
        <w:tc>
          <w:tcPr>
            <w:tcW w:w="2268" w:type="dxa"/>
            <w:shd w:val="clear" w:color="000000" w:fill="E0E0E0"/>
            <w:hideMark/>
          </w:tcPr>
          <w:p w14:paraId="35B9BA1A" w14:textId="77777777" w:rsidR="006A3DBC" w:rsidRPr="00CF0F96" w:rsidRDefault="006A3DBC" w:rsidP="005D7A5B">
            <w:pPr>
              <w:spacing w:after="0" w:line="240" w:lineRule="auto"/>
              <w:jc w:val="center"/>
              <w:rPr>
                <w:rFonts w:eastAsia="Times New Roman" w:cs="Arial"/>
                <w:b/>
                <w:bCs/>
                <w:sz w:val="20"/>
                <w:szCs w:val="20"/>
                <w:lang w:eastAsia="es-SV"/>
              </w:rPr>
            </w:pPr>
            <w:r w:rsidRPr="00CF0F96">
              <w:rPr>
                <w:rFonts w:eastAsia="Times New Roman" w:cs="Arial"/>
                <w:b/>
                <w:bCs/>
                <w:sz w:val="20"/>
                <w:szCs w:val="20"/>
                <w:lang w:eastAsia="es-SV"/>
              </w:rPr>
              <w:t>Total</w:t>
            </w:r>
          </w:p>
        </w:tc>
        <w:tc>
          <w:tcPr>
            <w:tcW w:w="1661" w:type="dxa"/>
            <w:shd w:val="clear" w:color="auto" w:fill="auto"/>
            <w:noWrap/>
            <w:hideMark/>
          </w:tcPr>
          <w:p w14:paraId="3125449F" w14:textId="377DC6CA" w:rsidR="006A3DBC" w:rsidRPr="00CF0F96" w:rsidRDefault="006A3DBC" w:rsidP="00EC6B15">
            <w:pPr>
              <w:spacing w:after="0" w:line="240" w:lineRule="auto"/>
              <w:jc w:val="center"/>
              <w:rPr>
                <w:rFonts w:eastAsia="Times New Roman" w:cs="Arial"/>
                <w:b/>
                <w:bCs/>
                <w:sz w:val="20"/>
                <w:szCs w:val="20"/>
                <w:lang w:eastAsia="es-SV"/>
              </w:rPr>
            </w:pPr>
            <w:r w:rsidRPr="00CF0F96">
              <w:rPr>
                <w:rFonts w:cs="Arial"/>
                <w:b/>
                <w:bCs/>
                <w:sz w:val="20"/>
                <w:szCs w:val="20"/>
              </w:rPr>
              <w:t>69</w:t>
            </w:r>
            <w:r w:rsidR="007F4D40" w:rsidRPr="00CF0F96">
              <w:rPr>
                <w:rFonts w:cs="Arial"/>
                <w:b/>
                <w:bCs/>
                <w:sz w:val="20"/>
                <w:szCs w:val="20"/>
              </w:rPr>
              <w:t>,</w:t>
            </w:r>
            <w:r w:rsidRPr="00CF0F96">
              <w:rPr>
                <w:rFonts w:cs="Arial"/>
                <w:b/>
                <w:bCs/>
                <w:sz w:val="20"/>
                <w:szCs w:val="20"/>
              </w:rPr>
              <w:t>482</w:t>
            </w:r>
          </w:p>
        </w:tc>
        <w:tc>
          <w:tcPr>
            <w:tcW w:w="1661" w:type="dxa"/>
            <w:shd w:val="clear" w:color="auto" w:fill="auto"/>
            <w:noWrap/>
            <w:hideMark/>
          </w:tcPr>
          <w:p w14:paraId="7DC6650B" w14:textId="683D260D" w:rsidR="006A3DBC" w:rsidRPr="00CF0F96" w:rsidRDefault="006A3DBC" w:rsidP="00EC6B15">
            <w:pPr>
              <w:spacing w:after="0" w:line="240" w:lineRule="auto"/>
              <w:jc w:val="center"/>
              <w:rPr>
                <w:rFonts w:eastAsia="Times New Roman" w:cs="Arial"/>
                <w:b/>
                <w:bCs/>
                <w:sz w:val="20"/>
                <w:szCs w:val="20"/>
                <w:lang w:eastAsia="es-SV"/>
              </w:rPr>
            </w:pPr>
            <w:r w:rsidRPr="00CF0F96">
              <w:rPr>
                <w:rFonts w:cs="Arial"/>
                <w:b/>
                <w:bCs/>
                <w:sz w:val="20"/>
                <w:szCs w:val="20"/>
              </w:rPr>
              <w:t>72</w:t>
            </w:r>
            <w:r w:rsidR="007F4D40" w:rsidRPr="00CF0F96">
              <w:rPr>
                <w:rFonts w:cs="Arial"/>
                <w:b/>
                <w:bCs/>
                <w:sz w:val="20"/>
                <w:szCs w:val="20"/>
              </w:rPr>
              <w:t>,</w:t>
            </w:r>
            <w:r w:rsidRPr="00CF0F96">
              <w:rPr>
                <w:rFonts w:cs="Arial"/>
                <w:b/>
                <w:bCs/>
                <w:sz w:val="20"/>
                <w:szCs w:val="20"/>
              </w:rPr>
              <w:t>551</w:t>
            </w:r>
          </w:p>
        </w:tc>
        <w:tc>
          <w:tcPr>
            <w:tcW w:w="1661" w:type="dxa"/>
            <w:shd w:val="clear" w:color="auto" w:fill="auto"/>
            <w:noWrap/>
            <w:hideMark/>
          </w:tcPr>
          <w:p w14:paraId="3F1F5CAB" w14:textId="495F3A8F" w:rsidR="006A3DBC" w:rsidRPr="00CF0F96" w:rsidRDefault="006A3DBC" w:rsidP="00EC6B15">
            <w:pPr>
              <w:spacing w:after="0" w:line="240" w:lineRule="auto"/>
              <w:jc w:val="center"/>
              <w:rPr>
                <w:rFonts w:eastAsia="Times New Roman" w:cs="Arial"/>
                <w:b/>
                <w:bCs/>
                <w:sz w:val="20"/>
                <w:szCs w:val="20"/>
                <w:lang w:eastAsia="es-SV"/>
              </w:rPr>
            </w:pPr>
            <w:r w:rsidRPr="00CF0F96">
              <w:rPr>
                <w:rFonts w:cs="Arial"/>
                <w:b/>
                <w:bCs/>
                <w:sz w:val="20"/>
                <w:szCs w:val="20"/>
              </w:rPr>
              <w:t>142</w:t>
            </w:r>
            <w:r w:rsidR="007F4D40" w:rsidRPr="00CF0F96">
              <w:rPr>
                <w:rFonts w:cs="Arial"/>
                <w:b/>
                <w:bCs/>
                <w:sz w:val="20"/>
                <w:szCs w:val="20"/>
              </w:rPr>
              <w:t>,</w:t>
            </w:r>
            <w:r w:rsidRPr="00CF0F96">
              <w:rPr>
                <w:rFonts w:cs="Arial"/>
                <w:b/>
                <w:bCs/>
                <w:sz w:val="20"/>
                <w:szCs w:val="20"/>
              </w:rPr>
              <w:t>033</w:t>
            </w:r>
          </w:p>
        </w:tc>
      </w:tr>
    </w:tbl>
    <w:p w14:paraId="08F1DCF0" w14:textId="77777777" w:rsidR="006A3DBC" w:rsidRPr="00FA4B2D" w:rsidRDefault="006A3DBC" w:rsidP="006A3DBC">
      <w:pPr>
        <w:jc w:val="center"/>
        <w:rPr>
          <w:rFonts w:eastAsia="Times New Roman" w:cs="Arial"/>
          <w:sz w:val="20"/>
          <w:szCs w:val="20"/>
          <w:lang w:val="es-HN"/>
        </w:rPr>
      </w:pPr>
      <w:r w:rsidRPr="00FA4B2D">
        <w:rPr>
          <w:rFonts w:eastAsia="Times New Roman" w:cs="Arial"/>
          <w:sz w:val="20"/>
          <w:szCs w:val="20"/>
          <w:lang w:val="es-HN"/>
        </w:rPr>
        <w:t>Fuente: elaboración propia con base a Encuesta de Hogares, INE 2019</w:t>
      </w:r>
    </w:p>
    <w:p w14:paraId="41B5A666" w14:textId="77777777" w:rsidR="006A3DBC" w:rsidRDefault="006A3DBC" w:rsidP="00411720">
      <w:pPr>
        <w:pStyle w:val="Ttulo2"/>
        <w:numPr>
          <w:ilvl w:val="2"/>
          <w:numId w:val="100"/>
        </w:numPr>
        <w:spacing w:before="0" w:line="240" w:lineRule="auto"/>
        <w:jc w:val="both"/>
        <w:rPr>
          <w:rFonts w:ascii="Arial" w:hAnsi="Arial" w:cs="Arial"/>
          <w:color w:val="767171" w:themeColor="background2" w:themeShade="80"/>
          <w:sz w:val="22"/>
          <w:szCs w:val="22"/>
        </w:rPr>
      </w:pPr>
      <w:bookmarkStart w:id="687" w:name="_Toc202456932"/>
      <w:r w:rsidRPr="00FA4B2D">
        <w:rPr>
          <w:rFonts w:ascii="Arial" w:hAnsi="Arial" w:cs="Arial"/>
          <w:color w:val="767171" w:themeColor="background2" w:themeShade="80"/>
          <w:sz w:val="22"/>
          <w:szCs w:val="22"/>
        </w:rPr>
        <w:t>Hogares en condición de pobreza</w:t>
      </w:r>
      <w:bookmarkEnd w:id="683"/>
      <w:r w:rsidRPr="00FA4B2D">
        <w:rPr>
          <w:rFonts w:ascii="Arial" w:hAnsi="Arial" w:cs="Arial"/>
          <w:color w:val="767171" w:themeColor="background2" w:themeShade="80"/>
          <w:sz w:val="22"/>
          <w:szCs w:val="22"/>
        </w:rPr>
        <w:t xml:space="preserve"> y necesidades básicas insatisfechas</w:t>
      </w:r>
      <w:bookmarkEnd w:id="687"/>
    </w:p>
    <w:p w14:paraId="384918C7" w14:textId="77777777" w:rsidR="002B7276" w:rsidRPr="002B7276" w:rsidRDefault="002B7276" w:rsidP="002B7276"/>
    <w:p w14:paraId="2E3C3764" w14:textId="77777777" w:rsidR="006A3DBC" w:rsidRPr="00FA4B2D" w:rsidRDefault="006A3DBC" w:rsidP="0061577A">
      <w:pPr>
        <w:jc w:val="both"/>
        <w:rPr>
          <w:rFonts w:cs="Arial"/>
        </w:rPr>
      </w:pPr>
      <w:r w:rsidRPr="00FA4B2D">
        <w:rPr>
          <w:rFonts w:cs="Arial"/>
        </w:rPr>
        <w:t>El INE, según el tipo de pobreza, presenta un total correspondiente a los tres departamentos, donde un total de 211,700 hogares viven en condición de pobreza, ya sea relativa o extrema. Siendo en términos generales el 63.7% del total de hogares en los tres departamentos que se encuentran en esta condición. De manera desagregada a nivel departamental, los resultados se indican en la siguiente tabla:</w:t>
      </w:r>
    </w:p>
    <w:p w14:paraId="2E82CEE3" w14:textId="7117E582" w:rsidR="00EF7331" w:rsidRDefault="00EF7331" w:rsidP="00EF7331">
      <w:pPr>
        <w:pStyle w:val="Descripcin"/>
        <w:keepNext/>
      </w:pPr>
      <w:bookmarkStart w:id="688" w:name="_Toc202455453"/>
      <w:r>
        <w:t xml:space="preserve">Tabla </w:t>
      </w:r>
      <w:r>
        <w:fldChar w:fldCharType="begin"/>
      </w:r>
      <w:r>
        <w:instrText xml:space="preserve"> SEQ Tabla \* ARABIC </w:instrText>
      </w:r>
      <w:r>
        <w:fldChar w:fldCharType="separate"/>
      </w:r>
      <w:r w:rsidR="000E6D86">
        <w:rPr>
          <w:noProof/>
        </w:rPr>
        <w:t>27</w:t>
      </w:r>
      <w:r>
        <w:fldChar w:fldCharType="end"/>
      </w:r>
      <w:r>
        <w:t xml:space="preserve">: </w:t>
      </w:r>
      <w:r w:rsidRPr="00F017BA">
        <w:t>Hogares rurales en condición de pobreza o no pobres</w:t>
      </w:r>
      <w:bookmarkEnd w:id="688"/>
    </w:p>
    <w:tbl>
      <w:tblPr>
        <w:tblW w:w="8820" w:type="dxa"/>
        <w:jc w:val="center"/>
        <w:tblCellMar>
          <w:left w:w="70" w:type="dxa"/>
          <w:right w:w="70" w:type="dxa"/>
        </w:tblCellMar>
        <w:tblLook w:val="04A0" w:firstRow="1" w:lastRow="0" w:firstColumn="1" w:lastColumn="0" w:noHBand="0" w:noVBand="1"/>
      </w:tblPr>
      <w:tblGrid>
        <w:gridCol w:w="1846"/>
        <w:gridCol w:w="1155"/>
        <w:gridCol w:w="1155"/>
        <w:gridCol w:w="1177"/>
        <w:gridCol w:w="1155"/>
        <w:gridCol w:w="1155"/>
        <w:gridCol w:w="1177"/>
      </w:tblGrid>
      <w:tr w:rsidR="00CF0F96" w:rsidRPr="00CF0F96" w14:paraId="405C8620" w14:textId="77777777" w:rsidTr="00016847">
        <w:trPr>
          <w:trHeight w:val="313"/>
          <w:jc w:val="center"/>
        </w:trPr>
        <w:tc>
          <w:tcPr>
            <w:tcW w:w="1846" w:type="dxa"/>
            <w:tcBorders>
              <w:top w:val="single" w:sz="4" w:space="0" w:color="auto"/>
              <w:left w:val="single" w:sz="4" w:space="0" w:color="auto"/>
              <w:bottom w:val="single" w:sz="4" w:space="0" w:color="auto"/>
              <w:right w:val="single" w:sz="4" w:space="0" w:color="auto"/>
            </w:tcBorders>
            <w:shd w:val="clear" w:color="auto" w:fill="5CC5DA"/>
            <w:noWrap/>
            <w:vAlign w:val="bottom"/>
            <w:hideMark/>
          </w:tcPr>
          <w:p w14:paraId="5F6640D8" w14:textId="77777777" w:rsidR="006A3DBC" w:rsidRPr="00CF0F96" w:rsidRDefault="006A3DBC" w:rsidP="005F4A92">
            <w:pPr>
              <w:spacing w:after="0" w:line="240" w:lineRule="auto"/>
              <w:jc w:val="center"/>
              <w:rPr>
                <w:rFonts w:eastAsia="Times New Roman" w:cs="Arial"/>
                <w:b/>
                <w:sz w:val="22"/>
                <w:lang w:eastAsia="es-SV"/>
              </w:rPr>
            </w:pPr>
            <w:r w:rsidRPr="00CF0F96">
              <w:rPr>
                <w:rFonts w:eastAsia="Times New Roman" w:cs="Arial"/>
                <w:b/>
                <w:sz w:val="22"/>
                <w:lang w:eastAsia="es-SV"/>
              </w:rPr>
              <w:t> </w:t>
            </w:r>
          </w:p>
        </w:tc>
        <w:tc>
          <w:tcPr>
            <w:tcW w:w="1155" w:type="dxa"/>
            <w:tcBorders>
              <w:top w:val="single" w:sz="4" w:space="0" w:color="auto"/>
              <w:left w:val="nil"/>
              <w:bottom w:val="single" w:sz="4" w:space="0" w:color="auto"/>
              <w:right w:val="single" w:sz="4" w:space="0" w:color="auto"/>
            </w:tcBorders>
            <w:shd w:val="clear" w:color="auto" w:fill="5CC5DA"/>
            <w:noWrap/>
            <w:vAlign w:val="bottom"/>
            <w:hideMark/>
          </w:tcPr>
          <w:p w14:paraId="70D294A1" w14:textId="77777777" w:rsidR="006A3DBC" w:rsidRPr="00CF0F96" w:rsidRDefault="006A3DBC" w:rsidP="005F4A92">
            <w:pPr>
              <w:spacing w:after="0" w:line="240" w:lineRule="auto"/>
              <w:jc w:val="center"/>
              <w:rPr>
                <w:rFonts w:eastAsia="Times New Roman" w:cs="Arial"/>
                <w:b/>
                <w:sz w:val="22"/>
                <w:lang w:eastAsia="es-SV"/>
              </w:rPr>
            </w:pPr>
            <w:r w:rsidRPr="00CF0F96">
              <w:rPr>
                <w:rFonts w:eastAsia="Times New Roman" w:cs="Arial"/>
                <w:b/>
                <w:sz w:val="22"/>
                <w:lang w:eastAsia="es-SV"/>
              </w:rPr>
              <w:t>Urbano</w:t>
            </w:r>
          </w:p>
        </w:tc>
        <w:tc>
          <w:tcPr>
            <w:tcW w:w="1155" w:type="dxa"/>
            <w:tcBorders>
              <w:top w:val="single" w:sz="4" w:space="0" w:color="auto"/>
              <w:left w:val="nil"/>
              <w:bottom w:val="single" w:sz="4" w:space="0" w:color="auto"/>
              <w:right w:val="single" w:sz="4" w:space="0" w:color="auto"/>
            </w:tcBorders>
            <w:shd w:val="clear" w:color="auto" w:fill="5CC5DA"/>
            <w:noWrap/>
            <w:vAlign w:val="bottom"/>
            <w:hideMark/>
          </w:tcPr>
          <w:p w14:paraId="599CCF7C" w14:textId="77777777" w:rsidR="006A3DBC" w:rsidRPr="00CF0F96" w:rsidRDefault="006A3DBC" w:rsidP="005F4A92">
            <w:pPr>
              <w:spacing w:after="0" w:line="240" w:lineRule="auto"/>
              <w:jc w:val="center"/>
              <w:rPr>
                <w:rFonts w:eastAsia="Times New Roman" w:cs="Arial"/>
                <w:b/>
                <w:sz w:val="22"/>
                <w:lang w:eastAsia="es-SV"/>
              </w:rPr>
            </w:pPr>
            <w:r w:rsidRPr="00CF0F96">
              <w:rPr>
                <w:rFonts w:eastAsia="Times New Roman" w:cs="Arial"/>
                <w:b/>
                <w:sz w:val="22"/>
                <w:lang w:eastAsia="es-SV"/>
              </w:rPr>
              <w:t> </w:t>
            </w:r>
          </w:p>
        </w:tc>
        <w:tc>
          <w:tcPr>
            <w:tcW w:w="1177" w:type="dxa"/>
            <w:tcBorders>
              <w:top w:val="single" w:sz="4" w:space="0" w:color="auto"/>
              <w:left w:val="nil"/>
              <w:bottom w:val="single" w:sz="4" w:space="0" w:color="auto"/>
              <w:right w:val="single" w:sz="4" w:space="0" w:color="auto"/>
            </w:tcBorders>
            <w:shd w:val="clear" w:color="auto" w:fill="5CC5DA"/>
            <w:noWrap/>
            <w:vAlign w:val="bottom"/>
            <w:hideMark/>
          </w:tcPr>
          <w:p w14:paraId="6FD0B092" w14:textId="77777777" w:rsidR="006A3DBC" w:rsidRPr="00CF0F96" w:rsidRDefault="006A3DBC" w:rsidP="005F4A92">
            <w:pPr>
              <w:spacing w:after="0" w:line="240" w:lineRule="auto"/>
              <w:jc w:val="center"/>
              <w:rPr>
                <w:rFonts w:eastAsia="Times New Roman" w:cs="Arial"/>
                <w:b/>
                <w:sz w:val="22"/>
                <w:lang w:eastAsia="es-SV"/>
              </w:rPr>
            </w:pPr>
            <w:r w:rsidRPr="00CF0F96">
              <w:rPr>
                <w:rFonts w:eastAsia="Times New Roman" w:cs="Arial"/>
                <w:b/>
                <w:sz w:val="22"/>
                <w:lang w:eastAsia="es-SV"/>
              </w:rPr>
              <w:t> </w:t>
            </w:r>
          </w:p>
        </w:tc>
        <w:tc>
          <w:tcPr>
            <w:tcW w:w="1155" w:type="dxa"/>
            <w:tcBorders>
              <w:top w:val="single" w:sz="4" w:space="0" w:color="auto"/>
              <w:left w:val="nil"/>
              <w:bottom w:val="single" w:sz="4" w:space="0" w:color="auto"/>
              <w:right w:val="single" w:sz="4" w:space="0" w:color="auto"/>
            </w:tcBorders>
            <w:shd w:val="clear" w:color="auto" w:fill="5CC5DA"/>
            <w:noWrap/>
            <w:vAlign w:val="bottom"/>
            <w:hideMark/>
          </w:tcPr>
          <w:p w14:paraId="3412B9CA" w14:textId="77777777" w:rsidR="006A3DBC" w:rsidRPr="00CF0F96" w:rsidRDefault="006A3DBC" w:rsidP="005F4A92">
            <w:pPr>
              <w:spacing w:after="0" w:line="240" w:lineRule="auto"/>
              <w:jc w:val="center"/>
              <w:rPr>
                <w:rFonts w:eastAsia="Times New Roman" w:cs="Arial"/>
                <w:b/>
                <w:sz w:val="22"/>
                <w:lang w:eastAsia="es-SV"/>
              </w:rPr>
            </w:pPr>
            <w:r w:rsidRPr="00CF0F96">
              <w:rPr>
                <w:rFonts w:eastAsia="Times New Roman" w:cs="Arial"/>
                <w:b/>
                <w:sz w:val="22"/>
                <w:lang w:eastAsia="es-SV"/>
              </w:rPr>
              <w:t xml:space="preserve">Rural </w:t>
            </w:r>
          </w:p>
        </w:tc>
        <w:tc>
          <w:tcPr>
            <w:tcW w:w="1155" w:type="dxa"/>
            <w:tcBorders>
              <w:top w:val="single" w:sz="4" w:space="0" w:color="auto"/>
              <w:left w:val="nil"/>
              <w:bottom w:val="single" w:sz="4" w:space="0" w:color="auto"/>
              <w:right w:val="single" w:sz="4" w:space="0" w:color="auto"/>
            </w:tcBorders>
            <w:shd w:val="clear" w:color="auto" w:fill="5CC5DA"/>
            <w:noWrap/>
            <w:vAlign w:val="bottom"/>
            <w:hideMark/>
          </w:tcPr>
          <w:p w14:paraId="4D6E51D3" w14:textId="77777777" w:rsidR="006A3DBC" w:rsidRPr="00CF0F96" w:rsidRDefault="006A3DBC" w:rsidP="005F4A92">
            <w:pPr>
              <w:spacing w:after="0" w:line="240" w:lineRule="auto"/>
              <w:jc w:val="center"/>
              <w:rPr>
                <w:rFonts w:eastAsia="Times New Roman" w:cs="Arial"/>
                <w:b/>
                <w:sz w:val="22"/>
                <w:lang w:eastAsia="es-SV"/>
              </w:rPr>
            </w:pPr>
            <w:r w:rsidRPr="00CF0F96">
              <w:rPr>
                <w:rFonts w:eastAsia="Times New Roman" w:cs="Arial"/>
                <w:b/>
                <w:sz w:val="22"/>
                <w:lang w:eastAsia="es-SV"/>
              </w:rPr>
              <w:t> </w:t>
            </w:r>
          </w:p>
        </w:tc>
        <w:tc>
          <w:tcPr>
            <w:tcW w:w="1177" w:type="dxa"/>
            <w:tcBorders>
              <w:top w:val="single" w:sz="4" w:space="0" w:color="auto"/>
              <w:left w:val="nil"/>
              <w:bottom w:val="single" w:sz="4" w:space="0" w:color="auto"/>
              <w:right w:val="single" w:sz="4" w:space="0" w:color="auto"/>
            </w:tcBorders>
            <w:shd w:val="clear" w:color="auto" w:fill="5CC5DA"/>
            <w:noWrap/>
            <w:vAlign w:val="bottom"/>
            <w:hideMark/>
          </w:tcPr>
          <w:p w14:paraId="1C45E485" w14:textId="77777777" w:rsidR="006A3DBC" w:rsidRPr="00CF0F96" w:rsidRDefault="006A3DBC" w:rsidP="005F4A92">
            <w:pPr>
              <w:spacing w:after="0" w:line="240" w:lineRule="auto"/>
              <w:jc w:val="center"/>
              <w:rPr>
                <w:rFonts w:eastAsia="Times New Roman" w:cs="Arial"/>
                <w:b/>
                <w:sz w:val="22"/>
                <w:lang w:eastAsia="es-SV"/>
              </w:rPr>
            </w:pPr>
            <w:r w:rsidRPr="00CF0F96">
              <w:rPr>
                <w:rFonts w:eastAsia="Times New Roman" w:cs="Arial"/>
                <w:b/>
                <w:sz w:val="22"/>
                <w:lang w:eastAsia="es-SV"/>
              </w:rPr>
              <w:t> </w:t>
            </w:r>
          </w:p>
        </w:tc>
      </w:tr>
      <w:tr w:rsidR="00CF0F96" w:rsidRPr="00CF0F96" w14:paraId="3342D105" w14:textId="77777777" w:rsidTr="00016847">
        <w:trPr>
          <w:trHeight w:val="313"/>
          <w:jc w:val="center"/>
        </w:trPr>
        <w:tc>
          <w:tcPr>
            <w:tcW w:w="1846" w:type="dxa"/>
            <w:tcBorders>
              <w:top w:val="nil"/>
              <w:left w:val="single" w:sz="4" w:space="0" w:color="auto"/>
              <w:bottom w:val="single" w:sz="4" w:space="0" w:color="auto"/>
              <w:right w:val="single" w:sz="4" w:space="0" w:color="auto"/>
            </w:tcBorders>
            <w:shd w:val="clear" w:color="auto" w:fill="5CC5DA"/>
            <w:noWrap/>
            <w:vAlign w:val="bottom"/>
            <w:hideMark/>
          </w:tcPr>
          <w:p w14:paraId="3892623A" w14:textId="77777777" w:rsidR="006A3DBC" w:rsidRPr="00CF0F96" w:rsidRDefault="006A3DBC" w:rsidP="005F4A92">
            <w:pPr>
              <w:spacing w:after="0" w:line="240" w:lineRule="auto"/>
              <w:jc w:val="center"/>
              <w:rPr>
                <w:rFonts w:eastAsia="Times New Roman" w:cs="Arial"/>
                <w:b/>
                <w:sz w:val="22"/>
                <w:lang w:eastAsia="es-SV"/>
              </w:rPr>
            </w:pPr>
            <w:r w:rsidRPr="00CF0F96">
              <w:rPr>
                <w:rFonts w:eastAsia="Times New Roman" w:cs="Arial"/>
                <w:b/>
                <w:sz w:val="22"/>
                <w:lang w:eastAsia="es-SV"/>
              </w:rPr>
              <w:t xml:space="preserve"> Departamento </w:t>
            </w:r>
          </w:p>
        </w:tc>
        <w:tc>
          <w:tcPr>
            <w:tcW w:w="1155" w:type="dxa"/>
            <w:tcBorders>
              <w:top w:val="nil"/>
              <w:left w:val="nil"/>
              <w:bottom w:val="single" w:sz="4" w:space="0" w:color="auto"/>
              <w:right w:val="single" w:sz="4" w:space="0" w:color="auto"/>
            </w:tcBorders>
            <w:shd w:val="clear" w:color="auto" w:fill="5CC5DA"/>
            <w:noWrap/>
            <w:vAlign w:val="bottom"/>
            <w:hideMark/>
          </w:tcPr>
          <w:p w14:paraId="62CF146C" w14:textId="77777777" w:rsidR="006A3DBC" w:rsidRPr="00CF0F96" w:rsidRDefault="006A3DBC" w:rsidP="005F4A92">
            <w:pPr>
              <w:spacing w:after="0" w:line="240" w:lineRule="auto"/>
              <w:jc w:val="center"/>
              <w:rPr>
                <w:rFonts w:eastAsia="Times New Roman" w:cs="Arial"/>
                <w:b/>
                <w:sz w:val="22"/>
                <w:lang w:eastAsia="es-SV"/>
              </w:rPr>
            </w:pPr>
            <w:r w:rsidRPr="00CF0F96">
              <w:rPr>
                <w:rFonts w:eastAsia="Times New Roman" w:cs="Arial"/>
                <w:b/>
                <w:sz w:val="22"/>
                <w:lang w:eastAsia="es-SV"/>
              </w:rPr>
              <w:t>Extrema</w:t>
            </w:r>
          </w:p>
        </w:tc>
        <w:tc>
          <w:tcPr>
            <w:tcW w:w="1155" w:type="dxa"/>
            <w:tcBorders>
              <w:top w:val="nil"/>
              <w:left w:val="nil"/>
              <w:bottom w:val="single" w:sz="4" w:space="0" w:color="auto"/>
              <w:right w:val="single" w:sz="4" w:space="0" w:color="auto"/>
            </w:tcBorders>
            <w:shd w:val="clear" w:color="auto" w:fill="5CC5DA"/>
            <w:noWrap/>
            <w:vAlign w:val="bottom"/>
            <w:hideMark/>
          </w:tcPr>
          <w:p w14:paraId="3D4F6CC5" w14:textId="77777777" w:rsidR="006A3DBC" w:rsidRPr="00CF0F96" w:rsidRDefault="006A3DBC" w:rsidP="005F4A92">
            <w:pPr>
              <w:spacing w:after="0" w:line="240" w:lineRule="auto"/>
              <w:jc w:val="center"/>
              <w:rPr>
                <w:rFonts w:eastAsia="Times New Roman" w:cs="Arial"/>
                <w:b/>
                <w:sz w:val="22"/>
                <w:lang w:eastAsia="es-SV"/>
              </w:rPr>
            </w:pPr>
            <w:r w:rsidRPr="00CF0F96">
              <w:rPr>
                <w:rFonts w:eastAsia="Times New Roman" w:cs="Arial"/>
                <w:b/>
                <w:sz w:val="22"/>
                <w:lang w:eastAsia="es-SV"/>
              </w:rPr>
              <w:t>Relativa</w:t>
            </w:r>
          </w:p>
        </w:tc>
        <w:tc>
          <w:tcPr>
            <w:tcW w:w="1177" w:type="dxa"/>
            <w:tcBorders>
              <w:top w:val="nil"/>
              <w:left w:val="nil"/>
              <w:bottom w:val="single" w:sz="4" w:space="0" w:color="auto"/>
              <w:right w:val="single" w:sz="4" w:space="0" w:color="auto"/>
            </w:tcBorders>
            <w:shd w:val="clear" w:color="auto" w:fill="5CC5DA"/>
            <w:noWrap/>
            <w:vAlign w:val="bottom"/>
            <w:hideMark/>
          </w:tcPr>
          <w:p w14:paraId="2B0C8CDF" w14:textId="77777777" w:rsidR="006A3DBC" w:rsidRPr="00CF0F96" w:rsidRDefault="006A3DBC" w:rsidP="005F4A92">
            <w:pPr>
              <w:spacing w:after="0" w:line="240" w:lineRule="auto"/>
              <w:jc w:val="center"/>
              <w:rPr>
                <w:rFonts w:eastAsia="Times New Roman" w:cs="Arial"/>
                <w:b/>
                <w:sz w:val="22"/>
                <w:lang w:eastAsia="es-SV"/>
              </w:rPr>
            </w:pPr>
            <w:r w:rsidRPr="00CF0F96">
              <w:rPr>
                <w:rFonts w:eastAsia="Times New Roman" w:cs="Arial"/>
                <w:b/>
                <w:sz w:val="22"/>
                <w:lang w:eastAsia="es-SV"/>
              </w:rPr>
              <w:t>No pobres</w:t>
            </w:r>
          </w:p>
        </w:tc>
        <w:tc>
          <w:tcPr>
            <w:tcW w:w="1155" w:type="dxa"/>
            <w:tcBorders>
              <w:top w:val="nil"/>
              <w:left w:val="nil"/>
              <w:bottom w:val="single" w:sz="4" w:space="0" w:color="auto"/>
              <w:right w:val="single" w:sz="4" w:space="0" w:color="auto"/>
            </w:tcBorders>
            <w:shd w:val="clear" w:color="auto" w:fill="5CC5DA"/>
            <w:noWrap/>
            <w:vAlign w:val="bottom"/>
            <w:hideMark/>
          </w:tcPr>
          <w:p w14:paraId="1B850F8B" w14:textId="77777777" w:rsidR="006A3DBC" w:rsidRPr="00CF0F96" w:rsidRDefault="006A3DBC" w:rsidP="005F4A92">
            <w:pPr>
              <w:spacing w:after="0" w:line="240" w:lineRule="auto"/>
              <w:jc w:val="center"/>
              <w:rPr>
                <w:rFonts w:eastAsia="Times New Roman" w:cs="Arial"/>
                <w:b/>
                <w:sz w:val="22"/>
                <w:lang w:eastAsia="es-SV"/>
              </w:rPr>
            </w:pPr>
            <w:r w:rsidRPr="00CF0F96">
              <w:rPr>
                <w:rFonts w:eastAsia="Times New Roman" w:cs="Arial"/>
                <w:b/>
                <w:sz w:val="22"/>
                <w:lang w:eastAsia="es-SV"/>
              </w:rPr>
              <w:t>Extrema</w:t>
            </w:r>
          </w:p>
        </w:tc>
        <w:tc>
          <w:tcPr>
            <w:tcW w:w="1155" w:type="dxa"/>
            <w:tcBorders>
              <w:top w:val="nil"/>
              <w:left w:val="nil"/>
              <w:bottom w:val="single" w:sz="4" w:space="0" w:color="auto"/>
              <w:right w:val="single" w:sz="4" w:space="0" w:color="auto"/>
            </w:tcBorders>
            <w:shd w:val="clear" w:color="auto" w:fill="5CC5DA"/>
            <w:noWrap/>
            <w:vAlign w:val="bottom"/>
            <w:hideMark/>
          </w:tcPr>
          <w:p w14:paraId="5AB21ABD" w14:textId="77777777" w:rsidR="006A3DBC" w:rsidRPr="00CF0F96" w:rsidRDefault="006A3DBC" w:rsidP="005F4A92">
            <w:pPr>
              <w:spacing w:after="0" w:line="240" w:lineRule="auto"/>
              <w:jc w:val="center"/>
              <w:rPr>
                <w:rFonts w:eastAsia="Times New Roman" w:cs="Arial"/>
                <w:b/>
                <w:sz w:val="22"/>
                <w:lang w:eastAsia="es-SV"/>
              </w:rPr>
            </w:pPr>
            <w:r w:rsidRPr="00CF0F96">
              <w:rPr>
                <w:rFonts w:eastAsia="Times New Roman" w:cs="Arial"/>
                <w:b/>
                <w:sz w:val="22"/>
                <w:lang w:eastAsia="es-SV"/>
              </w:rPr>
              <w:t>Relativa</w:t>
            </w:r>
          </w:p>
        </w:tc>
        <w:tc>
          <w:tcPr>
            <w:tcW w:w="1177" w:type="dxa"/>
            <w:tcBorders>
              <w:top w:val="nil"/>
              <w:left w:val="nil"/>
              <w:bottom w:val="single" w:sz="4" w:space="0" w:color="auto"/>
              <w:right w:val="single" w:sz="4" w:space="0" w:color="auto"/>
            </w:tcBorders>
            <w:shd w:val="clear" w:color="auto" w:fill="5CC5DA"/>
            <w:noWrap/>
            <w:vAlign w:val="bottom"/>
            <w:hideMark/>
          </w:tcPr>
          <w:p w14:paraId="7DB8BD4B" w14:textId="77777777" w:rsidR="006A3DBC" w:rsidRPr="00CF0F96" w:rsidRDefault="006A3DBC" w:rsidP="005F4A92">
            <w:pPr>
              <w:spacing w:after="0" w:line="240" w:lineRule="auto"/>
              <w:jc w:val="center"/>
              <w:rPr>
                <w:rFonts w:eastAsia="Times New Roman" w:cs="Arial"/>
                <w:b/>
                <w:sz w:val="22"/>
                <w:lang w:eastAsia="es-SV"/>
              </w:rPr>
            </w:pPr>
            <w:r w:rsidRPr="00CF0F96">
              <w:rPr>
                <w:rFonts w:eastAsia="Times New Roman" w:cs="Arial"/>
                <w:b/>
                <w:sz w:val="22"/>
                <w:lang w:eastAsia="es-SV"/>
              </w:rPr>
              <w:t>No pobres</w:t>
            </w:r>
          </w:p>
        </w:tc>
      </w:tr>
      <w:tr w:rsidR="00CF0F96" w:rsidRPr="00CF0F96" w14:paraId="427464BC" w14:textId="77777777" w:rsidTr="005F4A92">
        <w:trPr>
          <w:trHeight w:val="313"/>
          <w:jc w:val="center"/>
        </w:trPr>
        <w:tc>
          <w:tcPr>
            <w:tcW w:w="1846" w:type="dxa"/>
            <w:tcBorders>
              <w:top w:val="nil"/>
              <w:left w:val="single" w:sz="4" w:space="0" w:color="auto"/>
              <w:bottom w:val="single" w:sz="4" w:space="0" w:color="auto"/>
              <w:right w:val="single" w:sz="4" w:space="0" w:color="auto"/>
            </w:tcBorders>
            <w:shd w:val="clear" w:color="auto" w:fill="auto"/>
            <w:noWrap/>
            <w:vAlign w:val="bottom"/>
            <w:hideMark/>
          </w:tcPr>
          <w:p w14:paraId="25598083" w14:textId="77777777" w:rsidR="006A3DBC" w:rsidRPr="00CF0F96" w:rsidRDefault="006A3DBC" w:rsidP="005F4A92">
            <w:pPr>
              <w:spacing w:after="0" w:line="240" w:lineRule="auto"/>
              <w:jc w:val="center"/>
              <w:rPr>
                <w:rFonts w:eastAsia="Times New Roman" w:cs="Arial"/>
                <w:sz w:val="22"/>
                <w:lang w:eastAsia="es-SV"/>
              </w:rPr>
            </w:pPr>
            <w:r w:rsidRPr="00CF0F96">
              <w:rPr>
                <w:rFonts w:eastAsia="Times New Roman" w:cs="Arial"/>
                <w:sz w:val="22"/>
                <w:lang w:eastAsia="es-SV"/>
              </w:rPr>
              <w:t>Olancho</w:t>
            </w:r>
          </w:p>
        </w:tc>
        <w:tc>
          <w:tcPr>
            <w:tcW w:w="1155" w:type="dxa"/>
            <w:tcBorders>
              <w:top w:val="nil"/>
              <w:left w:val="nil"/>
              <w:bottom w:val="single" w:sz="4" w:space="0" w:color="auto"/>
              <w:right w:val="single" w:sz="4" w:space="0" w:color="auto"/>
            </w:tcBorders>
            <w:shd w:val="clear" w:color="auto" w:fill="auto"/>
            <w:noWrap/>
            <w:vAlign w:val="bottom"/>
            <w:hideMark/>
          </w:tcPr>
          <w:p w14:paraId="75A3F74E" w14:textId="283F4752" w:rsidR="006A3DBC" w:rsidRPr="00CF0F96" w:rsidRDefault="006A3DBC" w:rsidP="005F4A92">
            <w:pPr>
              <w:spacing w:after="0" w:line="240" w:lineRule="auto"/>
              <w:jc w:val="center"/>
              <w:rPr>
                <w:rFonts w:eastAsia="Times New Roman" w:cs="Arial"/>
                <w:sz w:val="22"/>
                <w:lang w:eastAsia="es-SV"/>
              </w:rPr>
            </w:pPr>
            <w:r w:rsidRPr="00CF0F96">
              <w:rPr>
                <w:rFonts w:eastAsia="Times New Roman" w:cs="Arial"/>
                <w:sz w:val="22"/>
                <w:lang w:eastAsia="es-SV"/>
              </w:rPr>
              <w:t>18</w:t>
            </w:r>
            <w:r w:rsidR="007F4D40" w:rsidRPr="00CF0F96">
              <w:rPr>
                <w:rFonts w:eastAsia="Times New Roman" w:cs="Arial"/>
                <w:sz w:val="22"/>
                <w:lang w:eastAsia="es-SV"/>
              </w:rPr>
              <w:t>,</w:t>
            </w:r>
            <w:r w:rsidRPr="00CF0F96">
              <w:rPr>
                <w:rFonts w:eastAsia="Times New Roman" w:cs="Arial"/>
                <w:sz w:val="22"/>
                <w:lang w:eastAsia="es-SV"/>
              </w:rPr>
              <w:t>661</w:t>
            </w:r>
          </w:p>
        </w:tc>
        <w:tc>
          <w:tcPr>
            <w:tcW w:w="1155" w:type="dxa"/>
            <w:tcBorders>
              <w:top w:val="nil"/>
              <w:left w:val="nil"/>
              <w:bottom w:val="single" w:sz="4" w:space="0" w:color="auto"/>
              <w:right w:val="single" w:sz="4" w:space="0" w:color="auto"/>
            </w:tcBorders>
            <w:shd w:val="clear" w:color="auto" w:fill="auto"/>
            <w:noWrap/>
            <w:vAlign w:val="bottom"/>
            <w:hideMark/>
          </w:tcPr>
          <w:p w14:paraId="2E5363BF" w14:textId="720E4143" w:rsidR="006A3DBC" w:rsidRPr="00CF0F96" w:rsidRDefault="006A3DBC" w:rsidP="005F4A92">
            <w:pPr>
              <w:spacing w:after="0" w:line="240" w:lineRule="auto"/>
              <w:jc w:val="center"/>
              <w:rPr>
                <w:rFonts w:eastAsia="Times New Roman" w:cs="Arial"/>
                <w:sz w:val="22"/>
                <w:lang w:eastAsia="es-SV"/>
              </w:rPr>
            </w:pPr>
            <w:r w:rsidRPr="00CF0F96">
              <w:rPr>
                <w:rFonts w:eastAsia="Times New Roman" w:cs="Arial"/>
                <w:sz w:val="22"/>
                <w:lang w:eastAsia="es-SV"/>
              </w:rPr>
              <w:t>15</w:t>
            </w:r>
            <w:r w:rsidR="007F4D40" w:rsidRPr="00CF0F96">
              <w:rPr>
                <w:rFonts w:eastAsia="Times New Roman" w:cs="Arial"/>
                <w:sz w:val="22"/>
                <w:lang w:eastAsia="es-SV"/>
              </w:rPr>
              <w:t>,</w:t>
            </w:r>
            <w:r w:rsidRPr="00CF0F96">
              <w:rPr>
                <w:rFonts w:eastAsia="Times New Roman" w:cs="Arial"/>
                <w:sz w:val="22"/>
                <w:lang w:eastAsia="es-SV"/>
              </w:rPr>
              <w:t>130</w:t>
            </w:r>
          </w:p>
        </w:tc>
        <w:tc>
          <w:tcPr>
            <w:tcW w:w="1177" w:type="dxa"/>
            <w:tcBorders>
              <w:top w:val="nil"/>
              <w:left w:val="nil"/>
              <w:bottom w:val="single" w:sz="4" w:space="0" w:color="auto"/>
              <w:right w:val="single" w:sz="4" w:space="0" w:color="auto"/>
            </w:tcBorders>
            <w:shd w:val="clear" w:color="auto" w:fill="auto"/>
            <w:noWrap/>
            <w:vAlign w:val="bottom"/>
            <w:hideMark/>
          </w:tcPr>
          <w:p w14:paraId="50266C54" w14:textId="1EB93270" w:rsidR="006A3DBC" w:rsidRPr="00CF0F96" w:rsidRDefault="006A3DBC" w:rsidP="005F4A92">
            <w:pPr>
              <w:spacing w:after="0" w:line="240" w:lineRule="auto"/>
              <w:jc w:val="center"/>
              <w:rPr>
                <w:rFonts w:eastAsia="Times New Roman" w:cs="Arial"/>
                <w:sz w:val="22"/>
                <w:lang w:eastAsia="es-SV"/>
              </w:rPr>
            </w:pPr>
            <w:r w:rsidRPr="00CF0F96">
              <w:rPr>
                <w:rFonts w:eastAsia="Times New Roman" w:cs="Arial"/>
                <w:sz w:val="22"/>
                <w:lang w:eastAsia="es-SV"/>
              </w:rPr>
              <w:t>14</w:t>
            </w:r>
            <w:r w:rsidR="007F4D40" w:rsidRPr="00CF0F96">
              <w:rPr>
                <w:rFonts w:eastAsia="Times New Roman" w:cs="Arial"/>
                <w:sz w:val="22"/>
                <w:lang w:eastAsia="es-SV"/>
              </w:rPr>
              <w:t>,</w:t>
            </w:r>
            <w:r w:rsidRPr="00CF0F96">
              <w:rPr>
                <w:rFonts w:eastAsia="Times New Roman" w:cs="Arial"/>
                <w:sz w:val="22"/>
                <w:lang w:eastAsia="es-SV"/>
              </w:rPr>
              <w:t>702</w:t>
            </w:r>
          </w:p>
        </w:tc>
        <w:tc>
          <w:tcPr>
            <w:tcW w:w="1155" w:type="dxa"/>
            <w:tcBorders>
              <w:top w:val="nil"/>
              <w:left w:val="nil"/>
              <w:bottom w:val="single" w:sz="4" w:space="0" w:color="auto"/>
              <w:right w:val="single" w:sz="4" w:space="0" w:color="auto"/>
            </w:tcBorders>
            <w:shd w:val="clear" w:color="auto" w:fill="auto"/>
            <w:noWrap/>
            <w:vAlign w:val="bottom"/>
            <w:hideMark/>
          </w:tcPr>
          <w:p w14:paraId="6D16B977" w14:textId="7832C12D" w:rsidR="006A3DBC" w:rsidRPr="00CF0F96" w:rsidRDefault="006A3DBC" w:rsidP="005F4A92">
            <w:pPr>
              <w:spacing w:after="0" w:line="240" w:lineRule="auto"/>
              <w:jc w:val="center"/>
              <w:rPr>
                <w:rFonts w:eastAsia="Times New Roman" w:cs="Arial"/>
                <w:sz w:val="22"/>
                <w:lang w:eastAsia="es-SV"/>
              </w:rPr>
            </w:pPr>
            <w:r w:rsidRPr="00CF0F96">
              <w:rPr>
                <w:rFonts w:eastAsia="Times New Roman" w:cs="Arial"/>
                <w:sz w:val="22"/>
                <w:lang w:eastAsia="es-SV"/>
              </w:rPr>
              <w:t>48</w:t>
            </w:r>
            <w:r w:rsidR="007F4D40" w:rsidRPr="00CF0F96">
              <w:rPr>
                <w:rFonts w:eastAsia="Times New Roman" w:cs="Arial"/>
                <w:sz w:val="22"/>
                <w:lang w:eastAsia="es-SV"/>
              </w:rPr>
              <w:t>,</w:t>
            </w:r>
            <w:r w:rsidRPr="00CF0F96">
              <w:rPr>
                <w:rFonts w:eastAsia="Times New Roman" w:cs="Arial"/>
                <w:sz w:val="22"/>
                <w:lang w:eastAsia="es-SV"/>
              </w:rPr>
              <w:t>036</w:t>
            </w:r>
          </w:p>
        </w:tc>
        <w:tc>
          <w:tcPr>
            <w:tcW w:w="1155" w:type="dxa"/>
            <w:tcBorders>
              <w:top w:val="nil"/>
              <w:left w:val="nil"/>
              <w:bottom w:val="single" w:sz="4" w:space="0" w:color="auto"/>
              <w:right w:val="single" w:sz="4" w:space="0" w:color="auto"/>
            </w:tcBorders>
            <w:shd w:val="clear" w:color="auto" w:fill="auto"/>
            <w:noWrap/>
            <w:vAlign w:val="bottom"/>
            <w:hideMark/>
          </w:tcPr>
          <w:p w14:paraId="1BD5FA1A" w14:textId="39F993CE" w:rsidR="006A3DBC" w:rsidRPr="00CF0F96" w:rsidRDefault="006A3DBC" w:rsidP="005F4A92">
            <w:pPr>
              <w:spacing w:after="0" w:line="240" w:lineRule="auto"/>
              <w:jc w:val="center"/>
              <w:rPr>
                <w:rFonts w:eastAsia="Times New Roman" w:cs="Arial"/>
                <w:sz w:val="22"/>
                <w:lang w:eastAsia="es-SV"/>
              </w:rPr>
            </w:pPr>
            <w:r w:rsidRPr="00CF0F96">
              <w:rPr>
                <w:rFonts w:eastAsia="Times New Roman" w:cs="Arial"/>
                <w:sz w:val="22"/>
                <w:lang w:eastAsia="es-SV"/>
              </w:rPr>
              <w:t>8</w:t>
            </w:r>
            <w:r w:rsidR="007F4D40" w:rsidRPr="00CF0F96">
              <w:rPr>
                <w:rFonts w:eastAsia="Times New Roman" w:cs="Arial"/>
                <w:sz w:val="22"/>
                <w:lang w:eastAsia="es-SV"/>
              </w:rPr>
              <w:t>,</w:t>
            </w:r>
            <w:r w:rsidRPr="00CF0F96">
              <w:rPr>
                <w:rFonts w:eastAsia="Times New Roman" w:cs="Arial"/>
                <w:sz w:val="22"/>
                <w:lang w:eastAsia="es-SV"/>
              </w:rPr>
              <w:t>484</w:t>
            </w:r>
          </w:p>
        </w:tc>
        <w:tc>
          <w:tcPr>
            <w:tcW w:w="1177" w:type="dxa"/>
            <w:tcBorders>
              <w:top w:val="nil"/>
              <w:left w:val="nil"/>
              <w:bottom w:val="single" w:sz="4" w:space="0" w:color="auto"/>
              <w:right w:val="single" w:sz="4" w:space="0" w:color="auto"/>
            </w:tcBorders>
            <w:shd w:val="clear" w:color="auto" w:fill="auto"/>
            <w:noWrap/>
            <w:vAlign w:val="bottom"/>
            <w:hideMark/>
          </w:tcPr>
          <w:p w14:paraId="7AE87243" w14:textId="59445ED6" w:rsidR="006A3DBC" w:rsidRPr="00CF0F96" w:rsidRDefault="006A3DBC" w:rsidP="005F4A92">
            <w:pPr>
              <w:spacing w:after="0" w:line="240" w:lineRule="auto"/>
              <w:jc w:val="center"/>
              <w:rPr>
                <w:rFonts w:eastAsia="Times New Roman" w:cs="Arial"/>
                <w:sz w:val="22"/>
                <w:lang w:eastAsia="es-SV"/>
              </w:rPr>
            </w:pPr>
            <w:r w:rsidRPr="00CF0F96">
              <w:rPr>
                <w:rFonts w:eastAsia="Times New Roman" w:cs="Arial"/>
                <w:sz w:val="22"/>
                <w:lang w:eastAsia="es-SV"/>
              </w:rPr>
              <w:t>24</w:t>
            </w:r>
            <w:r w:rsidR="007F4D40" w:rsidRPr="00CF0F96">
              <w:rPr>
                <w:rFonts w:eastAsia="Times New Roman" w:cs="Arial"/>
                <w:sz w:val="22"/>
                <w:lang w:eastAsia="es-SV"/>
              </w:rPr>
              <w:t>,</w:t>
            </w:r>
            <w:r w:rsidRPr="00CF0F96">
              <w:rPr>
                <w:rFonts w:eastAsia="Times New Roman" w:cs="Arial"/>
                <w:sz w:val="22"/>
                <w:lang w:eastAsia="es-SV"/>
              </w:rPr>
              <w:t>437</w:t>
            </w:r>
          </w:p>
        </w:tc>
      </w:tr>
      <w:tr w:rsidR="00CF0F96" w:rsidRPr="00CF0F96" w14:paraId="405EF080" w14:textId="77777777" w:rsidTr="005F4A92">
        <w:trPr>
          <w:trHeight w:val="313"/>
          <w:jc w:val="center"/>
        </w:trPr>
        <w:tc>
          <w:tcPr>
            <w:tcW w:w="1846" w:type="dxa"/>
            <w:tcBorders>
              <w:top w:val="nil"/>
              <w:left w:val="single" w:sz="4" w:space="0" w:color="auto"/>
              <w:bottom w:val="single" w:sz="4" w:space="0" w:color="auto"/>
              <w:right w:val="single" w:sz="4" w:space="0" w:color="auto"/>
            </w:tcBorders>
            <w:shd w:val="clear" w:color="auto" w:fill="auto"/>
            <w:noWrap/>
            <w:vAlign w:val="bottom"/>
            <w:hideMark/>
          </w:tcPr>
          <w:p w14:paraId="06494576" w14:textId="77777777" w:rsidR="006A3DBC" w:rsidRPr="00CF0F96" w:rsidRDefault="006A3DBC" w:rsidP="005F4A92">
            <w:pPr>
              <w:spacing w:after="0" w:line="240" w:lineRule="auto"/>
              <w:jc w:val="center"/>
              <w:rPr>
                <w:rFonts w:eastAsia="Times New Roman" w:cs="Arial"/>
                <w:sz w:val="22"/>
                <w:lang w:eastAsia="es-SV"/>
              </w:rPr>
            </w:pPr>
            <w:r w:rsidRPr="00CF0F96">
              <w:rPr>
                <w:rFonts w:eastAsia="Times New Roman" w:cs="Arial"/>
                <w:sz w:val="22"/>
                <w:lang w:eastAsia="es-SV"/>
              </w:rPr>
              <w:t>Valle</w:t>
            </w:r>
          </w:p>
        </w:tc>
        <w:tc>
          <w:tcPr>
            <w:tcW w:w="1155" w:type="dxa"/>
            <w:tcBorders>
              <w:top w:val="nil"/>
              <w:left w:val="nil"/>
              <w:bottom w:val="single" w:sz="4" w:space="0" w:color="auto"/>
              <w:right w:val="single" w:sz="4" w:space="0" w:color="auto"/>
            </w:tcBorders>
            <w:shd w:val="clear" w:color="auto" w:fill="auto"/>
            <w:noWrap/>
            <w:vAlign w:val="bottom"/>
            <w:hideMark/>
          </w:tcPr>
          <w:p w14:paraId="43FA6615" w14:textId="0E5349F9" w:rsidR="006A3DBC" w:rsidRPr="00CF0F96" w:rsidRDefault="006A3DBC" w:rsidP="005F4A92">
            <w:pPr>
              <w:spacing w:after="0" w:line="240" w:lineRule="auto"/>
              <w:jc w:val="center"/>
              <w:rPr>
                <w:rFonts w:eastAsia="Times New Roman" w:cs="Arial"/>
                <w:sz w:val="22"/>
                <w:lang w:eastAsia="es-SV"/>
              </w:rPr>
            </w:pPr>
            <w:r w:rsidRPr="00CF0F96">
              <w:rPr>
                <w:rFonts w:eastAsia="Times New Roman" w:cs="Arial"/>
                <w:sz w:val="22"/>
                <w:lang w:eastAsia="es-SV"/>
              </w:rPr>
              <w:t>4</w:t>
            </w:r>
            <w:r w:rsidR="007F4D40" w:rsidRPr="00CF0F96">
              <w:rPr>
                <w:rFonts w:eastAsia="Times New Roman" w:cs="Arial"/>
                <w:sz w:val="22"/>
                <w:lang w:eastAsia="es-SV"/>
              </w:rPr>
              <w:t>,</w:t>
            </w:r>
            <w:r w:rsidRPr="00CF0F96">
              <w:rPr>
                <w:rFonts w:eastAsia="Times New Roman" w:cs="Arial"/>
                <w:sz w:val="22"/>
                <w:lang w:eastAsia="es-SV"/>
              </w:rPr>
              <w:t>923</w:t>
            </w:r>
          </w:p>
        </w:tc>
        <w:tc>
          <w:tcPr>
            <w:tcW w:w="1155" w:type="dxa"/>
            <w:tcBorders>
              <w:top w:val="nil"/>
              <w:left w:val="nil"/>
              <w:bottom w:val="single" w:sz="4" w:space="0" w:color="auto"/>
              <w:right w:val="single" w:sz="4" w:space="0" w:color="auto"/>
            </w:tcBorders>
            <w:shd w:val="clear" w:color="auto" w:fill="auto"/>
            <w:noWrap/>
            <w:vAlign w:val="bottom"/>
            <w:hideMark/>
          </w:tcPr>
          <w:p w14:paraId="782AFF87" w14:textId="7E51DBA5" w:rsidR="006A3DBC" w:rsidRPr="00CF0F96" w:rsidRDefault="006A3DBC" w:rsidP="005F4A92">
            <w:pPr>
              <w:spacing w:after="0" w:line="240" w:lineRule="auto"/>
              <w:jc w:val="center"/>
              <w:rPr>
                <w:rFonts w:eastAsia="Times New Roman" w:cs="Arial"/>
                <w:sz w:val="22"/>
                <w:lang w:eastAsia="es-SV"/>
              </w:rPr>
            </w:pPr>
            <w:r w:rsidRPr="00CF0F96">
              <w:rPr>
                <w:rFonts w:eastAsia="Times New Roman" w:cs="Arial"/>
                <w:sz w:val="22"/>
                <w:lang w:eastAsia="es-SV"/>
              </w:rPr>
              <w:t>5</w:t>
            </w:r>
            <w:r w:rsidR="007F4D40" w:rsidRPr="00CF0F96">
              <w:rPr>
                <w:rFonts w:eastAsia="Times New Roman" w:cs="Arial"/>
                <w:sz w:val="22"/>
                <w:lang w:eastAsia="es-SV"/>
              </w:rPr>
              <w:t>,</w:t>
            </w:r>
            <w:r w:rsidRPr="00CF0F96">
              <w:rPr>
                <w:rFonts w:eastAsia="Times New Roman" w:cs="Arial"/>
                <w:sz w:val="22"/>
                <w:lang w:eastAsia="es-SV"/>
              </w:rPr>
              <w:t>157</w:t>
            </w:r>
          </w:p>
        </w:tc>
        <w:tc>
          <w:tcPr>
            <w:tcW w:w="1177" w:type="dxa"/>
            <w:tcBorders>
              <w:top w:val="nil"/>
              <w:left w:val="nil"/>
              <w:bottom w:val="single" w:sz="4" w:space="0" w:color="auto"/>
              <w:right w:val="single" w:sz="4" w:space="0" w:color="auto"/>
            </w:tcBorders>
            <w:shd w:val="clear" w:color="auto" w:fill="auto"/>
            <w:noWrap/>
            <w:vAlign w:val="bottom"/>
            <w:hideMark/>
          </w:tcPr>
          <w:p w14:paraId="2499DE52" w14:textId="0D1A9A50" w:rsidR="006A3DBC" w:rsidRPr="00CF0F96" w:rsidRDefault="006A3DBC" w:rsidP="005F4A92">
            <w:pPr>
              <w:spacing w:after="0" w:line="240" w:lineRule="auto"/>
              <w:jc w:val="center"/>
              <w:rPr>
                <w:rFonts w:eastAsia="Times New Roman" w:cs="Arial"/>
                <w:sz w:val="22"/>
                <w:lang w:eastAsia="es-SV"/>
              </w:rPr>
            </w:pPr>
            <w:r w:rsidRPr="00CF0F96">
              <w:rPr>
                <w:rFonts w:eastAsia="Times New Roman" w:cs="Arial"/>
                <w:sz w:val="22"/>
                <w:lang w:eastAsia="es-SV"/>
              </w:rPr>
              <w:t>7</w:t>
            </w:r>
            <w:r w:rsidR="007F4D40" w:rsidRPr="00CF0F96">
              <w:rPr>
                <w:rFonts w:eastAsia="Times New Roman" w:cs="Arial"/>
                <w:sz w:val="22"/>
                <w:lang w:eastAsia="es-SV"/>
              </w:rPr>
              <w:t>,</w:t>
            </w:r>
            <w:r w:rsidRPr="00CF0F96">
              <w:rPr>
                <w:rFonts w:eastAsia="Times New Roman" w:cs="Arial"/>
                <w:sz w:val="22"/>
                <w:lang w:eastAsia="es-SV"/>
              </w:rPr>
              <w:t>463</w:t>
            </w:r>
          </w:p>
        </w:tc>
        <w:tc>
          <w:tcPr>
            <w:tcW w:w="1155" w:type="dxa"/>
            <w:tcBorders>
              <w:top w:val="nil"/>
              <w:left w:val="nil"/>
              <w:bottom w:val="single" w:sz="4" w:space="0" w:color="auto"/>
              <w:right w:val="single" w:sz="4" w:space="0" w:color="auto"/>
            </w:tcBorders>
            <w:shd w:val="clear" w:color="auto" w:fill="auto"/>
            <w:noWrap/>
            <w:vAlign w:val="bottom"/>
            <w:hideMark/>
          </w:tcPr>
          <w:p w14:paraId="3DF2C86E" w14:textId="4591F348" w:rsidR="006A3DBC" w:rsidRPr="00CF0F96" w:rsidRDefault="006A3DBC" w:rsidP="005F4A92">
            <w:pPr>
              <w:spacing w:after="0" w:line="240" w:lineRule="auto"/>
              <w:jc w:val="center"/>
              <w:rPr>
                <w:rFonts w:eastAsia="Times New Roman" w:cs="Arial"/>
                <w:sz w:val="22"/>
                <w:lang w:eastAsia="es-SV"/>
              </w:rPr>
            </w:pPr>
            <w:r w:rsidRPr="00CF0F96">
              <w:rPr>
                <w:rFonts w:eastAsia="Times New Roman" w:cs="Arial"/>
                <w:sz w:val="22"/>
                <w:lang w:eastAsia="es-SV"/>
              </w:rPr>
              <w:t>13</w:t>
            </w:r>
            <w:r w:rsidR="007F4D40" w:rsidRPr="00CF0F96">
              <w:rPr>
                <w:rFonts w:eastAsia="Times New Roman" w:cs="Arial"/>
                <w:sz w:val="22"/>
                <w:lang w:eastAsia="es-SV"/>
              </w:rPr>
              <w:t>,</w:t>
            </w:r>
            <w:r w:rsidRPr="00CF0F96">
              <w:rPr>
                <w:rFonts w:eastAsia="Times New Roman" w:cs="Arial"/>
                <w:sz w:val="22"/>
                <w:lang w:eastAsia="es-SV"/>
              </w:rPr>
              <w:t>467</w:t>
            </w:r>
          </w:p>
        </w:tc>
        <w:tc>
          <w:tcPr>
            <w:tcW w:w="1155" w:type="dxa"/>
            <w:tcBorders>
              <w:top w:val="nil"/>
              <w:left w:val="nil"/>
              <w:bottom w:val="single" w:sz="4" w:space="0" w:color="auto"/>
              <w:right w:val="single" w:sz="4" w:space="0" w:color="auto"/>
            </w:tcBorders>
            <w:shd w:val="clear" w:color="auto" w:fill="auto"/>
            <w:noWrap/>
            <w:vAlign w:val="bottom"/>
            <w:hideMark/>
          </w:tcPr>
          <w:p w14:paraId="25FFF93B" w14:textId="403E5743" w:rsidR="006A3DBC" w:rsidRPr="00CF0F96" w:rsidRDefault="006A3DBC" w:rsidP="005F4A92">
            <w:pPr>
              <w:spacing w:after="0" w:line="240" w:lineRule="auto"/>
              <w:jc w:val="center"/>
              <w:rPr>
                <w:rFonts w:eastAsia="Times New Roman" w:cs="Arial"/>
                <w:sz w:val="22"/>
                <w:lang w:eastAsia="es-SV"/>
              </w:rPr>
            </w:pPr>
            <w:r w:rsidRPr="00CF0F96">
              <w:rPr>
                <w:rFonts w:eastAsia="Times New Roman" w:cs="Arial"/>
                <w:sz w:val="22"/>
                <w:lang w:eastAsia="es-SV"/>
              </w:rPr>
              <w:t>2</w:t>
            </w:r>
            <w:r w:rsidR="007F4D40" w:rsidRPr="00CF0F96">
              <w:rPr>
                <w:rFonts w:eastAsia="Times New Roman" w:cs="Arial"/>
                <w:sz w:val="22"/>
                <w:lang w:eastAsia="es-SV"/>
              </w:rPr>
              <w:t>,</w:t>
            </w:r>
            <w:r w:rsidRPr="00CF0F96">
              <w:rPr>
                <w:rFonts w:eastAsia="Times New Roman" w:cs="Arial"/>
                <w:sz w:val="22"/>
                <w:lang w:eastAsia="es-SV"/>
              </w:rPr>
              <w:t>835</w:t>
            </w:r>
          </w:p>
        </w:tc>
        <w:tc>
          <w:tcPr>
            <w:tcW w:w="1177" w:type="dxa"/>
            <w:tcBorders>
              <w:top w:val="nil"/>
              <w:left w:val="nil"/>
              <w:bottom w:val="single" w:sz="4" w:space="0" w:color="auto"/>
              <w:right w:val="single" w:sz="4" w:space="0" w:color="auto"/>
            </w:tcBorders>
            <w:shd w:val="clear" w:color="auto" w:fill="auto"/>
            <w:noWrap/>
            <w:vAlign w:val="bottom"/>
            <w:hideMark/>
          </w:tcPr>
          <w:p w14:paraId="68091B08" w14:textId="66182E43" w:rsidR="006A3DBC" w:rsidRPr="00CF0F96" w:rsidRDefault="006A3DBC" w:rsidP="005F4A92">
            <w:pPr>
              <w:spacing w:after="0" w:line="240" w:lineRule="auto"/>
              <w:jc w:val="center"/>
              <w:rPr>
                <w:rFonts w:eastAsia="Times New Roman" w:cs="Arial"/>
                <w:sz w:val="22"/>
                <w:lang w:eastAsia="es-SV"/>
              </w:rPr>
            </w:pPr>
            <w:r w:rsidRPr="00CF0F96">
              <w:rPr>
                <w:rFonts w:eastAsia="Times New Roman" w:cs="Arial"/>
                <w:sz w:val="22"/>
                <w:lang w:eastAsia="es-SV"/>
              </w:rPr>
              <w:t>11</w:t>
            </w:r>
            <w:r w:rsidR="007F4D40" w:rsidRPr="00CF0F96">
              <w:rPr>
                <w:rFonts w:eastAsia="Times New Roman" w:cs="Arial"/>
                <w:sz w:val="22"/>
                <w:lang w:eastAsia="es-SV"/>
              </w:rPr>
              <w:t>,</w:t>
            </w:r>
            <w:r w:rsidRPr="00CF0F96">
              <w:rPr>
                <w:rFonts w:eastAsia="Times New Roman" w:cs="Arial"/>
                <w:sz w:val="22"/>
                <w:lang w:eastAsia="es-SV"/>
              </w:rPr>
              <w:t>055</w:t>
            </w:r>
          </w:p>
        </w:tc>
      </w:tr>
      <w:tr w:rsidR="00CF0F96" w:rsidRPr="00CF0F96" w14:paraId="5607C58B" w14:textId="77777777" w:rsidTr="005F4A92">
        <w:trPr>
          <w:trHeight w:val="313"/>
          <w:jc w:val="center"/>
        </w:trPr>
        <w:tc>
          <w:tcPr>
            <w:tcW w:w="1846" w:type="dxa"/>
            <w:tcBorders>
              <w:top w:val="nil"/>
              <w:left w:val="single" w:sz="4" w:space="0" w:color="auto"/>
              <w:bottom w:val="single" w:sz="4" w:space="0" w:color="auto"/>
              <w:right w:val="single" w:sz="4" w:space="0" w:color="auto"/>
            </w:tcBorders>
            <w:shd w:val="clear" w:color="auto" w:fill="auto"/>
            <w:noWrap/>
            <w:vAlign w:val="bottom"/>
            <w:hideMark/>
          </w:tcPr>
          <w:p w14:paraId="153D3C3D" w14:textId="77777777" w:rsidR="006A3DBC" w:rsidRPr="00CF0F96" w:rsidRDefault="006A3DBC" w:rsidP="005F4A92">
            <w:pPr>
              <w:spacing w:after="0" w:line="240" w:lineRule="auto"/>
              <w:jc w:val="center"/>
              <w:rPr>
                <w:rFonts w:eastAsia="Times New Roman" w:cs="Arial"/>
                <w:sz w:val="22"/>
                <w:lang w:eastAsia="es-SV"/>
              </w:rPr>
            </w:pPr>
            <w:r w:rsidRPr="00CF0F96">
              <w:rPr>
                <w:rFonts w:eastAsia="Times New Roman" w:cs="Arial"/>
                <w:sz w:val="22"/>
                <w:lang w:eastAsia="es-SV"/>
              </w:rPr>
              <w:t xml:space="preserve">Yoro </w:t>
            </w:r>
          </w:p>
        </w:tc>
        <w:tc>
          <w:tcPr>
            <w:tcW w:w="1155" w:type="dxa"/>
            <w:tcBorders>
              <w:top w:val="nil"/>
              <w:left w:val="nil"/>
              <w:bottom w:val="single" w:sz="4" w:space="0" w:color="auto"/>
              <w:right w:val="single" w:sz="4" w:space="0" w:color="auto"/>
            </w:tcBorders>
            <w:shd w:val="clear" w:color="auto" w:fill="auto"/>
            <w:noWrap/>
            <w:vAlign w:val="bottom"/>
            <w:hideMark/>
          </w:tcPr>
          <w:p w14:paraId="693CAC8D" w14:textId="2879848C" w:rsidR="006A3DBC" w:rsidRPr="00CF0F96" w:rsidRDefault="006A3DBC" w:rsidP="005F4A92">
            <w:pPr>
              <w:spacing w:after="0" w:line="240" w:lineRule="auto"/>
              <w:jc w:val="center"/>
              <w:rPr>
                <w:rFonts w:eastAsia="Times New Roman" w:cs="Arial"/>
                <w:sz w:val="22"/>
                <w:lang w:eastAsia="es-SV"/>
              </w:rPr>
            </w:pPr>
            <w:r w:rsidRPr="00CF0F96">
              <w:rPr>
                <w:rFonts w:eastAsia="Times New Roman" w:cs="Arial"/>
                <w:sz w:val="22"/>
                <w:lang w:eastAsia="es-SV"/>
              </w:rPr>
              <w:t>30</w:t>
            </w:r>
            <w:r w:rsidR="007F4D40" w:rsidRPr="00CF0F96">
              <w:rPr>
                <w:rFonts w:eastAsia="Times New Roman" w:cs="Arial"/>
                <w:sz w:val="22"/>
                <w:lang w:eastAsia="es-SV"/>
              </w:rPr>
              <w:t>,</w:t>
            </w:r>
            <w:r w:rsidRPr="00CF0F96">
              <w:rPr>
                <w:rFonts w:eastAsia="Times New Roman" w:cs="Arial"/>
                <w:sz w:val="22"/>
                <w:lang w:eastAsia="es-SV"/>
              </w:rPr>
              <w:t>420</w:t>
            </w:r>
          </w:p>
        </w:tc>
        <w:tc>
          <w:tcPr>
            <w:tcW w:w="1155" w:type="dxa"/>
            <w:tcBorders>
              <w:top w:val="nil"/>
              <w:left w:val="nil"/>
              <w:bottom w:val="single" w:sz="4" w:space="0" w:color="auto"/>
              <w:right w:val="single" w:sz="4" w:space="0" w:color="auto"/>
            </w:tcBorders>
            <w:shd w:val="clear" w:color="auto" w:fill="auto"/>
            <w:noWrap/>
            <w:vAlign w:val="bottom"/>
            <w:hideMark/>
          </w:tcPr>
          <w:p w14:paraId="57B4867F" w14:textId="50950A80" w:rsidR="006A3DBC" w:rsidRPr="00CF0F96" w:rsidRDefault="006A3DBC" w:rsidP="005F4A92">
            <w:pPr>
              <w:spacing w:after="0" w:line="240" w:lineRule="auto"/>
              <w:jc w:val="center"/>
              <w:rPr>
                <w:rFonts w:eastAsia="Times New Roman" w:cs="Arial"/>
                <w:sz w:val="22"/>
                <w:lang w:eastAsia="es-SV"/>
              </w:rPr>
            </w:pPr>
            <w:r w:rsidRPr="00CF0F96">
              <w:rPr>
                <w:rFonts w:eastAsia="Times New Roman" w:cs="Arial"/>
                <w:sz w:val="22"/>
                <w:lang w:eastAsia="es-SV"/>
              </w:rPr>
              <w:t>21</w:t>
            </w:r>
            <w:r w:rsidR="007F4D40" w:rsidRPr="00CF0F96">
              <w:rPr>
                <w:rFonts w:eastAsia="Times New Roman" w:cs="Arial"/>
                <w:sz w:val="22"/>
                <w:lang w:eastAsia="es-SV"/>
              </w:rPr>
              <w:t>,</w:t>
            </w:r>
            <w:r w:rsidRPr="00CF0F96">
              <w:rPr>
                <w:rFonts w:eastAsia="Times New Roman" w:cs="Arial"/>
                <w:sz w:val="22"/>
                <w:lang w:eastAsia="es-SV"/>
              </w:rPr>
              <w:t>174</w:t>
            </w:r>
          </w:p>
        </w:tc>
        <w:tc>
          <w:tcPr>
            <w:tcW w:w="1177" w:type="dxa"/>
            <w:tcBorders>
              <w:top w:val="nil"/>
              <w:left w:val="nil"/>
              <w:bottom w:val="single" w:sz="4" w:space="0" w:color="auto"/>
              <w:right w:val="single" w:sz="4" w:space="0" w:color="auto"/>
            </w:tcBorders>
            <w:shd w:val="clear" w:color="auto" w:fill="auto"/>
            <w:noWrap/>
            <w:vAlign w:val="bottom"/>
            <w:hideMark/>
          </w:tcPr>
          <w:p w14:paraId="439897D8" w14:textId="600189EA" w:rsidR="006A3DBC" w:rsidRPr="00CF0F96" w:rsidRDefault="006A3DBC" w:rsidP="005F4A92">
            <w:pPr>
              <w:spacing w:after="0" w:line="240" w:lineRule="auto"/>
              <w:jc w:val="center"/>
              <w:rPr>
                <w:rFonts w:eastAsia="Times New Roman" w:cs="Arial"/>
                <w:sz w:val="22"/>
                <w:lang w:eastAsia="es-SV"/>
              </w:rPr>
            </w:pPr>
            <w:r w:rsidRPr="00CF0F96">
              <w:rPr>
                <w:rFonts w:eastAsia="Times New Roman" w:cs="Arial"/>
                <w:sz w:val="22"/>
                <w:lang w:eastAsia="es-SV"/>
              </w:rPr>
              <w:t>27</w:t>
            </w:r>
            <w:r w:rsidR="007F4D40" w:rsidRPr="00CF0F96">
              <w:rPr>
                <w:rFonts w:eastAsia="Times New Roman" w:cs="Arial"/>
                <w:sz w:val="22"/>
                <w:lang w:eastAsia="es-SV"/>
              </w:rPr>
              <w:t>,</w:t>
            </w:r>
            <w:r w:rsidRPr="00CF0F96">
              <w:rPr>
                <w:rFonts w:eastAsia="Times New Roman" w:cs="Arial"/>
                <w:sz w:val="22"/>
                <w:lang w:eastAsia="es-SV"/>
              </w:rPr>
              <w:t>220</w:t>
            </w:r>
          </w:p>
        </w:tc>
        <w:tc>
          <w:tcPr>
            <w:tcW w:w="1155" w:type="dxa"/>
            <w:tcBorders>
              <w:top w:val="nil"/>
              <w:left w:val="nil"/>
              <w:bottom w:val="single" w:sz="4" w:space="0" w:color="auto"/>
              <w:right w:val="single" w:sz="4" w:space="0" w:color="auto"/>
            </w:tcBorders>
            <w:shd w:val="clear" w:color="auto" w:fill="auto"/>
            <w:noWrap/>
            <w:vAlign w:val="bottom"/>
            <w:hideMark/>
          </w:tcPr>
          <w:p w14:paraId="50060DEA" w14:textId="0BCF0A2A" w:rsidR="006A3DBC" w:rsidRPr="00CF0F96" w:rsidRDefault="006A3DBC" w:rsidP="005F4A92">
            <w:pPr>
              <w:spacing w:after="0" w:line="240" w:lineRule="auto"/>
              <w:jc w:val="center"/>
              <w:rPr>
                <w:rFonts w:eastAsia="Times New Roman" w:cs="Arial"/>
                <w:sz w:val="22"/>
                <w:lang w:eastAsia="es-SV"/>
              </w:rPr>
            </w:pPr>
            <w:r w:rsidRPr="00CF0F96">
              <w:rPr>
                <w:rFonts w:eastAsia="Times New Roman" w:cs="Arial"/>
                <w:sz w:val="22"/>
                <w:lang w:eastAsia="es-SV"/>
              </w:rPr>
              <w:t>36</w:t>
            </w:r>
            <w:r w:rsidR="007F4D40" w:rsidRPr="00CF0F96">
              <w:rPr>
                <w:rFonts w:eastAsia="Times New Roman" w:cs="Arial"/>
                <w:sz w:val="22"/>
                <w:lang w:eastAsia="es-SV"/>
              </w:rPr>
              <w:t>,</w:t>
            </w:r>
            <w:r w:rsidRPr="00CF0F96">
              <w:rPr>
                <w:rFonts w:eastAsia="Times New Roman" w:cs="Arial"/>
                <w:sz w:val="22"/>
                <w:lang w:eastAsia="es-SV"/>
              </w:rPr>
              <w:t>170</w:t>
            </w:r>
          </w:p>
        </w:tc>
        <w:tc>
          <w:tcPr>
            <w:tcW w:w="1155" w:type="dxa"/>
            <w:tcBorders>
              <w:top w:val="nil"/>
              <w:left w:val="nil"/>
              <w:bottom w:val="single" w:sz="4" w:space="0" w:color="auto"/>
              <w:right w:val="single" w:sz="4" w:space="0" w:color="auto"/>
            </w:tcBorders>
            <w:shd w:val="clear" w:color="auto" w:fill="auto"/>
            <w:noWrap/>
            <w:vAlign w:val="bottom"/>
            <w:hideMark/>
          </w:tcPr>
          <w:p w14:paraId="135098B0" w14:textId="0898878C" w:rsidR="006A3DBC" w:rsidRPr="00CF0F96" w:rsidRDefault="006A3DBC" w:rsidP="005F4A92">
            <w:pPr>
              <w:spacing w:after="0" w:line="240" w:lineRule="auto"/>
              <w:jc w:val="center"/>
              <w:rPr>
                <w:rFonts w:eastAsia="Times New Roman" w:cs="Arial"/>
                <w:sz w:val="22"/>
                <w:lang w:eastAsia="es-SV"/>
              </w:rPr>
            </w:pPr>
            <w:r w:rsidRPr="00CF0F96">
              <w:rPr>
                <w:rFonts w:eastAsia="Times New Roman" w:cs="Arial"/>
                <w:sz w:val="22"/>
                <w:lang w:eastAsia="es-SV"/>
              </w:rPr>
              <w:t>7</w:t>
            </w:r>
            <w:r w:rsidR="007F4D40" w:rsidRPr="00CF0F96">
              <w:rPr>
                <w:rFonts w:eastAsia="Times New Roman" w:cs="Arial"/>
                <w:sz w:val="22"/>
                <w:lang w:eastAsia="es-SV"/>
              </w:rPr>
              <w:t>,</w:t>
            </w:r>
            <w:r w:rsidRPr="00CF0F96">
              <w:rPr>
                <w:rFonts w:eastAsia="Times New Roman" w:cs="Arial"/>
                <w:sz w:val="22"/>
                <w:lang w:eastAsia="es-SV"/>
              </w:rPr>
              <w:t>243</w:t>
            </w:r>
          </w:p>
        </w:tc>
        <w:tc>
          <w:tcPr>
            <w:tcW w:w="1177" w:type="dxa"/>
            <w:tcBorders>
              <w:top w:val="nil"/>
              <w:left w:val="nil"/>
              <w:bottom w:val="single" w:sz="4" w:space="0" w:color="auto"/>
              <w:right w:val="single" w:sz="4" w:space="0" w:color="auto"/>
            </w:tcBorders>
            <w:shd w:val="clear" w:color="auto" w:fill="auto"/>
            <w:noWrap/>
            <w:vAlign w:val="bottom"/>
            <w:hideMark/>
          </w:tcPr>
          <w:p w14:paraId="15FE40C7" w14:textId="7CB90D13" w:rsidR="006A3DBC" w:rsidRPr="00CF0F96" w:rsidRDefault="006A3DBC" w:rsidP="005F4A92">
            <w:pPr>
              <w:spacing w:after="0" w:line="240" w:lineRule="auto"/>
              <w:jc w:val="center"/>
              <w:rPr>
                <w:rFonts w:eastAsia="Times New Roman" w:cs="Arial"/>
                <w:sz w:val="22"/>
                <w:lang w:eastAsia="es-SV"/>
              </w:rPr>
            </w:pPr>
            <w:r w:rsidRPr="00CF0F96">
              <w:rPr>
                <w:rFonts w:eastAsia="Times New Roman" w:cs="Arial"/>
                <w:sz w:val="22"/>
                <w:lang w:eastAsia="es-SV"/>
              </w:rPr>
              <w:t>22</w:t>
            </w:r>
            <w:r w:rsidR="007F4D40" w:rsidRPr="00CF0F96">
              <w:rPr>
                <w:rFonts w:eastAsia="Times New Roman" w:cs="Arial"/>
                <w:sz w:val="22"/>
                <w:lang w:eastAsia="es-SV"/>
              </w:rPr>
              <w:t>,</w:t>
            </w:r>
            <w:r w:rsidRPr="00CF0F96">
              <w:rPr>
                <w:rFonts w:eastAsia="Times New Roman" w:cs="Arial"/>
                <w:sz w:val="22"/>
                <w:lang w:eastAsia="es-SV"/>
              </w:rPr>
              <w:t>628</w:t>
            </w:r>
          </w:p>
        </w:tc>
      </w:tr>
      <w:tr w:rsidR="00CF0F96" w:rsidRPr="00CF0F96" w14:paraId="3AA1C624" w14:textId="77777777" w:rsidTr="005F4A92">
        <w:trPr>
          <w:trHeight w:val="313"/>
          <w:jc w:val="center"/>
        </w:trPr>
        <w:tc>
          <w:tcPr>
            <w:tcW w:w="1846" w:type="dxa"/>
            <w:tcBorders>
              <w:top w:val="nil"/>
              <w:left w:val="single" w:sz="4" w:space="0" w:color="auto"/>
              <w:bottom w:val="single" w:sz="4" w:space="0" w:color="auto"/>
              <w:right w:val="single" w:sz="4" w:space="0" w:color="auto"/>
            </w:tcBorders>
            <w:shd w:val="clear" w:color="auto" w:fill="auto"/>
            <w:noWrap/>
            <w:vAlign w:val="bottom"/>
            <w:hideMark/>
          </w:tcPr>
          <w:p w14:paraId="033248A1" w14:textId="77777777" w:rsidR="006A3DBC" w:rsidRPr="00CF0F96" w:rsidRDefault="006A3DBC" w:rsidP="005F4A92">
            <w:pPr>
              <w:spacing w:after="0" w:line="240" w:lineRule="auto"/>
              <w:jc w:val="center"/>
              <w:rPr>
                <w:rFonts w:eastAsia="Times New Roman" w:cs="Arial"/>
                <w:b/>
                <w:bCs/>
                <w:sz w:val="22"/>
                <w:lang w:eastAsia="es-SV"/>
              </w:rPr>
            </w:pPr>
            <w:r w:rsidRPr="00CF0F96">
              <w:rPr>
                <w:rFonts w:eastAsia="Times New Roman" w:cs="Arial"/>
                <w:b/>
                <w:bCs/>
                <w:sz w:val="22"/>
                <w:lang w:eastAsia="es-SV"/>
              </w:rPr>
              <w:t xml:space="preserve">Total </w:t>
            </w:r>
          </w:p>
        </w:tc>
        <w:tc>
          <w:tcPr>
            <w:tcW w:w="1155" w:type="dxa"/>
            <w:tcBorders>
              <w:top w:val="nil"/>
              <w:left w:val="nil"/>
              <w:bottom w:val="single" w:sz="4" w:space="0" w:color="auto"/>
              <w:right w:val="single" w:sz="4" w:space="0" w:color="auto"/>
            </w:tcBorders>
            <w:shd w:val="clear" w:color="auto" w:fill="auto"/>
            <w:noWrap/>
            <w:vAlign w:val="bottom"/>
            <w:hideMark/>
          </w:tcPr>
          <w:p w14:paraId="3B1907E1" w14:textId="398B12F7" w:rsidR="006A3DBC" w:rsidRPr="00CF0F96" w:rsidRDefault="006A3DBC" w:rsidP="005F4A92">
            <w:pPr>
              <w:spacing w:after="0" w:line="240" w:lineRule="auto"/>
              <w:jc w:val="center"/>
              <w:rPr>
                <w:rFonts w:eastAsia="Times New Roman" w:cs="Arial"/>
                <w:b/>
                <w:bCs/>
                <w:sz w:val="22"/>
                <w:lang w:eastAsia="es-SV"/>
              </w:rPr>
            </w:pPr>
            <w:r w:rsidRPr="00CF0F96">
              <w:rPr>
                <w:rFonts w:eastAsia="Times New Roman" w:cs="Arial"/>
                <w:b/>
                <w:bCs/>
                <w:sz w:val="22"/>
                <w:lang w:eastAsia="es-SV"/>
              </w:rPr>
              <w:t>54</w:t>
            </w:r>
            <w:r w:rsidR="007F4D40" w:rsidRPr="00CF0F96">
              <w:rPr>
                <w:rFonts w:eastAsia="Times New Roman" w:cs="Arial"/>
                <w:b/>
                <w:bCs/>
                <w:sz w:val="22"/>
                <w:lang w:eastAsia="es-SV"/>
              </w:rPr>
              <w:t>,</w:t>
            </w:r>
            <w:r w:rsidRPr="00CF0F96">
              <w:rPr>
                <w:rFonts w:eastAsia="Times New Roman" w:cs="Arial"/>
                <w:b/>
                <w:bCs/>
                <w:sz w:val="22"/>
                <w:lang w:eastAsia="es-SV"/>
              </w:rPr>
              <w:t>004</w:t>
            </w:r>
          </w:p>
        </w:tc>
        <w:tc>
          <w:tcPr>
            <w:tcW w:w="1155" w:type="dxa"/>
            <w:tcBorders>
              <w:top w:val="nil"/>
              <w:left w:val="nil"/>
              <w:bottom w:val="single" w:sz="4" w:space="0" w:color="auto"/>
              <w:right w:val="single" w:sz="4" w:space="0" w:color="auto"/>
            </w:tcBorders>
            <w:shd w:val="clear" w:color="auto" w:fill="auto"/>
            <w:noWrap/>
            <w:vAlign w:val="bottom"/>
            <w:hideMark/>
          </w:tcPr>
          <w:p w14:paraId="4A500FD7" w14:textId="085D80AA" w:rsidR="006A3DBC" w:rsidRPr="00CF0F96" w:rsidRDefault="006A3DBC" w:rsidP="005F4A92">
            <w:pPr>
              <w:spacing w:after="0" w:line="240" w:lineRule="auto"/>
              <w:jc w:val="center"/>
              <w:rPr>
                <w:rFonts w:eastAsia="Times New Roman" w:cs="Arial"/>
                <w:b/>
                <w:bCs/>
                <w:sz w:val="22"/>
                <w:lang w:eastAsia="es-SV"/>
              </w:rPr>
            </w:pPr>
            <w:r w:rsidRPr="00CF0F96">
              <w:rPr>
                <w:rFonts w:eastAsia="Times New Roman" w:cs="Arial"/>
                <w:b/>
                <w:bCs/>
                <w:sz w:val="22"/>
                <w:lang w:eastAsia="es-SV"/>
              </w:rPr>
              <w:t>41</w:t>
            </w:r>
            <w:r w:rsidR="007F4D40" w:rsidRPr="00CF0F96">
              <w:rPr>
                <w:rFonts w:eastAsia="Times New Roman" w:cs="Arial"/>
                <w:b/>
                <w:bCs/>
                <w:sz w:val="22"/>
                <w:lang w:eastAsia="es-SV"/>
              </w:rPr>
              <w:t>,</w:t>
            </w:r>
            <w:r w:rsidRPr="00CF0F96">
              <w:rPr>
                <w:rFonts w:eastAsia="Times New Roman" w:cs="Arial"/>
                <w:b/>
                <w:bCs/>
                <w:sz w:val="22"/>
                <w:lang w:eastAsia="es-SV"/>
              </w:rPr>
              <w:t>461</w:t>
            </w:r>
          </w:p>
        </w:tc>
        <w:tc>
          <w:tcPr>
            <w:tcW w:w="1177" w:type="dxa"/>
            <w:tcBorders>
              <w:top w:val="nil"/>
              <w:left w:val="nil"/>
              <w:bottom w:val="single" w:sz="4" w:space="0" w:color="auto"/>
              <w:right w:val="single" w:sz="4" w:space="0" w:color="auto"/>
            </w:tcBorders>
            <w:shd w:val="clear" w:color="auto" w:fill="auto"/>
            <w:noWrap/>
            <w:vAlign w:val="bottom"/>
            <w:hideMark/>
          </w:tcPr>
          <w:p w14:paraId="7C7C986C" w14:textId="7A87540C" w:rsidR="006A3DBC" w:rsidRPr="00CF0F96" w:rsidRDefault="006A3DBC" w:rsidP="005F4A92">
            <w:pPr>
              <w:spacing w:after="0" w:line="240" w:lineRule="auto"/>
              <w:jc w:val="center"/>
              <w:rPr>
                <w:rFonts w:eastAsia="Times New Roman" w:cs="Arial"/>
                <w:b/>
                <w:bCs/>
                <w:sz w:val="22"/>
                <w:lang w:eastAsia="es-SV"/>
              </w:rPr>
            </w:pPr>
            <w:r w:rsidRPr="00CF0F96">
              <w:rPr>
                <w:rFonts w:eastAsia="Times New Roman" w:cs="Arial"/>
                <w:b/>
                <w:bCs/>
                <w:sz w:val="22"/>
                <w:lang w:eastAsia="es-SV"/>
              </w:rPr>
              <w:t>49</w:t>
            </w:r>
            <w:r w:rsidR="007F4D40" w:rsidRPr="00CF0F96">
              <w:rPr>
                <w:rFonts w:eastAsia="Times New Roman" w:cs="Arial"/>
                <w:b/>
                <w:bCs/>
                <w:sz w:val="22"/>
                <w:lang w:eastAsia="es-SV"/>
              </w:rPr>
              <w:t>,</w:t>
            </w:r>
            <w:r w:rsidRPr="00CF0F96">
              <w:rPr>
                <w:rFonts w:eastAsia="Times New Roman" w:cs="Arial"/>
                <w:b/>
                <w:bCs/>
                <w:sz w:val="22"/>
                <w:lang w:eastAsia="es-SV"/>
              </w:rPr>
              <w:t>385</w:t>
            </w:r>
          </w:p>
        </w:tc>
        <w:tc>
          <w:tcPr>
            <w:tcW w:w="1155" w:type="dxa"/>
            <w:tcBorders>
              <w:top w:val="nil"/>
              <w:left w:val="nil"/>
              <w:bottom w:val="single" w:sz="4" w:space="0" w:color="auto"/>
              <w:right w:val="single" w:sz="4" w:space="0" w:color="auto"/>
            </w:tcBorders>
            <w:shd w:val="clear" w:color="auto" w:fill="auto"/>
            <w:noWrap/>
            <w:vAlign w:val="bottom"/>
            <w:hideMark/>
          </w:tcPr>
          <w:p w14:paraId="52F067F6" w14:textId="5C75162C" w:rsidR="006A3DBC" w:rsidRPr="00CF0F96" w:rsidRDefault="006A3DBC" w:rsidP="005F4A92">
            <w:pPr>
              <w:spacing w:after="0" w:line="240" w:lineRule="auto"/>
              <w:jc w:val="center"/>
              <w:rPr>
                <w:rFonts w:eastAsia="Times New Roman" w:cs="Arial"/>
                <w:b/>
                <w:bCs/>
                <w:sz w:val="22"/>
                <w:lang w:eastAsia="es-SV"/>
              </w:rPr>
            </w:pPr>
            <w:r w:rsidRPr="00CF0F96">
              <w:rPr>
                <w:rFonts w:eastAsia="Times New Roman" w:cs="Arial"/>
                <w:b/>
                <w:bCs/>
                <w:sz w:val="22"/>
                <w:lang w:eastAsia="es-SV"/>
              </w:rPr>
              <w:t>97</w:t>
            </w:r>
            <w:r w:rsidR="007F4D40" w:rsidRPr="00CF0F96">
              <w:rPr>
                <w:rFonts w:eastAsia="Times New Roman" w:cs="Arial"/>
                <w:b/>
                <w:bCs/>
                <w:sz w:val="22"/>
                <w:lang w:eastAsia="es-SV"/>
              </w:rPr>
              <w:t>,</w:t>
            </w:r>
            <w:r w:rsidRPr="00CF0F96">
              <w:rPr>
                <w:rFonts w:eastAsia="Times New Roman" w:cs="Arial"/>
                <w:b/>
                <w:bCs/>
                <w:sz w:val="22"/>
                <w:lang w:eastAsia="es-SV"/>
              </w:rPr>
              <w:t>673</w:t>
            </w:r>
          </w:p>
        </w:tc>
        <w:tc>
          <w:tcPr>
            <w:tcW w:w="1155" w:type="dxa"/>
            <w:tcBorders>
              <w:top w:val="nil"/>
              <w:left w:val="nil"/>
              <w:bottom w:val="single" w:sz="4" w:space="0" w:color="auto"/>
              <w:right w:val="single" w:sz="4" w:space="0" w:color="auto"/>
            </w:tcBorders>
            <w:shd w:val="clear" w:color="auto" w:fill="auto"/>
            <w:noWrap/>
            <w:vAlign w:val="bottom"/>
            <w:hideMark/>
          </w:tcPr>
          <w:p w14:paraId="6BD1249A" w14:textId="735A85D4" w:rsidR="006A3DBC" w:rsidRPr="00CF0F96" w:rsidRDefault="006A3DBC" w:rsidP="005F4A92">
            <w:pPr>
              <w:spacing w:after="0" w:line="240" w:lineRule="auto"/>
              <w:jc w:val="center"/>
              <w:rPr>
                <w:rFonts w:eastAsia="Times New Roman" w:cs="Arial"/>
                <w:b/>
                <w:bCs/>
                <w:sz w:val="22"/>
                <w:lang w:eastAsia="es-SV"/>
              </w:rPr>
            </w:pPr>
            <w:r w:rsidRPr="00CF0F96">
              <w:rPr>
                <w:rFonts w:eastAsia="Times New Roman" w:cs="Arial"/>
                <w:b/>
                <w:bCs/>
                <w:sz w:val="22"/>
                <w:lang w:eastAsia="es-SV"/>
              </w:rPr>
              <w:t>18</w:t>
            </w:r>
            <w:r w:rsidR="007F4D40" w:rsidRPr="00CF0F96">
              <w:rPr>
                <w:rFonts w:eastAsia="Times New Roman" w:cs="Arial"/>
                <w:b/>
                <w:bCs/>
                <w:sz w:val="22"/>
                <w:lang w:eastAsia="es-SV"/>
              </w:rPr>
              <w:t>,</w:t>
            </w:r>
            <w:r w:rsidRPr="00CF0F96">
              <w:rPr>
                <w:rFonts w:eastAsia="Times New Roman" w:cs="Arial"/>
                <w:b/>
                <w:bCs/>
                <w:sz w:val="22"/>
                <w:lang w:eastAsia="es-SV"/>
              </w:rPr>
              <w:t>562</w:t>
            </w:r>
          </w:p>
        </w:tc>
        <w:tc>
          <w:tcPr>
            <w:tcW w:w="1177" w:type="dxa"/>
            <w:tcBorders>
              <w:top w:val="nil"/>
              <w:left w:val="nil"/>
              <w:bottom w:val="single" w:sz="4" w:space="0" w:color="auto"/>
              <w:right w:val="single" w:sz="4" w:space="0" w:color="auto"/>
            </w:tcBorders>
            <w:shd w:val="clear" w:color="auto" w:fill="auto"/>
            <w:noWrap/>
            <w:vAlign w:val="bottom"/>
            <w:hideMark/>
          </w:tcPr>
          <w:p w14:paraId="517618C9" w14:textId="223D95A2" w:rsidR="006A3DBC" w:rsidRPr="00CF0F96" w:rsidRDefault="006A3DBC" w:rsidP="005F4A92">
            <w:pPr>
              <w:spacing w:after="0" w:line="240" w:lineRule="auto"/>
              <w:jc w:val="center"/>
              <w:rPr>
                <w:rFonts w:eastAsia="Times New Roman" w:cs="Arial"/>
                <w:b/>
                <w:bCs/>
                <w:sz w:val="22"/>
                <w:lang w:eastAsia="es-SV"/>
              </w:rPr>
            </w:pPr>
            <w:r w:rsidRPr="00CF0F96">
              <w:rPr>
                <w:rFonts w:eastAsia="Times New Roman" w:cs="Arial"/>
                <w:b/>
                <w:bCs/>
                <w:sz w:val="22"/>
                <w:lang w:eastAsia="es-SV"/>
              </w:rPr>
              <w:t>58</w:t>
            </w:r>
            <w:r w:rsidR="007F4D40" w:rsidRPr="00CF0F96">
              <w:rPr>
                <w:rFonts w:eastAsia="Times New Roman" w:cs="Arial"/>
                <w:b/>
                <w:bCs/>
                <w:sz w:val="22"/>
                <w:lang w:eastAsia="es-SV"/>
              </w:rPr>
              <w:t>,</w:t>
            </w:r>
            <w:r w:rsidRPr="00CF0F96">
              <w:rPr>
                <w:rFonts w:eastAsia="Times New Roman" w:cs="Arial"/>
                <w:b/>
                <w:bCs/>
                <w:sz w:val="22"/>
                <w:lang w:eastAsia="es-SV"/>
              </w:rPr>
              <w:t>120</w:t>
            </w:r>
          </w:p>
        </w:tc>
      </w:tr>
      <w:tr w:rsidR="00CF0F96" w:rsidRPr="00CF0F96" w14:paraId="2AE5D046" w14:textId="77777777" w:rsidTr="005F4A92">
        <w:trPr>
          <w:trHeight w:val="313"/>
          <w:jc w:val="center"/>
        </w:trPr>
        <w:tc>
          <w:tcPr>
            <w:tcW w:w="1846" w:type="dxa"/>
            <w:tcBorders>
              <w:top w:val="nil"/>
              <w:left w:val="single" w:sz="4" w:space="0" w:color="auto"/>
              <w:bottom w:val="single" w:sz="4" w:space="0" w:color="auto"/>
              <w:right w:val="single" w:sz="4" w:space="0" w:color="auto"/>
            </w:tcBorders>
            <w:shd w:val="clear" w:color="auto" w:fill="auto"/>
            <w:noWrap/>
            <w:vAlign w:val="bottom"/>
            <w:hideMark/>
          </w:tcPr>
          <w:p w14:paraId="6B3B14DD" w14:textId="77777777" w:rsidR="006A3DBC" w:rsidRPr="00CF0F96" w:rsidRDefault="006A3DBC" w:rsidP="005F4A92">
            <w:pPr>
              <w:spacing w:after="0" w:line="240" w:lineRule="auto"/>
              <w:rPr>
                <w:rFonts w:eastAsia="Times New Roman" w:cs="Arial"/>
                <w:sz w:val="22"/>
                <w:lang w:eastAsia="es-SV"/>
              </w:rPr>
            </w:pPr>
            <w:r w:rsidRPr="00CF0F96">
              <w:rPr>
                <w:rFonts w:eastAsia="Times New Roman" w:cs="Arial"/>
                <w:sz w:val="22"/>
                <w:lang w:eastAsia="es-SV"/>
              </w:rPr>
              <w:t> </w:t>
            </w:r>
          </w:p>
        </w:tc>
        <w:tc>
          <w:tcPr>
            <w:tcW w:w="1155" w:type="dxa"/>
            <w:tcBorders>
              <w:top w:val="nil"/>
              <w:left w:val="nil"/>
              <w:bottom w:val="single" w:sz="4" w:space="0" w:color="auto"/>
              <w:right w:val="single" w:sz="4" w:space="0" w:color="auto"/>
            </w:tcBorders>
            <w:shd w:val="clear" w:color="auto" w:fill="auto"/>
            <w:noWrap/>
            <w:vAlign w:val="bottom"/>
            <w:hideMark/>
          </w:tcPr>
          <w:p w14:paraId="549C4E8E" w14:textId="77777777" w:rsidR="006A3DBC" w:rsidRPr="00CF0F96" w:rsidRDefault="006A3DBC" w:rsidP="005D7A5B">
            <w:pPr>
              <w:spacing w:after="0" w:line="240" w:lineRule="auto"/>
              <w:jc w:val="center"/>
              <w:rPr>
                <w:rFonts w:eastAsia="Times New Roman" w:cs="Arial"/>
                <w:b/>
                <w:bCs/>
                <w:sz w:val="22"/>
                <w:lang w:eastAsia="es-SV"/>
              </w:rPr>
            </w:pPr>
            <w:r w:rsidRPr="00CF0F96">
              <w:rPr>
                <w:rFonts w:eastAsia="Times New Roman" w:cs="Arial"/>
                <w:b/>
                <w:bCs/>
                <w:sz w:val="22"/>
                <w:lang w:eastAsia="es-SV"/>
              </w:rPr>
              <w:t>16.9%</w:t>
            </w:r>
          </w:p>
        </w:tc>
        <w:tc>
          <w:tcPr>
            <w:tcW w:w="1155" w:type="dxa"/>
            <w:tcBorders>
              <w:top w:val="nil"/>
              <w:left w:val="nil"/>
              <w:bottom w:val="single" w:sz="4" w:space="0" w:color="auto"/>
              <w:right w:val="single" w:sz="4" w:space="0" w:color="auto"/>
            </w:tcBorders>
            <w:shd w:val="clear" w:color="auto" w:fill="auto"/>
            <w:noWrap/>
            <w:vAlign w:val="bottom"/>
            <w:hideMark/>
          </w:tcPr>
          <w:p w14:paraId="0B7E8990" w14:textId="77777777" w:rsidR="006A3DBC" w:rsidRPr="00CF0F96" w:rsidRDefault="006A3DBC" w:rsidP="005D7A5B">
            <w:pPr>
              <w:spacing w:after="0" w:line="240" w:lineRule="auto"/>
              <w:jc w:val="center"/>
              <w:rPr>
                <w:rFonts w:eastAsia="Times New Roman" w:cs="Arial"/>
                <w:b/>
                <w:bCs/>
                <w:sz w:val="22"/>
                <w:lang w:eastAsia="es-SV"/>
              </w:rPr>
            </w:pPr>
            <w:r w:rsidRPr="00CF0F96">
              <w:rPr>
                <w:rFonts w:eastAsia="Times New Roman" w:cs="Arial"/>
                <w:b/>
                <w:bCs/>
                <w:sz w:val="22"/>
                <w:lang w:eastAsia="es-SV"/>
              </w:rPr>
              <w:t>13.0%</w:t>
            </w:r>
          </w:p>
        </w:tc>
        <w:tc>
          <w:tcPr>
            <w:tcW w:w="1177" w:type="dxa"/>
            <w:tcBorders>
              <w:top w:val="nil"/>
              <w:left w:val="nil"/>
              <w:bottom w:val="single" w:sz="4" w:space="0" w:color="auto"/>
              <w:right w:val="single" w:sz="4" w:space="0" w:color="auto"/>
            </w:tcBorders>
            <w:shd w:val="clear" w:color="auto" w:fill="auto"/>
            <w:noWrap/>
            <w:vAlign w:val="bottom"/>
            <w:hideMark/>
          </w:tcPr>
          <w:p w14:paraId="107002FA" w14:textId="77777777" w:rsidR="006A3DBC" w:rsidRPr="00CF0F96" w:rsidRDefault="006A3DBC" w:rsidP="005D7A5B">
            <w:pPr>
              <w:spacing w:after="0" w:line="240" w:lineRule="auto"/>
              <w:jc w:val="center"/>
              <w:rPr>
                <w:rFonts w:eastAsia="Times New Roman" w:cs="Arial"/>
                <w:b/>
                <w:bCs/>
                <w:sz w:val="22"/>
                <w:lang w:eastAsia="es-SV"/>
              </w:rPr>
            </w:pPr>
            <w:r w:rsidRPr="00CF0F96">
              <w:rPr>
                <w:rFonts w:eastAsia="Times New Roman" w:cs="Arial"/>
                <w:b/>
                <w:bCs/>
                <w:sz w:val="22"/>
                <w:lang w:eastAsia="es-SV"/>
              </w:rPr>
              <w:t>15.5%</w:t>
            </w:r>
          </w:p>
        </w:tc>
        <w:tc>
          <w:tcPr>
            <w:tcW w:w="1155" w:type="dxa"/>
            <w:tcBorders>
              <w:top w:val="nil"/>
              <w:left w:val="nil"/>
              <w:bottom w:val="single" w:sz="4" w:space="0" w:color="auto"/>
              <w:right w:val="single" w:sz="4" w:space="0" w:color="auto"/>
            </w:tcBorders>
            <w:shd w:val="clear" w:color="auto" w:fill="auto"/>
            <w:noWrap/>
            <w:vAlign w:val="bottom"/>
            <w:hideMark/>
          </w:tcPr>
          <w:p w14:paraId="342EE3FF" w14:textId="77777777" w:rsidR="006A3DBC" w:rsidRPr="00CF0F96" w:rsidRDefault="006A3DBC" w:rsidP="005D7A5B">
            <w:pPr>
              <w:spacing w:after="0" w:line="240" w:lineRule="auto"/>
              <w:jc w:val="center"/>
              <w:rPr>
                <w:rFonts w:eastAsia="Times New Roman" w:cs="Arial"/>
                <w:b/>
                <w:bCs/>
                <w:sz w:val="22"/>
                <w:lang w:eastAsia="es-SV"/>
              </w:rPr>
            </w:pPr>
            <w:r w:rsidRPr="00CF0F96">
              <w:rPr>
                <w:rFonts w:eastAsia="Times New Roman" w:cs="Arial"/>
                <w:b/>
                <w:bCs/>
                <w:sz w:val="22"/>
                <w:lang w:eastAsia="es-SV"/>
              </w:rPr>
              <w:t>30.6%</w:t>
            </w:r>
          </w:p>
        </w:tc>
        <w:tc>
          <w:tcPr>
            <w:tcW w:w="1155" w:type="dxa"/>
            <w:tcBorders>
              <w:top w:val="nil"/>
              <w:left w:val="nil"/>
              <w:bottom w:val="single" w:sz="4" w:space="0" w:color="auto"/>
              <w:right w:val="single" w:sz="4" w:space="0" w:color="auto"/>
            </w:tcBorders>
            <w:shd w:val="clear" w:color="auto" w:fill="auto"/>
            <w:noWrap/>
            <w:vAlign w:val="bottom"/>
            <w:hideMark/>
          </w:tcPr>
          <w:p w14:paraId="05ED89CD" w14:textId="77777777" w:rsidR="006A3DBC" w:rsidRPr="00CF0F96" w:rsidRDefault="006A3DBC" w:rsidP="005D7A5B">
            <w:pPr>
              <w:spacing w:after="0" w:line="240" w:lineRule="auto"/>
              <w:jc w:val="center"/>
              <w:rPr>
                <w:rFonts w:eastAsia="Times New Roman" w:cs="Arial"/>
                <w:b/>
                <w:bCs/>
                <w:sz w:val="22"/>
                <w:lang w:eastAsia="es-SV"/>
              </w:rPr>
            </w:pPr>
            <w:r w:rsidRPr="00CF0F96">
              <w:rPr>
                <w:rFonts w:eastAsia="Times New Roman" w:cs="Arial"/>
                <w:b/>
                <w:bCs/>
                <w:sz w:val="22"/>
                <w:lang w:eastAsia="es-SV"/>
              </w:rPr>
              <w:t>5.8%</w:t>
            </w:r>
          </w:p>
        </w:tc>
        <w:tc>
          <w:tcPr>
            <w:tcW w:w="1177" w:type="dxa"/>
            <w:tcBorders>
              <w:top w:val="nil"/>
              <w:left w:val="nil"/>
              <w:bottom w:val="single" w:sz="4" w:space="0" w:color="auto"/>
              <w:right w:val="single" w:sz="4" w:space="0" w:color="auto"/>
            </w:tcBorders>
            <w:shd w:val="clear" w:color="auto" w:fill="auto"/>
            <w:noWrap/>
            <w:vAlign w:val="bottom"/>
            <w:hideMark/>
          </w:tcPr>
          <w:p w14:paraId="04CC40FD" w14:textId="77777777" w:rsidR="006A3DBC" w:rsidRPr="00CF0F96" w:rsidRDefault="006A3DBC" w:rsidP="005D7A5B">
            <w:pPr>
              <w:spacing w:after="0" w:line="240" w:lineRule="auto"/>
              <w:jc w:val="center"/>
              <w:rPr>
                <w:rFonts w:eastAsia="Times New Roman" w:cs="Arial"/>
                <w:b/>
                <w:bCs/>
                <w:sz w:val="22"/>
                <w:lang w:eastAsia="es-SV"/>
              </w:rPr>
            </w:pPr>
            <w:r w:rsidRPr="00CF0F96">
              <w:rPr>
                <w:rFonts w:eastAsia="Times New Roman" w:cs="Arial"/>
                <w:b/>
                <w:bCs/>
                <w:sz w:val="22"/>
                <w:lang w:eastAsia="es-SV"/>
              </w:rPr>
              <w:t>18.2%</w:t>
            </w:r>
          </w:p>
        </w:tc>
      </w:tr>
    </w:tbl>
    <w:p w14:paraId="4D73E745" w14:textId="77777777" w:rsidR="006A3DBC" w:rsidRPr="00EF7331" w:rsidRDefault="006A3DBC" w:rsidP="006A3DBC">
      <w:pPr>
        <w:jc w:val="center"/>
        <w:rPr>
          <w:rFonts w:cs="Arial"/>
          <w:sz w:val="20"/>
          <w:szCs w:val="18"/>
        </w:rPr>
      </w:pPr>
      <w:r w:rsidRPr="00EF7331">
        <w:rPr>
          <w:rFonts w:cs="Arial"/>
          <w:sz w:val="20"/>
          <w:szCs w:val="18"/>
        </w:rPr>
        <w:t>Fuente: elaboración propia con base a datos de la EHPM 2019</w:t>
      </w:r>
    </w:p>
    <w:p w14:paraId="727C13BC" w14:textId="77777777" w:rsidR="006A3DBC" w:rsidRPr="00FA4B2D" w:rsidRDefault="006A3DBC" w:rsidP="006A3DBC">
      <w:pPr>
        <w:jc w:val="both"/>
        <w:rPr>
          <w:rFonts w:cs="Arial"/>
          <w:lang w:eastAsia="es-SV"/>
        </w:rPr>
      </w:pPr>
      <w:r w:rsidRPr="00FA4B2D">
        <w:rPr>
          <w:rFonts w:cs="Arial"/>
          <w:lang w:eastAsia="es-SV"/>
        </w:rPr>
        <w:lastRenderedPageBreak/>
        <w:t>Cabe señalar que, en el cálculo de los ingresos mensuales, inciden las remesas familiares, siendo en Honduras, la tercera fuente de ingresos de los hogares, superados únicamente por los ingresos de salarios y las ganancias de las personas a cuenta propia (negocios).</w:t>
      </w:r>
    </w:p>
    <w:p w14:paraId="1D0E130D" w14:textId="77777777" w:rsidR="006A3DBC" w:rsidRPr="00FA4B2D" w:rsidRDefault="006A3DBC" w:rsidP="006A3DBC">
      <w:pPr>
        <w:jc w:val="both"/>
        <w:rPr>
          <w:rFonts w:eastAsia="Times New Roman" w:cs="Arial"/>
          <w:lang w:val="es-HN"/>
        </w:rPr>
      </w:pPr>
      <w:r w:rsidRPr="00FA4B2D">
        <w:rPr>
          <w:rFonts w:cs="Arial"/>
        </w:rPr>
        <w:t>El enfoque sobre necesidades básicas mide la pobreza de los hogares a partir de la falta que sufren en las siguientes necesidades básicas, dentro de estas, la disponibilidad de agua potable, el acceso a saneamiento básico, la inasistencia a la escuela de niños entre 7 y 12 años, entre otras carencias. C</w:t>
      </w:r>
      <w:r w:rsidRPr="00FA4B2D">
        <w:rPr>
          <w:rFonts w:eastAsia="Times New Roman" w:cs="Arial"/>
          <w:lang w:val="es-HN"/>
        </w:rPr>
        <w:t xml:space="preserve">en relación a los hogares con necesidades básicas insatisfechas, los tres departamentos presentan carencias, siendo que de 332,114 hogares que aglutinan los tres departamentos, 146,060 hogares, es decir el 44% del total, presentan una o más carencias en cuanto a necesidades insatisfechas. En el caso del departamento de Olancho son 64,361 hogares (38,944 rurales), en el caso de Valle son 23,038 (15,669 rurales) y en el caso de Yoro son 58,661 (29,771 rurales.  </w:t>
      </w:r>
    </w:p>
    <w:p w14:paraId="3FFDA806" w14:textId="77777777" w:rsidR="006A3DBC" w:rsidRPr="00FA4B2D" w:rsidRDefault="006A3DBC" w:rsidP="00411720">
      <w:pPr>
        <w:pStyle w:val="Ttulo2"/>
        <w:numPr>
          <w:ilvl w:val="2"/>
          <w:numId w:val="100"/>
        </w:numPr>
        <w:spacing w:before="0" w:line="240" w:lineRule="auto"/>
        <w:jc w:val="both"/>
        <w:rPr>
          <w:rFonts w:ascii="Arial" w:hAnsi="Arial" w:cs="Arial"/>
          <w:color w:val="767171" w:themeColor="background2" w:themeShade="80"/>
          <w:sz w:val="22"/>
          <w:szCs w:val="22"/>
        </w:rPr>
      </w:pPr>
      <w:bookmarkStart w:id="689" w:name="_Toc202456933"/>
      <w:r w:rsidRPr="00FA4B2D">
        <w:rPr>
          <w:rFonts w:ascii="Arial" w:hAnsi="Arial" w:cs="Arial"/>
          <w:color w:val="767171" w:themeColor="background2" w:themeShade="80"/>
          <w:sz w:val="22"/>
          <w:szCs w:val="22"/>
        </w:rPr>
        <w:t>Situación de la vivienda o el hogar</w:t>
      </w:r>
      <w:bookmarkEnd w:id="689"/>
    </w:p>
    <w:p w14:paraId="0123C0E8" w14:textId="77777777" w:rsidR="006A3DBC" w:rsidRPr="00FA4B2D" w:rsidRDefault="006A3DBC" w:rsidP="006A3DBC">
      <w:pPr>
        <w:rPr>
          <w:rFonts w:cs="Arial"/>
          <w:lang w:eastAsia="es-SV"/>
        </w:rPr>
      </w:pPr>
    </w:p>
    <w:p w14:paraId="53AC25C6" w14:textId="77777777" w:rsidR="006A3DBC" w:rsidRPr="00FA4B2D" w:rsidRDefault="006A3DBC" w:rsidP="006439D2">
      <w:pPr>
        <w:jc w:val="both"/>
        <w:rPr>
          <w:rFonts w:cs="Arial"/>
          <w:lang w:eastAsia="es-SV"/>
        </w:rPr>
      </w:pPr>
      <w:r w:rsidRPr="00FA4B2D">
        <w:rPr>
          <w:rFonts w:cs="Arial"/>
          <w:lang w:eastAsia="es-SV"/>
        </w:rPr>
        <w:t xml:space="preserve">A nivel de los 3 departamentos se logra identificar la situación de tenencia de la vivienda por área geográfica, siendo la mayor incidencia la de propietario y vivienda completamente pagada. De igual forma, contrario a lo señalado, existen cerca de 37 mil viviendas en situación más compleja, siendo invasión, prestadas o recibidas por servicios de trabajo. </w:t>
      </w:r>
    </w:p>
    <w:p w14:paraId="0E31FE31" w14:textId="77777777" w:rsidR="006A3DBC" w:rsidRPr="00FA4B2D" w:rsidRDefault="006A3DBC" w:rsidP="006439D2">
      <w:pPr>
        <w:jc w:val="both"/>
        <w:rPr>
          <w:rFonts w:cs="Arial"/>
          <w:lang w:eastAsia="es-SV"/>
        </w:rPr>
      </w:pPr>
      <w:r w:rsidRPr="00FA4B2D">
        <w:rPr>
          <w:rFonts w:cs="Arial"/>
          <w:lang w:eastAsia="es-SV"/>
        </w:rPr>
        <w:t xml:space="preserve"> De manera desagregada, los datos sobre tenencia de vivienda se describen en la tabla siguiente:</w:t>
      </w:r>
    </w:p>
    <w:p w14:paraId="3AD7E5DB" w14:textId="4BE32AFC" w:rsidR="00EF7331" w:rsidRDefault="00EF7331" w:rsidP="00EF7331">
      <w:pPr>
        <w:pStyle w:val="Descripcin"/>
        <w:keepNext/>
      </w:pPr>
      <w:bookmarkStart w:id="690" w:name="_Toc202455454"/>
      <w:r>
        <w:t xml:space="preserve">Tabla </w:t>
      </w:r>
      <w:r>
        <w:fldChar w:fldCharType="begin"/>
      </w:r>
      <w:r>
        <w:instrText xml:space="preserve"> SEQ Tabla \* ARABIC </w:instrText>
      </w:r>
      <w:r>
        <w:fldChar w:fldCharType="separate"/>
      </w:r>
      <w:r w:rsidR="000E6D86">
        <w:rPr>
          <w:noProof/>
        </w:rPr>
        <w:t>28</w:t>
      </w:r>
      <w:r>
        <w:fldChar w:fldCharType="end"/>
      </w:r>
      <w:r>
        <w:t xml:space="preserve">: </w:t>
      </w:r>
      <w:r w:rsidRPr="006C76BE">
        <w:t>Posesión de la escritura de vivienda. Tres departamentos</w:t>
      </w:r>
      <w:bookmarkEnd w:id="690"/>
    </w:p>
    <w:tbl>
      <w:tblPr>
        <w:tblW w:w="10037" w:type="dxa"/>
        <w:tblCellMar>
          <w:left w:w="70" w:type="dxa"/>
          <w:right w:w="70" w:type="dxa"/>
        </w:tblCellMar>
        <w:tblLook w:val="04A0" w:firstRow="1" w:lastRow="0" w:firstColumn="1" w:lastColumn="0" w:noHBand="0" w:noVBand="1"/>
      </w:tblPr>
      <w:tblGrid>
        <w:gridCol w:w="898"/>
        <w:gridCol w:w="1041"/>
        <w:gridCol w:w="1196"/>
        <w:gridCol w:w="1608"/>
        <w:gridCol w:w="1219"/>
        <w:gridCol w:w="1219"/>
        <w:gridCol w:w="985"/>
        <w:gridCol w:w="1008"/>
        <w:gridCol w:w="863"/>
      </w:tblGrid>
      <w:tr w:rsidR="002B7276" w:rsidRPr="002B7276" w14:paraId="0808D134" w14:textId="77777777" w:rsidTr="00EF7331">
        <w:trPr>
          <w:trHeight w:val="1495"/>
        </w:trPr>
        <w:tc>
          <w:tcPr>
            <w:tcW w:w="898" w:type="dxa"/>
            <w:tcBorders>
              <w:top w:val="single" w:sz="4" w:space="0" w:color="auto"/>
              <w:left w:val="single" w:sz="4" w:space="0" w:color="auto"/>
              <w:bottom w:val="single" w:sz="4" w:space="0" w:color="auto"/>
              <w:right w:val="single" w:sz="4" w:space="0" w:color="auto"/>
            </w:tcBorders>
            <w:shd w:val="clear" w:color="auto" w:fill="5CC5DA"/>
            <w:noWrap/>
            <w:vAlign w:val="bottom"/>
            <w:hideMark/>
          </w:tcPr>
          <w:p w14:paraId="7B2C7DEF" w14:textId="77777777" w:rsidR="006A3DBC" w:rsidRPr="002B7276" w:rsidRDefault="006A3DBC" w:rsidP="005F4A92">
            <w:pPr>
              <w:spacing w:after="0" w:line="240" w:lineRule="auto"/>
              <w:rPr>
                <w:rFonts w:eastAsia="Times New Roman" w:cs="Arial"/>
                <w:b/>
                <w:sz w:val="20"/>
                <w:szCs w:val="20"/>
                <w:lang w:eastAsia="es-SV"/>
              </w:rPr>
            </w:pPr>
            <w:r w:rsidRPr="002B7276">
              <w:rPr>
                <w:rFonts w:eastAsia="Times New Roman" w:cs="Arial"/>
                <w:b/>
                <w:sz w:val="20"/>
                <w:szCs w:val="20"/>
                <w:lang w:eastAsia="es-SV"/>
              </w:rPr>
              <w:t> </w:t>
            </w:r>
          </w:p>
        </w:tc>
        <w:tc>
          <w:tcPr>
            <w:tcW w:w="1041" w:type="dxa"/>
            <w:tcBorders>
              <w:top w:val="single" w:sz="4" w:space="0" w:color="auto"/>
              <w:left w:val="nil"/>
              <w:bottom w:val="single" w:sz="4" w:space="0" w:color="auto"/>
              <w:right w:val="single" w:sz="4" w:space="0" w:color="auto"/>
            </w:tcBorders>
            <w:shd w:val="clear" w:color="auto" w:fill="5CC5DA"/>
            <w:hideMark/>
          </w:tcPr>
          <w:p w14:paraId="74E842CA" w14:textId="77CF867D" w:rsidR="006A3DBC" w:rsidRPr="002B7276" w:rsidRDefault="006A3DBC" w:rsidP="005F4A92">
            <w:pPr>
              <w:spacing w:after="0" w:line="240" w:lineRule="auto"/>
              <w:jc w:val="center"/>
              <w:rPr>
                <w:rFonts w:eastAsia="Times New Roman" w:cs="Arial"/>
                <w:b/>
                <w:sz w:val="20"/>
                <w:szCs w:val="20"/>
                <w:lang w:eastAsia="es-SV"/>
              </w:rPr>
            </w:pPr>
            <w:r w:rsidRPr="002B7276">
              <w:rPr>
                <w:rFonts w:eastAsia="Times New Roman" w:cs="Arial"/>
                <w:b/>
                <w:sz w:val="20"/>
                <w:szCs w:val="20"/>
                <w:lang w:eastAsia="es-SV"/>
              </w:rPr>
              <w:t>Alquilada</w:t>
            </w:r>
          </w:p>
        </w:tc>
        <w:tc>
          <w:tcPr>
            <w:tcW w:w="1196" w:type="dxa"/>
            <w:tcBorders>
              <w:top w:val="single" w:sz="4" w:space="0" w:color="auto"/>
              <w:left w:val="nil"/>
              <w:bottom w:val="single" w:sz="4" w:space="0" w:color="auto"/>
              <w:right w:val="single" w:sz="4" w:space="0" w:color="auto"/>
            </w:tcBorders>
            <w:shd w:val="clear" w:color="auto" w:fill="5CC5DA"/>
            <w:hideMark/>
          </w:tcPr>
          <w:p w14:paraId="0D574116" w14:textId="6F6770E1" w:rsidR="006A3DBC" w:rsidRPr="002B7276" w:rsidRDefault="006A3DBC" w:rsidP="005F4A92">
            <w:pPr>
              <w:spacing w:after="0" w:line="240" w:lineRule="auto"/>
              <w:jc w:val="center"/>
              <w:rPr>
                <w:rFonts w:eastAsia="Times New Roman" w:cs="Arial"/>
                <w:b/>
                <w:sz w:val="20"/>
                <w:szCs w:val="20"/>
                <w:lang w:eastAsia="es-SV"/>
              </w:rPr>
            </w:pPr>
            <w:r w:rsidRPr="002B7276">
              <w:rPr>
                <w:rFonts w:eastAsia="Times New Roman" w:cs="Arial"/>
                <w:b/>
                <w:sz w:val="20"/>
                <w:szCs w:val="20"/>
                <w:lang w:eastAsia="es-SV"/>
              </w:rPr>
              <w:t>Propietario y la está pagando</w:t>
            </w:r>
          </w:p>
        </w:tc>
        <w:tc>
          <w:tcPr>
            <w:tcW w:w="1608" w:type="dxa"/>
            <w:tcBorders>
              <w:top w:val="single" w:sz="4" w:space="0" w:color="auto"/>
              <w:left w:val="nil"/>
              <w:bottom w:val="single" w:sz="4" w:space="0" w:color="auto"/>
              <w:right w:val="single" w:sz="4" w:space="0" w:color="auto"/>
            </w:tcBorders>
            <w:shd w:val="clear" w:color="auto" w:fill="5CC5DA"/>
            <w:hideMark/>
          </w:tcPr>
          <w:p w14:paraId="6768ACA6" w14:textId="6E625129" w:rsidR="006A3DBC" w:rsidRPr="002B7276" w:rsidRDefault="006A3DBC" w:rsidP="00A9263E">
            <w:pPr>
              <w:spacing w:after="0" w:line="240" w:lineRule="auto"/>
              <w:jc w:val="center"/>
              <w:rPr>
                <w:rFonts w:eastAsia="Times New Roman" w:cs="Arial"/>
                <w:b/>
                <w:sz w:val="20"/>
                <w:szCs w:val="20"/>
                <w:lang w:eastAsia="es-SV"/>
              </w:rPr>
            </w:pPr>
            <w:r w:rsidRPr="002B7276">
              <w:rPr>
                <w:rFonts w:eastAsia="Times New Roman" w:cs="Arial"/>
                <w:b/>
                <w:sz w:val="20"/>
                <w:szCs w:val="20"/>
                <w:lang w:eastAsia="es-SV"/>
              </w:rPr>
              <w:t>Propietario y completamente pagada</w:t>
            </w:r>
          </w:p>
        </w:tc>
        <w:tc>
          <w:tcPr>
            <w:tcW w:w="1219" w:type="dxa"/>
            <w:tcBorders>
              <w:top w:val="single" w:sz="4" w:space="0" w:color="auto"/>
              <w:left w:val="nil"/>
              <w:bottom w:val="single" w:sz="4" w:space="0" w:color="auto"/>
              <w:right w:val="single" w:sz="4" w:space="0" w:color="auto"/>
            </w:tcBorders>
            <w:shd w:val="clear" w:color="auto" w:fill="5CC5DA"/>
            <w:hideMark/>
          </w:tcPr>
          <w:p w14:paraId="35B45D55" w14:textId="4CD0819D" w:rsidR="006A3DBC" w:rsidRPr="002B7276" w:rsidRDefault="006A3DBC" w:rsidP="005F4A92">
            <w:pPr>
              <w:spacing w:after="0" w:line="240" w:lineRule="auto"/>
              <w:jc w:val="center"/>
              <w:rPr>
                <w:rFonts w:eastAsia="Times New Roman" w:cs="Arial"/>
                <w:b/>
                <w:sz w:val="20"/>
                <w:szCs w:val="20"/>
                <w:lang w:eastAsia="es-SV"/>
              </w:rPr>
            </w:pPr>
            <w:r w:rsidRPr="002B7276">
              <w:rPr>
                <w:rFonts w:eastAsia="Times New Roman" w:cs="Arial"/>
                <w:b/>
                <w:sz w:val="20"/>
                <w:szCs w:val="20"/>
                <w:lang w:eastAsia="es-SV"/>
              </w:rPr>
              <w:t>Invasión (propia recuperada sin legalizar)</w:t>
            </w:r>
          </w:p>
        </w:tc>
        <w:tc>
          <w:tcPr>
            <w:tcW w:w="1219" w:type="dxa"/>
            <w:tcBorders>
              <w:top w:val="single" w:sz="4" w:space="0" w:color="auto"/>
              <w:left w:val="nil"/>
              <w:bottom w:val="single" w:sz="4" w:space="0" w:color="auto"/>
              <w:right w:val="single" w:sz="4" w:space="0" w:color="auto"/>
            </w:tcBorders>
            <w:shd w:val="clear" w:color="auto" w:fill="5CC5DA"/>
            <w:hideMark/>
          </w:tcPr>
          <w:p w14:paraId="636D5779" w14:textId="76093747" w:rsidR="006A3DBC" w:rsidRPr="002B7276" w:rsidRDefault="006A3DBC" w:rsidP="005F4A92">
            <w:pPr>
              <w:spacing w:after="0" w:line="240" w:lineRule="auto"/>
              <w:jc w:val="center"/>
              <w:rPr>
                <w:rFonts w:eastAsia="Times New Roman" w:cs="Arial"/>
                <w:b/>
                <w:sz w:val="20"/>
                <w:szCs w:val="20"/>
                <w:lang w:eastAsia="es-SV"/>
              </w:rPr>
            </w:pPr>
            <w:r w:rsidRPr="002B7276">
              <w:rPr>
                <w:rFonts w:eastAsia="Times New Roman" w:cs="Arial"/>
                <w:b/>
                <w:sz w:val="20"/>
                <w:szCs w:val="20"/>
                <w:lang w:eastAsia="es-SV"/>
              </w:rPr>
              <w:t>Invasión (propia recuperada legalizada)</w:t>
            </w:r>
          </w:p>
        </w:tc>
        <w:tc>
          <w:tcPr>
            <w:tcW w:w="985" w:type="dxa"/>
            <w:tcBorders>
              <w:top w:val="single" w:sz="4" w:space="0" w:color="auto"/>
              <w:left w:val="nil"/>
              <w:bottom w:val="single" w:sz="4" w:space="0" w:color="auto"/>
              <w:right w:val="single" w:sz="4" w:space="0" w:color="auto"/>
            </w:tcBorders>
            <w:shd w:val="clear" w:color="auto" w:fill="5CC5DA"/>
            <w:hideMark/>
          </w:tcPr>
          <w:p w14:paraId="74C1B5BD" w14:textId="5A9A976D" w:rsidR="006A3DBC" w:rsidRPr="002B7276" w:rsidRDefault="006A3DBC" w:rsidP="005F4A92">
            <w:pPr>
              <w:spacing w:after="0" w:line="240" w:lineRule="auto"/>
              <w:jc w:val="center"/>
              <w:rPr>
                <w:rFonts w:eastAsia="Times New Roman" w:cs="Arial"/>
                <w:b/>
                <w:sz w:val="20"/>
                <w:szCs w:val="20"/>
                <w:lang w:eastAsia="es-SV"/>
              </w:rPr>
            </w:pPr>
            <w:r w:rsidRPr="002B7276">
              <w:rPr>
                <w:rFonts w:eastAsia="Times New Roman" w:cs="Arial"/>
                <w:b/>
                <w:sz w:val="20"/>
                <w:szCs w:val="20"/>
                <w:lang w:eastAsia="es-SV"/>
              </w:rPr>
              <w:t>Prestada (cedida sin pago)</w:t>
            </w:r>
          </w:p>
        </w:tc>
        <w:tc>
          <w:tcPr>
            <w:tcW w:w="1008" w:type="dxa"/>
            <w:tcBorders>
              <w:top w:val="single" w:sz="4" w:space="0" w:color="auto"/>
              <w:left w:val="nil"/>
              <w:bottom w:val="single" w:sz="4" w:space="0" w:color="auto"/>
              <w:right w:val="single" w:sz="4" w:space="0" w:color="auto"/>
            </w:tcBorders>
            <w:shd w:val="clear" w:color="auto" w:fill="5CC5DA"/>
            <w:hideMark/>
          </w:tcPr>
          <w:p w14:paraId="46660C5F" w14:textId="77B01B84" w:rsidR="006A3DBC" w:rsidRPr="002B7276" w:rsidRDefault="006A3DBC" w:rsidP="005F4A92">
            <w:pPr>
              <w:spacing w:after="0" w:line="240" w:lineRule="auto"/>
              <w:jc w:val="center"/>
              <w:rPr>
                <w:rFonts w:eastAsia="Times New Roman" w:cs="Arial"/>
                <w:b/>
                <w:sz w:val="20"/>
                <w:szCs w:val="20"/>
                <w:lang w:eastAsia="es-SV"/>
              </w:rPr>
            </w:pPr>
            <w:r w:rsidRPr="002B7276">
              <w:rPr>
                <w:rFonts w:eastAsia="Times New Roman" w:cs="Arial"/>
                <w:b/>
                <w:sz w:val="20"/>
                <w:szCs w:val="20"/>
                <w:lang w:eastAsia="es-SV"/>
              </w:rPr>
              <w:t>Recibida por servicios de trabajo</w:t>
            </w:r>
          </w:p>
        </w:tc>
        <w:tc>
          <w:tcPr>
            <w:tcW w:w="863" w:type="dxa"/>
            <w:tcBorders>
              <w:top w:val="single" w:sz="4" w:space="0" w:color="auto"/>
              <w:left w:val="nil"/>
              <w:bottom w:val="single" w:sz="4" w:space="0" w:color="auto"/>
              <w:right w:val="single" w:sz="4" w:space="0" w:color="auto"/>
            </w:tcBorders>
            <w:shd w:val="clear" w:color="auto" w:fill="5CC5DA"/>
            <w:hideMark/>
          </w:tcPr>
          <w:p w14:paraId="53F563F7" w14:textId="77777777" w:rsidR="006A3DBC" w:rsidRPr="002B7276" w:rsidRDefault="006A3DBC" w:rsidP="005F4A92">
            <w:pPr>
              <w:spacing w:after="0" w:line="240" w:lineRule="auto"/>
              <w:jc w:val="center"/>
              <w:rPr>
                <w:rFonts w:eastAsia="Times New Roman" w:cs="Arial"/>
                <w:b/>
                <w:sz w:val="20"/>
                <w:szCs w:val="20"/>
                <w:lang w:eastAsia="es-SV"/>
              </w:rPr>
            </w:pPr>
            <w:r w:rsidRPr="002B7276">
              <w:rPr>
                <w:rFonts w:eastAsia="Times New Roman" w:cs="Arial"/>
                <w:b/>
                <w:sz w:val="20"/>
                <w:szCs w:val="20"/>
                <w:lang w:eastAsia="es-SV"/>
              </w:rPr>
              <w:t>Total</w:t>
            </w:r>
          </w:p>
        </w:tc>
      </w:tr>
      <w:tr w:rsidR="002B7276" w:rsidRPr="002B7276" w14:paraId="3AB26B72" w14:textId="77777777" w:rsidTr="00EF7331">
        <w:trPr>
          <w:trHeight w:val="498"/>
        </w:trPr>
        <w:tc>
          <w:tcPr>
            <w:tcW w:w="898" w:type="dxa"/>
            <w:tcBorders>
              <w:top w:val="nil"/>
              <w:left w:val="single" w:sz="4" w:space="0" w:color="auto"/>
              <w:bottom w:val="single" w:sz="4" w:space="0" w:color="auto"/>
              <w:right w:val="single" w:sz="4" w:space="0" w:color="auto"/>
            </w:tcBorders>
            <w:shd w:val="clear" w:color="auto" w:fill="auto"/>
            <w:noWrap/>
            <w:vAlign w:val="bottom"/>
            <w:hideMark/>
          </w:tcPr>
          <w:p w14:paraId="554E5C88" w14:textId="77777777" w:rsidR="006A3DBC" w:rsidRPr="002B7276" w:rsidRDefault="006A3DBC" w:rsidP="00A9263E">
            <w:pPr>
              <w:spacing w:after="0" w:line="240" w:lineRule="auto"/>
              <w:jc w:val="center"/>
              <w:rPr>
                <w:rFonts w:eastAsia="Times New Roman" w:cs="Arial"/>
                <w:sz w:val="20"/>
                <w:szCs w:val="20"/>
                <w:lang w:eastAsia="es-SV"/>
              </w:rPr>
            </w:pPr>
            <w:r w:rsidRPr="002B7276">
              <w:rPr>
                <w:rFonts w:eastAsia="Times New Roman" w:cs="Arial"/>
                <w:sz w:val="20"/>
                <w:szCs w:val="20"/>
                <w:lang w:eastAsia="es-SV"/>
              </w:rPr>
              <w:t>Olancho</w:t>
            </w:r>
          </w:p>
        </w:tc>
        <w:tc>
          <w:tcPr>
            <w:tcW w:w="1041" w:type="dxa"/>
            <w:tcBorders>
              <w:top w:val="nil"/>
              <w:left w:val="nil"/>
              <w:bottom w:val="single" w:sz="4" w:space="0" w:color="auto"/>
              <w:right w:val="single" w:sz="4" w:space="0" w:color="auto"/>
            </w:tcBorders>
            <w:shd w:val="clear" w:color="auto" w:fill="auto"/>
            <w:noWrap/>
            <w:vAlign w:val="bottom"/>
            <w:hideMark/>
          </w:tcPr>
          <w:p w14:paraId="3A40A06D" w14:textId="41D09C17" w:rsidR="006A3DBC" w:rsidRPr="002B7276" w:rsidRDefault="006A3DBC" w:rsidP="00A9263E">
            <w:pPr>
              <w:spacing w:after="0" w:line="240" w:lineRule="auto"/>
              <w:jc w:val="center"/>
              <w:rPr>
                <w:rFonts w:eastAsia="Times New Roman" w:cs="Arial"/>
                <w:sz w:val="20"/>
                <w:szCs w:val="20"/>
                <w:lang w:eastAsia="es-SV"/>
              </w:rPr>
            </w:pPr>
            <w:r w:rsidRPr="002B7276">
              <w:rPr>
                <w:rFonts w:eastAsia="Times New Roman" w:cs="Arial"/>
                <w:sz w:val="20"/>
                <w:szCs w:val="20"/>
                <w:lang w:eastAsia="es-SV"/>
              </w:rPr>
              <w:t>14</w:t>
            </w:r>
            <w:r w:rsidR="004C3E79" w:rsidRPr="002B7276">
              <w:rPr>
                <w:rFonts w:eastAsia="Times New Roman" w:cs="Arial"/>
                <w:sz w:val="20"/>
                <w:szCs w:val="20"/>
                <w:lang w:eastAsia="es-SV"/>
              </w:rPr>
              <w:t>,</w:t>
            </w:r>
            <w:r w:rsidRPr="002B7276">
              <w:rPr>
                <w:rFonts w:eastAsia="Times New Roman" w:cs="Arial"/>
                <w:sz w:val="20"/>
                <w:szCs w:val="20"/>
                <w:lang w:eastAsia="es-SV"/>
              </w:rPr>
              <w:t>530</w:t>
            </w:r>
          </w:p>
        </w:tc>
        <w:tc>
          <w:tcPr>
            <w:tcW w:w="1196" w:type="dxa"/>
            <w:tcBorders>
              <w:top w:val="nil"/>
              <w:left w:val="nil"/>
              <w:bottom w:val="single" w:sz="4" w:space="0" w:color="auto"/>
              <w:right w:val="single" w:sz="4" w:space="0" w:color="auto"/>
            </w:tcBorders>
            <w:shd w:val="clear" w:color="auto" w:fill="auto"/>
            <w:noWrap/>
            <w:vAlign w:val="bottom"/>
            <w:hideMark/>
          </w:tcPr>
          <w:p w14:paraId="5C575953" w14:textId="48975299" w:rsidR="006A3DBC" w:rsidRPr="002B7276" w:rsidRDefault="006A3DBC" w:rsidP="00A9263E">
            <w:pPr>
              <w:spacing w:after="0" w:line="240" w:lineRule="auto"/>
              <w:jc w:val="center"/>
              <w:rPr>
                <w:rFonts w:eastAsia="Times New Roman" w:cs="Arial"/>
                <w:sz w:val="20"/>
                <w:szCs w:val="20"/>
                <w:lang w:eastAsia="es-SV"/>
              </w:rPr>
            </w:pPr>
            <w:r w:rsidRPr="002B7276">
              <w:rPr>
                <w:rFonts w:eastAsia="Times New Roman" w:cs="Arial"/>
                <w:sz w:val="20"/>
                <w:szCs w:val="20"/>
                <w:lang w:eastAsia="es-SV"/>
              </w:rPr>
              <w:t>30</w:t>
            </w:r>
            <w:r w:rsidR="004C3E79" w:rsidRPr="002B7276">
              <w:rPr>
                <w:rFonts w:eastAsia="Times New Roman" w:cs="Arial"/>
                <w:sz w:val="20"/>
                <w:szCs w:val="20"/>
                <w:lang w:eastAsia="es-SV"/>
              </w:rPr>
              <w:t>,</w:t>
            </w:r>
            <w:r w:rsidRPr="002B7276">
              <w:rPr>
                <w:rFonts w:eastAsia="Times New Roman" w:cs="Arial"/>
                <w:sz w:val="20"/>
                <w:szCs w:val="20"/>
                <w:lang w:eastAsia="es-SV"/>
              </w:rPr>
              <w:t>578</w:t>
            </w:r>
          </w:p>
        </w:tc>
        <w:tc>
          <w:tcPr>
            <w:tcW w:w="1608" w:type="dxa"/>
            <w:tcBorders>
              <w:top w:val="nil"/>
              <w:left w:val="nil"/>
              <w:bottom w:val="single" w:sz="4" w:space="0" w:color="auto"/>
              <w:right w:val="single" w:sz="4" w:space="0" w:color="auto"/>
            </w:tcBorders>
            <w:shd w:val="clear" w:color="auto" w:fill="auto"/>
            <w:noWrap/>
            <w:vAlign w:val="bottom"/>
            <w:hideMark/>
          </w:tcPr>
          <w:p w14:paraId="1E0ABC4A" w14:textId="41296B5C" w:rsidR="006A3DBC" w:rsidRPr="002B7276" w:rsidRDefault="006A3DBC" w:rsidP="00A9263E">
            <w:pPr>
              <w:spacing w:after="0" w:line="240" w:lineRule="auto"/>
              <w:jc w:val="center"/>
              <w:rPr>
                <w:rFonts w:eastAsia="Times New Roman" w:cs="Arial"/>
                <w:sz w:val="20"/>
                <w:szCs w:val="20"/>
                <w:lang w:eastAsia="es-SV"/>
              </w:rPr>
            </w:pPr>
            <w:r w:rsidRPr="002B7276">
              <w:rPr>
                <w:rFonts w:eastAsia="Times New Roman" w:cs="Arial"/>
                <w:sz w:val="20"/>
                <w:szCs w:val="20"/>
                <w:lang w:eastAsia="es-SV"/>
              </w:rPr>
              <w:t>74</w:t>
            </w:r>
            <w:r w:rsidR="004C3E79" w:rsidRPr="002B7276">
              <w:rPr>
                <w:rFonts w:eastAsia="Times New Roman" w:cs="Arial"/>
                <w:sz w:val="20"/>
                <w:szCs w:val="20"/>
                <w:lang w:eastAsia="es-SV"/>
              </w:rPr>
              <w:t>,</w:t>
            </w:r>
            <w:r w:rsidRPr="002B7276">
              <w:rPr>
                <w:rFonts w:eastAsia="Times New Roman" w:cs="Arial"/>
                <w:sz w:val="20"/>
                <w:szCs w:val="20"/>
                <w:lang w:eastAsia="es-SV"/>
              </w:rPr>
              <w:t>417</w:t>
            </w:r>
          </w:p>
        </w:tc>
        <w:tc>
          <w:tcPr>
            <w:tcW w:w="1219" w:type="dxa"/>
            <w:tcBorders>
              <w:top w:val="nil"/>
              <w:left w:val="nil"/>
              <w:bottom w:val="single" w:sz="4" w:space="0" w:color="auto"/>
              <w:right w:val="single" w:sz="4" w:space="0" w:color="auto"/>
            </w:tcBorders>
            <w:shd w:val="clear" w:color="auto" w:fill="auto"/>
            <w:noWrap/>
            <w:vAlign w:val="bottom"/>
            <w:hideMark/>
          </w:tcPr>
          <w:p w14:paraId="1CE63562" w14:textId="77777777" w:rsidR="006A3DBC" w:rsidRPr="002B7276" w:rsidRDefault="006A3DBC" w:rsidP="00A9263E">
            <w:pPr>
              <w:spacing w:after="0" w:line="240" w:lineRule="auto"/>
              <w:jc w:val="center"/>
              <w:rPr>
                <w:rFonts w:eastAsia="Times New Roman" w:cs="Arial"/>
                <w:sz w:val="20"/>
                <w:szCs w:val="20"/>
                <w:lang w:eastAsia="es-SV"/>
              </w:rPr>
            </w:pPr>
            <w:r w:rsidRPr="002B7276">
              <w:rPr>
                <w:rFonts w:eastAsia="Times New Roman" w:cs="Arial"/>
                <w:sz w:val="20"/>
                <w:szCs w:val="20"/>
                <w:lang w:eastAsia="es-SV"/>
              </w:rPr>
              <w:t>79</w:t>
            </w:r>
          </w:p>
        </w:tc>
        <w:tc>
          <w:tcPr>
            <w:tcW w:w="1219" w:type="dxa"/>
            <w:tcBorders>
              <w:top w:val="nil"/>
              <w:left w:val="nil"/>
              <w:bottom w:val="single" w:sz="4" w:space="0" w:color="auto"/>
              <w:right w:val="single" w:sz="4" w:space="0" w:color="auto"/>
            </w:tcBorders>
            <w:shd w:val="clear" w:color="000000" w:fill="E0E0E0"/>
            <w:hideMark/>
          </w:tcPr>
          <w:p w14:paraId="469AA38D" w14:textId="77777777" w:rsidR="006A3DBC" w:rsidRPr="002B7276" w:rsidRDefault="006A3DBC" w:rsidP="00A9263E">
            <w:pPr>
              <w:spacing w:after="0" w:line="240" w:lineRule="auto"/>
              <w:jc w:val="center"/>
              <w:rPr>
                <w:rFonts w:eastAsia="Times New Roman" w:cs="Arial"/>
                <w:sz w:val="20"/>
                <w:szCs w:val="20"/>
                <w:lang w:eastAsia="es-SV"/>
              </w:rPr>
            </w:pPr>
            <w:r w:rsidRPr="002B7276">
              <w:rPr>
                <w:rFonts w:eastAsia="Times New Roman" w:cs="Arial"/>
                <w:sz w:val="20"/>
                <w:szCs w:val="20"/>
                <w:lang w:eastAsia="es-SV"/>
              </w:rPr>
              <w:t>0</w:t>
            </w:r>
          </w:p>
        </w:tc>
        <w:tc>
          <w:tcPr>
            <w:tcW w:w="985" w:type="dxa"/>
            <w:tcBorders>
              <w:top w:val="nil"/>
              <w:left w:val="nil"/>
              <w:bottom w:val="single" w:sz="4" w:space="0" w:color="auto"/>
              <w:right w:val="single" w:sz="4" w:space="0" w:color="auto"/>
            </w:tcBorders>
            <w:shd w:val="clear" w:color="auto" w:fill="auto"/>
            <w:noWrap/>
            <w:vAlign w:val="bottom"/>
            <w:hideMark/>
          </w:tcPr>
          <w:p w14:paraId="358145D8" w14:textId="105B7B5B" w:rsidR="006A3DBC" w:rsidRPr="002B7276" w:rsidRDefault="006A3DBC" w:rsidP="00A9263E">
            <w:pPr>
              <w:spacing w:after="0" w:line="240" w:lineRule="auto"/>
              <w:jc w:val="center"/>
              <w:rPr>
                <w:rFonts w:eastAsia="Times New Roman" w:cs="Arial"/>
                <w:sz w:val="20"/>
                <w:szCs w:val="20"/>
                <w:lang w:eastAsia="es-SV"/>
              </w:rPr>
            </w:pPr>
            <w:r w:rsidRPr="002B7276">
              <w:rPr>
                <w:rFonts w:eastAsia="Times New Roman" w:cs="Arial"/>
                <w:sz w:val="20"/>
                <w:szCs w:val="20"/>
                <w:lang w:eastAsia="es-SV"/>
              </w:rPr>
              <w:t>12</w:t>
            </w:r>
            <w:r w:rsidR="004C3E79" w:rsidRPr="002B7276">
              <w:rPr>
                <w:rFonts w:eastAsia="Times New Roman" w:cs="Arial"/>
                <w:sz w:val="20"/>
                <w:szCs w:val="20"/>
                <w:lang w:eastAsia="es-SV"/>
              </w:rPr>
              <w:t>,</w:t>
            </w:r>
            <w:r w:rsidRPr="002B7276">
              <w:rPr>
                <w:rFonts w:eastAsia="Times New Roman" w:cs="Arial"/>
                <w:sz w:val="20"/>
                <w:szCs w:val="20"/>
                <w:lang w:eastAsia="es-SV"/>
              </w:rPr>
              <w:t>574</w:t>
            </w:r>
          </w:p>
        </w:tc>
        <w:tc>
          <w:tcPr>
            <w:tcW w:w="1008" w:type="dxa"/>
            <w:tcBorders>
              <w:top w:val="nil"/>
              <w:left w:val="nil"/>
              <w:bottom w:val="single" w:sz="4" w:space="0" w:color="auto"/>
              <w:right w:val="single" w:sz="4" w:space="0" w:color="auto"/>
            </w:tcBorders>
            <w:shd w:val="clear" w:color="auto" w:fill="auto"/>
            <w:noWrap/>
            <w:vAlign w:val="bottom"/>
            <w:hideMark/>
          </w:tcPr>
          <w:p w14:paraId="3B613F58" w14:textId="7E6E3E89" w:rsidR="006A3DBC" w:rsidRPr="002B7276" w:rsidRDefault="006A3DBC" w:rsidP="00A9263E">
            <w:pPr>
              <w:spacing w:after="0" w:line="240" w:lineRule="auto"/>
              <w:jc w:val="center"/>
              <w:rPr>
                <w:rFonts w:eastAsia="Times New Roman" w:cs="Arial"/>
                <w:sz w:val="20"/>
                <w:szCs w:val="20"/>
                <w:lang w:eastAsia="es-SV"/>
              </w:rPr>
            </w:pPr>
            <w:r w:rsidRPr="002B7276">
              <w:rPr>
                <w:rFonts w:eastAsia="Times New Roman" w:cs="Arial"/>
                <w:sz w:val="20"/>
                <w:szCs w:val="20"/>
                <w:lang w:eastAsia="es-SV"/>
              </w:rPr>
              <w:t>1</w:t>
            </w:r>
            <w:r w:rsidR="004C3E79" w:rsidRPr="002B7276">
              <w:rPr>
                <w:rFonts w:eastAsia="Times New Roman" w:cs="Arial"/>
                <w:sz w:val="20"/>
                <w:szCs w:val="20"/>
                <w:lang w:eastAsia="es-SV"/>
              </w:rPr>
              <w:t>,</w:t>
            </w:r>
            <w:r w:rsidRPr="002B7276">
              <w:rPr>
                <w:rFonts w:eastAsia="Times New Roman" w:cs="Arial"/>
                <w:sz w:val="20"/>
                <w:szCs w:val="20"/>
                <w:lang w:eastAsia="es-SV"/>
              </w:rPr>
              <w:t>590</w:t>
            </w:r>
          </w:p>
        </w:tc>
        <w:tc>
          <w:tcPr>
            <w:tcW w:w="863" w:type="dxa"/>
            <w:tcBorders>
              <w:top w:val="nil"/>
              <w:left w:val="nil"/>
              <w:bottom w:val="single" w:sz="4" w:space="0" w:color="auto"/>
              <w:right w:val="single" w:sz="4" w:space="0" w:color="auto"/>
            </w:tcBorders>
            <w:shd w:val="clear" w:color="auto" w:fill="auto"/>
            <w:noWrap/>
            <w:vAlign w:val="bottom"/>
            <w:hideMark/>
          </w:tcPr>
          <w:p w14:paraId="1CC7DE93" w14:textId="17BB21B5" w:rsidR="006A3DBC" w:rsidRPr="002B7276" w:rsidRDefault="006A3DBC" w:rsidP="00A9263E">
            <w:pPr>
              <w:spacing w:after="0" w:line="240" w:lineRule="auto"/>
              <w:jc w:val="center"/>
              <w:rPr>
                <w:rFonts w:eastAsia="Times New Roman" w:cs="Arial"/>
                <w:sz w:val="20"/>
                <w:szCs w:val="20"/>
                <w:lang w:eastAsia="es-SV"/>
              </w:rPr>
            </w:pPr>
            <w:r w:rsidRPr="002B7276">
              <w:rPr>
                <w:rFonts w:eastAsia="Times New Roman" w:cs="Arial"/>
                <w:sz w:val="20"/>
                <w:szCs w:val="20"/>
                <w:lang w:eastAsia="es-SV"/>
              </w:rPr>
              <w:t>133</w:t>
            </w:r>
            <w:r w:rsidR="004C3E79" w:rsidRPr="002B7276">
              <w:rPr>
                <w:rFonts w:eastAsia="Times New Roman" w:cs="Arial"/>
                <w:sz w:val="20"/>
                <w:szCs w:val="20"/>
                <w:lang w:eastAsia="es-SV"/>
              </w:rPr>
              <w:t>,</w:t>
            </w:r>
            <w:r w:rsidRPr="002B7276">
              <w:rPr>
                <w:rFonts w:eastAsia="Times New Roman" w:cs="Arial"/>
                <w:sz w:val="20"/>
                <w:szCs w:val="20"/>
                <w:lang w:eastAsia="es-SV"/>
              </w:rPr>
              <w:t>768</w:t>
            </w:r>
          </w:p>
        </w:tc>
      </w:tr>
      <w:tr w:rsidR="002B7276" w:rsidRPr="002B7276" w14:paraId="35A29FFD" w14:textId="77777777" w:rsidTr="00EF7331">
        <w:trPr>
          <w:trHeight w:val="310"/>
        </w:trPr>
        <w:tc>
          <w:tcPr>
            <w:tcW w:w="898" w:type="dxa"/>
            <w:tcBorders>
              <w:top w:val="nil"/>
              <w:left w:val="single" w:sz="4" w:space="0" w:color="auto"/>
              <w:bottom w:val="single" w:sz="4" w:space="0" w:color="auto"/>
              <w:right w:val="single" w:sz="4" w:space="0" w:color="auto"/>
            </w:tcBorders>
            <w:shd w:val="clear" w:color="auto" w:fill="auto"/>
            <w:noWrap/>
            <w:vAlign w:val="bottom"/>
            <w:hideMark/>
          </w:tcPr>
          <w:p w14:paraId="69D0B72C" w14:textId="77777777" w:rsidR="006A3DBC" w:rsidRPr="002B7276" w:rsidRDefault="006A3DBC" w:rsidP="00A9263E">
            <w:pPr>
              <w:spacing w:after="0" w:line="240" w:lineRule="auto"/>
              <w:jc w:val="center"/>
              <w:rPr>
                <w:rFonts w:eastAsia="Times New Roman" w:cs="Arial"/>
                <w:sz w:val="20"/>
                <w:szCs w:val="20"/>
                <w:lang w:eastAsia="es-SV"/>
              </w:rPr>
            </w:pPr>
            <w:r w:rsidRPr="002B7276">
              <w:rPr>
                <w:rFonts w:eastAsia="Times New Roman" w:cs="Arial"/>
                <w:sz w:val="20"/>
                <w:szCs w:val="20"/>
                <w:lang w:eastAsia="es-SV"/>
              </w:rPr>
              <w:t>Valle</w:t>
            </w:r>
          </w:p>
        </w:tc>
        <w:tc>
          <w:tcPr>
            <w:tcW w:w="1041" w:type="dxa"/>
            <w:tcBorders>
              <w:top w:val="nil"/>
              <w:left w:val="nil"/>
              <w:bottom w:val="single" w:sz="4" w:space="0" w:color="auto"/>
              <w:right w:val="single" w:sz="4" w:space="0" w:color="auto"/>
            </w:tcBorders>
            <w:shd w:val="clear" w:color="auto" w:fill="auto"/>
            <w:noWrap/>
            <w:vAlign w:val="bottom"/>
            <w:hideMark/>
          </w:tcPr>
          <w:p w14:paraId="07100D1F" w14:textId="732A012F" w:rsidR="006A3DBC" w:rsidRPr="002B7276" w:rsidRDefault="006A3DBC" w:rsidP="00A9263E">
            <w:pPr>
              <w:spacing w:after="0" w:line="240" w:lineRule="auto"/>
              <w:jc w:val="center"/>
              <w:rPr>
                <w:rFonts w:eastAsia="Times New Roman" w:cs="Arial"/>
                <w:sz w:val="20"/>
                <w:szCs w:val="20"/>
                <w:lang w:eastAsia="es-SV"/>
              </w:rPr>
            </w:pPr>
            <w:r w:rsidRPr="002B7276">
              <w:rPr>
                <w:rFonts w:eastAsia="Times New Roman" w:cs="Arial"/>
                <w:sz w:val="20"/>
                <w:szCs w:val="20"/>
                <w:lang w:eastAsia="es-SV"/>
              </w:rPr>
              <w:t>4</w:t>
            </w:r>
            <w:r w:rsidR="004C3E79" w:rsidRPr="002B7276">
              <w:rPr>
                <w:rFonts w:eastAsia="Times New Roman" w:cs="Arial"/>
                <w:sz w:val="20"/>
                <w:szCs w:val="20"/>
                <w:lang w:eastAsia="es-SV"/>
              </w:rPr>
              <w:t>,</w:t>
            </w:r>
            <w:r w:rsidRPr="002B7276">
              <w:rPr>
                <w:rFonts w:eastAsia="Times New Roman" w:cs="Arial"/>
                <w:sz w:val="20"/>
                <w:szCs w:val="20"/>
                <w:lang w:eastAsia="es-SV"/>
              </w:rPr>
              <w:t>848</w:t>
            </w:r>
          </w:p>
        </w:tc>
        <w:tc>
          <w:tcPr>
            <w:tcW w:w="1196" w:type="dxa"/>
            <w:tcBorders>
              <w:top w:val="nil"/>
              <w:left w:val="nil"/>
              <w:bottom w:val="single" w:sz="4" w:space="0" w:color="auto"/>
              <w:right w:val="single" w:sz="4" w:space="0" w:color="auto"/>
            </w:tcBorders>
            <w:shd w:val="clear" w:color="auto" w:fill="auto"/>
            <w:noWrap/>
            <w:vAlign w:val="bottom"/>
            <w:hideMark/>
          </w:tcPr>
          <w:p w14:paraId="0DD41497" w14:textId="0D48BE9D" w:rsidR="006A3DBC" w:rsidRPr="002B7276" w:rsidRDefault="006A3DBC" w:rsidP="00A9263E">
            <w:pPr>
              <w:spacing w:after="0" w:line="240" w:lineRule="auto"/>
              <w:jc w:val="center"/>
              <w:rPr>
                <w:rFonts w:eastAsia="Times New Roman" w:cs="Arial"/>
                <w:sz w:val="20"/>
                <w:szCs w:val="20"/>
                <w:lang w:eastAsia="es-SV"/>
              </w:rPr>
            </w:pPr>
            <w:r w:rsidRPr="002B7276">
              <w:rPr>
                <w:rFonts w:eastAsia="Times New Roman" w:cs="Arial"/>
                <w:sz w:val="20"/>
                <w:szCs w:val="20"/>
                <w:lang w:eastAsia="es-SV"/>
              </w:rPr>
              <w:t>10</w:t>
            </w:r>
            <w:r w:rsidR="004C3E79" w:rsidRPr="002B7276">
              <w:rPr>
                <w:rFonts w:eastAsia="Times New Roman" w:cs="Arial"/>
                <w:sz w:val="20"/>
                <w:szCs w:val="20"/>
                <w:lang w:eastAsia="es-SV"/>
              </w:rPr>
              <w:t>,</w:t>
            </w:r>
            <w:r w:rsidRPr="002B7276">
              <w:rPr>
                <w:rFonts w:eastAsia="Times New Roman" w:cs="Arial"/>
                <w:sz w:val="20"/>
                <w:szCs w:val="20"/>
                <w:lang w:eastAsia="es-SV"/>
              </w:rPr>
              <w:t>662</w:t>
            </w:r>
          </w:p>
        </w:tc>
        <w:tc>
          <w:tcPr>
            <w:tcW w:w="1608" w:type="dxa"/>
            <w:tcBorders>
              <w:top w:val="nil"/>
              <w:left w:val="nil"/>
              <w:bottom w:val="single" w:sz="4" w:space="0" w:color="auto"/>
              <w:right w:val="single" w:sz="4" w:space="0" w:color="auto"/>
            </w:tcBorders>
            <w:shd w:val="clear" w:color="auto" w:fill="auto"/>
            <w:noWrap/>
            <w:vAlign w:val="bottom"/>
            <w:hideMark/>
          </w:tcPr>
          <w:p w14:paraId="1C268C6C" w14:textId="5E66B586" w:rsidR="006A3DBC" w:rsidRPr="002B7276" w:rsidRDefault="006A3DBC" w:rsidP="00A9263E">
            <w:pPr>
              <w:spacing w:after="0" w:line="240" w:lineRule="auto"/>
              <w:jc w:val="center"/>
              <w:rPr>
                <w:rFonts w:eastAsia="Times New Roman" w:cs="Arial"/>
                <w:sz w:val="20"/>
                <w:szCs w:val="20"/>
                <w:lang w:eastAsia="es-SV"/>
              </w:rPr>
            </w:pPr>
            <w:r w:rsidRPr="002B7276">
              <w:rPr>
                <w:rFonts w:eastAsia="Times New Roman" w:cs="Arial"/>
                <w:sz w:val="20"/>
                <w:szCs w:val="20"/>
                <w:lang w:eastAsia="es-SV"/>
              </w:rPr>
              <w:t>27</w:t>
            </w:r>
            <w:r w:rsidR="004C3E79" w:rsidRPr="002B7276">
              <w:rPr>
                <w:rFonts w:eastAsia="Times New Roman" w:cs="Arial"/>
                <w:sz w:val="20"/>
                <w:szCs w:val="20"/>
                <w:lang w:eastAsia="es-SV"/>
              </w:rPr>
              <w:t>,</w:t>
            </w:r>
            <w:r w:rsidRPr="002B7276">
              <w:rPr>
                <w:rFonts w:eastAsia="Times New Roman" w:cs="Arial"/>
                <w:sz w:val="20"/>
                <w:szCs w:val="20"/>
                <w:lang w:eastAsia="es-SV"/>
              </w:rPr>
              <w:t>037</w:t>
            </w:r>
          </w:p>
        </w:tc>
        <w:tc>
          <w:tcPr>
            <w:tcW w:w="1219" w:type="dxa"/>
            <w:tcBorders>
              <w:top w:val="nil"/>
              <w:left w:val="nil"/>
              <w:bottom w:val="single" w:sz="4" w:space="0" w:color="auto"/>
              <w:right w:val="single" w:sz="4" w:space="0" w:color="auto"/>
            </w:tcBorders>
            <w:shd w:val="clear" w:color="auto" w:fill="auto"/>
            <w:noWrap/>
            <w:vAlign w:val="bottom"/>
            <w:hideMark/>
          </w:tcPr>
          <w:p w14:paraId="0DE5BB1E" w14:textId="77777777" w:rsidR="006A3DBC" w:rsidRPr="002B7276" w:rsidRDefault="006A3DBC" w:rsidP="00A9263E">
            <w:pPr>
              <w:spacing w:after="0" w:line="240" w:lineRule="auto"/>
              <w:jc w:val="center"/>
              <w:rPr>
                <w:rFonts w:eastAsia="Times New Roman" w:cs="Arial"/>
                <w:sz w:val="20"/>
                <w:szCs w:val="20"/>
                <w:lang w:eastAsia="es-SV"/>
              </w:rPr>
            </w:pPr>
            <w:r w:rsidRPr="002B7276">
              <w:rPr>
                <w:rFonts w:eastAsia="Times New Roman" w:cs="Arial"/>
                <w:sz w:val="20"/>
                <w:szCs w:val="20"/>
                <w:lang w:eastAsia="es-SV"/>
              </w:rPr>
              <w:t>216</w:t>
            </w:r>
          </w:p>
        </w:tc>
        <w:tc>
          <w:tcPr>
            <w:tcW w:w="1219" w:type="dxa"/>
            <w:tcBorders>
              <w:top w:val="nil"/>
              <w:left w:val="nil"/>
              <w:bottom w:val="single" w:sz="4" w:space="0" w:color="auto"/>
              <w:right w:val="single" w:sz="4" w:space="0" w:color="auto"/>
            </w:tcBorders>
            <w:shd w:val="clear" w:color="000000" w:fill="E0E0E0"/>
            <w:hideMark/>
          </w:tcPr>
          <w:p w14:paraId="414823FF" w14:textId="77777777" w:rsidR="006A3DBC" w:rsidRPr="002B7276" w:rsidRDefault="006A3DBC" w:rsidP="00A9263E">
            <w:pPr>
              <w:spacing w:after="0" w:line="240" w:lineRule="auto"/>
              <w:jc w:val="center"/>
              <w:rPr>
                <w:rFonts w:eastAsia="Times New Roman" w:cs="Arial"/>
                <w:sz w:val="20"/>
                <w:szCs w:val="20"/>
                <w:lang w:eastAsia="es-SV"/>
              </w:rPr>
            </w:pPr>
            <w:r w:rsidRPr="002B7276">
              <w:rPr>
                <w:rFonts w:eastAsia="Times New Roman" w:cs="Arial"/>
                <w:sz w:val="20"/>
                <w:szCs w:val="20"/>
                <w:lang w:eastAsia="es-SV"/>
              </w:rPr>
              <w:t>0</w:t>
            </w:r>
          </w:p>
        </w:tc>
        <w:tc>
          <w:tcPr>
            <w:tcW w:w="985" w:type="dxa"/>
            <w:tcBorders>
              <w:top w:val="nil"/>
              <w:left w:val="nil"/>
              <w:bottom w:val="single" w:sz="4" w:space="0" w:color="auto"/>
              <w:right w:val="single" w:sz="4" w:space="0" w:color="auto"/>
            </w:tcBorders>
            <w:shd w:val="clear" w:color="auto" w:fill="auto"/>
            <w:noWrap/>
            <w:vAlign w:val="bottom"/>
            <w:hideMark/>
          </w:tcPr>
          <w:p w14:paraId="0799CD06" w14:textId="01825C17" w:rsidR="006A3DBC" w:rsidRPr="002B7276" w:rsidRDefault="006A3DBC" w:rsidP="00A9263E">
            <w:pPr>
              <w:spacing w:after="0" w:line="240" w:lineRule="auto"/>
              <w:jc w:val="center"/>
              <w:rPr>
                <w:rFonts w:eastAsia="Times New Roman" w:cs="Arial"/>
                <w:sz w:val="20"/>
                <w:szCs w:val="20"/>
                <w:lang w:eastAsia="es-SV"/>
              </w:rPr>
            </w:pPr>
            <w:r w:rsidRPr="002B7276">
              <w:rPr>
                <w:rFonts w:eastAsia="Times New Roman" w:cs="Arial"/>
                <w:sz w:val="20"/>
                <w:szCs w:val="20"/>
                <w:lang w:eastAsia="es-SV"/>
              </w:rPr>
              <w:t>4</w:t>
            </w:r>
            <w:r w:rsidR="004C3E79" w:rsidRPr="002B7276">
              <w:rPr>
                <w:rFonts w:eastAsia="Times New Roman" w:cs="Arial"/>
                <w:sz w:val="20"/>
                <w:szCs w:val="20"/>
                <w:lang w:eastAsia="es-SV"/>
              </w:rPr>
              <w:t>,</w:t>
            </w:r>
            <w:r w:rsidRPr="002B7276">
              <w:rPr>
                <w:rFonts w:eastAsia="Times New Roman" w:cs="Arial"/>
                <w:sz w:val="20"/>
                <w:szCs w:val="20"/>
                <w:lang w:eastAsia="es-SV"/>
              </w:rPr>
              <w:t>191</w:t>
            </w:r>
          </w:p>
        </w:tc>
        <w:tc>
          <w:tcPr>
            <w:tcW w:w="1008" w:type="dxa"/>
            <w:tcBorders>
              <w:top w:val="nil"/>
              <w:left w:val="nil"/>
              <w:bottom w:val="single" w:sz="4" w:space="0" w:color="auto"/>
              <w:right w:val="single" w:sz="4" w:space="0" w:color="auto"/>
            </w:tcBorders>
            <w:shd w:val="clear" w:color="auto" w:fill="auto"/>
            <w:noWrap/>
            <w:vAlign w:val="bottom"/>
            <w:hideMark/>
          </w:tcPr>
          <w:p w14:paraId="325B1B6C" w14:textId="77777777" w:rsidR="006A3DBC" w:rsidRPr="002B7276" w:rsidRDefault="006A3DBC" w:rsidP="00A9263E">
            <w:pPr>
              <w:spacing w:after="0" w:line="240" w:lineRule="auto"/>
              <w:jc w:val="center"/>
              <w:rPr>
                <w:rFonts w:eastAsia="Times New Roman" w:cs="Arial"/>
                <w:sz w:val="20"/>
                <w:szCs w:val="20"/>
                <w:lang w:eastAsia="es-SV"/>
              </w:rPr>
            </w:pPr>
            <w:r w:rsidRPr="002B7276">
              <w:rPr>
                <w:rFonts w:eastAsia="Times New Roman" w:cs="Arial"/>
                <w:sz w:val="20"/>
                <w:szCs w:val="20"/>
                <w:lang w:eastAsia="es-SV"/>
              </w:rPr>
              <w:t>0</w:t>
            </w:r>
          </w:p>
        </w:tc>
        <w:tc>
          <w:tcPr>
            <w:tcW w:w="863" w:type="dxa"/>
            <w:tcBorders>
              <w:top w:val="nil"/>
              <w:left w:val="nil"/>
              <w:bottom w:val="single" w:sz="4" w:space="0" w:color="auto"/>
              <w:right w:val="single" w:sz="4" w:space="0" w:color="auto"/>
            </w:tcBorders>
            <w:shd w:val="clear" w:color="auto" w:fill="auto"/>
            <w:noWrap/>
            <w:vAlign w:val="bottom"/>
            <w:hideMark/>
          </w:tcPr>
          <w:p w14:paraId="6C37D992" w14:textId="43C053CD" w:rsidR="006A3DBC" w:rsidRPr="002B7276" w:rsidRDefault="006A3DBC" w:rsidP="00A9263E">
            <w:pPr>
              <w:spacing w:after="0" w:line="240" w:lineRule="auto"/>
              <w:jc w:val="center"/>
              <w:rPr>
                <w:rFonts w:eastAsia="Times New Roman" w:cs="Arial"/>
                <w:sz w:val="20"/>
                <w:szCs w:val="20"/>
                <w:lang w:eastAsia="es-SV"/>
              </w:rPr>
            </w:pPr>
            <w:r w:rsidRPr="002B7276">
              <w:rPr>
                <w:rFonts w:eastAsia="Times New Roman" w:cs="Arial"/>
                <w:sz w:val="20"/>
                <w:szCs w:val="20"/>
                <w:lang w:eastAsia="es-SV"/>
              </w:rPr>
              <w:t>46</w:t>
            </w:r>
            <w:r w:rsidR="004C3E79" w:rsidRPr="002B7276">
              <w:rPr>
                <w:rFonts w:eastAsia="Times New Roman" w:cs="Arial"/>
                <w:sz w:val="20"/>
                <w:szCs w:val="20"/>
                <w:lang w:eastAsia="es-SV"/>
              </w:rPr>
              <w:t>,</w:t>
            </w:r>
            <w:r w:rsidRPr="002B7276">
              <w:rPr>
                <w:rFonts w:eastAsia="Times New Roman" w:cs="Arial"/>
                <w:sz w:val="20"/>
                <w:szCs w:val="20"/>
                <w:lang w:eastAsia="es-SV"/>
              </w:rPr>
              <w:t>954</w:t>
            </w:r>
          </w:p>
        </w:tc>
      </w:tr>
      <w:tr w:rsidR="002B7276" w:rsidRPr="002B7276" w14:paraId="067FE58C" w14:textId="77777777" w:rsidTr="00EF7331">
        <w:trPr>
          <w:trHeight w:val="310"/>
        </w:trPr>
        <w:tc>
          <w:tcPr>
            <w:tcW w:w="898" w:type="dxa"/>
            <w:tcBorders>
              <w:top w:val="nil"/>
              <w:left w:val="single" w:sz="4" w:space="0" w:color="auto"/>
              <w:bottom w:val="single" w:sz="4" w:space="0" w:color="auto"/>
              <w:right w:val="single" w:sz="4" w:space="0" w:color="auto"/>
            </w:tcBorders>
            <w:shd w:val="clear" w:color="auto" w:fill="auto"/>
            <w:noWrap/>
            <w:vAlign w:val="bottom"/>
            <w:hideMark/>
          </w:tcPr>
          <w:p w14:paraId="3AE080C1" w14:textId="77777777" w:rsidR="006A3DBC" w:rsidRPr="002B7276" w:rsidRDefault="006A3DBC" w:rsidP="00A9263E">
            <w:pPr>
              <w:spacing w:after="0" w:line="240" w:lineRule="auto"/>
              <w:jc w:val="center"/>
              <w:rPr>
                <w:rFonts w:eastAsia="Times New Roman" w:cs="Arial"/>
                <w:sz w:val="20"/>
                <w:szCs w:val="20"/>
                <w:lang w:eastAsia="es-SV"/>
              </w:rPr>
            </w:pPr>
            <w:r w:rsidRPr="002B7276">
              <w:rPr>
                <w:rFonts w:eastAsia="Times New Roman" w:cs="Arial"/>
                <w:sz w:val="20"/>
                <w:szCs w:val="20"/>
                <w:lang w:eastAsia="es-SV"/>
              </w:rPr>
              <w:t>Yoro</w:t>
            </w:r>
          </w:p>
        </w:tc>
        <w:tc>
          <w:tcPr>
            <w:tcW w:w="1041" w:type="dxa"/>
            <w:tcBorders>
              <w:top w:val="nil"/>
              <w:left w:val="nil"/>
              <w:bottom w:val="single" w:sz="4" w:space="0" w:color="auto"/>
              <w:right w:val="single" w:sz="4" w:space="0" w:color="auto"/>
            </w:tcBorders>
            <w:shd w:val="clear" w:color="auto" w:fill="auto"/>
            <w:noWrap/>
            <w:vAlign w:val="bottom"/>
            <w:hideMark/>
          </w:tcPr>
          <w:p w14:paraId="51B84FC4" w14:textId="3748D889" w:rsidR="006A3DBC" w:rsidRPr="002B7276" w:rsidRDefault="006A3DBC" w:rsidP="00A9263E">
            <w:pPr>
              <w:spacing w:after="0" w:line="240" w:lineRule="auto"/>
              <w:jc w:val="center"/>
              <w:rPr>
                <w:rFonts w:eastAsia="Times New Roman" w:cs="Arial"/>
                <w:sz w:val="20"/>
                <w:szCs w:val="20"/>
                <w:lang w:eastAsia="es-SV"/>
              </w:rPr>
            </w:pPr>
            <w:r w:rsidRPr="002B7276">
              <w:rPr>
                <w:rFonts w:eastAsia="Times New Roman" w:cs="Arial"/>
                <w:sz w:val="20"/>
                <w:szCs w:val="20"/>
                <w:lang w:eastAsia="es-SV"/>
              </w:rPr>
              <w:t>22</w:t>
            </w:r>
            <w:r w:rsidR="004C3E79" w:rsidRPr="002B7276">
              <w:rPr>
                <w:rFonts w:eastAsia="Times New Roman" w:cs="Arial"/>
                <w:sz w:val="20"/>
                <w:szCs w:val="20"/>
                <w:lang w:eastAsia="es-SV"/>
              </w:rPr>
              <w:t>,</w:t>
            </w:r>
            <w:r w:rsidRPr="002B7276">
              <w:rPr>
                <w:rFonts w:eastAsia="Times New Roman" w:cs="Arial"/>
                <w:sz w:val="20"/>
                <w:szCs w:val="20"/>
                <w:lang w:eastAsia="es-SV"/>
              </w:rPr>
              <w:t>161</w:t>
            </w:r>
          </w:p>
        </w:tc>
        <w:tc>
          <w:tcPr>
            <w:tcW w:w="1196" w:type="dxa"/>
            <w:tcBorders>
              <w:top w:val="nil"/>
              <w:left w:val="nil"/>
              <w:bottom w:val="single" w:sz="4" w:space="0" w:color="auto"/>
              <w:right w:val="single" w:sz="4" w:space="0" w:color="auto"/>
            </w:tcBorders>
            <w:shd w:val="clear" w:color="auto" w:fill="auto"/>
            <w:noWrap/>
            <w:vAlign w:val="bottom"/>
            <w:hideMark/>
          </w:tcPr>
          <w:p w14:paraId="26D9025F" w14:textId="44ECEF36" w:rsidR="006A3DBC" w:rsidRPr="002B7276" w:rsidRDefault="006A3DBC" w:rsidP="00A9263E">
            <w:pPr>
              <w:spacing w:after="0" w:line="240" w:lineRule="auto"/>
              <w:jc w:val="center"/>
              <w:rPr>
                <w:rFonts w:eastAsia="Times New Roman" w:cs="Arial"/>
                <w:sz w:val="20"/>
                <w:szCs w:val="20"/>
                <w:lang w:eastAsia="es-SV"/>
              </w:rPr>
            </w:pPr>
            <w:r w:rsidRPr="002B7276">
              <w:rPr>
                <w:rFonts w:eastAsia="Times New Roman" w:cs="Arial"/>
                <w:sz w:val="20"/>
                <w:szCs w:val="20"/>
                <w:lang w:eastAsia="es-SV"/>
              </w:rPr>
              <w:t>29</w:t>
            </w:r>
            <w:r w:rsidR="004C3E79" w:rsidRPr="002B7276">
              <w:rPr>
                <w:rFonts w:eastAsia="Times New Roman" w:cs="Arial"/>
                <w:sz w:val="20"/>
                <w:szCs w:val="20"/>
                <w:lang w:eastAsia="es-SV"/>
              </w:rPr>
              <w:t>,</w:t>
            </w:r>
            <w:r w:rsidRPr="002B7276">
              <w:rPr>
                <w:rFonts w:eastAsia="Times New Roman" w:cs="Arial"/>
                <w:sz w:val="20"/>
                <w:szCs w:val="20"/>
                <w:lang w:eastAsia="es-SV"/>
              </w:rPr>
              <w:t>117</w:t>
            </w:r>
          </w:p>
        </w:tc>
        <w:tc>
          <w:tcPr>
            <w:tcW w:w="1608" w:type="dxa"/>
            <w:tcBorders>
              <w:top w:val="nil"/>
              <w:left w:val="nil"/>
              <w:bottom w:val="single" w:sz="4" w:space="0" w:color="auto"/>
              <w:right w:val="single" w:sz="4" w:space="0" w:color="auto"/>
            </w:tcBorders>
            <w:shd w:val="clear" w:color="auto" w:fill="auto"/>
            <w:noWrap/>
            <w:vAlign w:val="bottom"/>
            <w:hideMark/>
          </w:tcPr>
          <w:p w14:paraId="6E3CCD20" w14:textId="4BEF1957" w:rsidR="006A3DBC" w:rsidRPr="002B7276" w:rsidRDefault="006A3DBC" w:rsidP="00A9263E">
            <w:pPr>
              <w:spacing w:after="0" w:line="240" w:lineRule="auto"/>
              <w:jc w:val="center"/>
              <w:rPr>
                <w:rFonts w:eastAsia="Times New Roman" w:cs="Arial"/>
                <w:sz w:val="20"/>
                <w:szCs w:val="20"/>
                <w:lang w:eastAsia="es-SV"/>
              </w:rPr>
            </w:pPr>
            <w:r w:rsidRPr="002B7276">
              <w:rPr>
                <w:rFonts w:eastAsia="Times New Roman" w:cs="Arial"/>
                <w:sz w:val="20"/>
                <w:szCs w:val="20"/>
                <w:lang w:eastAsia="es-SV"/>
              </w:rPr>
              <w:t>80</w:t>
            </w:r>
            <w:r w:rsidR="004C3E79" w:rsidRPr="002B7276">
              <w:rPr>
                <w:rFonts w:eastAsia="Times New Roman" w:cs="Arial"/>
                <w:sz w:val="20"/>
                <w:szCs w:val="20"/>
                <w:lang w:eastAsia="es-SV"/>
              </w:rPr>
              <w:t>,</w:t>
            </w:r>
            <w:r w:rsidRPr="002B7276">
              <w:rPr>
                <w:rFonts w:eastAsia="Times New Roman" w:cs="Arial"/>
                <w:sz w:val="20"/>
                <w:szCs w:val="20"/>
                <w:lang w:eastAsia="es-SV"/>
              </w:rPr>
              <w:t>178</w:t>
            </w:r>
          </w:p>
        </w:tc>
        <w:tc>
          <w:tcPr>
            <w:tcW w:w="1219" w:type="dxa"/>
            <w:tcBorders>
              <w:top w:val="nil"/>
              <w:left w:val="nil"/>
              <w:bottom w:val="single" w:sz="4" w:space="0" w:color="auto"/>
              <w:right w:val="single" w:sz="4" w:space="0" w:color="auto"/>
            </w:tcBorders>
            <w:shd w:val="clear" w:color="auto" w:fill="auto"/>
            <w:noWrap/>
            <w:vAlign w:val="bottom"/>
            <w:hideMark/>
          </w:tcPr>
          <w:p w14:paraId="2D9643EE" w14:textId="77777777" w:rsidR="006A3DBC" w:rsidRPr="002B7276" w:rsidRDefault="006A3DBC" w:rsidP="00A9263E">
            <w:pPr>
              <w:spacing w:after="0" w:line="240" w:lineRule="auto"/>
              <w:jc w:val="center"/>
              <w:rPr>
                <w:rFonts w:eastAsia="Times New Roman" w:cs="Arial"/>
                <w:sz w:val="20"/>
                <w:szCs w:val="20"/>
                <w:lang w:eastAsia="es-SV"/>
              </w:rPr>
            </w:pPr>
            <w:r w:rsidRPr="002B7276">
              <w:rPr>
                <w:rFonts w:eastAsia="Times New Roman" w:cs="Arial"/>
                <w:sz w:val="20"/>
                <w:szCs w:val="20"/>
                <w:lang w:eastAsia="es-SV"/>
              </w:rPr>
              <w:t>244</w:t>
            </w:r>
          </w:p>
        </w:tc>
        <w:tc>
          <w:tcPr>
            <w:tcW w:w="1219" w:type="dxa"/>
            <w:tcBorders>
              <w:top w:val="nil"/>
              <w:left w:val="nil"/>
              <w:bottom w:val="single" w:sz="4" w:space="0" w:color="auto"/>
              <w:right w:val="single" w:sz="4" w:space="0" w:color="auto"/>
            </w:tcBorders>
            <w:shd w:val="clear" w:color="auto" w:fill="auto"/>
            <w:noWrap/>
            <w:vAlign w:val="bottom"/>
            <w:hideMark/>
          </w:tcPr>
          <w:p w14:paraId="78B8CC50" w14:textId="77777777" w:rsidR="006A3DBC" w:rsidRPr="002B7276" w:rsidRDefault="006A3DBC" w:rsidP="00A9263E">
            <w:pPr>
              <w:spacing w:after="0" w:line="240" w:lineRule="auto"/>
              <w:jc w:val="center"/>
              <w:rPr>
                <w:rFonts w:eastAsia="Times New Roman" w:cs="Arial"/>
                <w:sz w:val="20"/>
                <w:szCs w:val="20"/>
                <w:lang w:eastAsia="es-SV"/>
              </w:rPr>
            </w:pPr>
            <w:r w:rsidRPr="002B7276">
              <w:rPr>
                <w:rFonts w:eastAsia="Times New Roman" w:cs="Arial"/>
                <w:sz w:val="20"/>
                <w:szCs w:val="20"/>
                <w:lang w:eastAsia="es-SV"/>
              </w:rPr>
              <w:t>531</w:t>
            </w:r>
          </w:p>
        </w:tc>
        <w:tc>
          <w:tcPr>
            <w:tcW w:w="985" w:type="dxa"/>
            <w:tcBorders>
              <w:top w:val="nil"/>
              <w:left w:val="nil"/>
              <w:bottom w:val="single" w:sz="4" w:space="0" w:color="auto"/>
              <w:right w:val="single" w:sz="4" w:space="0" w:color="auto"/>
            </w:tcBorders>
            <w:shd w:val="clear" w:color="auto" w:fill="auto"/>
            <w:noWrap/>
            <w:vAlign w:val="bottom"/>
            <w:hideMark/>
          </w:tcPr>
          <w:p w14:paraId="64830482" w14:textId="0FBD3DF2" w:rsidR="006A3DBC" w:rsidRPr="002B7276" w:rsidRDefault="006A3DBC" w:rsidP="00A9263E">
            <w:pPr>
              <w:spacing w:after="0" w:line="240" w:lineRule="auto"/>
              <w:jc w:val="center"/>
              <w:rPr>
                <w:rFonts w:eastAsia="Times New Roman" w:cs="Arial"/>
                <w:sz w:val="20"/>
                <w:szCs w:val="20"/>
                <w:lang w:eastAsia="es-SV"/>
              </w:rPr>
            </w:pPr>
            <w:r w:rsidRPr="002B7276">
              <w:rPr>
                <w:rFonts w:eastAsia="Times New Roman" w:cs="Arial"/>
                <w:sz w:val="20"/>
                <w:szCs w:val="20"/>
                <w:lang w:eastAsia="es-SV"/>
              </w:rPr>
              <w:t>16</w:t>
            </w:r>
            <w:r w:rsidR="004C3E79" w:rsidRPr="002B7276">
              <w:rPr>
                <w:rFonts w:eastAsia="Times New Roman" w:cs="Arial"/>
                <w:sz w:val="20"/>
                <w:szCs w:val="20"/>
                <w:lang w:eastAsia="es-SV"/>
              </w:rPr>
              <w:t>,</w:t>
            </w:r>
            <w:r w:rsidRPr="002B7276">
              <w:rPr>
                <w:rFonts w:eastAsia="Times New Roman" w:cs="Arial"/>
                <w:sz w:val="20"/>
                <w:szCs w:val="20"/>
                <w:lang w:eastAsia="es-SV"/>
              </w:rPr>
              <w:t>013</w:t>
            </w:r>
          </w:p>
        </w:tc>
        <w:tc>
          <w:tcPr>
            <w:tcW w:w="1008" w:type="dxa"/>
            <w:tcBorders>
              <w:top w:val="nil"/>
              <w:left w:val="nil"/>
              <w:bottom w:val="single" w:sz="4" w:space="0" w:color="auto"/>
              <w:right w:val="single" w:sz="4" w:space="0" w:color="auto"/>
            </w:tcBorders>
            <w:shd w:val="clear" w:color="auto" w:fill="auto"/>
            <w:noWrap/>
            <w:vAlign w:val="bottom"/>
            <w:hideMark/>
          </w:tcPr>
          <w:p w14:paraId="1150DB5A" w14:textId="77777777" w:rsidR="006A3DBC" w:rsidRPr="002B7276" w:rsidRDefault="006A3DBC" w:rsidP="00A9263E">
            <w:pPr>
              <w:spacing w:after="0" w:line="240" w:lineRule="auto"/>
              <w:jc w:val="center"/>
              <w:rPr>
                <w:rFonts w:eastAsia="Times New Roman" w:cs="Arial"/>
                <w:sz w:val="20"/>
                <w:szCs w:val="20"/>
                <w:lang w:eastAsia="es-SV"/>
              </w:rPr>
            </w:pPr>
            <w:r w:rsidRPr="002B7276">
              <w:rPr>
                <w:rFonts w:eastAsia="Times New Roman" w:cs="Arial"/>
                <w:sz w:val="20"/>
                <w:szCs w:val="20"/>
                <w:lang w:eastAsia="es-SV"/>
              </w:rPr>
              <w:t>946</w:t>
            </w:r>
          </w:p>
        </w:tc>
        <w:tc>
          <w:tcPr>
            <w:tcW w:w="863" w:type="dxa"/>
            <w:tcBorders>
              <w:top w:val="nil"/>
              <w:left w:val="nil"/>
              <w:bottom w:val="single" w:sz="4" w:space="0" w:color="auto"/>
              <w:right w:val="single" w:sz="4" w:space="0" w:color="auto"/>
            </w:tcBorders>
            <w:shd w:val="clear" w:color="auto" w:fill="auto"/>
            <w:noWrap/>
            <w:vAlign w:val="bottom"/>
            <w:hideMark/>
          </w:tcPr>
          <w:p w14:paraId="65FBC34A" w14:textId="55088C5A" w:rsidR="006A3DBC" w:rsidRPr="002B7276" w:rsidRDefault="006A3DBC" w:rsidP="00A9263E">
            <w:pPr>
              <w:spacing w:after="0" w:line="240" w:lineRule="auto"/>
              <w:jc w:val="center"/>
              <w:rPr>
                <w:rFonts w:eastAsia="Times New Roman" w:cs="Arial"/>
                <w:sz w:val="20"/>
                <w:szCs w:val="20"/>
                <w:lang w:eastAsia="es-SV"/>
              </w:rPr>
            </w:pPr>
            <w:r w:rsidRPr="002B7276">
              <w:rPr>
                <w:rFonts w:eastAsia="Times New Roman" w:cs="Arial"/>
                <w:sz w:val="20"/>
                <w:szCs w:val="20"/>
                <w:lang w:eastAsia="es-SV"/>
              </w:rPr>
              <w:t>149</w:t>
            </w:r>
            <w:r w:rsidR="004C3E79" w:rsidRPr="002B7276">
              <w:rPr>
                <w:rFonts w:eastAsia="Times New Roman" w:cs="Arial"/>
                <w:sz w:val="20"/>
                <w:szCs w:val="20"/>
                <w:lang w:eastAsia="es-SV"/>
              </w:rPr>
              <w:t>,</w:t>
            </w:r>
            <w:r w:rsidRPr="002B7276">
              <w:rPr>
                <w:rFonts w:eastAsia="Times New Roman" w:cs="Arial"/>
                <w:sz w:val="20"/>
                <w:szCs w:val="20"/>
                <w:lang w:eastAsia="es-SV"/>
              </w:rPr>
              <w:t>190</w:t>
            </w:r>
          </w:p>
        </w:tc>
      </w:tr>
      <w:tr w:rsidR="002B7276" w:rsidRPr="002B7276" w14:paraId="635CDE15" w14:textId="77777777" w:rsidTr="00EF7331">
        <w:trPr>
          <w:trHeight w:val="310"/>
        </w:trPr>
        <w:tc>
          <w:tcPr>
            <w:tcW w:w="898" w:type="dxa"/>
            <w:tcBorders>
              <w:top w:val="nil"/>
              <w:left w:val="single" w:sz="4" w:space="0" w:color="auto"/>
              <w:bottom w:val="single" w:sz="4" w:space="0" w:color="auto"/>
              <w:right w:val="single" w:sz="4" w:space="0" w:color="auto"/>
            </w:tcBorders>
            <w:shd w:val="clear" w:color="auto" w:fill="auto"/>
            <w:noWrap/>
            <w:vAlign w:val="bottom"/>
            <w:hideMark/>
          </w:tcPr>
          <w:p w14:paraId="7395E268" w14:textId="77777777" w:rsidR="006A3DBC" w:rsidRPr="002B7276" w:rsidRDefault="006A3DBC" w:rsidP="00A9263E">
            <w:pPr>
              <w:spacing w:after="0" w:line="240" w:lineRule="auto"/>
              <w:jc w:val="center"/>
              <w:rPr>
                <w:rFonts w:eastAsia="Times New Roman" w:cs="Arial"/>
                <w:b/>
                <w:bCs/>
                <w:sz w:val="20"/>
                <w:szCs w:val="20"/>
                <w:lang w:eastAsia="es-SV"/>
              </w:rPr>
            </w:pPr>
            <w:r w:rsidRPr="002B7276">
              <w:rPr>
                <w:rFonts w:eastAsia="Times New Roman" w:cs="Arial"/>
                <w:b/>
                <w:bCs/>
                <w:sz w:val="20"/>
                <w:szCs w:val="20"/>
                <w:lang w:eastAsia="es-SV"/>
              </w:rPr>
              <w:t>Total</w:t>
            </w:r>
          </w:p>
        </w:tc>
        <w:tc>
          <w:tcPr>
            <w:tcW w:w="1041" w:type="dxa"/>
            <w:tcBorders>
              <w:top w:val="nil"/>
              <w:left w:val="nil"/>
              <w:bottom w:val="single" w:sz="4" w:space="0" w:color="auto"/>
              <w:right w:val="single" w:sz="4" w:space="0" w:color="auto"/>
            </w:tcBorders>
            <w:shd w:val="clear" w:color="auto" w:fill="auto"/>
            <w:noWrap/>
            <w:vAlign w:val="bottom"/>
            <w:hideMark/>
          </w:tcPr>
          <w:p w14:paraId="581B929C" w14:textId="4369D61E" w:rsidR="006A3DBC" w:rsidRPr="002B7276" w:rsidRDefault="006A3DBC" w:rsidP="00A9263E">
            <w:pPr>
              <w:spacing w:after="0" w:line="240" w:lineRule="auto"/>
              <w:jc w:val="center"/>
              <w:rPr>
                <w:rFonts w:eastAsia="Times New Roman" w:cs="Arial"/>
                <w:b/>
                <w:bCs/>
                <w:sz w:val="20"/>
                <w:szCs w:val="20"/>
                <w:lang w:eastAsia="es-SV"/>
              </w:rPr>
            </w:pPr>
            <w:r w:rsidRPr="002B7276">
              <w:rPr>
                <w:rFonts w:eastAsia="Times New Roman" w:cs="Arial"/>
                <w:b/>
                <w:bCs/>
                <w:sz w:val="20"/>
                <w:szCs w:val="20"/>
                <w:lang w:eastAsia="es-SV"/>
              </w:rPr>
              <w:t>41</w:t>
            </w:r>
            <w:r w:rsidR="004C3E79" w:rsidRPr="002B7276">
              <w:rPr>
                <w:rFonts w:eastAsia="Times New Roman" w:cs="Arial"/>
                <w:b/>
                <w:bCs/>
                <w:sz w:val="20"/>
                <w:szCs w:val="20"/>
                <w:lang w:eastAsia="es-SV"/>
              </w:rPr>
              <w:t>,</w:t>
            </w:r>
            <w:r w:rsidRPr="002B7276">
              <w:rPr>
                <w:rFonts w:eastAsia="Times New Roman" w:cs="Arial"/>
                <w:b/>
                <w:bCs/>
                <w:sz w:val="20"/>
                <w:szCs w:val="20"/>
                <w:lang w:eastAsia="es-SV"/>
              </w:rPr>
              <w:t>539</w:t>
            </w:r>
          </w:p>
        </w:tc>
        <w:tc>
          <w:tcPr>
            <w:tcW w:w="1196" w:type="dxa"/>
            <w:tcBorders>
              <w:top w:val="nil"/>
              <w:left w:val="nil"/>
              <w:bottom w:val="single" w:sz="4" w:space="0" w:color="auto"/>
              <w:right w:val="single" w:sz="4" w:space="0" w:color="auto"/>
            </w:tcBorders>
            <w:shd w:val="clear" w:color="auto" w:fill="auto"/>
            <w:noWrap/>
            <w:vAlign w:val="bottom"/>
            <w:hideMark/>
          </w:tcPr>
          <w:p w14:paraId="34D45AFE" w14:textId="1E862683" w:rsidR="006A3DBC" w:rsidRPr="002B7276" w:rsidRDefault="006A3DBC" w:rsidP="00A9263E">
            <w:pPr>
              <w:spacing w:after="0" w:line="240" w:lineRule="auto"/>
              <w:jc w:val="center"/>
              <w:rPr>
                <w:rFonts w:eastAsia="Times New Roman" w:cs="Arial"/>
                <w:b/>
                <w:bCs/>
                <w:sz w:val="20"/>
                <w:szCs w:val="20"/>
                <w:lang w:eastAsia="es-SV"/>
              </w:rPr>
            </w:pPr>
            <w:r w:rsidRPr="002B7276">
              <w:rPr>
                <w:rFonts w:eastAsia="Times New Roman" w:cs="Arial"/>
                <w:b/>
                <w:bCs/>
                <w:sz w:val="20"/>
                <w:szCs w:val="20"/>
                <w:lang w:eastAsia="es-SV"/>
              </w:rPr>
              <w:t>70</w:t>
            </w:r>
            <w:r w:rsidR="004C3E79" w:rsidRPr="002B7276">
              <w:rPr>
                <w:rFonts w:eastAsia="Times New Roman" w:cs="Arial"/>
                <w:b/>
                <w:bCs/>
                <w:sz w:val="20"/>
                <w:szCs w:val="20"/>
                <w:lang w:eastAsia="es-SV"/>
              </w:rPr>
              <w:t>,</w:t>
            </w:r>
            <w:r w:rsidRPr="002B7276">
              <w:rPr>
                <w:rFonts w:eastAsia="Times New Roman" w:cs="Arial"/>
                <w:b/>
                <w:bCs/>
                <w:sz w:val="20"/>
                <w:szCs w:val="20"/>
                <w:lang w:eastAsia="es-SV"/>
              </w:rPr>
              <w:t>357</w:t>
            </w:r>
          </w:p>
        </w:tc>
        <w:tc>
          <w:tcPr>
            <w:tcW w:w="1608" w:type="dxa"/>
            <w:tcBorders>
              <w:top w:val="nil"/>
              <w:left w:val="nil"/>
              <w:bottom w:val="single" w:sz="4" w:space="0" w:color="auto"/>
              <w:right w:val="single" w:sz="4" w:space="0" w:color="auto"/>
            </w:tcBorders>
            <w:shd w:val="clear" w:color="auto" w:fill="auto"/>
            <w:noWrap/>
            <w:vAlign w:val="bottom"/>
            <w:hideMark/>
          </w:tcPr>
          <w:p w14:paraId="51B38077" w14:textId="4C8EA37A" w:rsidR="006A3DBC" w:rsidRPr="002B7276" w:rsidRDefault="006A3DBC" w:rsidP="00A9263E">
            <w:pPr>
              <w:spacing w:after="0" w:line="240" w:lineRule="auto"/>
              <w:jc w:val="center"/>
              <w:rPr>
                <w:rFonts w:eastAsia="Times New Roman" w:cs="Arial"/>
                <w:b/>
                <w:bCs/>
                <w:sz w:val="20"/>
                <w:szCs w:val="20"/>
                <w:lang w:eastAsia="es-SV"/>
              </w:rPr>
            </w:pPr>
            <w:r w:rsidRPr="002B7276">
              <w:rPr>
                <w:rFonts w:eastAsia="Times New Roman" w:cs="Arial"/>
                <w:b/>
                <w:bCs/>
                <w:sz w:val="20"/>
                <w:szCs w:val="20"/>
                <w:lang w:eastAsia="es-SV"/>
              </w:rPr>
              <w:t>181</w:t>
            </w:r>
            <w:r w:rsidR="004C3E79" w:rsidRPr="002B7276">
              <w:rPr>
                <w:rFonts w:eastAsia="Times New Roman" w:cs="Arial"/>
                <w:b/>
                <w:bCs/>
                <w:sz w:val="20"/>
                <w:szCs w:val="20"/>
                <w:lang w:eastAsia="es-SV"/>
              </w:rPr>
              <w:t>,</w:t>
            </w:r>
            <w:r w:rsidRPr="002B7276">
              <w:rPr>
                <w:rFonts w:eastAsia="Times New Roman" w:cs="Arial"/>
                <w:b/>
                <w:bCs/>
                <w:sz w:val="20"/>
                <w:szCs w:val="20"/>
                <w:lang w:eastAsia="es-SV"/>
              </w:rPr>
              <w:t>632</w:t>
            </w:r>
          </w:p>
        </w:tc>
        <w:tc>
          <w:tcPr>
            <w:tcW w:w="1219" w:type="dxa"/>
            <w:tcBorders>
              <w:top w:val="nil"/>
              <w:left w:val="nil"/>
              <w:bottom w:val="single" w:sz="4" w:space="0" w:color="auto"/>
              <w:right w:val="single" w:sz="4" w:space="0" w:color="auto"/>
            </w:tcBorders>
            <w:shd w:val="clear" w:color="auto" w:fill="auto"/>
            <w:noWrap/>
            <w:vAlign w:val="bottom"/>
            <w:hideMark/>
          </w:tcPr>
          <w:p w14:paraId="6E5425ED" w14:textId="77777777" w:rsidR="006A3DBC" w:rsidRPr="002B7276" w:rsidRDefault="006A3DBC" w:rsidP="00A9263E">
            <w:pPr>
              <w:spacing w:after="0" w:line="240" w:lineRule="auto"/>
              <w:jc w:val="center"/>
              <w:rPr>
                <w:rFonts w:eastAsia="Times New Roman" w:cs="Arial"/>
                <w:b/>
                <w:bCs/>
                <w:sz w:val="20"/>
                <w:szCs w:val="20"/>
                <w:lang w:eastAsia="es-SV"/>
              </w:rPr>
            </w:pPr>
            <w:r w:rsidRPr="002B7276">
              <w:rPr>
                <w:rFonts w:eastAsia="Times New Roman" w:cs="Arial"/>
                <w:b/>
                <w:bCs/>
                <w:sz w:val="20"/>
                <w:szCs w:val="20"/>
                <w:lang w:eastAsia="es-SV"/>
              </w:rPr>
              <w:t>539</w:t>
            </w:r>
          </w:p>
        </w:tc>
        <w:tc>
          <w:tcPr>
            <w:tcW w:w="1219" w:type="dxa"/>
            <w:tcBorders>
              <w:top w:val="nil"/>
              <w:left w:val="nil"/>
              <w:bottom w:val="single" w:sz="4" w:space="0" w:color="auto"/>
              <w:right w:val="single" w:sz="4" w:space="0" w:color="auto"/>
            </w:tcBorders>
            <w:shd w:val="clear" w:color="auto" w:fill="auto"/>
            <w:noWrap/>
            <w:vAlign w:val="bottom"/>
            <w:hideMark/>
          </w:tcPr>
          <w:p w14:paraId="2D3FE6FD" w14:textId="77777777" w:rsidR="006A3DBC" w:rsidRPr="002B7276" w:rsidRDefault="006A3DBC" w:rsidP="00A9263E">
            <w:pPr>
              <w:spacing w:after="0" w:line="240" w:lineRule="auto"/>
              <w:jc w:val="center"/>
              <w:rPr>
                <w:rFonts w:eastAsia="Times New Roman" w:cs="Arial"/>
                <w:b/>
                <w:bCs/>
                <w:sz w:val="20"/>
                <w:szCs w:val="20"/>
                <w:lang w:eastAsia="es-SV"/>
              </w:rPr>
            </w:pPr>
            <w:r w:rsidRPr="002B7276">
              <w:rPr>
                <w:rFonts w:eastAsia="Times New Roman" w:cs="Arial"/>
                <w:b/>
                <w:bCs/>
                <w:sz w:val="20"/>
                <w:szCs w:val="20"/>
                <w:lang w:eastAsia="es-SV"/>
              </w:rPr>
              <w:t>531</w:t>
            </w:r>
          </w:p>
        </w:tc>
        <w:tc>
          <w:tcPr>
            <w:tcW w:w="985" w:type="dxa"/>
            <w:tcBorders>
              <w:top w:val="nil"/>
              <w:left w:val="nil"/>
              <w:bottom w:val="single" w:sz="4" w:space="0" w:color="auto"/>
              <w:right w:val="single" w:sz="4" w:space="0" w:color="auto"/>
            </w:tcBorders>
            <w:shd w:val="clear" w:color="auto" w:fill="auto"/>
            <w:noWrap/>
            <w:vAlign w:val="bottom"/>
            <w:hideMark/>
          </w:tcPr>
          <w:p w14:paraId="078D5559" w14:textId="5223CC62" w:rsidR="006A3DBC" w:rsidRPr="002B7276" w:rsidRDefault="006A3DBC" w:rsidP="00A9263E">
            <w:pPr>
              <w:spacing w:after="0" w:line="240" w:lineRule="auto"/>
              <w:jc w:val="center"/>
              <w:rPr>
                <w:rFonts w:eastAsia="Times New Roman" w:cs="Arial"/>
                <w:b/>
                <w:bCs/>
                <w:sz w:val="20"/>
                <w:szCs w:val="20"/>
                <w:lang w:eastAsia="es-SV"/>
              </w:rPr>
            </w:pPr>
            <w:r w:rsidRPr="002B7276">
              <w:rPr>
                <w:rFonts w:eastAsia="Times New Roman" w:cs="Arial"/>
                <w:b/>
                <w:bCs/>
                <w:sz w:val="20"/>
                <w:szCs w:val="20"/>
                <w:lang w:eastAsia="es-SV"/>
              </w:rPr>
              <w:t>32</w:t>
            </w:r>
            <w:r w:rsidR="004C3E79" w:rsidRPr="002B7276">
              <w:rPr>
                <w:rFonts w:eastAsia="Times New Roman" w:cs="Arial"/>
                <w:b/>
                <w:bCs/>
                <w:sz w:val="20"/>
                <w:szCs w:val="20"/>
                <w:lang w:eastAsia="es-SV"/>
              </w:rPr>
              <w:t>,</w:t>
            </w:r>
            <w:r w:rsidRPr="002B7276">
              <w:rPr>
                <w:rFonts w:eastAsia="Times New Roman" w:cs="Arial"/>
                <w:b/>
                <w:bCs/>
                <w:sz w:val="20"/>
                <w:szCs w:val="20"/>
                <w:lang w:eastAsia="es-SV"/>
              </w:rPr>
              <w:t>778</w:t>
            </w:r>
          </w:p>
        </w:tc>
        <w:tc>
          <w:tcPr>
            <w:tcW w:w="1008" w:type="dxa"/>
            <w:tcBorders>
              <w:top w:val="nil"/>
              <w:left w:val="nil"/>
              <w:bottom w:val="single" w:sz="4" w:space="0" w:color="auto"/>
              <w:right w:val="single" w:sz="4" w:space="0" w:color="auto"/>
            </w:tcBorders>
            <w:shd w:val="clear" w:color="auto" w:fill="auto"/>
            <w:noWrap/>
            <w:vAlign w:val="bottom"/>
            <w:hideMark/>
          </w:tcPr>
          <w:p w14:paraId="540FFE37" w14:textId="2FFA6E0B" w:rsidR="006A3DBC" w:rsidRPr="002B7276" w:rsidRDefault="006A3DBC" w:rsidP="00A9263E">
            <w:pPr>
              <w:spacing w:after="0" w:line="240" w:lineRule="auto"/>
              <w:jc w:val="center"/>
              <w:rPr>
                <w:rFonts w:eastAsia="Times New Roman" w:cs="Arial"/>
                <w:b/>
                <w:bCs/>
                <w:sz w:val="20"/>
                <w:szCs w:val="20"/>
                <w:lang w:eastAsia="es-SV"/>
              </w:rPr>
            </w:pPr>
            <w:r w:rsidRPr="002B7276">
              <w:rPr>
                <w:rFonts w:eastAsia="Times New Roman" w:cs="Arial"/>
                <w:b/>
                <w:bCs/>
                <w:sz w:val="20"/>
                <w:szCs w:val="20"/>
                <w:lang w:eastAsia="es-SV"/>
              </w:rPr>
              <w:t>2</w:t>
            </w:r>
            <w:r w:rsidR="004C3E79" w:rsidRPr="002B7276">
              <w:rPr>
                <w:rFonts w:eastAsia="Times New Roman" w:cs="Arial"/>
                <w:b/>
                <w:bCs/>
                <w:sz w:val="20"/>
                <w:szCs w:val="20"/>
                <w:lang w:eastAsia="es-SV"/>
              </w:rPr>
              <w:t>,</w:t>
            </w:r>
            <w:r w:rsidRPr="002B7276">
              <w:rPr>
                <w:rFonts w:eastAsia="Times New Roman" w:cs="Arial"/>
                <w:b/>
                <w:bCs/>
                <w:sz w:val="20"/>
                <w:szCs w:val="20"/>
                <w:lang w:eastAsia="es-SV"/>
              </w:rPr>
              <w:t>536</w:t>
            </w:r>
          </w:p>
        </w:tc>
        <w:tc>
          <w:tcPr>
            <w:tcW w:w="863" w:type="dxa"/>
            <w:tcBorders>
              <w:top w:val="nil"/>
              <w:left w:val="nil"/>
              <w:bottom w:val="single" w:sz="4" w:space="0" w:color="auto"/>
              <w:right w:val="single" w:sz="4" w:space="0" w:color="auto"/>
            </w:tcBorders>
            <w:shd w:val="clear" w:color="auto" w:fill="auto"/>
            <w:noWrap/>
            <w:vAlign w:val="bottom"/>
            <w:hideMark/>
          </w:tcPr>
          <w:p w14:paraId="04985761" w14:textId="68692438" w:rsidR="006A3DBC" w:rsidRPr="002B7276" w:rsidRDefault="006A3DBC" w:rsidP="00A9263E">
            <w:pPr>
              <w:spacing w:after="0" w:line="240" w:lineRule="auto"/>
              <w:jc w:val="center"/>
              <w:rPr>
                <w:rFonts w:eastAsia="Times New Roman" w:cs="Arial"/>
                <w:b/>
                <w:bCs/>
                <w:sz w:val="20"/>
                <w:szCs w:val="20"/>
                <w:lang w:eastAsia="es-SV"/>
              </w:rPr>
            </w:pPr>
            <w:r w:rsidRPr="002B7276">
              <w:rPr>
                <w:rFonts w:eastAsia="Times New Roman" w:cs="Arial"/>
                <w:b/>
                <w:bCs/>
                <w:sz w:val="20"/>
                <w:szCs w:val="20"/>
                <w:lang w:eastAsia="es-SV"/>
              </w:rPr>
              <w:t>329</w:t>
            </w:r>
            <w:r w:rsidR="004C3E79" w:rsidRPr="002B7276">
              <w:rPr>
                <w:rFonts w:eastAsia="Times New Roman" w:cs="Arial"/>
                <w:b/>
                <w:bCs/>
                <w:sz w:val="20"/>
                <w:szCs w:val="20"/>
                <w:lang w:eastAsia="es-SV"/>
              </w:rPr>
              <w:t>,</w:t>
            </w:r>
            <w:r w:rsidRPr="002B7276">
              <w:rPr>
                <w:rFonts w:eastAsia="Times New Roman" w:cs="Arial"/>
                <w:b/>
                <w:bCs/>
                <w:sz w:val="20"/>
                <w:szCs w:val="20"/>
                <w:lang w:eastAsia="es-SV"/>
              </w:rPr>
              <w:t>912</w:t>
            </w:r>
          </w:p>
        </w:tc>
      </w:tr>
    </w:tbl>
    <w:p w14:paraId="7CC0AE28" w14:textId="77777777" w:rsidR="006A3DBC" w:rsidRPr="00FA4B2D" w:rsidRDefault="006A3DBC" w:rsidP="006A3DBC">
      <w:pPr>
        <w:jc w:val="center"/>
        <w:rPr>
          <w:rFonts w:cs="Arial"/>
          <w:sz w:val="20"/>
          <w:szCs w:val="20"/>
        </w:rPr>
      </w:pPr>
      <w:r w:rsidRPr="00FA4B2D">
        <w:rPr>
          <w:rFonts w:cs="Arial"/>
          <w:b/>
          <w:bCs/>
          <w:sz w:val="20"/>
          <w:szCs w:val="20"/>
        </w:rPr>
        <w:t>Fuente</w:t>
      </w:r>
      <w:r w:rsidRPr="00FA4B2D">
        <w:rPr>
          <w:rFonts w:cs="Arial"/>
          <w:sz w:val="20"/>
          <w:szCs w:val="20"/>
        </w:rPr>
        <w:t>: elaboración propia con base a datos de la EHPM 2019.</w:t>
      </w:r>
    </w:p>
    <w:p w14:paraId="06E62F45" w14:textId="77777777" w:rsidR="006A3DBC" w:rsidRPr="00FA4B2D" w:rsidRDefault="006A3DBC" w:rsidP="006A3DBC">
      <w:pPr>
        <w:jc w:val="both"/>
        <w:rPr>
          <w:rFonts w:cs="Arial"/>
        </w:rPr>
      </w:pPr>
      <w:r w:rsidRPr="00FA4B2D">
        <w:rPr>
          <w:rFonts w:cs="Arial"/>
        </w:rPr>
        <w:t xml:space="preserve">Adicionalmente a lo antes señalado, del total de viviendas en situación de propiedad (pagándose, pagada o en invasión legalizada) que son 252,520 viviendas, un total de 76,822 no tienen escrituras de sus viviendas, mientras que 12,182 la tienen, pero está a nombre de un tercero. El restante 163,516 de viviendas, si tienen escritura a nombre de un miembro del hogar. </w:t>
      </w:r>
    </w:p>
    <w:p w14:paraId="47B00B8F" w14:textId="77777777" w:rsidR="006A3DBC" w:rsidRPr="00FA4B2D" w:rsidRDefault="006A3DBC" w:rsidP="00411720">
      <w:pPr>
        <w:pStyle w:val="Prrafodelista"/>
        <w:numPr>
          <w:ilvl w:val="0"/>
          <w:numId w:val="101"/>
        </w:numPr>
        <w:rPr>
          <w:rFonts w:cs="Arial"/>
          <w:i/>
          <w:iCs/>
          <w:szCs w:val="24"/>
        </w:rPr>
      </w:pPr>
      <w:bookmarkStart w:id="691" w:name="_Toc156586908"/>
      <w:r w:rsidRPr="00FA4B2D">
        <w:rPr>
          <w:rFonts w:cs="Arial"/>
          <w:i/>
          <w:iCs/>
          <w:szCs w:val="24"/>
        </w:rPr>
        <w:lastRenderedPageBreak/>
        <w:t>Materiales de construcción vivienda</w:t>
      </w:r>
      <w:bookmarkEnd w:id="691"/>
      <w:r w:rsidRPr="00FA4B2D">
        <w:rPr>
          <w:rFonts w:cs="Arial"/>
          <w:i/>
          <w:iCs/>
          <w:szCs w:val="24"/>
        </w:rPr>
        <w:t xml:space="preserve"> </w:t>
      </w:r>
    </w:p>
    <w:p w14:paraId="47B84E35" w14:textId="77777777" w:rsidR="006A3DBC" w:rsidRPr="00FA4B2D" w:rsidRDefault="006A3DBC" w:rsidP="006A3DBC">
      <w:pPr>
        <w:jc w:val="both"/>
        <w:rPr>
          <w:rFonts w:cs="Arial"/>
          <w:lang w:eastAsia="es-SV"/>
        </w:rPr>
      </w:pPr>
      <w:r w:rsidRPr="00FA4B2D">
        <w:rPr>
          <w:rFonts w:cs="Arial"/>
          <w:lang w:eastAsia="es-SV"/>
        </w:rPr>
        <w:t xml:space="preserve">En relación con los materiales de construcción de las paredes, en este caso predominan mayormente las paredes de ladrillo, piedra o bloque, mientras que hay menos incidencia en viviendas de madera al natural, material prefabricado, desechos y otros. Los resultados sobre el número de viviendas según material de paredes en los tres departamentos se presentan a continuación: </w:t>
      </w:r>
    </w:p>
    <w:p w14:paraId="5F1DB68C" w14:textId="4124AEE5" w:rsidR="00EF7331" w:rsidRDefault="00EF7331" w:rsidP="00EF7331">
      <w:pPr>
        <w:pStyle w:val="Descripcin"/>
        <w:keepNext/>
      </w:pPr>
      <w:bookmarkStart w:id="692" w:name="_Toc202455455"/>
      <w:r>
        <w:t xml:space="preserve">Tabla </w:t>
      </w:r>
      <w:r>
        <w:fldChar w:fldCharType="begin"/>
      </w:r>
      <w:r>
        <w:instrText xml:space="preserve"> SEQ Tabla \* ARABIC </w:instrText>
      </w:r>
      <w:r>
        <w:fldChar w:fldCharType="separate"/>
      </w:r>
      <w:r w:rsidR="000E6D86">
        <w:rPr>
          <w:noProof/>
        </w:rPr>
        <w:t>29</w:t>
      </w:r>
      <w:r>
        <w:fldChar w:fldCharType="end"/>
      </w:r>
      <w:r>
        <w:t xml:space="preserve">: </w:t>
      </w:r>
      <w:r w:rsidRPr="007F0DB8">
        <w:t>Material predominante en la construcción de las paredes</w:t>
      </w:r>
      <w:bookmarkEnd w:id="692"/>
    </w:p>
    <w:tbl>
      <w:tblPr>
        <w:tblW w:w="7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35"/>
        <w:gridCol w:w="1423"/>
        <w:gridCol w:w="1423"/>
        <w:gridCol w:w="1342"/>
      </w:tblGrid>
      <w:tr w:rsidR="002B7276" w:rsidRPr="002B7276" w14:paraId="5FF6315D" w14:textId="77777777" w:rsidTr="00016847">
        <w:trPr>
          <w:trHeight w:val="254"/>
          <w:tblHeader/>
          <w:jc w:val="center"/>
        </w:trPr>
        <w:tc>
          <w:tcPr>
            <w:tcW w:w="3035" w:type="dxa"/>
            <w:shd w:val="clear" w:color="auto" w:fill="5CC5DA"/>
          </w:tcPr>
          <w:p w14:paraId="4B15719E" w14:textId="77777777" w:rsidR="006A3DBC" w:rsidRPr="002B7276" w:rsidRDefault="006A3DBC" w:rsidP="005F4A92">
            <w:pPr>
              <w:spacing w:after="0" w:line="240" w:lineRule="auto"/>
              <w:jc w:val="center"/>
              <w:rPr>
                <w:rFonts w:eastAsia="Times New Roman" w:cs="Arial"/>
                <w:b/>
                <w:bCs/>
                <w:sz w:val="22"/>
                <w:lang w:eastAsia="es-SV"/>
              </w:rPr>
            </w:pPr>
            <w:r w:rsidRPr="002B7276">
              <w:rPr>
                <w:rFonts w:eastAsia="Times New Roman" w:cs="Arial"/>
                <w:b/>
                <w:bCs/>
                <w:sz w:val="22"/>
                <w:lang w:eastAsia="es-SV"/>
              </w:rPr>
              <w:t>Materiales</w:t>
            </w:r>
          </w:p>
        </w:tc>
        <w:tc>
          <w:tcPr>
            <w:tcW w:w="1423" w:type="dxa"/>
            <w:shd w:val="clear" w:color="auto" w:fill="5CC5DA"/>
            <w:noWrap/>
          </w:tcPr>
          <w:p w14:paraId="10B4A925" w14:textId="77777777" w:rsidR="006A3DBC" w:rsidRPr="002B7276" w:rsidRDefault="006A3DBC" w:rsidP="005F4A92">
            <w:pPr>
              <w:spacing w:after="0" w:line="240" w:lineRule="auto"/>
              <w:jc w:val="center"/>
              <w:rPr>
                <w:rFonts w:eastAsia="Times New Roman" w:cs="Arial"/>
                <w:b/>
                <w:bCs/>
                <w:sz w:val="22"/>
                <w:lang w:eastAsia="es-SV"/>
              </w:rPr>
            </w:pPr>
            <w:r w:rsidRPr="002B7276">
              <w:rPr>
                <w:rFonts w:eastAsia="Times New Roman" w:cs="Arial"/>
                <w:b/>
                <w:bCs/>
                <w:sz w:val="22"/>
                <w:lang w:eastAsia="es-SV"/>
              </w:rPr>
              <w:t>Urbano</w:t>
            </w:r>
          </w:p>
        </w:tc>
        <w:tc>
          <w:tcPr>
            <w:tcW w:w="1423" w:type="dxa"/>
            <w:shd w:val="clear" w:color="auto" w:fill="5CC5DA"/>
            <w:noWrap/>
          </w:tcPr>
          <w:p w14:paraId="7DC9B5BF" w14:textId="77777777" w:rsidR="006A3DBC" w:rsidRPr="002B7276" w:rsidRDefault="006A3DBC" w:rsidP="005F4A92">
            <w:pPr>
              <w:spacing w:after="0" w:line="240" w:lineRule="auto"/>
              <w:jc w:val="center"/>
              <w:rPr>
                <w:rFonts w:eastAsia="Times New Roman" w:cs="Arial"/>
                <w:b/>
                <w:bCs/>
                <w:sz w:val="22"/>
                <w:lang w:eastAsia="es-SV"/>
              </w:rPr>
            </w:pPr>
            <w:r w:rsidRPr="002B7276">
              <w:rPr>
                <w:rFonts w:eastAsia="Times New Roman" w:cs="Arial"/>
                <w:b/>
                <w:bCs/>
                <w:sz w:val="22"/>
                <w:lang w:eastAsia="es-SV"/>
              </w:rPr>
              <w:t>Rural</w:t>
            </w:r>
          </w:p>
        </w:tc>
        <w:tc>
          <w:tcPr>
            <w:tcW w:w="1342" w:type="dxa"/>
            <w:shd w:val="clear" w:color="auto" w:fill="5CC5DA"/>
            <w:noWrap/>
          </w:tcPr>
          <w:p w14:paraId="3E4E6144" w14:textId="77777777" w:rsidR="006A3DBC" w:rsidRPr="002B7276" w:rsidRDefault="006A3DBC" w:rsidP="005F4A92">
            <w:pPr>
              <w:spacing w:after="0" w:line="240" w:lineRule="auto"/>
              <w:jc w:val="center"/>
              <w:rPr>
                <w:rFonts w:eastAsia="Times New Roman" w:cs="Arial"/>
                <w:b/>
                <w:bCs/>
                <w:sz w:val="22"/>
                <w:lang w:eastAsia="es-SV"/>
              </w:rPr>
            </w:pPr>
            <w:r w:rsidRPr="002B7276">
              <w:rPr>
                <w:rFonts w:eastAsia="Times New Roman" w:cs="Arial"/>
                <w:b/>
                <w:bCs/>
                <w:sz w:val="22"/>
                <w:lang w:eastAsia="es-SV"/>
              </w:rPr>
              <w:t>Total</w:t>
            </w:r>
          </w:p>
        </w:tc>
      </w:tr>
      <w:tr w:rsidR="002B7276" w:rsidRPr="002B7276" w14:paraId="499560AE" w14:textId="77777777" w:rsidTr="005F4A92">
        <w:trPr>
          <w:trHeight w:val="254"/>
          <w:jc w:val="center"/>
        </w:trPr>
        <w:tc>
          <w:tcPr>
            <w:tcW w:w="3035" w:type="dxa"/>
            <w:shd w:val="clear" w:color="000000" w:fill="E0E0E0"/>
            <w:hideMark/>
          </w:tcPr>
          <w:p w14:paraId="02D09774" w14:textId="77777777" w:rsidR="006A3DBC" w:rsidRPr="002B7276" w:rsidRDefault="006A3DBC" w:rsidP="005F4A92">
            <w:pPr>
              <w:spacing w:after="0" w:line="240" w:lineRule="auto"/>
              <w:rPr>
                <w:rFonts w:eastAsia="Times New Roman" w:cs="Arial"/>
                <w:sz w:val="22"/>
                <w:lang w:eastAsia="es-SV"/>
              </w:rPr>
            </w:pPr>
            <w:r w:rsidRPr="002B7276">
              <w:rPr>
                <w:rFonts w:eastAsia="Times New Roman" w:cs="Arial"/>
                <w:sz w:val="22"/>
                <w:lang w:eastAsia="es-SV"/>
              </w:rPr>
              <w:t>Ladrillo, piedra o bloque</w:t>
            </w:r>
          </w:p>
        </w:tc>
        <w:tc>
          <w:tcPr>
            <w:tcW w:w="1423" w:type="dxa"/>
            <w:shd w:val="clear" w:color="auto" w:fill="auto"/>
            <w:noWrap/>
            <w:hideMark/>
          </w:tcPr>
          <w:p w14:paraId="174EE861" w14:textId="754C0B7D" w:rsidR="006A3DBC" w:rsidRPr="002B7276" w:rsidRDefault="006A3DBC" w:rsidP="006B4013">
            <w:pPr>
              <w:spacing w:after="0" w:line="240" w:lineRule="auto"/>
              <w:jc w:val="center"/>
              <w:rPr>
                <w:rFonts w:eastAsia="Times New Roman" w:cs="Arial"/>
                <w:sz w:val="22"/>
                <w:lang w:eastAsia="es-SV"/>
              </w:rPr>
            </w:pPr>
            <w:r w:rsidRPr="002B7276">
              <w:rPr>
                <w:rFonts w:eastAsia="Times New Roman" w:cs="Arial"/>
                <w:sz w:val="22"/>
                <w:lang w:eastAsia="es-SV"/>
              </w:rPr>
              <w:t>113</w:t>
            </w:r>
            <w:r w:rsidR="00E47EBB" w:rsidRPr="002B7276">
              <w:rPr>
                <w:rFonts w:eastAsia="Times New Roman" w:cs="Arial"/>
                <w:sz w:val="22"/>
                <w:lang w:eastAsia="es-SV"/>
              </w:rPr>
              <w:t>,</w:t>
            </w:r>
            <w:r w:rsidRPr="002B7276">
              <w:rPr>
                <w:rFonts w:eastAsia="Times New Roman" w:cs="Arial"/>
                <w:sz w:val="22"/>
                <w:lang w:eastAsia="es-SV"/>
              </w:rPr>
              <w:t>402</w:t>
            </w:r>
          </w:p>
        </w:tc>
        <w:tc>
          <w:tcPr>
            <w:tcW w:w="1423" w:type="dxa"/>
            <w:shd w:val="clear" w:color="auto" w:fill="auto"/>
            <w:noWrap/>
            <w:hideMark/>
          </w:tcPr>
          <w:p w14:paraId="49357D4C" w14:textId="74E6418A" w:rsidR="006A3DBC" w:rsidRPr="002B7276" w:rsidRDefault="006A3DBC" w:rsidP="006B4013">
            <w:pPr>
              <w:spacing w:after="0" w:line="240" w:lineRule="auto"/>
              <w:jc w:val="center"/>
              <w:rPr>
                <w:rFonts w:eastAsia="Times New Roman" w:cs="Arial"/>
                <w:sz w:val="22"/>
                <w:lang w:eastAsia="es-SV"/>
              </w:rPr>
            </w:pPr>
            <w:r w:rsidRPr="002B7276">
              <w:rPr>
                <w:rFonts w:eastAsia="Times New Roman" w:cs="Arial"/>
                <w:sz w:val="22"/>
                <w:lang w:eastAsia="es-SV"/>
              </w:rPr>
              <w:t>52</w:t>
            </w:r>
            <w:r w:rsidR="00E47EBB" w:rsidRPr="002B7276">
              <w:rPr>
                <w:rFonts w:eastAsia="Times New Roman" w:cs="Arial"/>
                <w:sz w:val="22"/>
                <w:lang w:eastAsia="es-SV"/>
              </w:rPr>
              <w:t>,</w:t>
            </w:r>
            <w:r w:rsidRPr="002B7276">
              <w:rPr>
                <w:rFonts w:eastAsia="Times New Roman" w:cs="Arial"/>
                <w:sz w:val="22"/>
                <w:lang w:eastAsia="es-SV"/>
              </w:rPr>
              <w:t>713</w:t>
            </w:r>
          </w:p>
        </w:tc>
        <w:tc>
          <w:tcPr>
            <w:tcW w:w="1342" w:type="dxa"/>
            <w:shd w:val="clear" w:color="auto" w:fill="auto"/>
            <w:noWrap/>
            <w:hideMark/>
          </w:tcPr>
          <w:p w14:paraId="2414B5F6" w14:textId="7C560F92" w:rsidR="006A3DBC" w:rsidRPr="002B7276" w:rsidRDefault="006A3DBC" w:rsidP="006B4013">
            <w:pPr>
              <w:spacing w:after="0" w:line="240" w:lineRule="auto"/>
              <w:jc w:val="center"/>
              <w:rPr>
                <w:rFonts w:eastAsia="Times New Roman" w:cs="Arial"/>
                <w:sz w:val="22"/>
                <w:lang w:eastAsia="es-SV"/>
              </w:rPr>
            </w:pPr>
            <w:r w:rsidRPr="002B7276">
              <w:rPr>
                <w:rFonts w:eastAsia="Times New Roman" w:cs="Arial"/>
                <w:sz w:val="22"/>
                <w:lang w:eastAsia="es-SV"/>
              </w:rPr>
              <w:t>166</w:t>
            </w:r>
            <w:r w:rsidR="00E47EBB" w:rsidRPr="002B7276">
              <w:rPr>
                <w:rFonts w:eastAsia="Times New Roman" w:cs="Arial"/>
                <w:sz w:val="22"/>
                <w:lang w:eastAsia="es-SV"/>
              </w:rPr>
              <w:t>,</w:t>
            </w:r>
            <w:r w:rsidRPr="002B7276">
              <w:rPr>
                <w:rFonts w:eastAsia="Times New Roman" w:cs="Arial"/>
                <w:sz w:val="22"/>
                <w:lang w:eastAsia="es-SV"/>
              </w:rPr>
              <w:t>115</w:t>
            </w:r>
          </w:p>
        </w:tc>
      </w:tr>
      <w:tr w:rsidR="002B7276" w:rsidRPr="002B7276" w14:paraId="2010719E" w14:textId="77777777" w:rsidTr="005F4A92">
        <w:trPr>
          <w:trHeight w:val="254"/>
          <w:jc w:val="center"/>
        </w:trPr>
        <w:tc>
          <w:tcPr>
            <w:tcW w:w="3035" w:type="dxa"/>
            <w:shd w:val="clear" w:color="000000" w:fill="E0E0E0"/>
            <w:hideMark/>
          </w:tcPr>
          <w:p w14:paraId="02AAC38A" w14:textId="77777777" w:rsidR="006A3DBC" w:rsidRPr="002B7276" w:rsidRDefault="006A3DBC" w:rsidP="005F4A92">
            <w:pPr>
              <w:spacing w:after="0" w:line="240" w:lineRule="auto"/>
              <w:rPr>
                <w:rFonts w:eastAsia="Times New Roman" w:cs="Arial"/>
                <w:sz w:val="22"/>
                <w:lang w:eastAsia="es-SV"/>
              </w:rPr>
            </w:pPr>
            <w:r w:rsidRPr="002B7276">
              <w:rPr>
                <w:rFonts w:eastAsia="Times New Roman" w:cs="Arial"/>
                <w:sz w:val="22"/>
                <w:lang w:eastAsia="es-SV"/>
              </w:rPr>
              <w:t>Adobe</w:t>
            </w:r>
          </w:p>
        </w:tc>
        <w:tc>
          <w:tcPr>
            <w:tcW w:w="1423" w:type="dxa"/>
            <w:shd w:val="clear" w:color="auto" w:fill="auto"/>
            <w:noWrap/>
            <w:hideMark/>
          </w:tcPr>
          <w:p w14:paraId="6C1C2DD1" w14:textId="6E6D527F" w:rsidR="006A3DBC" w:rsidRPr="002B7276" w:rsidRDefault="006A3DBC" w:rsidP="006B4013">
            <w:pPr>
              <w:spacing w:after="0" w:line="240" w:lineRule="auto"/>
              <w:jc w:val="center"/>
              <w:rPr>
                <w:rFonts w:eastAsia="Times New Roman" w:cs="Arial"/>
                <w:sz w:val="22"/>
                <w:lang w:eastAsia="es-SV"/>
              </w:rPr>
            </w:pPr>
            <w:r w:rsidRPr="002B7276">
              <w:rPr>
                <w:rFonts w:eastAsia="Times New Roman" w:cs="Arial"/>
                <w:sz w:val="22"/>
                <w:lang w:eastAsia="es-SV"/>
              </w:rPr>
              <w:t>31</w:t>
            </w:r>
            <w:r w:rsidR="00E47EBB" w:rsidRPr="002B7276">
              <w:rPr>
                <w:rFonts w:eastAsia="Times New Roman" w:cs="Arial"/>
                <w:sz w:val="22"/>
                <w:lang w:eastAsia="es-SV"/>
              </w:rPr>
              <w:t>,</w:t>
            </w:r>
            <w:r w:rsidRPr="002B7276">
              <w:rPr>
                <w:rFonts w:eastAsia="Times New Roman" w:cs="Arial"/>
                <w:sz w:val="22"/>
                <w:lang w:eastAsia="es-SV"/>
              </w:rPr>
              <w:t>068</w:t>
            </w:r>
          </w:p>
        </w:tc>
        <w:tc>
          <w:tcPr>
            <w:tcW w:w="1423" w:type="dxa"/>
            <w:shd w:val="clear" w:color="auto" w:fill="auto"/>
            <w:noWrap/>
            <w:hideMark/>
          </w:tcPr>
          <w:p w14:paraId="10169CF9" w14:textId="65A895B1" w:rsidR="006A3DBC" w:rsidRPr="002B7276" w:rsidRDefault="006A3DBC" w:rsidP="006B4013">
            <w:pPr>
              <w:spacing w:after="0" w:line="240" w:lineRule="auto"/>
              <w:jc w:val="center"/>
              <w:rPr>
                <w:rFonts w:eastAsia="Times New Roman" w:cs="Arial"/>
                <w:sz w:val="22"/>
                <w:lang w:eastAsia="es-SV"/>
              </w:rPr>
            </w:pPr>
            <w:r w:rsidRPr="002B7276">
              <w:rPr>
                <w:rFonts w:eastAsia="Times New Roman" w:cs="Arial"/>
                <w:sz w:val="22"/>
                <w:lang w:eastAsia="es-SV"/>
              </w:rPr>
              <w:t>94</w:t>
            </w:r>
            <w:r w:rsidR="00E47EBB" w:rsidRPr="002B7276">
              <w:rPr>
                <w:rFonts w:eastAsia="Times New Roman" w:cs="Arial"/>
                <w:sz w:val="22"/>
                <w:lang w:eastAsia="es-SV"/>
              </w:rPr>
              <w:t>,</w:t>
            </w:r>
            <w:r w:rsidRPr="002B7276">
              <w:rPr>
                <w:rFonts w:eastAsia="Times New Roman" w:cs="Arial"/>
                <w:sz w:val="22"/>
                <w:lang w:eastAsia="es-SV"/>
              </w:rPr>
              <w:t>653</w:t>
            </w:r>
          </w:p>
        </w:tc>
        <w:tc>
          <w:tcPr>
            <w:tcW w:w="1342" w:type="dxa"/>
            <w:shd w:val="clear" w:color="auto" w:fill="auto"/>
            <w:noWrap/>
            <w:hideMark/>
          </w:tcPr>
          <w:p w14:paraId="4E90B22E" w14:textId="586C8CB0" w:rsidR="006A3DBC" w:rsidRPr="002B7276" w:rsidRDefault="006A3DBC" w:rsidP="006B4013">
            <w:pPr>
              <w:spacing w:after="0" w:line="240" w:lineRule="auto"/>
              <w:jc w:val="center"/>
              <w:rPr>
                <w:rFonts w:eastAsia="Times New Roman" w:cs="Arial"/>
                <w:sz w:val="22"/>
                <w:lang w:eastAsia="es-SV"/>
              </w:rPr>
            </w:pPr>
            <w:r w:rsidRPr="002B7276">
              <w:rPr>
                <w:rFonts w:eastAsia="Times New Roman" w:cs="Arial"/>
                <w:sz w:val="22"/>
                <w:lang w:eastAsia="es-SV"/>
              </w:rPr>
              <w:t>125</w:t>
            </w:r>
            <w:r w:rsidR="00E47EBB" w:rsidRPr="002B7276">
              <w:rPr>
                <w:rFonts w:eastAsia="Times New Roman" w:cs="Arial"/>
                <w:sz w:val="22"/>
                <w:lang w:eastAsia="es-SV"/>
              </w:rPr>
              <w:t>,</w:t>
            </w:r>
            <w:r w:rsidRPr="002B7276">
              <w:rPr>
                <w:rFonts w:eastAsia="Times New Roman" w:cs="Arial"/>
                <w:sz w:val="22"/>
                <w:lang w:eastAsia="es-SV"/>
              </w:rPr>
              <w:t>721</w:t>
            </w:r>
          </w:p>
        </w:tc>
      </w:tr>
      <w:tr w:rsidR="002B7276" w:rsidRPr="002B7276" w14:paraId="2E7FF6B9" w14:textId="77777777" w:rsidTr="005F4A92">
        <w:trPr>
          <w:trHeight w:val="254"/>
          <w:jc w:val="center"/>
        </w:trPr>
        <w:tc>
          <w:tcPr>
            <w:tcW w:w="3035" w:type="dxa"/>
            <w:shd w:val="clear" w:color="000000" w:fill="E0E0E0"/>
            <w:hideMark/>
          </w:tcPr>
          <w:p w14:paraId="31E38B3F" w14:textId="77777777" w:rsidR="006A3DBC" w:rsidRPr="002B7276" w:rsidRDefault="006A3DBC" w:rsidP="005F4A92">
            <w:pPr>
              <w:spacing w:after="0" w:line="240" w:lineRule="auto"/>
              <w:rPr>
                <w:rFonts w:eastAsia="Times New Roman" w:cs="Arial"/>
                <w:sz w:val="22"/>
                <w:lang w:eastAsia="es-SV"/>
              </w:rPr>
            </w:pPr>
            <w:r w:rsidRPr="002B7276">
              <w:rPr>
                <w:rFonts w:eastAsia="Times New Roman" w:cs="Arial"/>
                <w:sz w:val="22"/>
                <w:lang w:eastAsia="es-SV"/>
              </w:rPr>
              <w:t>Material prefabricado</w:t>
            </w:r>
          </w:p>
        </w:tc>
        <w:tc>
          <w:tcPr>
            <w:tcW w:w="1423" w:type="dxa"/>
            <w:shd w:val="clear" w:color="auto" w:fill="auto"/>
            <w:noWrap/>
            <w:hideMark/>
          </w:tcPr>
          <w:p w14:paraId="0161C95B" w14:textId="77777777" w:rsidR="006A3DBC" w:rsidRPr="002B7276" w:rsidRDefault="006A3DBC" w:rsidP="006B4013">
            <w:pPr>
              <w:spacing w:after="0" w:line="240" w:lineRule="auto"/>
              <w:jc w:val="center"/>
              <w:rPr>
                <w:rFonts w:eastAsia="Times New Roman" w:cs="Arial"/>
                <w:sz w:val="22"/>
                <w:lang w:eastAsia="es-SV"/>
              </w:rPr>
            </w:pPr>
            <w:r w:rsidRPr="002B7276">
              <w:rPr>
                <w:rFonts w:eastAsia="Times New Roman" w:cs="Arial"/>
                <w:sz w:val="22"/>
                <w:lang w:eastAsia="es-SV"/>
              </w:rPr>
              <w:t>758</w:t>
            </w:r>
          </w:p>
        </w:tc>
        <w:tc>
          <w:tcPr>
            <w:tcW w:w="1423" w:type="dxa"/>
            <w:shd w:val="clear" w:color="auto" w:fill="auto"/>
            <w:noWrap/>
            <w:hideMark/>
          </w:tcPr>
          <w:p w14:paraId="1F7656E4" w14:textId="77777777" w:rsidR="006A3DBC" w:rsidRPr="002B7276" w:rsidRDefault="006A3DBC" w:rsidP="006B4013">
            <w:pPr>
              <w:spacing w:after="0" w:line="240" w:lineRule="auto"/>
              <w:jc w:val="center"/>
              <w:rPr>
                <w:rFonts w:eastAsia="Times New Roman" w:cs="Arial"/>
                <w:sz w:val="22"/>
                <w:lang w:eastAsia="es-SV"/>
              </w:rPr>
            </w:pPr>
            <w:r w:rsidRPr="002B7276">
              <w:rPr>
                <w:rFonts w:eastAsia="Times New Roman" w:cs="Arial"/>
                <w:sz w:val="22"/>
                <w:lang w:eastAsia="es-SV"/>
              </w:rPr>
              <w:t>654</w:t>
            </w:r>
          </w:p>
        </w:tc>
        <w:tc>
          <w:tcPr>
            <w:tcW w:w="1342" w:type="dxa"/>
            <w:shd w:val="clear" w:color="auto" w:fill="auto"/>
            <w:noWrap/>
            <w:hideMark/>
          </w:tcPr>
          <w:p w14:paraId="19F03077" w14:textId="34D19683" w:rsidR="006A3DBC" w:rsidRPr="002B7276" w:rsidRDefault="006A3DBC" w:rsidP="006B4013">
            <w:pPr>
              <w:spacing w:after="0" w:line="240" w:lineRule="auto"/>
              <w:jc w:val="center"/>
              <w:rPr>
                <w:rFonts w:eastAsia="Times New Roman" w:cs="Arial"/>
                <w:sz w:val="22"/>
                <w:lang w:eastAsia="es-SV"/>
              </w:rPr>
            </w:pPr>
            <w:r w:rsidRPr="002B7276">
              <w:rPr>
                <w:rFonts w:eastAsia="Times New Roman" w:cs="Arial"/>
                <w:sz w:val="22"/>
                <w:lang w:eastAsia="es-SV"/>
              </w:rPr>
              <w:t>1</w:t>
            </w:r>
            <w:r w:rsidR="00E47EBB" w:rsidRPr="002B7276">
              <w:rPr>
                <w:rFonts w:eastAsia="Times New Roman" w:cs="Arial"/>
                <w:sz w:val="22"/>
                <w:lang w:eastAsia="es-SV"/>
              </w:rPr>
              <w:t>,</w:t>
            </w:r>
            <w:r w:rsidRPr="002B7276">
              <w:rPr>
                <w:rFonts w:eastAsia="Times New Roman" w:cs="Arial"/>
                <w:sz w:val="22"/>
                <w:lang w:eastAsia="es-SV"/>
              </w:rPr>
              <w:t>412</w:t>
            </w:r>
          </w:p>
        </w:tc>
      </w:tr>
      <w:tr w:rsidR="002B7276" w:rsidRPr="002B7276" w14:paraId="0B53DDE4" w14:textId="77777777" w:rsidTr="005F4A92">
        <w:trPr>
          <w:trHeight w:val="254"/>
          <w:jc w:val="center"/>
        </w:trPr>
        <w:tc>
          <w:tcPr>
            <w:tcW w:w="3035" w:type="dxa"/>
            <w:shd w:val="clear" w:color="000000" w:fill="E0E0E0"/>
            <w:hideMark/>
          </w:tcPr>
          <w:p w14:paraId="7E28DCD9" w14:textId="77777777" w:rsidR="006A3DBC" w:rsidRPr="002B7276" w:rsidRDefault="006A3DBC" w:rsidP="005F4A92">
            <w:pPr>
              <w:spacing w:after="0" w:line="240" w:lineRule="auto"/>
              <w:rPr>
                <w:rFonts w:eastAsia="Times New Roman" w:cs="Arial"/>
                <w:sz w:val="22"/>
                <w:lang w:eastAsia="es-SV"/>
              </w:rPr>
            </w:pPr>
            <w:r w:rsidRPr="002B7276">
              <w:rPr>
                <w:rFonts w:eastAsia="Times New Roman" w:cs="Arial"/>
                <w:sz w:val="22"/>
                <w:lang w:eastAsia="es-SV"/>
              </w:rPr>
              <w:t>Madera aserrada</w:t>
            </w:r>
          </w:p>
        </w:tc>
        <w:tc>
          <w:tcPr>
            <w:tcW w:w="1423" w:type="dxa"/>
            <w:shd w:val="clear" w:color="auto" w:fill="auto"/>
            <w:noWrap/>
            <w:hideMark/>
          </w:tcPr>
          <w:p w14:paraId="00AD7DE4" w14:textId="6DAD939A" w:rsidR="006A3DBC" w:rsidRPr="002B7276" w:rsidRDefault="006A3DBC" w:rsidP="006B4013">
            <w:pPr>
              <w:spacing w:after="0" w:line="240" w:lineRule="auto"/>
              <w:jc w:val="center"/>
              <w:rPr>
                <w:rFonts w:eastAsia="Times New Roman" w:cs="Arial"/>
                <w:sz w:val="22"/>
                <w:lang w:eastAsia="es-SV"/>
              </w:rPr>
            </w:pPr>
            <w:r w:rsidRPr="002B7276">
              <w:rPr>
                <w:rFonts w:eastAsia="Times New Roman" w:cs="Arial"/>
                <w:sz w:val="22"/>
                <w:lang w:eastAsia="es-SV"/>
              </w:rPr>
              <w:t>1</w:t>
            </w:r>
            <w:r w:rsidR="00E47EBB" w:rsidRPr="002B7276">
              <w:rPr>
                <w:rFonts w:eastAsia="Times New Roman" w:cs="Arial"/>
                <w:sz w:val="22"/>
                <w:lang w:eastAsia="es-SV"/>
              </w:rPr>
              <w:t>,</w:t>
            </w:r>
            <w:r w:rsidRPr="002B7276">
              <w:rPr>
                <w:rFonts w:eastAsia="Times New Roman" w:cs="Arial"/>
                <w:sz w:val="22"/>
                <w:lang w:eastAsia="es-SV"/>
              </w:rPr>
              <w:t>576</w:t>
            </w:r>
          </w:p>
        </w:tc>
        <w:tc>
          <w:tcPr>
            <w:tcW w:w="1423" w:type="dxa"/>
            <w:shd w:val="clear" w:color="auto" w:fill="auto"/>
            <w:noWrap/>
            <w:hideMark/>
          </w:tcPr>
          <w:p w14:paraId="1AC331E1" w14:textId="049562B8" w:rsidR="006A3DBC" w:rsidRPr="002B7276" w:rsidRDefault="006A3DBC" w:rsidP="006B4013">
            <w:pPr>
              <w:spacing w:after="0" w:line="240" w:lineRule="auto"/>
              <w:jc w:val="center"/>
              <w:rPr>
                <w:rFonts w:eastAsia="Times New Roman" w:cs="Arial"/>
                <w:sz w:val="22"/>
                <w:lang w:eastAsia="es-SV"/>
              </w:rPr>
            </w:pPr>
            <w:r w:rsidRPr="002B7276">
              <w:rPr>
                <w:rFonts w:eastAsia="Times New Roman" w:cs="Arial"/>
                <w:sz w:val="22"/>
                <w:lang w:eastAsia="es-SV"/>
              </w:rPr>
              <w:t>11</w:t>
            </w:r>
            <w:r w:rsidR="00E47EBB" w:rsidRPr="002B7276">
              <w:rPr>
                <w:rFonts w:eastAsia="Times New Roman" w:cs="Arial"/>
                <w:sz w:val="22"/>
                <w:lang w:eastAsia="es-SV"/>
              </w:rPr>
              <w:t>,</w:t>
            </w:r>
            <w:r w:rsidRPr="002B7276">
              <w:rPr>
                <w:rFonts w:eastAsia="Times New Roman" w:cs="Arial"/>
                <w:sz w:val="22"/>
                <w:lang w:eastAsia="es-SV"/>
              </w:rPr>
              <w:t>432</w:t>
            </w:r>
          </w:p>
        </w:tc>
        <w:tc>
          <w:tcPr>
            <w:tcW w:w="1342" w:type="dxa"/>
            <w:shd w:val="clear" w:color="auto" w:fill="auto"/>
            <w:noWrap/>
            <w:hideMark/>
          </w:tcPr>
          <w:p w14:paraId="4D5D31FF" w14:textId="40B0E7F1" w:rsidR="006A3DBC" w:rsidRPr="002B7276" w:rsidRDefault="006A3DBC" w:rsidP="006B4013">
            <w:pPr>
              <w:spacing w:after="0" w:line="240" w:lineRule="auto"/>
              <w:jc w:val="center"/>
              <w:rPr>
                <w:rFonts w:eastAsia="Times New Roman" w:cs="Arial"/>
                <w:sz w:val="22"/>
                <w:lang w:eastAsia="es-SV"/>
              </w:rPr>
            </w:pPr>
            <w:r w:rsidRPr="002B7276">
              <w:rPr>
                <w:rFonts w:eastAsia="Times New Roman" w:cs="Arial"/>
                <w:sz w:val="22"/>
                <w:lang w:eastAsia="es-SV"/>
              </w:rPr>
              <w:t>13</w:t>
            </w:r>
            <w:r w:rsidR="00E47EBB" w:rsidRPr="002B7276">
              <w:rPr>
                <w:rFonts w:eastAsia="Times New Roman" w:cs="Arial"/>
                <w:sz w:val="22"/>
                <w:lang w:eastAsia="es-SV"/>
              </w:rPr>
              <w:t>,</w:t>
            </w:r>
            <w:r w:rsidRPr="002B7276">
              <w:rPr>
                <w:rFonts w:eastAsia="Times New Roman" w:cs="Arial"/>
                <w:sz w:val="22"/>
                <w:lang w:eastAsia="es-SV"/>
              </w:rPr>
              <w:t>008</w:t>
            </w:r>
          </w:p>
        </w:tc>
      </w:tr>
      <w:tr w:rsidR="002B7276" w:rsidRPr="002B7276" w14:paraId="051472A0" w14:textId="77777777" w:rsidTr="005F4A92">
        <w:trPr>
          <w:trHeight w:val="254"/>
          <w:jc w:val="center"/>
        </w:trPr>
        <w:tc>
          <w:tcPr>
            <w:tcW w:w="3035" w:type="dxa"/>
            <w:shd w:val="clear" w:color="000000" w:fill="E0E0E0"/>
            <w:hideMark/>
          </w:tcPr>
          <w:p w14:paraId="2B743252" w14:textId="77777777" w:rsidR="006A3DBC" w:rsidRPr="002B7276" w:rsidRDefault="006A3DBC" w:rsidP="005F4A92">
            <w:pPr>
              <w:spacing w:after="0" w:line="240" w:lineRule="auto"/>
              <w:rPr>
                <w:rFonts w:eastAsia="Times New Roman" w:cs="Arial"/>
                <w:sz w:val="22"/>
                <w:lang w:eastAsia="es-SV"/>
              </w:rPr>
            </w:pPr>
            <w:r w:rsidRPr="002B7276">
              <w:rPr>
                <w:rFonts w:eastAsia="Times New Roman" w:cs="Arial"/>
                <w:sz w:val="22"/>
                <w:lang w:eastAsia="es-SV"/>
              </w:rPr>
              <w:t>Madera al natural</w:t>
            </w:r>
          </w:p>
        </w:tc>
        <w:tc>
          <w:tcPr>
            <w:tcW w:w="1423" w:type="dxa"/>
            <w:shd w:val="clear" w:color="auto" w:fill="auto"/>
            <w:noWrap/>
            <w:hideMark/>
          </w:tcPr>
          <w:p w14:paraId="23BB3A00" w14:textId="77777777" w:rsidR="006A3DBC" w:rsidRPr="002B7276" w:rsidRDefault="006A3DBC" w:rsidP="006B4013">
            <w:pPr>
              <w:spacing w:after="0" w:line="240" w:lineRule="auto"/>
              <w:jc w:val="center"/>
              <w:rPr>
                <w:rFonts w:eastAsia="Times New Roman" w:cs="Arial"/>
                <w:sz w:val="22"/>
                <w:lang w:eastAsia="es-SV"/>
              </w:rPr>
            </w:pPr>
            <w:r w:rsidRPr="002B7276">
              <w:rPr>
                <w:rFonts w:eastAsia="Times New Roman" w:cs="Arial"/>
                <w:sz w:val="22"/>
                <w:lang w:eastAsia="es-SV"/>
              </w:rPr>
              <w:t>149</w:t>
            </w:r>
          </w:p>
        </w:tc>
        <w:tc>
          <w:tcPr>
            <w:tcW w:w="1423" w:type="dxa"/>
            <w:shd w:val="clear" w:color="auto" w:fill="auto"/>
            <w:noWrap/>
            <w:hideMark/>
          </w:tcPr>
          <w:p w14:paraId="60ACCD0B" w14:textId="3C4E5F51" w:rsidR="006A3DBC" w:rsidRPr="002B7276" w:rsidRDefault="006A3DBC" w:rsidP="006B4013">
            <w:pPr>
              <w:spacing w:after="0" w:line="240" w:lineRule="auto"/>
              <w:jc w:val="center"/>
              <w:rPr>
                <w:rFonts w:eastAsia="Times New Roman" w:cs="Arial"/>
                <w:sz w:val="22"/>
                <w:lang w:eastAsia="es-SV"/>
              </w:rPr>
            </w:pPr>
            <w:r w:rsidRPr="002B7276">
              <w:rPr>
                <w:rFonts w:eastAsia="Times New Roman" w:cs="Arial"/>
                <w:sz w:val="22"/>
                <w:lang w:eastAsia="es-SV"/>
              </w:rPr>
              <w:t>1</w:t>
            </w:r>
            <w:r w:rsidR="00E47EBB" w:rsidRPr="002B7276">
              <w:rPr>
                <w:rFonts w:eastAsia="Times New Roman" w:cs="Arial"/>
                <w:sz w:val="22"/>
                <w:lang w:eastAsia="es-SV"/>
              </w:rPr>
              <w:t>,</w:t>
            </w:r>
            <w:r w:rsidRPr="002B7276">
              <w:rPr>
                <w:rFonts w:eastAsia="Times New Roman" w:cs="Arial"/>
                <w:sz w:val="22"/>
                <w:lang w:eastAsia="es-SV"/>
              </w:rPr>
              <w:t>706</w:t>
            </w:r>
          </w:p>
        </w:tc>
        <w:tc>
          <w:tcPr>
            <w:tcW w:w="1342" w:type="dxa"/>
            <w:shd w:val="clear" w:color="auto" w:fill="auto"/>
            <w:noWrap/>
            <w:hideMark/>
          </w:tcPr>
          <w:p w14:paraId="6042FDEE" w14:textId="00BCC010" w:rsidR="006A3DBC" w:rsidRPr="002B7276" w:rsidRDefault="006A3DBC" w:rsidP="006B4013">
            <w:pPr>
              <w:spacing w:after="0" w:line="240" w:lineRule="auto"/>
              <w:jc w:val="center"/>
              <w:rPr>
                <w:rFonts w:eastAsia="Times New Roman" w:cs="Arial"/>
                <w:sz w:val="22"/>
                <w:lang w:eastAsia="es-SV"/>
              </w:rPr>
            </w:pPr>
            <w:r w:rsidRPr="002B7276">
              <w:rPr>
                <w:rFonts w:eastAsia="Times New Roman" w:cs="Arial"/>
                <w:sz w:val="22"/>
                <w:lang w:eastAsia="es-SV"/>
              </w:rPr>
              <w:t>1</w:t>
            </w:r>
            <w:r w:rsidR="00E47EBB" w:rsidRPr="002B7276">
              <w:rPr>
                <w:rFonts w:eastAsia="Times New Roman" w:cs="Arial"/>
                <w:sz w:val="22"/>
                <w:lang w:eastAsia="es-SV"/>
              </w:rPr>
              <w:t>,</w:t>
            </w:r>
            <w:r w:rsidRPr="002B7276">
              <w:rPr>
                <w:rFonts w:eastAsia="Times New Roman" w:cs="Arial"/>
                <w:sz w:val="22"/>
                <w:lang w:eastAsia="es-SV"/>
              </w:rPr>
              <w:t>855</w:t>
            </w:r>
          </w:p>
        </w:tc>
      </w:tr>
      <w:tr w:rsidR="002B7276" w:rsidRPr="002B7276" w14:paraId="7D3C3FA5" w14:textId="77777777" w:rsidTr="005F4A92">
        <w:trPr>
          <w:trHeight w:val="254"/>
          <w:jc w:val="center"/>
        </w:trPr>
        <w:tc>
          <w:tcPr>
            <w:tcW w:w="3035" w:type="dxa"/>
            <w:shd w:val="clear" w:color="000000" w:fill="E0E0E0"/>
            <w:hideMark/>
          </w:tcPr>
          <w:p w14:paraId="7C7E0B76" w14:textId="77777777" w:rsidR="006A3DBC" w:rsidRPr="002B7276" w:rsidRDefault="006A3DBC" w:rsidP="005F4A92">
            <w:pPr>
              <w:spacing w:after="0" w:line="240" w:lineRule="auto"/>
              <w:rPr>
                <w:rFonts w:eastAsia="Times New Roman" w:cs="Arial"/>
                <w:sz w:val="22"/>
                <w:lang w:eastAsia="es-SV"/>
              </w:rPr>
            </w:pPr>
            <w:r w:rsidRPr="002B7276">
              <w:rPr>
                <w:rFonts w:eastAsia="Times New Roman" w:cs="Arial"/>
                <w:sz w:val="22"/>
                <w:lang w:eastAsia="es-SV"/>
              </w:rPr>
              <w:t>Bahareque, vara o caña</w:t>
            </w:r>
          </w:p>
        </w:tc>
        <w:tc>
          <w:tcPr>
            <w:tcW w:w="1423" w:type="dxa"/>
            <w:shd w:val="clear" w:color="auto" w:fill="auto"/>
            <w:noWrap/>
            <w:hideMark/>
          </w:tcPr>
          <w:p w14:paraId="0A8A9592" w14:textId="3428E269" w:rsidR="006A3DBC" w:rsidRPr="002B7276" w:rsidRDefault="006A3DBC" w:rsidP="006B4013">
            <w:pPr>
              <w:spacing w:after="0" w:line="240" w:lineRule="auto"/>
              <w:jc w:val="center"/>
              <w:rPr>
                <w:rFonts w:eastAsia="Times New Roman" w:cs="Arial"/>
                <w:sz w:val="22"/>
                <w:lang w:eastAsia="es-SV"/>
              </w:rPr>
            </w:pPr>
            <w:r w:rsidRPr="002B7276">
              <w:rPr>
                <w:rFonts w:eastAsia="Times New Roman" w:cs="Arial"/>
                <w:sz w:val="22"/>
                <w:lang w:eastAsia="es-SV"/>
              </w:rPr>
              <w:t>2</w:t>
            </w:r>
            <w:r w:rsidR="00E47EBB" w:rsidRPr="002B7276">
              <w:rPr>
                <w:rFonts w:eastAsia="Times New Roman" w:cs="Arial"/>
                <w:sz w:val="22"/>
                <w:lang w:eastAsia="es-SV"/>
              </w:rPr>
              <w:t>,</w:t>
            </w:r>
            <w:r w:rsidRPr="002B7276">
              <w:rPr>
                <w:rFonts w:eastAsia="Times New Roman" w:cs="Arial"/>
                <w:sz w:val="22"/>
                <w:lang w:eastAsia="es-SV"/>
              </w:rPr>
              <w:t>247</w:t>
            </w:r>
          </w:p>
        </w:tc>
        <w:tc>
          <w:tcPr>
            <w:tcW w:w="1423" w:type="dxa"/>
            <w:shd w:val="clear" w:color="auto" w:fill="auto"/>
            <w:noWrap/>
            <w:hideMark/>
          </w:tcPr>
          <w:p w14:paraId="0198C481" w14:textId="65ED9059" w:rsidR="006A3DBC" w:rsidRPr="002B7276" w:rsidRDefault="006A3DBC" w:rsidP="006B4013">
            <w:pPr>
              <w:spacing w:after="0" w:line="240" w:lineRule="auto"/>
              <w:jc w:val="center"/>
              <w:rPr>
                <w:rFonts w:eastAsia="Times New Roman" w:cs="Arial"/>
                <w:sz w:val="22"/>
                <w:lang w:eastAsia="es-SV"/>
              </w:rPr>
            </w:pPr>
            <w:r w:rsidRPr="002B7276">
              <w:rPr>
                <w:rFonts w:eastAsia="Times New Roman" w:cs="Arial"/>
                <w:sz w:val="22"/>
                <w:lang w:eastAsia="es-SV"/>
              </w:rPr>
              <w:t>17</w:t>
            </w:r>
            <w:r w:rsidR="00E47EBB" w:rsidRPr="002B7276">
              <w:rPr>
                <w:rFonts w:eastAsia="Times New Roman" w:cs="Arial"/>
                <w:sz w:val="22"/>
                <w:lang w:eastAsia="es-SV"/>
              </w:rPr>
              <w:t>,</w:t>
            </w:r>
            <w:r w:rsidRPr="002B7276">
              <w:rPr>
                <w:rFonts w:eastAsia="Times New Roman" w:cs="Arial"/>
                <w:sz w:val="22"/>
                <w:lang w:eastAsia="es-SV"/>
              </w:rPr>
              <w:t>934</w:t>
            </w:r>
          </w:p>
        </w:tc>
        <w:tc>
          <w:tcPr>
            <w:tcW w:w="1342" w:type="dxa"/>
            <w:shd w:val="clear" w:color="auto" w:fill="auto"/>
            <w:noWrap/>
            <w:hideMark/>
          </w:tcPr>
          <w:p w14:paraId="5CB740C2" w14:textId="5E9CB220" w:rsidR="006A3DBC" w:rsidRPr="002B7276" w:rsidRDefault="006A3DBC" w:rsidP="006B4013">
            <w:pPr>
              <w:spacing w:after="0" w:line="240" w:lineRule="auto"/>
              <w:jc w:val="center"/>
              <w:rPr>
                <w:rFonts w:eastAsia="Times New Roman" w:cs="Arial"/>
                <w:sz w:val="22"/>
                <w:lang w:eastAsia="es-SV"/>
              </w:rPr>
            </w:pPr>
            <w:r w:rsidRPr="002B7276">
              <w:rPr>
                <w:rFonts w:eastAsia="Times New Roman" w:cs="Arial"/>
                <w:sz w:val="22"/>
                <w:lang w:eastAsia="es-SV"/>
              </w:rPr>
              <w:t>20</w:t>
            </w:r>
            <w:r w:rsidR="00E47EBB" w:rsidRPr="002B7276">
              <w:rPr>
                <w:rFonts w:eastAsia="Times New Roman" w:cs="Arial"/>
                <w:sz w:val="22"/>
                <w:lang w:eastAsia="es-SV"/>
              </w:rPr>
              <w:t>,</w:t>
            </w:r>
            <w:r w:rsidRPr="002B7276">
              <w:rPr>
                <w:rFonts w:eastAsia="Times New Roman" w:cs="Arial"/>
                <w:sz w:val="22"/>
                <w:lang w:eastAsia="es-SV"/>
              </w:rPr>
              <w:t>181</w:t>
            </w:r>
          </w:p>
        </w:tc>
      </w:tr>
      <w:tr w:rsidR="002B7276" w:rsidRPr="002B7276" w14:paraId="1F26ED84" w14:textId="77777777" w:rsidTr="005F4A92">
        <w:trPr>
          <w:trHeight w:val="254"/>
          <w:jc w:val="center"/>
        </w:trPr>
        <w:tc>
          <w:tcPr>
            <w:tcW w:w="3035" w:type="dxa"/>
            <w:shd w:val="clear" w:color="000000" w:fill="E0E0E0"/>
            <w:hideMark/>
          </w:tcPr>
          <w:p w14:paraId="0B629B33" w14:textId="77777777" w:rsidR="006A3DBC" w:rsidRPr="002B7276" w:rsidRDefault="006A3DBC" w:rsidP="005F4A92">
            <w:pPr>
              <w:spacing w:after="0" w:line="240" w:lineRule="auto"/>
              <w:rPr>
                <w:rFonts w:eastAsia="Times New Roman" w:cs="Arial"/>
                <w:sz w:val="22"/>
                <w:lang w:eastAsia="es-SV"/>
              </w:rPr>
            </w:pPr>
            <w:r w:rsidRPr="002B7276">
              <w:rPr>
                <w:rFonts w:eastAsia="Times New Roman" w:cs="Arial"/>
                <w:sz w:val="22"/>
                <w:lang w:eastAsia="es-SV"/>
              </w:rPr>
              <w:t>Desechos</w:t>
            </w:r>
          </w:p>
        </w:tc>
        <w:tc>
          <w:tcPr>
            <w:tcW w:w="1423" w:type="dxa"/>
            <w:shd w:val="clear" w:color="auto" w:fill="auto"/>
            <w:noWrap/>
            <w:hideMark/>
          </w:tcPr>
          <w:p w14:paraId="60E8A98D" w14:textId="77777777" w:rsidR="006A3DBC" w:rsidRPr="002B7276" w:rsidRDefault="006A3DBC" w:rsidP="006B4013">
            <w:pPr>
              <w:spacing w:after="0" w:line="240" w:lineRule="auto"/>
              <w:jc w:val="center"/>
              <w:rPr>
                <w:rFonts w:eastAsia="Times New Roman" w:cs="Arial"/>
                <w:sz w:val="22"/>
                <w:lang w:eastAsia="es-SV"/>
              </w:rPr>
            </w:pPr>
            <w:r w:rsidRPr="002B7276">
              <w:rPr>
                <w:rFonts w:eastAsia="Times New Roman" w:cs="Arial"/>
                <w:sz w:val="22"/>
                <w:lang w:eastAsia="es-SV"/>
              </w:rPr>
              <w:t>104</w:t>
            </w:r>
          </w:p>
        </w:tc>
        <w:tc>
          <w:tcPr>
            <w:tcW w:w="1423" w:type="dxa"/>
            <w:shd w:val="clear" w:color="auto" w:fill="auto"/>
            <w:noWrap/>
            <w:hideMark/>
          </w:tcPr>
          <w:p w14:paraId="58BD5EA3" w14:textId="77777777" w:rsidR="006A3DBC" w:rsidRPr="002B7276" w:rsidRDefault="006A3DBC" w:rsidP="006B4013">
            <w:pPr>
              <w:spacing w:after="0" w:line="240" w:lineRule="auto"/>
              <w:jc w:val="center"/>
              <w:rPr>
                <w:rFonts w:eastAsia="Times New Roman" w:cs="Arial"/>
                <w:sz w:val="22"/>
                <w:lang w:eastAsia="es-SV"/>
              </w:rPr>
            </w:pPr>
            <w:r w:rsidRPr="002B7276">
              <w:rPr>
                <w:rFonts w:eastAsia="Times New Roman" w:cs="Arial"/>
                <w:sz w:val="22"/>
                <w:lang w:eastAsia="es-SV"/>
              </w:rPr>
              <w:t>587</w:t>
            </w:r>
          </w:p>
        </w:tc>
        <w:tc>
          <w:tcPr>
            <w:tcW w:w="1342" w:type="dxa"/>
            <w:shd w:val="clear" w:color="auto" w:fill="auto"/>
            <w:noWrap/>
            <w:hideMark/>
          </w:tcPr>
          <w:p w14:paraId="73E479F0" w14:textId="77777777" w:rsidR="006A3DBC" w:rsidRPr="002B7276" w:rsidRDefault="006A3DBC" w:rsidP="006B4013">
            <w:pPr>
              <w:spacing w:after="0" w:line="240" w:lineRule="auto"/>
              <w:jc w:val="center"/>
              <w:rPr>
                <w:rFonts w:eastAsia="Times New Roman" w:cs="Arial"/>
                <w:sz w:val="22"/>
                <w:lang w:eastAsia="es-SV"/>
              </w:rPr>
            </w:pPr>
            <w:r w:rsidRPr="002B7276">
              <w:rPr>
                <w:rFonts w:eastAsia="Times New Roman" w:cs="Arial"/>
                <w:sz w:val="22"/>
                <w:lang w:eastAsia="es-SV"/>
              </w:rPr>
              <w:t>691</w:t>
            </w:r>
          </w:p>
        </w:tc>
      </w:tr>
      <w:tr w:rsidR="002B7276" w:rsidRPr="002B7276" w14:paraId="2535D7EB" w14:textId="77777777" w:rsidTr="005F4A92">
        <w:trPr>
          <w:trHeight w:val="254"/>
          <w:jc w:val="center"/>
        </w:trPr>
        <w:tc>
          <w:tcPr>
            <w:tcW w:w="3035" w:type="dxa"/>
            <w:shd w:val="clear" w:color="000000" w:fill="E0E0E0"/>
            <w:hideMark/>
          </w:tcPr>
          <w:p w14:paraId="3372A836" w14:textId="77777777" w:rsidR="006A3DBC" w:rsidRPr="002B7276" w:rsidRDefault="006A3DBC" w:rsidP="005F4A92">
            <w:pPr>
              <w:spacing w:after="0" w:line="240" w:lineRule="auto"/>
              <w:rPr>
                <w:rFonts w:eastAsia="Times New Roman" w:cs="Arial"/>
                <w:sz w:val="22"/>
                <w:lang w:eastAsia="es-SV"/>
              </w:rPr>
            </w:pPr>
            <w:r w:rsidRPr="002B7276">
              <w:rPr>
                <w:rFonts w:eastAsia="Times New Roman" w:cs="Arial"/>
                <w:sz w:val="22"/>
                <w:lang w:eastAsia="es-SV"/>
              </w:rPr>
              <w:t>Otro</w:t>
            </w:r>
          </w:p>
        </w:tc>
        <w:tc>
          <w:tcPr>
            <w:tcW w:w="1423" w:type="dxa"/>
            <w:shd w:val="clear" w:color="auto" w:fill="auto"/>
            <w:noWrap/>
            <w:hideMark/>
          </w:tcPr>
          <w:p w14:paraId="50ABEF7D" w14:textId="77777777" w:rsidR="006A3DBC" w:rsidRPr="002B7276" w:rsidRDefault="006A3DBC" w:rsidP="006B4013">
            <w:pPr>
              <w:spacing w:after="0" w:line="240" w:lineRule="auto"/>
              <w:jc w:val="center"/>
              <w:rPr>
                <w:rFonts w:eastAsia="Times New Roman" w:cs="Arial"/>
                <w:sz w:val="22"/>
                <w:lang w:eastAsia="es-SV"/>
              </w:rPr>
            </w:pPr>
            <w:r w:rsidRPr="002B7276">
              <w:rPr>
                <w:rFonts w:eastAsia="Times New Roman" w:cs="Arial"/>
                <w:sz w:val="22"/>
                <w:lang w:eastAsia="es-SV"/>
              </w:rPr>
              <w:t>515</w:t>
            </w:r>
          </w:p>
        </w:tc>
        <w:tc>
          <w:tcPr>
            <w:tcW w:w="1423" w:type="dxa"/>
            <w:shd w:val="clear" w:color="auto" w:fill="auto"/>
            <w:noWrap/>
            <w:hideMark/>
          </w:tcPr>
          <w:p w14:paraId="6F0F8060" w14:textId="77777777" w:rsidR="006A3DBC" w:rsidRPr="002B7276" w:rsidRDefault="006A3DBC" w:rsidP="006B4013">
            <w:pPr>
              <w:spacing w:after="0" w:line="240" w:lineRule="auto"/>
              <w:jc w:val="center"/>
              <w:rPr>
                <w:rFonts w:eastAsia="Times New Roman" w:cs="Arial"/>
                <w:sz w:val="22"/>
                <w:lang w:eastAsia="es-SV"/>
              </w:rPr>
            </w:pPr>
            <w:r w:rsidRPr="002B7276">
              <w:rPr>
                <w:rFonts w:eastAsia="Times New Roman" w:cs="Arial"/>
                <w:sz w:val="22"/>
                <w:lang w:eastAsia="es-SV"/>
              </w:rPr>
              <w:t>164</w:t>
            </w:r>
          </w:p>
        </w:tc>
        <w:tc>
          <w:tcPr>
            <w:tcW w:w="1342" w:type="dxa"/>
            <w:shd w:val="clear" w:color="auto" w:fill="auto"/>
            <w:noWrap/>
            <w:hideMark/>
          </w:tcPr>
          <w:p w14:paraId="40BCC747" w14:textId="77777777" w:rsidR="006A3DBC" w:rsidRPr="002B7276" w:rsidRDefault="006A3DBC" w:rsidP="006B4013">
            <w:pPr>
              <w:spacing w:after="0" w:line="240" w:lineRule="auto"/>
              <w:jc w:val="center"/>
              <w:rPr>
                <w:rFonts w:eastAsia="Times New Roman" w:cs="Arial"/>
                <w:sz w:val="22"/>
                <w:lang w:eastAsia="es-SV"/>
              </w:rPr>
            </w:pPr>
            <w:r w:rsidRPr="002B7276">
              <w:rPr>
                <w:rFonts w:eastAsia="Times New Roman" w:cs="Arial"/>
                <w:sz w:val="22"/>
                <w:lang w:eastAsia="es-SV"/>
              </w:rPr>
              <w:t>679</w:t>
            </w:r>
          </w:p>
        </w:tc>
      </w:tr>
      <w:tr w:rsidR="002B7276" w:rsidRPr="002B7276" w14:paraId="0116FBE6" w14:textId="77777777" w:rsidTr="005F4A92">
        <w:trPr>
          <w:trHeight w:val="254"/>
          <w:jc w:val="center"/>
        </w:trPr>
        <w:tc>
          <w:tcPr>
            <w:tcW w:w="3035" w:type="dxa"/>
            <w:shd w:val="clear" w:color="000000" w:fill="E0E0E0"/>
            <w:noWrap/>
            <w:hideMark/>
          </w:tcPr>
          <w:p w14:paraId="1DA92625" w14:textId="77777777" w:rsidR="006A3DBC" w:rsidRPr="002B7276" w:rsidRDefault="006A3DBC" w:rsidP="005F4A92">
            <w:pPr>
              <w:spacing w:after="0" w:line="240" w:lineRule="auto"/>
              <w:rPr>
                <w:rFonts w:eastAsia="Times New Roman" w:cs="Arial"/>
                <w:sz w:val="22"/>
                <w:lang w:eastAsia="es-SV"/>
              </w:rPr>
            </w:pPr>
            <w:r w:rsidRPr="002B7276">
              <w:rPr>
                <w:rFonts w:eastAsia="Times New Roman" w:cs="Arial"/>
                <w:sz w:val="22"/>
                <w:lang w:eastAsia="es-SV"/>
              </w:rPr>
              <w:t>NR</w:t>
            </w:r>
          </w:p>
        </w:tc>
        <w:tc>
          <w:tcPr>
            <w:tcW w:w="1423" w:type="dxa"/>
            <w:shd w:val="clear" w:color="auto" w:fill="auto"/>
            <w:noWrap/>
            <w:hideMark/>
          </w:tcPr>
          <w:p w14:paraId="7D290FC3" w14:textId="77777777" w:rsidR="006A3DBC" w:rsidRPr="002B7276" w:rsidRDefault="006A3DBC" w:rsidP="006B4013">
            <w:pPr>
              <w:spacing w:after="0" w:line="240" w:lineRule="auto"/>
              <w:jc w:val="center"/>
              <w:rPr>
                <w:rFonts w:eastAsia="Times New Roman" w:cs="Arial"/>
                <w:sz w:val="22"/>
                <w:lang w:eastAsia="es-SV"/>
              </w:rPr>
            </w:pPr>
            <w:r w:rsidRPr="002B7276">
              <w:rPr>
                <w:rFonts w:eastAsia="Times New Roman" w:cs="Arial"/>
                <w:sz w:val="22"/>
                <w:lang w:eastAsia="es-SV"/>
              </w:rPr>
              <w:t>108</w:t>
            </w:r>
          </w:p>
        </w:tc>
        <w:tc>
          <w:tcPr>
            <w:tcW w:w="1423" w:type="dxa"/>
            <w:shd w:val="clear" w:color="auto" w:fill="auto"/>
            <w:noWrap/>
            <w:hideMark/>
          </w:tcPr>
          <w:p w14:paraId="2B4EA021" w14:textId="77777777" w:rsidR="006A3DBC" w:rsidRPr="002B7276" w:rsidRDefault="006A3DBC" w:rsidP="006B4013">
            <w:pPr>
              <w:spacing w:after="0" w:line="240" w:lineRule="auto"/>
              <w:jc w:val="center"/>
              <w:rPr>
                <w:rFonts w:eastAsia="Times New Roman" w:cs="Arial"/>
                <w:sz w:val="22"/>
                <w:lang w:eastAsia="es-SV"/>
              </w:rPr>
            </w:pPr>
            <w:r w:rsidRPr="002B7276">
              <w:rPr>
                <w:rFonts w:eastAsia="Times New Roman" w:cs="Arial"/>
                <w:sz w:val="22"/>
                <w:lang w:eastAsia="es-SV"/>
              </w:rPr>
              <w:t>143</w:t>
            </w:r>
          </w:p>
        </w:tc>
        <w:tc>
          <w:tcPr>
            <w:tcW w:w="1342" w:type="dxa"/>
            <w:shd w:val="clear" w:color="auto" w:fill="auto"/>
            <w:noWrap/>
            <w:hideMark/>
          </w:tcPr>
          <w:p w14:paraId="0261E83C" w14:textId="77777777" w:rsidR="006A3DBC" w:rsidRPr="002B7276" w:rsidRDefault="006A3DBC" w:rsidP="006B4013">
            <w:pPr>
              <w:spacing w:after="0" w:line="240" w:lineRule="auto"/>
              <w:jc w:val="center"/>
              <w:rPr>
                <w:rFonts w:eastAsia="Times New Roman" w:cs="Arial"/>
                <w:sz w:val="22"/>
                <w:lang w:eastAsia="es-SV"/>
              </w:rPr>
            </w:pPr>
            <w:r w:rsidRPr="002B7276">
              <w:rPr>
                <w:rFonts w:eastAsia="Times New Roman" w:cs="Arial"/>
                <w:sz w:val="22"/>
                <w:lang w:eastAsia="es-SV"/>
              </w:rPr>
              <w:t>251</w:t>
            </w:r>
          </w:p>
        </w:tc>
      </w:tr>
      <w:tr w:rsidR="002B7276" w:rsidRPr="002B7276" w14:paraId="67CC34A5" w14:textId="77777777" w:rsidTr="005F4A92">
        <w:trPr>
          <w:trHeight w:val="254"/>
          <w:jc w:val="center"/>
        </w:trPr>
        <w:tc>
          <w:tcPr>
            <w:tcW w:w="3035" w:type="dxa"/>
            <w:shd w:val="clear" w:color="000000" w:fill="E0E0E0"/>
            <w:noWrap/>
          </w:tcPr>
          <w:p w14:paraId="69CA5F93" w14:textId="2EE69AA1" w:rsidR="006A3DBC" w:rsidRPr="002B7276" w:rsidRDefault="006A3DBC" w:rsidP="005F4A92">
            <w:pPr>
              <w:spacing w:after="0" w:line="240" w:lineRule="auto"/>
              <w:rPr>
                <w:rFonts w:eastAsia="Times New Roman" w:cs="Arial"/>
                <w:sz w:val="22"/>
                <w:lang w:eastAsia="es-SV"/>
              </w:rPr>
            </w:pPr>
          </w:p>
        </w:tc>
        <w:tc>
          <w:tcPr>
            <w:tcW w:w="1423" w:type="dxa"/>
            <w:shd w:val="clear" w:color="auto" w:fill="auto"/>
            <w:noWrap/>
          </w:tcPr>
          <w:p w14:paraId="13C18402" w14:textId="27A73F8A" w:rsidR="006A3DBC" w:rsidRPr="002B7276" w:rsidRDefault="006A3DBC" w:rsidP="00A9263E">
            <w:pPr>
              <w:spacing w:after="0" w:line="240" w:lineRule="auto"/>
              <w:jc w:val="center"/>
              <w:rPr>
                <w:rFonts w:eastAsia="Times New Roman" w:cs="Arial"/>
                <w:b/>
                <w:bCs/>
                <w:sz w:val="22"/>
                <w:lang w:eastAsia="es-SV"/>
              </w:rPr>
            </w:pPr>
            <w:r w:rsidRPr="002B7276">
              <w:rPr>
                <w:rFonts w:eastAsia="Times New Roman" w:cs="Arial"/>
                <w:b/>
                <w:bCs/>
                <w:sz w:val="22"/>
                <w:lang w:eastAsia="es-SV"/>
              </w:rPr>
              <w:t>149</w:t>
            </w:r>
            <w:r w:rsidR="00E47EBB" w:rsidRPr="002B7276">
              <w:rPr>
                <w:rFonts w:eastAsia="Times New Roman" w:cs="Arial"/>
                <w:b/>
                <w:bCs/>
                <w:sz w:val="22"/>
                <w:lang w:eastAsia="es-SV"/>
              </w:rPr>
              <w:t>,</w:t>
            </w:r>
            <w:r w:rsidRPr="002B7276">
              <w:rPr>
                <w:rFonts w:eastAsia="Times New Roman" w:cs="Arial"/>
                <w:b/>
                <w:bCs/>
                <w:sz w:val="22"/>
                <w:lang w:eastAsia="es-SV"/>
              </w:rPr>
              <w:t>927</w:t>
            </w:r>
          </w:p>
        </w:tc>
        <w:tc>
          <w:tcPr>
            <w:tcW w:w="1423" w:type="dxa"/>
            <w:shd w:val="clear" w:color="auto" w:fill="auto"/>
            <w:noWrap/>
          </w:tcPr>
          <w:p w14:paraId="01F1FFE5" w14:textId="1F5D2D71" w:rsidR="006A3DBC" w:rsidRPr="002B7276" w:rsidRDefault="006A3DBC" w:rsidP="00A9263E">
            <w:pPr>
              <w:spacing w:after="0" w:line="240" w:lineRule="auto"/>
              <w:jc w:val="center"/>
              <w:rPr>
                <w:rFonts w:eastAsia="Times New Roman" w:cs="Arial"/>
                <w:b/>
                <w:bCs/>
                <w:sz w:val="22"/>
                <w:lang w:eastAsia="es-SV"/>
              </w:rPr>
            </w:pPr>
            <w:r w:rsidRPr="002B7276">
              <w:rPr>
                <w:rFonts w:eastAsia="Times New Roman" w:cs="Arial"/>
                <w:b/>
                <w:bCs/>
                <w:sz w:val="22"/>
                <w:lang w:eastAsia="es-SV"/>
              </w:rPr>
              <w:t>179</w:t>
            </w:r>
            <w:r w:rsidR="00E47EBB" w:rsidRPr="002B7276">
              <w:rPr>
                <w:rFonts w:eastAsia="Times New Roman" w:cs="Arial"/>
                <w:b/>
                <w:bCs/>
                <w:sz w:val="22"/>
                <w:lang w:eastAsia="es-SV"/>
              </w:rPr>
              <w:t>,</w:t>
            </w:r>
            <w:r w:rsidRPr="002B7276">
              <w:rPr>
                <w:rFonts w:eastAsia="Times New Roman" w:cs="Arial"/>
                <w:b/>
                <w:bCs/>
                <w:sz w:val="22"/>
                <w:lang w:eastAsia="es-SV"/>
              </w:rPr>
              <w:t>986</w:t>
            </w:r>
          </w:p>
        </w:tc>
        <w:tc>
          <w:tcPr>
            <w:tcW w:w="1342" w:type="dxa"/>
            <w:shd w:val="clear" w:color="auto" w:fill="auto"/>
            <w:noWrap/>
          </w:tcPr>
          <w:p w14:paraId="3BF2AC63" w14:textId="06A72898" w:rsidR="006A3DBC" w:rsidRPr="002B7276" w:rsidRDefault="006A3DBC" w:rsidP="00A9263E">
            <w:pPr>
              <w:spacing w:after="0" w:line="240" w:lineRule="auto"/>
              <w:jc w:val="center"/>
              <w:rPr>
                <w:rFonts w:eastAsia="Times New Roman" w:cs="Arial"/>
                <w:b/>
                <w:bCs/>
                <w:sz w:val="22"/>
                <w:lang w:eastAsia="es-SV"/>
              </w:rPr>
            </w:pPr>
            <w:r w:rsidRPr="002B7276">
              <w:rPr>
                <w:rFonts w:eastAsia="Times New Roman" w:cs="Arial"/>
                <w:b/>
                <w:bCs/>
                <w:sz w:val="22"/>
                <w:lang w:eastAsia="es-SV"/>
              </w:rPr>
              <w:t>329</w:t>
            </w:r>
            <w:r w:rsidR="00E47EBB" w:rsidRPr="002B7276">
              <w:rPr>
                <w:rFonts w:eastAsia="Times New Roman" w:cs="Arial"/>
                <w:b/>
                <w:bCs/>
                <w:sz w:val="22"/>
                <w:lang w:eastAsia="es-SV"/>
              </w:rPr>
              <w:t>,</w:t>
            </w:r>
            <w:r w:rsidRPr="002B7276">
              <w:rPr>
                <w:rFonts w:eastAsia="Times New Roman" w:cs="Arial"/>
                <w:b/>
                <w:bCs/>
                <w:sz w:val="22"/>
                <w:lang w:eastAsia="es-SV"/>
              </w:rPr>
              <w:t>913</w:t>
            </w:r>
          </w:p>
        </w:tc>
      </w:tr>
    </w:tbl>
    <w:p w14:paraId="200C9741" w14:textId="77777777" w:rsidR="006A3DBC" w:rsidRPr="00FA4B2D" w:rsidRDefault="006A3DBC" w:rsidP="006A3DBC">
      <w:pPr>
        <w:jc w:val="center"/>
        <w:rPr>
          <w:rFonts w:cs="Arial"/>
          <w:sz w:val="20"/>
          <w:szCs w:val="20"/>
        </w:rPr>
      </w:pPr>
      <w:r w:rsidRPr="00FA4B2D">
        <w:rPr>
          <w:rFonts w:cs="Arial"/>
          <w:b/>
          <w:bCs/>
          <w:sz w:val="20"/>
          <w:szCs w:val="20"/>
        </w:rPr>
        <w:t>Fuente</w:t>
      </w:r>
      <w:r w:rsidRPr="00FA4B2D">
        <w:rPr>
          <w:rFonts w:cs="Arial"/>
          <w:sz w:val="20"/>
          <w:szCs w:val="20"/>
        </w:rPr>
        <w:t>: elaboración propia con base a datos de la EHPM 2019.</w:t>
      </w:r>
    </w:p>
    <w:p w14:paraId="1E134F03" w14:textId="77777777" w:rsidR="006A3DBC" w:rsidRPr="00FA4B2D" w:rsidRDefault="006A3DBC" w:rsidP="0061577A">
      <w:pPr>
        <w:jc w:val="both"/>
        <w:rPr>
          <w:rFonts w:cs="Arial"/>
          <w:lang w:eastAsia="es-SV"/>
        </w:rPr>
      </w:pPr>
      <w:r w:rsidRPr="00FA4B2D">
        <w:rPr>
          <w:rFonts w:cs="Arial"/>
          <w:lang w:eastAsia="es-SV"/>
        </w:rPr>
        <w:t xml:space="preserve">En relación con los materiales predominantes en el piso, sobresalen las viviendas con plancha de cemento (179 mil), tanto en el área urbana como rural, sin embargo, las viviendas con piso de tierra siguen teniendo una alta incidencia, tanto urbana como rural, siendo que más de 43 mil hogares que se encuentran en dicha condición. </w:t>
      </w:r>
    </w:p>
    <w:p w14:paraId="3498E699" w14:textId="7B9345A6" w:rsidR="00EF7331" w:rsidRDefault="00EF7331" w:rsidP="00EF7331">
      <w:pPr>
        <w:pStyle w:val="Descripcin"/>
        <w:keepNext/>
      </w:pPr>
      <w:bookmarkStart w:id="693" w:name="_Toc202455456"/>
      <w:r>
        <w:t xml:space="preserve">Tabla </w:t>
      </w:r>
      <w:r>
        <w:fldChar w:fldCharType="begin"/>
      </w:r>
      <w:r>
        <w:instrText xml:space="preserve"> SEQ Tabla \* ARABIC </w:instrText>
      </w:r>
      <w:r>
        <w:fldChar w:fldCharType="separate"/>
      </w:r>
      <w:r w:rsidR="000E6D86">
        <w:rPr>
          <w:noProof/>
        </w:rPr>
        <w:t>30</w:t>
      </w:r>
      <w:r>
        <w:fldChar w:fldCharType="end"/>
      </w:r>
      <w:r>
        <w:t xml:space="preserve">: </w:t>
      </w:r>
      <w:r w:rsidRPr="0026400B">
        <w:t>Materiales predominantes del piso de las viviendas en los 3 departamentos</w:t>
      </w:r>
      <w:bookmarkEnd w:id="693"/>
    </w:p>
    <w:tbl>
      <w:tblPr>
        <w:tblW w:w="7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64"/>
        <w:gridCol w:w="1602"/>
        <w:gridCol w:w="1602"/>
        <w:gridCol w:w="1511"/>
      </w:tblGrid>
      <w:tr w:rsidR="002B7276" w:rsidRPr="002B7276" w14:paraId="65A46C83" w14:textId="77777777" w:rsidTr="00016847">
        <w:trPr>
          <w:trHeight w:val="267"/>
          <w:tblHeader/>
          <w:jc w:val="center"/>
        </w:trPr>
        <w:tc>
          <w:tcPr>
            <w:tcW w:w="2964" w:type="dxa"/>
            <w:shd w:val="clear" w:color="auto" w:fill="5CC5DA"/>
          </w:tcPr>
          <w:p w14:paraId="370B67AB" w14:textId="77777777" w:rsidR="006A3DBC" w:rsidRPr="002B7276" w:rsidRDefault="006A3DBC" w:rsidP="005F4A92">
            <w:pPr>
              <w:spacing w:after="0" w:line="240" w:lineRule="auto"/>
              <w:rPr>
                <w:rFonts w:eastAsia="Times New Roman" w:cs="Arial"/>
                <w:b/>
                <w:sz w:val="22"/>
                <w:szCs w:val="20"/>
                <w:lang w:eastAsia="es-SV"/>
              </w:rPr>
            </w:pPr>
            <w:r w:rsidRPr="002B7276">
              <w:rPr>
                <w:rFonts w:eastAsia="Times New Roman" w:cs="Arial"/>
                <w:b/>
                <w:sz w:val="22"/>
                <w:szCs w:val="20"/>
                <w:lang w:eastAsia="es-SV"/>
              </w:rPr>
              <w:t>Materiales</w:t>
            </w:r>
          </w:p>
        </w:tc>
        <w:tc>
          <w:tcPr>
            <w:tcW w:w="1602" w:type="dxa"/>
            <w:shd w:val="clear" w:color="auto" w:fill="5CC5DA"/>
            <w:noWrap/>
          </w:tcPr>
          <w:p w14:paraId="4B94E7F5" w14:textId="77777777" w:rsidR="006A3DBC" w:rsidRPr="002B7276" w:rsidRDefault="006A3DBC" w:rsidP="005F4A92">
            <w:pPr>
              <w:spacing w:after="0" w:line="240" w:lineRule="auto"/>
              <w:jc w:val="right"/>
              <w:rPr>
                <w:rFonts w:eastAsia="Times New Roman" w:cs="Arial"/>
                <w:b/>
                <w:sz w:val="22"/>
                <w:szCs w:val="20"/>
                <w:lang w:eastAsia="es-SV"/>
              </w:rPr>
            </w:pPr>
            <w:r w:rsidRPr="002B7276">
              <w:rPr>
                <w:rFonts w:eastAsia="Times New Roman" w:cs="Arial"/>
                <w:b/>
                <w:sz w:val="22"/>
                <w:szCs w:val="20"/>
                <w:lang w:eastAsia="es-SV"/>
              </w:rPr>
              <w:t>Urbano</w:t>
            </w:r>
          </w:p>
        </w:tc>
        <w:tc>
          <w:tcPr>
            <w:tcW w:w="1602" w:type="dxa"/>
            <w:shd w:val="clear" w:color="auto" w:fill="5CC5DA"/>
            <w:noWrap/>
          </w:tcPr>
          <w:p w14:paraId="2A937DDE" w14:textId="77777777" w:rsidR="006A3DBC" w:rsidRPr="002B7276" w:rsidRDefault="006A3DBC" w:rsidP="005F4A92">
            <w:pPr>
              <w:spacing w:after="0" w:line="240" w:lineRule="auto"/>
              <w:jc w:val="right"/>
              <w:rPr>
                <w:rFonts w:eastAsia="Times New Roman" w:cs="Arial"/>
                <w:b/>
                <w:sz w:val="22"/>
                <w:szCs w:val="20"/>
                <w:lang w:eastAsia="es-SV"/>
              </w:rPr>
            </w:pPr>
            <w:r w:rsidRPr="002B7276">
              <w:rPr>
                <w:rFonts w:eastAsia="Times New Roman" w:cs="Arial"/>
                <w:b/>
                <w:sz w:val="22"/>
                <w:szCs w:val="20"/>
                <w:lang w:eastAsia="es-SV"/>
              </w:rPr>
              <w:t>Rural</w:t>
            </w:r>
          </w:p>
        </w:tc>
        <w:tc>
          <w:tcPr>
            <w:tcW w:w="1511" w:type="dxa"/>
            <w:shd w:val="clear" w:color="auto" w:fill="5CC5DA"/>
            <w:noWrap/>
          </w:tcPr>
          <w:p w14:paraId="77507BA5" w14:textId="77777777" w:rsidR="006A3DBC" w:rsidRPr="002B7276" w:rsidRDefault="006A3DBC" w:rsidP="005F4A92">
            <w:pPr>
              <w:spacing w:after="0" w:line="240" w:lineRule="auto"/>
              <w:jc w:val="right"/>
              <w:rPr>
                <w:rFonts w:eastAsia="Times New Roman" w:cs="Arial"/>
                <w:b/>
                <w:sz w:val="22"/>
                <w:szCs w:val="20"/>
                <w:lang w:eastAsia="es-SV"/>
              </w:rPr>
            </w:pPr>
            <w:r w:rsidRPr="002B7276">
              <w:rPr>
                <w:rFonts w:eastAsia="Times New Roman" w:cs="Arial"/>
                <w:b/>
                <w:sz w:val="22"/>
                <w:szCs w:val="20"/>
                <w:lang w:eastAsia="es-SV"/>
              </w:rPr>
              <w:t>Total</w:t>
            </w:r>
          </w:p>
        </w:tc>
      </w:tr>
      <w:tr w:rsidR="002B7276" w:rsidRPr="002B7276" w14:paraId="26750ED5" w14:textId="77777777" w:rsidTr="005F4A92">
        <w:trPr>
          <w:trHeight w:val="267"/>
          <w:jc w:val="center"/>
        </w:trPr>
        <w:tc>
          <w:tcPr>
            <w:tcW w:w="2964" w:type="dxa"/>
            <w:shd w:val="clear" w:color="000000" w:fill="E0E0E0"/>
            <w:hideMark/>
          </w:tcPr>
          <w:p w14:paraId="6FE3DC4A" w14:textId="77777777" w:rsidR="006A3DBC" w:rsidRPr="002B7276" w:rsidRDefault="006A3DBC" w:rsidP="005F4A92">
            <w:pPr>
              <w:spacing w:after="0" w:line="240" w:lineRule="auto"/>
              <w:rPr>
                <w:rFonts w:eastAsia="Times New Roman" w:cs="Arial"/>
                <w:sz w:val="22"/>
                <w:szCs w:val="20"/>
                <w:lang w:eastAsia="es-SV"/>
              </w:rPr>
            </w:pPr>
            <w:r w:rsidRPr="002B7276">
              <w:rPr>
                <w:rFonts w:eastAsia="Times New Roman" w:cs="Arial"/>
                <w:sz w:val="22"/>
                <w:szCs w:val="20"/>
                <w:lang w:eastAsia="es-SV"/>
              </w:rPr>
              <w:t>Cerámica</w:t>
            </w:r>
          </w:p>
        </w:tc>
        <w:tc>
          <w:tcPr>
            <w:tcW w:w="1602" w:type="dxa"/>
            <w:shd w:val="clear" w:color="auto" w:fill="auto"/>
            <w:noWrap/>
            <w:hideMark/>
          </w:tcPr>
          <w:p w14:paraId="13870902" w14:textId="5EBE2F48" w:rsidR="006A3DBC" w:rsidRPr="002B7276" w:rsidRDefault="006A3DBC" w:rsidP="00C903AF">
            <w:pPr>
              <w:spacing w:after="0" w:line="240" w:lineRule="auto"/>
              <w:jc w:val="center"/>
              <w:rPr>
                <w:rFonts w:eastAsia="Times New Roman" w:cs="Arial"/>
                <w:sz w:val="22"/>
                <w:szCs w:val="20"/>
                <w:lang w:eastAsia="es-SV"/>
              </w:rPr>
            </w:pPr>
            <w:r w:rsidRPr="002B7276">
              <w:rPr>
                <w:rFonts w:eastAsia="Times New Roman" w:cs="Arial"/>
                <w:sz w:val="22"/>
                <w:szCs w:val="20"/>
                <w:lang w:eastAsia="es-SV"/>
              </w:rPr>
              <w:t>34</w:t>
            </w:r>
            <w:r w:rsidR="00C27E4F" w:rsidRPr="002B7276">
              <w:rPr>
                <w:rFonts w:eastAsia="Times New Roman" w:cs="Arial"/>
                <w:sz w:val="22"/>
                <w:szCs w:val="20"/>
                <w:lang w:eastAsia="es-SV"/>
              </w:rPr>
              <w:t>,</w:t>
            </w:r>
            <w:r w:rsidRPr="002B7276">
              <w:rPr>
                <w:rFonts w:eastAsia="Times New Roman" w:cs="Arial"/>
                <w:sz w:val="22"/>
                <w:szCs w:val="20"/>
                <w:lang w:eastAsia="es-SV"/>
              </w:rPr>
              <w:t>195</w:t>
            </w:r>
          </w:p>
        </w:tc>
        <w:tc>
          <w:tcPr>
            <w:tcW w:w="1602" w:type="dxa"/>
            <w:shd w:val="clear" w:color="auto" w:fill="auto"/>
            <w:noWrap/>
            <w:hideMark/>
          </w:tcPr>
          <w:p w14:paraId="3E714A99" w14:textId="1B692FED" w:rsidR="006A3DBC" w:rsidRPr="002B7276" w:rsidRDefault="006A3DBC" w:rsidP="00C903AF">
            <w:pPr>
              <w:spacing w:after="0" w:line="240" w:lineRule="auto"/>
              <w:jc w:val="center"/>
              <w:rPr>
                <w:rFonts w:eastAsia="Times New Roman" w:cs="Arial"/>
                <w:sz w:val="22"/>
                <w:szCs w:val="20"/>
                <w:lang w:eastAsia="es-SV"/>
              </w:rPr>
            </w:pPr>
            <w:r w:rsidRPr="002B7276">
              <w:rPr>
                <w:rFonts w:eastAsia="Times New Roman" w:cs="Arial"/>
                <w:sz w:val="22"/>
                <w:szCs w:val="20"/>
                <w:lang w:eastAsia="es-SV"/>
              </w:rPr>
              <w:t>12</w:t>
            </w:r>
            <w:r w:rsidR="00C27E4F" w:rsidRPr="002B7276">
              <w:rPr>
                <w:rFonts w:eastAsia="Times New Roman" w:cs="Arial"/>
                <w:sz w:val="22"/>
                <w:szCs w:val="20"/>
                <w:lang w:eastAsia="es-SV"/>
              </w:rPr>
              <w:t>,</w:t>
            </w:r>
            <w:r w:rsidRPr="002B7276">
              <w:rPr>
                <w:rFonts w:eastAsia="Times New Roman" w:cs="Arial"/>
                <w:sz w:val="22"/>
                <w:szCs w:val="20"/>
                <w:lang w:eastAsia="es-SV"/>
              </w:rPr>
              <w:t>941</w:t>
            </w:r>
          </w:p>
        </w:tc>
        <w:tc>
          <w:tcPr>
            <w:tcW w:w="1511" w:type="dxa"/>
            <w:shd w:val="clear" w:color="auto" w:fill="auto"/>
            <w:noWrap/>
            <w:hideMark/>
          </w:tcPr>
          <w:p w14:paraId="1B47A441" w14:textId="7730CE3D" w:rsidR="006A3DBC" w:rsidRPr="002B7276" w:rsidRDefault="006A3DBC" w:rsidP="00C903AF">
            <w:pPr>
              <w:spacing w:after="0" w:line="240" w:lineRule="auto"/>
              <w:jc w:val="center"/>
              <w:rPr>
                <w:rFonts w:eastAsia="Times New Roman" w:cs="Arial"/>
                <w:sz w:val="22"/>
                <w:szCs w:val="20"/>
                <w:lang w:eastAsia="es-SV"/>
              </w:rPr>
            </w:pPr>
            <w:r w:rsidRPr="002B7276">
              <w:rPr>
                <w:rFonts w:eastAsia="Times New Roman" w:cs="Arial"/>
                <w:sz w:val="22"/>
                <w:szCs w:val="20"/>
                <w:lang w:eastAsia="es-SV"/>
              </w:rPr>
              <w:t>47</w:t>
            </w:r>
            <w:r w:rsidR="00C27E4F" w:rsidRPr="002B7276">
              <w:rPr>
                <w:rFonts w:eastAsia="Times New Roman" w:cs="Arial"/>
                <w:sz w:val="22"/>
                <w:szCs w:val="20"/>
                <w:lang w:eastAsia="es-SV"/>
              </w:rPr>
              <w:t>,</w:t>
            </w:r>
            <w:r w:rsidRPr="002B7276">
              <w:rPr>
                <w:rFonts w:eastAsia="Times New Roman" w:cs="Arial"/>
                <w:sz w:val="22"/>
                <w:szCs w:val="20"/>
                <w:lang w:eastAsia="es-SV"/>
              </w:rPr>
              <w:t>136</w:t>
            </w:r>
          </w:p>
        </w:tc>
      </w:tr>
      <w:tr w:rsidR="002B7276" w:rsidRPr="002B7276" w14:paraId="6644F32C" w14:textId="77777777" w:rsidTr="005F4A92">
        <w:trPr>
          <w:trHeight w:val="267"/>
          <w:jc w:val="center"/>
        </w:trPr>
        <w:tc>
          <w:tcPr>
            <w:tcW w:w="2964" w:type="dxa"/>
            <w:shd w:val="clear" w:color="000000" w:fill="E0E0E0"/>
            <w:hideMark/>
          </w:tcPr>
          <w:p w14:paraId="73C6C436" w14:textId="77777777" w:rsidR="006A3DBC" w:rsidRPr="002B7276" w:rsidRDefault="006A3DBC" w:rsidP="005F4A92">
            <w:pPr>
              <w:spacing w:after="0" w:line="240" w:lineRule="auto"/>
              <w:rPr>
                <w:rFonts w:eastAsia="Times New Roman" w:cs="Arial"/>
                <w:sz w:val="22"/>
                <w:szCs w:val="20"/>
                <w:lang w:eastAsia="es-SV"/>
              </w:rPr>
            </w:pPr>
            <w:r w:rsidRPr="002B7276">
              <w:rPr>
                <w:rFonts w:eastAsia="Times New Roman" w:cs="Arial"/>
                <w:sz w:val="22"/>
                <w:szCs w:val="20"/>
                <w:lang w:eastAsia="es-SV"/>
              </w:rPr>
              <w:t>Ladrillo de cemento</w:t>
            </w:r>
          </w:p>
        </w:tc>
        <w:tc>
          <w:tcPr>
            <w:tcW w:w="1602" w:type="dxa"/>
            <w:shd w:val="clear" w:color="auto" w:fill="auto"/>
            <w:noWrap/>
            <w:hideMark/>
          </w:tcPr>
          <w:p w14:paraId="2B624CB8" w14:textId="0BC30147" w:rsidR="006A3DBC" w:rsidRPr="002B7276" w:rsidRDefault="006A3DBC" w:rsidP="00C903AF">
            <w:pPr>
              <w:spacing w:after="0" w:line="240" w:lineRule="auto"/>
              <w:jc w:val="center"/>
              <w:rPr>
                <w:rFonts w:eastAsia="Times New Roman" w:cs="Arial"/>
                <w:sz w:val="22"/>
                <w:szCs w:val="20"/>
                <w:lang w:eastAsia="es-SV"/>
              </w:rPr>
            </w:pPr>
            <w:r w:rsidRPr="002B7276">
              <w:rPr>
                <w:rFonts w:eastAsia="Times New Roman" w:cs="Arial"/>
                <w:sz w:val="22"/>
                <w:szCs w:val="20"/>
                <w:lang w:eastAsia="es-SV"/>
              </w:rPr>
              <w:t>34</w:t>
            </w:r>
            <w:r w:rsidR="00C27E4F" w:rsidRPr="002B7276">
              <w:rPr>
                <w:rFonts w:eastAsia="Times New Roman" w:cs="Arial"/>
                <w:sz w:val="22"/>
                <w:szCs w:val="20"/>
                <w:lang w:eastAsia="es-SV"/>
              </w:rPr>
              <w:t>,</w:t>
            </w:r>
            <w:r w:rsidRPr="002B7276">
              <w:rPr>
                <w:rFonts w:eastAsia="Times New Roman" w:cs="Arial"/>
                <w:sz w:val="22"/>
                <w:szCs w:val="20"/>
                <w:lang w:eastAsia="es-SV"/>
              </w:rPr>
              <w:t>534</w:t>
            </w:r>
          </w:p>
        </w:tc>
        <w:tc>
          <w:tcPr>
            <w:tcW w:w="1602" w:type="dxa"/>
            <w:shd w:val="clear" w:color="auto" w:fill="auto"/>
            <w:noWrap/>
            <w:hideMark/>
          </w:tcPr>
          <w:p w14:paraId="7526077B" w14:textId="7B6B3151" w:rsidR="006A3DBC" w:rsidRPr="002B7276" w:rsidRDefault="006A3DBC" w:rsidP="00C903AF">
            <w:pPr>
              <w:spacing w:after="0" w:line="240" w:lineRule="auto"/>
              <w:jc w:val="center"/>
              <w:rPr>
                <w:rFonts w:eastAsia="Times New Roman" w:cs="Arial"/>
                <w:sz w:val="22"/>
                <w:szCs w:val="20"/>
                <w:lang w:eastAsia="es-SV"/>
              </w:rPr>
            </w:pPr>
            <w:r w:rsidRPr="002B7276">
              <w:rPr>
                <w:rFonts w:eastAsia="Times New Roman" w:cs="Arial"/>
                <w:sz w:val="22"/>
                <w:szCs w:val="20"/>
                <w:lang w:eastAsia="es-SV"/>
              </w:rPr>
              <w:t>17</w:t>
            </w:r>
            <w:r w:rsidR="00C27E4F" w:rsidRPr="002B7276">
              <w:rPr>
                <w:rFonts w:eastAsia="Times New Roman" w:cs="Arial"/>
                <w:sz w:val="22"/>
                <w:szCs w:val="20"/>
                <w:lang w:eastAsia="es-SV"/>
              </w:rPr>
              <w:t>,</w:t>
            </w:r>
            <w:r w:rsidRPr="002B7276">
              <w:rPr>
                <w:rFonts w:eastAsia="Times New Roman" w:cs="Arial"/>
                <w:sz w:val="22"/>
                <w:szCs w:val="20"/>
                <w:lang w:eastAsia="es-SV"/>
              </w:rPr>
              <w:t>615</w:t>
            </w:r>
          </w:p>
        </w:tc>
        <w:tc>
          <w:tcPr>
            <w:tcW w:w="1511" w:type="dxa"/>
            <w:shd w:val="clear" w:color="auto" w:fill="auto"/>
            <w:noWrap/>
            <w:hideMark/>
          </w:tcPr>
          <w:p w14:paraId="4EF9F551" w14:textId="0BBF3217" w:rsidR="006A3DBC" w:rsidRPr="002B7276" w:rsidRDefault="006A3DBC" w:rsidP="00C903AF">
            <w:pPr>
              <w:spacing w:after="0" w:line="240" w:lineRule="auto"/>
              <w:jc w:val="center"/>
              <w:rPr>
                <w:rFonts w:eastAsia="Times New Roman" w:cs="Arial"/>
                <w:sz w:val="22"/>
                <w:szCs w:val="20"/>
                <w:lang w:eastAsia="es-SV"/>
              </w:rPr>
            </w:pPr>
            <w:r w:rsidRPr="002B7276">
              <w:rPr>
                <w:rFonts w:eastAsia="Times New Roman" w:cs="Arial"/>
                <w:sz w:val="22"/>
                <w:szCs w:val="20"/>
                <w:lang w:eastAsia="es-SV"/>
              </w:rPr>
              <w:t>52</w:t>
            </w:r>
            <w:r w:rsidR="00C27E4F" w:rsidRPr="002B7276">
              <w:rPr>
                <w:rFonts w:eastAsia="Times New Roman" w:cs="Arial"/>
                <w:sz w:val="22"/>
                <w:szCs w:val="20"/>
                <w:lang w:eastAsia="es-SV"/>
              </w:rPr>
              <w:t>,</w:t>
            </w:r>
            <w:r w:rsidRPr="002B7276">
              <w:rPr>
                <w:rFonts w:eastAsia="Times New Roman" w:cs="Arial"/>
                <w:sz w:val="22"/>
                <w:szCs w:val="20"/>
                <w:lang w:eastAsia="es-SV"/>
              </w:rPr>
              <w:t>149</w:t>
            </w:r>
          </w:p>
        </w:tc>
      </w:tr>
      <w:tr w:rsidR="002B7276" w:rsidRPr="002B7276" w14:paraId="5F5505B2" w14:textId="77777777" w:rsidTr="005F4A92">
        <w:trPr>
          <w:trHeight w:val="267"/>
          <w:jc w:val="center"/>
        </w:trPr>
        <w:tc>
          <w:tcPr>
            <w:tcW w:w="2964" w:type="dxa"/>
            <w:shd w:val="clear" w:color="000000" w:fill="E0E0E0"/>
            <w:hideMark/>
          </w:tcPr>
          <w:p w14:paraId="7E31DB83" w14:textId="77777777" w:rsidR="006A3DBC" w:rsidRPr="002B7276" w:rsidRDefault="006A3DBC" w:rsidP="005F4A92">
            <w:pPr>
              <w:spacing w:after="0" w:line="240" w:lineRule="auto"/>
              <w:rPr>
                <w:rFonts w:eastAsia="Times New Roman" w:cs="Arial"/>
                <w:sz w:val="22"/>
                <w:szCs w:val="20"/>
                <w:lang w:eastAsia="es-SV"/>
              </w:rPr>
            </w:pPr>
            <w:r w:rsidRPr="002B7276">
              <w:rPr>
                <w:rFonts w:eastAsia="Times New Roman" w:cs="Arial"/>
                <w:sz w:val="22"/>
                <w:szCs w:val="20"/>
                <w:lang w:eastAsia="es-SV"/>
              </w:rPr>
              <w:t>Ladrillo de granito</w:t>
            </w:r>
          </w:p>
        </w:tc>
        <w:tc>
          <w:tcPr>
            <w:tcW w:w="1602" w:type="dxa"/>
            <w:shd w:val="clear" w:color="auto" w:fill="auto"/>
            <w:noWrap/>
            <w:hideMark/>
          </w:tcPr>
          <w:p w14:paraId="59BF2C72" w14:textId="4289166F" w:rsidR="006A3DBC" w:rsidRPr="002B7276" w:rsidRDefault="006A3DBC" w:rsidP="00C903AF">
            <w:pPr>
              <w:spacing w:after="0" w:line="240" w:lineRule="auto"/>
              <w:jc w:val="center"/>
              <w:rPr>
                <w:rFonts w:eastAsia="Times New Roman" w:cs="Arial"/>
                <w:sz w:val="22"/>
                <w:szCs w:val="20"/>
                <w:lang w:eastAsia="es-SV"/>
              </w:rPr>
            </w:pPr>
            <w:r w:rsidRPr="002B7276">
              <w:rPr>
                <w:rFonts w:eastAsia="Times New Roman" w:cs="Arial"/>
                <w:sz w:val="22"/>
                <w:szCs w:val="20"/>
                <w:lang w:eastAsia="es-SV"/>
              </w:rPr>
              <w:t>2</w:t>
            </w:r>
            <w:r w:rsidR="00C27E4F" w:rsidRPr="002B7276">
              <w:rPr>
                <w:rFonts w:eastAsia="Times New Roman" w:cs="Arial"/>
                <w:sz w:val="22"/>
                <w:szCs w:val="20"/>
                <w:lang w:eastAsia="es-SV"/>
              </w:rPr>
              <w:t>,</w:t>
            </w:r>
            <w:r w:rsidRPr="002B7276">
              <w:rPr>
                <w:rFonts w:eastAsia="Times New Roman" w:cs="Arial"/>
                <w:sz w:val="22"/>
                <w:szCs w:val="20"/>
                <w:lang w:eastAsia="es-SV"/>
              </w:rPr>
              <w:t>422</w:t>
            </w:r>
          </w:p>
        </w:tc>
        <w:tc>
          <w:tcPr>
            <w:tcW w:w="1602" w:type="dxa"/>
            <w:shd w:val="clear" w:color="auto" w:fill="auto"/>
            <w:noWrap/>
            <w:hideMark/>
          </w:tcPr>
          <w:p w14:paraId="1618F4FF" w14:textId="77777777" w:rsidR="006A3DBC" w:rsidRPr="002B7276" w:rsidRDefault="006A3DBC" w:rsidP="00C903AF">
            <w:pPr>
              <w:spacing w:after="0" w:line="240" w:lineRule="auto"/>
              <w:jc w:val="center"/>
              <w:rPr>
                <w:rFonts w:eastAsia="Times New Roman" w:cs="Arial"/>
                <w:sz w:val="22"/>
                <w:szCs w:val="20"/>
                <w:lang w:eastAsia="es-SV"/>
              </w:rPr>
            </w:pPr>
            <w:r w:rsidRPr="002B7276">
              <w:rPr>
                <w:rFonts w:eastAsia="Times New Roman" w:cs="Arial"/>
                <w:sz w:val="22"/>
                <w:szCs w:val="20"/>
                <w:lang w:eastAsia="es-SV"/>
              </w:rPr>
              <w:t>996</w:t>
            </w:r>
          </w:p>
        </w:tc>
        <w:tc>
          <w:tcPr>
            <w:tcW w:w="1511" w:type="dxa"/>
            <w:shd w:val="clear" w:color="auto" w:fill="auto"/>
            <w:noWrap/>
            <w:hideMark/>
          </w:tcPr>
          <w:p w14:paraId="567B9D79" w14:textId="7336B3D5" w:rsidR="006A3DBC" w:rsidRPr="002B7276" w:rsidRDefault="006A3DBC" w:rsidP="00C903AF">
            <w:pPr>
              <w:spacing w:after="0" w:line="240" w:lineRule="auto"/>
              <w:jc w:val="center"/>
              <w:rPr>
                <w:rFonts w:eastAsia="Times New Roman" w:cs="Arial"/>
                <w:sz w:val="22"/>
                <w:szCs w:val="20"/>
                <w:lang w:eastAsia="es-SV"/>
              </w:rPr>
            </w:pPr>
            <w:r w:rsidRPr="002B7276">
              <w:rPr>
                <w:rFonts w:eastAsia="Times New Roman" w:cs="Arial"/>
                <w:sz w:val="22"/>
                <w:szCs w:val="20"/>
                <w:lang w:eastAsia="es-SV"/>
              </w:rPr>
              <w:t>3</w:t>
            </w:r>
            <w:r w:rsidR="00C27E4F" w:rsidRPr="002B7276">
              <w:rPr>
                <w:rFonts w:eastAsia="Times New Roman" w:cs="Arial"/>
                <w:sz w:val="22"/>
                <w:szCs w:val="20"/>
                <w:lang w:eastAsia="es-SV"/>
              </w:rPr>
              <w:t>,</w:t>
            </w:r>
            <w:r w:rsidRPr="002B7276">
              <w:rPr>
                <w:rFonts w:eastAsia="Times New Roman" w:cs="Arial"/>
                <w:sz w:val="22"/>
                <w:szCs w:val="20"/>
                <w:lang w:eastAsia="es-SV"/>
              </w:rPr>
              <w:t>418</w:t>
            </w:r>
          </w:p>
        </w:tc>
      </w:tr>
      <w:tr w:rsidR="002B7276" w:rsidRPr="002B7276" w14:paraId="020A58BF" w14:textId="77777777" w:rsidTr="005F4A92">
        <w:trPr>
          <w:trHeight w:val="267"/>
          <w:jc w:val="center"/>
        </w:trPr>
        <w:tc>
          <w:tcPr>
            <w:tcW w:w="2964" w:type="dxa"/>
            <w:shd w:val="clear" w:color="000000" w:fill="E0E0E0"/>
            <w:hideMark/>
          </w:tcPr>
          <w:p w14:paraId="5BC8563A" w14:textId="77777777" w:rsidR="006A3DBC" w:rsidRPr="002B7276" w:rsidRDefault="006A3DBC" w:rsidP="005F4A92">
            <w:pPr>
              <w:spacing w:after="0" w:line="240" w:lineRule="auto"/>
              <w:rPr>
                <w:rFonts w:eastAsia="Times New Roman" w:cs="Arial"/>
                <w:sz w:val="22"/>
                <w:szCs w:val="20"/>
                <w:lang w:eastAsia="es-SV"/>
              </w:rPr>
            </w:pPr>
            <w:r w:rsidRPr="002B7276">
              <w:rPr>
                <w:rFonts w:eastAsia="Times New Roman" w:cs="Arial"/>
                <w:sz w:val="22"/>
                <w:szCs w:val="20"/>
                <w:lang w:eastAsia="es-SV"/>
              </w:rPr>
              <w:t>Ladrillo de barro</w:t>
            </w:r>
          </w:p>
        </w:tc>
        <w:tc>
          <w:tcPr>
            <w:tcW w:w="1602" w:type="dxa"/>
            <w:shd w:val="clear" w:color="auto" w:fill="auto"/>
            <w:noWrap/>
            <w:hideMark/>
          </w:tcPr>
          <w:p w14:paraId="2FA0E3BC" w14:textId="77777777" w:rsidR="006A3DBC" w:rsidRPr="002B7276" w:rsidRDefault="006A3DBC" w:rsidP="00C903AF">
            <w:pPr>
              <w:spacing w:after="0" w:line="240" w:lineRule="auto"/>
              <w:jc w:val="center"/>
              <w:rPr>
                <w:rFonts w:eastAsia="Times New Roman" w:cs="Arial"/>
                <w:sz w:val="22"/>
                <w:szCs w:val="20"/>
                <w:lang w:eastAsia="es-SV"/>
              </w:rPr>
            </w:pPr>
            <w:r w:rsidRPr="002B7276">
              <w:rPr>
                <w:rFonts w:eastAsia="Times New Roman" w:cs="Arial"/>
                <w:sz w:val="22"/>
                <w:szCs w:val="20"/>
                <w:lang w:eastAsia="es-SV"/>
              </w:rPr>
              <w:t>912</w:t>
            </w:r>
          </w:p>
        </w:tc>
        <w:tc>
          <w:tcPr>
            <w:tcW w:w="1602" w:type="dxa"/>
            <w:shd w:val="clear" w:color="auto" w:fill="auto"/>
            <w:noWrap/>
            <w:hideMark/>
          </w:tcPr>
          <w:p w14:paraId="4A4D7604" w14:textId="500E2401" w:rsidR="006A3DBC" w:rsidRPr="002B7276" w:rsidRDefault="006A3DBC" w:rsidP="00C903AF">
            <w:pPr>
              <w:spacing w:after="0" w:line="240" w:lineRule="auto"/>
              <w:jc w:val="center"/>
              <w:rPr>
                <w:rFonts w:eastAsia="Times New Roman" w:cs="Arial"/>
                <w:sz w:val="22"/>
                <w:szCs w:val="20"/>
                <w:lang w:eastAsia="es-SV"/>
              </w:rPr>
            </w:pPr>
            <w:r w:rsidRPr="002B7276">
              <w:rPr>
                <w:rFonts w:eastAsia="Times New Roman" w:cs="Arial"/>
                <w:sz w:val="22"/>
                <w:szCs w:val="20"/>
                <w:lang w:eastAsia="es-SV"/>
              </w:rPr>
              <w:t>1</w:t>
            </w:r>
            <w:r w:rsidR="00C27E4F" w:rsidRPr="002B7276">
              <w:rPr>
                <w:rFonts w:eastAsia="Times New Roman" w:cs="Arial"/>
                <w:sz w:val="22"/>
                <w:szCs w:val="20"/>
                <w:lang w:eastAsia="es-SV"/>
              </w:rPr>
              <w:t>,</w:t>
            </w:r>
            <w:r w:rsidRPr="002B7276">
              <w:rPr>
                <w:rFonts w:eastAsia="Times New Roman" w:cs="Arial"/>
                <w:sz w:val="22"/>
                <w:szCs w:val="20"/>
                <w:lang w:eastAsia="es-SV"/>
              </w:rPr>
              <w:t>226</w:t>
            </w:r>
          </w:p>
        </w:tc>
        <w:tc>
          <w:tcPr>
            <w:tcW w:w="1511" w:type="dxa"/>
            <w:shd w:val="clear" w:color="auto" w:fill="auto"/>
            <w:noWrap/>
            <w:hideMark/>
          </w:tcPr>
          <w:p w14:paraId="18B565AD" w14:textId="7114D755" w:rsidR="006A3DBC" w:rsidRPr="002B7276" w:rsidRDefault="006A3DBC" w:rsidP="00C903AF">
            <w:pPr>
              <w:spacing w:after="0" w:line="240" w:lineRule="auto"/>
              <w:jc w:val="center"/>
              <w:rPr>
                <w:rFonts w:eastAsia="Times New Roman" w:cs="Arial"/>
                <w:sz w:val="22"/>
                <w:szCs w:val="20"/>
                <w:lang w:eastAsia="es-SV"/>
              </w:rPr>
            </w:pPr>
            <w:r w:rsidRPr="002B7276">
              <w:rPr>
                <w:rFonts w:eastAsia="Times New Roman" w:cs="Arial"/>
                <w:sz w:val="22"/>
                <w:szCs w:val="20"/>
                <w:lang w:eastAsia="es-SV"/>
              </w:rPr>
              <w:t>2</w:t>
            </w:r>
            <w:r w:rsidR="00C27E4F" w:rsidRPr="002B7276">
              <w:rPr>
                <w:rFonts w:eastAsia="Times New Roman" w:cs="Arial"/>
                <w:sz w:val="22"/>
                <w:szCs w:val="20"/>
                <w:lang w:eastAsia="es-SV"/>
              </w:rPr>
              <w:t>,</w:t>
            </w:r>
            <w:r w:rsidRPr="002B7276">
              <w:rPr>
                <w:rFonts w:eastAsia="Times New Roman" w:cs="Arial"/>
                <w:sz w:val="22"/>
                <w:szCs w:val="20"/>
                <w:lang w:eastAsia="es-SV"/>
              </w:rPr>
              <w:t>138</w:t>
            </w:r>
          </w:p>
        </w:tc>
      </w:tr>
      <w:tr w:rsidR="002B7276" w:rsidRPr="002B7276" w14:paraId="6C0ECEC1" w14:textId="77777777" w:rsidTr="005F4A92">
        <w:trPr>
          <w:trHeight w:val="267"/>
          <w:jc w:val="center"/>
        </w:trPr>
        <w:tc>
          <w:tcPr>
            <w:tcW w:w="2964" w:type="dxa"/>
            <w:shd w:val="clear" w:color="000000" w:fill="E0E0E0"/>
            <w:hideMark/>
          </w:tcPr>
          <w:p w14:paraId="61FB4205" w14:textId="77777777" w:rsidR="006A3DBC" w:rsidRPr="002B7276" w:rsidRDefault="006A3DBC" w:rsidP="005F4A92">
            <w:pPr>
              <w:spacing w:after="0" w:line="240" w:lineRule="auto"/>
              <w:rPr>
                <w:rFonts w:eastAsia="Times New Roman" w:cs="Arial"/>
                <w:sz w:val="22"/>
                <w:szCs w:val="20"/>
                <w:lang w:eastAsia="es-SV"/>
              </w:rPr>
            </w:pPr>
            <w:r w:rsidRPr="002B7276">
              <w:rPr>
                <w:rFonts w:eastAsia="Times New Roman" w:cs="Arial"/>
                <w:sz w:val="22"/>
                <w:szCs w:val="20"/>
                <w:lang w:eastAsia="es-SV"/>
              </w:rPr>
              <w:t>Plancha de cemento</w:t>
            </w:r>
          </w:p>
        </w:tc>
        <w:tc>
          <w:tcPr>
            <w:tcW w:w="1602" w:type="dxa"/>
            <w:shd w:val="clear" w:color="auto" w:fill="auto"/>
            <w:noWrap/>
            <w:hideMark/>
          </w:tcPr>
          <w:p w14:paraId="7F20A137" w14:textId="499DA81E" w:rsidR="006A3DBC" w:rsidRPr="002B7276" w:rsidRDefault="006A3DBC" w:rsidP="00C903AF">
            <w:pPr>
              <w:spacing w:after="0" w:line="240" w:lineRule="auto"/>
              <w:jc w:val="center"/>
              <w:rPr>
                <w:rFonts w:eastAsia="Times New Roman" w:cs="Arial"/>
                <w:sz w:val="22"/>
                <w:szCs w:val="20"/>
                <w:lang w:eastAsia="es-SV"/>
              </w:rPr>
            </w:pPr>
            <w:r w:rsidRPr="002B7276">
              <w:rPr>
                <w:rFonts w:eastAsia="Times New Roman" w:cs="Arial"/>
                <w:sz w:val="22"/>
                <w:szCs w:val="20"/>
                <w:lang w:eastAsia="es-SV"/>
              </w:rPr>
              <w:t>74</w:t>
            </w:r>
            <w:r w:rsidR="00C27E4F" w:rsidRPr="002B7276">
              <w:rPr>
                <w:rFonts w:eastAsia="Times New Roman" w:cs="Arial"/>
                <w:sz w:val="22"/>
                <w:szCs w:val="20"/>
                <w:lang w:eastAsia="es-SV"/>
              </w:rPr>
              <w:t>,</w:t>
            </w:r>
            <w:r w:rsidRPr="002B7276">
              <w:rPr>
                <w:rFonts w:eastAsia="Times New Roman" w:cs="Arial"/>
                <w:sz w:val="22"/>
                <w:szCs w:val="20"/>
                <w:lang w:eastAsia="es-SV"/>
              </w:rPr>
              <w:t>248</w:t>
            </w:r>
          </w:p>
        </w:tc>
        <w:tc>
          <w:tcPr>
            <w:tcW w:w="1602" w:type="dxa"/>
            <w:shd w:val="clear" w:color="auto" w:fill="auto"/>
            <w:noWrap/>
            <w:hideMark/>
          </w:tcPr>
          <w:p w14:paraId="21D5C54D" w14:textId="59D8DD90" w:rsidR="006A3DBC" w:rsidRPr="002B7276" w:rsidRDefault="006A3DBC" w:rsidP="00C903AF">
            <w:pPr>
              <w:spacing w:after="0" w:line="240" w:lineRule="auto"/>
              <w:jc w:val="center"/>
              <w:rPr>
                <w:rFonts w:eastAsia="Times New Roman" w:cs="Arial"/>
                <w:sz w:val="22"/>
                <w:szCs w:val="20"/>
                <w:lang w:eastAsia="es-SV"/>
              </w:rPr>
            </w:pPr>
            <w:r w:rsidRPr="002B7276">
              <w:rPr>
                <w:rFonts w:eastAsia="Times New Roman" w:cs="Arial"/>
                <w:sz w:val="22"/>
                <w:szCs w:val="20"/>
                <w:lang w:eastAsia="es-SV"/>
              </w:rPr>
              <w:t>105</w:t>
            </w:r>
            <w:r w:rsidR="00C27E4F" w:rsidRPr="002B7276">
              <w:rPr>
                <w:rFonts w:eastAsia="Times New Roman" w:cs="Arial"/>
                <w:sz w:val="22"/>
                <w:szCs w:val="20"/>
                <w:lang w:eastAsia="es-SV"/>
              </w:rPr>
              <w:t>,</w:t>
            </w:r>
            <w:r w:rsidRPr="002B7276">
              <w:rPr>
                <w:rFonts w:eastAsia="Times New Roman" w:cs="Arial"/>
                <w:sz w:val="22"/>
                <w:szCs w:val="20"/>
                <w:lang w:eastAsia="es-SV"/>
              </w:rPr>
              <w:t>534</w:t>
            </w:r>
          </w:p>
        </w:tc>
        <w:tc>
          <w:tcPr>
            <w:tcW w:w="1511" w:type="dxa"/>
            <w:shd w:val="clear" w:color="auto" w:fill="auto"/>
            <w:noWrap/>
            <w:hideMark/>
          </w:tcPr>
          <w:p w14:paraId="20FEDA70" w14:textId="4BA3A1EB" w:rsidR="006A3DBC" w:rsidRPr="002B7276" w:rsidRDefault="006A3DBC" w:rsidP="00C903AF">
            <w:pPr>
              <w:spacing w:after="0" w:line="240" w:lineRule="auto"/>
              <w:jc w:val="center"/>
              <w:rPr>
                <w:rFonts w:eastAsia="Times New Roman" w:cs="Arial"/>
                <w:sz w:val="22"/>
                <w:szCs w:val="20"/>
                <w:lang w:eastAsia="es-SV"/>
              </w:rPr>
            </w:pPr>
            <w:r w:rsidRPr="002B7276">
              <w:rPr>
                <w:rFonts w:eastAsia="Times New Roman" w:cs="Arial"/>
                <w:sz w:val="22"/>
                <w:szCs w:val="20"/>
                <w:lang w:eastAsia="es-SV"/>
              </w:rPr>
              <w:t>179</w:t>
            </w:r>
            <w:r w:rsidR="00C27E4F" w:rsidRPr="002B7276">
              <w:rPr>
                <w:rFonts w:eastAsia="Times New Roman" w:cs="Arial"/>
                <w:sz w:val="22"/>
                <w:szCs w:val="20"/>
                <w:lang w:eastAsia="es-SV"/>
              </w:rPr>
              <w:t>,</w:t>
            </w:r>
            <w:r w:rsidRPr="002B7276">
              <w:rPr>
                <w:rFonts w:eastAsia="Times New Roman" w:cs="Arial"/>
                <w:sz w:val="22"/>
                <w:szCs w:val="20"/>
                <w:lang w:eastAsia="es-SV"/>
              </w:rPr>
              <w:t>782</w:t>
            </w:r>
          </w:p>
        </w:tc>
      </w:tr>
      <w:tr w:rsidR="002B7276" w:rsidRPr="002B7276" w14:paraId="42760A64" w14:textId="77777777" w:rsidTr="005F4A92">
        <w:trPr>
          <w:trHeight w:val="267"/>
          <w:jc w:val="center"/>
        </w:trPr>
        <w:tc>
          <w:tcPr>
            <w:tcW w:w="2964" w:type="dxa"/>
            <w:shd w:val="clear" w:color="000000" w:fill="E0E0E0"/>
            <w:hideMark/>
          </w:tcPr>
          <w:p w14:paraId="0F1EBAAD" w14:textId="77777777" w:rsidR="006A3DBC" w:rsidRPr="002B7276" w:rsidRDefault="006A3DBC" w:rsidP="005F4A92">
            <w:pPr>
              <w:spacing w:after="0" w:line="240" w:lineRule="auto"/>
              <w:rPr>
                <w:rFonts w:eastAsia="Times New Roman" w:cs="Arial"/>
                <w:sz w:val="22"/>
                <w:szCs w:val="20"/>
                <w:lang w:eastAsia="es-SV"/>
              </w:rPr>
            </w:pPr>
            <w:r w:rsidRPr="002B7276">
              <w:rPr>
                <w:rFonts w:eastAsia="Times New Roman" w:cs="Arial"/>
                <w:sz w:val="22"/>
                <w:szCs w:val="20"/>
                <w:lang w:eastAsia="es-SV"/>
              </w:rPr>
              <w:t>Madera</w:t>
            </w:r>
          </w:p>
        </w:tc>
        <w:tc>
          <w:tcPr>
            <w:tcW w:w="1602" w:type="dxa"/>
            <w:shd w:val="clear" w:color="auto" w:fill="auto"/>
            <w:noWrap/>
            <w:hideMark/>
          </w:tcPr>
          <w:p w14:paraId="28EC3C5E" w14:textId="77777777" w:rsidR="006A3DBC" w:rsidRPr="002B7276" w:rsidRDefault="006A3DBC" w:rsidP="00C903AF">
            <w:pPr>
              <w:spacing w:after="0" w:line="240" w:lineRule="auto"/>
              <w:jc w:val="center"/>
              <w:rPr>
                <w:rFonts w:eastAsia="Times New Roman" w:cs="Arial"/>
                <w:sz w:val="22"/>
                <w:szCs w:val="20"/>
                <w:lang w:eastAsia="es-SV"/>
              </w:rPr>
            </w:pPr>
            <w:r w:rsidRPr="002B7276">
              <w:rPr>
                <w:rFonts w:eastAsia="Times New Roman" w:cs="Arial"/>
                <w:sz w:val="22"/>
                <w:szCs w:val="20"/>
                <w:lang w:eastAsia="es-SV"/>
              </w:rPr>
              <w:t>0</w:t>
            </w:r>
          </w:p>
        </w:tc>
        <w:tc>
          <w:tcPr>
            <w:tcW w:w="1602" w:type="dxa"/>
            <w:shd w:val="clear" w:color="auto" w:fill="auto"/>
            <w:noWrap/>
            <w:hideMark/>
          </w:tcPr>
          <w:p w14:paraId="09D49A80" w14:textId="19CA7FD9" w:rsidR="006A3DBC" w:rsidRPr="002B7276" w:rsidRDefault="006A3DBC" w:rsidP="00C903AF">
            <w:pPr>
              <w:spacing w:after="0" w:line="240" w:lineRule="auto"/>
              <w:jc w:val="center"/>
              <w:rPr>
                <w:rFonts w:eastAsia="Times New Roman" w:cs="Arial"/>
                <w:sz w:val="22"/>
                <w:szCs w:val="20"/>
                <w:lang w:eastAsia="es-SV"/>
              </w:rPr>
            </w:pPr>
            <w:r w:rsidRPr="002B7276">
              <w:rPr>
                <w:rFonts w:eastAsia="Times New Roman" w:cs="Arial"/>
                <w:sz w:val="22"/>
                <w:szCs w:val="20"/>
                <w:lang w:eastAsia="es-SV"/>
              </w:rPr>
              <w:t>1</w:t>
            </w:r>
            <w:r w:rsidR="00C27E4F" w:rsidRPr="002B7276">
              <w:rPr>
                <w:rFonts w:eastAsia="Times New Roman" w:cs="Arial"/>
                <w:sz w:val="22"/>
                <w:szCs w:val="20"/>
                <w:lang w:eastAsia="es-SV"/>
              </w:rPr>
              <w:t>,</w:t>
            </w:r>
            <w:r w:rsidRPr="002B7276">
              <w:rPr>
                <w:rFonts w:eastAsia="Times New Roman" w:cs="Arial"/>
                <w:sz w:val="22"/>
                <w:szCs w:val="20"/>
                <w:lang w:eastAsia="es-SV"/>
              </w:rPr>
              <w:t>886</w:t>
            </w:r>
          </w:p>
        </w:tc>
        <w:tc>
          <w:tcPr>
            <w:tcW w:w="1511" w:type="dxa"/>
            <w:shd w:val="clear" w:color="auto" w:fill="auto"/>
            <w:noWrap/>
            <w:hideMark/>
          </w:tcPr>
          <w:p w14:paraId="3C37C464" w14:textId="55D50013" w:rsidR="006A3DBC" w:rsidRPr="002B7276" w:rsidRDefault="006A3DBC" w:rsidP="00C903AF">
            <w:pPr>
              <w:spacing w:after="0" w:line="240" w:lineRule="auto"/>
              <w:jc w:val="center"/>
              <w:rPr>
                <w:rFonts w:eastAsia="Times New Roman" w:cs="Arial"/>
                <w:sz w:val="22"/>
                <w:szCs w:val="20"/>
                <w:lang w:eastAsia="es-SV"/>
              </w:rPr>
            </w:pPr>
            <w:r w:rsidRPr="002B7276">
              <w:rPr>
                <w:rFonts w:eastAsia="Times New Roman" w:cs="Arial"/>
                <w:sz w:val="22"/>
                <w:szCs w:val="20"/>
                <w:lang w:eastAsia="es-SV"/>
              </w:rPr>
              <w:t>1</w:t>
            </w:r>
            <w:r w:rsidR="00C27E4F" w:rsidRPr="002B7276">
              <w:rPr>
                <w:rFonts w:eastAsia="Times New Roman" w:cs="Arial"/>
                <w:sz w:val="22"/>
                <w:szCs w:val="20"/>
                <w:lang w:eastAsia="es-SV"/>
              </w:rPr>
              <w:t>,</w:t>
            </w:r>
            <w:r w:rsidRPr="002B7276">
              <w:rPr>
                <w:rFonts w:eastAsia="Times New Roman" w:cs="Arial"/>
                <w:sz w:val="22"/>
                <w:szCs w:val="20"/>
                <w:lang w:eastAsia="es-SV"/>
              </w:rPr>
              <w:t>886</w:t>
            </w:r>
          </w:p>
        </w:tc>
      </w:tr>
      <w:tr w:rsidR="002B7276" w:rsidRPr="002B7276" w14:paraId="4187BB88" w14:textId="77777777" w:rsidTr="005F4A92">
        <w:trPr>
          <w:trHeight w:val="267"/>
          <w:jc w:val="center"/>
        </w:trPr>
        <w:tc>
          <w:tcPr>
            <w:tcW w:w="2964" w:type="dxa"/>
            <w:shd w:val="clear" w:color="000000" w:fill="E0E0E0"/>
            <w:hideMark/>
          </w:tcPr>
          <w:p w14:paraId="457984E8" w14:textId="77777777" w:rsidR="006A3DBC" w:rsidRPr="002B7276" w:rsidRDefault="006A3DBC" w:rsidP="005F4A92">
            <w:pPr>
              <w:spacing w:after="0" w:line="240" w:lineRule="auto"/>
              <w:rPr>
                <w:rFonts w:eastAsia="Times New Roman" w:cs="Arial"/>
                <w:sz w:val="22"/>
                <w:szCs w:val="20"/>
                <w:lang w:eastAsia="es-SV"/>
              </w:rPr>
            </w:pPr>
            <w:r w:rsidRPr="002B7276">
              <w:rPr>
                <w:rFonts w:eastAsia="Times New Roman" w:cs="Arial"/>
                <w:sz w:val="22"/>
                <w:szCs w:val="20"/>
                <w:lang w:eastAsia="es-SV"/>
              </w:rPr>
              <w:t>Tierra</w:t>
            </w:r>
          </w:p>
        </w:tc>
        <w:tc>
          <w:tcPr>
            <w:tcW w:w="1602" w:type="dxa"/>
            <w:shd w:val="clear" w:color="auto" w:fill="auto"/>
            <w:noWrap/>
            <w:hideMark/>
          </w:tcPr>
          <w:p w14:paraId="61EC854E" w14:textId="7AA3C016" w:rsidR="006A3DBC" w:rsidRPr="002B7276" w:rsidRDefault="006A3DBC" w:rsidP="00C903AF">
            <w:pPr>
              <w:spacing w:after="0" w:line="240" w:lineRule="auto"/>
              <w:jc w:val="center"/>
              <w:rPr>
                <w:rFonts w:eastAsia="Times New Roman" w:cs="Arial"/>
                <w:sz w:val="22"/>
                <w:szCs w:val="20"/>
                <w:lang w:eastAsia="es-SV"/>
              </w:rPr>
            </w:pPr>
            <w:r w:rsidRPr="002B7276">
              <w:rPr>
                <w:rFonts w:eastAsia="Times New Roman" w:cs="Arial"/>
                <w:sz w:val="22"/>
                <w:szCs w:val="20"/>
                <w:lang w:eastAsia="es-SV"/>
              </w:rPr>
              <w:t>3</w:t>
            </w:r>
            <w:r w:rsidR="00C27E4F" w:rsidRPr="002B7276">
              <w:rPr>
                <w:rFonts w:eastAsia="Times New Roman" w:cs="Arial"/>
                <w:sz w:val="22"/>
                <w:szCs w:val="20"/>
                <w:lang w:eastAsia="es-SV"/>
              </w:rPr>
              <w:t>,</w:t>
            </w:r>
            <w:r w:rsidRPr="002B7276">
              <w:rPr>
                <w:rFonts w:eastAsia="Times New Roman" w:cs="Arial"/>
                <w:sz w:val="22"/>
                <w:szCs w:val="20"/>
                <w:lang w:eastAsia="es-SV"/>
              </w:rPr>
              <w:t>616</w:t>
            </w:r>
          </w:p>
        </w:tc>
        <w:tc>
          <w:tcPr>
            <w:tcW w:w="1602" w:type="dxa"/>
            <w:shd w:val="clear" w:color="auto" w:fill="auto"/>
            <w:noWrap/>
            <w:hideMark/>
          </w:tcPr>
          <w:p w14:paraId="49C2F70C" w14:textId="6D61D469" w:rsidR="006A3DBC" w:rsidRPr="002B7276" w:rsidRDefault="006A3DBC" w:rsidP="00C903AF">
            <w:pPr>
              <w:spacing w:after="0" w:line="240" w:lineRule="auto"/>
              <w:jc w:val="center"/>
              <w:rPr>
                <w:rFonts w:eastAsia="Times New Roman" w:cs="Arial"/>
                <w:sz w:val="22"/>
                <w:szCs w:val="20"/>
                <w:lang w:eastAsia="es-SV"/>
              </w:rPr>
            </w:pPr>
            <w:r w:rsidRPr="002B7276">
              <w:rPr>
                <w:rFonts w:eastAsia="Times New Roman" w:cs="Arial"/>
                <w:sz w:val="22"/>
                <w:szCs w:val="20"/>
                <w:lang w:eastAsia="es-SV"/>
              </w:rPr>
              <w:t>39</w:t>
            </w:r>
            <w:r w:rsidR="00C27E4F" w:rsidRPr="002B7276">
              <w:rPr>
                <w:rFonts w:eastAsia="Times New Roman" w:cs="Arial"/>
                <w:sz w:val="22"/>
                <w:szCs w:val="20"/>
                <w:lang w:eastAsia="es-SV"/>
              </w:rPr>
              <w:t>,</w:t>
            </w:r>
            <w:r w:rsidRPr="002B7276">
              <w:rPr>
                <w:rFonts w:eastAsia="Times New Roman" w:cs="Arial"/>
                <w:sz w:val="22"/>
                <w:szCs w:val="20"/>
                <w:lang w:eastAsia="es-SV"/>
              </w:rPr>
              <w:t>787</w:t>
            </w:r>
          </w:p>
        </w:tc>
        <w:tc>
          <w:tcPr>
            <w:tcW w:w="1511" w:type="dxa"/>
            <w:shd w:val="clear" w:color="auto" w:fill="auto"/>
            <w:noWrap/>
            <w:hideMark/>
          </w:tcPr>
          <w:p w14:paraId="578C6EE9" w14:textId="7BDD85E4" w:rsidR="006A3DBC" w:rsidRPr="002B7276" w:rsidRDefault="006A3DBC" w:rsidP="00C903AF">
            <w:pPr>
              <w:spacing w:after="0" w:line="240" w:lineRule="auto"/>
              <w:jc w:val="center"/>
              <w:rPr>
                <w:rFonts w:eastAsia="Times New Roman" w:cs="Arial"/>
                <w:sz w:val="22"/>
                <w:szCs w:val="20"/>
                <w:lang w:eastAsia="es-SV"/>
              </w:rPr>
            </w:pPr>
            <w:r w:rsidRPr="002B7276">
              <w:rPr>
                <w:rFonts w:eastAsia="Times New Roman" w:cs="Arial"/>
                <w:sz w:val="22"/>
                <w:szCs w:val="20"/>
                <w:lang w:eastAsia="es-SV"/>
              </w:rPr>
              <w:t>43</w:t>
            </w:r>
            <w:r w:rsidR="00C27E4F" w:rsidRPr="002B7276">
              <w:rPr>
                <w:rFonts w:eastAsia="Times New Roman" w:cs="Arial"/>
                <w:sz w:val="22"/>
                <w:szCs w:val="20"/>
                <w:lang w:eastAsia="es-SV"/>
              </w:rPr>
              <w:t>,</w:t>
            </w:r>
            <w:r w:rsidRPr="002B7276">
              <w:rPr>
                <w:rFonts w:eastAsia="Times New Roman" w:cs="Arial"/>
                <w:sz w:val="22"/>
                <w:szCs w:val="20"/>
                <w:lang w:eastAsia="es-SV"/>
              </w:rPr>
              <w:t>403</w:t>
            </w:r>
          </w:p>
        </w:tc>
      </w:tr>
      <w:tr w:rsidR="002B7276" w:rsidRPr="002B7276" w14:paraId="66D6527D" w14:textId="77777777" w:rsidTr="005F4A92">
        <w:trPr>
          <w:trHeight w:val="267"/>
          <w:jc w:val="center"/>
        </w:trPr>
        <w:tc>
          <w:tcPr>
            <w:tcW w:w="2964" w:type="dxa"/>
            <w:shd w:val="clear" w:color="000000" w:fill="E0E0E0"/>
            <w:hideMark/>
          </w:tcPr>
          <w:p w14:paraId="0F3236E9" w14:textId="77777777" w:rsidR="006A3DBC" w:rsidRPr="002B7276" w:rsidRDefault="006A3DBC" w:rsidP="005F4A92">
            <w:pPr>
              <w:spacing w:after="0" w:line="240" w:lineRule="auto"/>
              <w:rPr>
                <w:rFonts w:eastAsia="Times New Roman" w:cs="Arial"/>
                <w:sz w:val="22"/>
                <w:szCs w:val="20"/>
                <w:lang w:eastAsia="es-SV"/>
              </w:rPr>
            </w:pPr>
            <w:r w:rsidRPr="002B7276">
              <w:rPr>
                <w:rFonts w:eastAsia="Times New Roman" w:cs="Arial"/>
                <w:sz w:val="22"/>
                <w:szCs w:val="20"/>
                <w:lang w:eastAsia="es-SV"/>
              </w:rPr>
              <w:t> </w:t>
            </w:r>
          </w:p>
        </w:tc>
        <w:tc>
          <w:tcPr>
            <w:tcW w:w="1602" w:type="dxa"/>
            <w:shd w:val="clear" w:color="auto" w:fill="auto"/>
            <w:noWrap/>
            <w:hideMark/>
          </w:tcPr>
          <w:p w14:paraId="14714EB5" w14:textId="121E88DE" w:rsidR="006A3DBC" w:rsidRPr="002B7276" w:rsidRDefault="006A3DBC" w:rsidP="00C903AF">
            <w:pPr>
              <w:spacing w:after="0" w:line="240" w:lineRule="auto"/>
              <w:jc w:val="center"/>
              <w:rPr>
                <w:rFonts w:eastAsia="Times New Roman" w:cs="Arial"/>
                <w:b/>
                <w:bCs/>
                <w:sz w:val="22"/>
                <w:szCs w:val="20"/>
                <w:lang w:eastAsia="es-SV"/>
              </w:rPr>
            </w:pPr>
            <w:r w:rsidRPr="002B7276">
              <w:rPr>
                <w:rFonts w:eastAsia="Times New Roman" w:cs="Arial"/>
                <w:b/>
                <w:bCs/>
                <w:sz w:val="22"/>
                <w:szCs w:val="20"/>
                <w:lang w:eastAsia="es-SV"/>
              </w:rPr>
              <w:t>149</w:t>
            </w:r>
            <w:r w:rsidR="009A6DE9" w:rsidRPr="002B7276">
              <w:rPr>
                <w:rFonts w:eastAsia="Times New Roman" w:cs="Arial"/>
                <w:b/>
                <w:bCs/>
                <w:sz w:val="22"/>
                <w:szCs w:val="20"/>
                <w:lang w:eastAsia="es-SV"/>
              </w:rPr>
              <w:t>,</w:t>
            </w:r>
            <w:r w:rsidRPr="002B7276">
              <w:rPr>
                <w:rFonts w:eastAsia="Times New Roman" w:cs="Arial"/>
                <w:b/>
                <w:bCs/>
                <w:sz w:val="22"/>
                <w:szCs w:val="20"/>
                <w:lang w:eastAsia="es-SV"/>
              </w:rPr>
              <w:t>927</w:t>
            </w:r>
          </w:p>
        </w:tc>
        <w:tc>
          <w:tcPr>
            <w:tcW w:w="1602" w:type="dxa"/>
            <w:shd w:val="clear" w:color="auto" w:fill="auto"/>
            <w:noWrap/>
            <w:hideMark/>
          </w:tcPr>
          <w:p w14:paraId="59E522DC" w14:textId="53629726" w:rsidR="006A3DBC" w:rsidRPr="002B7276" w:rsidRDefault="006A3DBC" w:rsidP="00C903AF">
            <w:pPr>
              <w:spacing w:after="0" w:line="240" w:lineRule="auto"/>
              <w:jc w:val="center"/>
              <w:rPr>
                <w:rFonts w:eastAsia="Times New Roman" w:cs="Arial"/>
                <w:b/>
                <w:bCs/>
                <w:sz w:val="22"/>
                <w:szCs w:val="20"/>
                <w:lang w:eastAsia="es-SV"/>
              </w:rPr>
            </w:pPr>
            <w:r w:rsidRPr="002B7276">
              <w:rPr>
                <w:rFonts w:eastAsia="Times New Roman" w:cs="Arial"/>
                <w:b/>
                <w:bCs/>
                <w:sz w:val="22"/>
                <w:szCs w:val="20"/>
                <w:lang w:eastAsia="es-SV"/>
              </w:rPr>
              <w:t>179</w:t>
            </w:r>
            <w:r w:rsidR="009A6DE9" w:rsidRPr="002B7276">
              <w:rPr>
                <w:rFonts w:eastAsia="Times New Roman" w:cs="Arial"/>
                <w:b/>
                <w:bCs/>
                <w:sz w:val="22"/>
                <w:szCs w:val="20"/>
                <w:lang w:eastAsia="es-SV"/>
              </w:rPr>
              <w:t>,</w:t>
            </w:r>
            <w:r w:rsidRPr="002B7276">
              <w:rPr>
                <w:rFonts w:eastAsia="Times New Roman" w:cs="Arial"/>
                <w:b/>
                <w:bCs/>
                <w:sz w:val="22"/>
                <w:szCs w:val="20"/>
                <w:lang w:eastAsia="es-SV"/>
              </w:rPr>
              <w:t>985</w:t>
            </w:r>
          </w:p>
        </w:tc>
        <w:tc>
          <w:tcPr>
            <w:tcW w:w="1511" w:type="dxa"/>
            <w:shd w:val="clear" w:color="auto" w:fill="auto"/>
            <w:noWrap/>
            <w:hideMark/>
          </w:tcPr>
          <w:p w14:paraId="46773919" w14:textId="356AA058" w:rsidR="006A3DBC" w:rsidRPr="002B7276" w:rsidRDefault="006A3DBC" w:rsidP="00C903AF">
            <w:pPr>
              <w:spacing w:after="0" w:line="240" w:lineRule="auto"/>
              <w:jc w:val="center"/>
              <w:rPr>
                <w:rFonts w:eastAsia="Times New Roman" w:cs="Arial"/>
                <w:b/>
                <w:bCs/>
                <w:sz w:val="22"/>
                <w:szCs w:val="20"/>
                <w:lang w:eastAsia="es-SV"/>
              </w:rPr>
            </w:pPr>
            <w:r w:rsidRPr="002B7276">
              <w:rPr>
                <w:rFonts w:eastAsia="Times New Roman" w:cs="Arial"/>
                <w:b/>
                <w:bCs/>
                <w:sz w:val="22"/>
                <w:szCs w:val="20"/>
                <w:lang w:eastAsia="es-SV"/>
              </w:rPr>
              <w:t>329</w:t>
            </w:r>
            <w:r w:rsidR="009A6DE9" w:rsidRPr="002B7276">
              <w:rPr>
                <w:rFonts w:eastAsia="Times New Roman" w:cs="Arial"/>
                <w:b/>
                <w:bCs/>
                <w:sz w:val="22"/>
                <w:szCs w:val="20"/>
                <w:lang w:eastAsia="es-SV"/>
              </w:rPr>
              <w:t>,</w:t>
            </w:r>
            <w:r w:rsidRPr="002B7276">
              <w:rPr>
                <w:rFonts w:eastAsia="Times New Roman" w:cs="Arial"/>
                <w:b/>
                <w:bCs/>
                <w:sz w:val="22"/>
                <w:szCs w:val="20"/>
                <w:lang w:eastAsia="es-SV"/>
              </w:rPr>
              <w:t>912</w:t>
            </w:r>
          </w:p>
        </w:tc>
      </w:tr>
    </w:tbl>
    <w:p w14:paraId="47278084" w14:textId="77777777" w:rsidR="006A3DBC" w:rsidRPr="00FA4B2D" w:rsidRDefault="006A3DBC" w:rsidP="006A3DBC">
      <w:pPr>
        <w:jc w:val="center"/>
        <w:rPr>
          <w:rFonts w:cs="Arial"/>
          <w:sz w:val="20"/>
          <w:szCs w:val="20"/>
        </w:rPr>
      </w:pPr>
      <w:r w:rsidRPr="00FA4B2D">
        <w:rPr>
          <w:rFonts w:cs="Arial"/>
          <w:b/>
          <w:bCs/>
          <w:sz w:val="20"/>
          <w:szCs w:val="20"/>
        </w:rPr>
        <w:t>Fuente</w:t>
      </w:r>
      <w:r w:rsidRPr="00FA4B2D">
        <w:rPr>
          <w:rFonts w:cs="Arial"/>
          <w:sz w:val="20"/>
          <w:szCs w:val="20"/>
        </w:rPr>
        <w:t>: elaboración propia con base a datos de la EHPM 2019.</w:t>
      </w:r>
    </w:p>
    <w:p w14:paraId="517A3280" w14:textId="77777777" w:rsidR="006A3DBC" w:rsidRPr="00FA4B2D" w:rsidRDefault="006A3DBC" w:rsidP="0061577A">
      <w:pPr>
        <w:jc w:val="both"/>
        <w:rPr>
          <w:rFonts w:cs="Arial"/>
          <w:lang w:eastAsia="es-SV"/>
        </w:rPr>
      </w:pPr>
      <w:r w:rsidRPr="00FA4B2D">
        <w:rPr>
          <w:rFonts w:cs="Arial"/>
          <w:lang w:eastAsia="es-SV"/>
        </w:rPr>
        <w:t xml:space="preserve">En relación con el tipo de materiales del techo de la vivienda predomina las viviendas construidas con lamina de zinc, seguida de las construidas con láminas de alucín, asbesto y concreto, mientras que existen viviendas con materiales como paja, palma, desechos y otros. </w:t>
      </w:r>
    </w:p>
    <w:p w14:paraId="57F03D94" w14:textId="77777777" w:rsidR="006A3DBC" w:rsidRPr="00FA4B2D" w:rsidRDefault="006A3DBC" w:rsidP="00411720">
      <w:pPr>
        <w:pStyle w:val="Prrafodelista"/>
        <w:numPr>
          <w:ilvl w:val="0"/>
          <w:numId w:val="101"/>
        </w:numPr>
        <w:rPr>
          <w:rFonts w:cs="Arial"/>
          <w:i/>
          <w:iCs/>
          <w:szCs w:val="24"/>
        </w:rPr>
      </w:pPr>
      <w:r w:rsidRPr="00FA4B2D">
        <w:rPr>
          <w:rFonts w:cs="Arial"/>
          <w:i/>
          <w:iCs/>
          <w:szCs w:val="24"/>
        </w:rPr>
        <w:t xml:space="preserve"> </w:t>
      </w:r>
      <w:bookmarkStart w:id="694" w:name="_Toc156586909"/>
      <w:r w:rsidRPr="00FA4B2D">
        <w:rPr>
          <w:rFonts w:cs="Arial"/>
          <w:i/>
          <w:iCs/>
          <w:szCs w:val="24"/>
        </w:rPr>
        <w:t>Disposición de servicios sanitarios o letrinas en las viviendas.</w:t>
      </w:r>
      <w:bookmarkEnd w:id="694"/>
    </w:p>
    <w:p w14:paraId="367731E1" w14:textId="77777777" w:rsidR="006A3DBC" w:rsidRPr="00FA4B2D" w:rsidRDefault="006A3DBC" w:rsidP="006A3DBC">
      <w:pPr>
        <w:jc w:val="both"/>
        <w:rPr>
          <w:rFonts w:cs="Arial"/>
          <w:lang w:eastAsia="es-SV"/>
        </w:rPr>
      </w:pPr>
      <w:r w:rsidRPr="00FA4B2D">
        <w:rPr>
          <w:rFonts w:cs="Arial"/>
          <w:lang w:eastAsia="es-SV"/>
        </w:rPr>
        <w:t xml:space="preserve">En el caso de la disposición por tipo de servicio sanitario, se identifica que en los tres departamentos prevalece las tazas campesina o letrinas con cierre hidráulico, </w:t>
      </w:r>
      <w:r w:rsidRPr="00FA4B2D">
        <w:rPr>
          <w:rFonts w:cs="Arial"/>
          <w:lang w:eastAsia="es-SV"/>
        </w:rPr>
        <w:lastRenderedPageBreak/>
        <w:t xml:space="preserve">seguidas de inodoro conectado a la alcantarilla o que disponen de letrinas con descarga a fuentes de agua. Por otro lado, aún persisten viviendas que no disponen de servicios sanitarios.  </w:t>
      </w:r>
    </w:p>
    <w:p w14:paraId="75580567" w14:textId="332FBC5E" w:rsidR="00EF7331" w:rsidRDefault="00EF7331" w:rsidP="00EF7331">
      <w:pPr>
        <w:pStyle w:val="Descripcin"/>
        <w:keepNext/>
      </w:pPr>
      <w:bookmarkStart w:id="695" w:name="_Toc202455457"/>
      <w:r>
        <w:t xml:space="preserve">Tabla </w:t>
      </w:r>
      <w:r>
        <w:fldChar w:fldCharType="begin"/>
      </w:r>
      <w:r>
        <w:instrText xml:space="preserve"> SEQ Tabla \* ARABIC </w:instrText>
      </w:r>
      <w:r>
        <w:fldChar w:fldCharType="separate"/>
      </w:r>
      <w:r w:rsidR="000E6D86">
        <w:rPr>
          <w:noProof/>
        </w:rPr>
        <w:t>31</w:t>
      </w:r>
      <w:r>
        <w:fldChar w:fldCharType="end"/>
      </w:r>
      <w:r>
        <w:t xml:space="preserve">: </w:t>
      </w:r>
      <w:r w:rsidRPr="001F0714">
        <w:t>Tipo de servicio sanitario o letrina por área geográfica</w:t>
      </w:r>
      <w:bookmarkEnd w:id="695"/>
    </w:p>
    <w:tbl>
      <w:tblPr>
        <w:tblW w:w="9873" w:type="dxa"/>
        <w:tblCellMar>
          <w:left w:w="70" w:type="dxa"/>
          <w:right w:w="70" w:type="dxa"/>
        </w:tblCellMar>
        <w:tblLook w:val="04A0" w:firstRow="1" w:lastRow="0" w:firstColumn="1" w:lastColumn="0" w:noHBand="0" w:noVBand="1"/>
      </w:tblPr>
      <w:tblGrid>
        <w:gridCol w:w="3087"/>
        <w:gridCol w:w="1685"/>
        <w:gridCol w:w="1510"/>
        <w:gridCol w:w="1617"/>
        <w:gridCol w:w="1974"/>
      </w:tblGrid>
      <w:tr w:rsidR="002B7276" w:rsidRPr="002B7276" w14:paraId="36417AD0" w14:textId="77777777" w:rsidTr="00016847">
        <w:trPr>
          <w:trHeight w:val="83"/>
          <w:tblHeader/>
        </w:trPr>
        <w:tc>
          <w:tcPr>
            <w:tcW w:w="3087" w:type="dxa"/>
            <w:tcBorders>
              <w:top w:val="single" w:sz="8" w:space="0" w:color="AEAEAE"/>
              <w:left w:val="nil"/>
              <w:bottom w:val="nil"/>
              <w:right w:val="nil"/>
            </w:tcBorders>
            <w:shd w:val="clear" w:color="auto" w:fill="5CC5DA"/>
            <w:vAlign w:val="center"/>
            <w:hideMark/>
          </w:tcPr>
          <w:p w14:paraId="359E2DB7" w14:textId="77777777" w:rsidR="006A3DBC" w:rsidRPr="002B7276" w:rsidRDefault="006A3DBC" w:rsidP="005F4A92">
            <w:pPr>
              <w:spacing w:after="0" w:line="240" w:lineRule="auto"/>
              <w:rPr>
                <w:rFonts w:eastAsia="Times New Roman" w:cs="Arial"/>
                <w:b/>
                <w:bCs/>
                <w:sz w:val="22"/>
                <w:lang w:eastAsia="es-SV"/>
              </w:rPr>
            </w:pPr>
            <w:r w:rsidRPr="002B7276">
              <w:rPr>
                <w:rFonts w:eastAsia="Times New Roman" w:cs="Arial"/>
                <w:b/>
                <w:bCs/>
                <w:sz w:val="22"/>
                <w:lang w:eastAsia="es-SV"/>
              </w:rPr>
              <w:t> </w:t>
            </w:r>
          </w:p>
        </w:tc>
        <w:tc>
          <w:tcPr>
            <w:tcW w:w="1685" w:type="dxa"/>
            <w:tcBorders>
              <w:top w:val="single" w:sz="8" w:space="0" w:color="AEAEAE"/>
              <w:left w:val="nil"/>
              <w:bottom w:val="single" w:sz="8" w:space="0" w:color="AEAEAE"/>
              <w:right w:val="nil"/>
            </w:tcBorders>
            <w:shd w:val="clear" w:color="auto" w:fill="5CC5DA"/>
            <w:vAlign w:val="center"/>
            <w:hideMark/>
          </w:tcPr>
          <w:p w14:paraId="104C9A14" w14:textId="77777777" w:rsidR="006A3DBC" w:rsidRPr="002B7276" w:rsidRDefault="006A3DBC" w:rsidP="005F4A92">
            <w:pPr>
              <w:spacing w:after="0" w:line="240" w:lineRule="auto"/>
              <w:jc w:val="center"/>
              <w:rPr>
                <w:rFonts w:eastAsia="Times New Roman" w:cs="Arial"/>
                <w:b/>
                <w:bCs/>
                <w:sz w:val="22"/>
                <w:lang w:eastAsia="es-SV"/>
              </w:rPr>
            </w:pPr>
            <w:r w:rsidRPr="002B7276">
              <w:rPr>
                <w:rFonts w:eastAsia="Times New Roman" w:cs="Arial"/>
                <w:b/>
                <w:bCs/>
                <w:sz w:val="22"/>
                <w:lang w:eastAsia="es-SV"/>
              </w:rPr>
              <w:t>Olancho</w:t>
            </w:r>
          </w:p>
        </w:tc>
        <w:tc>
          <w:tcPr>
            <w:tcW w:w="1510" w:type="dxa"/>
            <w:tcBorders>
              <w:top w:val="single" w:sz="8" w:space="0" w:color="AEAEAE"/>
              <w:left w:val="nil"/>
              <w:bottom w:val="single" w:sz="8" w:space="0" w:color="AEAEAE"/>
              <w:right w:val="nil"/>
            </w:tcBorders>
            <w:shd w:val="clear" w:color="auto" w:fill="5CC5DA"/>
            <w:vAlign w:val="center"/>
            <w:hideMark/>
          </w:tcPr>
          <w:p w14:paraId="65BFA783" w14:textId="77777777" w:rsidR="006A3DBC" w:rsidRPr="002B7276" w:rsidRDefault="006A3DBC" w:rsidP="005F4A92">
            <w:pPr>
              <w:spacing w:after="0" w:line="240" w:lineRule="auto"/>
              <w:jc w:val="center"/>
              <w:rPr>
                <w:rFonts w:eastAsia="Times New Roman" w:cs="Arial"/>
                <w:b/>
                <w:bCs/>
                <w:sz w:val="22"/>
                <w:lang w:eastAsia="es-SV"/>
              </w:rPr>
            </w:pPr>
            <w:r w:rsidRPr="002B7276">
              <w:rPr>
                <w:rFonts w:eastAsia="Times New Roman" w:cs="Arial"/>
                <w:b/>
                <w:bCs/>
                <w:sz w:val="22"/>
                <w:lang w:eastAsia="es-SV"/>
              </w:rPr>
              <w:t>Valle</w:t>
            </w:r>
          </w:p>
        </w:tc>
        <w:tc>
          <w:tcPr>
            <w:tcW w:w="1617" w:type="dxa"/>
            <w:tcBorders>
              <w:top w:val="single" w:sz="8" w:space="0" w:color="AEAEAE"/>
              <w:left w:val="nil"/>
              <w:bottom w:val="single" w:sz="8" w:space="0" w:color="AEAEAE"/>
              <w:right w:val="nil"/>
            </w:tcBorders>
            <w:shd w:val="clear" w:color="auto" w:fill="5CC5DA"/>
            <w:vAlign w:val="center"/>
            <w:hideMark/>
          </w:tcPr>
          <w:p w14:paraId="048A39EA" w14:textId="77777777" w:rsidR="006A3DBC" w:rsidRPr="002B7276" w:rsidRDefault="006A3DBC" w:rsidP="005F4A92">
            <w:pPr>
              <w:spacing w:after="0" w:line="240" w:lineRule="auto"/>
              <w:jc w:val="center"/>
              <w:rPr>
                <w:rFonts w:eastAsia="Times New Roman" w:cs="Arial"/>
                <w:b/>
                <w:bCs/>
                <w:sz w:val="22"/>
                <w:lang w:eastAsia="es-SV"/>
              </w:rPr>
            </w:pPr>
            <w:r w:rsidRPr="002B7276">
              <w:rPr>
                <w:rFonts w:eastAsia="Times New Roman" w:cs="Arial"/>
                <w:b/>
                <w:bCs/>
                <w:sz w:val="22"/>
                <w:lang w:eastAsia="es-SV"/>
              </w:rPr>
              <w:t>Yoro</w:t>
            </w:r>
          </w:p>
        </w:tc>
        <w:tc>
          <w:tcPr>
            <w:tcW w:w="1974" w:type="dxa"/>
            <w:tcBorders>
              <w:top w:val="single" w:sz="8" w:space="0" w:color="AEAEAE"/>
              <w:left w:val="nil"/>
              <w:bottom w:val="single" w:sz="8" w:space="0" w:color="AEAEAE"/>
              <w:right w:val="nil"/>
            </w:tcBorders>
            <w:shd w:val="clear" w:color="auto" w:fill="5CC5DA"/>
            <w:noWrap/>
            <w:vAlign w:val="center"/>
            <w:hideMark/>
          </w:tcPr>
          <w:p w14:paraId="45DC7A02" w14:textId="77777777" w:rsidR="006A3DBC" w:rsidRPr="002B7276" w:rsidRDefault="006A3DBC" w:rsidP="005F4A92">
            <w:pPr>
              <w:spacing w:after="0" w:line="240" w:lineRule="auto"/>
              <w:jc w:val="right"/>
              <w:rPr>
                <w:rFonts w:eastAsia="Times New Roman" w:cs="Arial"/>
                <w:b/>
                <w:bCs/>
                <w:sz w:val="22"/>
                <w:lang w:eastAsia="es-SV"/>
              </w:rPr>
            </w:pPr>
            <w:r w:rsidRPr="002B7276">
              <w:rPr>
                <w:rFonts w:eastAsia="Times New Roman" w:cs="Arial"/>
                <w:b/>
                <w:bCs/>
                <w:sz w:val="22"/>
                <w:lang w:eastAsia="es-SV"/>
              </w:rPr>
              <w:t>Total</w:t>
            </w:r>
          </w:p>
        </w:tc>
      </w:tr>
      <w:tr w:rsidR="002B7276" w:rsidRPr="002B7276" w14:paraId="227DF6F9" w14:textId="77777777" w:rsidTr="005F4A92">
        <w:trPr>
          <w:trHeight w:val="323"/>
        </w:trPr>
        <w:tc>
          <w:tcPr>
            <w:tcW w:w="3087" w:type="dxa"/>
            <w:tcBorders>
              <w:top w:val="single" w:sz="8" w:space="0" w:color="AEAEAE"/>
              <w:left w:val="nil"/>
              <w:bottom w:val="nil"/>
              <w:right w:val="nil"/>
            </w:tcBorders>
            <w:shd w:val="clear" w:color="000000" w:fill="E0E0E0"/>
            <w:vAlign w:val="center"/>
            <w:hideMark/>
          </w:tcPr>
          <w:p w14:paraId="09116079" w14:textId="77777777" w:rsidR="006A3DBC" w:rsidRPr="002B7276" w:rsidRDefault="006A3DBC" w:rsidP="00A9575E">
            <w:pPr>
              <w:spacing w:after="0" w:line="240" w:lineRule="auto"/>
              <w:jc w:val="both"/>
              <w:rPr>
                <w:rFonts w:eastAsia="Times New Roman" w:cs="Arial"/>
                <w:sz w:val="22"/>
                <w:lang w:eastAsia="es-SV"/>
              </w:rPr>
            </w:pPr>
            <w:r w:rsidRPr="002B7276">
              <w:rPr>
                <w:rFonts w:eastAsia="Times New Roman" w:cs="Arial"/>
                <w:sz w:val="22"/>
                <w:lang w:eastAsia="es-SV"/>
              </w:rPr>
              <w:t>Inodoro conectado a alcantarilla</w:t>
            </w:r>
          </w:p>
        </w:tc>
        <w:tc>
          <w:tcPr>
            <w:tcW w:w="1685" w:type="dxa"/>
            <w:tcBorders>
              <w:top w:val="nil"/>
              <w:left w:val="nil"/>
              <w:bottom w:val="single" w:sz="8" w:space="0" w:color="AEAEAE"/>
              <w:right w:val="nil"/>
            </w:tcBorders>
            <w:shd w:val="clear" w:color="auto" w:fill="auto"/>
            <w:vAlign w:val="center"/>
            <w:hideMark/>
          </w:tcPr>
          <w:p w14:paraId="7AAEAC70" w14:textId="7722212D"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28</w:t>
            </w:r>
            <w:r w:rsidR="007F4D40" w:rsidRPr="002B7276">
              <w:rPr>
                <w:rFonts w:eastAsia="Times New Roman" w:cs="Arial"/>
                <w:sz w:val="22"/>
                <w:lang w:eastAsia="es-SV"/>
              </w:rPr>
              <w:t>,</w:t>
            </w:r>
            <w:r w:rsidRPr="002B7276">
              <w:rPr>
                <w:rFonts w:eastAsia="Times New Roman" w:cs="Arial"/>
                <w:sz w:val="22"/>
                <w:lang w:eastAsia="es-SV"/>
              </w:rPr>
              <w:t>959</w:t>
            </w:r>
          </w:p>
        </w:tc>
        <w:tc>
          <w:tcPr>
            <w:tcW w:w="1510" w:type="dxa"/>
            <w:tcBorders>
              <w:top w:val="nil"/>
              <w:left w:val="nil"/>
              <w:bottom w:val="single" w:sz="8" w:space="0" w:color="AEAEAE"/>
              <w:right w:val="nil"/>
            </w:tcBorders>
            <w:shd w:val="clear" w:color="auto" w:fill="auto"/>
            <w:vAlign w:val="center"/>
            <w:hideMark/>
          </w:tcPr>
          <w:p w14:paraId="1A1A4485" w14:textId="0778A768"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9</w:t>
            </w:r>
            <w:r w:rsidR="007F4D40" w:rsidRPr="002B7276">
              <w:rPr>
                <w:rFonts w:eastAsia="Times New Roman" w:cs="Arial"/>
                <w:sz w:val="22"/>
                <w:lang w:eastAsia="es-SV"/>
              </w:rPr>
              <w:t>,</w:t>
            </w:r>
            <w:r w:rsidRPr="002B7276">
              <w:rPr>
                <w:rFonts w:eastAsia="Times New Roman" w:cs="Arial"/>
                <w:sz w:val="22"/>
                <w:lang w:eastAsia="es-SV"/>
              </w:rPr>
              <w:t>157</w:t>
            </w:r>
          </w:p>
        </w:tc>
        <w:tc>
          <w:tcPr>
            <w:tcW w:w="1617" w:type="dxa"/>
            <w:tcBorders>
              <w:top w:val="nil"/>
              <w:left w:val="nil"/>
              <w:bottom w:val="single" w:sz="8" w:space="0" w:color="AEAEAE"/>
              <w:right w:val="nil"/>
            </w:tcBorders>
            <w:shd w:val="clear" w:color="auto" w:fill="auto"/>
            <w:vAlign w:val="center"/>
            <w:hideMark/>
          </w:tcPr>
          <w:p w14:paraId="7CC3514B" w14:textId="38BE0211"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46</w:t>
            </w:r>
            <w:r w:rsidR="007F4D40" w:rsidRPr="002B7276">
              <w:rPr>
                <w:rFonts w:eastAsia="Times New Roman" w:cs="Arial"/>
                <w:sz w:val="22"/>
                <w:lang w:eastAsia="es-SV"/>
              </w:rPr>
              <w:t>,</w:t>
            </w:r>
            <w:r w:rsidRPr="002B7276">
              <w:rPr>
                <w:rFonts w:eastAsia="Times New Roman" w:cs="Arial"/>
                <w:sz w:val="22"/>
                <w:lang w:eastAsia="es-SV"/>
              </w:rPr>
              <w:t>996</w:t>
            </w:r>
          </w:p>
        </w:tc>
        <w:tc>
          <w:tcPr>
            <w:tcW w:w="1974" w:type="dxa"/>
            <w:tcBorders>
              <w:top w:val="nil"/>
              <w:left w:val="nil"/>
              <w:bottom w:val="single" w:sz="8" w:space="0" w:color="AEAEAE"/>
              <w:right w:val="nil"/>
            </w:tcBorders>
            <w:shd w:val="clear" w:color="auto" w:fill="auto"/>
            <w:noWrap/>
            <w:vAlign w:val="center"/>
            <w:hideMark/>
          </w:tcPr>
          <w:p w14:paraId="6C12A62D" w14:textId="4AC7F893" w:rsidR="006A3DBC" w:rsidRPr="002B7276" w:rsidRDefault="006A3DBC" w:rsidP="005F4A92">
            <w:pPr>
              <w:spacing w:after="0" w:line="240" w:lineRule="auto"/>
              <w:jc w:val="right"/>
              <w:rPr>
                <w:rFonts w:eastAsia="Times New Roman" w:cs="Arial"/>
                <w:sz w:val="22"/>
                <w:lang w:eastAsia="es-SV"/>
              </w:rPr>
            </w:pPr>
            <w:r w:rsidRPr="002B7276">
              <w:rPr>
                <w:rFonts w:eastAsia="Times New Roman" w:cs="Arial"/>
                <w:sz w:val="22"/>
                <w:lang w:eastAsia="es-SV"/>
              </w:rPr>
              <w:t>85</w:t>
            </w:r>
            <w:r w:rsidR="007F4D40" w:rsidRPr="002B7276">
              <w:rPr>
                <w:rFonts w:eastAsia="Times New Roman" w:cs="Arial"/>
                <w:sz w:val="22"/>
                <w:lang w:eastAsia="es-SV"/>
              </w:rPr>
              <w:t>,</w:t>
            </w:r>
            <w:r w:rsidRPr="002B7276">
              <w:rPr>
                <w:rFonts w:eastAsia="Times New Roman" w:cs="Arial"/>
                <w:sz w:val="22"/>
                <w:lang w:eastAsia="es-SV"/>
              </w:rPr>
              <w:t>112</w:t>
            </w:r>
          </w:p>
        </w:tc>
      </w:tr>
      <w:tr w:rsidR="002B7276" w:rsidRPr="002B7276" w14:paraId="26A3E871" w14:textId="77777777" w:rsidTr="005F4A92">
        <w:trPr>
          <w:trHeight w:val="259"/>
        </w:trPr>
        <w:tc>
          <w:tcPr>
            <w:tcW w:w="3087" w:type="dxa"/>
            <w:tcBorders>
              <w:top w:val="single" w:sz="8" w:space="0" w:color="AEAEAE"/>
              <w:left w:val="nil"/>
              <w:bottom w:val="nil"/>
              <w:right w:val="nil"/>
            </w:tcBorders>
            <w:shd w:val="clear" w:color="000000" w:fill="E0E0E0"/>
            <w:vAlign w:val="center"/>
            <w:hideMark/>
          </w:tcPr>
          <w:p w14:paraId="55787437" w14:textId="77777777" w:rsidR="006A3DBC" w:rsidRPr="002B7276" w:rsidRDefault="006A3DBC" w:rsidP="00A9575E">
            <w:pPr>
              <w:spacing w:after="0" w:line="240" w:lineRule="auto"/>
              <w:jc w:val="both"/>
              <w:rPr>
                <w:rFonts w:eastAsia="Times New Roman" w:cs="Arial"/>
                <w:sz w:val="22"/>
                <w:lang w:eastAsia="es-SV"/>
              </w:rPr>
            </w:pPr>
            <w:r w:rsidRPr="002B7276">
              <w:rPr>
                <w:rFonts w:eastAsia="Times New Roman" w:cs="Arial"/>
                <w:sz w:val="22"/>
                <w:lang w:eastAsia="es-SV"/>
              </w:rPr>
              <w:t>Inodoro conectado a pozo séptico</w:t>
            </w:r>
          </w:p>
        </w:tc>
        <w:tc>
          <w:tcPr>
            <w:tcW w:w="1685" w:type="dxa"/>
            <w:tcBorders>
              <w:top w:val="nil"/>
              <w:left w:val="nil"/>
              <w:bottom w:val="single" w:sz="8" w:space="0" w:color="AEAEAE"/>
              <w:right w:val="nil"/>
            </w:tcBorders>
            <w:shd w:val="clear" w:color="auto" w:fill="auto"/>
            <w:vAlign w:val="center"/>
            <w:hideMark/>
          </w:tcPr>
          <w:p w14:paraId="090F3FF2" w14:textId="3B4F970B"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25</w:t>
            </w:r>
            <w:r w:rsidR="007F4D40" w:rsidRPr="002B7276">
              <w:rPr>
                <w:rFonts w:eastAsia="Times New Roman" w:cs="Arial"/>
                <w:sz w:val="22"/>
                <w:lang w:eastAsia="es-SV"/>
              </w:rPr>
              <w:t>,</w:t>
            </w:r>
            <w:r w:rsidRPr="002B7276">
              <w:rPr>
                <w:rFonts w:eastAsia="Times New Roman" w:cs="Arial"/>
                <w:sz w:val="22"/>
                <w:lang w:eastAsia="es-SV"/>
              </w:rPr>
              <w:t>371</w:t>
            </w:r>
          </w:p>
        </w:tc>
        <w:tc>
          <w:tcPr>
            <w:tcW w:w="1510" w:type="dxa"/>
            <w:tcBorders>
              <w:top w:val="nil"/>
              <w:left w:val="nil"/>
              <w:bottom w:val="single" w:sz="8" w:space="0" w:color="AEAEAE"/>
              <w:right w:val="nil"/>
            </w:tcBorders>
            <w:shd w:val="clear" w:color="auto" w:fill="auto"/>
            <w:vAlign w:val="center"/>
            <w:hideMark/>
          </w:tcPr>
          <w:p w14:paraId="2914D1DA" w14:textId="1514EB61"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12</w:t>
            </w:r>
            <w:r w:rsidR="007F4D40" w:rsidRPr="002B7276">
              <w:rPr>
                <w:rFonts w:eastAsia="Times New Roman" w:cs="Arial"/>
                <w:sz w:val="22"/>
                <w:lang w:eastAsia="es-SV"/>
              </w:rPr>
              <w:t>,</w:t>
            </w:r>
            <w:r w:rsidRPr="002B7276">
              <w:rPr>
                <w:rFonts w:eastAsia="Times New Roman" w:cs="Arial"/>
                <w:sz w:val="22"/>
                <w:lang w:eastAsia="es-SV"/>
              </w:rPr>
              <w:t>966</w:t>
            </w:r>
          </w:p>
        </w:tc>
        <w:tc>
          <w:tcPr>
            <w:tcW w:w="1617" w:type="dxa"/>
            <w:tcBorders>
              <w:top w:val="nil"/>
              <w:left w:val="nil"/>
              <w:bottom w:val="single" w:sz="8" w:space="0" w:color="AEAEAE"/>
              <w:right w:val="nil"/>
            </w:tcBorders>
            <w:shd w:val="clear" w:color="auto" w:fill="auto"/>
            <w:vAlign w:val="center"/>
            <w:hideMark/>
          </w:tcPr>
          <w:p w14:paraId="1EC34EBF" w14:textId="35BAC6BC"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43</w:t>
            </w:r>
            <w:r w:rsidR="007F4D40" w:rsidRPr="002B7276">
              <w:rPr>
                <w:rFonts w:eastAsia="Times New Roman" w:cs="Arial"/>
                <w:sz w:val="22"/>
                <w:lang w:eastAsia="es-SV"/>
              </w:rPr>
              <w:t>,</w:t>
            </w:r>
            <w:r w:rsidRPr="002B7276">
              <w:rPr>
                <w:rFonts w:eastAsia="Times New Roman" w:cs="Arial"/>
                <w:sz w:val="22"/>
                <w:lang w:eastAsia="es-SV"/>
              </w:rPr>
              <w:t>251</w:t>
            </w:r>
          </w:p>
        </w:tc>
        <w:tc>
          <w:tcPr>
            <w:tcW w:w="1974" w:type="dxa"/>
            <w:tcBorders>
              <w:top w:val="nil"/>
              <w:left w:val="nil"/>
              <w:bottom w:val="single" w:sz="8" w:space="0" w:color="AEAEAE"/>
              <w:right w:val="nil"/>
            </w:tcBorders>
            <w:shd w:val="clear" w:color="auto" w:fill="auto"/>
            <w:noWrap/>
            <w:vAlign w:val="center"/>
            <w:hideMark/>
          </w:tcPr>
          <w:p w14:paraId="45B0B1DB" w14:textId="56B7E6D7" w:rsidR="006A3DBC" w:rsidRPr="002B7276" w:rsidRDefault="006A3DBC" w:rsidP="005F4A92">
            <w:pPr>
              <w:spacing w:after="0" w:line="240" w:lineRule="auto"/>
              <w:jc w:val="right"/>
              <w:rPr>
                <w:rFonts w:eastAsia="Times New Roman" w:cs="Arial"/>
                <w:sz w:val="22"/>
                <w:lang w:eastAsia="es-SV"/>
              </w:rPr>
            </w:pPr>
            <w:r w:rsidRPr="002B7276">
              <w:rPr>
                <w:rFonts w:eastAsia="Times New Roman" w:cs="Arial"/>
                <w:sz w:val="22"/>
                <w:lang w:eastAsia="es-SV"/>
              </w:rPr>
              <w:t>81</w:t>
            </w:r>
            <w:r w:rsidR="007F4D40" w:rsidRPr="002B7276">
              <w:rPr>
                <w:rFonts w:eastAsia="Times New Roman" w:cs="Arial"/>
                <w:sz w:val="22"/>
                <w:lang w:eastAsia="es-SV"/>
              </w:rPr>
              <w:t>,</w:t>
            </w:r>
            <w:r w:rsidRPr="002B7276">
              <w:rPr>
                <w:rFonts w:eastAsia="Times New Roman" w:cs="Arial"/>
                <w:sz w:val="22"/>
                <w:lang w:eastAsia="es-SV"/>
              </w:rPr>
              <w:t>588</w:t>
            </w:r>
          </w:p>
        </w:tc>
      </w:tr>
      <w:tr w:rsidR="002B7276" w:rsidRPr="002B7276" w14:paraId="18690920" w14:textId="77777777" w:rsidTr="005F4A92">
        <w:trPr>
          <w:trHeight w:val="388"/>
        </w:trPr>
        <w:tc>
          <w:tcPr>
            <w:tcW w:w="3087" w:type="dxa"/>
            <w:tcBorders>
              <w:top w:val="single" w:sz="8" w:space="0" w:color="AEAEAE"/>
              <w:left w:val="nil"/>
              <w:bottom w:val="nil"/>
              <w:right w:val="nil"/>
            </w:tcBorders>
            <w:shd w:val="clear" w:color="000000" w:fill="E0E0E0"/>
            <w:vAlign w:val="center"/>
            <w:hideMark/>
          </w:tcPr>
          <w:p w14:paraId="7918EE45" w14:textId="77777777" w:rsidR="006A3DBC" w:rsidRPr="002B7276" w:rsidRDefault="006A3DBC" w:rsidP="00A9575E">
            <w:pPr>
              <w:spacing w:after="0" w:line="240" w:lineRule="auto"/>
              <w:jc w:val="both"/>
              <w:rPr>
                <w:rFonts w:eastAsia="Times New Roman" w:cs="Arial"/>
                <w:sz w:val="22"/>
                <w:lang w:eastAsia="es-SV"/>
              </w:rPr>
            </w:pPr>
            <w:r w:rsidRPr="002B7276">
              <w:rPr>
                <w:rFonts w:eastAsia="Times New Roman" w:cs="Arial"/>
                <w:sz w:val="22"/>
                <w:lang w:eastAsia="es-SV"/>
              </w:rPr>
              <w:t>Inodoro con desagüe a río, laguna, mar</w:t>
            </w:r>
          </w:p>
        </w:tc>
        <w:tc>
          <w:tcPr>
            <w:tcW w:w="1685" w:type="dxa"/>
            <w:tcBorders>
              <w:top w:val="nil"/>
              <w:left w:val="nil"/>
              <w:bottom w:val="single" w:sz="8" w:space="0" w:color="AEAEAE"/>
              <w:right w:val="nil"/>
            </w:tcBorders>
            <w:shd w:val="clear" w:color="auto" w:fill="auto"/>
            <w:vAlign w:val="center"/>
            <w:hideMark/>
          </w:tcPr>
          <w:p w14:paraId="4C79C840" w14:textId="77777777"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329</w:t>
            </w:r>
          </w:p>
        </w:tc>
        <w:tc>
          <w:tcPr>
            <w:tcW w:w="1510" w:type="dxa"/>
            <w:tcBorders>
              <w:top w:val="nil"/>
              <w:left w:val="nil"/>
              <w:bottom w:val="single" w:sz="8" w:space="0" w:color="AEAEAE"/>
              <w:right w:val="nil"/>
            </w:tcBorders>
            <w:shd w:val="clear" w:color="auto" w:fill="auto"/>
            <w:vAlign w:val="center"/>
            <w:hideMark/>
          </w:tcPr>
          <w:p w14:paraId="77040A66" w14:textId="0942CBED"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1</w:t>
            </w:r>
            <w:r w:rsidR="007F4D40" w:rsidRPr="002B7276">
              <w:rPr>
                <w:rFonts w:eastAsia="Times New Roman" w:cs="Arial"/>
                <w:sz w:val="22"/>
                <w:lang w:eastAsia="es-SV"/>
              </w:rPr>
              <w:t>,</w:t>
            </w:r>
            <w:r w:rsidRPr="002B7276">
              <w:rPr>
                <w:rFonts w:eastAsia="Times New Roman" w:cs="Arial"/>
                <w:sz w:val="22"/>
                <w:lang w:eastAsia="es-SV"/>
              </w:rPr>
              <w:t>078</w:t>
            </w:r>
          </w:p>
        </w:tc>
        <w:tc>
          <w:tcPr>
            <w:tcW w:w="1617" w:type="dxa"/>
            <w:tcBorders>
              <w:top w:val="nil"/>
              <w:left w:val="nil"/>
              <w:bottom w:val="single" w:sz="8" w:space="0" w:color="AEAEAE"/>
              <w:right w:val="nil"/>
            </w:tcBorders>
            <w:shd w:val="clear" w:color="auto" w:fill="auto"/>
            <w:vAlign w:val="center"/>
            <w:hideMark/>
          </w:tcPr>
          <w:p w14:paraId="710FF25F" w14:textId="77777777"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792</w:t>
            </w:r>
          </w:p>
        </w:tc>
        <w:tc>
          <w:tcPr>
            <w:tcW w:w="1974" w:type="dxa"/>
            <w:tcBorders>
              <w:top w:val="nil"/>
              <w:left w:val="nil"/>
              <w:bottom w:val="single" w:sz="8" w:space="0" w:color="AEAEAE"/>
              <w:right w:val="nil"/>
            </w:tcBorders>
            <w:shd w:val="clear" w:color="auto" w:fill="auto"/>
            <w:noWrap/>
            <w:vAlign w:val="center"/>
            <w:hideMark/>
          </w:tcPr>
          <w:p w14:paraId="0BD22884" w14:textId="289FC1E5" w:rsidR="006A3DBC" w:rsidRPr="002B7276" w:rsidRDefault="006A3DBC" w:rsidP="005F4A92">
            <w:pPr>
              <w:spacing w:after="0" w:line="240" w:lineRule="auto"/>
              <w:jc w:val="right"/>
              <w:rPr>
                <w:rFonts w:eastAsia="Times New Roman" w:cs="Arial"/>
                <w:sz w:val="22"/>
                <w:lang w:eastAsia="es-SV"/>
              </w:rPr>
            </w:pPr>
            <w:r w:rsidRPr="002B7276">
              <w:rPr>
                <w:rFonts w:eastAsia="Times New Roman" w:cs="Arial"/>
                <w:sz w:val="22"/>
                <w:lang w:eastAsia="es-SV"/>
              </w:rPr>
              <w:t>2</w:t>
            </w:r>
            <w:r w:rsidR="007F4D40" w:rsidRPr="002B7276">
              <w:rPr>
                <w:rFonts w:eastAsia="Times New Roman" w:cs="Arial"/>
                <w:sz w:val="22"/>
                <w:lang w:eastAsia="es-SV"/>
              </w:rPr>
              <w:t>,</w:t>
            </w:r>
            <w:r w:rsidRPr="002B7276">
              <w:rPr>
                <w:rFonts w:eastAsia="Times New Roman" w:cs="Arial"/>
                <w:sz w:val="22"/>
                <w:lang w:eastAsia="es-SV"/>
              </w:rPr>
              <w:t>199</w:t>
            </w:r>
          </w:p>
        </w:tc>
      </w:tr>
      <w:tr w:rsidR="002B7276" w:rsidRPr="002B7276" w14:paraId="5B2CC9BA" w14:textId="77777777" w:rsidTr="005F4A92">
        <w:trPr>
          <w:trHeight w:val="388"/>
        </w:trPr>
        <w:tc>
          <w:tcPr>
            <w:tcW w:w="3087" w:type="dxa"/>
            <w:tcBorders>
              <w:top w:val="single" w:sz="8" w:space="0" w:color="AEAEAE"/>
              <w:left w:val="nil"/>
              <w:bottom w:val="nil"/>
              <w:right w:val="nil"/>
            </w:tcBorders>
            <w:shd w:val="clear" w:color="000000" w:fill="E0E0E0"/>
            <w:vAlign w:val="center"/>
            <w:hideMark/>
          </w:tcPr>
          <w:p w14:paraId="108FDACF" w14:textId="77777777" w:rsidR="006A3DBC" w:rsidRPr="002B7276" w:rsidRDefault="006A3DBC" w:rsidP="00A9575E">
            <w:pPr>
              <w:spacing w:after="0" w:line="240" w:lineRule="auto"/>
              <w:jc w:val="both"/>
              <w:rPr>
                <w:rFonts w:eastAsia="Times New Roman" w:cs="Arial"/>
                <w:sz w:val="22"/>
                <w:lang w:eastAsia="es-SV"/>
              </w:rPr>
            </w:pPr>
            <w:r w:rsidRPr="002B7276">
              <w:rPr>
                <w:rFonts w:eastAsia="Times New Roman" w:cs="Arial"/>
                <w:sz w:val="22"/>
                <w:lang w:eastAsia="es-SV"/>
              </w:rPr>
              <w:t>Letrina con descarga a río, laguna, mar</w:t>
            </w:r>
          </w:p>
        </w:tc>
        <w:tc>
          <w:tcPr>
            <w:tcW w:w="1685" w:type="dxa"/>
            <w:tcBorders>
              <w:top w:val="nil"/>
              <w:left w:val="nil"/>
              <w:bottom w:val="single" w:sz="8" w:space="0" w:color="AEAEAE"/>
              <w:right w:val="nil"/>
            </w:tcBorders>
            <w:shd w:val="clear" w:color="auto" w:fill="auto"/>
            <w:vAlign w:val="center"/>
            <w:hideMark/>
          </w:tcPr>
          <w:p w14:paraId="79C9E3EE" w14:textId="77777777"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93</w:t>
            </w:r>
          </w:p>
        </w:tc>
        <w:tc>
          <w:tcPr>
            <w:tcW w:w="1510" w:type="dxa"/>
            <w:tcBorders>
              <w:top w:val="nil"/>
              <w:left w:val="nil"/>
              <w:bottom w:val="single" w:sz="8" w:space="0" w:color="AEAEAE"/>
              <w:right w:val="nil"/>
            </w:tcBorders>
            <w:shd w:val="clear" w:color="auto" w:fill="auto"/>
            <w:vAlign w:val="center"/>
            <w:hideMark/>
          </w:tcPr>
          <w:p w14:paraId="513A0C28" w14:textId="77777777"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0</w:t>
            </w:r>
          </w:p>
        </w:tc>
        <w:tc>
          <w:tcPr>
            <w:tcW w:w="1617" w:type="dxa"/>
            <w:tcBorders>
              <w:top w:val="nil"/>
              <w:left w:val="nil"/>
              <w:bottom w:val="single" w:sz="8" w:space="0" w:color="AEAEAE"/>
              <w:right w:val="nil"/>
            </w:tcBorders>
            <w:shd w:val="clear" w:color="auto" w:fill="auto"/>
            <w:vAlign w:val="center"/>
            <w:hideMark/>
          </w:tcPr>
          <w:p w14:paraId="3AF14D8C" w14:textId="77777777"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95</w:t>
            </w:r>
          </w:p>
        </w:tc>
        <w:tc>
          <w:tcPr>
            <w:tcW w:w="1974" w:type="dxa"/>
            <w:tcBorders>
              <w:top w:val="nil"/>
              <w:left w:val="nil"/>
              <w:bottom w:val="single" w:sz="8" w:space="0" w:color="AEAEAE"/>
              <w:right w:val="nil"/>
            </w:tcBorders>
            <w:shd w:val="clear" w:color="auto" w:fill="auto"/>
            <w:noWrap/>
            <w:vAlign w:val="center"/>
            <w:hideMark/>
          </w:tcPr>
          <w:p w14:paraId="5638C6BB" w14:textId="77777777" w:rsidR="006A3DBC" w:rsidRPr="002B7276" w:rsidRDefault="006A3DBC" w:rsidP="005F4A92">
            <w:pPr>
              <w:spacing w:after="0" w:line="240" w:lineRule="auto"/>
              <w:jc w:val="right"/>
              <w:rPr>
                <w:rFonts w:eastAsia="Times New Roman" w:cs="Arial"/>
                <w:sz w:val="22"/>
                <w:lang w:eastAsia="es-SV"/>
              </w:rPr>
            </w:pPr>
            <w:r w:rsidRPr="002B7276">
              <w:rPr>
                <w:rFonts w:eastAsia="Times New Roman" w:cs="Arial"/>
                <w:sz w:val="22"/>
                <w:lang w:eastAsia="es-SV"/>
              </w:rPr>
              <w:t>188</w:t>
            </w:r>
          </w:p>
        </w:tc>
      </w:tr>
      <w:tr w:rsidR="002B7276" w:rsidRPr="002B7276" w14:paraId="33E1783E" w14:textId="77777777" w:rsidTr="005F4A92">
        <w:trPr>
          <w:trHeight w:val="323"/>
        </w:trPr>
        <w:tc>
          <w:tcPr>
            <w:tcW w:w="3087" w:type="dxa"/>
            <w:tcBorders>
              <w:top w:val="single" w:sz="8" w:space="0" w:color="AEAEAE"/>
              <w:left w:val="nil"/>
              <w:bottom w:val="nil"/>
              <w:right w:val="nil"/>
            </w:tcBorders>
            <w:shd w:val="clear" w:color="000000" w:fill="E0E0E0"/>
            <w:vAlign w:val="center"/>
            <w:hideMark/>
          </w:tcPr>
          <w:p w14:paraId="6043BD95" w14:textId="77777777" w:rsidR="006A3DBC" w:rsidRPr="002B7276" w:rsidRDefault="006A3DBC" w:rsidP="00A9575E">
            <w:pPr>
              <w:spacing w:after="0" w:line="240" w:lineRule="auto"/>
              <w:jc w:val="both"/>
              <w:rPr>
                <w:rFonts w:eastAsia="Times New Roman" w:cs="Arial"/>
                <w:sz w:val="22"/>
                <w:lang w:eastAsia="es-SV"/>
              </w:rPr>
            </w:pPr>
            <w:r w:rsidRPr="002B7276">
              <w:rPr>
                <w:rFonts w:eastAsia="Times New Roman" w:cs="Arial"/>
                <w:sz w:val="22"/>
                <w:lang w:eastAsia="es-SV"/>
              </w:rPr>
              <w:t>Taza campesina/letrina con cierre hidráulico</w:t>
            </w:r>
          </w:p>
        </w:tc>
        <w:tc>
          <w:tcPr>
            <w:tcW w:w="1685" w:type="dxa"/>
            <w:tcBorders>
              <w:top w:val="nil"/>
              <w:left w:val="nil"/>
              <w:bottom w:val="single" w:sz="8" w:space="0" w:color="AEAEAE"/>
              <w:right w:val="nil"/>
            </w:tcBorders>
            <w:shd w:val="clear" w:color="auto" w:fill="auto"/>
            <w:vAlign w:val="center"/>
            <w:hideMark/>
          </w:tcPr>
          <w:p w14:paraId="21CCF53E" w14:textId="7EAAA6F9"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40</w:t>
            </w:r>
            <w:r w:rsidR="007F4D40" w:rsidRPr="002B7276">
              <w:rPr>
                <w:rFonts w:eastAsia="Times New Roman" w:cs="Arial"/>
                <w:sz w:val="22"/>
                <w:lang w:eastAsia="es-SV"/>
              </w:rPr>
              <w:t>,</w:t>
            </w:r>
            <w:r w:rsidRPr="002B7276">
              <w:rPr>
                <w:rFonts w:eastAsia="Times New Roman" w:cs="Arial"/>
                <w:sz w:val="22"/>
                <w:lang w:eastAsia="es-SV"/>
              </w:rPr>
              <w:t>799</w:t>
            </w:r>
          </w:p>
        </w:tc>
        <w:tc>
          <w:tcPr>
            <w:tcW w:w="1510" w:type="dxa"/>
            <w:tcBorders>
              <w:top w:val="nil"/>
              <w:left w:val="nil"/>
              <w:bottom w:val="single" w:sz="8" w:space="0" w:color="AEAEAE"/>
              <w:right w:val="nil"/>
            </w:tcBorders>
            <w:shd w:val="clear" w:color="auto" w:fill="auto"/>
            <w:vAlign w:val="center"/>
            <w:hideMark/>
          </w:tcPr>
          <w:p w14:paraId="4EE90584" w14:textId="04900C54"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12</w:t>
            </w:r>
            <w:r w:rsidR="007F4D40" w:rsidRPr="002B7276">
              <w:rPr>
                <w:rFonts w:eastAsia="Times New Roman" w:cs="Arial"/>
                <w:sz w:val="22"/>
                <w:lang w:eastAsia="es-SV"/>
              </w:rPr>
              <w:t>,</w:t>
            </w:r>
            <w:r w:rsidRPr="002B7276">
              <w:rPr>
                <w:rFonts w:eastAsia="Times New Roman" w:cs="Arial"/>
                <w:sz w:val="22"/>
                <w:lang w:eastAsia="es-SV"/>
              </w:rPr>
              <w:t>864</w:t>
            </w:r>
          </w:p>
        </w:tc>
        <w:tc>
          <w:tcPr>
            <w:tcW w:w="1617" w:type="dxa"/>
            <w:tcBorders>
              <w:top w:val="nil"/>
              <w:left w:val="nil"/>
              <w:bottom w:val="single" w:sz="8" w:space="0" w:color="AEAEAE"/>
              <w:right w:val="nil"/>
            </w:tcBorders>
            <w:shd w:val="clear" w:color="auto" w:fill="auto"/>
            <w:vAlign w:val="center"/>
            <w:hideMark/>
          </w:tcPr>
          <w:p w14:paraId="5C85896B" w14:textId="5115033E"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35</w:t>
            </w:r>
            <w:r w:rsidR="007F4D40" w:rsidRPr="002B7276">
              <w:rPr>
                <w:rFonts w:eastAsia="Times New Roman" w:cs="Arial"/>
                <w:sz w:val="22"/>
                <w:lang w:eastAsia="es-SV"/>
              </w:rPr>
              <w:t>,</w:t>
            </w:r>
            <w:r w:rsidRPr="002B7276">
              <w:rPr>
                <w:rFonts w:eastAsia="Times New Roman" w:cs="Arial"/>
                <w:sz w:val="22"/>
                <w:lang w:eastAsia="es-SV"/>
              </w:rPr>
              <w:t>167</w:t>
            </w:r>
          </w:p>
        </w:tc>
        <w:tc>
          <w:tcPr>
            <w:tcW w:w="1974" w:type="dxa"/>
            <w:tcBorders>
              <w:top w:val="nil"/>
              <w:left w:val="nil"/>
              <w:bottom w:val="single" w:sz="8" w:space="0" w:color="AEAEAE"/>
              <w:right w:val="nil"/>
            </w:tcBorders>
            <w:shd w:val="clear" w:color="auto" w:fill="auto"/>
            <w:noWrap/>
            <w:vAlign w:val="center"/>
            <w:hideMark/>
          </w:tcPr>
          <w:p w14:paraId="09F5C05D" w14:textId="219C33B2" w:rsidR="006A3DBC" w:rsidRPr="002B7276" w:rsidRDefault="006A3DBC" w:rsidP="005F4A92">
            <w:pPr>
              <w:spacing w:after="0" w:line="240" w:lineRule="auto"/>
              <w:jc w:val="right"/>
              <w:rPr>
                <w:rFonts w:eastAsia="Times New Roman" w:cs="Arial"/>
                <w:sz w:val="22"/>
                <w:lang w:eastAsia="es-SV"/>
              </w:rPr>
            </w:pPr>
            <w:r w:rsidRPr="002B7276">
              <w:rPr>
                <w:rFonts w:eastAsia="Times New Roman" w:cs="Arial"/>
                <w:sz w:val="22"/>
                <w:lang w:eastAsia="es-SV"/>
              </w:rPr>
              <w:t>88830</w:t>
            </w:r>
          </w:p>
        </w:tc>
      </w:tr>
      <w:tr w:rsidR="002B7276" w:rsidRPr="002B7276" w14:paraId="6392EF00" w14:textId="77777777" w:rsidTr="005F4A92">
        <w:trPr>
          <w:trHeight w:val="195"/>
        </w:trPr>
        <w:tc>
          <w:tcPr>
            <w:tcW w:w="3087" w:type="dxa"/>
            <w:tcBorders>
              <w:top w:val="single" w:sz="8" w:space="0" w:color="AEAEAE"/>
              <w:left w:val="nil"/>
              <w:bottom w:val="nil"/>
              <w:right w:val="nil"/>
            </w:tcBorders>
            <w:shd w:val="clear" w:color="000000" w:fill="E0E0E0"/>
            <w:vAlign w:val="center"/>
            <w:hideMark/>
          </w:tcPr>
          <w:p w14:paraId="6BCEAECC" w14:textId="77777777" w:rsidR="006A3DBC" w:rsidRPr="002B7276" w:rsidRDefault="006A3DBC" w:rsidP="00A9575E">
            <w:pPr>
              <w:spacing w:after="0" w:line="240" w:lineRule="auto"/>
              <w:jc w:val="both"/>
              <w:rPr>
                <w:rFonts w:eastAsia="Times New Roman" w:cs="Arial"/>
                <w:sz w:val="22"/>
                <w:lang w:eastAsia="es-SV"/>
              </w:rPr>
            </w:pPr>
            <w:r w:rsidRPr="002B7276">
              <w:rPr>
                <w:rFonts w:eastAsia="Times New Roman" w:cs="Arial"/>
                <w:sz w:val="22"/>
                <w:lang w:eastAsia="es-SV"/>
              </w:rPr>
              <w:t>Letrina con pozo séptico</w:t>
            </w:r>
          </w:p>
        </w:tc>
        <w:tc>
          <w:tcPr>
            <w:tcW w:w="1685" w:type="dxa"/>
            <w:tcBorders>
              <w:top w:val="nil"/>
              <w:left w:val="nil"/>
              <w:bottom w:val="single" w:sz="8" w:space="0" w:color="AEAEAE"/>
              <w:right w:val="nil"/>
            </w:tcBorders>
            <w:shd w:val="clear" w:color="auto" w:fill="auto"/>
            <w:vAlign w:val="center"/>
            <w:hideMark/>
          </w:tcPr>
          <w:p w14:paraId="7314C4DD" w14:textId="77777777"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13,917</w:t>
            </w:r>
          </w:p>
        </w:tc>
        <w:tc>
          <w:tcPr>
            <w:tcW w:w="1510" w:type="dxa"/>
            <w:tcBorders>
              <w:top w:val="nil"/>
              <w:left w:val="nil"/>
              <w:bottom w:val="single" w:sz="8" w:space="0" w:color="AEAEAE"/>
              <w:right w:val="nil"/>
            </w:tcBorders>
            <w:shd w:val="clear" w:color="auto" w:fill="auto"/>
            <w:vAlign w:val="center"/>
            <w:hideMark/>
          </w:tcPr>
          <w:p w14:paraId="7ED13CC1" w14:textId="43EFAC30"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2</w:t>
            </w:r>
            <w:r w:rsidR="007F4D40" w:rsidRPr="002B7276">
              <w:rPr>
                <w:rFonts w:eastAsia="Times New Roman" w:cs="Arial"/>
                <w:sz w:val="22"/>
                <w:lang w:eastAsia="es-SV"/>
              </w:rPr>
              <w:t>,</w:t>
            </w:r>
            <w:r w:rsidRPr="002B7276">
              <w:rPr>
                <w:rFonts w:eastAsia="Times New Roman" w:cs="Arial"/>
                <w:sz w:val="22"/>
                <w:lang w:eastAsia="es-SV"/>
              </w:rPr>
              <w:t>231</w:t>
            </w:r>
          </w:p>
        </w:tc>
        <w:tc>
          <w:tcPr>
            <w:tcW w:w="1617" w:type="dxa"/>
            <w:tcBorders>
              <w:top w:val="nil"/>
              <w:left w:val="nil"/>
              <w:bottom w:val="single" w:sz="8" w:space="0" w:color="AEAEAE"/>
              <w:right w:val="nil"/>
            </w:tcBorders>
            <w:shd w:val="clear" w:color="auto" w:fill="auto"/>
            <w:vAlign w:val="center"/>
            <w:hideMark/>
          </w:tcPr>
          <w:p w14:paraId="3C14BCA9" w14:textId="78AD7CB5"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5</w:t>
            </w:r>
            <w:r w:rsidR="007F4D40" w:rsidRPr="002B7276">
              <w:rPr>
                <w:rFonts w:eastAsia="Times New Roman" w:cs="Arial"/>
                <w:sz w:val="22"/>
                <w:lang w:eastAsia="es-SV"/>
              </w:rPr>
              <w:t>,</w:t>
            </w:r>
            <w:r w:rsidRPr="002B7276">
              <w:rPr>
                <w:rFonts w:eastAsia="Times New Roman" w:cs="Arial"/>
                <w:sz w:val="22"/>
                <w:lang w:eastAsia="es-SV"/>
              </w:rPr>
              <w:t>336</w:t>
            </w:r>
          </w:p>
        </w:tc>
        <w:tc>
          <w:tcPr>
            <w:tcW w:w="1974" w:type="dxa"/>
            <w:tcBorders>
              <w:top w:val="nil"/>
              <w:left w:val="nil"/>
              <w:bottom w:val="single" w:sz="8" w:space="0" w:color="AEAEAE"/>
              <w:right w:val="nil"/>
            </w:tcBorders>
            <w:shd w:val="clear" w:color="auto" w:fill="auto"/>
            <w:noWrap/>
            <w:vAlign w:val="center"/>
            <w:hideMark/>
          </w:tcPr>
          <w:p w14:paraId="029685AD" w14:textId="0F54FBA0" w:rsidR="006A3DBC" w:rsidRPr="002B7276" w:rsidRDefault="006A3DBC" w:rsidP="005F4A92">
            <w:pPr>
              <w:spacing w:after="0" w:line="240" w:lineRule="auto"/>
              <w:jc w:val="right"/>
              <w:rPr>
                <w:rFonts w:eastAsia="Times New Roman" w:cs="Arial"/>
                <w:sz w:val="22"/>
                <w:lang w:eastAsia="es-SV"/>
              </w:rPr>
            </w:pPr>
            <w:r w:rsidRPr="002B7276">
              <w:rPr>
                <w:rFonts w:eastAsia="Times New Roman" w:cs="Arial"/>
                <w:sz w:val="22"/>
                <w:lang w:eastAsia="es-SV"/>
              </w:rPr>
              <w:t>21</w:t>
            </w:r>
            <w:r w:rsidR="007F4D40" w:rsidRPr="002B7276">
              <w:rPr>
                <w:rFonts w:eastAsia="Times New Roman" w:cs="Arial"/>
                <w:sz w:val="22"/>
                <w:lang w:eastAsia="es-SV"/>
              </w:rPr>
              <w:t>,</w:t>
            </w:r>
            <w:r w:rsidRPr="002B7276">
              <w:rPr>
                <w:rFonts w:eastAsia="Times New Roman" w:cs="Arial"/>
                <w:sz w:val="22"/>
                <w:lang w:eastAsia="es-SV"/>
              </w:rPr>
              <w:t>484</w:t>
            </w:r>
          </w:p>
        </w:tc>
      </w:tr>
      <w:tr w:rsidR="002B7276" w:rsidRPr="002B7276" w14:paraId="58C0EAB7" w14:textId="77777777" w:rsidTr="005F4A92">
        <w:trPr>
          <w:trHeight w:val="195"/>
        </w:trPr>
        <w:tc>
          <w:tcPr>
            <w:tcW w:w="3087" w:type="dxa"/>
            <w:tcBorders>
              <w:top w:val="single" w:sz="8" w:space="0" w:color="AEAEAE"/>
              <w:left w:val="nil"/>
              <w:bottom w:val="nil"/>
              <w:right w:val="nil"/>
            </w:tcBorders>
            <w:shd w:val="clear" w:color="000000" w:fill="E0E0E0"/>
            <w:vAlign w:val="center"/>
            <w:hideMark/>
          </w:tcPr>
          <w:p w14:paraId="16E7B2D7" w14:textId="77777777" w:rsidR="006A3DBC" w:rsidRPr="002B7276" w:rsidRDefault="006A3DBC" w:rsidP="00A9575E">
            <w:pPr>
              <w:spacing w:after="0" w:line="240" w:lineRule="auto"/>
              <w:jc w:val="both"/>
              <w:rPr>
                <w:rFonts w:eastAsia="Times New Roman" w:cs="Arial"/>
                <w:sz w:val="22"/>
                <w:lang w:eastAsia="es-SV"/>
              </w:rPr>
            </w:pPr>
            <w:r w:rsidRPr="002B7276">
              <w:rPr>
                <w:rFonts w:eastAsia="Times New Roman" w:cs="Arial"/>
                <w:sz w:val="22"/>
                <w:lang w:eastAsia="es-SV"/>
              </w:rPr>
              <w:t>Letrina con pozo negro</w:t>
            </w:r>
          </w:p>
        </w:tc>
        <w:tc>
          <w:tcPr>
            <w:tcW w:w="1685" w:type="dxa"/>
            <w:tcBorders>
              <w:top w:val="nil"/>
              <w:left w:val="nil"/>
              <w:bottom w:val="single" w:sz="8" w:space="0" w:color="AEAEAE"/>
              <w:right w:val="nil"/>
            </w:tcBorders>
            <w:shd w:val="clear" w:color="auto" w:fill="auto"/>
            <w:vAlign w:val="center"/>
            <w:hideMark/>
          </w:tcPr>
          <w:p w14:paraId="51C4926F" w14:textId="77777777"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11,451</w:t>
            </w:r>
          </w:p>
        </w:tc>
        <w:tc>
          <w:tcPr>
            <w:tcW w:w="1510" w:type="dxa"/>
            <w:tcBorders>
              <w:top w:val="nil"/>
              <w:left w:val="nil"/>
              <w:bottom w:val="single" w:sz="8" w:space="0" w:color="AEAEAE"/>
              <w:right w:val="nil"/>
            </w:tcBorders>
            <w:shd w:val="clear" w:color="auto" w:fill="auto"/>
            <w:vAlign w:val="center"/>
            <w:hideMark/>
          </w:tcPr>
          <w:p w14:paraId="7D328C3B" w14:textId="27D7D40B"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3</w:t>
            </w:r>
            <w:r w:rsidR="007F4D40" w:rsidRPr="002B7276">
              <w:rPr>
                <w:rFonts w:eastAsia="Times New Roman" w:cs="Arial"/>
                <w:sz w:val="22"/>
                <w:lang w:eastAsia="es-SV"/>
              </w:rPr>
              <w:t>,</w:t>
            </w:r>
            <w:r w:rsidRPr="002B7276">
              <w:rPr>
                <w:rFonts w:eastAsia="Times New Roman" w:cs="Arial"/>
                <w:sz w:val="22"/>
                <w:lang w:eastAsia="es-SV"/>
              </w:rPr>
              <w:t>327</w:t>
            </w:r>
          </w:p>
        </w:tc>
        <w:tc>
          <w:tcPr>
            <w:tcW w:w="1617" w:type="dxa"/>
            <w:tcBorders>
              <w:top w:val="nil"/>
              <w:left w:val="nil"/>
              <w:bottom w:val="single" w:sz="8" w:space="0" w:color="AEAEAE"/>
              <w:right w:val="nil"/>
            </w:tcBorders>
            <w:shd w:val="clear" w:color="auto" w:fill="auto"/>
            <w:vAlign w:val="center"/>
            <w:hideMark/>
          </w:tcPr>
          <w:p w14:paraId="173AA075" w14:textId="5632FFC0"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10</w:t>
            </w:r>
            <w:r w:rsidR="007F4D40" w:rsidRPr="002B7276">
              <w:rPr>
                <w:rFonts w:eastAsia="Times New Roman" w:cs="Arial"/>
                <w:sz w:val="22"/>
                <w:lang w:eastAsia="es-SV"/>
              </w:rPr>
              <w:t>,</w:t>
            </w:r>
            <w:r w:rsidRPr="002B7276">
              <w:rPr>
                <w:rFonts w:eastAsia="Times New Roman" w:cs="Arial"/>
                <w:sz w:val="22"/>
                <w:lang w:eastAsia="es-SV"/>
              </w:rPr>
              <w:t>863</w:t>
            </w:r>
          </w:p>
        </w:tc>
        <w:tc>
          <w:tcPr>
            <w:tcW w:w="1974" w:type="dxa"/>
            <w:tcBorders>
              <w:top w:val="nil"/>
              <w:left w:val="nil"/>
              <w:bottom w:val="single" w:sz="8" w:space="0" w:color="AEAEAE"/>
              <w:right w:val="nil"/>
            </w:tcBorders>
            <w:shd w:val="clear" w:color="auto" w:fill="auto"/>
            <w:noWrap/>
            <w:vAlign w:val="center"/>
            <w:hideMark/>
          </w:tcPr>
          <w:p w14:paraId="3F2A6712" w14:textId="144D0576" w:rsidR="006A3DBC" w:rsidRPr="002B7276" w:rsidRDefault="006A3DBC" w:rsidP="005F4A92">
            <w:pPr>
              <w:spacing w:after="0" w:line="240" w:lineRule="auto"/>
              <w:jc w:val="right"/>
              <w:rPr>
                <w:rFonts w:eastAsia="Times New Roman" w:cs="Arial"/>
                <w:sz w:val="22"/>
                <w:lang w:eastAsia="es-SV"/>
              </w:rPr>
            </w:pPr>
            <w:r w:rsidRPr="002B7276">
              <w:rPr>
                <w:rFonts w:eastAsia="Times New Roman" w:cs="Arial"/>
                <w:sz w:val="22"/>
                <w:lang w:eastAsia="es-SV"/>
              </w:rPr>
              <w:t>25</w:t>
            </w:r>
            <w:r w:rsidR="007F4D40" w:rsidRPr="002B7276">
              <w:rPr>
                <w:rFonts w:eastAsia="Times New Roman" w:cs="Arial"/>
                <w:sz w:val="22"/>
                <w:lang w:eastAsia="es-SV"/>
              </w:rPr>
              <w:t>,</w:t>
            </w:r>
            <w:r w:rsidRPr="002B7276">
              <w:rPr>
                <w:rFonts w:eastAsia="Times New Roman" w:cs="Arial"/>
                <w:sz w:val="22"/>
                <w:lang w:eastAsia="es-SV"/>
              </w:rPr>
              <w:t>641</w:t>
            </w:r>
          </w:p>
        </w:tc>
      </w:tr>
      <w:tr w:rsidR="002B7276" w:rsidRPr="002B7276" w14:paraId="305C269E" w14:textId="77777777" w:rsidTr="005F4A92">
        <w:trPr>
          <w:trHeight w:val="83"/>
        </w:trPr>
        <w:tc>
          <w:tcPr>
            <w:tcW w:w="3087" w:type="dxa"/>
            <w:tcBorders>
              <w:top w:val="single" w:sz="8" w:space="0" w:color="AEAEAE"/>
              <w:left w:val="nil"/>
              <w:bottom w:val="nil"/>
              <w:right w:val="nil"/>
            </w:tcBorders>
            <w:shd w:val="clear" w:color="000000" w:fill="E0E0E0"/>
            <w:vAlign w:val="center"/>
            <w:hideMark/>
          </w:tcPr>
          <w:p w14:paraId="7BF94BC3" w14:textId="77777777" w:rsidR="006A3DBC" w:rsidRPr="002B7276" w:rsidRDefault="006A3DBC" w:rsidP="00A9575E">
            <w:pPr>
              <w:spacing w:after="0" w:line="240" w:lineRule="auto"/>
              <w:jc w:val="both"/>
              <w:rPr>
                <w:rFonts w:eastAsia="Times New Roman" w:cs="Arial"/>
                <w:sz w:val="22"/>
                <w:lang w:eastAsia="es-SV"/>
              </w:rPr>
            </w:pPr>
            <w:r w:rsidRPr="002B7276">
              <w:rPr>
                <w:rFonts w:eastAsia="Times New Roman" w:cs="Arial"/>
                <w:sz w:val="22"/>
                <w:lang w:eastAsia="es-SV"/>
              </w:rPr>
              <w:t>Otro tipo</w:t>
            </w:r>
          </w:p>
        </w:tc>
        <w:tc>
          <w:tcPr>
            <w:tcW w:w="1685" w:type="dxa"/>
            <w:tcBorders>
              <w:top w:val="nil"/>
              <w:left w:val="nil"/>
              <w:bottom w:val="single" w:sz="8" w:space="0" w:color="AEAEAE"/>
              <w:right w:val="nil"/>
            </w:tcBorders>
            <w:shd w:val="clear" w:color="auto" w:fill="auto"/>
            <w:vAlign w:val="center"/>
            <w:hideMark/>
          </w:tcPr>
          <w:p w14:paraId="25DC7D84" w14:textId="77777777"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213</w:t>
            </w:r>
          </w:p>
        </w:tc>
        <w:tc>
          <w:tcPr>
            <w:tcW w:w="1510" w:type="dxa"/>
            <w:tcBorders>
              <w:top w:val="nil"/>
              <w:left w:val="nil"/>
              <w:bottom w:val="single" w:sz="8" w:space="0" w:color="AEAEAE"/>
              <w:right w:val="nil"/>
            </w:tcBorders>
            <w:shd w:val="clear" w:color="auto" w:fill="auto"/>
            <w:vAlign w:val="center"/>
            <w:hideMark/>
          </w:tcPr>
          <w:p w14:paraId="16C7E63B" w14:textId="77777777"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0</w:t>
            </w:r>
          </w:p>
        </w:tc>
        <w:tc>
          <w:tcPr>
            <w:tcW w:w="1617" w:type="dxa"/>
            <w:tcBorders>
              <w:top w:val="nil"/>
              <w:left w:val="nil"/>
              <w:bottom w:val="single" w:sz="8" w:space="0" w:color="AEAEAE"/>
              <w:right w:val="nil"/>
            </w:tcBorders>
            <w:shd w:val="clear" w:color="auto" w:fill="auto"/>
            <w:vAlign w:val="center"/>
            <w:hideMark/>
          </w:tcPr>
          <w:p w14:paraId="0DD81E88" w14:textId="77777777"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0</w:t>
            </w:r>
          </w:p>
        </w:tc>
        <w:tc>
          <w:tcPr>
            <w:tcW w:w="1974" w:type="dxa"/>
            <w:tcBorders>
              <w:top w:val="nil"/>
              <w:left w:val="nil"/>
              <w:bottom w:val="single" w:sz="8" w:space="0" w:color="AEAEAE"/>
              <w:right w:val="nil"/>
            </w:tcBorders>
            <w:shd w:val="clear" w:color="auto" w:fill="auto"/>
            <w:noWrap/>
            <w:vAlign w:val="center"/>
            <w:hideMark/>
          </w:tcPr>
          <w:p w14:paraId="37180A9E" w14:textId="77777777" w:rsidR="006A3DBC" w:rsidRPr="002B7276" w:rsidRDefault="006A3DBC" w:rsidP="005F4A92">
            <w:pPr>
              <w:spacing w:after="0" w:line="240" w:lineRule="auto"/>
              <w:jc w:val="right"/>
              <w:rPr>
                <w:rFonts w:eastAsia="Times New Roman" w:cs="Arial"/>
                <w:sz w:val="22"/>
                <w:lang w:eastAsia="es-SV"/>
              </w:rPr>
            </w:pPr>
            <w:r w:rsidRPr="002B7276">
              <w:rPr>
                <w:rFonts w:eastAsia="Times New Roman" w:cs="Arial"/>
                <w:sz w:val="22"/>
                <w:lang w:eastAsia="es-SV"/>
              </w:rPr>
              <w:t>213</w:t>
            </w:r>
          </w:p>
        </w:tc>
      </w:tr>
      <w:tr w:rsidR="002B7276" w:rsidRPr="002B7276" w14:paraId="7B2F59CB" w14:textId="77777777" w:rsidTr="005F4A92">
        <w:trPr>
          <w:trHeight w:val="83"/>
        </w:trPr>
        <w:tc>
          <w:tcPr>
            <w:tcW w:w="3087" w:type="dxa"/>
            <w:tcBorders>
              <w:top w:val="single" w:sz="8" w:space="0" w:color="AEAEAE"/>
              <w:left w:val="nil"/>
              <w:bottom w:val="nil"/>
              <w:right w:val="nil"/>
            </w:tcBorders>
            <w:shd w:val="clear" w:color="000000" w:fill="E0E0E0"/>
            <w:noWrap/>
            <w:vAlign w:val="center"/>
            <w:hideMark/>
          </w:tcPr>
          <w:p w14:paraId="5A423F5B" w14:textId="77777777" w:rsidR="006A3DBC" w:rsidRPr="002B7276" w:rsidRDefault="006A3DBC" w:rsidP="00A9575E">
            <w:pPr>
              <w:spacing w:after="0" w:line="240" w:lineRule="auto"/>
              <w:jc w:val="both"/>
              <w:rPr>
                <w:rFonts w:eastAsia="Times New Roman" w:cs="Arial"/>
                <w:sz w:val="22"/>
                <w:lang w:eastAsia="es-SV"/>
              </w:rPr>
            </w:pPr>
            <w:r w:rsidRPr="002B7276">
              <w:rPr>
                <w:rFonts w:eastAsia="Times New Roman" w:cs="Arial"/>
                <w:sz w:val="22"/>
                <w:lang w:eastAsia="es-SV"/>
              </w:rPr>
              <w:t xml:space="preserve">No dispone </w:t>
            </w:r>
          </w:p>
        </w:tc>
        <w:tc>
          <w:tcPr>
            <w:tcW w:w="1685" w:type="dxa"/>
            <w:tcBorders>
              <w:top w:val="nil"/>
              <w:left w:val="nil"/>
              <w:bottom w:val="single" w:sz="8" w:space="0" w:color="AEAEAE"/>
              <w:right w:val="nil"/>
            </w:tcBorders>
            <w:shd w:val="clear" w:color="auto" w:fill="auto"/>
            <w:vAlign w:val="center"/>
            <w:hideMark/>
          </w:tcPr>
          <w:p w14:paraId="3A857C99" w14:textId="0C1E4DB1"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2</w:t>
            </w:r>
            <w:r w:rsidR="007F4D40" w:rsidRPr="002B7276">
              <w:rPr>
                <w:rFonts w:eastAsia="Times New Roman" w:cs="Arial"/>
                <w:sz w:val="22"/>
                <w:lang w:eastAsia="es-SV"/>
              </w:rPr>
              <w:t>,</w:t>
            </w:r>
            <w:r w:rsidRPr="002B7276">
              <w:rPr>
                <w:rFonts w:eastAsia="Times New Roman" w:cs="Arial"/>
                <w:sz w:val="22"/>
                <w:lang w:eastAsia="es-SV"/>
              </w:rPr>
              <w:t>776</w:t>
            </w:r>
          </w:p>
        </w:tc>
        <w:tc>
          <w:tcPr>
            <w:tcW w:w="1510" w:type="dxa"/>
            <w:tcBorders>
              <w:top w:val="nil"/>
              <w:left w:val="nil"/>
              <w:bottom w:val="single" w:sz="8" w:space="0" w:color="AEAEAE"/>
              <w:right w:val="nil"/>
            </w:tcBorders>
            <w:shd w:val="clear" w:color="auto" w:fill="auto"/>
            <w:vAlign w:val="center"/>
            <w:hideMark/>
          </w:tcPr>
          <w:p w14:paraId="2E09BAB2" w14:textId="10059A66"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1</w:t>
            </w:r>
            <w:r w:rsidR="007F4D40" w:rsidRPr="002B7276">
              <w:rPr>
                <w:rFonts w:eastAsia="Times New Roman" w:cs="Arial"/>
                <w:sz w:val="22"/>
                <w:lang w:eastAsia="es-SV"/>
              </w:rPr>
              <w:t>,</w:t>
            </w:r>
            <w:r w:rsidRPr="002B7276">
              <w:rPr>
                <w:rFonts w:eastAsia="Times New Roman" w:cs="Arial"/>
                <w:sz w:val="22"/>
                <w:lang w:eastAsia="es-SV"/>
              </w:rPr>
              <w:t>753</w:t>
            </w:r>
          </w:p>
        </w:tc>
        <w:tc>
          <w:tcPr>
            <w:tcW w:w="1617" w:type="dxa"/>
            <w:tcBorders>
              <w:top w:val="nil"/>
              <w:left w:val="nil"/>
              <w:bottom w:val="single" w:sz="8" w:space="0" w:color="AEAEAE"/>
              <w:right w:val="nil"/>
            </w:tcBorders>
            <w:shd w:val="clear" w:color="auto" w:fill="auto"/>
            <w:vAlign w:val="center"/>
            <w:hideMark/>
          </w:tcPr>
          <w:p w14:paraId="464C1295" w14:textId="001CCA59"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2</w:t>
            </w:r>
            <w:r w:rsidR="007F4D40" w:rsidRPr="002B7276">
              <w:rPr>
                <w:rFonts w:eastAsia="Times New Roman" w:cs="Arial"/>
                <w:sz w:val="22"/>
                <w:lang w:eastAsia="es-SV"/>
              </w:rPr>
              <w:t>,</w:t>
            </w:r>
            <w:r w:rsidRPr="002B7276">
              <w:rPr>
                <w:rFonts w:eastAsia="Times New Roman" w:cs="Arial"/>
                <w:sz w:val="22"/>
                <w:lang w:eastAsia="es-SV"/>
              </w:rPr>
              <w:t>358</w:t>
            </w:r>
          </w:p>
        </w:tc>
        <w:tc>
          <w:tcPr>
            <w:tcW w:w="1974" w:type="dxa"/>
            <w:tcBorders>
              <w:top w:val="nil"/>
              <w:left w:val="nil"/>
              <w:bottom w:val="single" w:sz="8" w:space="0" w:color="AEAEAE"/>
              <w:right w:val="nil"/>
            </w:tcBorders>
            <w:shd w:val="clear" w:color="auto" w:fill="auto"/>
            <w:noWrap/>
            <w:vAlign w:val="center"/>
            <w:hideMark/>
          </w:tcPr>
          <w:p w14:paraId="6F71C8C0" w14:textId="7507F694" w:rsidR="006A3DBC" w:rsidRPr="002B7276" w:rsidRDefault="006A3DBC" w:rsidP="005F4A92">
            <w:pPr>
              <w:spacing w:after="0" w:line="240" w:lineRule="auto"/>
              <w:jc w:val="right"/>
              <w:rPr>
                <w:rFonts w:eastAsia="Times New Roman" w:cs="Arial"/>
                <w:sz w:val="22"/>
                <w:lang w:eastAsia="es-SV"/>
              </w:rPr>
            </w:pPr>
            <w:r w:rsidRPr="002B7276">
              <w:rPr>
                <w:rFonts w:eastAsia="Times New Roman" w:cs="Arial"/>
                <w:sz w:val="22"/>
                <w:lang w:eastAsia="es-SV"/>
              </w:rPr>
              <w:t>6</w:t>
            </w:r>
            <w:r w:rsidR="007F4D40" w:rsidRPr="002B7276">
              <w:rPr>
                <w:rFonts w:eastAsia="Times New Roman" w:cs="Arial"/>
                <w:sz w:val="22"/>
                <w:lang w:eastAsia="es-SV"/>
              </w:rPr>
              <w:t>,</w:t>
            </w:r>
            <w:r w:rsidRPr="002B7276">
              <w:rPr>
                <w:rFonts w:eastAsia="Times New Roman" w:cs="Arial"/>
                <w:sz w:val="22"/>
                <w:lang w:eastAsia="es-SV"/>
              </w:rPr>
              <w:t>887</w:t>
            </w:r>
          </w:p>
        </w:tc>
      </w:tr>
      <w:tr w:rsidR="002B7276" w:rsidRPr="002B7276" w14:paraId="6BBB4C7C" w14:textId="77777777" w:rsidTr="005F4A92">
        <w:trPr>
          <w:trHeight w:val="83"/>
        </w:trPr>
        <w:tc>
          <w:tcPr>
            <w:tcW w:w="3087" w:type="dxa"/>
            <w:tcBorders>
              <w:top w:val="single" w:sz="8" w:space="0" w:color="AEAEAE"/>
              <w:left w:val="nil"/>
              <w:bottom w:val="nil"/>
              <w:right w:val="nil"/>
            </w:tcBorders>
            <w:shd w:val="clear" w:color="000000" w:fill="E0E0E0"/>
            <w:noWrap/>
            <w:vAlign w:val="center"/>
            <w:hideMark/>
          </w:tcPr>
          <w:p w14:paraId="6294BE40" w14:textId="77777777" w:rsidR="006A3DBC" w:rsidRPr="002B7276" w:rsidRDefault="006A3DBC" w:rsidP="00A9575E">
            <w:pPr>
              <w:spacing w:after="0" w:line="240" w:lineRule="auto"/>
              <w:jc w:val="both"/>
              <w:rPr>
                <w:rFonts w:eastAsia="Times New Roman" w:cs="Arial"/>
                <w:sz w:val="22"/>
                <w:lang w:eastAsia="es-SV"/>
              </w:rPr>
            </w:pPr>
            <w:r w:rsidRPr="002B7276">
              <w:rPr>
                <w:rFonts w:eastAsia="Times New Roman" w:cs="Arial"/>
                <w:sz w:val="22"/>
                <w:lang w:eastAsia="es-SV"/>
              </w:rPr>
              <w:t>NR</w:t>
            </w:r>
          </w:p>
        </w:tc>
        <w:tc>
          <w:tcPr>
            <w:tcW w:w="1685" w:type="dxa"/>
            <w:tcBorders>
              <w:top w:val="nil"/>
              <w:left w:val="nil"/>
              <w:bottom w:val="single" w:sz="8" w:space="0" w:color="AEAEAE"/>
              <w:right w:val="nil"/>
            </w:tcBorders>
            <w:shd w:val="clear" w:color="auto" w:fill="auto"/>
            <w:vAlign w:val="center"/>
            <w:hideMark/>
          </w:tcPr>
          <w:p w14:paraId="7F5380AD" w14:textId="77777777"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739</w:t>
            </w:r>
          </w:p>
        </w:tc>
        <w:tc>
          <w:tcPr>
            <w:tcW w:w="1510" w:type="dxa"/>
            <w:tcBorders>
              <w:top w:val="nil"/>
              <w:left w:val="nil"/>
              <w:bottom w:val="single" w:sz="8" w:space="0" w:color="AEAEAE"/>
              <w:right w:val="nil"/>
            </w:tcBorders>
            <w:shd w:val="clear" w:color="auto" w:fill="auto"/>
            <w:vAlign w:val="center"/>
            <w:hideMark/>
          </w:tcPr>
          <w:p w14:paraId="417C6E79" w14:textId="77777777"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0</w:t>
            </w:r>
          </w:p>
        </w:tc>
        <w:tc>
          <w:tcPr>
            <w:tcW w:w="1617" w:type="dxa"/>
            <w:tcBorders>
              <w:top w:val="nil"/>
              <w:left w:val="nil"/>
              <w:bottom w:val="single" w:sz="8" w:space="0" w:color="AEAEAE"/>
              <w:right w:val="nil"/>
            </w:tcBorders>
            <w:shd w:val="clear" w:color="auto" w:fill="auto"/>
            <w:vAlign w:val="center"/>
            <w:hideMark/>
          </w:tcPr>
          <w:p w14:paraId="5DA6FB16" w14:textId="77777777"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0</w:t>
            </w:r>
          </w:p>
        </w:tc>
        <w:tc>
          <w:tcPr>
            <w:tcW w:w="1974" w:type="dxa"/>
            <w:tcBorders>
              <w:top w:val="nil"/>
              <w:left w:val="nil"/>
              <w:bottom w:val="single" w:sz="8" w:space="0" w:color="AEAEAE"/>
              <w:right w:val="nil"/>
            </w:tcBorders>
            <w:shd w:val="clear" w:color="auto" w:fill="auto"/>
            <w:noWrap/>
            <w:vAlign w:val="center"/>
            <w:hideMark/>
          </w:tcPr>
          <w:p w14:paraId="69FB60BE" w14:textId="77777777" w:rsidR="006A3DBC" w:rsidRPr="002B7276" w:rsidRDefault="006A3DBC" w:rsidP="005F4A92">
            <w:pPr>
              <w:spacing w:after="0" w:line="240" w:lineRule="auto"/>
              <w:jc w:val="right"/>
              <w:rPr>
                <w:rFonts w:eastAsia="Times New Roman" w:cs="Arial"/>
                <w:sz w:val="22"/>
                <w:lang w:eastAsia="es-SV"/>
              </w:rPr>
            </w:pPr>
            <w:r w:rsidRPr="002B7276">
              <w:rPr>
                <w:rFonts w:eastAsia="Times New Roman" w:cs="Arial"/>
                <w:sz w:val="22"/>
                <w:lang w:eastAsia="es-SV"/>
              </w:rPr>
              <w:t>739</w:t>
            </w:r>
          </w:p>
        </w:tc>
      </w:tr>
      <w:tr w:rsidR="002B7276" w:rsidRPr="002B7276" w14:paraId="40F844A7" w14:textId="77777777" w:rsidTr="005F4A92">
        <w:trPr>
          <w:trHeight w:val="83"/>
        </w:trPr>
        <w:tc>
          <w:tcPr>
            <w:tcW w:w="3087" w:type="dxa"/>
            <w:tcBorders>
              <w:top w:val="single" w:sz="8" w:space="0" w:color="AEAEAE"/>
              <w:left w:val="nil"/>
              <w:bottom w:val="single" w:sz="8" w:space="0" w:color="AEAEAE"/>
              <w:right w:val="nil"/>
            </w:tcBorders>
            <w:shd w:val="clear" w:color="000000" w:fill="E0E0E0"/>
            <w:vAlign w:val="center"/>
            <w:hideMark/>
          </w:tcPr>
          <w:p w14:paraId="0B722DBB" w14:textId="2B9F69D9" w:rsidR="006A3DBC" w:rsidRPr="002B7276" w:rsidRDefault="006A3DBC" w:rsidP="00A9575E">
            <w:pPr>
              <w:spacing w:after="0" w:line="240" w:lineRule="auto"/>
              <w:jc w:val="center"/>
              <w:rPr>
                <w:rFonts w:eastAsia="Times New Roman" w:cs="Arial"/>
                <w:b/>
                <w:bCs/>
                <w:sz w:val="22"/>
                <w:lang w:eastAsia="es-SV"/>
              </w:rPr>
            </w:pPr>
            <w:r w:rsidRPr="002B7276">
              <w:rPr>
                <w:rFonts w:eastAsia="Times New Roman" w:cs="Arial"/>
                <w:b/>
                <w:bCs/>
                <w:sz w:val="22"/>
                <w:lang w:eastAsia="es-SV"/>
              </w:rPr>
              <w:t>Total</w:t>
            </w:r>
          </w:p>
        </w:tc>
        <w:tc>
          <w:tcPr>
            <w:tcW w:w="1685" w:type="dxa"/>
            <w:tcBorders>
              <w:top w:val="nil"/>
              <w:left w:val="nil"/>
              <w:bottom w:val="single" w:sz="8" w:space="0" w:color="AEAEAE"/>
              <w:right w:val="nil"/>
            </w:tcBorders>
            <w:shd w:val="clear" w:color="auto" w:fill="auto"/>
            <w:vAlign w:val="center"/>
            <w:hideMark/>
          </w:tcPr>
          <w:p w14:paraId="36511C00" w14:textId="77777777"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124,647</w:t>
            </w:r>
          </w:p>
        </w:tc>
        <w:tc>
          <w:tcPr>
            <w:tcW w:w="1510" w:type="dxa"/>
            <w:tcBorders>
              <w:top w:val="nil"/>
              <w:left w:val="nil"/>
              <w:bottom w:val="single" w:sz="8" w:space="0" w:color="AEAEAE"/>
              <w:right w:val="nil"/>
            </w:tcBorders>
            <w:shd w:val="clear" w:color="auto" w:fill="auto"/>
            <w:vAlign w:val="center"/>
            <w:hideMark/>
          </w:tcPr>
          <w:p w14:paraId="60AC0743" w14:textId="0E339DFD"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43</w:t>
            </w:r>
            <w:r w:rsidR="007F4D40" w:rsidRPr="002B7276">
              <w:rPr>
                <w:rFonts w:eastAsia="Times New Roman" w:cs="Arial"/>
                <w:sz w:val="22"/>
                <w:lang w:eastAsia="es-SV"/>
              </w:rPr>
              <w:t>,</w:t>
            </w:r>
            <w:r w:rsidRPr="002B7276">
              <w:rPr>
                <w:rFonts w:eastAsia="Times New Roman" w:cs="Arial"/>
                <w:sz w:val="22"/>
                <w:lang w:eastAsia="es-SV"/>
              </w:rPr>
              <w:t>379</w:t>
            </w:r>
          </w:p>
        </w:tc>
        <w:tc>
          <w:tcPr>
            <w:tcW w:w="1617" w:type="dxa"/>
            <w:tcBorders>
              <w:top w:val="nil"/>
              <w:left w:val="nil"/>
              <w:bottom w:val="single" w:sz="8" w:space="0" w:color="AEAEAE"/>
              <w:right w:val="nil"/>
            </w:tcBorders>
            <w:shd w:val="clear" w:color="auto" w:fill="auto"/>
            <w:vAlign w:val="center"/>
            <w:hideMark/>
          </w:tcPr>
          <w:p w14:paraId="429F7852" w14:textId="1478E103"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144</w:t>
            </w:r>
            <w:r w:rsidR="007F4D40" w:rsidRPr="002B7276">
              <w:rPr>
                <w:rFonts w:eastAsia="Times New Roman" w:cs="Arial"/>
                <w:sz w:val="22"/>
                <w:lang w:eastAsia="es-SV"/>
              </w:rPr>
              <w:t>,</w:t>
            </w:r>
            <w:r w:rsidRPr="002B7276">
              <w:rPr>
                <w:rFonts w:eastAsia="Times New Roman" w:cs="Arial"/>
                <w:sz w:val="22"/>
                <w:lang w:eastAsia="es-SV"/>
              </w:rPr>
              <w:t>858</w:t>
            </w:r>
          </w:p>
        </w:tc>
        <w:tc>
          <w:tcPr>
            <w:tcW w:w="1974" w:type="dxa"/>
            <w:tcBorders>
              <w:top w:val="nil"/>
              <w:left w:val="nil"/>
              <w:bottom w:val="single" w:sz="8" w:space="0" w:color="AEAEAE"/>
              <w:right w:val="nil"/>
            </w:tcBorders>
            <w:shd w:val="clear" w:color="auto" w:fill="auto"/>
            <w:noWrap/>
            <w:vAlign w:val="center"/>
            <w:hideMark/>
          </w:tcPr>
          <w:p w14:paraId="7AD7B99A" w14:textId="5BEABD5F" w:rsidR="006A3DBC" w:rsidRPr="002B7276" w:rsidRDefault="006A3DBC" w:rsidP="005F4A92">
            <w:pPr>
              <w:spacing w:after="0" w:line="240" w:lineRule="auto"/>
              <w:jc w:val="right"/>
              <w:rPr>
                <w:rFonts w:eastAsia="Times New Roman" w:cs="Arial"/>
                <w:b/>
                <w:bCs/>
                <w:sz w:val="22"/>
                <w:lang w:eastAsia="es-SV"/>
              </w:rPr>
            </w:pPr>
            <w:r w:rsidRPr="002B7276">
              <w:rPr>
                <w:rFonts w:eastAsia="Times New Roman" w:cs="Arial"/>
                <w:b/>
                <w:bCs/>
                <w:sz w:val="22"/>
                <w:lang w:eastAsia="es-SV"/>
              </w:rPr>
              <w:t>312</w:t>
            </w:r>
            <w:r w:rsidR="007F4D40" w:rsidRPr="002B7276">
              <w:rPr>
                <w:rFonts w:eastAsia="Times New Roman" w:cs="Arial"/>
                <w:b/>
                <w:bCs/>
                <w:sz w:val="22"/>
                <w:lang w:eastAsia="es-SV"/>
              </w:rPr>
              <w:t>,</w:t>
            </w:r>
            <w:r w:rsidRPr="002B7276">
              <w:rPr>
                <w:rFonts w:eastAsia="Times New Roman" w:cs="Arial"/>
                <w:b/>
                <w:bCs/>
                <w:sz w:val="22"/>
                <w:lang w:eastAsia="es-SV"/>
              </w:rPr>
              <w:t>884</w:t>
            </w:r>
          </w:p>
        </w:tc>
      </w:tr>
    </w:tbl>
    <w:p w14:paraId="0F6E9050" w14:textId="77777777" w:rsidR="006A3DBC" w:rsidRPr="00FA4B2D" w:rsidRDefault="006A3DBC" w:rsidP="006A3DBC">
      <w:pPr>
        <w:jc w:val="center"/>
        <w:rPr>
          <w:rFonts w:cs="Arial"/>
          <w:sz w:val="20"/>
          <w:szCs w:val="20"/>
        </w:rPr>
      </w:pPr>
      <w:r w:rsidRPr="00FA4B2D">
        <w:rPr>
          <w:rFonts w:cs="Arial"/>
          <w:b/>
          <w:bCs/>
          <w:sz w:val="20"/>
          <w:szCs w:val="20"/>
        </w:rPr>
        <w:t>Fuente</w:t>
      </w:r>
      <w:r w:rsidRPr="00FA4B2D">
        <w:rPr>
          <w:rFonts w:cs="Arial"/>
          <w:sz w:val="20"/>
          <w:szCs w:val="20"/>
        </w:rPr>
        <w:t>: elaboración propia con base a datos de la EHPM 2019.</w:t>
      </w:r>
    </w:p>
    <w:p w14:paraId="1FA31825" w14:textId="77777777" w:rsidR="006A3DBC" w:rsidRPr="00FA4B2D" w:rsidRDefault="006A3DBC" w:rsidP="00411720">
      <w:pPr>
        <w:pStyle w:val="Prrafodelista"/>
        <w:numPr>
          <w:ilvl w:val="0"/>
          <w:numId w:val="101"/>
        </w:numPr>
        <w:rPr>
          <w:rFonts w:cs="Arial"/>
          <w:i/>
          <w:iCs/>
          <w:szCs w:val="24"/>
        </w:rPr>
      </w:pPr>
      <w:bookmarkStart w:id="696" w:name="_Toc87207754"/>
      <w:bookmarkStart w:id="697" w:name="_Toc156586910"/>
      <w:r w:rsidRPr="00FA4B2D">
        <w:rPr>
          <w:rFonts w:cs="Arial"/>
          <w:i/>
          <w:iCs/>
          <w:szCs w:val="24"/>
        </w:rPr>
        <w:t>Obtención de agua potable</w:t>
      </w:r>
      <w:bookmarkEnd w:id="696"/>
      <w:bookmarkEnd w:id="697"/>
      <w:r w:rsidRPr="00FA4B2D">
        <w:rPr>
          <w:rFonts w:cs="Arial"/>
          <w:i/>
          <w:iCs/>
          <w:szCs w:val="24"/>
        </w:rPr>
        <w:t xml:space="preserve">  </w:t>
      </w:r>
    </w:p>
    <w:p w14:paraId="4EE1F711" w14:textId="77777777" w:rsidR="006A3DBC" w:rsidRPr="00FA4B2D" w:rsidRDefault="006A3DBC" w:rsidP="0061577A">
      <w:pPr>
        <w:jc w:val="both"/>
        <w:rPr>
          <w:rFonts w:cs="Arial"/>
          <w:lang w:eastAsia="es-SV"/>
        </w:rPr>
      </w:pPr>
      <w:r w:rsidRPr="00FA4B2D">
        <w:rPr>
          <w:rFonts w:cs="Arial"/>
          <w:lang w:eastAsia="es-SV"/>
        </w:rPr>
        <w:t xml:space="preserve">La mayor parte de la población de cada departamento tiene acceso a tubería instalada, como puede observarse en la tabla, sin embargo, existe población que aún tiene que obtener agua de la llave pública o comunitaria y otras que no disponen de fuentes de agua. A nivel desagregado los resultados se presentan a continuación:  </w:t>
      </w:r>
    </w:p>
    <w:p w14:paraId="49BBCF2B" w14:textId="6A8CBDAD" w:rsidR="00EF7331" w:rsidRDefault="00EF7331" w:rsidP="00EF7331">
      <w:pPr>
        <w:pStyle w:val="Descripcin"/>
        <w:keepNext/>
      </w:pPr>
      <w:bookmarkStart w:id="698" w:name="_Toc202455458"/>
      <w:r>
        <w:t xml:space="preserve">Tabla </w:t>
      </w:r>
      <w:r>
        <w:fldChar w:fldCharType="begin"/>
      </w:r>
      <w:r>
        <w:instrText xml:space="preserve"> SEQ Tabla \* ARABIC </w:instrText>
      </w:r>
      <w:r>
        <w:fldChar w:fldCharType="separate"/>
      </w:r>
      <w:r w:rsidR="000E6D86">
        <w:rPr>
          <w:noProof/>
        </w:rPr>
        <w:t>32</w:t>
      </w:r>
      <w:r>
        <w:fldChar w:fldCharType="end"/>
      </w:r>
      <w:r>
        <w:t xml:space="preserve">: </w:t>
      </w:r>
      <w:r w:rsidRPr="00963789">
        <w:t>Fuentes de abastecimiento de agua para los hogares/viviendas</w:t>
      </w:r>
      <w:bookmarkEnd w:id="698"/>
    </w:p>
    <w:tbl>
      <w:tblPr>
        <w:tblW w:w="10452" w:type="dxa"/>
        <w:jc w:val="center"/>
        <w:tblCellMar>
          <w:left w:w="70" w:type="dxa"/>
          <w:right w:w="70" w:type="dxa"/>
        </w:tblCellMar>
        <w:tblLook w:val="04A0" w:firstRow="1" w:lastRow="0" w:firstColumn="1" w:lastColumn="0" w:noHBand="0" w:noVBand="1"/>
      </w:tblPr>
      <w:tblGrid>
        <w:gridCol w:w="3067"/>
        <w:gridCol w:w="1672"/>
        <w:gridCol w:w="1500"/>
        <w:gridCol w:w="1500"/>
        <w:gridCol w:w="1607"/>
        <w:gridCol w:w="1106"/>
      </w:tblGrid>
      <w:tr w:rsidR="002B7276" w:rsidRPr="002B7276" w14:paraId="33367217" w14:textId="77777777" w:rsidTr="00016847">
        <w:trPr>
          <w:trHeight w:val="70"/>
          <w:tblHeader/>
          <w:jc w:val="center"/>
        </w:trPr>
        <w:tc>
          <w:tcPr>
            <w:tcW w:w="3067" w:type="dxa"/>
            <w:tcBorders>
              <w:top w:val="single" w:sz="8" w:space="0" w:color="AEAEAE"/>
              <w:left w:val="nil"/>
              <w:bottom w:val="nil"/>
              <w:right w:val="nil"/>
            </w:tcBorders>
            <w:shd w:val="clear" w:color="auto" w:fill="5CC5DA"/>
            <w:vAlign w:val="center"/>
            <w:hideMark/>
          </w:tcPr>
          <w:p w14:paraId="456CBE2B" w14:textId="77777777" w:rsidR="006A3DBC" w:rsidRPr="002B7276" w:rsidRDefault="006A3DBC" w:rsidP="005F4A92">
            <w:pPr>
              <w:spacing w:after="0" w:line="240" w:lineRule="auto"/>
              <w:jc w:val="center"/>
              <w:rPr>
                <w:rFonts w:eastAsia="Times New Roman" w:cs="Arial"/>
                <w:b/>
                <w:bCs/>
                <w:sz w:val="22"/>
                <w:lang w:eastAsia="es-SV"/>
              </w:rPr>
            </w:pPr>
            <w:r w:rsidRPr="002B7276">
              <w:rPr>
                <w:rFonts w:eastAsia="Times New Roman" w:cs="Arial"/>
                <w:b/>
                <w:bCs/>
                <w:sz w:val="22"/>
                <w:lang w:eastAsia="es-SV"/>
              </w:rPr>
              <w:t>Tipo de fuente</w:t>
            </w:r>
          </w:p>
        </w:tc>
        <w:tc>
          <w:tcPr>
            <w:tcW w:w="1672" w:type="dxa"/>
            <w:tcBorders>
              <w:top w:val="single" w:sz="8" w:space="0" w:color="AEAEAE"/>
              <w:left w:val="nil"/>
              <w:bottom w:val="single" w:sz="8" w:space="0" w:color="AEAEAE"/>
              <w:right w:val="nil"/>
            </w:tcBorders>
            <w:shd w:val="clear" w:color="auto" w:fill="5CC5DA"/>
            <w:vAlign w:val="center"/>
            <w:hideMark/>
          </w:tcPr>
          <w:p w14:paraId="77C84698" w14:textId="77777777" w:rsidR="006A3DBC" w:rsidRPr="002B7276" w:rsidRDefault="006A3DBC" w:rsidP="00F118B2">
            <w:pPr>
              <w:spacing w:after="0" w:line="240" w:lineRule="auto"/>
              <w:jc w:val="center"/>
              <w:rPr>
                <w:rFonts w:eastAsia="Times New Roman" w:cs="Arial"/>
                <w:b/>
                <w:bCs/>
                <w:sz w:val="22"/>
                <w:lang w:eastAsia="es-SV"/>
              </w:rPr>
            </w:pPr>
            <w:r w:rsidRPr="002B7276">
              <w:rPr>
                <w:rFonts w:eastAsia="Times New Roman" w:cs="Arial"/>
                <w:b/>
                <w:bCs/>
                <w:sz w:val="22"/>
                <w:lang w:eastAsia="es-SV"/>
              </w:rPr>
              <w:t>Olancho</w:t>
            </w:r>
          </w:p>
        </w:tc>
        <w:tc>
          <w:tcPr>
            <w:tcW w:w="1500" w:type="dxa"/>
            <w:tcBorders>
              <w:top w:val="single" w:sz="8" w:space="0" w:color="AEAEAE"/>
              <w:left w:val="nil"/>
              <w:bottom w:val="single" w:sz="8" w:space="0" w:color="AEAEAE"/>
              <w:right w:val="nil"/>
            </w:tcBorders>
            <w:shd w:val="clear" w:color="auto" w:fill="5CC5DA"/>
          </w:tcPr>
          <w:p w14:paraId="5949204A" w14:textId="77777777" w:rsidR="006A3DBC" w:rsidRPr="002B7276" w:rsidRDefault="006A3DBC" w:rsidP="005F4A92">
            <w:pPr>
              <w:spacing w:after="0" w:line="240" w:lineRule="auto"/>
              <w:rPr>
                <w:rFonts w:eastAsia="Times New Roman" w:cs="Arial"/>
                <w:b/>
                <w:bCs/>
                <w:sz w:val="22"/>
                <w:lang w:eastAsia="es-SV"/>
              </w:rPr>
            </w:pPr>
          </w:p>
        </w:tc>
        <w:tc>
          <w:tcPr>
            <w:tcW w:w="1500" w:type="dxa"/>
            <w:tcBorders>
              <w:top w:val="single" w:sz="8" w:space="0" w:color="AEAEAE"/>
              <w:left w:val="nil"/>
              <w:bottom w:val="single" w:sz="8" w:space="0" w:color="AEAEAE"/>
              <w:right w:val="nil"/>
            </w:tcBorders>
            <w:shd w:val="clear" w:color="auto" w:fill="5CC5DA"/>
            <w:vAlign w:val="center"/>
            <w:hideMark/>
          </w:tcPr>
          <w:p w14:paraId="6568A673" w14:textId="77777777" w:rsidR="006A3DBC" w:rsidRPr="002B7276" w:rsidRDefault="006A3DBC" w:rsidP="00F118B2">
            <w:pPr>
              <w:spacing w:after="0" w:line="240" w:lineRule="auto"/>
              <w:jc w:val="center"/>
              <w:rPr>
                <w:rFonts w:eastAsia="Times New Roman" w:cs="Arial"/>
                <w:b/>
                <w:bCs/>
                <w:sz w:val="22"/>
                <w:lang w:eastAsia="es-SV"/>
              </w:rPr>
            </w:pPr>
            <w:r w:rsidRPr="002B7276">
              <w:rPr>
                <w:rFonts w:eastAsia="Times New Roman" w:cs="Arial"/>
                <w:b/>
                <w:bCs/>
                <w:sz w:val="22"/>
                <w:lang w:eastAsia="es-SV"/>
              </w:rPr>
              <w:t>Valle</w:t>
            </w:r>
          </w:p>
        </w:tc>
        <w:tc>
          <w:tcPr>
            <w:tcW w:w="1607" w:type="dxa"/>
            <w:tcBorders>
              <w:top w:val="single" w:sz="8" w:space="0" w:color="AEAEAE"/>
              <w:left w:val="nil"/>
              <w:bottom w:val="single" w:sz="8" w:space="0" w:color="AEAEAE"/>
              <w:right w:val="nil"/>
            </w:tcBorders>
            <w:shd w:val="clear" w:color="auto" w:fill="5CC5DA"/>
            <w:vAlign w:val="center"/>
            <w:hideMark/>
          </w:tcPr>
          <w:p w14:paraId="7AC6755F" w14:textId="77777777" w:rsidR="006A3DBC" w:rsidRPr="002B7276" w:rsidRDefault="006A3DBC" w:rsidP="00F118B2">
            <w:pPr>
              <w:spacing w:after="0" w:line="240" w:lineRule="auto"/>
              <w:jc w:val="center"/>
              <w:rPr>
                <w:rFonts w:eastAsia="Times New Roman" w:cs="Arial"/>
                <w:b/>
                <w:bCs/>
                <w:sz w:val="22"/>
                <w:lang w:eastAsia="es-SV"/>
              </w:rPr>
            </w:pPr>
            <w:r w:rsidRPr="002B7276">
              <w:rPr>
                <w:rFonts w:eastAsia="Times New Roman" w:cs="Arial"/>
                <w:b/>
                <w:bCs/>
                <w:sz w:val="22"/>
                <w:lang w:eastAsia="es-SV"/>
              </w:rPr>
              <w:t>Yoro</w:t>
            </w:r>
          </w:p>
        </w:tc>
        <w:tc>
          <w:tcPr>
            <w:tcW w:w="1106" w:type="dxa"/>
            <w:tcBorders>
              <w:top w:val="single" w:sz="8" w:space="0" w:color="AEAEAE"/>
              <w:left w:val="nil"/>
              <w:bottom w:val="single" w:sz="8" w:space="0" w:color="AEAEAE"/>
              <w:right w:val="nil"/>
            </w:tcBorders>
            <w:shd w:val="clear" w:color="auto" w:fill="5CC5DA"/>
            <w:noWrap/>
            <w:vAlign w:val="center"/>
            <w:hideMark/>
          </w:tcPr>
          <w:p w14:paraId="2A91B76C" w14:textId="77777777" w:rsidR="006A3DBC" w:rsidRPr="002B7276" w:rsidRDefault="006A3DBC" w:rsidP="00F118B2">
            <w:pPr>
              <w:spacing w:after="0" w:line="240" w:lineRule="auto"/>
              <w:jc w:val="center"/>
              <w:rPr>
                <w:rFonts w:eastAsia="Times New Roman" w:cs="Arial"/>
                <w:b/>
                <w:bCs/>
                <w:sz w:val="22"/>
                <w:lang w:eastAsia="es-SV"/>
              </w:rPr>
            </w:pPr>
            <w:r w:rsidRPr="002B7276">
              <w:rPr>
                <w:rFonts w:eastAsia="Times New Roman" w:cs="Arial"/>
                <w:b/>
                <w:bCs/>
                <w:sz w:val="22"/>
                <w:lang w:eastAsia="es-SV"/>
              </w:rPr>
              <w:t>Total</w:t>
            </w:r>
          </w:p>
        </w:tc>
      </w:tr>
      <w:tr w:rsidR="002B7276" w:rsidRPr="002B7276" w14:paraId="15FE822A" w14:textId="77777777" w:rsidTr="005F4A92">
        <w:trPr>
          <w:trHeight w:val="278"/>
          <w:jc w:val="center"/>
        </w:trPr>
        <w:tc>
          <w:tcPr>
            <w:tcW w:w="3067" w:type="dxa"/>
            <w:tcBorders>
              <w:top w:val="single" w:sz="8" w:space="0" w:color="AEAEAE"/>
              <w:left w:val="nil"/>
              <w:bottom w:val="nil"/>
              <w:right w:val="nil"/>
            </w:tcBorders>
            <w:shd w:val="clear" w:color="000000" w:fill="E0E0E0"/>
            <w:hideMark/>
          </w:tcPr>
          <w:p w14:paraId="4AC3BD9D" w14:textId="77777777" w:rsidR="006A3DBC" w:rsidRPr="002B7276" w:rsidRDefault="006A3DBC" w:rsidP="005F4A92">
            <w:pPr>
              <w:spacing w:after="0" w:line="240" w:lineRule="auto"/>
              <w:rPr>
                <w:rFonts w:eastAsia="Times New Roman" w:cs="Arial"/>
                <w:sz w:val="22"/>
                <w:lang w:eastAsia="es-SV"/>
              </w:rPr>
            </w:pPr>
            <w:r w:rsidRPr="002B7276">
              <w:rPr>
                <w:rFonts w:cs="Arial"/>
                <w:sz w:val="22"/>
              </w:rPr>
              <w:t>Tubería instalada</w:t>
            </w:r>
          </w:p>
        </w:tc>
        <w:tc>
          <w:tcPr>
            <w:tcW w:w="1672" w:type="dxa"/>
            <w:tcBorders>
              <w:top w:val="nil"/>
              <w:left w:val="nil"/>
              <w:bottom w:val="single" w:sz="8" w:space="0" w:color="AEAEAE"/>
              <w:right w:val="nil"/>
            </w:tcBorders>
            <w:shd w:val="clear" w:color="auto" w:fill="auto"/>
            <w:vAlign w:val="center"/>
          </w:tcPr>
          <w:p w14:paraId="524E0108" w14:textId="5966F41A"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111</w:t>
            </w:r>
            <w:r w:rsidR="007F4D40" w:rsidRPr="002B7276">
              <w:rPr>
                <w:rFonts w:eastAsia="Times New Roman" w:cs="Arial"/>
                <w:sz w:val="22"/>
                <w:lang w:eastAsia="es-SV"/>
              </w:rPr>
              <w:t>,</w:t>
            </w:r>
            <w:r w:rsidRPr="002B7276">
              <w:rPr>
                <w:rFonts w:eastAsia="Times New Roman" w:cs="Arial"/>
                <w:sz w:val="22"/>
                <w:lang w:eastAsia="es-SV"/>
              </w:rPr>
              <w:t>534</w:t>
            </w:r>
          </w:p>
        </w:tc>
        <w:tc>
          <w:tcPr>
            <w:tcW w:w="1500" w:type="dxa"/>
            <w:tcBorders>
              <w:top w:val="nil"/>
              <w:left w:val="nil"/>
              <w:bottom w:val="single" w:sz="8" w:space="0" w:color="AEAEAE"/>
              <w:right w:val="nil"/>
            </w:tcBorders>
          </w:tcPr>
          <w:p w14:paraId="158A774F" w14:textId="77777777" w:rsidR="006A3DBC" w:rsidRPr="002B7276" w:rsidRDefault="006A3DBC" w:rsidP="005F4A92">
            <w:pPr>
              <w:spacing w:after="0" w:line="240" w:lineRule="auto"/>
              <w:jc w:val="center"/>
              <w:rPr>
                <w:rFonts w:eastAsia="Times New Roman" w:cs="Arial"/>
                <w:sz w:val="22"/>
                <w:lang w:eastAsia="es-SV"/>
              </w:rPr>
            </w:pPr>
          </w:p>
        </w:tc>
        <w:tc>
          <w:tcPr>
            <w:tcW w:w="1500" w:type="dxa"/>
            <w:tcBorders>
              <w:top w:val="nil"/>
              <w:left w:val="nil"/>
              <w:bottom w:val="single" w:sz="8" w:space="0" w:color="AEAEAE"/>
              <w:right w:val="nil"/>
            </w:tcBorders>
            <w:shd w:val="clear" w:color="auto" w:fill="auto"/>
            <w:vAlign w:val="center"/>
          </w:tcPr>
          <w:p w14:paraId="7C0FDEA6" w14:textId="5BBBD8EC"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33</w:t>
            </w:r>
            <w:r w:rsidR="007F4D40" w:rsidRPr="002B7276">
              <w:rPr>
                <w:rFonts w:eastAsia="Times New Roman" w:cs="Arial"/>
                <w:sz w:val="22"/>
                <w:lang w:eastAsia="es-SV"/>
              </w:rPr>
              <w:t>,</w:t>
            </w:r>
            <w:r w:rsidRPr="002B7276">
              <w:rPr>
                <w:rFonts w:eastAsia="Times New Roman" w:cs="Arial"/>
                <w:sz w:val="22"/>
                <w:lang w:eastAsia="es-SV"/>
              </w:rPr>
              <w:t>574</w:t>
            </w:r>
          </w:p>
        </w:tc>
        <w:tc>
          <w:tcPr>
            <w:tcW w:w="1607" w:type="dxa"/>
            <w:tcBorders>
              <w:top w:val="nil"/>
              <w:left w:val="nil"/>
              <w:bottom w:val="single" w:sz="8" w:space="0" w:color="AEAEAE"/>
              <w:right w:val="nil"/>
            </w:tcBorders>
            <w:shd w:val="clear" w:color="auto" w:fill="auto"/>
            <w:vAlign w:val="center"/>
          </w:tcPr>
          <w:p w14:paraId="07DD750D" w14:textId="2DEA2E2F"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134</w:t>
            </w:r>
            <w:r w:rsidR="007F4D40" w:rsidRPr="002B7276">
              <w:rPr>
                <w:rFonts w:eastAsia="Times New Roman" w:cs="Arial"/>
                <w:sz w:val="22"/>
                <w:lang w:eastAsia="es-SV"/>
              </w:rPr>
              <w:t>,</w:t>
            </w:r>
            <w:r w:rsidRPr="002B7276">
              <w:rPr>
                <w:rFonts w:eastAsia="Times New Roman" w:cs="Arial"/>
                <w:sz w:val="22"/>
                <w:lang w:eastAsia="es-SV"/>
              </w:rPr>
              <w:t>230</w:t>
            </w:r>
          </w:p>
        </w:tc>
        <w:tc>
          <w:tcPr>
            <w:tcW w:w="1106" w:type="dxa"/>
            <w:tcBorders>
              <w:top w:val="nil"/>
              <w:left w:val="nil"/>
              <w:bottom w:val="single" w:sz="8" w:space="0" w:color="AEAEAE"/>
              <w:right w:val="nil"/>
            </w:tcBorders>
            <w:shd w:val="clear" w:color="auto" w:fill="auto"/>
            <w:noWrap/>
            <w:vAlign w:val="center"/>
          </w:tcPr>
          <w:p w14:paraId="55E0392E" w14:textId="17EE516C" w:rsidR="006A3DBC" w:rsidRPr="002B7276" w:rsidRDefault="006A3DBC" w:rsidP="005F4A92">
            <w:pPr>
              <w:spacing w:after="0" w:line="240" w:lineRule="auto"/>
              <w:jc w:val="right"/>
              <w:rPr>
                <w:rFonts w:eastAsia="Times New Roman" w:cs="Arial"/>
                <w:b/>
                <w:bCs/>
                <w:sz w:val="22"/>
                <w:lang w:eastAsia="es-SV"/>
              </w:rPr>
            </w:pPr>
            <w:r w:rsidRPr="002B7276">
              <w:rPr>
                <w:rFonts w:cs="Arial"/>
                <w:b/>
                <w:bCs/>
                <w:sz w:val="22"/>
              </w:rPr>
              <w:t>279</w:t>
            </w:r>
            <w:r w:rsidR="007F4D40" w:rsidRPr="002B7276">
              <w:rPr>
                <w:rFonts w:cs="Arial"/>
                <w:b/>
                <w:bCs/>
                <w:sz w:val="22"/>
              </w:rPr>
              <w:t>,</w:t>
            </w:r>
            <w:r w:rsidRPr="002B7276">
              <w:rPr>
                <w:rFonts w:cs="Arial"/>
                <w:b/>
                <w:bCs/>
                <w:sz w:val="22"/>
              </w:rPr>
              <w:t>338</w:t>
            </w:r>
          </w:p>
        </w:tc>
      </w:tr>
      <w:tr w:rsidR="002B7276" w:rsidRPr="002B7276" w14:paraId="393AF2EC" w14:textId="77777777" w:rsidTr="005F4A92">
        <w:trPr>
          <w:trHeight w:val="223"/>
          <w:jc w:val="center"/>
        </w:trPr>
        <w:tc>
          <w:tcPr>
            <w:tcW w:w="3067" w:type="dxa"/>
            <w:tcBorders>
              <w:top w:val="single" w:sz="8" w:space="0" w:color="AEAEAE"/>
              <w:left w:val="nil"/>
              <w:bottom w:val="nil"/>
              <w:right w:val="nil"/>
            </w:tcBorders>
            <w:shd w:val="clear" w:color="000000" w:fill="E0E0E0"/>
            <w:hideMark/>
          </w:tcPr>
          <w:p w14:paraId="5FD440AD" w14:textId="77777777" w:rsidR="006A3DBC" w:rsidRPr="002B7276" w:rsidRDefault="006A3DBC" w:rsidP="005F4A92">
            <w:pPr>
              <w:spacing w:after="0" w:line="240" w:lineRule="auto"/>
              <w:rPr>
                <w:rFonts w:eastAsia="Times New Roman" w:cs="Arial"/>
                <w:sz w:val="22"/>
                <w:lang w:eastAsia="es-SV"/>
              </w:rPr>
            </w:pPr>
            <w:r w:rsidRPr="002B7276">
              <w:rPr>
                <w:rFonts w:cs="Arial"/>
                <w:sz w:val="22"/>
              </w:rPr>
              <w:t>Pozo con bomba</w:t>
            </w:r>
          </w:p>
        </w:tc>
        <w:tc>
          <w:tcPr>
            <w:tcW w:w="1672" w:type="dxa"/>
            <w:tcBorders>
              <w:top w:val="nil"/>
              <w:left w:val="nil"/>
              <w:bottom w:val="single" w:sz="8" w:space="0" w:color="AEAEAE"/>
              <w:right w:val="nil"/>
            </w:tcBorders>
            <w:shd w:val="clear" w:color="auto" w:fill="auto"/>
            <w:vAlign w:val="center"/>
          </w:tcPr>
          <w:p w14:paraId="6CC20842" w14:textId="49E52650"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1</w:t>
            </w:r>
            <w:r w:rsidR="007F4D40" w:rsidRPr="002B7276">
              <w:rPr>
                <w:rFonts w:eastAsia="Times New Roman" w:cs="Arial"/>
                <w:sz w:val="22"/>
                <w:lang w:eastAsia="es-SV"/>
              </w:rPr>
              <w:t>,</w:t>
            </w:r>
            <w:r w:rsidRPr="002B7276">
              <w:rPr>
                <w:rFonts w:eastAsia="Times New Roman" w:cs="Arial"/>
                <w:sz w:val="22"/>
                <w:lang w:eastAsia="es-SV"/>
              </w:rPr>
              <w:t>546</w:t>
            </w:r>
          </w:p>
        </w:tc>
        <w:tc>
          <w:tcPr>
            <w:tcW w:w="1500" w:type="dxa"/>
            <w:tcBorders>
              <w:top w:val="nil"/>
              <w:left w:val="nil"/>
              <w:bottom w:val="single" w:sz="8" w:space="0" w:color="AEAEAE"/>
              <w:right w:val="nil"/>
            </w:tcBorders>
          </w:tcPr>
          <w:p w14:paraId="6AC3BCE4" w14:textId="77777777" w:rsidR="006A3DBC" w:rsidRPr="002B7276" w:rsidRDefault="006A3DBC" w:rsidP="005F4A92">
            <w:pPr>
              <w:spacing w:after="0" w:line="240" w:lineRule="auto"/>
              <w:jc w:val="center"/>
              <w:rPr>
                <w:rFonts w:eastAsia="Times New Roman" w:cs="Arial"/>
                <w:sz w:val="22"/>
                <w:lang w:eastAsia="es-SV"/>
              </w:rPr>
            </w:pPr>
          </w:p>
        </w:tc>
        <w:tc>
          <w:tcPr>
            <w:tcW w:w="1500" w:type="dxa"/>
            <w:tcBorders>
              <w:top w:val="nil"/>
              <w:left w:val="nil"/>
              <w:bottom w:val="single" w:sz="8" w:space="0" w:color="AEAEAE"/>
              <w:right w:val="nil"/>
            </w:tcBorders>
            <w:shd w:val="clear" w:color="auto" w:fill="auto"/>
            <w:vAlign w:val="center"/>
          </w:tcPr>
          <w:p w14:paraId="72326CD6" w14:textId="33838CED"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2</w:t>
            </w:r>
            <w:r w:rsidR="007F4D40" w:rsidRPr="002B7276">
              <w:rPr>
                <w:rFonts w:eastAsia="Times New Roman" w:cs="Arial"/>
                <w:sz w:val="22"/>
                <w:lang w:eastAsia="es-SV"/>
              </w:rPr>
              <w:t>,</w:t>
            </w:r>
            <w:r w:rsidRPr="002B7276">
              <w:rPr>
                <w:rFonts w:eastAsia="Times New Roman" w:cs="Arial"/>
                <w:sz w:val="22"/>
                <w:lang w:eastAsia="es-SV"/>
              </w:rPr>
              <w:t>108</w:t>
            </w:r>
          </w:p>
        </w:tc>
        <w:tc>
          <w:tcPr>
            <w:tcW w:w="1607" w:type="dxa"/>
            <w:tcBorders>
              <w:top w:val="nil"/>
              <w:left w:val="nil"/>
              <w:bottom w:val="single" w:sz="8" w:space="0" w:color="AEAEAE"/>
              <w:right w:val="nil"/>
            </w:tcBorders>
            <w:shd w:val="clear" w:color="auto" w:fill="auto"/>
            <w:vAlign w:val="center"/>
          </w:tcPr>
          <w:p w14:paraId="1386512B" w14:textId="7F7709BA"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3</w:t>
            </w:r>
            <w:r w:rsidR="007F4D40" w:rsidRPr="002B7276">
              <w:rPr>
                <w:rFonts w:eastAsia="Times New Roman" w:cs="Arial"/>
                <w:sz w:val="22"/>
                <w:lang w:eastAsia="es-SV"/>
              </w:rPr>
              <w:t>,</w:t>
            </w:r>
            <w:r w:rsidRPr="002B7276">
              <w:rPr>
                <w:rFonts w:eastAsia="Times New Roman" w:cs="Arial"/>
                <w:sz w:val="22"/>
                <w:lang w:eastAsia="es-SV"/>
              </w:rPr>
              <w:t>519</w:t>
            </w:r>
          </w:p>
        </w:tc>
        <w:tc>
          <w:tcPr>
            <w:tcW w:w="1106" w:type="dxa"/>
            <w:tcBorders>
              <w:top w:val="nil"/>
              <w:left w:val="nil"/>
              <w:bottom w:val="single" w:sz="8" w:space="0" w:color="AEAEAE"/>
              <w:right w:val="nil"/>
            </w:tcBorders>
            <w:shd w:val="clear" w:color="auto" w:fill="auto"/>
            <w:noWrap/>
            <w:vAlign w:val="center"/>
          </w:tcPr>
          <w:p w14:paraId="22E4A92D" w14:textId="00CB7F21" w:rsidR="006A3DBC" w:rsidRPr="002B7276" w:rsidRDefault="006A3DBC" w:rsidP="005F4A92">
            <w:pPr>
              <w:spacing w:after="0" w:line="240" w:lineRule="auto"/>
              <w:jc w:val="right"/>
              <w:rPr>
                <w:rFonts w:eastAsia="Times New Roman" w:cs="Arial"/>
                <w:b/>
                <w:bCs/>
                <w:sz w:val="22"/>
                <w:lang w:eastAsia="es-SV"/>
              </w:rPr>
            </w:pPr>
            <w:r w:rsidRPr="002B7276">
              <w:rPr>
                <w:rFonts w:cs="Arial"/>
                <w:b/>
                <w:bCs/>
                <w:sz w:val="22"/>
              </w:rPr>
              <w:t>7</w:t>
            </w:r>
            <w:r w:rsidR="007F4D40" w:rsidRPr="002B7276">
              <w:rPr>
                <w:rFonts w:cs="Arial"/>
                <w:b/>
                <w:bCs/>
                <w:sz w:val="22"/>
              </w:rPr>
              <w:t>,</w:t>
            </w:r>
            <w:r w:rsidRPr="002B7276">
              <w:rPr>
                <w:rFonts w:cs="Arial"/>
                <w:b/>
                <w:bCs/>
                <w:sz w:val="22"/>
              </w:rPr>
              <w:t>173</w:t>
            </w:r>
          </w:p>
        </w:tc>
      </w:tr>
      <w:tr w:rsidR="002B7276" w:rsidRPr="002B7276" w14:paraId="5C8537E0" w14:textId="77777777" w:rsidTr="005F4A92">
        <w:trPr>
          <w:trHeight w:val="333"/>
          <w:jc w:val="center"/>
        </w:trPr>
        <w:tc>
          <w:tcPr>
            <w:tcW w:w="3067" w:type="dxa"/>
            <w:tcBorders>
              <w:top w:val="single" w:sz="8" w:space="0" w:color="AEAEAE"/>
              <w:left w:val="nil"/>
              <w:bottom w:val="nil"/>
              <w:right w:val="nil"/>
            </w:tcBorders>
            <w:shd w:val="clear" w:color="000000" w:fill="E0E0E0"/>
            <w:hideMark/>
          </w:tcPr>
          <w:p w14:paraId="25861DD4" w14:textId="77777777" w:rsidR="006A3DBC" w:rsidRPr="002B7276" w:rsidRDefault="006A3DBC" w:rsidP="005F4A92">
            <w:pPr>
              <w:spacing w:after="0" w:line="240" w:lineRule="auto"/>
              <w:rPr>
                <w:rFonts w:eastAsia="Times New Roman" w:cs="Arial"/>
                <w:sz w:val="22"/>
                <w:lang w:eastAsia="es-SV"/>
              </w:rPr>
            </w:pPr>
            <w:r w:rsidRPr="002B7276">
              <w:rPr>
                <w:rFonts w:cs="Arial"/>
                <w:sz w:val="22"/>
              </w:rPr>
              <w:t>Pozo malacate</w:t>
            </w:r>
          </w:p>
        </w:tc>
        <w:tc>
          <w:tcPr>
            <w:tcW w:w="1672" w:type="dxa"/>
            <w:tcBorders>
              <w:top w:val="nil"/>
              <w:left w:val="nil"/>
              <w:bottom w:val="single" w:sz="8" w:space="0" w:color="AEAEAE"/>
              <w:right w:val="nil"/>
            </w:tcBorders>
            <w:shd w:val="clear" w:color="auto" w:fill="auto"/>
            <w:vAlign w:val="center"/>
          </w:tcPr>
          <w:p w14:paraId="25331C8B" w14:textId="77777777"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561</w:t>
            </w:r>
          </w:p>
        </w:tc>
        <w:tc>
          <w:tcPr>
            <w:tcW w:w="1500" w:type="dxa"/>
            <w:tcBorders>
              <w:top w:val="nil"/>
              <w:left w:val="nil"/>
              <w:bottom w:val="single" w:sz="8" w:space="0" w:color="AEAEAE"/>
              <w:right w:val="nil"/>
            </w:tcBorders>
          </w:tcPr>
          <w:p w14:paraId="34DAC1C2" w14:textId="77777777" w:rsidR="006A3DBC" w:rsidRPr="002B7276" w:rsidRDefault="006A3DBC" w:rsidP="005F4A92">
            <w:pPr>
              <w:spacing w:after="0" w:line="240" w:lineRule="auto"/>
              <w:jc w:val="center"/>
              <w:rPr>
                <w:rFonts w:eastAsia="Times New Roman" w:cs="Arial"/>
                <w:sz w:val="22"/>
                <w:lang w:eastAsia="es-SV"/>
              </w:rPr>
            </w:pPr>
          </w:p>
        </w:tc>
        <w:tc>
          <w:tcPr>
            <w:tcW w:w="1500" w:type="dxa"/>
            <w:tcBorders>
              <w:top w:val="nil"/>
              <w:left w:val="nil"/>
              <w:bottom w:val="single" w:sz="8" w:space="0" w:color="AEAEAE"/>
              <w:right w:val="nil"/>
            </w:tcBorders>
            <w:shd w:val="clear" w:color="auto" w:fill="auto"/>
            <w:vAlign w:val="center"/>
          </w:tcPr>
          <w:p w14:paraId="47481155" w14:textId="170935F8"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2</w:t>
            </w:r>
            <w:r w:rsidR="007F4D40" w:rsidRPr="002B7276">
              <w:rPr>
                <w:rFonts w:eastAsia="Times New Roman" w:cs="Arial"/>
                <w:sz w:val="22"/>
                <w:lang w:eastAsia="es-SV"/>
              </w:rPr>
              <w:t>,</w:t>
            </w:r>
            <w:r w:rsidRPr="002B7276">
              <w:rPr>
                <w:rFonts w:eastAsia="Times New Roman" w:cs="Arial"/>
                <w:sz w:val="22"/>
                <w:lang w:eastAsia="es-SV"/>
              </w:rPr>
              <w:t>721</w:t>
            </w:r>
          </w:p>
        </w:tc>
        <w:tc>
          <w:tcPr>
            <w:tcW w:w="1607" w:type="dxa"/>
            <w:tcBorders>
              <w:top w:val="nil"/>
              <w:left w:val="nil"/>
              <w:bottom w:val="single" w:sz="8" w:space="0" w:color="AEAEAE"/>
              <w:right w:val="nil"/>
            </w:tcBorders>
            <w:shd w:val="clear" w:color="auto" w:fill="auto"/>
            <w:vAlign w:val="center"/>
          </w:tcPr>
          <w:p w14:paraId="32CDCC43" w14:textId="77777777"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238</w:t>
            </w:r>
          </w:p>
        </w:tc>
        <w:tc>
          <w:tcPr>
            <w:tcW w:w="1106" w:type="dxa"/>
            <w:tcBorders>
              <w:top w:val="nil"/>
              <w:left w:val="nil"/>
              <w:bottom w:val="single" w:sz="8" w:space="0" w:color="AEAEAE"/>
              <w:right w:val="nil"/>
            </w:tcBorders>
            <w:shd w:val="clear" w:color="auto" w:fill="auto"/>
            <w:noWrap/>
            <w:vAlign w:val="center"/>
          </w:tcPr>
          <w:p w14:paraId="1C21ECC6" w14:textId="4E9482DB" w:rsidR="006A3DBC" w:rsidRPr="002B7276" w:rsidRDefault="006A3DBC" w:rsidP="005F4A92">
            <w:pPr>
              <w:spacing w:after="0" w:line="240" w:lineRule="auto"/>
              <w:jc w:val="right"/>
              <w:rPr>
                <w:rFonts w:eastAsia="Times New Roman" w:cs="Arial"/>
                <w:b/>
                <w:bCs/>
                <w:sz w:val="22"/>
                <w:lang w:eastAsia="es-SV"/>
              </w:rPr>
            </w:pPr>
            <w:r w:rsidRPr="002B7276">
              <w:rPr>
                <w:rFonts w:cs="Arial"/>
                <w:b/>
                <w:bCs/>
                <w:sz w:val="22"/>
              </w:rPr>
              <w:t>3</w:t>
            </w:r>
            <w:r w:rsidR="007F4D40" w:rsidRPr="002B7276">
              <w:rPr>
                <w:rFonts w:cs="Arial"/>
                <w:b/>
                <w:bCs/>
                <w:sz w:val="22"/>
              </w:rPr>
              <w:t>,</w:t>
            </w:r>
            <w:r w:rsidRPr="002B7276">
              <w:rPr>
                <w:rFonts w:cs="Arial"/>
                <w:b/>
                <w:bCs/>
                <w:sz w:val="22"/>
              </w:rPr>
              <w:t>520</w:t>
            </w:r>
          </w:p>
        </w:tc>
      </w:tr>
      <w:tr w:rsidR="002B7276" w:rsidRPr="002B7276" w14:paraId="5238EAF5" w14:textId="77777777" w:rsidTr="005F4A92">
        <w:trPr>
          <w:trHeight w:val="333"/>
          <w:jc w:val="center"/>
        </w:trPr>
        <w:tc>
          <w:tcPr>
            <w:tcW w:w="3067" w:type="dxa"/>
            <w:tcBorders>
              <w:top w:val="single" w:sz="8" w:space="0" w:color="AEAEAE"/>
              <w:left w:val="nil"/>
              <w:bottom w:val="nil"/>
              <w:right w:val="nil"/>
            </w:tcBorders>
            <w:shd w:val="clear" w:color="000000" w:fill="E0E0E0"/>
            <w:hideMark/>
          </w:tcPr>
          <w:p w14:paraId="7DBD854E" w14:textId="77777777" w:rsidR="006A3DBC" w:rsidRPr="002B7276" w:rsidRDefault="006A3DBC" w:rsidP="005F4A92">
            <w:pPr>
              <w:spacing w:after="0" w:line="240" w:lineRule="auto"/>
              <w:rPr>
                <w:rFonts w:eastAsia="Times New Roman" w:cs="Arial"/>
                <w:sz w:val="22"/>
                <w:lang w:eastAsia="es-SV"/>
              </w:rPr>
            </w:pPr>
            <w:r w:rsidRPr="002B7276">
              <w:rPr>
                <w:rFonts w:cs="Arial"/>
                <w:sz w:val="22"/>
              </w:rPr>
              <w:t>Llave pública o comunitaria</w:t>
            </w:r>
          </w:p>
        </w:tc>
        <w:tc>
          <w:tcPr>
            <w:tcW w:w="1672" w:type="dxa"/>
            <w:tcBorders>
              <w:top w:val="nil"/>
              <w:left w:val="nil"/>
              <w:bottom w:val="single" w:sz="8" w:space="0" w:color="AEAEAE"/>
              <w:right w:val="nil"/>
            </w:tcBorders>
            <w:shd w:val="clear" w:color="auto" w:fill="auto"/>
            <w:vAlign w:val="center"/>
          </w:tcPr>
          <w:p w14:paraId="6AB007FB" w14:textId="77777777"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0</w:t>
            </w:r>
          </w:p>
        </w:tc>
        <w:tc>
          <w:tcPr>
            <w:tcW w:w="1500" w:type="dxa"/>
            <w:tcBorders>
              <w:top w:val="nil"/>
              <w:left w:val="nil"/>
              <w:bottom w:val="single" w:sz="8" w:space="0" w:color="AEAEAE"/>
              <w:right w:val="nil"/>
            </w:tcBorders>
          </w:tcPr>
          <w:p w14:paraId="7E2F11C1" w14:textId="77777777" w:rsidR="006A3DBC" w:rsidRPr="002B7276" w:rsidRDefault="006A3DBC" w:rsidP="005F4A92">
            <w:pPr>
              <w:spacing w:after="0" w:line="240" w:lineRule="auto"/>
              <w:jc w:val="center"/>
              <w:rPr>
                <w:rFonts w:eastAsia="Times New Roman" w:cs="Arial"/>
                <w:sz w:val="22"/>
                <w:lang w:eastAsia="es-SV"/>
              </w:rPr>
            </w:pPr>
          </w:p>
        </w:tc>
        <w:tc>
          <w:tcPr>
            <w:tcW w:w="1500" w:type="dxa"/>
            <w:tcBorders>
              <w:top w:val="nil"/>
              <w:left w:val="nil"/>
              <w:bottom w:val="single" w:sz="8" w:space="0" w:color="AEAEAE"/>
              <w:right w:val="nil"/>
            </w:tcBorders>
            <w:shd w:val="clear" w:color="auto" w:fill="auto"/>
            <w:vAlign w:val="center"/>
          </w:tcPr>
          <w:p w14:paraId="6EC916B1" w14:textId="77777777"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379</w:t>
            </w:r>
          </w:p>
        </w:tc>
        <w:tc>
          <w:tcPr>
            <w:tcW w:w="1607" w:type="dxa"/>
            <w:tcBorders>
              <w:top w:val="nil"/>
              <w:left w:val="nil"/>
              <w:bottom w:val="single" w:sz="8" w:space="0" w:color="AEAEAE"/>
              <w:right w:val="nil"/>
            </w:tcBorders>
            <w:shd w:val="clear" w:color="auto" w:fill="auto"/>
            <w:vAlign w:val="center"/>
          </w:tcPr>
          <w:p w14:paraId="33786EA0" w14:textId="77777777"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244</w:t>
            </w:r>
          </w:p>
        </w:tc>
        <w:tc>
          <w:tcPr>
            <w:tcW w:w="1106" w:type="dxa"/>
            <w:tcBorders>
              <w:top w:val="nil"/>
              <w:left w:val="nil"/>
              <w:bottom w:val="single" w:sz="8" w:space="0" w:color="AEAEAE"/>
              <w:right w:val="nil"/>
            </w:tcBorders>
            <w:shd w:val="clear" w:color="auto" w:fill="auto"/>
            <w:noWrap/>
            <w:vAlign w:val="center"/>
          </w:tcPr>
          <w:p w14:paraId="2E38C060" w14:textId="77777777" w:rsidR="006A3DBC" w:rsidRPr="002B7276" w:rsidRDefault="006A3DBC" w:rsidP="005F4A92">
            <w:pPr>
              <w:spacing w:after="0" w:line="240" w:lineRule="auto"/>
              <w:jc w:val="right"/>
              <w:rPr>
                <w:rFonts w:eastAsia="Times New Roman" w:cs="Arial"/>
                <w:b/>
                <w:bCs/>
                <w:sz w:val="22"/>
                <w:lang w:eastAsia="es-SV"/>
              </w:rPr>
            </w:pPr>
            <w:r w:rsidRPr="002B7276">
              <w:rPr>
                <w:rFonts w:cs="Arial"/>
                <w:b/>
                <w:bCs/>
                <w:sz w:val="22"/>
              </w:rPr>
              <w:t>623</w:t>
            </w:r>
          </w:p>
        </w:tc>
      </w:tr>
      <w:tr w:rsidR="002B7276" w:rsidRPr="002B7276" w14:paraId="5EE29AD8" w14:textId="77777777" w:rsidTr="005F4A92">
        <w:trPr>
          <w:trHeight w:val="278"/>
          <w:jc w:val="center"/>
        </w:trPr>
        <w:tc>
          <w:tcPr>
            <w:tcW w:w="3067" w:type="dxa"/>
            <w:tcBorders>
              <w:top w:val="single" w:sz="8" w:space="0" w:color="AEAEAE"/>
              <w:left w:val="nil"/>
              <w:bottom w:val="nil"/>
              <w:right w:val="nil"/>
            </w:tcBorders>
            <w:shd w:val="clear" w:color="000000" w:fill="E0E0E0"/>
            <w:hideMark/>
          </w:tcPr>
          <w:p w14:paraId="6C9A88CD" w14:textId="77777777" w:rsidR="006A3DBC" w:rsidRPr="002B7276" w:rsidRDefault="006A3DBC" w:rsidP="005F4A92">
            <w:pPr>
              <w:spacing w:after="0" w:line="240" w:lineRule="auto"/>
              <w:rPr>
                <w:rFonts w:eastAsia="Times New Roman" w:cs="Arial"/>
                <w:sz w:val="22"/>
                <w:lang w:eastAsia="es-SV"/>
              </w:rPr>
            </w:pPr>
            <w:r w:rsidRPr="002B7276">
              <w:rPr>
                <w:rFonts w:cs="Arial"/>
                <w:sz w:val="22"/>
              </w:rPr>
              <w:t>Río, riachuelo, manantial, ojo de agua</w:t>
            </w:r>
          </w:p>
        </w:tc>
        <w:tc>
          <w:tcPr>
            <w:tcW w:w="1672" w:type="dxa"/>
            <w:tcBorders>
              <w:top w:val="nil"/>
              <w:left w:val="nil"/>
              <w:bottom w:val="single" w:sz="8" w:space="0" w:color="AEAEAE"/>
              <w:right w:val="nil"/>
            </w:tcBorders>
            <w:shd w:val="clear" w:color="auto" w:fill="auto"/>
            <w:vAlign w:val="center"/>
          </w:tcPr>
          <w:p w14:paraId="7F7F0B77" w14:textId="7FAC8997"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4</w:t>
            </w:r>
            <w:r w:rsidR="007F4D40" w:rsidRPr="002B7276">
              <w:rPr>
                <w:rFonts w:eastAsia="Times New Roman" w:cs="Arial"/>
                <w:sz w:val="22"/>
                <w:lang w:eastAsia="es-SV"/>
              </w:rPr>
              <w:t>,</w:t>
            </w:r>
            <w:r w:rsidRPr="002B7276">
              <w:rPr>
                <w:rFonts w:eastAsia="Times New Roman" w:cs="Arial"/>
                <w:sz w:val="22"/>
                <w:lang w:eastAsia="es-SV"/>
              </w:rPr>
              <w:t>246</w:t>
            </w:r>
          </w:p>
        </w:tc>
        <w:tc>
          <w:tcPr>
            <w:tcW w:w="1500" w:type="dxa"/>
            <w:tcBorders>
              <w:top w:val="nil"/>
              <w:left w:val="nil"/>
              <w:bottom w:val="single" w:sz="8" w:space="0" w:color="AEAEAE"/>
              <w:right w:val="nil"/>
            </w:tcBorders>
          </w:tcPr>
          <w:p w14:paraId="47E7E31E" w14:textId="77777777" w:rsidR="006A3DBC" w:rsidRPr="002B7276" w:rsidRDefault="006A3DBC" w:rsidP="005F4A92">
            <w:pPr>
              <w:spacing w:after="0" w:line="240" w:lineRule="auto"/>
              <w:jc w:val="center"/>
              <w:rPr>
                <w:rFonts w:eastAsia="Times New Roman" w:cs="Arial"/>
                <w:sz w:val="22"/>
                <w:lang w:eastAsia="es-SV"/>
              </w:rPr>
            </w:pPr>
          </w:p>
        </w:tc>
        <w:tc>
          <w:tcPr>
            <w:tcW w:w="1500" w:type="dxa"/>
            <w:tcBorders>
              <w:top w:val="nil"/>
              <w:left w:val="nil"/>
              <w:bottom w:val="single" w:sz="8" w:space="0" w:color="AEAEAE"/>
              <w:right w:val="nil"/>
            </w:tcBorders>
            <w:shd w:val="clear" w:color="auto" w:fill="auto"/>
            <w:vAlign w:val="center"/>
          </w:tcPr>
          <w:p w14:paraId="2600DEBA" w14:textId="7B0058FC"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1</w:t>
            </w:r>
            <w:r w:rsidR="007F4D40" w:rsidRPr="002B7276">
              <w:rPr>
                <w:rFonts w:eastAsia="Times New Roman" w:cs="Arial"/>
                <w:sz w:val="22"/>
                <w:lang w:eastAsia="es-SV"/>
              </w:rPr>
              <w:t>,</w:t>
            </w:r>
            <w:r w:rsidRPr="002B7276">
              <w:rPr>
                <w:rFonts w:eastAsia="Times New Roman" w:cs="Arial"/>
                <w:sz w:val="22"/>
                <w:lang w:eastAsia="es-SV"/>
              </w:rPr>
              <w:t>918</w:t>
            </w:r>
          </w:p>
        </w:tc>
        <w:tc>
          <w:tcPr>
            <w:tcW w:w="1607" w:type="dxa"/>
            <w:tcBorders>
              <w:top w:val="nil"/>
              <w:left w:val="nil"/>
              <w:bottom w:val="single" w:sz="8" w:space="0" w:color="AEAEAE"/>
              <w:right w:val="nil"/>
            </w:tcBorders>
            <w:shd w:val="clear" w:color="auto" w:fill="auto"/>
            <w:vAlign w:val="center"/>
          </w:tcPr>
          <w:p w14:paraId="0A6D3D78" w14:textId="672C6957"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2</w:t>
            </w:r>
            <w:r w:rsidR="007F4D40" w:rsidRPr="002B7276">
              <w:rPr>
                <w:rFonts w:eastAsia="Times New Roman" w:cs="Arial"/>
                <w:sz w:val="22"/>
                <w:lang w:eastAsia="es-SV"/>
              </w:rPr>
              <w:t>,</w:t>
            </w:r>
            <w:r w:rsidRPr="002B7276">
              <w:rPr>
                <w:rFonts w:eastAsia="Times New Roman" w:cs="Arial"/>
                <w:sz w:val="22"/>
                <w:lang w:eastAsia="es-SV"/>
              </w:rPr>
              <w:t>327</w:t>
            </w:r>
          </w:p>
        </w:tc>
        <w:tc>
          <w:tcPr>
            <w:tcW w:w="1106" w:type="dxa"/>
            <w:tcBorders>
              <w:top w:val="nil"/>
              <w:left w:val="nil"/>
              <w:bottom w:val="single" w:sz="8" w:space="0" w:color="AEAEAE"/>
              <w:right w:val="nil"/>
            </w:tcBorders>
            <w:shd w:val="clear" w:color="auto" w:fill="auto"/>
            <w:noWrap/>
            <w:vAlign w:val="center"/>
          </w:tcPr>
          <w:p w14:paraId="1BDBEB67" w14:textId="67F796E9" w:rsidR="006A3DBC" w:rsidRPr="002B7276" w:rsidRDefault="006A3DBC" w:rsidP="005F4A92">
            <w:pPr>
              <w:spacing w:after="0" w:line="240" w:lineRule="auto"/>
              <w:jc w:val="right"/>
              <w:rPr>
                <w:rFonts w:eastAsia="Times New Roman" w:cs="Arial"/>
                <w:b/>
                <w:bCs/>
                <w:sz w:val="22"/>
                <w:lang w:eastAsia="es-SV"/>
              </w:rPr>
            </w:pPr>
            <w:r w:rsidRPr="002B7276">
              <w:rPr>
                <w:rFonts w:cs="Arial"/>
                <w:b/>
                <w:bCs/>
                <w:sz w:val="22"/>
              </w:rPr>
              <w:t>8</w:t>
            </w:r>
            <w:r w:rsidR="007F4D40" w:rsidRPr="002B7276">
              <w:rPr>
                <w:rFonts w:cs="Arial"/>
                <w:b/>
                <w:bCs/>
                <w:sz w:val="22"/>
              </w:rPr>
              <w:t>,</w:t>
            </w:r>
            <w:r w:rsidRPr="002B7276">
              <w:rPr>
                <w:rFonts w:cs="Arial"/>
                <w:b/>
                <w:bCs/>
                <w:sz w:val="22"/>
              </w:rPr>
              <w:t>491</w:t>
            </w:r>
          </w:p>
        </w:tc>
      </w:tr>
      <w:tr w:rsidR="002B7276" w:rsidRPr="002B7276" w14:paraId="4B814F74" w14:textId="77777777" w:rsidTr="005F4A92">
        <w:trPr>
          <w:trHeight w:val="167"/>
          <w:jc w:val="center"/>
        </w:trPr>
        <w:tc>
          <w:tcPr>
            <w:tcW w:w="3067" w:type="dxa"/>
            <w:tcBorders>
              <w:top w:val="single" w:sz="8" w:space="0" w:color="AEAEAE"/>
              <w:left w:val="nil"/>
              <w:bottom w:val="nil"/>
              <w:right w:val="nil"/>
            </w:tcBorders>
            <w:shd w:val="clear" w:color="000000" w:fill="E0E0E0"/>
            <w:hideMark/>
          </w:tcPr>
          <w:p w14:paraId="365B34CC" w14:textId="77777777" w:rsidR="006A3DBC" w:rsidRPr="002B7276" w:rsidRDefault="006A3DBC" w:rsidP="005F4A92">
            <w:pPr>
              <w:spacing w:after="0" w:line="240" w:lineRule="auto"/>
              <w:rPr>
                <w:rFonts w:eastAsia="Times New Roman" w:cs="Arial"/>
                <w:sz w:val="22"/>
                <w:lang w:eastAsia="es-SV"/>
              </w:rPr>
            </w:pPr>
            <w:r w:rsidRPr="002B7276">
              <w:rPr>
                <w:rFonts w:cs="Arial"/>
                <w:sz w:val="22"/>
              </w:rPr>
              <w:t>Carro cisterna</w:t>
            </w:r>
          </w:p>
        </w:tc>
        <w:tc>
          <w:tcPr>
            <w:tcW w:w="1672" w:type="dxa"/>
            <w:tcBorders>
              <w:top w:val="nil"/>
              <w:left w:val="nil"/>
              <w:bottom w:val="single" w:sz="8" w:space="0" w:color="AEAEAE"/>
              <w:right w:val="nil"/>
            </w:tcBorders>
            <w:shd w:val="clear" w:color="auto" w:fill="auto"/>
            <w:vAlign w:val="center"/>
          </w:tcPr>
          <w:p w14:paraId="64055843" w14:textId="442BC018"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1</w:t>
            </w:r>
            <w:r w:rsidR="007F4D40" w:rsidRPr="002B7276">
              <w:rPr>
                <w:rFonts w:eastAsia="Times New Roman" w:cs="Arial"/>
                <w:sz w:val="22"/>
                <w:lang w:eastAsia="es-SV"/>
              </w:rPr>
              <w:t>,</w:t>
            </w:r>
            <w:r w:rsidRPr="002B7276">
              <w:rPr>
                <w:rFonts w:eastAsia="Times New Roman" w:cs="Arial"/>
                <w:sz w:val="22"/>
                <w:lang w:eastAsia="es-SV"/>
              </w:rPr>
              <w:t>833</w:t>
            </w:r>
          </w:p>
        </w:tc>
        <w:tc>
          <w:tcPr>
            <w:tcW w:w="1500" w:type="dxa"/>
            <w:tcBorders>
              <w:top w:val="nil"/>
              <w:left w:val="nil"/>
              <w:bottom w:val="single" w:sz="8" w:space="0" w:color="AEAEAE"/>
              <w:right w:val="nil"/>
            </w:tcBorders>
          </w:tcPr>
          <w:p w14:paraId="3C180098" w14:textId="77777777" w:rsidR="006A3DBC" w:rsidRPr="002B7276" w:rsidRDefault="006A3DBC" w:rsidP="005F4A92">
            <w:pPr>
              <w:spacing w:after="0" w:line="240" w:lineRule="auto"/>
              <w:jc w:val="center"/>
              <w:rPr>
                <w:rFonts w:eastAsia="Times New Roman" w:cs="Arial"/>
                <w:sz w:val="22"/>
                <w:lang w:eastAsia="es-SV"/>
              </w:rPr>
            </w:pPr>
          </w:p>
        </w:tc>
        <w:tc>
          <w:tcPr>
            <w:tcW w:w="1500" w:type="dxa"/>
            <w:tcBorders>
              <w:top w:val="nil"/>
              <w:left w:val="nil"/>
              <w:bottom w:val="single" w:sz="8" w:space="0" w:color="AEAEAE"/>
              <w:right w:val="nil"/>
            </w:tcBorders>
            <w:shd w:val="clear" w:color="auto" w:fill="auto"/>
            <w:vAlign w:val="center"/>
          </w:tcPr>
          <w:p w14:paraId="7FDBA387" w14:textId="7BC8D93D"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1</w:t>
            </w:r>
            <w:r w:rsidR="007F4D40" w:rsidRPr="002B7276">
              <w:rPr>
                <w:rFonts w:eastAsia="Times New Roman" w:cs="Arial"/>
                <w:sz w:val="22"/>
                <w:lang w:eastAsia="es-SV"/>
              </w:rPr>
              <w:t>,</w:t>
            </w:r>
            <w:r w:rsidRPr="002B7276">
              <w:rPr>
                <w:rFonts w:eastAsia="Times New Roman" w:cs="Arial"/>
                <w:sz w:val="22"/>
                <w:lang w:eastAsia="es-SV"/>
              </w:rPr>
              <w:t>235</w:t>
            </w:r>
          </w:p>
        </w:tc>
        <w:tc>
          <w:tcPr>
            <w:tcW w:w="1607" w:type="dxa"/>
            <w:tcBorders>
              <w:top w:val="nil"/>
              <w:left w:val="nil"/>
              <w:bottom w:val="single" w:sz="8" w:space="0" w:color="AEAEAE"/>
              <w:right w:val="nil"/>
            </w:tcBorders>
            <w:shd w:val="clear" w:color="auto" w:fill="auto"/>
            <w:vAlign w:val="center"/>
          </w:tcPr>
          <w:p w14:paraId="281D69DB" w14:textId="77777777"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625</w:t>
            </w:r>
          </w:p>
        </w:tc>
        <w:tc>
          <w:tcPr>
            <w:tcW w:w="1106" w:type="dxa"/>
            <w:tcBorders>
              <w:top w:val="nil"/>
              <w:left w:val="nil"/>
              <w:bottom w:val="single" w:sz="8" w:space="0" w:color="AEAEAE"/>
              <w:right w:val="nil"/>
            </w:tcBorders>
            <w:shd w:val="clear" w:color="auto" w:fill="auto"/>
            <w:noWrap/>
            <w:vAlign w:val="center"/>
          </w:tcPr>
          <w:p w14:paraId="0B72BB1F" w14:textId="2BF38B15" w:rsidR="006A3DBC" w:rsidRPr="002B7276" w:rsidRDefault="006A3DBC" w:rsidP="005F4A92">
            <w:pPr>
              <w:spacing w:after="0" w:line="240" w:lineRule="auto"/>
              <w:jc w:val="right"/>
              <w:rPr>
                <w:rFonts w:eastAsia="Times New Roman" w:cs="Arial"/>
                <w:b/>
                <w:bCs/>
                <w:sz w:val="22"/>
                <w:lang w:eastAsia="es-SV"/>
              </w:rPr>
            </w:pPr>
            <w:r w:rsidRPr="002B7276">
              <w:rPr>
                <w:rFonts w:cs="Arial"/>
                <w:b/>
                <w:bCs/>
                <w:sz w:val="22"/>
              </w:rPr>
              <w:t>3</w:t>
            </w:r>
            <w:r w:rsidR="007F4D40" w:rsidRPr="002B7276">
              <w:rPr>
                <w:rFonts w:cs="Arial"/>
                <w:b/>
                <w:bCs/>
                <w:sz w:val="22"/>
              </w:rPr>
              <w:t>,</w:t>
            </w:r>
            <w:r w:rsidRPr="002B7276">
              <w:rPr>
                <w:rFonts w:cs="Arial"/>
                <w:b/>
                <w:bCs/>
                <w:sz w:val="22"/>
              </w:rPr>
              <w:t>693</w:t>
            </w:r>
          </w:p>
        </w:tc>
      </w:tr>
      <w:tr w:rsidR="002B7276" w:rsidRPr="002B7276" w14:paraId="477D017E" w14:textId="77777777" w:rsidTr="005F4A92">
        <w:trPr>
          <w:trHeight w:val="167"/>
          <w:jc w:val="center"/>
        </w:trPr>
        <w:tc>
          <w:tcPr>
            <w:tcW w:w="3067" w:type="dxa"/>
            <w:tcBorders>
              <w:top w:val="single" w:sz="8" w:space="0" w:color="AEAEAE"/>
              <w:left w:val="nil"/>
              <w:bottom w:val="nil"/>
              <w:right w:val="nil"/>
            </w:tcBorders>
            <w:shd w:val="clear" w:color="000000" w:fill="E0E0E0"/>
            <w:hideMark/>
          </w:tcPr>
          <w:p w14:paraId="3AD20203" w14:textId="77777777" w:rsidR="006A3DBC" w:rsidRPr="002B7276" w:rsidRDefault="006A3DBC" w:rsidP="005F4A92">
            <w:pPr>
              <w:spacing w:after="0" w:line="240" w:lineRule="auto"/>
              <w:rPr>
                <w:rFonts w:eastAsia="Times New Roman" w:cs="Arial"/>
                <w:sz w:val="22"/>
                <w:lang w:eastAsia="es-SV"/>
              </w:rPr>
            </w:pPr>
            <w:r w:rsidRPr="002B7276">
              <w:rPr>
                <w:rFonts w:cs="Arial"/>
                <w:sz w:val="22"/>
              </w:rPr>
              <w:t>Pick-up con drones o barriles</w:t>
            </w:r>
          </w:p>
        </w:tc>
        <w:tc>
          <w:tcPr>
            <w:tcW w:w="1672" w:type="dxa"/>
            <w:tcBorders>
              <w:top w:val="nil"/>
              <w:left w:val="nil"/>
              <w:bottom w:val="single" w:sz="8" w:space="0" w:color="AEAEAE"/>
              <w:right w:val="nil"/>
            </w:tcBorders>
            <w:shd w:val="clear" w:color="auto" w:fill="auto"/>
            <w:vAlign w:val="center"/>
          </w:tcPr>
          <w:p w14:paraId="25A40402" w14:textId="77777777"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813</w:t>
            </w:r>
          </w:p>
        </w:tc>
        <w:tc>
          <w:tcPr>
            <w:tcW w:w="1500" w:type="dxa"/>
            <w:tcBorders>
              <w:top w:val="nil"/>
              <w:left w:val="nil"/>
              <w:bottom w:val="single" w:sz="8" w:space="0" w:color="AEAEAE"/>
              <w:right w:val="nil"/>
            </w:tcBorders>
          </w:tcPr>
          <w:p w14:paraId="203A8F2E" w14:textId="77777777" w:rsidR="006A3DBC" w:rsidRPr="002B7276" w:rsidRDefault="006A3DBC" w:rsidP="005F4A92">
            <w:pPr>
              <w:spacing w:after="0" w:line="240" w:lineRule="auto"/>
              <w:jc w:val="center"/>
              <w:rPr>
                <w:rFonts w:eastAsia="Times New Roman" w:cs="Arial"/>
                <w:sz w:val="22"/>
                <w:lang w:eastAsia="es-SV"/>
              </w:rPr>
            </w:pPr>
          </w:p>
        </w:tc>
        <w:tc>
          <w:tcPr>
            <w:tcW w:w="1500" w:type="dxa"/>
            <w:tcBorders>
              <w:top w:val="nil"/>
              <w:left w:val="nil"/>
              <w:bottom w:val="single" w:sz="8" w:space="0" w:color="AEAEAE"/>
              <w:right w:val="nil"/>
            </w:tcBorders>
            <w:shd w:val="clear" w:color="auto" w:fill="auto"/>
            <w:vAlign w:val="center"/>
          </w:tcPr>
          <w:p w14:paraId="01939202" w14:textId="27778960"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2</w:t>
            </w:r>
            <w:r w:rsidR="007F4D40" w:rsidRPr="002B7276">
              <w:rPr>
                <w:rFonts w:eastAsia="Times New Roman" w:cs="Arial"/>
                <w:sz w:val="22"/>
                <w:lang w:eastAsia="es-SV"/>
              </w:rPr>
              <w:t>,</w:t>
            </w:r>
            <w:r w:rsidRPr="002B7276">
              <w:rPr>
                <w:rFonts w:eastAsia="Times New Roman" w:cs="Arial"/>
                <w:sz w:val="22"/>
                <w:lang w:eastAsia="es-SV"/>
              </w:rPr>
              <w:t>826</w:t>
            </w:r>
          </w:p>
        </w:tc>
        <w:tc>
          <w:tcPr>
            <w:tcW w:w="1607" w:type="dxa"/>
            <w:tcBorders>
              <w:top w:val="nil"/>
              <w:left w:val="nil"/>
              <w:bottom w:val="single" w:sz="8" w:space="0" w:color="AEAEAE"/>
              <w:right w:val="nil"/>
            </w:tcBorders>
            <w:shd w:val="clear" w:color="auto" w:fill="auto"/>
            <w:vAlign w:val="center"/>
          </w:tcPr>
          <w:p w14:paraId="15551658" w14:textId="77777777"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380</w:t>
            </w:r>
          </w:p>
        </w:tc>
        <w:tc>
          <w:tcPr>
            <w:tcW w:w="1106" w:type="dxa"/>
            <w:tcBorders>
              <w:top w:val="nil"/>
              <w:left w:val="nil"/>
              <w:bottom w:val="single" w:sz="8" w:space="0" w:color="AEAEAE"/>
              <w:right w:val="nil"/>
            </w:tcBorders>
            <w:shd w:val="clear" w:color="auto" w:fill="auto"/>
            <w:noWrap/>
            <w:vAlign w:val="center"/>
          </w:tcPr>
          <w:p w14:paraId="7C46E99C" w14:textId="4D9CD82F" w:rsidR="006A3DBC" w:rsidRPr="002B7276" w:rsidRDefault="006A3DBC" w:rsidP="005F4A92">
            <w:pPr>
              <w:spacing w:after="0" w:line="240" w:lineRule="auto"/>
              <w:jc w:val="right"/>
              <w:rPr>
                <w:rFonts w:eastAsia="Times New Roman" w:cs="Arial"/>
                <w:b/>
                <w:bCs/>
                <w:sz w:val="22"/>
                <w:lang w:eastAsia="es-SV"/>
              </w:rPr>
            </w:pPr>
            <w:r w:rsidRPr="002B7276">
              <w:rPr>
                <w:rFonts w:cs="Arial"/>
                <w:b/>
                <w:bCs/>
                <w:sz w:val="22"/>
              </w:rPr>
              <w:t>4</w:t>
            </w:r>
            <w:r w:rsidR="007F4D40" w:rsidRPr="002B7276">
              <w:rPr>
                <w:rFonts w:cs="Arial"/>
                <w:b/>
                <w:bCs/>
                <w:sz w:val="22"/>
              </w:rPr>
              <w:t>,</w:t>
            </w:r>
            <w:r w:rsidRPr="002B7276">
              <w:rPr>
                <w:rFonts w:cs="Arial"/>
                <w:b/>
                <w:bCs/>
                <w:sz w:val="22"/>
              </w:rPr>
              <w:t>019</w:t>
            </w:r>
          </w:p>
        </w:tc>
      </w:tr>
      <w:tr w:rsidR="002B7276" w:rsidRPr="002B7276" w14:paraId="6D8BE502" w14:textId="77777777" w:rsidTr="005F4A92">
        <w:trPr>
          <w:trHeight w:val="70"/>
          <w:jc w:val="center"/>
        </w:trPr>
        <w:tc>
          <w:tcPr>
            <w:tcW w:w="3067" w:type="dxa"/>
            <w:tcBorders>
              <w:top w:val="single" w:sz="8" w:space="0" w:color="AEAEAE"/>
              <w:left w:val="nil"/>
              <w:bottom w:val="nil"/>
              <w:right w:val="nil"/>
            </w:tcBorders>
            <w:shd w:val="clear" w:color="000000" w:fill="E0E0E0"/>
            <w:hideMark/>
          </w:tcPr>
          <w:p w14:paraId="21AF0BBA" w14:textId="77777777" w:rsidR="006A3DBC" w:rsidRPr="002B7276" w:rsidRDefault="006A3DBC" w:rsidP="005F4A92">
            <w:pPr>
              <w:spacing w:after="0" w:line="240" w:lineRule="auto"/>
              <w:rPr>
                <w:rFonts w:eastAsia="Times New Roman" w:cs="Arial"/>
                <w:sz w:val="22"/>
                <w:lang w:eastAsia="es-SV"/>
              </w:rPr>
            </w:pPr>
            <w:r w:rsidRPr="002B7276">
              <w:rPr>
                <w:rFonts w:cs="Arial"/>
                <w:sz w:val="22"/>
              </w:rPr>
              <w:t>Del vecino / otra vivienda</w:t>
            </w:r>
          </w:p>
        </w:tc>
        <w:tc>
          <w:tcPr>
            <w:tcW w:w="1672" w:type="dxa"/>
            <w:tcBorders>
              <w:top w:val="nil"/>
              <w:left w:val="nil"/>
              <w:bottom w:val="single" w:sz="8" w:space="0" w:color="AEAEAE"/>
              <w:right w:val="nil"/>
            </w:tcBorders>
            <w:shd w:val="clear" w:color="auto" w:fill="auto"/>
            <w:vAlign w:val="center"/>
          </w:tcPr>
          <w:p w14:paraId="5361A6F3" w14:textId="20548C65"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4</w:t>
            </w:r>
            <w:r w:rsidR="007F4D40" w:rsidRPr="002B7276">
              <w:rPr>
                <w:rFonts w:eastAsia="Times New Roman" w:cs="Arial"/>
                <w:sz w:val="22"/>
                <w:lang w:eastAsia="es-SV"/>
              </w:rPr>
              <w:t>,</w:t>
            </w:r>
            <w:r w:rsidRPr="002B7276">
              <w:rPr>
                <w:rFonts w:eastAsia="Times New Roman" w:cs="Arial"/>
                <w:sz w:val="22"/>
                <w:lang w:eastAsia="es-SV"/>
              </w:rPr>
              <w:t>006</w:t>
            </w:r>
          </w:p>
        </w:tc>
        <w:tc>
          <w:tcPr>
            <w:tcW w:w="1500" w:type="dxa"/>
            <w:tcBorders>
              <w:top w:val="nil"/>
              <w:left w:val="nil"/>
              <w:bottom w:val="single" w:sz="8" w:space="0" w:color="AEAEAE"/>
              <w:right w:val="nil"/>
            </w:tcBorders>
          </w:tcPr>
          <w:p w14:paraId="644EA3F3" w14:textId="77777777" w:rsidR="006A3DBC" w:rsidRPr="002B7276" w:rsidRDefault="006A3DBC" w:rsidP="005F4A92">
            <w:pPr>
              <w:spacing w:after="0" w:line="240" w:lineRule="auto"/>
              <w:jc w:val="center"/>
              <w:rPr>
                <w:rFonts w:eastAsia="Times New Roman" w:cs="Arial"/>
                <w:sz w:val="22"/>
                <w:lang w:eastAsia="es-SV"/>
              </w:rPr>
            </w:pPr>
          </w:p>
        </w:tc>
        <w:tc>
          <w:tcPr>
            <w:tcW w:w="1500" w:type="dxa"/>
            <w:tcBorders>
              <w:top w:val="nil"/>
              <w:left w:val="nil"/>
              <w:bottom w:val="single" w:sz="8" w:space="0" w:color="AEAEAE"/>
              <w:right w:val="nil"/>
            </w:tcBorders>
            <w:shd w:val="clear" w:color="auto" w:fill="auto"/>
            <w:vAlign w:val="center"/>
          </w:tcPr>
          <w:p w14:paraId="37F47BCB" w14:textId="3C01A7BA"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1</w:t>
            </w:r>
            <w:r w:rsidR="007F4D40" w:rsidRPr="002B7276">
              <w:rPr>
                <w:rFonts w:eastAsia="Times New Roman" w:cs="Arial"/>
                <w:sz w:val="22"/>
                <w:lang w:eastAsia="es-SV"/>
              </w:rPr>
              <w:t>,</w:t>
            </w:r>
            <w:r w:rsidRPr="002B7276">
              <w:rPr>
                <w:rFonts w:eastAsia="Times New Roman" w:cs="Arial"/>
                <w:sz w:val="22"/>
                <w:lang w:eastAsia="es-SV"/>
              </w:rPr>
              <w:t>265</w:t>
            </w:r>
          </w:p>
        </w:tc>
        <w:tc>
          <w:tcPr>
            <w:tcW w:w="1607" w:type="dxa"/>
            <w:tcBorders>
              <w:top w:val="nil"/>
              <w:left w:val="nil"/>
              <w:bottom w:val="single" w:sz="8" w:space="0" w:color="AEAEAE"/>
              <w:right w:val="nil"/>
            </w:tcBorders>
            <w:shd w:val="clear" w:color="auto" w:fill="auto"/>
            <w:vAlign w:val="center"/>
          </w:tcPr>
          <w:p w14:paraId="393DDE68" w14:textId="79C5BDEE"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3</w:t>
            </w:r>
            <w:r w:rsidR="007F4D40" w:rsidRPr="002B7276">
              <w:rPr>
                <w:rFonts w:eastAsia="Times New Roman" w:cs="Arial"/>
                <w:sz w:val="22"/>
                <w:lang w:eastAsia="es-SV"/>
              </w:rPr>
              <w:t>,</w:t>
            </w:r>
            <w:r w:rsidRPr="002B7276">
              <w:rPr>
                <w:rFonts w:eastAsia="Times New Roman" w:cs="Arial"/>
                <w:sz w:val="22"/>
                <w:lang w:eastAsia="es-SV"/>
              </w:rPr>
              <w:t>992</w:t>
            </w:r>
          </w:p>
        </w:tc>
        <w:tc>
          <w:tcPr>
            <w:tcW w:w="1106" w:type="dxa"/>
            <w:tcBorders>
              <w:top w:val="nil"/>
              <w:left w:val="nil"/>
              <w:bottom w:val="single" w:sz="8" w:space="0" w:color="AEAEAE"/>
              <w:right w:val="nil"/>
            </w:tcBorders>
            <w:shd w:val="clear" w:color="auto" w:fill="auto"/>
            <w:noWrap/>
            <w:vAlign w:val="center"/>
          </w:tcPr>
          <w:p w14:paraId="158A1673" w14:textId="6022AC8B" w:rsidR="006A3DBC" w:rsidRPr="002B7276" w:rsidRDefault="006A3DBC" w:rsidP="005F4A92">
            <w:pPr>
              <w:spacing w:after="0" w:line="240" w:lineRule="auto"/>
              <w:jc w:val="right"/>
              <w:rPr>
                <w:rFonts w:eastAsia="Times New Roman" w:cs="Arial"/>
                <w:b/>
                <w:bCs/>
                <w:sz w:val="22"/>
                <w:lang w:eastAsia="es-SV"/>
              </w:rPr>
            </w:pPr>
            <w:r w:rsidRPr="002B7276">
              <w:rPr>
                <w:rFonts w:cs="Arial"/>
                <w:b/>
                <w:bCs/>
                <w:sz w:val="22"/>
              </w:rPr>
              <w:t>9</w:t>
            </w:r>
            <w:r w:rsidR="007F4D40" w:rsidRPr="002B7276">
              <w:rPr>
                <w:rFonts w:cs="Arial"/>
                <w:b/>
                <w:bCs/>
                <w:sz w:val="22"/>
              </w:rPr>
              <w:t>,</w:t>
            </w:r>
            <w:r w:rsidRPr="002B7276">
              <w:rPr>
                <w:rFonts w:cs="Arial"/>
                <w:b/>
                <w:bCs/>
                <w:sz w:val="22"/>
              </w:rPr>
              <w:t>263</w:t>
            </w:r>
          </w:p>
        </w:tc>
      </w:tr>
      <w:tr w:rsidR="002B7276" w:rsidRPr="002B7276" w14:paraId="3BABCF16" w14:textId="77777777" w:rsidTr="005F4A92">
        <w:trPr>
          <w:trHeight w:val="70"/>
          <w:jc w:val="center"/>
        </w:trPr>
        <w:tc>
          <w:tcPr>
            <w:tcW w:w="3067" w:type="dxa"/>
            <w:tcBorders>
              <w:top w:val="single" w:sz="8" w:space="0" w:color="AEAEAE"/>
              <w:left w:val="nil"/>
              <w:bottom w:val="nil"/>
              <w:right w:val="nil"/>
            </w:tcBorders>
            <w:shd w:val="clear" w:color="000000" w:fill="E0E0E0"/>
            <w:noWrap/>
            <w:hideMark/>
          </w:tcPr>
          <w:p w14:paraId="2ADD7683" w14:textId="77777777" w:rsidR="006A3DBC" w:rsidRPr="002B7276" w:rsidRDefault="006A3DBC" w:rsidP="005F4A92">
            <w:pPr>
              <w:spacing w:after="0" w:line="240" w:lineRule="auto"/>
              <w:rPr>
                <w:rFonts w:eastAsia="Times New Roman" w:cs="Arial"/>
                <w:sz w:val="22"/>
                <w:lang w:eastAsia="es-SV"/>
              </w:rPr>
            </w:pPr>
            <w:r w:rsidRPr="002B7276">
              <w:rPr>
                <w:rFonts w:cs="Arial"/>
                <w:sz w:val="22"/>
              </w:rPr>
              <w:t>Otro</w:t>
            </w:r>
          </w:p>
        </w:tc>
        <w:tc>
          <w:tcPr>
            <w:tcW w:w="1672" w:type="dxa"/>
            <w:tcBorders>
              <w:top w:val="nil"/>
              <w:left w:val="nil"/>
              <w:bottom w:val="single" w:sz="8" w:space="0" w:color="AEAEAE"/>
              <w:right w:val="nil"/>
            </w:tcBorders>
            <w:shd w:val="clear" w:color="auto" w:fill="auto"/>
            <w:vAlign w:val="center"/>
          </w:tcPr>
          <w:p w14:paraId="0D1851F1" w14:textId="5F385651"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6</w:t>
            </w:r>
            <w:r w:rsidR="007F4D40" w:rsidRPr="002B7276">
              <w:rPr>
                <w:rFonts w:eastAsia="Times New Roman" w:cs="Arial"/>
                <w:sz w:val="22"/>
                <w:lang w:eastAsia="es-SV"/>
              </w:rPr>
              <w:t>,</w:t>
            </w:r>
            <w:r w:rsidRPr="002B7276">
              <w:rPr>
                <w:rFonts w:eastAsia="Times New Roman" w:cs="Arial"/>
                <w:sz w:val="22"/>
                <w:lang w:eastAsia="es-SV"/>
              </w:rPr>
              <w:t>808</w:t>
            </w:r>
          </w:p>
        </w:tc>
        <w:tc>
          <w:tcPr>
            <w:tcW w:w="1500" w:type="dxa"/>
            <w:tcBorders>
              <w:top w:val="nil"/>
              <w:left w:val="nil"/>
              <w:bottom w:val="single" w:sz="8" w:space="0" w:color="AEAEAE"/>
              <w:right w:val="nil"/>
            </w:tcBorders>
          </w:tcPr>
          <w:p w14:paraId="790C2F90" w14:textId="77777777" w:rsidR="006A3DBC" w:rsidRPr="002B7276" w:rsidRDefault="006A3DBC" w:rsidP="005F4A92">
            <w:pPr>
              <w:spacing w:after="0" w:line="240" w:lineRule="auto"/>
              <w:jc w:val="center"/>
              <w:rPr>
                <w:rFonts w:eastAsia="Times New Roman" w:cs="Arial"/>
                <w:sz w:val="22"/>
                <w:lang w:eastAsia="es-SV"/>
              </w:rPr>
            </w:pPr>
          </w:p>
        </w:tc>
        <w:tc>
          <w:tcPr>
            <w:tcW w:w="1500" w:type="dxa"/>
            <w:tcBorders>
              <w:top w:val="nil"/>
              <w:left w:val="nil"/>
              <w:bottom w:val="single" w:sz="8" w:space="0" w:color="AEAEAE"/>
              <w:right w:val="nil"/>
            </w:tcBorders>
            <w:shd w:val="clear" w:color="auto" w:fill="auto"/>
            <w:vAlign w:val="center"/>
          </w:tcPr>
          <w:p w14:paraId="63899D2C" w14:textId="77777777"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929</w:t>
            </w:r>
          </w:p>
        </w:tc>
        <w:tc>
          <w:tcPr>
            <w:tcW w:w="1607" w:type="dxa"/>
            <w:tcBorders>
              <w:top w:val="nil"/>
              <w:left w:val="nil"/>
              <w:bottom w:val="single" w:sz="8" w:space="0" w:color="AEAEAE"/>
              <w:right w:val="nil"/>
            </w:tcBorders>
            <w:shd w:val="clear" w:color="auto" w:fill="auto"/>
            <w:vAlign w:val="center"/>
          </w:tcPr>
          <w:p w14:paraId="315F968C" w14:textId="2C21221C"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3</w:t>
            </w:r>
            <w:r w:rsidR="007F4D40" w:rsidRPr="002B7276">
              <w:rPr>
                <w:rFonts w:eastAsia="Times New Roman" w:cs="Arial"/>
                <w:sz w:val="22"/>
                <w:lang w:eastAsia="es-SV"/>
              </w:rPr>
              <w:t>,</w:t>
            </w:r>
            <w:r w:rsidRPr="002B7276">
              <w:rPr>
                <w:rFonts w:eastAsia="Times New Roman" w:cs="Arial"/>
                <w:sz w:val="22"/>
                <w:lang w:eastAsia="es-SV"/>
              </w:rPr>
              <w:t>333</w:t>
            </w:r>
          </w:p>
        </w:tc>
        <w:tc>
          <w:tcPr>
            <w:tcW w:w="1106" w:type="dxa"/>
            <w:tcBorders>
              <w:top w:val="nil"/>
              <w:left w:val="nil"/>
              <w:bottom w:val="single" w:sz="8" w:space="0" w:color="AEAEAE"/>
              <w:right w:val="nil"/>
            </w:tcBorders>
            <w:shd w:val="clear" w:color="auto" w:fill="auto"/>
            <w:noWrap/>
            <w:vAlign w:val="center"/>
          </w:tcPr>
          <w:p w14:paraId="3B1F5279" w14:textId="617F006C" w:rsidR="006A3DBC" w:rsidRPr="002B7276" w:rsidRDefault="006A3DBC" w:rsidP="005F4A92">
            <w:pPr>
              <w:spacing w:after="0" w:line="240" w:lineRule="auto"/>
              <w:jc w:val="right"/>
              <w:rPr>
                <w:rFonts w:eastAsia="Times New Roman" w:cs="Arial"/>
                <w:b/>
                <w:bCs/>
                <w:sz w:val="22"/>
                <w:lang w:eastAsia="es-SV"/>
              </w:rPr>
            </w:pPr>
            <w:r w:rsidRPr="002B7276">
              <w:rPr>
                <w:rFonts w:cs="Arial"/>
                <w:b/>
                <w:bCs/>
                <w:sz w:val="22"/>
              </w:rPr>
              <w:t>11</w:t>
            </w:r>
            <w:r w:rsidR="007F4D40" w:rsidRPr="002B7276">
              <w:rPr>
                <w:rFonts w:cs="Arial"/>
                <w:b/>
                <w:bCs/>
                <w:sz w:val="22"/>
              </w:rPr>
              <w:t>,</w:t>
            </w:r>
            <w:r w:rsidRPr="002B7276">
              <w:rPr>
                <w:rFonts w:cs="Arial"/>
                <w:b/>
                <w:bCs/>
                <w:sz w:val="22"/>
              </w:rPr>
              <w:t>070</w:t>
            </w:r>
          </w:p>
        </w:tc>
      </w:tr>
      <w:tr w:rsidR="002B7276" w:rsidRPr="002B7276" w14:paraId="2EA91D9B" w14:textId="77777777" w:rsidTr="005F4A92">
        <w:trPr>
          <w:trHeight w:val="70"/>
          <w:jc w:val="center"/>
        </w:trPr>
        <w:tc>
          <w:tcPr>
            <w:tcW w:w="3067" w:type="dxa"/>
            <w:tcBorders>
              <w:top w:val="single" w:sz="8" w:space="0" w:color="AEAEAE"/>
              <w:left w:val="nil"/>
              <w:bottom w:val="nil"/>
              <w:right w:val="nil"/>
            </w:tcBorders>
            <w:shd w:val="clear" w:color="000000" w:fill="E0E0E0"/>
            <w:noWrap/>
            <w:hideMark/>
          </w:tcPr>
          <w:p w14:paraId="493464BF" w14:textId="77777777" w:rsidR="006A3DBC" w:rsidRPr="002B7276" w:rsidRDefault="006A3DBC" w:rsidP="005F4A92">
            <w:pPr>
              <w:spacing w:after="0" w:line="240" w:lineRule="auto"/>
              <w:rPr>
                <w:rFonts w:eastAsia="Times New Roman" w:cs="Arial"/>
                <w:sz w:val="22"/>
                <w:lang w:eastAsia="es-SV"/>
              </w:rPr>
            </w:pPr>
            <w:r w:rsidRPr="002B7276">
              <w:rPr>
                <w:rFonts w:cs="Arial"/>
                <w:sz w:val="22"/>
              </w:rPr>
              <w:t>No dispone</w:t>
            </w:r>
          </w:p>
        </w:tc>
        <w:tc>
          <w:tcPr>
            <w:tcW w:w="1672" w:type="dxa"/>
            <w:tcBorders>
              <w:top w:val="nil"/>
              <w:left w:val="nil"/>
              <w:bottom w:val="single" w:sz="8" w:space="0" w:color="AEAEAE"/>
              <w:right w:val="nil"/>
            </w:tcBorders>
            <w:shd w:val="clear" w:color="auto" w:fill="auto"/>
            <w:vAlign w:val="center"/>
          </w:tcPr>
          <w:p w14:paraId="7A09C07C" w14:textId="13E33A9E"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2</w:t>
            </w:r>
            <w:r w:rsidR="007F4D40" w:rsidRPr="002B7276">
              <w:rPr>
                <w:rFonts w:eastAsia="Times New Roman" w:cs="Arial"/>
                <w:sz w:val="22"/>
                <w:lang w:eastAsia="es-SV"/>
              </w:rPr>
              <w:t>,</w:t>
            </w:r>
            <w:r w:rsidRPr="002B7276">
              <w:rPr>
                <w:rFonts w:eastAsia="Times New Roman" w:cs="Arial"/>
                <w:sz w:val="22"/>
                <w:lang w:eastAsia="es-SV"/>
              </w:rPr>
              <w:t>421</w:t>
            </w:r>
          </w:p>
        </w:tc>
        <w:tc>
          <w:tcPr>
            <w:tcW w:w="1500" w:type="dxa"/>
            <w:tcBorders>
              <w:top w:val="nil"/>
              <w:left w:val="nil"/>
              <w:bottom w:val="single" w:sz="8" w:space="0" w:color="AEAEAE"/>
              <w:right w:val="nil"/>
            </w:tcBorders>
          </w:tcPr>
          <w:p w14:paraId="632A51BA" w14:textId="77777777" w:rsidR="006A3DBC" w:rsidRPr="002B7276" w:rsidRDefault="006A3DBC" w:rsidP="005F4A92">
            <w:pPr>
              <w:spacing w:after="0" w:line="240" w:lineRule="auto"/>
              <w:jc w:val="center"/>
              <w:rPr>
                <w:rFonts w:eastAsia="Times New Roman" w:cs="Arial"/>
                <w:sz w:val="22"/>
                <w:lang w:eastAsia="es-SV"/>
              </w:rPr>
            </w:pPr>
          </w:p>
        </w:tc>
        <w:tc>
          <w:tcPr>
            <w:tcW w:w="1500" w:type="dxa"/>
            <w:tcBorders>
              <w:top w:val="nil"/>
              <w:left w:val="nil"/>
              <w:bottom w:val="single" w:sz="8" w:space="0" w:color="AEAEAE"/>
              <w:right w:val="nil"/>
            </w:tcBorders>
            <w:shd w:val="clear" w:color="auto" w:fill="auto"/>
            <w:vAlign w:val="center"/>
          </w:tcPr>
          <w:p w14:paraId="698E2FFF" w14:textId="77777777"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0</w:t>
            </w:r>
          </w:p>
        </w:tc>
        <w:tc>
          <w:tcPr>
            <w:tcW w:w="1607" w:type="dxa"/>
            <w:tcBorders>
              <w:top w:val="nil"/>
              <w:left w:val="nil"/>
              <w:bottom w:val="single" w:sz="8" w:space="0" w:color="AEAEAE"/>
              <w:right w:val="nil"/>
            </w:tcBorders>
            <w:shd w:val="clear" w:color="auto" w:fill="auto"/>
            <w:vAlign w:val="center"/>
          </w:tcPr>
          <w:p w14:paraId="0ED44B44" w14:textId="77777777"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304</w:t>
            </w:r>
          </w:p>
        </w:tc>
        <w:tc>
          <w:tcPr>
            <w:tcW w:w="1106" w:type="dxa"/>
            <w:tcBorders>
              <w:top w:val="nil"/>
              <w:left w:val="nil"/>
              <w:bottom w:val="single" w:sz="8" w:space="0" w:color="AEAEAE"/>
              <w:right w:val="nil"/>
            </w:tcBorders>
            <w:shd w:val="clear" w:color="auto" w:fill="auto"/>
            <w:noWrap/>
            <w:vAlign w:val="center"/>
          </w:tcPr>
          <w:p w14:paraId="01582C53" w14:textId="3DC5D084" w:rsidR="006A3DBC" w:rsidRPr="002B7276" w:rsidRDefault="006A3DBC" w:rsidP="005F4A92">
            <w:pPr>
              <w:spacing w:after="0" w:line="240" w:lineRule="auto"/>
              <w:jc w:val="right"/>
              <w:rPr>
                <w:rFonts w:eastAsia="Times New Roman" w:cs="Arial"/>
                <w:b/>
                <w:bCs/>
                <w:sz w:val="22"/>
                <w:lang w:eastAsia="es-SV"/>
              </w:rPr>
            </w:pPr>
            <w:r w:rsidRPr="002B7276">
              <w:rPr>
                <w:rFonts w:cs="Arial"/>
                <w:b/>
                <w:bCs/>
                <w:sz w:val="22"/>
              </w:rPr>
              <w:t>2</w:t>
            </w:r>
            <w:r w:rsidR="007F4D40" w:rsidRPr="002B7276">
              <w:rPr>
                <w:rFonts w:cs="Arial"/>
                <w:b/>
                <w:bCs/>
                <w:sz w:val="22"/>
              </w:rPr>
              <w:t>,</w:t>
            </w:r>
            <w:r w:rsidRPr="002B7276">
              <w:rPr>
                <w:rFonts w:cs="Arial"/>
                <w:b/>
                <w:bCs/>
                <w:sz w:val="22"/>
              </w:rPr>
              <w:t>725</w:t>
            </w:r>
          </w:p>
        </w:tc>
      </w:tr>
      <w:tr w:rsidR="002B7276" w:rsidRPr="002B7276" w14:paraId="3BAECE22" w14:textId="77777777" w:rsidTr="005F4A92">
        <w:trPr>
          <w:trHeight w:val="70"/>
          <w:jc w:val="center"/>
        </w:trPr>
        <w:tc>
          <w:tcPr>
            <w:tcW w:w="3067" w:type="dxa"/>
            <w:tcBorders>
              <w:top w:val="single" w:sz="8" w:space="0" w:color="AEAEAE"/>
              <w:left w:val="nil"/>
              <w:bottom w:val="single" w:sz="8" w:space="0" w:color="AEAEAE"/>
              <w:right w:val="nil"/>
            </w:tcBorders>
            <w:shd w:val="clear" w:color="000000" w:fill="E0E0E0"/>
          </w:tcPr>
          <w:p w14:paraId="28E198A8" w14:textId="77777777" w:rsidR="006A3DBC" w:rsidRPr="002B7276" w:rsidRDefault="006A3DBC" w:rsidP="00424F53">
            <w:pPr>
              <w:spacing w:after="0" w:line="240" w:lineRule="auto"/>
              <w:jc w:val="center"/>
              <w:rPr>
                <w:rFonts w:cs="Arial"/>
                <w:b/>
                <w:bCs/>
                <w:sz w:val="22"/>
              </w:rPr>
            </w:pPr>
            <w:r w:rsidRPr="002B7276">
              <w:rPr>
                <w:rFonts w:cs="Arial"/>
                <w:b/>
                <w:bCs/>
                <w:sz w:val="22"/>
              </w:rPr>
              <w:t>Total</w:t>
            </w:r>
          </w:p>
        </w:tc>
        <w:tc>
          <w:tcPr>
            <w:tcW w:w="1672" w:type="dxa"/>
            <w:tcBorders>
              <w:top w:val="nil"/>
              <w:left w:val="nil"/>
              <w:bottom w:val="single" w:sz="8" w:space="0" w:color="AEAEAE"/>
              <w:right w:val="nil"/>
            </w:tcBorders>
            <w:shd w:val="clear" w:color="auto" w:fill="auto"/>
          </w:tcPr>
          <w:p w14:paraId="71AA1FBC" w14:textId="14DA58E4" w:rsidR="006A3DBC" w:rsidRPr="002B7276" w:rsidRDefault="006A3DBC" w:rsidP="005F4A92">
            <w:pPr>
              <w:spacing w:after="0" w:line="240" w:lineRule="auto"/>
              <w:jc w:val="center"/>
              <w:rPr>
                <w:rFonts w:eastAsia="Times New Roman" w:cs="Arial"/>
                <w:b/>
                <w:bCs/>
                <w:sz w:val="22"/>
                <w:lang w:eastAsia="es-SV"/>
              </w:rPr>
            </w:pPr>
            <w:r w:rsidRPr="002B7276">
              <w:rPr>
                <w:rFonts w:eastAsia="Times New Roman" w:cs="Arial"/>
                <w:b/>
                <w:bCs/>
                <w:sz w:val="22"/>
                <w:lang w:eastAsia="es-SV"/>
              </w:rPr>
              <w:t>133</w:t>
            </w:r>
            <w:r w:rsidR="007F4D40" w:rsidRPr="002B7276">
              <w:rPr>
                <w:rFonts w:eastAsia="Times New Roman" w:cs="Arial"/>
                <w:b/>
                <w:bCs/>
                <w:sz w:val="22"/>
                <w:lang w:eastAsia="es-SV"/>
              </w:rPr>
              <w:t>,</w:t>
            </w:r>
            <w:r w:rsidRPr="002B7276">
              <w:rPr>
                <w:rFonts w:eastAsia="Times New Roman" w:cs="Arial"/>
                <w:b/>
                <w:bCs/>
                <w:sz w:val="22"/>
                <w:lang w:eastAsia="es-SV"/>
              </w:rPr>
              <w:t>768</w:t>
            </w:r>
          </w:p>
        </w:tc>
        <w:tc>
          <w:tcPr>
            <w:tcW w:w="1500" w:type="dxa"/>
            <w:tcBorders>
              <w:top w:val="nil"/>
              <w:left w:val="nil"/>
              <w:bottom w:val="single" w:sz="8" w:space="0" w:color="AEAEAE"/>
              <w:right w:val="nil"/>
            </w:tcBorders>
          </w:tcPr>
          <w:p w14:paraId="2690686C" w14:textId="77777777" w:rsidR="006A3DBC" w:rsidRPr="002B7276" w:rsidRDefault="006A3DBC" w:rsidP="005F4A92">
            <w:pPr>
              <w:spacing w:after="0" w:line="240" w:lineRule="auto"/>
              <w:jc w:val="center"/>
              <w:rPr>
                <w:rFonts w:eastAsia="Times New Roman" w:cs="Arial"/>
                <w:b/>
                <w:bCs/>
                <w:sz w:val="22"/>
                <w:lang w:eastAsia="es-SV"/>
              </w:rPr>
            </w:pPr>
          </w:p>
        </w:tc>
        <w:tc>
          <w:tcPr>
            <w:tcW w:w="1500" w:type="dxa"/>
            <w:tcBorders>
              <w:top w:val="nil"/>
              <w:left w:val="nil"/>
              <w:bottom w:val="single" w:sz="8" w:space="0" w:color="AEAEAE"/>
              <w:right w:val="nil"/>
            </w:tcBorders>
            <w:shd w:val="clear" w:color="auto" w:fill="auto"/>
          </w:tcPr>
          <w:p w14:paraId="0D02AF82" w14:textId="590F2316" w:rsidR="006A3DBC" w:rsidRPr="002B7276" w:rsidRDefault="006A3DBC" w:rsidP="005F4A92">
            <w:pPr>
              <w:spacing w:after="0" w:line="240" w:lineRule="auto"/>
              <w:jc w:val="center"/>
              <w:rPr>
                <w:rFonts w:eastAsia="Times New Roman" w:cs="Arial"/>
                <w:b/>
                <w:bCs/>
                <w:sz w:val="22"/>
                <w:lang w:eastAsia="es-SV"/>
              </w:rPr>
            </w:pPr>
            <w:r w:rsidRPr="002B7276">
              <w:rPr>
                <w:rFonts w:eastAsia="Times New Roman" w:cs="Arial"/>
                <w:b/>
                <w:bCs/>
                <w:sz w:val="22"/>
                <w:lang w:eastAsia="es-SV"/>
              </w:rPr>
              <w:t>46</w:t>
            </w:r>
            <w:r w:rsidR="007F4D40" w:rsidRPr="002B7276">
              <w:rPr>
                <w:rFonts w:eastAsia="Times New Roman" w:cs="Arial"/>
                <w:b/>
                <w:bCs/>
                <w:sz w:val="22"/>
                <w:lang w:eastAsia="es-SV"/>
              </w:rPr>
              <w:t>,</w:t>
            </w:r>
            <w:r w:rsidRPr="002B7276">
              <w:rPr>
                <w:rFonts w:eastAsia="Times New Roman" w:cs="Arial"/>
                <w:b/>
                <w:bCs/>
                <w:sz w:val="22"/>
                <w:lang w:eastAsia="es-SV"/>
              </w:rPr>
              <w:t>955</w:t>
            </w:r>
          </w:p>
        </w:tc>
        <w:tc>
          <w:tcPr>
            <w:tcW w:w="1607" w:type="dxa"/>
            <w:tcBorders>
              <w:top w:val="nil"/>
              <w:left w:val="nil"/>
              <w:bottom w:val="single" w:sz="8" w:space="0" w:color="AEAEAE"/>
              <w:right w:val="nil"/>
            </w:tcBorders>
            <w:shd w:val="clear" w:color="auto" w:fill="auto"/>
          </w:tcPr>
          <w:p w14:paraId="3B13D183" w14:textId="733141E0" w:rsidR="006A3DBC" w:rsidRPr="002B7276" w:rsidRDefault="006A3DBC" w:rsidP="005F4A92">
            <w:pPr>
              <w:spacing w:after="0" w:line="240" w:lineRule="auto"/>
              <w:jc w:val="center"/>
              <w:rPr>
                <w:rFonts w:eastAsia="Times New Roman" w:cs="Arial"/>
                <w:b/>
                <w:bCs/>
                <w:sz w:val="22"/>
                <w:lang w:eastAsia="es-SV"/>
              </w:rPr>
            </w:pPr>
            <w:r w:rsidRPr="002B7276">
              <w:rPr>
                <w:rFonts w:eastAsia="Times New Roman" w:cs="Arial"/>
                <w:b/>
                <w:bCs/>
                <w:sz w:val="22"/>
                <w:lang w:eastAsia="es-SV"/>
              </w:rPr>
              <w:t>149</w:t>
            </w:r>
            <w:r w:rsidR="007F4D40" w:rsidRPr="002B7276">
              <w:rPr>
                <w:rFonts w:eastAsia="Times New Roman" w:cs="Arial"/>
                <w:b/>
                <w:bCs/>
                <w:sz w:val="22"/>
                <w:lang w:eastAsia="es-SV"/>
              </w:rPr>
              <w:t>,</w:t>
            </w:r>
            <w:r w:rsidRPr="002B7276">
              <w:rPr>
                <w:rFonts w:eastAsia="Times New Roman" w:cs="Arial"/>
                <w:b/>
                <w:bCs/>
                <w:sz w:val="22"/>
                <w:lang w:eastAsia="es-SV"/>
              </w:rPr>
              <w:t>192</w:t>
            </w:r>
          </w:p>
        </w:tc>
        <w:tc>
          <w:tcPr>
            <w:tcW w:w="1106" w:type="dxa"/>
            <w:tcBorders>
              <w:top w:val="nil"/>
              <w:left w:val="nil"/>
              <w:bottom w:val="single" w:sz="8" w:space="0" w:color="AEAEAE"/>
              <w:right w:val="nil"/>
            </w:tcBorders>
            <w:shd w:val="clear" w:color="auto" w:fill="auto"/>
            <w:noWrap/>
            <w:vAlign w:val="center"/>
          </w:tcPr>
          <w:p w14:paraId="02596CC7" w14:textId="7FE76E42" w:rsidR="006A3DBC" w:rsidRPr="002B7276" w:rsidRDefault="006A3DBC" w:rsidP="005F4A92">
            <w:pPr>
              <w:spacing w:after="0" w:line="240" w:lineRule="auto"/>
              <w:jc w:val="right"/>
              <w:rPr>
                <w:rFonts w:eastAsia="Times New Roman" w:cs="Arial"/>
                <w:b/>
                <w:bCs/>
                <w:sz w:val="22"/>
                <w:lang w:eastAsia="es-SV"/>
              </w:rPr>
            </w:pPr>
            <w:r w:rsidRPr="002B7276">
              <w:rPr>
                <w:rFonts w:cs="Arial"/>
                <w:b/>
                <w:bCs/>
                <w:sz w:val="22"/>
              </w:rPr>
              <w:t>329</w:t>
            </w:r>
            <w:r w:rsidR="007F4D40" w:rsidRPr="002B7276">
              <w:rPr>
                <w:rFonts w:cs="Arial"/>
                <w:b/>
                <w:bCs/>
                <w:sz w:val="22"/>
              </w:rPr>
              <w:t>,</w:t>
            </w:r>
            <w:r w:rsidRPr="002B7276">
              <w:rPr>
                <w:rFonts w:cs="Arial"/>
                <w:b/>
                <w:bCs/>
                <w:sz w:val="22"/>
              </w:rPr>
              <w:t>915</w:t>
            </w:r>
          </w:p>
        </w:tc>
      </w:tr>
    </w:tbl>
    <w:p w14:paraId="3C26BEE7" w14:textId="77777777" w:rsidR="006A3DBC" w:rsidRPr="00FA4B2D" w:rsidRDefault="006A3DBC" w:rsidP="006A3DBC">
      <w:pPr>
        <w:jc w:val="center"/>
        <w:rPr>
          <w:rFonts w:cs="Arial"/>
          <w:sz w:val="20"/>
          <w:szCs w:val="20"/>
        </w:rPr>
      </w:pPr>
      <w:r w:rsidRPr="00FA4B2D">
        <w:rPr>
          <w:rFonts w:cs="Arial"/>
          <w:b/>
          <w:bCs/>
          <w:sz w:val="20"/>
          <w:szCs w:val="20"/>
        </w:rPr>
        <w:t>Fuente</w:t>
      </w:r>
      <w:r w:rsidRPr="00FA4B2D">
        <w:rPr>
          <w:rFonts w:cs="Arial"/>
          <w:sz w:val="20"/>
          <w:szCs w:val="20"/>
        </w:rPr>
        <w:t>: elaboración propia con base a datos de la EHPM 2019.</w:t>
      </w:r>
    </w:p>
    <w:p w14:paraId="35767883" w14:textId="77777777" w:rsidR="006A3DBC" w:rsidRPr="00FA4B2D" w:rsidRDefault="006A3DBC" w:rsidP="00411720">
      <w:pPr>
        <w:pStyle w:val="Prrafodelista"/>
        <w:numPr>
          <w:ilvl w:val="0"/>
          <w:numId w:val="101"/>
        </w:numPr>
        <w:rPr>
          <w:rFonts w:cs="Arial"/>
          <w:i/>
          <w:iCs/>
          <w:szCs w:val="24"/>
        </w:rPr>
      </w:pPr>
      <w:bookmarkStart w:id="699" w:name="_Toc87207756"/>
      <w:bookmarkStart w:id="700" w:name="_Toc156586911"/>
      <w:r w:rsidRPr="00FA4B2D">
        <w:rPr>
          <w:rFonts w:cs="Arial"/>
          <w:i/>
          <w:iCs/>
          <w:szCs w:val="24"/>
        </w:rPr>
        <w:lastRenderedPageBreak/>
        <w:t>Recolección de desechos solidos</w:t>
      </w:r>
      <w:bookmarkEnd w:id="699"/>
      <w:bookmarkEnd w:id="700"/>
      <w:r w:rsidRPr="00FA4B2D">
        <w:rPr>
          <w:rFonts w:cs="Arial"/>
          <w:i/>
          <w:iCs/>
          <w:szCs w:val="24"/>
        </w:rPr>
        <w:t xml:space="preserve"> </w:t>
      </w:r>
    </w:p>
    <w:p w14:paraId="1CFA1634" w14:textId="77777777" w:rsidR="006A3DBC" w:rsidRPr="00FA4B2D" w:rsidRDefault="006A3DBC" w:rsidP="006A3DBC">
      <w:pPr>
        <w:jc w:val="both"/>
        <w:rPr>
          <w:rFonts w:cs="Arial"/>
          <w:bCs/>
        </w:rPr>
      </w:pPr>
      <w:bookmarkStart w:id="701" w:name="_Toc87207757"/>
      <w:r w:rsidRPr="00FA4B2D">
        <w:rPr>
          <w:rFonts w:cs="Arial"/>
          <w:bCs/>
        </w:rPr>
        <w:t>En cuanto al método de eliminación de la basura en la vivienda por área geográfica, es mayormente a nivel del área urbana, la quema es una de las prácticas con mayor incidencia a nivel de todos los departamentos, seguida por la recolección domiciliaria pública, principalmente. Los resultados desagregados se muestran en la tabla a continuación:</w:t>
      </w:r>
    </w:p>
    <w:p w14:paraId="456F0673" w14:textId="43205E00" w:rsidR="00EF7331" w:rsidRDefault="00EF7331" w:rsidP="00EF7331">
      <w:pPr>
        <w:pStyle w:val="Descripcin"/>
        <w:keepNext/>
      </w:pPr>
      <w:bookmarkStart w:id="702" w:name="_Toc202455459"/>
      <w:r>
        <w:t xml:space="preserve">Tabla </w:t>
      </w:r>
      <w:r>
        <w:fldChar w:fldCharType="begin"/>
      </w:r>
      <w:r>
        <w:instrText xml:space="preserve"> SEQ Tabla \* ARABIC </w:instrText>
      </w:r>
      <w:r>
        <w:fldChar w:fldCharType="separate"/>
      </w:r>
      <w:r w:rsidR="000E6D86">
        <w:rPr>
          <w:noProof/>
        </w:rPr>
        <w:t>33</w:t>
      </w:r>
      <w:r>
        <w:fldChar w:fldCharType="end"/>
      </w:r>
      <w:r>
        <w:t xml:space="preserve">: </w:t>
      </w:r>
      <w:r w:rsidRPr="00206F18">
        <w:t>Métodos de eliminación de desechos (basura) en las viviendas</w:t>
      </w:r>
      <w:bookmarkEnd w:id="702"/>
    </w:p>
    <w:tbl>
      <w:tblPr>
        <w:tblW w:w="9663" w:type="dxa"/>
        <w:tblCellMar>
          <w:left w:w="70" w:type="dxa"/>
          <w:right w:w="70" w:type="dxa"/>
        </w:tblCellMar>
        <w:tblLook w:val="04A0" w:firstRow="1" w:lastRow="0" w:firstColumn="1" w:lastColumn="0" w:noHBand="0" w:noVBand="1"/>
      </w:tblPr>
      <w:tblGrid>
        <w:gridCol w:w="2977"/>
        <w:gridCol w:w="1101"/>
        <w:gridCol w:w="1814"/>
        <w:gridCol w:w="1838"/>
        <w:gridCol w:w="1933"/>
      </w:tblGrid>
      <w:tr w:rsidR="002B7276" w:rsidRPr="002B7276" w14:paraId="14C7FEB0" w14:textId="77777777" w:rsidTr="00EF7331">
        <w:trPr>
          <w:trHeight w:val="243"/>
          <w:tblHeader/>
        </w:trPr>
        <w:tc>
          <w:tcPr>
            <w:tcW w:w="2977" w:type="dxa"/>
            <w:tcBorders>
              <w:top w:val="single" w:sz="8" w:space="0" w:color="AEAEAE"/>
              <w:left w:val="nil"/>
              <w:bottom w:val="nil"/>
              <w:right w:val="nil"/>
            </w:tcBorders>
            <w:shd w:val="clear" w:color="auto" w:fill="5CC5DA"/>
            <w:vAlign w:val="center"/>
            <w:hideMark/>
          </w:tcPr>
          <w:bookmarkEnd w:id="701"/>
          <w:p w14:paraId="4066C2DE" w14:textId="77777777" w:rsidR="006A3DBC" w:rsidRPr="002B7276" w:rsidRDefault="006A3DBC" w:rsidP="005F4A92">
            <w:pPr>
              <w:spacing w:after="0" w:line="240" w:lineRule="auto"/>
              <w:jc w:val="center"/>
              <w:rPr>
                <w:rFonts w:eastAsia="Times New Roman" w:cs="Arial"/>
                <w:b/>
                <w:sz w:val="22"/>
                <w:lang w:eastAsia="es-SV"/>
              </w:rPr>
            </w:pPr>
            <w:r w:rsidRPr="002B7276">
              <w:rPr>
                <w:rFonts w:eastAsia="Times New Roman" w:cs="Arial"/>
                <w:b/>
                <w:sz w:val="22"/>
                <w:lang w:eastAsia="es-SV"/>
              </w:rPr>
              <w:t>Métodos</w:t>
            </w:r>
          </w:p>
        </w:tc>
        <w:tc>
          <w:tcPr>
            <w:tcW w:w="1101" w:type="dxa"/>
            <w:tcBorders>
              <w:top w:val="single" w:sz="8" w:space="0" w:color="AEAEAE"/>
              <w:left w:val="nil"/>
              <w:bottom w:val="single" w:sz="8" w:space="0" w:color="AEAEAE"/>
              <w:right w:val="nil"/>
            </w:tcBorders>
            <w:shd w:val="clear" w:color="auto" w:fill="5CC5DA"/>
            <w:vAlign w:val="center"/>
            <w:hideMark/>
          </w:tcPr>
          <w:p w14:paraId="414E82C2" w14:textId="77777777" w:rsidR="006A3DBC" w:rsidRPr="002B7276" w:rsidRDefault="006A3DBC" w:rsidP="005F4A92">
            <w:pPr>
              <w:spacing w:after="0" w:line="240" w:lineRule="auto"/>
              <w:jc w:val="center"/>
              <w:rPr>
                <w:rFonts w:eastAsia="Times New Roman" w:cs="Arial"/>
                <w:b/>
                <w:bCs/>
                <w:sz w:val="22"/>
                <w:lang w:eastAsia="es-SV"/>
              </w:rPr>
            </w:pPr>
            <w:r w:rsidRPr="002B7276">
              <w:rPr>
                <w:rFonts w:eastAsia="Times New Roman" w:cs="Arial"/>
                <w:b/>
                <w:bCs/>
                <w:sz w:val="22"/>
                <w:lang w:eastAsia="es-SV"/>
              </w:rPr>
              <w:t>Olancho</w:t>
            </w:r>
          </w:p>
        </w:tc>
        <w:tc>
          <w:tcPr>
            <w:tcW w:w="1814" w:type="dxa"/>
            <w:tcBorders>
              <w:top w:val="single" w:sz="8" w:space="0" w:color="AEAEAE"/>
              <w:left w:val="nil"/>
              <w:bottom w:val="single" w:sz="8" w:space="0" w:color="AEAEAE"/>
              <w:right w:val="nil"/>
            </w:tcBorders>
            <w:shd w:val="clear" w:color="auto" w:fill="5CC5DA"/>
            <w:vAlign w:val="center"/>
            <w:hideMark/>
          </w:tcPr>
          <w:p w14:paraId="7BFB2A95" w14:textId="77777777" w:rsidR="006A3DBC" w:rsidRPr="002B7276" w:rsidRDefault="006A3DBC" w:rsidP="005F4A92">
            <w:pPr>
              <w:spacing w:after="0" w:line="240" w:lineRule="auto"/>
              <w:jc w:val="center"/>
              <w:rPr>
                <w:rFonts w:eastAsia="Times New Roman" w:cs="Arial"/>
                <w:b/>
                <w:bCs/>
                <w:sz w:val="22"/>
                <w:lang w:eastAsia="es-SV"/>
              </w:rPr>
            </w:pPr>
            <w:r w:rsidRPr="002B7276">
              <w:rPr>
                <w:rFonts w:eastAsia="Times New Roman" w:cs="Arial"/>
                <w:b/>
                <w:bCs/>
                <w:sz w:val="22"/>
                <w:lang w:eastAsia="es-SV"/>
              </w:rPr>
              <w:t>Valle</w:t>
            </w:r>
          </w:p>
        </w:tc>
        <w:tc>
          <w:tcPr>
            <w:tcW w:w="1838" w:type="dxa"/>
            <w:tcBorders>
              <w:top w:val="single" w:sz="8" w:space="0" w:color="AEAEAE"/>
              <w:left w:val="nil"/>
              <w:bottom w:val="single" w:sz="8" w:space="0" w:color="AEAEAE"/>
              <w:right w:val="nil"/>
            </w:tcBorders>
            <w:shd w:val="clear" w:color="auto" w:fill="5CC5DA"/>
            <w:vAlign w:val="center"/>
            <w:hideMark/>
          </w:tcPr>
          <w:p w14:paraId="6D9D9BB9" w14:textId="77777777" w:rsidR="006A3DBC" w:rsidRPr="002B7276" w:rsidRDefault="006A3DBC" w:rsidP="005F4A92">
            <w:pPr>
              <w:spacing w:after="0" w:line="240" w:lineRule="auto"/>
              <w:jc w:val="center"/>
              <w:rPr>
                <w:rFonts w:eastAsia="Times New Roman" w:cs="Arial"/>
                <w:b/>
                <w:bCs/>
                <w:sz w:val="22"/>
                <w:lang w:eastAsia="es-SV"/>
              </w:rPr>
            </w:pPr>
            <w:r w:rsidRPr="002B7276">
              <w:rPr>
                <w:rFonts w:eastAsia="Times New Roman" w:cs="Arial"/>
                <w:b/>
                <w:bCs/>
                <w:sz w:val="22"/>
                <w:lang w:eastAsia="es-SV"/>
              </w:rPr>
              <w:t>Yoro</w:t>
            </w:r>
          </w:p>
        </w:tc>
        <w:tc>
          <w:tcPr>
            <w:tcW w:w="1933" w:type="dxa"/>
            <w:tcBorders>
              <w:top w:val="single" w:sz="8" w:space="0" w:color="AEAEAE"/>
              <w:left w:val="nil"/>
              <w:bottom w:val="single" w:sz="8" w:space="0" w:color="AEAEAE"/>
              <w:right w:val="nil"/>
            </w:tcBorders>
            <w:shd w:val="clear" w:color="auto" w:fill="5CC5DA"/>
            <w:noWrap/>
            <w:vAlign w:val="center"/>
            <w:hideMark/>
          </w:tcPr>
          <w:p w14:paraId="526C0350" w14:textId="77777777" w:rsidR="006A3DBC" w:rsidRPr="002B7276" w:rsidRDefault="006A3DBC" w:rsidP="003639EA">
            <w:pPr>
              <w:spacing w:after="0" w:line="240" w:lineRule="auto"/>
              <w:jc w:val="center"/>
              <w:rPr>
                <w:rFonts w:eastAsia="Times New Roman" w:cs="Arial"/>
                <w:b/>
                <w:bCs/>
                <w:sz w:val="22"/>
                <w:lang w:eastAsia="es-SV"/>
              </w:rPr>
            </w:pPr>
            <w:r w:rsidRPr="002B7276">
              <w:rPr>
                <w:rFonts w:eastAsia="Times New Roman" w:cs="Arial"/>
                <w:b/>
                <w:bCs/>
                <w:sz w:val="22"/>
                <w:lang w:eastAsia="es-SV"/>
              </w:rPr>
              <w:t>Total</w:t>
            </w:r>
          </w:p>
        </w:tc>
      </w:tr>
      <w:tr w:rsidR="002B7276" w:rsidRPr="002B7276" w14:paraId="03D01668" w14:textId="77777777" w:rsidTr="00EF7331">
        <w:trPr>
          <w:trHeight w:val="382"/>
        </w:trPr>
        <w:tc>
          <w:tcPr>
            <w:tcW w:w="2977" w:type="dxa"/>
            <w:tcBorders>
              <w:top w:val="single" w:sz="8" w:space="0" w:color="AEAEAE"/>
              <w:left w:val="nil"/>
              <w:bottom w:val="nil"/>
              <w:right w:val="nil"/>
            </w:tcBorders>
            <w:shd w:val="clear" w:color="000000" w:fill="E0E0E0"/>
            <w:vAlign w:val="center"/>
            <w:hideMark/>
          </w:tcPr>
          <w:p w14:paraId="57826B9F" w14:textId="77777777" w:rsidR="006A3DBC" w:rsidRPr="002B7276" w:rsidRDefault="006A3DBC" w:rsidP="00F118B2">
            <w:pPr>
              <w:spacing w:after="0" w:line="240" w:lineRule="auto"/>
              <w:jc w:val="both"/>
              <w:rPr>
                <w:rFonts w:eastAsia="Times New Roman" w:cs="Arial"/>
                <w:sz w:val="22"/>
                <w:lang w:eastAsia="es-SV"/>
              </w:rPr>
            </w:pPr>
            <w:r w:rsidRPr="002B7276">
              <w:rPr>
                <w:rFonts w:eastAsia="Times New Roman" w:cs="Arial"/>
                <w:sz w:val="22"/>
                <w:lang w:eastAsia="es-SV"/>
              </w:rPr>
              <w:t>La quema</w:t>
            </w:r>
          </w:p>
        </w:tc>
        <w:tc>
          <w:tcPr>
            <w:tcW w:w="1101" w:type="dxa"/>
            <w:tcBorders>
              <w:top w:val="nil"/>
              <w:left w:val="nil"/>
              <w:bottom w:val="single" w:sz="8" w:space="0" w:color="AEAEAE"/>
              <w:right w:val="nil"/>
            </w:tcBorders>
            <w:shd w:val="clear" w:color="auto" w:fill="auto"/>
            <w:vAlign w:val="center"/>
            <w:hideMark/>
          </w:tcPr>
          <w:p w14:paraId="416789C1" w14:textId="3E0E31C1"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86</w:t>
            </w:r>
            <w:r w:rsidR="006E6A16" w:rsidRPr="002B7276">
              <w:rPr>
                <w:rFonts w:eastAsia="Times New Roman" w:cs="Arial"/>
                <w:sz w:val="22"/>
                <w:lang w:eastAsia="es-SV"/>
              </w:rPr>
              <w:t>,</w:t>
            </w:r>
            <w:r w:rsidRPr="002B7276">
              <w:rPr>
                <w:rFonts w:eastAsia="Times New Roman" w:cs="Arial"/>
                <w:sz w:val="22"/>
                <w:lang w:eastAsia="es-SV"/>
              </w:rPr>
              <w:t>499</w:t>
            </w:r>
          </w:p>
        </w:tc>
        <w:tc>
          <w:tcPr>
            <w:tcW w:w="1814" w:type="dxa"/>
            <w:tcBorders>
              <w:top w:val="nil"/>
              <w:left w:val="nil"/>
              <w:bottom w:val="single" w:sz="8" w:space="0" w:color="AEAEAE"/>
              <w:right w:val="nil"/>
            </w:tcBorders>
            <w:shd w:val="clear" w:color="auto" w:fill="auto"/>
            <w:vAlign w:val="center"/>
            <w:hideMark/>
          </w:tcPr>
          <w:p w14:paraId="3C1C8688" w14:textId="3E1454B6"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31</w:t>
            </w:r>
            <w:r w:rsidR="006E6A16" w:rsidRPr="002B7276">
              <w:rPr>
                <w:rFonts w:eastAsia="Times New Roman" w:cs="Arial"/>
                <w:sz w:val="22"/>
                <w:lang w:eastAsia="es-SV"/>
              </w:rPr>
              <w:t>,</w:t>
            </w:r>
            <w:r w:rsidRPr="002B7276">
              <w:rPr>
                <w:rFonts w:eastAsia="Times New Roman" w:cs="Arial"/>
                <w:sz w:val="22"/>
                <w:lang w:eastAsia="es-SV"/>
              </w:rPr>
              <w:t>887</w:t>
            </w:r>
          </w:p>
        </w:tc>
        <w:tc>
          <w:tcPr>
            <w:tcW w:w="1838" w:type="dxa"/>
            <w:tcBorders>
              <w:top w:val="nil"/>
              <w:left w:val="nil"/>
              <w:bottom w:val="single" w:sz="8" w:space="0" w:color="AEAEAE"/>
              <w:right w:val="nil"/>
            </w:tcBorders>
            <w:shd w:val="clear" w:color="auto" w:fill="auto"/>
            <w:vAlign w:val="center"/>
            <w:hideMark/>
          </w:tcPr>
          <w:p w14:paraId="2D61EBF2" w14:textId="7B55178C"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77</w:t>
            </w:r>
            <w:r w:rsidR="006E6A16" w:rsidRPr="002B7276">
              <w:rPr>
                <w:rFonts w:eastAsia="Times New Roman" w:cs="Arial"/>
                <w:sz w:val="22"/>
                <w:lang w:eastAsia="es-SV"/>
              </w:rPr>
              <w:t>,</w:t>
            </w:r>
            <w:r w:rsidRPr="002B7276">
              <w:rPr>
                <w:rFonts w:eastAsia="Times New Roman" w:cs="Arial"/>
                <w:sz w:val="22"/>
                <w:lang w:eastAsia="es-SV"/>
              </w:rPr>
              <w:t>656</w:t>
            </w:r>
          </w:p>
        </w:tc>
        <w:tc>
          <w:tcPr>
            <w:tcW w:w="1933" w:type="dxa"/>
            <w:tcBorders>
              <w:top w:val="nil"/>
              <w:left w:val="nil"/>
              <w:bottom w:val="single" w:sz="8" w:space="0" w:color="AEAEAE"/>
              <w:right w:val="nil"/>
            </w:tcBorders>
            <w:shd w:val="clear" w:color="auto" w:fill="auto"/>
            <w:noWrap/>
            <w:vAlign w:val="center"/>
            <w:hideMark/>
          </w:tcPr>
          <w:p w14:paraId="20A562E8" w14:textId="49124499" w:rsidR="006A3DBC" w:rsidRPr="002B7276" w:rsidRDefault="006A3DBC" w:rsidP="003639EA">
            <w:pPr>
              <w:spacing w:after="0" w:line="240" w:lineRule="auto"/>
              <w:jc w:val="center"/>
              <w:rPr>
                <w:rFonts w:eastAsia="Times New Roman" w:cs="Arial"/>
                <w:sz w:val="22"/>
                <w:lang w:eastAsia="es-SV"/>
              </w:rPr>
            </w:pPr>
            <w:r w:rsidRPr="002B7276">
              <w:rPr>
                <w:rFonts w:eastAsia="Times New Roman" w:cs="Arial"/>
                <w:sz w:val="22"/>
                <w:lang w:eastAsia="es-SV"/>
              </w:rPr>
              <w:t>196</w:t>
            </w:r>
            <w:r w:rsidR="006E6A16" w:rsidRPr="002B7276">
              <w:rPr>
                <w:rFonts w:eastAsia="Times New Roman" w:cs="Arial"/>
                <w:sz w:val="22"/>
                <w:lang w:eastAsia="es-SV"/>
              </w:rPr>
              <w:t>,</w:t>
            </w:r>
            <w:r w:rsidRPr="002B7276">
              <w:rPr>
                <w:rFonts w:eastAsia="Times New Roman" w:cs="Arial"/>
                <w:sz w:val="22"/>
                <w:lang w:eastAsia="es-SV"/>
              </w:rPr>
              <w:t>042</w:t>
            </w:r>
          </w:p>
        </w:tc>
      </w:tr>
      <w:tr w:rsidR="002B7276" w:rsidRPr="002B7276" w14:paraId="3A65CDA3" w14:textId="77777777" w:rsidTr="00EF7331">
        <w:trPr>
          <w:trHeight w:val="938"/>
        </w:trPr>
        <w:tc>
          <w:tcPr>
            <w:tcW w:w="2977" w:type="dxa"/>
            <w:tcBorders>
              <w:top w:val="single" w:sz="8" w:space="0" w:color="AEAEAE"/>
              <w:left w:val="nil"/>
              <w:bottom w:val="nil"/>
              <w:right w:val="nil"/>
            </w:tcBorders>
            <w:shd w:val="clear" w:color="000000" w:fill="E0E0E0"/>
            <w:vAlign w:val="center"/>
            <w:hideMark/>
          </w:tcPr>
          <w:p w14:paraId="60F84921" w14:textId="77777777" w:rsidR="006A3DBC" w:rsidRPr="002B7276" w:rsidRDefault="006A3DBC" w:rsidP="00F118B2">
            <w:pPr>
              <w:spacing w:after="0" w:line="240" w:lineRule="auto"/>
              <w:jc w:val="both"/>
              <w:rPr>
                <w:rFonts w:eastAsia="Times New Roman" w:cs="Arial"/>
                <w:sz w:val="22"/>
                <w:lang w:eastAsia="es-SV"/>
              </w:rPr>
            </w:pPr>
            <w:r w:rsidRPr="002B7276">
              <w:rPr>
                <w:rFonts w:eastAsia="Times New Roman" w:cs="Arial"/>
                <w:sz w:val="22"/>
                <w:lang w:eastAsia="es-SV"/>
              </w:rPr>
              <w:t>Recolección domiciliaria pública</w:t>
            </w:r>
          </w:p>
        </w:tc>
        <w:tc>
          <w:tcPr>
            <w:tcW w:w="1101" w:type="dxa"/>
            <w:tcBorders>
              <w:top w:val="nil"/>
              <w:left w:val="nil"/>
              <w:bottom w:val="single" w:sz="8" w:space="0" w:color="AEAEAE"/>
              <w:right w:val="nil"/>
            </w:tcBorders>
            <w:shd w:val="clear" w:color="auto" w:fill="auto"/>
            <w:vAlign w:val="center"/>
            <w:hideMark/>
          </w:tcPr>
          <w:p w14:paraId="301A5D6B" w14:textId="6C0CCD1A"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33</w:t>
            </w:r>
            <w:r w:rsidR="006E6A16" w:rsidRPr="002B7276">
              <w:rPr>
                <w:rFonts w:eastAsia="Times New Roman" w:cs="Arial"/>
                <w:sz w:val="22"/>
                <w:lang w:eastAsia="es-SV"/>
              </w:rPr>
              <w:t>,</w:t>
            </w:r>
            <w:r w:rsidRPr="002B7276">
              <w:rPr>
                <w:rFonts w:eastAsia="Times New Roman" w:cs="Arial"/>
                <w:sz w:val="22"/>
                <w:lang w:eastAsia="es-SV"/>
              </w:rPr>
              <w:t>485</w:t>
            </w:r>
          </w:p>
        </w:tc>
        <w:tc>
          <w:tcPr>
            <w:tcW w:w="1814" w:type="dxa"/>
            <w:tcBorders>
              <w:top w:val="nil"/>
              <w:left w:val="nil"/>
              <w:bottom w:val="single" w:sz="8" w:space="0" w:color="AEAEAE"/>
              <w:right w:val="nil"/>
            </w:tcBorders>
            <w:shd w:val="clear" w:color="auto" w:fill="auto"/>
            <w:vAlign w:val="center"/>
            <w:hideMark/>
          </w:tcPr>
          <w:p w14:paraId="7E7E90F5" w14:textId="6F524222"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9</w:t>
            </w:r>
            <w:r w:rsidR="006E6A16" w:rsidRPr="002B7276">
              <w:rPr>
                <w:rFonts w:eastAsia="Times New Roman" w:cs="Arial"/>
                <w:sz w:val="22"/>
                <w:lang w:eastAsia="es-SV"/>
              </w:rPr>
              <w:t>,</w:t>
            </w:r>
            <w:r w:rsidRPr="002B7276">
              <w:rPr>
                <w:rFonts w:eastAsia="Times New Roman" w:cs="Arial"/>
                <w:sz w:val="22"/>
                <w:lang w:eastAsia="es-SV"/>
              </w:rPr>
              <w:t>878</w:t>
            </w:r>
          </w:p>
        </w:tc>
        <w:tc>
          <w:tcPr>
            <w:tcW w:w="1838" w:type="dxa"/>
            <w:tcBorders>
              <w:top w:val="nil"/>
              <w:left w:val="nil"/>
              <w:bottom w:val="single" w:sz="8" w:space="0" w:color="AEAEAE"/>
              <w:right w:val="nil"/>
            </w:tcBorders>
            <w:shd w:val="clear" w:color="auto" w:fill="auto"/>
            <w:vAlign w:val="center"/>
            <w:hideMark/>
          </w:tcPr>
          <w:p w14:paraId="588C04F5" w14:textId="2C781035"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50</w:t>
            </w:r>
            <w:r w:rsidR="006E6A16" w:rsidRPr="002B7276">
              <w:rPr>
                <w:rFonts w:eastAsia="Times New Roman" w:cs="Arial"/>
                <w:sz w:val="22"/>
                <w:lang w:eastAsia="es-SV"/>
              </w:rPr>
              <w:t>,</w:t>
            </w:r>
            <w:r w:rsidRPr="002B7276">
              <w:rPr>
                <w:rFonts w:eastAsia="Times New Roman" w:cs="Arial"/>
                <w:sz w:val="22"/>
                <w:lang w:eastAsia="es-SV"/>
              </w:rPr>
              <w:t>535</w:t>
            </w:r>
          </w:p>
        </w:tc>
        <w:tc>
          <w:tcPr>
            <w:tcW w:w="1933" w:type="dxa"/>
            <w:tcBorders>
              <w:top w:val="nil"/>
              <w:left w:val="nil"/>
              <w:bottom w:val="single" w:sz="8" w:space="0" w:color="AEAEAE"/>
              <w:right w:val="nil"/>
            </w:tcBorders>
            <w:shd w:val="clear" w:color="auto" w:fill="auto"/>
            <w:noWrap/>
            <w:vAlign w:val="center"/>
            <w:hideMark/>
          </w:tcPr>
          <w:p w14:paraId="0EA711E2" w14:textId="51702115" w:rsidR="006A3DBC" w:rsidRPr="002B7276" w:rsidRDefault="006A3DBC" w:rsidP="003639EA">
            <w:pPr>
              <w:spacing w:after="0" w:line="240" w:lineRule="auto"/>
              <w:jc w:val="center"/>
              <w:rPr>
                <w:rFonts w:eastAsia="Times New Roman" w:cs="Arial"/>
                <w:sz w:val="22"/>
                <w:lang w:eastAsia="es-SV"/>
              </w:rPr>
            </w:pPr>
            <w:r w:rsidRPr="002B7276">
              <w:rPr>
                <w:rFonts w:eastAsia="Times New Roman" w:cs="Arial"/>
                <w:sz w:val="22"/>
                <w:lang w:eastAsia="es-SV"/>
              </w:rPr>
              <w:t>93</w:t>
            </w:r>
            <w:r w:rsidR="006E6A16" w:rsidRPr="002B7276">
              <w:rPr>
                <w:rFonts w:eastAsia="Times New Roman" w:cs="Arial"/>
                <w:sz w:val="22"/>
                <w:lang w:eastAsia="es-SV"/>
              </w:rPr>
              <w:t>,</w:t>
            </w:r>
            <w:r w:rsidRPr="002B7276">
              <w:rPr>
                <w:rFonts w:eastAsia="Times New Roman" w:cs="Arial"/>
                <w:sz w:val="22"/>
                <w:lang w:eastAsia="es-SV"/>
              </w:rPr>
              <w:t>898</w:t>
            </w:r>
          </w:p>
        </w:tc>
      </w:tr>
      <w:tr w:rsidR="002B7276" w:rsidRPr="002B7276" w14:paraId="15A8CE32" w14:textId="77777777" w:rsidTr="00EF7331">
        <w:trPr>
          <w:trHeight w:val="706"/>
        </w:trPr>
        <w:tc>
          <w:tcPr>
            <w:tcW w:w="2977" w:type="dxa"/>
            <w:tcBorders>
              <w:top w:val="single" w:sz="8" w:space="0" w:color="AEAEAE"/>
              <w:left w:val="nil"/>
              <w:bottom w:val="nil"/>
              <w:right w:val="nil"/>
            </w:tcBorders>
            <w:shd w:val="clear" w:color="000000" w:fill="E0E0E0"/>
            <w:vAlign w:val="center"/>
            <w:hideMark/>
          </w:tcPr>
          <w:p w14:paraId="6E8ECB71" w14:textId="77777777" w:rsidR="006A3DBC" w:rsidRPr="002B7276" w:rsidRDefault="006A3DBC" w:rsidP="00F118B2">
            <w:pPr>
              <w:spacing w:after="0" w:line="240" w:lineRule="auto"/>
              <w:jc w:val="both"/>
              <w:rPr>
                <w:rFonts w:eastAsia="Times New Roman" w:cs="Arial"/>
                <w:sz w:val="22"/>
                <w:lang w:eastAsia="es-SV"/>
              </w:rPr>
            </w:pPr>
            <w:r w:rsidRPr="002B7276">
              <w:rPr>
                <w:rFonts w:eastAsia="Times New Roman" w:cs="Arial"/>
                <w:sz w:val="22"/>
                <w:lang w:eastAsia="es-SV"/>
              </w:rPr>
              <w:t>La tira en cualquier lugar</w:t>
            </w:r>
          </w:p>
        </w:tc>
        <w:tc>
          <w:tcPr>
            <w:tcW w:w="1101" w:type="dxa"/>
            <w:tcBorders>
              <w:top w:val="nil"/>
              <w:left w:val="nil"/>
              <w:bottom w:val="single" w:sz="8" w:space="0" w:color="AEAEAE"/>
              <w:right w:val="nil"/>
            </w:tcBorders>
            <w:shd w:val="clear" w:color="auto" w:fill="auto"/>
            <w:vAlign w:val="center"/>
            <w:hideMark/>
          </w:tcPr>
          <w:p w14:paraId="771F9719" w14:textId="0562D943"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5</w:t>
            </w:r>
            <w:r w:rsidR="006E6A16" w:rsidRPr="002B7276">
              <w:rPr>
                <w:rFonts w:eastAsia="Times New Roman" w:cs="Arial"/>
                <w:sz w:val="22"/>
                <w:lang w:eastAsia="es-SV"/>
              </w:rPr>
              <w:t>,</w:t>
            </w:r>
            <w:r w:rsidRPr="002B7276">
              <w:rPr>
                <w:rFonts w:eastAsia="Times New Roman" w:cs="Arial"/>
                <w:sz w:val="22"/>
                <w:lang w:eastAsia="es-SV"/>
              </w:rPr>
              <w:t>553</w:t>
            </w:r>
          </w:p>
        </w:tc>
        <w:tc>
          <w:tcPr>
            <w:tcW w:w="1814" w:type="dxa"/>
            <w:tcBorders>
              <w:top w:val="nil"/>
              <w:left w:val="nil"/>
              <w:bottom w:val="single" w:sz="8" w:space="0" w:color="AEAEAE"/>
              <w:right w:val="nil"/>
            </w:tcBorders>
            <w:shd w:val="clear" w:color="auto" w:fill="auto"/>
            <w:vAlign w:val="center"/>
            <w:hideMark/>
          </w:tcPr>
          <w:p w14:paraId="11F48D66" w14:textId="2173633E"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1</w:t>
            </w:r>
            <w:r w:rsidR="006E6A16" w:rsidRPr="002B7276">
              <w:rPr>
                <w:rFonts w:eastAsia="Times New Roman" w:cs="Arial"/>
                <w:sz w:val="22"/>
                <w:lang w:eastAsia="es-SV"/>
              </w:rPr>
              <w:t>,</w:t>
            </w:r>
            <w:r w:rsidRPr="002B7276">
              <w:rPr>
                <w:rFonts w:eastAsia="Times New Roman" w:cs="Arial"/>
                <w:sz w:val="22"/>
                <w:lang w:eastAsia="es-SV"/>
              </w:rPr>
              <w:t>830</w:t>
            </w:r>
          </w:p>
        </w:tc>
        <w:tc>
          <w:tcPr>
            <w:tcW w:w="1838" w:type="dxa"/>
            <w:tcBorders>
              <w:top w:val="nil"/>
              <w:left w:val="nil"/>
              <w:bottom w:val="single" w:sz="8" w:space="0" w:color="AEAEAE"/>
              <w:right w:val="nil"/>
            </w:tcBorders>
            <w:shd w:val="clear" w:color="auto" w:fill="auto"/>
            <w:vAlign w:val="center"/>
            <w:hideMark/>
          </w:tcPr>
          <w:p w14:paraId="6DE14A82" w14:textId="4417C0CB"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9</w:t>
            </w:r>
            <w:r w:rsidR="006E6A16" w:rsidRPr="002B7276">
              <w:rPr>
                <w:rFonts w:eastAsia="Times New Roman" w:cs="Arial"/>
                <w:sz w:val="22"/>
                <w:lang w:eastAsia="es-SV"/>
              </w:rPr>
              <w:t>,</w:t>
            </w:r>
            <w:r w:rsidRPr="002B7276">
              <w:rPr>
                <w:rFonts w:eastAsia="Times New Roman" w:cs="Arial"/>
                <w:sz w:val="22"/>
                <w:lang w:eastAsia="es-SV"/>
              </w:rPr>
              <w:t>491</w:t>
            </w:r>
          </w:p>
        </w:tc>
        <w:tc>
          <w:tcPr>
            <w:tcW w:w="1933" w:type="dxa"/>
            <w:tcBorders>
              <w:top w:val="nil"/>
              <w:left w:val="nil"/>
              <w:bottom w:val="single" w:sz="8" w:space="0" w:color="AEAEAE"/>
              <w:right w:val="nil"/>
            </w:tcBorders>
            <w:shd w:val="clear" w:color="auto" w:fill="auto"/>
            <w:noWrap/>
            <w:vAlign w:val="center"/>
            <w:hideMark/>
          </w:tcPr>
          <w:p w14:paraId="76F44FDD" w14:textId="749884AB" w:rsidR="006A3DBC" w:rsidRPr="002B7276" w:rsidRDefault="006A3DBC" w:rsidP="003639EA">
            <w:pPr>
              <w:spacing w:after="0" w:line="240" w:lineRule="auto"/>
              <w:jc w:val="center"/>
              <w:rPr>
                <w:rFonts w:eastAsia="Times New Roman" w:cs="Arial"/>
                <w:sz w:val="22"/>
                <w:lang w:eastAsia="es-SV"/>
              </w:rPr>
            </w:pPr>
            <w:r w:rsidRPr="002B7276">
              <w:rPr>
                <w:rFonts w:eastAsia="Times New Roman" w:cs="Arial"/>
                <w:sz w:val="22"/>
                <w:lang w:eastAsia="es-SV"/>
              </w:rPr>
              <w:t>16</w:t>
            </w:r>
            <w:r w:rsidR="006E6A16" w:rsidRPr="002B7276">
              <w:rPr>
                <w:rFonts w:eastAsia="Times New Roman" w:cs="Arial"/>
                <w:sz w:val="22"/>
                <w:lang w:eastAsia="es-SV"/>
              </w:rPr>
              <w:t>,</w:t>
            </w:r>
            <w:r w:rsidRPr="002B7276">
              <w:rPr>
                <w:rFonts w:eastAsia="Times New Roman" w:cs="Arial"/>
                <w:sz w:val="22"/>
                <w:lang w:eastAsia="es-SV"/>
              </w:rPr>
              <w:t>874</w:t>
            </w:r>
          </w:p>
        </w:tc>
      </w:tr>
      <w:tr w:rsidR="002B7276" w:rsidRPr="002B7276" w14:paraId="064B4991" w14:textId="77777777" w:rsidTr="00EF7331">
        <w:trPr>
          <w:trHeight w:val="938"/>
        </w:trPr>
        <w:tc>
          <w:tcPr>
            <w:tcW w:w="2977" w:type="dxa"/>
            <w:tcBorders>
              <w:top w:val="single" w:sz="8" w:space="0" w:color="AEAEAE"/>
              <w:left w:val="nil"/>
              <w:bottom w:val="nil"/>
              <w:right w:val="nil"/>
            </w:tcBorders>
            <w:shd w:val="clear" w:color="000000" w:fill="E0E0E0"/>
            <w:vAlign w:val="center"/>
            <w:hideMark/>
          </w:tcPr>
          <w:p w14:paraId="07FAFFDA" w14:textId="77777777" w:rsidR="006A3DBC" w:rsidRPr="002B7276" w:rsidRDefault="006A3DBC" w:rsidP="00F118B2">
            <w:pPr>
              <w:spacing w:after="0" w:line="240" w:lineRule="auto"/>
              <w:jc w:val="both"/>
              <w:rPr>
                <w:rFonts w:eastAsia="Times New Roman" w:cs="Arial"/>
                <w:sz w:val="22"/>
                <w:lang w:eastAsia="es-SV"/>
              </w:rPr>
            </w:pPr>
            <w:r w:rsidRPr="002B7276">
              <w:rPr>
                <w:rFonts w:eastAsia="Times New Roman" w:cs="Arial"/>
                <w:sz w:val="22"/>
                <w:lang w:eastAsia="es-SV"/>
              </w:rPr>
              <w:t>Recolección domiciliaria privada</w:t>
            </w:r>
          </w:p>
        </w:tc>
        <w:tc>
          <w:tcPr>
            <w:tcW w:w="1101" w:type="dxa"/>
            <w:tcBorders>
              <w:top w:val="nil"/>
              <w:left w:val="nil"/>
              <w:bottom w:val="single" w:sz="8" w:space="0" w:color="AEAEAE"/>
              <w:right w:val="nil"/>
            </w:tcBorders>
            <w:shd w:val="clear" w:color="auto" w:fill="auto"/>
            <w:vAlign w:val="center"/>
            <w:hideMark/>
          </w:tcPr>
          <w:p w14:paraId="4335FDB3" w14:textId="31E96FDE"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1</w:t>
            </w:r>
            <w:r w:rsidR="006E6A16" w:rsidRPr="002B7276">
              <w:rPr>
                <w:rFonts w:eastAsia="Times New Roman" w:cs="Arial"/>
                <w:sz w:val="22"/>
                <w:lang w:eastAsia="es-SV"/>
              </w:rPr>
              <w:t>,</w:t>
            </w:r>
            <w:r w:rsidRPr="002B7276">
              <w:rPr>
                <w:rFonts w:eastAsia="Times New Roman" w:cs="Arial"/>
                <w:sz w:val="22"/>
                <w:lang w:eastAsia="es-SV"/>
              </w:rPr>
              <w:t>800</w:t>
            </w:r>
          </w:p>
        </w:tc>
        <w:tc>
          <w:tcPr>
            <w:tcW w:w="1814" w:type="dxa"/>
            <w:tcBorders>
              <w:top w:val="nil"/>
              <w:left w:val="nil"/>
              <w:bottom w:val="single" w:sz="8" w:space="0" w:color="AEAEAE"/>
              <w:right w:val="nil"/>
            </w:tcBorders>
            <w:shd w:val="clear" w:color="auto" w:fill="auto"/>
            <w:vAlign w:val="center"/>
            <w:hideMark/>
          </w:tcPr>
          <w:p w14:paraId="09529C04" w14:textId="77777777"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108</w:t>
            </w:r>
          </w:p>
        </w:tc>
        <w:tc>
          <w:tcPr>
            <w:tcW w:w="1838" w:type="dxa"/>
            <w:tcBorders>
              <w:top w:val="nil"/>
              <w:left w:val="nil"/>
              <w:bottom w:val="single" w:sz="8" w:space="0" w:color="AEAEAE"/>
              <w:right w:val="nil"/>
            </w:tcBorders>
            <w:shd w:val="clear" w:color="auto" w:fill="auto"/>
            <w:vAlign w:val="center"/>
            <w:hideMark/>
          </w:tcPr>
          <w:p w14:paraId="4137ECB7" w14:textId="4A2E6F8F"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4</w:t>
            </w:r>
            <w:r w:rsidR="006E6A16" w:rsidRPr="002B7276">
              <w:rPr>
                <w:rFonts w:eastAsia="Times New Roman" w:cs="Arial"/>
                <w:sz w:val="22"/>
                <w:lang w:eastAsia="es-SV"/>
              </w:rPr>
              <w:t>,</w:t>
            </w:r>
            <w:r w:rsidRPr="002B7276">
              <w:rPr>
                <w:rFonts w:eastAsia="Times New Roman" w:cs="Arial"/>
                <w:sz w:val="22"/>
                <w:lang w:eastAsia="es-SV"/>
              </w:rPr>
              <w:t>493</w:t>
            </w:r>
          </w:p>
        </w:tc>
        <w:tc>
          <w:tcPr>
            <w:tcW w:w="1933" w:type="dxa"/>
            <w:tcBorders>
              <w:top w:val="nil"/>
              <w:left w:val="nil"/>
              <w:bottom w:val="single" w:sz="8" w:space="0" w:color="AEAEAE"/>
              <w:right w:val="nil"/>
            </w:tcBorders>
            <w:shd w:val="clear" w:color="auto" w:fill="auto"/>
            <w:noWrap/>
            <w:vAlign w:val="center"/>
            <w:hideMark/>
          </w:tcPr>
          <w:p w14:paraId="19810937" w14:textId="428D00EC" w:rsidR="006A3DBC" w:rsidRPr="002B7276" w:rsidRDefault="006A3DBC" w:rsidP="003639EA">
            <w:pPr>
              <w:spacing w:after="0" w:line="240" w:lineRule="auto"/>
              <w:jc w:val="center"/>
              <w:rPr>
                <w:rFonts w:eastAsia="Times New Roman" w:cs="Arial"/>
                <w:sz w:val="22"/>
                <w:lang w:eastAsia="es-SV"/>
              </w:rPr>
            </w:pPr>
            <w:r w:rsidRPr="002B7276">
              <w:rPr>
                <w:rFonts w:eastAsia="Times New Roman" w:cs="Arial"/>
                <w:sz w:val="22"/>
                <w:lang w:eastAsia="es-SV"/>
              </w:rPr>
              <w:t>6</w:t>
            </w:r>
            <w:r w:rsidR="006E6A16" w:rsidRPr="002B7276">
              <w:rPr>
                <w:rFonts w:eastAsia="Times New Roman" w:cs="Arial"/>
                <w:sz w:val="22"/>
                <w:lang w:eastAsia="es-SV"/>
              </w:rPr>
              <w:t>,</w:t>
            </w:r>
            <w:r w:rsidRPr="002B7276">
              <w:rPr>
                <w:rFonts w:eastAsia="Times New Roman" w:cs="Arial"/>
                <w:sz w:val="22"/>
                <w:lang w:eastAsia="es-SV"/>
              </w:rPr>
              <w:t>401</w:t>
            </w:r>
          </w:p>
        </w:tc>
      </w:tr>
      <w:tr w:rsidR="002B7276" w:rsidRPr="002B7276" w14:paraId="05DED110" w14:textId="77777777" w:rsidTr="00EF7331">
        <w:trPr>
          <w:trHeight w:val="938"/>
        </w:trPr>
        <w:tc>
          <w:tcPr>
            <w:tcW w:w="2977" w:type="dxa"/>
            <w:tcBorders>
              <w:top w:val="single" w:sz="8" w:space="0" w:color="AEAEAE"/>
              <w:left w:val="nil"/>
              <w:bottom w:val="nil"/>
              <w:right w:val="nil"/>
            </w:tcBorders>
            <w:shd w:val="clear" w:color="000000" w:fill="E0E0E0"/>
            <w:vAlign w:val="center"/>
            <w:hideMark/>
          </w:tcPr>
          <w:p w14:paraId="1151F733" w14:textId="77777777" w:rsidR="006A3DBC" w:rsidRPr="002B7276" w:rsidRDefault="006A3DBC" w:rsidP="00F118B2">
            <w:pPr>
              <w:spacing w:after="0" w:line="240" w:lineRule="auto"/>
              <w:jc w:val="both"/>
              <w:rPr>
                <w:rFonts w:eastAsia="Times New Roman" w:cs="Arial"/>
                <w:sz w:val="22"/>
                <w:lang w:eastAsia="es-SV"/>
              </w:rPr>
            </w:pPr>
            <w:r w:rsidRPr="002B7276">
              <w:rPr>
                <w:rFonts w:eastAsia="Times New Roman" w:cs="Arial"/>
                <w:sz w:val="22"/>
                <w:lang w:eastAsia="es-SV"/>
              </w:rPr>
              <w:t>La deposita en contenedores</w:t>
            </w:r>
          </w:p>
        </w:tc>
        <w:tc>
          <w:tcPr>
            <w:tcW w:w="1101" w:type="dxa"/>
            <w:tcBorders>
              <w:top w:val="nil"/>
              <w:left w:val="nil"/>
              <w:bottom w:val="single" w:sz="8" w:space="0" w:color="AEAEAE"/>
              <w:right w:val="nil"/>
            </w:tcBorders>
            <w:shd w:val="clear" w:color="auto" w:fill="auto"/>
            <w:vAlign w:val="center"/>
            <w:hideMark/>
          </w:tcPr>
          <w:p w14:paraId="108529DC" w14:textId="414B077B"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2</w:t>
            </w:r>
            <w:r w:rsidR="006E6A16" w:rsidRPr="002B7276">
              <w:rPr>
                <w:rFonts w:eastAsia="Times New Roman" w:cs="Arial"/>
                <w:sz w:val="22"/>
                <w:lang w:eastAsia="es-SV"/>
              </w:rPr>
              <w:t>,</w:t>
            </w:r>
            <w:r w:rsidRPr="002B7276">
              <w:rPr>
                <w:rFonts w:eastAsia="Times New Roman" w:cs="Arial"/>
                <w:sz w:val="22"/>
                <w:lang w:eastAsia="es-SV"/>
              </w:rPr>
              <w:t>563</w:t>
            </w:r>
          </w:p>
        </w:tc>
        <w:tc>
          <w:tcPr>
            <w:tcW w:w="1814" w:type="dxa"/>
            <w:tcBorders>
              <w:top w:val="nil"/>
              <w:left w:val="nil"/>
              <w:bottom w:val="single" w:sz="8" w:space="0" w:color="AEAEAE"/>
              <w:right w:val="nil"/>
            </w:tcBorders>
            <w:shd w:val="clear" w:color="auto" w:fill="auto"/>
            <w:vAlign w:val="center"/>
            <w:hideMark/>
          </w:tcPr>
          <w:p w14:paraId="5FA39797" w14:textId="2293D1DA"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2</w:t>
            </w:r>
            <w:r w:rsidR="006E6A16" w:rsidRPr="002B7276">
              <w:rPr>
                <w:rFonts w:eastAsia="Times New Roman" w:cs="Arial"/>
                <w:sz w:val="22"/>
                <w:lang w:eastAsia="es-SV"/>
              </w:rPr>
              <w:t>,</w:t>
            </w:r>
            <w:r w:rsidRPr="002B7276">
              <w:rPr>
                <w:rFonts w:eastAsia="Times New Roman" w:cs="Arial"/>
                <w:sz w:val="22"/>
                <w:lang w:eastAsia="es-SV"/>
              </w:rPr>
              <w:t>259</w:t>
            </w:r>
          </w:p>
        </w:tc>
        <w:tc>
          <w:tcPr>
            <w:tcW w:w="1838" w:type="dxa"/>
            <w:tcBorders>
              <w:top w:val="nil"/>
              <w:left w:val="nil"/>
              <w:bottom w:val="single" w:sz="8" w:space="0" w:color="AEAEAE"/>
              <w:right w:val="nil"/>
            </w:tcBorders>
            <w:shd w:val="clear" w:color="auto" w:fill="auto"/>
            <w:vAlign w:val="center"/>
            <w:hideMark/>
          </w:tcPr>
          <w:p w14:paraId="21FB5E50" w14:textId="3A91CEA7"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1</w:t>
            </w:r>
            <w:r w:rsidR="006E6A16" w:rsidRPr="002B7276">
              <w:rPr>
                <w:rFonts w:eastAsia="Times New Roman" w:cs="Arial"/>
                <w:sz w:val="22"/>
                <w:lang w:eastAsia="es-SV"/>
              </w:rPr>
              <w:t>,</w:t>
            </w:r>
            <w:r w:rsidRPr="002B7276">
              <w:rPr>
                <w:rFonts w:eastAsia="Times New Roman" w:cs="Arial"/>
                <w:sz w:val="22"/>
                <w:lang w:eastAsia="es-SV"/>
              </w:rPr>
              <w:t>559</w:t>
            </w:r>
          </w:p>
        </w:tc>
        <w:tc>
          <w:tcPr>
            <w:tcW w:w="1933" w:type="dxa"/>
            <w:tcBorders>
              <w:top w:val="nil"/>
              <w:left w:val="nil"/>
              <w:bottom w:val="single" w:sz="8" w:space="0" w:color="AEAEAE"/>
              <w:right w:val="nil"/>
            </w:tcBorders>
            <w:shd w:val="clear" w:color="auto" w:fill="auto"/>
            <w:noWrap/>
            <w:vAlign w:val="center"/>
            <w:hideMark/>
          </w:tcPr>
          <w:p w14:paraId="435DF077" w14:textId="4FD816AD" w:rsidR="006A3DBC" w:rsidRPr="002B7276" w:rsidRDefault="006A3DBC" w:rsidP="003639EA">
            <w:pPr>
              <w:spacing w:after="0" w:line="240" w:lineRule="auto"/>
              <w:jc w:val="center"/>
              <w:rPr>
                <w:rFonts w:eastAsia="Times New Roman" w:cs="Arial"/>
                <w:sz w:val="22"/>
                <w:lang w:eastAsia="es-SV"/>
              </w:rPr>
            </w:pPr>
            <w:r w:rsidRPr="002B7276">
              <w:rPr>
                <w:rFonts w:eastAsia="Times New Roman" w:cs="Arial"/>
                <w:sz w:val="22"/>
                <w:lang w:eastAsia="es-SV"/>
              </w:rPr>
              <w:t>6</w:t>
            </w:r>
            <w:r w:rsidR="006E6A16" w:rsidRPr="002B7276">
              <w:rPr>
                <w:rFonts w:eastAsia="Times New Roman" w:cs="Arial"/>
                <w:sz w:val="22"/>
                <w:lang w:eastAsia="es-SV"/>
              </w:rPr>
              <w:t>,</w:t>
            </w:r>
            <w:r w:rsidRPr="002B7276">
              <w:rPr>
                <w:rFonts w:eastAsia="Times New Roman" w:cs="Arial"/>
                <w:sz w:val="22"/>
                <w:lang w:eastAsia="es-SV"/>
              </w:rPr>
              <w:t>381</w:t>
            </w:r>
          </w:p>
        </w:tc>
      </w:tr>
      <w:tr w:rsidR="002B7276" w:rsidRPr="002B7276" w14:paraId="2807141F" w14:textId="77777777" w:rsidTr="00EF7331">
        <w:trPr>
          <w:trHeight w:val="382"/>
        </w:trPr>
        <w:tc>
          <w:tcPr>
            <w:tcW w:w="2977" w:type="dxa"/>
            <w:tcBorders>
              <w:top w:val="single" w:sz="8" w:space="0" w:color="AEAEAE"/>
              <w:left w:val="nil"/>
              <w:bottom w:val="nil"/>
              <w:right w:val="nil"/>
            </w:tcBorders>
            <w:shd w:val="clear" w:color="000000" w:fill="E0E0E0"/>
            <w:vAlign w:val="center"/>
            <w:hideMark/>
          </w:tcPr>
          <w:p w14:paraId="5006FF65" w14:textId="77777777" w:rsidR="006A3DBC" w:rsidRPr="002B7276" w:rsidRDefault="006A3DBC" w:rsidP="00F118B2">
            <w:pPr>
              <w:spacing w:after="0" w:line="240" w:lineRule="auto"/>
              <w:jc w:val="both"/>
              <w:rPr>
                <w:rFonts w:eastAsia="Times New Roman" w:cs="Arial"/>
                <w:sz w:val="22"/>
                <w:lang w:eastAsia="es-SV"/>
              </w:rPr>
            </w:pPr>
            <w:r w:rsidRPr="002B7276">
              <w:rPr>
                <w:rFonts w:eastAsia="Times New Roman" w:cs="Arial"/>
                <w:sz w:val="22"/>
                <w:lang w:eastAsia="es-SV"/>
              </w:rPr>
              <w:t>La entierra</w:t>
            </w:r>
          </w:p>
        </w:tc>
        <w:tc>
          <w:tcPr>
            <w:tcW w:w="1101" w:type="dxa"/>
            <w:tcBorders>
              <w:top w:val="nil"/>
              <w:left w:val="nil"/>
              <w:bottom w:val="single" w:sz="8" w:space="0" w:color="AEAEAE"/>
              <w:right w:val="nil"/>
            </w:tcBorders>
            <w:shd w:val="clear" w:color="auto" w:fill="auto"/>
            <w:vAlign w:val="center"/>
            <w:hideMark/>
          </w:tcPr>
          <w:p w14:paraId="3780A274" w14:textId="47A627D9"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1</w:t>
            </w:r>
            <w:r w:rsidR="006E6A16" w:rsidRPr="002B7276">
              <w:rPr>
                <w:rFonts w:eastAsia="Times New Roman" w:cs="Arial"/>
                <w:sz w:val="22"/>
                <w:lang w:eastAsia="es-SV"/>
              </w:rPr>
              <w:t>,</w:t>
            </w:r>
            <w:r w:rsidRPr="002B7276">
              <w:rPr>
                <w:rFonts w:eastAsia="Times New Roman" w:cs="Arial"/>
                <w:sz w:val="22"/>
                <w:lang w:eastAsia="es-SV"/>
              </w:rPr>
              <w:t>229</w:t>
            </w:r>
          </w:p>
        </w:tc>
        <w:tc>
          <w:tcPr>
            <w:tcW w:w="1814" w:type="dxa"/>
            <w:tcBorders>
              <w:top w:val="nil"/>
              <w:left w:val="nil"/>
              <w:bottom w:val="single" w:sz="8" w:space="0" w:color="AEAEAE"/>
              <w:right w:val="nil"/>
            </w:tcBorders>
            <w:shd w:val="clear" w:color="auto" w:fill="auto"/>
            <w:vAlign w:val="center"/>
            <w:hideMark/>
          </w:tcPr>
          <w:p w14:paraId="5CE51108" w14:textId="77777777"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190</w:t>
            </w:r>
          </w:p>
        </w:tc>
        <w:tc>
          <w:tcPr>
            <w:tcW w:w="1838" w:type="dxa"/>
            <w:tcBorders>
              <w:top w:val="nil"/>
              <w:left w:val="nil"/>
              <w:bottom w:val="single" w:sz="8" w:space="0" w:color="AEAEAE"/>
              <w:right w:val="nil"/>
            </w:tcBorders>
            <w:shd w:val="clear" w:color="auto" w:fill="auto"/>
            <w:vAlign w:val="center"/>
            <w:hideMark/>
          </w:tcPr>
          <w:p w14:paraId="5ACB5864" w14:textId="7930D4D3"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2</w:t>
            </w:r>
            <w:r w:rsidR="006E6A16" w:rsidRPr="002B7276">
              <w:rPr>
                <w:rFonts w:eastAsia="Times New Roman" w:cs="Arial"/>
                <w:sz w:val="22"/>
                <w:lang w:eastAsia="es-SV"/>
              </w:rPr>
              <w:t>,</w:t>
            </w:r>
            <w:r w:rsidRPr="002B7276">
              <w:rPr>
                <w:rFonts w:eastAsia="Times New Roman" w:cs="Arial"/>
                <w:sz w:val="22"/>
                <w:lang w:eastAsia="es-SV"/>
              </w:rPr>
              <w:t>554</w:t>
            </w:r>
          </w:p>
        </w:tc>
        <w:tc>
          <w:tcPr>
            <w:tcW w:w="1933" w:type="dxa"/>
            <w:tcBorders>
              <w:top w:val="nil"/>
              <w:left w:val="nil"/>
              <w:bottom w:val="single" w:sz="8" w:space="0" w:color="AEAEAE"/>
              <w:right w:val="nil"/>
            </w:tcBorders>
            <w:shd w:val="clear" w:color="auto" w:fill="auto"/>
            <w:noWrap/>
            <w:vAlign w:val="center"/>
            <w:hideMark/>
          </w:tcPr>
          <w:p w14:paraId="460AD12A" w14:textId="1321853F" w:rsidR="006A3DBC" w:rsidRPr="002B7276" w:rsidRDefault="006A3DBC" w:rsidP="003639EA">
            <w:pPr>
              <w:spacing w:after="0" w:line="240" w:lineRule="auto"/>
              <w:jc w:val="center"/>
              <w:rPr>
                <w:rFonts w:eastAsia="Times New Roman" w:cs="Arial"/>
                <w:sz w:val="22"/>
                <w:lang w:eastAsia="es-SV"/>
              </w:rPr>
            </w:pPr>
            <w:r w:rsidRPr="002B7276">
              <w:rPr>
                <w:rFonts w:eastAsia="Times New Roman" w:cs="Arial"/>
                <w:sz w:val="22"/>
                <w:lang w:eastAsia="es-SV"/>
              </w:rPr>
              <w:t>3</w:t>
            </w:r>
            <w:r w:rsidR="006E6A16" w:rsidRPr="002B7276">
              <w:rPr>
                <w:rFonts w:eastAsia="Times New Roman" w:cs="Arial"/>
                <w:sz w:val="22"/>
                <w:lang w:eastAsia="es-SV"/>
              </w:rPr>
              <w:t>,</w:t>
            </w:r>
            <w:r w:rsidRPr="002B7276">
              <w:rPr>
                <w:rFonts w:eastAsia="Times New Roman" w:cs="Arial"/>
                <w:sz w:val="22"/>
                <w:lang w:eastAsia="es-SV"/>
              </w:rPr>
              <w:t>973</w:t>
            </w:r>
          </w:p>
        </w:tc>
      </w:tr>
      <w:tr w:rsidR="002B7276" w:rsidRPr="002B7276" w14:paraId="216560DC" w14:textId="77777777" w:rsidTr="00EF7331">
        <w:trPr>
          <w:trHeight w:val="243"/>
        </w:trPr>
        <w:tc>
          <w:tcPr>
            <w:tcW w:w="2977" w:type="dxa"/>
            <w:tcBorders>
              <w:top w:val="single" w:sz="8" w:space="0" w:color="AEAEAE"/>
              <w:left w:val="nil"/>
              <w:bottom w:val="nil"/>
              <w:right w:val="nil"/>
            </w:tcBorders>
            <w:shd w:val="clear" w:color="000000" w:fill="E0E0E0"/>
            <w:vAlign w:val="center"/>
            <w:hideMark/>
          </w:tcPr>
          <w:p w14:paraId="329BB743" w14:textId="77777777" w:rsidR="006A3DBC" w:rsidRPr="002B7276" w:rsidRDefault="006A3DBC" w:rsidP="00F118B2">
            <w:pPr>
              <w:spacing w:after="0" w:line="240" w:lineRule="auto"/>
              <w:jc w:val="both"/>
              <w:rPr>
                <w:rFonts w:eastAsia="Times New Roman" w:cs="Arial"/>
                <w:sz w:val="22"/>
                <w:lang w:eastAsia="es-SV"/>
              </w:rPr>
            </w:pPr>
            <w:r w:rsidRPr="002B7276">
              <w:rPr>
                <w:rFonts w:eastAsia="Times New Roman" w:cs="Arial"/>
                <w:sz w:val="22"/>
                <w:lang w:eastAsia="es-SV"/>
              </w:rPr>
              <w:t>Otro</w:t>
            </w:r>
          </w:p>
        </w:tc>
        <w:tc>
          <w:tcPr>
            <w:tcW w:w="1101" w:type="dxa"/>
            <w:tcBorders>
              <w:top w:val="nil"/>
              <w:left w:val="nil"/>
              <w:bottom w:val="single" w:sz="8" w:space="0" w:color="AEAEAE"/>
              <w:right w:val="nil"/>
            </w:tcBorders>
            <w:shd w:val="clear" w:color="auto" w:fill="auto"/>
            <w:vAlign w:val="center"/>
            <w:hideMark/>
          </w:tcPr>
          <w:p w14:paraId="1AD2628E" w14:textId="05A5DBE3"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1</w:t>
            </w:r>
            <w:r w:rsidR="006E6A16" w:rsidRPr="002B7276">
              <w:rPr>
                <w:rFonts w:eastAsia="Times New Roman" w:cs="Arial"/>
                <w:sz w:val="22"/>
                <w:lang w:eastAsia="es-SV"/>
              </w:rPr>
              <w:t>,</w:t>
            </w:r>
            <w:r w:rsidRPr="002B7276">
              <w:rPr>
                <w:rFonts w:eastAsia="Times New Roman" w:cs="Arial"/>
                <w:sz w:val="22"/>
                <w:lang w:eastAsia="es-SV"/>
              </w:rPr>
              <w:t>707</w:t>
            </w:r>
          </w:p>
        </w:tc>
        <w:tc>
          <w:tcPr>
            <w:tcW w:w="1814" w:type="dxa"/>
            <w:tcBorders>
              <w:top w:val="nil"/>
              <w:left w:val="nil"/>
              <w:bottom w:val="single" w:sz="8" w:space="0" w:color="AEAEAE"/>
              <w:right w:val="nil"/>
            </w:tcBorders>
            <w:shd w:val="clear" w:color="auto" w:fill="auto"/>
            <w:vAlign w:val="center"/>
            <w:hideMark/>
          </w:tcPr>
          <w:p w14:paraId="141B9391" w14:textId="77777777"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710</w:t>
            </w:r>
          </w:p>
        </w:tc>
        <w:tc>
          <w:tcPr>
            <w:tcW w:w="1838" w:type="dxa"/>
            <w:tcBorders>
              <w:top w:val="nil"/>
              <w:left w:val="nil"/>
              <w:bottom w:val="single" w:sz="8" w:space="0" w:color="AEAEAE"/>
              <w:right w:val="nil"/>
            </w:tcBorders>
            <w:shd w:val="clear" w:color="auto" w:fill="auto"/>
            <w:vAlign w:val="center"/>
            <w:hideMark/>
          </w:tcPr>
          <w:p w14:paraId="00F8DB13" w14:textId="77777777"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637</w:t>
            </w:r>
          </w:p>
        </w:tc>
        <w:tc>
          <w:tcPr>
            <w:tcW w:w="1933" w:type="dxa"/>
            <w:tcBorders>
              <w:top w:val="nil"/>
              <w:left w:val="nil"/>
              <w:bottom w:val="single" w:sz="8" w:space="0" w:color="AEAEAE"/>
              <w:right w:val="nil"/>
            </w:tcBorders>
            <w:shd w:val="clear" w:color="auto" w:fill="auto"/>
            <w:noWrap/>
            <w:vAlign w:val="center"/>
            <w:hideMark/>
          </w:tcPr>
          <w:p w14:paraId="65F9209F" w14:textId="2104B78F" w:rsidR="006A3DBC" w:rsidRPr="002B7276" w:rsidRDefault="006A3DBC" w:rsidP="003639EA">
            <w:pPr>
              <w:spacing w:after="0" w:line="240" w:lineRule="auto"/>
              <w:jc w:val="center"/>
              <w:rPr>
                <w:rFonts w:eastAsia="Times New Roman" w:cs="Arial"/>
                <w:sz w:val="22"/>
                <w:lang w:eastAsia="es-SV"/>
              </w:rPr>
            </w:pPr>
            <w:r w:rsidRPr="002B7276">
              <w:rPr>
                <w:rFonts w:eastAsia="Times New Roman" w:cs="Arial"/>
                <w:sz w:val="22"/>
                <w:lang w:eastAsia="es-SV"/>
              </w:rPr>
              <w:t>3</w:t>
            </w:r>
            <w:r w:rsidR="006E6A16" w:rsidRPr="002B7276">
              <w:rPr>
                <w:rFonts w:eastAsia="Times New Roman" w:cs="Arial"/>
                <w:sz w:val="22"/>
                <w:lang w:eastAsia="es-SV"/>
              </w:rPr>
              <w:t>,</w:t>
            </w:r>
            <w:r w:rsidRPr="002B7276">
              <w:rPr>
                <w:rFonts w:eastAsia="Times New Roman" w:cs="Arial"/>
                <w:sz w:val="22"/>
                <w:lang w:eastAsia="es-SV"/>
              </w:rPr>
              <w:t>054</w:t>
            </w:r>
          </w:p>
        </w:tc>
      </w:tr>
      <w:tr w:rsidR="002B7276" w:rsidRPr="002B7276" w14:paraId="78467472" w14:textId="77777777" w:rsidTr="00EF7331">
        <w:trPr>
          <w:trHeight w:val="243"/>
        </w:trPr>
        <w:tc>
          <w:tcPr>
            <w:tcW w:w="2977" w:type="dxa"/>
            <w:tcBorders>
              <w:top w:val="single" w:sz="8" w:space="0" w:color="AEAEAE"/>
              <w:left w:val="nil"/>
              <w:bottom w:val="nil"/>
              <w:right w:val="nil"/>
            </w:tcBorders>
            <w:shd w:val="clear" w:color="000000" w:fill="E0E0E0"/>
            <w:noWrap/>
            <w:vAlign w:val="center"/>
            <w:hideMark/>
          </w:tcPr>
          <w:p w14:paraId="4941A8D8" w14:textId="77777777" w:rsidR="006A3DBC" w:rsidRPr="002B7276" w:rsidRDefault="006A3DBC" w:rsidP="005F4A92">
            <w:pPr>
              <w:spacing w:after="0" w:line="240" w:lineRule="auto"/>
              <w:rPr>
                <w:rFonts w:eastAsia="Times New Roman" w:cs="Arial"/>
                <w:sz w:val="22"/>
                <w:lang w:eastAsia="es-SV"/>
              </w:rPr>
            </w:pPr>
            <w:r w:rsidRPr="002B7276">
              <w:rPr>
                <w:rFonts w:eastAsia="Times New Roman" w:cs="Arial"/>
                <w:sz w:val="22"/>
                <w:lang w:eastAsia="es-SV"/>
              </w:rPr>
              <w:t>No dispone</w:t>
            </w:r>
          </w:p>
        </w:tc>
        <w:tc>
          <w:tcPr>
            <w:tcW w:w="1101" w:type="dxa"/>
            <w:tcBorders>
              <w:top w:val="nil"/>
              <w:left w:val="nil"/>
              <w:bottom w:val="single" w:sz="8" w:space="0" w:color="AEAEAE"/>
              <w:right w:val="nil"/>
            </w:tcBorders>
            <w:shd w:val="clear" w:color="auto" w:fill="auto"/>
            <w:vAlign w:val="center"/>
            <w:hideMark/>
          </w:tcPr>
          <w:p w14:paraId="76F746E6" w14:textId="77777777"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277</w:t>
            </w:r>
          </w:p>
        </w:tc>
        <w:tc>
          <w:tcPr>
            <w:tcW w:w="1814" w:type="dxa"/>
            <w:tcBorders>
              <w:top w:val="nil"/>
              <w:left w:val="nil"/>
              <w:bottom w:val="single" w:sz="8" w:space="0" w:color="AEAEAE"/>
              <w:right w:val="nil"/>
            </w:tcBorders>
            <w:shd w:val="clear" w:color="auto" w:fill="auto"/>
            <w:vAlign w:val="center"/>
            <w:hideMark/>
          </w:tcPr>
          <w:p w14:paraId="0767DCFF" w14:textId="77777777"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0</w:t>
            </w:r>
          </w:p>
        </w:tc>
        <w:tc>
          <w:tcPr>
            <w:tcW w:w="1838" w:type="dxa"/>
            <w:tcBorders>
              <w:top w:val="nil"/>
              <w:left w:val="nil"/>
              <w:bottom w:val="single" w:sz="8" w:space="0" w:color="AEAEAE"/>
              <w:right w:val="nil"/>
            </w:tcBorders>
            <w:shd w:val="clear" w:color="auto" w:fill="auto"/>
            <w:vAlign w:val="center"/>
            <w:hideMark/>
          </w:tcPr>
          <w:p w14:paraId="3695C46E" w14:textId="1F0B06C2"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1</w:t>
            </w:r>
            <w:r w:rsidR="006E6A16" w:rsidRPr="002B7276">
              <w:rPr>
                <w:rFonts w:eastAsia="Times New Roman" w:cs="Arial"/>
                <w:sz w:val="22"/>
                <w:lang w:eastAsia="es-SV"/>
              </w:rPr>
              <w:t>,</w:t>
            </w:r>
            <w:r w:rsidRPr="002B7276">
              <w:rPr>
                <w:rFonts w:eastAsia="Times New Roman" w:cs="Arial"/>
                <w:sz w:val="22"/>
                <w:lang w:eastAsia="es-SV"/>
              </w:rPr>
              <w:t>478</w:t>
            </w:r>
          </w:p>
        </w:tc>
        <w:tc>
          <w:tcPr>
            <w:tcW w:w="1933" w:type="dxa"/>
            <w:tcBorders>
              <w:top w:val="nil"/>
              <w:left w:val="nil"/>
              <w:bottom w:val="single" w:sz="8" w:space="0" w:color="AEAEAE"/>
              <w:right w:val="nil"/>
            </w:tcBorders>
            <w:shd w:val="clear" w:color="auto" w:fill="auto"/>
            <w:noWrap/>
            <w:vAlign w:val="center"/>
            <w:hideMark/>
          </w:tcPr>
          <w:p w14:paraId="2A9D86BB" w14:textId="02713773" w:rsidR="006A3DBC" w:rsidRPr="002B7276" w:rsidRDefault="006A3DBC" w:rsidP="003639EA">
            <w:pPr>
              <w:spacing w:after="0" w:line="240" w:lineRule="auto"/>
              <w:jc w:val="center"/>
              <w:rPr>
                <w:rFonts w:eastAsia="Times New Roman" w:cs="Arial"/>
                <w:sz w:val="22"/>
                <w:lang w:eastAsia="es-SV"/>
              </w:rPr>
            </w:pPr>
            <w:r w:rsidRPr="002B7276">
              <w:rPr>
                <w:rFonts w:eastAsia="Times New Roman" w:cs="Arial"/>
                <w:sz w:val="22"/>
                <w:lang w:eastAsia="es-SV"/>
              </w:rPr>
              <w:t>1</w:t>
            </w:r>
            <w:r w:rsidR="006E6A16" w:rsidRPr="002B7276">
              <w:rPr>
                <w:rFonts w:eastAsia="Times New Roman" w:cs="Arial"/>
                <w:sz w:val="22"/>
                <w:lang w:eastAsia="es-SV"/>
              </w:rPr>
              <w:t>,</w:t>
            </w:r>
            <w:r w:rsidRPr="002B7276">
              <w:rPr>
                <w:rFonts w:eastAsia="Times New Roman" w:cs="Arial"/>
                <w:sz w:val="22"/>
                <w:lang w:eastAsia="es-SV"/>
              </w:rPr>
              <w:t>755</w:t>
            </w:r>
          </w:p>
        </w:tc>
      </w:tr>
      <w:tr w:rsidR="002B7276" w:rsidRPr="002B7276" w14:paraId="2C600C60" w14:textId="77777777" w:rsidTr="00EF7331">
        <w:trPr>
          <w:trHeight w:val="475"/>
        </w:trPr>
        <w:tc>
          <w:tcPr>
            <w:tcW w:w="2977" w:type="dxa"/>
            <w:tcBorders>
              <w:top w:val="single" w:sz="8" w:space="0" w:color="AEAEAE"/>
              <w:left w:val="nil"/>
              <w:bottom w:val="single" w:sz="8" w:space="0" w:color="AEAEAE"/>
              <w:right w:val="nil"/>
            </w:tcBorders>
            <w:shd w:val="clear" w:color="000000" w:fill="E0E0E0"/>
            <w:vAlign w:val="center"/>
            <w:hideMark/>
          </w:tcPr>
          <w:p w14:paraId="41EE2250" w14:textId="77777777" w:rsidR="006A3DBC" w:rsidRPr="002B7276" w:rsidRDefault="006A3DBC" w:rsidP="005F4A92">
            <w:pPr>
              <w:spacing w:after="0" w:line="240" w:lineRule="auto"/>
              <w:rPr>
                <w:rFonts w:eastAsia="Times New Roman" w:cs="Arial"/>
                <w:sz w:val="22"/>
                <w:lang w:eastAsia="es-SV"/>
              </w:rPr>
            </w:pPr>
            <w:r w:rsidRPr="002B7276">
              <w:rPr>
                <w:rFonts w:eastAsia="Times New Roman" w:cs="Arial"/>
                <w:sz w:val="22"/>
                <w:lang w:eastAsia="es-SV"/>
              </w:rPr>
              <w:t>La prepara para abono</w:t>
            </w:r>
          </w:p>
        </w:tc>
        <w:tc>
          <w:tcPr>
            <w:tcW w:w="1101" w:type="dxa"/>
            <w:tcBorders>
              <w:top w:val="nil"/>
              <w:left w:val="nil"/>
              <w:bottom w:val="single" w:sz="8" w:space="0" w:color="AEAEAE"/>
              <w:right w:val="nil"/>
            </w:tcBorders>
            <w:shd w:val="clear" w:color="auto" w:fill="auto"/>
            <w:vAlign w:val="center"/>
            <w:hideMark/>
          </w:tcPr>
          <w:p w14:paraId="67A73C4A" w14:textId="77777777"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654</w:t>
            </w:r>
          </w:p>
        </w:tc>
        <w:tc>
          <w:tcPr>
            <w:tcW w:w="1814" w:type="dxa"/>
            <w:tcBorders>
              <w:top w:val="nil"/>
              <w:left w:val="nil"/>
              <w:bottom w:val="single" w:sz="8" w:space="0" w:color="AEAEAE"/>
              <w:right w:val="nil"/>
            </w:tcBorders>
            <w:shd w:val="clear" w:color="auto" w:fill="auto"/>
            <w:vAlign w:val="center"/>
            <w:hideMark/>
          </w:tcPr>
          <w:p w14:paraId="15C0CBEF" w14:textId="77777777"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94</w:t>
            </w:r>
          </w:p>
        </w:tc>
        <w:tc>
          <w:tcPr>
            <w:tcW w:w="1838" w:type="dxa"/>
            <w:tcBorders>
              <w:top w:val="nil"/>
              <w:left w:val="nil"/>
              <w:bottom w:val="single" w:sz="8" w:space="0" w:color="AEAEAE"/>
              <w:right w:val="nil"/>
            </w:tcBorders>
            <w:shd w:val="clear" w:color="auto" w:fill="auto"/>
            <w:vAlign w:val="center"/>
            <w:hideMark/>
          </w:tcPr>
          <w:p w14:paraId="205C5CA1" w14:textId="77777777"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787</w:t>
            </w:r>
          </w:p>
        </w:tc>
        <w:tc>
          <w:tcPr>
            <w:tcW w:w="1933" w:type="dxa"/>
            <w:tcBorders>
              <w:top w:val="nil"/>
              <w:left w:val="nil"/>
              <w:bottom w:val="single" w:sz="8" w:space="0" w:color="AEAEAE"/>
              <w:right w:val="nil"/>
            </w:tcBorders>
            <w:shd w:val="clear" w:color="auto" w:fill="auto"/>
            <w:noWrap/>
            <w:vAlign w:val="center"/>
            <w:hideMark/>
          </w:tcPr>
          <w:p w14:paraId="125A46EF" w14:textId="5FB3527E" w:rsidR="006A3DBC" w:rsidRPr="002B7276" w:rsidRDefault="006A3DBC" w:rsidP="003639EA">
            <w:pPr>
              <w:spacing w:after="0" w:line="240" w:lineRule="auto"/>
              <w:jc w:val="center"/>
              <w:rPr>
                <w:rFonts w:eastAsia="Times New Roman" w:cs="Arial"/>
                <w:sz w:val="22"/>
                <w:lang w:eastAsia="es-SV"/>
              </w:rPr>
            </w:pPr>
            <w:r w:rsidRPr="002B7276">
              <w:rPr>
                <w:rFonts w:eastAsia="Times New Roman" w:cs="Arial"/>
                <w:sz w:val="22"/>
                <w:lang w:eastAsia="es-SV"/>
              </w:rPr>
              <w:t>1</w:t>
            </w:r>
            <w:r w:rsidR="006E6A16" w:rsidRPr="002B7276">
              <w:rPr>
                <w:rFonts w:eastAsia="Times New Roman" w:cs="Arial"/>
                <w:sz w:val="22"/>
                <w:lang w:eastAsia="es-SV"/>
              </w:rPr>
              <w:t>,</w:t>
            </w:r>
            <w:r w:rsidRPr="002B7276">
              <w:rPr>
                <w:rFonts w:eastAsia="Times New Roman" w:cs="Arial"/>
                <w:sz w:val="22"/>
                <w:lang w:eastAsia="es-SV"/>
              </w:rPr>
              <w:t>535</w:t>
            </w:r>
          </w:p>
        </w:tc>
      </w:tr>
      <w:tr w:rsidR="002B7276" w:rsidRPr="002B7276" w14:paraId="0792C7B9" w14:textId="77777777" w:rsidTr="00EF7331">
        <w:trPr>
          <w:trHeight w:val="243"/>
        </w:trPr>
        <w:tc>
          <w:tcPr>
            <w:tcW w:w="2977" w:type="dxa"/>
            <w:tcBorders>
              <w:top w:val="nil"/>
              <w:left w:val="nil"/>
              <w:bottom w:val="nil"/>
              <w:right w:val="nil"/>
            </w:tcBorders>
            <w:shd w:val="clear" w:color="000000" w:fill="E0E0E0"/>
            <w:vAlign w:val="center"/>
            <w:hideMark/>
          </w:tcPr>
          <w:p w14:paraId="7BC798A3" w14:textId="77777777" w:rsidR="006A3DBC" w:rsidRPr="002B7276" w:rsidRDefault="006A3DBC" w:rsidP="00F118B2">
            <w:pPr>
              <w:spacing w:after="0" w:line="240" w:lineRule="auto"/>
              <w:jc w:val="center"/>
              <w:rPr>
                <w:rFonts w:eastAsia="Times New Roman" w:cs="Arial"/>
                <w:b/>
                <w:bCs/>
                <w:sz w:val="22"/>
                <w:lang w:eastAsia="es-SV"/>
              </w:rPr>
            </w:pPr>
            <w:r w:rsidRPr="002B7276">
              <w:rPr>
                <w:rFonts w:eastAsia="Times New Roman" w:cs="Arial"/>
                <w:b/>
                <w:bCs/>
                <w:sz w:val="22"/>
                <w:lang w:eastAsia="es-SV"/>
              </w:rPr>
              <w:t>Total</w:t>
            </w:r>
          </w:p>
        </w:tc>
        <w:tc>
          <w:tcPr>
            <w:tcW w:w="1101" w:type="dxa"/>
            <w:tcBorders>
              <w:top w:val="nil"/>
              <w:left w:val="nil"/>
              <w:bottom w:val="single" w:sz="8" w:space="0" w:color="AEAEAE"/>
              <w:right w:val="nil"/>
            </w:tcBorders>
            <w:shd w:val="clear" w:color="auto" w:fill="auto"/>
            <w:vAlign w:val="center"/>
            <w:hideMark/>
          </w:tcPr>
          <w:p w14:paraId="33379648" w14:textId="2724CEC1" w:rsidR="006A3DBC" w:rsidRPr="002B7276" w:rsidRDefault="006A3DBC" w:rsidP="00F118B2">
            <w:pPr>
              <w:spacing w:after="0" w:line="240" w:lineRule="auto"/>
              <w:jc w:val="center"/>
              <w:rPr>
                <w:rFonts w:eastAsia="Times New Roman" w:cs="Arial"/>
                <w:b/>
                <w:bCs/>
                <w:sz w:val="22"/>
                <w:lang w:eastAsia="es-SV"/>
              </w:rPr>
            </w:pPr>
            <w:r w:rsidRPr="002B7276">
              <w:rPr>
                <w:rFonts w:eastAsia="Times New Roman" w:cs="Arial"/>
                <w:b/>
                <w:bCs/>
                <w:sz w:val="22"/>
                <w:lang w:eastAsia="es-SV"/>
              </w:rPr>
              <w:t>133</w:t>
            </w:r>
            <w:r w:rsidR="006E6A16" w:rsidRPr="002B7276">
              <w:rPr>
                <w:rFonts w:eastAsia="Times New Roman" w:cs="Arial"/>
                <w:b/>
                <w:bCs/>
                <w:sz w:val="22"/>
                <w:lang w:eastAsia="es-SV"/>
              </w:rPr>
              <w:t>,</w:t>
            </w:r>
            <w:r w:rsidRPr="002B7276">
              <w:rPr>
                <w:rFonts w:eastAsia="Times New Roman" w:cs="Arial"/>
                <w:b/>
                <w:bCs/>
                <w:sz w:val="22"/>
                <w:lang w:eastAsia="es-SV"/>
              </w:rPr>
              <w:t>767</w:t>
            </w:r>
          </w:p>
        </w:tc>
        <w:tc>
          <w:tcPr>
            <w:tcW w:w="1814" w:type="dxa"/>
            <w:tcBorders>
              <w:top w:val="nil"/>
              <w:left w:val="nil"/>
              <w:bottom w:val="single" w:sz="8" w:space="0" w:color="AEAEAE"/>
              <w:right w:val="nil"/>
            </w:tcBorders>
            <w:shd w:val="clear" w:color="auto" w:fill="auto"/>
            <w:vAlign w:val="center"/>
            <w:hideMark/>
          </w:tcPr>
          <w:p w14:paraId="768D25BD" w14:textId="257240B5" w:rsidR="006A3DBC" w:rsidRPr="002B7276" w:rsidRDefault="006A3DBC" w:rsidP="00F118B2">
            <w:pPr>
              <w:spacing w:after="0" w:line="240" w:lineRule="auto"/>
              <w:jc w:val="center"/>
              <w:rPr>
                <w:rFonts w:eastAsia="Times New Roman" w:cs="Arial"/>
                <w:b/>
                <w:bCs/>
                <w:sz w:val="22"/>
                <w:lang w:eastAsia="es-SV"/>
              </w:rPr>
            </w:pPr>
            <w:r w:rsidRPr="002B7276">
              <w:rPr>
                <w:rFonts w:eastAsia="Times New Roman" w:cs="Arial"/>
                <w:b/>
                <w:bCs/>
                <w:sz w:val="22"/>
                <w:lang w:eastAsia="es-SV"/>
              </w:rPr>
              <w:t>46</w:t>
            </w:r>
            <w:r w:rsidR="006E6A16" w:rsidRPr="002B7276">
              <w:rPr>
                <w:rFonts w:eastAsia="Times New Roman" w:cs="Arial"/>
                <w:b/>
                <w:bCs/>
                <w:sz w:val="22"/>
                <w:lang w:eastAsia="es-SV"/>
              </w:rPr>
              <w:t>,</w:t>
            </w:r>
            <w:r w:rsidRPr="002B7276">
              <w:rPr>
                <w:rFonts w:eastAsia="Times New Roman" w:cs="Arial"/>
                <w:b/>
                <w:bCs/>
                <w:sz w:val="22"/>
                <w:lang w:eastAsia="es-SV"/>
              </w:rPr>
              <w:t>956</w:t>
            </w:r>
          </w:p>
        </w:tc>
        <w:tc>
          <w:tcPr>
            <w:tcW w:w="1838" w:type="dxa"/>
            <w:tcBorders>
              <w:top w:val="nil"/>
              <w:left w:val="nil"/>
              <w:bottom w:val="single" w:sz="8" w:space="0" w:color="AEAEAE"/>
              <w:right w:val="nil"/>
            </w:tcBorders>
            <w:shd w:val="clear" w:color="auto" w:fill="auto"/>
            <w:vAlign w:val="center"/>
            <w:hideMark/>
          </w:tcPr>
          <w:p w14:paraId="1FEDBED8" w14:textId="731F6B81" w:rsidR="006A3DBC" w:rsidRPr="002B7276" w:rsidRDefault="006A3DBC" w:rsidP="00F118B2">
            <w:pPr>
              <w:spacing w:after="0" w:line="240" w:lineRule="auto"/>
              <w:jc w:val="center"/>
              <w:rPr>
                <w:rFonts w:eastAsia="Times New Roman" w:cs="Arial"/>
                <w:b/>
                <w:bCs/>
                <w:sz w:val="22"/>
                <w:lang w:eastAsia="es-SV"/>
              </w:rPr>
            </w:pPr>
            <w:r w:rsidRPr="002B7276">
              <w:rPr>
                <w:rFonts w:eastAsia="Times New Roman" w:cs="Arial"/>
                <w:b/>
                <w:bCs/>
                <w:sz w:val="22"/>
                <w:lang w:eastAsia="es-SV"/>
              </w:rPr>
              <w:t>149</w:t>
            </w:r>
            <w:r w:rsidR="006E6A16" w:rsidRPr="002B7276">
              <w:rPr>
                <w:rFonts w:eastAsia="Times New Roman" w:cs="Arial"/>
                <w:b/>
                <w:bCs/>
                <w:sz w:val="22"/>
                <w:lang w:eastAsia="es-SV"/>
              </w:rPr>
              <w:t>,</w:t>
            </w:r>
            <w:r w:rsidRPr="002B7276">
              <w:rPr>
                <w:rFonts w:eastAsia="Times New Roman" w:cs="Arial"/>
                <w:b/>
                <w:bCs/>
                <w:sz w:val="22"/>
                <w:lang w:eastAsia="es-SV"/>
              </w:rPr>
              <w:t>190</w:t>
            </w:r>
          </w:p>
        </w:tc>
        <w:tc>
          <w:tcPr>
            <w:tcW w:w="1933" w:type="dxa"/>
            <w:tcBorders>
              <w:top w:val="nil"/>
              <w:left w:val="nil"/>
              <w:bottom w:val="single" w:sz="8" w:space="0" w:color="AEAEAE"/>
              <w:right w:val="nil"/>
            </w:tcBorders>
            <w:shd w:val="clear" w:color="auto" w:fill="auto"/>
            <w:noWrap/>
            <w:vAlign w:val="center"/>
            <w:hideMark/>
          </w:tcPr>
          <w:p w14:paraId="7EBF2F9E" w14:textId="23DD294E" w:rsidR="006A3DBC" w:rsidRPr="002B7276" w:rsidRDefault="006A3DBC" w:rsidP="003639EA">
            <w:pPr>
              <w:spacing w:after="0" w:line="240" w:lineRule="auto"/>
              <w:jc w:val="center"/>
              <w:rPr>
                <w:rFonts w:eastAsia="Times New Roman" w:cs="Arial"/>
                <w:b/>
                <w:bCs/>
                <w:sz w:val="22"/>
                <w:lang w:eastAsia="es-SV"/>
              </w:rPr>
            </w:pPr>
            <w:r w:rsidRPr="002B7276">
              <w:rPr>
                <w:rFonts w:eastAsia="Times New Roman" w:cs="Arial"/>
                <w:b/>
                <w:bCs/>
                <w:sz w:val="22"/>
                <w:lang w:eastAsia="es-SV"/>
              </w:rPr>
              <w:t>329</w:t>
            </w:r>
            <w:r w:rsidR="006E6A16" w:rsidRPr="002B7276">
              <w:rPr>
                <w:rFonts w:eastAsia="Times New Roman" w:cs="Arial"/>
                <w:b/>
                <w:bCs/>
                <w:sz w:val="22"/>
                <w:lang w:eastAsia="es-SV"/>
              </w:rPr>
              <w:t>,</w:t>
            </w:r>
            <w:r w:rsidRPr="002B7276">
              <w:rPr>
                <w:rFonts w:eastAsia="Times New Roman" w:cs="Arial"/>
                <w:b/>
                <w:bCs/>
                <w:sz w:val="22"/>
                <w:lang w:eastAsia="es-SV"/>
              </w:rPr>
              <w:t>913</w:t>
            </w:r>
          </w:p>
        </w:tc>
      </w:tr>
    </w:tbl>
    <w:p w14:paraId="2504B97C" w14:textId="77777777" w:rsidR="006A3DBC" w:rsidRPr="00FA4B2D" w:rsidRDefault="006A3DBC" w:rsidP="00016847">
      <w:pPr>
        <w:rPr>
          <w:rFonts w:cs="Arial"/>
          <w:sz w:val="20"/>
          <w:szCs w:val="20"/>
        </w:rPr>
      </w:pPr>
      <w:r w:rsidRPr="00FA4B2D">
        <w:rPr>
          <w:rFonts w:cs="Arial"/>
          <w:b/>
          <w:bCs/>
          <w:sz w:val="20"/>
          <w:szCs w:val="20"/>
        </w:rPr>
        <w:t>Fuente</w:t>
      </w:r>
      <w:r w:rsidRPr="00FA4B2D">
        <w:rPr>
          <w:rFonts w:cs="Arial"/>
          <w:sz w:val="20"/>
          <w:szCs w:val="20"/>
        </w:rPr>
        <w:t>: elaboración propia con base a datos de la EHPM 2019.</w:t>
      </w:r>
    </w:p>
    <w:p w14:paraId="2F4FE5A7" w14:textId="77777777" w:rsidR="006A3DBC" w:rsidRPr="00FA4B2D" w:rsidRDefault="006A3DBC" w:rsidP="00411720">
      <w:pPr>
        <w:pStyle w:val="Prrafodelista"/>
        <w:numPr>
          <w:ilvl w:val="0"/>
          <w:numId w:val="101"/>
        </w:numPr>
        <w:rPr>
          <w:rFonts w:cs="Arial"/>
          <w:i/>
          <w:iCs/>
          <w:szCs w:val="24"/>
        </w:rPr>
      </w:pPr>
      <w:bookmarkStart w:id="703" w:name="_Toc156586912"/>
      <w:r w:rsidRPr="00FA4B2D">
        <w:rPr>
          <w:rFonts w:cs="Arial"/>
          <w:i/>
          <w:iCs/>
          <w:szCs w:val="24"/>
        </w:rPr>
        <w:t>Tipo de fenómenos naturales que han ocasionado daño en viviendas</w:t>
      </w:r>
      <w:bookmarkEnd w:id="703"/>
      <w:r w:rsidRPr="00FA4B2D">
        <w:rPr>
          <w:rFonts w:cs="Arial"/>
          <w:i/>
          <w:iCs/>
          <w:szCs w:val="24"/>
        </w:rPr>
        <w:t xml:space="preserve"> </w:t>
      </w:r>
    </w:p>
    <w:p w14:paraId="272A0EE3" w14:textId="77777777" w:rsidR="006A3DBC" w:rsidRDefault="006A3DBC" w:rsidP="006A3DBC">
      <w:pPr>
        <w:jc w:val="both"/>
        <w:rPr>
          <w:rFonts w:cs="Arial"/>
          <w:bCs/>
        </w:rPr>
      </w:pPr>
      <w:r w:rsidRPr="00FA4B2D">
        <w:rPr>
          <w:rFonts w:cs="Arial"/>
          <w:bCs/>
        </w:rPr>
        <w:t>En los últimos 12 meses, previos a la Encuesta de hogares, esta consulta si la vivienda o el hogar se vio afectada por algún fenómeno natural, catástrofe o problema, como podemos observar a nivel de los tres departamentos, se registró un total de 178,242 reportes de viviendas/hogares afectados, según recolectó el INE. Estos obedecen en la mayoría a fenómenos naturales recurrentes como vientos fuertes y huracanes y la incidencia de sequías principalmente, entre otros fenómenos naturales y provocados, como se presenta a continuación de manera desagregada:</w:t>
      </w:r>
    </w:p>
    <w:p w14:paraId="7557354E" w14:textId="77777777" w:rsidR="002B7276" w:rsidRPr="00FA4B2D" w:rsidRDefault="002B7276" w:rsidP="006A3DBC">
      <w:pPr>
        <w:jc w:val="both"/>
        <w:rPr>
          <w:rFonts w:cs="Arial"/>
          <w:bCs/>
        </w:rPr>
      </w:pPr>
    </w:p>
    <w:p w14:paraId="2436EBCD" w14:textId="1799A9F0" w:rsidR="00EF7331" w:rsidRDefault="00EF7331" w:rsidP="00EF7331">
      <w:pPr>
        <w:pStyle w:val="Descripcin"/>
        <w:keepNext/>
      </w:pPr>
      <w:bookmarkStart w:id="704" w:name="_Toc202455460"/>
      <w:r>
        <w:lastRenderedPageBreak/>
        <w:t xml:space="preserve">Tabla </w:t>
      </w:r>
      <w:r>
        <w:fldChar w:fldCharType="begin"/>
      </w:r>
      <w:r>
        <w:instrText xml:space="preserve"> SEQ Tabla \* ARABIC </w:instrText>
      </w:r>
      <w:r>
        <w:fldChar w:fldCharType="separate"/>
      </w:r>
      <w:r w:rsidR="000E6D86">
        <w:rPr>
          <w:noProof/>
        </w:rPr>
        <w:t>34</w:t>
      </w:r>
      <w:r>
        <w:fldChar w:fldCharType="end"/>
      </w:r>
      <w:r>
        <w:t xml:space="preserve">: </w:t>
      </w:r>
      <w:r w:rsidRPr="00D325A1">
        <w:t>Fenómenos naturales que han afectado o causado daños en viviendas, 2019</w:t>
      </w:r>
      <w:bookmarkEnd w:id="704"/>
    </w:p>
    <w:tbl>
      <w:tblPr>
        <w:tblW w:w="9332" w:type="dxa"/>
        <w:tblCellMar>
          <w:left w:w="70" w:type="dxa"/>
          <w:right w:w="70" w:type="dxa"/>
        </w:tblCellMar>
        <w:tblLook w:val="04A0" w:firstRow="1" w:lastRow="0" w:firstColumn="1" w:lastColumn="0" w:noHBand="0" w:noVBand="1"/>
      </w:tblPr>
      <w:tblGrid>
        <w:gridCol w:w="2978"/>
        <w:gridCol w:w="1101"/>
        <w:gridCol w:w="1693"/>
        <w:gridCol w:w="1693"/>
        <w:gridCol w:w="1867"/>
      </w:tblGrid>
      <w:tr w:rsidR="002B7276" w:rsidRPr="002B7276" w14:paraId="5BA616C3" w14:textId="77777777" w:rsidTr="00EF7331">
        <w:trPr>
          <w:trHeight w:val="272"/>
          <w:tblHeader/>
        </w:trPr>
        <w:tc>
          <w:tcPr>
            <w:tcW w:w="2978" w:type="dxa"/>
            <w:tcBorders>
              <w:top w:val="single" w:sz="8" w:space="0" w:color="AEAEAE"/>
              <w:left w:val="nil"/>
              <w:bottom w:val="nil"/>
              <w:right w:val="nil"/>
            </w:tcBorders>
            <w:shd w:val="clear" w:color="auto" w:fill="5CC5DA"/>
            <w:vAlign w:val="center"/>
            <w:hideMark/>
          </w:tcPr>
          <w:p w14:paraId="2B26CBC6" w14:textId="77777777" w:rsidR="006A3DBC" w:rsidRPr="002B7276" w:rsidRDefault="006A3DBC" w:rsidP="005F4A92">
            <w:pPr>
              <w:spacing w:after="0" w:line="240" w:lineRule="auto"/>
              <w:jc w:val="center"/>
              <w:rPr>
                <w:rFonts w:eastAsia="Times New Roman" w:cs="Arial"/>
                <w:b/>
                <w:sz w:val="22"/>
                <w:lang w:eastAsia="es-SV"/>
              </w:rPr>
            </w:pPr>
            <w:r w:rsidRPr="002B7276">
              <w:rPr>
                <w:rFonts w:eastAsia="Times New Roman" w:cs="Arial"/>
                <w:b/>
                <w:sz w:val="22"/>
                <w:lang w:eastAsia="es-SV"/>
              </w:rPr>
              <w:t>Tipo de fenómeno</w:t>
            </w:r>
          </w:p>
        </w:tc>
        <w:tc>
          <w:tcPr>
            <w:tcW w:w="1101" w:type="dxa"/>
            <w:tcBorders>
              <w:top w:val="single" w:sz="8" w:space="0" w:color="AEAEAE"/>
              <w:left w:val="nil"/>
              <w:bottom w:val="single" w:sz="8" w:space="0" w:color="AEAEAE"/>
              <w:right w:val="nil"/>
            </w:tcBorders>
            <w:shd w:val="clear" w:color="auto" w:fill="5CC5DA"/>
            <w:vAlign w:val="center"/>
            <w:hideMark/>
          </w:tcPr>
          <w:p w14:paraId="0A642C0C" w14:textId="77777777" w:rsidR="006A3DBC" w:rsidRPr="002B7276" w:rsidRDefault="006A3DBC" w:rsidP="005F4A92">
            <w:pPr>
              <w:spacing w:after="0" w:line="240" w:lineRule="auto"/>
              <w:jc w:val="center"/>
              <w:rPr>
                <w:rFonts w:eastAsia="Times New Roman" w:cs="Arial"/>
                <w:b/>
                <w:bCs/>
                <w:sz w:val="22"/>
                <w:lang w:eastAsia="es-SV"/>
              </w:rPr>
            </w:pPr>
            <w:r w:rsidRPr="002B7276">
              <w:rPr>
                <w:rFonts w:eastAsia="Times New Roman" w:cs="Arial"/>
                <w:b/>
                <w:bCs/>
                <w:sz w:val="22"/>
                <w:lang w:eastAsia="es-SV"/>
              </w:rPr>
              <w:t>Olancho</w:t>
            </w:r>
          </w:p>
        </w:tc>
        <w:tc>
          <w:tcPr>
            <w:tcW w:w="1693" w:type="dxa"/>
            <w:tcBorders>
              <w:top w:val="single" w:sz="8" w:space="0" w:color="AEAEAE"/>
              <w:left w:val="nil"/>
              <w:bottom w:val="single" w:sz="8" w:space="0" w:color="AEAEAE"/>
              <w:right w:val="nil"/>
            </w:tcBorders>
            <w:shd w:val="clear" w:color="auto" w:fill="5CC5DA"/>
            <w:vAlign w:val="center"/>
            <w:hideMark/>
          </w:tcPr>
          <w:p w14:paraId="3FFA75EB" w14:textId="77777777" w:rsidR="006A3DBC" w:rsidRPr="002B7276" w:rsidRDefault="006A3DBC" w:rsidP="005F4A92">
            <w:pPr>
              <w:spacing w:after="0" w:line="240" w:lineRule="auto"/>
              <w:jc w:val="center"/>
              <w:rPr>
                <w:rFonts w:eastAsia="Times New Roman" w:cs="Arial"/>
                <w:b/>
                <w:bCs/>
                <w:sz w:val="22"/>
                <w:lang w:eastAsia="es-SV"/>
              </w:rPr>
            </w:pPr>
            <w:r w:rsidRPr="002B7276">
              <w:rPr>
                <w:rFonts w:eastAsia="Times New Roman" w:cs="Arial"/>
                <w:b/>
                <w:bCs/>
                <w:sz w:val="22"/>
                <w:lang w:eastAsia="es-SV"/>
              </w:rPr>
              <w:t>Valle</w:t>
            </w:r>
          </w:p>
        </w:tc>
        <w:tc>
          <w:tcPr>
            <w:tcW w:w="1693" w:type="dxa"/>
            <w:tcBorders>
              <w:top w:val="single" w:sz="8" w:space="0" w:color="AEAEAE"/>
              <w:left w:val="nil"/>
              <w:bottom w:val="single" w:sz="8" w:space="0" w:color="AEAEAE"/>
              <w:right w:val="nil"/>
            </w:tcBorders>
            <w:shd w:val="clear" w:color="auto" w:fill="5CC5DA"/>
            <w:vAlign w:val="center"/>
            <w:hideMark/>
          </w:tcPr>
          <w:p w14:paraId="068A7CA2" w14:textId="77777777" w:rsidR="006A3DBC" w:rsidRPr="002B7276" w:rsidRDefault="006A3DBC" w:rsidP="005F4A92">
            <w:pPr>
              <w:spacing w:after="0" w:line="240" w:lineRule="auto"/>
              <w:jc w:val="center"/>
              <w:rPr>
                <w:rFonts w:eastAsia="Times New Roman" w:cs="Arial"/>
                <w:b/>
                <w:bCs/>
                <w:sz w:val="22"/>
                <w:lang w:eastAsia="es-SV"/>
              </w:rPr>
            </w:pPr>
            <w:r w:rsidRPr="002B7276">
              <w:rPr>
                <w:rFonts w:eastAsia="Times New Roman" w:cs="Arial"/>
                <w:b/>
                <w:bCs/>
                <w:sz w:val="22"/>
                <w:lang w:eastAsia="es-SV"/>
              </w:rPr>
              <w:t>Yoro</w:t>
            </w:r>
          </w:p>
        </w:tc>
        <w:tc>
          <w:tcPr>
            <w:tcW w:w="1867" w:type="dxa"/>
            <w:tcBorders>
              <w:top w:val="single" w:sz="8" w:space="0" w:color="AEAEAE"/>
              <w:left w:val="nil"/>
              <w:bottom w:val="single" w:sz="8" w:space="0" w:color="AEAEAE"/>
              <w:right w:val="nil"/>
            </w:tcBorders>
            <w:shd w:val="clear" w:color="auto" w:fill="5CC5DA"/>
            <w:noWrap/>
            <w:vAlign w:val="center"/>
            <w:hideMark/>
          </w:tcPr>
          <w:p w14:paraId="09DC188A" w14:textId="77777777" w:rsidR="006A3DBC" w:rsidRPr="002B7276" w:rsidRDefault="006A3DBC" w:rsidP="005F4A92">
            <w:pPr>
              <w:spacing w:after="0" w:line="240" w:lineRule="auto"/>
              <w:jc w:val="center"/>
              <w:rPr>
                <w:rFonts w:eastAsia="Times New Roman" w:cs="Arial"/>
                <w:b/>
                <w:bCs/>
                <w:sz w:val="22"/>
                <w:lang w:eastAsia="es-SV"/>
              </w:rPr>
            </w:pPr>
            <w:r w:rsidRPr="002B7276">
              <w:rPr>
                <w:rFonts w:eastAsia="Times New Roman" w:cs="Arial"/>
                <w:b/>
                <w:bCs/>
                <w:sz w:val="22"/>
                <w:lang w:eastAsia="es-SV"/>
              </w:rPr>
              <w:t>Total</w:t>
            </w:r>
          </w:p>
        </w:tc>
      </w:tr>
      <w:tr w:rsidR="002B7276" w:rsidRPr="002B7276" w14:paraId="6CD1C29C" w14:textId="77777777" w:rsidTr="00EF7331">
        <w:trPr>
          <w:trHeight w:val="272"/>
        </w:trPr>
        <w:tc>
          <w:tcPr>
            <w:tcW w:w="2978" w:type="dxa"/>
            <w:tcBorders>
              <w:top w:val="single" w:sz="8" w:space="0" w:color="AEAEAE"/>
              <w:left w:val="nil"/>
              <w:bottom w:val="nil"/>
              <w:right w:val="nil"/>
            </w:tcBorders>
            <w:shd w:val="clear" w:color="000000" w:fill="E0E0E0"/>
            <w:noWrap/>
            <w:vAlign w:val="center"/>
            <w:hideMark/>
          </w:tcPr>
          <w:p w14:paraId="0DC40C43" w14:textId="77777777" w:rsidR="006A3DBC" w:rsidRPr="002B7276" w:rsidRDefault="006A3DBC" w:rsidP="003639EA">
            <w:pPr>
              <w:spacing w:after="0" w:line="240" w:lineRule="auto"/>
              <w:jc w:val="both"/>
              <w:rPr>
                <w:rFonts w:eastAsia="Times New Roman" w:cs="Arial"/>
                <w:sz w:val="22"/>
                <w:lang w:eastAsia="es-SV"/>
              </w:rPr>
            </w:pPr>
            <w:r w:rsidRPr="002B7276">
              <w:rPr>
                <w:rFonts w:eastAsia="Times New Roman" w:cs="Arial"/>
                <w:sz w:val="22"/>
                <w:lang w:eastAsia="es-SV"/>
              </w:rPr>
              <w:t>Ninguno</w:t>
            </w:r>
          </w:p>
        </w:tc>
        <w:tc>
          <w:tcPr>
            <w:tcW w:w="1101" w:type="dxa"/>
            <w:tcBorders>
              <w:top w:val="nil"/>
              <w:left w:val="nil"/>
              <w:bottom w:val="single" w:sz="8" w:space="0" w:color="AEAEAE"/>
              <w:right w:val="nil"/>
            </w:tcBorders>
            <w:shd w:val="clear" w:color="auto" w:fill="auto"/>
            <w:vAlign w:val="center"/>
            <w:hideMark/>
          </w:tcPr>
          <w:p w14:paraId="35171C84" w14:textId="01242CD1"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59</w:t>
            </w:r>
            <w:r w:rsidR="00BC7886" w:rsidRPr="002B7276">
              <w:rPr>
                <w:rFonts w:eastAsia="Times New Roman" w:cs="Arial"/>
                <w:sz w:val="22"/>
                <w:lang w:eastAsia="es-SV"/>
              </w:rPr>
              <w:t>,</w:t>
            </w:r>
            <w:r w:rsidRPr="002B7276">
              <w:rPr>
                <w:rFonts w:eastAsia="Times New Roman" w:cs="Arial"/>
                <w:sz w:val="22"/>
                <w:lang w:eastAsia="es-SV"/>
              </w:rPr>
              <w:t>664</w:t>
            </w:r>
          </w:p>
        </w:tc>
        <w:tc>
          <w:tcPr>
            <w:tcW w:w="1693" w:type="dxa"/>
            <w:tcBorders>
              <w:top w:val="nil"/>
              <w:left w:val="nil"/>
              <w:bottom w:val="single" w:sz="8" w:space="0" w:color="AEAEAE"/>
              <w:right w:val="nil"/>
            </w:tcBorders>
            <w:shd w:val="clear" w:color="auto" w:fill="auto"/>
            <w:vAlign w:val="center"/>
            <w:hideMark/>
          </w:tcPr>
          <w:p w14:paraId="52ADB3F1" w14:textId="2D73270B"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25</w:t>
            </w:r>
            <w:r w:rsidR="00BC7886" w:rsidRPr="002B7276">
              <w:rPr>
                <w:rFonts w:eastAsia="Times New Roman" w:cs="Arial"/>
                <w:sz w:val="22"/>
                <w:lang w:eastAsia="es-SV"/>
              </w:rPr>
              <w:t>,</w:t>
            </w:r>
            <w:r w:rsidRPr="002B7276">
              <w:rPr>
                <w:rFonts w:eastAsia="Times New Roman" w:cs="Arial"/>
                <w:sz w:val="22"/>
                <w:lang w:eastAsia="es-SV"/>
              </w:rPr>
              <w:t>799</w:t>
            </w:r>
          </w:p>
        </w:tc>
        <w:tc>
          <w:tcPr>
            <w:tcW w:w="1693" w:type="dxa"/>
            <w:tcBorders>
              <w:top w:val="nil"/>
              <w:left w:val="nil"/>
              <w:bottom w:val="single" w:sz="8" w:space="0" w:color="AEAEAE"/>
              <w:right w:val="nil"/>
            </w:tcBorders>
            <w:shd w:val="clear" w:color="auto" w:fill="auto"/>
            <w:vAlign w:val="center"/>
            <w:hideMark/>
          </w:tcPr>
          <w:p w14:paraId="6CDD0308" w14:textId="54045E08"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70</w:t>
            </w:r>
            <w:r w:rsidR="00BC7886" w:rsidRPr="002B7276">
              <w:rPr>
                <w:rFonts w:eastAsia="Times New Roman" w:cs="Arial"/>
                <w:sz w:val="22"/>
                <w:lang w:eastAsia="es-SV"/>
              </w:rPr>
              <w:t>,</w:t>
            </w:r>
            <w:r w:rsidRPr="002B7276">
              <w:rPr>
                <w:rFonts w:eastAsia="Times New Roman" w:cs="Arial"/>
                <w:sz w:val="22"/>
                <w:lang w:eastAsia="es-SV"/>
              </w:rPr>
              <w:t>515</w:t>
            </w:r>
          </w:p>
        </w:tc>
        <w:tc>
          <w:tcPr>
            <w:tcW w:w="1867" w:type="dxa"/>
            <w:tcBorders>
              <w:top w:val="nil"/>
              <w:left w:val="nil"/>
              <w:bottom w:val="single" w:sz="8" w:space="0" w:color="AEAEAE"/>
              <w:right w:val="nil"/>
            </w:tcBorders>
            <w:shd w:val="clear" w:color="auto" w:fill="auto"/>
            <w:noWrap/>
            <w:vAlign w:val="center"/>
            <w:hideMark/>
          </w:tcPr>
          <w:p w14:paraId="75CA4BFB" w14:textId="239D0AC8" w:rsidR="006A3DBC" w:rsidRPr="002B7276" w:rsidRDefault="006A3DBC" w:rsidP="003639EA">
            <w:pPr>
              <w:spacing w:after="0" w:line="240" w:lineRule="auto"/>
              <w:jc w:val="center"/>
              <w:rPr>
                <w:rFonts w:eastAsia="Times New Roman" w:cs="Arial"/>
                <w:sz w:val="22"/>
                <w:lang w:eastAsia="es-SV"/>
              </w:rPr>
            </w:pPr>
            <w:r w:rsidRPr="002B7276">
              <w:rPr>
                <w:rFonts w:eastAsia="Times New Roman" w:cs="Arial"/>
                <w:sz w:val="22"/>
                <w:lang w:eastAsia="es-SV"/>
              </w:rPr>
              <w:t>155</w:t>
            </w:r>
            <w:r w:rsidR="00BC7886" w:rsidRPr="002B7276">
              <w:rPr>
                <w:rFonts w:eastAsia="Times New Roman" w:cs="Arial"/>
                <w:sz w:val="22"/>
                <w:lang w:eastAsia="es-SV"/>
              </w:rPr>
              <w:t>,</w:t>
            </w:r>
            <w:r w:rsidRPr="002B7276">
              <w:rPr>
                <w:rFonts w:eastAsia="Times New Roman" w:cs="Arial"/>
                <w:sz w:val="22"/>
                <w:lang w:eastAsia="es-SV"/>
              </w:rPr>
              <w:t>978</w:t>
            </w:r>
          </w:p>
        </w:tc>
      </w:tr>
      <w:tr w:rsidR="002B7276" w:rsidRPr="002B7276" w14:paraId="1DF5E30F" w14:textId="77777777" w:rsidTr="00EF7331">
        <w:trPr>
          <w:trHeight w:val="791"/>
        </w:trPr>
        <w:tc>
          <w:tcPr>
            <w:tcW w:w="2978" w:type="dxa"/>
            <w:tcBorders>
              <w:top w:val="single" w:sz="8" w:space="0" w:color="AEAEAE"/>
              <w:left w:val="nil"/>
              <w:bottom w:val="nil"/>
              <w:right w:val="nil"/>
            </w:tcBorders>
            <w:shd w:val="clear" w:color="000000" w:fill="E0E0E0"/>
            <w:vAlign w:val="center"/>
            <w:hideMark/>
          </w:tcPr>
          <w:p w14:paraId="4623C033" w14:textId="77777777" w:rsidR="006A3DBC" w:rsidRPr="002B7276" w:rsidRDefault="006A3DBC" w:rsidP="003639EA">
            <w:pPr>
              <w:spacing w:after="0" w:line="240" w:lineRule="auto"/>
              <w:jc w:val="both"/>
              <w:rPr>
                <w:rFonts w:eastAsia="Times New Roman" w:cs="Arial"/>
                <w:sz w:val="22"/>
                <w:lang w:eastAsia="es-SV"/>
              </w:rPr>
            </w:pPr>
            <w:r w:rsidRPr="002B7276">
              <w:rPr>
                <w:rFonts w:eastAsia="Times New Roman" w:cs="Arial"/>
                <w:sz w:val="22"/>
                <w:lang w:eastAsia="es-SV"/>
              </w:rPr>
              <w:t>¿Vientos fuertes o huracanes?</w:t>
            </w:r>
          </w:p>
        </w:tc>
        <w:tc>
          <w:tcPr>
            <w:tcW w:w="1101" w:type="dxa"/>
            <w:tcBorders>
              <w:top w:val="nil"/>
              <w:left w:val="nil"/>
              <w:bottom w:val="single" w:sz="8" w:space="0" w:color="AEAEAE"/>
              <w:right w:val="nil"/>
            </w:tcBorders>
            <w:shd w:val="clear" w:color="auto" w:fill="auto"/>
            <w:vAlign w:val="center"/>
            <w:hideMark/>
          </w:tcPr>
          <w:p w14:paraId="64914329" w14:textId="3D28CB15"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2</w:t>
            </w:r>
            <w:r w:rsidR="00BC7886" w:rsidRPr="002B7276">
              <w:rPr>
                <w:rFonts w:eastAsia="Times New Roman" w:cs="Arial"/>
                <w:sz w:val="22"/>
                <w:lang w:eastAsia="es-SV"/>
              </w:rPr>
              <w:t>,</w:t>
            </w:r>
            <w:r w:rsidRPr="002B7276">
              <w:rPr>
                <w:rFonts w:eastAsia="Times New Roman" w:cs="Arial"/>
                <w:sz w:val="22"/>
                <w:lang w:eastAsia="es-SV"/>
              </w:rPr>
              <w:t>654</w:t>
            </w:r>
          </w:p>
        </w:tc>
        <w:tc>
          <w:tcPr>
            <w:tcW w:w="1693" w:type="dxa"/>
            <w:tcBorders>
              <w:top w:val="nil"/>
              <w:left w:val="nil"/>
              <w:bottom w:val="single" w:sz="8" w:space="0" w:color="AEAEAE"/>
              <w:right w:val="nil"/>
            </w:tcBorders>
            <w:shd w:val="clear" w:color="auto" w:fill="auto"/>
            <w:vAlign w:val="center"/>
            <w:hideMark/>
          </w:tcPr>
          <w:p w14:paraId="33CA658B" w14:textId="77777777"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506</w:t>
            </w:r>
          </w:p>
        </w:tc>
        <w:tc>
          <w:tcPr>
            <w:tcW w:w="1693" w:type="dxa"/>
            <w:tcBorders>
              <w:top w:val="nil"/>
              <w:left w:val="nil"/>
              <w:bottom w:val="single" w:sz="8" w:space="0" w:color="AEAEAE"/>
              <w:right w:val="nil"/>
            </w:tcBorders>
            <w:shd w:val="clear" w:color="auto" w:fill="auto"/>
            <w:vAlign w:val="center"/>
            <w:hideMark/>
          </w:tcPr>
          <w:p w14:paraId="76A663AE" w14:textId="19C28C05"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4</w:t>
            </w:r>
            <w:r w:rsidR="00BC7886" w:rsidRPr="002B7276">
              <w:rPr>
                <w:rFonts w:eastAsia="Times New Roman" w:cs="Arial"/>
                <w:sz w:val="22"/>
                <w:lang w:eastAsia="es-SV"/>
              </w:rPr>
              <w:t>,</w:t>
            </w:r>
            <w:r w:rsidRPr="002B7276">
              <w:rPr>
                <w:rFonts w:eastAsia="Times New Roman" w:cs="Arial"/>
                <w:sz w:val="22"/>
                <w:lang w:eastAsia="es-SV"/>
              </w:rPr>
              <w:t>284</w:t>
            </w:r>
          </w:p>
        </w:tc>
        <w:tc>
          <w:tcPr>
            <w:tcW w:w="1867" w:type="dxa"/>
            <w:tcBorders>
              <w:top w:val="nil"/>
              <w:left w:val="nil"/>
              <w:bottom w:val="single" w:sz="8" w:space="0" w:color="AEAEAE"/>
              <w:right w:val="nil"/>
            </w:tcBorders>
            <w:shd w:val="clear" w:color="auto" w:fill="auto"/>
            <w:noWrap/>
            <w:vAlign w:val="center"/>
            <w:hideMark/>
          </w:tcPr>
          <w:p w14:paraId="684AF069" w14:textId="54758C69" w:rsidR="006A3DBC" w:rsidRPr="002B7276" w:rsidRDefault="006A3DBC" w:rsidP="003639EA">
            <w:pPr>
              <w:spacing w:after="0" w:line="240" w:lineRule="auto"/>
              <w:jc w:val="center"/>
              <w:rPr>
                <w:rFonts w:eastAsia="Times New Roman" w:cs="Arial"/>
                <w:sz w:val="22"/>
                <w:lang w:eastAsia="es-SV"/>
              </w:rPr>
            </w:pPr>
            <w:r w:rsidRPr="002B7276">
              <w:rPr>
                <w:rFonts w:eastAsia="Times New Roman" w:cs="Arial"/>
                <w:sz w:val="22"/>
                <w:lang w:eastAsia="es-SV"/>
              </w:rPr>
              <w:t>7</w:t>
            </w:r>
            <w:r w:rsidR="00BC7886" w:rsidRPr="002B7276">
              <w:rPr>
                <w:rFonts w:eastAsia="Times New Roman" w:cs="Arial"/>
                <w:sz w:val="22"/>
                <w:lang w:eastAsia="es-SV"/>
              </w:rPr>
              <w:t>,</w:t>
            </w:r>
            <w:r w:rsidRPr="002B7276">
              <w:rPr>
                <w:rFonts w:eastAsia="Times New Roman" w:cs="Arial"/>
                <w:sz w:val="22"/>
                <w:lang w:eastAsia="es-SV"/>
              </w:rPr>
              <w:t>444</w:t>
            </w:r>
          </w:p>
        </w:tc>
      </w:tr>
      <w:tr w:rsidR="002B7276" w:rsidRPr="002B7276" w14:paraId="045BA9FE" w14:textId="77777777" w:rsidTr="00EF7331">
        <w:trPr>
          <w:trHeight w:val="272"/>
        </w:trPr>
        <w:tc>
          <w:tcPr>
            <w:tcW w:w="2978" w:type="dxa"/>
            <w:tcBorders>
              <w:top w:val="single" w:sz="8" w:space="0" w:color="AEAEAE"/>
              <w:left w:val="nil"/>
              <w:bottom w:val="nil"/>
              <w:right w:val="nil"/>
            </w:tcBorders>
            <w:shd w:val="clear" w:color="000000" w:fill="E0E0E0"/>
            <w:vAlign w:val="center"/>
            <w:hideMark/>
          </w:tcPr>
          <w:p w14:paraId="7D147409" w14:textId="77777777" w:rsidR="006A3DBC" w:rsidRPr="002B7276" w:rsidRDefault="006A3DBC" w:rsidP="003639EA">
            <w:pPr>
              <w:spacing w:after="0" w:line="240" w:lineRule="auto"/>
              <w:jc w:val="both"/>
              <w:rPr>
                <w:rFonts w:eastAsia="Times New Roman" w:cs="Arial"/>
                <w:sz w:val="22"/>
                <w:lang w:eastAsia="es-SV"/>
              </w:rPr>
            </w:pPr>
            <w:r w:rsidRPr="002B7276">
              <w:rPr>
                <w:rFonts w:eastAsia="Times New Roman" w:cs="Arial"/>
                <w:sz w:val="22"/>
                <w:lang w:eastAsia="es-SV"/>
              </w:rPr>
              <w:t>¿Sequías?</w:t>
            </w:r>
          </w:p>
        </w:tc>
        <w:tc>
          <w:tcPr>
            <w:tcW w:w="1101" w:type="dxa"/>
            <w:tcBorders>
              <w:top w:val="nil"/>
              <w:left w:val="nil"/>
              <w:bottom w:val="single" w:sz="8" w:space="0" w:color="AEAEAE"/>
              <w:right w:val="nil"/>
            </w:tcBorders>
            <w:shd w:val="clear" w:color="auto" w:fill="auto"/>
            <w:vAlign w:val="center"/>
            <w:hideMark/>
          </w:tcPr>
          <w:p w14:paraId="14B48950" w14:textId="34D47241"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3</w:t>
            </w:r>
            <w:r w:rsidR="00BC7886" w:rsidRPr="002B7276">
              <w:rPr>
                <w:rFonts w:eastAsia="Times New Roman" w:cs="Arial"/>
                <w:sz w:val="22"/>
                <w:lang w:eastAsia="es-SV"/>
              </w:rPr>
              <w:t>,</w:t>
            </w:r>
            <w:r w:rsidRPr="002B7276">
              <w:rPr>
                <w:rFonts w:eastAsia="Times New Roman" w:cs="Arial"/>
                <w:sz w:val="22"/>
                <w:lang w:eastAsia="es-SV"/>
              </w:rPr>
              <w:t>539</w:t>
            </w:r>
          </w:p>
        </w:tc>
        <w:tc>
          <w:tcPr>
            <w:tcW w:w="1693" w:type="dxa"/>
            <w:tcBorders>
              <w:top w:val="nil"/>
              <w:left w:val="nil"/>
              <w:bottom w:val="single" w:sz="8" w:space="0" w:color="AEAEAE"/>
              <w:right w:val="nil"/>
            </w:tcBorders>
            <w:shd w:val="clear" w:color="auto" w:fill="auto"/>
            <w:vAlign w:val="center"/>
            <w:hideMark/>
          </w:tcPr>
          <w:p w14:paraId="6D048845" w14:textId="77777777"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188</w:t>
            </w:r>
          </w:p>
        </w:tc>
        <w:tc>
          <w:tcPr>
            <w:tcW w:w="1693" w:type="dxa"/>
            <w:tcBorders>
              <w:top w:val="nil"/>
              <w:left w:val="nil"/>
              <w:bottom w:val="single" w:sz="8" w:space="0" w:color="AEAEAE"/>
              <w:right w:val="nil"/>
            </w:tcBorders>
            <w:shd w:val="clear" w:color="auto" w:fill="auto"/>
            <w:vAlign w:val="center"/>
            <w:hideMark/>
          </w:tcPr>
          <w:p w14:paraId="61ECA079" w14:textId="2DE4869E"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3</w:t>
            </w:r>
            <w:r w:rsidR="00BC7886" w:rsidRPr="002B7276">
              <w:rPr>
                <w:rFonts w:eastAsia="Times New Roman" w:cs="Arial"/>
                <w:sz w:val="22"/>
                <w:lang w:eastAsia="es-SV"/>
              </w:rPr>
              <w:t>,</w:t>
            </w:r>
            <w:r w:rsidRPr="002B7276">
              <w:rPr>
                <w:rFonts w:eastAsia="Times New Roman" w:cs="Arial"/>
                <w:sz w:val="22"/>
                <w:lang w:eastAsia="es-SV"/>
              </w:rPr>
              <w:t>479</w:t>
            </w:r>
          </w:p>
        </w:tc>
        <w:tc>
          <w:tcPr>
            <w:tcW w:w="1867" w:type="dxa"/>
            <w:tcBorders>
              <w:top w:val="nil"/>
              <w:left w:val="nil"/>
              <w:bottom w:val="single" w:sz="8" w:space="0" w:color="AEAEAE"/>
              <w:right w:val="nil"/>
            </w:tcBorders>
            <w:shd w:val="clear" w:color="auto" w:fill="auto"/>
            <w:noWrap/>
            <w:vAlign w:val="center"/>
            <w:hideMark/>
          </w:tcPr>
          <w:p w14:paraId="4DD520E4" w14:textId="75BB34CA" w:rsidR="006A3DBC" w:rsidRPr="002B7276" w:rsidRDefault="006A3DBC" w:rsidP="003639EA">
            <w:pPr>
              <w:spacing w:after="0" w:line="240" w:lineRule="auto"/>
              <w:jc w:val="center"/>
              <w:rPr>
                <w:rFonts w:eastAsia="Times New Roman" w:cs="Arial"/>
                <w:sz w:val="22"/>
                <w:lang w:eastAsia="es-SV"/>
              </w:rPr>
            </w:pPr>
            <w:r w:rsidRPr="002B7276">
              <w:rPr>
                <w:rFonts w:eastAsia="Times New Roman" w:cs="Arial"/>
                <w:sz w:val="22"/>
                <w:lang w:eastAsia="es-SV"/>
              </w:rPr>
              <w:t>7</w:t>
            </w:r>
            <w:r w:rsidR="00BC7886" w:rsidRPr="002B7276">
              <w:rPr>
                <w:rFonts w:eastAsia="Times New Roman" w:cs="Arial"/>
                <w:sz w:val="22"/>
                <w:lang w:eastAsia="es-SV"/>
              </w:rPr>
              <w:t>,</w:t>
            </w:r>
            <w:r w:rsidRPr="002B7276">
              <w:rPr>
                <w:rFonts w:eastAsia="Times New Roman" w:cs="Arial"/>
                <w:sz w:val="22"/>
                <w:lang w:eastAsia="es-SV"/>
              </w:rPr>
              <w:t>206</w:t>
            </w:r>
          </w:p>
        </w:tc>
      </w:tr>
      <w:tr w:rsidR="002B7276" w:rsidRPr="002B7276" w14:paraId="022957EA" w14:textId="77777777" w:rsidTr="00EF7331">
        <w:trPr>
          <w:trHeight w:val="1050"/>
        </w:trPr>
        <w:tc>
          <w:tcPr>
            <w:tcW w:w="2978" w:type="dxa"/>
            <w:tcBorders>
              <w:top w:val="single" w:sz="8" w:space="0" w:color="AEAEAE"/>
              <w:left w:val="nil"/>
              <w:bottom w:val="nil"/>
              <w:right w:val="nil"/>
            </w:tcBorders>
            <w:shd w:val="clear" w:color="000000" w:fill="E0E0E0"/>
            <w:vAlign w:val="center"/>
            <w:hideMark/>
          </w:tcPr>
          <w:p w14:paraId="4B951C9C" w14:textId="77777777" w:rsidR="006A3DBC" w:rsidRPr="002B7276" w:rsidRDefault="006A3DBC" w:rsidP="003639EA">
            <w:pPr>
              <w:spacing w:after="0" w:line="240" w:lineRule="auto"/>
              <w:jc w:val="both"/>
              <w:rPr>
                <w:rFonts w:eastAsia="Times New Roman" w:cs="Arial"/>
                <w:sz w:val="22"/>
                <w:lang w:eastAsia="es-SV"/>
              </w:rPr>
            </w:pPr>
            <w:r w:rsidRPr="002B7276">
              <w:rPr>
                <w:rFonts w:eastAsia="Times New Roman" w:cs="Arial"/>
                <w:sz w:val="22"/>
                <w:lang w:eastAsia="es-SV"/>
              </w:rPr>
              <w:t>¿Inundaciones repentinas?</w:t>
            </w:r>
          </w:p>
        </w:tc>
        <w:tc>
          <w:tcPr>
            <w:tcW w:w="1101" w:type="dxa"/>
            <w:tcBorders>
              <w:top w:val="nil"/>
              <w:left w:val="nil"/>
              <w:bottom w:val="single" w:sz="8" w:space="0" w:color="AEAEAE"/>
              <w:right w:val="nil"/>
            </w:tcBorders>
            <w:shd w:val="clear" w:color="auto" w:fill="auto"/>
            <w:vAlign w:val="center"/>
            <w:hideMark/>
          </w:tcPr>
          <w:p w14:paraId="32777460" w14:textId="77777777"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887</w:t>
            </w:r>
          </w:p>
        </w:tc>
        <w:tc>
          <w:tcPr>
            <w:tcW w:w="1693" w:type="dxa"/>
            <w:tcBorders>
              <w:top w:val="nil"/>
              <w:left w:val="nil"/>
              <w:bottom w:val="single" w:sz="8" w:space="0" w:color="AEAEAE"/>
              <w:right w:val="nil"/>
            </w:tcBorders>
            <w:shd w:val="clear" w:color="auto" w:fill="auto"/>
            <w:vAlign w:val="center"/>
            <w:hideMark/>
          </w:tcPr>
          <w:p w14:paraId="2BB84957" w14:textId="32B515B8"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1</w:t>
            </w:r>
            <w:r w:rsidR="00BC7886" w:rsidRPr="002B7276">
              <w:rPr>
                <w:rFonts w:eastAsia="Times New Roman" w:cs="Arial"/>
                <w:sz w:val="22"/>
                <w:lang w:eastAsia="es-SV"/>
              </w:rPr>
              <w:t>,</w:t>
            </w:r>
            <w:r w:rsidRPr="002B7276">
              <w:rPr>
                <w:rFonts w:eastAsia="Times New Roman" w:cs="Arial"/>
                <w:sz w:val="22"/>
                <w:lang w:eastAsia="es-SV"/>
              </w:rPr>
              <w:t>791</w:t>
            </w:r>
          </w:p>
        </w:tc>
        <w:tc>
          <w:tcPr>
            <w:tcW w:w="1693" w:type="dxa"/>
            <w:tcBorders>
              <w:top w:val="nil"/>
              <w:left w:val="nil"/>
              <w:bottom w:val="single" w:sz="8" w:space="0" w:color="AEAEAE"/>
              <w:right w:val="nil"/>
            </w:tcBorders>
            <w:shd w:val="clear" w:color="auto" w:fill="auto"/>
            <w:vAlign w:val="center"/>
            <w:hideMark/>
          </w:tcPr>
          <w:p w14:paraId="57E24680" w14:textId="67BA94E4"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1</w:t>
            </w:r>
            <w:r w:rsidR="00BC7886" w:rsidRPr="002B7276">
              <w:rPr>
                <w:rFonts w:eastAsia="Times New Roman" w:cs="Arial"/>
                <w:sz w:val="22"/>
                <w:lang w:eastAsia="es-SV"/>
              </w:rPr>
              <w:t>,</w:t>
            </w:r>
            <w:r w:rsidRPr="002B7276">
              <w:rPr>
                <w:rFonts w:eastAsia="Times New Roman" w:cs="Arial"/>
                <w:sz w:val="22"/>
                <w:lang w:eastAsia="es-SV"/>
              </w:rPr>
              <w:t>484</w:t>
            </w:r>
          </w:p>
        </w:tc>
        <w:tc>
          <w:tcPr>
            <w:tcW w:w="1867" w:type="dxa"/>
            <w:tcBorders>
              <w:top w:val="nil"/>
              <w:left w:val="nil"/>
              <w:bottom w:val="single" w:sz="8" w:space="0" w:color="AEAEAE"/>
              <w:right w:val="nil"/>
            </w:tcBorders>
            <w:shd w:val="clear" w:color="auto" w:fill="auto"/>
            <w:noWrap/>
            <w:vAlign w:val="center"/>
            <w:hideMark/>
          </w:tcPr>
          <w:p w14:paraId="1EB789AC" w14:textId="4BBADF9B" w:rsidR="006A3DBC" w:rsidRPr="002B7276" w:rsidRDefault="006A3DBC" w:rsidP="003639EA">
            <w:pPr>
              <w:spacing w:after="0" w:line="240" w:lineRule="auto"/>
              <w:jc w:val="center"/>
              <w:rPr>
                <w:rFonts w:eastAsia="Times New Roman" w:cs="Arial"/>
                <w:sz w:val="22"/>
                <w:lang w:eastAsia="es-SV"/>
              </w:rPr>
            </w:pPr>
            <w:r w:rsidRPr="002B7276">
              <w:rPr>
                <w:rFonts w:eastAsia="Times New Roman" w:cs="Arial"/>
                <w:sz w:val="22"/>
                <w:lang w:eastAsia="es-SV"/>
              </w:rPr>
              <w:t>4</w:t>
            </w:r>
            <w:r w:rsidR="00BC7886" w:rsidRPr="002B7276">
              <w:rPr>
                <w:rFonts w:eastAsia="Times New Roman" w:cs="Arial"/>
                <w:sz w:val="22"/>
                <w:lang w:eastAsia="es-SV"/>
              </w:rPr>
              <w:t>,</w:t>
            </w:r>
            <w:r w:rsidRPr="002B7276">
              <w:rPr>
                <w:rFonts w:eastAsia="Times New Roman" w:cs="Arial"/>
                <w:sz w:val="22"/>
                <w:lang w:eastAsia="es-SV"/>
              </w:rPr>
              <w:t>162</w:t>
            </w:r>
          </w:p>
        </w:tc>
      </w:tr>
      <w:tr w:rsidR="002B7276" w:rsidRPr="002B7276" w14:paraId="6EB0033A" w14:textId="77777777" w:rsidTr="00EF7331">
        <w:trPr>
          <w:trHeight w:val="531"/>
        </w:trPr>
        <w:tc>
          <w:tcPr>
            <w:tcW w:w="2978" w:type="dxa"/>
            <w:tcBorders>
              <w:top w:val="single" w:sz="8" w:space="0" w:color="AEAEAE"/>
              <w:left w:val="nil"/>
              <w:bottom w:val="nil"/>
              <w:right w:val="nil"/>
            </w:tcBorders>
            <w:shd w:val="clear" w:color="000000" w:fill="E0E0E0"/>
            <w:vAlign w:val="center"/>
            <w:hideMark/>
          </w:tcPr>
          <w:p w14:paraId="071E69FA" w14:textId="77777777" w:rsidR="006A3DBC" w:rsidRPr="002B7276" w:rsidRDefault="006A3DBC" w:rsidP="003639EA">
            <w:pPr>
              <w:spacing w:after="0" w:line="240" w:lineRule="auto"/>
              <w:jc w:val="both"/>
              <w:rPr>
                <w:rFonts w:eastAsia="Times New Roman" w:cs="Arial"/>
                <w:sz w:val="22"/>
                <w:lang w:eastAsia="es-SV"/>
              </w:rPr>
            </w:pPr>
            <w:r w:rsidRPr="002B7276">
              <w:rPr>
                <w:rFonts w:eastAsia="Times New Roman" w:cs="Arial"/>
                <w:sz w:val="22"/>
                <w:lang w:eastAsia="es-SV"/>
              </w:rPr>
              <w:t>¿Inundaciones lentas?</w:t>
            </w:r>
          </w:p>
        </w:tc>
        <w:tc>
          <w:tcPr>
            <w:tcW w:w="1101" w:type="dxa"/>
            <w:tcBorders>
              <w:top w:val="nil"/>
              <w:left w:val="nil"/>
              <w:bottom w:val="single" w:sz="8" w:space="0" w:color="AEAEAE"/>
              <w:right w:val="nil"/>
            </w:tcBorders>
            <w:shd w:val="clear" w:color="auto" w:fill="auto"/>
            <w:vAlign w:val="center"/>
            <w:hideMark/>
          </w:tcPr>
          <w:p w14:paraId="34D4579E" w14:textId="77777777"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714</w:t>
            </w:r>
          </w:p>
        </w:tc>
        <w:tc>
          <w:tcPr>
            <w:tcW w:w="1693" w:type="dxa"/>
            <w:tcBorders>
              <w:top w:val="nil"/>
              <w:left w:val="nil"/>
              <w:bottom w:val="single" w:sz="8" w:space="0" w:color="AEAEAE"/>
              <w:right w:val="nil"/>
            </w:tcBorders>
            <w:shd w:val="clear" w:color="auto" w:fill="auto"/>
            <w:vAlign w:val="center"/>
            <w:hideMark/>
          </w:tcPr>
          <w:p w14:paraId="513210EB" w14:textId="77777777"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0</w:t>
            </w:r>
          </w:p>
        </w:tc>
        <w:tc>
          <w:tcPr>
            <w:tcW w:w="1693" w:type="dxa"/>
            <w:tcBorders>
              <w:top w:val="nil"/>
              <w:left w:val="nil"/>
              <w:bottom w:val="single" w:sz="8" w:space="0" w:color="AEAEAE"/>
              <w:right w:val="nil"/>
            </w:tcBorders>
            <w:shd w:val="clear" w:color="auto" w:fill="auto"/>
            <w:vAlign w:val="center"/>
            <w:hideMark/>
          </w:tcPr>
          <w:p w14:paraId="08BFF1BC" w14:textId="77777777"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627</w:t>
            </w:r>
          </w:p>
        </w:tc>
        <w:tc>
          <w:tcPr>
            <w:tcW w:w="1867" w:type="dxa"/>
            <w:tcBorders>
              <w:top w:val="nil"/>
              <w:left w:val="nil"/>
              <w:bottom w:val="single" w:sz="8" w:space="0" w:color="AEAEAE"/>
              <w:right w:val="nil"/>
            </w:tcBorders>
            <w:shd w:val="clear" w:color="auto" w:fill="auto"/>
            <w:noWrap/>
            <w:vAlign w:val="center"/>
            <w:hideMark/>
          </w:tcPr>
          <w:p w14:paraId="46A979BC" w14:textId="3D145F58" w:rsidR="006A3DBC" w:rsidRPr="002B7276" w:rsidRDefault="006A3DBC" w:rsidP="003639EA">
            <w:pPr>
              <w:spacing w:after="0" w:line="240" w:lineRule="auto"/>
              <w:jc w:val="center"/>
              <w:rPr>
                <w:rFonts w:eastAsia="Times New Roman" w:cs="Arial"/>
                <w:sz w:val="22"/>
                <w:lang w:eastAsia="es-SV"/>
              </w:rPr>
            </w:pPr>
            <w:r w:rsidRPr="002B7276">
              <w:rPr>
                <w:rFonts w:eastAsia="Times New Roman" w:cs="Arial"/>
                <w:sz w:val="22"/>
                <w:lang w:eastAsia="es-SV"/>
              </w:rPr>
              <w:t>1</w:t>
            </w:r>
            <w:r w:rsidR="00BC7886" w:rsidRPr="002B7276">
              <w:rPr>
                <w:rFonts w:eastAsia="Times New Roman" w:cs="Arial"/>
                <w:sz w:val="22"/>
                <w:lang w:eastAsia="es-SV"/>
              </w:rPr>
              <w:t>,</w:t>
            </w:r>
            <w:r w:rsidRPr="002B7276">
              <w:rPr>
                <w:rFonts w:eastAsia="Times New Roman" w:cs="Arial"/>
                <w:sz w:val="22"/>
                <w:lang w:eastAsia="es-SV"/>
              </w:rPr>
              <w:t>341</w:t>
            </w:r>
          </w:p>
        </w:tc>
      </w:tr>
      <w:tr w:rsidR="002B7276" w:rsidRPr="002B7276" w14:paraId="518D254A" w14:textId="77777777" w:rsidTr="00EF7331">
        <w:trPr>
          <w:trHeight w:val="1050"/>
        </w:trPr>
        <w:tc>
          <w:tcPr>
            <w:tcW w:w="2978" w:type="dxa"/>
            <w:tcBorders>
              <w:top w:val="single" w:sz="8" w:space="0" w:color="AEAEAE"/>
              <w:left w:val="nil"/>
              <w:bottom w:val="nil"/>
              <w:right w:val="nil"/>
            </w:tcBorders>
            <w:shd w:val="clear" w:color="000000" w:fill="E0E0E0"/>
            <w:vAlign w:val="center"/>
            <w:hideMark/>
          </w:tcPr>
          <w:p w14:paraId="7178B16B" w14:textId="77777777" w:rsidR="006A3DBC" w:rsidRPr="002B7276" w:rsidRDefault="006A3DBC" w:rsidP="003639EA">
            <w:pPr>
              <w:spacing w:after="0" w:line="240" w:lineRule="auto"/>
              <w:jc w:val="both"/>
              <w:rPr>
                <w:rFonts w:eastAsia="Times New Roman" w:cs="Arial"/>
                <w:sz w:val="22"/>
                <w:lang w:eastAsia="es-SV"/>
              </w:rPr>
            </w:pPr>
            <w:r w:rsidRPr="002B7276">
              <w:rPr>
                <w:rFonts w:eastAsia="Times New Roman" w:cs="Arial"/>
                <w:sz w:val="22"/>
                <w:lang w:eastAsia="es-SV"/>
              </w:rPr>
              <w:t>Deslizamiento / derrumbe / alud?</w:t>
            </w:r>
          </w:p>
        </w:tc>
        <w:tc>
          <w:tcPr>
            <w:tcW w:w="1101" w:type="dxa"/>
            <w:tcBorders>
              <w:top w:val="nil"/>
              <w:left w:val="nil"/>
              <w:bottom w:val="single" w:sz="8" w:space="0" w:color="AEAEAE"/>
              <w:right w:val="nil"/>
            </w:tcBorders>
            <w:shd w:val="clear" w:color="auto" w:fill="auto"/>
            <w:vAlign w:val="center"/>
            <w:hideMark/>
          </w:tcPr>
          <w:p w14:paraId="3E3B3EB2" w14:textId="77777777"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406</w:t>
            </w:r>
          </w:p>
        </w:tc>
        <w:tc>
          <w:tcPr>
            <w:tcW w:w="1693" w:type="dxa"/>
            <w:tcBorders>
              <w:top w:val="nil"/>
              <w:left w:val="nil"/>
              <w:bottom w:val="single" w:sz="8" w:space="0" w:color="AEAEAE"/>
              <w:right w:val="nil"/>
            </w:tcBorders>
            <w:shd w:val="clear" w:color="auto" w:fill="auto"/>
            <w:vAlign w:val="center"/>
            <w:hideMark/>
          </w:tcPr>
          <w:p w14:paraId="01E11101" w14:textId="77777777"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205</w:t>
            </w:r>
          </w:p>
        </w:tc>
        <w:tc>
          <w:tcPr>
            <w:tcW w:w="1693" w:type="dxa"/>
            <w:tcBorders>
              <w:top w:val="nil"/>
              <w:left w:val="nil"/>
              <w:bottom w:val="single" w:sz="8" w:space="0" w:color="AEAEAE"/>
              <w:right w:val="nil"/>
            </w:tcBorders>
            <w:shd w:val="clear" w:color="auto" w:fill="auto"/>
            <w:vAlign w:val="center"/>
            <w:hideMark/>
          </w:tcPr>
          <w:p w14:paraId="3255FAC7" w14:textId="77777777"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640</w:t>
            </w:r>
          </w:p>
        </w:tc>
        <w:tc>
          <w:tcPr>
            <w:tcW w:w="1867" w:type="dxa"/>
            <w:tcBorders>
              <w:top w:val="nil"/>
              <w:left w:val="nil"/>
              <w:bottom w:val="single" w:sz="8" w:space="0" w:color="AEAEAE"/>
              <w:right w:val="nil"/>
            </w:tcBorders>
            <w:shd w:val="clear" w:color="auto" w:fill="auto"/>
            <w:noWrap/>
            <w:vAlign w:val="center"/>
            <w:hideMark/>
          </w:tcPr>
          <w:p w14:paraId="27826C9A" w14:textId="37A5392E" w:rsidR="006A3DBC" w:rsidRPr="002B7276" w:rsidRDefault="006A3DBC" w:rsidP="003639EA">
            <w:pPr>
              <w:spacing w:after="0" w:line="240" w:lineRule="auto"/>
              <w:jc w:val="center"/>
              <w:rPr>
                <w:rFonts w:eastAsia="Times New Roman" w:cs="Arial"/>
                <w:sz w:val="22"/>
                <w:lang w:eastAsia="es-SV"/>
              </w:rPr>
            </w:pPr>
            <w:r w:rsidRPr="002B7276">
              <w:rPr>
                <w:rFonts w:eastAsia="Times New Roman" w:cs="Arial"/>
                <w:sz w:val="22"/>
                <w:lang w:eastAsia="es-SV"/>
              </w:rPr>
              <w:t>1</w:t>
            </w:r>
            <w:r w:rsidR="00BC7886" w:rsidRPr="002B7276">
              <w:rPr>
                <w:rFonts w:eastAsia="Times New Roman" w:cs="Arial"/>
                <w:sz w:val="22"/>
                <w:lang w:eastAsia="es-SV"/>
              </w:rPr>
              <w:t>,</w:t>
            </w:r>
            <w:r w:rsidRPr="002B7276">
              <w:rPr>
                <w:rFonts w:eastAsia="Times New Roman" w:cs="Arial"/>
                <w:sz w:val="22"/>
                <w:lang w:eastAsia="es-SV"/>
              </w:rPr>
              <w:t>251</w:t>
            </w:r>
          </w:p>
        </w:tc>
      </w:tr>
      <w:tr w:rsidR="002B7276" w:rsidRPr="002B7276" w14:paraId="5D1F639B" w14:textId="77777777" w:rsidTr="00EF7331">
        <w:trPr>
          <w:trHeight w:val="272"/>
        </w:trPr>
        <w:tc>
          <w:tcPr>
            <w:tcW w:w="2978" w:type="dxa"/>
            <w:tcBorders>
              <w:top w:val="single" w:sz="8" w:space="0" w:color="AEAEAE"/>
              <w:left w:val="nil"/>
              <w:bottom w:val="nil"/>
              <w:right w:val="nil"/>
            </w:tcBorders>
            <w:shd w:val="clear" w:color="000000" w:fill="E0E0E0"/>
            <w:vAlign w:val="center"/>
            <w:hideMark/>
          </w:tcPr>
          <w:p w14:paraId="2EDC5D74" w14:textId="77777777" w:rsidR="006A3DBC" w:rsidRPr="002B7276" w:rsidRDefault="006A3DBC" w:rsidP="003639EA">
            <w:pPr>
              <w:spacing w:after="0" w:line="240" w:lineRule="auto"/>
              <w:jc w:val="both"/>
              <w:rPr>
                <w:rFonts w:eastAsia="Times New Roman" w:cs="Arial"/>
                <w:sz w:val="22"/>
                <w:lang w:eastAsia="es-SV"/>
              </w:rPr>
            </w:pPr>
            <w:r w:rsidRPr="002B7276">
              <w:rPr>
                <w:rFonts w:eastAsia="Times New Roman" w:cs="Arial"/>
                <w:sz w:val="22"/>
                <w:lang w:eastAsia="es-SV"/>
              </w:rPr>
              <w:t>¿Otros?</w:t>
            </w:r>
          </w:p>
        </w:tc>
        <w:tc>
          <w:tcPr>
            <w:tcW w:w="1101" w:type="dxa"/>
            <w:tcBorders>
              <w:top w:val="nil"/>
              <w:left w:val="nil"/>
              <w:bottom w:val="single" w:sz="8" w:space="0" w:color="AEAEAE"/>
              <w:right w:val="nil"/>
            </w:tcBorders>
            <w:shd w:val="clear" w:color="auto" w:fill="auto"/>
            <w:vAlign w:val="center"/>
            <w:hideMark/>
          </w:tcPr>
          <w:p w14:paraId="56F9EF40" w14:textId="77777777"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0</w:t>
            </w:r>
          </w:p>
        </w:tc>
        <w:tc>
          <w:tcPr>
            <w:tcW w:w="1693" w:type="dxa"/>
            <w:tcBorders>
              <w:top w:val="nil"/>
              <w:left w:val="nil"/>
              <w:bottom w:val="single" w:sz="8" w:space="0" w:color="AEAEAE"/>
              <w:right w:val="nil"/>
            </w:tcBorders>
            <w:shd w:val="clear" w:color="auto" w:fill="auto"/>
            <w:vAlign w:val="center"/>
            <w:hideMark/>
          </w:tcPr>
          <w:p w14:paraId="4D5C485C" w14:textId="77777777"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95</w:t>
            </w:r>
          </w:p>
        </w:tc>
        <w:tc>
          <w:tcPr>
            <w:tcW w:w="1693" w:type="dxa"/>
            <w:tcBorders>
              <w:top w:val="nil"/>
              <w:left w:val="nil"/>
              <w:bottom w:val="single" w:sz="8" w:space="0" w:color="AEAEAE"/>
              <w:right w:val="nil"/>
            </w:tcBorders>
            <w:shd w:val="clear" w:color="auto" w:fill="auto"/>
            <w:vAlign w:val="center"/>
            <w:hideMark/>
          </w:tcPr>
          <w:p w14:paraId="6850D0A7" w14:textId="77777777"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495</w:t>
            </w:r>
          </w:p>
        </w:tc>
        <w:tc>
          <w:tcPr>
            <w:tcW w:w="1867" w:type="dxa"/>
            <w:tcBorders>
              <w:top w:val="nil"/>
              <w:left w:val="nil"/>
              <w:bottom w:val="single" w:sz="8" w:space="0" w:color="AEAEAE"/>
              <w:right w:val="nil"/>
            </w:tcBorders>
            <w:shd w:val="clear" w:color="auto" w:fill="auto"/>
            <w:noWrap/>
            <w:vAlign w:val="center"/>
            <w:hideMark/>
          </w:tcPr>
          <w:p w14:paraId="7F6191B2" w14:textId="77777777" w:rsidR="006A3DBC" w:rsidRPr="002B7276" w:rsidRDefault="006A3DBC" w:rsidP="003639EA">
            <w:pPr>
              <w:spacing w:after="0" w:line="240" w:lineRule="auto"/>
              <w:jc w:val="center"/>
              <w:rPr>
                <w:rFonts w:eastAsia="Times New Roman" w:cs="Arial"/>
                <w:sz w:val="22"/>
                <w:lang w:eastAsia="es-SV"/>
              </w:rPr>
            </w:pPr>
            <w:r w:rsidRPr="002B7276">
              <w:rPr>
                <w:rFonts w:eastAsia="Times New Roman" w:cs="Arial"/>
                <w:sz w:val="22"/>
                <w:lang w:eastAsia="es-SV"/>
              </w:rPr>
              <w:t>590</w:t>
            </w:r>
          </w:p>
        </w:tc>
      </w:tr>
      <w:tr w:rsidR="002B7276" w:rsidRPr="002B7276" w14:paraId="0C736FCE" w14:textId="77777777" w:rsidTr="00EF7331">
        <w:trPr>
          <w:trHeight w:val="531"/>
        </w:trPr>
        <w:tc>
          <w:tcPr>
            <w:tcW w:w="2978" w:type="dxa"/>
            <w:tcBorders>
              <w:top w:val="single" w:sz="8" w:space="0" w:color="AEAEAE"/>
              <w:left w:val="nil"/>
              <w:bottom w:val="nil"/>
              <w:right w:val="nil"/>
            </w:tcBorders>
            <w:shd w:val="clear" w:color="000000" w:fill="E0E0E0"/>
            <w:vAlign w:val="center"/>
            <w:hideMark/>
          </w:tcPr>
          <w:p w14:paraId="183D1A96" w14:textId="77777777" w:rsidR="006A3DBC" w:rsidRPr="002B7276" w:rsidRDefault="006A3DBC" w:rsidP="003639EA">
            <w:pPr>
              <w:spacing w:after="0" w:line="240" w:lineRule="auto"/>
              <w:jc w:val="both"/>
              <w:rPr>
                <w:rFonts w:eastAsia="Times New Roman" w:cs="Arial"/>
                <w:sz w:val="22"/>
                <w:lang w:eastAsia="es-SV"/>
              </w:rPr>
            </w:pPr>
            <w:r w:rsidRPr="002B7276">
              <w:rPr>
                <w:rFonts w:eastAsia="Times New Roman" w:cs="Arial"/>
                <w:sz w:val="22"/>
                <w:lang w:eastAsia="es-SV"/>
              </w:rPr>
              <w:t>¿Terremoto?</w:t>
            </w:r>
          </w:p>
        </w:tc>
        <w:tc>
          <w:tcPr>
            <w:tcW w:w="1101" w:type="dxa"/>
            <w:tcBorders>
              <w:top w:val="nil"/>
              <w:left w:val="nil"/>
              <w:bottom w:val="single" w:sz="8" w:space="0" w:color="AEAEAE"/>
              <w:right w:val="nil"/>
            </w:tcBorders>
            <w:shd w:val="clear" w:color="auto" w:fill="auto"/>
            <w:vAlign w:val="center"/>
            <w:hideMark/>
          </w:tcPr>
          <w:p w14:paraId="7B31A7D5" w14:textId="77777777"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80</w:t>
            </w:r>
          </w:p>
        </w:tc>
        <w:tc>
          <w:tcPr>
            <w:tcW w:w="1693" w:type="dxa"/>
            <w:tcBorders>
              <w:top w:val="nil"/>
              <w:left w:val="nil"/>
              <w:bottom w:val="single" w:sz="8" w:space="0" w:color="AEAEAE"/>
              <w:right w:val="nil"/>
            </w:tcBorders>
            <w:shd w:val="clear" w:color="auto" w:fill="auto"/>
            <w:vAlign w:val="center"/>
            <w:hideMark/>
          </w:tcPr>
          <w:p w14:paraId="3B009130" w14:textId="77777777"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0</w:t>
            </w:r>
          </w:p>
        </w:tc>
        <w:tc>
          <w:tcPr>
            <w:tcW w:w="1693" w:type="dxa"/>
            <w:tcBorders>
              <w:top w:val="nil"/>
              <w:left w:val="nil"/>
              <w:bottom w:val="single" w:sz="8" w:space="0" w:color="AEAEAE"/>
              <w:right w:val="nil"/>
            </w:tcBorders>
            <w:shd w:val="clear" w:color="auto" w:fill="auto"/>
            <w:vAlign w:val="center"/>
            <w:hideMark/>
          </w:tcPr>
          <w:p w14:paraId="1FCEAD30" w14:textId="77777777"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95</w:t>
            </w:r>
          </w:p>
        </w:tc>
        <w:tc>
          <w:tcPr>
            <w:tcW w:w="1867" w:type="dxa"/>
            <w:tcBorders>
              <w:top w:val="nil"/>
              <w:left w:val="nil"/>
              <w:bottom w:val="single" w:sz="8" w:space="0" w:color="AEAEAE"/>
              <w:right w:val="nil"/>
            </w:tcBorders>
            <w:shd w:val="clear" w:color="auto" w:fill="auto"/>
            <w:noWrap/>
            <w:vAlign w:val="center"/>
            <w:hideMark/>
          </w:tcPr>
          <w:p w14:paraId="56D6E09B" w14:textId="77777777" w:rsidR="006A3DBC" w:rsidRPr="002B7276" w:rsidRDefault="006A3DBC" w:rsidP="003639EA">
            <w:pPr>
              <w:spacing w:after="0" w:line="240" w:lineRule="auto"/>
              <w:jc w:val="center"/>
              <w:rPr>
                <w:rFonts w:eastAsia="Times New Roman" w:cs="Arial"/>
                <w:sz w:val="22"/>
                <w:lang w:eastAsia="es-SV"/>
              </w:rPr>
            </w:pPr>
            <w:r w:rsidRPr="002B7276">
              <w:rPr>
                <w:rFonts w:eastAsia="Times New Roman" w:cs="Arial"/>
                <w:sz w:val="22"/>
                <w:lang w:eastAsia="es-SV"/>
              </w:rPr>
              <w:t>175</w:t>
            </w:r>
          </w:p>
        </w:tc>
      </w:tr>
      <w:tr w:rsidR="002B7276" w:rsidRPr="002B7276" w14:paraId="6E82B6FF" w14:textId="77777777" w:rsidTr="00EF7331">
        <w:trPr>
          <w:trHeight w:val="531"/>
        </w:trPr>
        <w:tc>
          <w:tcPr>
            <w:tcW w:w="2978" w:type="dxa"/>
            <w:tcBorders>
              <w:top w:val="single" w:sz="8" w:space="0" w:color="AEAEAE"/>
              <w:left w:val="nil"/>
              <w:bottom w:val="nil"/>
              <w:right w:val="nil"/>
            </w:tcBorders>
            <w:shd w:val="clear" w:color="000000" w:fill="E0E0E0"/>
            <w:vAlign w:val="center"/>
            <w:hideMark/>
          </w:tcPr>
          <w:p w14:paraId="4394EEFA" w14:textId="77777777" w:rsidR="006A3DBC" w:rsidRPr="002B7276" w:rsidRDefault="006A3DBC" w:rsidP="003639EA">
            <w:pPr>
              <w:spacing w:after="0" w:line="240" w:lineRule="auto"/>
              <w:jc w:val="both"/>
              <w:rPr>
                <w:rFonts w:eastAsia="Times New Roman" w:cs="Arial"/>
                <w:sz w:val="22"/>
                <w:lang w:eastAsia="es-SV"/>
              </w:rPr>
            </w:pPr>
            <w:r w:rsidRPr="002B7276">
              <w:rPr>
                <w:rFonts w:eastAsia="Times New Roman" w:cs="Arial"/>
                <w:sz w:val="22"/>
                <w:lang w:eastAsia="es-SV"/>
              </w:rPr>
              <w:t>¿Incendios?</w:t>
            </w:r>
          </w:p>
        </w:tc>
        <w:tc>
          <w:tcPr>
            <w:tcW w:w="1101" w:type="dxa"/>
            <w:tcBorders>
              <w:top w:val="nil"/>
              <w:left w:val="nil"/>
              <w:bottom w:val="single" w:sz="8" w:space="0" w:color="AEAEAE"/>
              <w:right w:val="nil"/>
            </w:tcBorders>
            <w:shd w:val="clear" w:color="auto" w:fill="auto"/>
            <w:vAlign w:val="center"/>
            <w:hideMark/>
          </w:tcPr>
          <w:p w14:paraId="43A0CF0D" w14:textId="77777777"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0</w:t>
            </w:r>
          </w:p>
        </w:tc>
        <w:tc>
          <w:tcPr>
            <w:tcW w:w="1693" w:type="dxa"/>
            <w:tcBorders>
              <w:top w:val="nil"/>
              <w:left w:val="nil"/>
              <w:bottom w:val="single" w:sz="8" w:space="0" w:color="AEAEAE"/>
              <w:right w:val="nil"/>
            </w:tcBorders>
            <w:shd w:val="clear" w:color="auto" w:fill="auto"/>
            <w:vAlign w:val="center"/>
            <w:hideMark/>
          </w:tcPr>
          <w:p w14:paraId="0B340496" w14:textId="77777777"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0</w:t>
            </w:r>
          </w:p>
        </w:tc>
        <w:tc>
          <w:tcPr>
            <w:tcW w:w="1693" w:type="dxa"/>
            <w:tcBorders>
              <w:top w:val="nil"/>
              <w:left w:val="nil"/>
              <w:bottom w:val="single" w:sz="8" w:space="0" w:color="AEAEAE"/>
              <w:right w:val="nil"/>
            </w:tcBorders>
            <w:shd w:val="clear" w:color="auto" w:fill="auto"/>
            <w:vAlign w:val="center"/>
            <w:hideMark/>
          </w:tcPr>
          <w:p w14:paraId="65A0A051" w14:textId="77777777" w:rsidR="006A3DBC" w:rsidRPr="002B7276" w:rsidRDefault="006A3DBC" w:rsidP="005F4A92">
            <w:pPr>
              <w:spacing w:after="0" w:line="240" w:lineRule="auto"/>
              <w:jc w:val="center"/>
              <w:rPr>
                <w:rFonts w:eastAsia="Times New Roman" w:cs="Arial"/>
                <w:sz w:val="22"/>
                <w:lang w:eastAsia="es-SV"/>
              </w:rPr>
            </w:pPr>
            <w:r w:rsidRPr="002B7276">
              <w:rPr>
                <w:rFonts w:eastAsia="Times New Roman" w:cs="Arial"/>
                <w:sz w:val="22"/>
                <w:lang w:eastAsia="es-SV"/>
              </w:rPr>
              <w:t>95</w:t>
            </w:r>
          </w:p>
        </w:tc>
        <w:tc>
          <w:tcPr>
            <w:tcW w:w="1867" w:type="dxa"/>
            <w:tcBorders>
              <w:top w:val="nil"/>
              <w:left w:val="nil"/>
              <w:bottom w:val="single" w:sz="8" w:space="0" w:color="AEAEAE"/>
              <w:right w:val="nil"/>
            </w:tcBorders>
            <w:shd w:val="clear" w:color="auto" w:fill="auto"/>
            <w:noWrap/>
            <w:vAlign w:val="center"/>
            <w:hideMark/>
          </w:tcPr>
          <w:p w14:paraId="5E333B9C" w14:textId="77777777" w:rsidR="006A3DBC" w:rsidRPr="002B7276" w:rsidRDefault="006A3DBC" w:rsidP="003639EA">
            <w:pPr>
              <w:spacing w:after="0" w:line="240" w:lineRule="auto"/>
              <w:jc w:val="center"/>
              <w:rPr>
                <w:rFonts w:eastAsia="Times New Roman" w:cs="Arial"/>
                <w:sz w:val="22"/>
                <w:lang w:eastAsia="es-SV"/>
              </w:rPr>
            </w:pPr>
            <w:r w:rsidRPr="002B7276">
              <w:rPr>
                <w:rFonts w:eastAsia="Times New Roman" w:cs="Arial"/>
                <w:sz w:val="22"/>
                <w:lang w:eastAsia="es-SV"/>
              </w:rPr>
              <w:t>95</w:t>
            </w:r>
          </w:p>
        </w:tc>
      </w:tr>
      <w:tr w:rsidR="002B7276" w:rsidRPr="002B7276" w14:paraId="2D37D095" w14:textId="77777777" w:rsidTr="00EF7331">
        <w:trPr>
          <w:trHeight w:val="272"/>
        </w:trPr>
        <w:tc>
          <w:tcPr>
            <w:tcW w:w="2978" w:type="dxa"/>
            <w:tcBorders>
              <w:top w:val="single" w:sz="8" w:space="0" w:color="AEAEAE"/>
              <w:left w:val="nil"/>
              <w:bottom w:val="single" w:sz="8" w:space="0" w:color="AEAEAE"/>
              <w:right w:val="nil"/>
            </w:tcBorders>
            <w:shd w:val="clear" w:color="000000" w:fill="E0E0E0"/>
            <w:vAlign w:val="center"/>
            <w:hideMark/>
          </w:tcPr>
          <w:p w14:paraId="27B340FC" w14:textId="77777777" w:rsidR="006A3DBC" w:rsidRPr="002B7276" w:rsidRDefault="006A3DBC" w:rsidP="00BC7886">
            <w:pPr>
              <w:spacing w:after="0" w:line="240" w:lineRule="auto"/>
              <w:jc w:val="center"/>
              <w:rPr>
                <w:rFonts w:eastAsia="Times New Roman" w:cs="Arial"/>
                <w:b/>
                <w:bCs/>
                <w:sz w:val="22"/>
                <w:lang w:eastAsia="es-SV"/>
              </w:rPr>
            </w:pPr>
            <w:r w:rsidRPr="002B7276">
              <w:rPr>
                <w:rFonts w:eastAsia="Times New Roman" w:cs="Arial"/>
                <w:b/>
                <w:bCs/>
                <w:sz w:val="22"/>
                <w:lang w:eastAsia="es-SV"/>
              </w:rPr>
              <w:t>Total</w:t>
            </w:r>
          </w:p>
        </w:tc>
        <w:tc>
          <w:tcPr>
            <w:tcW w:w="1101" w:type="dxa"/>
            <w:tcBorders>
              <w:top w:val="nil"/>
              <w:left w:val="nil"/>
              <w:bottom w:val="single" w:sz="8" w:space="0" w:color="AEAEAE"/>
              <w:right w:val="nil"/>
            </w:tcBorders>
            <w:shd w:val="clear" w:color="auto" w:fill="auto"/>
            <w:vAlign w:val="center"/>
            <w:hideMark/>
          </w:tcPr>
          <w:p w14:paraId="22D0D033" w14:textId="400B7FC0" w:rsidR="006A3DBC" w:rsidRPr="002B7276" w:rsidRDefault="006A3DBC" w:rsidP="005F4A92">
            <w:pPr>
              <w:spacing w:after="0" w:line="240" w:lineRule="auto"/>
              <w:jc w:val="center"/>
              <w:rPr>
                <w:rFonts w:eastAsia="Times New Roman" w:cs="Arial"/>
                <w:b/>
                <w:bCs/>
                <w:sz w:val="22"/>
                <w:lang w:eastAsia="es-SV"/>
              </w:rPr>
            </w:pPr>
            <w:r w:rsidRPr="002B7276">
              <w:rPr>
                <w:rFonts w:eastAsia="Times New Roman" w:cs="Arial"/>
                <w:b/>
                <w:bCs/>
                <w:sz w:val="22"/>
                <w:lang w:eastAsia="es-SV"/>
              </w:rPr>
              <w:t>67</w:t>
            </w:r>
            <w:r w:rsidR="00BC7886" w:rsidRPr="002B7276">
              <w:rPr>
                <w:rFonts w:eastAsia="Times New Roman" w:cs="Arial"/>
                <w:b/>
                <w:bCs/>
                <w:sz w:val="22"/>
                <w:lang w:eastAsia="es-SV"/>
              </w:rPr>
              <w:t>,</w:t>
            </w:r>
            <w:r w:rsidRPr="002B7276">
              <w:rPr>
                <w:rFonts w:eastAsia="Times New Roman" w:cs="Arial"/>
                <w:b/>
                <w:bCs/>
                <w:sz w:val="22"/>
                <w:lang w:eastAsia="es-SV"/>
              </w:rPr>
              <w:t>944</w:t>
            </w:r>
          </w:p>
        </w:tc>
        <w:tc>
          <w:tcPr>
            <w:tcW w:w="1693" w:type="dxa"/>
            <w:tcBorders>
              <w:top w:val="nil"/>
              <w:left w:val="nil"/>
              <w:bottom w:val="single" w:sz="8" w:space="0" w:color="AEAEAE"/>
              <w:right w:val="nil"/>
            </w:tcBorders>
            <w:shd w:val="clear" w:color="auto" w:fill="auto"/>
            <w:vAlign w:val="center"/>
            <w:hideMark/>
          </w:tcPr>
          <w:p w14:paraId="3FD00766" w14:textId="1F8C5CF4" w:rsidR="006A3DBC" w:rsidRPr="002B7276" w:rsidRDefault="006A3DBC" w:rsidP="005F4A92">
            <w:pPr>
              <w:spacing w:after="0" w:line="240" w:lineRule="auto"/>
              <w:jc w:val="center"/>
              <w:rPr>
                <w:rFonts w:eastAsia="Times New Roman" w:cs="Arial"/>
                <w:b/>
                <w:bCs/>
                <w:sz w:val="22"/>
                <w:lang w:eastAsia="es-SV"/>
              </w:rPr>
            </w:pPr>
            <w:r w:rsidRPr="002B7276">
              <w:rPr>
                <w:rFonts w:eastAsia="Times New Roman" w:cs="Arial"/>
                <w:b/>
                <w:bCs/>
                <w:sz w:val="22"/>
                <w:lang w:eastAsia="es-SV"/>
              </w:rPr>
              <w:t>28</w:t>
            </w:r>
            <w:r w:rsidR="00BC7886" w:rsidRPr="002B7276">
              <w:rPr>
                <w:rFonts w:eastAsia="Times New Roman" w:cs="Arial"/>
                <w:b/>
                <w:bCs/>
                <w:sz w:val="22"/>
                <w:lang w:eastAsia="es-SV"/>
              </w:rPr>
              <w:t>,</w:t>
            </w:r>
            <w:r w:rsidRPr="002B7276">
              <w:rPr>
                <w:rFonts w:eastAsia="Times New Roman" w:cs="Arial"/>
                <w:b/>
                <w:bCs/>
                <w:sz w:val="22"/>
                <w:lang w:eastAsia="es-SV"/>
              </w:rPr>
              <w:t>584</w:t>
            </w:r>
          </w:p>
        </w:tc>
        <w:tc>
          <w:tcPr>
            <w:tcW w:w="1693" w:type="dxa"/>
            <w:tcBorders>
              <w:top w:val="nil"/>
              <w:left w:val="nil"/>
              <w:bottom w:val="single" w:sz="8" w:space="0" w:color="AEAEAE"/>
              <w:right w:val="nil"/>
            </w:tcBorders>
            <w:shd w:val="clear" w:color="auto" w:fill="auto"/>
            <w:vAlign w:val="center"/>
            <w:hideMark/>
          </w:tcPr>
          <w:p w14:paraId="2AB8A9D9" w14:textId="5C36C52A" w:rsidR="006A3DBC" w:rsidRPr="002B7276" w:rsidRDefault="006A3DBC" w:rsidP="005F4A92">
            <w:pPr>
              <w:spacing w:after="0" w:line="240" w:lineRule="auto"/>
              <w:jc w:val="center"/>
              <w:rPr>
                <w:rFonts w:eastAsia="Times New Roman" w:cs="Arial"/>
                <w:b/>
                <w:bCs/>
                <w:sz w:val="22"/>
                <w:lang w:eastAsia="es-SV"/>
              </w:rPr>
            </w:pPr>
            <w:r w:rsidRPr="002B7276">
              <w:rPr>
                <w:rFonts w:eastAsia="Times New Roman" w:cs="Arial"/>
                <w:b/>
                <w:bCs/>
                <w:sz w:val="22"/>
                <w:lang w:eastAsia="es-SV"/>
              </w:rPr>
              <w:t>81</w:t>
            </w:r>
            <w:r w:rsidR="00BC7886" w:rsidRPr="002B7276">
              <w:rPr>
                <w:rFonts w:eastAsia="Times New Roman" w:cs="Arial"/>
                <w:b/>
                <w:bCs/>
                <w:sz w:val="22"/>
                <w:lang w:eastAsia="es-SV"/>
              </w:rPr>
              <w:t>,</w:t>
            </w:r>
            <w:r w:rsidRPr="002B7276">
              <w:rPr>
                <w:rFonts w:eastAsia="Times New Roman" w:cs="Arial"/>
                <w:b/>
                <w:bCs/>
                <w:sz w:val="22"/>
                <w:lang w:eastAsia="es-SV"/>
              </w:rPr>
              <w:t>714</w:t>
            </w:r>
          </w:p>
        </w:tc>
        <w:tc>
          <w:tcPr>
            <w:tcW w:w="1867" w:type="dxa"/>
            <w:tcBorders>
              <w:top w:val="nil"/>
              <w:left w:val="nil"/>
              <w:bottom w:val="single" w:sz="8" w:space="0" w:color="AEAEAE"/>
              <w:right w:val="nil"/>
            </w:tcBorders>
            <w:shd w:val="clear" w:color="auto" w:fill="auto"/>
            <w:noWrap/>
            <w:vAlign w:val="center"/>
            <w:hideMark/>
          </w:tcPr>
          <w:p w14:paraId="0958C2DA" w14:textId="0DBBE884" w:rsidR="006A3DBC" w:rsidRPr="002B7276" w:rsidRDefault="006A3DBC" w:rsidP="003639EA">
            <w:pPr>
              <w:spacing w:after="0" w:line="240" w:lineRule="auto"/>
              <w:jc w:val="center"/>
              <w:rPr>
                <w:rFonts w:eastAsia="Times New Roman" w:cs="Arial"/>
                <w:b/>
                <w:bCs/>
                <w:sz w:val="22"/>
                <w:lang w:eastAsia="es-SV"/>
              </w:rPr>
            </w:pPr>
            <w:r w:rsidRPr="002B7276">
              <w:rPr>
                <w:rFonts w:eastAsia="Times New Roman" w:cs="Arial"/>
                <w:b/>
                <w:bCs/>
                <w:sz w:val="22"/>
                <w:lang w:eastAsia="es-SV"/>
              </w:rPr>
              <w:t>178</w:t>
            </w:r>
            <w:r w:rsidR="00BC7886" w:rsidRPr="002B7276">
              <w:rPr>
                <w:rFonts w:eastAsia="Times New Roman" w:cs="Arial"/>
                <w:b/>
                <w:bCs/>
                <w:sz w:val="22"/>
                <w:lang w:eastAsia="es-SV"/>
              </w:rPr>
              <w:t>,</w:t>
            </w:r>
            <w:r w:rsidRPr="002B7276">
              <w:rPr>
                <w:rFonts w:eastAsia="Times New Roman" w:cs="Arial"/>
                <w:b/>
                <w:bCs/>
                <w:sz w:val="22"/>
                <w:lang w:eastAsia="es-SV"/>
              </w:rPr>
              <w:t>242</w:t>
            </w:r>
          </w:p>
        </w:tc>
      </w:tr>
    </w:tbl>
    <w:p w14:paraId="51499E1F" w14:textId="77777777" w:rsidR="006A3DBC" w:rsidRPr="00FA4B2D" w:rsidRDefault="006A3DBC" w:rsidP="006A3DBC">
      <w:pPr>
        <w:jc w:val="center"/>
        <w:rPr>
          <w:rFonts w:cs="Arial"/>
          <w:sz w:val="20"/>
          <w:szCs w:val="20"/>
        </w:rPr>
      </w:pPr>
      <w:r w:rsidRPr="00FA4B2D">
        <w:rPr>
          <w:rFonts w:cs="Arial"/>
          <w:sz w:val="20"/>
          <w:szCs w:val="20"/>
          <w:lang w:eastAsia="es-SV"/>
        </w:rPr>
        <w:t xml:space="preserve"> </w:t>
      </w:r>
      <w:r w:rsidRPr="00FA4B2D">
        <w:rPr>
          <w:rFonts w:cs="Arial"/>
          <w:b/>
          <w:bCs/>
          <w:sz w:val="20"/>
          <w:szCs w:val="20"/>
        </w:rPr>
        <w:t>Fuente</w:t>
      </w:r>
      <w:r w:rsidRPr="00FA4B2D">
        <w:rPr>
          <w:rFonts w:cs="Arial"/>
          <w:sz w:val="20"/>
          <w:szCs w:val="20"/>
        </w:rPr>
        <w:t>: elaboración propia con base a datos de la EHPM 2019.</w:t>
      </w:r>
    </w:p>
    <w:p w14:paraId="1043FBBB" w14:textId="77777777" w:rsidR="006A3DBC" w:rsidRPr="00FA4B2D" w:rsidRDefault="006A3DBC" w:rsidP="00411720">
      <w:pPr>
        <w:pStyle w:val="Prrafodelista"/>
        <w:numPr>
          <w:ilvl w:val="0"/>
          <w:numId w:val="101"/>
        </w:numPr>
        <w:rPr>
          <w:rFonts w:cs="Arial"/>
          <w:i/>
          <w:iCs/>
          <w:szCs w:val="24"/>
        </w:rPr>
      </w:pPr>
      <w:bookmarkStart w:id="705" w:name="_Toc156586913"/>
      <w:r w:rsidRPr="00FA4B2D">
        <w:rPr>
          <w:rFonts w:cs="Arial"/>
          <w:i/>
          <w:iCs/>
          <w:szCs w:val="24"/>
        </w:rPr>
        <w:t>Tipo de combustible que utiliza el hogar para cocinar</w:t>
      </w:r>
      <w:bookmarkEnd w:id="705"/>
    </w:p>
    <w:p w14:paraId="1B1D0110" w14:textId="77777777" w:rsidR="006A3DBC" w:rsidRPr="00FA4B2D" w:rsidRDefault="006A3DBC" w:rsidP="006A3DBC">
      <w:pPr>
        <w:jc w:val="both"/>
        <w:rPr>
          <w:rFonts w:cs="Arial"/>
          <w:lang w:eastAsia="es-SV"/>
        </w:rPr>
      </w:pPr>
      <w:r w:rsidRPr="00FA4B2D">
        <w:rPr>
          <w:rFonts w:cs="Arial"/>
          <w:lang w:eastAsia="es-SV"/>
        </w:rPr>
        <w:t xml:space="preserve">A nivel de los tres departamentos, de manera agregada, la leña continúa siendo el principal combustible para cocinar, siendo que el 64.5% de los hogares (209,815 hogares) hacen uso de este mecanismo para realizar las actividades de cocina. </w:t>
      </w:r>
    </w:p>
    <w:p w14:paraId="42931D8C" w14:textId="487269B4" w:rsidR="00EF7331" w:rsidRDefault="00EF7331" w:rsidP="00EF7331">
      <w:pPr>
        <w:pStyle w:val="Descripcin"/>
        <w:keepNext/>
      </w:pPr>
      <w:bookmarkStart w:id="706" w:name="_Toc202455461"/>
      <w:r>
        <w:t xml:space="preserve">Tabla </w:t>
      </w:r>
      <w:r>
        <w:fldChar w:fldCharType="begin"/>
      </w:r>
      <w:r>
        <w:instrText xml:space="preserve"> SEQ Tabla \* ARABIC </w:instrText>
      </w:r>
      <w:r>
        <w:fldChar w:fldCharType="separate"/>
      </w:r>
      <w:r w:rsidR="000E6D86">
        <w:rPr>
          <w:noProof/>
        </w:rPr>
        <w:t>35</w:t>
      </w:r>
      <w:r>
        <w:fldChar w:fldCharType="end"/>
      </w:r>
      <w:r>
        <w:t xml:space="preserve">: </w:t>
      </w:r>
      <w:r w:rsidRPr="003228AF">
        <w:t>Uso de combustibles para cocinar</w:t>
      </w:r>
      <w:bookmarkEnd w:id="706"/>
    </w:p>
    <w:tbl>
      <w:tblPr>
        <w:tblW w:w="9815" w:type="dxa"/>
        <w:tblCellMar>
          <w:left w:w="70" w:type="dxa"/>
          <w:right w:w="70" w:type="dxa"/>
        </w:tblCellMar>
        <w:tblLook w:val="04A0" w:firstRow="1" w:lastRow="0" w:firstColumn="1" w:lastColumn="0" w:noHBand="0" w:noVBand="1"/>
      </w:tblPr>
      <w:tblGrid>
        <w:gridCol w:w="2057"/>
        <w:gridCol w:w="1578"/>
        <w:gridCol w:w="1406"/>
        <w:gridCol w:w="1502"/>
        <w:gridCol w:w="1636"/>
        <w:gridCol w:w="1636"/>
      </w:tblGrid>
      <w:tr w:rsidR="002B7276" w:rsidRPr="002B7276" w14:paraId="35A8523E" w14:textId="77777777" w:rsidTr="00016847">
        <w:trPr>
          <w:trHeight w:val="216"/>
        </w:trPr>
        <w:tc>
          <w:tcPr>
            <w:tcW w:w="2057" w:type="dxa"/>
            <w:tcBorders>
              <w:top w:val="single" w:sz="4" w:space="0" w:color="auto"/>
              <w:left w:val="single" w:sz="4" w:space="0" w:color="auto"/>
              <w:bottom w:val="single" w:sz="4" w:space="0" w:color="auto"/>
              <w:right w:val="single" w:sz="4" w:space="0" w:color="auto"/>
            </w:tcBorders>
            <w:shd w:val="clear" w:color="auto" w:fill="5CC5DA"/>
            <w:vAlign w:val="center"/>
            <w:hideMark/>
          </w:tcPr>
          <w:p w14:paraId="22F1A258" w14:textId="77777777" w:rsidR="006A3DBC" w:rsidRPr="002B7276" w:rsidRDefault="006A3DBC" w:rsidP="005F4A92">
            <w:pPr>
              <w:spacing w:after="0" w:line="240" w:lineRule="auto"/>
              <w:rPr>
                <w:rFonts w:eastAsia="Times New Roman" w:cs="Arial"/>
                <w:sz w:val="22"/>
                <w:szCs w:val="20"/>
                <w:lang w:eastAsia="es-SV"/>
              </w:rPr>
            </w:pPr>
            <w:r w:rsidRPr="002B7276">
              <w:rPr>
                <w:rFonts w:eastAsia="Times New Roman" w:cs="Arial"/>
                <w:sz w:val="22"/>
                <w:szCs w:val="20"/>
                <w:lang w:eastAsia="es-SV"/>
              </w:rPr>
              <w:t> </w:t>
            </w:r>
          </w:p>
        </w:tc>
        <w:tc>
          <w:tcPr>
            <w:tcW w:w="1578" w:type="dxa"/>
            <w:tcBorders>
              <w:top w:val="single" w:sz="4" w:space="0" w:color="auto"/>
              <w:left w:val="nil"/>
              <w:bottom w:val="single" w:sz="4" w:space="0" w:color="auto"/>
              <w:right w:val="single" w:sz="4" w:space="0" w:color="auto"/>
            </w:tcBorders>
            <w:shd w:val="clear" w:color="auto" w:fill="5CC5DA"/>
            <w:vAlign w:val="center"/>
            <w:hideMark/>
          </w:tcPr>
          <w:p w14:paraId="2AEDE05D" w14:textId="77777777" w:rsidR="006A3DBC" w:rsidRPr="002B7276" w:rsidRDefault="006A3DBC" w:rsidP="005F4A92">
            <w:pPr>
              <w:spacing w:after="0" w:line="240" w:lineRule="auto"/>
              <w:jc w:val="center"/>
              <w:rPr>
                <w:rFonts w:eastAsia="Times New Roman" w:cs="Arial"/>
                <w:b/>
                <w:bCs/>
                <w:sz w:val="22"/>
                <w:szCs w:val="20"/>
                <w:lang w:eastAsia="es-SV"/>
              </w:rPr>
            </w:pPr>
            <w:r w:rsidRPr="002B7276">
              <w:rPr>
                <w:rFonts w:eastAsia="Times New Roman" w:cs="Arial"/>
                <w:b/>
                <w:bCs/>
                <w:sz w:val="22"/>
                <w:szCs w:val="20"/>
                <w:lang w:eastAsia="es-SV"/>
              </w:rPr>
              <w:t>Olancho</w:t>
            </w:r>
          </w:p>
        </w:tc>
        <w:tc>
          <w:tcPr>
            <w:tcW w:w="1406" w:type="dxa"/>
            <w:tcBorders>
              <w:top w:val="single" w:sz="4" w:space="0" w:color="auto"/>
              <w:left w:val="nil"/>
              <w:bottom w:val="single" w:sz="4" w:space="0" w:color="auto"/>
              <w:right w:val="single" w:sz="4" w:space="0" w:color="auto"/>
            </w:tcBorders>
            <w:shd w:val="clear" w:color="auto" w:fill="5CC5DA"/>
            <w:vAlign w:val="center"/>
            <w:hideMark/>
          </w:tcPr>
          <w:p w14:paraId="02C513D3" w14:textId="77777777" w:rsidR="006A3DBC" w:rsidRPr="002B7276" w:rsidRDefault="006A3DBC" w:rsidP="005F4A92">
            <w:pPr>
              <w:spacing w:after="0" w:line="240" w:lineRule="auto"/>
              <w:jc w:val="center"/>
              <w:rPr>
                <w:rFonts w:eastAsia="Times New Roman" w:cs="Arial"/>
                <w:b/>
                <w:bCs/>
                <w:sz w:val="22"/>
                <w:szCs w:val="20"/>
                <w:lang w:eastAsia="es-SV"/>
              </w:rPr>
            </w:pPr>
            <w:r w:rsidRPr="002B7276">
              <w:rPr>
                <w:rFonts w:eastAsia="Times New Roman" w:cs="Arial"/>
                <w:b/>
                <w:bCs/>
                <w:sz w:val="22"/>
                <w:szCs w:val="20"/>
                <w:lang w:eastAsia="es-SV"/>
              </w:rPr>
              <w:t>Valle</w:t>
            </w:r>
          </w:p>
        </w:tc>
        <w:tc>
          <w:tcPr>
            <w:tcW w:w="1502" w:type="dxa"/>
            <w:tcBorders>
              <w:top w:val="single" w:sz="4" w:space="0" w:color="auto"/>
              <w:left w:val="nil"/>
              <w:bottom w:val="single" w:sz="4" w:space="0" w:color="auto"/>
              <w:right w:val="single" w:sz="4" w:space="0" w:color="auto"/>
            </w:tcBorders>
            <w:shd w:val="clear" w:color="auto" w:fill="5CC5DA"/>
            <w:vAlign w:val="center"/>
            <w:hideMark/>
          </w:tcPr>
          <w:p w14:paraId="5D96366E" w14:textId="77777777" w:rsidR="006A3DBC" w:rsidRPr="002B7276" w:rsidRDefault="006A3DBC" w:rsidP="005F4A92">
            <w:pPr>
              <w:spacing w:after="0" w:line="240" w:lineRule="auto"/>
              <w:jc w:val="center"/>
              <w:rPr>
                <w:rFonts w:eastAsia="Times New Roman" w:cs="Arial"/>
                <w:b/>
                <w:bCs/>
                <w:sz w:val="22"/>
                <w:szCs w:val="20"/>
                <w:lang w:eastAsia="es-SV"/>
              </w:rPr>
            </w:pPr>
            <w:r w:rsidRPr="002B7276">
              <w:rPr>
                <w:rFonts w:eastAsia="Times New Roman" w:cs="Arial"/>
                <w:b/>
                <w:bCs/>
                <w:sz w:val="22"/>
                <w:szCs w:val="20"/>
                <w:lang w:eastAsia="es-SV"/>
              </w:rPr>
              <w:t>Yoro</w:t>
            </w:r>
          </w:p>
        </w:tc>
        <w:tc>
          <w:tcPr>
            <w:tcW w:w="1636" w:type="dxa"/>
            <w:tcBorders>
              <w:top w:val="single" w:sz="4" w:space="0" w:color="auto"/>
              <w:left w:val="nil"/>
              <w:bottom w:val="single" w:sz="4" w:space="0" w:color="auto"/>
              <w:right w:val="single" w:sz="4" w:space="0" w:color="auto"/>
            </w:tcBorders>
            <w:shd w:val="clear" w:color="auto" w:fill="5CC5DA"/>
            <w:noWrap/>
            <w:vAlign w:val="center"/>
            <w:hideMark/>
          </w:tcPr>
          <w:p w14:paraId="66B2FD51" w14:textId="77777777" w:rsidR="006A3DBC" w:rsidRPr="002B7276" w:rsidRDefault="006A3DBC" w:rsidP="005F4A92">
            <w:pPr>
              <w:spacing w:after="0" w:line="240" w:lineRule="auto"/>
              <w:jc w:val="center"/>
              <w:rPr>
                <w:rFonts w:eastAsia="Times New Roman" w:cs="Arial"/>
                <w:b/>
                <w:bCs/>
                <w:sz w:val="22"/>
                <w:szCs w:val="20"/>
                <w:lang w:eastAsia="es-SV"/>
              </w:rPr>
            </w:pPr>
            <w:r w:rsidRPr="002B7276">
              <w:rPr>
                <w:rFonts w:eastAsia="Times New Roman" w:cs="Arial"/>
                <w:b/>
                <w:bCs/>
                <w:sz w:val="22"/>
                <w:szCs w:val="20"/>
                <w:lang w:eastAsia="es-SV"/>
              </w:rPr>
              <w:t>Total</w:t>
            </w:r>
          </w:p>
        </w:tc>
        <w:tc>
          <w:tcPr>
            <w:tcW w:w="1636" w:type="dxa"/>
            <w:tcBorders>
              <w:top w:val="single" w:sz="4" w:space="0" w:color="auto"/>
              <w:left w:val="nil"/>
              <w:bottom w:val="single" w:sz="4" w:space="0" w:color="auto"/>
              <w:right w:val="single" w:sz="4" w:space="0" w:color="auto"/>
            </w:tcBorders>
            <w:shd w:val="clear" w:color="auto" w:fill="5CC5DA"/>
            <w:noWrap/>
            <w:vAlign w:val="center"/>
            <w:hideMark/>
          </w:tcPr>
          <w:p w14:paraId="7BACF7B8" w14:textId="77777777" w:rsidR="006A3DBC" w:rsidRPr="002B7276" w:rsidRDefault="006A3DBC" w:rsidP="005F4A92">
            <w:pPr>
              <w:spacing w:after="0" w:line="240" w:lineRule="auto"/>
              <w:jc w:val="center"/>
              <w:rPr>
                <w:rFonts w:eastAsia="Times New Roman" w:cs="Arial"/>
                <w:b/>
                <w:bCs/>
                <w:sz w:val="22"/>
                <w:szCs w:val="20"/>
                <w:lang w:eastAsia="es-SV"/>
              </w:rPr>
            </w:pPr>
            <w:r w:rsidRPr="002B7276">
              <w:rPr>
                <w:rFonts w:eastAsia="Times New Roman" w:cs="Arial"/>
                <w:b/>
                <w:bCs/>
                <w:sz w:val="22"/>
                <w:szCs w:val="20"/>
                <w:lang w:eastAsia="es-SV"/>
              </w:rPr>
              <w:t>%</w:t>
            </w:r>
          </w:p>
        </w:tc>
      </w:tr>
      <w:tr w:rsidR="002B7276" w:rsidRPr="002B7276" w14:paraId="0956DC3E" w14:textId="77777777" w:rsidTr="005F4A92">
        <w:trPr>
          <w:trHeight w:val="520"/>
        </w:trPr>
        <w:tc>
          <w:tcPr>
            <w:tcW w:w="2057" w:type="dxa"/>
            <w:tcBorders>
              <w:top w:val="nil"/>
              <w:left w:val="single" w:sz="4" w:space="0" w:color="auto"/>
              <w:bottom w:val="single" w:sz="4" w:space="0" w:color="auto"/>
              <w:right w:val="single" w:sz="4" w:space="0" w:color="auto"/>
            </w:tcBorders>
            <w:shd w:val="clear" w:color="000000" w:fill="E0E0E0"/>
            <w:vAlign w:val="center"/>
            <w:hideMark/>
          </w:tcPr>
          <w:p w14:paraId="1567ECDE" w14:textId="77777777" w:rsidR="006A3DBC" w:rsidRPr="002B7276" w:rsidRDefault="006A3DBC" w:rsidP="005F4A92">
            <w:pPr>
              <w:spacing w:after="0" w:line="240" w:lineRule="auto"/>
              <w:jc w:val="center"/>
              <w:rPr>
                <w:rFonts w:eastAsia="Times New Roman" w:cs="Arial"/>
                <w:sz w:val="22"/>
                <w:szCs w:val="20"/>
                <w:lang w:eastAsia="es-SV"/>
              </w:rPr>
            </w:pPr>
            <w:r w:rsidRPr="002B7276">
              <w:rPr>
                <w:rFonts w:eastAsia="Times New Roman" w:cs="Arial"/>
                <w:sz w:val="22"/>
                <w:szCs w:val="20"/>
                <w:lang w:eastAsia="es-SV"/>
              </w:rPr>
              <w:t>Leña</w:t>
            </w:r>
          </w:p>
        </w:tc>
        <w:tc>
          <w:tcPr>
            <w:tcW w:w="1578" w:type="dxa"/>
            <w:tcBorders>
              <w:top w:val="nil"/>
              <w:left w:val="nil"/>
              <w:bottom w:val="single" w:sz="4" w:space="0" w:color="auto"/>
              <w:right w:val="single" w:sz="4" w:space="0" w:color="auto"/>
            </w:tcBorders>
            <w:shd w:val="clear" w:color="auto" w:fill="auto"/>
            <w:vAlign w:val="center"/>
            <w:hideMark/>
          </w:tcPr>
          <w:p w14:paraId="4EF6BA0B" w14:textId="4C811EEE" w:rsidR="006A3DBC" w:rsidRPr="002B7276" w:rsidRDefault="006A3DBC" w:rsidP="005F4A92">
            <w:pPr>
              <w:spacing w:after="0" w:line="240" w:lineRule="auto"/>
              <w:jc w:val="center"/>
              <w:rPr>
                <w:rFonts w:eastAsia="Times New Roman" w:cs="Arial"/>
                <w:sz w:val="22"/>
                <w:szCs w:val="20"/>
                <w:lang w:eastAsia="es-SV"/>
              </w:rPr>
            </w:pPr>
            <w:r w:rsidRPr="002B7276">
              <w:rPr>
                <w:rFonts w:eastAsia="Times New Roman" w:cs="Arial"/>
                <w:sz w:val="22"/>
                <w:szCs w:val="20"/>
                <w:lang w:eastAsia="es-SV"/>
              </w:rPr>
              <w:t>93</w:t>
            </w:r>
            <w:r w:rsidR="00BA6359" w:rsidRPr="002B7276">
              <w:rPr>
                <w:rFonts w:eastAsia="Times New Roman" w:cs="Arial"/>
                <w:sz w:val="22"/>
                <w:szCs w:val="20"/>
                <w:lang w:eastAsia="es-SV"/>
              </w:rPr>
              <w:t>,</w:t>
            </w:r>
            <w:r w:rsidRPr="002B7276">
              <w:rPr>
                <w:rFonts w:eastAsia="Times New Roman" w:cs="Arial"/>
                <w:sz w:val="22"/>
                <w:szCs w:val="20"/>
                <w:lang w:eastAsia="es-SV"/>
              </w:rPr>
              <w:t>017</w:t>
            </w:r>
          </w:p>
        </w:tc>
        <w:tc>
          <w:tcPr>
            <w:tcW w:w="1406" w:type="dxa"/>
            <w:tcBorders>
              <w:top w:val="nil"/>
              <w:left w:val="nil"/>
              <w:bottom w:val="single" w:sz="4" w:space="0" w:color="auto"/>
              <w:right w:val="single" w:sz="4" w:space="0" w:color="auto"/>
            </w:tcBorders>
            <w:shd w:val="clear" w:color="auto" w:fill="auto"/>
            <w:vAlign w:val="center"/>
            <w:hideMark/>
          </w:tcPr>
          <w:p w14:paraId="6A4C1714" w14:textId="5EBE884C" w:rsidR="006A3DBC" w:rsidRPr="002B7276" w:rsidRDefault="006A3DBC" w:rsidP="005F4A92">
            <w:pPr>
              <w:spacing w:after="0" w:line="240" w:lineRule="auto"/>
              <w:jc w:val="center"/>
              <w:rPr>
                <w:rFonts w:eastAsia="Times New Roman" w:cs="Arial"/>
                <w:sz w:val="22"/>
                <w:szCs w:val="20"/>
                <w:lang w:eastAsia="es-SV"/>
              </w:rPr>
            </w:pPr>
            <w:r w:rsidRPr="002B7276">
              <w:rPr>
                <w:rFonts w:eastAsia="Times New Roman" w:cs="Arial"/>
                <w:sz w:val="22"/>
                <w:szCs w:val="20"/>
                <w:lang w:eastAsia="es-SV"/>
              </w:rPr>
              <w:t>31</w:t>
            </w:r>
            <w:r w:rsidR="00BA6359" w:rsidRPr="002B7276">
              <w:rPr>
                <w:rFonts w:eastAsia="Times New Roman" w:cs="Arial"/>
                <w:sz w:val="22"/>
                <w:szCs w:val="20"/>
                <w:lang w:eastAsia="es-SV"/>
              </w:rPr>
              <w:t>,</w:t>
            </w:r>
            <w:r w:rsidRPr="002B7276">
              <w:rPr>
                <w:rFonts w:eastAsia="Times New Roman" w:cs="Arial"/>
                <w:sz w:val="22"/>
                <w:szCs w:val="20"/>
                <w:lang w:eastAsia="es-SV"/>
              </w:rPr>
              <w:t>756</w:t>
            </w:r>
          </w:p>
        </w:tc>
        <w:tc>
          <w:tcPr>
            <w:tcW w:w="1502" w:type="dxa"/>
            <w:tcBorders>
              <w:top w:val="nil"/>
              <w:left w:val="nil"/>
              <w:bottom w:val="single" w:sz="4" w:space="0" w:color="auto"/>
              <w:right w:val="single" w:sz="4" w:space="0" w:color="auto"/>
            </w:tcBorders>
            <w:shd w:val="clear" w:color="auto" w:fill="auto"/>
            <w:vAlign w:val="center"/>
            <w:hideMark/>
          </w:tcPr>
          <w:p w14:paraId="041E475D" w14:textId="291DDAB4" w:rsidR="006A3DBC" w:rsidRPr="002B7276" w:rsidRDefault="006A3DBC" w:rsidP="005F4A92">
            <w:pPr>
              <w:spacing w:after="0" w:line="240" w:lineRule="auto"/>
              <w:jc w:val="center"/>
              <w:rPr>
                <w:rFonts w:eastAsia="Times New Roman" w:cs="Arial"/>
                <w:sz w:val="22"/>
                <w:szCs w:val="20"/>
                <w:lang w:eastAsia="es-SV"/>
              </w:rPr>
            </w:pPr>
            <w:r w:rsidRPr="002B7276">
              <w:rPr>
                <w:rFonts w:eastAsia="Times New Roman" w:cs="Arial"/>
                <w:sz w:val="22"/>
                <w:szCs w:val="20"/>
                <w:lang w:eastAsia="es-SV"/>
              </w:rPr>
              <w:t>85</w:t>
            </w:r>
            <w:r w:rsidR="00BA6359" w:rsidRPr="002B7276">
              <w:rPr>
                <w:rFonts w:eastAsia="Times New Roman" w:cs="Arial"/>
                <w:sz w:val="22"/>
                <w:szCs w:val="20"/>
                <w:lang w:eastAsia="es-SV"/>
              </w:rPr>
              <w:t>,</w:t>
            </w:r>
            <w:r w:rsidRPr="002B7276">
              <w:rPr>
                <w:rFonts w:eastAsia="Times New Roman" w:cs="Arial"/>
                <w:sz w:val="22"/>
                <w:szCs w:val="20"/>
                <w:lang w:eastAsia="es-SV"/>
              </w:rPr>
              <w:t>042</w:t>
            </w:r>
          </w:p>
        </w:tc>
        <w:tc>
          <w:tcPr>
            <w:tcW w:w="1636" w:type="dxa"/>
            <w:tcBorders>
              <w:top w:val="nil"/>
              <w:left w:val="nil"/>
              <w:bottom w:val="single" w:sz="4" w:space="0" w:color="auto"/>
              <w:right w:val="single" w:sz="4" w:space="0" w:color="auto"/>
            </w:tcBorders>
            <w:shd w:val="clear" w:color="auto" w:fill="auto"/>
            <w:noWrap/>
            <w:vAlign w:val="center"/>
            <w:hideMark/>
          </w:tcPr>
          <w:p w14:paraId="18A4803F" w14:textId="457A8CE6" w:rsidR="006A3DBC" w:rsidRPr="002B7276" w:rsidRDefault="006A3DBC" w:rsidP="00D22C97">
            <w:pPr>
              <w:spacing w:after="0" w:line="240" w:lineRule="auto"/>
              <w:jc w:val="center"/>
              <w:rPr>
                <w:rFonts w:eastAsia="Times New Roman" w:cs="Arial"/>
                <w:sz w:val="22"/>
                <w:szCs w:val="20"/>
                <w:lang w:eastAsia="es-SV"/>
              </w:rPr>
            </w:pPr>
            <w:r w:rsidRPr="002B7276">
              <w:rPr>
                <w:rFonts w:eastAsia="Times New Roman" w:cs="Arial"/>
                <w:sz w:val="22"/>
                <w:szCs w:val="20"/>
                <w:lang w:eastAsia="es-SV"/>
              </w:rPr>
              <w:t>209</w:t>
            </w:r>
            <w:r w:rsidR="00BA6359" w:rsidRPr="002B7276">
              <w:rPr>
                <w:rFonts w:eastAsia="Times New Roman" w:cs="Arial"/>
                <w:sz w:val="22"/>
                <w:szCs w:val="20"/>
                <w:lang w:eastAsia="es-SV"/>
              </w:rPr>
              <w:t>,</w:t>
            </w:r>
            <w:r w:rsidRPr="002B7276">
              <w:rPr>
                <w:rFonts w:eastAsia="Times New Roman" w:cs="Arial"/>
                <w:sz w:val="22"/>
                <w:szCs w:val="20"/>
                <w:lang w:eastAsia="es-SV"/>
              </w:rPr>
              <w:t>815</w:t>
            </w:r>
          </w:p>
        </w:tc>
        <w:tc>
          <w:tcPr>
            <w:tcW w:w="1636" w:type="dxa"/>
            <w:tcBorders>
              <w:top w:val="nil"/>
              <w:left w:val="nil"/>
              <w:bottom w:val="single" w:sz="4" w:space="0" w:color="auto"/>
              <w:right w:val="single" w:sz="4" w:space="0" w:color="auto"/>
            </w:tcBorders>
            <w:shd w:val="clear" w:color="auto" w:fill="auto"/>
            <w:noWrap/>
            <w:vAlign w:val="bottom"/>
            <w:hideMark/>
          </w:tcPr>
          <w:p w14:paraId="79D8B2F8" w14:textId="77777777" w:rsidR="006A3DBC" w:rsidRPr="002B7276" w:rsidRDefault="006A3DBC" w:rsidP="00D22C97">
            <w:pPr>
              <w:spacing w:after="0" w:line="240" w:lineRule="auto"/>
              <w:jc w:val="center"/>
              <w:rPr>
                <w:rFonts w:eastAsia="Times New Roman" w:cs="Arial"/>
                <w:sz w:val="22"/>
                <w:szCs w:val="20"/>
                <w:lang w:eastAsia="es-SV"/>
              </w:rPr>
            </w:pPr>
            <w:r w:rsidRPr="002B7276">
              <w:rPr>
                <w:rFonts w:eastAsia="Times New Roman" w:cs="Arial"/>
                <w:sz w:val="22"/>
                <w:szCs w:val="20"/>
                <w:lang w:eastAsia="es-SV"/>
              </w:rPr>
              <w:t>64.5%</w:t>
            </w:r>
          </w:p>
        </w:tc>
      </w:tr>
      <w:tr w:rsidR="002B7276" w:rsidRPr="002B7276" w14:paraId="4B2565A5" w14:textId="77777777" w:rsidTr="005F4A92">
        <w:trPr>
          <w:trHeight w:val="650"/>
        </w:trPr>
        <w:tc>
          <w:tcPr>
            <w:tcW w:w="2057" w:type="dxa"/>
            <w:tcBorders>
              <w:top w:val="nil"/>
              <w:left w:val="single" w:sz="4" w:space="0" w:color="auto"/>
              <w:bottom w:val="single" w:sz="4" w:space="0" w:color="auto"/>
              <w:right w:val="single" w:sz="4" w:space="0" w:color="auto"/>
            </w:tcBorders>
            <w:shd w:val="clear" w:color="000000" w:fill="E0E0E0"/>
            <w:vAlign w:val="center"/>
            <w:hideMark/>
          </w:tcPr>
          <w:p w14:paraId="644BEBA5" w14:textId="77777777" w:rsidR="006A3DBC" w:rsidRPr="002B7276" w:rsidRDefault="006A3DBC" w:rsidP="005F4A92">
            <w:pPr>
              <w:spacing w:after="0" w:line="240" w:lineRule="auto"/>
              <w:jc w:val="center"/>
              <w:rPr>
                <w:rFonts w:eastAsia="Times New Roman" w:cs="Arial"/>
                <w:sz w:val="22"/>
                <w:szCs w:val="20"/>
                <w:lang w:eastAsia="es-SV"/>
              </w:rPr>
            </w:pPr>
            <w:r w:rsidRPr="002B7276">
              <w:rPr>
                <w:rFonts w:eastAsia="Times New Roman" w:cs="Arial"/>
                <w:sz w:val="22"/>
                <w:szCs w:val="20"/>
                <w:lang w:eastAsia="es-SV"/>
              </w:rPr>
              <w:t>Gas (kerosene)</w:t>
            </w:r>
          </w:p>
        </w:tc>
        <w:tc>
          <w:tcPr>
            <w:tcW w:w="1578" w:type="dxa"/>
            <w:tcBorders>
              <w:top w:val="nil"/>
              <w:left w:val="nil"/>
              <w:bottom w:val="single" w:sz="4" w:space="0" w:color="auto"/>
              <w:right w:val="single" w:sz="4" w:space="0" w:color="auto"/>
            </w:tcBorders>
            <w:shd w:val="clear" w:color="auto" w:fill="auto"/>
            <w:vAlign w:val="center"/>
            <w:hideMark/>
          </w:tcPr>
          <w:p w14:paraId="4F9C10D3" w14:textId="11E85990" w:rsidR="006A3DBC" w:rsidRPr="002B7276" w:rsidRDefault="006A3DBC" w:rsidP="005F4A92">
            <w:pPr>
              <w:spacing w:after="0" w:line="240" w:lineRule="auto"/>
              <w:jc w:val="center"/>
              <w:rPr>
                <w:rFonts w:eastAsia="Times New Roman" w:cs="Arial"/>
                <w:sz w:val="22"/>
                <w:szCs w:val="20"/>
                <w:lang w:eastAsia="es-SV"/>
              </w:rPr>
            </w:pPr>
            <w:r w:rsidRPr="002B7276">
              <w:rPr>
                <w:rFonts w:eastAsia="Times New Roman" w:cs="Arial"/>
                <w:sz w:val="22"/>
                <w:szCs w:val="20"/>
                <w:lang w:eastAsia="es-SV"/>
              </w:rPr>
              <w:t>1</w:t>
            </w:r>
            <w:r w:rsidR="00BA6359" w:rsidRPr="002B7276">
              <w:rPr>
                <w:rFonts w:eastAsia="Times New Roman" w:cs="Arial"/>
                <w:sz w:val="22"/>
                <w:szCs w:val="20"/>
                <w:lang w:eastAsia="es-SV"/>
              </w:rPr>
              <w:t>,</w:t>
            </w:r>
            <w:r w:rsidRPr="002B7276">
              <w:rPr>
                <w:rFonts w:eastAsia="Times New Roman" w:cs="Arial"/>
                <w:sz w:val="22"/>
                <w:szCs w:val="20"/>
                <w:lang w:eastAsia="es-SV"/>
              </w:rPr>
              <w:t>395</w:t>
            </w:r>
          </w:p>
        </w:tc>
        <w:tc>
          <w:tcPr>
            <w:tcW w:w="1406" w:type="dxa"/>
            <w:tcBorders>
              <w:top w:val="nil"/>
              <w:left w:val="nil"/>
              <w:bottom w:val="single" w:sz="4" w:space="0" w:color="auto"/>
              <w:right w:val="single" w:sz="4" w:space="0" w:color="auto"/>
            </w:tcBorders>
            <w:shd w:val="clear" w:color="auto" w:fill="auto"/>
            <w:vAlign w:val="center"/>
            <w:hideMark/>
          </w:tcPr>
          <w:p w14:paraId="313E6078" w14:textId="77777777" w:rsidR="006A3DBC" w:rsidRPr="002B7276" w:rsidRDefault="006A3DBC" w:rsidP="005F4A92">
            <w:pPr>
              <w:spacing w:after="0" w:line="240" w:lineRule="auto"/>
              <w:jc w:val="center"/>
              <w:rPr>
                <w:rFonts w:eastAsia="Times New Roman" w:cs="Arial"/>
                <w:sz w:val="22"/>
                <w:szCs w:val="20"/>
                <w:lang w:eastAsia="es-SV"/>
              </w:rPr>
            </w:pPr>
            <w:r w:rsidRPr="002B7276">
              <w:rPr>
                <w:rFonts w:eastAsia="Times New Roman" w:cs="Arial"/>
                <w:sz w:val="22"/>
                <w:szCs w:val="20"/>
                <w:lang w:eastAsia="es-SV"/>
              </w:rPr>
              <w:t>113</w:t>
            </w:r>
          </w:p>
        </w:tc>
        <w:tc>
          <w:tcPr>
            <w:tcW w:w="1502" w:type="dxa"/>
            <w:tcBorders>
              <w:top w:val="nil"/>
              <w:left w:val="nil"/>
              <w:bottom w:val="single" w:sz="4" w:space="0" w:color="auto"/>
              <w:right w:val="single" w:sz="4" w:space="0" w:color="auto"/>
            </w:tcBorders>
            <w:shd w:val="clear" w:color="auto" w:fill="auto"/>
            <w:vAlign w:val="center"/>
            <w:hideMark/>
          </w:tcPr>
          <w:p w14:paraId="4107B210" w14:textId="46FACA3C" w:rsidR="006A3DBC" w:rsidRPr="002B7276" w:rsidRDefault="006A3DBC" w:rsidP="005F4A92">
            <w:pPr>
              <w:spacing w:after="0" w:line="240" w:lineRule="auto"/>
              <w:jc w:val="center"/>
              <w:rPr>
                <w:rFonts w:eastAsia="Times New Roman" w:cs="Arial"/>
                <w:sz w:val="22"/>
                <w:szCs w:val="20"/>
                <w:lang w:eastAsia="es-SV"/>
              </w:rPr>
            </w:pPr>
            <w:r w:rsidRPr="002B7276">
              <w:rPr>
                <w:rFonts w:eastAsia="Times New Roman" w:cs="Arial"/>
                <w:sz w:val="22"/>
                <w:szCs w:val="20"/>
                <w:lang w:eastAsia="es-SV"/>
              </w:rPr>
              <w:t>1</w:t>
            </w:r>
            <w:r w:rsidR="00BA6359" w:rsidRPr="002B7276">
              <w:rPr>
                <w:rFonts w:eastAsia="Times New Roman" w:cs="Arial"/>
                <w:sz w:val="22"/>
                <w:szCs w:val="20"/>
                <w:lang w:eastAsia="es-SV"/>
              </w:rPr>
              <w:t>,</w:t>
            </w:r>
            <w:r w:rsidRPr="002B7276">
              <w:rPr>
                <w:rFonts w:eastAsia="Times New Roman" w:cs="Arial"/>
                <w:sz w:val="22"/>
                <w:szCs w:val="20"/>
                <w:lang w:eastAsia="es-SV"/>
              </w:rPr>
              <w:t>606</w:t>
            </w:r>
          </w:p>
        </w:tc>
        <w:tc>
          <w:tcPr>
            <w:tcW w:w="1636" w:type="dxa"/>
            <w:tcBorders>
              <w:top w:val="nil"/>
              <w:left w:val="nil"/>
              <w:bottom w:val="single" w:sz="4" w:space="0" w:color="auto"/>
              <w:right w:val="single" w:sz="4" w:space="0" w:color="auto"/>
            </w:tcBorders>
            <w:shd w:val="clear" w:color="auto" w:fill="auto"/>
            <w:noWrap/>
            <w:vAlign w:val="center"/>
            <w:hideMark/>
          </w:tcPr>
          <w:p w14:paraId="5F46DAD0" w14:textId="5CD2A91D" w:rsidR="006A3DBC" w:rsidRPr="002B7276" w:rsidRDefault="006A3DBC" w:rsidP="00D22C97">
            <w:pPr>
              <w:spacing w:after="0" w:line="240" w:lineRule="auto"/>
              <w:jc w:val="center"/>
              <w:rPr>
                <w:rFonts w:eastAsia="Times New Roman" w:cs="Arial"/>
                <w:sz w:val="22"/>
                <w:szCs w:val="20"/>
                <w:lang w:eastAsia="es-SV"/>
              </w:rPr>
            </w:pPr>
            <w:r w:rsidRPr="002B7276">
              <w:rPr>
                <w:rFonts w:eastAsia="Times New Roman" w:cs="Arial"/>
                <w:sz w:val="22"/>
                <w:szCs w:val="20"/>
                <w:lang w:eastAsia="es-SV"/>
              </w:rPr>
              <w:t>3</w:t>
            </w:r>
            <w:r w:rsidR="00BA6359" w:rsidRPr="002B7276">
              <w:rPr>
                <w:rFonts w:eastAsia="Times New Roman" w:cs="Arial"/>
                <w:sz w:val="22"/>
                <w:szCs w:val="20"/>
                <w:lang w:eastAsia="es-SV"/>
              </w:rPr>
              <w:t>,</w:t>
            </w:r>
            <w:r w:rsidRPr="002B7276">
              <w:rPr>
                <w:rFonts w:eastAsia="Times New Roman" w:cs="Arial"/>
                <w:sz w:val="22"/>
                <w:szCs w:val="20"/>
                <w:lang w:eastAsia="es-SV"/>
              </w:rPr>
              <w:t>114</w:t>
            </w:r>
          </w:p>
        </w:tc>
        <w:tc>
          <w:tcPr>
            <w:tcW w:w="1636" w:type="dxa"/>
            <w:tcBorders>
              <w:top w:val="nil"/>
              <w:left w:val="nil"/>
              <w:bottom w:val="single" w:sz="4" w:space="0" w:color="auto"/>
              <w:right w:val="single" w:sz="4" w:space="0" w:color="auto"/>
            </w:tcBorders>
            <w:shd w:val="clear" w:color="auto" w:fill="auto"/>
            <w:noWrap/>
            <w:vAlign w:val="bottom"/>
            <w:hideMark/>
          </w:tcPr>
          <w:p w14:paraId="3C4556F2" w14:textId="77777777" w:rsidR="006A3DBC" w:rsidRPr="002B7276" w:rsidRDefault="006A3DBC" w:rsidP="00D22C97">
            <w:pPr>
              <w:spacing w:after="0" w:line="240" w:lineRule="auto"/>
              <w:jc w:val="center"/>
              <w:rPr>
                <w:rFonts w:eastAsia="Times New Roman" w:cs="Arial"/>
                <w:sz w:val="22"/>
                <w:szCs w:val="20"/>
                <w:lang w:eastAsia="es-SV"/>
              </w:rPr>
            </w:pPr>
            <w:r w:rsidRPr="002B7276">
              <w:rPr>
                <w:rFonts w:eastAsia="Times New Roman" w:cs="Arial"/>
                <w:sz w:val="22"/>
                <w:szCs w:val="20"/>
                <w:lang w:eastAsia="es-SV"/>
              </w:rPr>
              <w:t>1.0%</w:t>
            </w:r>
          </w:p>
        </w:tc>
      </w:tr>
      <w:tr w:rsidR="002B7276" w:rsidRPr="002B7276" w14:paraId="779C8DCD" w14:textId="77777777" w:rsidTr="005F4A92">
        <w:trPr>
          <w:trHeight w:val="433"/>
        </w:trPr>
        <w:tc>
          <w:tcPr>
            <w:tcW w:w="2057" w:type="dxa"/>
            <w:tcBorders>
              <w:top w:val="nil"/>
              <w:left w:val="single" w:sz="4" w:space="0" w:color="auto"/>
              <w:bottom w:val="single" w:sz="4" w:space="0" w:color="auto"/>
              <w:right w:val="single" w:sz="4" w:space="0" w:color="auto"/>
            </w:tcBorders>
            <w:shd w:val="clear" w:color="000000" w:fill="E0E0E0"/>
            <w:vAlign w:val="center"/>
            <w:hideMark/>
          </w:tcPr>
          <w:p w14:paraId="74B93BB6" w14:textId="77777777" w:rsidR="006A3DBC" w:rsidRPr="002B7276" w:rsidRDefault="006A3DBC" w:rsidP="005F4A92">
            <w:pPr>
              <w:spacing w:after="0" w:line="240" w:lineRule="auto"/>
              <w:jc w:val="center"/>
              <w:rPr>
                <w:rFonts w:eastAsia="Times New Roman" w:cs="Arial"/>
                <w:sz w:val="22"/>
                <w:szCs w:val="20"/>
                <w:lang w:eastAsia="es-SV"/>
              </w:rPr>
            </w:pPr>
            <w:r w:rsidRPr="002B7276">
              <w:rPr>
                <w:rFonts w:eastAsia="Times New Roman" w:cs="Arial"/>
                <w:sz w:val="22"/>
                <w:szCs w:val="20"/>
                <w:lang w:eastAsia="es-SV"/>
              </w:rPr>
              <w:t>Gas propano</w:t>
            </w:r>
          </w:p>
        </w:tc>
        <w:tc>
          <w:tcPr>
            <w:tcW w:w="1578" w:type="dxa"/>
            <w:tcBorders>
              <w:top w:val="nil"/>
              <w:left w:val="nil"/>
              <w:bottom w:val="single" w:sz="4" w:space="0" w:color="auto"/>
              <w:right w:val="single" w:sz="4" w:space="0" w:color="auto"/>
            </w:tcBorders>
            <w:shd w:val="clear" w:color="auto" w:fill="auto"/>
            <w:vAlign w:val="center"/>
            <w:hideMark/>
          </w:tcPr>
          <w:p w14:paraId="0134ADFB" w14:textId="4F7E17CB" w:rsidR="006A3DBC" w:rsidRPr="002B7276" w:rsidRDefault="006A3DBC" w:rsidP="005F4A92">
            <w:pPr>
              <w:spacing w:after="0" w:line="240" w:lineRule="auto"/>
              <w:jc w:val="center"/>
              <w:rPr>
                <w:rFonts w:eastAsia="Times New Roman" w:cs="Arial"/>
                <w:sz w:val="22"/>
                <w:szCs w:val="20"/>
                <w:lang w:eastAsia="es-SV"/>
              </w:rPr>
            </w:pPr>
            <w:r w:rsidRPr="002B7276">
              <w:rPr>
                <w:rFonts w:eastAsia="Times New Roman" w:cs="Arial"/>
                <w:sz w:val="22"/>
                <w:szCs w:val="20"/>
                <w:lang w:eastAsia="es-SV"/>
              </w:rPr>
              <w:t>23</w:t>
            </w:r>
            <w:r w:rsidR="00BA6359" w:rsidRPr="002B7276">
              <w:rPr>
                <w:rFonts w:eastAsia="Times New Roman" w:cs="Arial"/>
                <w:sz w:val="22"/>
                <w:szCs w:val="20"/>
                <w:lang w:eastAsia="es-SV"/>
              </w:rPr>
              <w:t>,</w:t>
            </w:r>
            <w:r w:rsidRPr="002B7276">
              <w:rPr>
                <w:rFonts w:eastAsia="Times New Roman" w:cs="Arial"/>
                <w:sz w:val="22"/>
                <w:szCs w:val="20"/>
                <w:lang w:eastAsia="es-SV"/>
              </w:rPr>
              <w:t>581</w:t>
            </w:r>
          </w:p>
        </w:tc>
        <w:tc>
          <w:tcPr>
            <w:tcW w:w="1406" w:type="dxa"/>
            <w:tcBorders>
              <w:top w:val="nil"/>
              <w:left w:val="nil"/>
              <w:bottom w:val="single" w:sz="4" w:space="0" w:color="auto"/>
              <w:right w:val="single" w:sz="4" w:space="0" w:color="auto"/>
            </w:tcBorders>
            <w:shd w:val="clear" w:color="auto" w:fill="auto"/>
            <w:vAlign w:val="center"/>
            <w:hideMark/>
          </w:tcPr>
          <w:p w14:paraId="5D032935" w14:textId="20D43062" w:rsidR="006A3DBC" w:rsidRPr="002B7276" w:rsidRDefault="006A3DBC" w:rsidP="005F4A92">
            <w:pPr>
              <w:spacing w:after="0" w:line="240" w:lineRule="auto"/>
              <w:jc w:val="center"/>
              <w:rPr>
                <w:rFonts w:eastAsia="Times New Roman" w:cs="Arial"/>
                <w:sz w:val="22"/>
                <w:szCs w:val="20"/>
                <w:lang w:eastAsia="es-SV"/>
              </w:rPr>
            </w:pPr>
            <w:r w:rsidRPr="002B7276">
              <w:rPr>
                <w:rFonts w:eastAsia="Times New Roman" w:cs="Arial"/>
                <w:sz w:val="22"/>
                <w:szCs w:val="20"/>
                <w:lang w:eastAsia="es-SV"/>
              </w:rPr>
              <w:t>7</w:t>
            </w:r>
            <w:r w:rsidR="00BA6359" w:rsidRPr="002B7276">
              <w:rPr>
                <w:rFonts w:eastAsia="Times New Roman" w:cs="Arial"/>
                <w:sz w:val="22"/>
                <w:szCs w:val="20"/>
                <w:lang w:eastAsia="es-SV"/>
              </w:rPr>
              <w:t>,</w:t>
            </w:r>
            <w:r w:rsidRPr="002B7276">
              <w:rPr>
                <w:rFonts w:eastAsia="Times New Roman" w:cs="Arial"/>
                <w:sz w:val="22"/>
                <w:szCs w:val="20"/>
                <w:lang w:eastAsia="es-SV"/>
              </w:rPr>
              <w:t>243</w:t>
            </w:r>
          </w:p>
        </w:tc>
        <w:tc>
          <w:tcPr>
            <w:tcW w:w="1502" w:type="dxa"/>
            <w:tcBorders>
              <w:top w:val="nil"/>
              <w:left w:val="nil"/>
              <w:bottom w:val="single" w:sz="4" w:space="0" w:color="auto"/>
              <w:right w:val="single" w:sz="4" w:space="0" w:color="auto"/>
            </w:tcBorders>
            <w:shd w:val="clear" w:color="auto" w:fill="auto"/>
            <w:vAlign w:val="center"/>
            <w:hideMark/>
          </w:tcPr>
          <w:p w14:paraId="5D50CAD8" w14:textId="326304D9" w:rsidR="006A3DBC" w:rsidRPr="002B7276" w:rsidRDefault="006A3DBC" w:rsidP="005F4A92">
            <w:pPr>
              <w:spacing w:after="0" w:line="240" w:lineRule="auto"/>
              <w:jc w:val="center"/>
              <w:rPr>
                <w:rFonts w:eastAsia="Times New Roman" w:cs="Arial"/>
                <w:sz w:val="22"/>
                <w:szCs w:val="20"/>
                <w:lang w:eastAsia="es-SV"/>
              </w:rPr>
            </w:pPr>
            <w:r w:rsidRPr="002B7276">
              <w:rPr>
                <w:rFonts w:eastAsia="Times New Roman" w:cs="Arial"/>
                <w:sz w:val="22"/>
                <w:szCs w:val="20"/>
                <w:lang w:eastAsia="es-SV"/>
              </w:rPr>
              <w:t>53</w:t>
            </w:r>
            <w:r w:rsidR="00BA6359" w:rsidRPr="002B7276">
              <w:rPr>
                <w:rFonts w:eastAsia="Times New Roman" w:cs="Arial"/>
                <w:sz w:val="22"/>
                <w:szCs w:val="20"/>
                <w:lang w:eastAsia="es-SV"/>
              </w:rPr>
              <w:t>,</w:t>
            </w:r>
            <w:r w:rsidRPr="002B7276">
              <w:rPr>
                <w:rFonts w:eastAsia="Times New Roman" w:cs="Arial"/>
                <w:sz w:val="22"/>
                <w:szCs w:val="20"/>
                <w:lang w:eastAsia="es-SV"/>
              </w:rPr>
              <w:t>459</w:t>
            </w:r>
          </w:p>
        </w:tc>
        <w:tc>
          <w:tcPr>
            <w:tcW w:w="1636" w:type="dxa"/>
            <w:tcBorders>
              <w:top w:val="nil"/>
              <w:left w:val="nil"/>
              <w:bottom w:val="single" w:sz="4" w:space="0" w:color="auto"/>
              <w:right w:val="single" w:sz="4" w:space="0" w:color="auto"/>
            </w:tcBorders>
            <w:shd w:val="clear" w:color="auto" w:fill="auto"/>
            <w:noWrap/>
            <w:vAlign w:val="center"/>
            <w:hideMark/>
          </w:tcPr>
          <w:p w14:paraId="7F8297AF" w14:textId="2078EC05" w:rsidR="006A3DBC" w:rsidRPr="002B7276" w:rsidRDefault="006A3DBC" w:rsidP="00D22C97">
            <w:pPr>
              <w:spacing w:after="0" w:line="240" w:lineRule="auto"/>
              <w:jc w:val="center"/>
              <w:rPr>
                <w:rFonts w:eastAsia="Times New Roman" w:cs="Arial"/>
                <w:sz w:val="22"/>
                <w:szCs w:val="20"/>
                <w:lang w:eastAsia="es-SV"/>
              </w:rPr>
            </w:pPr>
            <w:r w:rsidRPr="002B7276">
              <w:rPr>
                <w:rFonts w:eastAsia="Times New Roman" w:cs="Arial"/>
                <w:sz w:val="22"/>
                <w:szCs w:val="20"/>
                <w:lang w:eastAsia="es-SV"/>
              </w:rPr>
              <w:t>84</w:t>
            </w:r>
            <w:r w:rsidR="00BA6359" w:rsidRPr="002B7276">
              <w:rPr>
                <w:rFonts w:eastAsia="Times New Roman" w:cs="Arial"/>
                <w:sz w:val="22"/>
                <w:szCs w:val="20"/>
                <w:lang w:eastAsia="es-SV"/>
              </w:rPr>
              <w:t>,</w:t>
            </w:r>
            <w:r w:rsidRPr="002B7276">
              <w:rPr>
                <w:rFonts w:eastAsia="Times New Roman" w:cs="Arial"/>
                <w:sz w:val="22"/>
                <w:szCs w:val="20"/>
                <w:lang w:eastAsia="es-SV"/>
              </w:rPr>
              <w:t>283</w:t>
            </w:r>
          </w:p>
        </w:tc>
        <w:tc>
          <w:tcPr>
            <w:tcW w:w="1636" w:type="dxa"/>
            <w:tcBorders>
              <w:top w:val="nil"/>
              <w:left w:val="nil"/>
              <w:bottom w:val="single" w:sz="4" w:space="0" w:color="auto"/>
              <w:right w:val="single" w:sz="4" w:space="0" w:color="auto"/>
            </w:tcBorders>
            <w:shd w:val="clear" w:color="auto" w:fill="auto"/>
            <w:noWrap/>
            <w:vAlign w:val="bottom"/>
            <w:hideMark/>
          </w:tcPr>
          <w:p w14:paraId="5001FEE6" w14:textId="77777777" w:rsidR="006A3DBC" w:rsidRPr="002B7276" w:rsidRDefault="006A3DBC" w:rsidP="00D22C97">
            <w:pPr>
              <w:spacing w:after="0" w:line="240" w:lineRule="auto"/>
              <w:jc w:val="center"/>
              <w:rPr>
                <w:rFonts w:eastAsia="Times New Roman" w:cs="Arial"/>
                <w:sz w:val="22"/>
                <w:szCs w:val="20"/>
                <w:lang w:eastAsia="es-SV"/>
              </w:rPr>
            </w:pPr>
            <w:r w:rsidRPr="002B7276">
              <w:rPr>
                <w:rFonts w:eastAsia="Times New Roman" w:cs="Arial"/>
                <w:sz w:val="22"/>
                <w:szCs w:val="20"/>
                <w:lang w:eastAsia="es-SV"/>
              </w:rPr>
              <w:t>25.9%</w:t>
            </w:r>
          </w:p>
        </w:tc>
      </w:tr>
      <w:tr w:rsidR="002B7276" w:rsidRPr="002B7276" w14:paraId="64F6D36B" w14:textId="77777777" w:rsidTr="005F4A92">
        <w:trPr>
          <w:trHeight w:val="520"/>
        </w:trPr>
        <w:tc>
          <w:tcPr>
            <w:tcW w:w="2057" w:type="dxa"/>
            <w:tcBorders>
              <w:top w:val="nil"/>
              <w:left w:val="single" w:sz="4" w:space="0" w:color="auto"/>
              <w:bottom w:val="single" w:sz="4" w:space="0" w:color="auto"/>
              <w:right w:val="single" w:sz="4" w:space="0" w:color="auto"/>
            </w:tcBorders>
            <w:shd w:val="clear" w:color="000000" w:fill="E0E0E0"/>
            <w:vAlign w:val="center"/>
            <w:hideMark/>
          </w:tcPr>
          <w:p w14:paraId="4BF8DFEB" w14:textId="77777777" w:rsidR="006A3DBC" w:rsidRPr="002B7276" w:rsidRDefault="006A3DBC" w:rsidP="005F4A92">
            <w:pPr>
              <w:spacing w:after="0" w:line="240" w:lineRule="auto"/>
              <w:jc w:val="center"/>
              <w:rPr>
                <w:rFonts w:eastAsia="Times New Roman" w:cs="Arial"/>
                <w:sz w:val="22"/>
                <w:szCs w:val="20"/>
                <w:lang w:eastAsia="es-SV"/>
              </w:rPr>
            </w:pPr>
            <w:r w:rsidRPr="002B7276">
              <w:rPr>
                <w:rFonts w:eastAsia="Times New Roman" w:cs="Arial"/>
                <w:sz w:val="22"/>
                <w:szCs w:val="20"/>
                <w:lang w:eastAsia="es-SV"/>
              </w:rPr>
              <w:t>Electricidad</w:t>
            </w:r>
          </w:p>
        </w:tc>
        <w:tc>
          <w:tcPr>
            <w:tcW w:w="1578" w:type="dxa"/>
            <w:tcBorders>
              <w:top w:val="nil"/>
              <w:left w:val="nil"/>
              <w:bottom w:val="single" w:sz="4" w:space="0" w:color="auto"/>
              <w:right w:val="single" w:sz="4" w:space="0" w:color="auto"/>
            </w:tcBorders>
            <w:shd w:val="clear" w:color="auto" w:fill="auto"/>
            <w:vAlign w:val="center"/>
            <w:hideMark/>
          </w:tcPr>
          <w:p w14:paraId="25B30A52" w14:textId="19D03508" w:rsidR="006A3DBC" w:rsidRPr="002B7276" w:rsidRDefault="006A3DBC" w:rsidP="005F4A92">
            <w:pPr>
              <w:spacing w:after="0" w:line="240" w:lineRule="auto"/>
              <w:jc w:val="center"/>
              <w:rPr>
                <w:rFonts w:eastAsia="Times New Roman" w:cs="Arial"/>
                <w:sz w:val="22"/>
                <w:szCs w:val="20"/>
                <w:lang w:eastAsia="es-SV"/>
              </w:rPr>
            </w:pPr>
            <w:r w:rsidRPr="002B7276">
              <w:rPr>
                <w:rFonts w:eastAsia="Times New Roman" w:cs="Arial"/>
                <w:sz w:val="22"/>
                <w:szCs w:val="20"/>
                <w:lang w:eastAsia="es-SV"/>
              </w:rPr>
              <w:t>14</w:t>
            </w:r>
            <w:r w:rsidR="00BA6359" w:rsidRPr="002B7276">
              <w:rPr>
                <w:rFonts w:eastAsia="Times New Roman" w:cs="Arial"/>
                <w:sz w:val="22"/>
                <w:szCs w:val="20"/>
                <w:lang w:eastAsia="es-SV"/>
              </w:rPr>
              <w:t>,</w:t>
            </w:r>
            <w:r w:rsidRPr="002B7276">
              <w:rPr>
                <w:rFonts w:eastAsia="Times New Roman" w:cs="Arial"/>
                <w:sz w:val="22"/>
                <w:szCs w:val="20"/>
                <w:lang w:eastAsia="es-SV"/>
              </w:rPr>
              <w:t>582</w:t>
            </w:r>
          </w:p>
        </w:tc>
        <w:tc>
          <w:tcPr>
            <w:tcW w:w="1406" w:type="dxa"/>
            <w:tcBorders>
              <w:top w:val="nil"/>
              <w:left w:val="nil"/>
              <w:bottom w:val="single" w:sz="4" w:space="0" w:color="auto"/>
              <w:right w:val="single" w:sz="4" w:space="0" w:color="auto"/>
            </w:tcBorders>
            <w:shd w:val="clear" w:color="auto" w:fill="auto"/>
            <w:vAlign w:val="center"/>
            <w:hideMark/>
          </w:tcPr>
          <w:p w14:paraId="609FBE5C" w14:textId="4ABD6E49" w:rsidR="006A3DBC" w:rsidRPr="002B7276" w:rsidRDefault="006A3DBC" w:rsidP="005F4A92">
            <w:pPr>
              <w:spacing w:after="0" w:line="240" w:lineRule="auto"/>
              <w:jc w:val="center"/>
              <w:rPr>
                <w:rFonts w:eastAsia="Times New Roman" w:cs="Arial"/>
                <w:sz w:val="22"/>
                <w:szCs w:val="20"/>
                <w:lang w:eastAsia="es-SV"/>
              </w:rPr>
            </w:pPr>
            <w:r w:rsidRPr="002B7276">
              <w:rPr>
                <w:rFonts w:eastAsia="Times New Roman" w:cs="Arial"/>
                <w:sz w:val="22"/>
                <w:szCs w:val="20"/>
                <w:lang w:eastAsia="es-SV"/>
              </w:rPr>
              <w:t>6</w:t>
            </w:r>
            <w:r w:rsidR="00BA6359" w:rsidRPr="002B7276">
              <w:rPr>
                <w:rFonts w:eastAsia="Times New Roman" w:cs="Arial"/>
                <w:sz w:val="22"/>
                <w:szCs w:val="20"/>
                <w:lang w:eastAsia="es-SV"/>
              </w:rPr>
              <w:t>,</w:t>
            </w:r>
            <w:r w:rsidRPr="002B7276">
              <w:rPr>
                <w:rFonts w:eastAsia="Times New Roman" w:cs="Arial"/>
                <w:sz w:val="22"/>
                <w:szCs w:val="20"/>
                <w:lang w:eastAsia="es-SV"/>
              </w:rPr>
              <w:t>241</w:t>
            </w:r>
          </w:p>
        </w:tc>
        <w:tc>
          <w:tcPr>
            <w:tcW w:w="1502" w:type="dxa"/>
            <w:tcBorders>
              <w:top w:val="nil"/>
              <w:left w:val="nil"/>
              <w:bottom w:val="single" w:sz="4" w:space="0" w:color="auto"/>
              <w:right w:val="single" w:sz="4" w:space="0" w:color="auto"/>
            </w:tcBorders>
            <w:shd w:val="clear" w:color="auto" w:fill="auto"/>
            <w:vAlign w:val="center"/>
            <w:hideMark/>
          </w:tcPr>
          <w:p w14:paraId="6B56AFB4" w14:textId="5124EA6D" w:rsidR="006A3DBC" w:rsidRPr="002B7276" w:rsidRDefault="006A3DBC" w:rsidP="005F4A92">
            <w:pPr>
              <w:spacing w:after="0" w:line="240" w:lineRule="auto"/>
              <w:jc w:val="center"/>
              <w:rPr>
                <w:rFonts w:eastAsia="Times New Roman" w:cs="Arial"/>
                <w:sz w:val="22"/>
                <w:szCs w:val="20"/>
                <w:lang w:eastAsia="es-SV"/>
              </w:rPr>
            </w:pPr>
            <w:r w:rsidRPr="002B7276">
              <w:rPr>
                <w:rFonts w:eastAsia="Times New Roman" w:cs="Arial"/>
                <w:sz w:val="22"/>
                <w:szCs w:val="20"/>
                <w:lang w:eastAsia="es-SV"/>
              </w:rPr>
              <w:t>6</w:t>
            </w:r>
            <w:r w:rsidR="00BA6359" w:rsidRPr="002B7276">
              <w:rPr>
                <w:rFonts w:eastAsia="Times New Roman" w:cs="Arial"/>
                <w:sz w:val="22"/>
                <w:szCs w:val="20"/>
                <w:lang w:eastAsia="es-SV"/>
              </w:rPr>
              <w:t>,</w:t>
            </w:r>
            <w:r w:rsidRPr="002B7276">
              <w:rPr>
                <w:rFonts w:eastAsia="Times New Roman" w:cs="Arial"/>
                <w:sz w:val="22"/>
                <w:szCs w:val="20"/>
                <w:lang w:eastAsia="es-SV"/>
              </w:rPr>
              <w:t>941</w:t>
            </w:r>
          </w:p>
        </w:tc>
        <w:tc>
          <w:tcPr>
            <w:tcW w:w="1636" w:type="dxa"/>
            <w:tcBorders>
              <w:top w:val="nil"/>
              <w:left w:val="nil"/>
              <w:bottom w:val="single" w:sz="4" w:space="0" w:color="auto"/>
              <w:right w:val="single" w:sz="4" w:space="0" w:color="auto"/>
            </w:tcBorders>
            <w:shd w:val="clear" w:color="auto" w:fill="auto"/>
            <w:noWrap/>
            <w:vAlign w:val="center"/>
            <w:hideMark/>
          </w:tcPr>
          <w:p w14:paraId="779F75E3" w14:textId="56307636" w:rsidR="006A3DBC" w:rsidRPr="002B7276" w:rsidRDefault="006A3DBC" w:rsidP="00D22C97">
            <w:pPr>
              <w:spacing w:after="0" w:line="240" w:lineRule="auto"/>
              <w:jc w:val="center"/>
              <w:rPr>
                <w:rFonts w:eastAsia="Times New Roman" w:cs="Arial"/>
                <w:sz w:val="22"/>
                <w:szCs w:val="20"/>
                <w:lang w:eastAsia="es-SV"/>
              </w:rPr>
            </w:pPr>
            <w:r w:rsidRPr="002B7276">
              <w:rPr>
                <w:rFonts w:eastAsia="Times New Roman" w:cs="Arial"/>
                <w:sz w:val="22"/>
                <w:szCs w:val="20"/>
                <w:lang w:eastAsia="es-SV"/>
              </w:rPr>
              <w:t>27</w:t>
            </w:r>
            <w:r w:rsidR="00BA6359" w:rsidRPr="002B7276">
              <w:rPr>
                <w:rFonts w:eastAsia="Times New Roman" w:cs="Arial"/>
                <w:sz w:val="22"/>
                <w:szCs w:val="20"/>
                <w:lang w:eastAsia="es-SV"/>
              </w:rPr>
              <w:t>,</w:t>
            </w:r>
            <w:r w:rsidRPr="002B7276">
              <w:rPr>
                <w:rFonts w:eastAsia="Times New Roman" w:cs="Arial"/>
                <w:sz w:val="22"/>
                <w:szCs w:val="20"/>
                <w:lang w:eastAsia="es-SV"/>
              </w:rPr>
              <w:t>764</w:t>
            </w:r>
          </w:p>
        </w:tc>
        <w:tc>
          <w:tcPr>
            <w:tcW w:w="1636" w:type="dxa"/>
            <w:tcBorders>
              <w:top w:val="nil"/>
              <w:left w:val="nil"/>
              <w:bottom w:val="single" w:sz="4" w:space="0" w:color="auto"/>
              <w:right w:val="single" w:sz="4" w:space="0" w:color="auto"/>
            </w:tcBorders>
            <w:shd w:val="clear" w:color="auto" w:fill="auto"/>
            <w:noWrap/>
            <w:vAlign w:val="bottom"/>
            <w:hideMark/>
          </w:tcPr>
          <w:p w14:paraId="3B7A7C14" w14:textId="77777777" w:rsidR="006A3DBC" w:rsidRPr="002B7276" w:rsidRDefault="006A3DBC" w:rsidP="00D22C97">
            <w:pPr>
              <w:spacing w:after="0" w:line="240" w:lineRule="auto"/>
              <w:jc w:val="center"/>
              <w:rPr>
                <w:rFonts w:eastAsia="Times New Roman" w:cs="Arial"/>
                <w:sz w:val="22"/>
                <w:szCs w:val="20"/>
                <w:lang w:eastAsia="es-SV"/>
              </w:rPr>
            </w:pPr>
            <w:r w:rsidRPr="002B7276">
              <w:rPr>
                <w:rFonts w:eastAsia="Times New Roman" w:cs="Arial"/>
                <w:sz w:val="22"/>
                <w:szCs w:val="20"/>
                <w:lang w:eastAsia="es-SV"/>
              </w:rPr>
              <w:t>8.5%</w:t>
            </w:r>
          </w:p>
        </w:tc>
      </w:tr>
      <w:tr w:rsidR="002B7276" w:rsidRPr="002B7276" w14:paraId="0791C69B" w14:textId="77777777" w:rsidTr="005F4A92">
        <w:trPr>
          <w:trHeight w:val="216"/>
        </w:trPr>
        <w:tc>
          <w:tcPr>
            <w:tcW w:w="2057" w:type="dxa"/>
            <w:tcBorders>
              <w:top w:val="nil"/>
              <w:left w:val="single" w:sz="4" w:space="0" w:color="auto"/>
              <w:bottom w:val="single" w:sz="4" w:space="0" w:color="auto"/>
              <w:right w:val="single" w:sz="4" w:space="0" w:color="auto"/>
            </w:tcBorders>
            <w:shd w:val="clear" w:color="000000" w:fill="E0E0E0"/>
            <w:vAlign w:val="center"/>
            <w:hideMark/>
          </w:tcPr>
          <w:p w14:paraId="6C19AD00" w14:textId="77777777" w:rsidR="006A3DBC" w:rsidRPr="002B7276" w:rsidRDefault="006A3DBC" w:rsidP="005F4A92">
            <w:pPr>
              <w:spacing w:after="0" w:line="240" w:lineRule="auto"/>
              <w:jc w:val="center"/>
              <w:rPr>
                <w:rFonts w:eastAsia="Times New Roman" w:cs="Arial"/>
                <w:sz w:val="22"/>
                <w:szCs w:val="20"/>
                <w:lang w:eastAsia="es-SV"/>
              </w:rPr>
            </w:pPr>
            <w:r w:rsidRPr="002B7276">
              <w:rPr>
                <w:rFonts w:eastAsia="Times New Roman" w:cs="Arial"/>
                <w:sz w:val="22"/>
                <w:szCs w:val="20"/>
                <w:lang w:eastAsia="es-SV"/>
              </w:rPr>
              <w:t>Otra</w:t>
            </w:r>
          </w:p>
        </w:tc>
        <w:tc>
          <w:tcPr>
            <w:tcW w:w="1578" w:type="dxa"/>
            <w:tcBorders>
              <w:top w:val="nil"/>
              <w:left w:val="nil"/>
              <w:bottom w:val="single" w:sz="4" w:space="0" w:color="auto"/>
              <w:right w:val="single" w:sz="4" w:space="0" w:color="auto"/>
            </w:tcBorders>
            <w:shd w:val="clear" w:color="auto" w:fill="auto"/>
            <w:vAlign w:val="center"/>
            <w:hideMark/>
          </w:tcPr>
          <w:p w14:paraId="300EBFE1" w14:textId="77777777" w:rsidR="006A3DBC" w:rsidRPr="002B7276" w:rsidRDefault="006A3DBC" w:rsidP="005F4A92">
            <w:pPr>
              <w:spacing w:after="0" w:line="240" w:lineRule="auto"/>
              <w:jc w:val="center"/>
              <w:rPr>
                <w:rFonts w:eastAsia="Times New Roman" w:cs="Arial"/>
                <w:sz w:val="22"/>
                <w:szCs w:val="20"/>
                <w:lang w:eastAsia="es-SV"/>
              </w:rPr>
            </w:pPr>
            <w:r w:rsidRPr="002B7276">
              <w:rPr>
                <w:rFonts w:eastAsia="Times New Roman" w:cs="Arial"/>
                <w:sz w:val="22"/>
                <w:szCs w:val="20"/>
                <w:lang w:eastAsia="es-SV"/>
              </w:rPr>
              <w:t>0</w:t>
            </w:r>
          </w:p>
        </w:tc>
        <w:tc>
          <w:tcPr>
            <w:tcW w:w="1406" w:type="dxa"/>
            <w:tcBorders>
              <w:top w:val="nil"/>
              <w:left w:val="nil"/>
              <w:bottom w:val="single" w:sz="4" w:space="0" w:color="auto"/>
              <w:right w:val="single" w:sz="4" w:space="0" w:color="auto"/>
            </w:tcBorders>
            <w:shd w:val="clear" w:color="auto" w:fill="auto"/>
            <w:vAlign w:val="center"/>
            <w:hideMark/>
          </w:tcPr>
          <w:p w14:paraId="40E3DD5A" w14:textId="77777777" w:rsidR="006A3DBC" w:rsidRPr="002B7276" w:rsidRDefault="006A3DBC" w:rsidP="005F4A92">
            <w:pPr>
              <w:spacing w:after="0" w:line="240" w:lineRule="auto"/>
              <w:jc w:val="center"/>
              <w:rPr>
                <w:rFonts w:eastAsia="Times New Roman" w:cs="Arial"/>
                <w:sz w:val="22"/>
                <w:szCs w:val="20"/>
                <w:lang w:eastAsia="es-SV"/>
              </w:rPr>
            </w:pPr>
            <w:r w:rsidRPr="002B7276">
              <w:rPr>
                <w:rFonts w:eastAsia="Times New Roman" w:cs="Arial"/>
                <w:sz w:val="22"/>
                <w:szCs w:val="20"/>
                <w:lang w:eastAsia="es-SV"/>
              </w:rPr>
              <w:t>94</w:t>
            </w:r>
          </w:p>
        </w:tc>
        <w:tc>
          <w:tcPr>
            <w:tcW w:w="1502" w:type="dxa"/>
            <w:tcBorders>
              <w:top w:val="nil"/>
              <w:left w:val="nil"/>
              <w:bottom w:val="single" w:sz="4" w:space="0" w:color="auto"/>
              <w:right w:val="single" w:sz="4" w:space="0" w:color="auto"/>
            </w:tcBorders>
            <w:shd w:val="clear" w:color="auto" w:fill="auto"/>
            <w:vAlign w:val="center"/>
            <w:hideMark/>
          </w:tcPr>
          <w:p w14:paraId="00AF8B88" w14:textId="77777777" w:rsidR="006A3DBC" w:rsidRPr="002B7276" w:rsidRDefault="006A3DBC" w:rsidP="005F4A92">
            <w:pPr>
              <w:spacing w:after="0" w:line="240" w:lineRule="auto"/>
              <w:jc w:val="center"/>
              <w:rPr>
                <w:rFonts w:eastAsia="Times New Roman" w:cs="Arial"/>
                <w:sz w:val="22"/>
                <w:szCs w:val="20"/>
                <w:lang w:eastAsia="es-SV"/>
              </w:rPr>
            </w:pPr>
            <w:r w:rsidRPr="002B7276">
              <w:rPr>
                <w:rFonts w:eastAsia="Times New Roman" w:cs="Arial"/>
                <w:sz w:val="22"/>
                <w:szCs w:val="20"/>
                <w:lang w:eastAsia="es-SV"/>
              </w:rPr>
              <w:t>0</w:t>
            </w:r>
          </w:p>
        </w:tc>
        <w:tc>
          <w:tcPr>
            <w:tcW w:w="1636" w:type="dxa"/>
            <w:tcBorders>
              <w:top w:val="nil"/>
              <w:left w:val="nil"/>
              <w:bottom w:val="single" w:sz="4" w:space="0" w:color="auto"/>
              <w:right w:val="single" w:sz="4" w:space="0" w:color="auto"/>
            </w:tcBorders>
            <w:shd w:val="clear" w:color="auto" w:fill="auto"/>
            <w:noWrap/>
            <w:vAlign w:val="center"/>
            <w:hideMark/>
          </w:tcPr>
          <w:p w14:paraId="69889EF8" w14:textId="77777777" w:rsidR="006A3DBC" w:rsidRPr="002B7276" w:rsidRDefault="006A3DBC" w:rsidP="00D22C97">
            <w:pPr>
              <w:spacing w:after="0" w:line="240" w:lineRule="auto"/>
              <w:jc w:val="center"/>
              <w:rPr>
                <w:rFonts w:eastAsia="Times New Roman" w:cs="Arial"/>
                <w:sz w:val="22"/>
                <w:szCs w:val="20"/>
                <w:lang w:eastAsia="es-SV"/>
              </w:rPr>
            </w:pPr>
            <w:r w:rsidRPr="002B7276">
              <w:rPr>
                <w:rFonts w:eastAsia="Times New Roman" w:cs="Arial"/>
                <w:sz w:val="22"/>
                <w:szCs w:val="20"/>
                <w:lang w:eastAsia="es-SV"/>
              </w:rPr>
              <w:t>94</w:t>
            </w:r>
          </w:p>
        </w:tc>
        <w:tc>
          <w:tcPr>
            <w:tcW w:w="1636" w:type="dxa"/>
            <w:tcBorders>
              <w:top w:val="nil"/>
              <w:left w:val="nil"/>
              <w:bottom w:val="single" w:sz="4" w:space="0" w:color="auto"/>
              <w:right w:val="single" w:sz="4" w:space="0" w:color="auto"/>
            </w:tcBorders>
            <w:shd w:val="clear" w:color="auto" w:fill="auto"/>
            <w:noWrap/>
            <w:vAlign w:val="bottom"/>
            <w:hideMark/>
          </w:tcPr>
          <w:p w14:paraId="394783A3" w14:textId="77777777" w:rsidR="006A3DBC" w:rsidRPr="002B7276" w:rsidRDefault="006A3DBC" w:rsidP="00D22C97">
            <w:pPr>
              <w:spacing w:after="0" w:line="240" w:lineRule="auto"/>
              <w:jc w:val="center"/>
              <w:rPr>
                <w:rFonts w:eastAsia="Times New Roman" w:cs="Arial"/>
                <w:sz w:val="22"/>
                <w:szCs w:val="20"/>
                <w:lang w:eastAsia="es-SV"/>
              </w:rPr>
            </w:pPr>
            <w:r w:rsidRPr="002B7276">
              <w:rPr>
                <w:rFonts w:eastAsia="Times New Roman" w:cs="Arial"/>
                <w:sz w:val="22"/>
                <w:szCs w:val="20"/>
                <w:lang w:eastAsia="es-SV"/>
              </w:rPr>
              <w:t>0.03%</w:t>
            </w:r>
          </w:p>
        </w:tc>
      </w:tr>
      <w:tr w:rsidR="002B7276" w:rsidRPr="002B7276" w14:paraId="7B462991" w14:textId="77777777" w:rsidTr="005F4A92">
        <w:trPr>
          <w:trHeight w:val="216"/>
        </w:trPr>
        <w:tc>
          <w:tcPr>
            <w:tcW w:w="2057" w:type="dxa"/>
            <w:tcBorders>
              <w:top w:val="nil"/>
              <w:left w:val="single" w:sz="4" w:space="0" w:color="auto"/>
              <w:bottom w:val="single" w:sz="4" w:space="0" w:color="auto"/>
              <w:right w:val="single" w:sz="4" w:space="0" w:color="auto"/>
            </w:tcBorders>
            <w:shd w:val="clear" w:color="000000" w:fill="E0E0E0"/>
            <w:vAlign w:val="center"/>
            <w:hideMark/>
          </w:tcPr>
          <w:p w14:paraId="7E7CD93C" w14:textId="77777777" w:rsidR="006A3DBC" w:rsidRPr="002B7276" w:rsidRDefault="006A3DBC" w:rsidP="005F4A92">
            <w:pPr>
              <w:spacing w:after="0" w:line="240" w:lineRule="auto"/>
              <w:jc w:val="center"/>
              <w:rPr>
                <w:rFonts w:eastAsia="Times New Roman" w:cs="Arial"/>
                <w:b/>
                <w:bCs/>
                <w:sz w:val="22"/>
                <w:szCs w:val="20"/>
                <w:lang w:eastAsia="es-SV"/>
              </w:rPr>
            </w:pPr>
            <w:r w:rsidRPr="002B7276">
              <w:rPr>
                <w:rFonts w:eastAsia="Times New Roman" w:cs="Arial"/>
                <w:b/>
                <w:bCs/>
                <w:sz w:val="22"/>
                <w:szCs w:val="20"/>
                <w:lang w:eastAsia="es-SV"/>
              </w:rPr>
              <w:t>Total</w:t>
            </w:r>
          </w:p>
        </w:tc>
        <w:tc>
          <w:tcPr>
            <w:tcW w:w="1578" w:type="dxa"/>
            <w:tcBorders>
              <w:top w:val="nil"/>
              <w:left w:val="nil"/>
              <w:bottom w:val="single" w:sz="4" w:space="0" w:color="auto"/>
              <w:right w:val="single" w:sz="4" w:space="0" w:color="auto"/>
            </w:tcBorders>
            <w:shd w:val="clear" w:color="auto" w:fill="auto"/>
            <w:vAlign w:val="center"/>
            <w:hideMark/>
          </w:tcPr>
          <w:p w14:paraId="16A6C417" w14:textId="03E440BC" w:rsidR="006A3DBC" w:rsidRPr="002B7276" w:rsidRDefault="006A3DBC" w:rsidP="005F4A92">
            <w:pPr>
              <w:spacing w:after="0" w:line="240" w:lineRule="auto"/>
              <w:jc w:val="center"/>
              <w:rPr>
                <w:rFonts w:eastAsia="Times New Roman" w:cs="Arial"/>
                <w:b/>
                <w:bCs/>
                <w:sz w:val="22"/>
                <w:szCs w:val="20"/>
                <w:lang w:eastAsia="es-SV"/>
              </w:rPr>
            </w:pPr>
            <w:r w:rsidRPr="002B7276">
              <w:rPr>
                <w:rFonts w:eastAsia="Times New Roman" w:cs="Arial"/>
                <w:b/>
                <w:bCs/>
                <w:sz w:val="22"/>
                <w:szCs w:val="20"/>
                <w:lang w:eastAsia="es-SV"/>
              </w:rPr>
              <w:t>132</w:t>
            </w:r>
            <w:r w:rsidR="00BA6359" w:rsidRPr="002B7276">
              <w:rPr>
                <w:rFonts w:eastAsia="Times New Roman" w:cs="Arial"/>
                <w:b/>
                <w:bCs/>
                <w:sz w:val="22"/>
                <w:szCs w:val="20"/>
                <w:lang w:eastAsia="es-SV"/>
              </w:rPr>
              <w:t>,</w:t>
            </w:r>
            <w:r w:rsidRPr="002B7276">
              <w:rPr>
                <w:rFonts w:eastAsia="Times New Roman" w:cs="Arial"/>
                <w:b/>
                <w:bCs/>
                <w:sz w:val="22"/>
                <w:szCs w:val="20"/>
                <w:lang w:eastAsia="es-SV"/>
              </w:rPr>
              <w:t>575</w:t>
            </w:r>
          </w:p>
        </w:tc>
        <w:tc>
          <w:tcPr>
            <w:tcW w:w="1406" w:type="dxa"/>
            <w:tcBorders>
              <w:top w:val="nil"/>
              <w:left w:val="nil"/>
              <w:bottom w:val="single" w:sz="4" w:space="0" w:color="auto"/>
              <w:right w:val="single" w:sz="4" w:space="0" w:color="auto"/>
            </w:tcBorders>
            <w:shd w:val="clear" w:color="auto" w:fill="auto"/>
            <w:vAlign w:val="center"/>
            <w:hideMark/>
          </w:tcPr>
          <w:p w14:paraId="16BD7269" w14:textId="56B1BBF6" w:rsidR="006A3DBC" w:rsidRPr="002B7276" w:rsidRDefault="006A3DBC" w:rsidP="005F4A92">
            <w:pPr>
              <w:spacing w:after="0" w:line="240" w:lineRule="auto"/>
              <w:jc w:val="center"/>
              <w:rPr>
                <w:rFonts w:eastAsia="Times New Roman" w:cs="Arial"/>
                <w:b/>
                <w:bCs/>
                <w:sz w:val="22"/>
                <w:szCs w:val="20"/>
                <w:lang w:eastAsia="es-SV"/>
              </w:rPr>
            </w:pPr>
            <w:r w:rsidRPr="002B7276">
              <w:rPr>
                <w:rFonts w:eastAsia="Times New Roman" w:cs="Arial"/>
                <w:b/>
                <w:bCs/>
                <w:sz w:val="22"/>
                <w:szCs w:val="20"/>
                <w:lang w:eastAsia="es-SV"/>
              </w:rPr>
              <w:t>45</w:t>
            </w:r>
            <w:r w:rsidR="00BA6359" w:rsidRPr="002B7276">
              <w:rPr>
                <w:rFonts w:eastAsia="Times New Roman" w:cs="Arial"/>
                <w:b/>
                <w:bCs/>
                <w:sz w:val="22"/>
                <w:szCs w:val="20"/>
                <w:lang w:eastAsia="es-SV"/>
              </w:rPr>
              <w:t>,</w:t>
            </w:r>
            <w:r w:rsidRPr="002B7276">
              <w:rPr>
                <w:rFonts w:eastAsia="Times New Roman" w:cs="Arial"/>
                <w:b/>
                <w:bCs/>
                <w:sz w:val="22"/>
                <w:szCs w:val="20"/>
                <w:lang w:eastAsia="es-SV"/>
              </w:rPr>
              <w:t>447</w:t>
            </w:r>
          </w:p>
        </w:tc>
        <w:tc>
          <w:tcPr>
            <w:tcW w:w="1502" w:type="dxa"/>
            <w:tcBorders>
              <w:top w:val="nil"/>
              <w:left w:val="nil"/>
              <w:bottom w:val="single" w:sz="4" w:space="0" w:color="auto"/>
              <w:right w:val="single" w:sz="4" w:space="0" w:color="auto"/>
            </w:tcBorders>
            <w:shd w:val="clear" w:color="auto" w:fill="auto"/>
            <w:vAlign w:val="center"/>
            <w:hideMark/>
          </w:tcPr>
          <w:p w14:paraId="7CDAE7A1" w14:textId="7376CB87" w:rsidR="006A3DBC" w:rsidRPr="002B7276" w:rsidRDefault="006A3DBC" w:rsidP="005F4A92">
            <w:pPr>
              <w:spacing w:after="0" w:line="240" w:lineRule="auto"/>
              <w:jc w:val="center"/>
              <w:rPr>
                <w:rFonts w:eastAsia="Times New Roman" w:cs="Arial"/>
                <w:b/>
                <w:bCs/>
                <w:sz w:val="22"/>
                <w:szCs w:val="20"/>
                <w:lang w:eastAsia="es-SV"/>
              </w:rPr>
            </w:pPr>
            <w:r w:rsidRPr="002B7276">
              <w:rPr>
                <w:rFonts w:eastAsia="Times New Roman" w:cs="Arial"/>
                <w:b/>
                <w:bCs/>
                <w:sz w:val="22"/>
                <w:szCs w:val="20"/>
                <w:lang w:eastAsia="es-SV"/>
              </w:rPr>
              <w:t>147</w:t>
            </w:r>
            <w:r w:rsidR="00BA6359" w:rsidRPr="002B7276">
              <w:rPr>
                <w:rFonts w:eastAsia="Times New Roman" w:cs="Arial"/>
                <w:b/>
                <w:bCs/>
                <w:sz w:val="22"/>
                <w:szCs w:val="20"/>
                <w:lang w:eastAsia="es-SV"/>
              </w:rPr>
              <w:t>,</w:t>
            </w:r>
            <w:r w:rsidRPr="002B7276">
              <w:rPr>
                <w:rFonts w:eastAsia="Times New Roman" w:cs="Arial"/>
                <w:b/>
                <w:bCs/>
                <w:sz w:val="22"/>
                <w:szCs w:val="20"/>
                <w:lang w:eastAsia="es-SV"/>
              </w:rPr>
              <w:t>048</w:t>
            </w:r>
          </w:p>
        </w:tc>
        <w:tc>
          <w:tcPr>
            <w:tcW w:w="1636" w:type="dxa"/>
            <w:tcBorders>
              <w:top w:val="nil"/>
              <w:left w:val="nil"/>
              <w:bottom w:val="single" w:sz="4" w:space="0" w:color="auto"/>
              <w:right w:val="single" w:sz="4" w:space="0" w:color="auto"/>
            </w:tcBorders>
            <w:shd w:val="clear" w:color="auto" w:fill="auto"/>
            <w:noWrap/>
            <w:vAlign w:val="center"/>
            <w:hideMark/>
          </w:tcPr>
          <w:p w14:paraId="74F5023F" w14:textId="2A066761" w:rsidR="006A3DBC" w:rsidRPr="002B7276" w:rsidRDefault="006A3DBC" w:rsidP="00D22C97">
            <w:pPr>
              <w:spacing w:after="0" w:line="240" w:lineRule="auto"/>
              <w:jc w:val="center"/>
              <w:rPr>
                <w:rFonts w:eastAsia="Times New Roman" w:cs="Arial"/>
                <w:b/>
                <w:bCs/>
                <w:sz w:val="22"/>
                <w:szCs w:val="20"/>
                <w:lang w:eastAsia="es-SV"/>
              </w:rPr>
            </w:pPr>
            <w:r w:rsidRPr="002B7276">
              <w:rPr>
                <w:rFonts w:eastAsia="Times New Roman" w:cs="Arial"/>
                <w:b/>
                <w:bCs/>
                <w:sz w:val="22"/>
                <w:szCs w:val="20"/>
                <w:lang w:eastAsia="es-SV"/>
              </w:rPr>
              <w:t>325</w:t>
            </w:r>
            <w:r w:rsidR="00BA6359" w:rsidRPr="002B7276">
              <w:rPr>
                <w:rFonts w:eastAsia="Times New Roman" w:cs="Arial"/>
                <w:b/>
                <w:bCs/>
                <w:sz w:val="22"/>
                <w:szCs w:val="20"/>
                <w:lang w:eastAsia="es-SV"/>
              </w:rPr>
              <w:t>,</w:t>
            </w:r>
            <w:r w:rsidRPr="002B7276">
              <w:rPr>
                <w:rFonts w:eastAsia="Times New Roman" w:cs="Arial"/>
                <w:b/>
                <w:bCs/>
                <w:sz w:val="22"/>
                <w:szCs w:val="20"/>
                <w:lang w:eastAsia="es-SV"/>
              </w:rPr>
              <w:t>070</w:t>
            </w:r>
          </w:p>
        </w:tc>
        <w:tc>
          <w:tcPr>
            <w:tcW w:w="1636" w:type="dxa"/>
            <w:tcBorders>
              <w:top w:val="nil"/>
              <w:left w:val="nil"/>
              <w:bottom w:val="single" w:sz="4" w:space="0" w:color="auto"/>
              <w:right w:val="single" w:sz="4" w:space="0" w:color="auto"/>
            </w:tcBorders>
            <w:shd w:val="clear" w:color="auto" w:fill="auto"/>
            <w:noWrap/>
            <w:vAlign w:val="bottom"/>
            <w:hideMark/>
          </w:tcPr>
          <w:p w14:paraId="76642757" w14:textId="77777777" w:rsidR="006A3DBC" w:rsidRPr="002B7276" w:rsidRDefault="006A3DBC" w:rsidP="00D22C97">
            <w:pPr>
              <w:spacing w:after="0" w:line="240" w:lineRule="auto"/>
              <w:jc w:val="center"/>
              <w:rPr>
                <w:rFonts w:eastAsia="Times New Roman" w:cs="Arial"/>
                <w:b/>
                <w:bCs/>
                <w:sz w:val="22"/>
                <w:szCs w:val="20"/>
                <w:lang w:eastAsia="es-SV"/>
              </w:rPr>
            </w:pPr>
            <w:r w:rsidRPr="002B7276">
              <w:rPr>
                <w:rFonts w:eastAsia="Times New Roman" w:cs="Arial"/>
                <w:b/>
                <w:bCs/>
                <w:sz w:val="22"/>
                <w:szCs w:val="20"/>
                <w:lang w:eastAsia="es-SV"/>
              </w:rPr>
              <w:t>100.0%</w:t>
            </w:r>
          </w:p>
        </w:tc>
      </w:tr>
    </w:tbl>
    <w:p w14:paraId="4DB58E58" w14:textId="77777777" w:rsidR="006A3DBC" w:rsidRDefault="006A3DBC" w:rsidP="006A3DBC">
      <w:pPr>
        <w:jc w:val="center"/>
        <w:rPr>
          <w:rFonts w:cs="Arial"/>
          <w:sz w:val="20"/>
          <w:szCs w:val="20"/>
        </w:rPr>
      </w:pPr>
      <w:r w:rsidRPr="00FA4B2D">
        <w:rPr>
          <w:rFonts w:cs="Arial"/>
          <w:b/>
          <w:bCs/>
          <w:sz w:val="20"/>
          <w:szCs w:val="20"/>
        </w:rPr>
        <w:t>Fuente</w:t>
      </w:r>
      <w:r w:rsidRPr="00FA4B2D">
        <w:rPr>
          <w:rFonts w:cs="Arial"/>
          <w:sz w:val="20"/>
          <w:szCs w:val="20"/>
        </w:rPr>
        <w:t>: elaboración propia con base a datos de la EHPM 2019.</w:t>
      </w:r>
    </w:p>
    <w:p w14:paraId="2B6E7155" w14:textId="77777777" w:rsidR="002B7276" w:rsidRDefault="002B7276" w:rsidP="006A3DBC">
      <w:pPr>
        <w:jc w:val="center"/>
        <w:rPr>
          <w:rFonts w:cs="Arial"/>
          <w:sz w:val="20"/>
          <w:szCs w:val="20"/>
        </w:rPr>
      </w:pPr>
    </w:p>
    <w:p w14:paraId="3068CC33" w14:textId="77777777" w:rsidR="002B7276" w:rsidRPr="00FA4B2D" w:rsidRDefault="002B7276" w:rsidP="006A3DBC">
      <w:pPr>
        <w:jc w:val="center"/>
        <w:rPr>
          <w:rFonts w:cs="Arial"/>
          <w:sz w:val="20"/>
          <w:szCs w:val="20"/>
        </w:rPr>
      </w:pPr>
    </w:p>
    <w:p w14:paraId="51FD46FD" w14:textId="77777777" w:rsidR="006A3DBC" w:rsidRPr="00FA4B2D" w:rsidRDefault="006A3DBC" w:rsidP="00411720">
      <w:pPr>
        <w:pStyle w:val="Prrafodelista"/>
        <w:numPr>
          <w:ilvl w:val="0"/>
          <w:numId w:val="101"/>
        </w:numPr>
        <w:rPr>
          <w:rFonts w:cs="Arial"/>
          <w:b/>
          <w:i/>
          <w:iCs/>
          <w:szCs w:val="24"/>
        </w:rPr>
      </w:pPr>
      <w:bookmarkStart w:id="707" w:name="_Toc156586924"/>
      <w:r w:rsidRPr="00FA4B2D">
        <w:rPr>
          <w:rFonts w:cs="Arial"/>
          <w:b/>
          <w:i/>
          <w:iCs/>
          <w:szCs w:val="24"/>
        </w:rPr>
        <w:lastRenderedPageBreak/>
        <w:t>Acceso a internet</w:t>
      </w:r>
      <w:bookmarkEnd w:id="707"/>
    </w:p>
    <w:p w14:paraId="7C993D6F" w14:textId="77777777" w:rsidR="006A3DBC" w:rsidRPr="00FA4B2D" w:rsidRDefault="006A3DBC" w:rsidP="006A3DBC">
      <w:pPr>
        <w:jc w:val="both"/>
        <w:rPr>
          <w:rFonts w:cs="Arial"/>
        </w:rPr>
      </w:pPr>
      <w:r w:rsidRPr="00FA4B2D">
        <w:rPr>
          <w:rFonts w:cs="Arial"/>
        </w:rPr>
        <w:t>En cuanto a los datos de las personas que tuvieron acceso a servicios de internet durante los últimos tres meses, la EHPM 2019, indica en referencia a los tres departamentos de intervención del proyecto, que el 15.1% de los hombres y el 18.4% de las mujeres declararon haber tenido acceso a internet en los últimos tres meses, contrario al 33% y 33.5% de hombres y mujeres respectivamente que señalaron no haber tenido acceso a internet en los últimos tres meses. Los resultados desagregados se observan en la tabla a continuación:</w:t>
      </w:r>
    </w:p>
    <w:p w14:paraId="05EA5314" w14:textId="4F165F00" w:rsidR="00EF7331" w:rsidRDefault="00EF7331" w:rsidP="00EF7331">
      <w:pPr>
        <w:pStyle w:val="Descripcin"/>
        <w:keepNext/>
      </w:pPr>
      <w:bookmarkStart w:id="708" w:name="_Toc202455462"/>
      <w:r>
        <w:t xml:space="preserve">Tabla </w:t>
      </w:r>
      <w:r>
        <w:fldChar w:fldCharType="begin"/>
      </w:r>
      <w:r>
        <w:instrText xml:space="preserve"> SEQ Tabla \* ARABIC </w:instrText>
      </w:r>
      <w:r>
        <w:fldChar w:fldCharType="separate"/>
      </w:r>
      <w:r w:rsidR="000E6D86">
        <w:rPr>
          <w:noProof/>
        </w:rPr>
        <w:t>36</w:t>
      </w:r>
      <w:r>
        <w:fldChar w:fldCharType="end"/>
      </w:r>
      <w:r>
        <w:t xml:space="preserve">: </w:t>
      </w:r>
      <w:r w:rsidRPr="00AF43F5">
        <w:t>Personas con acceso a servicios de internet en los últimos tres meses</w:t>
      </w:r>
      <w:bookmarkEnd w:id="708"/>
    </w:p>
    <w:tbl>
      <w:tblPr>
        <w:tblW w:w="9214" w:type="dxa"/>
        <w:jc w:val="center"/>
        <w:tblLayout w:type="fixed"/>
        <w:tblCellMar>
          <w:left w:w="70" w:type="dxa"/>
          <w:right w:w="70" w:type="dxa"/>
        </w:tblCellMar>
        <w:tblLook w:val="04A0" w:firstRow="1" w:lastRow="0" w:firstColumn="1" w:lastColumn="0" w:noHBand="0" w:noVBand="1"/>
      </w:tblPr>
      <w:tblGrid>
        <w:gridCol w:w="1560"/>
        <w:gridCol w:w="1417"/>
        <w:gridCol w:w="1134"/>
        <w:gridCol w:w="993"/>
        <w:gridCol w:w="992"/>
        <w:gridCol w:w="992"/>
        <w:gridCol w:w="992"/>
        <w:gridCol w:w="1134"/>
      </w:tblGrid>
      <w:tr w:rsidR="002B7276" w:rsidRPr="002B7276" w14:paraId="587830E8" w14:textId="77777777" w:rsidTr="00F94AC4">
        <w:trPr>
          <w:trHeight w:val="325"/>
          <w:tblHeader/>
          <w:jc w:val="center"/>
        </w:trPr>
        <w:tc>
          <w:tcPr>
            <w:tcW w:w="1560" w:type="dxa"/>
            <w:vMerge w:val="restart"/>
            <w:tcBorders>
              <w:top w:val="single" w:sz="4" w:space="0" w:color="auto"/>
              <w:left w:val="single" w:sz="4" w:space="0" w:color="auto"/>
              <w:bottom w:val="single" w:sz="4" w:space="0" w:color="auto"/>
              <w:right w:val="single" w:sz="4" w:space="0" w:color="auto"/>
            </w:tcBorders>
            <w:shd w:val="clear" w:color="auto" w:fill="5CC5DA"/>
            <w:noWrap/>
            <w:vAlign w:val="bottom"/>
            <w:hideMark/>
          </w:tcPr>
          <w:p w14:paraId="54FFE3B7" w14:textId="77777777" w:rsidR="006A3DBC" w:rsidRPr="002B7276" w:rsidRDefault="006A3DBC" w:rsidP="005F4A92">
            <w:pPr>
              <w:spacing w:after="0" w:line="240" w:lineRule="auto"/>
              <w:jc w:val="center"/>
              <w:rPr>
                <w:rFonts w:eastAsia="Times New Roman" w:cs="Arial"/>
                <w:b/>
                <w:bCs/>
                <w:sz w:val="18"/>
                <w:szCs w:val="18"/>
                <w:lang w:eastAsia="es-SV"/>
              </w:rPr>
            </w:pPr>
            <w:r w:rsidRPr="002B7276">
              <w:rPr>
                <w:rFonts w:eastAsia="Times New Roman" w:cs="Arial"/>
                <w:lang w:eastAsia="es-SV"/>
              </w:rPr>
              <w:t> </w:t>
            </w:r>
            <w:r w:rsidRPr="002B7276">
              <w:rPr>
                <w:rFonts w:eastAsia="Times New Roman" w:cs="Arial"/>
                <w:b/>
                <w:bCs/>
                <w:sz w:val="18"/>
                <w:szCs w:val="18"/>
                <w:lang w:eastAsia="es-SV"/>
              </w:rPr>
              <w:t>Departamento</w:t>
            </w:r>
          </w:p>
          <w:p w14:paraId="77CFD3B8" w14:textId="77777777" w:rsidR="006A3DBC" w:rsidRPr="002B7276" w:rsidRDefault="006A3DBC" w:rsidP="005F4A92">
            <w:pPr>
              <w:spacing w:after="0" w:line="240" w:lineRule="auto"/>
              <w:jc w:val="center"/>
              <w:rPr>
                <w:rFonts w:eastAsia="Times New Roman" w:cs="Arial"/>
                <w:lang w:eastAsia="es-SV"/>
              </w:rPr>
            </w:pPr>
            <w:r w:rsidRPr="002B7276">
              <w:rPr>
                <w:rFonts w:eastAsia="Times New Roman" w:cs="Arial"/>
                <w:lang w:eastAsia="es-SV"/>
              </w:rPr>
              <w:t> </w:t>
            </w:r>
          </w:p>
        </w:tc>
        <w:tc>
          <w:tcPr>
            <w:tcW w:w="3544" w:type="dxa"/>
            <w:gridSpan w:val="3"/>
            <w:tcBorders>
              <w:top w:val="single" w:sz="4" w:space="0" w:color="auto"/>
              <w:left w:val="nil"/>
              <w:bottom w:val="single" w:sz="4" w:space="0" w:color="auto"/>
              <w:right w:val="single" w:sz="4" w:space="0" w:color="auto"/>
            </w:tcBorders>
            <w:shd w:val="clear" w:color="auto" w:fill="5CC5DA"/>
            <w:noWrap/>
            <w:vAlign w:val="bottom"/>
            <w:hideMark/>
          </w:tcPr>
          <w:p w14:paraId="7AFA3DCA" w14:textId="77777777" w:rsidR="006A3DBC" w:rsidRPr="002B7276" w:rsidRDefault="006A3DBC" w:rsidP="005F4A92">
            <w:pPr>
              <w:spacing w:after="0" w:line="240" w:lineRule="auto"/>
              <w:jc w:val="center"/>
              <w:rPr>
                <w:rFonts w:eastAsia="Times New Roman" w:cs="Arial"/>
                <w:b/>
                <w:bCs/>
                <w:lang w:eastAsia="es-SV"/>
              </w:rPr>
            </w:pPr>
            <w:r w:rsidRPr="002B7276">
              <w:rPr>
                <w:rFonts w:eastAsia="Times New Roman" w:cs="Arial"/>
                <w:b/>
                <w:bCs/>
                <w:lang w:eastAsia="es-SV"/>
              </w:rPr>
              <w:t xml:space="preserve">Si </w:t>
            </w:r>
          </w:p>
        </w:tc>
        <w:tc>
          <w:tcPr>
            <w:tcW w:w="2976" w:type="dxa"/>
            <w:gridSpan w:val="3"/>
            <w:tcBorders>
              <w:top w:val="single" w:sz="4" w:space="0" w:color="auto"/>
              <w:left w:val="nil"/>
              <w:bottom w:val="single" w:sz="4" w:space="0" w:color="auto"/>
              <w:right w:val="single" w:sz="4" w:space="0" w:color="auto"/>
            </w:tcBorders>
            <w:shd w:val="clear" w:color="auto" w:fill="5CC5DA"/>
            <w:noWrap/>
            <w:vAlign w:val="bottom"/>
            <w:hideMark/>
          </w:tcPr>
          <w:p w14:paraId="6D2169A3" w14:textId="77777777" w:rsidR="006A3DBC" w:rsidRPr="002B7276" w:rsidRDefault="006A3DBC" w:rsidP="005F4A92">
            <w:pPr>
              <w:spacing w:after="0" w:line="240" w:lineRule="auto"/>
              <w:jc w:val="center"/>
              <w:rPr>
                <w:rFonts w:eastAsia="Times New Roman" w:cs="Arial"/>
                <w:b/>
                <w:bCs/>
                <w:lang w:eastAsia="es-SV"/>
              </w:rPr>
            </w:pPr>
            <w:r w:rsidRPr="002B7276">
              <w:rPr>
                <w:rFonts w:eastAsia="Times New Roman" w:cs="Arial"/>
                <w:b/>
                <w:bCs/>
                <w:lang w:eastAsia="es-SV"/>
              </w:rPr>
              <w:t>No</w:t>
            </w:r>
          </w:p>
        </w:tc>
        <w:tc>
          <w:tcPr>
            <w:tcW w:w="1134" w:type="dxa"/>
            <w:vMerge w:val="restart"/>
            <w:tcBorders>
              <w:top w:val="single" w:sz="4" w:space="0" w:color="auto"/>
              <w:left w:val="nil"/>
              <w:bottom w:val="single" w:sz="4" w:space="0" w:color="auto"/>
              <w:right w:val="single" w:sz="4" w:space="0" w:color="auto"/>
            </w:tcBorders>
            <w:shd w:val="clear" w:color="auto" w:fill="5CC5DA"/>
            <w:noWrap/>
            <w:vAlign w:val="bottom"/>
            <w:hideMark/>
          </w:tcPr>
          <w:p w14:paraId="35DE8AC7" w14:textId="77777777" w:rsidR="006A3DBC" w:rsidRPr="002B7276" w:rsidRDefault="006A3DBC" w:rsidP="005F4A92">
            <w:pPr>
              <w:spacing w:after="0" w:line="240" w:lineRule="auto"/>
              <w:jc w:val="center"/>
              <w:rPr>
                <w:rFonts w:eastAsia="Times New Roman" w:cs="Arial"/>
                <w:b/>
                <w:bCs/>
                <w:lang w:eastAsia="es-SV"/>
              </w:rPr>
            </w:pPr>
            <w:r w:rsidRPr="002B7276">
              <w:rPr>
                <w:rFonts w:eastAsia="Times New Roman" w:cs="Arial"/>
                <w:b/>
                <w:bCs/>
                <w:lang w:eastAsia="es-SV"/>
              </w:rPr>
              <w:t xml:space="preserve">Total </w:t>
            </w:r>
          </w:p>
          <w:p w14:paraId="357EB1CF" w14:textId="77777777" w:rsidR="006A3DBC" w:rsidRPr="002B7276" w:rsidRDefault="006A3DBC" w:rsidP="005F4A92">
            <w:pPr>
              <w:spacing w:after="0" w:line="240" w:lineRule="auto"/>
              <w:jc w:val="center"/>
              <w:rPr>
                <w:rFonts w:eastAsia="Times New Roman" w:cs="Arial"/>
                <w:b/>
                <w:bCs/>
                <w:lang w:eastAsia="es-SV"/>
              </w:rPr>
            </w:pPr>
            <w:r w:rsidRPr="002B7276">
              <w:rPr>
                <w:rFonts w:eastAsia="Times New Roman" w:cs="Arial"/>
                <w:lang w:eastAsia="es-SV"/>
              </w:rPr>
              <w:t> </w:t>
            </w:r>
          </w:p>
        </w:tc>
      </w:tr>
      <w:tr w:rsidR="002B7276" w:rsidRPr="002B7276" w14:paraId="7BAEB075" w14:textId="77777777" w:rsidTr="00F94AC4">
        <w:trPr>
          <w:trHeight w:val="325"/>
          <w:tblHeader/>
          <w:jc w:val="center"/>
        </w:trPr>
        <w:tc>
          <w:tcPr>
            <w:tcW w:w="1560" w:type="dxa"/>
            <w:vMerge/>
            <w:tcBorders>
              <w:top w:val="single" w:sz="4" w:space="0" w:color="auto"/>
              <w:left w:val="single" w:sz="4" w:space="0" w:color="auto"/>
              <w:bottom w:val="single" w:sz="4" w:space="0" w:color="auto"/>
              <w:right w:val="single" w:sz="4" w:space="0" w:color="auto"/>
            </w:tcBorders>
            <w:noWrap/>
            <w:vAlign w:val="bottom"/>
            <w:hideMark/>
          </w:tcPr>
          <w:p w14:paraId="15F924E7" w14:textId="77777777" w:rsidR="006A3DBC" w:rsidRPr="002B7276" w:rsidRDefault="006A3DBC" w:rsidP="005F4A92">
            <w:pPr>
              <w:spacing w:after="0" w:line="240" w:lineRule="auto"/>
              <w:jc w:val="center"/>
              <w:rPr>
                <w:rFonts w:eastAsia="Times New Roman" w:cs="Arial"/>
                <w:lang w:eastAsia="es-SV"/>
              </w:rPr>
            </w:pPr>
          </w:p>
        </w:tc>
        <w:tc>
          <w:tcPr>
            <w:tcW w:w="1417" w:type="dxa"/>
            <w:tcBorders>
              <w:top w:val="nil"/>
              <w:left w:val="single" w:sz="4" w:space="0" w:color="auto"/>
              <w:bottom w:val="single" w:sz="4" w:space="0" w:color="auto"/>
              <w:right w:val="single" w:sz="4" w:space="0" w:color="auto"/>
            </w:tcBorders>
            <w:shd w:val="clear" w:color="auto" w:fill="5CC5DA"/>
            <w:noWrap/>
            <w:vAlign w:val="bottom"/>
            <w:hideMark/>
          </w:tcPr>
          <w:p w14:paraId="1209659F" w14:textId="77777777" w:rsidR="006A3DBC" w:rsidRPr="002B7276" w:rsidRDefault="006A3DBC" w:rsidP="005F4A92">
            <w:pPr>
              <w:spacing w:after="0" w:line="240" w:lineRule="auto"/>
              <w:jc w:val="center"/>
              <w:rPr>
                <w:rFonts w:eastAsia="Times New Roman" w:cs="Arial"/>
                <w:b/>
                <w:bCs/>
                <w:sz w:val="18"/>
                <w:szCs w:val="18"/>
                <w:lang w:eastAsia="es-SV"/>
              </w:rPr>
            </w:pPr>
            <w:r w:rsidRPr="002B7276">
              <w:rPr>
                <w:rFonts w:eastAsia="Times New Roman" w:cs="Arial"/>
                <w:b/>
                <w:bCs/>
                <w:sz w:val="18"/>
                <w:szCs w:val="18"/>
                <w:lang w:eastAsia="es-SV"/>
              </w:rPr>
              <w:t>Hombres</w:t>
            </w:r>
          </w:p>
        </w:tc>
        <w:tc>
          <w:tcPr>
            <w:tcW w:w="1134" w:type="dxa"/>
            <w:tcBorders>
              <w:top w:val="nil"/>
              <w:left w:val="nil"/>
              <w:bottom w:val="single" w:sz="4" w:space="0" w:color="auto"/>
              <w:right w:val="single" w:sz="4" w:space="0" w:color="auto"/>
            </w:tcBorders>
            <w:shd w:val="clear" w:color="auto" w:fill="5CC5DA"/>
            <w:noWrap/>
            <w:vAlign w:val="bottom"/>
            <w:hideMark/>
          </w:tcPr>
          <w:p w14:paraId="0D8C44FB" w14:textId="77777777" w:rsidR="006A3DBC" w:rsidRPr="002B7276" w:rsidRDefault="006A3DBC" w:rsidP="005F4A92">
            <w:pPr>
              <w:spacing w:after="0" w:line="240" w:lineRule="auto"/>
              <w:jc w:val="center"/>
              <w:rPr>
                <w:rFonts w:eastAsia="Times New Roman" w:cs="Arial"/>
                <w:b/>
                <w:bCs/>
                <w:sz w:val="18"/>
                <w:szCs w:val="18"/>
                <w:lang w:eastAsia="es-SV"/>
              </w:rPr>
            </w:pPr>
            <w:r w:rsidRPr="002B7276">
              <w:rPr>
                <w:rFonts w:eastAsia="Times New Roman" w:cs="Arial"/>
                <w:b/>
                <w:bCs/>
                <w:sz w:val="18"/>
                <w:szCs w:val="18"/>
                <w:lang w:eastAsia="es-SV"/>
              </w:rPr>
              <w:t>Mujeres</w:t>
            </w:r>
          </w:p>
        </w:tc>
        <w:tc>
          <w:tcPr>
            <w:tcW w:w="993" w:type="dxa"/>
            <w:tcBorders>
              <w:top w:val="nil"/>
              <w:left w:val="nil"/>
              <w:bottom w:val="single" w:sz="4" w:space="0" w:color="auto"/>
              <w:right w:val="single" w:sz="4" w:space="0" w:color="auto"/>
            </w:tcBorders>
            <w:shd w:val="clear" w:color="auto" w:fill="5CC5DA"/>
            <w:noWrap/>
            <w:vAlign w:val="bottom"/>
            <w:hideMark/>
          </w:tcPr>
          <w:p w14:paraId="593EF7D8" w14:textId="77777777" w:rsidR="006A3DBC" w:rsidRPr="002B7276" w:rsidRDefault="006A3DBC" w:rsidP="005F4A92">
            <w:pPr>
              <w:spacing w:after="0" w:line="240" w:lineRule="auto"/>
              <w:jc w:val="center"/>
              <w:rPr>
                <w:rFonts w:eastAsia="Times New Roman" w:cs="Arial"/>
                <w:b/>
                <w:bCs/>
                <w:sz w:val="18"/>
                <w:szCs w:val="18"/>
                <w:lang w:eastAsia="es-SV"/>
              </w:rPr>
            </w:pPr>
            <w:r w:rsidRPr="002B7276">
              <w:rPr>
                <w:rFonts w:eastAsia="Times New Roman" w:cs="Arial"/>
                <w:b/>
                <w:bCs/>
                <w:sz w:val="18"/>
                <w:szCs w:val="18"/>
                <w:lang w:eastAsia="es-SV"/>
              </w:rPr>
              <w:t xml:space="preserve">Total </w:t>
            </w:r>
          </w:p>
        </w:tc>
        <w:tc>
          <w:tcPr>
            <w:tcW w:w="992" w:type="dxa"/>
            <w:tcBorders>
              <w:top w:val="nil"/>
              <w:left w:val="nil"/>
              <w:bottom w:val="single" w:sz="4" w:space="0" w:color="auto"/>
              <w:right w:val="single" w:sz="4" w:space="0" w:color="auto"/>
            </w:tcBorders>
            <w:shd w:val="clear" w:color="auto" w:fill="5CC5DA"/>
            <w:noWrap/>
            <w:vAlign w:val="bottom"/>
            <w:hideMark/>
          </w:tcPr>
          <w:p w14:paraId="5FB70F2E" w14:textId="77777777" w:rsidR="006A3DBC" w:rsidRPr="002B7276" w:rsidRDefault="006A3DBC" w:rsidP="005F4A92">
            <w:pPr>
              <w:spacing w:after="0" w:line="240" w:lineRule="auto"/>
              <w:jc w:val="center"/>
              <w:rPr>
                <w:rFonts w:eastAsia="Times New Roman" w:cs="Arial"/>
                <w:b/>
                <w:bCs/>
                <w:sz w:val="18"/>
                <w:szCs w:val="18"/>
                <w:lang w:eastAsia="es-SV"/>
              </w:rPr>
            </w:pPr>
            <w:r w:rsidRPr="002B7276">
              <w:rPr>
                <w:rFonts w:eastAsia="Times New Roman" w:cs="Arial"/>
                <w:b/>
                <w:bCs/>
                <w:sz w:val="18"/>
                <w:szCs w:val="18"/>
                <w:lang w:eastAsia="es-SV"/>
              </w:rPr>
              <w:t>Hombres</w:t>
            </w:r>
          </w:p>
        </w:tc>
        <w:tc>
          <w:tcPr>
            <w:tcW w:w="992" w:type="dxa"/>
            <w:tcBorders>
              <w:top w:val="nil"/>
              <w:left w:val="nil"/>
              <w:bottom w:val="single" w:sz="4" w:space="0" w:color="auto"/>
              <w:right w:val="single" w:sz="4" w:space="0" w:color="auto"/>
            </w:tcBorders>
            <w:shd w:val="clear" w:color="auto" w:fill="5CC5DA"/>
            <w:noWrap/>
            <w:vAlign w:val="bottom"/>
            <w:hideMark/>
          </w:tcPr>
          <w:p w14:paraId="0CCE3F44" w14:textId="77777777" w:rsidR="006A3DBC" w:rsidRPr="002B7276" w:rsidRDefault="006A3DBC" w:rsidP="005F4A92">
            <w:pPr>
              <w:spacing w:after="0" w:line="240" w:lineRule="auto"/>
              <w:jc w:val="center"/>
              <w:rPr>
                <w:rFonts w:eastAsia="Times New Roman" w:cs="Arial"/>
                <w:b/>
                <w:bCs/>
                <w:sz w:val="18"/>
                <w:szCs w:val="18"/>
                <w:lang w:eastAsia="es-SV"/>
              </w:rPr>
            </w:pPr>
            <w:r w:rsidRPr="002B7276">
              <w:rPr>
                <w:rFonts w:eastAsia="Times New Roman" w:cs="Arial"/>
                <w:b/>
                <w:bCs/>
                <w:sz w:val="18"/>
                <w:szCs w:val="18"/>
                <w:lang w:eastAsia="es-SV"/>
              </w:rPr>
              <w:t>Mujeres</w:t>
            </w:r>
          </w:p>
        </w:tc>
        <w:tc>
          <w:tcPr>
            <w:tcW w:w="992" w:type="dxa"/>
            <w:tcBorders>
              <w:top w:val="nil"/>
              <w:left w:val="nil"/>
              <w:bottom w:val="single" w:sz="4" w:space="0" w:color="auto"/>
              <w:right w:val="single" w:sz="4" w:space="0" w:color="auto"/>
            </w:tcBorders>
            <w:shd w:val="clear" w:color="auto" w:fill="5CC5DA"/>
            <w:noWrap/>
            <w:vAlign w:val="bottom"/>
            <w:hideMark/>
          </w:tcPr>
          <w:p w14:paraId="5F5DC83A" w14:textId="77777777" w:rsidR="006A3DBC" w:rsidRPr="002B7276" w:rsidRDefault="006A3DBC" w:rsidP="005F4A92">
            <w:pPr>
              <w:spacing w:after="0" w:line="240" w:lineRule="auto"/>
              <w:jc w:val="center"/>
              <w:rPr>
                <w:rFonts w:eastAsia="Times New Roman" w:cs="Arial"/>
                <w:b/>
                <w:bCs/>
                <w:sz w:val="18"/>
                <w:szCs w:val="18"/>
                <w:lang w:eastAsia="es-SV"/>
              </w:rPr>
            </w:pPr>
            <w:r w:rsidRPr="002B7276">
              <w:rPr>
                <w:rFonts w:eastAsia="Times New Roman" w:cs="Arial"/>
                <w:b/>
                <w:bCs/>
                <w:sz w:val="18"/>
                <w:szCs w:val="18"/>
                <w:lang w:eastAsia="es-SV"/>
              </w:rPr>
              <w:t xml:space="preserve">Total </w:t>
            </w:r>
          </w:p>
        </w:tc>
        <w:tc>
          <w:tcPr>
            <w:tcW w:w="1134" w:type="dxa"/>
            <w:vMerge/>
            <w:tcBorders>
              <w:top w:val="single" w:sz="4" w:space="0" w:color="auto"/>
              <w:bottom w:val="single" w:sz="4" w:space="0" w:color="auto"/>
              <w:right w:val="single" w:sz="4" w:space="0" w:color="auto"/>
            </w:tcBorders>
            <w:noWrap/>
            <w:vAlign w:val="bottom"/>
            <w:hideMark/>
          </w:tcPr>
          <w:p w14:paraId="2BD73F93" w14:textId="77777777" w:rsidR="006A3DBC" w:rsidRPr="002B7276" w:rsidRDefault="006A3DBC" w:rsidP="005F4A92">
            <w:pPr>
              <w:spacing w:after="0" w:line="240" w:lineRule="auto"/>
              <w:jc w:val="center"/>
              <w:rPr>
                <w:rFonts w:eastAsia="Times New Roman" w:cs="Arial"/>
                <w:lang w:eastAsia="es-SV"/>
              </w:rPr>
            </w:pPr>
          </w:p>
        </w:tc>
      </w:tr>
      <w:tr w:rsidR="002B7276" w:rsidRPr="002B7276" w14:paraId="58AC3371" w14:textId="77777777" w:rsidTr="00F94AC4">
        <w:trPr>
          <w:trHeight w:val="325"/>
          <w:jc w:val="center"/>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47256" w14:textId="77777777" w:rsidR="006A3DBC" w:rsidRPr="002B7276" w:rsidRDefault="006A3DBC" w:rsidP="005F4A92">
            <w:pPr>
              <w:spacing w:after="0" w:line="240" w:lineRule="auto"/>
              <w:jc w:val="center"/>
              <w:rPr>
                <w:rFonts w:eastAsia="Times New Roman" w:cs="Arial"/>
                <w:lang w:eastAsia="es-SV"/>
              </w:rPr>
            </w:pPr>
            <w:r w:rsidRPr="002B7276">
              <w:rPr>
                <w:rFonts w:eastAsia="Times New Roman" w:cs="Arial"/>
                <w:lang w:eastAsia="es-SV"/>
              </w:rPr>
              <w:t>Olancho</w:t>
            </w:r>
          </w:p>
        </w:tc>
        <w:tc>
          <w:tcPr>
            <w:tcW w:w="1417" w:type="dxa"/>
            <w:tcBorders>
              <w:top w:val="nil"/>
              <w:left w:val="nil"/>
              <w:bottom w:val="single" w:sz="4" w:space="0" w:color="auto"/>
              <w:right w:val="single" w:sz="4" w:space="0" w:color="auto"/>
            </w:tcBorders>
            <w:shd w:val="clear" w:color="auto" w:fill="auto"/>
            <w:noWrap/>
            <w:vAlign w:val="center"/>
            <w:hideMark/>
          </w:tcPr>
          <w:p w14:paraId="60933491" w14:textId="5362445C" w:rsidR="006A3DBC" w:rsidRPr="002B7276" w:rsidRDefault="006A3DBC" w:rsidP="005F4A92">
            <w:pPr>
              <w:spacing w:after="0" w:line="240" w:lineRule="auto"/>
              <w:jc w:val="center"/>
              <w:rPr>
                <w:rFonts w:eastAsia="Times New Roman" w:cs="Arial"/>
                <w:sz w:val="20"/>
                <w:szCs w:val="20"/>
                <w:lang w:eastAsia="es-SV"/>
              </w:rPr>
            </w:pPr>
            <w:r w:rsidRPr="002B7276">
              <w:rPr>
                <w:rFonts w:eastAsia="Times New Roman" w:cs="Arial"/>
                <w:sz w:val="20"/>
                <w:szCs w:val="20"/>
                <w:lang w:eastAsia="es-SV"/>
              </w:rPr>
              <w:t>64</w:t>
            </w:r>
            <w:r w:rsidR="00DC2773" w:rsidRPr="002B7276">
              <w:rPr>
                <w:rFonts w:eastAsia="Times New Roman" w:cs="Arial"/>
                <w:sz w:val="20"/>
                <w:szCs w:val="20"/>
                <w:lang w:eastAsia="es-SV"/>
              </w:rPr>
              <w:t>,</w:t>
            </w:r>
            <w:r w:rsidRPr="002B7276">
              <w:rPr>
                <w:rFonts w:eastAsia="Times New Roman" w:cs="Arial"/>
                <w:sz w:val="20"/>
                <w:szCs w:val="20"/>
                <w:lang w:eastAsia="es-SV"/>
              </w:rPr>
              <w:t>361</w:t>
            </w:r>
          </w:p>
        </w:tc>
        <w:tc>
          <w:tcPr>
            <w:tcW w:w="1134" w:type="dxa"/>
            <w:tcBorders>
              <w:top w:val="nil"/>
              <w:left w:val="nil"/>
              <w:bottom w:val="single" w:sz="4" w:space="0" w:color="auto"/>
              <w:right w:val="single" w:sz="4" w:space="0" w:color="auto"/>
            </w:tcBorders>
            <w:shd w:val="clear" w:color="auto" w:fill="auto"/>
            <w:noWrap/>
            <w:vAlign w:val="center"/>
            <w:hideMark/>
          </w:tcPr>
          <w:p w14:paraId="0A548B1A" w14:textId="1FB3D7B9" w:rsidR="006A3DBC" w:rsidRPr="002B7276" w:rsidRDefault="006A3DBC" w:rsidP="005F4A92">
            <w:pPr>
              <w:spacing w:after="0" w:line="240" w:lineRule="auto"/>
              <w:jc w:val="center"/>
              <w:rPr>
                <w:rFonts w:eastAsia="Times New Roman" w:cs="Arial"/>
                <w:sz w:val="20"/>
                <w:szCs w:val="20"/>
                <w:lang w:eastAsia="es-SV"/>
              </w:rPr>
            </w:pPr>
            <w:r w:rsidRPr="002B7276">
              <w:rPr>
                <w:rFonts w:eastAsia="Times New Roman" w:cs="Arial"/>
                <w:sz w:val="20"/>
                <w:szCs w:val="20"/>
                <w:lang w:eastAsia="es-SV"/>
              </w:rPr>
              <w:t>78</w:t>
            </w:r>
            <w:r w:rsidR="00DC2773" w:rsidRPr="002B7276">
              <w:rPr>
                <w:rFonts w:eastAsia="Times New Roman" w:cs="Arial"/>
                <w:sz w:val="20"/>
                <w:szCs w:val="20"/>
                <w:lang w:eastAsia="es-SV"/>
              </w:rPr>
              <w:t>,</w:t>
            </w:r>
            <w:r w:rsidRPr="002B7276">
              <w:rPr>
                <w:rFonts w:eastAsia="Times New Roman" w:cs="Arial"/>
                <w:sz w:val="20"/>
                <w:szCs w:val="20"/>
                <w:lang w:eastAsia="es-SV"/>
              </w:rPr>
              <w:t>661</w:t>
            </w:r>
          </w:p>
        </w:tc>
        <w:tc>
          <w:tcPr>
            <w:tcW w:w="993" w:type="dxa"/>
            <w:tcBorders>
              <w:top w:val="nil"/>
              <w:left w:val="nil"/>
              <w:bottom w:val="single" w:sz="4" w:space="0" w:color="auto"/>
              <w:right w:val="single" w:sz="4" w:space="0" w:color="auto"/>
            </w:tcBorders>
            <w:shd w:val="clear" w:color="auto" w:fill="auto"/>
            <w:noWrap/>
            <w:vAlign w:val="center"/>
            <w:hideMark/>
          </w:tcPr>
          <w:p w14:paraId="6869118D" w14:textId="14C6196D" w:rsidR="006A3DBC" w:rsidRPr="002B7276" w:rsidRDefault="006A3DBC" w:rsidP="005F4A92">
            <w:pPr>
              <w:spacing w:after="0" w:line="240" w:lineRule="auto"/>
              <w:jc w:val="center"/>
              <w:rPr>
                <w:rFonts w:eastAsia="Times New Roman" w:cs="Arial"/>
                <w:sz w:val="20"/>
                <w:szCs w:val="20"/>
                <w:lang w:eastAsia="es-SV"/>
              </w:rPr>
            </w:pPr>
            <w:r w:rsidRPr="002B7276">
              <w:rPr>
                <w:rFonts w:eastAsia="Times New Roman" w:cs="Arial"/>
                <w:sz w:val="20"/>
                <w:szCs w:val="20"/>
                <w:lang w:eastAsia="es-SV"/>
              </w:rPr>
              <w:t>143</w:t>
            </w:r>
            <w:r w:rsidR="00DC2773" w:rsidRPr="002B7276">
              <w:rPr>
                <w:rFonts w:eastAsia="Times New Roman" w:cs="Arial"/>
                <w:sz w:val="20"/>
                <w:szCs w:val="20"/>
                <w:lang w:eastAsia="es-SV"/>
              </w:rPr>
              <w:t>,</w:t>
            </w:r>
            <w:r w:rsidRPr="002B7276">
              <w:rPr>
                <w:rFonts w:eastAsia="Times New Roman" w:cs="Arial"/>
                <w:sz w:val="20"/>
                <w:szCs w:val="20"/>
                <w:lang w:eastAsia="es-SV"/>
              </w:rPr>
              <w:t>022</w:t>
            </w:r>
          </w:p>
        </w:tc>
        <w:tc>
          <w:tcPr>
            <w:tcW w:w="992" w:type="dxa"/>
            <w:tcBorders>
              <w:top w:val="nil"/>
              <w:left w:val="nil"/>
              <w:bottom w:val="single" w:sz="4" w:space="0" w:color="auto"/>
              <w:right w:val="single" w:sz="4" w:space="0" w:color="auto"/>
            </w:tcBorders>
            <w:shd w:val="clear" w:color="auto" w:fill="auto"/>
            <w:noWrap/>
            <w:vAlign w:val="center"/>
            <w:hideMark/>
          </w:tcPr>
          <w:p w14:paraId="21D33567" w14:textId="3F819DAB" w:rsidR="006A3DBC" w:rsidRPr="002B7276" w:rsidRDefault="006A3DBC" w:rsidP="005F4A92">
            <w:pPr>
              <w:spacing w:after="0" w:line="240" w:lineRule="auto"/>
              <w:jc w:val="center"/>
              <w:rPr>
                <w:rFonts w:eastAsia="Times New Roman" w:cs="Arial"/>
                <w:sz w:val="20"/>
                <w:szCs w:val="20"/>
                <w:lang w:eastAsia="es-SV"/>
              </w:rPr>
            </w:pPr>
            <w:r w:rsidRPr="002B7276">
              <w:rPr>
                <w:rFonts w:eastAsia="Times New Roman" w:cs="Arial"/>
                <w:sz w:val="20"/>
                <w:szCs w:val="20"/>
                <w:lang w:eastAsia="es-SV"/>
              </w:rPr>
              <w:t>173</w:t>
            </w:r>
            <w:r w:rsidR="00DC2773" w:rsidRPr="002B7276">
              <w:rPr>
                <w:rFonts w:eastAsia="Times New Roman" w:cs="Arial"/>
                <w:sz w:val="20"/>
                <w:szCs w:val="20"/>
                <w:lang w:eastAsia="es-SV"/>
              </w:rPr>
              <w:t>,</w:t>
            </w:r>
            <w:r w:rsidRPr="002B7276">
              <w:rPr>
                <w:rFonts w:eastAsia="Times New Roman" w:cs="Arial"/>
                <w:sz w:val="20"/>
                <w:szCs w:val="20"/>
                <w:lang w:eastAsia="es-SV"/>
              </w:rPr>
              <w:t>404</w:t>
            </w:r>
          </w:p>
        </w:tc>
        <w:tc>
          <w:tcPr>
            <w:tcW w:w="992" w:type="dxa"/>
            <w:tcBorders>
              <w:top w:val="nil"/>
              <w:left w:val="nil"/>
              <w:bottom w:val="single" w:sz="4" w:space="0" w:color="auto"/>
              <w:right w:val="single" w:sz="4" w:space="0" w:color="auto"/>
            </w:tcBorders>
            <w:shd w:val="clear" w:color="auto" w:fill="auto"/>
            <w:noWrap/>
            <w:vAlign w:val="center"/>
            <w:hideMark/>
          </w:tcPr>
          <w:p w14:paraId="3EB46877" w14:textId="7D363BCA" w:rsidR="006A3DBC" w:rsidRPr="002B7276" w:rsidRDefault="006A3DBC" w:rsidP="005F4A92">
            <w:pPr>
              <w:spacing w:after="0" w:line="240" w:lineRule="auto"/>
              <w:jc w:val="center"/>
              <w:rPr>
                <w:rFonts w:eastAsia="Times New Roman" w:cs="Arial"/>
                <w:sz w:val="20"/>
                <w:szCs w:val="20"/>
                <w:lang w:eastAsia="es-SV"/>
              </w:rPr>
            </w:pPr>
            <w:r w:rsidRPr="002B7276">
              <w:rPr>
                <w:rFonts w:eastAsia="Times New Roman" w:cs="Arial"/>
                <w:sz w:val="20"/>
                <w:szCs w:val="20"/>
                <w:lang w:eastAsia="es-SV"/>
              </w:rPr>
              <w:t>179</w:t>
            </w:r>
            <w:r w:rsidR="00DC2773" w:rsidRPr="002B7276">
              <w:rPr>
                <w:rFonts w:eastAsia="Times New Roman" w:cs="Arial"/>
                <w:sz w:val="20"/>
                <w:szCs w:val="20"/>
                <w:lang w:eastAsia="es-SV"/>
              </w:rPr>
              <w:t>,</w:t>
            </w:r>
            <w:r w:rsidRPr="002B7276">
              <w:rPr>
                <w:rFonts w:eastAsia="Times New Roman" w:cs="Arial"/>
                <w:sz w:val="20"/>
                <w:szCs w:val="20"/>
                <w:lang w:eastAsia="es-SV"/>
              </w:rPr>
              <w:t>098</w:t>
            </w:r>
          </w:p>
        </w:tc>
        <w:tc>
          <w:tcPr>
            <w:tcW w:w="992" w:type="dxa"/>
            <w:tcBorders>
              <w:top w:val="nil"/>
              <w:left w:val="nil"/>
              <w:bottom w:val="single" w:sz="4" w:space="0" w:color="auto"/>
              <w:right w:val="single" w:sz="4" w:space="0" w:color="auto"/>
            </w:tcBorders>
            <w:shd w:val="clear" w:color="auto" w:fill="auto"/>
            <w:noWrap/>
            <w:vAlign w:val="center"/>
            <w:hideMark/>
          </w:tcPr>
          <w:p w14:paraId="2A1871FA" w14:textId="4CD7E524" w:rsidR="006A3DBC" w:rsidRPr="002B7276" w:rsidRDefault="006A3DBC" w:rsidP="005F4A92">
            <w:pPr>
              <w:spacing w:after="0" w:line="240" w:lineRule="auto"/>
              <w:jc w:val="center"/>
              <w:rPr>
                <w:rFonts w:eastAsia="Times New Roman" w:cs="Arial"/>
                <w:sz w:val="20"/>
                <w:szCs w:val="20"/>
                <w:lang w:eastAsia="es-SV"/>
              </w:rPr>
            </w:pPr>
            <w:r w:rsidRPr="002B7276">
              <w:rPr>
                <w:rFonts w:eastAsia="Times New Roman" w:cs="Arial"/>
                <w:sz w:val="20"/>
                <w:szCs w:val="20"/>
                <w:lang w:eastAsia="es-SV"/>
              </w:rPr>
              <w:t>352</w:t>
            </w:r>
            <w:r w:rsidR="00DC2773" w:rsidRPr="002B7276">
              <w:rPr>
                <w:rFonts w:eastAsia="Times New Roman" w:cs="Arial"/>
                <w:sz w:val="20"/>
                <w:szCs w:val="20"/>
                <w:lang w:eastAsia="es-SV"/>
              </w:rPr>
              <w:t>,</w:t>
            </w:r>
            <w:r w:rsidRPr="002B7276">
              <w:rPr>
                <w:rFonts w:eastAsia="Times New Roman" w:cs="Arial"/>
                <w:sz w:val="20"/>
                <w:szCs w:val="20"/>
                <w:lang w:eastAsia="es-SV"/>
              </w:rPr>
              <w:t>502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6D94802" w14:textId="13E45BC8" w:rsidR="006A3DBC" w:rsidRPr="002B7276" w:rsidRDefault="006A3DBC" w:rsidP="005F4A92">
            <w:pPr>
              <w:spacing w:after="0" w:line="240" w:lineRule="auto"/>
              <w:jc w:val="center"/>
              <w:rPr>
                <w:rFonts w:eastAsia="Times New Roman" w:cs="Arial"/>
                <w:sz w:val="20"/>
                <w:szCs w:val="20"/>
                <w:lang w:eastAsia="es-SV"/>
              </w:rPr>
            </w:pPr>
            <w:r w:rsidRPr="002B7276">
              <w:rPr>
                <w:rFonts w:eastAsia="Times New Roman" w:cs="Arial"/>
                <w:sz w:val="20"/>
                <w:szCs w:val="20"/>
                <w:lang w:eastAsia="es-SV"/>
              </w:rPr>
              <w:t>495</w:t>
            </w:r>
            <w:r w:rsidR="00DC2773" w:rsidRPr="002B7276">
              <w:rPr>
                <w:rFonts w:eastAsia="Times New Roman" w:cs="Arial"/>
                <w:sz w:val="20"/>
                <w:szCs w:val="20"/>
                <w:lang w:eastAsia="es-SV"/>
              </w:rPr>
              <w:t>,</w:t>
            </w:r>
            <w:r w:rsidRPr="002B7276">
              <w:rPr>
                <w:rFonts w:eastAsia="Times New Roman" w:cs="Arial"/>
                <w:sz w:val="20"/>
                <w:szCs w:val="20"/>
                <w:lang w:eastAsia="es-SV"/>
              </w:rPr>
              <w:t>524</w:t>
            </w:r>
          </w:p>
        </w:tc>
      </w:tr>
      <w:tr w:rsidR="002B7276" w:rsidRPr="002B7276" w14:paraId="2A12A561" w14:textId="77777777" w:rsidTr="00F94AC4">
        <w:trPr>
          <w:trHeight w:val="325"/>
          <w:jc w:val="center"/>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E5129" w14:textId="77777777" w:rsidR="006A3DBC" w:rsidRPr="002B7276" w:rsidRDefault="006A3DBC" w:rsidP="005F4A92">
            <w:pPr>
              <w:spacing w:after="0" w:line="240" w:lineRule="auto"/>
              <w:jc w:val="center"/>
              <w:rPr>
                <w:rFonts w:eastAsia="Times New Roman" w:cs="Arial"/>
                <w:lang w:eastAsia="es-SV"/>
              </w:rPr>
            </w:pPr>
            <w:r w:rsidRPr="002B7276">
              <w:rPr>
                <w:rFonts w:eastAsia="Times New Roman" w:cs="Arial"/>
                <w:lang w:eastAsia="es-SV"/>
              </w:rPr>
              <w:t xml:space="preserve">Valle </w:t>
            </w:r>
          </w:p>
        </w:tc>
        <w:tc>
          <w:tcPr>
            <w:tcW w:w="1417" w:type="dxa"/>
            <w:tcBorders>
              <w:top w:val="nil"/>
              <w:left w:val="nil"/>
              <w:bottom w:val="single" w:sz="4" w:space="0" w:color="auto"/>
              <w:right w:val="single" w:sz="4" w:space="0" w:color="auto"/>
            </w:tcBorders>
            <w:shd w:val="clear" w:color="auto" w:fill="auto"/>
            <w:noWrap/>
            <w:vAlign w:val="center"/>
            <w:hideMark/>
          </w:tcPr>
          <w:p w14:paraId="2EBC8D4E" w14:textId="2E967D5A" w:rsidR="006A3DBC" w:rsidRPr="002B7276" w:rsidRDefault="006A3DBC" w:rsidP="005F4A92">
            <w:pPr>
              <w:spacing w:after="0" w:line="240" w:lineRule="auto"/>
              <w:jc w:val="center"/>
              <w:rPr>
                <w:rFonts w:eastAsia="Times New Roman" w:cs="Arial"/>
                <w:sz w:val="20"/>
                <w:szCs w:val="20"/>
                <w:lang w:eastAsia="es-SV"/>
              </w:rPr>
            </w:pPr>
            <w:r w:rsidRPr="002B7276">
              <w:rPr>
                <w:rFonts w:eastAsia="Times New Roman" w:cs="Arial"/>
                <w:sz w:val="20"/>
                <w:szCs w:val="20"/>
                <w:lang w:eastAsia="es-SV"/>
              </w:rPr>
              <w:t>25</w:t>
            </w:r>
            <w:r w:rsidR="00DC2773" w:rsidRPr="002B7276">
              <w:rPr>
                <w:rFonts w:eastAsia="Times New Roman" w:cs="Arial"/>
                <w:sz w:val="20"/>
                <w:szCs w:val="20"/>
                <w:lang w:eastAsia="es-SV"/>
              </w:rPr>
              <w:t>,</w:t>
            </w:r>
            <w:r w:rsidRPr="002B7276">
              <w:rPr>
                <w:rFonts w:eastAsia="Times New Roman" w:cs="Arial"/>
                <w:sz w:val="20"/>
                <w:szCs w:val="20"/>
                <w:lang w:eastAsia="es-SV"/>
              </w:rPr>
              <w:t>691</w:t>
            </w:r>
          </w:p>
        </w:tc>
        <w:tc>
          <w:tcPr>
            <w:tcW w:w="1134" w:type="dxa"/>
            <w:tcBorders>
              <w:top w:val="nil"/>
              <w:left w:val="nil"/>
              <w:bottom w:val="single" w:sz="4" w:space="0" w:color="auto"/>
              <w:right w:val="single" w:sz="4" w:space="0" w:color="auto"/>
            </w:tcBorders>
            <w:shd w:val="clear" w:color="auto" w:fill="auto"/>
            <w:noWrap/>
            <w:vAlign w:val="center"/>
            <w:hideMark/>
          </w:tcPr>
          <w:p w14:paraId="1285A309" w14:textId="697B18E8" w:rsidR="006A3DBC" w:rsidRPr="002B7276" w:rsidRDefault="006A3DBC" w:rsidP="005F4A92">
            <w:pPr>
              <w:spacing w:after="0" w:line="240" w:lineRule="auto"/>
              <w:jc w:val="center"/>
              <w:rPr>
                <w:rFonts w:eastAsia="Times New Roman" w:cs="Arial"/>
                <w:sz w:val="20"/>
                <w:szCs w:val="20"/>
                <w:lang w:eastAsia="es-SV"/>
              </w:rPr>
            </w:pPr>
            <w:r w:rsidRPr="002B7276">
              <w:rPr>
                <w:rFonts w:eastAsia="Times New Roman" w:cs="Arial"/>
                <w:sz w:val="20"/>
                <w:szCs w:val="20"/>
                <w:lang w:eastAsia="es-SV"/>
              </w:rPr>
              <w:t>26</w:t>
            </w:r>
            <w:r w:rsidR="00DC2773" w:rsidRPr="002B7276">
              <w:rPr>
                <w:rFonts w:eastAsia="Times New Roman" w:cs="Arial"/>
                <w:sz w:val="20"/>
                <w:szCs w:val="20"/>
                <w:lang w:eastAsia="es-SV"/>
              </w:rPr>
              <w:t>,</w:t>
            </w:r>
            <w:r w:rsidRPr="002B7276">
              <w:rPr>
                <w:rFonts w:eastAsia="Times New Roman" w:cs="Arial"/>
                <w:sz w:val="20"/>
                <w:szCs w:val="20"/>
                <w:lang w:eastAsia="es-SV"/>
              </w:rPr>
              <w:t>477</w:t>
            </w:r>
          </w:p>
        </w:tc>
        <w:tc>
          <w:tcPr>
            <w:tcW w:w="993" w:type="dxa"/>
            <w:tcBorders>
              <w:top w:val="nil"/>
              <w:left w:val="nil"/>
              <w:bottom w:val="single" w:sz="4" w:space="0" w:color="auto"/>
              <w:right w:val="single" w:sz="4" w:space="0" w:color="auto"/>
            </w:tcBorders>
            <w:shd w:val="clear" w:color="auto" w:fill="auto"/>
            <w:noWrap/>
            <w:vAlign w:val="center"/>
            <w:hideMark/>
          </w:tcPr>
          <w:p w14:paraId="2BCC3E80" w14:textId="2551FFD3" w:rsidR="006A3DBC" w:rsidRPr="002B7276" w:rsidRDefault="006A3DBC" w:rsidP="005F4A92">
            <w:pPr>
              <w:spacing w:after="0" w:line="240" w:lineRule="auto"/>
              <w:jc w:val="center"/>
              <w:rPr>
                <w:rFonts w:eastAsia="Times New Roman" w:cs="Arial"/>
                <w:sz w:val="20"/>
                <w:szCs w:val="20"/>
                <w:lang w:eastAsia="es-SV"/>
              </w:rPr>
            </w:pPr>
            <w:r w:rsidRPr="002B7276">
              <w:rPr>
                <w:rFonts w:eastAsia="Times New Roman" w:cs="Arial"/>
                <w:sz w:val="20"/>
                <w:szCs w:val="20"/>
                <w:lang w:eastAsia="es-SV"/>
              </w:rPr>
              <w:t>52</w:t>
            </w:r>
            <w:r w:rsidR="00DC2773" w:rsidRPr="002B7276">
              <w:rPr>
                <w:rFonts w:eastAsia="Times New Roman" w:cs="Arial"/>
                <w:sz w:val="20"/>
                <w:szCs w:val="20"/>
                <w:lang w:eastAsia="es-SV"/>
              </w:rPr>
              <w:t>,</w:t>
            </w:r>
            <w:r w:rsidRPr="002B7276">
              <w:rPr>
                <w:rFonts w:eastAsia="Times New Roman" w:cs="Arial"/>
                <w:sz w:val="20"/>
                <w:szCs w:val="20"/>
                <w:lang w:eastAsia="es-SV"/>
              </w:rPr>
              <w:t>168</w:t>
            </w:r>
          </w:p>
        </w:tc>
        <w:tc>
          <w:tcPr>
            <w:tcW w:w="992" w:type="dxa"/>
            <w:tcBorders>
              <w:top w:val="nil"/>
              <w:left w:val="nil"/>
              <w:bottom w:val="single" w:sz="4" w:space="0" w:color="auto"/>
              <w:right w:val="single" w:sz="4" w:space="0" w:color="auto"/>
            </w:tcBorders>
            <w:shd w:val="clear" w:color="auto" w:fill="auto"/>
            <w:noWrap/>
            <w:vAlign w:val="center"/>
            <w:hideMark/>
          </w:tcPr>
          <w:p w14:paraId="5586911C" w14:textId="5B26D346" w:rsidR="006A3DBC" w:rsidRPr="002B7276" w:rsidRDefault="006A3DBC" w:rsidP="005F4A92">
            <w:pPr>
              <w:spacing w:after="0" w:line="240" w:lineRule="auto"/>
              <w:jc w:val="center"/>
              <w:rPr>
                <w:rFonts w:eastAsia="Times New Roman" w:cs="Arial"/>
                <w:sz w:val="20"/>
                <w:szCs w:val="20"/>
                <w:lang w:eastAsia="es-SV"/>
              </w:rPr>
            </w:pPr>
            <w:r w:rsidRPr="002B7276">
              <w:rPr>
                <w:rFonts w:eastAsia="Times New Roman" w:cs="Arial"/>
                <w:sz w:val="20"/>
                <w:szCs w:val="20"/>
                <w:lang w:eastAsia="es-SV"/>
              </w:rPr>
              <w:t>55</w:t>
            </w:r>
            <w:r w:rsidR="00DC2773" w:rsidRPr="002B7276">
              <w:rPr>
                <w:rFonts w:eastAsia="Times New Roman" w:cs="Arial"/>
                <w:sz w:val="20"/>
                <w:szCs w:val="20"/>
                <w:lang w:eastAsia="es-SV"/>
              </w:rPr>
              <w:t>,</w:t>
            </w:r>
            <w:r w:rsidRPr="002B7276">
              <w:rPr>
                <w:rFonts w:eastAsia="Times New Roman" w:cs="Arial"/>
                <w:sz w:val="20"/>
                <w:szCs w:val="20"/>
                <w:lang w:eastAsia="es-SV"/>
              </w:rPr>
              <w:t>414</w:t>
            </w:r>
          </w:p>
        </w:tc>
        <w:tc>
          <w:tcPr>
            <w:tcW w:w="992" w:type="dxa"/>
            <w:tcBorders>
              <w:top w:val="nil"/>
              <w:left w:val="nil"/>
              <w:bottom w:val="single" w:sz="4" w:space="0" w:color="auto"/>
              <w:right w:val="single" w:sz="4" w:space="0" w:color="auto"/>
            </w:tcBorders>
            <w:shd w:val="clear" w:color="auto" w:fill="auto"/>
            <w:noWrap/>
            <w:vAlign w:val="center"/>
            <w:hideMark/>
          </w:tcPr>
          <w:p w14:paraId="2679CC7E" w14:textId="2E72786A" w:rsidR="006A3DBC" w:rsidRPr="002B7276" w:rsidRDefault="006A3DBC" w:rsidP="005F4A92">
            <w:pPr>
              <w:spacing w:after="0" w:line="240" w:lineRule="auto"/>
              <w:jc w:val="center"/>
              <w:rPr>
                <w:rFonts w:eastAsia="Times New Roman" w:cs="Arial"/>
                <w:sz w:val="20"/>
                <w:szCs w:val="20"/>
                <w:lang w:eastAsia="es-SV"/>
              </w:rPr>
            </w:pPr>
            <w:r w:rsidRPr="002B7276">
              <w:rPr>
                <w:rFonts w:eastAsia="Times New Roman" w:cs="Arial"/>
                <w:sz w:val="20"/>
                <w:szCs w:val="20"/>
                <w:lang w:eastAsia="es-SV"/>
              </w:rPr>
              <w:t>59</w:t>
            </w:r>
            <w:r w:rsidR="00DC2773" w:rsidRPr="002B7276">
              <w:rPr>
                <w:rFonts w:eastAsia="Times New Roman" w:cs="Arial"/>
                <w:sz w:val="20"/>
                <w:szCs w:val="20"/>
                <w:lang w:eastAsia="es-SV"/>
              </w:rPr>
              <w:t>,</w:t>
            </w:r>
            <w:r w:rsidRPr="002B7276">
              <w:rPr>
                <w:rFonts w:eastAsia="Times New Roman" w:cs="Arial"/>
                <w:sz w:val="20"/>
                <w:szCs w:val="20"/>
                <w:lang w:eastAsia="es-SV"/>
              </w:rPr>
              <w:t>989</w:t>
            </w:r>
          </w:p>
        </w:tc>
        <w:tc>
          <w:tcPr>
            <w:tcW w:w="992" w:type="dxa"/>
            <w:tcBorders>
              <w:top w:val="nil"/>
              <w:left w:val="nil"/>
              <w:bottom w:val="single" w:sz="4" w:space="0" w:color="auto"/>
              <w:right w:val="single" w:sz="4" w:space="0" w:color="auto"/>
            </w:tcBorders>
            <w:shd w:val="clear" w:color="auto" w:fill="auto"/>
            <w:noWrap/>
            <w:vAlign w:val="center"/>
            <w:hideMark/>
          </w:tcPr>
          <w:p w14:paraId="29A6D823" w14:textId="4F3DC082" w:rsidR="006A3DBC" w:rsidRPr="002B7276" w:rsidRDefault="006A3DBC" w:rsidP="005F4A92">
            <w:pPr>
              <w:spacing w:after="0" w:line="240" w:lineRule="auto"/>
              <w:jc w:val="center"/>
              <w:rPr>
                <w:rFonts w:eastAsia="Times New Roman" w:cs="Arial"/>
                <w:sz w:val="20"/>
                <w:szCs w:val="20"/>
                <w:lang w:eastAsia="es-SV"/>
              </w:rPr>
            </w:pPr>
            <w:r w:rsidRPr="002B7276">
              <w:rPr>
                <w:rFonts w:eastAsia="Times New Roman" w:cs="Arial"/>
                <w:sz w:val="20"/>
                <w:szCs w:val="20"/>
                <w:lang w:eastAsia="es-SV"/>
              </w:rPr>
              <w:t>115</w:t>
            </w:r>
            <w:r w:rsidR="00DC2773" w:rsidRPr="002B7276">
              <w:rPr>
                <w:rFonts w:eastAsia="Times New Roman" w:cs="Arial"/>
                <w:sz w:val="20"/>
                <w:szCs w:val="20"/>
                <w:lang w:eastAsia="es-SV"/>
              </w:rPr>
              <w:t>,</w:t>
            </w:r>
            <w:r w:rsidRPr="002B7276">
              <w:rPr>
                <w:rFonts w:eastAsia="Times New Roman" w:cs="Arial"/>
                <w:sz w:val="20"/>
                <w:szCs w:val="20"/>
                <w:lang w:eastAsia="es-SV"/>
              </w:rPr>
              <w:t>403</w:t>
            </w:r>
          </w:p>
        </w:tc>
        <w:tc>
          <w:tcPr>
            <w:tcW w:w="1134" w:type="dxa"/>
            <w:tcBorders>
              <w:top w:val="nil"/>
              <w:left w:val="nil"/>
              <w:bottom w:val="single" w:sz="4" w:space="0" w:color="auto"/>
              <w:right w:val="single" w:sz="4" w:space="0" w:color="auto"/>
            </w:tcBorders>
            <w:shd w:val="clear" w:color="auto" w:fill="auto"/>
            <w:noWrap/>
            <w:vAlign w:val="center"/>
            <w:hideMark/>
          </w:tcPr>
          <w:p w14:paraId="00BE92CE" w14:textId="673FDA54" w:rsidR="006A3DBC" w:rsidRPr="002B7276" w:rsidRDefault="006A3DBC" w:rsidP="005F4A92">
            <w:pPr>
              <w:spacing w:after="0" w:line="240" w:lineRule="auto"/>
              <w:jc w:val="center"/>
              <w:rPr>
                <w:rFonts w:eastAsia="Times New Roman" w:cs="Arial"/>
                <w:sz w:val="20"/>
                <w:szCs w:val="20"/>
                <w:lang w:eastAsia="es-SV"/>
              </w:rPr>
            </w:pPr>
            <w:r w:rsidRPr="002B7276">
              <w:rPr>
                <w:rFonts w:eastAsia="Times New Roman" w:cs="Arial"/>
                <w:sz w:val="20"/>
                <w:szCs w:val="20"/>
                <w:lang w:eastAsia="es-SV"/>
              </w:rPr>
              <w:t>167</w:t>
            </w:r>
            <w:r w:rsidR="00DC2773" w:rsidRPr="002B7276">
              <w:rPr>
                <w:rFonts w:eastAsia="Times New Roman" w:cs="Arial"/>
                <w:sz w:val="20"/>
                <w:szCs w:val="20"/>
                <w:lang w:eastAsia="es-SV"/>
              </w:rPr>
              <w:t>,</w:t>
            </w:r>
            <w:r w:rsidRPr="002B7276">
              <w:rPr>
                <w:rFonts w:eastAsia="Times New Roman" w:cs="Arial"/>
                <w:sz w:val="20"/>
                <w:szCs w:val="20"/>
                <w:lang w:eastAsia="es-SV"/>
              </w:rPr>
              <w:t>571</w:t>
            </w:r>
          </w:p>
        </w:tc>
      </w:tr>
      <w:tr w:rsidR="002B7276" w:rsidRPr="002B7276" w14:paraId="191DCB36" w14:textId="77777777" w:rsidTr="00F94AC4">
        <w:trPr>
          <w:trHeight w:val="325"/>
          <w:jc w:val="center"/>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5F4B17" w14:textId="77777777" w:rsidR="006A3DBC" w:rsidRPr="002B7276" w:rsidRDefault="006A3DBC" w:rsidP="005F4A92">
            <w:pPr>
              <w:spacing w:after="0" w:line="240" w:lineRule="auto"/>
              <w:jc w:val="center"/>
              <w:rPr>
                <w:rFonts w:eastAsia="Times New Roman" w:cs="Arial"/>
                <w:lang w:eastAsia="es-SV"/>
              </w:rPr>
            </w:pPr>
            <w:r w:rsidRPr="002B7276">
              <w:rPr>
                <w:rFonts w:eastAsia="Times New Roman" w:cs="Arial"/>
                <w:lang w:eastAsia="es-SV"/>
              </w:rPr>
              <w:t xml:space="preserve">Yoro </w:t>
            </w:r>
          </w:p>
        </w:tc>
        <w:tc>
          <w:tcPr>
            <w:tcW w:w="1417" w:type="dxa"/>
            <w:tcBorders>
              <w:top w:val="nil"/>
              <w:left w:val="nil"/>
              <w:bottom w:val="single" w:sz="4" w:space="0" w:color="auto"/>
              <w:right w:val="single" w:sz="4" w:space="0" w:color="auto"/>
            </w:tcBorders>
            <w:shd w:val="clear" w:color="auto" w:fill="auto"/>
            <w:noWrap/>
            <w:vAlign w:val="center"/>
            <w:hideMark/>
          </w:tcPr>
          <w:p w14:paraId="6AD06FF5" w14:textId="0C04E1BE" w:rsidR="006A3DBC" w:rsidRPr="002B7276" w:rsidRDefault="006A3DBC" w:rsidP="005F4A92">
            <w:pPr>
              <w:spacing w:after="0" w:line="240" w:lineRule="auto"/>
              <w:jc w:val="center"/>
              <w:rPr>
                <w:rFonts w:eastAsia="Times New Roman" w:cs="Arial"/>
                <w:sz w:val="20"/>
                <w:szCs w:val="20"/>
                <w:lang w:eastAsia="es-SV"/>
              </w:rPr>
            </w:pPr>
            <w:r w:rsidRPr="002B7276">
              <w:rPr>
                <w:rFonts w:eastAsia="Times New Roman" w:cs="Arial"/>
                <w:sz w:val="20"/>
                <w:szCs w:val="20"/>
                <w:lang w:eastAsia="es-SV"/>
              </w:rPr>
              <w:t>93</w:t>
            </w:r>
            <w:r w:rsidR="00DC2773" w:rsidRPr="002B7276">
              <w:rPr>
                <w:rFonts w:eastAsia="Times New Roman" w:cs="Arial"/>
                <w:sz w:val="20"/>
                <w:szCs w:val="20"/>
                <w:lang w:eastAsia="es-SV"/>
              </w:rPr>
              <w:t>,</w:t>
            </w:r>
            <w:r w:rsidRPr="002B7276">
              <w:rPr>
                <w:rFonts w:eastAsia="Times New Roman" w:cs="Arial"/>
                <w:sz w:val="20"/>
                <w:szCs w:val="20"/>
                <w:lang w:eastAsia="es-SV"/>
              </w:rPr>
              <w:t>676</w:t>
            </w:r>
          </w:p>
        </w:tc>
        <w:tc>
          <w:tcPr>
            <w:tcW w:w="1134" w:type="dxa"/>
            <w:tcBorders>
              <w:top w:val="nil"/>
              <w:left w:val="nil"/>
              <w:bottom w:val="single" w:sz="4" w:space="0" w:color="auto"/>
              <w:right w:val="single" w:sz="4" w:space="0" w:color="auto"/>
            </w:tcBorders>
            <w:shd w:val="clear" w:color="auto" w:fill="auto"/>
            <w:noWrap/>
            <w:vAlign w:val="center"/>
            <w:hideMark/>
          </w:tcPr>
          <w:p w14:paraId="5963EDD8" w14:textId="7D424DF4" w:rsidR="006A3DBC" w:rsidRPr="002B7276" w:rsidRDefault="006A3DBC" w:rsidP="005F4A92">
            <w:pPr>
              <w:spacing w:after="0" w:line="240" w:lineRule="auto"/>
              <w:jc w:val="center"/>
              <w:rPr>
                <w:rFonts w:eastAsia="Times New Roman" w:cs="Arial"/>
                <w:sz w:val="20"/>
                <w:szCs w:val="20"/>
                <w:lang w:eastAsia="es-SV"/>
              </w:rPr>
            </w:pPr>
            <w:r w:rsidRPr="002B7276">
              <w:rPr>
                <w:rFonts w:eastAsia="Times New Roman" w:cs="Arial"/>
                <w:sz w:val="20"/>
                <w:szCs w:val="20"/>
                <w:lang w:eastAsia="es-SV"/>
              </w:rPr>
              <w:t>118</w:t>
            </w:r>
            <w:r w:rsidR="00DC2773" w:rsidRPr="002B7276">
              <w:rPr>
                <w:rFonts w:eastAsia="Times New Roman" w:cs="Arial"/>
                <w:sz w:val="20"/>
                <w:szCs w:val="20"/>
                <w:lang w:eastAsia="es-SV"/>
              </w:rPr>
              <w:t>,</w:t>
            </w:r>
            <w:r w:rsidRPr="002B7276">
              <w:rPr>
                <w:rFonts w:eastAsia="Times New Roman" w:cs="Arial"/>
                <w:sz w:val="20"/>
                <w:szCs w:val="20"/>
                <w:lang w:eastAsia="es-SV"/>
              </w:rPr>
              <w:t>574</w:t>
            </w:r>
          </w:p>
        </w:tc>
        <w:tc>
          <w:tcPr>
            <w:tcW w:w="993" w:type="dxa"/>
            <w:tcBorders>
              <w:top w:val="nil"/>
              <w:left w:val="nil"/>
              <w:bottom w:val="single" w:sz="4" w:space="0" w:color="auto"/>
              <w:right w:val="single" w:sz="4" w:space="0" w:color="auto"/>
            </w:tcBorders>
            <w:shd w:val="clear" w:color="auto" w:fill="auto"/>
            <w:noWrap/>
            <w:vAlign w:val="center"/>
            <w:hideMark/>
          </w:tcPr>
          <w:p w14:paraId="69A865FC" w14:textId="5824D9FE" w:rsidR="006A3DBC" w:rsidRPr="002B7276" w:rsidRDefault="006A3DBC" w:rsidP="005F4A92">
            <w:pPr>
              <w:spacing w:after="0" w:line="240" w:lineRule="auto"/>
              <w:jc w:val="center"/>
              <w:rPr>
                <w:rFonts w:eastAsia="Times New Roman" w:cs="Arial"/>
                <w:sz w:val="20"/>
                <w:szCs w:val="20"/>
                <w:lang w:eastAsia="es-SV"/>
              </w:rPr>
            </w:pPr>
            <w:r w:rsidRPr="002B7276">
              <w:rPr>
                <w:rFonts w:eastAsia="Times New Roman" w:cs="Arial"/>
                <w:sz w:val="20"/>
                <w:szCs w:val="20"/>
                <w:lang w:eastAsia="es-SV"/>
              </w:rPr>
              <w:t>212</w:t>
            </w:r>
            <w:r w:rsidR="00DC2773" w:rsidRPr="002B7276">
              <w:rPr>
                <w:rFonts w:eastAsia="Times New Roman" w:cs="Arial"/>
                <w:sz w:val="20"/>
                <w:szCs w:val="20"/>
                <w:lang w:eastAsia="es-SV"/>
              </w:rPr>
              <w:t>,</w:t>
            </w:r>
            <w:r w:rsidRPr="002B7276">
              <w:rPr>
                <w:rFonts w:eastAsia="Times New Roman" w:cs="Arial"/>
                <w:sz w:val="20"/>
                <w:szCs w:val="20"/>
                <w:lang w:eastAsia="es-SV"/>
              </w:rPr>
              <w:t>250</w:t>
            </w:r>
          </w:p>
        </w:tc>
        <w:tc>
          <w:tcPr>
            <w:tcW w:w="992" w:type="dxa"/>
            <w:tcBorders>
              <w:top w:val="nil"/>
              <w:left w:val="nil"/>
              <w:bottom w:val="single" w:sz="4" w:space="0" w:color="auto"/>
              <w:right w:val="single" w:sz="4" w:space="0" w:color="auto"/>
            </w:tcBorders>
            <w:shd w:val="clear" w:color="auto" w:fill="auto"/>
            <w:noWrap/>
            <w:vAlign w:val="center"/>
            <w:hideMark/>
          </w:tcPr>
          <w:p w14:paraId="7C5D71AC" w14:textId="28BE51AC" w:rsidR="006A3DBC" w:rsidRPr="002B7276" w:rsidRDefault="006A3DBC" w:rsidP="005F4A92">
            <w:pPr>
              <w:spacing w:after="0" w:line="240" w:lineRule="auto"/>
              <w:jc w:val="center"/>
              <w:rPr>
                <w:rFonts w:eastAsia="Times New Roman" w:cs="Arial"/>
                <w:sz w:val="20"/>
                <w:szCs w:val="20"/>
                <w:lang w:eastAsia="es-SV"/>
              </w:rPr>
            </w:pPr>
            <w:r w:rsidRPr="002B7276">
              <w:rPr>
                <w:rFonts w:eastAsia="Times New Roman" w:cs="Arial"/>
                <w:sz w:val="20"/>
                <w:szCs w:val="20"/>
                <w:lang w:eastAsia="es-SV"/>
              </w:rPr>
              <w:t>171</w:t>
            </w:r>
            <w:r w:rsidR="00DC2773" w:rsidRPr="002B7276">
              <w:rPr>
                <w:rFonts w:eastAsia="Times New Roman" w:cs="Arial"/>
                <w:sz w:val="20"/>
                <w:szCs w:val="20"/>
                <w:lang w:eastAsia="es-SV"/>
              </w:rPr>
              <w:t>,</w:t>
            </w:r>
            <w:r w:rsidRPr="002B7276">
              <w:rPr>
                <w:rFonts w:eastAsia="Times New Roman" w:cs="Arial"/>
                <w:sz w:val="20"/>
                <w:szCs w:val="20"/>
                <w:lang w:eastAsia="es-SV"/>
              </w:rPr>
              <w:t>815</w:t>
            </w:r>
          </w:p>
        </w:tc>
        <w:tc>
          <w:tcPr>
            <w:tcW w:w="992" w:type="dxa"/>
            <w:tcBorders>
              <w:top w:val="nil"/>
              <w:left w:val="nil"/>
              <w:bottom w:val="single" w:sz="4" w:space="0" w:color="auto"/>
              <w:right w:val="single" w:sz="4" w:space="0" w:color="auto"/>
            </w:tcBorders>
            <w:shd w:val="clear" w:color="auto" w:fill="auto"/>
            <w:noWrap/>
            <w:vAlign w:val="center"/>
            <w:hideMark/>
          </w:tcPr>
          <w:p w14:paraId="27DEE0BA" w14:textId="6E738EC7" w:rsidR="006A3DBC" w:rsidRPr="002B7276" w:rsidRDefault="006A3DBC" w:rsidP="005F4A92">
            <w:pPr>
              <w:spacing w:after="0" w:line="240" w:lineRule="auto"/>
              <w:jc w:val="center"/>
              <w:rPr>
                <w:rFonts w:eastAsia="Times New Roman" w:cs="Arial"/>
                <w:sz w:val="20"/>
                <w:szCs w:val="20"/>
                <w:lang w:eastAsia="es-SV"/>
              </w:rPr>
            </w:pPr>
            <w:r w:rsidRPr="002B7276">
              <w:rPr>
                <w:rFonts w:eastAsia="Times New Roman" w:cs="Arial"/>
                <w:sz w:val="20"/>
                <w:szCs w:val="20"/>
                <w:lang w:eastAsia="es-SV"/>
              </w:rPr>
              <w:t>167</w:t>
            </w:r>
            <w:r w:rsidR="00DC2773" w:rsidRPr="002B7276">
              <w:rPr>
                <w:rFonts w:eastAsia="Times New Roman" w:cs="Arial"/>
                <w:sz w:val="20"/>
                <w:szCs w:val="20"/>
                <w:lang w:eastAsia="es-SV"/>
              </w:rPr>
              <w:t>,</w:t>
            </w:r>
            <w:r w:rsidRPr="002B7276">
              <w:rPr>
                <w:rFonts w:eastAsia="Times New Roman" w:cs="Arial"/>
                <w:sz w:val="20"/>
                <w:szCs w:val="20"/>
                <w:lang w:eastAsia="es-SV"/>
              </w:rPr>
              <w:t>880</w:t>
            </w:r>
          </w:p>
        </w:tc>
        <w:tc>
          <w:tcPr>
            <w:tcW w:w="992" w:type="dxa"/>
            <w:tcBorders>
              <w:top w:val="nil"/>
              <w:left w:val="nil"/>
              <w:bottom w:val="single" w:sz="4" w:space="0" w:color="auto"/>
              <w:right w:val="single" w:sz="4" w:space="0" w:color="auto"/>
            </w:tcBorders>
            <w:shd w:val="clear" w:color="auto" w:fill="auto"/>
            <w:noWrap/>
            <w:vAlign w:val="center"/>
            <w:hideMark/>
          </w:tcPr>
          <w:p w14:paraId="2C60022F" w14:textId="253BD7AA" w:rsidR="006A3DBC" w:rsidRPr="002B7276" w:rsidRDefault="006A3DBC" w:rsidP="005F4A92">
            <w:pPr>
              <w:spacing w:after="0" w:line="240" w:lineRule="auto"/>
              <w:jc w:val="center"/>
              <w:rPr>
                <w:rFonts w:eastAsia="Times New Roman" w:cs="Arial"/>
                <w:sz w:val="20"/>
                <w:szCs w:val="20"/>
                <w:lang w:eastAsia="es-SV"/>
              </w:rPr>
            </w:pPr>
            <w:r w:rsidRPr="002B7276">
              <w:rPr>
                <w:rFonts w:eastAsia="Times New Roman" w:cs="Arial"/>
                <w:sz w:val="20"/>
                <w:szCs w:val="20"/>
                <w:lang w:eastAsia="es-SV"/>
              </w:rPr>
              <w:t>339</w:t>
            </w:r>
            <w:r w:rsidR="00DC2773" w:rsidRPr="002B7276">
              <w:rPr>
                <w:rFonts w:eastAsia="Times New Roman" w:cs="Arial"/>
                <w:sz w:val="20"/>
                <w:szCs w:val="20"/>
                <w:lang w:eastAsia="es-SV"/>
              </w:rPr>
              <w:t>,</w:t>
            </w:r>
            <w:r w:rsidRPr="002B7276">
              <w:rPr>
                <w:rFonts w:eastAsia="Times New Roman" w:cs="Arial"/>
                <w:sz w:val="20"/>
                <w:szCs w:val="20"/>
                <w:lang w:eastAsia="es-SV"/>
              </w:rPr>
              <w:t>695</w:t>
            </w:r>
          </w:p>
        </w:tc>
        <w:tc>
          <w:tcPr>
            <w:tcW w:w="1134" w:type="dxa"/>
            <w:tcBorders>
              <w:top w:val="nil"/>
              <w:left w:val="nil"/>
              <w:bottom w:val="single" w:sz="4" w:space="0" w:color="auto"/>
              <w:right w:val="single" w:sz="4" w:space="0" w:color="auto"/>
            </w:tcBorders>
            <w:shd w:val="clear" w:color="auto" w:fill="auto"/>
            <w:noWrap/>
            <w:vAlign w:val="center"/>
            <w:hideMark/>
          </w:tcPr>
          <w:p w14:paraId="7A408AE7" w14:textId="07D48B14" w:rsidR="006A3DBC" w:rsidRPr="002B7276" w:rsidRDefault="006A3DBC" w:rsidP="005F4A92">
            <w:pPr>
              <w:spacing w:after="0" w:line="240" w:lineRule="auto"/>
              <w:jc w:val="center"/>
              <w:rPr>
                <w:rFonts w:eastAsia="Times New Roman" w:cs="Arial"/>
                <w:sz w:val="20"/>
                <w:szCs w:val="20"/>
                <w:lang w:eastAsia="es-SV"/>
              </w:rPr>
            </w:pPr>
            <w:r w:rsidRPr="002B7276">
              <w:rPr>
                <w:rFonts w:eastAsia="Times New Roman" w:cs="Arial"/>
                <w:sz w:val="20"/>
                <w:szCs w:val="20"/>
                <w:lang w:eastAsia="es-SV"/>
              </w:rPr>
              <w:t>551</w:t>
            </w:r>
            <w:r w:rsidR="00DC2773" w:rsidRPr="002B7276">
              <w:rPr>
                <w:rFonts w:eastAsia="Times New Roman" w:cs="Arial"/>
                <w:sz w:val="20"/>
                <w:szCs w:val="20"/>
                <w:lang w:eastAsia="es-SV"/>
              </w:rPr>
              <w:t>,</w:t>
            </w:r>
            <w:r w:rsidRPr="002B7276">
              <w:rPr>
                <w:rFonts w:eastAsia="Times New Roman" w:cs="Arial"/>
                <w:sz w:val="20"/>
                <w:szCs w:val="20"/>
                <w:lang w:eastAsia="es-SV"/>
              </w:rPr>
              <w:t>945</w:t>
            </w:r>
          </w:p>
        </w:tc>
      </w:tr>
      <w:tr w:rsidR="002B7276" w:rsidRPr="002B7276" w14:paraId="3207F840" w14:textId="77777777" w:rsidTr="00F94AC4">
        <w:trPr>
          <w:trHeight w:val="325"/>
          <w:jc w:val="center"/>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9A3DF" w14:textId="77777777" w:rsidR="006A3DBC" w:rsidRPr="002B7276" w:rsidRDefault="006A3DBC" w:rsidP="005F4A92">
            <w:pPr>
              <w:spacing w:after="0" w:line="240" w:lineRule="auto"/>
              <w:jc w:val="center"/>
              <w:rPr>
                <w:rFonts w:eastAsia="Times New Roman" w:cs="Arial"/>
                <w:b/>
                <w:bCs/>
                <w:lang w:eastAsia="es-SV"/>
              </w:rPr>
            </w:pPr>
            <w:r w:rsidRPr="002B7276">
              <w:rPr>
                <w:rFonts w:eastAsia="Times New Roman" w:cs="Arial"/>
                <w:b/>
                <w:bCs/>
                <w:lang w:eastAsia="es-SV"/>
              </w:rPr>
              <w:t xml:space="preserve">Total </w:t>
            </w:r>
          </w:p>
        </w:tc>
        <w:tc>
          <w:tcPr>
            <w:tcW w:w="1417" w:type="dxa"/>
            <w:tcBorders>
              <w:top w:val="nil"/>
              <w:left w:val="nil"/>
              <w:bottom w:val="single" w:sz="4" w:space="0" w:color="auto"/>
              <w:right w:val="single" w:sz="4" w:space="0" w:color="auto"/>
            </w:tcBorders>
            <w:shd w:val="clear" w:color="auto" w:fill="auto"/>
            <w:noWrap/>
            <w:vAlign w:val="center"/>
            <w:hideMark/>
          </w:tcPr>
          <w:p w14:paraId="37E05FE7" w14:textId="284A1F4F" w:rsidR="006A3DBC" w:rsidRPr="002B7276" w:rsidRDefault="006A3DBC" w:rsidP="005F4A92">
            <w:pPr>
              <w:spacing w:after="0" w:line="240" w:lineRule="auto"/>
              <w:jc w:val="center"/>
              <w:rPr>
                <w:rFonts w:eastAsia="Times New Roman" w:cs="Arial"/>
                <w:b/>
                <w:bCs/>
                <w:sz w:val="20"/>
                <w:szCs w:val="20"/>
                <w:lang w:eastAsia="es-SV"/>
              </w:rPr>
            </w:pPr>
            <w:r w:rsidRPr="002B7276">
              <w:rPr>
                <w:rFonts w:eastAsia="Times New Roman" w:cs="Arial"/>
                <w:b/>
                <w:bCs/>
                <w:sz w:val="20"/>
                <w:szCs w:val="20"/>
                <w:lang w:eastAsia="es-SV"/>
              </w:rPr>
              <w:t>183</w:t>
            </w:r>
            <w:r w:rsidR="00DC2773" w:rsidRPr="002B7276">
              <w:rPr>
                <w:rFonts w:eastAsia="Times New Roman" w:cs="Arial"/>
                <w:b/>
                <w:bCs/>
                <w:sz w:val="20"/>
                <w:szCs w:val="20"/>
                <w:lang w:eastAsia="es-SV"/>
              </w:rPr>
              <w:t>,</w:t>
            </w:r>
            <w:r w:rsidRPr="002B7276">
              <w:rPr>
                <w:rFonts w:eastAsia="Times New Roman" w:cs="Arial"/>
                <w:b/>
                <w:bCs/>
                <w:sz w:val="20"/>
                <w:szCs w:val="20"/>
                <w:lang w:eastAsia="es-SV"/>
              </w:rPr>
              <w:t>728</w:t>
            </w:r>
          </w:p>
        </w:tc>
        <w:tc>
          <w:tcPr>
            <w:tcW w:w="1134" w:type="dxa"/>
            <w:tcBorders>
              <w:top w:val="nil"/>
              <w:left w:val="nil"/>
              <w:bottom w:val="single" w:sz="4" w:space="0" w:color="auto"/>
              <w:right w:val="single" w:sz="4" w:space="0" w:color="auto"/>
            </w:tcBorders>
            <w:shd w:val="clear" w:color="auto" w:fill="auto"/>
            <w:noWrap/>
            <w:vAlign w:val="center"/>
            <w:hideMark/>
          </w:tcPr>
          <w:p w14:paraId="35CBFC1B" w14:textId="35A61201" w:rsidR="006A3DBC" w:rsidRPr="002B7276" w:rsidRDefault="006A3DBC" w:rsidP="005F4A92">
            <w:pPr>
              <w:spacing w:after="0" w:line="240" w:lineRule="auto"/>
              <w:jc w:val="center"/>
              <w:rPr>
                <w:rFonts w:eastAsia="Times New Roman" w:cs="Arial"/>
                <w:b/>
                <w:bCs/>
                <w:sz w:val="20"/>
                <w:szCs w:val="20"/>
                <w:lang w:eastAsia="es-SV"/>
              </w:rPr>
            </w:pPr>
            <w:r w:rsidRPr="002B7276">
              <w:rPr>
                <w:rFonts w:eastAsia="Times New Roman" w:cs="Arial"/>
                <w:b/>
                <w:bCs/>
                <w:sz w:val="20"/>
                <w:szCs w:val="20"/>
                <w:lang w:eastAsia="es-SV"/>
              </w:rPr>
              <w:t>223</w:t>
            </w:r>
            <w:r w:rsidR="00DC2773" w:rsidRPr="002B7276">
              <w:rPr>
                <w:rFonts w:eastAsia="Times New Roman" w:cs="Arial"/>
                <w:b/>
                <w:bCs/>
                <w:sz w:val="20"/>
                <w:szCs w:val="20"/>
                <w:lang w:eastAsia="es-SV"/>
              </w:rPr>
              <w:t>,</w:t>
            </w:r>
            <w:r w:rsidRPr="002B7276">
              <w:rPr>
                <w:rFonts w:eastAsia="Times New Roman" w:cs="Arial"/>
                <w:b/>
                <w:bCs/>
                <w:sz w:val="20"/>
                <w:szCs w:val="20"/>
                <w:lang w:eastAsia="es-SV"/>
              </w:rPr>
              <w:t>712</w:t>
            </w:r>
          </w:p>
        </w:tc>
        <w:tc>
          <w:tcPr>
            <w:tcW w:w="993" w:type="dxa"/>
            <w:tcBorders>
              <w:top w:val="nil"/>
              <w:left w:val="nil"/>
              <w:bottom w:val="single" w:sz="4" w:space="0" w:color="auto"/>
              <w:right w:val="single" w:sz="4" w:space="0" w:color="auto"/>
            </w:tcBorders>
            <w:shd w:val="clear" w:color="auto" w:fill="auto"/>
            <w:noWrap/>
            <w:vAlign w:val="center"/>
            <w:hideMark/>
          </w:tcPr>
          <w:p w14:paraId="6D9373D1" w14:textId="47D354C8" w:rsidR="006A3DBC" w:rsidRPr="002B7276" w:rsidRDefault="006A3DBC" w:rsidP="005F4A92">
            <w:pPr>
              <w:spacing w:after="0" w:line="240" w:lineRule="auto"/>
              <w:jc w:val="center"/>
              <w:rPr>
                <w:rFonts w:eastAsia="Times New Roman" w:cs="Arial"/>
                <w:b/>
                <w:bCs/>
                <w:sz w:val="20"/>
                <w:szCs w:val="20"/>
                <w:lang w:eastAsia="es-SV"/>
              </w:rPr>
            </w:pPr>
            <w:r w:rsidRPr="002B7276">
              <w:rPr>
                <w:rFonts w:eastAsia="Times New Roman" w:cs="Arial"/>
                <w:b/>
                <w:bCs/>
                <w:sz w:val="20"/>
                <w:szCs w:val="20"/>
                <w:lang w:eastAsia="es-SV"/>
              </w:rPr>
              <w:t>407</w:t>
            </w:r>
            <w:r w:rsidR="00DC2773" w:rsidRPr="002B7276">
              <w:rPr>
                <w:rFonts w:eastAsia="Times New Roman" w:cs="Arial"/>
                <w:b/>
                <w:bCs/>
                <w:sz w:val="20"/>
                <w:szCs w:val="20"/>
                <w:lang w:eastAsia="es-SV"/>
              </w:rPr>
              <w:t>,</w:t>
            </w:r>
            <w:r w:rsidRPr="002B7276">
              <w:rPr>
                <w:rFonts w:eastAsia="Times New Roman" w:cs="Arial"/>
                <w:b/>
                <w:bCs/>
                <w:sz w:val="20"/>
                <w:szCs w:val="20"/>
                <w:lang w:eastAsia="es-SV"/>
              </w:rPr>
              <w:t>440</w:t>
            </w:r>
          </w:p>
        </w:tc>
        <w:tc>
          <w:tcPr>
            <w:tcW w:w="992" w:type="dxa"/>
            <w:tcBorders>
              <w:top w:val="nil"/>
              <w:left w:val="nil"/>
              <w:bottom w:val="single" w:sz="4" w:space="0" w:color="auto"/>
              <w:right w:val="single" w:sz="4" w:space="0" w:color="auto"/>
            </w:tcBorders>
            <w:shd w:val="clear" w:color="auto" w:fill="auto"/>
            <w:noWrap/>
            <w:vAlign w:val="center"/>
            <w:hideMark/>
          </w:tcPr>
          <w:p w14:paraId="4CCF1B3A" w14:textId="11117B28" w:rsidR="006A3DBC" w:rsidRPr="002B7276" w:rsidRDefault="006A3DBC" w:rsidP="005F4A92">
            <w:pPr>
              <w:spacing w:after="0" w:line="240" w:lineRule="auto"/>
              <w:jc w:val="center"/>
              <w:rPr>
                <w:rFonts w:eastAsia="Times New Roman" w:cs="Arial"/>
                <w:b/>
                <w:bCs/>
                <w:sz w:val="20"/>
                <w:szCs w:val="20"/>
                <w:lang w:eastAsia="es-SV"/>
              </w:rPr>
            </w:pPr>
            <w:r w:rsidRPr="002B7276">
              <w:rPr>
                <w:rFonts w:eastAsia="Times New Roman" w:cs="Arial"/>
                <w:b/>
                <w:bCs/>
                <w:sz w:val="20"/>
                <w:szCs w:val="20"/>
                <w:lang w:eastAsia="es-SV"/>
              </w:rPr>
              <w:t>400</w:t>
            </w:r>
            <w:r w:rsidR="00DC2773" w:rsidRPr="002B7276">
              <w:rPr>
                <w:rFonts w:eastAsia="Times New Roman" w:cs="Arial"/>
                <w:b/>
                <w:bCs/>
                <w:sz w:val="20"/>
                <w:szCs w:val="20"/>
                <w:lang w:eastAsia="es-SV"/>
              </w:rPr>
              <w:t>,</w:t>
            </w:r>
            <w:r w:rsidRPr="002B7276">
              <w:rPr>
                <w:rFonts w:eastAsia="Times New Roman" w:cs="Arial"/>
                <w:b/>
                <w:bCs/>
                <w:sz w:val="20"/>
                <w:szCs w:val="20"/>
                <w:lang w:eastAsia="es-SV"/>
              </w:rPr>
              <w:t>633</w:t>
            </w:r>
          </w:p>
        </w:tc>
        <w:tc>
          <w:tcPr>
            <w:tcW w:w="992" w:type="dxa"/>
            <w:tcBorders>
              <w:top w:val="nil"/>
              <w:left w:val="nil"/>
              <w:bottom w:val="single" w:sz="4" w:space="0" w:color="auto"/>
              <w:right w:val="single" w:sz="4" w:space="0" w:color="auto"/>
            </w:tcBorders>
            <w:shd w:val="clear" w:color="auto" w:fill="auto"/>
            <w:noWrap/>
            <w:vAlign w:val="center"/>
            <w:hideMark/>
          </w:tcPr>
          <w:p w14:paraId="4054551D" w14:textId="2FDF85B5" w:rsidR="006A3DBC" w:rsidRPr="002B7276" w:rsidRDefault="006A3DBC" w:rsidP="005F4A92">
            <w:pPr>
              <w:spacing w:after="0" w:line="240" w:lineRule="auto"/>
              <w:jc w:val="center"/>
              <w:rPr>
                <w:rFonts w:eastAsia="Times New Roman" w:cs="Arial"/>
                <w:b/>
                <w:bCs/>
                <w:sz w:val="20"/>
                <w:szCs w:val="20"/>
                <w:lang w:eastAsia="es-SV"/>
              </w:rPr>
            </w:pPr>
            <w:r w:rsidRPr="002B7276">
              <w:rPr>
                <w:rFonts w:eastAsia="Times New Roman" w:cs="Arial"/>
                <w:b/>
                <w:bCs/>
                <w:sz w:val="20"/>
                <w:szCs w:val="20"/>
                <w:lang w:eastAsia="es-SV"/>
              </w:rPr>
              <w:t>406</w:t>
            </w:r>
            <w:r w:rsidR="00DC2773" w:rsidRPr="002B7276">
              <w:rPr>
                <w:rFonts w:eastAsia="Times New Roman" w:cs="Arial"/>
                <w:b/>
                <w:bCs/>
                <w:sz w:val="20"/>
                <w:szCs w:val="20"/>
                <w:lang w:eastAsia="es-SV"/>
              </w:rPr>
              <w:t>,</w:t>
            </w:r>
            <w:r w:rsidRPr="002B7276">
              <w:rPr>
                <w:rFonts w:eastAsia="Times New Roman" w:cs="Arial"/>
                <w:b/>
                <w:bCs/>
                <w:sz w:val="20"/>
                <w:szCs w:val="20"/>
                <w:lang w:eastAsia="es-SV"/>
              </w:rPr>
              <w:t>967</w:t>
            </w:r>
          </w:p>
        </w:tc>
        <w:tc>
          <w:tcPr>
            <w:tcW w:w="992" w:type="dxa"/>
            <w:tcBorders>
              <w:top w:val="nil"/>
              <w:left w:val="nil"/>
              <w:bottom w:val="single" w:sz="4" w:space="0" w:color="auto"/>
              <w:right w:val="single" w:sz="4" w:space="0" w:color="auto"/>
            </w:tcBorders>
            <w:shd w:val="clear" w:color="auto" w:fill="auto"/>
            <w:noWrap/>
            <w:vAlign w:val="center"/>
            <w:hideMark/>
          </w:tcPr>
          <w:p w14:paraId="7E521997" w14:textId="08B1290F" w:rsidR="006A3DBC" w:rsidRPr="002B7276" w:rsidRDefault="006A3DBC" w:rsidP="005F4A92">
            <w:pPr>
              <w:spacing w:after="0" w:line="240" w:lineRule="auto"/>
              <w:jc w:val="center"/>
              <w:rPr>
                <w:rFonts w:eastAsia="Times New Roman" w:cs="Arial"/>
                <w:b/>
                <w:bCs/>
                <w:sz w:val="20"/>
                <w:szCs w:val="20"/>
                <w:lang w:eastAsia="es-SV"/>
              </w:rPr>
            </w:pPr>
            <w:r w:rsidRPr="002B7276">
              <w:rPr>
                <w:rFonts w:eastAsia="Times New Roman" w:cs="Arial"/>
                <w:b/>
                <w:bCs/>
                <w:sz w:val="20"/>
                <w:szCs w:val="20"/>
                <w:lang w:eastAsia="es-SV"/>
              </w:rPr>
              <w:t>807</w:t>
            </w:r>
            <w:r w:rsidR="00DC2773" w:rsidRPr="002B7276">
              <w:rPr>
                <w:rFonts w:eastAsia="Times New Roman" w:cs="Arial"/>
                <w:b/>
                <w:bCs/>
                <w:sz w:val="20"/>
                <w:szCs w:val="20"/>
                <w:lang w:eastAsia="es-SV"/>
              </w:rPr>
              <w:t>,</w:t>
            </w:r>
            <w:r w:rsidRPr="002B7276">
              <w:rPr>
                <w:rFonts w:eastAsia="Times New Roman" w:cs="Arial"/>
                <w:b/>
                <w:bCs/>
                <w:sz w:val="20"/>
                <w:szCs w:val="20"/>
                <w:lang w:eastAsia="es-SV"/>
              </w:rPr>
              <w:t>600</w:t>
            </w:r>
          </w:p>
        </w:tc>
        <w:tc>
          <w:tcPr>
            <w:tcW w:w="1134" w:type="dxa"/>
            <w:tcBorders>
              <w:top w:val="nil"/>
              <w:left w:val="nil"/>
              <w:bottom w:val="single" w:sz="4" w:space="0" w:color="auto"/>
              <w:right w:val="single" w:sz="4" w:space="0" w:color="auto"/>
            </w:tcBorders>
            <w:shd w:val="clear" w:color="auto" w:fill="auto"/>
            <w:noWrap/>
            <w:vAlign w:val="center"/>
            <w:hideMark/>
          </w:tcPr>
          <w:p w14:paraId="2EACB0D0" w14:textId="15B2A3FA" w:rsidR="006A3DBC" w:rsidRPr="002B7276" w:rsidRDefault="006A3DBC" w:rsidP="005F4A92">
            <w:pPr>
              <w:spacing w:after="0" w:line="240" w:lineRule="auto"/>
              <w:jc w:val="center"/>
              <w:rPr>
                <w:rFonts w:eastAsia="Times New Roman" w:cs="Arial"/>
                <w:b/>
                <w:bCs/>
                <w:sz w:val="20"/>
                <w:szCs w:val="20"/>
                <w:lang w:eastAsia="es-SV"/>
              </w:rPr>
            </w:pPr>
            <w:r w:rsidRPr="002B7276">
              <w:rPr>
                <w:rFonts w:eastAsia="Times New Roman" w:cs="Arial"/>
                <w:b/>
                <w:bCs/>
                <w:sz w:val="20"/>
                <w:szCs w:val="20"/>
                <w:lang w:eastAsia="es-SV"/>
              </w:rPr>
              <w:t>1</w:t>
            </w:r>
            <w:r w:rsidR="00DC2773" w:rsidRPr="002B7276">
              <w:rPr>
                <w:rFonts w:eastAsia="Times New Roman" w:cs="Arial"/>
                <w:b/>
                <w:bCs/>
                <w:sz w:val="20"/>
                <w:szCs w:val="20"/>
                <w:lang w:eastAsia="es-SV"/>
              </w:rPr>
              <w:t>,</w:t>
            </w:r>
            <w:r w:rsidRPr="002B7276">
              <w:rPr>
                <w:rFonts w:eastAsia="Times New Roman" w:cs="Arial"/>
                <w:b/>
                <w:bCs/>
                <w:sz w:val="20"/>
                <w:szCs w:val="20"/>
                <w:lang w:eastAsia="es-SV"/>
              </w:rPr>
              <w:t>215</w:t>
            </w:r>
            <w:r w:rsidR="00DC2773" w:rsidRPr="002B7276">
              <w:rPr>
                <w:rFonts w:eastAsia="Times New Roman" w:cs="Arial"/>
                <w:b/>
                <w:bCs/>
                <w:sz w:val="20"/>
                <w:szCs w:val="20"/>
                <w:lang w:eastAsia="es-SV"/>
              </w:rPr>
              <w:t>,</w:t>
            </w:r>
            <w:r w:rsidRPr="002B7276">
              <w:rPr>
                <w:rFonts w:eastAsia="Times New Roman" w:cs="Arial"/>
                <w:b/>
                <w:bCs/>
                <w:sz w:val="20"/>
                <w:szCs w:val="20"/>
                <w:lang w:eastAsia="es-SV"/>
              </w:rPr>
              <w:t>040</w:t>
            </w:r>
          </w:p>
        </w:tc>
      </w:tr>
      <w:tr w:rsidR="002B7276" w:rsidRPr="002B7276" w14:paraId="737EAD18" w14:textId="77777777" w:rsidTr="00F94AC4">
        <w:trPr>
          <w:trHeight w:val="325"/>
          <w:jc w:val="center"/>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B7D2C" w14:textId="77777777" w:rsidR="006A3DBC" w:rsidRPr="002B7276" w:rsidRDefault="006A3DBC" w:rsidP="005F4A92">
            <w:pPr>
              <w:spacing w:after="0" w:line="240" w:lineRule="auto"/>
              <w:rPr>
                <w:rFonts w:eastAsia="Times New Roman" w:cs="Arial"/>
                <w:b/>
                <w:bCs/>
                <w:lang w:eastAsia="es-SV"/>
              </w:rPr>
            </w:pPr>
            <w:r w:rsidRPr="002B7276">
              <w:rPr>
                <w:rFonts w:eastAsia="Times New Roman" w:cs="Arial"/>
                <w:b/>
                <w:bCs/>
                <w:lang w:eastAsia="es-SV"/>
              </w:rPr>
              <w:t> </w:t>
            </w:r>
          </w:p>
        </w:tc>
        <w:tc>
          <w:tcPr>
            <w:tcW w:w="1417" w:type="dxa"/>
            <w:tcBorders>
              <w:top w:val="nil"/>
              <w:left w:val="nil"/>
              <w:bottom w:val="single" w:sz="4" w:space="0" w:color="auto"/>
              <w:right w:val="single" w:sz="4" w:space="0" w:color="auto"/>
            </w:tcBorders>
            <w:shd w:val="clear" w:color="auto" w:fill="auto"/>
            <w:noWrap/>
            <w:vAlign w:val="center"/>
            <w:hideMark/>
          </w:tcPr>
          <w:p w14:paraId="778DFD96" w14:textId="77777777" w:rsidR="006A3DBC" w:rsidRPr="002B7276" w:rsidRDefault="006A3DBC" w:rsidP="005F4A92">
            <w:pPr>
              <w:spacing w:after="0" w:line="240" w:lineRule="auto"/>
              <w:jc w:val="right"/>
              <w:rPr>
                <w:rFonts w:eastAsia="Times New Roman" w:cs="Arial"/>
                <w:b/>
                <w:bCs/>
                <w:sz w:val="20"/>
                <w:szCs w:val="20"/>
                <w:lang w:eastAsia="es-SV"/>
              </w:rPr>
            </w:pPr>
            <w:r w:rsidRPr="002B7276">
              <w:rPr>
                <w:rFonts w:eastAsia="Times New Roman" w:cs="Arial"/>
                <w:b/>
                <w:bCs/>
                <w:sz w:val="20"/>
                <w:szCs w:val="20"/>
                <w:lang w:eastAsia="es-SV"/>
              </w:rPr>
              <w:t>15.1%</w:t>
            </w:r>
          </w:p>
        </w:tc>
        <w:tc>
          <w:tcPr>
            <w:tcW w:w="1134" w:type="dxa"/>
            <w:tcBorders>
              <w:top w:val="nil"/>
              <w:left w:val="nil"/>
              <w:bottom w:val="single" w:sz="4" w:space="0" w:color="auto"/>
              <w:right w:val="single" w:sz="4" w:space="0" w:color="auto"/>
            </w:tcBorders>
            <w:shd w:val="clear" w:color="auto" w:fill="auto"/>
            <w:noWrap/>
            <w:vAlign w:val="center"/>
            <w:hideMark/>
          </w:tcPr>
          <w:p w14:paraId="1D466665" w14:textId="77777777" w:rsidR="006A3DBC" w:rsidRPr="002B7276" w:rsidRDefault="006A3DBC" w:rsidP="005F4A92">
            <w:pPr>
              <w:spacing w:after="0" w:line="240" w:lineRule="auto"/>
              <w:jc w:val="right"/>
              <w:rPr>
                <w:rFonts w:eastAsia="Times New Roman" w:cs="Arial"/>
                <w:b/>
                <w:bCs/>
                <w:sz w:val="20"/>
                <w:szCs w:val="20"/>
                <w:lang w:eastAsia="es-SV"/>
              </w:rPr>
            </w:pPr>
            <w:r w:rsidRPr="002B7276">
              <w:rPr>
                <w:rFonts w:eastAsia="Times New Roman" w:cs="Arial"/>
                <w:b/>
                <w:bCs/>
                <w:sz w:val="20"/>
                <w:szCs w:val="20"/>
                <w:lang w:eastAsia="es-SV"/>
              </w:rPr>
              <w:t>18.4%</w:t>
            </w:r>
          </w:p>
        </w:tc>
        <w:tc>
          <w:tcPr>
            <w:tcW w:w="993" w:type="dxa"/>
            <w:tcBorders>
              <w:top w:val="nil"/>
              <w:left w:val="nil"/>
              <w:bottom w:val="single" w:sz="4" w:space="0" w:color="auto"/>
              <w:right w:val="single" w:sz="4" w:space="0" w:color="auto"/>
            </w:tcBorders>
            <w:shd w:val="clear" w:color="auto" w:fill="auto"/>
            <w:noWrap/>
            <w:vAlign w:val="center"/>
            <w:hideMark/>
          </w:tcPr>
          <w:p w14:paraId="30D2F0C2" w14:textId="77777777" w:rsidR="006A3DBC" w:rsidRPr="002B7276" w:rsidRDefault="006A3DBC" w:rsidP="005F4A92">
            <w:pPr>
              <w:spacing w:after="0" w:line="240" w:lineRule="auto"/>
              <w:rPr>
                <w:rFonts w:eastAsia="Times New Roman" w:cs="Arial"/>
                <w:b/>
                <w:bCs/>
                <w:sz w:val="20"/>
                <w:szCs w:val="20"/>
                <w:lang w:eastAsia="es-SV"/>
              </w:rPr>
            </w:pPr>
            <w:r w:rsidRPr="002B7276">
              <w:rPr>
                <w:rFonts w:eastAsia="Times New Roman" w:cs="Arial"/>
                <w:b/>
                <w:bCs/>
                <w:sz w:val="20"/>
                <w:szCs w:val="20"/>
                <w:lang w:eastAsia="es-SV"/>
              </w:rPr>
              <w:t> </w:t>
            </w:r>
          </w:p>
        </w:tc>
        <w:tc>
          <w:tcPr>
            <w:tcW w:w="992" w:type="dxa"/>
            <w:tcBorders>
              <w:top w:val="nil"/>
              <w:left w:val="nil"/>
              <w:bottom w:val="single" w:sz="4" w:space="0" w:color="auto"/>
              <w:right w:val="single" w:sz="4" w:space="0" w:color="auto"/>
            </w:tcBorders>
            <w:shd w:val="clear" w:color="auto" w:fill="auto"/>
            <w:noWrap/>
            <w:vAlign w:val="center"/>
            <w:hideMark/>
          </w:tcPr>
          <w:p w14:paraId="276B0191" w14:textId="77777777" w:rsidR="006A3DBC" w:rsidRPr="002B7276" w:rsidRDefault="006A3DBC" w:rsidP="005F4A92">
            <w:pPr>
              <w:spacing w:after="0" w:line="240" w:lineRule="auto"/>
              <w:jc w:val="right"/>
              <w:rPr>
                <w:rFonts w:eastAsia="Times New Roman" w:cs="Arial"/>
                <w:b/>
                <w:bCs/>
                <w:sz w:val="20"/>
                <w:szCs w:val="20"/>
                <w:lang w:eastAsia="es-SV"/>
              </w:rPr>
            </w:pPr>
            <w:r w:rsidRPr="002B7276">
              <w:rPr>
                <w:rFonts w:eastAsia="Times New Roman" w:cs="Arial"/>
                <w:b/>
                <w:bCs/>
                <w:sz w:val="20"/>
                <w:szCs w:val="20"/>
                <w:lang w:eastAsia="es-SV"/>
              </w:rPr>
              <w:t>33.0%</w:t>
            </w:r>
          </w:p>
        </w:tc>
        <w:tc>
          <w:tcPr>
            <w:tcW w:w="992" w:type="dxa"/>
            <w:tcBorders>
              <w:top w:val="nil"/>
              <w:left w:val="nil"/>
              <w:bottom w:val="single" w:sz="4" w:space="0" w:color="auto"/>
              <w:right w:val="single" w:sz="4" w:space="0" w:color="auto"/>
            </w:tcBorders>
            <w:shd w:val="clear" w:color="auto" w:fill="auto"/>
            <w:noWrap/>
            <w:vAlign w:val="center"/>
            <w:hideMark/>
          </w:tcPr>
          <w:p w14:paraId="4F27EF44" w14:textId="77777777" w:rsidR="006A3DBC" w:rsidRPr="002B7276" w:rsidRDefault="006A3DBC" w:rsidP="005F4A92">
            <w:pPr>
              <w:spacing w:after="0" w:line="240" w:lineRule="auto"/>
              <w:jc w:val="right"/>
              <w:rPr>
                <w:rFonts w:eastAsia="Times New Roman" w:cs="Arial"/>
                <w:b/>
                <w:bCs/>
                <w:sz w:val="20"/>
                <w:szCs w:val="20"/>
                <w:lang w:eastAsia="es-SV"/>
              </w:rPr>
            </w:pPr>
            <w:r w:rsidRPr="002B7276">
              <w:rPr>
                <w:rFonts w:eastAsia="Times New Roman" w:cs="Arial"/>
                <w:b/>
                <w:bCs/>
                <w:sz w:val="20"/>
                <w:szCs w:val="20"/>
                <w:lang w:eastAsia="es-SV"/>
              </w:rPr>
              <w:t>33.5%</w:t>
            </w:r>
          </w:p>
        </w:tc>
        <w:tc>
          <w:tcPr>
            <w:tcW w:w="992" w:type="dxa"/>
            <w:tcBorders>
              <w:top w:val="nil"/>
              <w:left w:val="nil"/>
              <w:bottom w:val="single" w:sz="4" w:space="0" w:color="auto"/>
              <w:right w:val="single" w:sz="4" w:space="0" w:color="auto"/>
            </w:tcBorders>
            <w:shd w:val="clear" w:color="auto" w:fill="auto"/>
            <w:noWrap/>
            <w:vAlign w:val="center"/>
            <w:hideMark/>
          </w:tcPr>
          <w:p w14:paraId="4A12EA81" w14:textId="77777777" w:rsidR="006A3DBC" w:rsidRPr="002B7276" w:rsidRDefault="006A3DBC" w:rsidP="005F4A92">
            <w:pPr>
              <w:spacing w:after="0" w:line="240" w:lineRule="auto"/>
              <w:rPr>
                <w:rFonts w:eastAsia="Times New Roman" w:cs="Arial"/>
                <w:b/>
                <w:bCs/>
                <w:sz w:val="20"/>
                <w:szCs w:val="20"/>
                <w:lang w:eastAsia="es-SV"/>
              </w:rPr>
            </w:pPr>
            <w:r w:rsidRPr="002B7276">
              <w:rPr>
                <w:rFonts w:eastAsia="Times New Roman" w:cs="Arial"/>
                <w:b/>
                <w:bCs/>
                <w:sz w:val="20"/>
                <w:szCs w:val="20"/>
                <w:lang w:eastAsia="es-SV"/>
              </w:rPr>
              <w:t> </w:t>
            </w:r>
          </w:p>
        </w:tc>
        <w:tc>
          <w:tcPr>
            <w:tcW w:w="1134" w:type="dxa"/>
            <w:tcBorders>
              <w:top w:val="nil"/>
              <w:left w:val="nil"/>
              <w:bottom w:val="single" w:sz="4" w:space="0" w:color="auto"/>
              <w:right w:val="single" w:sz="4" w:space="0" w:color="auto"/>
            </w:tcBorders>
            <w:shd w:val="clear" w:color="auto" w:fill="auto"/>
            <w:noWrap/>
            <w:vAlign w:val="center"/>
            <w:hideMark/>
          </w:tcPr>
          <w:p w14:paraId="52BB38CB" w14:textId="77777777" w:rsidR="006A3DBC" w:rsidRPr="002B7276" w:rsidRDefault="006A3DBC" w:rsidP="005F4A92">
            <w:pPr>
              <w:spacing w:after="0" w:line="240" w:lineRule="auto"/>
              <w:jc w:val="right"/>
              <w:rPr>
                <w:rFonts w:eastAsia="Times New Roman" w:cs="Arial"/>
                <w:b/>
                <w:bCs/>
                <w:sz w:val="20"/>
                <w:szCs w:val="20"/>
                <w:lang w:eastAsia="es-SV"/>
              </w:rPr>
            </w:pPr>
            <w:r w:rsidRPr="002B7276">
              <w:rPr>
                <w:rFonts w:eastAsia="Times New Roman" w:cs="Arial"/>
                <w:b/>
                <w:bCs/>
                <w:sz w:val="20"/>
                <w:szCs w:val="20"/>
                <w:lang w:eastAsia="es-SV"/>
              </w:rPr>
              <w:t>100.0%</w:t>
            </w:r>
          </w:p>
        </w:tc>
      </w:tr>
    </w:tbl>
    <w:p w14:paraId="5DC35A64" w14:textId="77777777" w:rsidR="006A3DBC" w:rsidRPr="00FA4B2D" w:rsidRDefault="006A3DBC" w:rsidP="006A3DBC">
      <w:pPr>
        <w:jc w:val="center"/>
        <w:rPr>
          <w:rFonts w:cs="Arial"/>
          <w:sz w:val="20"/>
          <w:szCs w:val="20"/>
        </w:rPr>
      </w:pPr>
      <w:r w:rsidRPr="00FA4B2D">
        <w:rPr>
          <w:rFonts w:cs="Arial"/>
          <w:b/>
          <w:bCs/>
          <w:sz w:val="20"/>
          <w:szCs w:val="20"/>
        </w:rPr>
        <w:t>Fuente</w:t>
      </w:r>
      <w:r w:rsidRPr="00FA4B2D">
        <w:rPr>
          <w:rFonts w:cs="Arial"/>
          <w:sz w:val="20"/>
          <w:szCs w:val="20"/>
        </w:rPr>
        <w:t>: elaboración propia con base a datos de la EHPM 2019.</w:t>
      </w:r>
    </w:p>
    <w:p w14:paraId="2A6FA517" w14:textId="77777777" w:rsidR="006A3DBC" w:rsidRPr="00FA4B2D" w:rsidRDefault="006A3DBC" w:rsidP="00411720">
      <w:pPr>
        <w:pStyle w:val="Ttulo2"/>
        <w:numPr>
          <w:ilvl w:val="2"/>
          <w:numId w:val="100"/>
        </w:numPr>
        <w:spacing w:before="0" w:line="240" w:lineRule="auto"/>
        <w:jc w:val="both"/>
        <w:rPr>
          <w:rFonts w:ascii="Arial" w:hAnsi="Arial" w:cs="Arial"/>
          <w:b/>
          <w:color w:val="767171" w:themeColor="background2" w:themeShade="80"/>
          <w:sz w:val="22"/>
          <w:szCs w:val="22"/>
        </w:rPr>
      </w:pPr>
      <w:bookmarkStart w:id="709" w:name="_Toc156586903"/>
      <w:bookmarkStart w:id="710" w:name="_Toc202456934"/>
      <w:r w:rsidRPr="00FA4B2D">
        <w:rPr>
          <w:rFonts w:ascii="Arial" w:hAnsi="Arial" w:cs="Arial"/>
          <w:b/>
          <w:color w:val="767171" w:themeColor="background2" w:themeShade="80"/>
          <w:sz w:val="22"/>
          <w:szCs w:val="22"/>
        </w:rPr>
        <w:t>Personas en condición de pobreza</w:t>
      </w:r>
      <w:bookmarkEnd w:id="709"/>
      <w:bookmarkEnd w:id="710"/>
    </w:p>
    <w:p w14:paraId="78EA7F13" w14:textId="77777777" w:rsidR="00F94AC4" w:rsidRDefault="00F94AC4" w:rsidP="006A3DBC">
      <w:pPr>
        <w:jc w:val="both"/>
        <w:rPr>
          <w:rFonts w:cs="Arial"/>
        </w:rPr>
      </w:pPr>
    </w:p>
    <w:p w14:paraId="342EDF6F" w14:textId="36F89149" w:rsidR="006A3DBC" w:rsidRPr="00FA4B2D" w:rsidRDefault="006A3DBC" w:rsidP="006A3DBC">
      <w:pPr>
        <w:jc w:val="both"/>
        <w:rPr>
          <w:rFonts w:cs="Arial"/>
        </w:rPr>
      </w:pPr>
      <w:r w:rsidRPr="00FA4B2D">
        <w:rPr>
          <w:rFonts w:cs="Arial"/>
        </w:rPr>
        <w:t xml:space="preserve">La EHPM 2019, también registra resultados a nivel de pobreza de personas, en este sentido, y de forma desagregada señala que 708,750 personas (347593 hombres y 361157 mujeres se encuentran en condición de pobreza extrema, personas que no logran cubrir los costos de la canasta básica) que, en términos porcentuales, si comparamos con el total de población de los tres departamentos, equivaldría al 56% de la población estimada de los tres departamentos (1,265,867). De igual forma, considera la población en pobreza relativa, es decir, que no alcanzan a cubrir los costos de la canasta básica ampliada, siendo que este porcentaje representa al 20% de la población total de los tres departamentos. </w:t>
      </w:r>
    </w:p>
    <w:p w14:paraId="053E6AB6" w14:textId="77777777" w:rsidR="006A3DBC" w:rsidRPr="00FA4B2D" w:rsidRDefault="006A3DBC" w:rsidP="006A3DBC">
      <w:pPr>
        <w:jc w:val="both"/>
        <w:rPr>
          <w:rFonts w:cs="Arial"/>
        </w:rPr>
      </w:pPr>
      <w:r w:rsidRPr="00FA4B2D">
        <w:rPr>
          <w:rFonts w:cs="Arial"/>
        </w:rPr>
        <w:t xml:space="preserve">Si cuantificamos a la población total en pobreza, implica que el 76% de la población de los departamentos de intervención del Proyecto es pobre (extrema o relativamente hablando). En ambos casos, cerca de 500 mil mujeres se encuentran en esta condición de pobreza (361,157 son pobres extremas y 130,759 son pobres relativas). Este tipo de brechas están relacionadas con las condiciones mixtas de la situación de la ocupación, como puede observarse en general, son las mujeres las que están menos ocupadas (197 mil, frente a 376 mil hombres). </w:t>
      </w:r>
    </w:p>
    <w:p w14:paraId="4690833C" w14:textId="77777777" w:rsidR="006A3DBC" w:rsidRPr="00FA4B2D" w:rsidRDefault="006A3DBC" w:rsidP="006A3DBC">
      <w:pPr>
        <w:jc w:val="both"/>
        <w:rPr>
          <w:rFonts w:cs="Arial"/>
        </w:rPr>
      </w:pPr>
      <w:r w:rsidRPr="00FA4B2D">
        <w:rPr>
          <w:rFonts w:cs="Arial"/>
        </w:rPr>
        <w:t xml:space="preserve">A nivel nacional el 80.4% de la población se encuentra en edad de trabajar (10 años a más), las mujeres se encuentran inmersas sobre todo en actividades del trabajo informal como del trabajo doméstico y por cuenta propia, que no contrata mano de obra. Mientras que los hombres se encuentran inmersos además como empleados </w:t>
      </w:r>
      <w:r w:rsidRPr="00FA4B2D">
        <w:rPr>
          <w:rFonts w:cs="Arial"/>
        </w:rPr>
        <w:lastRenderedPageBreak/>
        <w:t xml:space="preserve">privados o como empleadores, patrones o socios activos, que representan ocupaciones con mayor estabilidad laboral y salarial. </w:t>
      </w:r>
    </w:p>
    <w:p w14:paraId="462911D6" w14:textId="728B2ABA" w:rsidR="00F94AC4" w:rsidRDefault="00F94AC4" w:rsidP="00F94AC4">
      <w:pPr>
        <w:pStyle w:val="Descripcin"/>
        <w:keepNext/>
      </w:pPr>
      <w:bookmarkStart w:id="711" w:name="_Toc202455463"/>
      <w:r>
        <w:t xml:space="preserve">Tabla </w:t>
      </w:r>
      <w:r>
        <w:fldChar w:fldCharType="begin"/>
      </w:r>
      <w:r>
        <w:instrText xml:space="preserve"> SEQ Tabla \* ARABIC </w:instrText>
      </w:r>
      <w:r>
        <w:fldChar w:fldCharType="separate"/>
      </w:r>
      <w:r w:rsidR="000E6D86">
        <w:rPr>
          <w:noProof/>
        </w:rPr>
        <w:t>37</w:t>
      </w:r>
      <w:r>
        <w:fldChar w:fldCharType="end"/>
      </w:r>
      <w:r>
        <w:t xml:space="preserve">: </w:t>
      </w:r>
      <w:r w:rsidRPr="00A043FD">
        <w:t>Tipo de ocupación de las personas por sexo. Tres departamentos</w:t>
      </w:r>
      <w:bookmarkEnd w:id="711"/>
    </w:p>
    <w:tbl>
      <w:tblPr>
        <w:tblW w:w="9556" w:type="dxa"/>
        <w:tblCellMar>
          <w:left w:w="70" w:type="dxa"/>
          <w:right w:w="70" w:type="dxa"/>
        </w:tblCellMar>
        <w:tblLook w:val="04A0" w:firstRow="1" w:lastRow="0" w:firstColumn="1" w:lastColumn="0" w:noHBand="0" w:noVBand="1"/>
      </w:tblPr>
      <w:tblGrid>
        <w:gridCol w:w="4228"/>
        <w:gridCol w:w="1776"/>
        <w:gridCol w:w="1776"/>
        <w:gridCol w:w="1776"/>
      </w:tblGrid>
      <w:tr w:rsidR="002B7276" w:rsidRPr="002B7276" w14:paraId="549729D8" w14:textId="77777777" w:rsidTr="00016847">
        <w:trPr>
          <w:trHeight w:val="250"/>
          <w:tblHeader/>
        </w:trPr>
        <w:tc>
          <w:tcPr>
            <w:tcW w:w="4228" w:type="dxa"/>
            <w:tcBorders>
              <w:top w:val="single" w:sz="4" w:space="0" w:color="AEAEAE"/>
              <w:left w:val="nil"/>
              <w:bottom w:val="nil"/>
              <w:right w:val="nil"/>
            </w:tcBorders>
            <w:shd w:val="clear" w:color="auto" w:fill="5CC5DA"/>
          </w:tcPr>
          <w:p w14:paraId="06FB0012" w14:textId="77777777" w:rsidR="006A3DBC" w:rsidRPr="002B7276" w:rsidRDefault="006A3DBC" w:rsidP="005F4A92">
            <w:pPr>
              <w:spacing w:after="0" w:line="240" w:lineRule="auto"/>
              <w:jc w:val="center"/>
              <w:rPr>
                <w:rFonts w:eastAsia="Times New Roman" w:cs="Arial"/>
                <w:b/>
                <w:bCs/>
                <w:sz w:val="18"/>
                <w:szCs w:val="18"/>
                <w:lang w:eastAsia="es-SV"/>
              </w:rPr>
            </w:pPr>
            <w:r w:rsidRPr="002B7276">
              <w:rPr>
                <w:rFonts w:eastAsia="Times New Roman" w:cs="Arial"/>
                <w:b/>
                <w:bCs/>
                <w:sz w:val="18"/>
                <w:szCs w:val="18"/>
                <w:lang w:eastAsia="es-SV"/>
              </w:rPr>
              <w:t>Tipo de ocupación</w:t>
            </w:r>
          </w:p>
        </w:tc>
        <w:tc>
          <w:tcPr>
            <w:tcW w:w="1776" w:type="dxa"/>
            <w:tcBorders>
              <w:top w:val="single" w:sz="4" w:space="0" w:color="AEAEAE"/>
              <w:left w:val="nil"/>
              <w:bottom w:val="single" w:sz="4" w:space="0" w:color="AEAEAE"/>
              <w:right w:val="single" w:sz="4" w:space="0" w:color="E0E0E0"/>
            </w:tcBorders>
            <w:shd w:val="clear" w:color="auto" w:fill="5CC5DA"/>
            <w:noWrap/>
          </w:tcPr>
          <w:p w14:paraId="663E5A40" w14:textId="77777777" w:rsidR="006A3DBC" w:rsidRPr="002B7276" w:rsidRDefault="006A3DBC" w:rsidP="005F4A92">
            <w:pPr>
              <w:spacing w:after="0" w:line="240" w:lineRule="auto"/>
              <w:jc w:val="center"/>
              <w:rPr>
                <w:rFonts w:eastAsia="Times New Roman" w:cs="Arial"/>
                <w:b/>
                <w:bCs/>
                <w:sz w:val="18"/>
                <w:szCs w:val="18"/>
                <w:lang w:eastAsia="es-SV"/>
              </w:rPr>
            </w:pPr>
            <w:r w:rsidRPr="002B7276">
              <w:rPr>
                <w:rFonts w:eastAsia="Times New Roman" w:cs="Arial"/>
                <w:b/>
                <w:bCs/>
                <w:sz w:val="18"/>
                <w:szCs w:val="18"/>
                <w:lang w:eastAsia="es-SV"/>
              </w:rPr>
              <w:t>Hombre</w:t>
            </w:r>
          </w:p>
        </w:tc>
        <w:tc>
          <w:tcPr>
            <w:tcW w:w="1776" w:type="dxa"/>
            <w:tcBorders>
              <w:top w:val="single" w:sz="4" w:space="0" w:color="AEAEAE"/>
              <w:left w:val="nil"/>
              <w:bottom w:val="single" w:sz="4" w:space="0" w:color="AEAEAE"/>
              <w:right w:val="single" w:sz="4" w:space="0" w:color="E0E0E0"/>
            </w:tcBorders>
            <w:shd w:val="clear" w:color="auto" w:fill="5CC5DA"/>
            <w:noWrap/>
          </w:tcPr>
          <w:p w14:paraId="01192D6F" w14:textId="77777777" w:rsidR="006A3DBC" w:rsidRPr="002B7276" w:rsidRDefault="006A3DBC" w:rsidP="005F4A92">
            <w:pPr>
              <w:spacing w:after="0" w:line="240" w:lineRule="auto"/>
              <w:jc w:val="center"/>
              <w:rPr>
                <w:rFonts w:eastAsia="Times New Roman" w:cs="Arial"/>
                <w:b/>
                <w:bCs/>
                <w:sz w:val="18"/>
                <w:szCs w:val="18"/>
                <w:lang w:eastAsia="es-SV"/>
              </w:rPr>
            </w:pPr>
            <w:r w:rsidRPr="002B7276">
              <w:rPr>
                <w:rFonts w:eastAsia="Times New Roman" w:cs="Arial"/>
                <w:b/>
                <w:bCs/>
                <w:sz w:val="18"/>
                <w:szCs w:val="18"/>
                <w:lang w:eastAsia="es-SV"/>
              </w:rPr>
              <w:t>Mujer</w:t>
            </w:r>
          </w:p>
        </w:tc>
        <w:tc>
          <w:tcPr>
            <w:tcW w:w="1776" w:type="dxa"/>
            <w:tcBorders>
              <w:top w:val="single" w:sz="4" w:space="0" w:color="AEAEAE"/>
              <w:left w:val="nil"/>
              <w:bottom w:val="single" w:sz="4" w:space="0" w:color="AEAEAE"/>
              <w:right w:val="nil"/>
            </w:tcBorders>
            <w:shd w:val="clear" w:color="auto" w:fill="5CC5DA"/>
            <w:noWrap/>
          </w:tcPr>
          <w:p w14:paraId="3DF0A92E" w14:textId="77777777" w:rsidR="006A3DBC" w:rsidRPr="002B7276" w:rsidRDefault="006A3DBC" w:rsidP="005F4A92">
            <w:pPr>
              <w:spacing w:after="0" w:line="240" w:lineRule="auto"/>
              <w:jc w:val="center"/>
              <w:rPr>
                <w:rFonts w:eastAsia="Times New Roman" w:cs="Arial"/>
                <w:b/>
                <w:bCs/>
                <w:sz w:val="18"/>
                <w:szCs w:val="18"/>
                <w:lang w:eastAsia="es-SV"/>
              </w:rPr>
            </w:pPr>
            <w:r w:rsidRPr="002B7276">
              <w:rPr>
                <w:rFonts w:eastAsia="Times New Roman" w:cs="Arial"/>
                <w:b/>
                <w:bCs/>
                <w:sz w:val="18"/>
                <w:szCs w:val="18"/>
                <w:lang w:eastAsia="es-SV"/>
              </w:rPr>
              <w:t>Total</w:t>
            </w:r>
          </w:p>
        </w:tc>
      </w:tr>
      <w:tr w:rsidR="002B7276" w:rsidRPr="002B7276" w14:paraId="59E81623" w14:textId="77777777" w:rsidTr="005F4A92">
        <w:trPr>
          <w:trHeight w:val="250"/>
        </w:trPr>
        <w:tc>
          <w:tcPr>
            <w:tcW w:w="4228" w:type="dxa"/>
            <w:tcBorders>
              <w:top w:val="single" w:sz="4" w:space="0" w:color="AEAEAE"/>
              <w:left w:val="nil"/>
              <w:bottom w:val="nil"/>
              <w:right w:val="nil"/>
            </w:tcBorders>
            <w:shd w:val="clear" w:color="000000" w:fill="E0E0E0"/>
            <w:hideMark/>
          </w:tcPr>
          <w:p w14:paraId="462D2A7F" w14:textId="77777777" w:rsidR="006A3DBC" w:rsidRPr="002B7276" w:rsidRDefault="006A3DBC" w:rsidP="005F4A92">
            <w:pPr>
              <w:spacing w:after="0" w:line="240" w:lineRule="auto"/>
              <w:jc w:val="both"/>
              <w:rPr>
                <w:rFonts w:eastAsia="Times New Roman" w:cs="Arial"/>
                <w:sz w:val="18"/>
                <w:szCs w:val="18"/>
                <w:lang w:eastAsia="es-SV"/>
              </w:rPr>
            </w:pPr>
            <w:r w:rsidRPr="002B7276">
              <w:rPr>
                <w:rFonts w:eastAsia="Times New Roman" w:cs="Arial"/>
                <w:sz w:val="18"/>
                <w:szCs w:val="18"/>
                <w:lang w:eastAsia="es-SV"/>
              </w:rPr>
              <w:t>Empleado(a) u obrero público.</w:t>
            </w:r>
          </w:p>
        </w:tc>
        <w:tc>
          <w:tcPr>
            <w:tcW w:w="1776" w:type="dxa"/>
            <w:tcBorders>
              <w:top w:val="single" w:sz="4" w:space="0" w:color="AEAEAE"/>
              <w:left w:val="nil"/>
              <w:bottom w:val="single" w:sz="4" w:space="0" w:color="AEAEAE"/>
              <w:right w:val="single" w:sz="4" w:space="0" w:color="E0E0E0"/>
            </w:tcBorders>
            <w:shd w:val="clear" w:color="auto" w:fill="auto"/>
            <w:noWrap/>
            <w:hideMark/>
          </w:tcPr>
          <w:p w14:paraId="4DC41A9C" w14:textId="5B42804B" w:rsidR="006A3DBC" w:rsidRPr="002B7276" w:rsidRDefault="006A3DBC" w:rsidP="005F4A92">
            <w:pPr>
              <w:spacing w:after="0" w:line="240" w:lineRule="auto"/>
              <w:jc w:val="center"/>
              <w:rPr>
                <w:rFonts w:eastAsia="Times New Roman" w:cs="Arial"/>
                <w:sz w:val="18"/>
                <w:szCs w:val="18"/>
                <w:lang w:eastAsia="es-SV"/>
              </w:rPr>
            </w:pPr>
            <w:r w:rsidRPr="002B7276">
              <w:rPr>
                <w:rFonts w:eastAsia="Times New Roman" w:cs="Arial"/>
                <w:sz w:val="18"/>
                <w:szCs w:val="18"/>
                <w:lang w:eastAsia="es-SV"/>
              </w:rPr>
              <w:t>13</w:t>
            </w:r>
            <w:r w:rsidR="005B5AED" w:rsidRPr="002B7276">
              <w:rPr>
                <w:rFonts w:eastAsia="Times New Roman" w:cs="Arial"/>
                <w:sz w:val="18"/>
                <w:szCs w:val="18"/>
                <w:lang w:eastAsia="es-SV"/>
              </w:rPr>
              <w:t>,</w:t>
            </w:r>
            <w:r w:rsidRPr="002B7276">
              <w:rPr>
                <w:rFonts w:eastAsia="Times New Roman" w:cs="Arial"/>
                <w:sz w:val="18"/>
                <w:szCs w:val="18"/>
                <w:lang w:eastAsia="es-SV"/>
              </w:rPr>
              <w:t>214</w:t>
            </w:r>
          </w:p>
        </w:tc>
        <w:tc>
          <w:tcPr>
            <w:tcW w:w="1776" w:type="dxa"/>
            <w:tcBorders>
              <w:top w:val="single" w:sz="4" w:space="0" w:color="AEAEAE"/>
              <w:left w:val="nil"/>
              <w:bottom w:val="single" w:sz="4" w:space="0" w:color="AEAEAE"/>
              <w:right w:val="single" w:sz="4" w:space="0" w:color="E0E0E0"/>
            </w:tcBorders>
            <w:shd w:val="clear" w:color="auto" w:fill="auto"/>
            <w:noWrap/>
            <w:hideMark/>
          </w:tcPr>
          <w:p w14:paraId="773DAFA8" w14:textId="56F78E32" w:rsidR="006A3DBC" w:rsidRPr="002B7276" w:rsidRDefault="006A3DBC" w:rsidP="005F4A92">
            <w:pPr>
              <w:spacing w:after="0" w:line="240" w:lineRule="auto"/>
              <w:jc w:val="center"/>
              <w:rPr>
                <w:rFonts w:eastAsia="Times New Roman" w:cs="Arial"/>
                <w:sz w:val="18"/>
                <w:szCs w:val="18"/>
                <w:lang w:eastAsia="es-SV"/>
              </w:rPr>
            </w:pPr>
            <w:r w:rsidRPr="002B7276">
              <w:rPr>
                <w:rFonts w:eastAsia="Times New Roman" w:cs="Arial"/>
                <w:sz w:val="18"/>
                <w:szCs w:val="18"/>
                <w:lang w:eastAsia="es-SV"/>
              </w:rPr>
              <w:t>17</w:t>
            </w:r>
            <w:r w:rsidR="005B5AED" w:rsidRPr="002B7276">
              <w:rPr>
                <w:rFonts w:eastAsia="Times New Roman" w:cs="Arial"/>
                <w:sz w:val="18"/>
                <w:szCs w:val="18"/>
                <w:lang w:eastAsia="es-SV"/>
              </w:rPr>
              <w:t>,</w:t>
            </w:r>
            <w:r w:rsidRPr="002B7276">
              <w:rPr>
                <w:rFonts w:eastAsia="Times New Roman" w:cs="Arial"/>
                <w:sz w:val="18"/>
                <w:szCs w:val="18"/>
                <w:lang w:eastAsia="es-SV"/>
              </w:rPr>
              <w:t>386</w:t>
            </w:r>
          </w:p>
        </w:tc>
        <w:tc>
          <w:tcPr>
            <w:tcW w:w="1776" w:type="dxa"/>
            <w:tcBorders>
              <w:top w:val="single" w:sz="4" w:space="0" w:color="AEAEAE"/>
              <w:left w:val="nil"/>
              <w:bottom w:val="single" w:sz="4" w:space="0" w:color="AEAEAE"/>
              <w:right w:val="nil"/>
            </w:tcBorders>
            <w:shd w:val="clear" w:color="auto" w:fill="auto"/>
            <w:noWrap/>
            <w:hideMark/>
          </w:tcPr>
          <w:p w14:paraId="1488A9D5" w14:textId="6CDB6BFD" w:rsidR="006A3DBC" w:rsidRPr="002B7276" w:rsidRDefault="006A3DBC" w:rsidP="005F4A92">
            <w:pPr>
              <w:spacing w:after="0" w:line="240" w:lineRule="auto"/>
              <w:jc w:val="center"/>
              <w:rPr>
                <w:rFonts w:eastAsia="Times New Roman" w:cs="Arial"/>
                <w:sz w:val="18"/>
                <w:szCs w:val="18"/>
                <w:lang w:eastAsia="es-SV"/>
              </w:rPr>
            </w:pPr>
            <w:r w:rsidRPr="002B7276">
              <w:rPr>
                <w:rFonts w:eastAsia="Times New Roman" w:cs="Arial"/>
                <w:sz w:val="18"/>
                <w:szCs w:val="18"/>
                <w:lang w:eastAsia="es-SV"/>
              </w:rPr>
              <w:t>30</w:t>
            </w:r>
            <w:r w:rsidR="005B5AED" w:rsidRPr="002B7276">
              <w:rPr>
                <w:rFonts w:eastAsia="Times New Roman" w:cs="Arial"/>
                <w:sz w:val="18"/>
                <w:szCs w:val="18"/>
                <w:lang w:eastAsia="es-SV"/>
              </w:rPr>
              <w:t>,</w:t>
            </w:r>
            <w:r w:rsidRPr="002B7276">
              <w:rPr>
                <w:rFonts w:eastAsia="Times New Roman" w:cs="Arial"/>
                <w:sz w:val="18"/>
                <w:szCs w:val="18"/>
                <w:lang w:eastAsia="es-SV"/>
              </w:rPr>
              <w:t>600</w:t>
            </w:r>
          </w:p>
        </w:tc>
      </w:tr>
      <w:tr w:rsidR="002B7276" w:rsidRPr="002B7276" w14:paraId="374E2000" w14:textId="77777777" w:rsidTr="005F4A92">
        <w:trPr>
          <w:trHeight w:val="250"/>
        </w:trPr>
        <w:tc>
          <w:tcPr>
            <w:tcW w:w="4228" w:type="dxa"/>
            <w:tcBorders>
              <w:top w:val="single" w:sz="4" w:space="0" w:color="AEAEAE"/>
              <w:left w:val="nil"/>
              <w:bottom w:val="nil"/>
              <w:right w:val="nil"/>
            </w:tcBorders>
            <w:shd w:val="clear" w:color="000000" w:fill="E0E0E0"/>
            <w:hideMark/>
          </w:tcPr>
          <w:p w14:paraId="37A61AAD" w14:textId="77777777" w:rsidR="006A3DBC" w:rsidRPr="002B7276" w:rsidRDefault="006A3DBC" w:rsidP="005F4A92">
            <w:pPr>
              <w:spacing w:after="0" w:line="240" w:lineRule="auto"/>
              <w:jc w:val="both"/>
              <w:rPr>
                <w:rFonts w:eastAsia="Times New Roman" w:cs="Arial"/>
                <w:sz w:val="18"/>
                <w:szCs w:val="18"/>
                <w:lang w:eastAsia="es-SV"/>
              </w:rPr>
            </w:pPr>
            <w:r w:rsidRPr="002B7276">
              <w:rPr>
                <w:rFonts w:eastAsia="Times New Roman" w:cs="Arial"/>
                <w:sz w:val="18"/>
                <w:szCs w:val="18"/>
                <w:lang w:eastAsia="es-SV"/>
              </w:rPr>
              <w:t>Empleado(a) u obrero privado.</w:t>
            </w:r>
          </w:p>
        </w:tc>
        <w:tc>
          <w:tcPr>
            <w:tcW w:w="1776" w:type="dxa"/>
            <w:tcBorders>
              <w:top w:val="single" w:sz="4" w:space="0" w:color="AEAEAE"/>
              <w:left w:val="nil"/>
              <w:bottom w:val="single" w:sz="4" w:space="0" w:color="AEAEAE"/>
              <w:right w:val="single" w:sz="4" w:space="0" w:color="E0E0E0"/>
            </w:tcBorders>
            <w:shd w:val="clear" w:color="auto" w:fill="auto"/>
            <w:noWrap/>
            <w:hideMark/>
          </w:tcPr>
          <w:p w14:paraId="7A5A3024" w14:textId="0DCB3727" w:rsidR="006A3DBC" w:rsidRPr="002B7276" w:rsidRDefault="006A3DBC" w:rsidP="005F4A92">
            <w:pPr>
              <w:spacing w:after="0" w:line="240" w:lineRule="auto"/>
              <w:jc w:val="center"/>
              <w:rPr>
                <w:rFonts w:eastAsia="Times New Roman" w:cs="Arial"/>
                <w:sz w:val="18"/>
                <w:szCs w:val="18"/>
                <w:lang w:eastAsia="es-SV"/>
              </w:rPr>
            </w:pPr>
            <w:r w:rsidRPr="002B7276">
              <w:rPr>
                <w:rFonts w:eastAsia="Times New Roman" w:cs="Arial"/>
                <w:sz w:val="18"/>
                <w:szCs w:val="18"/>
                <w:lang w:eastAsia="es-SV"/>
              </w:rPr>
              <w:t>165</w:t>
            </w:r>
            <w:r w:rsidR="005B5AED" w:rsidRPr="002B7276">
              <w:rPr>
                <w:rFonts w:eastAsia="Times New Roman" w:cs="Arial"/>
                <w:sz w:val="18"/>
                <w:szCs w:val="18"/>
                <w:lang w:eastAsia="es-SV"/>
              </w:rPr>
              <w:t>,</w:t>
            </w:r>
            <w:r w:rsidRPr="002B7276">
              <w:rPr>
                <w:rFonts w:eastAsia="Times New Roman" w:cs="Arial"/>
                <w:sz w:val="18"/>
                <w:szCs w:val="18"/>
                <w:lang w:eastAsia="es-SV"/>
              </w:rPr>
              <w:t>851</w:t>
            </w:r>
          </w:p>
        </w:tc>
        <w:tc>
          <w:tcPr>
            <w:tcW w:w="1776" w:type="dxa"/>
            <w:tcBorders>
              <w:top w:val="single" w:sz="4" w:space="0" w:color="AEAEAE"/>
              <w:left w:val="nil"/>
              <w:bottom w:val="single" w:sz="4" w:space="0" w:color="AEAEAE"/>
              <w:right w:val="single" w:sz="4" w:space="0" w:color="E0E0E0"/>
            </w:tcBorders>
            <w:shd w:val="clear" w:color="auto" w:fill="auto"/>
            <w:noWrap/>
            <w:hideMark/>
          </w:tcPr>
          <w:p w14:paraId="70F5D85A" w14:textId="302CB6F3" w:rsidR="006A3DBC" w:rsidRPr="002B7276" w:rsidRDefault="006A3DBC" w:rsidP="005F4A92">
            <w:pPr>
              <w:spacing w:after="0" w:line="240" w:lineRule="auto"/>
              <w:jc w:val="center"/>
              <w:rPr>
                <w:rFonts w:eastAsia="Times New Roman" w:cs="Arial"/>
                <w:sz w:val="18"/>
                <w:szCs w:val="18"/>
                <w:lang w:eastAsia="es-SV"/>
              </w:rPr>
            </w:pPr>
            <w:r w:rsidRPr="002B7276">
              <w:rPr>
                <w:rFonts w:eastAsia="Times New Roman" w:cs="Arial"/>
                <w:sz w:val="18"/>
                <w:szCs w:val="18"/>
                <w:lang w:eastAsia="es-SV"/>
              </w:rPr>
              <w:t>39</w:t>
            </w:r>
            <w:r w:rsidR="005B5AED" w:rsidRPr="002B7276">
              <w:rPr>
                <w:rFonts w:eastAsia="Times New Roman" w:cs="Arial"/>
                <w:sz w:val="18"/>
                <w:szCs w:val="18"/>
                <w:lang w:eastAsia="es-SV"/>
              </w:rPr>
              <w:t>,</w:t>
            </w:r>
            <w:r w:rsidRPr="002B7276">
              <w:rPr>
                <w:rFonts w:eastAsia="Times New Roman" w:cs="Arial"/>
                <w:sz w:val="18"/>
                <w:szCs w:val="18"/>
                <w:lang w:eastAsia="es-SV"/>
              </w:rPr>
              <w:t>644</w:t>
            </w:r>
          </w:p>
        </w:tc>
        <w:tc>
          <w:tcPr>
            <w:tcW w:w="1776" w:type="dxa"/>
            <w:tcBorders>
              <w:top w:val="single" w:sz="4" w:space="0" w:color="AEAEAE"/>
              <w:left w:val="nil"/>
              <w:bottom w:val="single" w:sz="4" w:space="0" w:color="AEAEAE"/>
              <w:right w:val="nil"/>
            </w:tcBorders>
            <w:shd w:val="clear" w:color="auto" w:fill="auto"/>
            <w:noWrap/>
            <w:hideMark/>
          </w:tcPr>
          <w:p w14:paraId="2279D787" w14:textId="6CE9B07A" w:rsidR="006A3DBC" w:rsidRPr="002B7276" w:rsidRDefault="006A3DBC" w:rsidP="005F4A92">
            <w:pPr>
              <w:spacing w:after="0" w:line="240" w:lineRule="auto"/>
              <w:jc w:val="center"/>
              <w:rPr>
                <w:rFonts w:eastAsia="Times New Roman" w:cs="Arial"/>
                <w:sz w:val="18"/>
                <w:szCs w:val="18"/>
                <w:lang w:eastAsia="es-SV"/>
              </w:rPr>
            </w:pPr>
            <w:r w:rsidRPr="002B7276">
              <w:rPr>
                <w:rFonts w:eastAsia="Times New Roman" w:cs="Arial"/>
                <w:sz w:val="18"/>
                <w:szCs w:val="18"/>
                <w:lang w:eastAsia="es-SV"/>
              </w:rPr>
              <w:t>205</w:t>
            </w:r>
            <w:r w:rsidR="005B5AED" w:rsidRPr="002B7276">
              <w:rPr>
                <w:rFonts w:eastAsia="Times New Roman" w:cs="Arial"/>
                <w:sz w:val="18"/>
                <w:szCs w:val="18"/>
                <w:lang w:eastAsia="es-SV"/>
              </w:rPr>
              <w:t>,</w:t>
            </w:r>
            <w:r w:rsidRPr="002B7276">
              <w:rPr>
                <w:rFonts w:eastAsia="Times New Roman" w:cs="Arial"/>
                <w:sz w:val="18"/>
                <w:szCs w:val="18"/>
                <w:lang w:eastAsia="es-SV"/>
              </w:rPr>
              <w:t>495</w:t>
            </w:r>
          </w:p>
        </w:tc>
      </w:tr>
      <w:tr w:rsidR="002B7276" w:rsidRPr="002B7276" w14:paraId="74D4D910" w14:textId="77777777" w:rsidTr="005F4A92">
        <w:trPr>
          <w:trHeight w:val="250"/>
        </w:trPr>
        <w:tc>
          <w:tcPr>
            <w:tcW w:w="4228" w:type="dxa"/>
            <w:tcBorders>
              <w:top w:val="single" w:sz="4" w:space="0" w:color="AEAEAE"/>
              <w:left w:val="nil"/>
              <w:bottom w:val="nil"/>
              <w:right w:val="nil"/>
            </w:tcBorders>
            <w:shd w:val="clear" w:color="000000" w:fill="E0E0E0"/>
            <w:hideMark/>
          </w:tcPr>
          <w:p w14:paraId="4B2E5E31" w14:textId="77777777" w:rsidR="006A3DBC" w:rsidRPr="002B7276" w:rsidRDefault="006A3DBC" w:rsidP="005F4A92">
            <w:pPr>
              <w:spacing w:after="0" w:line="240" w:lineRule="auto"/>
              <w:jc w:val="both"/>
              <w:rPr>
                <w:rFonts w:eastAsia="Times New Roman" w:cs="Arial"/>
                <w:sz w:val="18"/>
                <w:szCs w:val="18"/>
                <w:lang w:eastAsia="es-SV"/>
              </w:rPr>
            </w:pPr>
            <w:r w:rsidRPr="002B7276">
              <w:rPr>
                <w:rFonts w:eastAsia="Times New Roman" w:cs="Arial"/>
                <w:sz w:val="18"/>
                <w:szCs w:val="18"/>
                <w:lang w:eastAsia="es-SV"/>
              </w:rPr>
              <w:t>Empleado(a) doméstico(a).</w:t>
            </w:r>
          </w:p>
        </w:tc>
        <w:tc>
          <w:tcPr>
            <w:tcW w:w="1776" w:type="dxa"/>
            <w:tcBorders>
              <w:top w:val="single" w:sz="4" w:space="0" w:color="AEAEAE"/>
              <w:left w:val="nil"/>
              <w:bottom w:val="single" w:sz="4" w:space="0" w:color="AEAEAE"/>
              <w:right w:val="single" w:sz="4" w:space="0" w:color="E0E0E0"/>
            </w:tcBorders>
            <w:shd w:val="clear" w:color="auto" w:fill="auto"/>
            <w:noWrap/>
            <w:hideMark/>
          </w:tcPr>
          <w:p w14:paraId="4CE04E80" w14:textId="77777777" w:rsidR="006A3DBC" w:rsidRPr="002B7276" w:rsidRDefault="006A3DBC" w:rsidP="005F4A92">
            <w:pPr>
              <w:spacing w:after="0" w:line="240" w:lineRule="auto"/>
              <w:jc w:val="center"/>
              <w:rPr>
                <w:rFonts w:eastAsia="Times New Roman" w:cs="Arial"/>
                <w:sz w:val="18"/>
                <w:szCs w:val="18"/>
                <w:lang w:eastAsia="es-SV"/>
              </w:rPr>
            </w:pPr>
            <w:r w:rsidRPr="002B7276">
              <w:rPr>
                <w:rFonts w:eastAsia="Times New Roman" w:cs="Arial"/>
                <w:sz w:val="18"/>
                <w:szCs w:val="18"/>
                <w:lang w:eastAsia="es-SV"/>
              </w:rPr>
              <w:t>618</w:t>
            </w:r>
          </w:p>
        </w:tc>
        <w:tc>
          <w:tcPr>
            <w:tcW w:w="1776" w:type="dxa"/>
            <w:tcBorders>
              <w:top w:val="single" w:sz="4" w:space="0" w:color="AEAEAE"/>
              <w:left w:val="nil"/>
              <w:bottom w:val="single" w:sz="4" w:space="0" w:color="AEAEAE"/>
              <w:right w:val="single" w:sz="4" w:space="0" w:color="E0E0E0"/>
            </w:tcBorders>
            <w:shd w:val="clear" w:color="auto" w:fill="auto"/>
            <w:noWrap/>
            <w:hideMark/>
          </w:tcPr>
          <w:p w14:paraId="54305007" w14:textId="3C536C8A" w:rsidR="006A3DBC" w:rsidRPr="002B7276" w:rsidRDefault="006A3DBC" w:rsidP="005F4A92">
            <w:pPr>
              <w:spacing w:after="0" w:line="240" w:lineRule="auto"/>
              <w:jc w:val="center"/>
              <w:rPr>
                <w:rFonts w:eastAsia="Times New Roman" w:cs="Arial"/>
                <w:sz w:val="18"/>
                <w:szCs w:val="18"/>
                <w:lang w:eastAsia="es-SV"/>
              </w:rPr>
            </w:pPr>
            <w:r w:rsidRPr="002B7276">
              <w:rPr>
                <w:rFonts w:eastAsia="Times New Roman" w:cs="Arial"/>
                <w:sz w:val="18"/>
                <w:szCs w:val="18"/>
                <w:lang w:eastAsia="es-SV"/>
              </w:rPr>
              <w:t>10</w:t>
            </w:r>
            <w:r w:rsidR="005B5AED" w:rsidRPr="002B7276">
              <w:rPr>
                <w:rFonts w:eastAsia="Times New Roman" w:cs="Arial"/>
                <w:sz w:val="18"/>
                <w:szCs w:val="18"/>
                <w:lang w:eastAsia="es-SV"/>
              </w:rPr>
              <w:t>,</w:t>
            </w:r>
            <w:r w:rsidRPr="002B7276">
              <w:rPr>
                <w:rFonts w:eastAsia="Times New Roman" w:cs="Arial"/>
                <w:sz w:val="18"/>
                <w:szCs w:val="18"/>
                <w:lang w:eastAsia="es-SV"/>
              </w:rPr>
              <w:t>880</w:t>
            </w:r>
          </w:p>
        </w:tc>
        <w:tc>
          <w:tcPr>
            <w:tcW w:w="1776" w:type="dxa"/>
            <w:tcBorders>
              <w:top w:val="single" w:sz="4" w:space="0" w:color="AEAEAE"/>
              <w:left w:val="nil"/>
              <w:bottom w:val="single" w:sz="4" w:space="0" w:color="AEAEAE"/>
              <w:right w:val="nil"/>
            </w:tcBorders>
            <w:shd w:val="clear" w:color="auto" w:fill="auto"/>
            <w:noWrap/>
            <w:hideMark/>
          </w:tcPr>
          <w:p w14:paraId="5C7AF9FA" w14:textId="731C6B19" w:rsidR="006A3DBC" w:rsidRPr="002B7276" w:rsidRDefault="006A3DBC" w:rsidP="005F4A92">
            <w:pPr>
              <w:spacing w:after="0" w:line="240" w:lineRule="auto"/>
              <w:jc w:val="center"/>
              <w:rPr>
                <w:rFonts w:eastAsia="Times New Roman" w:cs="Arial"/>
                <w:sz w:val="18"/>
                <w:szCs w:val="18"/>
                <w:lang w:eastAsia="es-SV"/>
              </w:rPr>
            </w:pPr>
            <w:r w:rsidRPr="002B7276">
              <w:rPr>
                <w:rFonts w:eastAsia="Times New Roman" w:cs="Arial"/>
                <w:sz w:val="18"/>
                <w:szCs w:val="18"/>
                <w:lang w:eastAsia="es-SV"/>
              </w:rPr>
              <w:t>11</w:t>
            </w:r>
            <w:r w:rsidR="005B5AED" w:rsidRPr="002B7276">
              <w:rPr>
                <w:rFonts w:eastAsia="Times New Roman" w:cs="Arial"/>
                <w:sz w:val="18"/>
                <w:szCs w:val="18"/>
                <w:lang w:eastAsia="es-SV"/>
              </w:rPr>
              <w:t>,</w:t>
            </w:r>
            <w:r w:rsidRPr="002B7276">
              <w:rPr>
                <w:rFonts w:eastAsia="Times New Roman" w:cs="Arial"/>
                <w:sz w:val="18"/>
                <w:szCs w:val="18"/>
                <w:lang w:eastAsia="es-SV"/>
              </w:rPr>
              <w:t>498</w:t>
            </w:r>
          </w:p>
        </w:tc>
      </w:tr>
      <w:tr w:rsidR="002B7276" w:rsidRPr="002B7276" w14:paraId="4C1F0F6F" w14:textId="77777777" w:rsidTr="005F4A92">
        <w:trPr>
          <w:trHeight w:val="250"/>
        </w:trPr>
        <w:tc>
          <w:tcPr>
            <w:tcW w:w="4228" w:type="dxa"/>
            <w:tcBorders>
              <w:top w:val="single" w:sz="4" w:space="0" w:color="AEAEAE"/>
              <w:left w:val="nil"/>
              <w:bottom w:val="nil"/>
              <w:right w:val="nil"/>
            </w:tcBorders>
            <w:shd w:val="clear" w:color="000000" w:fill="E0E0E0"/>
            <w:hideMark/>
          </w:tcPr>
          <w:p w14:paraId="24983493" w14:textId="77777777" w:rsidR="006A3DBC" w:rsidRPr="002B7276" w:rsidRDefault="006A3DBC" w:rsidP="005F4A92">
            <w:pPr>
              <w:spacing w:after="0" w:line="240" w:lineRule="auto"/>
              <w:jc w:val="both"/>
              <w:rPr>
                <w:rFonts w:eastAsia="Times New Roman" w:cs="Arial"/>
                <w:sz w:val="18"/>
                <w:szCs w:val="18"/>
                <w:lang w:eastAsia="es-SV"/>
              </w:rPr>
            </w:pPr>
            <w:r w:rsidRPr="002B7276">
              <w:rPr>
                <w:rFonts w:eastAsia="Times New Roman" w:cs="Arial"/>
                <w:sz w:val="18"/>
                <w:szCs w:val="18"/>
                <w:lang w:eastAsia="es-SV"/>
              </w:rPr>
              <w:t>Miembro de cooperativa, asentamiento o grupo.</w:t>
            </w:r>
          </w:p>
        </w:tc>
        <w:tc>
          <w:tcPr>
            <w:tcW w:w="1776" w:type="dxa"/>
            <w:tcBorders>
              <w:top w:val="single" w:sz="4" w:space="0" w:color="AEAEAE"/>
              <w:left w:val="nil"/>
              <w:bottom w:val="single" w:sz="4" w:space="0" w:color="AEAEAE"/>
              <w:right w:val="single" w:sz="4" w:space="0" w:color="E0E0E0"/>
            </w:tcBorders>
            <w:shd w:val="clear" w:color="auto" w:fill="auto"/>
            <w:noWrap/>
            <w:hideMark/>
          </w:tcPr>
          <w:p w14:paraId="7E25A552" w14:textId="77777777" w:rsidR="006A3DBC" w:rsidRPr="002B7276" w:rsidRDefault="006A3DBC" w:rsidP="005F4A92">
            <w:pPr>
              <w:spacing w:after="0" w:line="240" w:lineRule="auto"/>
              <w:jc w:val="center"/>
              <w:rPr>
                <w:rFonts w:eastAsia="Times New Roman" w:cs="Arial"/>
                <w:sz w:val="18"/>
                <w:szCs w:val="18"/>
                <w:lang w:eastAsia="es-SV"/>
              </w:rPr>
            </w:pPr>
            <w:r w:rsidRPr="002B7276">
              <w:rPr>
                <w:rFonts w:eastAsia="Times New Roman" w:cs="Arial"/>
                <w:sz w:val="18"/>
                <w:szCs w:val="18"/>
                <w:lang w:eastAsia="es-SV"/>
              </w:rPr>
              <w:t>239</w:t>
            </w:r>
          </w:p>
        </w:tc>
        <w:tc>
          <w:tcPr>
            <w:tcW w:w="1776" w:type="dxa"/>
            <w:tcBorders>
              <w:top w:val="single" w:sz="4" w:space="0" w:color="AEAEAE"/>
              <w:left w:val="nil"/>
              <w:bottom w:val="single" w:sz="4" w:space="0" w:color="AEAEAE"/>
              <w:right w:val="single" w:sz="4" w:space="0" w:color="E0E0E0"/>
            </w:tcBorders>
            <w:shd w:val="clear" w:color="auto" w:fill="auto"/>
            <w:noWrap/>
            <w:hideMark/>
          </w:tcPr>
          <w:p w14:paraId="0544244B" w14:textId="77777777" w:rsidR="006A3DBC" w:rsidRPr="002B7276" w:rsidRDefault="006A3DBC" w:rsidP="005F4A92">
            <w:pPr>
              <w:spacing w:after="0" w:line="240" w:lineRule="auto"/>
              <w:jc w:val="center"/>
              <w:rPr>
                <w:rFonts w:eastAsia="Times New Roman" w:cs="Arial"/>
                <w:sz w:val="18"/>
                <w:szCs w:val="18"/>
                <w:lang w:eastAsia="es-SV"/>
              </w:rPr>
            </w:pPr>
            <w:r w:rsidRPr="002B7276">
              <w:rPr>
                <w:rFonts w:eastAsia="Times New Roman" w:cs="Arial"/>
                <w:sz w:val="18"/>
                <w:szCs w:val="18"/>
                <w:lang w:eastAsia="es-SV"/>
              </w:rPr>
              <w:t>95</w:t>
            </w:r>
          </w:p>
        </w:tc>
        <w:tc>
          <w:tcPr>
            <w:tcW w:w="1776" w:type="dxa"/>
            <w:tcBorders>
              <w:top w:val="single" w:sz="4" w:space="0" w:color="AEAEAE"/>
              <w:left w:val="nil"/>
              <w:bottom w:val="single" w:sz="4" w:space="0" w:color="AEAEAE"/>
              <w:right w:val="nil"/>
            </w:tcBorders>
            <w:shd w:val="clear" w:color="auto" w:fill="auto"/>
            <w:noWrap/>
            <w:hideMark/>
          </w:tcPr>
          <w:p w14:paraId="2230FB22" w14:textId="77777777" w:rsidR="006A3DBC" w:rsidRPr="002B7276" w:rsidRDefault="006A3DBC" w:rsidP="005F4A92">
            <w:pPr>
              <w:spacing w:after="0" w:line="240" w:lineRule="auto"/>
              <w:jc w:val="center"/>
              <w:rPr>
                <w:rFonts w:eastAsia="Times New Roman" w:cs="Arial"/>
                <w:sz w:val="18"/>
                <w:szCs w:val="18"/>
                <w:lang w:eastAsia="es-SV"/>
              </w:rPr>
            </w:pPr>
            <w:r w:rsidRPr="002B7276">
              <w:rPr>
                <w:rFonts w:eastAsia="Times New Roman" w:cs="Arial"/>
                <w:sz w:val="18"/>
                <w:szCs w:val="18"/>
                <w:lang w:eastAsia="es-SV"/>
              </w:rPr>
              <w:t>334</w:t>
            </w:r>
          </w:p>
        </w:tc>
      </w:tr>
      <w:tr w:rsidR="002B7276" w:rsidRPr="002B7276" w14:paraId="2C2FBA8B" w14:textId="77777777" w:rsidTr="005F4A92">
        <w:trPr>
          <w:trHeight w:val="250"/>
        </w:trPr>
        <w:tc>
          <w:tcPr>
            <w:tcW w:w="4228" w:type="dxa"/>
            <w:tcBorders>
              <w:top w:val="single" w:sz="4" w:space="0" w:color="AEAEAE"/>
              <w:left w:val="nil"/>
              <w:bottom w:val="nil"/>
              <w:right w:val="nil"/>
            </w:tcBorders>
            <w:shd w:val="clear" w:color="000000" w:fill="E0E0E0"/>
            <w:hideMark/>
          </w:tcPr>
          <w:p w14:paraId="5E9FE51F" w14:textId="77777777" w:rsidR="006A3DBC" w:rsidRPr="002B7276" w:rsidRDefault="006A3DBC" w:rsidP="005F4A92">
            <w:pPr>
              <w:spacing w:after="0" w:line="240" w:lineRule="auto"/>
              <w:jc w:val="both"/>
              <w:rPr>
                <w:rFonts w:eastAsia="Times New Roman" w:cs="Arial"/>
                <w:sz w:val="18"/>
                <w:szCs w:val="18"/>
                <w:lang w:eastAsia="es-SV"/>
              </w:rPr>
            </w:pPr>
            <w:r w:rsidRPr="002B7276">
              <w:rPr>
                <w:rFonts w:eastAsia="Times New Roman" w:cs="Arial"/>
                <w:sz w:val="18"/>
                <w:szCs w:val="18"/>
                <w:lang w:eastAsia="es-SV"/>
              </w:rPr>
              <w:t>Cuenta propia que no contrata mano de obra temporal.</w:t>
            </w:r>
          </w:p>
        </w:tc>
        <w:tc>
          <w:tcPr>
            <w:tcW w:w="1776" w:type="dxa"/>
            <w:tcBorders>
              <w:top w:val="single" w:sz="4" w:space="0" w:color="AEAEAE"/>
              <w:left w:val="nil"/>
              <w:bottom w:val="single" w:sz="4" w:space="0" w:color="AEAEAE"/>
              <w:right w:val="single" w:sz="4" w:space="0" w:color="E0E0E0"/>
            </w:tcBorders>
            <w:shd w:val="clear" w:color="auto" w:fill="auto"/>
            <w:noWrap/>
            <w:hideMark/>
          </w:tcPr>
          <w:p w14:paraId="3725C143" w14:textId="7F5EAC16" w:rsidR="006A3DBC" w:rsidRPr="002B7276" w:rsidRDefault="006A3DBC" w:rsidP="005F4A92">
            <w:pPr>
              <w:spacing w:after="0" w:line="240" w:lineRule="auto"/>
              <w:jc w:val="center"/>
              <w:rPr>
                <w:rFonts w:eastAsia="Times New Roman" w:cs="Arial"/>
                <w:sz w:val="18"/>
                <w:szCs w:val="18"/>
                <w:lang w:eastAsia="es-SV"/>
              </w:rPr>
            </w:pPr>
            <w:r w:rsidRPr="002B7276">
              <w:rPr>
                <w:rFonts w:eastAsia="Times New Roman" w:cs="Arial"/>
                <w:sz w:val="18"/>
                <w:szCs w:val="18"/>
                <w:lang w:eastAsia="es-SV"/>
              </w:rPr>
              <w:t>101</w:t>
            </w:r>
            <w:r w:rsidR="005B5AED" w:rsidRPr="002B7276">
              <w:rPr>
                <w:rFonts w:eastAsia="Times New Roman" w:cs="Arial"/>
                <w:sz w:val="18"/>
                <w:szCs w:val="18"/>
                <w:lang w:eastAsia="es-SV"/>
              </w:rPr>
              <w:t>,</w:t>
            </w:r>
            <w:r w:rsidRPr="002B7276">
              <w:rPr>
                <w:rFonts w:eastAsia="Times New Roman" w:cs="Arial"/>
                <w:sz w:val="18"/>
                <w:szCs w:val="18"/>
                <w:lang w:eastAsia="es-SV"/>
              </w:rPr>
              <w:t>211</w:t>
            </w:r>
          </w:p>
        </w:tc>
        <w:tc>
          <w:tcPr>
            <w:tcW w:w="1776" w:type="dxa"/>
            <w:tcBorders>
              <w:top w:val="single" w:sz="4" w:space="0" w:color="AEAEAE"/>
              <w:left w:val="nil"/>
              <w:bottom w:val="single" w:sz="4" w:space="0" w:color="AEAEAE"/>
              <w:right w:val="single" w:sz="4" w:space="0" w:color="E0E0E0"/>
            </w:tcBorders>
            <w:shd w:val="clear" w:color="auto" w:fill="auto"/>
            <w:noWrap/>
            <w:hideMark/>
          </w:tcPr>
          <w:p w14:paraId="3E73E980" w14:textId="7B212237" w:rsidR="006A3DBC" w:rsidRPr="002B7276" w:rsidRDefault="006A3DBC" w:rsidP="005F4A92">
            <w:pPr>
              <w:spacing w:after="0" w:line="240" w:lineRule="auto"/>
              <w:jc w:val="center"/>
              <w:rPr>
                <w:rFonts w:eastAsia="Times New Roman" w:cs="Arial"/>
                <w:sz w:val="18"/>
                <w:szCs w:val="18"/>
                <w:lang w:eastAsia="es-SV"/>
              </w:rPr>
            </w:pPr>
            <w:r w:rsidRPr="002B7276">
              <w:rPr>
                <w:rFonts w:eastAsia="Times New Roman" w:cs="Arial"/>
                <w:sz w:val="18"/>
                <w:szCs w:val="18"/>
                <w:lang w:eastAsia="es-SV"/>
              </w:rPr>
              <w:t>87</w:t>
            </w:r>
            <w:r w:rsidR="005B5AED" w:rsidRPr="002B7276">
              <w:rPr>
                <w:rFonts w:eastAsia="Times New Roman" w:cs="Arial"/>
                <w:sz w:val="18"/>
                <w:szCs w:val="18"/>
                <w:lang w:eastAsia="es-SV"/>
              </w:rPr>
              <w:t>,</w:t>
            </w:r>
            <w:r w:rsidRPr="002B7276">
              <w:rPr>
                <w:rFonts w:eastAsia="Times New Roman" w:cs="Arial"/>
                <w:sz w:val="18"/>
                <w:szCs w:val="18"/>
                <w:lang w:eastAsia="es-SV"/>
              </w:rPr>
              <w:t>821</w:t>
            </w:r>
          </w:p>
        </w:tc>
        <w:tc>
          <w:tcPr>
            <w:tcW w:w="1776" w:type="dxa"/>
            <w:tcBorders>
              <w:top w:val="single" w:sz="4" w:space="0" w:color="AEAEAE"/>
              <w:left w:val="nil"/>
              <w:bottom w:val="single" w:sz="4" w:space="0" w:color="AEAEAE"/>
              <w:right w:val="nil"/>
            </w:tcBorders>
            <w:shd w:val="clear" w:color="auto" w:fill="auto"/>
            <w:noWrap/>
            <w:hideMark/>
          </w:tcPr>
          <w:p w14:paraId="7FD1BC3F" w14:textId="505EE059" w:rsidR="006A3DBC" w:rsidRPr="002B7276" w:rsidRDefault="006A3DBC" w:rsidP="005F4A92">
            <w:pPr>
              <w:spacing w:after="0" w:line="240" w:lineRule="auto"/>
              <w:jc w:val="center"/>
              <w:rPr>
                <w:rFonts w:eastAsia="Times New Roman" w:cs="Arial"/>
                <w:sz w:val="18"/>
                <w:szCs w:val="18"/>
                <w:lang w:eastAsia="es-SV"/>
              </w:rPr>
            </w:pPr>
            <w:r w:rsidRPr="002B7276">
              <w:rPr>
                <w:rFonts w:eastAsia="Times New Roman" w:cs="Arial"/>
                <w:sz w:val="18"/>
                <w:szCs w:val="18"/>
                <w:lang w:eastAsia="es-SV"/>
              </w:rPr>
              <w:t>189</w:t>
            </w:r>
            <w:r w:rsidR="005B5AED" w:rsidRPr="002B7276">
              <w:rPr>
                <w:rFonts w:eastAsia="Times New Roman" w:cs="Arial"/>
                <w:sz w:val="18"/>
                <w:szCs w:val="18"/>
                <w:lang w:eastAsia="es-SV"/>
              </w:rPr>
              <w:t>,</w:t>
            </w:r>
            <w:r w:rsidRPr="002B7276">
              <w:rPr>
                <w:rFonts w:eastAsia="Times New Roman" w:cs="Arial"/>
                <w:sz w:val="18"/>
                <w:szCs w:val="18"/>
                <w:lang w:eastAsia="es-SV"/>
              </w:rPr>
              <w:t>032</w:t>
            </w:r>
          </w:p>
        </w:tc>
      </w:tr>
      <w:tr w:rsidR="002B7276" w:rsidRPr="002B7276" w14:paraId="1A18DC00" w14:textId="77777777" w:rsidTr="005F4A92">
        <w:trPr>
          <w:trHeight w:val="250"/>
        </w:trPr>
        <w:tc>
          <w:tcPr>
            <w:tcW w:w="4228" w:type="dxa"/>
            <w:tcBorders>
              <w:top w:val="single" w:sz="4" w:space="0" w:color="AEAEAE"/>
              <w:left w:val="nil"/>
              <w:bottom w:val="nil"/>
              <w:right w:val="nil"/>
            </w:tcBorders>
            <w:shd w:val="clear" w:color="000000" w:fill="E0E0E0"/>
            <w:hideMark/>
          </w:tcPr>
          <w:p w14:paraId="3E143180" w14:textId="77777777" w:rsidR="006A3DBC" w:rsidRPr="002B7276" w:rsidRDefault="006A3DBC" w:rsidP="005F4A92">
            <w:pPr>
              <w:spacing w:after="0" w:line="240" w:lineRule="auto"/>
              <w:jc w:val="both"/>
              <w:rPr>
                <w:rFonts w:eastAsia="Times New Roman" w:cs="Arial"/>
                <w:sz w:val="18"/>
                <w:szCs w:val="18"/>
                <w:lang w:eastAsia="es-SV"/>
              </w:rPr>
            </w:pPr>
            <w:r w:rsidRPr="002B7276">
              <w:rPr>
                <w:rFonts w:eastAsia="Times New Roman" w:cs="Arial"/>
                <w:sz w:val="18"/>
                <w:szCs w:val="18"/>
                <w:lang w:eastAsia="es-SV"/>
              </w:rPr>
              <w:t>Cuenta propia que contrata mano de obra temporal.</w:t>
            </w:r>
          </w:p>
        </w:tc>
        <w:tc>
          <w:tcPr>
            <w:tcW w:w="1776" w:type="dxa"/>
            <w:tcBorders>
              <w:top w:val="single" w:sz="4" w:space="0" w:color="AEAEAE"/>
              <w:left w:val="nil"/>
              <w:bottom w:val="single" w:sz="4" w:space="0" w:color="AEAEAE"/>
              <w:right w:val="single" w:sz="4" w:space="0" w:color="E0E0E0"/>
            </w:tcBorders>
            <w:shd w:val="clear" w:color="auto" w:fill="auto"/>
            <w:noWrap/>
            <w:hideMark/>
          </w:tcPr>
          <w:p w14:paraId="27BBCE86" w14:textId="62FB7C86" w:rsidR="006A3DBC" w:rsidRPr="002B7276" w:rsidRDefault="006A3DBC" w:rsidP="005F4A92">
            <w:pPr>
              <w:spacing w:after="0" w:line="240" w:lineRule="auto"/>
              <w:jc w:val="center"/>
              <w:rPr>
                <w:rFonts w:eastAsia="Times New Roman" w:cs="Arial"/>
                <w:sz w:val="18"/>
                <w:szCs w:val="18"/>
                <w:lang w:eastAsia="es-SV"/>
              </w:rPr>
            </w:pPr>
            <w:r w:rsidRPr="002B7276">
              <w:rPr>
                <w:rFonts w:eastAsia="Times New Roman" w:cs="Arial"/>
                <w:sz w:val="18"/>
                <w:szCs w:val="18"/>
                <w:lang w:eastAsia="es-SV"/>
              </w:rPr>
              <w:t>31</w:t>
            </w:r>
            <w:r w:rsidR="005B5AED" w:rsidRPr="002B7276">
              <w:rPr>
                <w:rFonts w:eastAsia="Times New Roman" w:cs="Arial"/>
                <w:sz w:val="18"/>
                <w:szCs w:val="18"/>
                <w:lang w:eastAsia="es-SV"/>
              </w:rPr>
              <w:t>,</w:t>
            </w:r>
            <w:r w:rsidRPr="002B7276">
              <w:rPr>
                <w:rFonts w:eastAsia="Times New Roman" w:cs="Arial"/>
                <w:sz w:val="18"/>
                <w:szCs w:val="18"/>
                <w:lang w:eastAsia="es-SV"/>
              </w:rPr>
              <w:t>654</w:t>
            </w:r>
          </w:p>
        </w:tc>
        <w:tc>
          <w:tcPr>
            <w:tcW w:w="1776" w:type="dxa"/>
            <w:tcBorders>
              <w:top w:val="single" w:sz="4" w:space="0" w:color="AEAEAE"/>
              <w:left w:val="nil"/>
              <w:bottom w:val="single" w:sz="4" w:space="0" w:color="AEAEAE"/>
              <w:right w:val="single" w:sz="4" w:space="0" w:color="E0E0E0"/>
            </w:tcBorders>
            <w:shd w:val="clear" w:color="auto" w:fill="auto"/>
            <w:noWrap/>
            <w:hideMark/>
          </w:tcPr>
          <w:p w14:paraId="6AEEA80B" w14:textId="234CE45C" w:rsidR="006A3DBC" w:rsidRPr="002B7276" w:rsidRDefault="006A3DBC" w:rsidP="005F4A92">
            <w:pPr>
              <w:spacing w:after="0" w:line="240" w:lineRule="auto"/>
              <w:jc w:val="center"/>
              <w:rPr>
                <w:rFonts w:eastAsia="Times New Roman" w:cs="Arial"/>
                <w:sz w:val="18"/>
                <w:szCs w:val="18"/>
                <w:lang w:eastAsia="es-SV"/>
              </w:rPr>
            </w:pPr>
            <w:r w:rsidRPr="002B7276">
              <w:rPr>
                <w:rFonts w:eastAsia="Times New Roman" w:cs="Arial"/>
                <w:sz w:val="18"/>
                <w:szCs w:val="18"/>
                <w:lang w:eastAsia="es-SV"/>
              </w:rPr>
              <w:t>5</w:t>
            </w:r>
            <w:r w:rsidR="005B5AED" w:rsidRPr="002B7276">
              <w:rPr>
                <w:rFonts w:eastAsia="Times New Roman" w:cs="Arial"/>
                <w:sz w:val="18"/>
                <w:szCs w:val="18"/>
                <w:lang w:eastAsia="es-SV"/>
              </w:rPr>
              <w:t>,</w:t>
            </w:r>
            <w:r w:rsidRPr="002B7276">
              <w:rPr>
                <w:rFonts w:eastAsia="Times New Roman" w:cs="Arial"/>
                <w:sz w:val="18"/>
                <w:szCs w:val="18"/>
                <w:lang w:eastAsia="es-SV"/>
              </w:rPr>
              <w:t>368</w:t>
            </w:r>
          </w:p>
        </w:tc>
        <w:tc>
          <w:tcPr>
            <w:tcW w:w="1776" w:type="dxa"/>
            <w:tcBorders>
              <w:top w:val="single" w:sz="4" w:space="0" w:color="AEAEAE"/>
              <w:left w:val="nil"/>
              <w:bottom w:val="single" w:sz="4" w:space="0" w:color="AEAEAE"/>
              <w:right w:val="nil"/>
            </w:tcBorders>
            <w:shd w:val="clear" w:color="auto" w:fill="auto"/>
            <w:noWrap/>
            <w:hideMark/>
          </w:tcPr>
          <w:p w14:paraId="60B1A521" w14:textId="401BBA42" w:rsidR="006A3DBC" w:rsidRPr="002B7276" w:rsidRDefault="006A3DBC" w:rsidP="005F4A92">
            <w:pPr>
              <w:spacing w:after="0" w:line="240" w:lineRule="auto"/>
              <w:jc w:val="center"/>
              <w:rPr>
                <w:rFonts w:eastAsia="Times New Roman" w:cs="Arial"/>
                <w:sz w:val="18"/>
                <w:szCs w:val="18"/>
                <w:lang w:eastAsia="es-SV"/>
              </w:rPr>
            </w:pPr>
            <w:r w:rsidRPr="002B7276">
              <w:rPr>
                <w:rFonts w:eastAsia="Times New Roman" w:cs="Arial"/>
                <w:sz w:val="18"/>
                <w:szCs w:val="18"/>
                <w:lang w:eastAsia="es-SV"/>
              </w:rPr>
              <w:t>37</w:t>
            </w:r>
            <w:r w:rsidR="005B5AED" w:rsidRPr="002B7276">
              <w:rPr>
                <w:rFonts w:eastAsia="Times New Roman" w:cs="Arial"/>
                <w:sz w:val="18"/>
                <w:szCs w:val="18"/>
                <w:lang w:eastAsia="es-SV"/>
              </w:rPr>
              <w:t>,</w:t>
            </w:r>
            <w:r w:rsidRPr="002B7276">
              <w:rPr>
                <w:rFonts w:eastAsia="Times New Roman" w:cs="Arial"/>
                <w:sz w:val="18"/>
                <w:szCs w:val="18"/>
                <w:lang w:eastAsia="es-SV"/>
              </w:rPr>
              <w:t>022</w:t>
            </w:r>
          </w:p>
        </w:tc>
      </w:tr>
      <w:tr w:rsidR="002B7276" w:rsidRPr="002B7276" w14:paraId="03332E5B" w14:textId="77777777" w:rsidTr="005F4A92">
        <w:trPr>
          <w:trHeight w:val="250"/>
        </w:trPr>
        <w:tc>
          <w:tcPr>
            <w:tcW w:w="4228" w:type="dxa"/>
            <w:tcBorders>
              <w:top w:val="single" w:sz="4" w:space="0" w:color="AEAEAE"/>
              <w:left w:val="nil"/>
              <w:bottom w:val="nil"/>
              <w:right w:val="nil"/>
            </w:tcBorders>
            <w:shd w:val="clear" w:color="000000" w:fill="E0E0E0"/>
            <w:hideMark/>
          </w:tcPr>
          <w:p w14:paraId="46BCACE3" w14:textId="77777777" w:rsidR="006A3DBC" w:rsidRPr="002B7276" w:rsidRDefault="006A3DBC" w:rsidP="005F4A92">
            <w:pPr>
              <w:spacing w:after="0" w:line="240" w:lineRule="auto"/>
              <w:jc w:val="both"/>
              <w:rPr>
                <w:rFonts w:eastAsia="Times New Roman" w:cs="Arial"/>
                <w:sz w:val="18"/>
                <w:szCs w:val="18"/>
                <w:lang w:eastAsia="es-SV"/>
              </w:rPr>
            </w:pPr>
            <w:r w:rsidRPr="002B7276">
              <w:rPr>
                <w:rFonts w:eastAsia="Times New Roman" w:cs="Arial"/>
                <w:sz w:val="18"/>
                <w:szCs w:val="18"/>
                <w:lang w:eastAsia="es-SV"/>
              </w:rPr>
              <w:t>Empleador, patrón o socio activo.</w:t>
            </w:r>
          </w:p>
        </w:tc>
        <w:tc>
          <w:tcPr>
            <w:tcW w:w="1776" w:type="dxa"/>
            <w:tcBorders>
              <w:top w:val="single" w:sz="4" w:space="0" w:color="AEAEAE"/>
              <w:left w:val="nil"/>
              <w:bottom w:val="single" w:sz="4" w:space="0" w:color="AEAEAE"/>
              <w:right w:val="single" w:sz="4" w:space="0" w:color="E0E0E0"/>
            </w:tcBorders>
            <w:shd w:val="clear" w:color="auto" w:fill="auto"/>
            <w:noWrap/>
            <w:hideMark/>
          </w:tcPr>
          <w:p w14:paraId="4F4165D8" w14:textId="1B952060" w:rsidR="006A3DBC" w:rsidRPr="002B7276" w:rsidRDefault="006A3DBC" w:rsidP="005F4A92">
            <w:pPr>
              <w:spacing w:after="0" w:line="240" w:lineRule="auto"/>
              <w:jc w:val="center"/>
              <w:rPr>
                <w:rFonts w:eastAsia="Times New Roman" w:cs="Arial"/>
                <w:sz w:val="18"/>
                <w:szCs w:val="18"/>
                <w:lang w:eastAsia="es-SV"/>
              </w:rPr>
            </w:pPr>
            <w:r w:rsidRPr="002B7276">
              <w:rPr>
                <w:rFonts w:eastAsia="Times New Roman" w:cs="Arial"/>
                <w:sz w:val="18"/>
                <w:szCs w:val="18"/>
                <w:lang w:eastAsia="es-SV"/>
              </w:rPr>
              <w:t>12</w:t>
            </w:r>
            <w:r w:rsidR="005B5AED" w:rsidRPr="002B7276">
              <w:rPr>
                <w:rFonts w:eastAsia="Times New Roman" w:cs="Arial"/>
                <w:sz w:val="18"/>
                <w:szCs w:val="18"/>
                <w:lang w:eastAsia="es-SV"/>
              </w:rPr>
              <w:t>,</w:t>
            </w:r>
            <w:r w:rsidRPr="002B7276">
              <w:rPr>
                <w:rFonts w:eastAsia="Times New Roman" w:cs="Arial"/>
                <w:sz w:val="18"/>
                <w:szCs w:val="18"/>
                <w:lang w:eastAsia="es-SV"/>
              </w:rPr>
              <w:t>928</w:t>
            </w:r>
          </w:p>
        </w:tc>
        <w:tc>
          <w:tcPr>
            <w:tcW w:w="1776" w:type="dxa"/>
            <w:tcBorders>
              <w:top w:val="single" w:sz="4" w:space="0" w:color="AEAEAE"/>
              <w:left w:val="nil"/>
              <w:bottom w:val="single" w:sz="4" w:space="0" w:color="AEAEAE"/>
              <w:right w:val="single" w:sz="4" w:space="0" w:color="E0E0E0"/>
            </w:tcBorders>
            <w:shd w:val="clear" w:color="auto" w:fill="auto"/>
            <w:noWrap/>
            <w:hideMark/>
          </w:tcPr>
          <w:p w14:paraId="1AECE018" w14:textId="57CC36C3" w:rsidR="006A3DBC" w:rsidRPr="002B7276" w:rsidRDefault="006A3DBC" w:rsidP="005F4A92">
            <w:pPr>
              <w:spacing w:after="0" w:line="240" w:lineRule="auto"/>
              <w:jc w:val="center"/>
              <w:rPr>
                <w:rFonts w:eastAsia="Times New Roman" w:cs="Arial"/>
                <w:sz w:val="18"/>
                <w:szCs w:val="18"/>
                <w:lang w:eastAsia="es-SV"/>
              </w:rPr>
            </w:pPr>
            <w:r w:rsidRPr="002B7276">
              <w:rPr>
                <w:rFonts w:eastAsia="Times New Roman" w:cs="Arial"/>
                <w:sz w:val="18"/>
                <w:szCs w:val="18"/>
                <w:lang w:eastAsia="es-SV"/>
              </w:rPr>
              <w:t>4</w:t>
            </w:r>
            <w:r w:rsidR="005B5AED" w:rsidRPr="002B7276">
              <w:rPr>
                <w:rFonts w:eastAsia="Times New Roman" w:cs="Arial"/>
                <w:sz w:val="18"/>
                <w:szCs w:val="18"/>
                <w:lang w:eastAsia="es-SV"/>
              </w:rPr>
              <w:t>,</w:t>
            </w:r>
            <w:r w:rsidRPr="002B7276">
              <w:rPr>
                <w:rFonts w:eastAsia="Times New Roman" w:cs="Arial"/>
                <w:sz w:val="18"/>
                <w:szCs w:val="18"/>
                <w:lang w:eastAsia="es-SV"/>
              </w:rPr>
              <w:t>043</w:t>
            </w:r>
          </w:p>
        </w:tc>
        <w:tc>
          <w:tcPr>
            <w:tcW w:w="1776" w:type="dxa"/>
            <w:tcBorders>
              <w:top w:val="single" w:sz="4" w:space="0" w:color="AEAEAE"/>
              <w:left w:val="nil"/>
              <w:bottom w:val="single" w:sz="4" w:space="0" w:color="AEAEAE"/>
              <w:right w:val="nil"/>
            </w:tcBorders>
            <w:shd w:val="clear" w:color="auto" w:fill="auto"/>
            <w:noWrap/>
            <w:hideMark/>
          </w:tcPr>
          <w:p w14:paraId="0C5DBD48" w14:textId="4EDAD076" w:rsidR="006A3DBC" w:rsidRPr="002B7276" w:rsidRDefault="006A3DBC" w:rsidP="005F4A92">
            <w:pPr>
              <w:spacing w:after="0" w:line="240" w:lineRule="auto"/>
              <w:jc w:val="center"/>
              <w:rPr>
                <w:rFonts w:eastAsia="Times New Roman" w:cs="Arial"/>
                <w:sz w:val="18"/>
                <w:szCs w:val="18"/>
                <w:lang w:eastAsia="es-SV"/>
              </w:rPr>
            </w:pPr>
            <w:r w:rsidRPr="002B7276">
              <w:rPr>
                <w:rFonts w:eastAsia="Times New Roman" w:cs="Arial"/>
                <w:sz w:val="18"/>
                <w:szCs w:val="18"/>
                <w:lang w:eastAsia="es-SV"/>
              </w:rPr>
              <w:t>16</w:t>
            </w:r>
            <w:r w:rsidR="005B5AED" w:rsidRPr="002B7276">
              <w:rPr>
                <w:rFonts w:eastAsia="Times New Roman" w:cs="Arial"/>
                <w:sz w:val="18"/>
                <w:szCs w:val="18"/>
                <w:lang w:eastAsia="es-SV"/>
              </w:rPr>
              <w:t>,</w:t>
            </w:r>
            <w:r w:rsidRPr="002B7276">
              <w:rPr>
                <w:rFonts w:eastAsia="Times New Roman" w:cs="Arial"/>
                <w:sz w:val="18"/>
                <w:szCs w:val="18"/>
                <w:lang w:eastAsia="es-SV"/>
              </w:rPr>
              <w:t>971</w:t>
            </w:r>
          </w:p>
        </w:tc>
      </w:tr>
      <w:tr w:rsidR="002B7276" w:rsidRPr="002B7276" w14:paraId="27CD5885" w14:textId="77777777" w:rsidTr="005F4A92">
        <w:trPr>
          <w:trHeight w:val="250"/>
        </w:trPr>
        <w:tc>
          <w:tcPr>
            <w:tcW w:w="4228" w:type="dxa"/>
            <w:tcBorders>
              <w:top w:val="single" w:sz="4" w:space="0" w:color="AEAEAE"/>
              <w:left w:val="nil"/>
              <w:bottom w:val="nil"/>
              <w:right w:val="nil"/>
            </w:tcBorders>
            <w:shd w:val="clear" w:color="000000" w:fill="E0E0E0"/>
            <w:hideMark/>
          </w:tcPr>
          <w:p w14:paraId="5D85F934" w14:textId="77777777" w:rsidR="006A3DBC" w:rsidRPr="002B7276" w:rsidRDefault="006A3DBC" w:rsidP="005F4A92">
            <w:pPr>
              <w:spacing w:after="0" w:line="240" w:lineRule="auto"/>
              <w:jc w:val="both"/>
              <w:rPr>
                <w:rFonts w:eastAsia="Times New Roman" w:cs="Arial"/>
                <w:sz w:val="18"/>
                <w:szCs w:val="18"/>
                <w:lang w:eastAsia="es-SV"/>
              </w:rPr>
            </w:pPr>
            <w:r w:rsidRPr="002B7276">
              <w:rPr>
                <w:rFonts w:eastAsia="Times New Roman" w:cs="Arial"/>
                <w:sz w:val="18"/>
                <w:szCs w:val="18"/>
                <w:lang w:eastAsia="es-SV"/>
              </w:rPr>
              <w:t>Trabajador familiar no remunerado.</w:t>
            </w:r>
          </w:p>
        </w:tc>
        <w:tc>
          <w:tcPr>
            <w:tcW w:w="1776" w:type="dxa"/>
            <w:tcBorders>
              <w:top w:val="single" w:sz="4" w:space="0" w:color="AEAEAE"/>
              <w:left w:val="nil"/>
              <w:bottom w:val="single" w:sz="4" w:space="0" w:color="AEAEAE"/>
              <w:right w:val="single" w:sz="4" w:space="0" w:color="E0E0E0"/>
            </w:tcBorders>
            <w:shd w:val="clear" w:color="auto" w:fill="auto"/>
            <w:noWrap/>
            <w:hideMark/>
          </w:tcPr>
          <w:p w14:paraId="77B616CF" w14:textId="4F252A0C" w:rsidR="006A3DBC" w:rsidRPr="002B7276" w:rsidRDefault="006A3DBC" w:rsidP="005F4A92">
            <w:pPr>
              <w:spacing w:after="0" w:line="240" w:lineRule="auto"/>
              <w:jc w:val="center"/>
              <w:rPr>
                <w:rFonts w:eastAsia="Times New Roman" w:cs="Arial"/>
                <w:sz w:val="18"/>
                <w:szCs w:val="18"/>
                <w:lang w:eastAsia="es-SV"/>
              </w:rPr>
            </w:pPr>
            <w:r w:rsidRPr="002B7276">
              <w:rPr>
                <w:rFonts w:eastAsia="Times New Roman" w:cs="Arial"/>
                <w:sz w:val="18"/>
                <w:szCs w:val="18"/>
                <w:lang w:eastAsia="es-SV"/>
              </w:rPr>
              <w:t>47</w:t>
            </w:r>
            <w:r w:rsidR="005B5AED" w:rsidRPr="002B7276">
              <w:rPr>
                <w:rFonts w:eastAsia="Times New Roman" w:cs="Arial"/>
                <w:sz w:val="18"/>
                <w:szCs w:val="18"/>
                <w:lang w:eastAsia="es-SV"/>
              </w:rPr>
              <w:t>,</w:t>
            </w:r>
            <w:r w:rsidRPr="002B7276">
              <w:rPr>
                <w:rFonts w:eastAsia="Times New Roman" w:cs="Arial"/>
                <w:sz w:val="18"/>
                <w:szCs w:val="18"/>
                <w:lang w:eastAsia="es-SV"/>
              </w:rPr>
              <w:t>627</w:t>
            </w:r>
          </w:p>
        </w:tc>
        <w:tc>
          <w:tcPr>
            <w:tcW w:w="1776" w:type="dxa"/>
            <w:tcBorders>
              <w:top w:val="single" w:sz="4" w:space="0" w:color="AEAEAE"/>
              <w:left w:val="nil"/>
              <w:bottom w:val="single" w:sz="4" w:space="0" w:color="AEAEAE"/>
              <w:right w:val="single" w:sz="4" w:space="0" w:color="E0E0E0"/>
            </w:tcBorders>
            <w:shd w:val="clear" w:color="auto" w:fill="auto"/>
            <w:noWrap/>
            <w:hideMark/>
          </w:tcPr>
          <w:p w14:paraId="1F95E8A8" w14:textId="6EBFC703" w:rsidR="006A3DBC" w:rsidRPr="002B7276" w:rsidRDefault="006A3DBC" w:rsidP="005F4A92">
            <w:pPr>
              <w:spacing w:after="0" w:line="240" w:lineRule="auto"/>
              <w:jc w:val="center"/>
              <w:rPr>
                <w:rFonts w:eastAsia="Times New Roman" w:cs="Arial"/>
                <w:sz w:val="18"/>
                <w:szCs w:val="18"/>
                <w:lang w:eastAsia="es-SV"/>
              </w:rPr>
            </w:pPr>
            <w:r w:rsidRPr="002B7276">
              <w:rPr>
                <w:rFonts w:eastAsia="Times New Roman" w:cs="Arial"/>
                <w:sz w:val="18"/>
                <w:szCs w:val="18"/>
                <w:lang w:eastAsia="es-SV"/>
              </w:rPr>
              <w:t>31</w:t>
            </w:r>
            <w:r w:rsidR="005B5AED" w:rsidRPr="002B7276">
              <w:rPr>
                <w:rFonts w:eastAsia="Times New Roman" w:cs="Arial"/>
                <w:sz w:val="18"/>
                <w:szCs w:val="18"/>
                <w:lang w:eastAsia="es-SV"/>
              </w:rPr>
              <w:t>,</w:t>
            </w:r>
            <w:r w:rsidRPr="002B7276">
              <w:rPr>
                <w:rFonts w:eastAsia="Times New Roman" w:cs="Arial"/>
                <w:sz w:val="18"/>
                <w:szCs w:val="18"/>
                <w:lang w:eastAsia="es-SV"/>
              </w:rPr>
              <w:t>178</w:t>
            </w:r>
          </w:p>
        </w:tc>
        <w:tc>
          <w:tcPr>
            <w:tcW w:w="1776" w:type="dxa"/>
            <w:tcBorders>
              <w:top w:val="single" w:sz="4" w:space="0" w:color="AEAEAE"/>
              <w:left w:val="nil"/>
              <w:bottom w:val="single" w:sz="4" w:space="0" w:color="AEAEAE"/>
              <w:right w:val="nil"/>
            </w:tcBorders>
            <w:shd w:val="clear" w:color="auto" w:fill="auto"/>
            <w:noWrap/>
            <w:hideMark/>
          </w:tcPr>
          <w:p w14:paraId="550B2668" w14:textId="193CB7DB" w:rsidR="006A3DBC" w:rsidRPr="002B7276" w:rsidRDefault="006A3DBC" w:rsidP="005F4A92">
            <w:pPr>
              <w:spacing w:after="0" w:line="240" w:lineRule="auto"/>
              <w:jc w:val="center"/>
              <w:rPr>
                <w:rFonts w:eastAsia="Times New Roman" w:cs="Arial"/>
                <w:sz w:val="18"/>
                <w:szCs w:val="18"/>
                <w:lang w:eastAsia="es-SV"/>
              </w:rPr>
            </w:pPr>
            <w:r w:rsidRPr="002B7276">
              <w:rPr>
                <w:rFonts w:eastAsia="Times New Roman" w:cs="Arial"/>
                <w:sz w:val="18"/>
                <w:szCs w:val="18"/>
                <w:lang w:eastAsia="es-SV"/>
              </w:rPr>
              <w:t>78</w:t>
            </w:r>
            <w:r w:rsidR="005B5AED" w:rsidRPr="002B7276">
              <w:rPr>
                <w:rFonts w:eastAsia="Times New Roman" w:cs="Arial"/>
                <w:sz w:val="18"/>
                <w:szCs w:val="18"/>
                <w:lang w:eastAsia="es-SV"/>
              </w:rPr>
              <w:t>,</w:t>
            </w:r>
            <w:r w:rsidRPr="002B7276">
              <w:rPr>
                <w:rFonts w:eastAsia="Times New Roman" w:cs="Arial"/>
                <w:sz w:val="18"/>
                <w:szCs w:val="18"/>
                <w:lang w:eastAsia="es-SV"/>
              </w:rPr>
              <w:t>805</w:t>
            </w:r>
          </w:p>
        </w:tc>
      </w:tr>
      <w:tr w:rsidR="002B7276" w:rsidRPr="002B7276" w14:paraId="3818989E" w14:textId="77777777" w:rsidTr="005F4A92">
        <w:trPr>
          <w:trHeight w:val="250"/>
        </w:trPr>
        <w:tc>
          <w:tcPr>
            <w:tcW w:w="4228" w:type="dxa"/>
            <w:tcBorders>
              <w:top w:val="single" w:sz="4" w:space="0" w:color="AEAEAE"/>
              <w:left w:val="nil"/>
              <w:bottom w:val="nil"/>
              <w:right w:val="nil"/>
            </w:tcBorders>
            <w:shd w:val="clear" w:color="000000" w:fill="E0E0E0"/>
            <w:hideMark/>
          </w:tcPr>
          <w:p w14:paraId="0BC9C002" w14:textId="77777777" w:rsidR="006A3DBC" w:rsidRPr="002B7276" w:rsidRDefault="006A3DBC" w:rsidP="005F4A92">
            <w:pPr>
              <w:spacing w:after="0" w:line="240" w:lineRule="auto"/>
              <w:jc w:val="both"/>
              <w:rPr>
                <w:rFonts w:eastAsia="Times New Roman" w:cs="Arial"/>
                <w:sz w:val="18"/>
                <w:szCs w:val="18"/>
                <w:lang w:eastAsia="es-SV"/>
              </w:rPr>
            </w:pPr>
            <w:r w:rsidRPr="002B7276">
              <w:rPr>
                <w:rFonts w:eastAsia="Times New Roman" w:cs="Arial"/>
                <w:sz w:val="18"/>
                <w:szCs w:val="18"/>
                <w:lang w:eastAsia="es-SV"/>
              </w:rPr>
              <w:t>Trabajador voluntario.</w:t>
            </w:r>
          </w:p>
        </w:tc>
        <w:tc>
          <w:tcPr>
            <w:tcW w:w="1776" w:type="dxa"/>
            <w:tcBorders>
              <w:top w:val="single" w:sz="4" w:space="0" w:color="AEAEAE"/>
              <w:left w:val="nil"/>
              <w:bottom w:val="single" w:sz="4" w:space="0" w:color="AEAEAE"/>
              <w:right w:val="single" w:sz="4" w:space="0" w:color="E0E0E0"/>
            </w:tcBorders>
            <w:shd w:val="clear" w:color="auto" w:fill="auto"/>
            <w:noWrap/>
            <w:hideMark/>
          </w:tcPr>
          <w:p w14:paraId="55D7D076" w14:textId="2083575C" w:rsidR="006A3DBC" w:rsidRPr="002B7276" w:rsidRDefault="006A3DBC" w:rsidP="005F4A92">
            <w:pPr>
              <w:spacing w:after="0" w:line="240" w:lineRule="auto"/>
              <w:jc w:val="center"/>
              <w:rPr>
                <w:rFonts w:eastAsia="Times New Roman" w:cs="Arial"/>
                <w:sz w:val="18"/>
                <w:szCs w:val="18"/>
                <w:lang w:eastAsia="es-SV"/>
              </w:rPr>
            </w:pPr>
            <w:r w:rsidRPr="002B7276">
              <w:rPr>
                <w:rFonts w:eastAsia="Times New Roman" w:cs="Arial"/>
                <w:sz w:val="18"/>
                <w:szCs w:val="18"/>
                <w:lang w:eastAsia="es-SV"/>
              </w:rPr>
              <w:t>1</w:t>
            </w:r>
            <w:r w:rsidR="005B5AED" w:rsidRPr="002B7276">
              <w:rPr>
                <w:rFonts w:eastAsia="Times New Roman" w:cs="Arial"/>
                <w:sz w:val="18"/>
                <w:szCs w:val="18"/>
                <w:lang w:eastAsia="es-SV"/>
              </w:rPr>
              <w:t>,</w:t>
            </w:r>
            <w:r w:rsidRPr="002B7276">
              <w:rPr>
                <w:rFonts w:eastAsia="Times New Roman" w:cs="Arial"/>
                <w:sz w:val="18"/>
                <w:szCs w:val="18"/>
                <w:lang w:eastAsia="es-SV"/>
              </w:rPr>
              <w:t>935</w:t>
            </w:r>
          </w:p>
        </w:tc>
        <w:tc>
          <w:tcPr>
            <w:tcW w:w="1776" w:type="dxa"/>
            <w:tcBorders>
              <w:top w:val="single" w:sz="4" w:space="0" w:color="AEAEAE"/>
              <w:left w:val="nil"/>
              <w:bottom w:val="single" w:sz="4" w:space="0" w:color="AEAEAE"/>
              <w:right w:val="single" w:sz="4" w:space="0" w:color="E0E0E0"/>
            </w:tcBorders>
            <w:shd w:val="clear" w:color="auto" w:fill="auto"/>
            <w:noWrap/>
            <w:hideMark/>
          </w:tcPr>
          <w:p w14:paraId="5365207F" w14:textId="77777777" w:rsidR="006A3DBC" w:rsidRPr="002B7276" w:rsidRDefault="006A3DBC" w:rsidP="005F4A92">
            <w:pPr>
              <w:spacing w:after="0" w:line="240" w:lineRule="auto"/>
              <w:jc w:val="center"/>
              <w:rPr>
                <w:rFonts w:eastAsia="Times New Roman" w:cs="Arial"/>
                <w:sz w:val="18"/>
                <w:szCs w:val="18"/>
                <w:lang w:eastAsia="es-SV"/>
              </w:rPr>
            </w:pPr>
            <w:r w:rsidRPr="002B7276">
              <w:rPr>
                <w:rFonts w:eastAsia="Times New Roman" w:cs="Arial"/>
                <w:sz w:val="18"/>
                <w:szCs w:val="18"/>
                <w:lang w:eastAsia="es-SV"/>
              </w:rPr>
              <w:t>621</w:t>
            </w:r>
          </w:p>
        </w:tc>
        <w:tc>
          <w:tcPr>
            <w:tcW w:w="1776" w:type="dxa"/>
            <w:tcBorders>
              <w:top w:val="single" w:sz="4" w:space="0" w:color="AEAEAE"/>
              <w:left w:val="nil"/>
              <w:bottom w:val="single" w:sz="4" w:space="0" w:color="AEAEAE"/>
              <w:right w:val="nil"/>
            </w:tcBorders>
            <w:shd w:val="clear" w:color="auto" w:fill="auto"/>
            <w:noWrap/>
            <w:hideMark/>
          </w:tcPr>
          <w:p w14:paraId="699C9BF9" w14:textId="5B55E619" w:rsidR="006A3DBC" w:rsidRPr="002B7276" w:rsidRDefault="006A3DBC" w:rsidP="005F4A92">
            <w:pPr>
              <w:spacing w:after="0" w:line="240" w:lineRule="auto"/>
              <w:jc w:val="center"/>
              <w:rPr>
                <w:rFonts w:eastAsia="Times New Roman" w:cs="Arial"/>
                <w:sz w:val="18"/>
                <w:szCs w:val="18"/>
                <w:lang w:eastAsia="es-SV"/>
              </w:rPr>
            </w:pPr>
            <w:r w:rsidRPr="002B7276">
              <w:rPr>
                <w:rFonts w:eastAsia="Times New Roman" w:cs="Arial"/>
                <w:sz w:val="18"/>
                <w:szCs w:val="18"/>
                <w:lang w:eastAsia="es-SV"/>
              </w:rPr>
              <w:t>2</w:t>
            </w:r>
            <w:r w:rsidR="005B5AED" w:rsidRPr="002B7276">
              <w:rPr>
                <w:rFonts w:eastAsia="Times New Roman" w:cs="Arial"/>
                <w:sz w:val="18"/>
                <w:szCs w:val="18"/>
                <w:lang w:eastAsia="es-SV"/>
              </w:rPr>
              <w:t>,</w:t>
            </w:r>
            <w:r w:rsidRPr="002B7276">
              <w:rPr>
                <w:rFonts w:eastAsia="Times New Roman" w:cs="Arial"/>
                <w:sz w:val="18"/>
                <w:szCs w:val="18"/>
                <w:lang w:eastAsia="es-SV"/>
              </w:rPr>
              <w:t>556</w:t>
            </w:r>
          </w:p>
        </w:tc>
      </w:tr>
      <w:tr w:rsidR="002B7276" w:rsidRPr="002B7276" w14:paraId="39BF0F13" w14:textId="77777777" w:rsidTr="005F4A92">
        <w:trPr>
          <w:trHeight w:val="250"/>
        </w:trPr>
        <w:tc>
          <w:tcPr>
            <w:tcW w:w="4228" w:type="dxa"/>
            <w:tcBorders>
              <w:top w:val="single" w:sz="4" w:space="0" w:color="AEAEAE"/>
              <w:left w:val="nil"/>
              <w:bottom w:val="nil"/>
              <w:right w:val="nil"/>
            </w:tcBorders>
            <w:shd w:val="clear" w:color="000000" w:fill="E0E0E0"/>
            <w:hideMark/>
          </w:tcPr>
          <w:p w14:paraId="22A3B43A" w14:textId="77777777" w:rsidR="006A3DBC" w:rsidRPr="002B7276" w:rsidRDefault="006A3DBC" w:rsidP="005F4A92">
            <w:pPr>
              <w:spacing w:after="0" w:line="240" w:lineRule="auto"/>
              <w:jc w:val="both"/>
              <w:rPr>
                <w:rFonts w:eastAsia="Times New Roman" w:cs="Arial"/>
                <w:sz w:val="18"/>
                <w:szCs w:val="18"/>
                <w:lang w:eastAsia="es-SV"/>
              </w:rPr>
            </w:pPr>
            <w:r w:rsidRPr="002B7276">
              <w:rPr>
                <w:rFonts w:eastAsia="Times New Roman" w:cs="Arial"/>
                <w:sz w:val="18"/>
                <w:szCs w:val="18"/>
                <w:lang w:eastAsia="es-SV"/>
              </w:rPr>
              <w:t>Practicante o pasante de carrera.</w:t>
            </w:r>
          </w:p>
        </w:tc>
        <w:tc>
          <w:tcPr>
            <w:tcW w:w="1776" w:type="dxa"/>
            <w:tcBorders>
              <w:top w:val="single" w:sz="4" w:space="0" w:color="AEAEAE"/>
              <w:left w:val="nil"/>
              <w:bottom w:val="single" w:sz="4" w:space="0" w:color="AEAEAE"/>
              <w:right w:val="single" w:sz="4" w:space="0" w:color="E0E0E0"/>
            </w:tcBorders>
            <w:shd w:val="clear" w:color="auto" w:fill="auto"/>
            <w:noWrap/>
            <w:hideMark/>
          </w:tcPr>
          <w:p w14:paraId="7D45CBD7" w14:textId="77777777" w:rsidR="006A3DBC" w:rsidRPr="002B7276" w:rsidRDefault="006A3DBC" w:rsidP="005F4A92">
            <w:pPr>
              <w:spacing w:after="0" w:line="240" w:lineRule="auto"/>
              <w:jc w:val="center"/>
              <w:rPr>
                <w:rFonts w:eastAsia="Times New Roman" w:cs="Arial"/>
                <w:sz w:val="18"/>
                <w:szCs w:val="18"/>
                <w:lang w:eastAsia="es-SV"/>
              </w:rPr>
            </w:pPr>
            <w:r w:rsidRPr="002B7276">
              <w:rPr>
                <w:rFonts w:eastAsia="Times New Roman" w:cs="Arial"/>
                <w:sz w:val="18"/>
                <w:szCs w:val="18"/>
                <w:lang w:eastAsia="es-SV"/>
              </w:rPr>
              <w:t>435</w:t>
            </w:r>
          </w:p>
        </w:tc>
        <w:tc>
          <w:tcPr>
            <w:tcW w:w="1776" w:type="dxa"/>
            <w:tcBorders>
              <w:top w:val="single" w:sz="4" w:space="0" w:color="AEAEAE"/>
              <w:left w:val="nil"/>
              <w:bottom w:val="single" w:sz="4" w:space="0" w:color="AEAEAE"/>
              <w:right w:val="single" w:sz="4" w:space="0" w:color="E0E0E0"/>
            </w:tcBorders>
            <w:shd w:val="clear" w:color="auto" w:fill="auto"/>
            <w:noWrap/>
            <w:hideMark/>
          </w:tcPr>
          <w:p w14:paraId="79A9EED6" w14:textId="77777777" w:rsidR="006A3DBC" w:rsidRPr="002B7276" w:rsidRDefault="006A3DBC" w:rsidP="005F4A92">
            <w:pPr>
              <w:spacing w:after="0" w:line="240" w:lineRule="auto"/>
              <w:jc w:val="center"/>
              <w:rPr>
                <w:rFonts w:eastAsia="Times New Roman" w:cs="Arial"/>
                <w:sz w:val="18"/>
                <w:szCs w:val="18"/>
                <w:lang w:eastAsia="es-SV"/>
              </w:rPr>
            </w:pPr>
            <w:r w:rsidRPr="002B7276">
              <w:rPr>
                <w:rFonts w:eastAsia="Times New Roman" w:cs="Arial"/>
                <w:sz w:val="18"/>
                <w:szCs w:val="18"/>
                <w:lang w:eastAsia="es-SV"/>
              </w:rPr>
              <w:t>0</w:t>
            </w:r>
          </w:p>
        </w:tc>
        <w:tc>
          <w:tcPr>
            <w:tcW w:w="1776" w:type="dxa"/>
            <w:tcBorders>
              <w:top w:val="single" w:sz="4" w:space="0" w:color="AEAEAE"/>
              <w:left w:val="nil"/>
              <w:bottom w:val="single" w:sz="4" w:space="0" w:color="AEAEAE"/>
              <w:right w:val="nil"/>
            </w:tcBorders>
            <w:shd w:val="clear" w:color="auto" w:fill="auto"/>
            <w:noWrap/>
            <w:hideMark/>
          </w:tcPr>
          <w:p w14:paraId="073C9223" w14:textId="77777777" w:rsidR="006A3DBC" w:rsidRPr="002B7276" w:rsidRDefault="006A3DBC" w:rsidP="005F4A92">
            <w:pPr>
              <w:spacing w:after="0" w:line="240" w:lineRule="auto"/>
              <w:jc w:val="center"/>
              <w:rPr>
                <w:rFonts w:eastAsia="Times New Roman" w:cs="Arial"/>
                <w:sz w:val="18"/>
                <w:szCs w:val="18"/>
                <w:lang w:eastAsia="es-SV"/>
              </w:rPr>
            </w:pPr>
            <w:r w:rsidRPr="002B7276">
              <w:rPr>
                <w:rFonts w:eastAsia="Times New Roman" w:cs="Arial"/>
                <w:sz w:val="18"/>
                <w:szCs w:val="18"/>
                <w:lang w:eastAsia="es-SV"/>
              </w:rPr>
              <w:t>435</w:t>
            </w:r>
          </w:p>
        </w:tc>
      </w:tr>
      <w:tr w:rsidR="002B7276" w:rsidRPr="002B7276" w14:paraId="219DB0AF" w14:textId="77777777" w:rsidTr="005F4A92">
        <w:trPr>
          <w:trHeight w:val="250"/>
        </w:trPr>
        <w:tc>
          <w:tcPr>
            <w:tcW w:w="4228" w:type="dxa"/>
            <w:tcBorders>
              <w:top w:val="single" w:sz="4" w:space="0" w:color="AEAEAE"/>
              <w:left w:val="nil"/>
              <w:bottom w:val="nil"/>
              <w:right w:val="nil"/>
            </w:tcBorders>
            <w:shd w:val="clear" w:color="000000" w:fill="E0E0E0"/>
            <w:hideMark/>
          </w:tcPr>
          <w:p w14:paraId="71B214E1" w14:textId="77777777" w:rsidR="006A3DBC" w:rsidRPr="002B7276" w:rsidRDefault="006A3DBC" w:rsidP="005F4A92">
            <w:pPr>
              <w:spacing w:after="0" w:line="240" w:lineRule="auto"/>
              <w:jc w:val="both"/>
              <w:rPr>
                <w:rFonts w:eastAsia="Times New Roman" w:cs="Arial"/>
                <w:sz w:val="18"/>
                <w:szCs w:val="18"/>
                <w:lang w:eastAsia="es-SV"/>
              </w:rPr>
            </w:pPr>
            <w:r w:rsidRPr="002B7276">
              <w:rPr>
                <w:rFonts w:eastAsia="Times New Roman" w:cs="Arial"/>
                <w:sz w:val="18"/>
                <w:szCs w:val="18"/>
                <w:lang w:eastAsia="es-SV"/>
              </w:rPr>
              <w:t>Aprendiz sin remuneración.</w:t>
            </w:r>
          </w:p>
        </w:tc>
        <w:tc>
          <w:tcPr>
            <w:tcW w:w="1776" w:type="dxa"/>
            <w:tcBorders>
              <w:top w:val="single" w:sz="4" w:space="0" w:color="AEAEAE"/>
              <w:left w:val="nil"/>
              <w:bottom w:val="single" w:sz="4" w:space="0" w:color="AEAEAE"/>
              <w:right w:val="single" w:sz="4" w:space="0" w:color="E0E0E0"/>
            </w:tcBorders>
            <w:shd w:val="clear" w:color="auto" w:fill="auto"/>
            <w:noWrap/>
            <w:hideMark/>
          </w:tcPr>
          <w:p w14:paraId="57D7F8CB" w14:textId="77777777" w:rsidR="006A3DBC" w:rsidRPr="002B7276" w:rsidRDefault="006A3DBC" w:rsidP="005F4A92">
            <w:pPr>
              <w:spacing w:after="0" w:line="240" w:lineRule="auto"/>
              <w:jc w:val="center"/>
              <w:rPr>
                <w:rFonts w:eastAsia="Times New Roman" w:cs="Arial"/>
                <w:sz w:val="18"/>
                <w:szCs w:val="18"/>
                <w:lang w:eastAsia="es-SV"/>
              </w:rPr>
            </w:pPr>
            <w:r w:rsidRPr="002B7276">
              <w:rPr>
                <w:rFonts w:eastAsia="Times New Roman" w:cs="Arial"/>
                <w:sz w:val="18"/>
                <w:szCs w:val="18"/>
                <w:lang w:eastAsia="es-SV"/>
              </w:rPr>
              <w:t>357</w:t>
            </w:r>
          </w:p>
        </w:tc>
        <w:tc>
          <w:tcPr>
            <w:tcW w:w="1776" w:type="dxa"/>
            <w:tcBorders>
              <w:top w:val="single" w:sz="4" w:space="0" w:color="AEAEAE"/>
              <w:left w:val="nil"/>
              <w:bottom w:val="single" w:sz="4" w:space="0" w:color="AEAEAE"/>
              <w:right w:val="single" w:sz="4" w:space="0" w:color="E0E0E0"/>
            </w:tcBorders>
            <w:shd w:val="clear" w:color="auto" w:fill="auto"/>
            <w:noWrap/>
            <w:hideMark/>
          </w:tcPr>
          <w:p w14:paraId="137063BB" w14:textId="77777777" w:rsidR="006A3DBC" w:rsidRPr="002B7276" w:rsidRDefault="006A3DBC" w:rsidP="005F4A92">
            <w:pPr>
              <w:spacing w:after="0" w:line="240" w:lineRule="auto"/>
              <w:jc w:val="center"/>
              <w:rPr>
                <w:rFonts w:eastAsia="Times New Roman" w:cs="Arial"/>
                <w:sz w:val="18"/>
                <w:szCs w:val="18"/>
                <w:lang w:eastAsia="es-SV"/>
              </w:rPr>
            </w:pPr>
            <w:r w:rsidRPr="002B7276">
              <w:rPr>
                <w:rFonts w:eastAsia="Times New Roman" w:cs="Arial"/>
                <w:sz w:val="18"/>
                <w:szCs w:val="18"/>
                <w:lang w:eastAsia="es-SV"/>
              </w:rPr>
              <w:t>0</w:t>
            </w:r>
          </w:p>
        </w:tc>
        <w:tc>
          <w:tcPr>
            <w:tcW w:w="1776" w:type="dxa"/>
            <w:tcBorders>
              <w:top w:val="single" w:sz="4" w:space="0" w:color="AEAEAE"/>
              <w:left w:val="nil"/>
              <w:bottom w:val="single" w:sz="4" w:space="0" w:color="AEAEAE"/>
              <w:right w:val="nil"/>
            </w:tcBorders>
            <w:shd w:val="clear" w:color="auto" w:fill="auto"/>
            <w:noWrap/>
            <w:hideMark/>
          </w:tcPr>
          <w:p w14:paraId="59AECA8F" w14:textId="77777777" w:rsidR="006A3DBC" w:rsidRPr="002B7276" w:rsidRDefault="006A3DBC" w:rsidP="005F4A92">
            <w:pPr>
              <w:spacing w:after="0" w:line="240" w:lineRule="auto"/>
              <w:jc w:val="center"/>
              <w:rPr>
                <w:rFonts w:eastAsia="Times New Roman" w:cs="Arial"/>
                <w:sz w:val="18"/>
                <w:szCs w:val="18"/>
                <w:lang w:eastAsia="es-SV"/>
              </w:rPr>
            </w:pPr>
            <w:r w:rsidRPr="002B7276">
              <w:rPr>
                <w:rFonts w:eastAsia="Times New Roman" w:cs="Arial"/>
                <w:sz w:val="18"/>
                <w:szCs w:val="18"/>
                <w:lang w:eastAsia="es-SV"/>
              </w:rPr>
              <w:t>357</w:t>
            </w:r>
          </w:p>
        </w:tc>
      </w:tr>
      <w:tr w:rsidR="002B7276" w:rsidRPr="002B7276" w14:paraId="7B0E8867" w14:textId="77777777" w:rsidTr="005F4A92">
        <w:trPr>
          <w:trHeight w:val="250"/>
        </w:trPr>
        <w:tc>
          <w:tcPr>
            <w:tcW w:w="4228" w:type="dxa"/>
            <w:tcBorders>
              <w:top w:val="single" w:sz="4" w:space="0" w:color="AEAEAE"/>
              <w:left w:val="nil"/>
              <w:bottom w:val="single" w:sz="4" w:space="0" w:color="AEAEAE"/>
              <w:right w:val="nil"/>
            </w:tcBorders>
            <w:shd w:val="clear" w:color="000000" w:fill="E0E0E0"/>
            <w:hideMark/>
          </w:tcPr>
          <w:p w14:paraId="398FF028" w14:textId="761F147C" w:rsidR="006A3DBC" w:rsidRPr="002B7276" w:rsidRDefault="006A3DBC" w:rsidP="005B5AED">
            <w:pPr>
              <w:spacing w:after="0" w:line="240" w:lineRule="auto"/>
              <w:jc w:val="center"/>
              <w:rPr>
                <w:rFonts w:eastAsia="Times New Roman" w:cs="Arial"/>
                <w:b/>
                <w:bCs/>
                <w:sz w:val="18"/>
                <w:szCs w:val="18"/>
                <w:lang w:eastAsia="es-SV"/>
              </w:rPr>
            </w:pPr>
            <w:r w:rsidRPr="002B7276">
              <w:rPr>
                <w:rFonts w:eastAsia="Times New Roman" w:cs="Arial"/>
                <w:b/>
                <w:bCs/>
                <w:sz w:val="18"/>
                <w:szCs w:val="18"/>
                <w:lang w:eastAsia="es-SV"/>
              </w:rPr>
              <w:t>Totales</w:t>
            </w:r>
          </w:p>
        </w:tc>
        <w:tc>
          <w:tcPr>
            <w:tcW w:w="1776" w:type="dxa"/>
            <w:tcBorders>
              <w:top w:val="single" w:sz="4" w:space="0" w:color="AEAEAE"/>
              <w:left w:val="nil"/>
              <w:bottom w:val="single" w:sz="4" w:space="0" w:color="AEAEAE"/>
              <w:right w:val="single" w:sz="4" w:space="0" w:color="E0E0E0"/>
            </w:tcBorders>
            <w:shd w:val="clear" w:color="auto" w:fill="auto"/>
            <w:noWrap/>
            <w:hideMark/>
          </w:tcPr>
          <w:p w14:paraId="61FD0C6A" w14:textId="431B793B" w:rsidR="006A3DBC" w:rsidRPr="002B7276" w:rsidRDefault="006A3DBC" w:rsidP="005F4A92">
            <w:pPr>
              <w:spacing w:after="0" w:line="240" w:lineRule="auto"/>
              <w:jc w:val="center"/>
              <w:rPr>
                <w:rFonts w:eastAsia="Times New Roman" w:cs="Arial"/>
                <w:b/>
                <w:bCs/>
                <w:sz w:val="18"/>
                <w:szCs w:val="18"/>
                <w:lang w:eastAsia="es-SV"/>
              </w:rPr>
            </w:pPr>
            <w:r w:rsidRPr="002B7276">
              <w:rPr>
                <w:rFonts w:eastAsia="Times New Roman" w:cs="Arial"/>
                <w:b/>
                <w:bCs/>
                <w:sz w:val="18"/>
                <w:szCs w:val="18"/>
                <w:lang w:eastAsia="es-SV"/>
              </w:rPr>
              <w:t>376</w:t>
            </w:r>
            <w:r w:rsidR="005B5AED" w:rsidRPr="002B7276">
              <w:rPr>
                <w:rFonts w:eastAsia="Times New Roman" w:cs="Arial"/>
                <w:b/>
                <w:bCs/>
                <w:sz w:val="18"/>
                <w:szCs w:val="18"/>
                <w:lang w:eastAsia="es-SV"/>
              </w:rPr>
              <w:t>,</w:t>
            </w:r>
            <w:r w:rsidRPr="002B7276">
              <w:rPr>
                <w:rFonts w:eastAsia="Times New Roman" w:cs="Arial"/>
                <w:b/>
                <w:bCs/>
                <w:sz w:val="18"/>
                <w:szCs w:val="18"/>
                <w:lang w:eastAsia="es-SV"/>
              </w:rPr>
              <w:t>069</w:t>
            </w:r>
          </w:p>
        </w:tc>
        <w:tc>
          <w:tcPr>
            <w:tcW w:w="1776" w:type="dxa"/>
            <w:tcBorders>
              <w:top w:val="single" w:sz="4" w:space="0" w:color="AEAEAE"/>
              <w:left w:val="nil"/>
              <w:bottom w:val="single" w:sz="4" w:space="0" w:color="AEAEAE"/>
              <w:right w:val="single" w:sz="4" w:space="0" w:color="E0E0E0"/>
            </w:tcBorders>
            <w:shd w:val="clear" w:color="auto" w:fill="auto"/>
            <w:noWrap/>
            <w:hideMark/>
          </w:tcPr>
          <w:p w14:paraId="43D22F33" w14:textId="2D20F2B3" w:rsidR="006A3DBC" w:rsidRPr="002B7276" w:rsidRDefault="006A3DBC" w:rsidP="005F4A92">
            <w:pPr>
              <w:spacing w:after="0" w:line="240" w:lineRule="auto"/>
              <w:jc w:val="center"/>
              <w:rPr>
                <w:rFonts w:eastAsia="Times New Roman" w:cs="Arial"/>
                <w:b/>
                <w:bCs/>
                <w:sz w:val="18"/>
                <w:szCs w:val="18"/>
                <w:lang w:eastAsia="es-SV"/>
              </w:rPr>
            </w:pPr>
            <w:r w:rsidRPr="002B7276">
              <w:rPr>
                <w:rFonts w:eastAsia="Times New Roman" w:cs="Arial"/>
                <w:b/>
                <w:bCs/>
                <w:sz w:val="18"/>
                <w:szCs w:val="18"/>
                <w:lang w:eastAsia="es-SV"/>
              </w:rPr>
              <w:t>197</w:t>
            </w:r>
            <w:r w:rsidR="005B5AED" w:rsidRPr="002B7276">
              <w:rPr>
                <w:rFonts w:eastAsia="Times New Roman" w:cs="Arial"/>
                <w:b/>
                <w:bCs/>
                <w:sz w:val="18"/>
                <w:szCs w:val="18"/>
                <w:lang w:eastAsia="es-SV"/>
              </w:rPr>
              <w:t>,</w:t>
            </w:r>
            <w:r w:rsidRPr="002B7276">
              <w:rPr>
                <w:rFonts w:eastAsia="Times New Roman" w:cs="Arial"/>
                <w:b/>
                <w:bCs/>
                <w:sz w:val="18"/>
                <w:szCs w:val="18"/>
                <w:lang w:eastAsia="es-SV"/>
              </w:rPr>
              <w:t>036</w:t>
            </w:r>
          </w:p>
        </w:tc>
        <w:tc>
          <w:tcPr>
            <w:tcW w:w="1776" w:type="dxa"/>
            <w:tcBorders>
              <w:top w:val="single" w:sz="4" w:space="0" w:color="AEAEAE"/>
              <w:left w:val="nil"/>
              <w:bottom w:val="single" w:sz="4" w:space="0" w:color="AEAEAE"/>
              <w:right w:val="nil"/>
            </w:tcBorders>
            <w:shd w:val="clear" w:color="auto" w:fill="auto"/>
            <w:noWrap/>
            <w:hideMark/>
          </w:tcPr>
          <w:p w14:paraId="7169988F" w14:textId="4902937A" w:rsidR="006A3DBC" w:rsidRPr="002B7276" w:rsidRDefault="006A3DBC" w:rsidP="005F4A92">
            <w:pPr>
              <w:spacing w:after="0" w:line="240" w:lineRule="auto"/>
              <w:jc w:val="center"/>
              <w:rPr>
                <w:rFonts w:eastAsia="Times New Roman" w:cs="Arial"/>
                <w:b/>
                <w:bCs/>
                <w:sz w:val="18"/>
                <w:szCs w:val="18"/>
                <w:lang w:eastAsia="es-SV"/>
              </w:rPr>
            </w:pPr>
            <w:r w:rsidRPr="002B7276">
              <w:rPr>
                <w:rFonts w:eastAsia="Times New Roman" w:cs="Arial"/>
                <w:b/>
                <w:bCs/>
                <w:sz w:val="18"/>
                <w:szCs w:val="18"/>
                <w:lang w:eastAsia="es-SV"/>
              </w:rPr>
              <w:t>573</w:t>
            </w:r>
            <w:r w:rsidR="005B5AED" w:rsidRPr="002B7276">
              <w:rPr>
                <w:rFonts w:eastAsia="Times New Roman" w:cs="Arial"/>
                <w:b/>
                <w:bCs/>
                <w:sz w:val="18"/>
                <w:szCs w:val="18"/>
                <w:lang w:eastAsia="es-SV"/>
              </w:rPr>
              <w:t>,</w:t>
            </w:r>
            <w:r w:rsidRPr="002B7276">
              <w:rPr>
                <w:rFonts w:eastAsia="Times New Roman" w:cs="Arial"/>
                <w:b/>
                <w:bCs/>
                <w:sz w:val="18"/>
                <w:szCs w:val="18"/>
                <w:lang w:eastAsia="es-SV"/>
              </w:rPr>
              <w:t>105</w:t>
            </w:r>
          </w:p>
        </w:tc>
      </w:tr>
    </w:tbl>
    <w:p w14:paraId="7793CB54" w14:textId="77777777" w:rsidR="006A3DBC" w:rsidRPr="00FA4B2D" w:rsidRDefault="006A3DBC" w:rsidP="006A3DBC">
      <w:pPr>
        <w:jc w:val="center"/>
        <w:rPr>
          <w:rFonts w:cs="Arial"/>
          <w:sz w:val="20"/>
          <w:szCs w:val="20"/>
        </w:rPr>
      </w:pPr>
      <w:r w:rsidRPr="00FA4B2D">
        <w:rPr>
          <w:rFonts w:cs="Arial"/>
          <w:b/>
          <w:bCs/>
          <w:sz w:val="20"/>
          <w:szCs w:val="20"/>
        </w:rPr>
        <w:t>Fuente</w:t>
      </w:r>
      <w:r w:rsidRPr="00FA4B2D">
        <w:rPr>
          <w:rFonts w:cs="Arial"/>
          <w:sz w:val="20"/>
          <w:szCs w:val="20"/>
        </w:rPr>
        <w:t>: elaboración propia con base a datos de la EHPM 2019.</w:t>
      </w:r>
    </w:p>
    <w:p w14:paraId="7BEC55B7" w14:textId="77777777" w:rsidR="006A3DBC" w:rsidRPr="00FA4B2D" w:rsidRDefault="006A3DBC" w:rsidP="006A3DBC">
      <w:pPr>
        <w:jc w:val="both"/>
        <w:rPr>
          <w:rFonts w:cs="Arial"/>
        </w:rPr>
      </w:pPr>
      <w:r w:rsidRPr="00FA4B2D">
        <w:rPr>
          <w:rFonts w:cs="Arial"/>
        </w:rPr>
        <w:t>La encuesta de hogares ha identificado a nivel de los tres departamentos de incidencia del Proyecto que el 46.4% de la población en edad de trabajar no presenta problemas de empleo. Sin embargo, existe una incidencia del 53.6% en relación con el subempleo, tanto visible como invisible (por horas o por salarios) en el caso de los tres departamentos. Esta situación afecta mayormente a los hombres que se encuentran mayormente en situación de subempleo, de ambos tipos, como se muestra en la tabla a continuación:</w:t>
      </w:r>
    </w:p>
    <w:p w14:paraId="1DC9BFB7" w14:textId="41F93F2B" w:rsidR="00F94AC4" w:rsidRDefault="00F94AC4" w:rsidP="00F94AC4">
      <w:pPr>
        <w:pStyle w:val="Descripcin"/>
        <w:keepNext/>
      </w:pPr>
      <w:bookmarkStart w:id="712" w:name="_Toc202455464"/>
      <w:r>
        <w:t xml:space="preserve">Tabla </w:t>
      </w:r>
      <w:r>
        <w:fldChar w:fldCharType="begin"/>
      </w:r>
      <w:r>
        <w:instrText xml:space="preserve"> SEQ Tabla \* ARABIC </w:instrText>
      </w:r>
      <w:r>
        <w:fldChar w:fldCharType="separate"/>
      </w:r>
      <w:r w:rsidR="000E6D86">
        <w:rPr>
          <w:noProof/>
        </w:rPr>
        <w:t>38</w:t>
      </w:r>
      <w:r>
        <w:fldChar w:fldCharType="end"/>
      </w:r>
      <w:r>
        <w:t xml:space="preserve">: </w:t>
      </w:r>
      <w:r w:rsidRPr="00AA0EB8">
        <w:t>Situación del subempleo visible e invisible</w:t>
      </w:r>
      <w:bookmarkEnd w:id="712"/>
    </w:p>
    <w:tbl>
      <w:tblPr>
        <w:tblW w:w="10348" w:type="dxa"/>
        <w:tblInd w:w="-572" w:type="dxa"/>
        <w:tblLayout w:type="fixed"/>
        <w:tblCellMar>
          <w:left w:w="70" w:type="dxa"/>
          <w:right w:w="70" w:type="dxa"/>
        </w:tblCellMar>
        <w:tblLook w:val="04A0" w:firstRow="1" w:lastRow="0" w:firstColumn="1" w:lastColumn="0" w:noHBand="0" w:noVBand="1"/>
      </w:tblPr>
      <w:tblGrid>
        <w:gridCol w:w="1276"/>
        <w:gridCol w:w="851"/>
        <w:gridCol w:w="850"/>
        <w:gridCol w:w="851"/>
        <w:gridCol w:w="850"/>
        <w:gridCol w:w="709"/>
        <w:gridCol w:w="850"/>
        <w:gridCol w:w="851"/>
        <w:gridCol w:w="709"/>
        <w:gridCol w:w="850"/>
        <w:gridCol w:w="851"/>
        <w:gridCol w:w="850"/>
      </w:tblGrid>
      <w:tr w:rsidR="002B7276" w:rsidRPr="002B7276" w14:paraId="62A3846D" w14:textId="77777777" w:rsidTr="00D22C97">
        <w:trPr>
          <w:trHeight w:val="1580"/>
        </w:trPr>
        <w:tc>
          <w:tcPr>
            <w:tcW w:w="1276" w:type="dxa"/>
            <w:vMerge w:val="restart"/>
            <w:tcBorders>
              <w:top w:val="single" w:sz="4" w:space="0" w:color="auto"/>
              <w:left w:val="single" w:sz="4" w:space="0" w:color="auto"/>
              <w:bottom w:val="single" w:sz="4" w:space="0" w:color="auto"/>
              <w:right w:val="single" w:sz="4" w:space="0" w:color="auto"/>
            </w:tcBorders>
            <w:shd w:val="clear" w:color="auto" w:fill="5CC5DA"/>
            <w:noWrap/>
            <w:vAlign w:val="center"/>
            <w:hideMark/>
          </w:tcPr>
          <w:p w14:paraId="29F7924A" w14:textId="77777777" w:rsidR="006A3DBC" w:rsidRPr="002B7276" w:rsidRDefault="006A3DBC" w:rsidP="005F4A92">
            <w:pPr>
              <w:spacing w:after="0" w:line="240" w:lineRule="auto"/>
              <w:jc w:val="center"/>
              <w:rPr>
                <w:rFonts w:eastAsia="Times New Roman" w:cs="Arial"/>
                <w:b/>
                <w:bCs/>
                <w:sz w:val="16"/>
                <w:szCs w:val="16"/>
                <w:lang w:eastAsia="es-SV"/>
              </w:rPr>
            </w:pPr>
            <w:r w:rsidRPr="002B7276">
              <w:rPr>
                <w:rFonts w:eastAsia="Times New Roman" w:cs="Arial"/>
                <w:b/>
                <w:bCs/>
                <w:sz w:val="16"/>
                <w:szCs w:val="16"/>
                <w:lang w:eastAsia="es-SV"/>
              </w:rPr>
              <w:t>Departamento </w:t>
            </w:r>
          </w:p>
        </w:tc>
        <w:tc>
          <w:tcPr>
            <w:tcW w:w="1701" w:type="dxa"/>
            <w:gridSpan w:val="2"/>
            <w:tcBorders>
              <w:top w:val="single" w:sz="4" w:space="0" w:color="auto"/>
              <w:left w:val="nil"/>
              <w:bottom w:val="single" w:sz="4" w:space="0" w:color="auto"/>
              <w:right w:val="single" w:sz="4" w:space="0" w:color="auto"/>
            </w:tcBorders>
            <w:shd w:val="clear" w:color="auto" w:fill="5CC5DA"/>
            <w:vAlign w:val="center"/>
            <w:hideMark/>
          </w:tcPr>
          <w:p w14:paraId="19B3F1F5" w14:textId="77777777" w:rsidR="006A3DBC" w:rsidRPr="002B7276" w:rsidRDefault="006A3DBC" w:rsidP="005F4A92">
            <w:pPr>
              <w:spacing w:after="0" w:line="240" w:lineRule="auto"/>
              <w:jc w:val="center"/>
              <w:rPr>
                <w:rFonts w:eastAsia="Times New Roman" w:cs="Arial"/>
                <w:b/>
                <w:bCs/>
                <w:sz w:val="16"/>
                <w:szCs w:val="16"/>
                <w:lang w:eastAsia="es-SV"/>
              </w:rPr>
            </w:pPr>
            <w:r w:rsidRPr="002B7276">
              <w:rPr>
                <w:rFonts w:eastAsia="Times New Roman" w:cs="Arial"/>
                <w:b/>
                <w:bCs/>
                <w:sz w:val="16"/>
                <w:szCs w:val="16"/>
                <w:lang w:eastAsia="es-SV"/>
              </w:rPr>
              <w:t>Sin Problemas de Empleo</w:t>
            </w:r>
          </w:p>
        </w:tc>
        <w:tc>
          <w:tcPr>
            <w:tcW w:w="851" w:type="dxa"/>
            <w:vMerge w:val="restart"/>
            <w:tcBorders>
              <w:top w:val="single" w:sz="4" w:space="0" w:color="auto"/>
              <w:left w:val="nil"/>
              <w:right w:val="single" w:sz="4" w:space="0" w:color="auto"/>
            </w:tcBorders>
            <w:shd w:val="clear" w:color="auto" w:fill="5CC5DA"/>
            <w:vAlign w:val="center"/>
            <w:hideMark/>
          </w:tcPr>
          <w:p w14:paraId="27560C03" w14:textId="77777777" w:rsidR="006A3DBC" w:rsidRPr="002B7276" w:rsidRDefault="006A3DBC" w:rsidP="005F4A92">
            <w:pPr>
              <w:spacing w:after="0" w:line="240" w:lineRule="auto"/>
              <w:jc w:val="center"/>
              <w:rPr>
                <w:rFonts w:eastAsia="Times New Roman" w:cs="Arial"/>
                <w:b/>
                <w:bCs/>
                <w:sz w:val="16"/>
                <w:szCs w:val="16"/>
                <w:lang w:eastAsia="es-SV"/>
              </w:rPr>
            </w:pPr>
            <w:r w:rsidRPr="002B7276">
              <w:rPr>
                <w:rFonts w:eastAsia="Times New Roman" w:cs="Arial"/>
                <w:b/>
                <w:bCs/>
                <w:sz w:val="16"/>
                <w:szCs w:val="16"/>
                <w:lang w:eastAsia="es-SV"/>
              </w:rPr>
              <w:t xml:space="preserve">Total </w:t>
            </w:r>
          </w:p>
        </w:tc>
        <w:tc>
          <w:tcPr>
            <w:tcW w:w="1559" w:type="dxa"/>
            <w:gridSpan w:val="2"/>
            <w:tcBorders>
              <w:top w:val="single" w:sz="4" w:space="0" w:color="auto"/>
              <w:left w:val="nil"/>
              <w:bottom w:val="single" w:sz="4" w:space="0" w:color="auto"/>
              <w:right w:val="single" w:sz="4" w:space="0" w:color="auto"/>
            </w:tcBorders>
            <w:shd w:val="clear" w:color="auto" w:fill="5CC5DA"/>
            <w:vAlign w:val="center"/>
            <w:hideMark/>
          </w:tcPr>
          <w:p w14:paraId="2B1797EC" w14:textId="77777777" w:rsidR="006A3DBC" w:rsidRPr="002B7276" w:rsidRDefault="006A3DBC" w:rsidP="005F4A92">
            <w:pPr>
              <w:spacing w:after="0" w:line="240" w:lineRule="auto"/>
              <w:jc w:val="center"/>
              <w:rPr>
                <w:rFonts w:eastAsia="Times New Roman" w:cs="Arial"/>
                <w:b/>
                <w:bCs/>
                <w:sz w:val="16"/>
                <w:szCs w:val="16"/>
                <w:lang w:eastAsia="es-SV"/>
              </w:rPr>
            </w:pPr>
            <w:r w:rsidRPr="002B7276">
              <w:rPr>
                <w:rFonts w:eastAsia="Times New Roman" w:cs="Arial"/>
                <w:b/>
                <w:bCs/>
                <w:sz w:val="16"/>
                <w:szCs w:val="16"/>
                <w:lang w:eastAsia="es-SV"/>
              </w:rPr>
              <w:t>Subempleado Visible</w:t>
            </w:r>
          </w:p>
        </w:tc>
        <w:tc>
          <w:tcPr>
            <w:tcW w:w="850" w:type="dxa"/>
            <w:tcBorders>
              <w:top w:val="single" w:sz="4" w:space="0" w:color="auto"/>
              <w:left w:val="nil"/>
              <w:bottom w:val="single" w:sz="4" w:space="0" w:color="auto"/>
              <w:right w:val="single" w:sz="4" w:space="0" w:color="auto"/>
            </w:tcBorders>
            <w:shd w:val="clear" w:color="auto" w:fill="5CC5DA"/>
            <w:vAlign w:val="center"/>
            <w:hideMark/>
          </w:tcPr>
          <w:p w14:paraId="432C017D" w14:textId="77777777" w:rsidR="006A3DBC" w:rsidRPr="002B7276" w:rsidRDefault="006A3DBC" w:rsidP="005F4A92">
            <w:pPr>
              <w:spacing w:after="0" w:line="240" w:lineRule="auto"/>
              <w:jc w:val="center"/>
              <w:rPr>
                <w:rFonts w:eastAsia="Times New Roman" w:cs="Arial"/>
                <w:b/>
                <w:bCs/>
                <w:sz w:val="16"/>
                <w:szCs w:val="16"/>
                <w:lang w:eastAsia="es-SV"/>
              </w:rPr>
            </w:pPr>
            <w:r w:rsidRPr="002B7276">
              <w:rPr>
                <w:rFonts w:eastAsia="Times New Roman" w:cs="Arial"/>
                <w:b/>
                <w:bCs/>
                <w:sz w:val="16"/>
                <w:szCs w:val="16"/>
                <w:lang w:eastAsia="es-SV"/>
              </w:rPr>
              <w:t xml:space="preserve">Total </w:t>
            </w:r>
          </w:p>
        </w:tc>
        <w:tc>
          <w:tcPr>
            <w:tcW w:w="1560" w:type="dxa"/>
            <w:gridSpan w:val="2"/>
            <w:tcBorders>
              <w:top w:val="single" w:sz="4" w:space="0" w:color="auto"/>
              <w:left w:val="nil"/>
              <w:bottom w:val="single" w:sz="4" w:space="0" w:color="auto"/>
              <w:right w:val="single" w:sz="4" w:space="0" w:color="auto"/>
            </w:tcBorders>
            <w:shd w:val="clear" w:color="auto" w:fill="5CC5DA"/>
            <w:vAlign w:val="center"/>
            <w:hideMark/>
          </w:tcPr>
          <w:p w14:paraId="0A420090" w14:textId="77777777" w:rsidR="006A3DBC" w:rsidRPr="002B7276" w:rsidRDefault="006A3DBC" w:rsidP="005F4A92">
            <w:pPr>
              <w:spacing w:after="0" w:line="240" w:lineRule="auto"/>
              <w:jc w:val="center"/>
              <w:rPr>
                <w:rFonts w:eastAsia="Times New Roman" w:cs="Arial"/>
                <w:b/>
                <w:bCs/>
                <w:sz w:val="16"/>
                <w:szCs w:val="16"/>
                <w:lang w:eastAsia="es-SV"/>
              </w:rPr>
            </w:pPr>
            <w:r w:rsidRPr="002B7276">
              <w:rPr>
                <w:rFonts w:eastAsia="Times New Roman" w:cs="Arial"/>
                <w:b/>
                <w:bCs/>
                <w:sz w:val="16"/>
                <w:szCs w:val="16"/>
                <w:lang w:eastAsia="es-SV"/>
              </w:rPr>
              <w:t>Subempleado Invisible</w:t>
            </w:r>
          </w:p>
        </w:tc>
        <w:tc>
          <w:tcPr>
            <w:tcW w:w="850" w:type="dxa"/>
            <w:vMerge w:val="restart"/>
            <w:tcBorders>
              <w:top w:val="single" w:sz="4" w:space="0" w:color="auto"/>
              <w:left w:val="nil"/>
              <w:right w:val="single" w:sz="4" w:space="0" w:color="auto"/>
            </w:tcBorders>
            <w:shd w:val="clear" w:color="auto" w:fill="5CC5DA"/>
            <w:vAlign w:val="center"/>
            <w:hideMark/>
          </w:tcPr>
          <w:p w14:paraId="211C5A39" w14:textId="77777777" w:rsidR="006A3DBC" w:rsidRPr="002B7276" w:rsidRDefault="006A3DBC" w:rsidP="005F4A92">
            <w:pPr>
              <w:spacing w:after="0" w:line="240" w:lineRule="auto"/>
              <w:jc w:val="center"/>
              <w:rPr>
                <w:rFonts w:eastAsia="Times New Roman" w:cs="Arial"/>
                <w:b/>
                <w:bCs/>
                <w:sz w:val="16"/>
                <w:szCs w:val="16"/>
                <w:lang w:eastAsia="es-SV"/>
              </w:rPr>
            </w:pPr>
            <w:r w:rsidRPr="002B7276">
              <w:rPr>
                <w:rFonts w:eastAsia="Times New Roman" w:cs="Arial"/>
                <w:b/>
                <w:bCs/>
                <w:sz w:val="16"/>
                <w:szCs w:val="16"/>
                <w:lang w:eastAsia="es-SV"/>
              </w:rPr>
              <w:t xml:space="preserve">Total </w:t>
            </w:r>
          </w:p>
        </w:tc>
        <w:tc>
          <w:tcPr>
            <w:tcW w:w="1701" w:type="dxa"/>
            <w:gridSpan w:val="2"/>
            <w:tcBorders>
              <w:top w:val="single" w:sz="4" w:space="0" w:color="auto"/>
              <w:left w:val="nil"/>
              <w:bottom w:val="single" w:sz="4" w:space="0" w:color="auto"/>
              <w:right w:val="single" w:sz="4" w:space="0" w:color="auto"/>
            </w:tcBorders>
            <w:shd w:val="clear" w:color="auto" w:fill="5CC5DA"/>
            <w:vAlign w:val="center"/>
            <w:hideMark/>
          </w:tcPr>
          <w:p w14:paraId="57BE023D" w14:textId="77777777" w:rsidR="006A3DBC" w:rsidRPr="002B7276" w:rsidRDefault="006A3DBC" w:rsidP="005F4A92">
            <w:pPr>
              <w:spacing w:after="0" w:line="240" w:lineRule="auto"/>
              <w:jc w:val="center"/>
              <w:rPr>
                <w:rFonts w:eastAsia="Times New Roman" w:cs="Arial"/>
                <w:b/>
                <w:bCs/>
                <w:sz w:val="16"/>
                <w:szCs w:val="16"/>
                <w:lang w:eastAsia="es-SV"/>
              </w:rPr>
            </w:pPr>
            <w:r w:rsidRPr="002B7276">
              <w:rPr>
                <w:rFonts w:eastAsia="Times New Roman" w:cs="Arial"/>
                <w:b/>
                <w:bCs/>
                <w:sz w:val="16"/>
                <w:szCs w:val="16"/>
                <w:lang w:eastAsia="es-SV"/>
              </w:rPr>
              <w:t xml:space="preserve">Total </w:t>
            </w:r>
          </w:p>
          <w:p w14:paraId="2F68CD94" w14:textId="77777777" w:rsidR="006A3DBC" w:rsidRPr="002B7276" w:rsidRDefault="006A3DBC" w:rsidP="005F4A92">
            <w:pPr>
              <w:spacing w:after="0" w:line="240" w:lineRule="auto"/>
              <w:jc w:val="center"/>
              <w:rPr>
                <w:rFonts w:eastAsia="Times New Roman" w:cs="Arial"/>
                <w:b/>
                <w:bCs/>
                <w:sz w:val="16"/>
                <w:szCs w:val="16"/>
                <w:lang w:eastAsia="es-SV"/>
              </w:rPr>
            </w:pPr>
            <w:r w:rsidRPr="002B7276">
              <w:rPr>
                <w:rFonts w:eastAsia="Times New Roman" w:cs="Arial"/>
                <w:b/>
                <w:bCs/>
                <w:sz w:val="16"/>
                <w:szCs w:val="16"/>
                <w:lang w:eastAsia="es-SV"/>
              </w:rPr>
              <w:t xml:space="preserve">(General) </w:t>
            </w:r>
          </w:p>
        </w:tc>
      </w:tr>
      <w:tr w:rsidR="002B7276" w:rsidRPr="002B7276" w14:paraId="1EC8CD5A" w14:textId="77777777" w:rsidTr="00D22C97">
        <w:trPr>
          <w:trHeight w:val="410"/>
        </w:trPr>
        <w:tc>
          <w:tcPr>
            <w:tcW w:w="1276" w:type="dxa"/>
            <w:vMerge/>
            <w:tcBorders>
              <w:top w:val="single" w:sz="4" w:space="0" w:color="auto"/>
              <w:left w:val="single" w:sz="4" w:space="0" w:color="auto"/>
              <w:bottom w:val="single" w:sz="4" w:space="0" w:color="auto"/>
              <w:right w:val="single" w:sz="4" w:space="0" w:color="auto"/>
            </w:tcBorders>
            <w:shd w:val="clear" w:color="auto" w:fill="5CC5DA"/>
            <w:vAlign w:val="center"/>
            <w:hideMark/>
          </w:tcPr>
          <w:p w14:paraId="361C2563" w14:textId="77777777" w:rsidR="006A3DBC" w:rsidRPr="002B7276" w:rsidRDefault="006A3DBC" w:rsidP="005F4A92">
            <w:pPr>
              <w:spacing w:after="0" w:line="240" w:lineRule="auto"/>
              <w:rPr>
                <w:rFonts w:eastAsia="Times New Roman" w:cs="Arial"/>
                <w:b/>
                <w:bCs/>
                <w:sz w:val="16"/>
                <w:szCs w:val="16"/>
                <w:lang w:eastAsia="es-SV"/>
              </w:rPr>
            </w:pPr>
          </w:p>
        </w:tc>
        <w:tc>
          <w:tcPr>
            <w:tcW w:w="851" w:type="dxa"/>
            <w:tcBorders>
              <w:top w:val="nil"/>
              <w:left w:val="nil"/>
              <w:bottom w:val="single" w:sz="4" w:space="0" w:color="auto"/>
              <w:right w:val="single" w:sz="4" w:space="0" w:color="auto"/>
            </w:tcBorders>
            <w:shd w:val="clear" w:color="auto" w:fill="5CC5DA"/>
            <w:noWrap/>
            <w:vAlign w:val="center"/>
            <w:hideMark/>
          </w:tcPr>
          <w:p w14:paraId="70D30DFF" w14:textId="77777777" w:rsidR="006A3DBC" w:rsidRPr="002B7276" w:rsidRDefault="006A3DBC" w:rsidP="005F4A92">
            <w:pPr>
              <w:spacing w:after="0" w:line="240" w:lineRule="auto"/>
              <w:jc w:val="center"/>
              <w:rPr>
                <w:rFonts w:eastAsia="Times New Roman" w:cs="Arial"/>
                <w:b/>
                <w:bCs/>
                <w:sz w:val="16"/>
                <w:szCs w:val="16"/>
                <w:lang w:eastAsia="es-SV"/>
              </w:rPr>
            </w:pPr>
            <w:r w:rsidRPr="002B7276">
              <w:rPr>
                <w:rFonts w:eastAsia="Times New Roman" w:cs="Arial"/>
                <w:b/>
                <w:bCs/>
                <w:sz w:val="16"/>
                <w:szCs w:val="16"/>
                <w:lang w:eastAsia="es-SV"/>
              </w:rPr>
              <w:t>Hombre</w:t>
            </w:r>
          </w:p>
        </w:tc>
        <w:tc>
          <w:tcPr>
            <w:tcW w:w="850" w:type="dxa"/>
            <w:tcBorders>
              <w:top w:val="nil"/>
              <w:left w:val="nil"/>
              <w:bottom w:val="single" w:sz="4" w:space="0" w:color="auto"/>
              <w:right w:val="single" w:sz="4" w:space="0" w:color="auto"/>
            </w:tcBorders>
            <w:shd w:val="clear" w:color="auto" w:fill="5CC5DA"/>
            <w:noWrap/>
            <w:vAlign w:val="center"/>
            <w:hideMark/>
          </w:tcPr>
          <w:p w14:paraId="6BCCD0F7" w14:textId="77777777" w:rsidR="006A3DBC" w:rsidRPr="002B7276" w:rsidRDefault="006A3DBC" w:rsidP="005F4A92">
            <w:pPr>
              <w:spacing w:after="0" w:line="240" w:lineRule="auto"/>
              <w:jc w:val="center"/>
              <w:rPr>
                <w:rFonts w:eastAsia="Times New Roman" w:cs="Arial"/>
                <w:b/>
                <w:bCs/>
                <w:sz w:val="16"/>
                <w:szCs w:val="16"/>
                <w:lang w:eastAsia="es-SV"/>
              </w:rPr>
            </w:pPr>
            <w:r w:rsidRPr="002B7276">
              <w:rPr>
                <w:rFonts w:eastAsia="Times New Roman" w:cs="Arial"/>
                <w:b/>
                <w:bCs/>
                <w:sz w:val="16"/>
                <w:szCs w:val="16"/>
                <w:lang w:eastAsia="es-SV"/>
              </w:rPr>
              <w:t>Mujer</w:t>
            </w:r>
          </w:p>
        </w:tc>
        <w:tc>
          <w:tcPr>
            <w:tcW w:w="851" w:type="dxa"/>
            <w:vMerge/>
            <w:tcBorders>
              <w:left w:val="nil"/>
              <w:bottom w:val="single" w:sz="4" w:space="0" w:color="auto"/>
              <w:right w:val="single" w:sz="4" w:space="0" w:color="auto"/>
            </w:tcBorders>
            <w:shd w:val="clear" w:color="auto" w:fill="5CC5DA"/>
            <w:noWrap/>
            <w:vAlign w:val="center"/>
            <w:hideMark/>
          </w:tcPr>
          <w:p w14:paraId="2B799223" w14:textId="77777777" w:rsidR="006A3DBC" w:rsidRPr="002B7276" w:rsidRDefault="006A3DBC" w:rsidP="005F4A92">
            <w:pPr>
              <w:spacing w:after="0" w:line="240" w:lineRule="auto"/>
              <w:jc w:val="center"/>
              <w:rPr>
                <w:rFonts w:eastAsia="Times New Roman" w:cs="Arial"/>
                <w:b/>
                <w:bCs/>
                <w:sz w:val="16"/>
                <w:szCs w:val="16"/>
                <w:lang w:eastAsia="es-SV"/>
              </w:rPr>
            </w:pPr>
          </w:p>
        </w:tc>
        <w:tc>
          <w:tcPr>
            <w:tcW w:w="850" w:type="dxa"/>
            <w:tcBorders>
              <w:top w:val="nil"/>
              <w:left w:val="nil"/>
              <w:bottom w:val="single" w:sz="4" w:space="0" w:color="auto"/>
              <w:right w:val="single" w:sz="4" w:space="0" w:color="auto"/>
            </w:tcBorders>
            <w:shd w:val="clear" w:color="auto" w:fill="5CC5DA"/>
            <w:noWrap/>
            <w:vAlign w:val="center"/>
            <w:hideMark/>
          </w:tcPr>
          <w:p w14:paraId="71E80CAC" w14:textId="77777777" w:rsidR="006A3DBC" w:rsidRPr="002B7276" w:rsidRDefault="006A3DBC" w:rsidP="005F4A92">
            <w:pPr>
              <w:spacing w:after="0" w:line="240" w:lineRule="auto"/>
              <w:jc w:val="center"/>
              <w:rPr>
                <w:rFonts w:eastAsia="Times New Roman" w:cs="Arial"/>
                <w:b/>
                <w:bCs/>
                <w:sz w:val="16"/>
                <w:szCs w:val="16"/>
                <w:lang w:eastAsia="es-SV"/>
              </w:rPr>
            </w:pPr>
            <w:r w:rsidRPr="002B7276">
              <w:rPr>
                <w:rFonts w:eastAsia="Times New Roman" w:cs="Arial"/>
                <w:b/>
                <w:bCs/>
                <w:sz w:val="16"/>
                <w:szCs w:val="16"/>
                <w:lang w:eastAsia="es-SV"/>
              </w:rPr>
              <w:t>Hombre</w:t>
            </w:r>
          </w:p>
        </w:tc>
        <w:tc>
          <w:tcPr>
            <w:tcW w:w="709" w:type="dxa"/>
            <w:tcBorders>
              <w:top w:val="nil"/>
              <w:left w:val="nil"/>
              <w:bottom w:val="single" w:sz="4" w:space="0" w:color="auto"/>
              <w:right w:val="single" w:sz="4" w:space="0" w:color="auto"/>
            </w:tcBorders>
            <w:shd w:val="clear" w:color="auto" w:fill="5CC5DA"/>
            <w:noWrap/>
            <w:vAlign w:val="center"/>
            <w:hideMark/>
          </w:tcPr>
          <w:p w14:paraId="6E3B1905" w14:textId="77777777" w:rsidR="006A3DBC" w:rsidRPr="002B7276" w:rsidRDefault="006A3DBC" w:rsidP="005F4A92">
            <w:pPr>
              <w:spacing w:after="0" w:line="240" w:lineRule="auto"/>
              <w:jc w:val="center"/>
              <w:rPr>
                <w:rFonts w:eastAsia="Times New Roman" w:cs="Arial"/>
                <w:b/>
                <w:bCs/>
                <w:sz w:val="16"/>
                <w:szCs w:val="16"/>
                <w:lang w:eastAsia="es-SV"/>
              </w:rPr>
            </w:pPr>
            <w:r w:rsidRPr="002B7276">
              <w:rPr>
                <w:rFonts w:eastAsia="Times New Roman" w:cs="Arial"/>
                <w:b/>
                <w:bCs/>
                <w:sz w:val="16"/>
                <w:szCs w:val="16"/>
                <w:lang w:eastAsia="es-SV"/>
              </w:rPr>
              <w:t>Mujer</w:t>
            </w:r>
          </w:p>
        </w:tc>
        <w:tc>
          <w:tcPr>
            <w:tcW w:w="850" w:type="dxa"/>
            <w:tcBorders>
              <w:top w:val="nil"/>
              <w:left w:val="nil"/>
              <w:bottom w:val="single" w:sz="4" w:space="0" w:color="auto"/>
              <w:right w:val="single" w:sz="4" w:space="0" w:color="auto"/>
            </w:tcBorders>
            <w:shd w:val="clear" w:color="auto" w:fill="5CC5DA"/>
            <w:noWrap/>
            <w:vAlign w:val="center"/>
            <w:hideMark/>
          </w:tcPr>
          <w:p w14:paraId="6C3BBC71" w14:textId="77777777" w:rsidR="006A3DBC" w:rsidRPr="002B7276" w:rsidRDefault="006A3DBC" w:rsidP="005F4A92">
            <w:pPr>
              <w:spacing w:after="0" w:line="240" w:lineRule="auto"/>
              <w:jc w:val="center"/>
              <w:rPr>
                <w:rFonts w:eastAsia="Times New Roman" w:cs="Arial"/>
                <w:b/>
                <w:bCs/>
                <w:sz w:val="16"/>
                <w:szCs w:val="16"/>
                <w:lang w:eastAsia="es-SV"/>
              </w:rPr>
            </w:pPr>
          </w:p>
        </w:tc>
        <w:tc>
          <w:tcPr>
            <w:tcW w:w="851" w:type="dxa"/>
            <w:tcBorders>
              <w:top w:val="nil"/>
              <w:left w:val="nil"/>
              <w:bottom w:val="single" w:sz="4" w:space="0" w:color="auto"/>
              <w:right w:val="single" w:sz="4" w:space="0" w:color="auto"/>
            </w:tcBorders>
            <w:shd w:val="clear" w:color="auto" w:fill="5CC5DA"/>
            <w:noWrap/>
            <w:vAlign w:val="center"/>
            <w:hideMark/>
          </w:tcPr>
          <w:p w14:paraId="4AB91CFB" w14:textId="77777777" w:rsidR="006A3DBC" w:rsidRPr="002B7276" w:rsidRDefault="006A3DBC" w:rsidP="005F4A92">
            <w:pPr>
              <w:spacing w:after="0" w:line="240" w:lineRule="auto"/>
              <w:jc w:val="center"/>
              <w:rPr>
                <w:rFonts w:eastAsia="Times New Roman" w:cs="Arial"/>
                <w:b/>
                <w:bCs/>
                <w:sz w:val="16"/>
                <w:szCs w:val="16"/>
                <w:lang w:eastAsia="es-SV"/>
              </w:rPr>
            </w:pPr>
            <w:r w:rsidRPr="002B7276">
              <w:rPr>
                <w:rFonts w:eastAsia="Times New Roman" w:cs="Arial"/>
                <w:b/>
                <w:bCs/>
                <w:sz w:val="16"/>
                <w:szCs w:val="16"/>
                <w:lang w:eastAsia="es-SV"/>
              </w:rPr>
              <w:t>Hombre</w:t>
            </w:r>
          </w:p>
        </w:tc>
        <w:tc>
          <w:tcPr>
            <w:tcW w:w="709" w:type="dxa"/>
            <w:tcBorders>
              <w:top w:val="nil"/>
              <w:left w:val="nil"/>
              <w:bottom w:val="single" w:sz="4" w:space="0" w:color="auto"/>
              <w:right w:val="single" w:sz="4" w:space="0" w:color="auto"/>
            </w:tcBorders>
            <w:shd w:val="clear" w:color="auto" w:fill="5CC5DA"/>
            <w:noWrap/>
            <w:vAlign w:val="center"/>
            <w:hideMark/>
          </w:tcPr>
          <w:p w14:paraId="3A99B29C" w14:textId="77777777" w:rsidR="006A3DBC" w:rsidRPr="002B7276" w:rsidRDefault="006A3DBC" w:rsidP="005F4A92">
            <w:pPr>
              <w:spacing w:after="0" w:line="240" w:lineRule="auto"/>
              <w:jc w:val="center"/>
              <w:rPr>
                <w:rFonts w:eastAsia="Times New Roman" w:cs="Arial"/>
                <w:b/>
                <w:bCs/>
                <w:sz w:val="16"/>
                <w:szCs w:val="16"/>
                <w:lang w:eastAsia="es-SV"/>
              </w:rPr>
            </w:pPr>
            <w:r w:rsidRPr="002B7276">
              <w:rPr>
                <w:rFonts w:eastAsia="Times New Roman" w:cs="Arial"/>
                <w:b/>
                <w:bCs/>
                <w:sz w:val="16"/>
                <w:szCs w:val="16"/>
                <w:lang w:eastAsia="es-SV"/>
              </w:rPr>
              <w:t>Mujer</w:t>
            </w:r>
          </w:p>
        </w:tc>
        <w:tc>
          <w:tcPr>
            <w:tcW w:w="850" w:type="dxa"/>
            <w:vMerge/>
            <w:tcBorders>
              <w:left w:val="nil"/>
              <w:bottom w:val="single" w:sz="4" w:space="0" w:color="auto"/>
              <w:right w:val="single" w:sz="4" w:space="0" w:color="auto"/>
            </w:tcBorders>
            <w:shd w:val="clear" w:color="auto" w:fill="5CC5DA"/>
            <w:noWrap/>
            <w:vAlign w:val="center"/>
            <w:hideMark/>
          </w:tcPr>
          <w:p w14:paraId="3565D3F4" w14:textId="77777777" w:rsidR="006A3DBC" w:rsidRPr="002B7276" w:rsidRDefault="006A3DBC" w:rsidP="005F4A92">
            <w:pPr>
              <w:spacing w:after="0" w:line="240" w:lineRule="auto"/>
              <w:jc w:val="center"/>
              <w:rPr>
                <w:rFonts w:eastAsia="Times New Roman" w:cs="Arial"/>
                <w:b/>
                <w:bCs/>
                <w:sz w:val="16"/>
                <w:szCs w:val="16"/>
                <w:lang w:eastAsia="es-SV"/>
              </w:rPr>
            </w:pPr>
          </w:p>
        </w:tc>
        <w:tc>
          <w:tcPr>
            <w:tcW w:w="851" w:type="dxa"/>
            <w:tcBorders>
              <w:top w:val="nil"/>
              <w:left w:val="nil"/>
              <w:bottom w:val="single" w:sz="4" w:space="0" w:color="auto"/>
              <w:right w:val="single" w:sz="4" w:space="0" w:color="auto"/>
            </w:tcBorders>
            <w:shd w:val="clear" w:color="auto" w:fill="5CC5DA"/>
            <w:noWrap/>
            <w:vAlign w:val="center"/>
            <w:hideMark/>
          </w:tcPr>
          <w:p w14:paraId="1E8103D8" w14:textId="77777777" w:rsidR="006A3DBC" w:rsidRPr="002B7276" w:rsidRDefault="006A3DBC" w:rsidP="005F4A92">
            <w:pPr>
              <w:spacing w:after="0" w:line="240" w:lineRule="auto"/>
              <w:jc w:val="center"/>
              <w:rPr>
                <w:rFonts w:eastAsia="Times New Roman" w:cs="Arial"/>
                <w:b/>
                <w:bCs/>
                <w:sz w:val="16"/>
                <w:szCs w:val="16"/>
                <w:lang w:eastAsia="es-SV"/>
              </w:rPr>
            </w:pPr>
            <w:r w:rsidRPr="002B7276">
              <w:rPr>
                <w:rFonts w:eastAsia="Times New Roman" w:cs="Arial"/>
                <w:b/>
                <w:bCs/>
                <w:sz w:val="16"/>
                <w:szCs w:val="16"/>
                <w:lang w:eastAsia="es-SV"/>
              </w:rPr>
              <w:t>Hombre</w:t>
            </w:r>
          </w:p>
        </w:tc>
        <w:tc>
          <w:tcPr>
            <w:tcW w:w="850" w:type="dxa"/>
            <w:tcBorders>
              <w:top w:val="nil"/>
              <w:left w:val="nil"/>
              <w:bottom w:val="single" w:sz="4" w:space="0" w:color="auto"/>
              <w:right w:val="single" w:sz="4" w:space="0" w:color="auto"/>
            </w:tcBorders>
            <w:shd w:val="clear" w:color="auto" w:fill="5CC5DA"/>
            <w:noWrap/>
            <w:vAlign w:val="center"/>
            <w:hideMark/>
          </w:tcPr>
          <w:p w14:paraId="567D44E4" w14:textId="77777777" w:rsidR="006A3DBC" w:rsidRPr="002B7276" w:rsidRDefault="006A3DBC" w:rsidP="005F4A92">
            <w:pPr>
              <w:spacing w:after="0" w:line="240" w:lineRule="auto"/>
              <w:jc w:val="center"/>
              <w:rPr>
                <w:rFonts w:eastAsia="Times New Roman" w:cs="Arial"/>
                <w:b/>
                <w:bCs/>
                <w:sz w:val="16"/>
                <w:szCs w:val="16"/>
                <w:lang w:eastAsia="es-SV"/>
              </w:rPr>
            </w:pPr>
            <w:r w:rsidRPr="002B7276">
              <w:rPr>
                <w:rFonts w:eastAsia="Times New Roman" w:cs="Arial"/>
                <w:b/>
                <w:bCs/>
                <w:sz w:val="16"/>
                <w:szCs w:val="16"/>
                <w:lang w:eastAsia="es-SV"/>
              </w:rPr>
              <w:t>Mujer</w:t>
            </w:r>
          </w:p>
        </w:tc>
      </w:tr>
      <w:tr w:rsidR="002B7276" w:rsidRPr="002B7276" w14:paraId="132C9409" w14:textId="77777777" w:rsidTr="00D22C97">
        <w:trPr>
          <w:trHeight w:val="41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87AA61A" w14:textId="77777777" w:rsidR="006A3DBC" w:rsidRPr="002B7276" w:rsidRDefault="006A3DBC" w:rsidP="005F4A92">
            <w:pPr>
              <w:spacing w:after="0" w:line="240" w:lineRule="auto"/>
              <w:jc w:val="center"/>
              <w:rPr>
                <w:rFonts w:eastAsia="Times New Roman" w:cs="Arial"/>
                <w:sz w:val="16"/>
                <w:szCs w:val="16"/>
                <w:lang w:eastAsia="es-SV"/>
              </w:rPr>
            </w:pPr>
            <w:r w:rsidRPr="002B7276">
              <w:rPr>
                <w:rFonts w:eastAsia="Times New Roman" w:cs="Arial"/>
                <w:sz w:val="16"/>
                <w:szCs w:val="16"/>
                <w:lang w:eastAsia="es-SV"/>
              </w:rPr>
              <w:t>Olancho</w:t>
            </w:r>
          </w:p>
        </w:tc>
        <w:tc>
          <w:tcPr>
            <w:tcW w:w="851" w:type="dxa"/>
            <w:tcBorders>
              <w:top w:val="nil"/>
              <w:left w:val="nil"/>
              <w:bottom w:val="single" w:sz="4" w:space="0" w:color="auto"/>
              <w:right w:val="single" w:sz="4" w:space="0" w:color="auto"/>
            </w:tcBorders>
            <w:shd w:val="clear" w:color="auto" w:fill="auto"/>
            <w:noWrap/>
            <w:vAlign w:val="center"/>
            <w:hideMark/>
          </w:tcPr>
          <w:p w14:paraId="3442F3F6" w14:textId="093BD700" w:rsidR="006A3DBC" w:rsidRPr="002B7276" w:rsidRDefault="006A3DBC" w:rsidP="005F4A92">
            <w:pPr>
              <w:spacing w:after="0" w:line="240" w:lineRule="auto"/>
              <w:jc w:val="center"/>
              <w:rPr>
                <w:rFonts w:eastAsia="Times New Roman" w:cs="Arial"/>
                <w:sz w:val="16"/>
                <w:szCs w:val="16"/>
                <w:lang w:eastAsia="es-SV"/>
              </w:rPr>
            </w:pPr>
            <w:r w:rsidRPr="002B7276">
              <w:rPr>
                <w:rFonts w:eastAsia="Times New Roman" w:cs="Arial"/>
                <w:sz w:val="16"/>
                <w:szCs w:val="16"/>
                <w:lang w:eastAsia="es-SV"/>
              </w:rPr>
              <w:t>66</w:t>
            </w:r>
            <w:r w:rsidR="00EE50E2" w:rsidRPr="002B7276">
              <w:rPr>
                <w:rFonts w:eastAsia="Times New Roman" w:cs="Arial"/>
                <w:sz w:val="16"/>
                <w:szCs w:val="16"/>
                <w:lang w:eastAsia="es-SV"/>
              </w:rPr>
              <w:t>,</w:t>
            </w:r>
            <w:r w:rsidRPr="002B7276">
              <w:rPr>
                <w:rFonts w:eastAsia="Times New Roman" w:cs="Arial"/>
                <w:sz w:val="16"/>
                <w:szCs w:val="16"/>
                <w:lang w:eastAsia="es-SV"/>
              </w:rPr>
              <w:t>602</w:t>
            </w:r>
          </w:p>
        </w:tc>
        <w:tc>
          <w:tcPr>
            <w:tcW w:w="850" w:type="dxa"/>
            <w:tcBorders>
              <w:top w:val="nil"/>
              <w:left w:val="nil"/>
              <w:bottom w:val="single" w:sz="4" w:space="0" w:color="auto"/>
              <w:right w:val="single" w:sz="4" w:space="0" w:color="auto"/>
            </w:tcBorders>
            <w:shd w:val="clear" w:color="auto" w:fill="auto"/>
            <w:noWrap/>
            <w:vAlign w:val="center"/>
            <w:hideMark/>
          </w:tcPr>
          <w:p w14:paraId="0795E6E8" w14:textId="4A553D6E" w:rsidR="006A3DBC" w:rsidRPr="002B7276" w:rsidRDefault="006A3DBC" w:rsidP="005F4A92">
            <w:pPr>
              <w:spacing w:after="0" w:line="240" w:lineRule="auto"/>
              <w:jc w:val="center"/>
              <w:rPr>
                <w:rFonts w:eastAsia="Times New Roman" w:cs="Arial"/>
                <w:sz w:val="16"/>
                <w:szCs w:val="16"/>
                <w:lang w:eastAsia="es-SV"/>
              </w:rPr>
            </w:pPr>
            <w:r w:rsidRPr="002B7276">
              <w:rPr>
                <w:rFonts w:eastAsia="Times New Roman" w:cs="Arial"/>
                <w:sz w:val="16"/>
                <w:szCs w:val="16"/>
                <w:lang w:eastAsia="es-SV"/>
              </w:rPr>
              <w:t>42</w:t>
            </w:r>
            <w:r w:rsidR="00EE50E2" w:rsidRPr="002B7276">
              <w:rPr>
                <w:rFonts w:eastAsia="Times New Roman" w:cs="Arial"/>
                <w:sz w:val="16"/>
                <w:szCs w:val="16"/>
                <w:lang w:eastAsia="es-SV"/>
              </w:rPr>
              <w:t>,</w:t>
            </w:r>
            <w:r w:rsidRPr="002B7276">
              <w:rPr>
                <w:rFonts w:eastAsia="Times New Roman" w:cs="Arial"/>
                <w:sz w:val="16"/>
                <w:szCs w:val="16"/>
                <w:lang w:eastAsia="es-SV"/>
              </w:rPr>
              <w:t>022</w:t>
            </w:r>
          </w:p>
        </w:tc>
        <w:tc>
          <w:tcPr>
            <w:tcW w:w="851" w:type="dxa"/>
            <w:tcBorders>
              <w:top w:val="nil"/>
              <w:left w:val="nil"/>
              <w:bottom w:val="single" w:sz="4" w:space="0" w:color="auto"/>
              <w:right w:val="single" w:sz="4" w:space="0" w:color="auto"/>
            </w:tcBorders>
            <w:shd w:val="clear" w:color="auto" w:fill="auto"/>
            <w:noWrap/>
            <w:vAlign w:val="center"/>
            <w:hideMark/>
          </w:tcPr>
          <w:p w14:paraId="1CC81126" w14:textId="5DB14B3B" w:rsidR="006A3DBC" w:rsidRPr="002B7276" w:rsidRDefault="006A3DBC" w:rsidP="005F4A92">
            <w:pPr>
              <w:spacing w:after="0" w:line="240" w:lineRule="auto"/>
              <w:jc w:val="center"/>
              <w:rPr>
                <w:rFonts w:eastAsia="Times New Roman" w:cs="Arial"/>
                <w:sz w:val="16"/>
                <w:szCs w:val="16"/>
                <w:lang w:eastAsia="es-SV"/>
              </w:rPr>
            </w:pPr>
            <w:r w:rsidRPr="002B7276">
              <w:rPr>
                <w:rFonts w:eastAsia="Times New Roman" w:cs="Arial"/>
                <w:sz w:val="16"/>
                <w:szCs w:val="16"/>
                <w:lang w:eastAsia="es-SV"/>
              </w:rPr>
              <w:t>108</w:t>
            </w:r>
            <w:r w:rsidR="00EE50E2" w:rsidRPr="002B7276">
              <w:rPr>
                <w:rFonts w:eastAsia="Times New Roman" w:cs="Arial"/>
                <w:sz w:val="16"/>
                <w:szCs w:val="16"/>
                <w:lang w:eastAsia="es-SV"/>
              </w:rPr>
              <w:t>,</w:t>
            </w:r>
            <w:r w:rsidRPr="002B7276">
              <w:rPr>
                <w:rFonts w:eastAsia="Times New Roman" w:cs="Arial"/>
                <w:sz w:val="16"/>
                <w:szCs w:val="16"/>
                <w:lang w:eastAsia="es-SV"/>
              </w:rPr>
              <w:t>624</w:t>
            </w:r>
          </w:p>
        </w:tc>
        <w:tc>
          <w:tcPr>
            <w:tcW w:w="850" w:type="dxa"/>
            <w:tcBorders>
              <w:top w:val="nil"/>
              <w:left w:val="nil"/>
              <w:bottom w:val="single" w:sz="4" w:space="0" w:color="auto"/>
              <w:right w:val="single" w:sz="4" w:space="0" w:color="auto"/>
            </w:tcBorders>
            <w:shd w:val="clear" w:color="auto" w:fill="auto"/>
            <w:noWrap/>
            <w:vAlign w:val="center"/>
            <w:hideMark/>
          </w:tcPr>
          <w:p w14:paraId="4246A17E" w14:textId="496EE38D" w:rsidR="006A3DBC" w:rsidRPr="002B7276" w:rsidRDefault="006A3DBC" w:rsidP="005F4A92">
            <w:pPr>
              <w:spacing w:after="0" w:line="240" w:lineRule="auto"/>
              <w:jc w:val="center"/>
              <w:rPr>
                <w:rFonts w:eastAsia="Times New Roman" w:cs="Arial"/>
                <w:sz w:val="16"/>
                <w:szCs w:val="16"/>
                <w:lang w:eastAsia="es-SV"/>
              </w:rPr>
            </w:pPr>
            <w:r w:rsidRPr="002B7276">
              <w:rPr>
                <w:rFonts w:eastAsia="Times New Roman" w:cs="Arial"/>
                <w:sz w:val="16"/>
                <w:szCs w:val="16"/>
                <w:lang w:eastAsia="es-SV"/>
              </w:rPr>
              <w:t>25</w:t>
            </w:r>
            <w:r w:rsidR="00EE50E2" w:rsidRPr="002B7276">
              <w:rPr>
                <w:rFonts w:eastAsia="Times New Roman" w:cs="Arial"/>
                <w:sz w:val="16"/>
                <w:szCs w:val="16"/>
                <w:lang w:eastAsia="es-SV"/>
              </w:rPr>
              <w:t>,</w:t>
            </w:r>
            <w:r w:rsidRPr="002B7276">
              <w:rPr>
                <w:rFonts w:eastAsia="Times New Roman" w:cs="Arial"/>
                <w:sz w:val="16"/>
                <w:szCs w:val="16"/>
                <w:lang w:eastAsia="es-SV"/>
              </w:rPr>
              <w:t>662</w:t>
            </w:r>
          </w:p>
        </w:tc>
        <w:tc>
          <w:tcPr>
            <w:tcW w:w="709" w:type="dxa"/>
            <w:tcBorders>
              <w:top w:val="nil"/>
              <w:left w:val="nil"/>
              <w:bottom w:val="single" w:sz="4" w:space="0" w:color="auto"/>
              <w:right w:val="single" w:sz="4" w:space="0" w:color="auto"/>
            </w:tcBorders>
            <w:shd w:val="clear" w:color="auto" w:fill="auto"/>
            <w:noWrap/>
            <w:vAlign w:val="center"/>
            <w:hideMark/>
          </w:tcPr>
          <w:p w14:paraId="2AAE2B94" w14:textId="3983EC2A" w:rsidR="006A3DBC" w:rsidRPr="002B7276" w:rsidRDefault="006A3DBC" w:rsidP="005F4A92">
            <w:pPr>
              <w:spacing w:after="0" w:line="240" w:lineRule="auto"/>
              <w:jc w:val="center"/>
              <w:rPr>
                <w:rFonts w:eastAsia="Times New Roman" w:cs="Arial"/>
                <w:sz w:val="16"/>
                <w:szCs w:val="16"/>
                <w:lang w:eastAsia="es-SV"/>
              </w:rPr>
            </w:pPr>
            <w:r w:rsidRPr="002B7276">
              <w:rPr>
                <w:rFonts w:eastAsia="Times New Roman" w:cs="Arial"/>
                <w:sz w:val="16"/>
                <w:szCs w:val="16"/>
                <w:lang w:eastAsia="es-SV"/>
              </w:rPr>
              <w:t>16</w:t>
            </w:r>
            <w:r w:rsidR="00EE50E2" w:rsidRPr="002B7276">
              <w:rPr>
                <w:rFonts w:eastAsia="Times New Roman" w:cs="Arial"/>
                <w:sz w:val="16"/>
                <w:szCs w:val="16"/>
                <w:lang w:eastAsia="es-SV"/>
              </w:rPr>
              <w:t>,</w:t>
            </w:r>
            <w:r w:rsidRPr="002B7276">
              <w:rPr>
                <w:rFonts w:eastAsia="Times New Roman" w:cs="Arial"/>
                <w:sz w:val="16"/>
                <w:szCs w:val="16"/>
                <w:lang w:eastAsia="es-SV"/>
              </w:rPr>
              <w:t>552</w:t>
            </w:r>
          </w:p>
        </w:tc>
        <w:tc>
          <w:tcPr>
            <w:tcW w:w="850" w:type="dxa"/>
            <w:tcBorders>
              <w:top w:val="nil"/>
              <w:left w:val="nil"/>
              <w:bottom w:val="single" w:sz="4" w:space="0" w:color="auto"/>
              <w:right w:val="single" w:sz="4" w:space="0" w:color="auto"/>
            </w:tcBorders>
            <w:shd w:val="clear" w:color="auto" w:fill="auto"/>
            <w:noWrap/>
            <w:vAlign w:val="center"/>
            <w:hideMark/>
          </w:tcPr>
          <w:p w14:paraId="76CA8735" w14:textId="7A0B74E0" w:rsidR="006A3DBC" w:rsidRPr="002B7276" w:rsidRDefault="006A3DBC" w:rsidP="005F4A92">
            <w:pPr>
              <w:spacing w:after="0" w:line="240" w:lineRule="auto"/>
              <w:jc w:val="center"/>
              <w:rPr>
                <w:rFonts w:eastAsia="Times New Roman" w:cs="Arial"/>
                <w:sz w:val="16"/>
                <w:szCs w:val="16"/>
                <w:lang w:eastAsia="es-SV"/>
              </w:rPr>
            </w:pPr>
            <w:r w:rsidRPr="002B7276">
              <w:rPr>
                <w:rFonts w:eastAsia="Times New Roman" w:cs="Arial"/>
                <w:sz w:val="16"/>
                <w:szCs w:val="16"/>
                <w:lang w:eastAsia="es-SV"/>
              </w:rPr>
              <w:t>42</w:t>
            </w:r>
            <w:r w:rsidR="00EE50E2" w:rsidRPr="002B7276">
              <w:rPr>
                <w:rFonts w:eastAsia="Times New Roman" w:cs="Arial"/>
                <w:sz w:val="16"/>
                <w:szCs w:val="16"/>
                <w:lang w:eastAsia="es-SV"/>
              </w:rPr>
              <w:t>,</w:t>
            </w:r>
            <w:r w:rsidRPr="002B7276">
              <w:rPr>
                <w:rFonts w:eastAsia="Times New Roman" w:cs="Arial"/>
                <w:sz w:val="16"/>
                <w:szCs w:val="16"/>
                <w:lang w:eastAsia="es-SV"/>
              </w:rPr>
              <w:t>214</w:t>
            </w:r>
          </w:p>
        </w:tc>
        <w:tc>
          <w:tcPr>
            <w:tcW w:w="851" w:type="dxa"/>
            <w:tcBorders>
              <w:top w:val="nil"/>
              <w:left w:val="nil"/>
              <w:bottom w:val="single" w:sz="4" w:space="0" w:color="auto"/>
              <w:right w:val="single" w:sz="4" w:space="0" w:color="auto"/>
            </w:tcBorders>
            <w:shd w:val="clear" w:color="auto" w:fill="auto"/>
            <w:noWrap/>
            <w:vAlign w:val="center"/>
            <w:hideMark/>
          </w:tcPr>
          <w:p w14:paraId="52B1F02B" w14:textId="58F6369D" w:rsidR="006A3DBC" w:rsidRPr="002B7276" w:rsidRDefault="006A3DBC" w:rsidP="005F4A92">
            <w:pPr>
              <w:spacing w:after="0" w:line="240" w:lineRule="auto"/>
              <w:jc w:val="center"/>
              <w:rPr>
                <w:rFonts w:eastAsia="Times New Roman" w:cs="Arial"/>
                <w:sz w:val="16"/>
                <w:szCs w:val="16"/>
                <w:lang w:eastAsia="es-SV"/>
              </w:rPr>
            </w:pPr>
            <w:r w:rsidRPr="002B7276">
              <w:rPr>
                <w:rFonts w:eastAsia="Times New Roman" w:cs="Arial"/>
                <w:sz w:val="16"/>
                <w:szCs w:val="16"/>
                <w:lang w:eastAsia="es-SV"/>
              </w:rPr>
              <w:t>68</w:t>
            </w:r>
            <w:r w:rsidR="00EE50E2" w:rsidRPr="002B7276">
              <w:rPr>
                <w:rFonts w:eastAsia="Times New Roman" w:cs="Arial"/>
                <w:sz w:val="16"/>
                <w:szCs w:val="16"/>
                <w:lang w:eastAsia="es-SV"/>
              </w:rPr>
              <w:t>,</w:t>
            </w:r>
            <w:r w:rsidRPr="002B7276">
              <w:rPr>
                <w:rFonts w:eastAsia="Times New Roman" w:cs="Arial"/>
                <w:sz w:val="16"/>
                <w:szCs w:val="16"/>
                <w:lang w:eastAsia="es-SV"/>
              </w:rPr>
              <w:t>439</w:t>
            </w:r>
          </w:p>
        </w:tc>
        <w:tc>
          <w:tcPr>
            <w:tcW w:w="709" w:type="dxa"/>
            <w:tcBorders>
              <w:top w:val="nil"/>
              <w:left w:val="nil"/>
              <w:bottom w:val="single" w:sz="4" w:space="0" w:color="auto"/>
              <w:right w:val="single" w:sz="4" w:space="0" w:color="auto"/>
            </w:tcBorders>
            <w:shd w:val="clear" w:color="auto" w:fill="auto"/>
            <w:noWrap/>
            <w:vAlign w:val="center"/>
            <w:hideMark/>
          </w:tcPr>
          <w:p w14:paraId="0F577B77" w14:textId="1ADABF73" w:rsidR="006A3DBC" w:rsidRPr="002B7276" w:rsidRDefault="006A3DBC" w:rsidP="005F4A92">
            <w:pPr>
              <w:spacing w:after="0" w:line="240" w:lineRule="auto"/>
              <w:jc w:val="center"/>
              <w:rPr>
                <w:rFonts w:eastAsia="Times New Roman" w:cs="Arial"/>
                <w:sz w:val="16"/>
                <w:szCs w:val="16"/>
                <w:lang w:eastAsia="es-SV"/>
              </w:rPr>
            </w:pPr>
            <w:r w:rsidRPr="002B7276">
              <w:rPr>
                <w:rFonts w:eastAsia="Times New Roman" w:cs="Arial"/>
                <w:sz w:val="16"/>
                <w:szCs w:val="16"/>
                <w:lang w:eastAsia="es-SV"/>
              </w:rPr>
              <w:t>18</w:t>
            </w:r>
            <w:r w:rsidR="00EE50E2" w:rsidRPr="002B7276">
              <w:rPr>
                <w:rFonts w:eastAsia="Times New Roman" w:cs="Arial"/>
                <w:sz w:val="16"/>
                <w:szCs w:val="16"/>
                <w:lang w:eastAsia="es-SV"/>
              </w:rPr>
              <w:t>,</w:t>
            </w:r>
            <w:r w:rsidRPr="002B7276">
              <w:rPr>
                <w:rFonts w:eastAsia="Times New Roman" w:cs="Arial"/>
                <w:sz w:val="16"/>
                <w:szCs w:val="16"/>
                <w:lang w:eastAsia="es-SV"/>
              </w:rPr>
              <w:t>127</w:t>
            </w:r>
          </w:p>
        </w:tc>
        <w:tc>
          <w:tcPr>
            <w:tcW w:w="850" w:type="dxa"/>
            <w:tcBorders>
              <w:top w:val="nil"/>
              <w:left w:val="nil"/>
              <w:bottom w:val="single" w:sz="4" w:space="0" w:color="auto"/>
              <w:right w:val="single" w:sz="4" w:space="0" w:color="auto"/>
            </w:tcBorders>
            <w:shd w:val="clear" w:color="auto" w:fill="auto"/>
            <w:noWrap/>
            <w:vAlign w:val="center"/>
            <w:hideMark/>
          </w:tcPr>
          <w:p w14:paraId="2A282F8A" w14:textId="36DDE500" w:rsidR="006A3DBC" w:rsidRPr="002B7276" w:rsidRDefault="006A3DBC" w:rsidP="005F4A92">
            <w:pPr>
              <w:spacing w:after="0" w:line="240" w:lineRule="auto"/>
              <w:jc w:val="center"/>
              <w:rPr>
                <w:rFonts w:eastAsia="Times New Roman" w:cs="Arial"/>
                <w:sz w:val="16"/>
                <w:szCs w:val="16"/>
                <w:lang w:eastAsia="es-SV"/>
              </w:rPr>
            </w:pPr>
            <w:r w:rsidRPr="002B7276">
              <w:rPr>
                <w:rFonts w:eastAsia="Times New Roman" w:cs="Arial"/>
                <w:sz w:val="16"/>
                <w:szCs w:val="16"/>
                <w:lang w:eastAsia="es-SV"/>
              </w:rPr>
              <w:t>86</w:t>
            </w:r>
            <w:r w:rsidR="00EE50E2" w:rsidRPr="002B7276">
              <w:rPr>
                <w:rFonts w:eastAsia="Times New Roman" w:cs="Arial"/>
                <w:sz w:val="16"/>
                <w:szCs w:val="16"/>
                <w:lang w:eastAsia="es-SV"/>
              </w:rPr>
              <w:t>,</w:t>
            </w:r>
            <w:r w:rsidRPr="002B7276">
              <w:rPr>
                <w:rFonts w:eastAsia="Times New Roman" w:cs="Arial"/>
                <w:sz w:val="16"/>
                <w:szCs w:val="16"/>
                <w:lang w:eastAsia="es-SV"/>
              </w:rPr>
              <w:t>566</w:t>
            </w:r>
          </w:p>
        </w:tc>
        <w:tc>
          <w:tcPr>
            <w:tcW w:w="851" w:type="dxa"/>
            <w:tcBorders>
              <w:top w:val="nil"/>
              <w:left w:val="nil"/>
              <w:bottom w:val="single" w:sz="4" w:space="0" w:color="auto"/>
              <w:right w:val="single" w:sz="4" w:space="0" w:color="auto"/>
            </w:tcBorders>
            <w:shd w:val="clear" w:color="auto" w:fill="auto"/>
            <w:noWrap/>
            <w:vAlign w:val="center"/>
            <w:hideMark/>
          </w:tcPr>
          <w:p w14:paraId="62B49A85" w14:textId="134E5E68" w:rsidR="006A3DBC" w:rsidRPr="002B7276" w:rsidRDefault="006A3DBC" w:rsidP="005F4A92">
            <w:pPr>
              <w:spacing w:after="0" w:line="240" w:lineRule="auto"/>
              <w:jc w:val="center"/>
              <w:rPr>
                <w:rFonts w:eastAsia="Times New Roman" w:cs="Arial"/>
                <w:sz w:val="16"/>
                <w:szCs w:val="16"/>
                <w:lang w:eastAsia="es-SV"/>
              </w:rPr>
            </w:pPr>
            <w:r w:rsidRPr="002B7276">
              <w:rPr>
                <w:rFonts w:eastAsia="Times New Roman" w:cs="Arial"/>
                <w:sz w:val="16"/>
                <w:szCs w:val="16"/>
                <w:lang w:eastAsia="es-SV"/>
              </w:rPr>
              <w:t>160</w:t>
            </w:r>
            <w:r w:rsidR="00EE50E2" w:rsidRPr="002B7276">
              <w:rPr>
                <w:rFonts w:eastAsia="Times New Roman" w:cs="Arial"/>
                <w:sz w:val="16"/>
                <w:szCs w:val="16"/>
                <w:lang w:eastAsia="es-SV"/>
              </w:rPr>
              <w:t>,</w:t>
            </w:r>
            <w:r w:rsidRPr="002B7276">
              <w:rPr>
                <w:rFonts w:eastAsia="Times New Roman" w:cs="Arial"/>
                <w:sz w:val="16"/>
                <w:szCs w:val="16"/>
                <w:lang w:eastAsia="es-SV"/>
              </w:rPr>
              <w:t>703</w:t>
            </w:r>
          </w:p>
        </w:tc>
        <w:tc>
          <w:tcPr>
            <w:tcW w:w="850" w:type="dxa"/>
            <w:tcBorders>
              <w:top w:val="nil"/>
              <w:left w:val="nil"/>
              <w:bottom w:val="single" w:sz="4" w:space="0" w:color="auto"/>
              <w:right w:val="single" w:sz="4" w:space="0" w:color="auto"/>
            </w:tcBorders>
            <w:shd w:val="clear" w:color="auto" w:fill="auto"/>
            <w:noWrap/>
            <w:vAlign w:val="center"/>
            <w:hideMark/>
          </w:tcPr>
          <w:p w14:paraId="4598D4E8" w14:textId="430DB2A8" w:rsidR="006A3DBC" w:rsidRPr="002B7276" w:rsidRDefault="006A3DBC" w:rsidP="005F4A92">
            <w:pPr>
              <w:spacing w:after="0" w:line="240" w:lineRule="auto"/>
              <w:jc w:val="center"/>
              <w:rPr>
                <w:rFonts w:eastAsia="Times New Roman" w:cs="Arial"/>
                <w:sz w:val="16"/>
                <w:szCs w:val="16"/>
                <w:lang w:eastAsia="es-SV"/>
              </w:rPr>
            </w:pPr>
            <w:r w:rsidRPr="002B7276">
              <w:rPr>
                <w:rFonts w:eastAsia="Times New Roman" w:cs="Arial"/>
                <w:sz w:val="16"/>
                <w:szCs w:val="16"/>
                <w:lang w:eastAsia="es-SV"/>
              </w:rPr>
              <w:t>76</w:t>
            </w:r>
            <w:r w:rsidR="00EE50E2" w:rsidRPr="002B7276">
              <w:rPr>
                <w:rFonts w:eastAsia="Times New Roman" w:cs="Arial"/>
                <w:sz w:val="16"/>
                <w:szCs w:val="16"/>
                <w:lang w:eastAsia="es-SV"/>
              </w:rPr>
              <w:t>,</w:t>
            </w:r>
            <w:r w:rsidRPr="002B7276">
              <w:rPr>
                <w:rFonts w:eastAsia="Times New Roman" w:cs="Arial"/>
                <w:sz w:val="16"/>
                <w:szCs w:val="16"/>
                <w:lang w:eastAsia="es-SV"/>
              </w:rPr>
              <w:t>701</w:t>
            </w:r>
          </w:p>
        </w:tc>
      </w:tr>
      <w:tr w:rsidR="002B7276" w:rsidRPr="002B7276" w14:paraId="7363030E" w14:textId="77777777" w:rsidTr="00D22C97">
        <w:trPr>
          <w:trHeight w:val="41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037E940" w14:textId="77777777" w:rsidR="006A3DBC" w:rsidRPr="002B7276" w:rsidRDefault="006A3DBC" w:rsidP="005F4A92">
            <w:pPr>
              <w:spacing w:after="0" w:line="240" w:lineRule="auto"/>
              <w:jc w:val="center"/>
              <w:rPr>
                <w:rFonts w:eastAsia="Times New Roman" w:cs="Arial"/>
                <w:sz w:val="16"/>
                <w:szCs w:val="16"/>
                <w:lang w:eastAsia="es-SV"/>
              </w:rPr>
            </w:pPr>
            <w:r w:rsidRPr="002B7276">
              <w:rPr>
                <w:rFonts w:eastAsia="Times New Roman" w:cs="Arial"/>
                <w:sz w:val="16"/>
                <w:szCs w:val="16"/>
                <w:lang w:eastAsia="es-SV"/>
              </w:rPr>
              <w:t>Valle</w:t>
            </w:r>
          </w:p>
        </w:tc>
        <w:tc>
          <w:tcPr>
            <w:tcW w:w="851" w:type="dxa"/>
            <w:tcBorders>
              <w:top w:val="nil"/>
              <w:left w:val="nil"/>
              <w:bottom w:val="single" w:sz="4" w:space="0" w:color="auto"/>
              <w:right w:val="single" w:sz="4" w:space="0" w:color="auto"/>
            </w:tcBorders>
            <w:shd w:val="clear" w:color="auto" w:fill="auto"/>
            <w:noWrap/>
            <w:vAlign w:val="center"/>
            <w:hideMark/>
          </w:tcPr>
          <w:p w14:paraId="6BFBF6C4" w14:textId="616DDB4F" w:rsidR="006A3DBC" w:rsidRPr="002B7276" w:rsidRDefault="006A3DBC" w:rsidP="005F4A92">
            <w:pPr>
              <w:spacing w:after="0" w:line="240" w:lineRule="auto"/>
              <w:jc w:val="center"/>
              <w:rPr>
                <w:rFonts w:eastAsia="Times New Roman" w:cs="Arial"/>
                <w:sz w:val="16"/>
                <w:szCs w:val="16"/>
                <w:lang w:eastAsia="es-SV"/>
              </w:rPr>
            </w:pPr>
            <w:r w:rsidRPr="002B7276">
              <w:rPr>
                <w:rFonts w:eastAsia="Times New Roman" w:cs="Arial"/>
                <w:sz w:val="16"/>
                <w:szCs w:val="16"/>
                <w:lang w:eastAsia="es-SV"/>
              </w:rPr>
              <w:t>23</w:t>
            </w:r>
            <w:r w:rsidR="00EE50E2" w:rsidRPr="002B7276">
              <w:rPr>
                <w:rFonts w:eastAsia="Times New Roman" w:cs="Arial"/>
                <w:sz w:val="16"/>
                <w:szCs w:val="16"/>
                <w:lang w:eastAsia="es-SV"/>
              </w:rPr>
              <w:t>,</w:t>
            </w:r>
            <w:r w:rsidRPr="002B7276">
              <w:rPr>
                <w:rFonts w:eastAsia="Times New Roman" w:cs="Arial"/>
                <w:sz w:val="16"/>
                <w:szCs w:val="16"/>
                <w:lang w:eastAsia="es-SV"/>
              </w:rPr>
              <w:t>459</w:t>
            </w:r>
          </w:p>
        </w:tc>
        <w:tc>
          <w:tcPr>
            <w:tcW w:w="850" w:type="dxa"/>
            <w:tcBorders>
              <w:top w:val="nil"/>
              <w:left w:val="nil"/>
              <w:bottom w:val="single" w:sz="4" w:space="0" w:color="auto"/>
              <w:right w:val="single" w:sz="4" w:space="0" w:color="auto"/>
            </w:tcBorders>
            <w:shd w:val="clear" w:color="auto" w:fill="auto"/>
            <w:noWrap/>
            <w:vAlign w:val="center"/>
            <w:hideMark/>
          </w:tcPr>
          <w:p w14:paraId="3C36B816" w14:textId="263D1BE3" w:rsidR="006A3DBC" w:rsidRPr="002B7276" w:rsidRDefault="006A3DBC" w:rsidP="005F4A92">
            <w:pPr>
              <w:spacing w:after="0" w:line="240" w:lineRule="auto"/>
              <w:jc w:val="center"/>
              <w:rPr>
                <w:rFonts w:eastAsia="Times New Roman" w:cs="Arial"/>
                <w:sz w:val="16"/>
                <w:szCs w:val="16"/>
                <w:lang w:eastAsia="es-SV"/>
              </w:rPr>
            </w:pPr>
            <w:r w:rsidRPr="002B7276">
              <w:rPr>
                <w:rFonts w:eastAsia="Times New Roman" w:cs="Arial"/>
                <w:sz w:val="16"/>
                <w:szCs w:val="16"/>
                <w:lang w:eastAsia="es-SV"/>
              </w:rPr>
              <w:t>19</w:t>
            </w:r>
            <w:r w:rsidR="00EE50E2" w:rsidRPr="002B7276">
              <w:rPr>
                <w:rFonts w:eastAsia="Times New Roman" w:cs="Arial"/>
                <w:sz w:val="16"/>
                <w:szCs w:val="16"/>
                <w:lang w:eastAsia="es-SV"/>
              </w:rPr>
              <w:t>,</w:t>
            </w:r>
            <w:r w:rsidRPr="002B7276">
              <w:rPr>
                <w:rFonts w:eastAsia="Times New Roman" w:cs="Arial"/>
                <w:sz w:val="16"/>
                <w:szCs w:val="16"/>
                <w:lang w:eastAsia="es-SV"/>
              </w:rPr>
              <w:t>620</w:t>
            </w:r>
          </w:p>
        </w:tc>
        <w:tc>
          <w:tcPr>
            <w:tcW w:w="851" w:type="dxa"/>
            <w:tcBorders>
              <w:top w:val="nil"/>
              <w:left w:val="nil"/>
              <w:bottom w:val="single" w:sz="4" w:space="0" w:color="auto"/>
              <w:right w:val="single" w:sz="4" w:space="0" w:color="auto"/>
            </w:tcBorders>
            <w:shd w:val="clear" w:color="auto" w:fill="auto"/>
            <w:noWrap/>
            <w:vAlign w:val="center"/>
            <w:hideMark/>
          </w:tcPr>
          <w:p w14:paraId="1A40F9A3" w14:textId="43ED603E" w:rsidR="006A3DBC" w:rsidRPr="002B7276" w:rsidRDefault="006A3DBC" w:rsidP="005F4A92">
            <w:pPr>
              <w:spacing w:after="0" w:line="240" w:lineRule="auto"/>
              <w:jc w:val="center"/>
              <w:rPr>
                <w:rFonts w:eastAsia="Times New Roman" w:cs="Arial"/>
                <w:sz w:val="16"/>
                <w:szCs w:val="16"/>
                <w:lang w:eastAsia="es-SV"/>
              </w:rPr>
            </w:pPr>
            <w:r w:rsidRPr="002B7276">
              <w:rPr>
                <w:rFonts w:eastAsia="Times New Roman" w:cs="Arial"/>
                <w:sz w:val="16"/>
                <w:szCs w:val="16"/>
                <w:lang w:eastAsia="es-SV"/>
              </w:rPr>
              <w:t>43</w:t>
            </w:r>
            <w:r w:rsidR="00EE50E2" w:rsidRPr="002B7276">
              <w:rPr>
                <w:rFonts w:eastAsia="Times New Roman" w:cs="Arial"/>
                <w:sz w:val="16"/>
                <w:szCs w:val="16"/>
                <w:lang w:eastAsia="es-SV"/>
              </w:rPr>
              <w:t>,</w:t>
            </w:r>
            <w:r w:rsidRPr="002B7276">
              <w:rPr>
                <w:rFonts w:eastAsia="Times New Roman" w:cs="Arial"/>
                <w:sz w:val="16"/>
                <w:szCs w:val="16"/>
                <w:lang w:eastAsia="es-SV"/>
              </w:rPr>
              <w:t>079</w:t>
            </w:r>
          </w:p>
        </w:tc>
        <w:tc>
          <w:tcPr>
            <w:tcW w:w="850" w:type="dxa"/>
            <w:tcBorders>
              <w:top w:val="nil"/>
              <w:left w:val="nil"/>
              <w:bottom w:val="single" w:sz="4" w:space="0" w:color="auto"/>
              <w:right w:val="single" w:sz="4" w:space="0" w:color="auto"/>
            </w:tcBorders>
            <w:shd w:val="clear" w:color="auto" w:fill="auto"/>
            <w:noWrap/>
            <w:vAlign w:val="center"/>
            <w:hideMark/>
          </w:tcPr>
          <w:p w14:paraId="49B5AD4B" w14:textId="16836AF7" w:rsidR="006A3DBC" w:rsidRPr="002B7276" w:rsidRDefault="006A3DBC" w:rsidP="005F4A92">
            <w:pPr>
              <w:spacing w:after="0" w:line="240" w:lineRule="auto"/>
              <w:jc w:val="center"/>
              <w:rPr>
                <w:rFonts w:eastAsia="Times New Roman" w:cs="Arial"/>
                <w:sz w:val="16"/>
                <w:szCs w:val="16"/>
                <w:lang w:eastAsia="es-SV"/>
              </w:rPr>
            </w:pPr>
            <w:r w:rsidRPr="002B7276">
              <w:rPr>
                <w:rFonts w:eastAsia="Times New Roman" w:cs="Arial"/>
                <w:sz w:val="16"/>
                <w:szCs w:val="16"/>
                <w:lang w:eastAsia="es-SV"/>
              </w:rPr>
              <w:t>11</w:t>
            </w:r>
            <w:r w:rsidR="00EE50E2" w:rsidRPr="002B7276">
              <w:rPr>
                <w:rFonts w:eastAsia="Times New Roman" w:cs="Arial"/>
                <w:sz w:val="16"/>
                <w:szCs w:val="16"/>
                <w:lang w:eastAsia="es-SV"/>
              </w:rPr>
              <w:t>,</w:t>
            </w:r>
            <w:r w:rsidRPr="002B7276">
              <w:rPr>
                <w:rFonts w:eastAsia="Times New Roman" w:cs="Arial"/>
                <w:sz w:val="16"/>
                <w:szCs w:val="16"/>
                <w:lang w:eastAsia="es-SV"/>
              </w:rPr>
              <w:t>150</w:t>
            </w:r>
          </w:p>
        </w:tc>
        <w:tc>
          <w:tcPr>
            <w:tcW w:w="709" w:type="dxa"/>
            <w:tcBorders>
              <w:top w:val="nil"/>
              <w:left w:val="nil"/>
              <w:bottom w:val="single" w:sz="4" w:space="0" w:color="auto"/>
              <w:right w:val="single" w:sz="4" w:space="0" w:color="auto"/>
            </w:tcBorders>
            <w:shd w:val="clear" w:color="auto" w:fill="auto"/>
            <w:noWrap/>
            <w:vAlign w:val="center"/>
            <w:hideMark/>
          </w:tcPr>
          <w:p w14:paraId="59C5F03C" w14:textId="13014C5C" w:rsidR="006A3DBC" w:rsidRPr="002B7276" w:rsidRDefault="006A3DBC" w:rsidP="005F4A92">
            <w:pPr>
              <w:spacing w:after="0" w:line="240" w:lineRule="auto"/>
              <w:jc w:val="center"/>
              <w:rPr>
                <w:rFonts w:eastAsia="Times New Roman" w:cs="Arial"/>
                <w:sz w:val="16"/>
                <w:szCs w:val="16"/>
                <w:lang w:eastAsia="es-SV"/>
              </w:rPr>
            </w:pPr>
            <w:r w:rsidRPr="002B7276">
              <w:rPr>
                <w:rFonts w:eastAsia="Times New Roman" w:cs="Arial"/>
                <w:sz w:val="16"/>
                <w:szCs w:val="16"/>
                <w:lang w:eastAsia="es-SV"/>
              </w:rPr>
              <w:t>5</w:t>
            </w:r>
            <w:r w:rsidR="00EE50E2" w:rsidRPr="002B7276">
              <w:rPr>
                <w:rFonts w:eastAsia="Times New Roman" w:cs="Arial"/>
                <w:sz w:val="16"/>
                <w:szCs w:val="16"/>
                <w:lang w:eastAsia="es-SV"/>
              </w:rPr>
              <w:t>,</w:t>
            </w:r>
            <w:r w:rsidRPr="002B7276">
              <w:rPr>
                <w:rFonts w:eastAsia="Times New Roman" w:cs="Arial"/>
                <w:sz w:val="16"/>
                <w:szCs w:val="16"/>
                <w:lang w:eastAsia="es-SV"/>
              </w:rPr>
              <w:t>540</w:t>
            </w:r>
          </w:p>
        </w:tc>
        <w:tc>
          <w:tcPr>
            <w:tcW w:w="850" w:type="dxa"/>
            <w:tcBorders>
              <w:top w:val="nil"/>
              <w:left w:val="nil"/>
              <w:bottom w:val="single" w:sz="4" w:space="0" w:color="auto"/>
              <w:right w:val="single" w:sz="4" w:space="0" w:color="auto"/>
            </w:tcBorders>
            <w:shd w:val="clear" w:color="auto" w:fill="auto"/>
            <w:noWrap/>
            <w:vAlign w:val="center"/>
            <w:hideMark/>
          </w:tcPr>
          <w:p w14:paraId="199E0D68" w14:textId="72E6239C" w:rsidR="006A3DBC" w:rsidRPr="002B7276" w:rsidRDefault="006A3DBC" w:rsidP="005F4A92">
            <w:pPr>
              <w:spacing w:after="0" w:line="240" w:lineRule="auto"/>
              <w:jc w:val="center"/>
              <w:rPr>
                <w:rFonts w:eastAsia="Times New Roman" w:cs="Arial"/>
                <w:sz w:val="16"/>
                <w:szCs w:val="16"/>
                <w:lang w:eastAsia="es-SV"/>
              </w:rPr>
            </w:pPr>
            <w:r w:rsidRPr="002B7276">
              <w:rPr>
                <w:rFonts w:eastAsia="Times New Roman" w:cs="Arial"/>
                <w:sz w:val="16"/>
                <w:szCs w:val="16"/>
                <w:lang w:eastAsia="es-SV"/>
              </w:rPr>
              <w:t>16</w:t>
            </w:r>
            <w:r w:rsidR="00EE50E2" w:rsidRPr="002B7276">
              <w:rPr>
                <w:rFonts w:eastAsia="Times New Roman" w:cs="Arial"/>
                <w:sz w:val="16"/>
                <w:szCs w:val="16"/>
                <w:lang w:eastAsia="es-SV"/>
              </w:rPr>
              <w:t>,</w:t>
            </w:r>
            <w:r w:rsidRPr="002B7276">
              <w:rPr>
                <w:rFonts w:eastAsia="Times New Roman" w:cs="Arial"/>
                <w:sz w:val="16"/>
                <w:szCs w:val="16"/>
                <w:lang w:eastAsia="es-SV"/>
              </w:rPr>
              <w:t>690</w:t>
            </w:r>
          </w:p>
        </w:tc>
        <w:tc>
          <w:tcPr>
            <w:tcW w:w="851" w:type="dxa"/>
            <w:tcBorders>
              <w:top w:val="nil"/>
              <w:left w:val="nil"/>
              <w:bottom w:val="single" w:sz="4" w:space="0" w:color="auto"/>
              <w:right w:val="single" w:sz="4" w:space="0" w:color="auto"/>
            </w:tcBorders>
            <w:shd w:val="clear" w:color="auto" w:fill="auto"/>
            <w:noWrap/>
            <w:vAlign w:val="center"/>
            <w:hideMark/>
          </w:tcPr>
          <w:p w14:paraId="5F751FED" w14:textId="6B90D892" w:rsidR="006A3DBC" w:rsidRPr="002B7276" w:rsidRDefault="006A3DBC" w:rsidP="005F4A92">
            <w:pPr>
              <w:spacing w:after="0" w:line="240" w:lineRule="auto"/>
              <w:jc w:val="center"/>
              <w:rPr>
                <w:rFonts w:eastAsia="Times New Roman" w:cs="Arial"/>
                <w:sz w:val="16"/>
                <w:szCs w:val="16"/>
                <w:lang w:eastAsia="es-SV"/>
              </w:rPr>
            </w:pPr>
            <w:r w:rsidRPr="002B7276">
              <w:rPr>
                <w:rFonts w:eastAsia="Times New Roman" w:cs="Arial"/>
                <w:sz w:val="16"/>
                <w:szCs w:val="16"/>
                <w:lang w:eastAsia="es-SV"/>
              </w:rPr>
              <w:t>15</w:t>
            </w:r>
            <w:r w:rsidR="00EE50E2" w:rsidRPr="002B7276">
              <w:rPr>
                <w:rFonts w:eastAsia="Times New Roman" w:cs="Arial"/>
                <w:sz w:val="16"/>
                <w:szCs w:val="16"/>
                <w:lang w:eastAsia="es-SV"/>
              </w:rPr>
              <w:t>,</w:t>
            </w:r>
            <w:r w:rsidRPr="002B7276">
              <w:rPr>
                <w:rFonts w:eastAsia="Times New Roman" w:cs="Arial"/>
                <w:sz w:val="16"/>
                <w:szCs w:val="16"/>
                <w:lang w:eastAsia="es-SV"/>
              </w:rPr>
              <w:t>667</w:t>
            </w:r>
          </w:p>
        </w:tc>
        <w:tc>
          <w:tcPr>
            <w:tcW w:w="709" w:type="dxa"/>
            <w:tcBorders>
              <w:top w:val="nil"/>
              <w:left w:val="nil"/>
              <w:bottom w:val="single" w:sz="4" w:space="0" w:color="auto"/>
              <w:right w:val="single" w:sz="4" w:space="0" w:color="auto"/>
            </w:tcBorders>
            <w:shd w:val="clear" w:color="auto" w:fill="auto"/>
            <w:noWrap/>
            <w:vAlign w:val="center"/>
            <w:hideMark/>
          </w:tcPr>
          <w:p w14:paraId="2B56BC70" w14:textId="56388C8E" w:rsidR="006A3DBC" w:rsidRPr="002B7276" w:rsidRDefault="006A3DBC" w:rsidP="005F4A92">
            <w:pPr>
              <w:spacing w:after="0" w:line="240" w:lineRule="auto"/>
              <w:jc w:val="center"/>
              <w:rPr>
                <w:rFonts w:eastAsia="Times New Roman" w:cs="Arial"/>
                <w:sz w:val="16"/>
                <w:szCs w:val="16"/>
                <w:lang w:eastAsia="es-SV"/>
              </w:rPr>
            </w:pPr>
            <w:r w:rsidRPr="002B7276">
              <w:rPr>
                <w:rFonts w:eastAsia="Times New Roman" w:cs="Arial"/>
                <w:sz w:val="16"/>
                <w:szCs w:val="16"/>
                <w:lang w:eastAsia="es-SV"/>
              </w:rPr>
              <w:t>8</w:t>
            </w:r>
            <w:r w:rsidR="00EE50E2" w:rsidRPr="002B7276">
              <w:rPr>
                <w:rFonts w:eastAsia="Times New Roman" w:cs="Arial"/>
                <w:sz w:val="16"/>
                <w:szCs w:val="16"/>
                <w:lang w:eastAsia="es-SV"/>
              </w:rPr>
              <w:t>,</w:t>
            </w:r>
            <w:r w:rsidRPr="002B7276">
              <w:rPr>
                <w:rFonts w:eastAsia="Times New Roman" w:cs="Arial"/>
                <w:sz w:val="16"/>
                <w:szCs w:val="16"/>
                <w:lang w:eastAsia="es-SV"/>
              </w:rPr>
              <w:t>093</w:t>
            </w:r>
          </w:p>
        </w:tc>
        <w:tc>
          <w:tcPr>
            <w:tcW w:w="850" w:type="dxa"/>
            <w:tcBorders>
              <w:top w:val="nil"/>
              <w:left w:val="nil"/>
              <w:bottom w:val="single" w:sz="4" w:space="0" w:color="auto"/>
              <w:right w:val="single" w:sz="4" w:space="0" w:color="auto"/>
            </w:tcBorders>
            <w:shd w:val="clear" w:color="auto" w:fill="auto"/>
            <w:noWrap/>
            <w:vAlign w:val="center"/>
            <w:hideMark/>
          </w:tcPr>
          <w:p w14:paraId="3987D966" w14:textId="7592AD9C" w:rsidR="006A3DBC" w:rsidRPr="002B7276" w:rsidRDefault="006A3DBC" w:rsidP="005F4A92">
            <w:pPr>
              <w:spacing w:after="0" w:line="240" w:lineRule="auto"/>
              <w:jc w:val="center"/>
              <w:rPr>
                <w:rFonts w:eastAsia="Times New Roman" w:cs="Arial"/>
                <w:sz w:val="16"/>
                <w:szCs w:val="16"/>
                <w:lang w:eastAsia="es-SV"/>
              </w:rPr>
            </w:pPr>
            <w:r w:rsidRPr="002B7276">
              <w:rPr>
                <w:rFonts w:eastAsia="Times New Roman" w:cs="Arial"/>
                <w:sz w:val="16"/>
                <w:szCs w:val="16"/>
                <w:lang w:eastAsia="es-SV"/>
              </w:rPr>
              <w:t>23</w:t>
            </w:r>
            <w:r w:rsidR="00EE50E2" w:rsidRPr="002B7276">
              <w:rPr>
                <w:rFonts w:eastAsia="Times New Roman" w:cs="Arial"/>
                <w:sz w:val="16"/>
                <w:szCs w:val="16"/>
                <w:lang w:eastAsia="es-SV"/>
              </w:rPr>
              <w:t>,</w:t>
            </w:r>
            <w:r w:rsidRPr="002B7276">
              <w:rPr>
                <w:rFonts w:eastAsia="Times New Roman" w:cs="Arial"/>
                <w:sz w:val="16"/>
                <w:szCs w:val="16"/>
                <w:lang w:eastAsia="es-SV"/>
              </w:rPr>
              <w:t>760</w:t>
            </w:r>
          </w:p>
        </w:tc>
        <w:tc>
          <w:tcPr>
            <w:tcW w:w="851" w:type="dxa"/>
            <w:tcBorders>
              <w:top w:val="nil"/>
              <w:left w:val="nil"/>
              <w:bottom w:val="single" w:sz="4" w:space="0" w:color="auto"/>
              <w:right w:val="single" w:sz="4" w:space="0" w:color="auto"/>
            </w:tcBorders>
            <w:shd w:val="clear" w:color="auto" w:fill="auto"/>
            <w:noWrap/>
            <w:vAlign w:val="center"/>
            <w:hideMark/>
          </w:tcPr>
          <w:p w14:paraId="2BABE730" w14:textId="3EFEE338" w:rsidR="006A3DBC" w:rsidRPr="002B7276" w:rsidRDefault="006A3DBC" w:rsidP="005F4A92">
            <w:pPr>
              <w:spacing w:after="0" w:line="240" w:lineRule="auto"/>
              <w:jc w:val="center"/>
              <w:rPr>
                <w:rFonts w:eastAsia="Times New Roman" w:cs="Arial"/>
                <w:sz w:val="16"/>
                <w:szCs w:val="16"/>
                <w:lang w:eastAsia="es-SV"/>
              </w:rPr>
            </w:pPr>
            <w:r w:rsidRPr="002B7276">
              <w:rPr>
                <w:rFonts w:eastAsia="Times New Roman" w:cs="Arial"/>
                <w:sz w:val="16"/>
                <w:szCs w:val="16"/>
                <w:lang w:eastAsia="es-SV"/>
              </w:rPr>
              <w:t>502</w:t>
            </w:r>
            <w:r w:rsidR="00EE50E2" w:rsidRPr="002B7276">
              <w:rPr>
                <w:rFonts w:eastAsia="Times New Roman" w:cs="Arial"/>
                <w:sz w:val="16"/>
                <w:szCs w:val="16"/>
                <w:lang w:eastAsia="es-SV"/>
              </w:rPr>
              <w:t>,</w:t>
            </w:r>
            <w:r w:rsidRPr="002B7276">
              <w:rPr>
                <w:rFonts w:eastAsia="Times New Roman" w:cs="Arial"/>
                <w:sz w:val="16"/>
                <w:szCs w:val="16"/>
                <w:lang w:eastAsia="es-SV"/>
              </w:rPr>
              <w:t>76</w:t>
            </w:r>
          </w:p>
        </w:tc>
        <w:tc>
          <w:tcPr>
            <w:tcW w:w="850" w:type="dxa"/>
            <w:tcBorders>
              <w:top w:val="nil"/>
              <w:left w:val="nil"/>
              <w:bottom w:val="single" w:sz="4" w:space="0" w:color="auto"/>
              <w:right w:val="single" w:sz="4" w:space="0" w:color="auto"/>
            </w:tcBorders>
            <w:shd w:val="clear" w:color="auto" w:fill="auto"/>
            <w:noWrap/>
            <w:vAlign w:val="center"/>
            <w:hideMark/>
          </w:tcPr>
          <w:p w14:paraId="7CD0DAB3" w14:textId="1AD2246A" w:rsidR="006A3DBC" w:rsidRPr="002B7276" w:rsidRDefault="006A3DBC" w:rsidP="005F4A92">
            <w:pPr>
              <w:spacing w:after="0" w:line="240" w:lineRule="auto"/>
              <w:jc w:val="center"/>
              <w:rPr>
                <w:rFonts w:eastAsia="Times New Roman" w:cs="Arial"/>
                <w:sz w:val="16"/>
                <w:szCs w:val="16"/>
                <w:lang w:eastAsia="es-SV"/>
              </w:rPr>
            </w:pPr>
            <w:r w:rsidRPr="002B7276">
              <w:rPr>
                <w:rFonts w:eastAsia="Times New Roman" w:cs="Arial"/>
                <w:sz w:val="16"/>
                <w:szCs w:val="16"/>
                <w:lang w:eastAsia="es-SV"/>
              </w:rPr>
              <w:t>33</w:t>
            </w:r>
            <w:r w:rsidR="00EE50E2" w:rsidRPr="002B7276">
              <w:rPr>
                <w:rFonts w:eastAsia="Times New Roman" w:cs="Arial"/>
                <w:sz w:val="16"/>
                <w:szCs w:val="16"/>
                <w:lang w:eastAsia="es-SV"/>
              </w:rPr>
              <w:t>,</w:t>
            </w:r>
            <w:r w:rsidRPr="002B7276">
              <w:rPr>
                <w:rFonts w:eastAsia="Times New Roman" w:cs="Arial"/>
                <w:sz w:val="16"/>
                <w:szCs w:val="16"/>
                <w:lang w:eastAsia="es-SV"/>
              </w:rPr>
              <w:t>253</w:t>
            </w:r>
          </w:p>
        </w:tc>
      </w:tr>
      <w:tr w:rsidR="002B7276" w:rsidRPr="002B7276" w14:paraId="09AEF104" w14:textId="77777777" w:rsidTr="00D22C97">
        <w:trPr>
          <w:trHeight w:val="41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8791E02" w14:textId="77777777" w:rsidR="006A3DBC" w:rsidRPr="002B7276" w:rsidRDefault="006A3DBC" w:rsidP="005F4A92">
            <w:pPr>
              <w:spacing w:after="0" w:line="240" w:lineRule="auto"/>
              <w:jc w:val="center"/>
              <w:rPr>
                <w:rFonts w:eastAsia="Times New Roman" w:cs="Arial"/>
                <w:sz w:val="16"/>
                <w:szCs w:val="16"/>
                <w:lang w:eastAsia="es-SV"/>
              </w:rPr>
            </w:pPr>
            <w:r w:rsidRPr="002B7276">
              <w:rPr>
                <w:rFonts w:eastAsia="Times New Roman" w:cs="Arial"/>
                <w:sz w:val="16"/>
                <w:szCs w:val="16"/>
                <w:lang w:eastAsia="es-SV"/>
              </w:rPr>
              <w:t>Yoyo</w:t>
            </w:r>
          </w:p>
        </w:tc>
        <w:tc>
          <w:tcPr>
            <w:tcW w:w="851" w:type="dxa"/>
            <w:tcBorders>
              <w:top w:val="nil"/>
              <w:left w:val="nil"/>
              <w:bottom w:val="single" w:sz="4" w:space="0" w:color="auto"/>
              <w:right w:val="single" w:sz="4" w:space="0" w:color="auto"/>
            </w:tcBorders>
            <w:shd w:val="clear" w:color="auto" w:fill="auto"/>
            <w:noWrap/>
            <w:vAlign w:val="center"/>
            <w:hideMark/>
          </w:tcPr>
          <w:p w14:paraId="1980F830" w14:textId="46F7431F" w:rsidR="006A3DBC" w:rsidRPr="002B7276" w:rsidRDefault="006A3DBC" w:rsidP="005F4A92">
            <w:pPr>
              <w:spacing w:after="0" w:line="240" w:lineRule="auto"/>
              <w:jc w:val="center"/>
              <w:rPr>
                <w:rFonts w:eastAsia="Times New Roman" w:cs="Arial"/>
                <w:sz w:val="16"/>
                <w:szCs w:val="16"/>
                <w:lang w:eastAsia="es-SV"/>
              </w:rPr>
            </w:pPr>
            <w:r w:rsidRPr="002B7276">
              <w:rPr>
                <w:rFonts w:eastAsia="Times New Roman" w:cs="Arial"/>
                <w:sz w:val="16"/>
                <w:szCs w:val="16"/>
                <w:lang w:eastAsia="es-SV"/>
              </w:rPr>
              <w:t>71</w:t>
            </w:r>
            <w:r w:rsidR="00EE50E2" w:rsidRPr="002B7276">
              <w:rPr>
                <w:rFonts w:eastAsia="Times New Roman" w:cs="Arial"/>
                <w:sz w:val="16"/>
                <w:szCs w:val="16"/>
                <w:lang w:eastAsia="es-SV"/>
              </w:rPr>
              <w:t>,</w:t>
            </w:r>
            <w:r w:rsidRPr="002B7276">
              <w:rPr>
                <w:rFonts w:eastAsia="Times New Roman" w:cs="Arial"/>
                <w:sz w:val="16"/>
                <w:szCs w:val="16"/>
                <w:lang w:eastAsia="es-SV"/>
              </w:rPr>
              <w:t>836</w:t>
            </w:r>
          </w:p>
        </w:tc>
        <w:tc>
          <w:tcPr>
            <w:tcW w:w="850" w:type="dxa"/>
            <w:tcBorders>
              <w:top w:val="nil"/>
              <w:left w:val="nil"/>
              <w:bottom w:val="single" w:sz="4" w:space="0" w:color="auto"/>
              <w:right w:val="single" w:sz="4" w:space="0" w:color="auto"/>
            </w:tcBorders>
            <w:shd w:val="clear" w:color="auto" w:fill="auto"/>
            <w:noWrap/>
            <w:vAlign w:val="center"/>
            <w:hideMark/>
          </w:tcPr>
          <w:p w14:paraId="03BE0B87" w14:textId="6DCC2529" w:rsidR="006A3DBC" w:rsidRPr="002B7276" w:rsidRDefault="006A3DBC" w:rsidP="005F4A92">
            <w:pPr>
              <w:spacing w:after="0" w:line="240" w:lineRule="auto"/>
              <w:jc w:val="center"/>
              <w:rPr>
                <w:rFonts w:eastAsia="Times New Roman" w:cs="Arial"/>
                <w:sz w:val="16"/>
                <w:szCs w:val="16"/>
                <w:lang w:eastAsia="es-SV"/>
              </w:rPr>
            </w:pPr>
            <w:r w:rsidRPr="002B7276">
              <w:rPr>
                <w:rFonts w:eastAsia="Times New Roman" w:cs="Arial"/>
                <w:sz w:val="16"/>
                <w:szCs w:val="16"/>
                <w:lang w:eastAsia="es-SV"/>
              </w:rPr>
              <w:t>42</w:t>
            </w:r>
            <w:r w:rsidR="00EE50E2" w:rsidRPr="002B7276">
              <w:rPr>
                <w:rFonts w:eastAsia="Times New Roman" w:cs="Arial"/>
                <w:sz w:val="16"/>
                <w:szCs w:val="16"/>
                <w:lang w:eastAsia="es-SV"/>
              </w:rPr>
              <w:t>,</w:t>
            </w:r>
            <w:r w:rsidRPr="002B7276">
              <w:rPr>
                <w:rFonts w:eastAsia="Times New Roman" w:cs="Arial"/>
                <w:sz w:val="16"/>
                <w:szCs w:val="16"/>
                <w:lang w:eastAsia="es-SV"/>
              </w:rPr>
              <w:t>635</w:t>
            </w:r>
          </w:p>
        </w:tc>
        <w:tc>
          <w:tcPr>
            <w:tcW w:w="851" w:type="dxa"/>
            <w:tcBorders>
              <w:top w:val="nil"/>
              <w:left w:val="nil"/>
              <w:bottom w:val="single" w:sz="4" w:space="0" w:color="auto"/>
              <w:right w:val="single" w:sz="4" w:space="0" w:color="auto"/>
            </w:tcBorders>
            <w:shd w:val="clear" w:color="auto" w:fill="auto"/>
            <w:noWrap/>
            <w:vAlign w:val="center"/>
            <w:hideMark/>
          </w:tcPr>
          <w:p w14:paraId="2CCCF576" w14:textId="6714FF5B" w:rsidR="006A3DBC" w:rsidRPr="002B7276" w:rsidRDefault="006A3DBC" w:rsidP="005F4A92">
            <w:pPr>
              <w:spacing w:after="0" w:line="240" w:lineRule="auto"/>
              <w:jc w:val="center"/>
              <w:rPr>
                <w:rFonts w:eastAsia="Times New Roman" w:cs="Arial"/>
                <w:sz w:val="16"/>
                <w:szCs w:val="16"/>
                <w:lang w:eastAsia="es-SV"/>
              </w:rPr>
            </w:pPr>
            <w:r w:rsidRPr="002B7276">
              <w:rPr>
                <w:rFonts w:eastAsia="Times New Roman" w:cs="Arial"/>
                <w:sz w:val="16"/>
                <w:szCs w:val="16"/>
                <w:lang w:eastAsia="es-SV"/>
              </w:rPr>
              <w:t>114</w:t>
            </w:r>
            <w:r w:rsidR="00EE50E2" w:rsidRPr="002B7276">
              <w:rPr>
                <w:rFonts w:eastAsia="Times New Roman" w:cs="Arial"/>
                <w:sz w:val="16"/>
                <w:szCs w:val="16"/>
                <w:lang w:eastAsia="es-SV"/>
              </w:rPr>
              <w:t>,</w:t>
            </w:r>
            <w:r w:rsidRPr="002B7276">
              <w:rPr>
                <w:rFonts w:eastAsia="Times New Roman" w:cs="Arial"/>
                <w:sz w:val="16"/>
                <w:szCs w:val="16"/>
                <w:lang w:eastAsia="es-SV"/>
              </w:rPr>
              <w:t>471</w:t>
            </w:r>
          </w:p>
        </w:tc>
        <w:tc>
          <w:tcPr>
            <w:tcW w:w="850" w:type="dxa"/>
            <w:tcBorders>
              <w:top w:val="nil"/>
              <w:left w:val="nil"/>
              <w:bottom w:val="single" w:sz="4" w:space="0" w:color="auto"/>
              <w:right w:val="single" w:sz="4" w:space="0" w:color="auto"/>
            </w:tcBorders>
            <w:shd w:val="clear" w:color="auto" w:fill="auto"/>
            <w:noWrap/>
            <w:vAlign w:val="center"/>
            <w:hideMark/>
          </w:tcPr>
          <w:p w14:paraId="4DF18B47" w14:textId="70689826" w:rsidR="006A3DBC" w:rsidRPr="002B7276" w:rsidRDefault="006A3DBC" w:rsidP="005F4A92">
            <w:pPr>
              <w:spacing w:after="0" w:line="240" w:lineRule="auto"/>
              <w:jc w:val="center"/>
              <w:rPr>
                <w:rFonts w:eastAsia="Times New Roman" w:cs="Arial"/>
                <w:sz w:val="16"/>
                <w:szCs w:val="16"/>
                <w:lang w:eastAsia="es-SV"/>
              </w:rPr>
            </w:pPr>
            <w:r w:rsidRPr="002B7276">
              <w:rPr>
                <w:rFonts w:eastAsia="Times New Roman" w:cs="Arial"/>
                <w:sz w:val="16"/>
                <w:szCs w:val="16"/>
                <w:lang w:eastAsia="es-SV"/>
              </w:rPr>
              <w:t>33</w:t>
            </w:r>
            <w:r w:rsidR="00EE50E2" w:rsidRPr="002B7276">
              <w:rPr>
                <w:rFonts w:eastAsia="Times New Roman" w:cs="Arial"/>
                <w:sz w:val="16"/>
                <w:szCs w:val="16"/>
                <w:lang w:eastAsia="es-SV"/>
              </w:rPr>
              <w:t>,</w:t>
            </w:r>
            <w:r w:rsidRPr="002B7276">
              <w:rPr>
                <w:rFonts w:eastAsia="Times New Roman" w:cs="Arial"/>
                <w:sz w:val="16"/>
                <w:szCs w:val="16"/>
                <w:lang w:eastAsia="es-SV"/>
              </w:rPr>
              <w:t>312</w:t>
            </w:r>
          </w:p>
        </w:tc>
        <w:tc>
          <w:tcPr>
            <w:tcW w:w="709" w:type="dxa"/>
            <w:tcBorders>
              <w:top w:val="nil"/>
              <w:left w:val="nil"/>
              <w:bottom w:val="single" w:sz="4" w:space="0" w:color="auto"/>
              <w:right w:val="single" w:sz="4" w:space="0" w:color="auto"/>
            </w:tcBorders>
            <w:shd w:val="clear" w:color="auto" w:fill="auto"/>
            <w:noWrap/>
            <w:vAlign w:val="center"/>
            <w:hideMark/>
          </w:tcPr>
          <w:p w14:paraId="467913B6" w14:textId="194473C5" w:rsidR="006A3DBC" w:rsidRPr="002B7276" w:rsidRDefault="006A3DBC" w:rsidP="005F4A92">
            <w:pPr>
              <w:spacing w:after="0" w:line="240" w:lineRule="auto"/>
              <w:jc w:val="center"/>
              <w:rPr>
                <w:rFonts w:eastAsia="Times New Roman" w:cs="Arial"/>
                <w:sz w:val="16"/>
                <w:szCs w:val="16"/>
                <w:lang w:eastAsia="es-SV"/>
              </w:rPr>
            </w:pPr>
            <w:r w:rsidRPr="002B7276">
              <w:rPr>
                <w:rFonts w:eastAsia="Times New Roman" w:cs="Arial"/>
                <w:sz w:val="16"/>
                <w:szCs w:val="16"/>
                <w:lang w:eastAsia="es-SV"/>
              </w:rPr>
              <w:t>21</w:t>
            </w:r>
            <w:r w:rsidR="00EE50E2" w:rsidRPr="002B7276">
              <w:rPr>
                <w:rFonts w:eastAsia="Times New Roman" w:cs="Arial"/>
                <w:sz w:val="16"/>
                <w:szCs w:val="16"/>
                <w:lang w:eastAsia="es-SV"/>
              </w:rPr>
              <w:t>,</w:t>
            </w:r>
            <w:r w:rsidRPr="002B7276">
              <w:rPr>
                <w:rFonts w:eastAsia="Times New Roman" w:cs="Arial"/>
                <w:sz w:val="16"/>
                <w:szCs w:val="16"/>
                <w:lang w:eastAsia="es-SV"/>
              </w:rPr>
              <w:t>262</w:t>
            </w:r>
          </w:p>
        </w:tc>
        <w:tc>
          <w:tcPr>
            <w:tcW w:w="850" w:type="dxa"/>
            <w:tcBorders>
              <w:top w:val="nil"/>
              <w:left w:val="nil"/>
              <w:bottom w:val="single" w:sz="4" w:space="0" w:color="auto"/>
              <w:right w:val="single" w:sz="4" w:space="0" w:color="auto"/>
            </w:tcBorders>
            <w:shd w:val="clear" w:color="auto" w:fill="auto"/>
            <w:noWrap/>
            <w:vAlign w:val="center"/>
            <w:hideMark/>
          </w:tcPr>
          <w:p w14:paraId="2DF5FCB1" w14:textId="1036183E" w:rsidR="006A3DBC" w:rsidRPr="002B7276" w:rsidRDefault="006A3DBC" w:rsidP="005F4A92">
            <w:pPr>
              <w:spacing w:after="0" w:line="240" w:lineRule="auto"/>
              <w:jc w:val="center"/>
              <w:rPr>
                <w:rFonts w:eastAsia="Times New Roman" w:cs="Arial"/>
                <w:sz w:val="16"/>
                <w:szCs w:val="16"/>
                <w:lang w:eastAsia="es-SV"/>
              </w:rPr>
            </w:pPr>
            <w:r w:rsidRPr="002B7276">
              <w:rPr>
                <w:rFonts w:eastAsia="Times New Roman" w:cs="Arial"/>
                <w:sz w:val="16"/>
                <w:szCs w:val="16"/>
                <w:lang w:eastAsia="es-SV"/>
              </w:rPr>
              <w:t>54</w:t>
            </w:r>
            <w:r w:rsidR="00EE50E2" w:rsidRPr="002B7276">
              <w:rPr>
                <w:rFonts w:eastAsia="Times New Roman" w:cs="Arial"/>
                <w:sz w:val="16"/>
                <w:szCs w:val="16"/>
                <w:lang w:eastAsia="es-SV"/>
              </w:rPr>
              <w:t>,</w:t>
            </w:r>
            <w:r w:rsidRPr="002B7276">
              <w:rPr>
                <w:rFonts w:eastAsia="Times New Roman" w:cs="Arial"/>
                <w:sz w:val="16"/>
                <w:szCs w:val="16"/>
                <w:lang w:eastAsia="es-SV"/>
              </w:rPr>
              <w:t>574</w:t>
            </w:r>
          </w:p>
        </w:tc>
        <w:tc>
          <w:tcPr>
            <w:tcW w:w="851" w:type="dxa"/>
            <w:tcBorders>
              <w:top w:val="nil"/>
              <w:left w:val="nil"/>
              <w:bottom w:val="single" w:sz="4" w:space="0" w:color="auto"/>
              <w:right w:val="single" w:sz="4" w:space="0" w:color="auto"/>
            </w:tcBorders>
            <w:shd w:val="clear" w:color="auto" w:fill="auto"/>
            <w:noWrap/>
            <w:vAlign w:val="center"/>
            <w:hideMark/>
          </w:tcPr>
          <w:p w14:paraId="50EBE865" w14:textId="661E2A15" w:rsidR="006A3DBC" w:rsidRPr="002B7276" w:rsidRDefault="006A3DBC" w:rsidP="005F4A92">
            <w:pPr>
              <w:spacing w:after="0" w:line="240" w:lineRule="auto"/>
              <w:jc w:val="center"/>
              <w:rPr>
                <w:rFonts w:eastAsia="Times New Roman" w:cs="Arial"/>
                <w:sz w:val="16"/>
                <w:szCs w:val="16"/>
                <w:lang w:eastAsia="es-SV"/>
              </w:rPr>
            </w:pPr>
            <w:r w:rsidRPr="002B7276">
              <w:rPr>
                <w:rFonts w:eastAsia="Times New Roman" w:cs="Arial"/>
                <w:sz w:val="16"/>
                <w:szCs w:val="16"/>
                <w:lang w:eastAsia="es-SV"/>
              </w:rPr>
              <w:t>59</w:t>
            </w:r>
            <w:r w:rsidR="00EE50E2" w:rsidRPr="002B7276">
              <w:rPr>
                <w:rFonts w:eastAsia="Times New Roman" w:cs="Arial"/>
                <w:sz w:val="16"/>
                <w:szCs w:val="16"/>
                <w:lang w:eastAsia="es-SV"/>
              </w:rPr>
              <w:t>,</w:t>
            </w:r>
            <w:r w:rsidRPr="002B7276">
              <w:rPr>
                <w:rFonts w:eastAsia="Times New Roman" w:cs="Arial"/>
                <w:sz w:val="16"/>
                <w:szCs w:val="16"/>
                <w:lang w:eastAsia="es-SV"/>
              </w:rPr>
              <w:t>941</w:t>
            </w:r>
          </w:p>
        </w:tc>
        <w:tc>
          <w:tcPr>
            <w:tcW w:w="709" w:type="dxa"/>
            <w:tcBorders>
              <w:top w:val="nil"/>
              <w:left w:val="nil"/>
              <w:bottom w:val="single" w:sz="4" w:space="0" w:color="auto"/>
              <w:right w:val="single" w:sz="4" w:space="0" w:color="auto"/>
            </w:tcBorders>
            <w:shd w:val="clear" w:color="auto" w:fill="auto"/>
            <w:noWrap/>
            <w:vAlign w:val="center"/>
            <w:hideMark/>
          </w:tcPr>
          <w:p w14:paraId="053F3938" w14:textId="7AEADEC1" w:rsidR="006A3DBC" w:rsidRPr="002B7276" w:rsidRDefault="006A3DBC" w:rsidP="005F4A92">
            <w:pPr>
              <w:spacing w:after="0" w:line="240" w:lineRule="auto"/>
              <w:jc w:val="center"/>
              <w:rPr>
                <w:rFonts w:eastAsia="Times New Roman" w:cs="Arial"/>
                <w:sz w:val="16"/>
                <w:szCs w:val="16"/>
                <w:lang w:eastAsia="es-SV"/>
              </w:rPr>
            </w:pPr>
            <w:r w:rsidRPr="002B7276">
              <w:rPr>
                <w:rFonts w:eastAsia="Times New Roman" w:cs="Arial"/>
                <w:sz w:val="16"/>
                <w:szCs w:val="16"/>
                <w:lang w:eastAsia="es-SV"/>
              </w:rPr>
              <w:t>23</w:t>
            </w:r>
            <w:r w:rsidR="00EE50E2" w:rsidRPr="002B7276">
              <w:rPr>
                <w:rFonts w:eastAsia="Times New Roman" w:cs="Arial"/>
                <w:sz w:val="16"/>
                <w:szCs w:val="16"/>
                <w:lang w:eastAsia="es-SV"/>
              </w:rPr>
              <w:t>,</w:t>
            </w:r>
            <w:r w:rsidRPr="002B7276">
              <w:rPr>
                <w:rFonts w:eastAsia="Times New Roman" w:cs="Arial"/>
                <w:sz w:val="16"/>
                <w:szCs w:val="16"/>
                <w:lang w:eastAsia="es-SV"/>
              </w:rPr>
              <w:t>185</w:t>
            </w:r>
          </w:p>
        </w:tc>
        <w:tc>
          <w:tcPr>
            <w:tcW w:w="850" w:type="dxa"/>
            <w:tcBorders>
              <w:top w:val="nil"/>
              <w:left w:val="nil"/>
              <w:bottom w:val="single" w:sz="4" w:space="0" w:color="auto"/>
              <w:right w:val="single" w:sz="4" w:space="0" w:color="auto"/>
            </w:tcBorders>
            <w:shd w:val="clear" w:color="auto" w:fill="auto"/>
            <w:noWrap/>
            <w:vAlign w:val="center"/>
            <w:hideMark/>
          </w:tcPr>
          <w:p w14:paraId="6582DA9B" w14:textId="7FC4A3A5" w:rsidR="006A3DBC" w:rsidRPr="002B7276" w:rsidRDefault="006A3DBC" w:rsidP="005F4A92">
            <w:pPr>
              <w:spacing w:after="0" w:line="240" w:lineRule="auto"/>
              <w:jc w:val="center"/>
              <w:rPr>
                <w:rFonts w:eastAsia="Times New Roman" w:cs="Arial"/>
                <w:sz w:val="16"/>
                <w:szCs w:val="16"/>
                <w:lang w:eastAsia="es-SV"/>
              </w:rPr>
            </w:pPr>
            <w:r w:rsidRPr="002B7276">
              <w:rPr>
                <w:rFonts w:eastAsia="Times New Roman" w:cs="Arial"/>
                <w:sz w:val="16"/>
                <w:szCs w:val="16"/>
                <w:lang w:eastAsia="es-SV"/>
              </w:rPr>
              <w:t>83</w:t>
            </w:r>
            <w:r w:rsidR="00EE50E2" w:rsidRPr="002B7276">
              <w:rPr>
                <w:rFonts w:eastAsia="Times New Roman" w:cs="Arial"/>
                <w:sz w:val="16"/>
                <w:szCs w:val="16"/>
                <w:lang w:eastAsia="es-SV"/>
              </w:rPr>
              <w:t>,</w:t>
            </w:r>
            <w:r w:rsidRPr="002B7276">
              <w:rPr>
                <w:rFonts w:eastAsia="Times New Roman" w:cs="Arial"/>
                <w:sz w:val="16"/>
                <w:szCs w:val="16"/>
                <w:lang w:eastAsia="es-SV"/>
              </w:rPr>
              <w:t>126</w:t>
            </w:r>
          </w:p>
        </w:tc>
        <w:tc>
          <w:tcPr>
            <w:tcW w:w="851" w:type="dxa"/>
            <w:tcBorders>
              <w:top w:val="nil"/>
              <w:left w:val="nil"/>
              <w:bottom w:val="single" w:sz="4" w:space="0" w:color="auto"/>
              <w:right w:val="single" w:sz="4" w:space="0" w:color="auto"/>
            </w:tcBorders>
            <w:shd w:val="clear" w:color="auto" w:fill="auto"/>
            <w:noWrap/>
            <w:vAlign w:val="center"/>
            <w:hideMark/>
          </w:tcPr>
          <w:p w14:paraId="68094E2A" w14:textId="38AB6BEB" w:rsidR="006A3DBC" w:rsidRPr="002B7276" w:rsidRDefault="006A3DBC" w:rsidP="005F4A92">
            <w:pPr>
              <w:spacing w:after="0" w:line="240" w:lineRule="auto"/>
              <w:jc w:val="center"/>
              <w:rPr>
                <w:rFonts w:eastAsia="Times New Roman" w:cs="Arial"/>
                <w:sz w:val="16"/>
                <w:szCs w:val="16"/>
                <w:lang w:eastAsia="es-SV"/>
              </w:rPr>
            </w:pPr>
            <w:r w:rsidRPr="002B7276">
              <w:rPr>
                <w:rFonts w:eastAsia="Times New Roman" w:cs="Arial"/>
                <w:sz w:val="16"/>
                <w:szCs w:val="16"/>
                <w:lang w:eastAsia="es-SV"/>
              </w:rPr>
              <w:t>165</w:t>
            </w:r>
            <w:r w:rsidR="00EE50E2" w:rsidRPr="002B7276">
              <w:rPr>
                <w:rFonts w:eastAsia="Times New Roman" w:cs="Arial"/>
                <w:sz w:val="16"/>
                <w:szCs w:val="16"/>
                <w:lang w:eastAsia="es-SV"/>
              </w:rPr>
              <w:t>,</w:t>
            </w:r>
            <w:r w:rsidRPr="002B7276">
              <w:rPr>
                <w:rFonts w:eastAsia="Times New Roman" w:cs="Arial"/>
                <w:sz w:val="16"/>
                <w:szCs w:val="16"/>
                <w:lang w:eastAsia="es-SV"/>
              </w:rPr>
              <w:t>089</w:t>
            </w:r>
          </w:p>
        </w:tc>
        <w:tc>
          <w:tcPr>
            <w:tcW w:w="850" w:type="dxa"/>
            <w:tcBorders>
              <w:top w:val="nil"/>
              <w:left w:val="nil"/>
              <w:bottom w:val="single" w:sz="4" w:space="0" w:color="auto"/>
              <w:right w:val="single" w:sz="4" w:space="0" w:color="auto"/>
            </w:tcBorders>
            <w:shd w:val="clear" w:color="auto" w:fill="auto"/>
            <w:noWrap/>
            <w:vAlign w:val="center"/>
            <w:hideMark/>
          </w:tcPr>
          <w:p w14:paraId="480883A3" w14:textId="32A5A198" w:rsidR="006A3DBC" w:rsidRPr="002B7276" w:rsidRDefault="006A3DBC" w:rsidP="005F4A92">
            <w:pPr>
              <w:spacing w:after="0" w:line="240" w:lineRule="auto"/>
              <w:jc w:val="center"/>
              <w:rPr>
                <w:rFonts w:eastAsia="Times New Roman" w:cs="Arial"/>
                <w:sz w:val="16"/>
                <w:szCs w:val="16"/>
                <w:lang w:eastAsia="es-SV"/>
              </w:rPr>
            </w:pPr>
            <w:r w:rsidRPr="002B7276">
              <w:rPr>
                <w:rFonts w:eastAsia="Times New Roman" w:cs="Arial"/>
                <w:sz w:val="16"/>
                <w:szCs w:val="16"/>
                <w:lang w:eastAsia="es-SV"/>
              </w:rPr>
              <w:t>87</w:t>
            </w:r>
            <w:r w:rsidR="00EE50E2" w:rsidRPr="002B7276">
              <w:rPr>
                <w:rFonts w:eastAsia="Times New Roman" w:cs="Arial"/>
                <w:sz w:val="16"/>
                <w:szCs w:val="16"/>
                <w:lang w:eastAsia="es-SV"/>
              </w:rPr>
              <w:t>,</w:t>
            </w:r>
            <w:r w:rsidRPr="002B7276">
              <w:rPr>
                <w:rFonts w:eastAsia="Times New Roman" w:cs="Arial"/>
                <w:sz w:val="16"/>
                <w:szCs w:val="16"/>
                <w:lang w:eastAsia="es-SV"/>
              </w:rPr>
              <w:t>082</w:t>
            </w:r>
          </w:p>
        </w:tc>
      </w:tr>
      <w:tr w:rsidR="002B7276" w:rsidRPr="002B7276" w14:paraId="28FFB99E" w14:textId="77777777" w:rsidTr="00D22C97">
        <w:trPr>
          <w:trHeight w:val="41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760D00B" w14:textId="77777777" w:rsidR="006A3DBC" w:rsidRPr="002B7276" w:rsidRDefault="006A3DBC" w:rsidP="005F4A92">
            <w:pPr>
              <w:spacing w:after="0" w:line="240" w:lineRule="auto"/>
              <w:jc w:val="center"/>
              <w:rPr>
                <w:rFonts w:eastAsia="Times New Roman" w:cs="Arial"/>
                <w:sz w:val="16"/>
                <w:szCs w:val="16"/>
                <w:lang w:eastAsia="es-SV"/>
              </w:rPr>
            </w:pPr>
            <w:r w:rsidRPr="002B7276">
              <w:rPr>
                <w:rFonts w:eastAsia="Times New Roman" w:cs="Arial"/>
                <w:sz w:val="16"/>
                <w:szCs w:val="16"/>
                <w:lang w:eastAsia="es-SV"/>
              </w:rPr>
              <w:t xml:space="preserve">Total </w:t>
            </w:r>
          </w:p>
        </w:tc>
        <w:tc>
          <w:tcPr>
            <w:tcW w:w="851" w:type="dxa"/>
            <w:tcBorders>
              <w:top w:val="nil"/>
              <w:left w:val="nil"/>
              <w:bottom w:val="single" w:sz="4" w:space="0" w:color="auto"/>
              <w:right w:val="single" w:sz="4" w:space="0" w:color="auto"/>
            </w:tcBorders>
            <w:shd w:val="clear" w:color="auto" w:fill="auto"/>
            <w:noWrap/>
            <w:vAlign w:val="center"/>
            <w:hideMark/>
          </w:tcPr>
          <w:p w14:paraId="7819E233" w14:textId="5E3529C7" w:rsidR="006A3DBC" w:rsidRPr="002B7276" w:rsidRDefault="006A3DBC" w:rsidP="005F4A92">
            <w:pPr>
              <w:spacing w:after="0" w:line="240" w:lineRule="auto"/>
              <w:jc w:val="center"/>
              <w:rPr>
                <w:rFonts w:eastAsia="Times New Roman" w:cs="Arial"/>
                <w:sz w:val="16"/>
                <w:szCs w:val="16"/>
                <w:lang w:eastAsia="es-SV"/>
              </w:rPr>
            </w:pPr>
            <w:r w:rsidRPr="002B7276">
              <w:rPr>
                <w:rFonts w:eastAsia="Times New Roman" w:cs="Arial"/>
                <w:sz w:val="16"/>
                <w:szCs w:val="16"/>
                <w:lang w:eastAsia="es-SV"/>
              </w:rPr>
              <w:t>161</w:t>
            </w:r>
            <w:r w:rsidR="00EE50E2" w:rsidRPr="002B7276">
              <w:rPr>
                <w:rFonts w:eastAsia="Times New Roman" w:cs="Arial"/>
                <w:sz w:val="16"/>
                <w:szCs w:val="16"/>
                <w:lang w:eastAsia="es-SV"/>
              </w:rPr>
              <w:t>,</w:t>
            </w:r>
            <w:r w:rsidRPr="002B7276">
              <w:rPr>
                <w:rFonts w:eastAsia="Times New Roman" w:cs="Arial"/>
                <w:sz w:val="16"/>
                <w:szCs w:val="16"/>
                <w:lang w:eastAsia="es-SV"/>
              </w:rPr>
              <w:t>897</w:t>
            </w:r>
          </w:p>
        </w:tc>
        <w:tc>
          <w:tcPr>
            <w:tcW w:w="850" w:type="dxa"/>
            <w:tcBorders>
              <w:top w:val="nil"/>
              <w:left w:val="nil"/>
              <w:bottom w:val="single" w:sz="4" w:space="0" w:color="auto"/>
              <w:right w:val="single" w:sz="4" w:space="0" w:color="auto"/>
            </w:tcBorders>
            <w:shd w:val="clear" w:color="auto" w:fill="auto"/>
            <w:noWrap/>
            <w:vAlign w:val="center"/>
            <w:hideMark/>
          </w:tcPr>
          <w:p w14:paraId="1407C52D" w14:textId="1A262C7B" w:rsidR="006A3DBC" w:rsidRPr="002B7276" w:rsidRDefault="006A3DBC" w:rsidP="005F4A92">
            <w:pPr>
              <w:spacing w:after="0" w:line="240" w:lineRule="auto"/>
              <w:jc w:val="center"/>
              <w:rPr>
                <w:rFonts w:eastAsia="Times New Roman" w:cs="Arial"/>
                <w:sz w:val="16"/>
                <w:szCs w:val="16"/>
                <w:lang w:eastAsia="es-SV"/>
              </w:rPr>
            </w:pPr>
            <w:r w:rsidRPr="002B7276">
              <w:rPr>
                <w:rFonts w:eastAsia="Times New Roman" w:cs="Arial"/>
                <w:sz w:val="16"/>
                <w:szCs w:val="16"/>
                <w:lang w:eastAsia="es-SV"/>
              </w:rPr>
              <w:t>104</w:t>
            </w:r>
            <w:r w:rsidR="00EE50E2" w:rsidRPr="002B7276">
              <w:rPr>
                <w:rFonts w:eastAsia="Times New Roman" w:cs="Arial"/>
                <w:sz w:val="16"/>
                <w:szCs w:val="16"/>
                <w:lang w:eastAsia="es-SV"/>
              </w:rPr>
              <w:t>,</w:t>
            </w:r>
            <w:r w:rsidRPr="002B7276">
              <w:rPr>
                <w:rFonts w:eastAsia="Times New Roman" w:cs="Arial"/>
                <w:sz w:val="16"/>
                <w:szCs w:val="16"/>
                <w:lang w:eastAsia="es-SV"/>
              </w:rPr>
              <w:t>277</w:t>
            </w:r>
          </w:p>
        </w:tc>
        <w:tc>
          <w:tcPr>
            <w:tcW w:w="851" w:type="dxa"/>
            <w:tcBorders>
              <w:top w:val="nil"/>
              <w:left w:val="nil"/>
              <w:bottom w:val="single" w:sz="4" w:space="0" w:color="auto"/>
              <w:right w:val="single" w:sz="4" w:space="0" w:color="auto"/>
            </w:tcBorders>
            <w:shd w:val="clear" w:color="auto" w:fill="auto"/>
            <w:noWrap/>
            <w:vAlign w:val="center"/>
            <w:hideMark/>
          </w:tcPr>
          <w:p w14:paraId="09241290" w14:textId="2CED0F2F" w:rsidR="006A3DBC" w:rsidRPr="002B7276" w:rsidRDefault="006A3DBC" w:rsidP="005F4A92">
            <w:pPr>
              <w:spacing w:after="0" w:line="240" w:lineRule="auto"/>
              <w:jc w:val="center"/>
              <w:rPr>
                <w:rFonts w:eastAsia="Times New Roman" w:cs="Arial"/>
                <w:sz w:val="16"/>
                <w:szCs w:val="16"/>
                <w:lang w:eastAsia="es-SV"/>
              </w:rPr>
            </w:pPr>
            <w:r w:rsidRPr="002B7276">
              <w:rPr>
                <w:rFonts w:eastAsia="Times New Roman" w:cs="Arial"/>
                <w:sz w:val="16"/>
                <w:szCs w:val="16"/>
                <w:lang w:eastAsia="es-SV"/>
              </w:rPr>
              <w:t>266</w:t>
            </w:r>
            <w:r w:rsidR="00EE50E2" w:rsidRPr="002B7276">
              <w:rPr>
                <w:rFonts w:eastAsia="Times New Roman" w:cs="Arial"/>
                <w:sz w:val="16"/>
                <w:szCs w:val="16"/>
                <w:lang w:eastAsia="es-SV"/>
              </w:rPr>
              <w:t>,</w:t>
            </w:r>
            <w:r w:rsidRPr="002B7276">
              <w:rPr>
                <w:rFonts w:eastAsia="Times New Roman" w:cs="Arial"/>
                <w:sz w:val="16"/>
                <w:szCs w:val="16"/>
                <w:lang w:eastAsia="es-SV"/>
              </w:rPr>
              <w:t>174</w:t>
            </w:r>
          </w:p>
        </w:tc>
        <w:tc>
          <w:tcPr>
            <w:tcW w:w="850" w:type="dxa"/>
            <w:tcBorders>
              <w:top w:val="nil"/>
              <w:left w:val="nil"/>
              <w:bottom w:val="single" w:sz="4" w:space="0" w:color="auto"/>
              <w:right w:val="single" w:sz="4" w:space="0" w:color="auto"/>
            </w:tcBorders>
            <w:shd w:val="clear" w:color="auto" w:fill="auto"/>
            <w:noWrap/>
            <w:vAlign w:val="center"/>
            <w:hideMark/>
          </w:tcPr>
          <w:p w14:paraId="47E8CF2A" w14:textId="6C9EC540" w:rsidR="006A3DBC" w:rsidRPr="002B7276" w:rsidRDefault="006A3DBC" w:rsidP="005F4A92">
            <w:pPr>
              <w:spacing w:after="0" w:line="240" w:lineRule="auto"/>
              <w:jc w:val="center"/>
              <w:rPr>
                <w:rFonts w:eastAsia="Times New Roman" w:cs="Arial"/>
                <w:sz w:val="16"/>
                <w:szCs w:val="16"/>
                <w:lang w:eastAsia="es-SV"/>
              </w:rPr>
            </w:pPr>
            <w:r w:rsidRPr="002B7276">
              <w:rPr>
                <w:rFonts w:eastAsia="Times New Roman" w:cs="Arial"/>
                <w:sz w:val="16"/>
                <w:szCs w:val="16"/>
                <w:lang w:eastAsia="es-SV"/>
              </w:rPr>
              <w:t>70</w:t>
            </w:r>
            <w:r w:rsidR="00EE50E2" w:rsidRPr="002B7276">
              <w:rPr>
                <w:rFonts w:eastAsia="Times New Roman" w:cs="Arial"/>
                <w:sz w:val="16"/>
                <w:szCs w:val="16"/>
                <w:lang w:eastAsia="es-SV"/>
              </w:rPr>
              <w:t>,</w:t>
            </w:r>
            <w:r w:rsidRPr="002B7276">
              <w:rPr>
                <w:rFonts w:eastAsia="Times New Roman" w:cs="Arial"/>
                <w:sz w:val="16"/>
                <w:szCs w:val="16"/>
                <w:lang w:eastAsia="es-SV"/>
              </w:rPr>
              <w:t>124</w:t>
            </w:r>
          </w:p>
        </w:tc>
        <w:tc>
          <w:tcPr>
            <w:tcW w:w="709" w:type="dxa"/>
            <w:tcBorders>
              <w:top w:val="nil"/>
              <w:left w:val="nil"/>
              <w:bottom w:val="single" w:sz="4" w:space="0" w:color="auto"/>
              <w:right w:val="single" w:sz="4" w:space="0" w:color="auto"/>
            </w:tcBorders>
            <w:shd w:val="clear" w:color="auto" w:fill="auto"/>
            <w:noWrap/>
            <w:vAlign w:val="center"/>
            <w:hideMark/>
          </w:tcPr>
          <w:p w14:paraId="49606895" w14:textId="1D69BA63" w:rsidR="006A3DBC" w:rsidRPr="002B7276" w:rsidRDefault="006A3DBC" w:rsidP="005F4A92">
            <w:pPr>
              <w:spacing w:after="0" w:line="240" w:lineRule="auto"/>
              <w:jc w:val="center"/>
              <w:rPr>
                <w:rFonts w:eastAsia="Times New Roman" w:cs="Arial"/>
                <w:sz w:val="16"/>
                <w:szCs w:val="16"/>
                <w:lang w:eastAsia="es-SV"/>
              </w:rPr>
            </w:pPr>
            <w:r w:rsidRPr="002B7276">
              <w:rPr>
                <w:rFonts w:eastAsia="Times New Roman" w:cs="Arial"/>
                <w:sz w:val="16"/>
                <w:szCs w:val="16"/>
                <w:lang w:eastAsia="es-SV"/>
              </w:rPr>
              <w:t>43</w:t>
            </w:r>
            <w:r w:rsidR="00EE50E2" w:rsidRPr="002B7276">
              <w:rPr>
                <w:rFonts w:eastAsia="Times New Roman" w:cs="Arial"/>
                <w:sz w:val="16"/>
                <w:szCs w:val="16"/>
                <w:lang w:eastAsia="es-SV"/>
              </w:rPr>
              <w:t>,</w:t>
            </w:r>
            <w:r w:rsidRPr="002B7276">
              <w:rPr>
                <w:rFonts w:eastAsia="Times New Roman" w:cs="Arial"/>
                <w:sz w:val="16"/>
                <w:szCs w:val="16"/>
                <w:lang w:eastAsia="es-SV"/>
              </w:rPr>
              <w:t>354</w:t>
            </w:r>
          </w:p>
        </w:tc>
        <w:tc>
          <w:tcPr>
            <w:tcW w:w="850" w:type="dxa"/>
            <w:tcBorders>
              <w:top w:val="nil"/>
              <w:left w:val="nil"/>
              <w:bottom w:val="single" w:sz="4" w:space="0" w:color="auto"/>
              <w:right w:val="single" w:sz="4" w:space="0" w:color="auto"/>
            </w:tcBorders>
            <w:shd w:val="clear" w:color="auto" w:fill="auto"/>
            <w:noWrap/>
            <w:vAlign w:val="center"/>
            <w:hideMark/>
          </w:tcPr>
          <w:p w14:paraId="1298EC4E" w14:textId="1FD6FB96" w:rsidR="006A3DBC" w:rsidRPr="002B7276" w:rsidRDefault="006A3DBC" w:rsidP="005F4A92">
            <w:pPr>
              <w:spacing w:after="0" w:line="240" w:lineRule="auto"/>
              <w:jc w:val="center"/>
              <w:rPr>
                <w:rFonts w:eastAsia="Times New Roman" w:cs="Arial"/>
                <w:sz w:val="16"/>
                <w:szCs w:val="16"/>
                <w:lang w:eastAsia="es-SV"/>
              </w:rPr>
            </w:pPr>
            <w:r w:rsidRPr="002B7276">
              <w:rPr>
                <w:rFonts w:eastAsia="Times New Roman" w:cs="Arial"/>
                <w:sz w:val="16"/>
                <w:szCs w:val="16"/>
                <w:lang w:eastAsia="es-SV"/>
              </w:rPr>
              <w:t>113</w:t>
            </w:r>
            <w:r w:rsidR="00EE50E2" w:rsidRPr="002B7276">
              <w:rPr>
                <w:rFonts w:eastAsia="Times New Roman" w:cs="Arial"/>
                <w:sz w:val="16"/>
                <w:szCs w:val="16"/>
                <w:lang w:eastAsia="es-SV"/>
              </w:rPr>
              <w:t>,</w:t>
            </w:r>
            <w:r w:rsidRPr="002B7276">
              <w:rPr>
                <w:rFonts w:eastAsia="Times New Roman" w:cs="Arial"/>
                <w:sz w:val="16"/>
                <w:szCs w:val="16"/>
                <w:lang w:eastAsia="es-SV"/>
              </w:rPr>
              <w:t>478</w:t>
            </w:r>
          </w:p>
        </w:tc>
        <w:tc>
          <w:tcPr>
            <w:tcW w:w="851" w:type="dxa"/>
            <w:tcBorders>
              <w:top w:val="nil"/>
              <w:left w:val="nil"/>
              <w:bottom w:val="single" w:sz="4" w:space="0" w:color="auto"/>
              <w:right w:val="single" w:sz="4" w:space="0" w:color="auto"/>
            </w:tcBorders>
            <w:shd w:val="clear" w:color="auto" w:fill="auto"/>
            <w:noWrap/>
            <w:vAlign w:val="center"/>
            <w:hideMark/>
          </w:tcPr>
          <w:p w14:paraId="0FAE2D74" w14:textId="59DCC51F" w:rsidR="006A3DBC" w:rsidRPr="002B7276" w:rsidRDefault="006A3DBC" w:rsidP="005F4A92">
            <w:pPr>
              <w:spacing w:after="0" w:line="240" w:lineRule="auto"/>
              <w:jc w:val="center"/>
              <w:rPr>
                <w:rFonts w:eastAsia="Times New Roman" w:cs="Arial"/>
                <w:sz w:val="16"/>
                <w:szCs w:val="16"/>
                <w:lang w:eastAsia="es-SV"/>
              </w:rPr>
            </w:pPr>
            <w:r w:rsidRPr="002B7276">
              <w:rPr>
                <w:rFonts w:eastAsia="Times New Roman" w:cs="Arial"/>
                <w:sz w:val="16"/>
                <w:szCs w:val="16"/>
                <w:lang w:eastAsia="es-SV"/>
              </w:rPr>
              <w:t>144</w:t>
            </w:r>
            <w:r w:rsidR="00EE50E2" w:rsidRPr="002B7276">
              <w:rPr>
                <w:rFonts w:eastAsia="Times New Roman" w:cs="Arial"/>
                <w:sz w:val="16"/>
                <w:szCs w:val="16"/>
                <w:lang w:eastAsia="es-SV"/>
              </w:rPr>
              <w:t>,</w:t>
            </w:r>
            <w:r w:rsidRPr="002B7276">
              <w:rPr>
                <w:rFonts w:eastAsia="Times New Roman" w:cs="Arial"/>
                <w:sz w:val="16"/>
                <w:szCs w:val="16"/>
                <w:lang w:eastAsia="es-SV"/>
              </w:rPr>
              <w:t>047</w:t>
            </w:r>
          </w:p>
        </w:tc>
        <w:tc>
          <w:tcPr>
            <w:tcW w:w="709" w:type="dxa"/>
            <w:tcBorders>
              <w:top w:val="nil"/>
              <w:left w:val="nil"/>
              <w:bottom w:val="single" w:sz="4" w:space="0" w:color="auto"/>
              <w:right w:val="single" w:sz="4" w:space="0" w:color="auto"/>
            </w:tcBorders>
            <w:shd w:val="clear" w:color="auto" w:fill="auto"/>
            <w:noWrap/>
            <w:vAlign w:val="center"/>
            <w:hideMark/>
          </w:tcPr>
          <w:p w14:paraId="281268B3" w14:textId="70BF163F" w:rsidR="006A3DBC" w:rsidRPr="002B7276" w:rsidRDefault="006A3DBC" w:rsidP="005F4A92">
            <w:pPr>
              <w:spacing w:after="0" w:line="240" w:lineRule="auto"/>
              <w:jc w:val="center"/>
              <w:rPr>
                <w:rFonts w:eastAsia="Times New Roman" w:cs="Arial"/>
                <w:sz w:val="16"/>
                <w:szCs w:val="16"/>
                <w:lang w:eastAsia="es-SV"/>
              </w:rPr>
            </w:pPr>
            <w:r w:rsidRPr="002B7276">
              <w:rPr>
                <w:rFonts w:eastAsia="Times New Roman" w:cs="Arial"/>
                <w:sz w:val="16"/>
                <w:szCs w:val="16"/>
                <w:lang w:eastAsia="es-SV"/>
              </w:rPr>
              <w:t>49</w:t>
            </w:r>
            <w:r w:rsidR="00EE50E2" w:rsidRPr="002B7276">
              <w:rPr>
                <w:rFonts w:eastAsia="Times New Roman" w:cs="Arial"/>
                <w:sz w:val="16"/>
                <w:szCs w:val="16"/>
                <w:lang w:eastAsia="es-SV"/>
              </w:rPr>
              <w:t>,</w:t>
            </w:r>
            <w:r w:rsidRPr="002B7276">
              <w:rPr>
                <w:rFonts w:eastAsia="Times New Roman" w:cs="Arial"/>
                <w:sz w:val="16"/>
                <w:szCs w:val="16"/>
                <w:lang w:eastAsia="es-SV"/>
              </w:rPr>
              <w:t>405</w:t>
            </w:r>
          </w:p>
        </w:tc>
        <w:tc>
          <w:tcPr>
            <w:tcW w:w="850" w:type="dxa"/>
            <w:tcBorders>
              <w:top w:val="nil"/>
              <w:left w:val="nil"/>
              <w:bottom w:val="single" w:sz="4" w:space="0" w:color="auto"/>
              <w:right w:val="single" w:sz="4" w:space="0" w:color="auto"/>
            </w:tcBorders>
            <w:shd w:val="clear" w:color="auto" w:fill="auto"/>
            <w:noWrap/>
            <w:vAlign w:val="center"/>
            <w:hideMark/>
          </w:tcPr>
          <w:p w14:paraId="65475F49" w14:textId="0C1A5039" w:rsidR="006A3DBC" w:rsidRPr="002B7276" w:rsidRDefault="006A3DBC" w:rsidP="005F4A92">
            <w:pPr>
              <w:spacing w:after="0" w:line="240" w:lineRule="auto"/>
              <w:jc w:val="center"/>
              <w:rPr>
                <w:rFonts w:eastAsia="Times New Roman" w:cs="Arial"/>
                <w:sz w:val="16"/>
                <w:szCs w:val="16"/>
                <w:lang w:eastAsia="es-SV"/>
              </w:rPr>
            </w:pPr>
            <w:r w:rsidRPr="002B7276">
              <w:rPr>
                <w:rFonts w:eastAsia="Times New Roman" w:cs="Arial"/>
                <w:sz w:val="16"/>
                <w:szCs w:val="16"/>
                <w:lang w:eastAsia="es-SV"/>
              </w:rPr>
              <w:t>193</w:t>
            </w:r>
            <w:r w:rsidR="00EE50E2" w:rsidRPr="002B7276">
              <w:rPr>
                <w:rFonts w:eastAsia="Times New Roman" w:cs="Arial"/>
                <w:sz w:val="16"/>
                <w:szCs w:val="16"/>
                <w:lang w:eastAsia="es-SV"/>
              </w:rPr>
              <w:t>,</w:t>
            </w:r>
            <w:r w:rsidRPr="002B7276">
              <w:rPr>
                <w:rFonts w:eastAsia="Times New Roman" w:cs="Arial"/>
                <w:sz w:val="16"/>
                <w:szCs w:val="16"/>
                <w:lang w:eastAsia="es-SV"/>
              </w:rPr>
              <w:t>452</w:t>
            </w:r>
          </w:p>
        </w:tc>
        <w:tc>
          <w:tcPr>
            <w:tcW w:w="851" w:type="dxa"/>
            <w:tcBorders>
              <w:top w:val="nil"/>
              <w:left w:val="nil"/>
              <w:bottom w:val="single" w:sz="4" w:space="0" w:color="auto"/>
              <w:right w:val="single" w:sz="4" w:space="0" w:color="auto"/>
            </w:tcBorders>
            <w:shd w:val="clear" w:color="auto" w:fill="auto"/>
            <w:noWrap/>
            <w:vAlign w:val="center"/>
            <w:hideMark/>
          </w:tcPr>
          <w:p w14:paraId="7E1F5F90" w14:textId="3997ECAD" w:rsidR="006A3DBC" w:rsidRPr="002B7276" w:rsidRDefault="006A3DBC" w:rsidP="005F4A92">
            <w:pPr>
              <w:spacing w:after="0" w:line="240" w:lineRule="auto"/>
              <w:jc w:val="center"/>
              <w:rPr>
                <w:rFonts w:eastAsia="Times New Roman" w:cs="Arial"/>
                <w:sz w:val="16"/>
                <w:szCs w:val="16"/>
                <w:lang w:eastAsia="es-SV"/>
              </w:rPr>
            </w:pPr>
            <w:r w:rsidRPr="002B7276">
              <w:rPr>
                <w:rFonts w:eastAsia="Times New Roman" w:cs="Arial"/>
                <w:sz w:val="16"/>
                <w:szCs w:val="16"/>
                <w:lang w:eastAsia="es-SV"/>
              </w:rPr>
              <w:t>376</w:t>
            </w:r>
            <w:r w:rsidR="00EE50E2" w:rsidRPr="002B7276">
              <w:rPr>
                <w:rFonts w:eastAsia="Times New Roman" w:cs="Arial"/>
                <w:sz w:val="16"/>
                <w:szCs w:val="16"/>
                <w:lang w:eastAsia="es-SV"/>
              </w:rPr>
              <w:t>,</w:t>
            </w:r>
            <w:r w:rsidRPr="002B7276">
              <w:rPr>
                <w:rFonts w:eastAsia="Times New Roman" w:cs="Arial"/>
                <w:sz w:val="16"/>
                <w:szCs w:val="16"/>
                <w:lang w:eastAsia="es-SV"/>
              </w:rPr>
              <w:t>068</w:t>
            </w:r>
          </w:p>
        </w:tc>
        <w:tc>
          <w:tcPr>
            <w:tcW w:w="850" w:type="dxa"/>
            <w:tcBorders>
              <w:top w:val="nil"/>
              <w:left w:val="nil"/>
              <w:bottom w:val="single" w:sz="4" w:space="0" w:color="auto"/>
              <w:right w:val="single" w:sz="4" w:space="0" w:color="auto"/>
            </w:tcBorders>
            <w:shd w:val="clear" w:color="auto" w:fill="auto"/>
            <w:noWrap/>
            <w:vAlign w:val="center"/>
            <w:hideMark/>
          </w:tcPr>
          <w:p w14:paraId="14A214AC" w14:textId="753562A4" w:rsidR="006A3DBC" w:rsidRPr="002B7276" w:rsidRDefault="006A3DBC" w:rsidP="005F4A92">
            <w:pPr>
              <w:spacing w:after="0" w:line="240" w:lineRule="auto"/>
              <w:jc w:val="center"/>
              <w:rPr>
                <w:rFonts w:eastAsia="Times New Roman" w:cs="Arial"/>
                <w:sz w:val="16"/>
                <w:szCs w:val="16"/>
                <w:lang w:eastAsia="es-SV"/>
              </w:rPr>
            </w:pPr>
            <w:r w:rsidRPr="002B7276">
              <w:rPr>
                <w:rFonts w:eastAsia="Times New Roman" w:cs="Arial"/>
                <w:sz w:val="16"/>
                <w:szCs w:val="16"/>
                <w:lang w:eastAsia="es-SV"/>
              </w:rPr>
              <w:t>197</w:t>
            </w:r>
            <w:r w:rsidR="00EE50E2" w:rsidRPr="002B7276">
              <w:rPr>
                <w:rFonts w:eastAsia="Times New Roman" w:cs="Arial"/>
                <w:sz w:val="16"/>
                <w:szCs w:val="16"/>
                <w:lang w:eastAsia="es-SV"/>
              </w:rPr>
              <w:t>,</w:t>
            </w:r>
            <w:r w:rsidRPr="002B7276">
              <w:rPr>
                <w:rFonts w:eastAsia="Times New Roman" w:cs="Arial"/>
                <w:sz w:val="16"/>
                <w:szCs w:val="16"/>
                <w:lang w:eastAsia="es-SV"/>
              </w:rPr>
              <w:t>036</w:t>
            </w:r>
          </w:p>
        </w:tc>
      </w:tr>
      <w:tr w:rsidR="002B7276" w:rsidRPr="002B7276" w14:paraId="399760C0" w14:textId="77777777" w:rsidTr="00D22C97">
        <w:trPr>
          <w:trHeight w:val="86"/>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5809F89" w14:textId="66858375" w:rsidR="006A3DBC" w:rsidRPr="002B7276" w:rsidRDefault="00D22C97" w:rsidP="00D22C97">
            <w:pPr>
              <w:spacing w:after="0" w:line="240" w:lineRule="auto"/>
              <w:jc w:val="center"/>
              <w:rPr>
                <w:rFonts w:eastAsia="Times New Roman" w:cs="Arial"/>
                <w:b/>
                <w:bCs/>
                <w:sz w:val="16"/>
                <w:szCs w:val="16"/>
                <w:lang w:eastAsia="es-SV"/>
              </w:rPr>
            </w:pPr>
            <w:r w:rsidRPr="002B7276">
              <w:rPr>
                <w:rFonts w:eastAsia="Times New Roman" w:cs="Arial"/>
                <w:b/>
                <w:bCs/>
                <w:sz w:val="16"/>
                <w:szCs w:val="16"/>
                <w:lang w:eastAsia="es-SV"/>
              </w:rPr>
              <w:t>%</w:t>
            </w:r>
          </w:p>
        </w:tc>
        <w:tc>
          <w:tcPr>
            <w:tcW w:w="851" w:type="dxa"/>
            <w:tcBorders>
              <w:top w:val="nil"/>
              <w:left w:val="nil"/>
              <w:bottom w:val="single" w:sz="4" w:space="0" w:color="auto"/>
              <w:right w:val="single" w:sz="4" w:space="0" w:color="auto"/>
            </w:tcBorders>
            <w:shd w:val="clear" w:color="auto" w:fill="auto"/>
            <w:noWrap/>
            <w:vAlign w:val="bottom"/>
            <w:hideMark/>
          </w:tcPr>
          <w:p w14:paraId="6275535D" w14:textId="77777777" w:rsidR="006A3DBC" w:rsidRPr="002B7276" w:rsidRDefault="006A3DBC" w:rsidP="005F4A92">
            <w:pPr>
              <w:spacing w:after="0" w:line="240" w:lineRule="auto"/>
              <w:jc w:val="center"/>
              <w:rPr>
                <w:rFonts w:eastAsia="Times New Roman" w:cs="Arial"/>
                <w:b/>
                <w:bCs/>
                <w:sz w:val="16"/>
                <w:szCs w:val="16"/>
                <w:lang w:eastAsia="es-SV"/>
              </w:rPr>
            </w:pPr>
          </w:p>
        </w:tc>
        <w:tc>
          <w:tcPr>
            <w:tcW w:w="850" w:type="dxa"/>
            <w:tcBorders>
              <w:top w:val="nil"/>
              <w:left w:val="nil"/>
              <w:bottom w:val="single" w:sz="4" w:space="0" w:color="auto"/>
              <w:right w:val="single" w:sz="4" w:space="0" w:color="auto"/>
            </w:tcBorders>
            <w:shd w:val="clear" w:color="auto" w:fill="auto"/>
            <w:noWrap/>
            <w:vAlign w:val="bottom"/>
            <w:hideMark/>
          </w:tcPr>
          <w:p w14:paraId="4A0BF5B8" w14:textId="77777777" w:rsidR="006A3DBC" w:rsidRPr="002B7276" w:rsidRDefault="006A3DBC" w:rsidP="00D22C97">
            <w:pPr>
              <w:spacing w:after="0" w:line="240" w:lineRule="auto"/>
              <w:rPr>
                <w:rFonts w:eastAsia="Times New Roman" w:cs="Arial"/>
                <w:b/>
                <w:bCs/>
                <w:sz w:val="16"/>
                <w:szCs w:val="16"/>
                <w:lang w:eastAsia="es-SV"/>
              </w:rPr>
            </w:pPr>
          </w:p>
        </w:tc>
        <w:tc>
          <w:tcPr>
            <w:tcW w:w="851" w:type="dxa"/>
            <w:tcBorders>
              <w:top w:val="nil"/>
              <w:left w:val="nil"/>
              <w:bottom w:val="single" w:sz="4" w:space="0" w:color="auto"/>
              <w:right w:val="single" w:sz="4" w:space="0" w:color="auto"/>
            </w:tcBorders>
            <w:shd w:val="clear" w:color="auto" w:fill="auto"/>
            <w:noWrap/>
            <w:hideMark/>
          </w:tcPr>
          <w:p w14:paraId="47DE7301" w14:textId="77777777" w:rsidR="006A3DBC" w:rsidRPr="002B7276" w:rsidRDefault="006A3DBC" w:rsidP="005F4A92">
            <w:pPr>
              <w:spacing w:after="0" w:line="240" w:lineRule="auto"/>
              <w:jc w:val="center"/>
              <w:rPr>
                <w:rFonts w:eastAsia="Times New Roman" w:cs="Arial"/>
                <w:b/>
                <w:bCs/>
                <w:sz w:val="16"/>
                <w:szCs w:val="16"/>
                <w:lang w:eastAsia="es-SV"/>
              </w:rPr>
            </w:pPr>
            <w:r w:rsidRPr="002B7276">
              <w:rPr>
                <w:rFonts w:eastAsia="Times New Roman" w:cs="Arial"/>
                <w:b/>
                <w:bCs/>
                <w:sz w:val="16"/>
                <w:szCs w:val="16"/>
                <w:lang w:eastAsia="es-SV"/>
              </w:rPr>
              <w:t>46.4%</w:t>
            </w:r>
          </w:p>
        </w:tc>
        <w:tc>
          <w:tcPr>
            <w:tcW w:w="850" w:type="dxa"/>
            <w:tcBorders>
              <w:top w:val="nil"/>
              <w:left w:val="nil"/>
              <w:bottom w:val="single" w:sz="4" w:space="0" w:color="auto"/>
              <w:right w:val="single" w:sz="4" w:space="0" w:color="auto"/>
            </w:tcBorders>
            <w:shd w:val="clear" w:color="auto" w:fill="auto"/>
            <w:noWrap/>
            <w:hideMark/>
          </w:tcPr>
          <w:p w14:paraId="3BEEBB11" w14:textId="77777777" w:rsidR="006A3DBC" w:rsidRPr="002B7276" w:rsidRDefault="006A3DBC" w:rsidP="005F4A92">
            <w:pPr>
              <w:spacing w:after="0" w:line="240" w:lineRule="auto"/>
              <w:jc w:val="center"/>
              <w:rPr>
                <w:rFonts w:eastAsia="Times New Roman" w:cs="Arial"/>
                <w:b/>
                <w:bCs/>
                <w:sz w:val="16"/>
                <w:szCs w:val="16"/>
                <w:lang w:eastAsia="es-SV"/>
              </w:rPr>
            </w:pPr>
          </w:p>
        </w:tc>
        <w:tc>
          <w:tcPr>
            <w:tcW w:w="709" w:type="dxa"/>
            <w:tcBorders>
              <w:top w:val="nil"/>
              <w:left w:val="nil"/>
              <w:bottom w:val="single" w:sz="4" w:space="0" w:color="auto"/>
              <w:right w:val="single" w:sz="4" w:space="0" w:color="auto"/>
            </w:tcBorders>
            <w:shd w:val="clear" w:color="auto" w:fill="auto"/>
            <w:noWrap/>
            <w:hideMark/>
          </w:tcPr>
          <w:p w14:paraId="508B3C83" w14:textId="77777777" w:rsidR="006A3DBC" w:rsidRPr="002B7276" w:rsidRDefault="006A3DBC" w:rsidP="005F4A92">
            <w:pPr>
              <w:spacing w:after="0" w:line="240" w:lineRule="auto"/>
              <w:jc w:val="center"/>
              <w:rPr>
                <w:rFonts w:eastAsia="Times New Roman" w:cs="Arial"/>
                <w:b/>
                <w:bCs/>
                <w:sz w:val="16"/>
                <w:szCs w:val="16"/>
                <w:lang w:eastAsia="es-SV"/>
              </w:rPr>
            </w:pPr>
          </w:p>
        </w:tc>
        <w:tc>
          <w:tcPr>
            <w:tcW w:w="850" w:type="dxa"/>
            <w:tcBorders>
              <w:top w:val="nil"/>
              <w:left w:val="nil"/>
              <w:bottom w:val="single" w:sz="4" w:space="0" w:color="auto"/>
              <w:right w:val="single" w:sz="4" w:space="0" w:color="auto"/>
            </w:tcBorders>
            <w:shd w:val="clear" w:color="auto" w:fill="auto"/>
            <w:noWrap/>
            <w:hideMark/>
          </w:tcPr>
          <w:p w14:paraId="089D566B" w14:textId="77777777" w:rsidR="006A3DBC" w:rsidRPr="002B7276" w:rsidRDefault="006A3DBC" w:rsidP="005F4A92">
            <w:pPr>
              <w:spacing w:after="0" w:line="240" w:lineRule="auto"/>
              <w:jc w:val="center"/>
              <w:rPr>
                <w:rFonts w:eastAsia="Times New Roman" w:cs="Arial"/>
                <w:b/>
                <w:bCs/>
                <w:sz w:val="16"/>
                <w:szCs w:val="16"/>
                <w:lang w:eastAsia="es-SV"/>
              </w:rPr>
            </w:pPr>
            <w:r w:rsidRPr="002B7276">
              <w:rPr>
                <w:rFonts w:eastAsia="Times New Roman" w:cs="Arial"/>
                <w:b/>
                <w:bCs/>
                <w:sz w:val="16"/>
                <w:szCs w:val="16"/>
                <w:lang w:eastAsia="es-SV"/>
              </w:rPr>
              <w:t>19.8%</w:t>
            </w:r>
          </w:p>
        </w:tc>
        <w:tc>
          <w:tcPr>
            <w:tcW w:w="851" w:type="dxa"/>
            <w:tcBorders>
              <w:top w:val="nil"/>
              <w:left w:val="nil"/>
              <w:bottom w:val="single" w:sz="4" w:space="0" w:color="auto"/>
              <w:right w:val="single" w:sz="4" w:space="0" w:color="auto"/>
            </w:tcBorders>
            <w:shd w:val="clear" w:color="auto" w:fill="auto"/>
            <w:noWrap/>
            <w:hideMark/>
          </w:tcPr>
          <w:p w14:paraId="1708FEC5" w14:textId="77777777" w:rsidR="006A3DBC" w:rsidRPr="002B7276" w:rsidRDefault="006A3DBC" w:rsidP="005F4A92">
            <w:pPr>
              <w:spacing w:after="0" w:line="240" w:lineRule="auto"/>
              <w:jc w:val="center"/>
              <w:rPr>
                <w:rFonts w:eastAsia="Times New Roman" w:cs="Arial"/>
                <w:b/>
                <w:bCs/>
                <w:sz w:val="16"/>
                <w:szCs w:val="16"/>
                <w:lang w:eastAsia="es-SV"/>
              </w:rPr>
            </w:pPr>
          </w:p>
        </w:tc>
        <w:tc>
          <w:tcPr>
            <w:tcW w:w="709" w:type="dxa"/>
            <w:tcBorders>
              <w:top w:val="nil"/>
              <w:left w:val="nil"/>
              <w:bottom w:val="single" w:sz="4" w:space="0" w:color="auto"/>
              <w:right w:val="single" w:sz="4" w:space="0" w:color="auto"/>
            </w:tcBorders>
            <w:shd w:val="clear" w:color="auto" w:fill="auto"/>
            <w:noWrap/>
            <w:hideMark/>
          </w:tcPr>
          <w:p w14:paraId="4F22925F" w14:textId="77777777" w:rsidR="006A3DBC" w:rsidRPr="002B7276" w:rsidRDefault="006A3DBC" w:rsidP="005F4A92">
            <w:pPr>
              <w:spacing w:after="0" w:line="240" w:lineRule="auto"/>
              <w:jc w:val="center"/>
              <w:rPr>
                <w:rFonts w:eastAsia="Times New Roman" w:cs="Arial"/>
                <w:b/>
                <w:bCs/>
                <w:sz w:val="16"/>
                <w:szCs w:val="16"/>
                <w:lang w:eastAsia="es-SV"/>
              </w:rPr>
            </w:pPr>
          </w:p>
        </w:tc>
        <w:tc>
          <w:tcPr>
            <w:tcW w:w="850" w:type="dxa"/>
            <w:tcBorders>
              <w:top w:val="nil"/>
              <w:left w:val="nil"/>
              <w:bottom w:val="single" w:sz="4" w:space="0" w:color="auto"/>
              <w:right w:val="single" w:sz="4" w:space="0" w:color="auto"/>
            </w:tcBorders>
            <w:shd w:val="clear" w:color="auto" w:fill="auto"/>
            <w:noWrap/>
            <w:hideMark/>
          </w:tcPr>
          <w:p w14:paraId="7C56394C" w14:textId="77777777" w:rsidR="006A3DBC" w:rsidRPr="002B7276" w:rsidRDefault="006A3DBC" w:rsidP="005F4A92">
            <w:pPr>
              <w:spacing w:after="0" w:line="240" w:lineRule="auto"/>
              <w:jc w:val="center"/>
              <w:rPr>
                <w:rFonts w:eastAsia="Times New Roman" w:cs="Arial"/>
                <w:b/>
                <w:bCs/>
                <w:sz w:val="16"/>
                <w:szCs w:val="16"/>
                <w:lang w:eastAsia="es-SV"/>
              </w:rPr>
            </w:pPr>
            <w:r w:rsidRPr="002B7276">
              <w:rPr>
                <w:rFonts w:eastAsia="Times New Roman" w:cs="Arial"/>
                <w:b/>
                <w:bCs/>
                <w:sz w:val="16"/>
                <w:szCs w:val="16"/>
                <w:lang w:eastAsia="es-SV"/>
              </w:rPr>
              <w:t>33.8%</w:t>
            </w:r>
          </w:p>
        </w:tc>
        <w:tc>
          <w:tcPr>
            <w:tcW w:w="851" w:type="dxa"/>
            <w:tcBorders>
              <w:top w:val="nil"/>
              <w:left w:val="nil"/>
              <w:bottom w:val="single" w:sz="4" w:space="0" w:color="auto"/>
              <w:right w:val="single" w:sz="4" w:space="0" w:color="auto"/>
            </w:tcBorders>
            <w:shd w:val="clear" w:color="auto" w:fill="auto"/>
            <w:noWrap/>
            <w:hideMark/>
          </w:tcPr>
          <w:p w14:paraId="12E1234E" w14:textId="77777777" w:rsidR="006A3DBC" w:rsidRPr="002B7276" w:rsidRDefault="006A3DBC" w:rsidP="005F4A92">
            <w:pPr>
              <w:spacing w:after="0" w:line="240" w:lineRule="auto"/>
              <w:jc w:val="center"/>
              <w:rPr>
                <w:rFonts w:eastAsia="Times New Roman" w:cs="Arial"/>
                <w:b/>
                <w:bCs/>
                <w:sz w:val="16"/>
                <w:szCs w:val="16"/>
                <w:lang w:eastAsia="es-SV"/>
              </w:rPr>
            </w:pPr>
          </w:p>
        </w:tc>
        <w:tc>
          <w:tcPr>
            <w:tcW w:w="850" w:type="dxa"/>
            <w:tcBorders>
              <w:top w:val="nil"/>
              <w:left w:val="nil"/>
              <w:bottom w:val="single" w:sz="4" w:space="0" w:color="auto"/>
              <w:right w:val="single" w:sz="4" w:space="0" w:color="auto"/>
            </w:tcBorders>
            <w:shd w:val="clear" w:color="auto" w:fill="auto"/>
            <w:noWrap/>
            <w:hideMark/>
          </w:tcPr>
          <w:p w14:paraId="62142334" w14:textId="77777777" w:rsidR="006A3DBC" w:rsidRPr="002B7276" w:rsidRDefault="006A3DBC" w:rsidP="005F4A92">
            <w:pPr>
              <w:spacing w:after="0" w:line="240" w:lineRule="auto"/>
              <w:jc w:val="center"/>
              <w:rPr>
                <w:rFonts w:eastAsia="Times New Roman" w:cs="Arial"/>
                <w:b/>
                <w:bCs/>
                <w:sz w:val="16"/>
                <w:szCs w:val="16"/>
                <w:lang w:eastAsia="es-SV"/>
              </w:rPr>
            </w:pPr>
          </w:p>
        </w:tc>
      </w:tr>
    </w:tbl>
    <w:p w14:paraId="7F677DF0" w14:textId="77777777" w:rsidR="006A3DBC" w:rsidRPr="00FA4B2D" w:rsidRDefault="006A3DBC" w:rsidP="006A3DBC">
      <w:pPr>
        <w:jc w:val="center"/>
        <w:rPr>
          <w:rFonts w:cs="Arial"/>
          <w:sz w:val="20"/>
          <w:szCs w:val="20"/>
        </w:rPr>
      </w:pPr>
      <w:r w:rsidRPr="00FA4B2D">
        <w:rPr>
          <w:rFonts w:cs="Arial"/>
          <w:b/>
          <w:bCs/>
          <w:sz w:val="20"/>
          <w:szCs w:val="20"/>
        </w:rPr>
        <w:t>Fuente</w:t>
      </w:r>
      <w:r w:rsidRPr="00FA4B2D">
        <w:rPr>
          <w:rFonts w:cs="Arial"/>
          <w:sz w:val="20"/>
          <w:szCs w:val="20"/>
        </w:rPr>
        <w:t>: elaboración propia con base a la EHPM 2019, INE.</w:t>
      </w:r>
    </w:p>
    <w:p w14:paraId="4057585F" w14:textId="77777777" w:rsidR="006A3DBC" w:rsidRPr="00FA4B2D" w:rsidRDefault="006A3DBC" w:rsidP="00411720">
      <w:pPr>
        <w:pStyle w:val="Ttulo2"/>
        <w:numPr>
          <w:ilvl w:val="2"/>
          <w:numId w:val="100"/>
        </w:numPr>
        <w:spacing w:before="0" w:line="240" w:lineRule="auto"/>
        <w:jc w:val="both"/>
        <w:rPr>
          <w:rFonts w:ascii="Arial" w:hAnsi="Arial" w:cs="Arial"/>
          <w:color w:val="767171" w:themeColor="background2" w:themeShade="80"/>
          <w:sz w:val="22"/>
          <w:szCs w:val="22"/>
        </w:rPr>
      </w:pPr>
      <w:bookmarkStart w:id="713" w:name="_Toc156586904"/>
      <w:bookmarkStart w:id="714" w:name="_Toc202456935"/>
      <w:r w:rsidRPr="00FA4B2D">
        <w:rPr>
          <w:rFonts w:ascii="Arial" w:hAnsi="Arial" w:cs="Arial"/>
          <w:color w:val="767171" w:themeColor="background2" w:themeShade="80"/>
          <w:sz w:val="22"/>
          <w:szCs w:val="22"/>
        </w:rPr>
        <w:t>Situación del empleo juvenil</w:t>
      </w:r>
      <w:bookmarkEnd w:id="713"/>
      <w:bookmarkEnd w:id="714"/>
      <w:r w:rsidRPr="00FA4B2D">
        <w:rPr>
          <w:rFonts w:ascii="Arial" w:hAnsi="Arial" w:cs="Arial"/>
          <w:color w:val="767171" w:themeColor="background2" w:themeShade="80"/>
          <w:sz w:val="22"/>
          <w:szCs w:val="22"/>
        </w:rPr>
        <w:t xml:space="preserve"> </w:t>
      </w:r>
    </w:p>
    <w:p w14:paraId="23C6CD17" w14:textId="77777777" w:rsidR="006A3DBC" w:rsidRPr="00FA4B2D" w:rsidRDefault="006A3DBC" w:rsidP="006A3DBC">
      <w:pPr>
        <w:jc w:val="both"/>
        <w:rPr>
          <w:rFonts w:cs="Arial"/>
        </w:rPr>
      </w:pPr>
      <w:r w:rsidRPr="00FA4B2D">
        <w:rPr>
          <w:rFonts w:cs="Arial"/>
        </w:rPr>
        <w:t xml:space="preserve">La población joven la constituye aquella que está comprendida entre los 12 y 30 años. Se encuentran en este rango de edad 3,301,577 jóvenes (36.1% de la </w:t>
      </w:r>
      <w:r w:rsidRPr="00FA4B2D">
        <w:rPr>
          <w:rFonts w:cs="Arial"/>
        </w:rPr>
        <w:lastRenderedPageBreak/>
        <w:t xml:space="preserve">población nacional); de los cuales 1,641,029 (49.7%) son hombres y 1,660,548 (50.3%) son mujeres. Según la condición de actividad a nivel nacional, el 25.5% de los jóvenes se dedica sólo a estudiar, 48.3% trabaja (incluye los que estudian y trabajan y los que solo trabajan) y un 26.2% que ni estudia ni trabaja. En el caso de los departamentos, los resultados nos indican que, en términos generales, el 43.6% solo trabaja, mientras que el 2.9% estudia y trabaja. De igual forma hay una alta incidencia de jóvenes que no estudian ni trabajan superior al promedio nacional, siendo el 33.1%. Al identificar por sexo, la mayor cantidad de juventudes en esta condición corresponden mayormente a mujeres (308,810 frente a 99,000 hombres), lo que implica cerca de tres veces la brecha de los hombres que ni estudian ni trabajan, que son jóvenes. </w:t>
      </w:r>
    </w:p>
    <w:p w14:paraId="570BF8F8" w14:textId="03EDD0B4" w:rsidR="00F94AC4" w:rsidRDefault="00F94AC4" w:rsidP="00F94AC4">
      <w:pPr>
        <w:pStyle w:val="Descripcin"/>
        <w:keepNext/>
      </w:pPr>
      <w:bookmarkStart w:id="715" w:name="_Toc202455465"/>
      <w:r>
        <w:t xml:space="preserve">Tabla </w:t>
      </w:r>
      <w:r>
        <w:fldChar w:fldCharType="begin"/>
      </w:r>
      <w:r>
        <w:instrText xml:space="preserve"> SEQ Tabla \* ARABIC </w:instrText>
      </w:r>
      <w:r>
        <w:fldChar w:fldCharType="separate"/>
      </w:r>
      <w:r w:rsidR="000E6D86">
        <w:rPr>
          <w:noProof/>
        </w:rPr>
        <w:t>39</w:t>
      </w:r>
      <w:r>
        <w:fldChar w:fldCharType="end"/>
      </w:r>
      <w:r>
        <w:t xml:space="preserve">: </w:t>
      </w:r>
      <w:r w:rsidRPr="00BA6E42">
        <w:t>Situación del empleo</w:t>
      </w:r>
      <w:bookmarkEnd w:id="715"/>
    </w:p>
    <w:tbl>
      <w:tblPr>
        <w:tblW w:w="6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16"/>
        <w:gridCol w:w="1108"/>
        <w:gridCol w:w="1108"/>
        <w:gridCol w:w="1130"/>
        <w:gridCol w:w="1041"/>
      </w:tblGrid>
      <w:tr w:rsidR="002B7276" w:rsidRPr="002B7276" w14:paraId="269ACF18" w14:textId="77777777" w:rsidTr="00016847">
        <w:trPr>
          <w:trHeight w:val="255"/>
          <w:jc w:val="center"/>
        </w:trPr>
        <w:tc>
          <w:tcPr>
            <w:tcW w:w="2216" w:type="dxa"/>
            <w:shd w:val="clear" w:color="auto" w:fill="5CC5DA"/>
            <w:vAlign w:val="center"/>
          </w:tcPr>
          <w:p w14:paraId="28BDF799" w14:textId="77777777" w:rsidR="006A3DBC" w:rsidRPr="002B7276" w:rsidRDefault="006A3DBC" w:rsidP="005F4A92">
            <w:pPr>
              <w:spacing w:after="0" w:line="240" w:lineRule="auto"/>
              <w:jc w:val="center"/>
              <w:rPr>
                <w:rFonts w:eastAsia="Times New Roman" w:cs="Arial"/>
                <w:b/>
                <w:bCs/>
                <w:sz w:val="18"/>
                <w:szCs w:val="18"/>
                <w:lang w:eastAsia="es-SV"/>
              </w:rPr>
            </w:pPr>
            <w:r w:rsidRPr="002B7276">
              <w:rPr>
                <w:rFonts w:eastAsia="Times New Roman" w:cs="Arial"/>
                <w:b/>
                <w:bCs/>
                <w:sz w:val="18"/>
                <w:szCs w:val="18"/>
                <w:lang w:eastAsia="es-SV"/>
              </w:rPr>
              <w:t>Condición</w:t>
            </w:r>
          </w:p>
        </w:tc>
        <w:tc>
          <w:tcPr>
            <w:tcW w:w="1108" w:type="dxa"/>
            <w:shd w:val="clear" w:color="auto" w:fill="5CC5DA"/>
            <w:noWrap/>
            <w:vAlign w:val="center"/>
          </w:tcPr>
          <w:p w14:paraId="1AD07E61" w14:textId="77777777" w:rsidR="006A3DBC" w:rsidRPr="002B7276" w:rsidRDefault="006A3DBC" w:rsidP="005F4A92">
            <w:pPr>
              <w:spacing w:after="0" w:line="240" w:lineRule="auto"/>
              <w:jc w:val="center"/>
              <w:rPr>
                <w:rFonts w:eastAsia="Times New Roman" w:cs="Arial"/>
                <w:b/>
                <w:bCs/>
                <w:sz w:val="18"/>
                <w:szCs w:val="18"/>
                <w:lang w:eastAsia="es-SV"/>
              </w:rPr>
            </w:pPr>
            <w:r w:rsidRPr="002B7276">
              <w:rPr>
                <w:rFonts w:eastAsia="Times New Roman" w:cs="Arial"/>
                <w:b/>
                <w:bCs/>
                <w:sz w:val="18"/>
                <w:szCs w:val="18"/>
                <w:lang w:eastAsia="es-SV"/>
              </w:rPr>
              <w:t>Hombres</w:t>
            </w:r>
          </w:p>
        </w:tc>
        <w:tc>
          <w:tcPr>
            <w:tcW w:w="1108" w:type="dxa"/>
            <w:shd w:val="clear" w:color="auto" w:fill="5CC5DA"/>
            <w:noWrap/>
            <w:vAlign w:val="center"/>
          </w:tcPr>
          <w:p w14:paraId="4B8D01E4" w14:textId="77777777" w:rsidR="006A3DBC" w:rsidRPr="002B7276" w:rsidRDefault="006A3DBC" w:rsidP="005F4A92">
            <w:pPr>
              <w:spacing w:after="0" w:line="240" w:lineRule="auto"/>
              <w:jc w:val="center"/>
              <w:rPr>
                <w:rFonts w:eastAsia="Times New Roman" w:cs="Arial"/>
                <w:b/>
                <w:bCs/>
                <w:sz w:val="18"/>
                <w:szCs w:val="18"/>
                <w:lang w:eastAsia="es-SV"/>
              </w:rPr>
            </w:pPr>
            <w:r w:rsidRPr="002B7276">
              <w:rPr>
                <w:rFonts w:eastAsia="Times New Roman" w:cs="Arial"/>
                <w:b/>
                <w:bCs/>
                <w:sz w:val="18"/>
                <w:szCs w:val="18"/>
                <w:lang w:eastAsia="es-SV"/>
              </w:rPr>
              <w:t>Mujeres</w:t>
            </w:r>
          </w:p>
        </w:tc>
        <w:tc>
          <w:tcPr>
            <w:tcW w:w="1130" w:type="dxa"/>
            <w:shd w:val="clear" w:color="auto" w:fill="5CC5DA"/>
            <w:noWrap/>
            <w:vAlign w:val="center"/>
          </w:tcPr>
          <w:p w14:paraId="7B8E5992" w14:textId="77777777" w:rsidR="006A3DBC" w:rsidRPr="002B7276" w:rsidRDefault="006A3DBC" w:rsidP="005F4A92">
            <w:pPr>
              <w:spacing w:after="0" w:line="240" w:lineRule="auto"/>
              <w:jc w:val="center"/>
              <w:rPr>
                <w:rFonts w:eastAsia="Times New Roman" w:cs="Arial"/>
                <w:b/>
                <w:bCs/>
                <w:sz w:val="18"/>
                <w:szCs w:val="18"/>
                <w:lang w:eastAsia="es-SV"/>
              </w:rPr>
            </w:pPr>
            <w:r w:rsidRPr="002B7276">
              <w:rPr>
                <w:rFonts w:eastAsia="Times New Roman" w:cs="Arial"/>
                <w:b/>
                <w:bCs/>
                <w:sz w:val="18"/>
                <w:szCs w:val="18"/>
                <w:lang w:eastAsia="es-SV"/>
              </w:rPr>
              <w:t>Total</w:t>
            </w:r>
          </w:p>
        </w:tc>
        <w:tc>
          <w:tcPr>
            <w:tcW w:w="1041" w:type="dxa"/>
            <w:shd w:val="clear" w:color="auto" w:fill="5CC5DA"/>
            <w:noWrap/>
            <w:vAlign w:val="center"/>
          </w:tcPr>
          <w:p w14:paraId="1F0F3CC3" w14:textId="77777777" w:rsidR="006A3DBC" w:rsidRPr="002B7276" w:rsidRDefault="006A3DBC" w:rsidP="005F4A92">
            <w:pPr>
              <w:spacing w:after="0" w:line="240" w:lineRule="auto"/>
              <w:jc w:val="center"/>
              <w:rPr>
                <w:rFonts w:eastAsia="Times New Roman" w:cs="Arial"/>
                <w:b/>
                <w:bCs/>
                <w:lang w:eastAsia="es-SV"/>
              </w:rPr>
            </w:pPr>
            <w:r w:rsidRPr="002B7276">
              <w:rPr>
                <w:rFonts w:eastAsia="Times New Roman" w:cs="Arial"/>
                <w:b/>
                <w:bCs/>
                <w:lang w:eastAsia="es-SV"/>
              </w:rPr>
              <w:t>%</w:t>
            </w:r>
          </w:p>
        </w:tc>
      </w:tr>
      <w:tr w:rsidR="002B7276" w:rsidRPr="002B7276" w14:paraId="1D6A071D" w14:textId="77777777" w:rsidTr="005F4A92">
        <w:trPr>
          <w:trHeight w:val="255"/>
          <w:jc w:val="center"/>
        </w:trPr>
        <w:tc>
          <w:tcPr>
            <w:tcW w:w="2216" w:type="dxa"/>
            <w:shd w:val="clear" w:color="000000" w:fill="E0E0E0"/>
            <w:hideMark/>
          </w:tcPr>
          <w:p w14:paraId="1C07A5C9" w14:textId="77777777" w:rsidR="006A3DBC" w:rsidRPr="002B7276" w:rsidRDefault="006A3DBC" w:rsidP="003C0630">
            <w:pPr>
              <w:spacing w:after="0" w:line="240" w:lineRule="auto"/>
              <w:jc w:val="both"/>
              <w:rPr>
                <w:rFonts w:eastAsia="Times New Roman" w:cs="Arial"/>
                <w:sz w:val="18"/>
                <w:szCs w:val="18"/>
                <w:lang w:eastAsia="es-SV"/>
              </w:rPr>
            </w:pPr>
            <w:r w:rsidRPr="002B7276">
              <w:rPr>
                <w:rFonts w:eastAsia="Times New Roman" w:cs="Arial"/>
                <w:sz w:val="18"/>
                <w:szCs w:val="18"/>
                <w:lang w:eastAsia="es-SV"/>
              </w:rPr>
              <w:t>Estudia y Trabaja</w:t>
            </w:r>
          </w:p>
        </w:tc>
        <w:tc>
          <w:tcPr>
            <w:tcW w:w="1108" w:type="dxa"/>
            <w:shd w:val="clear" w:color="auto" w:fill="auto"/>
            <w:noWrap/>
            <w:hideMark/>
          </w:tcPr>
          <w:p w14:paraId="6C6FD03B" w14:textId="6F000581" w:rsidR="006A3DBC" w:rsidRPr="002B7276" w:rsidRDefault="006A3DBC" w:rsidP="003C0630">
            <w:pPr>
              <w:spacing w:after="0" w:line="240" w:lineRule="auto"/>
              <w:jc w:val="center"/>
              <w:rPr>
                <w:rFonts w:eastAsia="Times New Roman" w:cs="Arial"/>
                <w:sz w:val="18"/>
                <w:szCs w:val="18"/>
                <w:lang w:eastAsia="es-SV"/>
              </w:rPr>
            </w:pPr>
            <w:r w:rsidRPr="002B7276">
              <w:rPr>
                <w:rFonts w:eastAsia="Times New Roman" w:cs="Arial"/>
                <w:sz w:val="18"/>
                <w:szCs w:val="18"/>
                <w:lang w:eastAsia="es-SV"/>
              </w:rPr>
              <w:t>21</w:t>
            </w:r>
            <w:r w:rsidR="004841E4" w:rsidRPr="002B7276">
              <w:rPr>
                <w:rFonts w:eastAsia="Times New Roman" w:cs="Arial"/>
                <w:sz w:val="18"/>
                <w:szCs w:val="18"/>
                <w:lang w:eastAsia="es-SV"/>
              </w:rPr>
              <w:t>,</w:t>
            </w:r>
            <w:r w:rsidRPr="002B7276">
              <w:rPr>
                <w:rFonts w:eastAsia="Times New Roman" w:cs="Arial"/>
                <w:sz w:val="18"/>
                <w:szCs w:val="18"/>
                <w:lang w:eastAsia="es-SV"/>
              </w:rPr>
              <w:t>426</w:t>
            </w:r>
          </w:p>
        </w:tc>
        <w:tc>
          <w:tcPr>
            <w:tcW w:w="1108" w:type="dxa"/>
            <w:shd w:val="clear" w:color="auto" w:fill="auto"/>
            <w:noWrap/>
            <w:hideMark/>
          </w:tcPr>
          <w:p w14:paraId="18945AD3" w14:textId="6F112059" w:rsidR="006A3DBC" w:rsidRPr="002B7276" w:rsidRDefault="006A3DBC" w:rsidP="003C0630">
            <w:pPr>
              <w:spacing w:after="0" w:line="240" w:lineRule="auto"/>
              <w:jc w:val="center"/>
              <w:rPr>
                <w:rFonts w:eastAsia="Times New Roman" w:cs="Arial"/>
                <w:sz w:val="18"/>
                <w:szCs w:val="18"/>
                <w:lang w:eastAsia="es-SV"/>
              </w:rPr>
            </w:pPr>
            <w:r w:rsidRPr="002B7276">
              <w:rPr>
                <w:rFonts w:eastAsia="Times New Roman" w:cs="Arial"/>
                <w:sz w:val="18"/>
                <w:szCs w:val="18"/>
                <w:lang w:eastAsia="es-SV"/>
              </w:rPr>
              <w:t>13</w:t>
            </w:r>
            <w:r w:rsidR="004841E4" w:rsidRPr="002B7276">
              <w:rPr>
                <w:rFonts w:eastAsia="Times New Roman" w:cs="Arial"/>
                <w:sz w:val="18"/>
                <w:szCs w:val="18"/>
                <w:lang w:eastAsia="es-SV"/>
              </w:rPr>
              <w:t>,</w:t>
            </w:r>
            <w:r w:rsidRPr="002B7276">
              <w:rPr>
                <w:rFonts w:eastAsia="Times New Roman" w:cs="Arial"/>
                <w:sz w:val="18"/>
                <w:szCs w:val="18"/>
                <w:lang w:eastAsia="es-SV"/>
              </w:rPr>
              <w:t>941</w:t>
            </w:r>
          </w:p>
        </w:tc>
        <w:tc>
          <w:tcPr>
            <w:tcW w:w="1130" w:type="dxa"/>
            <w:shd w:val="clear" w:color="auto" w:fill="auto"/>
            <w:noWrap/>
            <w:hideMark/>
          </w:tcPr>
          <w:p w14:paraId="0E6D2001" w14:textId="16F70214" w:rsidR="006A3DBC" w:rsidRPr="002B7276" w:rsidRDefault="006A3DBC" w:rsidP="003C0630">
            <w:pPr>
              <w:spacing w:after="0" w:line="240" w:lineRule="auto"/>
              <w:jc w:val="center"/>
              <w:rPr>
                <w:rFonts w:eastAsia="Times New Roman" w:cs="Arial"/>
                <w:sz w:val="18"/>
                <w:szCs w:val="18"/>
                <w:lang w:eastAsia="es-SV"/>
              </w:rPr>
            </w:pPr>
            <w:r w:rsidRPr="002B7276">
              <w:rPr>
                <w:rFonts w:eastAsia="Times New Roman" w:cs="Arial"/>
                <w:sz w:val="18"/>
                <w:szCs w:val="18"/>
                <w:lang w:eastAsia="es-SV"/>
              </w:rPr>
              <w:t>35</w:t>
            </w:r>
            <w:r w:rsidR="004841E4" w:rsidRPr="002B7276">
              <w:rPr>
                <w:rFonts w:eastAsia="Times New Roman" w:cs="Arial"/>
                <w:sz w:val="18"/>
                <w:szCs w:val="18"/>
                <w:lang w:eastAsia="es-SV"/>
              </w:rPr>
              <w:t>,</w:t>
            </w:r>
            <w:r w:rsidRPr="002B7276">
              <w:rPr>
                <w:rFonts w:eastAsia="Times New Roman" w:cs="Arial"/>
                <w:sz w:val="18"/>
                <w:szCs w:val="18"/>
                <w:lang w:eastAsia="es-SV"/>
              </w:rPr>
              <w:t>367</w:t>
            </w:r>
          </w:p>
        </w:tc>
        <w:tc>
          <w:tcPr>
            <w:tcW w:w="1041" w:type="dxa"/>
            <w:shd w:val="clear" w:color="auto" w:fill="auto"/>
            <w:noWrap/>
            <w:vAlign w:val="bottom"/>
            <w:hideMark/>
          </w:tcPr>
          <w:p w14:paraId="0B71878E" w14:textId="77777777" w:rsidR="006A3DBC" w:rsidRPr="002B7276" w:rsidRDefault="006A3DBC" w:rsidP="003C0630">
            <w:pPr>
              <w:spacing w:after="0" w:line="240" w:lineRule="auto"/>
              <w:jc w:val="center"/>
              <w:rPr>
                <w:rFonts w:eastAsia="Times New Roman" w:cs="Arial"/>
                <w:lang w:eastAsia="es-SV"/>
              </w:rPr>
            </w:pPr>
            <w:r w:rsidRPr="002B7276">
              <w:rPr>
                <w:rFonts w:eastAsia="Times New Roman" w:cs="Arial"/>
                <w:lang w:eastAsia="es-SV"/>
              </w:rPr>
              <w:t>2.9%</w:t>
            </w:r>
          </w:p>
        </w:tc>
      </w:tr>
      <w:tr w:rsidR="002B7276" w:rsidRPr="002B7276" w14:paraId="518D21F8" w14:textId="77777777" w:rsidTr="005F4A92">
        <w:trPr>
          <w:trHeight w:val="255"/>
          <w:jc w:val="center"/>
        </w:trPr>
        <w:tc>
          <w:tcPr>
            <w:tcW w:w="2216" w:type="dxa"/>
            <w:shd w:val="clear" w:color="000000" w:fill="E0E0E0"/>
            <w:hideMark/>
          </w:tcPr>
          <w:p w14:paraId="079FA3AD" w14:textId="77777777" w:rsidR="006A3DBC" w:rsidRPr="002B7276" w:rsidRDefault="006A3DBC" w:rsidP="003C0630">
            <w:pPr>
              <w:spacing w:after="0" w:line="240" w:lineRule="auto"/>
              <w:jc w:val="both"/>
              <w:rPr>
                <w:rFonts w:eastAsia="Times New Roman" w:cs="Arial"/>
                <w:sz w:val="18"/>
                <w:szCs w:val="18"/>
                <w:lang w:eastAsia="es-SV"/>
              </w:rPr>
            </w:pPr>
            <w:r w:rsidRPr="002B7276">
              <w:rPr>
                <w:rFonts w:eastAsia="Times New Roman" w:cs="Arial"/>
                <w:sz w:val="18"/>
                <w:szCs w:val="18"/>
                <w:lang w:eastAsia="es-SV"/>
              </w:rPr>
              <w:t>Solo Trabaja</w:t>
            </w:r>
          </w:p>
        </w:tc>
        <w:tc>
          <w:tcPr>
            <w:tcW w:w="1108" w:type="dxa"/>
            <w:shd w:val="clear" w:color="auto" w:fill="auto"/>
            <w:noWrap/>
            <w:hideMark/>
          </w:tcPr>
          <w:p w14:paraId="1256E9E9" w14:textId="4487CAF4" w:rsidR="006A3DBC" w:rsidRPr="002B7276" w:rsidRDefault="006A3DBC" w:rsidP="003C0630">
            <w:pPr>
              <w:spacing w:after="0" w:line="240" w:lineRule="auto"/>
              <w:jc w:val="center"/>
              <w:rPr>
                <w:rFonts w:eastAsia="Times New Roman" w:cs="Arial"/>
                <w:sz w:val="18"/>
                <w:szCs w:val="18"/>
                <w:lang w:eastAsia="es-SV"/>
              </w:rPr>
            </w:pPr>
            <w:r w:rsidRPr="002B7276">
              <w:rPr>
                <w:rFonts w:eastAsia="Times New Roman" w:cs="Arial"/>
                <w:sz w:val="18"/>
                <w:szCs w:val="18"/>
                <w:lang w:eastAsia="es-SV"/>
              </w:rPr>
              <w:t>354</w:t>
            </w:r>
            <w:r w:rsidR="004841E4" w:rsidRPr="002B7276">
              <w:rPr>
                <w:rFonts w:eastAsia="Times New Roman" w:cs="Arial"/>
                <w:sz w:val="18"/>
                <w:szCs w:val="18"/>
                <w:lang w:eastAsia="es-SV"/>
              </w:rPr>
              <w:t>,</w:t>
            </w:r>
            <w:r w:rsidRPr="002B7276">
              <w:rPr>
                <w:rFonts w:eastAsia="Times New Roman" w:cs="Arial"/>
                <w:sz w:val="18"/>
                <w:szCs w:val="18"/>
                <w:lang w:eastAsia="es-SV"/>
              </w:rPr>
              <w:t>641</w:t>
            </w:r>
          </w:p>
        </w:tc>
        <w:tc>
          <w:tcPr>
            <w:tcW w:w="1108" w:type="dxa"/>
            <w:shd w:val="clear" w:color="auto" w:fill="auto"/>
            <w:noWrap/>
            <w:hideMark/>
          </w:tcPr>
          <w:p w14:paraId="2B583CC1" w14:textId="2B28D1BC" w:rsidR="006A3DBC" w:rsidRPr="002B7276" w:rsidRDefault="006A3DBC" w:rsidP="003C0630">
            <w:pPr>
              <w:spacing w:after="0" w:line="240" w:lineRule="auto"/>
              <w:jc w:val="center"/>
              <w:rPr>
                <w:rFonts w:eastAsia="Times New Roman" w:cs="Arial"/>
                <w:sz w:val="18"/>
                <w:szCs w:val="18"/>
                <w:lang w:eastAsia="es-SV"/>
              </w:rPr>
            </w:pPr>
            <w:r w:rsidRPr="002B7276">
              <w:rPr>
                <w:rFonts w:eastAsia="Times New Roman" w:cs="Arial"/>
                <w:sz w:val="18"/>
                <w:szCs w:val="18"/>
                <w:lang w:eastAsia="es-SV"/>
              </w:rPr>
              <w:t>183</w:t>
            </w:r>
            <w:r w:rsidR="004841E4" w:rsidRPr="002B7276">
              <w:rPr>
                <w:rFonts w:eastAsia="Times New Roman" w:cs="Arial"/>
                <w:sz w:val="18"/>
                <w:szCs w:val="18"/>
                <w:lang w:eastAsia="es-SV"/>
              </w:rPr>
              <w:t>,</w:t>
            </w:r>
            <w:r w:rsidRPr="002B7276">
              <w:rPr>
                <w:rFonts w:eastAsia="Times New Roman" w:cs="Arial"/>
                <w:sz w:val="18"/>
                <w:szCs w:val="18"/>
                <w:lang w:eastAsia="es-SV"/>
              </w:rPr>
              <w:t>096</w:t>
            </w:r>
          </w:p>
        </w:tc>
        <w:tc>
          <w:tcPr>
            <w:tcW w:w="1130" w:type="dxa"/>
            <w:shd w:val="clear" w:color="auto" w:fill="auto"/>
            <w:noWrap/>
            <w:hideMark/>
          </w:tcPr>
          <w:p w14:paraId="731F78EC" w14:textId="4B155FD2" w:rsidR="006A3DBC" w:rsidRPr="002B7276" w:rsidRDefault="006A3DBC" w:rsidP="003C0630">
            <w:pPr>
              <w:spacing w:after="0" w:line="240" w:lineRule="auto"/>
              <w:jc w:val="center"/>
              <w:rPr>
                <w:rFonts w:eastAsia="Times New Roman" w:cs="Arial"/>
                <w:sz w:val="18"/>
                <w:szCs w:val="18"/>
                <w:lang w:eastAsia="es-SV"/>
              </w:rPr>
            </w:pPr>
            <w:r w:rsidRPr="002B7276">
              <w:rPr>
                <w:rFonts w:eastAsia="Times New Roman" w:cs="Arial"/>
                <w:sz w:val="18"/>
                <w:szCs w:val="18"/>
                <w:lang w:eastAsia="es-SV"/>
              </w:rPr>
              <w:t>537</w:t>
            </w:r>
            <w:r w:rsidR="004841E4" w:rsidRPr="002B7276">
              <w:rPr>
                <w:rFonts w:eastAsia="Times New Roman" w:cs="Arial"/>
                <w:sz w:val="18"/>
                <w:szCs w:val="18"/>
                <w:lang w:eastAsia="es-SV"/>
              </w:rPr>
              <w:t>,</w:t>
            </w:r>
            <w:r w:rsidRPr="002B7276">
              <w:rPr>
                <w:rFonts w:eastAsia="Times New Roman" w:cs="Arial"/>
                <w:sz w:val="18"/>
                <w:szCs w:val="18"/>
                <w:lang w:eastAsia="es-SV"/>
              </w:rPr>
              <w:t>737</w:t>
            </w:r>
          </w:p>
        </w:tc>
        <w:tc>
          <w:tcPr>
            <w:tcW w:w="1041" w:type="dxa"/>
            <w:shd w:val="clear" w:color="auto" w:fill="auto"/>
            <w:noWrap/>
            <w:vAlign w:val="bottom"/>
            <w:hideMark/>
          </w:tcPr>
          <w:p w14:paraId="196EFA83" w14:textId="77777777" w:rsidR="006A3DBC" w:rsidRPr="002B7276" w:rsidRDefault="006A3DBC" w:rsidP="003C0630">
            <w:pPr>
              <w:spacing w:after="0" w:line="240" w:lineRule="auto"/>
              <w:jc w:val="center"/>
              <w:rPr>
                <w:rFonts w:eastAsia="Times New Roman" w:cs="Arial"/>
                <w:lang w:eastAsia="es-SV"/>
              </w:rPr>
            </w:pPr>
            <w:r w:rsidRPr="002B7276">
              <w:rPr>
                <w:rFonts w:eastAsia="Times New Roman" w:cs="Arial"/>
                <w:lang w:eastAsia="es-SV"/>
              </w:rPr>
              <w:t>43.6%</w:t>
            </w:r>
          </w:p>
        </w:tc>
      </w:tr>
      <w:tr w:rsidR="002B7276" w:rsidRPr="002B7276" w14:paraId="78AB9E66" w14:textId="77777777" w:rsidTr="005F4A92">
        <w:trPr>
          <w:trHeight w:val="255"/>
          <w:jc w:val="center"/>
        </w:trPr>
        <w:tc>
          <w:tcPr>
            <w:tcW w:w="2216" w:type="dxa"/>
            <w:shd w:val="clear" w:color="000000" w:fill="E0E0E0"/>
            <w:hideMark/>
          </w:tcPr>
          <w:p w14:paraId="2E5D11A5" w14:textId="77777777" w:rsidR="006A3DBC" w:rsidRPr="002B7276" w:rsidRDefault="006A3DBC" w:rsidP="003C0630">
            <w:pPr>
              <w:spacing w:after="0" w:line="240" w:lineRule="auto"/>
              <w:jc w:val="both"/>
              <w:rPr>
                <w:rFonts w:eastAsia="Times New Roman" w:cs="Arial"/>
                <w:sz w:val="18"/>
                <w:szCs w:val="18"/>
                <w:lang w:eastAsia="es-SV"/>
              </w:rPr>
            </w:pPr>
            <w:r w:rsidRPr="002B7276">
              <w:rPr>
                <w:rFonts w:eastAsia="Times New Roman" w:cs="Arial"/>
                <w:sz w:val="18"/>
                <w:szCs w:val="18"/>
                <w:lang w:eastAsia="es-SV"/>
              </w:rPr>
              <w:t>Solo Estudia</w:t>
            </w:r>
          </w:p>
        </w:tc>
        <w:tc>
          <w:tcPr>
            <w:tcW w:w="1108" w:type="dxa"/>
            <w:shd w:val="clear" w:color="auto" w:fill="auto"/>
            <w:noWrap/>
            <w:hideMark/>
          </w:tcPr>
          <w:p w14:paraId="437AA5A8" w14:textId="35CF4093" w:rsidR="006A3DBC" w:rsidRPr="002B7276" w:rsidRDefault="006A3DBC" w:rsidP="003C0630">
            <w:pPr>
              <w:spacing w:after="0" w:line="240" w:lineRule="auto"/>
              <w:jc w:val="center"/>
              <w:rPr>
                <w:rFonts w:eastAsia="Times New Roman" w:cs="Arial"/>
                <w:sz w:val="18"/>
                <w:szCs w:val="18"/>
                <w:lang w:eastAsia="es-SV"/>
              </w:rPr>
            </w:pPr>
            <w:r w:rsidRPr="002B7276">
              <w:rPr>
                <w:rFonts w:eastAsia="Times New Roman" w:cs="Arial"/>
                <w:sz w:val="18"/>
                <w:szCs w:val="18"/>
                <w:lang w:eastAsia="es-SV"/>
              </w:rPr>
              <w:t>121</w:t>
            </w:r>
            <w:r w:rsidR="004841E4" w:rsidRPr="002B7276">
              <w:rPr>
                <w:rFonts w:eastAsia="Times New Roman" w:cs="Arial"/>
                <w:sz w:val="18"/>
                <w:szCs w:val="18"/>
                <w:lang w:eastAsia="es-SV"/>
              </w:rPr>
              <w:t>,</w:t>
            </w:r>
            <w:r w:rsidRPr="002B7276">
              <w:rPr>
                <w:rFonts w:eastAsia="Times New Roman" w:cs="Arial"/>
                <w:sz w:val="18"/>
                <w:szCs w:val="18"/>
                <w:lang w:eastAsia="es-SV"/>
              </w:rPr>
              <w:t>721</w:t>
            </w:r>
          </w:p>
        </w:tc>
        <w:tc>
          <w:tcPr>
            <w:tcW w:w="1108" w:type="dxa"/>
            <w:shd w:val="clear" w:color="auto" w:fill="auto"/>
            <w:noWrap/>
            <w:hideMark/>
          </w:tcPr>
          <w:p w14:paraId="5331F925" w14:textId="34F5045B" w:rsidR="006A3DBC" w:rsidRPr="002B7276" w:rsidRDefault="006A3DBC" w:rsidP="003C0630">
            <w:pPr>
              <w:spacing w:after="0" w:line="240" w:lineRule="auto"/>
              <w:jc w:val="center"/>
              <w:rPr>
                <w:rFonts w:eastAsia="Times New Roman" w:cs="Arial"/>
                <w:sz w:val="18"/>
                <w:szCs w:val="18"/>
                <w:lang w:eastAsia="es-SV"/>
              </w:rPr>
            </w:pPr>
            <w:r w:rsidRPr="002B7276">
              <w:rPr>
                <w:rFonts w:eastAsia="Times New Roman" w:cs="Arial"/>
                <w:sz w:val="18"/>
                <w:szCs w:val="18"/>
                <w:lang w:eastAsia="es-SV"/>
              </w:rPr>
              <w:t>131</w:t>
            </w:r>
            <w:r w:rsidR="004841E4" w:rsidRPr="002B7276">
              <w:rPr>
                <w:rFonts w:eastAsia="Times New Roman" w:cs="Arial"/>
                <w:sz w:val="18"/>
                <w:szCs w:val="18"/>
                <w:lang w:eastAsia="es-SV"/>
              </w:rPr>
              <w:t>,</w:t>
            </w:r>
            <w:r w:rsidRPr="002B7276">
              <w:rPr>
                <w:rFonts w:eastAsia="Times New Roman" w:cs="Arial"/>
                <w:sz w:val="18"/>
                <w:szCs w:val="18"/>
                <w:lang w:eastAsia="es-SV"/>
              </w:rPr>
              <w:t>135</w:t>
            </w:r>
          </w:p>
        </w:tc>
        <w:tc>
          <w:tcPr>
            <w:tcW w:w="1130" w:type="dxa"/>
            <w:shd w:val="clear" w:color="auto" w:fill="auto"/>
            <w:noWrap/>
            <w:hideMark/>
          </w:tcPr>
          <w:p w14:paraId="3F2FD57C" w14:textId="73E195F6" w:rsidR="006A3DBC" w:rsidRPr="002B7276" w:rsidRDefault="006A3DBC" w:rsidP="003C0630">
            <w:pPr>
              <w:spacing w:after="0" w:line="240" w:lineRule="auto"/>
              <w:jc w:val="center"/>
              <w:rPr>
                <w:rFonts w:eastAsia="Times New Roman" w:cs="Arial"/>
                <w:sz w:val="18"/>
                <w:szCs w:val="18"/>
                <w:lang w:eastAsia="es-SV"/>
              </w:rPr>
            </w:pPr>
            <w:r w:rsidRPr="002B7276">
              <w:rPr>
                <w:rFonts w:eastAsia="Times New Roman" w:cs="Arial"/>
                <w:sz w:val="18"/>
                <w:szCs w:val="18"/>
                <w:lang w:eastAsia="es-SV"/>
              </w:rPr>
              <w:t>252</w:t>
            </w:r>
            <w:r w:rsidR="004841E4" w:rsidRPr="002B7276">
              <w:rPr>
                <w:rFonts w:eastAsia="Times New Roman" w:cs="Arial"/>
                <w:sz w:val="18"/>
                <w:szCs w:val="18"/>
                <w:lang w:eastAsia="es-SV"/>
              </w:rPr>
              <w:t>,</w:t>
            </w:r>
            <w:r w:rsidRPr="002B7276">
              <w:rPr>
                <w:rFonts w:eastAsia="Times New Roman" w:cs="Arial"/>
                <w:sz w:val="18"/>
                <w:szCs w:val="18"/>
                <w:lang w:eastAsia="es-SV"/>
              </w:rPr>
              <w:t>856</w:t>
            </w:r>
          </w:p>
        </w:tc>
        <w:tc>
          <w:tcPr>
            <w:tcW w:w="1041" w:type="dxa"/>
            <w:shd w:val="clear" w:color="auto" w:fill="auto"/>
            <w:noWrap/>
            <w:vAlign w:val="bottom"/>
            <w:hideMark/>
          </w:tcPr>
          <w:p w14:paraId="291DD61B" w14:textId="77777777" w:rsidR="006A3DBC" w:rsidRPr="002B7276" w:rsidRDefault="006A3DBC" w:rsidP="003C0630">
            <w:pPr>
              <w:spacing w:after="0" w:line="240" w:lineRule="auto"/>
              <w:jc w:val="center"/>
              <w:rPr>
                <w:rFonts w:eastAsia="Times New Roman" w:cs="Arial"/>
                <w:lang w:eastAsia="es-SV"/>
              </w:rPr>
            </w:pPr>
            <w:r w:rsidRPr="002B7276">
              <w:rPr>
                <w:rFonts w:eastAsia="Times New Roman" w:cs="Arial"/>
                <w:lang w:eastAsia="es-SV"/>
              </w:rPr>
              <w:t>20.5%</w:t>
            </w:r>
          </w:p>
        </w:tc>
      </w:tr>
      <w:tr w:rsidR="002B7276" w:rsidRPr="002B7276" w14:paraId="00B112BE" w14:textId="77777777" w:rsidTr="005F4A92">
        <w:trPr>
          <w:trHeight w:val="255"/>
          <w:jc w:val="center"/>
        </w:trPr>
        <w:tc>
          <w:tcPr>
            <w:tcW w:w="2216" w:type="dxa"/>
            <w:shd w:val="clear" w:color="000000" w:fill="E0E0E0"/>
            <w:hideMark/>
          </w:tcPr>
          <w:p w14:paraId="6AE8B207" w14:textId="77777777" w:rsidR="006A3DBC" w:rsidRPr="002B7276" w:rsidRDefault="006A3DBC" w:rsidP="003C0630">
            <w:pPr>
              <w:spacing w:after="0" w:line="240" w:lineRule="auto"/>
              <w:jc w:val="both"/>
              <w:rPr>
                <w:rFonts w:eastAsia="Times New Roman" w:cs="Arial"/>
                <w:sz w:val="18"/>
                <w:szCs w:val="18"/>
                <w:lang w:eastAsia="es-SV"/>
              </w:rPr>
            </w:pPr>
            <w:r w:rsidRPr="002B7276">
              <w:rPr>
                <w:rFonts w:eastAsia="Times New Roman" w:cs="Arial"/>
                <w:sz w:val="18"/>
                <w:szCs w:val="18"/>
                <w:lang w:eastAsia="es-SV"/>
              </w:rPr>
              <w:t>Ni Trabaja ni Estudia</w:t>
            </w:r>
          </w:p>
        </w:tc>
        <w:tc>
          <w:tcPr>
            <w:tcW w:w="1108" w:type="dxa"/>
            <w:shd w:val="clear" w:color="auto" w:fill="auto"/>
            <w:noWrap/>
            <w:hideMark/>
          </w:tcPr>
          <w:p w14:paraId="7C02A3DC" w14:textId="3780A5AD" w:rsidR="006A3DBC" w:rsidRPr="002B7276" w:rsidRDefault="006A3DBC" w:rsidP="003C0630">
            <w:pPr>
              <w:spacing w:after="0" w:line="240" w:lineRule="auto"/>
              <w:jc w:val="center"/>
              <w:rPr>
                <w:rFonts w:eastAsia="Times New Roman" w:cs="Arial"/>
                <w:sz w:val="18"/>
                <w:szCs w:val="18"/>
                <w:lang w:eastAsia="es-SV"/>
              </w:rPr>
            </w:pPr>
            <w:r w:rsidRPr="002B7276">
              <w:rPr>
                <w:rFonts w:eastAsia="Times New Roman" w:cs="Arial"/>
                <w:sz w:val="18"/>
                <w:szCs w:val="18"/>
                <w:lang w:eastAsia="es-SV"/>
              </w:rPr>
              <w:t>99</w:t>
            </w:r>
            <w:r w:rsidR="004841E4" w:rsidRPr="002B7276">
              <w:rPr>
                <w:rFonts w:eastAsia="Times New Roman" w:cs="Arial"/>
                <w:sz w:val="18"/>
                <w:szCs w:val="18"/>
                <w:lang w:eastAsia="es-SV"/>
              </w:rPr>
              <w:t>,</w:t>
            </w:r>
            <w:r w:rsidRPr="002B7276">
              <w:rPr>
                <w:rFonts w:eastAsia="Times New Roman" w:cs="Arial"/>
                <w:sz w:val="18"/>
                <w:szCs w:val="18"/>
                <w:lang w:eastAsia="es-SV"/>
              </w:rPr>
              <w:t>000</w:t>
            </w:r>
          </w:p>
        </w:tc>
        <w:tc>
          <w:tcPr>
            <w:tcW w:w="1108" w:type="dxa"/>
            <w:shd w:val="clear" w:color="auto" w:fill="auto"/>
            <w:noWrap/>
            <w:hideMark/>
          </w:tcPr>
          <w:p w14:paraId="0C552FBA" w14:textId="500B8ECE" w:rsidR="006A3DBC" w:rsidRPr="002B7276" w:rsidRDefault="006A3DBC" w:rsidP="003C0630">
            <w:pPr>
              <w:spacing w:after="0" w:line="240" w:lineRule="auto"/>
              <w:jc w:val="center"/>
              <w:rPr>
                <w:rFonts w:eastAsia="Times New Roman" w:cs="Arial"/>
                <w:sz w:val="18"/>
                <w:szCs w:val="18"/>
                <w:lang w:eastAsia="es-SV"/>
              </w:rPr>
            </w:pPr>
            <w:r w:rsidRPr="002B7276">
              <w:rPr>
                <w:rFonts w:eastAsia="Times New Roman" w:cs="Arial"/>
                <w:sz w:val="18"/>
                <w:szCs w:val="18"/>
                <w:lang w:eastAsia="es-SV"/>
              </w:rPr>
              <w:t>308</w:t>
            </w:r>
            <w:r w:rsidR="004841E4" w:rsidRPr="002B7276">
              <w:rPr>
                <w:rFonts w:eastAsia="Times New Roman" w:cs="Arial"/>
                <w:sz w:val="18"/>
                <w:szCs w:val="18"/>
                <w:lang w:eastAsia="es-SV"/>
              </w:rPr>
              <w:t>,</w:t>
            </w:r>
            <w:r w:rsidRPr="002B7276">
              <w:rPr>
                <w:rFonts w:eastAsia="Times New Roman" w:cs="Arial"/>
                <w:sz w:val="18"/>
                <w:szCs w:val="18"/>
                <w:lang w:eastAsia="es-SV"/>
              </w:rPr>
              <w:t>810</w:t>
            </w:r>
          </w:p>
        </w:tc>
        <w:tc>
          <w:tcPr>
            <w:tcW w:w="1130" w:type="dxa"/>
            <w:shd w:val="clear" w:color="auto" w:fill="auto"/>
            <w:noWrap/>
            <w:hideMark/>
          </w:tcPr>
          <w:p w14:paraId="3B14AF56" w14:textId="0D6B449E" w:rsidR="006A3DBC" w:rsidRPr="002B7276" w:rsidRDefault="006A3DBC" w:rsidP="003C0630">
            <w:pPr>
              <w:spacing w:after="0" w:line="240" w:lineRule="auto"/>
              <w:jc w:val="center"/>
              <w:rPr>
                <w:rFonts w:eastAsia="Times New Roman" w:cs="Arial"/>
                <w:sz w:val="18"/>
                <w:szCs w:val="18"/>
                <w:lang w:eastAsia="es-SV"/>
              </w:rPr>
            </w:pPr>
            <w:r w:rsidRPr="002B7276">
              <w:rPr>
                <w:rFonts w:eastAsia="Times New Roman" w:cs="Arial"/>
                <w:sz w:val="18"/>
                <w:szCs w:val="18"/>
                <w:lang w:eastAsia="es-SV"/>
              </w:rPr>
              <w:t>407</w:t>
            </w:r>
            <w:r w:rsidR="004841E4" w:rsidRPr="002B7276">
              <w:rPr>
                <w:rFonts w:eastAsia="Times New Roman" w:cs="Arial"/>
                <w:sz w:val="18"/>
                <w:szCs w:val="18"/>
                <w:lang w:eastAsia="es-SV"/>
              </w:rPr>
              <w:t>,</w:t>
            </w:r>
            <w:r w:rsidRPr="002B7276">
              <w:rPr>
                <w:rFonts w:eastAsia="Times New Roman" w:cs="Arial"/>
                <w:sz w:val="18"/>
                <w:szCs w:val="18"/>
                <w:lang w:eastAsia="es-SV"/>
              </w:rPr>
              <w:t>810</w:t>
            </w:r>
          </w:p>
        </w:tc>
        <w:tc>
          <w:tcPr>
            <w:tcW w:w="1041" w:type="dxa"/>
            <w:shd w:val="clear" w:color="auto" w:fill="auto"/>
            <w:noWrap/>
            <w:vAlign w:val="bottom"/>
            <w:hideMark/>
          </w:tcPr>
          <w:p w14:paraId="23975BFF" w14:textId="77777777" w:rsidR="006A3DBC" w:rsidRPr="002B7276" w:rsidRDefault="006A3DBC" w:rsidP="003C0630">
            <w:pPr>
              <w:spacing w:after="0" w:line="240" w:lineRule="auto"/>
              <w:jc w:val="center"/>
              <w:rPr>
                <w:rFonts w:eastAsia="Times New Roman" w:cs="Arial"/>
                <w:lang w:eastAsia="es-SV"/>
              </w:rPr>
            </w:pPr>
            <w:r w:rsidRPr="002B7276">
              <w:rPr>
                <w:rFonts w:eastAsia="Times New Roman" w:cs="Arial"/>
                <w:lang w:eastAsia="es-SV"/>
              </w:rPr>
              <w:t>33.1%</w:t>
            </w:r>
          </w:p>
        </w:tc>
      </w:tr>
      <w:tr w:rsidR="002B7276" w:rsidRPr="002B7276" w14:paraId="006B8316" w14:textId="77777777" w:rsidTr="005F4A92">
        <w:trPr>
          <w:trHeight w:val="255"/>
          <w:jc w:val="center"/>
        </w:trPr>
        <w:tc>
          <w:tcPr>
            <w:tcW w:w="2216" w:type="dxa"/>
            <w:shd w:val="clear" w:color="000000" w:fill="E0E0E0"/>
            <w:hideMark/>
          </w:tcPr>
          <w:p w14:paraId="2428B2FB" w14:textId="77BC97C9" w:rsidR="006A3DBC" w:rsidRPr="002B7276" w:rsidRDefault="006A3DBC" w:rsidP="003C0630">
            <w:pPr>
              <w:spacing w:after="0" w:line="240" w:lineRule="auto"/>
              <w:jc w:val="both"/>
              <w:rPr>
                <w:rFonts w:eastAsia="Times New Roman" w:cs="Arial"/>
                <w:b/>
                <w:bCs/>
                <w:sz w:val="18"/>
                <w:szCs w:val="18"/>
                <w:lang w:eastAsia="es-SV"/>
              </w:rPr>
            </w:pPr>
            <w:r w:rsidRPr="002B7276">
              <w:rPr>
                <w:rFonts w:eastAsia="Times New Roman" w:cs="Arial"/>
                <w:b/>
                <w:bCs/>
                <w:sz w:val="18"/>
                <w:szCs w:val="18"/>
                <w:lang w:eastAsia="es-SV"/>
              </w:rPr>
              <w:t> </w:t>
            </w:r>
            <w:r w:rsidR="003C0630" w:rsidRPr="002B7276">
              <w:rPr>
                <w:rFonts w:eastAsia="Times New Roman" w:cs="Arial"/>
                <w:b/>
                <w:bCs/>
                <w:sz w:val="18"/>
                <w:szCs w:val="18"/>
                <w:lang w:eastAsia="es-SV"/>
              </w:rPr>
              <w:t xml:space="preserve">Total </w:t>
            </w:r>
          </w:p>
        </w:tc>
        <w:tc>
          <w:tcPr>
            <w:tcW w:w="1108" w:type="dxa"/>
            <w:shd w:val="clear" w:color="auto" w:fill="auto"/>
            <w:noWrap/>
            <w:hideMark/>
          </w:tcPr>
          <w:p w14:paraId="48670440" w14:textId="5BDA7514" w:rsidR="006A3DBC" w:rsidRPr="002B7276" w:rsidRDefault="006A3DBC" w:rsidP="003C0630">
            <w:pPr>
              <w:spacing w:after="0" w:line="240" w:lineRule="auto"/>
              <w:jc w:val="center"/>
              <w:rPr>
                <w:rFonts w:eastAsia="Times New Roman" w:cs="Arial"/>
                <w:b/>
                <w:bCs/>
                <w:sz w:val="18"/>
                <w:szCs w:val="18"/>
                <w:lang w:eastAsia="es-SV"/>
              </w:rPr>
            </w:pPr>
            <w:r w:rsidRPr="002B7276">
              <w:rPr>
                <w:rFonts w:eastAsia="Times New Roman" w:cs="Arial"/>
                <w:b/>
                <w:bCs/>
                <w:sz w:val="18"/>
                <w:szCs w:val="18"/>
                <w:lang w:eastAsia="es-SV"/>
              </w:rPr>
              <w:t>596</w:t>
            </w:r>
            <w:r w:rsidR="004841E4" w:rsidRPr="002B7276">
              <w:rPr>
                <w:rFonts w:eastAsia="Times New Roman" w:cs="Arial"/>
                <w:b/>
                <w:bCs/>
                <w:sz w:val="18"/>
                <w:szCs w:val="18"/>
                <w:lang w:eastAsia="es-SV"/>
              </w:rPr>
              <w:t>,</w:t>
            </w:r>
            <w:r w:rsidRPr="002B7276">
              <w:rPr>
                <w:rFonts w:eastAsia="Times New Roman" w:cs="Arial"/>
                <w:b/>
                <w:bCs/>
                <w:sz w:val="18"/>
                <w:szCs w:val="18"/>
                <w:lang w:eastAsia="es-SV"/>
              </w:rPr>
              <w:t>788</w:t>
            </w:r>
          </w:p>
        </w:tc>
        <w:tc>
          <w:tcPr>
            <w:tcW w:w="1108" w:type="dxa"/>
            <w:shd w:val="clear" w:color="auto" w:fill="auto"/>
            <w:noWrap/>
            <w:hideMark/>
          </w:tcPr>
          <w:p w14:paraId="331AF204" w14:textId="37DDBF36" w:rsidR="006A3DBC" w:rsidRPr="002B7276" w:rsidRDefault="006A3DBC" w:rsidP="003C0630">
            <w:pPr>
              <w:spacing w:after="0" w:line="240" w:lineRule="auto"/>
              <w:jc w:val="center"/>
              <w:rPr>
                <w:rFonts w:eastAsia="Times New Roman" w:cs="Arial"/>
                <w:b/>
                <w:bCs/>
                <w:sz w:val="18"/>
                <w:szCs w:val="18"/>
                <w:lang w:eastAsia="es-SV"/>
              </w:rPr>
            </w:pPr>
            <w:r w:rsidRPr="002B7276">
              <w:rPr>
                <w:rFonts w:eastAsia="Times New Roman" w:cs="Arial"/>
                <w:b/>
                <w:bCs/>
                <w:sz w:val="18"/>
                <w:szCs w:val="18"/>
                <w:lang w:eastAsia="es-SV"/>
              </w:rPr>
              <w:t>636</w:t>
            </w:r>
            <w:r w:rsidR="004841E4" w:rsidRPr="002B7276">
              <w:rPr>
                <w:rFonts w:eastAsia="Times New Roman" w:cs="Arial"/>
                <w:b/>
                <w:bCs/>
                <w:sz w:val="18"/>
                <w:szCs w:val="18"/>
                <w:lang w:eastAsia="es-SV"/>
              </w:rPr>
              <w:t>,</w:t>
            </w:r>
            <w:r w:rsidRPr="002B7276">
              <w:rPr>
                <w:rFonts w:eastAsia="Times New Roman" w:cs="Arial"/>
                <w:b/>
                <w:bCs/>
                <w:sz w:val="18"/>
                <w:szCs w:val="18"/>
                <w:lang w:eastAsia="es-SV"/>
              </w:rPr>
              <w:t>982</w:t>
            </w:r>
          </w:p>
        </w:tc>
        <w:tc>
          <w:tcPr>
            <w:tcW w:w="1130" w:type="dxa"/>
            <w:shd w:val="clear" w:color="auto" w:fill="auto"/>
            <w:noWrap/>
            <w:hideMark/>
          </w:tcPr>
          <w:p w14:paraId="2BC34EAF" w14:textId="094A32DB" w:rsidR="006A3DBC" w:rsidRPr="002B7276" w:rsidRDefault="006A3DBC" w:rsidP="003C0630">
            <w:pPr>
              <w:spacing w:after="0" w:line="240" w:lineRule="auto"/>
              <w:jc w:val="center"/>
              <w:rPr>
                <w:rFonts w:eastAsia="Times New Roman" w:cs="Arial"/>
                <w:b/>
                <w:bCs/>
                <w:sz w:val="18"/>
                <w:szCs w:val="18"/>
                <w:lang w:eastAsia="es-SV"/>
              </w:rPr>
            </w:pPr>
            <w:r w:rsidRPr="002B7276">
              <w:rPr>
                <w:rFonts w:eastAsia="Times New Roman" w:cs="Arial"/>
                <w:b/>
                <w:bCs/>
                <w:sz w:val="18"/>
                <w:szCs w:val="18"/>
                <w:lang w:eastAsia="es-SV"/>
              </w:rPr>
              <w:t>1</w:t>
            </w:r>
            <w:r w:rsidR="004841E4" w:rsidRPr="002B7276">
              <w:rPr>
                <w:rFonts w:eastAsia="Times New Roman" w:cs="Arial"/>
                <w:b/>
                <w:bCs/>
                <w:sz w:val="18"/>
                <w:szCs w:val="18"/>
                <w:lang w:eastAsia="es-SV"/>
              </w:rPr>
              <w:t>,</w:t>
            </w:r>
            <w:r w:rsidRPr="002B7276">
              <w:rPr>
                <w:rFonts w:eastAsia="Times New Roman" w:cs="Arial"/>
                <w:b/>
                <w:bCs/>
                <w:sz w:val="18"/>
                <w:szCs w:val="18"/>
                <w:lang w:eastAsia="es-SV"/>
              </w:rPr>
              <w:t>233</w:t>
            </w:r>
            <w:r w:rsidR="004841E4" w:rsidRPr="002B7276">
              <w:rPr>
                <w:rFonts w:eastAsia="Times New Roman" w:cs="Arial"/>
                <w:b/>
                <w:bCs/>
                <w:sz w:val="18"/>
                <w:szCs w:val="18"/>
                <w:lang w:eastAsia="es-SV"/>
              </w:rPr>
              <w:t>,</w:t>
            </w:r>
            <w:r w:rsidRPr="002B7276">
              <w:rPr>
                <w:rFonts w:eastAsia="Times New Roman" w:cs="Arial"/>
                <w:b/>
                <w:bCs/>
                <w:sz w:val="18"/>
                <w:szCs w:val="18"/>
                <w:lang w:eastAsia="es-SV"/>
              </w:rPr>
              <w:t>770</w:t>
            </w:r>
          </w:p>
        </w:tc>
        <w:tc>
          <w:tcPr>
            <w:tcW w:w="1041" w:type="dxa"/>
            <w:shd w:val="clear" w:color="auto" w:fill="auto"/>
            <w:noWrap/>
            <w:vAlign w:val="bottom"/>
            <w:hideMark/>
          </w:tcPr>
          <w:p w14:paraId="7EAE5122" w14:textId="77777777" w:rsidR="006A3DBC" w:rsidRPr="002B7276" w:rsidRDefault="006A3DBC" w:rsidP="003C0630">
            <w:pPr>
              <w:spacing w:after="0" w:line="240" w:lineRule="auto"/>
              <w:jc w:val="center"/>
              <w:rPr>
                <w:rFonts w:eastAsia="Times New Roman" w:cs="Arial"/>
                <w:b/>
                <w:bCs/>
                <w:lang w:eastAsia="es-SV"/>
              </w:rPr>
            </w:pPr>
            <w:r w:rsidRPr="002B7276">
              <w:rPr>
                <w:rFonts w:eastAsia="Times New Roman" w:cs="Arial"/>
                <w:b/>
                <w:bCs/>
                <w:lang w:eastAsia="es-SV"/>
              </w:rPr>
              <w:t>100%</w:t>
            </w:r>
          </w:p>
        </w:tc>
      </w:tr>
    </w:tbl>
    <w:p w14:paraId="37908EAD" w14:textId="77777777" w:rsidR="006A3DBC" w:rsidRPr="00FA4B2D" w:rsidRDefault="006A3DBC" w:rsidP="006A3DBC">
      <w:pPr>
        <w:jc w:val="center"/>
        <w:rPr>
          <w:rFonts w:cs="Arial"/>
          <w:sz w:val="20"/>
          <w:szCs w:val="20"/>
        </w:rPr>
      </w:pPr>
      <w:r w:rsidRPr="00FA4B2D">
        <w:rPr>
          <w:rFonts w:cs="Arial"/>
          <w:b/>
          <w:bCs/>
          <w:sz w:val="20"/>
          <w:szCs w:val="20"/>
        </w:rPr>
        <w:t>Fuente</w:t>
      </w:r>
      <w:r w:rsidRPr="00FA4B2D">
        <w:rPr>
          <w:rFonts w:cs="Arial"/>
          <w:sz w:val="20"/>
          <w:szCs w:val="20"/>
        </w:rPr>
        <w:t>: elaboración propia con base a la EHPM 2019, INE.</w:t>
      </w:r>
    </w:p>
    <w:p w14:paraId="3FBE58B8" w14:textId="77777777" w:rsidR="006A3DBC" w:rsidRPr="00FA4B2D" w:rsidRDefault="006A3DBC" w:rsidP="00411720">
      <w:pPr>
        <w:pStyle w:val="Ttulo2"/>
        <w:numPr>
          <w:ilvl w:val="2"/>
          <w:numId w:val="100"/>
        </w:numPr>
        <w:spacing w:before="0" w:line="240" w:lineRule="auto"/>
        <w:jc w:val="both"/>
        <w:rPr>
          <w:rFonts w:ascii="Arial" w:hAnsi="Arial" w:cs="Arial"/>
          <w:b/>
          <w:bCs/>
          <w:color w:val="767171" w:themeColor="background2" w:themeShade="80"/>
          <w:sz w:val="22"/>
          <w:szCs w:val="22"/>
        </w:rPr>
      </w:pPr>
      <w:bookmarkStart w:id="716" w:name="_Toc156586905"/>
      <w:bookmarkStart w:id="717" w:name="_Toc202456936"/>
      <w:r w:rsidRPr="00FA4B2D">
        <w:rPr>
          <w:rFonts w:ascii="Arial" w:hAnsi="Arial" w:cs="Arial"/>
          <w:b/>
          <w:bCs/>
          <w:color w:val="767171" w:themeColor="background2" w:themeShade="80"/>
          <w:sz w:val="22"/>
          <w:szCs w:val="22"/>
        </w:rPr>
        <w:t>Situación del Trabajo infantil</w:t>
      </w:r>
      <w:bookmarkEnd w:id="716"/>
      <w:bookmarkEnd w:id="717"/>
    </w:p>
    <w:p w14:paraId="312D2312" w14:textId="77777777" w:rsidR="006A3DBC" w:rsidRPr="00FA4B2D" w:rsidRDefault="006A3DBC" w:rsidP="006A3DBC">
      <w:pPr>
        <w:jc w:val="both"/>
        <w:rPr>
          <w:rFonts w:cs="Arial"/>
        </w:rPr>
      </w:pPr>
      <w:r w:rsidRPr="00FA4B2D">
        <w:rPr>
          <w:rFonts w:cs="Arial"/>
        </w:rPr>
        <w:t xml:space="preserve">La Convención sobre los Derechos del Niño reconoce su derecho a ser protegidos contra la explotación económica y contra el desempeño de cualquier trabajo que pueda ser peligroso o entorpecer su educación, o que sea nocivo para su salud o para su desarrollo físico, mental, espiritual, moral o social. A pesar de ello, a nivel nacional en Honduras, la encuesta ENDESA identificó la presencia de situaciones de trabajo infantil, siendo que el 15.3% de los niños entre 5 y 17 años se enfrentan a esta situación.  </w:t>
      </w:r>
    </w:p>
    <w:p w14:paraId="2BA73990" w14:textId="77777777" w:rsidR="006A3DBC" w:rsidRPr="00FA4B2D" w:rsidRDefault="006A3DBC" w:rsidP="006A3DBC">
      <w:pPr>
        <w:jc w:val="both"/>
        <w:rPr>
          <w:rFonts w:cs="Arial"/>
        </w:rPr>
      </w:pPr>
      <w:r w:rsidRPr="00FA4B2D">
        <w:rPr>
          <w:rFonts w:cs="Arial"/>
        </w:rPr>
        <w:t>A nivel de los departamentos de intervención de COMRURAL, se identifican los siguientes resultados:</w:t>
      </w:r>
    </w:p>
    <w:p w14:paraId="536D0826" w14:textId="7C69522A" w:rsidR="00F94AC4" w:rsidRDefault="00F94AC4" w:rsidP="00F94AC4">
      <w:pPr>
        <w:pStyle w:val="Descripcin"/>
        <w:keepNext/>
      </w:pPr>
      <w:bookmarkStart w:id="718" w:name="_Toc202455466"/>
      <w:r>
        <w:t xml:space="preserve">Tabla </w:t>
      </w:r>
      <w:r>
        <w:fldChar w:fldCharType="begin"/>
      </w:r>
      <w:r>
        <w:instrText xml:space="preserve"> SEQ Tabla \* ARABIC </w:instrText>
      </w:r>
      <w:r>
        <w:fldChar w:fldCharType="separate"/>
      </w:r>
      <w:r w:rsidR="000E6D86">
        <w:rPr>
          <w:noProof/>
        </w:rPr>
        <w:t>40</w:t>
      </w:r>
      <w:r>
        <w:fldChar w:fldCharType="end"/>
      </w:r>
      <w:r>
        <w:t xml:space="preserve">: </w:t>
      </w:r>
      <w:r w:rsidRPr="009D1484">
        <w:t>Situación del trabajo infantil. Tres departamentos</w:t>
      </w:r>
      <w:bookmarkEnd w:id="718"/>
    </w:p>
    <w:tbl>
      <w:tblPr>
        <w:tblW w:w="6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4"/>
        <w:gridCol w:w="2614"/>
        <w:gridCol w:w="2614"/>
      </w:tblGrid>
      <w:tr w:rsidR="002B7276" w:rsidRPr="002B7276" w14:paraId="7D4A550F" w14:textId="77777777" w:rsidTr="00016847">
        <w:trPr>
          <w:trHeight w:val="439"/>
          <w:jc w:val="center"/>
        </w:trPr>
        <w:tc>
          <w:tcPr>
            <w:tcW w:w="1674" w:type="dxa"/>
            <w:shd w:val="clear" w:color="auto" w:fill="5CC5DA"/>
            <w:vAlign w:val="center"/>
            <w:hideMark/>
          </w:tcPr>
          <w:p w14:paraId="553DE15B" w14:textId="77777777" w:rsidR="006A3DBC" w:rsidRPr="002B7276" w:rsidRDefault="006A3DBC" w:rsidP="005F4A92">
            <w:pPr>
              <w:spacing w:after="0" w:line="240" w:lineRule="auto"/>
              <w:jc w:val="center"/>
              <w:rPr>
                <w:rFonts w:eastAsia="Times New Roman" w:cs="Arial"/>
                <w:b/>
                <w:bCs/>
                <w:sz w:val="20"/>
                <w:szCs w:val="20"/>
                <w:lang w:eastAsia="es-SV"/>
              </w:rPr>
            </w:pPr>
            <w:r w:rsidRPr="002B7276">
              <w:rPr>
                <w:rFonts w:eastAsia="Times New Roman" w:cs="Arial"/>
                <w:b/>
                <w:bCs/>
                <w:sz w:val="20"/>
                <w:szCs w:val="20"/>
                <w:lang w:eastAsia="es-SV"/>
              </w:rPr>
              <w:t>Departamentos </w:t>
            </w:r>
          </w:p>
        </w:tc>
        <w:tc>
          <w:tcPr>
            <w:tcW w:w="2614" w:type="dxa"/>
            <w:shd w:val="clear" w:color="auto" w:fill="5CC5DA"/>
            <w:vAlign w:val="center"/>
            <w:hideMark/>
          </w:tcPr>
          <w:p w14:paraId="41FB49EF" w14:textId="77777777" w:rsidR="006A3DBC" w:rsidRPr="002B7276" w:rsidRDefault="006A3DBC" w:rsidP="005F4A92">
            <w:pPr>
              <w:spacing w:after="0" w:line="240" w:lineRule="auto"/>
              <w:jc w:val="center"/>
              <w:rPr>
                <w:rFonts w:eastAsia="Times New Roman" w:cs="Arial"/>
                <w:b/>
                <w:bCs/>
                <w:sz w:val="20"/>
                <w:szCs w:val="20"/>
                <w:lang w:eastAsia="es-SV"/>
              </w:rPr>
            </w:pPr>
            <w:r w:rsidRPr="002B7276">
              <w:rPr>
                <w:rFonts w:eastAsia="Times New Roman" w:cs="Arial"/>
                <w:b/>
                <w:bCs/>
                <w:sz w:val="20"/>
                <w:szCs w:val="20"/>
                <w:lang w:eastAsia="es-SV"/>
              </w:rPr>
              <w:t xml:space="preserve">Trabajo infantil </w:t>
            </w:r>
          </w:p>
        </w:tc>
        <w:tc>
          <w:tcPr>
            <w:tcW w:w="2614" w:type="dxa"/>
            <w:shd w:val="clear" w:color="auto" w:fill="5CC5DA"/>
            <w:vAlign w:val="center"/>
          </w:tcPr>
          <w:p w14:paraId="6050228D" w14:textId="77777777" w:rsidR="006A3DBC" w:rsidRPr="002B7276" w:rsidRDefault="006A3DBC" w:rsidP="005F4A92">
            <w:pPr>
              <w:spacing w:after="0" w:line="240" w:lineRule="auto"/>
              <w:jc w:val="center"/>
              <w:rPr>
                <w:rFonts w:eastAsia="Times New Roman" w:cs="Arial"/>
                <w:b/>
                <w:bCs/>
                <w:sz w:val="20"/>
                <w:szCs w:val="20"/>
                <w:lang w:eastAsia="es-SV"/>
              </w:rPr>
            </w:pPr>
            <w:r w:rsidRPr="002B7276">
              <w:rPr>
                <w:rFonts w:eastAsia="Times New Roman" w:cs="Arial"/>
                <w:b/>
                <w:bCs/>
                <w:sz w:val="20"/>
                <w:szCs w:val="20"/>
                <w:lang w:eastAsia="es-SV"/>
              </w:rPr>
              <w:t>Trabajo peligroso</w:t>
            </w:r>
          </w:p>
        </w:tc>
      </w:tr>
      <w:tr w:rsidR="002B7276" w:rsidRPr="002B7276" w14:paraId="58CA048A" w14:textId="77777777" w:rsidTr="005F4A92">
        <w:trPr>
          <w:trHeight w:val="191"/>
          <w:jc w:val="center"/>
        </w:trPr>
        <w:tc>
          <w:tcPr>
            <w:tcW w:w="1674" w:type="dxa"/>
            <w:shd w:val="clear" w:color="auto" w:fill="auto"/>
            <w:noWrap/>
            <w:vAlign w:val="center"/>
            <w:hideMark/>
          </w:tcPr>
          <w:p w14:paraId="27AE187C" w14:textId="77777777" w:rsidR="006A3DBC" w:rsidRPr="002B7276" w:rsidRDefault="006A3DBC" w:rsidP="005F4A92">
            <w:pPr>
              <w:spacing w:after="0" w:line="240" w:lineRule="auto"/>
              <w:ind w:firstLineChars="100" w:firstLine="200"/>
              <w:rPr>
                <w:rFonts w:eastAsia="Times New Roman" w:cs="Arial"/>
                <w:sz w:val="20"/>
                <w:szCs w:val="20"/>
                <w:lang w:eastAsia="es-SV"/>
              </w:rPr>
            </w:pPr>
            <w:r w:rsidRPr="002B7276">
              <w:rPr>
                <w:rFonts w:eastAsia="Times New Roman" w:cs="Arial"/>
                <w:sz w:val="20"/>
                <w:szCs w:val="20"/>
                <w:lang w:eastAsia="es-SV"/>
              </w:rPr>
              <w:t>Olancho</w:t>
            </w:r>
          </w:p>
        </w:tc>
        <w:tc>
          <w:tcPr>
            <w:tcW w:w="2614" w:type="dxa"/>
            <w:shd w:val="clear" w:color="auto" w:fill="auto"/>
            <w:noWrap/>
            <w:vAlign w:val="center"/>
          </w:tcPr>
          <w:p w14:paraId="5CEE2696" w14:textId="77777777" w:rsidR="006A3DBC" w:rsidRPr="002B7276" w:rsidRDefault="006A3DBC" w:rsidP="005274C8">
            <w:pPr>
              <w:spacing w:after="0" w:line="240" w:lineRule="auto"/>
              <w:jc w:val="center"/>
              <w:rPr>
                <w:rFonts w:eastAsia="Times New Roman" w:cs="Arial"/>
                <w:sz w:val="20"/>
                <w:szCs w:val="20"/>
                <w:lang w:eastAsia="es-SV"/>
              </w:rPr>
            </w:pPr>
            <w:r w:rsidRPr="002B7276">
              <w:rPr>
                <w:rFonts w:eastAsia="Times New Roman" w:cs="Arial"/>
                <w:sz w:val="20"/>
                <w:szCs w:val="20"/>
                <w:lang w:eastAsia="es-SV"/>
              </w:rPr>
              <w:t>18.3%</w:t>
            </w:r>
          </w:p>
        </w:tc>
        <w:tc>
          <w:tcPr>
            <w:tcW w:w="2614" w:type="dxa"/>
          </w:tcPr>
          <w:p w14:paraId="374B24A8" w14:textId="77777777" w:rsidR="006A3DBC" w:rsidRPr="002B7276" w:rsidRDefault="006A3DBC" w:rsidP="005274C8">
            <w:pPr>
              <w:spacing w:after="0" w:line="240" w:lineRule="auto"/>
              <w:jc w:val="center"/>
              <w:rPr>
                <w:rFonts w:eastAsia="Times New Roman" w:cs="Arial"/>
                <w:sz w:val="20"/>
                <w:szCs w:val="20"/>
                <w:lang w:eastAsia="es-SV"/>
              </w:rPr>
            </w:pPr>
            <w:r w:rsidRPr="002B7276">
              <w:rPr>
                <w:rFonts w:eastAsia="Times New Roman" w:cs="Arial"/>
                <w:sz w:val="20"/>
                <w:szCs w:val="20"/>
                <w:lang w:eastAsia="es-SV"/>
              </w:rPr>
              <w:t>15.1%</w:t>
            </w:r>
          </w:p>
        </w:tc>
      </w:tr>
      <w:tr w:rsidR="002B7276" w:rsidRPr="002B7276" w14:paraId="6A4943CB" w14:textId="77777777" w:rsidTr="005F4A92">
        <w:trPr>
          <w:trHeight w:val="191"/>
          <w:jc w:val="center"/>
        </w:trPr>
        <w:tc>
          <w:tcPr>
            <w:tcW w:w="1674" w:type="dxa"/>
            <w:shd w:val="clear" w:color="auto" w:fill="auto"/>
            <w:noWrap/>
            <w:vAlign w:val="center"/>
            <w:hideMark/>
          </w:tcPr>
          <w:p w14:paraId="591D1539" w14:textId="77777777" w:rsidR="006A3DBC" w:rsidRPr="002B7276" w:rsidRDefault="006A3DBC" w:rsidP="005F4A92">
            <w:pPr>
              <w:spacing w:after="0" w:line="240" w:lineRule="auto"/>
              <w:ind w:firstLineChars="100" w:firstLine="200"/>
              <w:rPr>
                <w:rFonts w:eastAsia="Times New Roman" w:cs="Arial"/>
                <w:sz w:val="20"/>
                <w:szCs w:val="20"/>
                <w:lang w:eastAsia="es-SV"/>
              </w:rPr>
            </w:pPr>
            <w:r w:rsidRPr="002B7276">
              <w:rPr>
                <w:rFonts w:eastAsia="Times New Roman" w:cs="Arial"/>
                <w:sz w:val="20"/>
                <w:szCs w:val="20"/>
                <w:lang w:eastAsia="es-SV"/>
              </w:rPr>
              <w:t>Valle</w:t>
            </w:r>
          </w:p>
        </w:tc>
        <w:tc>
          <w:tcPr>
            <w:tcW w:w="2614" w:type="dxa"/>
            <w:shd w:val="clear" w:color="auto" w:fill="auto"/>
            <w:noWrap/>
            <w:vAlign w:val="center"/>
          </w:tcPr>
          <w:p w14:paraId="4BC4058C" w14:textId="77777777" w:rsidR="006A3DBC" w:rsidRPr="002B7276" w:rsidRDefault="006A3DBC" w:rsidP="005274C8">
            <w:pPr>
              <w:spacing w:after="0" w:line="240" w:lineRule="auto"/>
              <w:jc w:val="center"/>
              <w:rPr>
                <w:rFonts w:eastAsia="Times New Roman" w:cs="Arial"/>
                <w:sz w:val="20"/>
                <w:szCs w:val="20"/>
                <w:lang w:eastAsia="es-SV"/>
              </w:rPr>
            </w:pPr>
            <w:r w:rsidRPr="002B7276">
              <w:rPr>
                <w:rFonts w:eastAsia="Times New Roman" w:cs="Arial"/>
                <w:sz w:val="20"/>
                <w:szCs w:val="20"/>
                <w:lang w:eastAsia="es-SV"/>
              </w:rPr>
              <w:t>11.9%</w:t>
            </w:r>
          </w:p>
        </w:tc>
        <w:tc>
          <w:tcPr>
            <w:tcW w:w="2614" w:type="dxa"/>
          </w:tcPr>
          <w:p w14:paraId="3A159D88" w14:textId="77777777" w:rsidR="006A3DBC" w:rsidRPr="002B7276" w:rsidRDefault="006A3DBC" w:rsidP="005274C8">
            <w:pPr>
              <w:spacing w:after="0" w:line="240" w:lineRule="auto"/>
              <w:jc w:val="center"/>
              <w:rPr>
                <w:rFonts w:eastAsia="Times New Roman" w:cs="Arial"/>
                <w:sz w:val="20"/>
                <w:szCs w:val="20"/>
                <w:lang w:eastAsia="es-SV"/>
              </w:rPr>
            </w:pPr>
            <w:r w:rsidRPr="002B7276">
              <w:rPr>
                <w:rFonts w:eastAsia="Times New Roman" w:cs="Arial"/>
                <w:sz w:val="20"/>
                <w:szCs w:val="20"/>
                <w:lang w:eastAsia="es-SV"/>
              </w:rPr>
              <w:t>14.5%</w:t>
            </w:r>
          </w:p>
        </w:tc>
      </w:tr>
      <w:tr w:rsidR="002B7276" w:rsidRPr="002B7276" w14:paraId="48355311" w14:textId="77777777" w:rsidTr="005F4A92">
        <w:trPr>
          <w:trHeight w:val="191"/>
          <w:jc w:val="center"/>
        </w:trPr>
        <w:tc>
          <w:tcPr>
            <w:tcW w:w="1674" w:type="dxa"/>
            <w:shd w:val="clear" w:color="auto" w:fill="auto"/>
            <w:noWrap/>
            <w:vAlign w:val="center"/>
            <w:hideMark/>
          </w:tcPr>
          <w:p w14:paraId="17BAB756" w14:textId="77777777" w:rsidR="006A3DBC" w:rsidRPr="002B7276" w:rsidRDefault="006A3DBC" w:rsidP="005F4A92">
            <w:pPr>
              <w:spacing w:after="0" w:line="240" w:lineRule="auto"/>
              <w:ind w:firstLineChars="100" w:firstLine="200"/>
              <w:rPr>
                <w:rFonts w:eastAsia="Times New Roman" w:cs="Arial"/>
                <w:sz w:val="20"/>
                <w:szCs w:val="20"/>
                <w:lang w:eastAsia="es-SV"/>
              </w:rPr>
            </w:pPr>
            <w:r w:rsidRPr="002B7276">
              <w:rPr>
                <w:rFonts w:eastAsia="Times New Roman" w:cs="Arial"/>
                <w:sz w:val="20"/>
                <w:szCs w:val="20"/>
                <w:lang w:eastAsia="es-SV"/>
              </w:rPr>
              <w:t>Yoro</w:t>
            </w:r>
          </w:p>
        </w:tc>
        <w:tc>
          <w:tcPr>
            <w:tcW w:w="2614" w:type="dxa"/>
            <w:shd w:val="clear" w:color="auto" w:fill="auto"/>
            <w:noWrap/>
            <w:vAlign w:val="center"/>
          </w:tcPr>
          <w:p w14:paraId="711829FE" w14:textId="77777777" w:rsidR="006A3DBC" w:rsidRPr="002B7276" w:rsidRDefault="006A3DBC" w:rsidP="005274C8">
            <w:pPr>
              <w:spacing w:after="0" w:line="240" w:lineRule="auto"/>
              <w:jc w:val="center"/>
              <w:rPr>
                <w:rFonts w:eastAsia="Times New Roman" w:cs="Arial"/>
                <w:sz w:val="20"/>
                <w:szCs w:val="20"/>
                <w:lang w:eastAsia="es-SV"/>
              </w:rPr>
            </w:pPr>
            <w:r w:rsidRPr="002B7276">
              <w:rPr>
                <w:rFonts w:eastAsia="Times New Roman" w:cs="Arial"/>
                <w:sz w:val="20"/>
                <w:szCs w:val="20"/>
                <w:lang w:eastAsia="es-SV"/>
              </w:rPr>
              <w:t>18.5%</w:t>
            </w:r>
          </w:p>
        </w:tc>
        <w:tc>
          <w:tcPr>
            <w:tcW w:w="2614" w:type="dxa"/>
          </w:tcPr>
          <w:p w14:paraId="470FE79D" w14:textId="77777777" w:rsidR="006A3DBC" w:rsidRPr="002B7276" w:rsidRDefault="006A3DBC" w:rsidP="005274C8">
            <w:pPr>
              <w:spacing w:after="0" w:line="240" w:lineRule="auto"/>
              <w:jc w:val="center"/>
              <w:rPr>
                <w:rFonts w:eastAsia="Times New Roman" w:cs="Arial"/>
                <w:sz w:val="20"/>
                <w:szCs w:val="20"/>
                <w:lang w:eastAsia="es-SV"/>
              </w:rPr>
            </w:pPr>
            <w:r w:rsidRPr="002B7276">
              <w:rPr>
                <w:rFonts w:eastAsia="Times New Roman" w:cs="Arial"/>
                <w:sz w:val="20"/>
                <w:szCs w:val="20"/>
                <w:lang w:eastAsia="es-SV"/>
              </w:rPr>
              <w:t>17.5%</w:t>
            </w:r>
          </w:p>
        </w:tc>
      </w:tr>
      <w:tr w:rsidR="002B7276" w:rsidRPr="002B7276" w14:paraId="6DAF23FE" w14:textId="77777777" w:rsidTr="005F4A92">
        <w:trPr>
          <w:trHeight w:val="191"/>
          <w:jc w:val="center"/>
        </w:trPr>
        <w:tc>
          <w:tcPr>
            <w:tcW w:w="1674" w:type="dxa"/>
            <w:shd w:val="clear" w:color="auto" w:fill="auto"/>
            <w:noWrap/>
            <w:vAlign w:val="center"/>
          </w:tcPr>
          <w:p w14:paraId="40C095A2" w14:textId="77777777" w:rsidR="006A3DBC" w:rsidRPr="002B7276" w:rsidRDefault="006A3DBC" w:rsidP="005F4A92">
            <w:pPr>
              <w:spacing w:after="0" w:line="240" w:lineRule="auto"/>
              <w:ind w:firstLineChars="100" w:firstLine="200"/>
              <w:rPr>
                <w:rFonts w:eastAsia="Times New Roman" w:cs="Arial"/>
                <w:sz w:val="20"/>
                <w:szCs w:val="20"/>
                <w:lang w:eastAsia="es-SV"/>
              </w:rPr>
            </w:pPr>
            <w:r w:rsidRPr="002B7276">
              <w:rPr>
                <w:rFonts w:eastAsia="Times New Roman" w:cs="Arial"/>
                <w:sz w:val="20"/>
                <w:szCs w:val="20"/>
                <w:lang w:eastAsia="es-SV"/>
              </w:rPr>
              <w:t>Gracias a Dios</w:t>
            </w:r>
          </w:p>
        </w:tc>
        <w:tc>
          <w:tcPr>
            <w:tcW w:w="2614" w:type="dxa"/>
            <w:shd w:val="clear" w:color="auto" w:fill="auto"/>
            <w:noWrap/>
            <w:vAlign w:val="center"/>
          </w:tcPr>
          <w:p w14:paraId="37393541" w14:textId="77777777" w:rsidR="006A3DBC" w:rsidRPr="002B7276" w:rsidRDefault="006A3DBC" w:rsidP="005274C8">
            <w:pPr>
              <w:spacing w:after="0" w:line="240" w:lineRule="auto"/>
              <w:jc w:val="center"/>
              <w:rPr>
                <w:rFonts w:eastAsia="Times New Roman" w:cs="Arial"/>
                <w:sz w:val="20"/>
                <w:szCs w:val="20"/>
                <w:lang w:eastAsia="es-SV"/>
              </w:rPr>
            </w:pPr>
            <w:r w:rsidRPr="002B7276">
              <w:rPr>
                <w:rFonts w:eastAsia="Times New Roman" w:cs="Arial"/>
                <w:sz w:val="20"/>
                <w:szCs w:val="20"/>
                <w:lang w:eastAsia="es-SV"/>
              </w:rPr>
              <w:t>15.5%</w:t>
            </w:r>
          </w:p>
        </w:tc>
        <w:tc>
          <w:tcPr>
            <w:tcW w:w="2614" w:type="dxa"/>
          </w:tcPr>
          <w:p w14:paraId="28BCCA71" w14:textId="77777777" w:rsidR="006A3DBC" w:rsidRPr="002B7276" w:rsidRDefault="006A3DBC" w:rsidP="005274C8">
            <w:pPr>
              <w:spacing w:after="0" w:line="240" w:lineRule="auto"/>
              <w:jc w:val="center"/>
              <w:rPr>
                <w:rFonts w:eastAsia="Times New Roman" w:cs="Arial"/>
                <w:sz w:val="20"/>
                <w:szCs w:val="20"/>
                <w:lang w:eastAsia="es-SV"/>
              </w:rPr>
            </w:pPr>
            <w:r w:rsidRPr="002B7276">
              <w:rPr>
                <w:rFonts w:eastAsia="Times New Roman" w:cs="Arial"/>
                <w:sz w:val="20"/>
                <w:szCs w:val="20"/>
                <w:lang w:eastAsia="es-SV"/>
              </w:rPr>
              <w:t>10.9%</w:t>
            </w:r>
          </w:p>
        </w:tc>
      </w:tr>
    </w:tbl>
    <w:p w14:paraId="7304CA65" w14:textId="77777777" w:rsidR="006A3DBC" w:rsidRPr="00FA4B2D" w:rsidRDefault="006A3DBC" w:rsidP="006A3DBC">
      <w:pPr>
        <w:rPr>
          <w:rFonts w:cs="Arial"/>
          <w:lang w:eastAsia="es-SV"/>
        </w:rPr>
      </w:pPr>
    </w:p>
    <w:p w14:paraId="19D5801A" w14:textId="77777777" w:rsidR="006A3DBC" w:rsidRPr="00FA4B2D" w:rsidRDefault="006A3DBC" w:rsidP="006A3DBC">
      <w:pPr>
        <w:jc w:val="both"/>
        <w:rPr>
          <w:rFonts w:cs="Arial"/>
          <w:lang w:eastAsia="es-SV"/>
        </w:rPr>
      </w:pPr>
      <w:r w:rsidRPr="00FA4B2D">
        <w:rPr>
          <w:rFonts w:cs="Arial"/>
          <w:lang w:eastAsia="es-SV"/>
        </w:rPr>
        <w:t xml:space="preserve">Por otra parte, la misma ENDESA, identifica el trabajo peligroso al que pueden estar expuestos </w:t>
      </w:r>
      <w:proofErr w:type="gramStart"/>
      <w:r w:rsidRPr="00FA4B2D">
        <w:rPr>
          <w:rFonts w:cs="Arial"/>
          <w:lang w:eastAsia="es-SV"/>
        </w:rPr>
        <w:t>niñas y niños</w:t>
      </w:r>
      <w:proofErr w:type="gramEnd"/>
      <w:r w:rsidRPr="00FA4B2D">
        <w:rPr>
          <w:rFonts w:cs="Arial"/>
          <w:lang w:eastAsia="es-SV"/>
        </w:rPr>
        <w:t xml:space="preserve"> entre 5 y 17 años que desarrollan actividades consideradas en condiciones peligrosas, hasta la última semana de la encuesta. El resultado se identifica en la tabla anterior, siendo el departamento de Yoro con 17.5%, es decir, 2 </w:t>
      </w:r>
      <w:r w:rsidRPr="00FA4B2D">
        <w:rPr>
          <w:rFonts w:cs="Arial"/>
          <w:lang w:eastAsia="es-SV"/>
        </w:rPr>
        <w:lastRenderedPageBreak/>
        <w:t xml:space="preserve">de cada 10 niñas o niños en donde se presenta esta situación. Seguido de Olancho con 15.1% de trabajo peligroso, y Valle con 14.5%. </w:t>
      </w:r>
    </w:p>
    <w:p w14:paraId="2EA01F37" w14:textId="77777777" w:rsidR="006A3DBC" w:rsidRPr="00FA4B2D" w:rsidRDefault="006A3DBC" w:rsidP="00411720">
      <w:pPr>
        <w:pStyle w:val="Ttulo2"/>
        <w:numPr>
          <w:ilvl w:val="2"/>
          <w:numId w:val="100"/>
        </w:numPr>
        <w:spacing w:before="0" w:line="240" w:lineRule="auto"/>
        <w:jc w:val="both"/>
        <w:rPr>
          <w:rFonts w:ascii="Arial" w:hAnsi="Arial" w:cs="Arial"/>
          <w:b/>
          <w:bCs/>
          <w:color w:val="767171" w:themeColor="background2" w:themeShade="80"/>
          <w:sz w:val="22"/>
          <w:szCs w:val="22"/>
        </w:rPr>
      </w:pPr>
      <w:bookmarkStart w:id="719" w:name="_Toc202456937"/>
      <w:r w:rsidRPr="00FA4B2D">
        <w:rPr>
          <w:rFonts w:ascii="Arial" w:hAnsi="Arial" w:cs="Arial"/>
          <w:b/>
          <w:bCs/>
          <w:color w:val="767171" w:themeColor="background2" w:themeShade="80"/>
          <w:sz w:val="22"/>
          <w:szCs w:val="22"/>
        </w:rPr>
        <w:t>Situacional nutricional y de salud</w:t>
      </w:r>
      <w:bookmarkEnd w:id="719"/>
      <w:r w:rsidRPr="00FA4B2D">
        <w:rPr>
          <w:rFonts w:ascii="Arial" w:hAnsi="Arial" w:cs="Arial"/>
          <w:b/>
          <w:bCs/>
          <w:color w:val="767171" w:themeColor="background2" w:themeShade="80"/>
          <w:sz w:val="22"/>
          <w:szCs w:val="22"/>
        </w:rPr>
        <w:t xml:space="preserve"> </w:t>
      </w:r>
    </w:p>
    <w:p w14:paraId="071D18FD" w14:textId="77777777" w:rsidR="006A3DBC" w:rsidRPr="00FA4B2D" w:rsidRDefault="006A3DBC" w:rsidP="006A3DBC">
      <w:pPr>
        <w:jc w:val="both"/>
        <w:rPr>
          <w:rFonts w:cs="Arial"/>
        </w:rPr>
      </w:pPr>
      <w:r w:rsidRPr="00FA4B2D">
        <w:rPr>
          <w:rFonts w:cs="Arial"/>
        </w:rPr>
        <w:t xml:space="preserve">La población de los tres departamentos supera los 1,380,309 habitantes (607 mil urbanos y 772 rurales), de los cuales 493,231 son población menor de 18 años (aproximadamente el 35.7% de la población total), mientras que cerca del 17.1% son menores de 9 años (235,610 </w:t>
      </w:r>
      <w:proofErr w:type="gramStart"/>
      <w:r w:rsidRPr="00FA4B2D">
        <w:rPr>
          <w:rFonts w:cs="Arial"/>
        </w:rPr>
        <w:t>niñas y niños</w:t>
      </w:r>
      <w:proofErr w:type="gramEnd"/>
      <w:r w:rsidRPr="00FA4B2D">
        <w:rPr>
          <w:rFonts w:cs="Arial"/>
        </w:rPr>
        <w:t>). Estas poblaciones comparten problemas sociales similares relativos al desarrollo y nutrición. A manera de caracterización, se ha tratado de identificar algunas características fundamentales a partir de fuentes de información secundarias, como encuestas de hogares</w:t>
      </w:r>
      <w:bookmarkStart w:id="720" w:name="_Toc87130833"/>
      <w:bookmarkStart w:id="721" w:name="_Toc87187339"/>
      <w:bookmarkStart w:id="722" w:name="_Toc87195916"/>
      <w:bookmarkStart w:id="723" w:name="_Toc87207330"/>
      <w:bookmarkStart w:id="724" w:name="_Toc87207762"/>
      <w:bookmarkEnd w:id="720"/>
      <w:bookmarkEnd w:id="721"/>
      <w:bookmarkEnd w:id="722"/>
      <w:bookmarkEnd w:id="723"/>
      <w:bookmarkEnd w:id="724"/>
      <w:r w:rsidRPr="00FA4B2D">
        <w:rPr>
          <w:rFonts w:cs="Arial"/>
        </w:rPr>
        <w:t xml:space="preserve"> y ENDESA, que son las principales fuentes de información oficial disponibles. </w:t>
      </w:r>
    </w:p>
    <w:p w14:paraId="0254693F" w14:textId="77777777" w:rsidR="006A3DBC" w:rsidRPr="00FA4B2D" w:rsidRDefault="006A3DBC" w:rsidP="00411720">
      <w:pPr>
        <w:pStyle w:val="Prrafodelista"/>
        <w:numPr>
          <w:ilvl w:val="0"/>
          <w:numId w:val="101"/>
        </w:numPr>
        <w:rPr>
          <w:rFonts w:cs="Arial"/>
          <w:b/>
        </w:rPr>
      </w:pPr>
      <w:r w:rsidRPr="00FA4B2D">
        <w:rPr>
          <w:rFonts w:cs="Arial"/>
          <w:b/>
          <w:i/>
          <w:iCs/>
        </w:rPr>
        <w:t xml:space="preserve">Desarrollo infantil y nutricional </w:t>
      </w:r>
    </w:p>
    <w:p w14:paraId="37D64BA2" w14:textId="1917FE92" w:rsidR="006A3DBC" w:rsidRPr="00FA4B2D" w:rsidRDefault="006A3DBC" w:rsidP="006A3DBC">
      <w:pPr>
        <w:jc w:val="both"/>
        <w:rPr>
          <w:rFonts w:eastAsia="Quattrocento Sans" w:cs="Arial"/>
          <w:iCs/>
          <w:lang w:eastAsia="es-SV"/>
        </w:rPr>
      </w:pPr>
      <w:r w:rsidRPr="00FA4B2D">
        <w:rPr>
          <w:rFonts w:eastAsia="Quattrocento Sans" w:cs="Arial"/>
          <w:iCs/>
          <w:lang w:eastAsia="es-SV"/>
        </w:rPr>
        <w:t xml:space="preserve">En relación con el desarrollo de la primera infancia, la cual abarca el periodo hasta los 8 </w:t>
      </w:r>
      <w:proofErr w:type="gramStart"/>
      <w:r w:rsidRPr="00FA4B2D">
        <w:rPr>
          <w:rFonts w:eastAsia="Quattrocento Sans" w:cs="Arial"/>
          <w:iCs/>
          <w:lang w:eastAsia="es-SV"/>
        </w:rPr>
        <w:t>años de edad</w:t>
      </w:r>
      <w:proofErr w:type="gramEnd"/>
      <w:r w:rsidRPr="00FA4B2D">
        <w:rPr>
          <w:rFonts w:eastAsia="Quattrocento Sans" w:cs="Arial"/>
          <w:iCs/>
          <w:lang w:eastAsia="es-SV"/>
        </w:rPr>
        <w:t xml:space="preserve"> de un infante, etapa donde es fundamental el desarrollo cognitivo, social, emocional y físico de la niñez. El indicador de desarrollo involucra una serie de variables entre las cuales incluye los niños y niñas que son dejados con supervisores inadecuados (solos o al cuidado de otros niños por más de 1 hora). En este sentido a nivel departamental encontramos:</w:t>
      </w:r>
    </w:p>
    <w:p w14:paraId="4F9E8128" w14:textId="4745D138" w:rsidR="00F94AC4" w:rsidRDefault="00F94AC4" w:rsidP="00F94AC4">
      <w:pPr>
        <w:pStyle w:val="Descripcin"/>
        <w:keepNext/>
      </w:pPr>
      <w:bookmarkStart w:id="725" w:name="_Toc202455467"/>
      <w:r>
        <w:t xml:space="preserve">Tabla </w:t>
      </w:r>
      <w:r>
        <w:fldChar w:fldCharType="begin"/>
      </w:r>
      <w:r>
        <w:instrText xml:space="preserve"> SEQ Tabla \* ARABIC </w:instrText>
      </w:r>
      <w:r>
        <w:fldChar w:fldCharType="separate"/>
      </w:r>
      <w:r w:rsidR="000E6D86">
        <w:rPr>
          <w:noProof/>
        </w:rPr>
        <w:t>41</w:t>
      </w:r>
      <w:r>
        <w:fldChar w:fldCharType="end"/>
      </w:r>
      <w:r>
        <w:t xml:space="preserve">: </w:t>
      </w:r>
      <w:r w:rsidRPr="001956AB">
        <w:t>Registro de porcentaje de niñez con supervisión inadecuada por departamentos</w:t>
      </w:r>
      <w:bookmarkEnd w:id="725"/>
    </w:p>
    <w:tbl>
      <w:tblPr>
        <w:tblW w:w="5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4"/>
        <w:gridCol w:w="2714"/>
      </w:tblGrid>
      <w:tr w:rsidR="002B7276" w:rsidRPr="002B7276" w14:paraId="0C2A3660" w14:textId="77777777" w:rsidTr="00811897">
        <w:trPr>
          <w:trHeight w:val="137"/>
          <w:jc w:val="center"/>
        </w:trPr>
        <w:tc>
          <w:tcPr>
            <w:tcW w:w="2714" w:type="dxa"/>
            <w:shd w:val="clear" w:color="auto" w:fill="5CC5DA"/>
            <w:vAlign w:val="center"/>
          </w:tcPr>
          <w:p w14:paraId="7B5D2278" w14:textId="77777777" w:rsidR="006A3DBC" w:rsidRPr="002B7276" w:rsidRDefault="006A3DBC" w:rsidP="005F4A92">
            <w:pPr>
              <w:jc w:val="center"/>
              <w:rPr>
                <w:rFonts w:eastAsia="Times New Roman" w:cs="Arial"/>
                <w:b/>
                <w:bCs/>
                <w:sz w:val="22"/>
              </w:rPr>
            </w:pPr>
            <w:r w:rsidRPr="002B7276">
              <w:rPr>
                <w:rFonts w:eastAsia="Times New Roman" w:cs="Arial"/>
                <w:b/>
                <w:bCs/>
                <w:sz w:val="22"/>
              </w:rPr>
              <w:t xml:space="preserve">Municipio </w:t>
            </w:r>
          </w:p>
        </w:tc>
        <w:tc>
          <w:tcPr>
            <w:tcW w:w="2714" w:type="dxa"/>
            <w:shd w:val="clear" w:color="auto" w:fill="5CC5DA"/>
            <w:noWrap/>
            <w:vAlign w:val="center"/>
          </w:tcPr>
          <w:p w14:paraId="3F005E30" w14:textId="77777777" w:rsidR="006A3DBC" w:rsidRPr="002B7276" w:rsidRDefault="006A3DBC" w:rsidP="005F4A92">
            <w:pPr>
              <w:jc w:val="center"/>
              <w:rPr>
                <w:rFonts w:eastAsia="Times New Roman" w:cs="Arial"/>
                <w:b/>
                <w:bCs/>
                <w:sz w:val="22"/>
              </w:rPr>
            </w:pPr>
            <w:r w:rsidRPr="002B7276">
              <w:rPr>
                <w:rFonts w:eastAsia="Times New Roman" w:cs="Arial"/>
                <w:b/>
                <w:bCs/>
                <w:sz w:val="22"/>
              </w:rPr>
              <w:t xml:space="preserve">Supervisión inadecuada por departamento </w:t>
            </w:r>
          </w:p>
        </w:tc>
      </w:tr>
      <w:tr w:rsidR="002B7276" w:rsidRPr="002B7276" w14:paraId="5B49F7C6" w14:textId="77777777" w:rsidTr="00811897">
        <w:trPr>
          <w:trHeight w:val="137"/>
          <w:jc w:val="center"/>
        </w:trPr>
        <w:tc>
          <w:tcPr>
            <w:tcW w:w="2714" w:type="dxa"/>
            <w:vAlign w:val="center"/>
          </w:tcPr>
          <w:p w14:paraId="4A74B9AC" w14:textId="77777777" w:rsidR="006A3DBC" w:rsidRPr="002B7276" w:rsidRDefault="006A3DBC" w:rsidP="002D6A45">
            <w:pPr>
              <w:jc w:val="center"/>
              <w:rPr>
                <w:rFonts w:eastAsia="Times New Roman" w:cs="Arial"/>
                <w:sz w:val="22"/>
              </w:rPr>
            </w:pPr>
            <w:r w:rsidRPr="002B7276">
              <w:rPr>
                <w:rFonts w:eastAsia="Times New Roman" w:cs="Arial"/>
                <w:sz w:val="22"/>
              </w:rPr>
              <w:t>Olancho</w:t>
            </w:r>
          </w:p>
        </w:tc>
        <w:tc>
          <w:tcPr>
            <w:tcW w:w="2714" w:type="dxa"/>
            <w:noWrap/>
          </w:tcPr>
          <w:p w14:paraId="7B03C92F" w14:textId="77777777" w:rsidR="006A3DBC" w:rsidRPr="002B7276" w:rsidRDefault="006A3DBC" w:rsidP="002D6A45">
            <w:pPr>
              <w:jc w:val="center"/>
              <w:rPr>
                <w:rFonts w:eastAsia="Times New Roman" w:cs="Arial"/>
                <w:sz w:val="22"/>
              </w:rPr>
            </w:pPr>
            <w:r w:rsidRPr="002B7276">
              <w:rPr>
                <w:rFonts w:eastAsia="Times New Roman" w:cs="Arial"/>
                <w:sz w:val="22"/>
              </w:rPr>
              <w:t>10%</w:t>
            </w:r>
          </w:p>
        </w:tc>
      </w:tr>
      <w:tr w:rsidR="002B7276" w:rsidRPr="002B7276" w14:paraId="036192B0" w14:textId="77777777" w:rsidTr="00811897">
        <w:trPr>
          <w:trHeight w:val="137"/>
          <w:jc w:val="center"/>
        </w:trPr>
        <w:tc>
          <w:tcPr>
            <w:tcW w:w="2714" w:type="dxa"/>
            <w:vAlign w:val="center"/>
          </w:tcPr>
          <w:p w14:paraId="3FB34FC1" w14:textId="77777777" w:rsidR="006A3DBC" w:rsidRPr="002B7276" w:rsidRDefault="006A3DBC" w:rsidP="002D6A45">
            <w:pPr>
              <w:jc w:val="center"/>
              <w:rPr>
                <w:rFonts w:eastAsia="Times New Roman" w:cs="Arial"/>
                <w:sz w:val="22"/>
              </w:rPr>
            </w:pPr>
            <w:r w:rsidRPr="002B7276">
              <w:rPr>
                <w:rFonts w:eastAsia="Times New Roman" w:cs="Arial"/>
                <w:sz w:val="22"/>
              </w:rPr>
              <w:t>Yoro</w:t>
            </w:r>
          </w:p>
        </w:tc>
        <w:tc>
          <w:tcPr>
            <w:tcW w:w="2714" w:type="dxa"/>
            <w:noWrap/>
          </w:tcPr>
          <w:p w14:paraId="5D077D5F" w14:textId="77777777" w:rsidR="006A3DBC" w:rsidRPr="002B7276" w:rsidRDefault="006A3DBC" w:rsidP="002D6A45">
            <w:pPr>
              <w:jc w:val="center"/>
              <w:rPr>
                <w:rFonts w:eastAsia="Times New Roman" w:cs="Arial"/>
                <w:sz w:val="22"/>
              </w:rPr>
            </w:pPr>
            <w:r w:rsidRPr="002B7276">
              <w:rPr>
                <w:rFonts w:eastAsia="Times New Roman" w:cs="Arial"/>
                <w:sz w:val="22"/>
              </w:rPr>
              <w:t>5%</w:t>
            </w:r>
          </w:p>
        </w:tc>
      </w:tr>
      <w:tr w:rsidR="002B7276" w:rsidRPr="002B7276" w14:paraId="14A9DCAD" w14:textId="77777777" w:rsidTr="00811897">
        <w:trPr>
          <w:trHeight w:val="137"/>
          <w:jc w:val="center"/>
        </w:trPr>
        <w:tc>
          <w:tcPr>
            <w:tcW w:w="2714" w:type="dxa"/>
            <w:vAlign w:val="center"/>
          </w:tcPr>
          <w:p w14:paraId="51451000" w14:textId="77777777" w:rsidR="006A3DBC" w:rsidRPr="002B7276" w:rsidRDefault="006A3DBC" w:rsidP="002D6A45">
            <w:pPr>
              <w:jc w:val="center"/>
              <w:rPr>
                <w:rFonts w:eastAsia="Times New Roman" w:cs="Arial"/>
                <w:sz w:val="22"/>
              </w:rPr>
            </w:pPr>
            <w:r w:rsidRPr="002B7276">
              <w:rPr>
                <w:rFonts w:eastAsia="Times New Roman" w:cs="Arial"/>
                <w:sz w:val="22"/>
              </w:rPr>
              <w:t>Valle</w:t>
            </w:r>
          </w:p>
        </w:tc>
        <w:tc>
          <w:tcPr>
            <w:tcW w:w="2714" w:type="dxa"/>
            <w:noWrap/>
          </w:tcPr>
          <w:p w14:paraId="6183B454" w14:textId="77777777" w:rsidR="006A3DBC" w:rsidRPr="002B7276" w:rsidRDefault="006A3DBC" w:rsidP="002D6A45">
            <w:pPr>
              <w:jc w:val="center"/>
              <w:rPr>
                <w:rFonts w:eastAsia="Times New Roman" w:cs="Arial"/>
                <w:sz w:val="22"/>
              </w:rPr>
            </w:pPr>
            <w:r w:rsidRPr="002B7276">
              <w:rPr>
                <w:rFonts w:eastAsia="Times New Roman" w:cs="Arial"/>
                <w:sz w:val="22"/>
              </w:rPr>
              <w:t>2%</w:t>
            </w:r>
          </w:p>
        </w:tc>
      </w:tr>
      <w:tr w:rsidR="002B7276" w:rsidRPr="002B7276" w14:paraId="247D3FE3" w14:textId="77777777" w:rsidTr="00811897">
        <w:trPr>
          <w:trHeight w:val="137"/>
          <w:jc w:val="center"/>
        </w:trPr>
        <w:tc>
          <w:tcPr>
            <w:tcW w:w="2714" w:type="dxa"/>
            <w:vAlign w:val="center"/>
          </w:tcPr>
          <w:p w14:paraId="53838A60" w14:textId="77777777" w:rsidR="006A3DBC" w:rsidRPr="002B7276" w:rsidRDefault="006A3DBC" w:rsidP="002D6A45">
            <w:pPr>
              <w:jc w:val="center"/>
              <w:rPr>
                <w:rFonts w:eastAsia="Times New Roman" w:cs="Arial"/>
                <w:sz w:val="22"/>
              </w:rPr>
            </w:pPr>
            <w:r w:rsidRPr="002B7276">
              <w:rPr>
                <w:rFonts w:eastAsia="Times New Roman" w:cs="Arial"/>
                <w:sz w:val="22"/>
              </w:rPr>
              <w:t>Gracias a Dios</w:t>
            </w:r>
          </w:p>
        </w:tc>
        <w:tc>
          <w:tcPr>
            <w:tcW w:w="2714" w:type="dxa"/>
            <w:noWrap/>
          </w:tcPr>
          <w:p w14:paraId="7860612F" w14:textId="77777777" w:rsidR="006A3DBC" w:rsidRPr="002B7276" w:rsidRDefault="006A3DBC" w:rsidP="002D6A45">
            <w:pPr>
              <w:jc w:val="center"/>
              <w:rPr>
                <w:rFonts w:eastAsia="Times New Roman" w:cs="Arial"/>
                <w:sz w:val="22"/>
              </w:rPr>
            </w:pPr>
            <w:r w:rsidRPr="002B7276">
              <w:rPr>
                <w:rFonts w:eastAsia="Times New Roman" w:cs="Arial"/>
                <w:sz w:val="22"/>
              </w:rPr>
              <w:t>13%</w:t>
            </w:r>
          </w:p>
        </w:tc>
      </w:tr>
    </w:tbl>
    <w:p w14:paraId="7408AC05" w14:textId="77777777" w:rsidR="006A3DBC" w:rsidRPr="00FA4B2D" w:rsidRDefault="006A3DBC" w:rsidP="006A3DBC">
      <w:pPr>
        <w:pStyle w:val="Prrafodelista"/>
        <w:rPr>
          <w:rFonts w:eastAsia="Quattrocento Sans" w:cs="Arial"/>
          <w:iCs/>
          <w:sz w:val="20"/>
          <w:szCs w:val="20"/>
          <w:lang w:eastAsia="es-SV"/>
        </w:rPr>
      </w:pPr>
      <w:bookmarkStart w:id="726" w:name="_Toc87187414"/>
      <w:r w:rsidRPr="00FA4B2D">
        <w:rPr>
          <w:rFonts w:eastAsia="Quattrocento Sans" w:cs="Arial"/>
          <w:b/>
          <w:bCs/>
          <w:iCs/>
          <w:sz w:val="20"/>
          <w:szCs w:val="20"/>
          <w:lang w:eastAsia="es-SV"/>
        </w:rPr>
        <w:t>Fuente</w:t>
      </w:r>
      <w:r w:rsidRPr="00FA4B2D">
        <w:rPr>
          <w:rFonts w:eastAsia="Quattrocento Sans" w:cs="Arial"/>
          <w:iCs/>
          <w:sz w:val="20"/>
          <w:szCs w:val="20"/>
          <w:lang w:eastAsia="es-SV"/>
        </w:rPr>
        <w:t>: elaboración propia con base a datos de ENDESA/MICS 2019.</w:t>
      </w:r>
    </w:p>
    <w:p w14:paraId="0BBC43BD" w14:textId="77777777" w:rsidR="006A3DBC" w:rsidRDefault="006A3DBC" w:rsidP="006A3DBC">
      <w:pPr>
        <w:jc w:val="both"/>
        <w:rPr>
          <w:rFonts w:eastAsia="Quattrocento Sans" w:cs="Arial"/>
          <w:iCs/>
          <w:lang w:eastAsia="es-SV"/>
        </w:rPr>
      </w:pPr>
      <w:r w:rsidRPr="00FA4B2D">
        <w:rPr>
          <w:rFonts w:eastAsia="Quattrocento Sans" w:cs="Arial"/>
          <w:iCs/>
          <w:lang w:eastAsia="es-SV"/>
        </w:rPr>
        <w:t xml:space="preserve">En relación con la información disponible sobre nutrición infantil, la ENDESA 2019, indica que, a nivel de los tres departamentos, el porcentaje de recién nacidos que lactó dentro de la primera hora después del nacimiento y el porcentaje de </w:t>
      </w:r>
      <w:proofErr w:type="gramStart"/>
      <w:r w:rsidRPr="00FA4B2D">
        <w:rPr>
          <w:rFonts w:eastAsia="Quattrocento Sans" w:cs="Arial"/>
          <w:iCs/>
          <w:lang w:eastAsia="es-SV"/>
        </w:rPr>
        <w:t>niñas y niños</w:t>
      </w:r>
      <w:proofErr w:type="gramEnd"/>
      <w:r w:rsidRPr="00FA4B2D">
        <w:rPr>
          <w:rFonts w:eastAsia="Quattrocento Sans" w:cs="Arial"/>
          <w:iCs/>
          <w:lang w:eastAsia="es-SV"/>
        </w:rPr>
        <w:t xml:space="preserve"> de 6 a 23 meses de edad que recibió alimentos de al menos 5 de los 8 grupos de alimentos por departamento, es el siguiente.</w:t>
      </w:r>
    </w:p>
    <w:p w14:paraId="504161BE" w14:textId="77777777" w:rsidR="002B7276" w:rsidRPr="00FA4B2D" w:rsidRDefault="002B7276" w:rsidP="006A3DBC">
      <w:pPr>
        <w:jc w:val="both"/>
        <w:rPr>
          <w:rFonts w:eastAsia="Quattrocento Sans" w:cs="Arial"/>
          <w:iCs/>
          <w:lang w:eastAsia="es-SV"/>
        </w:rPr>
      </w:pPr>
    </w:p>
    <w:p w14:paraId="743D5A96" w14:textId="6C624D23" w:rsidR="00F94AC4" w:rsidRDefault="00F94AC4" w:rsidP="00F94AC4">
      <w:pPr>
        <w:pStyle w:val="Descripcin"/>
        <w:keepNext/>
      </w:pPr>
      <w:bookmarkStart w:id="727" w:name="_Toc202455468"/>
      <w:r>
        <w:lastRenderedPageBreak/>
        <w:t xml:space="preserve">Tabla </w:t>
      </w:r>
      <w:r>
        <w:fldChar w:fldCharType="begin"/>
      </w:r>
      <w:r>
        <w:instrText xml:space="preserve"> SEQ Tabla \* ARABIC </w:instrText>
      </w:r>
      <w:r>
        <w:fldChar w:fldCharType="separate"/>
      </w:r>
      <w:r w:rsidR="000E6D86">
        <w:rPr>
          <w:noProof/>
        </w:rPr>
        <w:t>42</w:t>
      </w:r>
      <w:r>
        <w:fldChar w:fldCharType="end"/>
      </w:r>
      <w:r>
        <w:t xml:space="preserve">: </w:t>
      </w:r>
      <w:r w:rsidRPr="0036547D">
        <w:t>Datos departamentales sobre alimentación del lactante y niño pequeño</w:t>
      </w:r>
      <w:bookmarkEnd w:id="727"/>
    </w:p>
    <w:tbl>
      <w:tblPr>
        <w:tblW w:w="6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2055"/>
        <w:gridCol w:w="2055"/>
      </w:tblGrid>
      <w:tr w:rsidR="002B7276" w:rsidRPr="002B7276" w14:paraId="357FCBBC" w14:textId="77777777" w:rsidTr="00C720D8">
        <w:trPr>
          <w:trHeight w:val="220"/>
          <w:jc w:val="center"/>
        </w:trPr>
        <w:tc>
          <w:tcPr>
            <w:tcW w:w="2055" w:type="dxa"/>
            <w:shd w:val="clear" w:color="auto" w:fill="5CC5DA"/>
            <w:vAlign w:val="center"/>
          </w:tcPr>
          <w:bookmarkEnd w:id="726"/>
          <w:p w14:paraId="4404B848" w14:textId="77777777" w:rsidR="006A3DBC" w:rsidRPr="002B7276" w:rsidRDefault="006A3DBC" w:rsidP="005F4A92">
            <w:pPr>
              <w:jc w:val="center"/>
              <w:rPr>
                <w:rFonts w:eastAsia="Times New Roman" w:cs="Arial"/>
                <w:b/>
                <w:bCs/>
                <w:sz w:val="22"/>
              </w:rPr>
            </w:pPr>
            <w:r w:rsidRPr="002B7276">
              <w:rPr>
                <w:rFonts w:eastAsia="Times New Roman" w:cs="Arial"/>
                <w:b/>
                <w:bCs/>
                <w:sz w:val="22"/>
              </w:rPr>
              <w:t xml:space="preserve">Municipio </w:t>
            </w:r>
          </w:p>
        </w:tc>
        <w:tc>
          <w:tcPr>
            <w:tcW w:w="2055" w:type="dxa"/>
            <w:shd w:val="clear" w:color="auto" w:fill="5CC5DA"/>
            <w:noWrap/>
            <w:vAlign w:val="center"/>
          </w:tcPr>
          <w:p w14:paraId="041E685E" w14:textId="77777777" w:rsidR="006A3DBC" w:rsidRPr="002B7276" w:rsidRDefault="006A3DBC" w:rsidP="005F4A92">
            <w:pPr>
              <w:jc w:val="center"/>
              <w:rPr>
                <w:rFonts w:eastAsia="Times New Roman" w:cs="Arial"/>
                <w:b/>
                <w:bCs/>
                <w:sz w:val="22"/>
              </w:rPr>
            </w:pPr>
            <w:r w:rsidRPr="002B7276">
              <w:rPr>
                <w:rFonts w:eastAsia="Times New Roman" w:cs="Arial"/>
                <w:b/>
                <w:bCs/>
                <w:sz w:val="22"/>
              </w:rPr>
              <w:t xml:space="preserve">Iniciación temprana de la lactancia </w:t>
            </w:r>
          </w:p>
        </w:tc>
        <w:tc>
          <w:tcPr>
            <w:tcW w:w="2055" w:type="dxa"/>
            <w:shd w:val="clear" w:color="auto" w:fill="5CC5DA"/>
            <w:noWrap/>
            <w:vAlign w:val="center"/>
          </w:tcPr>
          <w:p w14:paraId="1D969932" w14:textId="77777777" w:rsidR="006A3DBC" w:rsidRPr="002B7276" w:rsidRDefault="006A3DBC" w:rsidP="005F4A92">
            <w:pPr>
              <w:jc w:val="center"/>
              <w:rPr>
                <w:rFonts w:eastAsia="Times New Roman" w:cs="Arial"/>
                <w:b/>
                <w:bCs/>
                <w:sz w:val="22"/>
              </w:rPr>
            </w:pPr>
            <w:r w:rsidRPr="002B7276">
              <w:rPr>
                <w:rFonts w:eastAsia="Times New Roman" w:cs="Arial"/>
                <w:b/>
                <w:bCs/>
                <w:sz w:val="22"/>
              </w:rPr>
              <w:t xml:space="preserve">Diversidad alimentaria mínima </w:t>
            </w:r>
          </w:p>
        </w:tc>
      </w:tr>
      <w:tr w:rsidR="002B7276" w:rsidRPr="002B7276" w14:paraId="7FCAC2AE" w14:textId="77777777" w:rsidTr="00C720D8">
        <w:trPr>
          <w:trHeight w:val="220"/>
          <w:jc w:val="center"/>
        </w:trPr>
        <w:tc>
          <w:tcPr>
            <w:tcW w:w="2055" w:type="dxa"/>
            <w:vAlign w:val="center"/>
          </w:tcPr>
          <w:p w14:paraId="02B7CA76" w14:textId="77777777" w:rsidR="006A3DBC" w:rsidRPr="002B7276" w:rsidRDefault="006A3DBC" w:rsidP="005F4A92">
            <w:pPr>
              <w:rPr>
                <w:rFonts w:eastAsia="Times New Roman" w:cs="Arial"/>
                <w:sz w:val="22"/>
              </w:rPr>
            </w:pPr>
            <w:r w:rsidRPr="002B7276">
              <w:rPr>
                <w:rFonts w:eastAsia="Times New Roman" w:cs="Arial"/>
                <w:sz w:val="22"/>
              </w:rPr>
              <w:t>Olancho</w:t>
            </w:r>
          </w:p>
        </w:tc>
        <w:tc>
          <w:tcPr>
            <w:tcW w:w="2055" w:type="dxa"/>
            <w:noWrap/>
          </w:tcPr>
          <w:p w14:paraId="5FDEB834" w14:textId="77777777" w:rsidR="006A3DBC" w:rsidRPr="002B7276" w:rsidRDefault="006A3DBC" w:rsidP="00832A2D">
            <w:pPr>
              <w:jc w:val="center"/>
              <w:rPr>
                <w:rFonts w:eastAsia="Times New Roman" w:cs="Arial"/>
                <w:sz w:val="22"/>
              </w:rPr>
            </w:pPr>
            <w:r w:rsidRPr="002B7276">
              <w:rPr>
                <w:rFonts w:eastAsia="Times New Roman" w:cs="Arial"/>
                <w:sz w:val="22"/>
              </w:rPr>
              <w:t>54%</w:t>
            </w:r>
          </w:p>
        </w:tc>
        <w:tc>
          <w:tcPr>
            <w:tcW w:w="2055" w:type="dxa"/>
            <w:noWrap/>
          </w:tcPr>
          <w:p w14:paraId="7E4D8A97" w14:textId="77777777" w:rsidR="006A3DBC" w:rsidRPr="002B7276" w:rsidRDefault="006A3DBC" w:rsidP="00832A2D">
            <w:pPr>
              <w:jc w:val="center"/>
              <w:rPr>
                <w:rFonts w:eastAsia="Times New Roman" w:cs="Arial"/>
                <w:sz w:val="22"/>
              </w:rPr>
            </w:pPr>
            <w:r w:rsidRPr="002B7276">
              <w:rPr>
                <w:rFonts w:eastAsia="Times New Roman" w:cs="Arial"/>
                <w:sz w:val="22"/>
              </w:rPr>
              <w:t>52%</w:t>
            </w:r>
          </w:p>
        </w:tc>
      </w:tr>
      <w:tr w:rsidR="002B7276" w:rsidRPr="002B7276" w14:paraId="2E736C66" w14:textId="77777777" w:rsidTr="00C720D8">
        <w:trPr>
          <w:trHeight w:val="220"/>
          <w:jc w:val="center"/>
        </w:trPr>
        <w:tc>
          <w:tcPr>
            <w:tcW w:w="2055" w:type="dxa"/>
            <w:vAlign w:val="center"/>
          </w:tcPr>
          <w:p w14:paraId="209B88EB" w14:textId="77777777" w:rsidR="006A3DBC" w:rsidRPr="002B7276" w:rsidRDefault="006A3DBC" w:rsidP="005F4A92">
            <w:pPr>
              <w:rPr>
                <w:rFonts w:eastAsia="Times New Roman" w:cs="Arial"/>
                <w:sz w:val="22"/>
              </w:rPr>
            </w:pPr>
            <w:r w:rsidRPr="002B7276">
              <w:rPr>
                <w:rFonts w:eastAsia="Times New Roman" w:cs="Arial"/>
                <w:sz w:val="22"/>
              </w:rPr>
              <w:t>Yoro</w:t>
            </w:r>
          </w:p>
        </w:tc>
        <w:tc>
          <w:tcPr>
            <w:tcW w:w="2055" w:type="dxa"/>
            <w:noWrap/>
          </w:tcPr>
          <w:p w14:paraId="09E07505" w14:textId="77777777" w:rsidR="006A3DBC" w:rsidRPr="002B7276" w:rsidRDefault="006A3DBC" w:rsidP="00832A2D">
            <w:pPr>
              <w:jc w:val="center"/>
              <w:rPr>
                <w:rFonts w:eastAsia="Times New Roman" w:cs="Arial"/>
                <w:sz w:val="22"/>
              </w:rPr>
            </w:pPr>
            <w:r w:rsidRPr="002B7276">
              <w:rPr>
                <w:rFonts w:eastAsia="Times New Roman" w:cs="Arial"/>
                <w:sz w:val="22"/>
              </w:rPr>
              <w:t>57%</w:t>
            </w:r>
          </w:p>
        </w:tc>
        <w:tc>
          <w:tcPr>
            <w:tcW w:w="2055" w:type="dxa"/>
            <w:noWrap/>
          </w:tcPr>
          <w:p w14:paraId="02F5E589" w14:textId="77777777" w:rsidR="006A3DBC" w:rsidRPr="002B7276" w:rsidRDefault="006A3DBC" w:rsidP="00832A2D">
            <w:pPr>
              <w:jc w:val="center"/>
              <w:rPr>
                <w:rFonts w:eastAsia="Times New Roman" w:cs="Arial"/>
                <w:sz w:val="22"/>
              </w:rPr>
            </w:pPr>
            <w:r w:rsidRPr="002B7276">
              <w:rPr>
                <w:rFonts w:eastAsia="Times New Roman" w:cs="Arial"/>
                <w:sz w:val="22"/>
              </w:rPr>
              <w:t>61%</w:t>
            </w:r>
          </w:p>
        </w:tc>
      </w:tr>
      <w:tr w:rsidR="002B7276" w:rsidRPr="002B7276" w14:paraId="582FB24D" w14:textId="77777777" w:rsidTr="00C720D8">
        <w:trPr>
          <w:trHeight w:val="220"/>
          <w:jc w:val="center"/>
        </w:trPr>
        <w:tc>
          <w:tcPr>
            <w:tcW w:w="2055" w:type="dxa"/>
            <w:vAlign w:val="center"/>
          </w:tcPr>
          <w:p w14:paraId="1D123E4E" w14:textId="77777777" w:rsidR="006A3DBC" w:rsidRPr="002B7276" w:rsidRDefault="006A3DBC" w:rsidP="005F4A92">
            <w:pPr>
              <w:rPr>
                <w:rFonts w:eastAsia="Times New Roman" w:cs="Arial"/>
                <w:sz w:val="22"/>
              </w:rPr>
            </w:pPr>
            <w:r w:rsidRPr="002B7276">
              <w:rPr>
                <w:rFonts w:eastAsia="Times New Roman" w:cs="Arial"/>
                <w:sz w:val="22"/>
              </w:rPr>
              <w:t>Valle</w:t>
            </w:r>
          </w:p>
        </w:tc>
        <w:tc>
          <w:tcPr>
            <w:tcW w:w="2055" w:type="dxa"/>
            <w:noWrap/>
          </w:tcPr>
          <w:p w14:paraId="5FECF81F" w14:textId="77777777" w:rsidR="006A3DBC" w:rsidRPr="002B7276" w:rsidRDefault="006A3DBC" w:rsidP="00832A2D">
            <w:pPr>
              <w:jc w:val="center"/>
              <w:rPr>
                <w:rFonts w:eastAsia="Times New Roman" w:cs="Arial"/>
                <w:sz w:val="22"/>
              </w:rPr>
            </w:pPr>
            <w:r w:rsidRPr="002B7276">
              <w:rPr>
                <w:rFonts w:eastAsia="Times New Roman" w:cs="Arial"/>
                <w:sz w:val="22"/>
              </w:rPr>
              <w:t>50.5%</w:t>
            </w:r>
          </w:p>
        </w:tc>
        <w:tc>
          <w:tcPr>
            <w:tcW w:w="2055" w:type="dxa"/>
            <w:noWrap/>
          </w:tcPr>
          <w:p w14:paraId="20F7A989" w14:textId="77777777" w:rsidR="006A3DBC" w:rsidRPr="002B7276" w:rsidRDefault="006A3DBC" w:rsidP="00832A2D">
            <w:pPr>
              <w:jc w:val="center"/>
              <w:rPr>
                <w:rFonts w:eastAsia="Times New Roman" w:cs="Arial"/>
                <w:sz w:val="22"/>
              </w:rPr>
            </w:pPr>
            <w:r w:rsidRPr="002B7276">
              <w:rPr>
                <w:rFonts w:eastAsia="Times New Roman" w:cs="Arial"/>
                <w:sz w:val="22"/>
              </w:rPr>
              <w:t>59%</w:t>
            </w:r>
          </w:p>
        </w:tc>
      </w:tr>
      <w:tr w:rsidR="002B7276" w:rsidRPr="002B7276" w14:paraId="157A3B10" w14:textId="77777777" w:rsidTr="00C720D8">
        <w:trPr>
          <w:trHeight w:val="220"/>
          <w:jc w:val="center"/>
        </w:trPr>
        <w:tc>
          <w:tcPr>
            <w:tcW w:w="2055" w:type="dxa"/>
            <w:vAlign w:val="center"/>
          </w:tcPr>
          <w:p w14:paraId="38D82364" w14:textId="77777777" w:rsidR="006A3DBC" w:rsidRPr="002B7276" w:rsidRDefault="006A3DBC" w:rsidP="005F4A92">
            <w:pPr>
              <w:rPr>
                <w:rFonts w:eastAsia="Times New Roman" w:cs="Arial"/>
                <w:sz w:val="22"/>
              </w:rPr>
            </w:pPr>
            <w:r w:rsidRPr="002B7276">
              <w:rPr>
                <w:rFonts w:eastAsia="Times New Roman" w:cs="Arial"/>
                <w:sz w:val="22"/>
              </w:rPr>
              <w:t>Gracias a dios</w:t>
            </w:r>
          </w:p>
        </w:tc>
        <w:tc>
          <w:tcPr>
            <w:tcW w:w="2055" w:type="dxa"/>
            <w:noWrap/>
          </w:tcPr>
          <w:p w14:paraId="56D290FD" w14:textId="77777777" w:rsidR="006A3DBC" w:rsidRPr="002B7276" w:rsidRDefault="006A3DBC" w:rsidP="00832A2D">
            <w:pPr>
              <w:jc w:val="center"/>
              <w:rPr>
                <w:rFonts w:eastAsia="Times New Roman" w:cs="Arial"/>
                <w:sz w:val="22"/>
              </w:rPr>
            </w:pPr>
            <w:r w:rsidRPr="002B7276">
              <w:rPr>
                <w:rFonts w:eastAsia="Times New Roman" w:cs="Arial"/>
                <w:sz w:val="22"/>
              </w:rPr>
              <w:t>47%</w:t>
            </w:r>
          </w:p>
        </w:tc>
        <w:tc>
          <w:tcPr>
            <w:tcW w:w="2055" w:type="dxa"/>
            <w:noWrap/>
          </w:tcPr>
          <w:p w14:paraId="671115B2" w14:textId="77777777" w:rsidR="006A3DBC" w:rsidRPr="002B7276" w:rsidRDefault="006A3DBC" w:rsidP="00832A2D">
            <w:pPr>
              <w:jc w:val="center"/>
              <w:rPr>
                <w:rFonts w:eastAsia="Times New Roman" w:cs="Arial"/>
                <w:sz w:val="22"/>
              </w:rPr>
            </w:pPr>
            <w:r w:rsidRPr="002B7276">
              <w:rPr>
                <w:rFonts w:eastAsia="Times New Roman" w:cs="Arial"/>
                <w:sz w:val="22"/>
              </w:rPr>
              <w:t>28%</w:t>
            </w:r>
          </w:p>
        </w:tc>
      </w:tr>
    </w:tbl>
    <w:p w14:paraId="0D388FC9" w14:textId="77777777" w:rsidR="006A3DBC" w:rsidRPr="00FA4B2D" w:rsidRDefault="006A3DBC" w:rsidP="006A3DBC">
      <w:pPr>
        <w:pStyle w:val="Prrafodelista"/>
        <w:rPr>
          <w:rFonts w:eastAsia="Quattrocento Sans" w:cs="Arial"/>
          <w:iCs/>
          <w:sz w:val="20"/>
          <w:szCs w:val="20"/>
          <w:lang w:eastAsia="es-SV"/>
        </w:rPr>
      </w:pPr>
      <w:r w:rsidRPr="00FA4B2D">
        <w:rPr>
          <w:rFonts w:eastAsia="Quattrocento Sans" w:cs="Arial"/>
          <w:b/>
          <w:bCs/>
          <w:iCs/>
          <w:sz w:val="20"/>
          <w:szCs w:val="20"/>
          <w:lang w:eastAsia="es-SV"/>
        </w:rPr>
        <w:t>Fuente</w:t>
      </w:r>
      <w:r w:rsidRPr="00FA4B2D">
        <w:rPr>
          <w:rFonts w:eastAsia="Quattrocento Sans" w:cs="Arial"/>
          <w:iCs/>
          <w:sz w:val="20"/>
          <w:szCs w:val="20"/>
          <w:lang w:eastAsia="es-SV"/>
        </w:rPr>
        <w:t>: elaboración propia con base a datos de ENDESA/MICS 2019.</w:t>
      </w:r>
    </w:p>
    <w:p w14:paraId="4DF0C39F" w14:textId="77777777" w:rsidR="006A3DBC" w:rsidRPr="00FA4B2D" w:rsidRDefault="006A3DBC" w:rsidP="006A3DBC">
      <w:pPr>
        <w:jc w:val="both"/>
        <w:rPr>
          <w:rFonts w:cs="Arial"/>
        </w:rPr>
      </w:pPr>
      <w:r w:rsidRPr="00FA4B2D">
        <w:rPr>
          <w:rFonts w:cs="Arial"/>
        </w:rPr>
        <w:t xml:space="preserve">De igual forma la encuesta recoge información sobre el porcentaje de </w:t>
      </w:r>
      <w:proofErr w:type="gramStart"/>
      <w:r w:rsidRPr="00FA4B2D">
        <w:rPr>
          <w:rFonts w:cs="Arial"/>
        </w:rPr>
        <w:t>niñas y niños</w:t>
      </w:r>
      <w:proofErr w:type="gramEnd"/>
      <w:r w:rsidRPr="00FA4B2D">
        <w:rPr>
          <w:rFonts w:cs="Arial"/>
        </w:rPr>
        <w:t xml:space="preserve"> que presentan situación de retraso en el desarrollo</w:t>
      </w:r>
      <w:r w:rsidRPr="00FA4B2D">
        <w:rPr>
          <w:rStyle w:val="Refdenotaalpie"/>
          <w:rFonts w:cs="Arial"/>
        </w:rPr>
        <w:footnoteReference w:id="31"/>
      </w:r>
      <w:r w:rsidRPr="00FA4B2D">
        <w:rPr>
          <w:rFonts w:cs="Arial"/>
        </w:rPr>
        <w:t>, sobrepeso</w:t>
      </w:r>
      <w:r w:rsidRPr="00FA4B2D">
        <w:rPr>
          <w:rStyle w:val="Refdenotaalpie"/>
          <w:rFonts w:cs="Arial"/>
        </w:rPr>
        <w:footnoteReference w:id="32"/>
      </w:r>
      <w:r w:rsidRPr="00FA4B2D">
        <w:rPr>
          <w:rFonts w:cs="Arial"/>
        </w:rPr>
        <w:t xml:space="preserve"> y emaciación</w:t>
      </w:r>
      <w:r w:rsidRPr="00FA4B2D">
        <w:rPr>
          <w:rStyle w:val="Refdenotaalpie"/>
          <w:rFonts w:cs="Arial"/>
        </w:rPr>
        <w:footnoteReference w:id="33"/>
      </w:r>
      <w:r w:rsidRPr="00FA4B2D">
        <w:rPr>
          <w:rFonts w:cs="Arial"/>
        </w:rPr>
        <w:t>, relativos a niñez, los cuales se presentan a manera de resumen en la tabla a continuación:</w:t>
      </w:r>
    </w:p>
    <w:p w14:paraId="40F82066" w14:textId="6A630A89" w:rsidR="00F94AC4" w:rsidRDefault="00F94AC4" w:rsidP="00F94AC4">
      <w:pPr>
        <w:pStyle w:val="Descripcin"/>
        <w:keepNext/>
      </w:pPr>
      <w:bookmarkStart w:id="728" w:name="_Toc202455469"/>
      <w:r>
        <w:t xml:space="preserve">Tabla </w:t>
      </w:r>
      <w:r>
        <w:fldChar w:fldCharType="begin"/>
      </w:r>
      <w:r>
        <w:instrText xml:space="preserve"> SEQ Tabla \* ARABIC </w:instrText>
      </w:r>
      <w:r>
        <w:fldChar w:fldCharType="separate"/>
      </w:r>
      <w:r w:rsidR="000E6D86">
        <w:rPr>
          <w:noProof/>
        </w:rPr>
        <w:t>43</w:t>
      </w:r>
      <w:r>
        <w:fldChar w:fldCharType="end"/>
      </w:r>
      <w:r>
        <w:t xml:space="preserve">: </w:t>
      </w:r>
      <w:r w:rsidRPr="00C469C0">
        <w:t>Situación del crecimiento y desarrollo</w:t>
      </w:r>
      <w:bookmarkEnd w:id="728"/>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2118"/>
        <w:gridCol w:w="2118"/>
        <w:gridCol w:w="2118"/>
      </w:tblGrid>
      <w:tr w:rsidR="002B7276" w:rsidRPr="002B7276" w14:paraId="32C1BDCA" w14:textId="77777777" w:rsidTr="0061577A">
        <w:trPr>
          <w:trHeight w:val="142"/>
          <w:tblHeader/>
          <w:jc w:val="center"/>
        </w:trPr>
        <w:tc>
          <w:tcPr>
            <w:tcW w:w="2118" w:type="dxa"/>
            <w:shd w:val="clear" w:color="auto" w:fill="5CC5DA"/>
            <w:vAlign w:val="center"/>
          </w:tcPr>
          <w:p w14:paraId="598F0952" w14:textId="77777777" w:rsidR="006A3DBC" w:rsidRPr="002B7276" w:rsidRDefault="006A3DBC" w:rsidP="005F4A92">
            <w:pPr>
              <w:jc w:val="center"/>
              <w:rPr>
                <w:rFonts w:eastAsia="Times New Roman" w:cs="Arial"/>
                <w:b/>
                <w:bCs/>
                <w:sz w:val="22"/>
                <w:szCs w:val="20"/>
              </w:rPr>
            </w:pPr>
            <w:r w:rsidRPr="002B7276">
              <w:rPr>
                <w:rFonts w:eastAsia="Times New Roman" w:cs="Arial"/>
                <w:b/>
                <w:bCs/>
                <w:sz w:val="22"/>
                <w:szCs w:val="20"/>
              </w:rPr>
              <w:t xml:space="preserve">Municipio </w:t>
            </w:r>
          </w:p>
        </w:tc>
        <w:tc>
          <w:tcPr>
            <w:tcW w:w="2118" w:type="dxa"/>
            <w:shd w:val="clear" w:color="auto" w:fill="5CC5DA"/>
            <w:noWrap/>
            <w:vAlign w:val="center"/>
          </w:tcPr>
          <w:p w14:paraId="5F657A03" w14:textId="77777777" w:rsidR="006A3DBC" w:rsidRPr="002B7276" w:rsidRDefault="006A3DBC" w:rsidP="005F4A92">
            <w:pPr>
              <w:jc w:val="center"/>
              <w:rPr>
                <w:rFonts w:eastAsia="Times New Roman" w:cs="Arial"/>
                <w:b/>
                <w:bCs/>
                <w:sz w:val="22"/>
                <w:szCs w:val="20"/>
              </w:rPr>
            </w:pPr>
            <w:r w:rsidRPr="002B7276">
              <w:rPr>
                <w:rFonts w:eastAsia="Times New Roman" w:cs="Arial"/>
                <w:b/>
                <w:bCs/>
                <w:sz w:val="22"/>
                <w:szCs w:val="20"/>
              </w:rPr>
              <w:t>Retraso en el crecimiento</w:t>
            </w:r>
          </w:p>
        </w:tc>
        <w:tc>
          <w:tcPr>
            <w:tcW w:w="2118" w:type="dxa"/>
            <w:shd w:val="clear" w:color="auto" w:fill="5CC5DA"/>
            <w:noWrap/>
            <w:vAlign w:val="center"/>
          </w:tcPr>
          <w:p w14:paraId="53069C28" w14:textId="77777777" w:rsidR="006A3DBC" w:rsidRPr="002B7276" w:rsidRDefault="006A3DBC" w:rsidP="005F4A92">
            <w:pPr>
              <w:jc w:val="center"/>
              <w:rPr>
                <w:rFonts w:eastAsia="Times New Roman" w:cs="Arial"/>
                <w:b/>
                <w:bCs/>
                <w:sz w:val="22"/>
                <w:szCs w:val="20"/>
              </w:rPr>
            </w:pPr>
            <w:r w:rsidRPr="002B7276">
              <w:rPr>
                <w:rFonts w:eastAsia="Times New Roman" w:cs="Arial"/>
                <w:b/>
                <w:bCs/>
                <w:sz w:val="22"/>
                <w:szCs w:val="20"/>
              </w:rPr>
              <w:t>Sobrepeso</w:t>
            </w:r>
          </w:p>
        </w:tc>
        <w:tc>
          <w:tcPr>
            <w:tcW w:w="2118" w:type="dxa"/>
            <w:shd w:val="clear" w:color="auto" w:fill="5CC5DA"/>
            <w:vAlign w:val="center"/>
          </w:tcPr>
          <w:p w14:paraId="3FA186EB" w14:textId="77777777" w:rsidR="006A3DBC" w:rsidRPr="002B7276" w:rsidRDefault="006A3DBC" w:rsidP="005F4A92">
            <w:pPr>
              <w:jc w:val="center"/>
              <w:rPr>
                <w:rFonts w:eastAsia="Times New Roman" w:cs="Arial"/>
                <w:b/>
                <w:bCs/>
                <w:sz w:val="22"/>
                <w:szCs w:val="20"/>
              </w:rPr>
            </w:pPr>
            <w:r w:rsidRPr="002B7276">
              <w:rPr>
                <w:rFonts w:eastAsia="Times New Roman" w:cs="Arial"/>
                <w:b/>
                <w:bCs/>
                <w:sz w:val="22"/>
                <w:szCs w:val="20"/>
              </w:rPr>
              <w:t>Emanación (moderada y severa)</w:t>
            </w:r>
          </w:p>
        </w:tc>
      </w:tr>
      <w:tr w:rsidR="002B7276" w:rsidRPr="002B7276" w14:paraId="7042AAC6" w14:textId="77777777" w:rsidTr="0061577A">
        <w:trPr>
          <w:trHeight w:val="142"/>
          <w:jc w:val="center"/>
        </w:trPr>
        <w:tc>
          <w:tcPr>
            <w:tcW w:w="2118" w:type="dxa"/>
            <w:vAlign w:val="center"/>
          </w:tcPr>
          <w:p w14:paraId="4D9AAEBF" w14:textId="77777777" w:rsidR="006A3DBC" w:rsidRPr="002B7276" w:rsidRDefault="006A3DBC" w:rsidP="005F4A92">
            <w:pPr>
              <w:rPr>
                <w:rFonts w:eastAsia="Times New Roman" w:cs="Arial"/>
                <w:sz w:val="22"/>
                <w:szCs w:val="20"/>
              </w:rPr>
            </w:pPr>
            <w:r w:rsidRPr="002B7276">
              <w:rPr>
                <w:rFonts w:eastAsia="Times New Roman" w:cs="Arial"/>
                <w:sz w:val="22"/>
                <w:szCs w:val="20"/>
              </w:rPr>
              <w:t>Olancho</w:t>
            </w:r>
          </w:p>
        </w:tc>
        <w:tc>
          <w:tcPr>
            <w:tcW w:w="2118" w:type="dxa"/>
            <w:noWrap/>
          </w:tcPr>
          <w:p w14:paraId="422EB05A" w14:textId="77777777" w:rsidR="006A3DBC" w:rsidRPr="002B7276" w:rsidRDefault="006A3DBC" w:rsidP="00832A2D">
            <w:pPr>
              <w:jc w:val="center"/>
              <w:rPr>
                <w:rFonts w:eastAsia="Times New Roman" w:cs="Arial"/>
                <w:sz w:val="22"/>
                <w:szCs w:val="20"/>
              </w:rPr>
            </w:pPr>
            <w:r w:rsidRPr="002B7276">
              <w:rPr>
                <w:rFonts w:eastAsia="Times New Roman" w:cs="Arial"/>
                <w:sz w:val="22"/>
                <w:szCs w:val="20"/>
              </w:rPr>
              <w:t>16%</w:t>
            </w:r>
          </w:p>
        </w:tc>
        <w:tc>
          <w:tcPr>
            <w:tcW w:w="2118" w:type="dxa"/>
            <w:noWrap/>
          </w:tcPr>
          <w:p w14:paraId="143033CE" w14:textId="77777777" w:rsidR="006A3DBC" w:rsidRPr="002B7276" w:rsidRDefault="006A3DBC" w:rsidP="00832A2D">
            <w:pPr>
              <w:jc w:val="center"/>
              <w:rPr>
                <w:rFonts w:eastAsia="Times New Roman" w:cs="Arial"/>
                <w:sz w:val="22"/>
                <w:szCs w:val="20"/>
              </w:rPr>
            </w:pPr>
            <w:r w:rsidRPr="002B7276">
              <w:rPr>
                <w:rFonts w:eastAsia="Times New Roman" w:cs="Arial"/>
                <w:sz w:val="22"/>
                <w:szCs w:val="20"/>
              </w:rPr>
              <w:t>5%</w:t>
            </w:r>
          </w:p>
        </w:tc>
        <w:tc>
          <w:tcPr>
            <w:tcW w:w="2118" w:type="dxa"/>
          </w:tcPr>
          <w:p w14:paraId="184027C7" w14:textId="77777777" w:rsidR="006A3DBC" w:rsidRPr="002B7276" w:rsidRDefault="006A3DBC" w:rsidP="00832A2D">
            <w:pPr>
              <w:jc w:val="center"/>
              <w:rPr>
                <w:rFonts w:eastAsia="Times New Roman" w:cs="Arial"/>
                <w:sz w:val="22"/>
                <w:szCs w:val="20"/>
              </w:rPr>
            </w:pPr>
            <w:r w:rsidRPr="002B7276">
              <w:rPr>
                <w:rFonts w:eastAsia="Times New Roman" w:cs="Arial"/>
                <w:sz w:val="22"/>
                <w:szCs w:val="20"/>
              </w:rPr>
              <w:t>1.2%</w:t>
            </w:r>
          </w:p>
        </w:tc>
      </w:tr>
      <w:tr w:rsidR="002B7276" w:rsidRPr="002B7276" w14:paraId="5679BF04" w14:textId="77777777" w:rsidTr="0061577A">
        <w:trPr>
          <w:trHeight w:val="142"/>
          <w:jc w:val="center"/>
        </w:trPr>
        <w:tc>
          <w:tcPr>
            <w:tcW w:w="2118" w:type="dxa"/>
            <w:vAlign w:val="center"/>
          </w:tcPr>
          <w:p w14:paraId="489E5196" w14:textId="77777777" w:rsidR="006A3DBC" w:rsidRPr="002B7276" w:rsidRDefault="006A3DBC" w:rsidP="005F4A92">
            <w:pPr>
              <w:rPr>
                <w:rFonts w:eastAsia="Times New Roman" w:cs="Arial"/>
                <w:sz w:val="22"/>
                <w:szCs w:val="20"/>
              </w:rPr>
            </w:pPr>
            <w:r w:rsidRPr="002B7276">
              <w:rPr>
                <w:rFonts w:eastAsia="Times New Roman" w:cs="Arial"/>
                <w:sz w:val="22"/>
                <w:szCs w:val="20"/>
              </w:rPr>
              <w:t>Yoro</w:t>
            </w:r>
          </w:p>
        </w:tc>
        <w:tc>
          <w:tcPr>
            <w:tcW w:w="2118" w:type="dxa"/>
            <w:noWrap/>
          </w:tcPr>
          <w:p w14:paraId="7CACB171" w14:textId="77777777" w:rsidR="006A3DBC" w:rsidRPr="002B7276" w:rsidRDefault="006A3DBC" w:rsidP="00832A2D">
            <w:pPr>
              <w:jc w:val="center"/>
              <w:rPr>
                <w:rFonts w:eastAsia="Times New Roman" w:cs="Arial"/>
                <w:sz w:val="22"/>
                <w:szCs w:val="20"/>
              </w:rPr>
            </w:pPr>
            <w:r w:rsidRPr="002B7276">
              <w:rPr>
                <w:rFonts w:eastAsia="Times New Roman" w:cs="Arial"/>
                <w:sz w:val="22"/>
                <w:szCs w:val="20"/>
              </w:rPr>
              <w:t>21%</w:t>
            </w:r>
          </w:p>
        </w:tc>
        <w:tc>
          <w:tcPr>
            <w:tcW w:w="2118" w:type="dxa"/>
            <w:noWrap/>
          </w:tcPr>
          <w:p w14:paraId="082046F9" w14:textId="77777777" w:rsidR="006A3DBC" w:rsidRPr="002B7276" w:rsidRDefault="006A3DBC" w:rsidP="00832A2D">
            <w:pPr>
              <w:jc w:val="center"/>
              <w:rPr>
                <w:rFonts w:eastAsia="Times New Roman" w:cs="Arial"/>
                <w:sz w:val="22"/>
                <w:szCs w:val="20"/>
              </w:rPr>
            </w:pPr>
            <w:r w:rsidRPr="002B7276">
              <w:rPr>
                <w:rFonts w:eastAsia="Times New Roman" w:cs="Arial"/>
                <w:sz w:val="22"/>
                <w:szCs w:val="20"/>
              </w:rPr>
              <w:t>4%</w:t>
            </w:r>
          </w:p>
        </w:tc>
        <w:tc>
          <w:tcPr>
            <w:tcW w:w="2118" w:type="dxa"/>
          </w:tcPr>
          <w:p w14:paraId="594F68F1" w14:textId="77777777" w:rsidR="006A3DBC" w:rsidRPr="002B7276" w:rsidRDefault="006A3DBC" w:rsidP="00832A2D">
            <w:pPr>
              <w:jc w:val="center"/>
              <w:rPr>
                <w:rFonts w:eastAsia="Times New Roman" w:cs="Arial"/>
                <w:sz w:val="22"/>
                <w:szCs w:val="20"/>
              </w:rPr>
            </w:pPr>
            <w:r w:rsidRPr="002B7276">
              <w:rPr>
                <w:rFonts w:eastAsia="Times New Roman" w:cs="Arial"/>
                <w:sz w:val="22"/>
                <w:szCs w:val="20"/>
              </w:rPr>
              <w:t>2%</w:t>
            </w:r>
          </w:p>
        </w:tc>
      </w:tr>
      <w:tr w:rsidR="002B7276" w:rsidRPr="002B7276" w14:paraId="6498460D" w14:textId="77777777" w:rsidTr="0061577A">
        <w:trPr>
          <w:trHeight w:val="142"/>
          <w:jc w:val="center"/>
        </w:trPr>
        <w:tc>
          <w:tcPr>
            <w:tcW w:w="2118" w:type="dxa"/>
            <w:vAlign w:val="center"/>
          </w:tcPr>
          <w:p w14:paraId="17A1D1A6" w14:textId="77777777" w:rsidR="006A3DBC" w:rsidRPr="002B7276" w:rsidRDefault="006A3DBC" w:rsidP="005F4A92">
            <w:pPr>
              <w:rPr>
                <w:rFonts w:eastAsia="Times New Roman" w:cs="Arial"/>
                <w:sz w:val="22"/>
                <w:szCs w:val="20"/>
              </w:rPr>
            </w:pPr>
            <w:r w:rsidRPr="002B7276">
              <w:rPr>
                <w:rFonts w:eastAsia="Times New Roman" w:cs="Arial"/>
                <w:sz w:val="22"/>
                <w:szCs w:val="20"/>
              </w:rPr>
              <w:t>Valle</w:t>
            </w:r>
          </w:p>
        </w:tc>
        <w:tc>
          <w:tcPr>
            <w:tcW w:w="2118" w:type="dxa"/>
            <w:noWrap/>
          </w:tcPr>
          <w:p w14:paraId="35F494F0" w14:textId="77777777" w:rsidR="006A3DBC" w:rsidRPr="002B7276" w:rsidRDefault="006A3DBC" w:rsidP="00832A2D">
            <w:pPr>
              <w:jc w:val="center"/>
              <w:rPr>
                <w:rFonts w:eastAsia="Times New Roman" w:cs="Arial"/>
                <w:sz w:val="22"/>
                <w:szCs w:val="20"/>
              </w:rPr>
            </w:pPr>
            <w:r w:rsidRPr="002B7276">
              <w:rPr>
                <w:rFonts w:eastAsia="Times New Roman" w:cs="Arial"/>
                <w:sz w:val="22"/>
                <w:szCs w:val="20"/>
              </w:rPr>
              <w:t>15%</w:t>
            </w:r>
          </w:p>
        </w:tc>
        <w:tc>
          <w:tcPr>
            <w:tcW w:w="2118" w:type="dxa"/>
            <w:noWrap/>
          </w:tcPr>
          <w:p w14:paraId="0302878B" w14:textId="77777777" w:rsidR="006A3DBC" w:rsidRPr="002B7276" w:rsidRDefault="006A3DBC" w:rsidP="00832A2D">
            <w:pPr>
              <w:jc w:val="center"/>
              <w:rPr>
                <w:rFonts w:eastAsia="Times New Roman" w:cs="Arial"/>
                <w:sz w:val="22"/>
                <w:szCs w:val="20"/>
              </w:rPr>
            </w:pPr>
            <w:r w:rsidRPr="002B7276">
              <w:rPr>
                <w:rFonts w:eastAsia="Times New Roman" w:cs="Arial"/>
                <w:sz w:val="22"/>
                <w:szCs w:val="20"/>
              </w:rPr>
              <w:t>6%</w:t>
            </w:r>
          </w:p>
        </w:tc>
        <w:tc>
          <w:tcPr>
            <w:tcW w:w="2118" w:type="dxa"/>
          </w:tcPr>
          <w:p w14:paraId="1316967F" w14:textId="77777777" w:rsidR="006A3DBC" w:rsidRPr="002B7276" w:rsidRDefault="006A3DBC" w:rsidP="00832A2D">
            <w:pPr>
              <w:jc w:val="center"/>
              <w:rPr>
                <w:rFonts w:eastAsia="Times New Roman" w:cs="Arial"/>
                <w:sz w:val="22"/>
                <w:szCs w:val="20"/>
              </w:rPr>
            </w:pPr>
            <w:r w:rsidRPr="002B7276">
              <w:rPr>
                <w:rFonts w:eastAsia="Times New Roman" w:cs="Arial"/>
                <w:sz w:val="22"/>
                <w:szCs w:val="20"/>
              </w:rPr>
              <w:t>2.7%</w:t>
            </w:r>
          </w:p>
        </w:tc>
      </w:tr>
      <w:tr w:rsidR="002B7276" w:rsidRPr="002B7276" w14:paraId="3380401B" w14:textId="77777777" w:rsidTr="0061577A">
        <w:trPr>
          <w:trHeight w:val="142"/>
          <w:jc w:val="center"/>
        </w:trPr>
        <w:tc>
          <w:tcPr>
            <w:tcW w:w="2118" w:type="dxa"/>
            <w:vAlign w:val="center"/>
          </w:tcPr>
          <w:p w14:paraId="40C44F3E" w14:textId="229319FE" w:rsidR="006A3DBC" w:rsidRPr="002B7276" w:rsidRDefault="006A3DBC" w:rsidP="005F4A92">
            <w:pPr>
              <w:rPr>
                <w:rFonts w:eastAsia="Times New Roman" w:cs="Arial"/>
                <w:sz w:val="22"/>
                <w:szCs w:val="20"/>
              </w:rPr>
            </w:pPr>
            <w:r w:rsidRPr="002B7276">
              <w:rPr>
                <w:rFonts w:eastAsia="Times New Roman" w:cs="Arial"/>
                <w:sz w:val="22"/>
                <w:szCs w:val="20"/>
              </w:rPr>
              <w:t xml:space="preserve">Gracias a </w:t>
            </w:r>
            <w:r w:rsidR="00832A2D" w:rsidRPr="002B7276">
              <w:rPr>
                <w:rFonts w:eastAsia="Times New Roman" w:cs="Arial"/>
                <w:sz w:val="22"/>
                <w:szCs w:val="20"/>
              </w:rPr>
              <w:t xml:space="preserve">Dios </w:t>
            </w:r>
          </w:p>
        </w:tc>
        <w:tc>
          <w:tcPr>
            <w:tcW w:w="2118" w:type="dxa"/>
            <w:noWrap/>
          </w:tcPr>
          <w:p w14:paraId="4620D44A" w14:textId="77777777" w:rsidR="006A3DBC" w:rsidRPr="002B7276" w:rsidRDefault="006A3DBC" w:rsidP="00832A2D">
            <w:pPr>
              <w:jc w:val="center"/>
              <w:rPr>
                <w:rFonts w:eastAsia="Times New Roman" w:cs="Arial"/>
                <w:sz w:val="22"/>
                <w:szCs w:val="20"/>
              </w:rPr>
            </w:pPr>
            <w:r w:rsidRPr="002B7276">
              <w:rPr>
                <w:rFonts w:eastAsia="Times New Roman" w:cs="Arial"/>
                <w:sz w:val="22"/>
                <w:szCs w:val="20"/>
              </w:rPr>
              <w:t>17%</w:t>
            </w:r>
          </w:p>
        </w:tc>
        <w:tc>
          <w:tcPr>
            <w:tcW w:w="2118" w:type="dxa"/>
            <w:noWrap/>
          </w:tcPr>
          <w:p w14:paraId="747D01C2" w14:textId="77777777" w:rsidR="006A3DBC" w:rsidRPr="002B7276" w:rsidRDefault="006A3DBC" w:rsidP="00832A2D">
            <w:pPr>
              <w:jc w:val="center"/>
              <w:rPr>
                <w:rFonts w:eastAsia="Times New Roman" w:cs="Arial"/>
                <w:sz w:val="22"/>
                <w:szCs w:val="20"/>
              </w:rPr>
            </w:pPr>
            <w:r w:rsidRPr="002B7276">
              <w:rPr>
                <w:rFonts w:eastAsia="Times New Roman" w:cs="Arial"/>
                <w:sz w:val="22"/>
                <w:szCs w:val="20"/>
              </w:rPr>
              <w:t>4%</w:t>
            </w:r>
          </w:p>
        </w:tc>
        <w:tc>
          <w:tcPr>
            <w:tcW w:w="2118" w:type="dxa"/>
          </w:tcPr>
          <w:p w14:paraId="7AB9585F" w14:textId="77777777" w:rsidR="006A3DBC" w:rsidRPr="002B7276" w:rsidRDefault="006A3DBC" w:rsidP="00832A2D">
            <w:pPr>
              <w:jc w:val="center"/>
              <w:rPr>
                <w:rFonts w:eastAsia="Times New Roman" w:cs="Arial"/>
                <w:sz w:val="22"/>
                <w:szCs w:val="20"/>
              </w:rPr>
            </w:pPr>
            <w:r w:rsidRPr="002B7276">
              <w:rPr>
                <w:rFonts w:eastAsia="Times New Roman" w:cs="Arial"/>
                <w:sz w:val="22"/>
                <w:szCs w:val="20"/>
              </w:rPr>
              <w:t>2.3%</w:t>
            </w:r>
          </w:p>
        </w:tc>
      </w:tr>
    </w:tbl>
    <w:p w14:paraId="5A280E92" w14:textId="77777777" w:rsidR="006A3DBC" w:rsidRPr="00FA4B2D" w:rsidRDefault="006A3DBC" w:rsidP="006A3DBC">
      <w:pPr>
        <w:pStyle w:val="Prrafodelista"/>
        <w:jc w:val="center"/>
        <w:rPr>
          <w:rFonts w:eastAsia="Quattrocento Sans" w:cs="Arial"/>
          <w:iCs/>
          <w:sz w:val="20"/>
          <w:szCs w:val="20"/>
          <w:lang w:eastAsia="es-SV"/>
        </w:rPr>
      </w:pPr>
      <w:r w:rsidRPr="00FA4B2D">
        <w:rPr>
          <w:rFonts w:eastAsia="Quattrocento Sans" w:cs="Arial"/>
          <w:b/>
          <w:bCs/>
          <w:iCs/>
          <w:sz w:val="20"/>
          <w:szCs w:val="20"/>
          <w:lang w:eastAsia="es-SV"/>
        </w:rPr>
        <w:t>Fuente</w:t>
      </w:r>
      <w:r w:rsidRPr="00FA4B2D">
        <w:rPr>
          <w:rFonts w:eastAsia="Quattrocento Sans" w:cs="Arial"/>
          <w:iCs/>
          <w:sz w:val="20"/>
          <w:szCs w:val="20"/>
          <w:lang w:eastAsia="es-SV"/>
        </w:rPr>
        <w:t>: elaboración propia con base a datos de ENDESA/MICS 2019.</w:t>
      </w:r>
    </w:p>
    <w:p w14:paraId="4DC3CACF" w14:textId="77777777" w:rsidR="006A3DBC" w:rsidRPr="00FA4B2D" w:rsidRDefault="006A3DBC" w:rsidP="00411720">
      <w:pPr>
        <w:pStyle w:val="Ttulo2"/>
        <w:numPr>
          <w:ilvl w:val="2"/>
          <w:numId w:val="100"/>
        </w:numPr>
        <w:spacing w:before="0" w:line="240" w:lineRule="auto"/>
        <w:jc w:val="both"/>
        <w:rPr>
          <w:rFonts w:ascii="Arial" w:hAnsi="Arial" w:cs="Arial"/>
          <w:b/>
          <w:bCs/>
          <w:color w:val="767171" w:themeColor="background2" w:themeShade="80"/>
          <w:sz w:val="22"/>
          <w:szCs w:val="22"/>
        </w:rPr>
      </w:pPr>
      <w:bookmarkStart w:id="729" w:name="_Toc202456938"/>
      <w:r w:rsidRPr="00FA4B2D">
        <w:rPr>
          <w:rFonts w:ascii="Arial" w:hAnsi="Arial" w:cs="Arial"/>
          <w:b/>
          <w:bCs/>
          <w:color w:val="767171" w:themeColor="background2" w:themeShade="80"/>
          <w:sz w:val="22"/>
          <w:szCs w:val="22"/>
        </w:rPr>
        <w:t>Situacional de crimen y violencia</w:t>
      </w:r>
      <w:bookmarkEnd w:id="729"/>
      <w:r w:rsidRPr="00FA4B2D">
        <w:rPr>
          <w:rFonts w:ascii="Arial" w:hAnsi="Arial" w:cs="Arial"/>
          <w:b/>
          <w:bCs/>
          <w:color w:val="767171" w:themeColor="background2" w:themeShade="80"/>
          <w:sz w:val="22"/>
          <w:szCs w:val="22"/>
        </w:rPr>
        <w:t xml:space="preserve">  </w:t>
      </w:r>
    </w:p>
    <w:p w14:paraId="4E612964" w14:textId="77777777" w:rsidR="006A3DBC" w:rsidRDefault="006A3DBC" w:rsidP="006A3DBC">
      <w:pPr>
        <w:jc w:val="both"/>
        <w:rPr>
          <w:rFonts w:cs="Arial"/>
        </w:rPr>
      </w:pPr>
      <w:r w:rsidRPr="00FA4B2D">
        <w:rPr>
          <w:rFonts w:cs="Arial"/>
        </w:rPr>
        <w:t>A partir de información de fuentes secundarias disponible en la ENDESA/MICS 2019</w:t>
      </w:r>
      <w:r w:rsidRPr="00FA4B2D">
        <w:rPr>
          <w:rFonts w:cs="Arial"/>
        </w:rPr>
        <w:footnoteReference w:id="34"/>
      </w:r>
      <w:r w:rsidRPr="00FA4B2D">
        <w:rPr>
          <w:rFonts w:cs="Arial"/>
        </w:rPr>
        <w:t xml:space="preserve">, se describen algunas variables relativas al crimen y violencia, en los departamentos de incidencia del Proyecto. </w:t>
      </w:r>
    </w:p>
    <w:p w14:paraId="1B8140EE" w14:textId="77777777" w:rsidR="002B7276" w:rsidRDefault="002B7276" w:rsidP="006A3DBC">
      <w:pPr>
        <w:jc w:val="both"/>
        <w:rPr>
          <w:rFonts w:cs="Arial"/>
        </w:rPr>
      </w:pPr>
    </w:p>
    <w:p w14:paraId="6D7CDB2B" w14:textId="77777777" w:rsidR="002B7276" w:rsidRPr="00FA4B2D" w:rsidRDefault="002B7276" w:rsidP="006A3DBC">
      <w:pPr>
        <w:jc w:val="both"/>
        <w:rPr>
          <w:rFonts w:cs="Arial"/>
        </w:rPr>
      </w:pPr>
    </w:p>
    <w:p w14:paraId="007DB793" w14:textId="77777777" w:rsidR="006A3DBC" w:rsidRPr="00FA4B2D" w:rsidRDefault="006A3DBC" w:rsidP="0061577A">
      <w:pPr>
        <w:pStyle w:val="Prrafodelista"/>
        <w:numPr>
          <w:ilvl w:val="0"/>
          <w:numId w:val="103"/>
        </w:numPr>
        <w:rPr>
          <w:rFonts w:cs="Arial"/>
          <w:i/>
          <w:iCs/>
        </w:rPr>
      </w:pPr>
      <w:bookmarkStart w:id="730" w:name="_Toc156586920"/>
      <w:bookmarkStart w:id="731" w:name="_Toc87187418"/>
      <w:r w:rsidRPr="00FA4B2D">
        <w:rPr>
          <w:rFonts w:cs="Arial"/>
          <w:i/>
          <w:iCs/>
        </w:rPr>
        <w:lastRenderedPageBreak/>
        <w:t>Robo y agresión</w:t>
      </w:r>
      <w:bookmarkEnd w:id="730"/>
    </w:p>
    <w:p w14:paraId="71F8387F" w14:textId="77777777" w:rsidR="006A3DBC" w:rsidRPr="00FA4B2D" w:rsidRDefault="006A3DBC" w:rsidP="006A3DBC">
      <w:pPr>
        <w:jc w:val="both"/>
        <w:rPr>
          <w:rFonts w:cs="Arial"/>
        </w:rPr>
      </w:pPr>
      <w:r w:rsidRPr="00FA4B2D">
        <w:rPr>
          <w:rFonts w:cs="Arial"/>
        </w:rPr>
        <w:t xml:space="preserve">En relación con la situación de robo y agresión, el INE señala que, a nivel departamental, en Valle, el 4.4% de las mujeres han sido víctimas de robo </w:t>
      </w:r>
      <w:r w:rsidRPr="00FA4B2D">
        <w:rPr>
          <w:rFonts w:cs="Arial"/>
        </w:rPr>
        <w:footnoteReference w:id="35"/>
      </w:r>
      <w:r w:rsidRPr="00FA4B2D">
        <w:rPr>
          <w:rFonts w:cs="Arial"/>
        </w:rPr>
        <w:t xml:space="preserve"> en los últimos tres años previos a la ENDESA/MICS 2019, adicionalmente, que el 42.1% de los robos han sido con uso de cualquier arma (cuchillo, pistola, otros), mientras que el 4.4%, señalan que durante el robo o agresión la totalidad fueron víctimas de alguna violencia física. En el caso de los hombres, en los últimos 3 años, el 6.6% ha sido víctima de violencia de robo.</w:t>
      </w:r>
    </w:p>
    <w:p w14:paraId="5A9C65E2" w14:textId="77777777" w:rsidR="006A3DBC" w:rsidRPr="00FA4B2D" w:rsidRDefault="006A3DBC" w:rsidP="006A3DBC">
      <w:pPr>
        <w:jc w:val="both"/>
        <w:rPr>
          <w:rFonts w:cs="Arial"/>
        </w:rPr>
      </w:pPr>
      <w:r w:rsidRPr="00FA4B2D">
        <w:rPr>
          <w:rFonts w:cs="Arial"/>
        </w:rPr>
        <w:t>En referencia al departamento de Yoro, en el caso de las mujeres, el 5.8% del total del departamento declararon ser víctimas de robo, de las cuales el 24.8% señala que las circunstancias del robo incluyeron la presencia de armas (principalmente pistola y cuchillo).  En el caso de los hombres el 9.3% declaran que fueron víctimas de robo e igual porcentaje declara que fueron además víctimas de agresión física durante el evento.</w:t>
      </w:r>
    </w:p>
    <w:p w14:paraId="3CFD7D52" w14:textId="77777777" w:rsidR="006A3DBC" w:rsidRPr="00FA4B2D" w:rsidRDefault="006A3DBC" w:rsidP="006A3DBC">
      <w:pPr>
        <w:jc w:val="both"/>
        <w:rPr>
          <w:rFonts w:cs="Arial"/>
        </w:rPr>
      </w:pPr>
      <w:r w:rsidRPr="00FA4B2D">
        <w:rPr>
          <w:rFonts w:cs="Arial"/>
        </w:rPr>
        <w:t xml:space="preserve">En el caso del departamento de Olancho, el 4.1% de las mujeres declararon haber sido víctimas de robo en los últimos 3 años, de las cuales el 49.8% indican que el robo fue perpetrado con uso de arma (cerca del 50% con pistola o cuchillo, el resto no definido). En el caso de los hombres, el 7.3% de los encuestados señalaron que han sido víctimas de robo, no existiendo información desagregada sobre el tipo de arma en el caso de estos. </w:t>
      </w:r>
    </w:p>
    <w:p w14:paraId="63BD940B" w14:textId="77777777" w:rsidR="006A3DBC" w:rsidRPr="00FA4B2D" w:rsidRDefault="006A3DBC" w:rsidP="00411720">
      <w:pPr>
        <w:pStyle w:val="Prrafodelista"/>
        <w:numPr>
          <w:ilvl w:val="0"/>
          <w:numId w:val="103"/>
        </w:numPr>
        <w:rPr>
          <w:rFonts w:cs="Arial"/>
          <w:i/>
          <w:iCs/>
        </w:rPr>
      </w:pPr>
      <w:bookmarkStart w:id="732" w:name="_Toc156586921"/>
      <w:bookmarkEnd w:id="731"/>
      <w:r w:rsidRPr="00FA4B2D">
        <w:rPr>
          <w:rFonts w:cs="Arial"/>
          <w:i/>
          <w:iCs/>
        </w:rPr>
        <w:t>Sensación de seguridad</w:t>
      </w:r>
      <w:bookmarkEnd w:id="732"/>
      <w:r w:rsidRPr="00FA4B2D">
        <w:rPr>
          <w:rFonts w:cs="Arial"/>
          <w:i/>
          <w:iCs/>
        </w:rPr>
        <w:t xml:space="preserve"> </w:t>
      </w:r>
    </w:p>
    <w:p w14:paraId="7AE5615B" w14:textId="77777777" w:rsidR="006A3DBC" w:rsidRPr="00FA4B2D" w:rsidRDefault="006A3DBC" w:rsidP="006A3DBC">
      <w:pPr>
        <w:jc w:val="both"/>
        <w:rPr>
          <w:rFonts w:cs="Arial"/>
        </w:rPr>
      </w:pPr>
      <w:r w:rsidRPr="00FA4B2D">
        <w:rPr>
          <w:rFonts w:cs="Arial"/>
        </w:rPr>
        <w:t xml:space="preserve">La ENDESA /MICS 2019, en relación con la sensación de seguridad de las mujeres para caminar por su vecindario después del anochecer, indica que un alto porcentaje de estas se sienten entre inseguras y muy inseguras, incluso algunas de ellas nunca caminan solas por la noche. Contrario a los hombres, al consultarles sobre la seguridad al caminar por el vecindario al anochecer, la mayoría se percibe mayormente seguro, como lo podemos notar en la tabla a continuación. La percepción de la seguridad varía según el sexo de la persona. Los hombres son los que se declaran más seguros, mientras que las mujeres son las que se declaran más inseguras. </w:t>
      </w:r>
    </w:p>
    <w:p w14:paraId="64B9811E" w14:textId="680CC8B4" w:rsidR="00F94AC4" w:rsidRDefault="00F94AC4" w:rsidP="00F94AC4">
      <w:pPr>
        <w:pStyle w:val="Descripcin"/>
        <w:keepNext/>
      </w:pPr>
      <w:bookmarkStart w:id="733" w:name="_Toc202455470"/>
      <w:r>
        <w:t xml:space="preserve">Tabla </w:t>
      </w:r>
      <w:r>
        <w:fldChar w:fldCharType="begin"/>
      </w:r>
      <w:r>
        <w:instrText xml:space="preserve"> SEQ Tabla \* ARABIC </w:instrText>
      </w:r>
      <w:r>
        <w:fldChar w:fldCharType="separate"/>
      </w:r>
      <w:r w:rsidR="000E6D86">
        <w:rPr>
          <w:noProof/>
        </w:rPr>
        <w:t>44</w:t>
      </w:r>
      <w:r>
        <w:fldChar w:fldCharType="end"/>
      </w:r>
      <w:r>
        <w:t xml:space="preserve">: </w:t>
      </w:r>
      <w:r w:rsidRPr="00F26E3D">
        <w:t>Porcentaje de mujeres y hombres según sensación de seguridad 3 departamentos</w:t>
      </w:r>
      <w:bookmarkEnd w:id="733"/>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7"/>
        <w:gridCol w:w="960"/>
        <w:gridCol w:w="960"/>
        <w:gridCol w:w="960"/>
        <w:gridCol w:w="960"/>
        <w:gridCol w:w="1340"/>
        <w:gridCol w:w="640"/>
        <w:gridCol w:w="2420"/>
      </w:tblGrid>
      <w:tr w:rsidR="002B7276" w:rsidRPr="002B7276" w14:paraId="27724500" w14:textId="77777777" w:rsidTr="00016847">
        <w:trPr>
          <w:trHeight w:val="480"/>
          <w:tblHeader/>
          <w:jc w:val="center"/>
        </w:trPr>
        <w:tc>
          <w:tcPr>
            <w:tcW w:w="1327" w:type="dxa"/>
            <w:vMerge w:val="restart"/>
            <w:shd w:val="clear" w:color="auto" w:fill="5CC5DA"/>
            <w:vAlign w:val="center"/>
            <w:hideMark/>
          </w:tcPr>
          <w:p w14:paraId="19F4C6D2" w14:textId="77777777" w:rsidR="006A3DBC" w:rsidRPr="002B7276" w:rsidRDefault="006A3DBC" w:rsidP="005F4A92">
            <w:pPr>
              <w:spacing w:after="0" w:line="240" w:lineRule="auto"/>
              <w:jc w:val="center"/>
              <w:rPr>
                <w:rFonts w:eastAsia="Quattrocento Sans" w:cs="Arial"/>
                <w:b/>
                <w:bCs/>
                <w:iCs/>
                <w:sz w:val="16"/>
                <w:szCs w:val="16"/>
                <w:lang w:eastAsia="es-SV"/>
              </w:rPr>
            </w:pPr>
            <w:r w:rsidRPr="002B7276">
              <w:rPr>
                <w:rFonts w:eastAsia="Quattrocento Sans" w:cs="Arial"/>
                <w:b/>
                <w:bCs/>
                <w:iCs/>
                <w:sz w:val="16"/>
                <w:szCs w:val="16"/>
                <w:lang w:eastAsia="es-SV"/>
              </w:rPr>
              <w:t>Sexo/ Departamento</w:t>
            </w:r>
          </w:p>
        </w:tc>
        <w:tc>
          <w:tcPr>
            <w:tcW w:w="5180" w:type="dxa"/>
            <w:gridSpan w:val="5"/>
            <w:shd w:val="clear" w:color="auto" w:fill="5CC5DA"/>
            <w:vAlign w:val="center"/>
            <w:hideMark/>
          </w:tcPr>
          <w:p w14:paraId="5E7C2EAB" w14:textId="77777777" w:rsidR="006A3DBC" w:rsidRPr="002B7276" w:rsidRDefault="006A3DBC" w:rsidP="005F4A92">
            <w:pPr>
              <w:spacing w:after="0" w:line="240" w:lineRule="auto"/>
              <w:jc w:val="center"/>
              <w:rPr>
                <w:rFonts w:eastAsia="Quattrocento Sans" w:cs="Arial"/>
                <w:b/>
                <w:bCs/>
                <w:iCs/>
                <w:sz w:val="16"/>
                <w:szCs w:val="16"/>
                <w:lang w:eastAsia="es-SV"/>
              </w:rPr>
            </w:pPr>
            <w:r w:rsidRPr="002B7276">
              <w:rPr>
                <w:rFonts w:eastAsia="Quattrocento Sans" w:cs="Arial"/>
                <w:b/>
                <w:bCs/>
                <w:iCs/>
                <w:sz w:val="16"/>
                <w:szCs w:val="16"/>
                <w:lang w:eastAsia="es-SV"/>
              </w:rPr>
              <w:t>Distribución porcentual de personas que caminan solos en su vecindario después de que anochece sintiéndose:</w:t>
            </w:r>
          </w:p>
        </w:tc>
        <w:tc>
          <w:tcPr>
            <w:tcW w:w="640" w:type="dxa"/>
            <w:vMerge w:val="restart"/>
            <w:shd w:val="clear" w:color="auto" w:fill="5CC5DA"/>
            <w:vAlign w:val="center"/>
            <w:hideMark/>
          </w:tcPr>
          <w:p w14:paraId="5D1741CB" w14:textId="77777777" w:rsidR="006A3DBC" w:rsidRPr="002B7276" w:rsidRDefault="006A3DBC" w:rsidP="005F4A92">
            <w:pPr>
              <w:spacing w:after="0" w:line="240" w:lineRule="auto"/>
              <w:jc w:val="center"/>
              <w:rPr>
                <w:rFonts w:eastAsia="Quattrocento Sans" w:cs="Arial"/>
                <w:b/>
                <w:bCs/>
                <w:iCs/>
                <w:sz w:val="16"/>
                <w:szCs w:val="16"/>
                <w:lang w:eastAsia="es-SV"/>
              </w:rPr>
            </w:pPr>
            <w:r w:rsidRPr="002B7276">
              <w:rPr>
                <w:rFonts w:eastAsia="Quattrocento Sans" w:cs="Arial"/>
                <w:b/>
                <w:bCs/>
                <w:iCs/>
                <w:sz w:val="16"/>
                <w:szCs w:val="16"/>
                <w:lang w:eastAsia="es-SV"/>
              </w:rPr>
              <w:t>Total</w:t>
            </w:r>
          </w:p>
        </w:tc>
        <w:tc>
          <w:tcPr>
            <w:tcW w:w="2420" w:type="dxa"/>
            <w:vMerge w:val="restart"/>
            <w:shd w:val="clear" w:color="auto" w:fill="5CC5DA"/>
            <w:vAlign w:val="center"/>
            <w:hideMark/>
          </w:tcPr>
          <w:p w14:paraId="6043E342" w14:textId="77777777" w:rsidR="006A3DBC" w:rsidRPr="002B7276" w:rsidRDefault="006A3DBC" w:rsidP="005F4A92">
            <w:pPr>
              <w:spacing w:after="0" w:line="240" w:lineRule="auto"/>
              <w:jc w:val="center"/>
              <w:rPr>
                <w:rFonts w:eastAsia="Quattrocento Sans" w:cs="Arial"/>
                <w:b/>
                <w:bCs/>
                <w:iCs/>
                <w:sz w:val="16"/>
                <w:szCs w:val="16"/>
                <w:lang w:val="es-HN" w:eastAsia="es-SV"/>
              </w:rPr>
            </w:pPr>
            <w:r w:rsidRPr="002B7276">
              <w:rPr>
                <w:rFonts w:eastAsia="Quattrocento Sans" w:cs="Arial"/>
                <w:b/>
                <w:bCs/>
                <w:iCs/>
                <w:sz w:val="16"/>
                <w:szCs w:val="16"/>
                <w:lang w:eastAsia="es-SV"/>
              </w:rPr>
              <w:t>Porcentaje de personas que se sienten seguros caminando solos en su vecindario después de anochecer</w:t>
            </w:r>
          </w:p>
        </w:tc>
      </w:tr>
      <w:tr w:rsidR="002B7276" w:rsidRPr="002B7276" w14:paraId="765AE50F" w14:textId="77777777" w:rsidTr="00016847">
        <w:trPr>
          <w:trHeight w:val="480"/>
          <w:tblHeader/>
          <w:jc w:val="center"/>
        </w:trPr>
        <w:tc>
          <w:tcPr>
            <w:tcW w:w="1327" w:type="dxa"/>
            <w:vMerge/>
            <w:shd w:val="clear" w:color="auto" w:fill="5B9BD5" w:themeFill="accent1"/>
            <w:vAlign w:val="center"/>
            <w:hideMark/>
          </w:tcPr>
          <w:p w14:paraId="65CDEBA9" w14:textId="77777777" w:rsidR="006A3DBC" w:rsidRPr="002B7276" w:rsidRDefault="006A3DBC" w:rsidP="005F4A92">
            <w:pPr>
              <w:spacing w:after="0" w:line="240" w:lineRule="auto"/>
              <w:rPr>
                <w:rFonts w:eastAsia="Quattrocento Sans" w:cs="Arial"/>
                <w:b/>
                <w:bCs/>
                <w:iCs/>
                <w:sz w:val="16"/>
                <w:szCs w:val="16"/>
                <w:lang w:eastAsia="es-SV"/>
              </w:rPr>
            </w:pPr>
          </w:p>
        </w:tc>
        <w:tc>
          <w:tcPr>
            <w:tcW w:w="960" w:type="dxa"/>
            <w:shd w:val="clear" w:color="auto" w:fill="5CC5DA"/>
            <w:vAlign w:val="center"/>
            <w:hideMark/>
          </w:tcPr>
          <w:p w14:paraId="27D6AA5B" w14:textId="77777777" w:rsidR="006A3DBC" w:rsidRPr="002B7276" w:rsidRDefault="006A3DBC" w:rsidP="005F4A92">
            <w:pPr>
              <w:spacing w:after="0" w:line="240" w:lineRule="auto"/>
              <w:jc w:val="center"/>
              <w:rPr>
                <w:rFonts w:eastAsia="Quattrocento Sans" w:cs="Arial"/>
                <w:b/>
                <w:bCs/>
                <w:iCs/>
                <w:sz w:val="16"/>
                <w:szCs w:val="16"/>
                <w:lang w:eastAsia="es-SV"/>
              </w:rPr>
            </w:pPr>
            <w:r w:rsidRPr="002B7276">
              <w:rPr>
                <w:rFonts w:eastAsia="Quattrocento Sans" w:cs="Arial"/>
                <w:b/>
                <w:bCs/>
                <w:iCs/>
                <w:sz w:val="16"/>
                <w:szCs w:val="16"/>
                <w:lang w:eastAsia="es-SV"/>
              </w:rPr>
              <w:t>Muy seguros</w:t>
            </w:r>
          </w:p>
        </w:tc>
        <w:tc>
          <w:tcPr>
            <w:tcW w:w="960" w:type="dxa"/>
            <w:shd w:val="clear" w:color="auto" w:fill="5CC5DA"/>
            <w:vAlign w:val="center"/>
            <w:hideMark/>
          </w:tcPr>
          <w:p w14:paraId="7152377A" w14:textId="77777777" w:rsidR="006A3DBC" w:rsidRPr="002B7276" w:rsidRDefault="006A3DBC" w:rsidP="005F4A92">
            <w:pPr>
              <w:spacing w:after="0" w:line="240" w:lineRule="auto"/>
              <w:jc w:val="center"/>
              <w:rPr>
                <w:rFonts w:eastAsia="Quattrocento Sans" w:cs="Arial"/>
                <w:b/>
                <w:bCs/>
                <w:iCs/>
                <w:sz w:val="16"/>
                <w:szCs w:val="16"/>
                <w:lang w:eastAsia="es-SV"/>
              </w:rPr>
            </w:pPr>
            <w:r w:rsidRPr="002B7276">
              <w:rPr>
                <w:rFonts w:eastAsia="Quattrocento Sans" w:cs="Arial"/>
                <w:b/>
                <w:bCs/>
                <w:iCs/>
                <w:sz w:val="16"/>
                <w:szCs w:val="16"/>
                <w:lang w:eastAsia="es-SV"/>
              </w:rPr>
              <w:t>Seguros</w:t>
            </w:r>
          </w:p>
        </w:tc>
        <w:tc>
          <w:tcPr>
            <w:tcW w:w="960" w:type="dxa"/>
            <w:shd w:val="clear" w:color="auto" w:fill="5CC5DA"/>
            <w:vAlign w:val="center"/>
            <w:hideMark/>
          </w:tcPr>
          <w:p w14:paraId="7A273C07" w14:textId="77777777" w:rsidR="006A3DBC" w:rsidRPr="002B7276" w:rsidRDefault="006A3DBC" w:rsidP="005F4A92">
            <w:pPr>
              <w:spacing w:after="0" w:line="240" w:lineRule="auto"/>
              <w:jc w:val="center"/>
              <w:rPr>
                <w:rFonts w:eastAsia="Quattrocento Sans" w:cs="Arial"/>
                <w:b/>
                <w:bCs/>
                <w:iCs/>
                <w:sz w:val="16"/>
                <w:szCs w:val="16"/>
                <w:lang w:eastAsia="es-SV"/>
              </w:rPr>
            </w:pPr>
            <w:r w:rsidRPr="002B7276">
              <w:rPr>
                <w:rFonts w:eastAsia="Quattrocento Sans" w:cs="Arial"/>
                <w:b/>
                <w:bCs/>
                <w:iCs/>
                <w:sz w:val="16"/>
                <w:szCs w:val="16"/>
                <w:lang w:eastAsia="es-SV"/>
              </w:rPr>
              <w:t>Inseguros</w:t>
            </w:r>
          </w:p>
        </w:tc>
        <w:tc>
          <w:tcPr>
            <w:tcW w:w="960" w:type="dxa"/>
            <w:shd w:val="clear" w:color="auto" w:fill="5CC5DA"/>
            <w:vAlign w:val="center"/>
            <w:hideMark/>
          </w:tcPr>
          <w:p w14:paraId="4E36CA5C" w14:textId="77777777" w:rsidR="006A3DBC" w:rsidRPr="002B7276" w:rsidRDefault="006A3DBC" w:rsidP="005F4A92">
            <w:pPr>
              <w:spacing w:after="0" w:line="240" w:lineRule="auto"/>
              <w:jc w:val="center"/>
              <w:rPr>
                <w:rFonts w:eastAsia="Quattrocento Sans" w:cs="Arial"/>
                <w:b/>
                <w:bCs/>
                <w:iCs/>
                <w:sz w:val="16"/>
                <w:szCs w:val="16"/>
                <w:lang w:eastAsia="es-SV"/>
              </w:rPr>
            </w:pPr>
            <w:r w:rsidRPr="002B7276">
              <w:rPr>
                <w:rFonts w:eastAsia="Quattrocento Sans" w:cs="Arial"/>
                <w:b/>
                <w:bCs/>
                <w:iCs/>
                <w:sz w:val="16"/>
                <w:szCs w:val="16"/>
                <w:lang w:eastAsia="es-SV"/>
              </w:rPr>
              <w:t>Muy inseguros</w:t>
            </w:r>
          </w:p>
        </w:tc>
        <w:tc>
          <w:tcPr>
            <w:tcW w:w="1340" w:type="dxa"/>
            <w:shd w:val="clear" w:color="auto" w:fill="5CC5DA"/>
            <w:vAlign w:val="center"/>
            <w:hideMark/>
          </w:tcPr>
          <w:p w14:paraId="26FE01F7" w14:textId="77777777" w:rsidR="006A3DBC" w:rsidRPr="002B7276" w:rsidRDefault="006A3DBC" w:rsidP="005F4A92">
            <w:pPr>
              <w:spacing w:after="0" w:line="240" w:lineRule="auto"/>
              <w:jc w:val="center"/>
              <w:rPr>
                <w:rFonts w:eastAsia="Quattrocento Sans" w:cs="Arial"/>
                <w:b/>
                <w:bCs/>
                <w:iCs/>
                <w:sz w:val="16"/>
                <w:szCs w:val="16"/>
                <w:lang w:eastAsia="es-SV"/>
              </w:rPr>
            </w:pPr>
            <w:r w:rsidRPr="002B7276">
              <w:rPr>
                <w:rFonts w:eastAsia="Quattrocento Sans" w:cs="Arial"/>
                <w:b/>
                <w:bCs/>
                <w:iCs/>
                <w:sz w:val="16"/>
                <w:szCs w:val="16"/>
                <w:lang w:eastAsia="es-SV"/>
              </w:rPr>
              <w:t>Nunca camina solo de noche</w:t>
            </w:r>
          </w:p>
        </w:tc>
        <w:tc>
          <w:tcPr>
            <w:tcW w:w="640" w:type="dxa"/>
            <w:vMerge/>
            <w:shd w:val="clear" w:color="auto" w:fill="5B9BD5" w:themeFill="accent1"/>
            <w:vAlign w:val="center"/>
            <w:hideMark/>
          </w:tcPr>
          <w:p w14:paraId="799E32B3" w14:textId="77777777" w:rsidR="006A3DBC" w:rsidRPr="002B7276" w:rsidRDefault="006A3DBC" w:rsidP="005F4A92">
            <w:pPr>
              <w:spacing w:after="0" w:line="240" w:lineRule="auto"/>
              <w:rPr>
                <w:rFonts w:eastAsia="Quattrocento Sans" w:cs="Arial"/>
                <w:b/>
                <w:bCs/>
                <w:iCs/>
                <w:sz w:val="16"/>
                <w:szCs w:val="16"/>
                <w:lang w:eastAsia="es-SV"/>
              </w:rPr>
            </w:pPr>
          </w:p>
        </w:tc>
        <w:tc>
          <w:tcPr>
            <w:tcW w:w="2420" w:type="dxa"/>
            <w:vMerge/>
            <w:shd w:val="clear" w:color="auto" w:fill="5B9BD5" w:themeFill="accent1"/>
            <w:vAlign w:val="center"/>
            <w:hideMark/>
          </w:tcPr>
          <w:p w14:paraId="450BF24A" w14:textId="77777777" w:rsidR="006A3DBC" w:rsidRPr="002B7276" w:rsidRDefault="006A3DBC" w:rsidP="005F4A92">
            <w:pPr>
              <w:spacing w:after="0" w:line="240" w:lineRule="auto"/>
              <w:rPr>
                <w:rFonts w:eastAsia="Quattrocento Sans" w:cs="Arial"/>
                <w:b/>
                <w:bCs/>
                <w:iCs/>
                <w:sz w:val="16"/>
                <w:szCs w:val="16"/>
                <w:lang w:eastAsia="es-SV"/>
              </w:rPr>
            </w:pPr>
          </w:p>
        </w:tc>
      </w:tr>
      <w:tr w:rsidR="002B7276" w:rsidRPr="002B7276" w14:paraId="608DF25B" w14:textId="77777777" w:rsidTr="005F4A92">
        <w:trPr>
          <w:trHeight w:val="240"/>
          <w:jc w:val="center"/>
        </w:trPr>
        <w:tc>
          <w:tcPr>
            <w:tcW w:w="1327" w:type="dxa"/>
            <w:shd w:val="clear" w:color="auto" w:fill="auto"/>
            <w:noWrap/>
            <w:vAlign w:val="center"/>
            <w:hideMark/>
          </w:tcPr>
          <w:p w14:paraId="18126B09" w14:textId="77777777" w:rsidR="006A3DBC" w:rsidRPr="002B7276" w:rsidRDefault="006A3DBC" w:rsidP="005F4A92">
            <w:pPr>
              <w:spacing w:after="0" w:line="240" w:lineRule="auto"/>
              <w:rPr>
                <w:rFonts w:eastAsia="Quattrocento Sans" w:cs="Arial"/>
                <w:iCs/>
                <w:sz w:val="16"/>
                <w:szCs w:val="16"/>
                <w:lang w:eastAsia="es-SV"/>
              </w:rPr>
            </w:pPr>
            <w:r w:rsidRPr="002B7276">
              <w:rPr>
                <w:rFonts w:eastAsia="Quattrocento Sans" w:cs="Arial"/>
                <w:iCs/>
                <w:sz w:val="16"/>
                <w:szCs w:val="16"/>
                <w:lang w:eastAsia="es-SV"/>
              </w:rPr>
              <w:t>Hombres</w:t>
            </w:r>
          </w:p>
        </w:tc>
        <w:tc>
          <w:tcPr>
            <w:tcW w:w="960" w:type="dxa"/>
            <w:shd w:val="clear" w:color="auto" w:fill="auto"/>
            <w:vAlign w:val="bottom"/>
            <w:hideMark/>
          </w:tcPr>
          <w:p w14:paraId="15A0F20B" w14:textId="77777777" w:rsidR="006A3DBC" w:rsidRPr="002B7276" w:rsidRDefault="006A3DBC" w:rsidP="005F4A92">
            <w:pPr>
              <w:spacing w:after="0" w:line="240" w:lineRule="auto"/>
              <w:rPr>
                <w:rFonts w:eastAsia="Quattrocento Sans" w:cs="Arial"/>
                <w:iCs/>
                <w:sz w:val="16"/>
                <w:szCs w:val="16"/>
                <w:lang w:eastAsia="es-SV"/>
              </w:rPr>
            </w:pPr>
          </w:p>
        </w:tc>
        <w:tc>
          <w:tcPr>
            <w:tcW w:w="960" w:type="dxa"/>
            <w:shd w:val="clear" w:color="auto" w:fill="auto"/>
            <w:noWrap/>
            <w:vAlign w:val="center"/>
            <w:hideMark/>
          </w:tcPr>
          <w:p w14:paraId="5A724532" w14:textId="77777777" w:rsidR="006A3DBC" w:rsidRPr="002B7276" w:rsidRDefault="006A3DBC" w:rsidP="005F4A92">
            <w:pPr>
              <w:spacing w:after="0" w:line="240" w:lineRule="auto"/>
              <w:rPr>
                <w:rFonts w:eastAsia="Quattrocento Sans" w:cs="Arial"/>
                <w:iCs/>
                <w:sz w:val="16"/>
                <w:szCs w:val="16"/>
                <w:lang w:eastAsia="es-SV"/>
              </w:rPr>
            </w:pPr>
          </w:p>
        </w:tc>
        <w:tc>
          <w:tcPr>
            <w:tcW w:w="960" w:type="dxa"/>
            <w:shd w:val="clear" w:color="auto" w:fill="auto"/>
            <w:noWrap/>
            <w:vAlign w:val="center"/>
            <w:hideMark/>
          </w:tcPr>
          <w:p w14:paraId="6CD567A7" w14:textId="77777777" w:rsidR="006A3DBC" w:rsidRPr="002B7276" w:rsidRDefault="006A3DBC" w:rsidP="005F4A92">
            <w:pPr>
              <w:spacing w:after="0" w:line="240" w:lineRule="auto"/>
              <w:rPr>
                <w:rFonts w:eastAsia="Quattrocento Sans" w:cs="Arial"/>
                <w:iCs/>
                <w:sz w:val="16"/>
                <w:szCs w:val="16"/>
                <w:lang w:eastAsia="es-SV"/>
              </w:rPr>
            </w:pPr>
          </w:p>
        </w:tc>
        <w:tc>
          <w:tcPr>
            <w:tcW w:w="960" w:type="dxa"/>
            <w:shd w:val="clear" w:color="auto" w:fill="auto"/>
            <w:noWrap/>
            <w:vAlign w:val="center"/>
            <w:hideMark/>
          </w:tcPr>
          <w:p w14:paraId="51F65F5D" w14:textId="77777777" w:rsidR="006A3DBC" w:rsidRPr="002B7276" w:rsidRDefault="006A3DBC" w:rsidP="005F4A92">
            <w:pPr>
              <w:spacing w:after="0" w:line="240" w:lineRule="auto"/>
              <w:rPr>
                <w:rFonts w:eastAsia="Quattrocento Sans" w:cs="Arial"/>
                <w:iCs/>
                <w:sz w:val="16"/>
                <w:szCs w:val="16"/>
                <w:lang w:eastAsia="es-SV"/>
              </w:rPr>
            </w:pPr>
          </w:p>
        </w:tc>
        <w:tc>
          <w:tcPr>
            <w:tcW w:w="1340" w:type="dxa"/>
            <w:shd w:val="clear" w:color="auto" w:fill="auto"/>
            <w:noWrap/>
            <w:vAlign w:val="center"/>
            <w:hideMark/>
          </w:tcPr>
          <w:p w14:paraId="73B549A0" w14:textId="77777777" w:rsidR="006A3DBC" w:rsidRPr="002B7276" w:rsidRDefault="006A3DBC" w:rsidP="005F4A92">
            <w:pPr>
              <w:spacing w:after="0" w:line="240" w:lineRule="auto"/>
              <w:rPr>
                <w:rFonts w:eastAsia="Quattrocento Sans" w:cs="Arial"/>
                <w:iCs/>
                <w:sz w:val="16"/>
                <w:szCs w:val="16"/>
                <w:lang w:eastAsia="es-SV"/>
              </w:rPr>
            </w:pPr>
          </w:p>
        </w:tc>
        <w:tc>
          <w:tcPr>
            <w:tcW w:w="640" w:type="dxa"/>
            <w:shd w:val="clear" w:color="auto" w:fill="auto"/>
            <w:noWrap/>
            <w:vAlign w:val="center"/>
            <w:hideMark/>
          </w:tcPr>
          <w:p w14:paraId="0CD66CF9" w14:textId="77777777" w:rsidR="006A3DBC" w:rsidRPr="002B7276" w:rsidRDefault="006A3DBC" w:rsidP="005F4A92">
            <w:pPr>
              <w:spacing w:after="0" w:line="240" w:lineRule="auto"/>
              <w:rPr>
                <w:rFonts w:eastAsia="Quattrocento Sans" w:cs="Arial"/>
                <w:iCs/>
                <w:sz w:val="16"/>
                <w:szCs w:val="16"/>
                <w:lang w:eastAsia="es-SV"/>
              </w:rPr>
            </w:pPr>
          </w:p>
        </w:tc>
        <w:tc>
          <w:tcPr>
            <w:tcW w:w="2420" w:type="dxa"/>
            <w:shd w:val="clear" w:color="auto" w:fill="auto"/>
            <w:noWrap/>
            <w:vAlign w:val="center"/>
            <w:hideMark/>
          </w:tcPr>
          <w:p w14:paraId="191F4B06" w14:textId="77777777" w:rsidR="006A3DBC" w:rsidRPr="002B7276" w:rsidRDefault="006A3DBC" w:rsidP="005F4A92">
            <w:pPr>
              <w:spacing w:after="0" w:line="240" w:lineRule="auto"/>
              <w:rPr>
                <w:rFonts w:eastAsia="Quattrocento Sans" w:cs="Arial"/>
                <w:b/>
                <w:bCs/>
                <w:iCs/>
                <w:sz w:val="16"/>
                <w:szCs w:val="16"/>
                <w:lang w:eastAsia="es-SV"/>
              </w:rPr>
            </w:pPr>
          </w:p>
        </w:tc>
      </w:tr>
      <w:tr w:rsidR="002B7276" w:rsidRPr="002B7276" w14:paraId="4CBBD5C6" w14:textId="77777777" w:rsidTr="005F4A92">
        <w:trPr>
          <w:trHeight w:val="240"/>
          <w:jc w:val="center"/>
        </w:trPr>
        <w:tc>
          <w:tcPr>
            <w:tcW w:w="1327" w:type="dxa"/>
            <w:shd w:val="clear" w:color="auto" w:fill="auto"/>
            <w:noWrap/>
            <w:vAlign w:val="center"/>
            <w:hideMark/>
          </w:tcPr>
          <w:p w14:paraId="40976A58" w14:textId="77777777" w:rsidR="006A3DBC" w:rsidRPr="002B7276" w:rsidRDefault="006A3DBC" w:rsidP="005F4A92">
            <w:pPr>
              <w:spacing w:after="0" w:line="240" w:lineRule="auto"/>
              <w:ind w:firstLineChars="100" w:firstLine="160"/>
              <w:rPr>
                <w:rFonts w:eastAsia="Quattrocento Sans" w:cs="Arial"/>
                <w:iCs/>
                <w:sz w:val="16"/>
                <w:szCs w:val="16"/>
                <w:lang w:eastAsia="es-SV"/>
              </w:rPr>
            </w:pPr>
            <w:r w:rsidRPr="002B7276">
              <w:rPr>
                <w:rFonts w:eastAsia="Quattrocento Sans" w:cs="Arial"/>
                <w:iCs/>
                <w:sz w:val="16"/>
                <w:szCs w:val="16"/>
                <w:lang w:eastAsia="es-SV"/>
              </w:rPr>
              <w:t>Olancho</w:t>
            </w:r>
          </w:p>
        </w:tc>
        <w:tc>
          <w:tcPr>
            <w:tcW w:w="960" w:type="dxa"/>
            <w:shd w:val="clear" w:color="auto" w:fill="auto"/>
            <w:noWrap/>
            <w:vAlign w:val="center"/>
            <w:hideMark/>
          </w:tcPr>
          <w:p w14:paraId="0BD79148" w14:textId="77777777" w:rsidR="006A3DBC" w:rsidRPr="002B7276" w:rsidRDefault="006A3DBC" w:rsidP="005F4A92">
            <w:pPr>
              <w:spacing w:after="0" w:line="240" w:lineRule="auto"/>
              <w:jc w:val="center"/>
              <w:rPr>
                <w:rFonts w:eastAsia="Quattrocento Sans" w:cs="Arial"/>
                <w:iCs/>
                <w:sz w:val="16"/>
                <w:szCs w:val="16"/>
                <w:lang w:eastAsia="es-SV"/>
              </w:rPr>
            </w:pPr>
            <w:r w:rsidRPr="002B7276">
              <w:rPr>
                <w:rFonts w:eastAsia="Quattrocento Sans" w:cs="Arial"/>
                <w:iCs/>
                <w:sz w:val="16"/>
                <w:szCs w:val="16"/>
                <w:lang w:eastAsia="es-SV"/>
              </w:rPr>
              <w:t>34.6</w:t>
            </w:r>
          </w:p>
        </w:tc>
        <w:tc>
          <w:tcPr>
            <w:tcW w:w="960" w:type="dxa"/>
            <w:shd w:val="clear" w:color="auto" w:fill="auto"/>
            <w:noWrap/>
            <w:vAlign w:val="center"/>
            <w:hideMark/>
          </w:tcPr>
          <w:p w14:paraId="67ED2C6E" w14:textId="77777777" w:rsidR="006A3DBC" w:rsidRPr="002B7276" w:rsidRDefault="006A3DBC" w:rsidP="005F4A92">
            <w:pPr>
              <w:spacing w:after="0" w:line="240" w:lineRule="auto"/>
              <w:jc w:val="center"/>
              <w:rPr>
                <w:rFonts w:eastAsia="Quattrocento Sans" w:cs="Arial"/>
                <w:iCs/>
                <w:sz w:val="16"/>
                <w:szCs w:val="16"/>
                <w:lang w:eastAsia="es-SV"/>
              </w:rPr>
            </w:pPr>
            <w:r w:rsidRPr="002B7276">
              <w:rPr>
                <w:rFonts w:eastAsia="Quattrocento Sans" w:cs="Arial"/>
                <w:iCs/>
                <w:sz w:val="16"/>
                <w:szCs w:val="16"/>
                <w:lang w:eastAsia="es-SV"/>
              </w:rPr>
              <w:t>48.7</w:t>
            </w:r>
          </w:p>
        </w:tc>
        <w:tc>
          <w:tcPr>
            <w:tcW w:w="960" w:type="dxa"/>
            <w:shd w:val="clear" w:color="auto" w:fill="auto"/>
            <w:noWrap/>
            <w:vAlign w:val="center"/>
            <w:hideMark/>
          </w:tcPr>
          <w:p w14:paraId="10CE576C" w14:textId="77777777" w:rsidR="006A3DBC" w:rsidRPr="002B7276" w:rsidRDefault="006A3DBC" w:rsidP="005F4A92">
            <w:pPr>
              <w:spacing w:after="0" w:line="240" w:lineRule="auto"/>
              <w:jc w:val="center"/>
              <w:rPr>
                <w:rFonts w:eastAsia="Quattrocento Sans" w:cs="Arial"/>
                <w:iCs/>
                <w:sz w:val="16"/>
                <w:szCs w:val="16"/>
                <w:lang w:eastAsia="es-SV"/>
              </w:rPr>
            </w:pPr>
            <w:r w:rsidRPr="002B7276">
              <w:rPr>
                <w:rFonts w:eastAsia="Quattrocento Sans" w:cs="Arial"/>
                <w:iCs/>
                <w:sz w:val="16"/>
                <w:szCs w:val="16"/>
                <w:lang w:eastAsia="es-SV"/>
              </w:rPr>
              <w:t>12.0</w:t>
            </w:r>
          </w:p>
        </w:tc>
        <w:tc>
          <w:tcPr>
            <w:tcW w:w="960" w:type="dxa"/>
            <w:shd w:val="clear" w:color="auto" w:fill="auto"/>
            <w:noWrap/>
            <w:vAlign w:val="center"/>
            <w:hideMark/>
          </w:tcPr>
          <w:p w14:paraId="56FC8D72" w14:textId="77777777" w:rsidR="006A3DBC" w:rsidRPr="002B7276" w:rsidRDefault="006A3DBC" w:rsidP="005F4A92">
            <w:pPr>
              <w:spacing w:after="0" w:line="240" w:lineRule="auto"/>
              <w:jc w:val="center"/>
              <w:rPr>
                <w:rFonts w:eastAsia="Quattrocento Sans" w:cs="Arial"/>
                <w:iCs/>
                <w:sz w:val="16"/>
                <w:szCs w:val="16"/>
                <w:lang w:eastAsia="es-SV"/>
              </w:rPr>
            </w:pPr>
            <w:r w:rsidRPr="002B7276">
              <w:rPr>
                <w:rFonts w:eastAsia="Quattrocento Sans" w:cs="Arial"/>
                <w:iCs/>
                <w:sz w:val="16"/>
                <w:szCs w:val="16"/>
                <w:lang w:eastAsia="es-SV"/>
              </w:rPr>
              <w:t>0.6</w:t>
            </w:r>
          </w:p>
        </w:tc>
        <w:tc>
          <w:tcPr>
            <w:tcW w:w="1340" w:type="dxa"/>
            <w:shd w:val="clear" w:color="auto" w:fill="auto"/>
            <w:noWrap/>
            <w:vAlign w:val="center"/>
            <w:hideMark/>
          </w:tcPr>
          <w:p w14:paraId="31CB25A2" w14:textId="77777777" w:rsidR="006A3DBC" w:rsidRPr="002B7276" w:rsidRDefault="006A3DBC" w:rsidP="005F4A92">
            <w:pPr>
              <w:spacing w:after="0" w:line="240" w:lineRule="auto"/>
              <w:jc w:val="center"/>
              <w:rPr>
                <w:rFonts w:eastAsia="Quattrocento Sans" w:cs="Arial"/>
                <w:iCs/>
                <w:sz w:val="16"/>
                <w:szCs w:val="16"/>
                <w:lang w:eastAsia="es-SV"/>
              </w:rPr>
            </w:pPr>
            <w:r w:rsidRPr="002B7276">
              <w:rPr>
                <w:rFonts w:eastAsia="Quattrocento Sans" w:cs="Arial"/>
                <w:iCs/>
                <w:sz w:val="16"/>
                <w:szCs w:val="16"/>
                <w:lang w:eastAsia="es-SV"/>
              </w:rPr>
              <w:t>4.1</w:t>
            </w:r>
          </w:p>
        </w:tc>
        <w:tc>
          <w:tcPr>
            <w:tcW w:w="640" w:type="dxa"/>
            <w:shd w:val="clear" w:color="auto" w:fill="auto"/>
            <w:noWrap/>
            <w:vAlign w:val="center"/>
            <w:hideMark/>
          </w:tcPr>
          <w:p w14:paraId="596F7BCF" w14:textId="77777777" w:rsidR="006A3DBC" w:rsidRPr="002B7276" w:rsidRDefault="006A3DBC" w:rsidP="005F4A92">
            <w:pPr>
              <w:spacing w:after="0" w:line="240" w:lineRule="auto"/>
              <w:jc w:val="center"/>
              <w:rPr>
                <w:rFonts w:eastAsia="Quattrocento Sans" w:cs="Arial"/>
                <w:iCs/>
                <w:sz w:val="16"/>
                <w:szCs w:val="16"/>
                <w:lang w:eastAsia="es-SV"/>
              </w:rPr>
            </w:pPr>
            <w:r w:rsidRPr="002B7276">
              <w:rPr>
                <w:rFonts w:eastAsia="Quattrocento Sans" w:cs="Arial"/>
                <w:iCs/>
                <w:sz w:val="16"/>
                <w:szCs w:val="16"/>
                <w:lang w:eastAsia="es-SV"/>
              </w:rPr>
              <w:t>100.0</w:t>
            </w:r>
          </w:p>
        </w:tc>
        <w:tc>
          <w:tcPr>
            <w:tcW w:w="2420" w:type="dxa"/>
            <w:shd w:val="clear" w:color="auto" w:fill="auto"/>
            <w:noWrap/>
            <w:vAlign w:val="center"/>
            <w:hideMark/>
          </w:tcPr>
          <w:p w14:paraId="24EDAABD" w14:textId="77777777" w:rsidR="006A3DBC" w:rsidRPr="002B7276" w:rsidRDefault="006A3DBC" w:rsidP="005F4A92">
            <w:pPr>
              <w:spacing w:after="0" w:line="240" w:lineRule="auto"/>
              <w:jc w:val="center"/>
              <w:rPr>
                <w:rFonts w:eastAsia="Quattrocento Sans" w:cs="Arial"/>
                <w:iCs/>
                <w:sz w:val="16"/>
                <w:szCs w:val="16"/>
                <w:lang w:eastAsia="es-SV"/>
              </w:rPr>
            </w:pPr>
            <w:r w:rsidRPr="002B7276">
              <w:rPr>
                <w:rFonts w:eastAsia="Quattrocento Sans" w:cs="Arial"/>
                <w:iCs/>
                <w:sz w:val="16"/>
                <w:szCs w:val="16"/>
                <w:lang w:eastAsia="es-SV"/>
              </w:rPr>
              <w:t>83.3</w:t>
            </w:r>
          </w:p>
        </w:tc>
      </w:tr>
      <w:tr w:rsidR="002B7276" w:rsidRPr="002B7276" w14:paraId="28490BA9" w14:textId="77777777" w:rsidTr="005F4A92">
        <w:trPr>
          <w:trHeight w:val="240"/>
          <w:jc w:val="center"/>
        </w:trPr>
        <w:tc>
          <w:tcPr>
            <w:tcW w:w="1327" w:type="dxa"/>
            <w:shd w:val="clear" w:color="auto" w:fill="auto"/>
            <w:noWrap/>
            <w:vAlign w:val="center"/>
            <w:hideMark/>
          </w:tcPr>
          <w:p w14:paraId="5D04E0D9" w14:textId="77777777" w:rsidR="006A3DBC" w:rsidRPr="002B7276" w:rsidRDefault="006A3DBC" w:rsidP="005F4A92">
            <w:pPr>
              <w:spacing w:after="0" w:line="240" w:lineRule="auto"/>
              <w:ind w:firstLineChars="100" w:firstLine="160"/>
              <w:rPr>
                <w:rFonts w:eastAsia="Quattrocento Sans" w:cs="Arial"/>
                <w:iCs/>
                <w:sz w:val="16"/>
                <w:szCs w:val="16"/>
                <w:lang w:eastAsia="es-SV"/>
              </w:rPr>
            </w:pPr>
            <w:r w:rsidRPr="002B7276">
              <w:rPr>
                <w:rFonts w:eastAsia="Quattrocento Sans" w:cs="Arial"/>
                <w:iCs/>
                <w:sz w:val="16"/>
                <w:szCs w:val="16"/>
                <w:lang w:eastAsia="es-SV"/>
              </w:rPr>
              <w:t>Valle</w:t>
            </w:r>
          </w:p>
        </w:tc>
        <w:tc>
          <w:tcPr>
            <w:tcW w:w="960" w:type="dxa"/>
            <w:shd w:val="clear" w:color="auto" w:fill="auto"/>
            <w:noWrap/>
            <w:vAlign w:val="center"/>
            <w:hideMark/>
          </w:tcPr>
          <w:p w14:paraId="1F32CF75" w14:textId="77777777" w:rsidR="006A3DBC" w:rsidRPr="002B7276" w:rsidRDefault="006A3DBC" w:rsidP="005F4A92">
            <w:pPr>
              <w:spacing w:after="0" w:line="240" w:lineRule="auto"/>
              <w:jc w:val="center"/>
              <w:rPr>
                <w:rFonts w:eastAsia="Quattrocento Sans" w:cs="Arial"/>
                <w:iCs/>
                <w:sz w:val="16"/>
                <w:szCs w:val="16"/>
                <w:lang w:eastAsia="es-SV"/>
              </w:rPr>
            </w:pPr>
            <w:r w:rsidRPr="002B7276">
              <w:rPr>
                <w:rFonts w:eastAsia="Quattrocento Sans" w:cs="Arial"/>
                <w:iCs/>
                <w:sz w:val="16"/>
                <w:szCs w:val="16"/>
                <w:lang w:eastAsia="es-SV"/>
              </w:rPr>
              <w:t>21.5</w:t>
            </w:r>
          </w:p>
        </w:tc>
        <w:tc>
          <w:tcPr>
            <w:tcW w:w="960" w:type="dxa"/>
            <w:shd w:val="clear" w:color="auto" w:fill="auto"/>
            <w:noWrap/>
            <w:vAlign w:val="center"/>
            <w:hideMark/>
          </w:tcPr>
          <w:p w14:paraId="7B4D812F" w14:textId="77777777" w:rsidR="006A3DBC" w:rsidRPr="002B7276" w:rsidRDefault="006A3DBC" w:rsidP="005F4A92">
            <w:pPr>
              <w:spacing w:after="0" w:line="240" w:lineRule="auto"/>
              <w:jc w:val="center"/>
              <w:rPr>
                <w:rFonts w:eastAsia="Quattrocento Sans" w:cs="Arial"/>
                <w:iCs/>
                <w:sz w:val="16"/>
                <w:szCs w:val="16"/>
                <w:lang w:eastAsia="es-SV"/>
              </w:rPr>
            </w:pPr>
            <w:r w:rsidRPr="002B7276">
              <w:rPr>
                <w:rFonts w:eastAsia="Quattrocento Sans" w:cs="Arial"/>
                <w:iCs/>
                <w:sz w:val="16"/>
                <w:szCs w:val="16"/>
                <w:lang w:eastAsia="es-SV"/>
              </w:rPr>
              <w:t>65.3</w:t>
            </w:r>
          </w:p>
        </w:tc>
        <w:tc>
          <w:tcPr>
            <w:tcW w:w="960" w:type="dxa"/>
            <w:shd w:val="clear" w:color="auto" w:fill="auto"/>
            <w:noWrap/>
            <w:vAlign w:val="center"/>
            <w:hideMark/>
          </w:tcPr>
          <w:p w14:paraId="6761E56D" w14:textId="77777777" w:rsidR="006A3DBC" w:rsidRPr="002B7276" w:rsidRDefault="006A3DBC" w:rsidP="005F4A92">
            <w:pPr>
              <w:spacing w:after="0" w:line="240" w:lineRule="auto"/>
              <w:jc w:val="center"/>
              <w:rPr>
                <w:rFonts w:eastAsia="Quattrocento Sans" w:cs="Arial"/>
                <w:iCs/>
                <w:sz w:val="16"/>
                <w:szCs w:val="16"/>
                <w:lang w:eastAsia="es-SV"/>
              </w:rPr>
            </w:pPr>
            <w:r w:rsidRPr="002B7276">
              <w:rPr>
                <w:rFonts w:eastAsia="Quattrocento Sans" w:cs="Arial"/>
                <w:iCs/>
                <w:sz w:val="16"/>
                <w:szCs w:val="16"/>
                <w:lang w:eastAsia="es-SV"/>
              </w:rPr>
              <w:t>%8.4</w:t>
            </w:r>
          </w:p>
        </w:tc>
        <w:tc>
          <w:tcPr>
            <w:tcW w:w="960" w:type="dxa"/>
            <w:shd w:val="clear" w:color="auto" w:fill="auto"/>
            <w:noWrap/>
            <w:vAlign w:val="center"/>
            <w:hideMark/>
          </w:tcPr>
          <w:p w14:paraId="31AB8275" w14:textId="77777777" w:rsidR="006A3DBC" w:rsidRPr="002B7276" w:rsidRDefault="006A3DBC" w:rsidP="005F4A92">
            <w:pPr>
              <w:spacing w:after="0" w:line="240" w:lineRule="auto"/>
              <w:jc w:val="center"/>
              <w:rPr>
                <w:rFonts w:eastAsia="Quattrocento Sans" w:cs="Arial"/>
                <w:iCs/>
                <w:sz w:val="16"/>
                <w:szCs w:val="16"/>
                <w:lang w:eastAsia="es-SV"/>
              </w:rPr>
            </w:pPr>
            <w:r w:rsidRPr="002B7276">
              <w:rPr>
                <w:rFonts w:eastAsia="Quattrocento Sans" w:cs="Arial"/>
                <w:iCs/>
                <w:sz w:val="16"/>
                <w:szCs w:val="16"/>
                <w:lang w:eastAsia="es-SV"/>
              </w:rPr>
              <w:t>0.3</w:t>
            </w:r>
          </w:p>
        </w:tc>
        <w:tc>
          <w:tcPr>
            <w:tcW w:w="1340" w:type="dxa"/>
            <w:shd w:val="clear" w:color="auto" w:fill="auto"/>
            <w:noWrap/>
            <w:vAlign w:val="center"/>
            <w:hideMark/>
          </w:tcPr>
          <w:p w14:paraId="1BB87FA6" w14:textId="77777777" w:rsidR="006A3DBC" w:rsidRPr="002B7276" w:rsidRDefault="006A3DBC" w:rsidP="005F4A92">
            <w:pPr>
              <w:spacing w:after="0" w:line="240" w:lineRule="auto"/>
              <w:jc w:val="center"/>
              <w:rPr>
                <w:rFonts w:eastAsia="Quattrocento Sans" w:cs="Arial"/>
                <w:iCs/>
                <w:sz w:val="16"/>
                <w:szCs w:val="16"/>
                <w:lang w:eastAsia="es-SV"/>
              </w:rPr>
            </w:pPr>
            <w:r w:rsidRPr="002B7276">
              <w:rPr>
                <w:rFonts w:eastAsia="Quattrocento Sans" w:cs="Arial"/>
                <w:iCs/>
                <w:sz w:val="16"/>
                <w:szCs w:val="16"/>
                <w:lang w:eastAsia="es-SV"/>
              </w:rPr>
              <w:t>4.4</w:t>
            </w:r>
          </w:p>
        </w:tc>
        <w:tc>
          <w:tcPr>
            <w:tcW w:w="640" w:type="dxa"/>
            <w:shd w:val="clear" w:color="auto" w:fill="auto"/>
            <w:noWrap/>
            <w:vAlign w:val="center"/>
            <w:hideMark/>
          </w:tcPr>
          <w:p w14:paraId="1005BF2D" w14:textId="77777777" w:rsidR="006A3DBC" w:rsidRPr="002B7276" w:rsidRDefault="006A3DBC" w:rsidP="005F4A92">
            <w:pPr>
              <w:spacing w:after="0" w:line="240" w:lineRule="auto"/>
              <w:jc w:val="center"/>
              <w:rPr>
                <w:rFonts w:eastAsia="Quattrocento Sans" w:cs="Arial"/>
                <w:iCs/>
                <w:sz w:val="16"/>
                <w:szCs w:val="16"/>
                <w:lang w:eastAsia="es-SV"/>
              </w:rPr>
            </w:pPr>
            <w:r w:rsidRPr="002B7276">
              <w:rPr>
                <w:rFonts w:eastAsia="Quattrocento Sans" w:cs="Arial"/>
                <w:iCs/>
                <w:sz w:val="16"/>
                <w:szCs w:val="16"/>
                <w:lang w:eastAsia="es-SV"/>
              </w:rPr>
              <w:t>100.0</w:t>
            </w:r>
          </w:p>
        </w:tc>
        <w:tc>
          <w:tcPr>
            <w:tcW w:w="2420" w:type="dxa"/>
            <w:shd w:val="clear" w:color="auto" w:fill="auto"/>
            <w:noWrap/>
            <w:vAlign w:val="center"/>
            <w:hideMark/>
          </w:tcPr>
          <w:p w14:paraId="4783D9D8" w14:textId="77777777" w:rsidR="006A3DBC" w:rsidRPr="002B7276" w:rsidRDefault="006A3DBC" w:rsidP="005F4A92">
            <w:pPr>
              <w:spacing w:after="0" w:line="240" w:lineRule="auto"/>
              <w:jc w:val="center"/>
              <w:rPr>
                <w:rFonts w:eastAsia="Quattrocento Sans" w:cs="Arial"/>
                <w:iCs/>
                <w:sz w:val="16"/>
                <w:szCs w:val="16"/>
                <w:lang w:eastAsia="es-SV"/>
              </w:rPr>
            </w:pPr>
            <w:r w:rsidRPr="002B7276">
              <w:rPr>
                <w:rFonts w:eastAsia="Quattrocento Sans" w:cs="Arial"/>
                <w:iCs/>
                <w:sz w:val="16"/>
                <w:szCs w:val="16"/>
                <w:lang w:eastAsia="es-SV"/>
              </w:rPr>
              <w:t>86.8</w:t>
            </w:r>
          </w:p>
        </w:tc>
      </w:tr>
      <w:tr w:rsidR="002B7276" w:rsidRPr="002B7276" w14:paraId="497229CA" w14:textId="77777777" w:rsidTr="005F4A92">
        <w:trPr>
          <w:trHeight w:val="240"/>
          <w:jc w:val="center"/>
        </w:trPr>
        <w:tc>
          <w:tcPr>
            <w:tcW w:w="1327" w:type="dxa"/>
            <w:shd w:val="clear" w:color="auto" w:fill="auto"/>
            <w:noWrap/>
            <w:vAlign w:val="center"/>
            <w:hideMark/>
          </w:tcPr>
          <w:p w14:paraId="15512438" w14:textId="77777777" w:rsidR="006A3DBC" w:rsidRPr="002B7276" w:rsidRDefault="006A3DBC" w:rsidP="005F4A92">
            <w:pPr>
              <w:spacing w:after="0" w:line="240" w:lineRule="auto"/>
              <w:ind w:firstLineChars="100" w:firstLine="160"/>
              <w:rPr>
                <w:rFonts w:eastAsia="Quattrocento Sans" w:cs="Arial"/>
                <w:iCs/>
                <w:sz w:val="16"/>
                <w:szCs w:val="16"/>
                <w:lang w:eastAsia="es-SV"/>
              </w:rPr>
            </w:pPr>
            <w:r w:rsidRPr="002B7276">
              <w:rPr>
                <w:rFonts w:eastAsia="Quattrocento Sans" w:cs="Arial"/>
                <w:iCs/>
                <w:sz w:val="16"/>
                <w:szCs w:val="16"/>
                <w:lang w:eastAsia="es-SV"/>
              </w:rPr>
              <w:t>Yoro</w:t>
            </w:r>
          </w:p>
        </w:tc>
        <w:tc>
          <w:tcPr>
            <w:tcW w:w="960" w:type="dxa"/>
            <w:shd w:val="clear" w:color="auto" w:fill="auto"/>
            <w:noWrap/>
            <w:vAlign w:val="center"/>
            <w:hideMark/>
          </w:tcPr>
          <w:p w14:paraId="64E7394E" w14:textId="77777777" w:rsidR="006A3DBC" w:rsidRPr="002B7276" w:rsidRDefault="006A3DBC" w:rsidP="005F4A92">
            <w:pPr>
              <w:spacing w:after="0" w:line="240" w:lineRule="auto"/>
              <w:jc w:val="center"/>
              <w:rPr>
                <w:rFonts w:eastAsia="Quattrocento Sans" w:cs="Arial"/>
                <w:iCs/>
                <w:sz w:val="16"/>
                <w:szCs w:val="16"/>
                <w:lang w:eastAsia="es-SV"/>
              </w:rPr>
            </w:pPr>
            <w:r w:rsidRPr="002B7276">
              <w:rPr>
                <w:rFonts w:eastAsia="Quattrocento Sans" w:cs="Arial"/>
                <w:iCs/>
                <w:sz w:val="16"/>
                <w:szCs w:val="16"/>
                <w:lang w:eastAsia="es-SV"/>
              </w:rPr>
              <w:t>38.0</w:t>
            </w:r>
          </w:p>
        </w:tc>
        <w:tc>
          <w:tcPr>
            <w:tcW w:w="960" w:type="dxa"/>
            <w:shd w:val="clear" w:color="auto" w:fill="auto"/>
            <w:noWrap/>
            <w:vAlign w:val="center"/>
            <w:hideMark/>
          </w:tcPr>
          <w:p w14:paraId="158E51AF" w14:textId="77777777" w:rsidR="006A3DBC" w:rsidRPr="002B7276" w:rsidRDefault="006A3DBC" w:rsidP="005F4A92">
            <w:pPr>
              <w:spacing w:after="0" w:line="240" w:lineRule="auto"/>
              <w:jc w:val="center"/>
              <w:rPr>
                <w:rFonts w:eastAsia="Quattrocento Sans" w:cs="Arial"/>
                <w:iCs/>
                <w:sz w:val="16"/>
                <w:szCs w:val="16"/>
                <w:lang w:eastAsia="es-SV"/>
              </w:rPr>
            </w:pPr>
            <w:r w:rsidRPr="002B7276">
              <w:rPr>
                <w:rFonts w:eastAsia="Quattrocento Sans" w:cs="Arial"/>
                <w:iCs/>
                <w:sz w:val="16"/>
                <w:szCs w:val="16"/>
                <w:lang w:eastAsia="es-SV"/>
              </w:rPr>
              <w:t>40.2</w:t>
            </w:r>
          </w:p>
        </w:tc>
        <w:tc>
          <w:tcPr>
            <w:tcW w:w="960" w:type="dxa"/>
            <w:shd w:val="clear" w:color="auto" w:fill="auto"/>
            <w:noWrap/>
            <w:vAlign w:val="center"/>
            <w:hideMark/>
          </w:tcPr>
          <w:p w14:paraId="0FE07314" w14:textId="77777777" w:rsidR="006A3DBC" w:rsidRPr="002B7276" w:rsidRDefault="006A3DBC" w:rsidP="005F4A92">
            <w:pPr>
              <w:spacing w:after="0" w:line="240" w:lineRule="auto"/>
              <w:jc w:val="center"/>
              <w:rPr>
                <w:rFonts w:eastAsia="Quattrocento Sans" w:cs="Arial"/>
                <w:iCs/>
                <w:sz w:val="16"/>
                <w:szCs w:val="16"/>
                <w:lang w:eastAsia="es-SV"/>
              </w:rPr>
            </w:pPr>
            <w:r w:rsidRPr="002B7276">
              <w:rPr>
                <w:rFonts w:eastAsia="Quattrocento Sans" w:cs="Arial"/>
                <w:iCs/>
                <w:sz w:val="16"/>
                <w:szCs w:val="16"/>
                <w:lang w:eastAsia="es-SV"/>
              </w:rPr>
              <w:t>16.4</w:t>
            </w:r>
          </w:p>
        </w:tc>
        <w:tc>
          <w:tcPr>
            <w:tcW w:w="960" w:type="dxa"/>
            <w:shd w:val="clear" w:color="auto" w:fill="auto"/>
            <w:noWrap/>
            <w:vAlign w:val="center"/>
            <w:hideMark/>
          </w:tcPr>
          <w:p w14:paraId="30AB8B33" w14:textId="77777777" w:rsidR="006A3DBC" w:rsidRPr="002B7276" w:rsidRDefault="006A3DBC" w:rsidP="005F4A92">
            <w:pPr>
              <w:spacing w:after="0" w:line="240" w:lineRule="auto"/>
              <w:jc w:val="center"/>
              <w:rPr>
                <w:rFonts w:eastAsia="Quattrocento Sans" w:cs="Arial"/>
                <w:iCs/>
                <w:sz w:val="16"/>
                <w:szCs w:val="16"/>
                <w:lang w:eastAsia="es-SV"/>
              </w:rPr>
            </w:pPr>
            <w:r w:rsidRPr="002B7276">
              <w:rPr>
                <w:rFonts w:eastAsia="Quattrocento Sans" w:cs="Arial"/>
                <w:iCs/>
                <w:sz w:val="16"/>
                <w:szCs w:val="16"/>
                <w:lang w:eastAsia="es-SV"/>
              </w:rPr>
              <w:t>1.0</w:t>
            </w:r>
          </w:p>
        </w:tc>
        <w:tc>
          <w:tcPr>
            <w:tcW w:w="1340" w:type="dxa"/>
            <w:shd w:val="clear" w:color="auto" w:fill="auto"/>
            <w:noWrap/>
            <w:vAlign w:val="center"/>
            <w:hideMark/>
          </w:tcPr>
          <w:p w14:paraId="40080190" w14:textId="77777777" w:rsidR="006A3DBC" w:rsidRPr="002B7276" w:rsidRDefault="006A3DBC" w:rsidP="005F4A92">
            <w:pPr>
              <w:spacing w:after="0" w:line="240" w:lineRule="auto"/>
              <w:jc w:val="center"/>
              <w:rPr>
                <w:rFonts w:eastAsia="Quattrocento Sans" w:cs="Arial"/>
                <w:iCs/>
                <w:sz w:val="16"/>
                <w:szCs w:val="16"/>
                <w:lang w:eastAsia="es-SV"/>
              </w:rPr>
            </w:pPr>
            <w:r w:rsidRPr="002B7276">
              <w:rPr>
                <w:rFonts w:eastAsia="Quattrocento Sans" w:cs="Arial"/>
                <w:iCs/>
                <w:sz w:val="16"/>
                <w:szCs w:val="16"/>
                <w:lang w:eastAsia="es-SV"/>
              </w:rPr>
              <w:t>4.3</w:t>
            </w:r>
          </w:p>
        </w:tc>
        <w:tc>
          <w:tcPr>
            <w:tcW w:w="640" w:type="dxa"/>
            <w:shd w:val="clear" w:color="auto" w:fill="auto"/>
            <w:noWrap/>
            <w:vAlign w:val="center"/>
            <w:hideMark/>
          </w:tcPr>
          <w:p w14:paraId="0E30C995" w14:textId="77777777" w:rsidR="006A3DBC" w:rsidRPr="002B7276" w:rsidRDefault="006A3DBC" w:rsidP="005F4A92">
            <w:pPr>
              <w:spacing w:after="0" w:line="240" w:lineRule="auto"/>
              <w:jc w:val="center"/>
              <w:rPr>
                <w:rFonts w:eastAsia="Quattrocento Sans" w:cs="Arial"/>
                <w:iCs/>
                <w:sz w:val="16"/>
                <w:szCs w:val="16"/>
                <w:lang w:eastAsia="es-SV"/>
              </w:rPr>
            </w:pPr>
            <w:r w:rsidRPr="002B7276">
              <w:rPr>
                <w:rFonts w:eastAsia="Quattrocento Sans" w:cs="Arial"/>
                <w:iCs/>
                <w:sz w:val="16"/>
                <w:szCs w:val="16"/>
                <w:lang w:eastAsia="es-SV"/>
              </w:rPr>
              <w:t>100.0</w:t>
            </w:r>
          </w:p>
        </w:tc>
        <w:tc>
          <w:tcPr>
            <w:tcW w:w="2420" w:type="dxa"/>
            <w:shd w:val="clear" w:color="auto" w:fill="auto"/>
            <w:noWrap/>
            <w:vAlign w:val="center"/>
            <w:hideMark/>
          </w:tcPr>
          <w:p w14:paraId="00B20B8F" w14:textId="77777777" w:rsidR="006A3DBC" w:rsidRPr="002B7276" w:rsidRDefault="006A3DBC" w:rsidP="005F4A92">
            <w:pPr>
              <w:spacing w:after="0" w:line="240" w:lineRule="auto"/>
              <w:jc w:val="center"/>
              <w:rPr>
                <w:rFonts w:eastAsia="Quattrocento Sans" w:cs="Arial"/>
                <w:iCs/>
                <w:sz w:val="16"/>
                <w:szCs w:val="16"/>
                <w:lang w:eastAsia="es-SV"/>
              </w:rPr>
            </w:pPr>
            <w:r w:rsidRPr="002B7276">
              <w:rPr>
                <w:rFonts w:eastAsia="Quattrocento Sans" w:cs="Arial"/>
                <w:iCs/>
                <w:sz w:val="16"/>
                <w:szCs w:val="16"/>
                <w:lang w:eastAsia="es-SV"/>
              </w:rPr>
              <w:t>78.2</w:t>
            </w:r>
          </w:p>
        </w:tc>
      </w:tr>
      <w:tr w:rsidR="002B7276" w:rsidRPr="002B7276" w14:paraId="39059860" w14:textId="77777777" w:rsidTr="005F4A92">
        <w:trPr>
          <w:trHeight w:val="240"/>
          <w:jc w:val="center"/>
        </w:trPr>
        <w:tc>
          <w:tcPr>
            <w:tcW w:w="1327" w:type="dxa"/>
            <w:shd w:val="clear" w:color="auto" w:fill="auto"/>
            <w:noWrap/>
            <w:vAlign w:val="center"/>
          </w:tcPr>
          <w:p w14:paraId="3BBA171B" w14:textId="77777777" w:rsidR="006A3DBC" w:rsidRPr="002B7276" w:rsidRDefault="006A3DBC" w:rsidP="005F4A92">
            <w:pPr>
              <w:spacing w:after="0" w:line="240" w:lineRule="auto"/>
              <w:rPr>
                <w:rFonts w:eastAsia="Quattrocento Sans" w:cs="Arial"/>
                <w:iCs/>
                <w:sz w:val="16"/>
                <w:szCs w:val="16"/>
                <w:lang w:eastAsia="es-SV"/>
              </w:rPr>
            </w:pPr>
            <w:r w:rsidRPr="002B7276">
              <w:rPr>
                <w:rFonts w:eastAsia="Quattrocento Sans" w:cs="Arial"/>
                <w:iCs/>
                <w:sz w:val="16"/>
                <w:szCs w:val="16"/>
                <w:lang w:eastAsia="es-SV"/>
              </w:rPr>
              <w:lastRenderedPageBreak/>
              <w:t>Mujeres</w:t>
            </w:r>
          </w:p>
        </w:tc>
        <w:tc>
          <w:tcPr>
            <w:tcW w:w="960" w:type="dxa"/>
            <w:shd w:val="clear" w:color="auto" w:fill="auto"/>
            <w:noWrap/>
            <w:vAlign w:val="center"/>
          </w:tcPr>
          <w:p w14:paraId="6D153B40" w14:textId="77777777" w:rsidR="006A3DBC" w:rsidRPr="002B7276" w:rsidRDefault="006A3DBC" w:rsidP="005F4A92">
            <w:pPr>
              <w:spacing w:after="0" w:line="240" w:lineRule="auto"/>
              <w:jc w:val="center"/>
              <w:rPr>
                <w:rFonts w:eastAsia="Quattrocento Sans" w:cs="Arial"/>
                <w:iCs/>
                <w:sz w:val="16"/>
                <w:szCs w:val="16"/>
                <w:lang w:eastAsia="es-SV"/>
              </w:rPr>
            </w:pPr>
          </w:p>
        </w:tc>
        <w:tc>
          <w:tcPr>
            <w:tcW w:w="960" w:type="dxa"/>
            <w:shd w:val="clear" w:color="auto" w:fill="auto"/>
            <w:noWrap/>
            <w:vAlign w:val="center"/>
          </w:tcPr>
          <w:p w14:paraId="628EFB49" w14:textId="77777777" w:rsidR="006A3DBC" w:rsidRPr="002B7276" w:rsidRDefault="006A3DBC" w:rsidP="005F4A92">
            <w:pPr>
              <w:spacing w:after="0" w:line="240" w:lineRule="auto"/>
              <w:jc w:val="center"/>
              <w:rPr>
                <w:rFonts w:eastAsia="Quattrocento Sans" w:cs="Arial"/>
                <w:iCs/>
                <w:sz w:val="16"/>
                <w:szCs w:val="16"/>
                <w:lang w:eastAsia="es-SV"/>
              </w:rPr>
            </w:pPr>
          </w:p>
        </w:tc>
        <w:tc>
          <w:tcPr>
            <w:tcW w:w="960" w:type="dxa"/>
            <w:shd w:val="clear" w:color="auto" w:fill="auto"/>
            <w:noWrap/>
            <w:vAlign w:val="center"/>
          </w:tcPr>
          <w:p w14:paraId="224B153C" w14:textId="77777777" w:rsidR="006A3DBC" w:rsidRPr="002B7276" w:rsidRDefault="006A3DBC" w:rsidP="005F4A92">
            <w:pPr>
              <w:spacing w:after="0" w:line="240" w:lineRule="auto"/>
              <w:jc w:val="center"/>
              <w:rPr>
                <w:rFonts w:eastAsia="Quattrocento Sans" w:cs="Arial"/>
                <w:iCs/>
                <w:sz w:val="16"/>
                <w:szCs w:val="16"/>
                <w:lang w:eastAsia="es-SV"/>
              </w:rPr>
            </w:pPr>
          </w:p>
        </w:tc>
        <w:tc>
          <w:tcPr>
            <w:tcW w:w="960" w:type="dxa"/>
            <w:shd w:val="clear" w:color="auto" w:fill="auto"/>
            <w:noWrap/>
            <w:vAlign w:val="center"/>
          </w:tcPr>
          <w:p w14:paraId="357A5FFC" w14:textId="77777777" w:rsidR="006A3DBC" w:rsidRPr="002B7276" w:rsidRDefault="006A3DBC" w:rsidP="005F4A92">
            <w:pPr>
              <w:spacing w:after="0" w:line="240" w:lineRule="auto"/>
              <w:jc w:val="center"/>
              <w:rPr>
                <w:rFonts w:eastAsia="Quattrocento Sans" w:cs="Arial"/>
                <w:iCs/>
                <w:sz w:val="16"/>
                <w:szCs w:val="16"/>
                <w:lang w:eastAsia="es-SV"/>
              </w:rPr>
            </w:pPr>
          </w:p>
        </w:tc>
        <w:tc>
          <w:tcPr>
            <w:tcW w:w="1340" w:type="dxa"/>
            <w:shd w:val="clear" w:color="auto" w:fill="auto"/>
            <w:noWrap/>
            <w:vAlign w:val="center"/>
          </w:tcPr>
          <w:p w14:paraId="32C12170" w14:textId="77777777" w:rsidR="006A3DBC" w:rsidRPr="002B7276" w:rsidRDefault="006A3DBC" w:rsidP="005F4A92">
            <w:pPr>
              <w:spacing w:after="0" w:line="240" w:lineRule="auto"/>
              <w:jc w:val="center"/>
              <w:rPr>
                <w:rFonts w:eastAsia="Quattrocento Sans" w:cs="Arial"/>
                <w:iCs/>
                <w:sz w:val="16"/>
                <w:szCs w:val="16"/>
                <w:lang w:eastAsia="es-SV"/>
              </w:rPr>
            </w:pPr>
          </w:p>
        </w:tc>
        <w:tc>
          <w:tcPr>
            <w:tcW w:w="640" w:type="dxa"/>
            <w:shd w:val="clear" w:color="auto" w:fill="auto"/>
            <w:noWrap/>
            <w:vAlign w:val="center"/>
          </w:tcPr>
          <w:p w14:paraId="362C85D4" w14:textId="77777777" w:rsidR="006A3DBC" w:rsidRPr="002B7276" w:rsidRDefault="006A3DBC" w:rsidP="005F4A92">
            <w:pPr>
              <w:spacing w:after="0" w:line="240" w:lineRule="auto"/>
              <w:jc w:val="center"/>
              <w:rPr>
                <w:rFonts w:eastAsia="Quattrocento Sans" w:cs="Arial"/>
                <w:iCs/>
                <w:sz w:val="16"/>
                <w:szCs w:val="16"/>
                <w:lang w:eastAsia="es-SV"/>
              </w:rPr>
            </w:pPr>
          </w:p>
        </w:tc>
        <w:tc>
          <w:tcPr>
            <w:tcW w:w="2420" w:type="dxa"/>
            <w:shd w:val="clear" w:color="auto" w:fill="auto"/>
            <w:noWrap/>
            <w:vAlign w:val="center"/>
          </w:tcPr>
          <w:p w14:paraId="6516DC12" w14:textId="77777777" w:rsidR="006A3DBC" w:rsidRPr="002B7276" w:rsidRDefault="006A3DBC" w:rsidP="005F4A92">
            <w:pPr>
              <w:spacing w:after="0" w:line="240" w:lineRule="auto"/>
              <w:jc w:val="center"/>
              <w:rPr>
                <w:rFonts w:eastAsia="Quattrocento Sans" w:cs="Arial"/>
                <w:iCs/>
                <w:sz w:val="16"/>
                <w:szCs w:val="16"/>
                <w:lang w:eastAsia="es-SV"/>
              </w:rPr>
            </w:pPr>
          </w:p>
        </w:tc>
      </w:tr>
      <w:tr w:rsidR="002B7276" w:rsidRPr="002B7276" w14:paraId="300E71C8" w14:textId="77777777" w:rsidTr="005F4A92">
        <w:trPr>
          <w:trHeight w:val="240"/>
          <w:jc w:val="center"/>
        </w:trPr>
        <w:tc>
          <w:tcPr>
            <w:tcW w:w="1327" w:type="dxa"/>
            <w:shd w:val="clear" w:color="auto" w:fill="auto"/>
            <w:noWrap/>
            <w:vAlign w:val="center"/>
          </w:tcPr>
          <w:p w14:paraId="26B35BB1" w14:textId="77777777" w:rsidR="006A3DBC" w:rsidRPr="002B7276" w:rsidRDefault="006A3DBC" w:rsidP="005F4A92">
            <w:pPr>
              <w:spacing w:after="0" w:line="240" w:lineRule="auto"/>
              <w:ind w:firstLineChars="100" w:firstLine="160"/>
              <w:rPr>
                <w:rFonts w:eastAsia="Quattrocento Sans" w:cs="Arial"/>
                <w:iCs/>
                <w:sz w:val="16"/>
                <w:szCs w:val="16"/>
                <w:lang w:eastAsia="es-SV"/>
              </w:rPr>
            </w:pPr>
            <w:r w:rsidRPr="002B7276">
              <w:rPr>
                <w:rFonts w:eastAsia="Quattrocento Sans" w:cs="Arial"/>
                <w:iCs/>
                <w:sz w:val="16"/>
                <w:szCs w:val="16"/>
                <w:lang w:eastAsia="es-SV"/>
              </w:rPr>
              <w:t>Olancho</w:t>
            </w:r>
          </w:p>
        </w:tc>
        <w:tc>
          <w:tcPr>
            <w:tcW w:w="960" w:type="dxa"/>
            <w:shd w:val="clear" w:color="auto" w:fill="auto"/>
            <w:noWrap/>
            <w:vAlign w:val="center"/>
          </w:tcPr>
          <w:p w14:paraId="49D14D59" w14:textId="77777777" w:rsidR="006A3DBC" w:rsidRPr="002B7276" w:rsidRDefault="006A3DBC" w:rsidP="005F4A92">
            <w:pPr>
              <w:spacing w:after="0" w:line="240" w:lineRule="auto"/>
              <w:jc w:val="center"/>
              <w:rPr>
                <w:rFonts w:eastAsia="Quattrocento Sans" w:cs="Arial"/>
                <w:iCs/>
                <w:sz w:val="16"/>
                <w:szCs w:val="16"/>
                <w:lang w:eastAsia="es-SV"/>
              </w:rPr>
            </w:pPr>
            <w:r w:rsidRPr="002B7276">
              <w:rPr>
                <w:rFonts w:eastAsia="Quattrocento Sans" w:cs="Arial"/>
                <w:iCs/>
                <w:sz w:val="16"/>
                <w:szCs w:val="16"/>
                <w:lang w:eastAsia="es-SV"/>
              </w:rPr>
              <w:t>12.7</w:t>
            </w:r>
          </w:p>
        </w:tc>
        <w:tc>
          <w:tcPr>
            <w:tcW w:w="960" w:type="dxa"/>
            <w:shd w:val="clear" w:color="auto" w:fill="auto"/>
            <w:noWrap/>
            <w:vAlign w:val="center"/>
          </w:tcPr>
          <w:p w14:paraId="7D912413" w14:textId="77777777" w:rsidR="006A3DBC" w:rsidRPr="002B7276" w:rsidRDefault="006A3DBC" w:rsidP="005F4A92">
            <w:pPr>
              <w:spacing w:after="0" w:line="240" w:lineRule="auto"/>
              <w:jc w:val="center"/>
              <w:rPr>
                <w:rFonts w:eastAsia="Quattrocento Sans" w:cs="Arial"/>
                <w:iCs/>
                <w:sz w:val="16"/>
                <w:szCs w:val="16"/>
                <w:lang w:eastAsia="es-SV"/>
              </w:rPr>
            </w:pPr>
            <w:r w:rsidRPr="002B7276">
              <w:rPr>
                <w:rFonts w:eastAsia="Quattrocento Sans" w:cs="Arial"/>
                <w:iCs/>
                <w:sz w:val="16"/>
                <w:szCs w:val="16"/>
                <w:lang w:eastAsia="es-SV"/>
              </w:rPr>
              <w:t>49.7</w:t>
            </w:r>
          </w:p>
        </w:tc>
        <w:tc>
          <w:tcPr>
            <w:tcW w:w="960" w:type="dxa"/>
            <w:shd w:val="clear" w:color="auto" w:fill="auto"/>
            <w:noWrap/>
            <w:vAlign w:val="center"/>
          </w:tcPr>
          <w:p w14:paraId="4421D773" w14:textId="77777777" w:rsidR="006A3DBC" w:rsidRPr="002B7276" w:rsidRDefault="006A3DBC" w:rsidP="005F4A92">
            <w:pPr>
              <w:spacing w:after="0" w:line="240" w:lineRule="auto"/>
              <w:jc w:val="center"/>
              <w:rPr>
                <w:rFonts w:eastAsia="Quattrocento Sans" w:cs="Arial"/>
                <w:iCs/>
                <w:sz w:val="16"/>
                <w:szCs w:val="16"/>
                <w:lang w:eastAsia="es-SV"/>
              </w:rPr>
            </w:pPr>
            <w:r w:rsidRPr="002B7276">
              <w:rPr>
                <w:rFonts w:eastAsia="Quattrocento Sans" w:cs="Arial"/>
                <w:iCs/>
                <w:sz w:val="16"/>
                <w:szCs w:val="16"/>
                <w:lang w:eastAsia="es-SV"/>
              </w:rPr>
              <w:t>26.3</w:t>
            </w:r>
          </w:p>
        </w:tc>
        <w:tc>
          <w:tcPr>
            <w:tcW w:w="960" w:type="dxa"/>
            <w:shd w:val="clear" w:color="auto" w:fill="auto"/>
            <w:noWrap/>
            <w:vAlign w:val="center"/>
          </w:tcPr>
          <w:p w14:paraId="61533C01" w14:textId="77777777" w:rsidR="006A3DBC" w:rsidRPr="002B7276" w:rsidRDefault="006A3DBC" w:rsidP="005F4A92">
            <w:pPr>
              <w:spacing w:after="0" w:line="240" w:lineRule="auto"/>
              <w:jc w:val="center"/>
              <w:rPr>
                <w:rFonts w:eastAsia="Quattrocento Sans" w:cs="Arial"/>
                <w:iCs/>
                <w:sz w:val="16"/>
                <w:szCs w:val="16"/>
                <w:lang w:eastAsia="es-SV"/>
              </w:rPr>
            </w:pPr>
            <w:r w:rsidRPr="002B7276">
              <w:rPr>
                <w:rFonts w:eastAsia="Quattrocento Sans" w:cs="Arial"/>
                <w:iCs/>
                <w:sz w:val="16"/>
                <w:szCs w:val="16"/>
                <w:lang w:eastAsia="es-SV"/>
              </w:rPr>
              <w:t>2.2</w:t>
            </w:r>
          </w:p>
        </w:tc>
        <w:tc>
          <w:tcPr>
            <w:tcW w:w="1340" w:type="dxa"/>
            <w:shd w:val="clear" w:color="auto" w:fill="auto"/>
            <w:noWrap/>
            <w:vAlign w:val="center"/>
          </w:tcPr>
          <w:p w14:paraId="5131DB69" w14:textId="77777777" w:rsidR="006A3DBC" w:rsidRPr="002B7276" w:rsidRDefault="006A3DBC" w:rsidP="005F4A92">
            <w:pPr>
              <w:spacing w:after="0" w:line="240" w:lineRule="auto"/>
              <w:jc w:val="center"/>
              <w:rPr>
                <w:rFonts w:eastAsia="Quattrocento Sans" w:cs="Arial"/>
                <w:iCs/>
                <w:sz w:val="16"/>
                <w:szCs w:val="16"/>
                <w:lang w:eastAsia="es-SV"/>
              </w:rPr>
            </w:pPr>
            <w:r w:rsidRPr="002B7276">
              <w:rPr>
                <w:rFonts w:eastAsia="Quattrocento Sans" w:cs="Arial"/>
                <w:iCs/>
                <w:sz w:val="16"/>
                <w:szCs w:val="16"/>
                <w:lang w:eastAsia="es-SV"/>
              </w:rPr>
              <w:t>9.1</w:t>
            </w:r>
          </w:p>
        </w:tc>
        <w:tc>
          <w:tcPr>
            <w:tcW w:w="640" w:type="dxa"/>
            <w:shd w:val="clear" w:color="auto" w:fill="auto"/>
            <w:noWrap/>
            <w:vAlign w:val="center"/>
          </w:tcPr>
          <w:p w14:paraId="00BB3E50" w14:textId="77777777" w:rsidR="006A3DBC" w:rsidRPr="002B7276" w:rsidRDefault="006A3DBC" w:rsidP="005F4A92">
            <w:pPr>
              <w:spacing w:after="0" w:line="240" w:lineRule="auto"/>
              <w:jc w:val="center"/>
              <w:rPr>
                <w:rFonts w:eastAsia="Quattrocento Sans" w:cs="Arial"/>
                <w:iCs/>
                <w:sz w:val="16"/>
                <w:szCs w:val="16"/>
                <w:lang w:eastAsia="es-SV"/>
              </w:rPr>
            </w:pPr>
            <w:r w:rsidRPr="002B7276">
              <w:rPr>
                <w:rFonts w:eastAsia="Quattrocento Sans" w:cs="Arial"/>
                <w:iCs/>
                <w:sz w:val="16"/>
                <w:szCs w:val="16"/>
                <w:lang w:eastAsia="es-SV"/>
              </w:rPr>
              <w:t>100.0</w:t>
            </w:r>
          </w:p>
        </w:tc>
        <w:tc>
          <w:tcPr>
            <w:tcW w:w="2420" w:type="dxa"/>
            <w:shd w:val="clear" w:color="auto" w:fill="auto"/>
            <w:noWrap/>
            <w:vAlign w:val="center"/>
          </w:tcPr>
          <w:p w14:paraId="2A523D82" w14:textId="77777777" w:rsidR="006A3DBC" w:rsidRPr="002B7276" w:rsidRDefault="006A3DBC" w:rsidP="005F4A92">
            <w:pPr>
              <w:spacing w:after="0" w:line="240" w:lineRule="auto"/>
              <w:jc w:val="center"/>
              <w:rPr>
                <w:rFonts w:eastAsia="Quattrocento Sans" w:cs="Arial"/>
                <w:iCs/>
                <w:sz w:val="16"/>
                <w:szCs w:val="16"/>
                <w:lang w:eastAsia="es-SV"/>
              </w:rPr>
            </w:pPr>
            <w:r w:rsidRPr="002B7276">
              <w:rPr>
                <w:rFonts w:eastAsia="Quattrocento Sans" w:cs="Arial"/>
                <w:iCs/>
                <w:sz w:val="16"/>
                <w:szCs w:val="16"/>
                <w:lang w:eastAsia="es-SV"/>
              </w:rPr>
              <w:t>62.3</w:t>
            </w:r>
          </w:p>
        </w:tc>
      </w:tr>
      <w:tr w:rsidR="002B7276" w:rsidRPr="002B7276" w14:paraId="26BC32BD" w14:textId="77777777" w:rsidTr="005F4A92">
        <w:trPr>
          <w:trHeight w:val="240"/>
          <w:jc w:val="center"/>
        </w:trPr>
        <w:tc>
          <w:tcPr>
            <w:tcW w:w="1327" w:type="dxa"/>
            <w:shd w:val="clear" w:color="auto" w:fill="auto"/>
            <w:noWrap/>
            <w:vAlign w:val="center"/>
          </w:tcPr>
          <w:p w14:paraId="352FC48F" w14:textId="77777777" w:rsidR="006A3DBC" w:rsidRPr="002B7276" w:rsidRDefault="006A3DBC" w:rsidP="005F4A92">
            <w:pPr>
              <w:spacing w:after="0" w:line="240" w:lineRule="auto"/>
              <w:ind w:firstLineChars="100" w:firstLine="160"/>
              <w:rPr>
                <w:rFonts w:eastAsia="Quattrocento Sans" w:cs="Arial"/>
                <w:iCs/>
                <w:sz w:val="16"/>
                <w:szCs w:val="16"/>
                <w:lang w:eastAsia="es-SV"/>
              </w:rPr>
            </w:pPr>
            <w:r w:rsidRPr="002B7276">
              <w:rPr>
                <w:rFonts w:eastAsia="Quattrocento Sans" w:cs="Arial"/>
                <w:iCs/>
                <w:sz w:val="16"/>
                <w:szCs w:val="16"/>
                <w:lang w:eastAsia="es-SV"/>
              </w:rPr>
              <w:t>Valle</w:t>
            </w:r>
          </w:p>
        </w:tc>
        <w:tc>
          <w:tcPr>
            <w:tcW w:w="960" w:type="dxa"/>
            <w:shd w:val="clear" w:color="auto" w:fill="auto"/>
            <w:noWrap/>
            <w:vAlign w:val="center"/>
          </w:tcPr>
          <w:p w14:paraId="04947B4E" w14:textId="77777777" w:rsidR="006A3DBC" w:rsidRPr="002B7276" w:rsidRDefault="006A3DBC" w:rsidP="005F4A92">
            <w:pPr>
              <w:spacing w:after="0" w:line="240" w:lineRule="auto"/>
              <w:jc w:val="center"/>
              <w:rPr>
                <w:rFonts w:eastAsia="Quattrocento Sans" w:cs="Arial"/>
                <w:iCs/>
                <w:sz w:val="16"/>
                <w:szCs w:val="16"/>
                <w:lang w:eastAsia="es-SV"/>
              </w:rPr>
            </w:pPr>
            <w:r w:rsidRPr="002B7276">
              <w:rPr>
                <w:rFonts w:eastAsia="Quattrocento Sans" w:cs="Arial"/>
                <w:iCs/>
                <w:sz w:val="16"/>
                <w:szCs w:val="16"/>
                <w:lang w:eastAsia="es-SV"/>
              </w:rPr>
              <w:t>10.9</w:t>
            </w:r>
          </w:p>
        </w:tc>
        <w:tc>
          <w:tcPr>
            <w:tcW w:w="960" w:type="dxa"/>
            <w:shd w:val="clear" w:color="auto" w:fill="auto"/>
            <w:noWrap/>
            <w:vAlign w:val="center"/>
          </w:tcPr>
          <w:p w14:paraId="4F4B16E5" w14:textId="77777777" w:rsidR="006A3DBC" w:rsidRPr="002B7276" w:rsidRDefault="006A3DBC" w:rsidP="005F4A92">
            <w:pPr>
              <w:spacing w:after="0" w:line="240" w:lineRule="auto"/>
              <w:jc w:val="center"/>
              <w:rPr>
                <w:rFonts w:eastAsia="Quattrocento Sans" w:cs="Arial"/>
                <w:iCs/>
                <w:sz w:val="16"/>
                <w:szCs w:val="16"/>
                <w:lang w:eastAsia="es-SV"/>
              </w:rPr>
            </w:pPr>
            <w:r w:rsidRPr="002B7276">
              <w:rPr>
                <w:rFonts w:eastAsia="Quattrocento Sans" w:cs="Arial"/>
                <w:iCs/>
                <w:sz w:val="16"/>
                <w:szCs w:val="16"/>
                <w:lang w:eastAsia="es-SV"/>
              </w:rPr>
              <w:t>58.8</w:t>
            </w:r>
          </w:p>
        </w:tc>
        <w:tc>
          <w:tcPr>
            <w:tcW w:w="960" w:type="dxa"/>
            <w:shd w:val="clear" w:color="auto" w:fill="auto"/>
            <w:noWrap/>
            <w:vAlign w:val="center"/>
          </w:tcPr>
          <w:p w14:paraId="0EBA3030" w14:textId="77777777" w:rsidR="006A3DBC" w:rsidRPr="002B7276" w:rsidRDefault="006A3DBC" w:rsidP="005F4A92">
            <w:pPr>
              <w:spacing w:after="0" w:line="240" w:lineRule="auto"/>
              <w:jc w:val="center"/>
              <w:rPr>
                <w:rFonts w:eastAsia="Quattrocento Sans" w:cs="Arial"/>
                <w:iCs/>
                <w:sz w:val="16"/>
                <w:szCs w:val="16"/>
                <w:lang w:eastAsia="es-SV"/>
              </w:rPr>
            </w:pPr>
            <w:r w:rsidRPr="002B7276">
              <w:rPr>
                <w:rFonts w:eastAsia="Quattrocento Sans" w:cs="Arial"/>
                <w:iCs/>
                <w:sz w:val="16"/>
                <w:szCs w:val="16"/>
                <w:lang w:eastAsia="es-SV"/>
              </w:rPr>
              <w:t>21.8</w:t>
            </w:r>
          </w:p>
        </w:tc>
        <w:tc>
          <w:tcPr>
            <w:tcW w:w="960" w:type="dxa"/>
            <w:shd w:val="clear" w:color="auto" w:fill="auto"/>
            <w:noWrap/>
            <w:vAlign w:val="center"/>
          </w:tcPr>
          <w:p w14:paraId="17D76D45" w14:textId="77777777" w:rsidR="006A3DBC" w:rsidRPr="002B7276" w:rsidRDefault="006A3DBC" w:rsidP="005F4A92">
            <w:pPr>
              <w:spacing w:after="0" w:line="240" w:lineRule="auto"/>
              <w:jc w:val="center"/>
              <w:rPr>
                <w:rFonts w:eastAsia="Quattrocento Sans" w:cs="Arial"/>
                <w:iCs/>
                <w:sz w:val="16"/>
                <w:szCs w:val="16"/>
                <w:lang w:eastAsia="es-SV"/>
              </w:rPr>
            </w:pPr>
            <w:r w:rsidRPr="002B7276">
              <w:rPr>
                <w:rFonts w:eastAsia="Quattrocento Sans" w:cs="Arial"/>
                <w:iCs/>
                <w:sz w:val="16"/>
                <w:szCs w:val="16"/>
                <w:lang w:eastAsia="es-SV"/>
              </w:rPr>
              <w:t>1.6</w:t>
            </w:r>
          </w:p>
        </w:tc>
        <w:tc>
          <w:tcPr>
            <w:tcW w:w="1340" w:type="dxa"/>
            <w:shd w:val="clear" w:color="auto" w:fill="auto"/>
            <w:noWrap/>
            <w:vAlign w:val="center"/>
          </w:tcPr>
          <w:p w14:paraId="3E879CA6" w14:textId="77777777" w:rsidR="006A3DBC" w:rsidRPr="002B7276" w:rsidRDefault="006A3DBC" w:rsidP="005F4A92">
            <w:pPr>
              <w:spacing w:after="0" w:line="240" w:lineRule="auto"/>
              <w:jc w:val="center"/>
              <w:rPr>
                <w:rFonts w:eastAsia="Quattrocento Sans" w:cs="Arial"/>
                <w:iCs/>
                <w:sz w:val="16"/>
                <w:szCs w:val="16"/>
                <w:lang w:eastAsia="es-SV"/>
              </w:rPr>
            </w:pPr>
            <w:r w:rsidRPr="002B7276">
              <w:rPr>
                <w:rFonts w:eastAsia="Quattrocento Sans" w:cs="Arial"/>
                <w:iCs/>
                <w:sz w:val="16"/>
                <w:szCs w:val="16"/>
                <w:lang w:eastAsia="es-SV"/>
              </w:rPr>
              <w:t>6.9</w:t>
            </w:r>
          </w:p>
        </w:tc>
        <w:tc>
          <w:tcPr>
            <w:tcW w:w="640" w:type="dxa"/>
            <w:shd w:val="clear" w:color="auto" w:fill="auto"/>
            <w:noWrap/>
            <w:vAlign w:val="center"/>
          </w:tcPr>
          <w:p w14:paraId="73916910" w14:textId="77777777" w:rsidR="006A3DBC" w:rsidRPr="002B7276" w:rsidRDefault="006A3DBC" w:rsidP="005F4A92">
            <w:pPr>
              <w:spacing w:after="0" w:line="240" w:lineRule="auto"/>
              <w:jc w:val="center"/>
              <w:rPr>
                <w:rFonts w:eastAsia="Quattrocento Sans" w:cs="Arial"/>
                <w:iCs/>
                <w:sz w:val="16"/>
                <w:szCs w:val="16"/>
                <w:lang w:eastAsia="es-SV"/>
              </w:rPr>
            </w:pPr>
            <w:r w:rsidRPr="002B7276">
              <w:rPr>
                <w:rFonts w:eastAsia="Quattrocento Sans" w:cs="Arial"/>
                <w:iCs/>
                <w:sz w:val="16"/>
                <w:szCs w:val="16"/>
                <w:lang w:eastAsia="es-SV"/>
              </w:rPr>
              <w:t>100.0</w:t>
            </w:r>
          </w:p>
        </w:tc>
        <w:tc>
          <w:tcPr>
            <w:tcW w:w="2420" w:type="dxa"/>
            <w:shd w:val="clear" w:color="auto" w:fill="auto"/>
            <w:noWrap/>
            <w:vAlign w:val="center"/>
          </w:tcPr>
          <w:p w14:paraId="2C788612" w14:textId="77777777" w:rsidR="006A3DBC" w:rsidRPr="002B7276" w:rsidRDefault="006A3DBC" w:rsidP="005F4A92">
            <w:pPr>
              <w:spacing w:after="0" w:line="240" w:lineRule="auto"/>
              <w:jc w:val="center"/>
              <w:rPr>
                <w:rFonts w:eastAsia="Quattrocento Sans" w:cs="Arial"/>
                <w:iCs/>
                <w:sz w:val="16"/>
                <w:szCs w:val="16"/>
                <w:lang w:eastAsia="es-SV"/>
              </w:rPr>
            </w:pPr>
            <w:r w:rsidRPr="002B7276">
              <w:rPr>
                <w:rFonts w:eastAsia="Quattrocento Sans" w:cs="Arial"/>
                <w:iCs/>
                <w:sz w:val="16"/>
                <w:szCs w:val="16"/>
                <w:lang w:eastAsia="es-SV"/>
              </w:rPr>
              <w:t>69.7</w:t>
            </w:r>
          </w:p>
        </w:tc>
      </w:tr>
      <w:tr w:rsidR="002B7276" w:rsidRPr="002B7276" w14:paraId="7EF51D1E" w14:textId="77777777" w:rsidTr="005F4A92">
        <w:trPr>
          <w:trHeight w:val="240"/>
          <w:jc w:val="center"/>
        </w:trPr>
        <w:tc>
          <w:tcPr>
            <w:tcW w:w="1327" w:type="dxa"/>
            <w:shd w:val="clear" w:color="auto" w:fill="auto"/>
            <w:noWrap/>
            <w:vAlign w:val="center"/>
          </w:tcPr>
          <w:p w14:paraId="1CF33A1B" w14:textId="77777777" w:rsidR="006A3DBC" w:rsidRPr="002B7276" w:rsidRDefault="006A3DBC" w:rsidP="005F4A92">
            <w:pPr>
              <w:spacing w:after="0" w:line="240" w:lineRule="auto"/>
              <w:ind w:firstLineChars="100" w:firstLine="160"/>
              <w:rPr>
                <w:rFonts w:eastAsia="Quattrocento Sans" w:cs="Arial"/>
                <w:iCs/>
                <w:sz w:val="16"/>
                <w:szCs w:val="16"/>
                <w:lang w:eastAsia="es-SV"/>
              </w:rPr>
            </w:pPr>
            <w:r w:rsidRPr="002B7276">
              <w:rPr>
                <w:rFonts w:eastAsia="Quattrocento Sans" w:cs="Arial"/>
                <w:iCs/>
                <w:sz w:val="16"/>
                <w:szCs w:val="16"/>
                <w:lang w:eastAsia="es-SV"/>
              </w:rPr>
              <w:t>Yoro</w:t>
            </w:r>
          </w:p>
        </w:tc>
        <w:tc>
          <w:tcPr>
            <w:tcW w:w="960" w:type="dxa"/>
            <w:shd w:val="clear" w:color="auto" w:fill="auto"/>
            <w:noWrap/>
            <w:vAlign w:val="center"/>
          </w:tcPr>
          <w:p w14:paraId="3A08CF30" w14:textId="77777777" w:rsidR="006A3DBC" w:rsidRPr="002B7276" w:rsidRDefault="006A3DBC" w:rsidP="005F4A92">
            <w:pPr>
              <w:spacing w:after="0" w:line="240" w:lineRule="auto"/>
              <w:jc w:val="center"/>
              <w:rPr>
                <w:rFonts w:eastAsia="Quattrocento Sans" w:cs="Arial"/>
                <w:iCs/>
                <w:sz w:val="16"/>
                <w:szCs w:val="16"/>
                <w:lang w:eastAsia="es-SV"/>
              </w:rPr>
            </w:pPr>
            <w:r w:rsidRPr="002B7276">
              <w:rPr>
                <w:rFonts w:eastAsia="Quattrocento Sans" w:cs="Arial"/>
                <w:iCs/>
                <w:sz w:val="16"/>
                <w:szCs w:val="16"/>
                <w:lang w:eastAsia="es-SV"/>
              </w:rPr>
              <w:t>10.6</w:t>
            </w:r>
          </w:p>
        </w:tc>
        <w:tc>
          <w:tcPr>
            <w:tcW w:w="960" w:type="dxa"/>
            <w:shd w:val="clear" w:color="auto" w:fill="auto"/>
            <w:noWrap/>
            <w:vAlign w:val="center"/>
          </w:tcPr>
          <w:p w14:paraId="7F0132CF" w14:textId="77777777" w:rsidR="006A3DBC" w:rsidRPr="002B7276" w:rsidRDefault="006A3DBC" w:rsidP="005F4A92">
            <w:pPr>
              <w:spacing w:after="0" w:line="240" w:lineRule="auto"/>
              <w:jc w:val="center"/>
              <w:rPr>
                <w:rFonts w:eastAsia="Quattrocento Sans" w:cs="Arial"/>
                <w:iCs/>
                <w:sz w:val="16"/>
                <w:szCs w:val="16"/>
                <w:lang w:eastAsia="es-SV"/>
              </w:rPr>
            </w:pPr>
            <w:r w:rsidRPr="002B7276">
              <w:rPr>
                <w:rFonts w:eastAsia="Quattrocento Sans" w:cs="Arial"/>
                <w:iCs/>
                <w:sz w:val="16"/>
                <w:szCs w:val="16"/>
                <w:lang w:eastAsia="es-SV"/>
              </w:rPr>
              <w:t>47.4</w:t>
            </w:r>
          </w:p>
        </w:tc>
        <w:tc>
          <w:tcPr>
            <w:tcW w:w="960" w:type="dxa"/>
            <w:shd w:val="clear" w:color="auto" w:fill="auto"/>
            <w:noWrap/>
            <w:vAlign w:val="center"/>
          </w:tcPr>
          <w:p w14:paraId="6C072F40" w14:textId="77777777" w:rsidR="006A3DBC" w:rsidRPr="002B7276" w:rsidRDefault="006A3DBC" w:rsidP="005F4A92">
            <w:pPr>
              <w:spacing w:after="0" w:line="240" w:lineRule="auto"/>
              <w:jc w:val="center"/>
              <w:rPr>
                <w:rFonts w:eastAsia="Quattrocento Sans" w:cs="Arial"/>
                <w:iCs/>
                <w:sz w:val="16"/>
                <w:szCs w:val="16"/>
                <w:lang w:eastAsia="es-SV"/>
              </w:rPr>
            </w:pPr>
            <w:r w:rsidRPr="002B7276">
              <w:rPr>
                <w:rFonts w:eastAsia="Quattrocento Sans" w:cs="Arial"/>
                <w:iCs/>
                <w:sz w:val="16"/>
                <w:szCs w:val="16"/>
                <w:lang w:eastAsia="es-SV"/>
              </w:rPr>
              <w:t>27.4</w:t>
            </w:r>
          </w:p>
        </w:tc>
        <w:tc>
          <w:tcPr>
            <w:tcW w:w="960" w:type="dxa"/>
            <w:shd w:val="clear" w:color="auto" w:fill="auto"/>
            <w:noWrap/>
            <w:vAlign w:val="center"/>
          </w:tcPr>
          <w:p w14:paraId="6AAC946C" w14:textId="77777777" w:rsidR="006A3DBC" w:rsidRPr="002B7276" w:rsidRDefault="006A3DBC" w:rsidP="005F4A92">
            <w:pPr>
              <w:spacing w:after="0" w:line="240" w:lineRule="auto"/>
              <w:jc w:val="center"/>
              <w:rPr>
                <w:rFonts w:eastAsia="Quattrocento Sans" w:cs="Arial"/>
                <w:iCs/>
                <w:sz w:val="16"/>
                <w:szCs w:val="16"/>
                <w:lang w:eastAsia="es-SV"/>
              </w:rPr>
            </w:pPr>
            <w:r w:rsidRPr="002B7276">
              <w:rPr>
                <w:rFonts w:eastAsia="Quattrocento Sans" w:cs="Arial"/>
                <w:iCs/>
                <w:sz w:val="16"/>
                <w:szCs w:val="16"/>
                <w:lang w:eastAsia="es-SV"/>
              </w:rPr>
              <w:t>2.8</w:t>
            </w:r>
          </w:p>
        </w:tc>
        <w:tc>
          <w:tcPr>
            <w:tcW w:w="1340" w:type="dxa"/>
            <w:shd w:val="clear" w:color="auto" w:fill="auto"/>
            <w:noWrap/>
            <w:vAlign w:val="center"/>
          </w:tcPr>
          <w:p w14:paraId="79C6DBE8" w14:textId="77777777" w:rsidR="006A3DBC" w:rsidRPr="002B7276" w:rsidRDefault="006A3DBC" w:rsidP="005F4A92">
            <w:pPr>
              <w:spacing w:after="0" w:line="240" w:lineRule="auto"/>
              <w:jc w:val="center"/>
              <w:rPr>
                <w:rFonts w:eastAsia="Quattrocento Sans" w:cs="Arial"/>
                <w:iCs/>
                <w:sz w:val="16"/>
                <w:szCs w:val="16"/>
                <w:lang w:eastAsia="es-SV"/>
              </w:rPr>
            </w:pPr>
            <w:r w:rsidRPr="002B7276">
              <w:rPr>
                <w:rFonts w:eastAsia="Quattrocento Sans" w:cs="Arial"/>
                <w:iCs/>
                <w:sz w:val="16"/>
                <w:szCs w:val="16"/>
                <w:lang w:eastAsia="es-SV"/>
              </w:rPr>
              <w:t>11.8</w:t>
            </w:r>
          </w:p>
        </w:tc>
        <w:tc>
          <w:tcPr>
            <w:tcW w:w="640" w:type="dxa"/>
            <w:shd w:val="clear" w:color="auto" w:fill="auto"/>
            <w:noWrap/>
            <w:vAlign w:val="center"/>
          </w:tcPr>
          <w:p w14:paraId="5CEF49F7" w14:textId="77777777" w:rsidR="006A3DBC" w:rsidRPr="002B7276" w:rsidRDefault="006A3DBC" w:rsidP="005F4A92">
            <w:pPr>
              <w:spacing w:after="0" w:line="240" w:lineRule="auto"/>
              <w:jc w:val="center"/>
              <w:rPr>
                <w:rFonts w:eastAsia="Quattrocento Sans" w:cs="Arial"/>
                <w:iCs/>
                <w:sz w:val="16"/>
                <w:szCs w:val="16"/>
                <w:lang w:eastAsia="es-SV"/>
              </w:rPr>
            </w:pPr>
            <w:r w:rsidRPr="002B7276">
              <w:rPr>
                <w:rFonts w:eastAsia="Quattrocento Sans" w:cs="Arial"/>
                <w:iCs/>
                <w:sz w:val="16"/>
                <w:szCs w:val="16"/>
                <w:lang w:eastAsia="es-SV"/>
              </w:rPr>
              <w:t>100.0</w:t>
            </w:r>
          </w:p>
        </w:tc>
        <w:tc>
          <w:tcPr>
            <w:tcW w:w="2420" w:type="dxa"/>
            <w:shd w:val="clear" w:color="auto" w:fill="auto"/>
            <w:noWrap/>
            <w:vAlign w:val="center"/>
          </w:tcPr>
          <w:p w14:paraId="62F57E24" w14:textId="77777777" w:rsidR="006A3DBC" w:rsidRPr="002B7276" w:rsidRDefault="006A3DBC" w:rsidP="005F4A92">
            <w:pPr>
              <w:keepNext/>
              <w:spacing w:after="0" w:line="240" w:lineRule="auto"/>
              <w:jc w:val="center"/>
              <w:rPr>
                <w:rFonts w:eastAsia="Quattrocento Sans" w:cs="Arial"/>
                <w:iCs/>
                <w:sz w:val="16"/>
                <w:szCs w:val="16"/>
                <w:lang w:eastAsia="es-SV"/>
              </w:rPr>
            </w:pPr>
            <w:r w:rsidRPr="002B7276">
              <w:rPr>
                <w:rFonts w:eastAsia="Quattrocento Sans" w:cs="Arial"/>
                <w:iCs/>
                <w:sz w:val="16"/>
                <w:szCs w:val="16"/>
                <w:lang w:eastAsia="es-SV"/>
              </w:rPr>
              <w:t>58.0</w:t>
            </w:r>
          </w:p>
        </w:tc>
      </w:tr>
    </w:tbl>
    <w:p w14:paraId="1C6AF346" w14:textId="77777777" w:rsidR="006A3DBC" w:rsidRPr="00FA4B2D" w:rsidRDefault="006A3DBC" w:rsidP="006A3DBC">
      <w:pPr>
        <w:jc w:val="both"/>
        <w:rPr>
          <w:rFonts w:cs="Arial"/>
          <w:sz w:val="20"/>
          <w:szCs w:val="20"/>
        </w:rPr>
      </w:pPr>
      <w:r w:rsidRPr="00FA4B2D">
        <w:rPr>
          <w:rFonts w:cs="Arial"/>
          <w:b/>
          <w:bCs/>
          <w:sz w:val="20"/>
          <w:szCs w:val="20"/>
        </w:rPr>
        <w:t>Fuente</w:t>
      </w:r>
      <w:r w:rsidRPr="00FA4B2D">
        <w:rPr>
          <w:rFonts w:cs="Arial"/>
          <w:sz w:val="20"/>
          <w:szCs w:val="20"/>
        </w:rPr>
        <w:t>: Elaboración propia, con base a información de ENDESA 2019, disponible en https://ine.gob.hn/v4/endesa/</w:t>
      </w:r>
    </w:p>
    <w:p w14:paraId="4E038325" w14:textId="55237810" w:rsidR="006A3DBC" w:rsidRPr="00FA4B2D" w:rsidRDefault="006A3DBC" w:rsidP="00411720">
      <w:pPr>
        <w:pStyle w:val="Prrafodelista"/>
        <w:numPr>
          <w:ilvl w:val="0"/>
          <w:numId w:val="103"/>
        </w:numPr>
        <w:rPr>
          <w:rFonts w:cs="Arial"/>
          <w:i/>
          <w:iCs/>
        </w:rPr>
      </w:pPr>
      <w:bookmarkStart w:id="734" w:name="_Toc156586922"/>
      <w:r w:rsidRPr="00FA4B2D">
        <w:rPr>
          <w:rFonts w:cs="Arial"/>
          <w:i/>
          <w:iCs/>
        </w:rPr>
        <w:t xml:space="preserve">Violencia </w:t>
      </w:r>
      <w:r w:rsidR="00F94AC4">
        <w:rPr>
          <w:rFonts w:cs="Arial"/>
          <w:i/>
          <w:iCs/>
        </w:rPr>
        <w:t>B</w:t>
      </w:r>
      <w:r w:rsidRPr="00FA4B2D">
        <w:rPr>
          <w:rFonts w:cs="Arial"/>
          <w:i/>
          <w:iCs/>
        </w:rPr>
        <w:t>asada en género</w:t>
      </w:r>
      <w:bookmarkEnd w:id="734"/>
    </w:p>
    <w:p w14:paraId="77CAFD8D" w14:textId="2C769356" w:rsidR="006A3DBC" w:rsidRPr="00FA4B2D" w:rsidRDefault="006A3DBC" w:rsidP="006A3DBC">
      <w:pPr>
        <w:jc w:val="both"/>
        <w:rPr>
          <w:rFonts w:cs="Arial"/>
        </w:rPr>
      </w:pPr>
      <w:r w:rsidRPr="00FA4B2D">
        <w:rPr>
          <w:rFonts w:cs="Arial"/>
        </w:rPr>
        <w:t xml:space="preserve">Particularmente, en el tema sobre VBG, a nivel de cada uno de los departamentos, las mujeres que participaron en la ENDESA 2019, indican que han sido víctimas de violencia basada en género.  </w:t>
      </w:r>
    </w:p>
    <w:p w14:paraId="416E05A1" w14:textId="77777777" w:rsidR="006A3DBC" w:rsidRPr="00FA4B2D" w:rsidRDefault="006A3DBC" w:rsidP="006A3DBC">
      <w:pPr>
        <w:jc w:val="both"/>
        <w:rPr>
          <w:rFonts w:cs="Arial"/>
        </w:rPr>
      </w:pPr>
      <w:r w:rsidRPr="00FA4B2D">
        <w:rPr>
          <w:rFonts w:cs="Arial"/>
        </w:rPr>
        <w:t xml:space="preserve">En el caso del departamento de Olancho, la encuesta captura que el 13.6% de las mujeres encuestadas manifiestan haber sido víctimas de violencia psicológica por parte de su esposo o compañero de vida. El 5.9% declara haber sufrido violencia física de parte de este.  Un 23.1% de las mujeres que han sufrido violencia, declaran daños a consecuencia de estas. En el caso de Olancho, el 44% señala haber sufrido cefalea, mareos, dolores abdominales, cortadas, moretones o dolores en general. </w:t>
      </w:r>
    </w:p>
    <w:p w14:paraId="34DAD19F" w14:textId="77777777" w:rsidR="006A3DBC" w:rsidRPr="00FA4B2D" w:rsidRDefault="006A3DBC" w:rsidP="006A3DBC">
      <w:pPr>
        <w:jc w:val="both"/>
        <w:rPr>
          <w:rFonts w:cs="Arial"/>
        </w:rPr>
      </w:pPr>
      <w:r w:rsidRPr="00FA4B2D">
        <w:rPr>
          <w:rFonts w:cs="Arial"/>
        </w:rPr>
        <w:t>En el caso del departamento de Valle, el 11.2% de las mujeres encuestadas declaran haber sido víctimas de violencia psicológica, mientras que el 4.9% de violencia física por parte de su esposo o compañero de vida. Como consecuencia de la violencia las mujeres señalan daños físicos como: cefalea, mareos, dolores abdominales o punzadas (25.1%), mientras que el 21.6% cortadas, moretones o dolores y, el restante, heridas profundas, dientes rotos, lesiones graves, torceduras, entre otras.</w:t>
      </w:r>
    </w:p>
    <w:p w14:paraId="49A89C53" w14:textId="77777777" w:rsidR="006A3DBC" w:rsidRPr="00FA4B2D" w:rsidRDefault="006A3DBC" w:rsidP="006A3DBC">
      <w:pPr>
        <w:jc w:val="both"/>
        <w:rPr>
          <w:rFonts w:cs="Arial"/>
        </w:rPr>
      </w:pPr>
      <w:r w:rsidRPr="00FA4B2D">
        <w:rPr>
          <w:rFonts w:cs="Arial"/>
        </w:rPr>
        <w:t xml:space="preserve">En el caso del departamento de Yoro, el 16.5% de las mujeres encuestadas, señalan haber sido víctimas de violencia psicológica y el 7.6% de violencia física. Este último bloque, señala como consecuencia de este tipo de violencia, daños físicos, dentro de estos: el 32.4% cortadas, moretones o dolores, el 23.2% cefalea, mareos, dolores abdominales o punzadas y el restante porcentajes lesiones en ojos, quemaduras, torceduras, dientes rotos, heridas a profundidad e inclusive todos los daños anteriores juntos.   </w:t>
      </w:r>
    </w:p>
    <w:p w14:paraId="6481F4A4" w14:textId="77777777" w:rsidR="006A3DBC" w:rsidRPr="00FA4B2D" w:rsidRDefault="006A3DBC" w:rsidP="006A3DBC">
      <w:pPr>
        <w:jc w:val="both"/>
        <w:rPr>
          <w:rFonts w:cs="Arial"/>
        </w:rPr>
      </w:pPr>
      <w:r w:rsidRPr="00FA4B2D">
        <w:rPr>
          <w:rFonts w:cs="Arial"/>
        </w:rPr>
        <w:t>La misma ENDESA/ MICS 2019, nos indica los tipos de violencia a la que están expuestas las mujeres a nivel del hogar en los departamentos, los resultados se resumen a continuación:</w:t>
      </w:r>
    </w:p>
    <w:p w14:paraId="4DDB029F" w14:textId="59F6C0BB" w:rsidR="00F94AC4" w:rsidRDefault="00F94AC4" w:rsidP="00F94AC4">
      <w:pPr>
        <w:pStyle w:val="Descripcin"/>
        <w:keepNext/>
      </w:pPr>
      <w:bookmarkStart w:id="735" w:name="_Toc202455471"/>
      <w:r>
        <w:lastRenderedPageBreak/>
        <w:t xml:space="preserve">Tabla </w:t>
      </w:r>
      <w:r>
        <w:fldChar w:fldCharType="begin"/>
      </w:r>
      <w:r>
        <w:instrText xml:space="preserve"> SEQ Tabla \* ARABIC </w:instrText>
      </w:r>
      <w:r>
        <w:fldChar w:fldCharType="separate"/>
      </w:r>
      <w:r w:rsidR="000E6D86">
        <w:rPr>
          <w:noProof/>
        </w:rPr>
        <w:t>45</w:t>
      </w:r>
      <w:r>
        <w:fldChar w:fldCharType="end"/>
      </w:r>
      <w:r>
        <w:t xml:space="preserve">: </w:t>
      </w:r>
      <w:r w:rsidRPr="00E146C0">
        <w:t>Porcentajes de mujeres víctimas de diversos tipos de violencia de pareja intima en el hogar</w:t>
      </w:r>
      <w:bookmarkEnd w:id="735"/>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21"/>
        <w:gridCol w:w="1218"/>
        <w:gridCol w:w="1218"/>
        <w:gridCol w:w="1474"/>
        <w:gridCol w:w="1218"/>
        <w:gridCol w:w="1704"/>
      </w:tblGrid>
      <w:tr w:rsidR="002B7276" w:rsidRPr="002B7276" w14:paraId="0FD83094" w14:textId="77777777" w:rsidTr="00F94AC4">
        <w:trPr>
          <w:trHeight w:val="431"/>
          <w:tblHeader/>
          <w:jc w:val="center"/>
        </w:trPr>
        <w:tc>
          <w:tcPr>
            <w:tcW w:w="1821" w:type="dxa"/>
            <w:vMerge w:val="restart"/>
            <w:shd w:val="clear" w:color="auto" w:fill="5CC5DA"/>
            <w:vAlign w:val="center"/>
            <w:hideMark/>
          </w:tcPr>
          <w:p w14:paraId="7009C545" w14:textId="77777777" w:rsidR="006A3DBC" w:rsidRPr="002B7276" w:rsidRDefault="006A3DBC" w:rsidP="005F4A92">
            <w:pPr>
              <w:spacing w:after="0" w:line="240" w:lineRule="auto"/>
              <w:jc w:val="center"/>
              <w:rPr>
                <w:rFonts w:eastAsia="Quattrocento Sans" w:cs="Arial"/>
                <w:b/>
                <w:bCs/>
                <w:iCs/>
                <w:sz w:val="22"/>
                <w:szCs w:val="20"/>
                <w:lang w:eastAsia="es-SV"/>
              </w:rPr>
            </w:pPr>
            <w:r w:rsidRPr="002B7276">
              <w:rPr>
                <w:rFonts w:eastAsia="Quattrocento Sans" w:cs="Arial"/>
                <w:b/>
                <w:bCs/>
                <w:iCs/>
                <w:sz w:val="22"/>
                <w:szCs w:val="20"/>
                <w:lang w:eastAsia="es-SV"/>
              </w:rPr>
              <w:t> Departamento</w:t>
            </w:r>
          </w:p>
        </w:tc>
        <w:tc>
          <w:tcPr>
            <w:tcW w:w="6832" w:type="dxa"/>
            <w:gridSpan w:val="5"/>
            <w:shd w:val="clear" w:color="auto" w:fill="5CC5DA"/>
            <w:vAlign w:val="center"/>
            <w:hideMark/>
          </w:tcPr>
          <w:p w14:paraId="41E1D5E9" w14:textId="77777777" w:rsidR="006A3DBC" w:rsidRPr="002B7276" w:rsidRDefault="006A3DBC" w:rsidP="005F4A92">
            <w:pPr>
              <w:spacing w:after="0" w:line="240" w:lineRule="auto"/>
              <w:jc w:val="center"/>
              <w:rPr>
                <w:rFonts w:eastAsia="Quattrocento Sans" w:cs="Arial"/>
                <w:b/>
                <w:bCs/>
                <w:iCs/>
                <w:sz w:val="22"/>
                <w:szCs w:val="20"/>
                <w:lang w:eastAsia="es-SV"/>
              </w:rPr>
            </w:pPr>
            <w:r w:rsidRPr="002B7276">
              <w:rPr>
                <w:rFonts w:eastAsia="Quattrocento Sans" w:cs="Arial"/>
                <w:b/>
                <w:bCs/>
                <w:iCs/>
                <w:sz w:val="22"/>
                <w:szCs w:val="20"/>
                <w:lang w:eastAsia="es-SV"/>
              </w:rPr>
              <w:t>Datos departamentales sobre las formas de violencia de pareja íntima</w:t>
            </w:r>
          </w:p>
        </w:tc>
      </w:tr>
      <w:tr w:rsidR="002B7276" w:rsidRPr="002B7276" w14:paraId="6339A4C4" w14:textId="77777777" w:rsidTr="00F94AC4">
        <w:trPr>
          <w:trHeight w:val="431"/>
          <w:tblHeader/>
          <w:jc w:val="center"/>
        </w:trPr>
        <w:tc>
          <w:tcPr>
            <w:tcW w:w="1821" w:type="dxa"/>
            <w:vMerge/>
            <w:shd w:val="clear" w:color="auto" w:fill="5CC5DA"/>
            <w:vAlign w:val="center"/>
            <w:hideMark/>
          </w:tcPr>
          <w:p w14:paraId="73CC4493" w14:textId="77777777" w:rsidR="006A3DBC" w:rsidRPr="002B7276" w:rsidRDefault="006A3DBC" w:rsidP="005F4A92">
            <w:pPr>
              <w:spacing w:after="0" w:line="240" w:lineRule="auto"/>
              <w:rPr>
                <w:rFonts w:eastAsia="Quattrocento Sans" w:cs="Arial"/>
                <w:b/>
                <w:bCs/>
                <w:iCs/>
                <w:sz w:val="22"/>
                <w:szCs w:val="20"/>
                <w:lang w:eastAsia="es-SV"/>
              </w:rPr>
            </w:pPr>
          </w:p>
        </w:tc>
        <w:tc>
          <w:tcPr>
            <w:tcW w:w="1218" w:type="dxa"/>
            <w:shd w:val="clear" w:color="auto" w:fill="5CC5DA"/>
            <w:vAlign w:val="center"/>
          </w:tcPr>
          <w:p w14:paraId="7E6FBF0C" w14:textId="77777777" w:rsidR="006A3DBC" w:rsidRPr="002B7276" w:rsidRDefault="006A3DBC" w:rsidP="005F4A92">
            <w:pPr>
              <w:spacing w:after="0" w:line="240" w:lineRule="auto"/>
              <w:jc w:val="center"/>
              <w:rPr>
                <w:rFonts w:eastAsia="Quattrocento Sans" w:cs="Arial"/>
                <w:b/>
                <w:bCs/>
                <w:iCs/>
                <w:sz w:val="22"/>
                <w:szCs w:val="20"/>
                <w:lang w:eastAsia="es-SV"/>
              </w:rPr>
            </w:pPr>
            <w:r w:rsidRPr="002B7276">
              <w:rPr>
                <w:rFonts w:eastAsia="Quattrocento Sans" w:cs="Arial"/>
                <w:b/>
                <w:bCs/>
                <w:iCs/>
                <w:sz w:val="22"/>
                <w:szCs w:val="20"/>
                <w:lang w:eastAsia="es-SV"/>
              </w:rPr>
              <w:t>Física</w:t>
            </w:r>
          </w:p>
        </w:tc>
        <w:tc>
          <w:tcPr>
            <w:tcW w:w="1218" w:type="dxa"/>
            <w:shd w:val="clear" w:color="auto" w:fill="5CC5DA"/>
            <w:vAlign w:val="center"/>
          </w:tcPr>
          <w:p w14:paraId="2001351C" w14:textId="77777777" w:rsidR="006A3DBC" w:rsidRPr="002B7276" w:rsidRDefault="006A3DBC" w:rsidP="005F4A92">
            <w:pPr>
              <w:spacing w:after="0" w:line="240" w:lineRule="auto"/>
              <w:jc w:val="center"/>
              <w:rPr>
                <w:rFonts w:eastAsia="Quattrocento Sans" w:cs="Arial"/>
                <w:b/>
                <w:bCs/>
                <w:iCs/>
                <w:sz w:val="22"/>
                <w:szCs w:val="20"/>
                <w:lang w:eastAsia="es-SV"/>
              </w:rPr>
            </w:pPr>
            <w:r w:rsidRPr="002B7276">
              <w:rPr>
                <w:rFonts w:eastAsia="Quattrocento Sans" w:cs="Arial"/>
                <w:b/>
                <w:bCs/>
                <w:iCs/>
                <w:sz w:val="22"/>
                <w:szCs w:val="20"/>
                <w:lang w:eastAsia="es-SV"/>
              </w:rPr>
              <w:t>Sexual</w:t>
            </w:r>
          </w:p>
        </w:tc>
        <w:tc>
          <w:tcPr>
            <w:tcW w:w="1474" w:type="dxa"/>
            <w:shd w:val="clear" w:color="auto" w:fill="5CC5DA"/>
            <w:vAlign w:val="center"/>
          </w:tcPr>
          <w:p w14:paraId="695F2F7D" w14:textId="77777777" w:rsidR="006A3DBC" w:rsidRPr="002B7276" w:rsidRDefault="006A3DBC" w:rsidP="005F4A92">
            <w:pPr>
              <w:spacing w:after="0" w:line="240" w:lineRule="auto"/>
              <w:jc w:val="center"/>
              <w:rPr>
                <w:rFonts w:eastAsia="Quattrocento Sans" w:cs="Arial"/>
                <w:b/>
                <w:bCs/>
                <w:iCs/>
                <w:sz w:val="22"/>
                <w:szCs w:val="20"/>
                <w:lang w:eastAsia="es-SV"/>
              </w:rPr>
            </w:pPr>
            <w:r w:rsidRPr="002B7276">
              <w:rPr>
                <w:rFonts w:eastAsia="Quattrocento Sans" w:cs="Arial"/>
                <w:b/>
                <w:bCs/>
                <w:iCs/>
                <w:sz w:val="22"/>
                <w:szCs w:val="20"/>
                <w:lang w:eastAsia="es-SV"/>
              </w:rPr>
              <w:t>Psicológica</w:t>
            </w:r>
          </w:p>
        </w:tc>
        <w:tc>
          <w:tcPr>
            <w:tcW w:w="1218" w:type="dxa"/>
            <w:shd w:val="clear" w:color="auto" w:fill="5CC5DA"/>
            <w:vAlign w:val="center"/>
          </w:tcPr>
          <w:p w14:paraId="03ADB0B8" w14:textId="77777777" w:rsidR="006A3DBC" w:rsidRPr="002B7276" w:rsidRDefault="006A3DBC" w:rsidP="005F4A92">
            <w:pPr>
              <w:spacing w:after="0" w:line="240" w:lineRule="auto"/>
              <w:jc w:val="center"/>
              <w:rPr>
                <w:rFonts w:eastAsia="Quattrocento Sans" w:cs="Arial"/>
                <w:b/>
                <w:bCs/>
                <w:iCs/>
                <w:sz w:val="22"/>
                <w:szCs w:val="20"/>
                <w:lang w:eastAsia="es-SV"/>
              </w:rPr>
            </w:pPr>
            <w:r w:rsidRPr="002B7276">
              <w:rPr>
                <w:rFonts w:eastAsia="Quattrocento Sans" w:cs="Arial"/>
                <w:b/>
                <w:bCs/>
                <w:iCs/>
                <w:sz w:val="22"/>
                <w:szCs w:val="20"/>
                <w:lang w:eastAsia="es-SV"/>
              </w:rPr>
              <w:t>Física o sexual</w:t>
            </w:r>
          </w:p>
        </w:tc>
        <w:tc>
          <w:tcPr>
            <w:tcW w:w="1704" w:type="dxa"/>
            <w:shd w:val="clear" w:color="auto" w:fill="5CC5DA"/>
            <w:vAlign w:val="center"/>
          </w:tcPr>
          <w:p w14:paraId="3961424F" w14:textId="77777777" w:rsidR="006A3DBC" w:rsidRPr="002B7276" w:rsidRDefault="006A3DBC" w:rsidP="005F4A92">
            <w:pPr>
              <w:spacing w:after="0" w:line="240" w:lineRule="auto"/>
              <w:jc w:val="center"/>
              <w:rPr>
                <w:rFonts w:eastAsia="Quattrocento Sans" w:cs="Arial"/>
                <w:b/>
                <w:bCs/>
                <w:iCs/>
                <w:sz w:val="22"/>
                <w:szCs w:val="20"/>
                <w:lang w:eastAsia="es-SV"/>
              </w:rPr>
            </w:pPr>
            <w:r w:rsidRPr="002B7276">
              <w:rPr>
                <w:rFonts w:eastAsia="Quattrocento Sans" w:cs="Arial"/>
                <w:b/>
                <w:bCs/>
                <w:iCs/>
                <w:sz w:val="22"/>
                <w:szCs w:val="20"/>
                <w:lang w:eastAsia="es-SV"/>
              </w:rPr>
              <w:t xml:space="preserve">Psicológica, física o sexual </w:t>
            </w:r>
          </w:p>
        </w:tc>
      </w:tr>
      <w:tr w:rsidR="002B7276" w:rsidRPr="002B7276" w14:paraId="1494BDA6" w14:textId="77777777" w:rsidTr="00F94AC4">
        <w:trPr>
          <w:trHeight w:val="215"/>
          <w:jc w:val="center"/>
        </w:trPr>
        <w:tc>
          <w:tcPr>
            <w:tcW w:w="1821" w:type="dxa"/>
            <w:shd w:val="clear" w:color="auto" w:fill="auto"/>
            <w:noWrap/>
            <w:vAlign w:val="center"/>
          </w:tcPr>
          <w:p w14:paraId="3572EBC4" w14:textId="77777777" w:rsidR="006A3DBC" w:rsidRPr="002B7276" w:rsidRDefault="006A3DBC" w:rsidP="005F4A92">
            <w:pPr>
              <w:spacing w:after="0" w:line="240" w:lineRule="auto"/>
              <w:ind w:firstLineChars="100" w:firstLine="220"/>
              <w:jc w:val="center"/>
              <w:rPr>
                <w:rFonts w:eastAsia="Quattrocento Sans" w:cs="Arial"/>
                <w:iCs/>
                <w:sz w:val="22"/>
                <w:szCs w:val="20"/>
                <w:lang w:eastAsia="es-SV"/>
              </w:rPr>
            </w:pPr>
            <w:r w:rsidRPr="002B7276">
              <w:rPr>
                <w:rFonts w:eastAsia="Quattrocento Sans" w:cs="Arial"/>
                <w:iCs/>
                <w:sz w:val="22"/>
                <w:szCs w:val="20"/>
                <w:lang w:eastAsia="es-SV"/>
              </w:rPr>
              <w:t>Olancho</w:t>
            </w:r>
          </w:p>
        </w:tc>
        <w:tc>
          <w:tcPr>
            <w:tcW w:w="1218" w:type="dxa"/>
            <w:shd w:val="clear" w:color="auto" w:fill="auto"/>
            <w:noWrap/>
            <w:vAlign w:val="center"/>
          </w:tcPr>
          <w:p w14:paraId="14CB7BA6" w14:textId="77777777" w:rsidR="006A3DBC" w:rsidRPr="002B7276" w:rsidRDefault="006A3DBC" w:rsidP="005F4A92">
            <w:pPr>
              <w:spacing w:after="0" w:line="240" w:lineRule="auto"/>
              <w:jc w:val="center"/>
              <w:rPr>
                <w:rFonts w:eastAsia="Quattrocento Sans" w:cs="Arial"/>
                <w:iCs/>
                <w:sz w:val="22"/>
                <w:szCs w:val="20"/>
                <w:lang w:eastAsia="es-SV"/>
              </w:rPr>
            </w:pPr>
            <w:r w:rsidRPr="002B7276">
              <w:rPr>
                <w:rFonts w:eastAsia="Quattrocento Sans" w:cs="Arial"/>
                <w:iCs/>
                <w:sz w:val="22"/>
                <w:szCs w:val="20"/>
                <w:lang w:eastAsia="es-SV"/>
              </w:rPr>
              <w:t>6</w:t>
            </w:r>
          </w:p>
        </w:tc>
        <w:tc>
          <w:tcPr>
            <w:tcW w:w="1218" w:type="dxa"/>
            <w:shd w:val="clear" w:color="auto" w:fill="auto"/>
            <w:noWrap/>
            <w:vAlign w:val="center"/>
          </w:tcPr>
          <w:p w14:paraId="5D5340AE" w14:textId="77777777" w:rsidR="006A3DBC" w:rsidRPr="002B7276" w:rsidRDefault="006A3DBC" w:rsidP="005F4A92">
            <w:pPr>
              <w:spacing w:after="0" w:line="240" w:lineRule="auto"/>
              <w:jc w:val="center"/>
              <w:rPr>
                <w:rFonts w:eastAsia="Quattrocento Sans" w:cs="Arial"/>
                <w:iCs/>
                <w:sz w:val="22"/>
                <w:szCs w:val="20"/>
                <w:lang w:eastAsia="es-SV"/>
              </w:rPr>
            </w:pPr>
            <w:r w:rsidRPr="002B7276">
              <w:rPr>
                <w:rFonts w:eastAsia="Quattrocento Sans" w:cs="Arial"/>
                <w:iCs/>
                <w:sz w:val="22"/>
                <w:szCs w:val="20"/>
                <w:lang w:eastAsia="es-SV"/>
              </w:rPr>
              <w:t>2</w:t>
            </w:r>
          </w:p>
        </w:tc>
        <w:tc>
          <w:tcPr>
            <w:tcW w:w="1474" w:type="dxa"/>
            <w:shd w:val="clear" w:color="auto" w:fill="auto"/>
            <w:noWrap/>
            <w:vAlign w:val="center"/>
          </w:tcPr>
          <w:p w14:paraId="5DE547F3" w14:textId="77777777" w:rsidR="006A3DBC" w:rsidRPr="002B7276" w:rsidRDefault="006A3DBC" w:rsidP="005F4A92">
            <w:pPr>
              <w:spacing w:after="0" w:line="240" w:lineRule="auto"/>
              <w:jc w:val="center"/>
              <w:rPr>
                <w:rFonts w:eastAsia="Quattrocento Sans" w:cs="Arial"/>
                <w:iCs/>
                <w:sz w:val="22"/>
                <w:szCs w:val="20"/>
                <w:lang w:eastAsia="es-SV"/>
              </w:rPr>
            </w:pPr>
            <w:r w:rsidRPr="002B7276">
              <w:rPr>
                <w:rFonts w:eastAsia="Quattrocento Sans" w:cs="Arial"/>
                <w:iCs/>
                <w:sz w:val="22"/>
                <w:szCs w:val="20"/>
                <w:lang w:eastAsia="es-SV"/>
              </w:rPr>
              <w:t>14</w:t>
            </w:r>
          </w:p>
        </w:tc>
        <w:tc>
          <w:tcPr>
            <w:tcW w:w="1218" w:type="dxa"/>
            <w:shd w:val="clear" w:color="auto" w:fill="auto"/>
            <w:noWrap/>
            <w:vAlign w:val="center"/>
          </w:tcPr>
          <w:p w14:paraId="40060EF8" w14:textId="77777777" w:rsidR="006A3DBC" w:rsidRPr="002B7276" w:rsidRDefault="006A3DBC" w:rsidP="005F4A92">
            <w:pPr>
              <w:spacing w:after="0" w:line="240" w:lineRule="auto"/>
              <w:jc w:val="center"/>
              <w:rPr>
                <w:rFonts w:eastAsia="Quattrocento Sans" w:cs="Arial"/>
                <w:iCs/>
                <w:sz w:val="22"/>
                <w:szCs w:val="20"/>
                <w:lang w:eastAsia="es-SV"/>
              </w:rPr>
            </w:pPr>
            <w:r w:rsidRPr="002B7276">
              <w:rPr>
                <w:rFonts w:eastAsia="Quattrocento Sans" w:cs="Arial"/>
                <w:iCs/>
                <w:sz w:val="22"/>
                <w:szCs w:val="20"/>
                <w:lang w:eastAsia="es-SV"/>
              </w:rPr>
              <w:t>7</w:t>
            </w:r>
          </w:p>
        </w:tc>
        <w:tc>
          <w:tcPr>
            <w:tcW w:w="1704" w:type="dxa"/>
            <w:shd w:val="clear" w:color="auto" w:fill="auto"/>
            <w:noWrap/>
            <w:vAlign w:val="center"/>
          </w:tcPr>
          <w:p w14:paraId="437903D4" w14:textId="77777777" w:rsidR="006A3DBC" w:rsidRPr="002B7276" w:rsidRDefault="006A3DBC" w:rsidP="005F4A92">
            <w:pPr>
              <w:spacing w:after="0" w:line="240" w:lineRule="auto"/>
              <w:jc w:val="center"/>
              <w:rPr>
                <w:rFonts w:eastAsia="Quattrocento Sans" w:cs="Arial"/>
                <w:iCs/>
                <w:sz w:val="22"/>
                <w:szCs w:val="20"/>
                <w:lang w:eastAsia="es-SV"/>
              </w:rPr>
            </w:pPr>
            <w:r w:rsidRPr="002B7276">
              <w:rPr>
                <w:rFonts w:eastAsia="Quattrocento Sans" w:cs="Arial"/>
                <w:iCs/>
                <w:sz w:val="22"/>
                <w:szCs w:val="20"/>
                <w:lang w:eastAsia="es-SV"/>
              </w:rPr>
              <w:t>15</w:t>
            </w:r>
          </w:p>
        </w:tc>
      </w:tr>
      <w:tr w:rsidR="002B7276" w:rsidRPr="002B7276" w14:paraId="6D1FED5F" w14:textId="77777777" w:rsidTr="00F94AC4">
        <w:trPr>
          <w:trHeight w:val="215"/>
          <w:jc w:val="center"/>
        </w:trPr>
        <w:tc>
          <w:tcPr>
            <w:tcW w:w="1821" w:type="dxa"/>
            <w:shd w:val="clear" w:color="auto" w:fill="auto"/>
            <w:noWrap/>
            <w:vAlign w:val="center"/>
          </w:tcPr>
          <w:p w14:paraId="293C56C8" w14:textId="77777777" w:rsidR="006A3DBC" w:rsidRPr="002B7276" w:rsidRDefault="006A3DBC" w:rsidP="005F4A92">
            <w:pPr>
              <w:spacing w:after="0" w:line="240" w:lineRule="auto"/>
              <w:ind w:firstLineChars="100" w:firstLine="220"/>
              <w:jc w:val="center"/>
              <w:rPr>
                <w:rFonts w:eastAsia="Quattrocento Sans" w:cs="Arial"/>
                <w:iCs/>
                <w:sz w:val="22"/>
                <w:szCs w:val="20"/>
                <w:lang w:eastAsia="es-SV"/>
              </w:rPr>
            </w:pPr>
            <w:r w:rsidRPr="002B7276">
              <w:rPr>
                <w:rFonts w:eastAsia="Quattrocento Sans" w:cs="Arial"/>
                <w:iCs/>
                <w:sz w:val="22"/>
                <w:szCs w:val="20"/>
                <w:lang w:eastAsia="es-SV"/>
              </w:rPr>
              <w:t>Valle</w:t>
            </w:r>
          </w:p>
        </w:tc>
        <w:tc>
          <w:tcPr>
            <w:tcW w:w="1218" w:type="dxa"/>
            <w:shd w:val="clear" w:color="auto" w:fill="auto"/>
            <w:noWrap/>
            <w:vAlign w:val="center"/>
          </w:tcPr>
          <w:p w14:paraId="0ADA0975" w14:textId="77777777" w:rsidR="006A3DBC" w:rsidRPr="002B7276" w:rsidRDefault="006A3DBC" w:rsidP="005F4A92">
            <w:pPr>
              <w:spacing w:after="0" w:line="240" w:lineRule="auto"/>
              <w:jc w:val="center"/>
              <w:rPr>
                <w:rFonts w:eastAsia="Quattrocento Sans" w:cs="Arial"/>
                <w:iCs/>
                <w:sz w:val="22"/>
                <w:szCs w:val="20"/>
                <w:lang w:eastAsia="es-SV"/>
              </w:rPr>
            </w:pPr>
            <w:r w:rsidRPr="002B7276">
              <w:rPr>
                <w:rFonts w:eastAsia="Quattrocento Sans" w:cs="Arial"/>
                <w:iCs/>
                <w:sz w:val="22"/>
                <w:szCs w:val="20"/>
                <w:lang w:eastAsia="es-SV"/>
              </w:rPr>
              <w:t>5</w:t>
            </w:r>
          </w:p>
        </w:tc>
        <w:tc>
          <w:tcPr>
            <w:tcW w:w="1218" w:type="dxa"/>
            <w:shd w:val="clear" w:color="auto" w:fill="auto"/>
            <w:noWrap/>
            <w:vAlign w:val="center"/>
          </w:tcPr>
          <w:p w14:paraId="69A975F7" w14:textId="77777777" w:rsidR="006A3DBC" w:rsidRPr="002B7276" w:rsidRDefault="006A3DBC" w:rsidP="005F4A92">
            <w:pPr>
              <w:spacing w:after="0" w:line="240" w:lineRule="auto"/>
              <w:jc w:val="center"/>
              <w:rPr>
                <w:rFonts w:eastAsia="Quattrocento Sans" w:cs="Arial"/>
                <w:iCs/>
                <w:sz w:val="22"/>
                <w:szCs w:val="20"/>
                <w:lang w:eastAsia="es-SV"/>
              </w:rPr>
            </w:pPr>
            <w:r w:rsidRPr="002B7276">
              <w:rPr>
                <w:rFonts w:eastAsia="Quattrocento Sans" w:cs="Arial"/>
                <w:iCs/>
                <w:sz w:val="22"/>
                <w:szCs w:val="20"/>
                <w:lang w:eastAsia="es-SV"/>
              </w:rPr>
              <w:t>1</w:t>
            </w:r>
          </w:p>
        </w:tc>
        <w:tc>
          <w:tcPr>
            <w:tcW w:w="1474" w:type="dxa"/>
            <w:shd w:val="clear" w:color="auto" w:fill="auto"/>
            <w:noWrap/>
            <w:vAlign w:val="center"/>
          </w:tcPr>
          <w:p w14:paraId="251F61DE" w14:textId="77777777" w:rsidR="006A3DBC" w:rsidRPr="002B7276" w:rsidRDefault="006A3DBC" w:rsidP="005F4A92">
            <w:pPr>
              <w:spacing w:after="0" w:line="240" w:lineRule="auto"/>
              <w:jc w:val="center"/>
              <w:rPr>
                <w:rFonts w:eastAsia="Quattrocento Sans" w:cs="Arial"/>
                <w:iCs/>
                <w:sz w:val="22"/>
                <w:szCs w:val="20"/>
                <w:lang w:eastAsia="es-SV"/>
              </w:rPr>
            </w:pPr>
            <w:r w:rsidRPr="002B7276">
              <w:rPr>
                <w:rFonts w:eastAsia="Quattrocento Sans" w:cs="Arial"/>
                <w:iCs/>
                <w:sz w:val="22"/>
                <w:szCs w:val="20"/>
                <w:lang w:eastAsia="es-SV"/>
              </w:rPr>
              <w:t>11</w:t>
            </w:r>
          </w:p>
        </w:tc>
        <w:tc>
          <w:tcPr>
            <w:tcW w:w="1218" w:type="dxa"/>
            <w:shd w:val="clear" w:color="auto" w:fill="auto"/>
            <w:noWrap/>
            <w:vAlign w:val="center"/>
          </w:tcPr>
          <w:p w14:paraId="3FFA5305" w14:textId="77777777" w:rsidR="006A3DBC" w:rsidRPr="002B7276" w:rsidRDefault="006A3DBC" w:rsidP="005F4A92">
            <w:pPr>
              <w:spacing w:after="0" w:line="240" w:lineRule="auto"/>
              <w:jc w:val="center"/>
              <w:rPr>
                <w:rFonts w:eastAsia="Quattrocento Sans" w:cs="Arial"/>
                <w:iCs/>
                <w:sz w:val="22"/>
                <w:szCs w:val="20"/>
                <w:lang w:eastAsia="es-SV"/>
              </w:rPr>
            </w:pPr>
            <w:r w:rsidRPr="002B7276">
              <w:rPr>
                <w:rFonts w:eastAsia="Quattrocento Sans" w:cs="Arial"/>
                <w:iCs/>
                <w:sz w:val="22"/>
                <w:szCs w:val="20"/>
                <w:lang w:eastAsia="es-SV"/>
              </w:rPr>
              <w:t>5</w:t>
            </w:r>
          </w:p>
        </w:tc>
        <w:tc>
          <w:tcPr>
            <w:tcW w:w="1704" w:type="dxa"/>
            <w:shd w:val="clear" w:color="auto" w:fill="auto"/>
            <w:noWrap/>
            <w:vAlign w:val="center"/>
          </w:tcPr>
          <w:p w14:paraId="014FCAB3" w14:textId="77777777" w:rsidR="006A3DBC" w:rsidRPr="002B7276" w:rsidRDefault="006A3DBC" w:rsidP="005F4A92">
            <w:pPr>
              <w:spacing w:after="0" w:line="240" w:lineRule="auto"/>
              <w:jc w:val="center"/>
              <w:rPr>
                <w:rFonts w:eastAsia="Quattrocento Sans" w:cs="Arial"/>
                <w:iCs/>
                <w:sz w:val="22"/>
                <w:szCs w:val="20"/>
                <w:lang w:eastAsia="es-SV"/>
              </w:rPr>
            </w:pPr>
            <w:r w:rsidRPr="002B7276">
              <w:rPr>
                <w:rFonts w:eastAsia="Quattrocento Sans" w:cs="Arial"/>
                <w:iCs/>
                <w:sz w:val="22"/>
                <w:szCs w:val="20"/>
                <w:lang w:eastAsia="es-SV"/>
              </w:rPr>
              <w:t>12</w:t>
            </w:r>
          </w:p>
        </w:tc>
      </w:tr>
      <w:tr w:rsidR="002B7276" w:rsidRPr="002B7276" w14:paraId="7B545101" w14:textId="77777777" w:rsidTr="00F94AC4">
        <w:trPr>
          <w:trHeight w:val="215"/>
          <w:jc w:val="center"/>
        </w:trPr>
        <w:tc>
          <w:tcPr>
            <w:tcW w:w="1821" w:type="dxa"/>
            <w:shd w:val="clear" w:color="auto" w:fill="auto"/>
            <w:noWrap/>
            <w:vAlign w:val="center"/>
          </w:tcPr>
          <w:p w14:paraId="7CE24620" w14:textId="77777777" w:rsidR="006A3DBC" w:rsidRPr="002B7276" w:rsidRDefault="006A3DBC" w:rsidP="005F4A92">
            <w:pPr>
              <w:spacing w:after="0" w:line="240" w:lineRule="auto"/>
              <w:ind w:firstLineChars="100" w:firstLine="220"/>
              <w:jc w:val="center"/>
              <w:rPr>
                <w:rFonts w:eastAsia="Quattrocento Sans" w:cs="Arial"/>
                <w:iCs/>
                <w:sz w:val="22"/>
                <w:szCs w:val="20"/>
                <w:lang w:eastAsia="es-SV"/>
              </w:rPr>
            </w:pPr>
            <w:r w:rsidRPr="002B7276">
              <w:rPr>
                <w:rFonts w:eastAsia="Quattrocento Sans" w:cs="Arial"/>
                <w:iCs/>
                <w:sz w:val="22"/>
                <w:szCs w:val="20"/>
                <w:lang w:eastAsia="es-SV"/>
              </w:rPr>
              <w:t>Yoro</w:t>
            </w:r>
          </w:p>
        </w:tc>
        <w:tc>
          <w:tcPr>
            <w:tcW w:w="1218" w:type="dxa"/>
            <w:shd w:val="clear" w:color="auto" w:fill="auto"/>
            <w:noWrap/>
            <w:vAlign w:val="center"/>
          </w:tcPr>
          <w:p w14:paraId="0FA945AB" w14:textId="77777777" w:rsidR="006A3DBC" w:rsidRPr="002B7276" w:rsidRDefault="006A3DBC" w:rsidP="005F4A92">
            <w:pPr>
              <w:spacing w:after="0" w:line="240" w:lineRule="auto"/>
              <w:jc w:val="center"/>
              <w:rPr>
                <w:rFonts w:eastAsia="Quattrocento Sans" w:cs="Arial"/>
                <w:iCs/>
                <w:sz w:val="22"/>
                <w:szCs w:val="20"/>
                <w:lang w:eastAsia="es-SV"/>
              </w:rPr>
            </w:pPr>
            <w:r w:rsidRPr="002B7276">
              <w:rPr>
                <w:rFonts w:eastAsia="Quattrocento Sans" w:cs="Arial"/>
                <w:iCs/>
                <w:sz w:val="22"/>
                <w:szCs w:val="20"/>
                <w:lang w:eastAsia="es-SV"/>
              </w:rPr>
              <w:t>8</w:t>
            </w:r>
          </w:p>
        </w:tc>
        <w:tc>
          <w:tcPr>
            <w:tcW w:w="1218" w:type="dxa"/>
            <w:shd w:val="clear" w:color="auto" w:fill="auto"/>
            <w:noWrap/>
            <w:vAlign w:val="center"/>
          </w:tcPr>
          <w:p w14:paraId="6BE27754" w14:textId="77777777" w:rsidR="006A3DBC" w:rsidRPr="002B7276" w:rsidRDefault="006A3DBC" w:rsidP="005F4A92">
            <w:pPr>
              <w:spacing w:after="0" w:line="240" w:lineRule="auto"/>
              <w:jc w:val="center"/>
              <w:rPr>
                <w:rFonts w:eastAsia="Quattrocento Sans" w:cs="Arial"/>
                <w:iCs/>
                <w:sz w:val="22"/>
                <w:szCs w:val="20"/>
                <w:lang w:eastAsia="es-SV"/>
              </w:rPr>
            </w:pPr>
            <w:r w:rsidRPr="002B7276">
              <w:rPr>
                <w:rFonts w:eastAsia="Quattrocento Sans" w:cs="Arial"/>
                <w:iCs/>
                <w:sz w:val="22"/>
                <w:szCs w:val="20"/>
                <w:lang w:eastAsia="es-SV"/>
              </w:rPr>
              <w:t>2</w:t>
            </w:r>
          </w:p>
        </w:tc>
        <w:tc>
          <w:tcPr>
            <w:tcW w:w="1474" w:type="dxa"/>
            <w:shd w:val="clear" w:color="auto" w:fill="auto"/>
            <w:noWrap/>
            <w:vAlign w:val="center"/>
          </w:tcPr>
          <w:p w14:paraId="6A08B2EC" w14:textId="77777777" w:rsidR="006A3DBC" w:rsidRPr="002B7276" w:rsidRDefault="006A3DBC" w:rsidP="005F4A92">
            <w:pPr>
              <w:spacing w:after="0" w:line="240" w:lineRule="auto"/>
              <w:jc w:val="center"/>
              <w:rPr>
                <w:rFonts w:eastAsia="Quattrocento Sans" w:cs="Arial"/>
                <w:iCs/>
                <w:sz w:val="22"/>
                <w:szCs w:val="20"/>
                <w:lang w:eastAsia="es-SV"/>
              </w:rPr>
            </w:pPr>
            <w:r w:rsidRPr="002B7276">
              <w:rPr>
                <w:rFonts w:eastAsia="Quattrocento Sans" w:cs="Arial"/>
                <w:iCs/>
                <w:sz w:val="22"/>
                <w:szCs w:val="20"/>
                <w:lang w:eastAsia="es-SV"/>
              </w:rPr>
              <w:t>17</w:t>
            </w:r>
          </w:p>
        </w:tc>
        <w:tc>
          <w:tcPr>
            <w:tcW w:w="1218" w:type="dxa"/>
            <w:shd w:val="clear" w:color="auto" w:fill="auto"/>
            <w:noWrap/>
            <w:vAlign w:val="center"/>
          </w:tcPr>
          <w:p w14:paraId="6AC4E6AB" w14:textId="77777777" w:rsidR="006A3DBC" w:rsidRPr="002B7276" w:rsidRDefault="006A3DBC" w:rsidP="005F4A92">
            <w:pPr>
              <w:spacing w:after="0" w:line="240" w:lineRule="auto"/>
              <w:jc w:val="center"/>
              <w:rPr>
                <w:rFonts w:eastAsia="Quattrocento Sans" w:cs="Arial"/>
                <w:iCs/>
                <w:sz w:val="22"/>
                <w:szCs w:val="20"/>
                <w:lang w:eastAsia="es-SV"/>
              </w:rPr>
            </w:pPr>
            <w:r w:rsidRPr="002B7276">
              <w:rPr>
                <w:rFonts w:eastAsia="Quattrocento Sans" w:cs="Arial"/>
                <w:iCs/>
                <w:sz w:val="22"/>
                <w:szCs w:val="20"/>
                <w:lang w:eastAsia="es-SV"/>
              </w:rPr>
              <w:t>9</w:t>
            </w:r>
          </w:p>
        </w:tc>
        <w:tc>
          <w:tcPr>
            <w:tcW w:w="1704" w:type="dxa"/>
            <w:shd w:val="clear" w:color="auto" w:fill="auto"/>
            <w:noWrap/>
            <w:vAlign w:val="center"/>
          </w:tcPr>
          <w:p w14:paraId="1ED20D48" w14:textId="77777777" w:rsidR="006A3DBC" w:rsidRPr="002B7276" w:rsidRDefault="006A3DBC" w:rsidP="005F4A92">
            <w:pPr>
              <w:spacing w:after="0" w:line="240" w:lineRule="auto"/>
              <w:jc w:val="center"/>
              <w:rPr>
                <w:rFonts w:eastAsia="Quattrocento Sans" w:cs="Arial"/>
                <w:iCs/>
                <w:sz w:val="22"/>
                <w:szCs w:val="20"/>
                <w:lang w:eastAsia="es-SV"/>
              </w:rPr>
            </w:pPr>
            <w:r w:rsidRPr="002B7276">
              <w:rPr>
                <w:rFonts w:eastAsia="Quattrocento Sans" w:cs="Arial"/>
                <w:iCs/>
                <w:sz w:val="22"/>
                <w:szCs w:val="20"/>
                <w:lang w:eastAsia="es-SV"/>
              </w:rPr>
              <w:t>18</w:t>
            </w:r>
          </w:p>
        </w:tc>
      </w:tr>
      <w:tr w:rsidR="002B7276" w:rsidRPr="002B7276" w14:paraId="04AFD451" w14:textId="77777777" w:rsidTr="00F94AC4">
        <w:trPr>
          <w:trHeight w:val="215"/>
          <w:jc w:val="center"/>
        </w:trPr>
        <w:tc>
          <w:tcPr>
            <w:tcW w:w="1821" w:type="dxa"/>
            <w:shd w:val="clear" w:color="auto" w:fill="auto"/>
            <w:noWrap/>
            <w:vAlign w:val="center"/>
          </w:tcPr>
          <w:p w14:paraId="6CB48900" w14:textId="77777777" w:rsidR="006A3DBC" w:rsidRPr="002B7276" w:rsidRDefault="006A3DBC" w:rsidP="007F4D40">
            <w:pPr>
              <w:spacing w:after="0" w:line="240" w:lineRule="auto"/>
              <w:ind w:firstLineChars="100" w:firstLine="220"/>
              <w:jc w:val="both"/>
              <w:rPr>
                <w:rFonts w:eastAsia="Quattrocento Sans" w:cs="Arial"/>
                <w:iCs/>
                <w:sz w:val="22"/>
                <w:szCs w:val="20"/>
                <w:lang w:eastAsia="es-SV"/>
              </w:rPr>
            </w:pPr>
            <w:r w:rsidRPr="002B7276">
              <w:rPr>
                <w:rFonts w:eastAsia="Quattrocento Sans" w:cs="Arial"/>
                <w:iCs/>
                <w:sz w:val="22"/>
                <w:szCs w:val="20"/>
                <w:lang w:eastAsia="es-SV"/>
              </w:rPr>
              <w:t>Gracias a Dios</w:t>
            </w:r>
          </w:p>
        </w:tc>
        <w:tc>
          <w:tcPr>
            <w:tcW w:w="1218" w:type="dxa"/>
            <w:shd w:val="clear" w:color="auto" w:fill="auto"/>
            <w:noWrap/>
            <w:vAlign w:val="center"/>
          </w:tcPr>
          <w:p w14:paraId="64F8A5BB" w14:textId="77777777" w:rsidR="006A3DBC" w:rsidRPr="002B7276" w:rsidRDefault="006A3DBC" w:rsidP="005F4A92">
            <w:pPr>
              <w:spacing w:after="0" w:line="240" w:lineRule="auto"/>
              <w:jc w:val="center"/>
              <w:rPr>
                <w:rFonts w:eastAsia="Quattrocento Sans" w:cs="Arial"/>
                <w:b/>
                <w:bCs/>
                <w:iCs/>
                <w:sz w:val="22"/>
                <w:szCs w:val="20"/>
                <w:lang w:eastAsia="es-SV"/>
              </w:rPr>
            </w:pPr>
            <w:r w:rsidRPr="002B7276">
              <w:rPr>
                <w:rFonts w:eastAsia="Quattrocento Sans" w:cs="Arial"/>
                <w:b/>
                <w:bCs/>
                <w:iCs/>
                <w:sz w:val="22"/>
                <w:szCs w:val="20"/>
                <w:lang w:eastAsia="es-SV"/>
              </w:rPr>
              <w:t>11</w:t>
            </w:r>
          </w:p>
        </w:tc>
        <w:tc>
          <w:tcPr>
            <w:tcW w:w="1218" w:type="dxa"/>
            <w:shd w:val="clear" w:color="auto" w:fill="auto"/>
            <w:noWrap/>
            <w:vAlign w:val="center"/>
          </w:tcPr>
          <w:p w14:paraId="31FAE3F5" w14:textId="77777777" w:rsidR="006A3DBC" w:rsidRPr="002B7276" w:rsidRDefault="006A3DBC" w:rsidP="005F4A92">
            <w:pPr>
              <w:spacing w:after="0" w:line="240" w:lineRule="auto"/>
              <w:jc w:val="center"/>
              <w:rPr>
                <w:rFonts w:eastAsia="Quattrocento Sans" w:cs="Arial"/>
                <w:b/>
                <w:bCs/>
                <w:iCs/>
                <w:sz w:val="22"/>
                <w:szCs w:val="20"/>
                <w:lang w:eastAsia="es-SV"/>
              </w:rPr>
            </w:pPr>
            <w:r w:rsidRPr="002B7276">
              <w:rPr>
                <w:rFonts w:eastAsia="Quattrocento Sans" w:cs="Arial"/>
                <w:b/>
                <w:bCs/>
                <w:iCs/>
                <w:sz w:val="22"/>
                <w:szCs w:val="20"/>
                <w:lang w:eastAsia="es-SV"/>
              </w:rPr>
              <w:t>6</w:t>
            </w:r>
          </w:p>
        </w:tc>
        <w:tc>
          <w:tcPr>
            <w:tcW w:w="1474" w:type="dxa"/>
            <w:shd w:val="clear" w:color="auto" w:fill="auto"/>
            <w:noWrap/>
            <w:vAlign w:val="center"/>
          </w:tcPr>
          <w:p w14:paraId="0107EC80" w14:textId="77777777" w:rsidR="006A3DBC" w:rsidRPr="002B7276" w:rsidRDefault="006A3DBC" w:rsidP="005F4A92">
            <w:pPr>
              <w:spacing w:after="0" w:line="240" w:lineRule="auto"/>
              <w:jc w:val="center"/>
              <w:rPr>
                <w:rFonts w:eastAsia="Quattrocento Sans" w:cs="Arial"/>
                <w:b/>
                <w:bCs/>
                <w:iCs/>
                <w:sz w:val="22"/>
                <w:szCs w:val="20"/>
                <w:lang w:eastAsia="es-SV"/>
              </w:rPr>
            </w:pPr>
            <w:r w:rsidRPr="002B7276">
              <w:rPr>
                <w:rFonts w:eastAsia="Quattrocento Sans" w:cs="Arial"/>
                <w:b/>
                <w:bCs/>
                <w:iCs/>
                <w:sz w:val="22"/>
                <w:szCs w:val="20"/>
                <w:lang w:eastAsia="es-SV"/>
              </w:rPr>
              <w:t>17</w:t>
            </w:r>
          </w:p>
        </w:tc>
        <w:tc>
          <w:tcPr>
            <w:tcW w:w="1218" w:type="dxa"/>
            <w:shd w:val="clear" w:color="auto" w:fill="auto"/>
            <w:noWrap/>
            <w:vAlign w:val="center"/>
          </w:tcPr>
          <w:p w14:paraId="28088A59" w14:textId="77777777" w:rsidR="006A3DBC" w:rsidRPr="002B7276" w:rsidRDefault="006A3DBC" w:rsidP="005F4A92">
            <w:pPr>
              <w:spacing w:after="0" w:line="240" w:lineRule="auto"/>
              <w:jc w:val="center"/>
              <w:rPr>
                <w:rFonts w:eastAsia="Quattrocento Sans" w:cs="Arial"/>
                <w:b/>
                <w:bCs/>
                <w:iCs/>
                <w:sz w:val="22"/>
                <w:szCs w:val="20"/>
                <w:lang w:eastAsia="es-SV"/>
              </w:rPr>
            </w:pPr>
            <w:r w:rsidRPr="002B7276">
              <w:rPr>
                <w:rFonts w:eastAsia="Quattrocento Sans" w:cs="Arial"/>
                <w:b/>
                <w:bCs/>
                <w:iCs/>
                <w:sz w:val="22"/>
                <w:szCs w:val="20"/>
                <w:lang w:eastAsia="es-SV"/>
              </w:rPr>
              <w:t>15</w:t>
            </w:r>
          </w:p>
        </w:tc>
        <w:tc>
          <w:tcPr>
            <w:tcW w:w="1704" w:type="dxa"/>
            <w:shd w:val="clear" w:color="auto" w:fill="auto"/>
            <w:noWrap/>
            <w:vAlign w:val="center"/>
          </w:tcPr>
          <w:p w14:paraId="6AB03360" w14:textId="77777777" w:rsidR="006A3DBC" w:rsidRPr="002B7276" w:rsidRDefault="006A3DBC" w:rsidP="005F4A92">
            <w:pPr>
              <w:spacing w:after="0" w:line="240" w:lineRule="auto"/>
              <w:jc w:val="center"/>
              <w:rPr>
                <w:rFonts w:eastAsia="Quattrocento Sans" w:cs="Arial"/>
                <w:b/>
                <w:bCs/>
                <w:iCs/>
                <w:sz w:val="22"/>
                <w:szCs w:val="20"/>
                <w:lang w:eastAsia="es-SV"/>
              </w:rPr>
            </w:pPr>
            <w:r w:rsidRPr="002B7276">
              <w:rPr>
                <w:rFonts w:eastAsia="Quattrocento Sans" w:cs="Arial"/>
                <w:b/>
                <w:bCs/>
                <w:iCs/>
                <w:sz w:val="22"/>
                <w:szCs w:val="20"/>
                <w:lang w:eastAsia="es-SV"/>
              </w:rPr>
              <w:t>23</w:t>
            </w:r>
          </w:p>
        </w:tc>
      </w:tr>
    </w:tbl>
    <w:p w14:paraId="6870C88B" w14:textId="77777777" w:rsidR="006A3DBC" w:rsidRPr="00FA4B2D" w:rsidRDefault="006A3DBC" w:rsidP="006A3DBC">
      <w:pPr>
        <w:jc w:val="both"/>
        <w:rPr>
          <w:rFonts w:cs="Arial"/>
          <w:sz w:val="20"/>
          <w:szCs w:val="20"/>
        </w:rPr>
      </w:pPr>
      <w:r w:rsidRPr="00FA4B2D">
        <w:rPr>
          <w:rFonts w:cs="Arial"/>
          <w:b/>
          <w:bCs/>
          <w:sz w:val="20"/>
          <w:szCs w:val="20"/>
        </w:rPr>
        <w:t>Fuente</w:t>
      </w:r>
      <w:r w:rsidRPr="00FA4B2D">
        <w:rPr>
          <w:rFonts w:cs="Arial"/>
          <w:sz w:val="20"/>
          <w:szCs w:val="20"/>
        </w:rPr>
        <w:t>: Elaboración propia, con base a información de ENDESA 2019, disponible en https://ine.gob.hn/v4/endesa/</w:t>
      </w:r>
    </w:p>
    <w:p w14:paraId="49CA6146" w14:textId="77777777" w:rsidR="006A3DBC" w:rsidRPr="00FA4B2D" w:rsidRDefault="006A3DBC" w:rsidP="006A3DBC">
      <w:pPr>
        <w:jc w:val="both"/>
        <w:rPr>
          <w:rFonts w:cs="Arial"/>
        </w:rPr>
      </w:pPr>
      <w:r w:rsidRPr="00FA4B2D">
        <w:rPr>
          <w:rFonts w:cs="Arial"/>
        </w:rPr>
        <w:t xml:space="preserve">De manera general, la ENDESA señala que el 35.8% de las mujeres de 15 a 49 años que experimentaron algún tipo de violencia buscaron ayuda, la mayoría de las cuales acudió principalmente a su núcleo familiar (58.1%), mientras que el 38.9% se avocó a las autoridades (Fiscalía de la Mujer, La Policía, el Juzgado, el Instituto de la Mujer, la Consejería de la Familia) y una menor proporción del 22.3%, lo hizo con la iglesia u otros sitios o personas. </w:t>
      </w:r>
    </w:p>
    <w:p w14:paraId="7402A008" w14:textId="77777777" w:rsidR="006A3DBC" w:rsidRPr="00FA4B2D" w:rsidRDefault="006A3DBC" w:rsidP="00411720">
      <w:pPr>
        <w:pStyle w:val="Prrafodelista"/>
        <w:numPr>
          <w:ilvl w:val="0"/>
          <w:numId w:val="103"/>
        </w:numPr>
        <w:rPr>
          <w:rFonts w:cs="Arial"/>
          <w:i/>
          <w:iCs/>
        </w:rPr>
      </w:pPr>
      <w:bookmarkStart w:id="736" w:name="_Toc156586923"/>
      <w:r w:rsidRPr="00FA4B2D">
        <w:rPr>
          <w:rFonts w:cs="Arial"/>
          <w:i/>
          <w:iCs/>
        </w:rPr>
        <w:t>Abuso sexual</w:t>
      </w:r>
      <w:bookmarkEnd w:id="736"/>
      <w:r w:rsidRPr="00FA4B2D">
        <w:rPr>
          <w:rFonts w:cs="Arial"/>
          <w:i/>
          <w:iCs/>
        </w:rPr>
        <w:t xml:space="preserve"> </w:t>
      </w:r>
    </w:p>
    <w:p w14:paraId="23C23870" w14:textId="77777777" w:rsidR="006A3DBC" w:rsidRPr="00FA4B2D" w:rsidRDefault="006A3DBC" w:rsidP="006A3DBC">
      <w:pPr>
        <w:jc w:val="both"/>
        <w:rPr>
          <w:rFonts w:cs="Arial"/>
        </w:rPr>
      </w:pPr>
      <w:r w:rsidRPr="00FA4B2D">
        <w:rPr>
          <w:rFonts w:cs="Arial"/>
        </w:rPr>
        <w:t>En relación con el abuso sexual, la ENDESA/MICS identifica el porcentaje de mujeres que han sido víctimas de abuso sexual antes de los 12 años y después de los 12 años. El dato a nivel nacional refleja que 2.4% de las mujeres han sido víctima de abuso antes de los 12 años, mientras que 3.7% posterior a los doce años. Al respecto de los tres departamentos de análisis. Los resultados señalan lo siguiente:</w:t>
      </w:r>
    </w:p>
    <w:p w14:paraId="3322CAB5" w14:textId="342BE1F4" w:rsidR="00F94AC4" w:rsidRDefault="00F94AC4" w:rsidP="00F94AC4">
      <w:pPr>
        <w:pStyle w:val="Descripcin"/>
        <w:keepNext/>
      </w:pPr>
      <w:bookmarkStart w:id="737" w:name="_Toc202455472"/>
      <w:r>
        <w:t xml:space="preserve">Tabla </w:t>
      </w:r>
      <w:r>
        <w:fldChar w:fldCharType="begin"/>
      </w:r>
      <w:r>
        <w:instrText xml:space="preserve"> SEQ Tabla \* ARABIC </w:instrText>
      </w:r>
      <w:r>
        <w:fldChar w:fldCharType="separate"/>
      </w:r>
      <w:r w:rsidR="000E6D86">
        <w:rPr>
          <w:noProof/>
        </w:rPr>
        <w:t>46</w:t>
      </w:r>
      <w:r>
        <w:fldChar w:fldCharType="end"/>
      </w:r>
      <w:r>
        <w:t xml:space="preserve">: </w:t>
      </w:r>
      <w:r w:rsidRPr="003C2088">
        <w:t xml:space="preserve">Registro de porcentaje de casos de abuso antes y después de los 12 </w:t>
      </w:r>
      <w:proofErr w:type="gramStart"/>
      <w:r w:rsidRPr="003C2088">
        <w:t>años de edad</w:t>
      </w:r>
      <w:bookmarkEnd w:id="737"/>
      <w:proofErr w:type="gramEnd"/>
    </w:p>
    <w:tbl>
      <w:tblPr>
        <w:tblW w:w="6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9"/>
        <w:gridCol w:w="2444"/>
        <w:gridCol w:w="2159"/>
      </w:tblGrid>
      <w:tr w:rsidR="002B7276" w:rsidRPr="002B7276" w14:paraId="7B4C1662" w14:textId="77777777" w:rsidTr="00016847">
        <w:trPr>
          <w:trHeight w:val="452"/>
          <w:jc w:val="center"/>
        </w:trPr>
        <w:tc>
          <w:tcPr>
            <w:tcW w:w="1849" w:type="dxa"/>
            <w:shd w:val="clear" w:color="auto" w:fill="5CC5DA"/>
            <w:vAlign w:val="center"/>
            <w:hideMark/>
          </w:tcPr>
          <w:p w14:paraId="14BF18A8" w14:textId="77777777" w:rsidR="006A3DBC" w:rsidRPr="002B7276" w:rsidRDefault="006A3DBC" w:rsidP="005F4A92">
            <w:pPr>
              <w:spacing w:after="0" w:line="240" w:lineRule="auto"/>
              <w:jc w:val="center"/>
              <w:rPr>
                <w:rFonts w:eastAsia="Times New Roman" w:cs="Arial"/>
                <w:b/>
                <w:bCs/>
                <w:sz w:val="22"/>
                <w:szCs w:val="20"/>
                <w:lang w:eastAsia="es-SV"/>
              </w:rPr>
            </w:pPr>
            <w:r w:rsidRPr="002B7276">
              <w:rPr>
                <w:rFonts w:eastAsia="Times New Roman" w:cs="Arial"/>
                <w:b/>
                <w:bCs/>
                <w:sz w:val="22"/>
                <w:szCs w:val="20"/>
                <w:lang w:eastAsia="es-SV"/>
              </w:rPr>
              <w:t>Departamento</w:t>
            </w:r>
          </w:p>
        </w:tc>
        <w:tc>
          <w:tcPr>
            <w:tcW w:w="2444" w:type="dxa"/>
            <w:shd w:val="clear" w:color="auto" w:fill="5CC5DA"/>
            <w:vAlign w:val="center"/>
            <w:hideMark/>
          </w:tcPr>
          <w:p w14:paraId="02219D02" w14:textId="77777777" w:rsidR="006A3DBC" w:rsidRPr="002B7276" w:rsidRDefault="006A3DBC" w:rsidP="005F4A92">
            <w:pPr>
              <w:spacing w:after="0" w:line="240" w:lineRule="auto"/>
              <w:jc w:val="center"/>
              <w:rPr>
                <w:rFonts w:eastAsia="Times New Roman" w:cs="Arial"/>
                <w:b/>
                <w:bCs/>
                <w:sz w:val="22"/>
                <w:szCs w:val="20"/>
                <w:lang w:eastAsia="es-SV"/>
              </w:rPr>
            </w:pPr>
            <w:r w:rsidRPr="002B7276">
              <w:rPr>
                <w:rFonts w:eastAsia="Times New Roman" w:cs="Arial"/>
                <w:b/>
                <w:bCs/>
                <w:sz w:val="22"/>
                <w:szCs w:val="20"/>
                <w:lang w:eastAsia="es-SV"/>
              </w:rPr>
              <w:t>Porcentaje con abuso antes de los 12 años</w:t>
            </w:r>
          </w:p>
        </w:tc>
        <w:tc>
          <w:tcPr>
            <w:tcW w:w="2159" w:type="dxa"/>
            <w:shd w:val="clear" w:color="auto" w:fill="5CC5DA"/>
          </w:tcPr>
          <w:p w14:paraId="5E90FD23" w14:textId="77777777" w:rsidR="006A3DBC" w:rsidRPr="002B7276" w:rsidRDefault="006A3DBC" w:rsidP="005F4A92">
            <w:pPr>
              <w:spacing w:after="0" w:line="240" w:lineRule="auto"/>
              <w:jc w:val="center"/>
              <w:rPr>
                <w:rFonts w:eastAsia="Times New Roman" w:cs="Arial"/>
                <w:b/>
                <w:bCs/>
                <w:sz w:val="22"/>
                <w:szCs w:val="20"/>
                <w:lang w:eastAsia="es-SV"/>
              </w:rPr>
            </w:pPr>
            <w:r w:rsidRPr="002B7276">
              <w:rPr>
                <w:rFonts w:cs="Arial"/>
                <w:b/>
                <w:bCs/>
                <w:sz w:val="22"/>
                <w:szCs w:val="20"/>
              </w:rPr>
              <w:t>Porcentaje con abuso desde los 12 años</w:t>
            </w:r>
          </w:p>
        </w:tc>
      </w:tr>
      <w:tr w:rsidR="002B7276" w:rsidRPr="002B7276" w14:paraId="3C362E80" w14:textId="77777777" w:rsidTr="005F4A92">
        <w:trPr>
          <w:trHeight w:val="197"/>
          <w:jc w:val="center"/>
        </w:trPr>
        <w:tc>
          <w:tcPr>
            <w:tcW w:w="1849" w:type="dxa"/>
            <w:shd w:val="clear" w:color="auto" w:fill="auto"/>
            <w:noWrap/>
            <w:vAlign w:val="center"/>
            <w:hideMark/>
          </w:tcPr>
          <w:p w14:paraId="3103A94F" w14:textId="77777777" w:rsidR="006A3DBC" w:rsidRPr="002B7276" w:rsidRDefault="006A3DBC" w:rsidP="005F4A92">
            <w:pPr>
              <w:spacing w:after="0" w:line="240" w:lineRule="auto"/>
              <w:ind w:firstLineChars="100" w:firstLine="220"/>
              <w:jc w:val="both"/>
              <w:rPr>
                <w:rFonts w:eastAsia="Times New Roman" w:cs="Arial"/>
                <w:sz w:val="22"/>
                <w:szCs w:val="20"/>
                <w:lang w:eastAsia="es-SV"/>
              </w:rPr>
            </w:pPr>
            <w:r w:rsidRPr="002B7276">
              <w:rPr>
                <w:rFonts w:eastAsia="Times New Roman" w:cs="Arial"/>
                <w:sz w:val="22"/>
                <w:szCs w:val="20"/>
                <w:lang w:eastAsia="es-SV"/>
              </w:rPr>
              <w:t>Olancho</w:t>
            </w:r>
          </w:p>
        </w:tc>
        <w:tc>
          <w:tcPr>
            <w:tcW w:w="2444" w:type="dxa"/>
            <w:shd w:val="clear" w:color="auto" w:fill="auto"/>
            <w:noWrap/>
            <w:vAlign w:val="center"/>
            <w:hideMark/>
          </w:tcPr>
          <w:p w14:paraId="74831157" w14:textId="77777777" w:rsidR="006A3DBC" w:rsidRPr="002B7276" w:rsidRDefault="006A3DBC" w:rsidP="00897C39">
            <w:pPr>
              <w:spacing w:after="0" w:line="240" w:lineRule="auto"/>
              <w:jc w:val="center"/>
              <w:rPr>
                <w:rFonts w:eastAsia="Times New Roman" w:cs="Arial"/>
                <w:sz w:val="22"/>
                <w:szCs w:val="20"/>
                <w:lang w:eastAsia="es-SV"/>
              </w:rPr>
            </w:pPr>
            <w:r w:rsidRPr="002B7276">
              <w:rPr>
                <w:rFonts w:eastAsia="Times New Roman" w:cs="Arial"/>
                <w:sz w:val="22"/>
                <w:szCs w:val="20"/>
                <w:lang w:eastAsia="es-SV"/>
              </w:rPr>
              <w:t>1.6</w:t>
            </w:r>
          </w:p>
        </w:tc>
        <w:tc>
          <w:tcPr>
            <w:tcW w:w="2159" w:type="dxa"/>
            <w:vAlign w:val="center"/>
          </w:tcPr>
          <w:p w14:paraId="633D280C" w14:textId="77777777" w:rsidR="006A3DBC" w:rsidRPr="002B7276" w:rsidRDefault="006A3DBC" w:rsidP="00897C39">
            <w:pPr>
              <w:spacing w:after="0" w:line="240" w:lineRule="auto"/>
              <w:jc w:val="center"/>
              <w:rPr>
                <w:rFonts w:eastAsia="Times New Roman" w:cs="Arial"/>
                <w:sz w:val="22"/>
                <w:szCs w:val="20"/>
                <w:lang w:eastAsia="es-SV"/>
              </w:rPr>
            </w:pPr>
            <w:r w:rsidRPr="002B7276">
              <w:rPr>
                <w:rFonts w:cs="Arial"/>
                <w:sz w:val="22"/>
                <w:szCs w:val="20"/>
              </w:rPr>
              <w:t>5.9</w:t>
            </w:r>
          </w:p>
        </w:tc>
      </w:tr>
      <w:tr w:rsidR="002B7276" w:rsidRPr="002B7276" w14:paraId="5789E8CF" w14:textId="77777777" w:rsidTr="005F4A92">
        <w:trPr>
          <w:trHeight w:val="197"/>
          <w:jc w:val="center"/>
        </w:trPr>
        <w:tc>
          <w:tcPr>
            <w:tcW w:w="1849" w:type="dxa"/>
            <w:shd w:val="clear" w:color="auto" w:fill="auto"/>
            <w:noWrap/>
            <w:vAlign w:val="center"/>
            <w:hideMark/>
          </w:tcPr>
          <w:p w14:paraId="05A2ABB0" w14:textId="77777777" w:rsidR="006A3DBC" w:rsidRPr="002B7276" w:rsidRDefault="006A3DBC" w:rsidP="005F4A92">
            <w:pPr>
              <w:spacing w:after="0" w:line="240" w:lineRule="auto"/>
              <w:ind w:firstLineChars="100" w:firstLine="220"/>
              <w:jc w:val="both"/>
              <w:rPr>
                <w:rFonts w:eastAsia="Times New Roman" w:cs="Arial"/>
                <w:sz w:val="22"/>
                <w:szCs w:val="20"/>
                <w:lang w:eastAsia="es-SV"/>
              </w:rPr>
            </w:pPr>
            <w:r w:rsidRPr="002B7276">
              <w:rPr>
                <w:rFonts w:eastAsia="Times New Roman" w:cs="Arial"/>
                <w:sz w:val="22"/>
                <w:szCs w:val="20"/>
                <w:lang w:eastAsia="es-SV"/>
              </w:rPr>
              <w:t>Valle</w:t>
            </w:r>
          </w:p>
        </w:tc>
        <w:tc>
          <w:tcPr>
            <w:tcW w:w="2444" w:type="dxa"/>
            <w:shd w:val="clear" w:color="auto" w:fill="auto"/>
            <w:noWrap/>
            <w:vAlign w:val="center"/>
            <w:hideMark/>
          </w:tcPr>
          <w:p w14:paraId="4CA1217B" w14:textId="77777777" w:rsidR="006A3DBC" w:rsidRPr="002B7276" w:rsidRDefault="006A3DBC" w:rsidP="00897C39">
            <w:pPr>
              <w:spacing w:after="0" w:line="240" w:lineRule="auto"/>
              <w:jc w:val="center"/>
              <w:rPr>
                <w:rFonts w:eastAsia="Times New Roman" w:cs="Arial"/>
                <w:sz w:val="22"/>
                <w:szCs w:val="20"/>
                <w:lang w:eastAsia="es-SV"/>
              </w:rPr>
            </w:pPr>
            <w:r w:rsidRPr="002B7276">
              <w:rPr>
                <w:rFonts w:eastAsia="Times New Roman" w:cs="Arial"/>
                <w:sz w:val="22"/>
                <w:szCs w:val="20"/>
                <w:lang w:eastAsia="es-SV"/>
              </w:rPr>
              <w:t>0.7</w:t>
            </w:r>
          </w:p>
        </w:tc>
        <w:tc>
          <w:tcPr>
            <w:tcW w:w="2159" w:type="dxa"/>
            <w:vAlign w:val="center"/>
          </w:tcPr>
          <w:p w14:paraId="5C8E3B68" w14:textId="77777777" w:rsidR="006A3DBC" w:rsidRPr="002B7276" w:rsidRDefault="006A3DBC" w:rsidP="00897C39">
            <w:pPr>
              <w:spacing w:after="0" w:line="240" w:lineRule="auto"/>
              <w:jc w:val="center"/>
              <w:rPr>
                <w:rFonts w:eastAsia="Times New Roman" w:cs="Arial"/>
                <w:sz w:val="22"/>
                <w:szCs w:val="20"/>
                <w:lang w:eastAsia="es-SV"/>
              </w:rPr>
            </w:pPr>
            <w:r w:rsidRPr="002B7276">
              <w:rPr>
                <w:rFonts w:cs="Arial"/>
                <w:sz w:val="22"/>
                <w:szCs w:val="20"/>
              </w:rPr>
              <w:t>2.7</w:t>
            </w:r>
          </w:p>
        </w:tc>
      </w:tr>
      <w:tr w:rsidR="002B7276" w:rsidRPr="002B7276" w14:paraId="214771B1" w14:textId="77777777" w:rsidTr="005F4A92">
        <w:trPr>
          <w:trHeight w:val="197"/>
          <w:jc w:val="center"/>
        </w:trPr>
        <w:tc>
          <w:tcPr>
            <w:tcW w:w="1849" w:type="dxa"/>
            <w:shd w:val="clear" w:color="auto" w:fill="auto"/>
            <w:noWrap/>
            <w:vAlign w:val="center"/>
            <w:hideMark/>
          </w:tcPr>
          <w:p w14:paraId="60B539D8" w14:textId="77777777" w:rsidR="006A3DBC" w:rsidRPr="002B7276" w:rsidRDefault="006A3DBC" w:rsidP="005F4A92">
            <w:pPr>
              <w:spacing w:after="0" w:line="240" w:lineRule="auto"/>
              <w:ind w:firstLineChars="100" w:firstLine="220"/>
              <w:jc w:val="both"/>
              <w:rPr>
                <w:rFonts w:eastAsia="Times New Roman" w:cs="Arial"/>
                <w:sz w:val="22"/>
                <w:szCs w:val="20"/>
                <w:lang w:eastAsia="es-SV"/>
              </w:rPr>
            </w:pPr>
            <w:r w:rsidRPr="002B7276">
              <w:rPr>
                <w:rFonts w:eastAsia="Times New Roman" w:cs="Arial"/>
                <w:sz w:val="22"/>
                <w:szCs w:val="20"/>
                <w:lang w:eastAsia="es-SV"/>
              </w:rPr>
              <w:t>Yoro</w:t>
            </w:r>
          </w:p>
        </w:tc>
        <w:tc>
          <w:tcPr>
            <w:tcW w:w="2444" w:type="dxa"/>
            <w:shd w:val="clear" w:color="auto" w:fill="auto"/>
            <w:noWrap/>
            <w:vAlign w:val="center"/>
            <w:hideMark/>
          </w:tcPr>
          <w:p w14:paraId="2378FBD9" w14:textId="77777777" w:rsidR="006A3DBC" w:rsidRPr="002B7276" w:rsidRDefault="006A3DBC" w:rsidP="00897C39">
            <w:pPr>
              <w:spacing w:after="0" w:line="240" w:lineRule="auto"/>
              <w:jc w:val="center"/>
              <w:rPr>
                <w:rFonts w:eastAsia="Times New Roman" w:cs="Arial"/>
                <w:sz w:val="22"/>
                <w:szCs w:val="20"/>
                <w:lang w:eastAsia="es-SV"/>
              </w:rPr>
            </w:pPr>
            <w:r w:rsidRPr="002B7276">
              <w:rPr>
                <w:rFonts w:eastAsia="Times New Roman" w:cs="Arial"/>
                <w:sz w:val="22"/>
                <w:szCs w:val="20"/>
                <w:lang w:eastAsia="es-SV"/>
              </w:rPr>
              <w:t>2.6</w:t>
            </w:r>
          </w:p>
        </w:tc>
        <w:tc>
          <w:tcPr>
            <w:tcW w:w="2159" w:type="dxa"/>
            <w:vAlign w:val="center"/>
          </w:tcPr>
          <w:p w14:paraId="73626847" w14:textId="77777777" w:rsidR="006A3DBC" w:rsidRPr="002B7276" w:rsidRDefault="006A3DBC" w:rsidP="00897C39">
            <w:pPr>
              <w:spacing w:after="0" w:line="240" w:lineRule="auto"/>
              <w:jc w:val="center"/>
              <w:rPr>
                <w:rFonts w:eastAsia="Times New Roman" w:cs="Arial"/>
                <w:sz w:val="22"/>
                <w:szCs w:val="20"/>
                <w:lang w:eastAsia="es-SV"/>
              </w:rPr>
            </w:pPr>
            <w:r w:rsidRPr="002B7276">
              <w:rPr>
                <w:rFonts w:cs="Arial"/>
                <w:sz w:val="22"/>
                <w:szCs w:val="20"/>
              </w:rPr>
              <w:t>3.1</w:t>
            </w:r>
          </w:p>
        </w:tc>
      </w:tr>
    </w:tbl>
    <w:p w14:paraId="4CE15D8E" w14:textId="77777777" w:rsidR="006A3DBC" w:rsidRPr="00FA4B2D" w:rsidRDefault="006A3DBC" w:rsidP="006A3DBC">
      <w:pPr>
        <w:jc w:val="both"/>
        <w:rPr>
          <w:rFonts w:cs="Arial"/>
          <w:sz w:val="20"/>
          <w:szCs w:val="20"/>
        </w:rPr>
      </w:pPr>
      <w:r w:rsidRPr="00FA4B2D">
        <w:rPr>
          <w:rFonts w:cs="Arial"/>
          <w:b/>
          <w:bCs/>
          <w:sz w:val="20"/>
          <w:szCs w:val="20"/>
        </w:rPr>
        <w:t>Fuente</w:t>
      </w:r>
      <w:r w:rsidRPr="00FA4B2D">
        <w:rPr>
          <w:rFonts w:cs="Arial"/>
          <w:sz w:val="20"/>
          <w:szCs w:val="20"/>
        </w:rPr>
        <w:t>: Elaboración propia, con base a información de ENDESA 2019, disponible en https://ine.gob.hn/v4/endesa/</w:t>
      </w:r>
    </w:p>
    <w:p w14:paraId="7CCEEAA5" w14:textId="77777777" w:rsidR="006A3DBC" w:rsidRPr="00FA4B2D" w:rsidRDefault="006A3DBC" w:rsidP="006A3DBC">
      <w:pPr>
        <w:jc w:val="both"/>
        <w:rPr>
          <w:rFonts w:cs="Arial"/>
        </w:rPr>
      </w:pPr>
      <w:r w:rsidRPr="00FA4B2D">
        <w:rPr>
          <w:rFonts w:cs="Arial"/>
        </w:rPr>
        <w:t xml:space="preserve">En el caso de las niñas identificadas en situación de abuso antes de los 12 años, pertenecen mayormente a la Etnia Maya Chortí e incluso, un 3.3% de las niñas tienen dificultades funcionales, es decir, son niñas que presentan alguna discapacidad. </w:t>
      </w:r>
    </w:p>
    <w:p w14:paraId="290CC8E2" w14:textId="77777777" w:rsidR="006A3DBC" w:rsidRPr="00FA4B2D" w:rsidRDefault="006A3DBC" w:rsidP="006A3DBC">
      <w:pPr>
        <w:jc w:val="both"/>
        <w:rPr>
          <w:rFonts w:cs="Arial"/>
        </w:rPr>
      </w:pPr>
      <w:r w:rsidRPr="00FA4B2D">
        <w:rPr>
          <w:rFonts w:cs="Arial"/>
        </w:rPr>
        <w:t xml:space="preserve">En el caso de las mujeres con porcentaje de abuso desde los 12 años, es más alto que el caso de las niñas que fueron abusadas antes de los 12 años. En cuanto a la etnia, en términos generales, estas pertenecen mayormente a población Garífuna y Misquita.  En el caso del 8.7% de las víctimas de abuso sexual, son niñas o mujeres que tienen dificultades funcionales, es decir, presentan alguna discapacidad. </w:t>
      </w:r>
    </w:p>
    <w:p w14:paraId="4B1BC835" w14:textId="582DA05B" w:rsidR="006A3DBC" w:rsidRPr="00FA4B2D" w:rsidRDefault="006A3DBC" w:rsidP="00016847">
      <w:pPr>
        <w:jc w:val="both"/>
        <w:rPr>
          <w:rFonts w:cs="Arial"/>
          <w:b/>
        </w:rPr>
      </w:pPr>
      <w:r w:rsidRPr="00FA4B2D">
        <w:rPr>
          <w:rFonts w:cs="Arial"/>
        </w:rPr>
        <w:br w:type="page"/>
      </w:r>
      <w:bookmarkStart w:id="738" w:name="_Toc65884184"/>
      <w:bookmarkStart w:id="739" w:name="_Toc67573407"/>
      <w:r w:rsidRPr="00FA4B2D">
        <w:rPr>
          <w:rFonts w:cs="Arial"/>
          <w:b/>
        </w:rPr>
        <w:lastRenderedPageBreak/>
        <w:t>Partes Interesadas</w:t>
      </w:r>
      <w:bookmarkEnd w:id="738"/>
      <w:bookmarkEnd w:id="739"/>
    </w:p>
    <w:p w14:paraId="03DC7CB0" w14:textId="77777777" w:rsidR="006A3DBC" w:rsidRPr="00FA4B2D" w:rsidRDefault="006A3DBC" w:rsidP="006A3DBC">
      <w:pPr>
        <w:spacing w:after="0" w:line="240" w:lineRule="auto"/>
        <w:ind w:left="708"/>
        <w:jc w:val="both"/>
        <w:rPr>
          <w:rFonts w:cs="Arial"/>
        </w:rPr>
      </w:pPr>
    </w:p>
    <w:p w14:paraId="3CA820D6" w14:textId="77777777" w:rsidR="006A3DBC" w:rsidRPr="00FA4B2D" w:rsidRDefault="006A3DBC" w:rsidP="006A3DBC">
      <w:pPr>
        <w:spacing w:after="0" w:line="240" w:lineRule="auto"/>
        <w:jc w:val="both"/>
        <w:rPr>
          <w:rFonts w:cs="Arial"/>
        </w:rPr>
      </w:pPr>
      <w:r w:rsidRPr="00FA4B2D">
        <w:rPr>
          <w:rFonts w:cs="Arial"/>
        </w:rPr>
        <w:t>Para efectos de identificar los actores con presencia en el área de intervención del Proyecto COMRURAL III, se identificaron diferentes grupos de Partes Interesadas (cuadro a continuación). El PPPI los describe en detalles, así como su participación en actividades del proyecto, a nivel de consulta e implementación y medidas específicas para los grupos más vulnerables.</w:t>
      </w:r>
    </w:p>
    <w:p w14:paraId="190094BA" w14:textId="77777777" w:rsidR="006A3DBC" w:rsidRPr="00FA4B2D" w:rsidRDefault="006A3DBC" w:rsidP="006A3DBC">
      <w:pPr>
        <w:spacing w:after="0" w:line="240" w:lineRule="auto"/>
        <w:jc w:val="both"/>
        <w:rPr>
          <w:rFonts w:cs="Arial"/>
        </w:rPr>
      </w:pPr>
    </w:p>
    <w:p w14:paraId="1D0421D7" w14:textId="7FF503E0" w:rsidR="00F94AC4" w:rsidRDefault="00F94AC4" w:rsidP="00F94AC4">
      <w:pPr>
        <w:pStyle w:val="Descripcin"/>
        <w:keepNext/>
      </w:pPr>
      <w:bookmarkStart w:id="740" w:name="_Toc202455473"/>
      <w:r>
        <w:t xml:space="preserve">Tabla </w:t>
      </w:r>
      <w:r>
        <w:fldChar w:fldCharType="begin"/>
      </w:r>
      <w:r>
        <w:instrText xml:space="preserve"> SEQ Tabla \* ARABIC </w:instrText>
      </w:r>
      <w:r>
        <w:fldChar w:fldCharType="separate"/>
      </w:r>
      <w:r w:rsidR="000E6D86">
        <w:rPr>
          <w:noProof/>
        </w:rPr>
        <w:t>47</w:t>
      </w:r>
      <w:r>
        <w:fldChar w:fldCharType="end"/>
      </w:r>
      <w:r>
        <w:t xml:space="preserve">: </w:t>
      </w:r>
      <w:r w:rsidRPr="00A850B7">
        <w:t>Resumen de clasificación de partes interesadas identificadas</w:t>
      </w:r>
      <w:bookmarkEnd w:id="740"/>
    </w:p>
    <w:tbl>
      <w:tblPr>
        <w:tblW w:w="9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3"/>
        <w:gridCol w:w="1858"/>
        <w:gridCol w:w="1796"/>
        <w:gridCol w:w="3095"/>
      </w:tblGrid>
      <w:tr w:rsidR="002B7276" w:rsidRPr="002B7276" w14:paraId="5323206C" w14:textId="77777777" w:rsidTr="002B7276">
        <w:trPr>
          <w:trHeight w:val="227"/>
          <w:tblHeader/>
          <w:jc w:val="center"/>
        </w:trPr>
        <w:tc>
          <w:tcPr>
            <w:tcW w:w="3203" w:type="dxa"/>
            <w:shd w:val="clear" w:color="auto" w:fill="5CC5DA"/>
            <w:vAlign w:val="center"/>
          </w:tcPr>
          <w:p w14:paraId="79089C85" w14:textId="77777777" w:rsidR="006A3DBC" w:rsidRPr="002B7276" w:rsidRDefault="006A3DBC" w:rsidP="00F94AC4">
            <w:pPr>
              <w:spacing w:after="0" w:line="240" w:lineRule="auto"/>
              <w:jc w:val="center"/>
              <w:rPr>
                <w:rFonts w:eastAsia="Times New Roman" w:cs="Arial"/>
                <w:b/>
                <w:bCs/>
                <w:sz w:val="20"/>
                <w:szCs w:val="20"/>
                <w:lang w:val="es-GT"/>
              </w:rPr>
            </w:pPr>
            <w:r w:rsidRPr="002B7276">
              <w:rPr>
                <w:rFonts w:eastAsia="Times New Roman" w:cs="Arial"/>
                <w:b/>
                <w:bCs/>
                <w:sz w:val="20"/>
                <w:szCs w:val="20"/>
                <w:lang w:val="es-GT"/>
              </w:rPr>
              <w:t>Parte Interesada</w:t>
            </w:r>
          </w:p>
        </w:tc>
        <w:tc>
          <w:tcPr>
            <w:tcW w:w="1858" w:type="dxa"/>
            <w:shd w:val="clear" w:color="auto" w:fill="5CC5DA"/>
            <w:vAlign w:val="center"/>
          </w:tcPr>
          <w:p w14:paraId="5A69963F" w14:textId="77777777" w:rsidR="006A3DBC" w:rsidRPr="002B7276" w:rsidRDefault="006A3DBC" w:rsidP="005F4A92">
            <w:pPr>
              <w:spacing w:after="0" w:line="240" w:lineRule="auto"/>
              <w:jc w:val="center"/>
              <w:rPr>
                <w:rFonts w:eastAsia="Times New Roman" w:cs="Arial"/>
                <w:b/>
                <w:bCs/>
                <w:sz w:val="20"/>
                <w:szCs w:val="20"/>
                <w:lang w:val="es-GT"/>
              </w:rPr>
            </w:pPr>
            <w:r w:rsidRPr="002B7276">
              <w:rPr>
                <w:rFonts w:eastAsia="Times New Roman" w:cs="Arial"/>
                <w:b/>
                <w:bCs/>
                <w:sz w:val="20"/>
                <w:szCs w:val="20"/>
                <w:lang w:val="es-GT"/>
              </w:rPr>
              <w:t>Partes Interesadas Afectadas</w:t>
            </w:r>
          </w:p>
        </w:tc>
        <w:tc>
          <w:tcPr>
            <w:tcW w:w="1796" w:type="dxa"/>
            <w:shd w:val="clear" w:color="auto" w:fill="5CC5DA"/>
            <w:vAlign w:val="center"/>
          </w:tcPr>
          <w:p w14:paraId="1FB5D983" w14:textId="77777777" w:rsidR="006A3DBC" w:rsidRPr="002B7276" w:rsidRDefault="006A3DBC" w:rsidP="005F4A92">
            <w:pPr>
              <w:spacing w:after="0" w:line="240" w:lineRule="auto"/>
              <w:jc w:val="center"/>
              <w:rPr>
                <w:rFonts w:eastAsia="Times New Roman" w:cs="Arial"/>
                <w:b/>
                <w:bCs/>
                <w:sz w:val="20"/>
                <w:szCs w:val="20"/>
                <w:lang w:val="es-GT"/>
              </w:rPr>
            </w:pPr>
            <w:r w:rsidRPr="002B7276">
              <w:rPr>
                <w:rFonts w:eastAsia="Times New Roman" w:cs="Arial"/>
                <w:b/>
                <w:bCs/>
                <w:sz w:val="20"/>
                <w:szCs w:val="20"/>
                <w:lang w:val="es-GT"/>
              </w:rPr>
              <w:t>Otras Partes Interesadas</w:t>
            </w:r>
          </w:p>
        </w:tc>
        <w:tc>
          <w:tcPr>
            <w:tcW w:w="3095" w:type="dxa"/>
            <w:shd w:val="clear" w:color="auto" w:fill="5CC5DA"/>
            <w:vAlign w:val="center"/>
          </w:tcPr>
          <w:p w14:paraId="1E663C47" w14:textId="77777777" w:rsidR="006A3DBC" w:rsidRPr="002B7276" w:rsidRDefault="006A3DBC" w:rsidP="005F4A92">
            <w:pPr>
              <w:spacing w:after="0" w:line="240" w:lineRule="auto"/>
              <w:jc w:val="center"/>
              <w:rPr>
                <w:rFonts w:eastAsia="Times New Roman" w:cs="Arial"/>
                <w:b/>
                <w:bCs/>
                <w:sz w:val="20"/>
                <w:szCs w:val="20"/>
                <w:lang w:val="es-GT"/>
              </w:rPr>
            </w:pPr>
            <w:r w:rsidRPr="002B7276">
              <w:rPr>
                <w:rFonts w:eastAsia="Times New Roman" w:cs="Arial"/>
                <w:b/>
                <w:bCs/>
                <w:sz w:val="20"/>
                <w:szCs w:val="20"/>
                <w:lang w:val="es-GT"/>
              </w:rPr>
              <w:t>Grupos Vulnerables (mujeres, población indígena, juventud rural, personas con discapacidad)</w:t>
            </w:r>
          </w:p>
        </w:tc>
      </w:tr>
      <w:tr w:rsidR="002B7276" w:rsidRPr="002B7276" w14:paraId="61825970" w14:textId="77777777" w:rsidTr="002B7276">
        <w:trPr>
          <w:trHeight w:val="227"/>
          <w:jc w:val="center"/>
        </w:trPr>
        <w:tc>
          <w:tcPr>
            <w:tcW w:w="3203" w:type="dxa"/>
            <w:shd w:val="clear" w:color="auto" w:fill="auto"/>
            <w:vAlign w:val="center"/>
          </w:tcPr>
          <w:p w14:paraId="059FA4A8" w14:textId="77777777" w:rsidR="006A3DBC" w:rsidRPr="002B7276" w:rsidRDefault="006A3DBC" w:rsidP="005F4A92">
            <w:pPr>
              <w:widowControl w:val="0"/>
              <w:autoSpaceDE w:val="0"/>
              <w:autoSpaceDN w:val="0"/>
              <w:adjustRightInd w:val="0"/>
              <w:spacing w:after="0" w:line="240" w:lineRule="auto"/>
              <w:jc w:val="both"/>
              <w:rPr>
                <w:rFonts w:cs="Arial"/>
                <w:sz w:val="20"/>
                <w:szCs w:val="20"/>
                <w:lang w:val="es-ES"/>
              </w:rPr>
            </w:pPr>
            <w:r w:rsidRPr="002B7276">
              <w:rPr>
                <w:rFonts w:cs="Arial"/>
                <w:sz w:val="20"/>
                <w:szCs w:val="20"/>
                <w:lang w:val="es-ES"/>
              </w:rPr>
              <w:t xml:space="preserve">Organizaciones de Productores/as Rurales (OPRs). </w:t>
            </w:r>
          </w:p>
        </w:tc>
        <w:tc>
          <w:tcPr>
            <w:tcW w:w="1858" w:type="dxa"/>
            <w:shd w:val="clear" w:color="auto" w:fill="auto"/>
            <w:vAlign w:val="center"/>
          </w:tcPr>
          <w:p w14:paraId="587C7734" w14:textId="77777777" w:rsidR="006A3DBC" w:rsidRPr="002B7276" w:rsidRDefault="006A3DBC" w:rsidP="005F4A92">
            <w:pPr>
              <w:spacing w:after="0" w:line="240" w:lineRule="auto"/>
              <w:jc w:val="center"/>
              <w:rPr>
                <w:rFonts w:eastAsia="Times New Roman" w:cs="Arial"/>
                <w:sz w:val="20"/>
                <w:szCs w:val="20"/>
                <w:lang w:val="es-GT"/>
              </w:rPr>
            </w:pPr>
            <w:r w:rsidRPr="002B7276">
              <w:rPr>
                <w:rFonts w:eastAsia="Times New Roman" w:cs="Arial"/>
                <w:sz w:val="20"/>
                <w:szCs w:val="20"/>
                <w:lang w:val="es-GT"/>
              </w:rPr>
              <w:t>X</w:t>
            </w:r>
          </w:p>
        </w:tc>
        <w:tc>
          <w:tcPr>
            <w:tcW w:w="1796" w:type="dxa"/>
            <w:shd w:val="clear" w:color="auto" w:fill="auto"/>
            <w:vAlign w:val="center"/>
          </w:tcPr>
          <w:p w14:paraId="39F5EC3E" w14:textId="77777777" w:rsidR="006A3DBC" w:rsidRPr="002B7276" w:rsidRDefault="006A3DBC" w:rsidP="005F4A92">
            <w:pPr>
              <w:spacing w:after="0" w:line="240" w:lineRule="auto"/>
              <w:jc w:val="center"/>
              <w:rPr>
                <w:rFonts w:eastAsia="Times New Roman" w:cs="Arial"/>
                <w:sz w:val="20"/>
                <w:szCs w:val="20"/>
                <w:lang w:val="es-GT"/>
              </w:rPr>
            </w:pPr>
            <w:r w:rsidRPr="002B7276">
              <w:rPr>
                <w:rFonts w:eastAsia="Times New Roman" w:cs="Arial"/>
                <w:sz w:val="20"/>
                <w:szCs w:val="20"/>
                <w:lang w:val="es-GT"/>
              </w:rPr>
              <w:t>-</w:t>
            </w:r>
          </w:p>
        </w:tc>
        <w:tc>
          <w:tcPr>
            <w:tcW w:w="3095" w:type="dxa"/>
            <w:shd w:val="clear" w:color="auto" w:fill="auto"/>
            <w:vAlign w:val="center"/>
          </w:tcPr>
          <w:p w14:paraId="2A74E502" w14:textId="77777777" w:rsidR="006A3DBC" w:rsidRPr="002B7276" w:rsidRDefault="006A3DBC" w:rsidP="005F4A92">
            <w:pPr>
              <w:spacing w:after="0" w:line="240" w:lineRule="auto"/>
              <w:jc w:val="center"/>
              <w:rPr>
                <w:rFonts w:eastAsia="Times New Roman" w:cs="Arial"/>
                <w:sz w:val="20"/>
                <w:szCs w:val="20"/>
                <w:lang w:val="es-GT"/>
              </w:rPr>
            </w:pPr>
            <w:r w:rsidRPr="002B7276">
              <w:rPr>
                <w:rFonts w:eastAsia="Times New Roman" w:cs="Arial"/>
                <w:sz w:val="20"/>
                <w:szCs w:val="20"/>
                <w:lang w:val="es-GT"/>
              </w:rPr>
              <w:t>X</w:t>
            </w:r>
          </w:p>
        </w:tc>
      </w:tr>
      <w:tr w:rsidR="002B7276" w:rsidRPr="002B7276" w14:paraId="42E00AE7" w14:textId="77777777" w:rsidTr="002B7276">
        <w:trPr>
          <w:trHeight w:val="227"/>
          <w:jc w:val="center"/>
        </w:trPr>
        <w:tc>
          <w:tcPr>
            <w:tcW w:w="3203" w:type="dxa"/>
            <w:shd w:val="clear" w:color="auto" w:fill="auto"/>
            <w:vAlign w:val="center"/>
          </w:tcPr>
          <w:p w14:paraId="60AE041D" w14:textId="77777777" w:rsidR="006A3DBC" w:rsidRPr="002B7276" w:rsidRDefault="006A3DBC" w:rsidP="005F4A92">
            <w:pPr>
              <w:widowControl w:val="0"/>
              <w:autoSpaceDE w:val="0"/>
              <w:autoSpaceDN w:val="0"/>
              <w:adjustRightInd w:val="0"/>
              <w:spacing w:after="0" w:line="240" w:lineRule="auto"/>
              <w:jc w:val="both"/>
              <w:rPr>
                <w:rFonts w:cs="Arial"/>
                <w:bCs/>
                <w:sz w:val="20"/>
                <w:szCs w:val="20"/>
                <w:lang w:val="es-ES_tradnl"/>
              </w:rPr>
            </w:pPr>
            <w:r w:rsidRPr="002B7276">
              <w:rPr>
                <w:rFonts w:cs="Arial"/>
                <w:bCs/>
                <w:sz w:val="20"/>
                <w:szCs w:val="20"/>
                <w:lang w:val="es-ES_tradnl"/>
              </w:rPr>
              <w:t xml:space="preserve">Aliados financieros del Sistema financiero y Cooperativas (regulados por la Comisión Nacional de Banca y Seguros). </w:t>
            </w:r>
          </w:p>
        </w:tc>
        <w:tc>
          <w:tcPr>
            <w:tcW w:w="1858" w:type="dxa"/>
            <w:shd w:val="clear" w:color="auto" w:fill="auto"/>
            <w:vAlign w:val="center"/>
          </w:tcPr>
          <w:p w14:paraId="0EE0B1FE" w14:textId="77777777" w:rsidR="006A3DBC" w:rsidRPr="002B7276" w:rsidRDefault="006A3DBC" w:rsidP="005F4A92">
            <w:pPr>
              <w:spacing w:after="0" w:line="240" w:lineRule="auto"/>
              <w:jc w:val="center"/>
              <w:rPr>
                <w:rFonts w:eastAsia="Times New Roman" w:cs="Arial"/>
                <w:sz w:val="20"/>
                <w:szCs w:val="20"/>
                <w:lang w:val="es-GT"/>
              </w:rPr>
            </w:pPr>
            <w:r w:rsidRPr="002B7276">
              <w:rPr>
                <w:rFonts w:eastAsia="Times New Roman" w:cs="Arial"/>
                <w:sz w:val="20"/>
                <w:szCs w:val="20"/>
                <w:lang w:val="es-GT"/>
              </w:rPr>
              <w:t>-</w:t>
            </w:r>
          </w:p>
        </w:tc>
        <w:tc>
          <w:tcPr>
            <w:tcW w:w="1796" w:type="dxa"/>
            <w:shd w:val="clear" w:color="auto" w:fill="auto"/>
            <w:vAlign w:val="center"/>
          </w:tcPr>
          <w:p w14:paraId="5D190E80" w14:textId="77777777" w:rsidR="006A3DBC" w:rsidRPr="002B7276" w:rsidRDefault="006A3DBC" w:rsidP="005F4A92">
            <w:pPr>
              <w:spacing w:after="0" w:line="240" w:lineRule="auto"/>
              <w:jc w:val="center"/>
              <w:rPr>
                <w:rFonts w:eastAsia="Times New Roman" w:cs="Arial"/>
                <w:sz w:val="20"/>
                <w:szCs w:val="20"/>
                <w:lang w:val="es-GT"/>
              </w:rPr>
            </w:pPr>
            <w:r w:rsidRPr="002B7276">
              <w:rPr>
                <w:rFonts w:eastAsia="Times New Roman" w:cs="Arial"/>
                <w:sz w:val="20"/>
                <w:szCs w:val="20"/>
                <w:lang w:val="es-GT"/>
              </w:rPr>
              <w:t>X</w:t>
            </w:r>
          </w:p>
        </w:tc>
        <w:tc>
          <w:tcPr>
            <w:tcW w:w="3095" w:type="dxa"/>
            <w:shd w:val="clear" w:color="auto" w:fill="auto"/>
            <w:vAlign w:val="center"/>
          </w:tcPr>
          <w:p w14:paraId="254E2B4E" w14:textId="77777777" w:rsidR="006A3DBC" w:rsidRPr="002B7276" w:rsidRDefault="006A3DBC" w:rsidP="005F4A92">
            <w:pPr>
              <w:spacing w:after="0" w:line="240" w:lineRule="auto"/>
              <w:jc w:val="center"/>
              <w:rPr>
                <w:rFonts w:eastAsia="Times New Roman" w:cs="Arial"/>
                <w:sz w:val="20"/>
                <w:szCs w:val="20"/>
                <w:lang w:val="es-GT"/>
              </w:rPr>
            </w:pPr>
            <w:r w:rsidRPr="002B7276">
              <w:rPr>
                <w:rFonts w:eastAsia="Times New Roman" w:cs="Arial"/>
                <w:sz w:val="20"/>
                <w:szCs w:val="20"/>
                <w:lang w:val="es-GT"/>
              </w:rPr>
              <w:t>-</w:t>
            </w:r>
          </w:p>
        </w:tc>
      </w:tr>
      <w:tr w:rsidR="002B7276" w:rsidRPr="002B7276" w14:paraId="0D538977" w14:textId="77777777" w:rsidTr="002B7276">
        <w:trPr>
          <w:trHeight w:val="227"/>
          <w:jc w:val="center"/>
        </w:trPr>
        <w:tc>
          <w:tcPr>
            <w:tcW w:w="3203" w:type="dxa"/>
            <w:shd w:val="clear" w:color="auto" w:fill="auto"/>
            <w:vAlign w:val="center"/>
          </w:tcPr>
          <w:p w14:paraId="280F2945" w14:textId="77777777" w:rsidR="006A3DBC" w:rsidRPr="002B7276" w:rsidRDefault="006A3DBC" w:rsidP="005F4A92">
            <w:pPr>
              <w:widowControl w:val="0"/>
              <w:autoSpaceDE w:val="0"/>
              <w:autoSpaceDN w:val="0"/>
              <w:adjustRightInd w:val="0"/>
              <w:spacing w:after="0" w:line="240" w:lineRule="auto"/>
              <w:jc w:val="both"/>
              <w:rPr>
                <w:rFonts w:cs="Arial"/>
                <w:bCs/>
                <w:sz w:val="20"/>
                <w:szCs w:val="20"/>
                <w:lang w:val="es-ES_tradnl"/>
              </w:rPr>
            </w:pPr>
            <w:r w:rsidRPr="002B7276">
              <w:rPr>
                <w:rFonts w:cs="Arial"/>
                <w:bCs/>
                <w:sz w:val="20"/>
                <w:szCs w:val="20"/>
                <w:lang w:val="es-ES_tradnl"/>
              </w:rPr>
              <w:t xml:space="preserve">Aliados comerciales. </w:t>
            </w:r>
          </w:p>
        </w:tc>
        <w:tc>
          <w:tcPr>
            <w:tcW w:w="1858" w:type="dxa"/>
            <w:shd w:val="clear" w:color="auto" w:fill="auto"/>
            <w:vAlign w:val="center"/>
          </w:tcPr>
          <w:p w14:paraId="68AEFE60" w14:textId="77777777" w:rsidR="006A3DBC" w:rsidRPr="002B7276" w:rsidRDefault="006A3DBC" w:rsidP="005F4A92">
            <w:pPr>
              <w:spacing w:after="0" w:line="240" w:lineRule="auto"/>
              <w:jc w:val="center"/>
              <w:rPr>
                <w:rFonts w:eastAsia="Times New Roman" w:cs="Arial"/>
                <w:sz w:val="20"/>
                <w:szCs w:val="20"/>
                <w:lang w:val="es-GT"/>
              </w:rPr>
            </w:pPr>
            <w:r w:rsidRPr="002B7276">
              <w:rPr>
                <w:rFonts w:eastAsia="Times New Roman" w:cs="Arial"/>
                <w:sz w:val="20"/>
                <w:szCs w:val="20"/>
                <w:lang w:val="es-GT"/>
              </w:rPr>
              <w:t>-</w:t>
            </w:r>
          </w:p>
        </w:tc>
        <w:tc>
          <w:tcPr>
            <w:tcW w:w="1796" w:type="dxa"/>
            <w:shd w:val="clear" w:color="auto" w:fill="auto"/>
            <w:vAlign w:val="center"/>
          </w:tcPr>
          <w:p w14:paraId="1C619F90" w14:textId="77777777" w:rsidR="006A3DBC" w:rsidRPr="002B7276" w:rsidRDefault="006A3DBC" w:rsidP="005F4A92">
            <w:pPr>
              <w:spacing w:after="0" w:line="240" w:lineRule="auto"/>
              <w:jc w:val="center"/>
              <w:rPr>
                <w:rFonts w:eastAsia="Times New Roman" w:cs="Arial"/>
                <w:sz w:val="20"/>
                <w:szCs w:val="20"/>
                <w:lang w:val="es-GT"/>
              </w:rPr>
            </w:pPr>
            <w:r w:rsidRPr="002B7276">
              <w:rPr>
                <w:rFonts w:eastAsia="Times New Roman" w:cs="Arial"/>
                <w:sz w:val="20"/>
                <w:szCs w:val="20"/>
                <w:lang w:val="es-GT"/>
              </w:rPr>
              <w:t>X</w:t>
            </w:r>
          </w:p>
        </w:tc>
        <w:tc>
          <w:tcPr>
            <w:tcW w:w="3095" w:type="dxa"/>
            <w:shd w:val="clear" w:color="auto" w:fill="auto"/>
            <w:vAlign w:val="center"/>
          </w:tcPr>
          <w:p w14:paraId="6833265C" w14:textId="77777777" w:rsidR="006A3DBC" w:rsidRPr="002B7276" w:rsidRDefault="006A3DBC" w:rsidP="005F4A92">
            <w:pPr>
              <w:spacing w:after="0" w:line="240" w:lineRule="auto"/>
              <w:jc w:val="center"/>
              <w:rPr>
                <w:rFonts w:eastAsia="Times New Roman" w:cs="Arial"/>
                <w:sz w:val="20"/>
                <w:szCs w:val="20"/>
                <w:lang w:val="es-GT"/>
              </w:rPr>
            </w:pPr>
            <w:r w:rsidRPr="002B7276">
              <w:rPr>
                <w:rFonts w:eastAsia="Times New Roman" w:cs="Arial"/>
                <w:sz w:val="20"/>
                <w:szCs w:val="20"/>
                <w:lang w:val="es-GT"/>
              </w:rPr>
              <w:t>-</w:t>
            </w:r>
          </w:p>
        </w:tc>
      </w:tr>
      <w:tr w:rsidR="002B7276" w:rsidRPr="002B7276" w14:paraId="52596EF6" w14:textId="77777777" w:rsidTr="002B7276">
        <w:trPr>
          <w:trHeight w:val="227"/>
          <w:jc w:val="center"/>
        </w:trPr>
        <w:tc>
          <w:tcPr>
            <w:tcW w:w="3203" w:type="dxa"/>
            <w:shd w:val="clear" w:color="auto" w:fill="auto"/>
            <w:vAlign w:val="center"/>
          </w:tcPr>
          <w:p w14:paraId="58CD5F3D" w14:textId="47F378BE" w:rsidR="006A3DBC" w:rsidRPr="002B7276" w:rsidRDefault="006A3DBC" w:rsidP="005F4A92">
            <w:pPr>
              <w:widowControl w:val="0"/>
              <w:autoSpaceDE w:val="0"/>
              <w:autoSpaceDN w:val="0"/>
              <w:adjustRightInd w:val="0"/>
              <w:spacing w:after="0" w:line="240" w:lineRule="auto"/>
              <w:jc w:val="both"/>
              <w:rPr>
                <w:rFonts w:cs="Arial"/>
                <w:sz w:val="20"/>
                <w:szCs w:val="20"/>
                <w:lang w:val="es-ES"/>
              </w:rPr>
            </w:pPr>
            <w:r w:rsidRPr="002B7276">
              <w:rPr>
                <w:rFonts w:cs="Arial"/>
                <w:sz w:val="20"/>
                <w:szCs w:val="20"/>
                <w:lang w:val="es-ES"/>
              </w:rPr>
              <w:t>Proveedores de servicios de desarrollo empresarial (PSDE</w:t>
            </w:r>
            <w:r w:rsidR="003D5E43" w:rsidRPr="002B7276">
              <w:rPr>
                <w:rFonts w:cs="Arial"/>
                <w:sz w:val="20"/>
                <w:szCs w:val="20"/>
                <w:lang w:val="es-ES"/>
              </w:rPr>
              <w:t>s</w:t>
            </w:r>
            <w:r w:rsidRPr="002B7276">
              <w:rPr>
                <w:rFonts w:cs="Arial"/>
                <w:sz w:val="20"/>
                <w:szCs w:val="20"/>
                <w:lang w:val="es-ES"/>
              </w:rPr>
              <w:t xml:space="preserve">). </w:t>
            </w:r>
          </w:p>
        </w:tc>
        <w:tc>
          <w:tcPr>
            <w:tcW w:w="1858" w:type="dxa"/>
            <w:shd w:val="clear" w:color="auto" w:fill="auto"/>
            <w:vAlign w:val="center"/>
          </w:tcPr>
          <w:p w14:paraId="59CB8C2A" w14:textId="77777777" w:rsidR="006A3DBC" w:rsidRPr="002B7276" w:rsidRDefault="006A3DBC" w:rsidP="005F4A92">
            <w:pPr>
              <w:spacing w:after="0" w:line="240" w:lineRule="auto"/>
              <w:jc w:val="center"/>
              <w:rPr>
                <w:rFonts w:eastAsia="Times New Roman" w:cs="Arial"/>
                <w:sz w:val="20"/>
                <w:szCs w:val="20"/>
                <w:lang w:val="es-GT"/>
              </w:rPr>
            </w:pPr>
            <w:r w:rsidRPr="002B7276">
              <w:rPr>
                <w:rFonts w:eastAsia="Times New Roman" w:cs="Arial"/>
                <w:sz w:val="20"/>
                <w:szCs w:val="20"/>
                <w:lang w:val="es-GT"/>
              </w:rPr>
              <w:t>-</w:t>
            </w:r>
          </w:p>
        </w:tc>
        <w:tc>
          <w:tcPr>
            <w:tcW w:w="1796" w:type="dxa"/>
            <w:shd w:val="clear" w:color="auto" w:fill="auto"/>
            <w:vAlign w:val="center"/>
          </w:tcPr>
          <w:p w14:paraId="70CCFB66" w14:textId="77777777" w:rsidR="006A3DBC" w:rsidRPr="002B7276" w:rsidRDefault="006A3DBC" w:rsidP="005F4A92">
            <w:pPr>
              <w:spacing w:after="0" w:line="240" w:lineRule="auto"/>
              <w:jc w:val="center"/>
              <w:rPr>
                <w:rFonts w:eastAsia="Times New Roman" w:cs="Arial"/>
                <w:sz w:val="20"/>
                <w:szCs w:val="20"/>
                <w:lang w:val="es-GT"/>
              </w:rPr>
            </w:pPr>
            <w:r w:rsidRPr="002B7276">
              <w:rPr>
                <w:rFonts w:eastAsia="Times New Roman" w:cs="Arial"/>
                <w:sz w:val="20"/>
                <w:szCs w:val="20"/>
                <w:lang w:val="es-GT"/>
              </w:rPr>
              <w:t>X</w:t>
            </w:r>
          </w:p>
        </w:tc>
        <w:tc>
          <w:tcPr>
            <w:tcW w:w="3095" w:type="dxa"/>
            <w:shd w:val="clear" w:color="auto" w:fill="auto"/>
            <w:vAlign w:val="center"/>
          </w:tcPr>
          <w:p w14:paraId="02D57796" w14:textId="77777777" w:rsidR="006A3DBC" w:rsidRPr="002B7276" w:rsidRDefault="006A3DBC" w:rsidP="005F4A92">
            <w:pPr>
              <w:spacing w:after="0" w:line="240" w:lineRule="auto"/>
              <w:jc w:val="center"/>
              <w:rPr>
                <w:rFonts w:eastAsia="Times New Roman" w:cs="Arial"/>
                <w:sz w:val="20"/>
                <w:szCs w:val="20"/>
                <w:lang w:val="es-GT"/>
              </w:rPr>
            </w:pPr>
            <w:r w:rsidRPr="002B7276">
              <w:rPr>
                <w:rFonts w:eastAsia="Times New Roman" w:cs="Arial"/>
                <w:sz w:val="20"/>
                <w:szCs w:val="20"/>
                <w:lang w:val="es-GT"/>
              </w:rPr>
              <w:t>-</w:t>
            </w:r>
          </w:p>
        </w:tc>
      </w:tr>
      <w:tr w:rsidR="002B7276" w:rsidRPr="002B7276" w14:paraId="28415984" w14:textId="77777777" w:rsidTr="002B7276">
        <w:trPr>
          <w:trHeight w:val="227"/>
          <w:jc w:val="center"/>
        </w:trPr>
        <w:tc>
          <w:tcPr>
            <w:tcW w:w="3203" w:type="dxa"/>
            <w:shd w:val="clear" w:color="auto" w:fill="auto"/>
            <w:vAlign w:val="center"/>
          </w:tcPr>
          <w:p w14:paraId="4C02B96C" w14:textId="77777777" w:rsidR="006A3DBC" w:rsidRPr="002B7276" w:rsidRDefault="006A3DBC" w:rsidP="005F4A92">
            <w:pPr>
              <w:widowControl w:val="0"/>
              <w:autoSpaceDE w:val="0"/>
              <w:autoSpaceDN w:val="0"/>
              <w:adjustRightInd w:val="0"/>
              <w:spacing w:after="0" w:line="240" w:lineRule="auto"/>
              <w:jc w:val="both"/>
              <w:rPr>
                <w:rFonts w:cs="Arial"/>
                <w:bCs/>
                <w:sz w:val="20"/>
                <w:szCs w:val="20"/>
                <w:lang w:val="es-ES_tradnl"/>
              </w:rPr>
            </w:pPr>
            <w:r w:rsidRPr="002B7276">
              <w:rPr>
                <w:rFonts w:cs="Arial"/>
                <w:bCs/>
                <w:sz w:val="20"/>
                <w:szCs w:val="20"/>
                <w:lang w:val="es-ES_tradnl"/>
              </w:rPr>
              <w:t xml:space="preserve">Proveedores de servicios de desarrollo productivo. </w:t>
            </w:r>
          </w:p>
        </w:tc>
        <w:tc>
          <w:tcPr>
            <w:tcW w:w="1858" w:type="dxa"/>
            <w:shd w:val="clear" w:color="auto" w:fill="auto"/>
            <w:vAlign w:val="center"/>
          </w:tcPr>
          <w:p w14:paraId="1F903DDA" w14:textId="77777777" w:rsidR="006A3DBC" w:rsidRPr="002B7276" w:rsidRDefault="006A3DBC" w:rsidP="005F4A92">
            <w:pPr>
              <w:spacing w:after="0" w:line="240" w:lineRule="auto"/>
              <w:jc w:val="center"/>
              <w:rPr>
                <w:rFonts w:eastAsia="Times New Roman" w:cs="Arial"/>
                <w:sz w:val="20"/>
                <w:szCs w:val="20"/>
                <w:lang w:val="es-GT"/>
              </w:rPr>
            </w:pPr>
            <w:r w:rsidRPr="002B7276">
              <w:rPr>
                <w:rFonts w:eastAsia="Times New Roman" w:cs="Arial"/>
                <w:sz w:val="20"/>
                <w:szCs w:val="20"/>
                <w:lang w:val="es-GT"/>
              </w:rPr>
              <w:t>-</w:t>
            </w:r>
          </w:p>
        </w:tc>
        <w:tc>
          <w:tcPr>
            <w:tcW w:w="1796" w:type="dxa"/>
            <w:shd w:val="clear" w:color="auto" w:fill="auto"/>
            <w:vAlign w:val="center"/>
          </w:tcPr>
          <w:p w14:paraId="7BA190F5" w14:textId="77777777" w:rsidR="006A3DBC" w:rsidRPr="002B7276" w:rsidRDefault="006A3DBC" w:rsidP="005F4A92">
            <w:pPr>
              <w:spacing w:after="0" w:line="240" w:lineRule="auto"/>
              <w:jc w:val="center"/>
              <w:rPr>
                <w:rFonts w:eastAsia="Times New Roman" w:cs="Arial"/>
                <w:sz w:val="20"/>
                <w:szCs w:val="20"/>
                <w:lang w:val="es-GT"/>
              </w:rPr>
            </w:pPr>
            <w:r w:rsidRPr="002B7276">
              <w:rPr>
                <w:rFonts w:eastAsia="Times New Roman" w:cs="Arial"/>
                <w:sz w:val="20"/>
                <w:szCs w:val="20"/>
                <w:lang w:val="es-GT"/>
              </w:rPr>
              <w:t>X</w:t>
            </w:r>
          </w:p>
        </w:tc>
        <w:tc>
          <w:tcPr>
            <w:tcW w:w="3095" w:type="dxa"/>
            <w:shd w:val="clear" w:color="auto" w:fill="auto"/>
            <w:vAlign w:val="center"/>
          </w:tcPr>
          <w:p w14:paraId="00431320" w14:textId="77777777" w:rsidR="006A3DBC" w:rsidRPr="002B7276" w:rsidRDefault="006A3DBC" w:rsidP="005F4A92">
            <w:pPr>
              <w:spacing w:after="0" w:line="240" w:lineRule="auto"/>
              <w:jc w:val="center"/>
              <w:rPr>
                <w:rFonts w:eastAsia="Times New Roman" w:cs="Arial"/>
                <w:sz w:val="20"/>
                <w:szCs w:val="20"/>
                <w:lang w:val="es-GT"/>
              </w:rPr>
            </w:pPr>
            <w:r w:rsidRPr="002B7276">
              <w:rPr>
                <w:rFonts w:eastAsia="Times New Roman" w:cs="Arial"/>
                <w:sz w:val="20"/>
                <w:szCs w:val="20"/>
                <w:lang w:val="es-GT"/>
              </w:rPr>
              <w:t>-</w:t>
            </w:r>
          </w:p>
        </w:tc>
      </w:tr>
      <w:tr w:rsidR="002B7276" w:rsidRPr="002B7276" w14:paraId="0CF53B9E" w14:textId="77777777" w:rsidTr="002B7276">
        <w:trPr>
          <w:trHeight w:val="227"/>
          <w:jc w:val="center"/>
        </w:trPr>
        <w:tc>
          <w:tcPr>
            <w:tcW w:w="3203" w:type="dxa"/>
            <w:shd w:val="clear" w:color="auto" w:fill="auto"/>
            <w:vAlign w:val="center"/>
          </w:tcPr>
          <w:p w14:paraId="6E13DAD8" w14:textId="77777777" w:rsidR="006A3DBC" w:rsidRPr="002B7276" w:rsidRDefault="006A3DBC" w:rsidP="005F4A92">
            <w:pPr>
              <w:widowControl w:val="0"/>
              <w:autoSpaceDE w:val="0"/>
              <w:autoSpaceDN w:val="0"/>
              <w:adjustRightInd w:val="0"/>
              <w:spacing w:after="0" w:line="240" w:lineRule="auto"/>
              <w:jc w:val="both"/>
              <w:rPr>
                <w:rFonts w:cs="Arial"/>
                <w:bCs/>
                <w:sz w:val="20"/>
                <w:szCs w:val="20"/>
                <w:lang w:val="es-ES_tradnl"/>
              </w:rPr>
            </w:pPr>
            <w:r w:rsidRPr="002B7276">
              <w:rPr>
                <w:rFonts w:cs="Arial"/>
                <w:bCs/>
                <w:sz w:val="20"/>
                <w:szCs w:val="20"/>
                <w:lang w:val="es-ES_tradnl"/>
              </w:rPr>
              <w:t xml:space="preserve">Organizaciones gubernamentales regulatorias y de formación agrícola. </w:t>
            </w:r>
          </w:p>
        </w:tc>
        <w:tc>
          <w:tcPr>
            <w:tcW w:w="1858" w:type="dxa"/>
            <w:shd w:val="clear" w:color="auto" w:fill="auto"/>
            <w:vAlign w:val="center"/>
          </w:tcPr>
          <w:p w14:paraId="0ABF7A0C" w14:textId="77777777" w:rsidR="006A3DBC" w:rsidRPr="002B7276" w:rsidRDefault="006A3DBC" w:rsidP="005F4A92">
            <w:pPr>
              <w:spacing w:after="0" w:line="240" w:lineRule="auto"/>
              <w:jc w:val="center"/>
              <w:rPr>
                <w:rFonts w:eastAsia="Times New Roman" w:cs="Arial"/>
                <w:sz w:val="20"/>
                <w:szCs w:val="20"/>
                <w:lang w:val="es-GT"/>
              </w:rPr>
            </w:pPr>
            <w:r w:rsidRPr="002B7276">
              <w:rPr>
                <w:rFonts w:eastAsia="Times New Roman" w:cs="Arial"/>
                <w:sz w:val="20"/>
                <w:szCs w:val="20"/>
                <w:lang w:val="es-GT"/>
              </w:rPr>
              <w:t>X</w:t>
            </w:r>
          </w:p>
        </w:tc>
        <w:tc>
          <w:tcPr>
            <w:tcW w:w="1796" w:type="dxa"/>
            <w:shd w:val="clear" w:color="auto" w:fill="auto"/>
            <w:vAlign w:val="center"/>
          </w:tcPr>
          <w:p w14:paraId="6EB9CF49" w14:textId="77777777" w:rsidR="006A3DBC" w:rsidRPr="002B7276" w:rsidRDefault="006A3DBC" w:rsidP="005F4A92">
            <w:pPr>
              <w:spacing w:after="0" w:line="240" w:lineRule="auto"/>
              <w:jc w:val="center"/>
              <w:rPr>
                <w:rFonts w:eastAsia="Times New Roman" w:cs="Arial"/>
                <w:sz w:val="20"/>
                <w:szCs w:val="20"/>
                <w:lang w:val="es-GT"/>
              </w:rPr>
            </w:pPr>
            <w:r w:rsidRPr="002B7276">
              <w:rPr>
                <w:rFonts w:eastAsia="Times New Roman" w:cs="Arial"/>
                <w:sz w:val="20"/>
                <w:szCs w:val="20"/>
                <w:lang w:val="es-GT"/>
              </w:rPr>
              <w:t>-</w:t>
            </w:r>
          </w:p>
        </w:tc>
        <w:tc>
          <w:tcPr>
            <w:tcW w:w="3095" w:type="dxa"/>
            <w:shd w:val="clear" w:color="auto" w:fill="auto"/>
            <w:vAlign w:val="center"/>
          </w:tcPr>
          <w:p w14:paraId="695214CF" w14:textId="77777777" w:rsidR="006A3DBC" w:rsidRPr="002B7276" w:rsidRDefault="006A3DBC" w:rsidP="005F4A92">
            <w:pPr>
              <w:spacing w:after="0" w:line="240" w:lineRule="auto"/>
              <w:jc w:val="center"/>
              <w:rPr>
                <w:rFonts w:eastAsia="Times New Roman" w:cs="Arial"/>
                <w:sz w:val="20"/>
                <w:szCs w:val="20"/>
                <w:lang w:val="es-GT"/>
              </w:rPr>
            </w:pPr>
            <w:r w:rsidRPr="002B7276">
              <w:rPr>
                <w:rFonts w:eastAsia="Times New Roman" w:cs="Arial"/>
                <w:sz w:val="20"/>
                <w:szCs w:val="20"/>
                <w:lang w:val="es-GT"/>
              </w:rPr>
              <w:t>-</w:t>
            </w:r>
          </w:p>
        </w:tc>
      </w:tr>
      <w:tr w:rsidR="002B7276" w:rsidRPr="002B7276" w14:paraId="7FDA7692" w14:textId="77777777" w:rsidTr="002B7276">
        <w:trPr>
          <w:trHeight w:val="227"/>
          <w:jc w:val="center"/>
        </w:trPr>
        <w:tc>
          <w:tcPr>
            <w:tcW w:w="3203" w:type="dxa"/>
            <w:shd w:val="clear" w:color="auto" w:fill="auto"/>
            <w:vAlign w:val="center"/>
          </w:tcPr>
          <w:p w14:paraId="36FCDDE3" w14:textId="77777777" w:rsidR="006A3DBC" w:rsidRPr="002B7276" w:rsidRDefault="006A3DBC" w:rsidP="005F4A92">
            <w:pPr>
              <w:widowControl w:val="0"/>
              <w:autoSpaceDE w:val="0"/>
              <w:autoSpaceDN w:val="0"/>
              <w:adjustRightInd w:val="0"/>
              <w:spacing w:after="0" w:line="240" w:lineRule="auto"/>
              <w:jc w:val="both"/>
              <w:rPr>
                <w:rFonts w:eastAsia="Times New Roman" w:cs="Arial"/>
                <w:b/>
                <w:bCs/>
                <w:sz w:val="20"/>
                <w:szCs w:val="20"/>
                <w:lang w:val="es-GT"/>
              </w:rPr>
            </w:pPr>
            <w:r w:rsidRPr="002B7276">
              <w:rPr>
                <w:rFonts w:cs="Arial"/>
                <w:bCs/>
                <w:sz w:val="20"/>
                <w:szCs w:val="20"/>
                <w:lang w:val="es-ES_tradnl"/>
              </w:rPr>
              <w:t>Organizaciones de Pueblos Indígenas y Afrodescendientes.</w:t>
            </w:r>
          </w:p>
        </w:tc>
        <w:tc>
          <w:tcPr>
            <w:tcW w:w="1858" w:type="dxa"/>
            <w:shd w:val="clear" w:color="auto" w:fill="auto"/>
            <w:vAlign w:val="center"/>
          </w:tcPr>
          <w:p w14:paraId="1DD91DDE" w14:textId="77777777" w:rsidR="006A3DBC" w:rsidRPr="002B7276" w:rsidRDefault="006A3DBC" w:rsidP="005F4A92">
            <w:pPr>
              <w:spacing w:after="0" w:line="240" w:lineRule="auto"/>
              <w:jc w:val="center"/>
              <w:rPr>
                <w:rFonts w:eastAsia="Times New Roman" w:cs="Arial"/>
                <w:sz w:val="20"/>
                <w:szCs w:val="20"/>
                <w:lang w:val="es-GT"/>
              </w:rPr>
            </w:pPr>
            <w:r w:rsidRPr="002B7276">
              <w:rPr>
                <w:rFonts w:eastAsia="Times New Roman" w:cs="Arial"/>
                <w:sz w:val="20"/>
                <w:szCs w:val="20"/>
                <w:lang w:val="es-GT"/>
              </w:rPr>
              <w:t>-</w:t>
            </w:r>
          </w:p>
        </w:tc>
        <w:tc>
          <w:tcPr>
            <w:tcW w:w="1796" w:type="dxa"/>
            <w:shd w:val="clear" w:color="auto" w:fill="auto"/>
            <w:vAlign w:val="center"/>
          </w:tcPr>
          <w:p w14:paraId="2D5B7D4E" w14:textId="77777777" w:rsidR="006A3DBC" w:rsidRPr="002B7276" w:rsidRDefault="006A3DBC" w:rsidP="005F4A92">
            <w:pPr>
              <w:spacing w:after="0" w:line="240" w:lineRule="auto"/>
              <w:jc w:val="center"/>
              <w:rPr>
                <w:rFonts w:eastAsia="Times New Roman" w:cs="Arial"/>
                <w:sz w:val="20"/>
                <w:szCs w:val="20"/>
                <w:lang w:val="es-GT"/>
              </w:rPr>
            </w:pPr>
            <w:r w:rsidRPr="002B7276">
              <w:rPr>
                <w:rFonts w:eastAsia="Times New Roman" w:cs="Arial"/>
                <w:sz w:val="20"/>
                <w:szCs w:val="20"/>
                <w:lang w:val="es-GT"/>
              </w:rPr>
              <w:t>X</w:t>
            </w:r>
          </w:p>
        </w:tc>
        <w:tc>
          <w:tcPr>
            <w:tcW w:w="3095" w:type="dxa"/>
            <w:shd w:val="clear" w:color="auto" w:fill="auto"/>
            <w:vAlign w:val="center"/>
          </w:tcPr>
          <w:p w14:paraId="29E2E0E5" w14:textId="77777777" w:rsidR="006A3DBC" w:rsidRPr="002B7276" w:rsidRDefault="006A3DBC" w:rsidP="005F4A92">
            <w:pPr>
              <w:spacing w:after="0" w:line="240" w:lineRule="auto"/>
              <w:jc w:val="center"/>
              <w:rPr>
                <w:rFonts w:eastAsia="Times New Roman" w:cs="Arial"/>
                <w:sz w:val="20"/>
                <w:szCs w:val="20"/>
                <w:lang w:val="es-GT"/>
              </w:rPr>
            </w:pPr>
            <w:r w:rsidRPr="002B7276">
              <w:rPr>
                <w:rFonts w:eastAsia="Times New Roman" w:cs="Arial"/>
                <w:sz w:val="20"/>
                <w:szCs w:val="20"/>
                <w:lang w:val="es-GT"/>
              </w:rPr>
              <w:t>-</w:t>
            </w:r>
          </w:p>
        </w:tc>
      </w:tr>
      <w:tr w:rsidR="002B7276" w:rsidRPr="002B7276" w14:paraId="7CBDEC0B" w14:textId="77777777" w:rsidTr="002B7276">
        <w:trPr>
          <w:trHeight w:val="227"/>
          <w:jc w:val="center"/>
        </w:trPr>
        <w:tc>
          <w:tcPr>
            <w:tcW w:w="3203" w:type="dxa"/>
            <w:shd w:val="clear" w:color="auto" w:fill="auto"/>
            <w:vAlign w:val="center"/>
          </w:tcPr>
          <w:p w14:paraId="7B03C6E1" w14:textId="1CD5DBE1" w:rsidR="006A3DBC" w:rsidRPr="002B7276" w:rsidRDefault="006A3DBC" w:rsidP="4691D7B3">
            <w:pPr>
              <w:widowControl w:val="0"/>
              <w:autoSpaceDE w:val="0"/>
              <w:autoSpaceDN w:val="0"/>
              <w:adjustRightInd w:val="0"/>
              <w:spacing w:after="0" w:line="240" w:lineRule="auto"/>
              <w:jc w:val="both"/>
              <w:rPr>
                <w:rFonts w:cs="Arial"/>
                <w:sz w:val="20"/>
                <w:szCs w:val="20"/>
                <w:lang w:val="es-ES"/>
              </w:rPr>
            </w:pPr>
            <w:r w:rsidRPr="002B7276">
              <w:rPr>
                <w:rFonts w:cs="Arial"/>
                <w:sz w:val="20"/>
                <w:szCs w:val="20"/>
                <w:lang w:val="es-ES"/>
              </w:rPr>
              <w:t>Gobiernos Municipales y Mancomunidades de Munic</w:t>
            </w:r>
            <w:r w:rsidR="003D5E43" w:rsidRPr="002B7276">
              <w:rPr>
                <w:rFonts w:cs="Arial"/>
                <w:sz w:val="20"/>
                <w:szCs w:val="20"/>
                <w:lang w:val="es-ES"/>
              </w:rPr>
              <w:t>i</w:t>
            </w:r>
            <w:r w:rsidRPr="002B7276">
              <w:rPr>
                <w:rFonts w:cs="Arial"/>
                <w:sz w:val="20"/>
                <w:szCs w:val="20"/>
                <w:lang w:val="es-ES"/>
              </w:rPr>
              <w:t xml:space="preserve">pios. </w:t>
            </w:r>
          </w:p>
        </w:tc>
        <w:tc>
          <w:tcPr>
            <w:tcW w:w="1858" w:type="dxa"/>
            <w:shd w:val="clear" w:color="auto" w:fill="auto"/>
            <w:vAlign w:val="center"/>
          </w:tcPr>
          <w:p w14:paraId="5AF1B214" w14:textId="77777777" w:rsidR="006A3DBC" w:rsidRPr="002B7276" w:rsidRDefault="006A3DBC" w:rsidP="005F4A92">
            <w:pPr>
              <w:spacing w:after="0" w:line="240" w:lineRule="auto"/>
              <w:jc w:val="center"/>
              <w:rPr>
                <w:rFonts w:eastAsia="Times New Roman" w:cs="Arial"/>
                <w:sz w:val="20"/>
                <w:szCs w:val="20"/>
                <w:lang w:val="es-GT"/>
              </w:rPr>
            </w:pPr>
            <w:r w:rsidRPr="002B7276">
              <w:rPr>
                <w:rFonts w:eastAsia="Times New Roman" w:cs="Arial"/>
                <w:sz w:val="20"/>
                <w:szCs w:val="20"/>
                <w:lang w:val="es-GT"/>
              </w:rPr>
              <w:t>-</w:t>
            </w:r>
          </w:p>
        </w:tc>
        <w:tc>
          <w:tcPr>
            <w:tcW w:w="1796" w:type="dxa"/>
            <w:shd w:val="clear" w:color="auto" w:fill="auto"/>
            <w:vAlign w:val="center"/>
          </w:tcPr>
          <w:p w14:paraId="05498B5A" w14:textId="77777777" w:rsidR="006A3DBC" w:rsidRPr="002B7276" w:rsidRDefault="006A3DBC" w:rsidP="005F4A92">
            <w:pPr>
              <w:spacing w:after="0" w:line="240" w:lineRule="auto"/>
              <w:jc w:val="center"/>
              <w:rPr>
                <w:rFonts w:eastAsia="Times New Roman" w:cs="Arial"/>
                <w:sz w:val="20"/>
                <w:szCs w:val="20"/>
                <w:lang w:val="es-GT"/>
              </w:rPr>
            </w:pPr>
            <w:r w:rsidRPr="002B7276">
              <w:rPr>
                <w:rFonts w:eastAsia="Times New Roman" w:cs="Arial"/>
                <w:sz w:val="20"/>
                <w:szCs w:val="20"/>
                <w:lang w:val="es-GT"/>
              </w:rPr>
              <w:t>X</w:t>
            </w:r>
          </w:p>
        </w:tc>
        <w:tc>
          <w:tcPr>
            <w:tcW w:w="3095" w:type="dxa"/>
            <w:shd w:val="clear" w:color="auto" w:fill="auto"/>
            <w:vAlign w:val="center"/>
          </w:tcPr>
          <w:p w14:paraId="7173A640" w14:textId="77777777" w:rsidR="006A3DBC" w:rsidRPr="002B7276" w:rsidRDefault="006A3DBC" w:rsidP="005F4A92">
            <w:pPr>
              <w:spacing w:after="0" w:line="240" w:lineRule="auto"/>
              <w:jc w:val="center"/>
              <w:rPr>
                <w:rFonts w:eastAsia="Times New Roman" w:cs="Arial"/>
                <w:sz w:val="20"/>
                <w:szCs w:val="20"/>
                <w:lang w:val="es-GT"/>
              </w:rPr>
            </w:pPr>
            <w:r w:rsidRPr="002B7276">
              <w:rPr>
                <w:rFonts w:eastAsia="Times New Roman" w:cs="Arial"/>
                <w:sz w:val="20"/>
                <w:szCs w:val="20"/>
                <w:lang w:val="es-GT"/>
              </w:rPr>
              <w:t>-</w:t>
            </w:r>
          </w:p>
        </w:tc>
      </w:tr>
      <w:tr w:rsidR="002B7276" w:rsidRPr="002B7276" w14:paraId="2396B8BC" w14:textId="77777777" w:rsidTr="002B7276">
        <w:trPr>
          <w:trHeight w:val="227"/>
          <w:jc w:val="center"/>
        </w:trPr>
        <w:tc>
          <w:tcPr>
            <w:tcW w:w="3203" w:type="dxa"/>
            <w:shd w:val="clear" w:color="auto" w:fill="auto"/>
            <w:vAlign w:val="center"/>
          </w:tcPr>
          <w:p w14:paraId="1D155982" w14:textId="77777777" w:rsidR="006A3DBC" w:rsidRPr="002B7276" w:rsidRDefault="006A3DBC" w:rsidP="005F4A92">
            <w:pPr>
              <w:widowControl w:val="0"/>
              <w:autoSpaceDE w:val="0"/>
              <w:autoSpaceDN w:val="0"/>
              <w:adjustRightInd w:val="0"/>
              <w:spacing w:after="0" w:line="240" w:lineRule="auto"/>
              <w:jc w:val="both"/>
              <w:rPr>
                <w:rFonts w:cs="Arial"/>
                <w:bCs/>
                <w:sz w:val="20"/>
                <w:szCs w:val="20"/>
                <w:lang w:val="es-ES_tradnl"/>
              </w:rPr>
            </w:pPr>
            <w:r w:rsidRPr="002B7276">
              <w:rPr>
                <w:rFonts w:cs="Arial"/>
                <w:bCs/>
                <w:sz w:val="20"/>
                <w:szCs w:val="20"/>
                <w:lang w:val="es-ES_tradnl"/>
              </w:rPr>
              <w:t xml:space="preserve">Cámaras de comercio, industria y turismo. </w:t>
            </w:r>
          </w:p>
        </w:tc>
        <w:tc>
          <w:tcPr>
            <w:tcW w:w="1858" w:type="dxa"/>
            <w:shd w:val="clear" w:color="auto" w:fill="auto"/>
            <w:vAlign w:val="center"/>
          </w:tcPr>
          <w:p w14:paraId="57179F46" w14:textId="77777777" w:rsidR="006A3DBC" w:rsidRPr="002B7276" w:rsidRDefault="006A3DBC" w:rsidP="005F4A92">
            <w:pPr>
              <w:spacing w:after="0" w:line="240" w:lineRule="auto"/>
              <w:jc w:val="center"/>
              <w:rPr>
                <w:rFonts w:eastAsia="Times New Roman" w:cs="Arial"/>
                <w:sz w:val="20"/>
                <w:szCs w:val="20"/>
                <w:lang w:val="es-GT"/>
              </w:rPr>
            </w:pPr>
            <w:r w:rsidRPr="002B7276">
              <w:rPr>
                <w:rFonts w:eastAsia="Times New Roman" w:cs="Arial"/>
                <w:sz w:val="20"/>
                <w:szCs w:val="20"/>
                <w:lang w:val="es-GT"/>
              </w:rPr>
              <w:t>-</w:t>
            </w:r>
          </w:p>
        </w:tc>
        <w:tc>
          <w:tcPr>
            <w:tcW w:w="1796" w:type="dxa"/>
            <w:shd w:val="clear" w:color="auto" w:fill="auto"/>
            <w:vAlign w:val="center"/>
          </w:tcPr>
          <w:p w14:paraId="40463279" w14:textId="77777777" w:rsidR="006A3DBC" w:rsidRPr="002B7276" w:rsidRDefault="006A3DBC" w:rsidP="005F4A92">
            <w:pPr>
              <w:spacing w:after="0" w:line="240" w:lineRule="auto"/>
              <w:jc w:val="center"/>
              <w:rPr>
                <w:rFonts w:eastAsia="Times New Roman" w:cs="Arial"/>
                <w:sz w:val="20"/>
                <w:szCs w:val="20"/>
                <w:lang w:val="es-GT"/>
              </w:rPr>
            </w:pPr>
            <w:r w:rsidRPr="002B7276">
              <w:rPr>
                <w:rFonts w:eastAsia="Times New Roman" w:cs="Arial"/>
                <w:sz w:val="20"/>
                <w:szCs w:val="20"/>
                <w:lang w:val="es-GT"/>
              </w:rPr>
              <w:t>X</w:t>
            </w:r>
          </w:p>
        </w:tc>
        <w:tc>
          <w:tcPr>
            <w:tcW w:w="3095" w:type="dxa"/>
            <w:shd w:val="clear" w:color="auto" w:fill="auto"/>
            <w:vAlign w:val="center"/>
          </w:tcPr>
          <w:p w14:paraId="600B10F7" w14:textId="77777777" w:rsidR="006A3DBC" w:rsidRPr="002B7276" w:rsidRDefault="006A3DBC" w:rsidP="005F4A92">
            <w:pPr>
              <w:spacing w:after="0" w:line="240" w:lineRule="auto"/>
              <w:jc w:val="center"/>
              <w:rPr>
                <w:rFonts w:eastAsia="Times New Roman" w:cs="Arial"/>
                <w:sz w:val="20"/>
                <w:szCs w:val="20"/>
                <w:lang w:val="es-GT"/>
              </w:rPr>
            </w:pPr>
            <w:r w:rsidRPr="002B7276">
              <w:rPr>
                <w:rFonts w:eastAsia="Times New Roman" w:cs="Arial"/>
                <w:sz w:val="20"/>
                <w:szCs w:val="20"/>
                <w:lang w:val="es-GT"/>
              </w:rPr>
              <w:t>-</w:t>
            </w:r>
          </w:p>
        </w:tc>
      </w:tr>
      <w:tr w:rsidR="002B7276" w:rsidRPr="002B7276" w14:paraId="2612CE3B" w14:textId="77777777" w:rsidTr="002B7276">
        <w:trPr>
          <w:trHeight w:val="227"/>
          <w:jc w:val="center"/>
        </w:trPr>
        <w:tc>
          <w:tcPr>
            <w:tcW w:w="3203" w:type="dxa"/>
            <w:shd w:val="clear" w:color="auto" w:fill="auto"/>
            <w:vAlign w:val="center"/>
          </w:tcPr>
          <w:p w14:paraId="6839D870" w14:textId="77777777" w:rsidR="006A3DBC" w:rsidRPr="002B7276" w:rsidRDefault="006A3DBC" w:rsidP="005F4A92">
            <w:pPr>
              <w:widowControl w:val="0"/>
              <w:autoSpaceDE w:val="0"/>
              <w:autoSpaceDN w:val="0"/>
              <w:adjustRightInd w:val="0"/>
              <w:spacing w:after="0" w:line="240" w:lineRule="auto"/>
              <w:jc w:val="both"/>
              <w:rPr>
                <w:rFonts w:cs="Arial"/>
                <w:bCs/>
                <w:sz w:val="20"/>
                <w:szCs w:val="20"/>
                <w:lang w:val="es-ES_tradnl"/>
              </w:rPr>
            </w:pPr>
            <w:bookmarkStart w:id="741" w:name="_Hlk66695702"/>
            <w:r w:rsidRPr="002B7276">
              <w:rPr>
                <w:rFonts w:cs="Arial"/>
                <w:bCs/>
                <w:sz w:val="20"/>
                <w:szCs w:val="20"/>
                <w:lang w:val="es-ES_tradnl"/>
              </w:rPr>
              <w:t>Emprendedores jóvenes con iniciativas productivas y comerciales.</w:t>
            </w:r>
            <w:bookmarkEnd w:id="741"/>
          </w:p>
        </w:tc>
        <w:tc>
          <w:tcPr>
            <w:tcW w:w="1858" w:type="dxa"/>
            <w:shd w:val="clear" w:color="auto" w:fill="auto"/>
            <w:vAlign w:val="center"/>
          </w:tcPr>
          <w:p w14:paraId="0E314038" w14:textId="77777777" w:rsidR="006A3DBC" w:rsidRPr="002B7276" w:rsidRDefault="006A3DBC" w:rsidP="005F4A92">
            <w:pPr>
              <w:spacing w:after="0" w:line="240" w:lineRule="auto"/>
              <w:jc w:val="center"/>
              <w:rPr>
                <w:rFonts w:eastAsia="Times New Roman" w:cs="Arial"/>
                <w:sz w:val="20"/>
                <w:szCs w:val="20"/>
                <w:lang w:val="es-ES_tradnl"/>
              </w:rPr>
            </w:pPr>
            <w:r w:rsidRPr="002B7276">
              <w:rPr>
                <w:rFonts w:eastAsia="Times New Roman" w:cs="Arial"/>
                <w:sz w:val="20"/>
                <w:szCs w:val="20"/>
                <w:lang w:val="es-ES_tradnl"/>
              </w:rPr>
              <w:t>X</w:t>
            </w:r>
          </w:p>
        </w:tc>
        <w:tc>
          <w:tcPr>
            <w:tcW w:w="1796" w:type="dxa"/>
            <w:shd w:val="clear" w:color="auto" w:fill="auto"/>
            <w:vAlign w:val="center"/>
          </w:tcPr>
          <w:p w14:paraId="12795DAB" w14:textId="77777777" w:rsidR="006A3DBC" w:rsidRPr="002B7276" w:rsidRDefault="006A3DBC" w:rsidP="005F4A92">
            <w:pPr>
              <w:spacing w:after="0" w:line="240" w:lineRule="auto"/>
              <w:jc w:val="center"/>
              <w:rPr>
                <w:rFonts w:eastAsia="Times New Roman" w:cs="Arial"/>
                <w:sz w:val="20"/>
                <w:szCs w:val="20"/>
                <w:lang w:val="es-GT"/>
              </w:rPr>
            </w:pPr>
            <w:r w:rsidRPr="002B7276">
              <w:rPr>
                <w:rFonts w:eastAsia="Times New Roman" w:cs="Arial"/>
                <w:sz w:val="20"/>
                <w:szCs w:val="20"/>
                <w:lang w:val="es-GT"/>
              </w:rPr>
              <w:t>-</w:t>
            </w:r>
          </w:p>
        </w:tc>
        <w:tc>
          <w:tcPr>
            <w:tcW w:w="3095" w:type="dxa"/>
            <w:shd w:val="clear" w:color="auto" w:fill="auto"/>
            <w:vAlign w:val="center"/>
          </w:tcPr>
          <w:p w14:paraId="550B1ADF" w14:textId="77777777" w:rsidR="006A3DBC" w:rsidRPr="002B7276" w:rsidRDefault="006A3DBC" w:rsidP="005F4A92">
            <w:pPr>
              <w:spacing w:after="0" w:line="240" w:lineRule="auto"/>
              <w:jc w:val="center"/>
              <w:rPr>
                <w:rFonts w:eastAsia="Times New Roman" w:cs="Arial"/>
                <w:sz w:val="20"/>
                <w:szCs w:val="20"/>
                <w:lang w:val="es-GT"/>
              </w:rPr>
            </w:pPr>
            <w:r w:rsidRPr="002B7276">
              <w:rPr>
                <w:rFonts w:eastAsia="Times New Roman" w:cs="Arial"/>
                <w:sz w:val="20"/>
                <w:szCs w:val="20"/>
                <w:lang w:val="es-GT"/>
              </w:rPr>
              <w:t>X</w:t>
            </w:r>
          </w:p>
        </w:tc>
      </w:tr>
      <w:tr w:rsidR="002B7276" w:rsidRPr="002B7276" w14:paraId="39C4DFA3" w14:textId="77777777" w:rsidTr="002B7276">
        <w:trPr>
          <w:trHeight w:val="227"/>
          <w:jc w:val="center"/>
        </w:trPr>
        <w:tc>
          <w:tcPr>
            <w:tcW w:w="3203" w:type="dxa"/>
            <w:shd w:val="clear" w:color="auto" w:fill="auto"/>
            <w:vAlign w:val="center"/>
          </w:tcPr>
          <w:p w14:paraId="3A7E7285" w14:textId="77777777" w:rsidR="006A3DBC" w:rsidRPr="002B7276" w:rsidRDefault="006A3DBC" w:rsidP="005F4A92">
            <w:pPr>
              <w:widowControl w:val="0"/>
              <w:autoSpaceDE w:val="0"/>
              <w:autoSpaceDN w:val="0"/>
              <w:adjustRightInd w:val="0"/>
              <w:spacing w:after="0" w:line="240" w:lineRule="auto"/>
              <w:jc w:val="both"/>
              <w:rPr>
                <w:rFonts w:cs="Arial"/>
                <w:bCs/>
                <w:sz w:val="20"/>
                <w:szCs w:val="20"/>
                <w:lang w:val="es-ES_tradnl"/>
              </w:rPr>
            </w:pPr>
            <w:r w:rsidRPr="002B7276">
              <w:rPr>
                <w:rFonts w:cs="Arial"/>
                <w:bCs/>
                <w:sz w:val="20"/>
                <w:szCs w:val="20"/>
                <w:lang w:val="es-ES_tradnl"/>
              </w:rPr>
              <w:t xml:space="preserve">Aliados institucionales del sector público. </w:t>
            </w:r>
          </w:p>
        </w:tc>
        <w:tc>
          <w:tcPr>
            <w:tcW w:w="1858" w:type="dxa"/>
            <w:shd w:val="clear" w:color="auto" w:fill="auto"/>
            <w:vAlign w:val="center"/>
          </w:tcPr>
          <w:p w14:paraId="1FFC1DED" w14:textId="77777777" w:rsidR="006A3DBC" w:rsidRPr="002B7276" w:rsidRDefault="006A3DBC" w:rsidP="005F4A92">
            <w:pPr>
              <w:spacing w:after="0" w:line="240" w:lineRule="auto"/>
              <w:jc w:val="center"/>
              <w:rPr>
                <w:rFonts w:eastAsia="Times New Roman" w:cs="Arial"/>
                <w:sz w:val="20"/>
                <w:szCs w:val="20"/>
                <w:lang w:val="es-ES_tradnl"/>
              </w:rPr>
            </w:pPr>
          </w:p>
        </w:tc>
        <w:tc>
          <w:tcPr>
            <w:tcW w:w="1796" w:type="dxa"/>
            <w:shd w:val="clear" w:color="auto" w:fill="auto"/>
            <w:vAlign w:val="center"/>
          </w:tcPr>
          <w:p w14:paraId="2614DD1F" w14:textId="77777777" w:rsidR="006A3DBC" w:rsidRPr="002B7276" w:rsidRDefault="006A3DBC" w:rsidP="005F4A92">
            <w:pPr>
              <w:spacing w:after="0" w:line="240" w:lineRule="auto"/>
              <w:jc w:val="center"/>
              <w:rPr>
                <w:rFonts w:eastAsia="Times New Roman" w:cs="Arial"/>
                <w:sz w:val="20"/>
                <w:szCs w:val="20"/>
                <w:lang w:val="es-GT"/>
              </w:rPr>
            </w:pPr>
            <w:r w:rsidRPr="002B7276">
              <w:rPr>
                <w:rFonts w:eastAsia="Times New Roman" w:cs="Arial"/>
                <w:sz w:val="20"/>
                <w:szCs w:val="20"/>
                <w:lang w:val="es-GT"/>
              </w:rPr>
              <w:t>X</w:t>
            </w:r>
          </w:p>
        </w:tc>
        <w:tc>
          <w:tcPr>
            <w:tcW w:w="3095" w:type="dxa"/>
            <w:shd w:val="clear" w:color="auto" w:fill="auto"/>
            <w:vAlign w:val="center"/>
          </w:tcPr>
          <w:p w14:paraId="0973C7CE" w14:textId="77777777" w:rsidR="006A3DBC" w:rsidRPr="002B7276" w:rsidRDefault="006A3DBC" w:rsidP="005F4A92">
            <w:pPr>
              <w:spacing w:after="0" w:line="240" w:lineRule="auto"/>
              <w:jc w:val="center"/>
              <w:rPr>
                <w:rFonts w:eastAsia="Times New Roman" w:cs="Arial"/>
                <w:sz w:val="20"/>
                <w:szCs w:val="20"/>
                <w:lang w:val="es-GT"/>
              </w:rPr>
            </w:pPr>
          </w:p>
        </w:tc>
      </w:tr>
      <w:tr w:rsidR="002B7276" w:rsidRPr="002B7276" w14:paraId="6BE5B22A" w14:textId="77777777" w:rsidTr="002B7276">
        <w:trPr>
          <w:trHeight w:val="227"/>
          <w:jc w:val="center"/>
        </w:trPr>
        <w:tc>
          <w:tcPr>
            <w:tcW w:w="3203" w:type="dxa"/>
            <w:shd w:val="clear" w:color="auto" w:fill="auto"/>
            <w:vAlign w:val="center"/>
          </w:tcPr>
          <w:p w14:paraId="50C433B9" w14:textId="77777777" w:rsidR="006A3DBC" w:rsidRPr="002B7276" w:rsidRDefault="006A3DBC" w:rsidP="005F4A92">
            <w:pPr>
              <w:widowControl w:val="0"/>
              <w:autoSpaceDE w:val="0"/>
              <w:autoSpaceDN w:val="0"/>
              <w:adjustRightInd w:val="0"/>
              <w:spacing w:after="0" w:line="240" w:lineRule="auto"/>
              <w:jc w:val="both"/>
              <w:rPr>
                <w:rFonts w:cs="Arial"/>
                <w:bCs/>
                <w:sz w:val="20"/>
                <w:szCs w:val="20"/>
                <w:lang w:val="es-ES_tradnl"/>
              </w:rPr>
            </w:pPr>
            <w:r w:rsidRPr="002B7276">
              <w:rPr>
                <w:rFonts w:cs="Arial"/>
                <w:bCs/>
                <w:sz w:val="20"/>
                <w:szCs w:val="20"/>
                <w:lang w:val="es-ES_tradnl"/>
              </w:rPr>
              <w:t>Patronatos de desarrollo comunal</w:t>
            </w:r>
          </w:p>
        </w:tc>
        <w:tc>
          <w:tcPr>
            <w:tcW w:w="1858" w:type="dxa"/>
            <w:shd w:val="clear" w:color="auto" w:fill="auto"/>
            <w:vAlign w:val="center"/>
          </w:tcPr>
          <w:p w14:paraId="1201334D" w14:textId="77777777" w:rsidR="006A3DBC" w:rsidRPr="002B7276" w:rsidRDefault="006A3DBC" w:rsidP="005F4A92">
            <w:pPr>
              <w:spacing w:after="0" w:line="240" w:lineRule="auto"/>
              <w:jc w:val="center"/>
              <w:rPr>
                <w:rFonts w:eastAsia="Times New Roman" w:cs="Arial"/>
                <w:sz w:val="20"/>
                <w:szCs w:val="20"/>
                <w:lang w:val="es-ES_tradnl"/>
              </w:rPr>
            </w:pPr>
          </w:p>
        </w:tc>
        <w:tc>
          <w:tcPr>
            <w:tcW w:w="1796" w:type="dxa"/>
            <w:shd w:val="clear" w:color="auto" w:fill="auto"/>
            <w:vAlign w:val="center"/>
          </w:tcPr>
          <w:p w14:paraId="5319C473" w14:textId="77777777" w:rsidR="006A3DBC" w:rsidRPr="002B7276" w:rsidRDefault="006A3DBC" w:rsidP="005F4A92">
            <w:pPr>
              <w:spacing w:after="0" w:line="240" w:lineRule="auto"/>
              <w:jc w:val="center"/>
              <w:rPr>
                <w:rFonts w:eastAsia="Times New Roman" w:cs="Arial"/>
                <w:sz w:val="20"/>
                <w:szCs w:val="20"/>
                <w:lang w:val="es-GT"/>
              </w:rPr>
            </w:pPr>
            <w:r w:rsidRPr="002B7276">
              <w:rPr>
                <w:rFonts w:eastAsia="Times New Roman" w:cs="Arial"/>
                <w:sz w:val="20"/>
                <w:szCs w:val="20"/>
                <w:lang w:val="es-GT"/>
              </w:rPr>
              <w:t>X</w:t>
            </w:r>
          </w:p>
        </w:tc>
        <w:tc>
          <w:tcPr>
            <w:tcW w:w="3095" w:type="dxa"/>
            <w:shd w:val="clear" w:color="auto" w:fill="auto"/>
            <w:vAlign w:val="center"/>
          </w:tcPr>
          <w:p w14:paraId="1E924174" w14:textId="77777777" w:rsidR="006A3DBC" w:rsidRPr="002B7276" w:rsidRDefault="006A3DBC" w:rsidP="005F4A92">
            <w:pPr>
              <w:spacing w:after="0" w:line="240" w:lineRule="auto"/>
              <w:jc w:val="center"/>
              <w:rPr>
                <w:rFonts w:eastAsia="Times New Roman" w:cs="Arial"/>
                <w:sz w:val="20"/>
                <w:szCs w:val="20"/>
                <w:lang w:val="es-GT"/>
              </w:rPr>
            </w:pPr>
          </w:p>
        </w:tc>
      </w:tr>
      <w:tr w:rsidR="002B7276" w:rsidRPr="002B7276" w14:paraId="432CC7EA" w14:textId="77777777" w:rsidTr="002B7276">
        <w:trPr>
          <w:trHeight w:val="227"/>
          <w:jc w:val="center"/>
        </w:trPr>
        <w:tc>
          <w:tcPr>
            <w:tcW w:w="3203" w:type="dxa"/>
            <w:shd w:val="clear" w:color="auto" w:fill="auto"/>
            <w:vAlign w:val="center"/>
          </w:tcPr>
          <w:p w14:paraId="65F0E9D8" w14:textId="77777777" w:rsidR="006A3DBC" w:rsidRPr="002B7276" w:rsidRDefault="006A3DBC" w:rsidP="005F4A92">
            <w:pPr>
              <w:widowControl w:val="0"/>
              <w:autoSpaceDE w:val="0"/>
              <w:autoSpaceDN w:val="0"/>
              <w:adjustRightInd w:val="0"/>
              <w:spacing w:after="0" w:line="240" w:lineRule="auto"/>
              <w:jc w:val="both"/>
              <w:rPr>
                <w:rFonts w:cs="Arial"/>
                <w:bCs/>
                <w:sz w:val="20"/>
                <w:szCs w:val="20"/>
                <w:lang w:val="es-ES_tradnl"/>
              </w:rPr>
            </w:pPr>
            <w:r w:rsidRPr="002B7276">
              <w:rPr>
                <w:rFonts w:cs="Arial"/>
                <w:bCs/>
                <w:sz w:val="20"/>
                <w:szCs w:val="20"/>
                <w:lang w:val="es-ES_tradnl"/>
              </w:rPr>
              <w:t>Juntas Administradoras de Agua</w:t>
            </w:r>
          </w:p>
        </w:tc>
        <w:tc>
          <w:tcPr>
            <w:tcW w:w="1858" w:type="dxa"/>
            <w:shd w:val="clear" w:color="auto" w:fill="auto"/>
            <w:vAlign w:val="center"/>
          </w:tcPr>
          <w:p w14:paraId="6647F595" w14:textId="77777777" w:rsidR="006A3DBC" w:rsidRPr="002B7276" w:rsidRDefault="006A3DBC" w:rsidP="005F4A92">
            <w:pPr>
              <w:spacing w:after="0" w:line="240" w:lineRule="auto"/>
              <w:jc w:val="center"/>
              <w:rPr>
                <w:rFonts w:eastAsia="Times New Roman" w:cs="Arial"/>
                <w:sz w:val="20"/>
                <w:szCs w:val="20"/>
                <w:lang w:val="es-ES_tradnl"/>
              </w:rPr>
            </w:pPr>
          </w:p>
        </w:tc>
        <w:tc>
          <w:tcPr>
            <w:tcW w:w="1796" w:type="dxa"/>
            <w:shd w:val="clear" w:color="auto" w:fill="auto"/>
            <w:vAlign w:val="center"/>
          </w:tcPr>
          <w:p w14:paraId="71A54777" w14:textId="77777777" w:rsidR="006A3DBC" w:rsidRPr="002B7276" w:rsidRDefault="006A3DBC" w:rsidP="005F4A92">
            <w:pPr>
              <w:spacing w:after="0" w:line="240" w:lineRule="auto"/>
              <w:jc w:val="center"/>
              <w:rPr>
                <w:rFonts w:eastAsia="Times New Roman" w:cs="Arial"/>
                <w:sz w:val="20"/>
                <w:szCs w:val="20"/>
                <w:lang w:val="es-GT"/>
              </w:rPr>
            </w:pPr>
            <w:r w:rsidRPr="002B7276">
              <w:rPr>
                <w:rFonts w:eastAsia="Times New Roman" w:cs="Arial"/>
                <w:sz w:val="20"/>
                <w:szCs w:val="20"/>
                <w:lang w:val="es-GT"/>
              </w:rPr>
              <w:t>X</w:t>
            </w:r>
          </w:p>
        </w:tc>
        <w:tc>
          <w:tcPr>
            <w:tcW w:w="3095" w:type="dxa"/>
            <w:shd w:val="clear" w:color="auto" w:fill="auto"/>
            <w:vAlign w:val="center"/>
          </w:tcPr>
          <w:p w14:paraId="6CB3A779" w14:textId="77777777" w:rsidR="006A3DBC" w:rsidRPr="002B7276" w:rsidRDefault="006A3DBC" w:rsidP="005F4A92">
            <w:pPr>
              <w:spacing w:after="0" w:line="240" w:lineRule="auto"/>
              <w:jc w:val="center"/>
              <w:rPr>
                <w:rFonts w:eastAsia="Times New Roman" w:cs="Arial"/>
                <w:sz w:val="20"/>
                <w:szCs w:val="20"/>
                <w:lang w:val="es-GT"/>
              </w:rPr>
            </w:pPr>
          </w:p>
        </w:tc>
      </w:tr>
      <w:tr w:rsidR="002B7276" w:rsidRPr="002B7276" w14:paraId="0A088BE2" w14:textId="77777777" w:rsidTr="002B7276">
        <w:trPr>
          <w:trHeight w:val="227"/>
          <w:jc w:val="center"/>
        </w:trPr>
        <w:tc>
          <w:tcPr>
            <w:tcW w:w="3203" w:type="dxa"/>
            <w:shd w:val="clear" w:color="auto" w:fill="auto"/>
            <w:vAlign w:val="center"/>
          </w:tcPr>
          <w:p w14:paraId="27FE38B2" w14:textId="77777777" w:rsidR="006A3DBC" w:rsidRPr="002B7276" w:rsidRDefault="006A3DBC" w:rsidP="005F4A92">
            <w:pPr>
              <w:widowControl w:val="0"/>
              <w:autoSpaceDE w:val="0"/>
              <w:autoSpaceDN w:val="0"/>
              <w:adjustRightInd w:val="0"/>
              <w:spacing w:after="0" w:line="240" w:lineRule="auto"/>
              <w:jc w:val="both"/>
              <w:rPr>
                <w:rFonts w:cs="Arial"/>
                <w:bCs/>
                <w:sz w:val="20"/>
                <w:szCs w:val="20"/>
                <w:lang w:val="es-ES_tradnl"/>
              </w:rPr>
            </w:pPr>
            <w:r w:rsidRPr="002B7276">
              <w:rPr>
                <w:rFonts w:cs="Arial"/>
                <w:bCs/>
                <w:sz w:val="20"/>
                <w:szCs w:val="20"/>
                <w:lang w:val="es-ES_tradnl"/>
              </w:rPr>
              <w:t xml:space="preserve">Sociedades de Padres y Madres de Familia de Centros Educativos </w:t>
            </w:r>
          </w:p>
        </w:tc>
        <w:tc>
          <w:tcPr>
            <w:tcW w:w="1858" w:type="dxa"/>
            <w:shd w:val="clear" w:color="auto" w:fill="auto"/>
            <w:vAlign w:val="center"/>
          </w:tcPr>
          <w:p w14:paraId="5ED1D297" w14:textId="77777777" w:rsidR="006A3DBC" w:rsidRPr="002B7276" w:rsidRDefault="006A3DBC" w:rsidP="005F4A92">
            <w:pPr>
              <w:spacing w:after="0" w:line="240" w:lineRule="auto"/>
              <w:jc w:val="center"/>
              <w:rPr>
                <w:rFonts w:eastAsia="Times New Roman" w:cs="Arial"/>
                <w:sz w:val="20"/>
                <w:szCs w:val="20"/>
                <w:lang w:val="es-ES_tradnl"/>
              </w:rPr>
            </w:pPr>
          </w:p>
        </w:tc>
        <w:tc>
          <w:tcPr>
            <w:tcW w:w="1796" w:type="dxa"/>
            <w:shd w:val="clear" w:color="auto" w:fill="auto"/>
            <w:vAlign w:val="center"/>
          </w:tcPr>
          <w:p w14:paraId="3288C119" w14:textId="77777777" w:rsidR="006A3DBC" w:rsidRPr="002B7276" w:rsidRDefault="006A3DBC" w:rsidP="005F4A92">
            <w:pPr>
              <w:spacing w:after="0" w:line="240" w:lineRule="auto"/>
              <w:jc w:val="center"/>
              <w:rPr>
                <w:rFonts w:eastAsia="Times New Roman" w:cs="Arial"/>
                <w:sz w:val="20"/>
                <w:szCs w:val="20"/>
                <w:lang w:val="es-ES_tradnl"/>
              </w:rPr>
            </w:pPr>
            <w:r w:rsidRPr="002B7276">
              <w:rPr>
                <w:rFonts w:eastAsia="Times New Roman" w:cs="Arial"/>
                <w:sz w:val="20"/>
                <w:szCs w:val="20"/>
                <w:lang w:val="es-ES_tradnl"/>
              </w:rPr>
              <w:t>X</w:t>
            </w:r>
          </w:p>
        </w:tc>
        <w:tc>
          <w:tcPr>
            <w:tcW w:w="3095" w:type="dxa"/>
            <w:shd w:val="clear" w:color="auto" w:fill="auto"/>
            <w:vAlign w:val="center"/>
          </w:tcPr>
          <w:p w14:paraId="4364B88B" w14:textId="77777777" w:rsidR="006A3DBC" w:rsidRPr="002B7276" w:rsidRDefault="006A3DBC" w:rsidP="005F4A92">
            <w:pPr>
              <w:spacing w:after="0" w:line="240" w:lineRule="auto"/>
              <w:jc w:val="center"/>
              <w:rPr>
                <w:rFonts w:eastAsia="Times New Roman" w:cs="Arial"/>
                <w:sz w:val="20"/>
                <w:szCs w:val="20"/>
                <w:lang w:val="es-GT"/>
              </w:rPr>
            </w:pPr>
          </w:p>
        </w:tc>
      </w:tr>
      <w:tr w:rsidR="002B7276" w:rsidRPr="002B7276" w14:paraId="7BEAD1B2" w14:textId="77777777" w:rsidTr="002B7276">
        <w:trPr>
          <w:trHeight w:val="227"/>
          <w:jc w:val="center"/>
        </w:trPr>
        <w:tc>
          <w:tcPr>
            <w:tcW w:w="3203" w:type="dxa"/>
            <w:shd w:val="clear" w:color="auto" w:fill="auto"/>
            <w:vAlign w:val="center"/>
          </w:tcPr>
          <w:p w14:paraId="04EB1959" w14:textId="77777777" w:rsidR="006A3DBC" w:rsidRPr="002B7276" w:rsidRDefault="006A3DBC" w:rsidP="005F4A92">
            <w:pPr>
              <w:widowControl w:val="0"/>
              <w:autoSpaceDE w:val="0"/>
              <w:autoSpaceDN w:val="0"/>
              <w:adjustRightInd w:val="0"/>
              <w:spacing w:after="0" w:line="240" w:lineRule="auto"/>
              <w:jc w:val="both"/>
              <w:rPr>
                <w:rFonts w:cs="Arial"/>
                <w:bCs/>
                <w:sz w:val="20"/>
                <w:szCs w:val="20"/>
                <w:lang w:val="es-ES_tradnl"/>
              </w:rPr>
            </w:pPr>
            <w:r w:rsidRPr="002B7276">
              <w:rPr>
                <w:rFonts w:cs="Arial"/>
                <w:bCs/>
                <w:sz w:val="20"/>
                <w:szCs w:val="20"/>
                <w:lang w:val="es-ES_tradnl"/>
              </w:rPr>
              <w:t>Consejos de Maestros de Centros Educativos</w:t>
            </w:r>
          </w:p>
        </w:tc>
        <w:tc>
          <w:tcPr>
            <w:tcW w:w="1858" w:type="dxa"/>
            <w:shd w:val="clear" w:color="auto" w:fill="auto"/>
            <w:vAlign w:val="center"/>
          </w:tcPr>
          <w:p w14:paraId="4A38204E" w14:textId="77777777" w:rsidR="006A3DBC" w:rsidRPr="002B7276" w:rsidRDefault="006A3DBC" w:rsidP="005F4A92">
            <w:pPr>
              <w:spacing w:after="0" w:line="240" w:lineRule="auto"/>
              <w:jc w:val="center"/>
              <w:rPr>
                <w:rFonts w:eastAsia="Times New Roman" w:cs="Arial"/>
                <w:sz w:val="20"/>
                <w:szCs w:val="20"/>
                <w:lang w:val="es-ES_tradnl"/>
              </w:rPr>
            </w:pPr>
          </w:p>
        </w:tc>
        <w:tc>
          <w:tcPr>
            <w:tcW w:w="1796" w:type="dxa"/>
            <w:shd w:val="clear" w:color="auto" w:fill="auto"/>
            <w:vAlign w:val="center"/>
          </w:tcPr>
          <w:p w14:paraId="663C3A48" w14:textId="77777777" w:rsidR="006A3DBC" w:rsidRPr="002B7276" w:rsidRDefault="006A3DBC" w:rsidP="005F4A92">
            <w:pPr>
              <w:spacing w:after="0" w:line="240" w:lineRule="auto"/>
              <w:jc w:val="center"/>
              <w:rPr>
                <w:rFonts w:eastAsia="Times New Roman" w:cs="Arial"/>
                <w:sz w:val="20"/>
                <w:szCs w:val="20"/>
                <w:lang w:val="es-ES_tradnl"/>
              </w:rPr>
            </w:pPr>
            <w:r w:rsidRPr="002B7276">
              <w:rPr>
                <w:rFonts w:eastAsia="Times New Roman" w:cs="Arial"/>
                <w:sz w:val="20"/>
                <w:szCs w:val="20"/>
                <w:lang w:val="es-ES_tradnl"/>
              </w:rPr>
              <w:t>X</w:t>
            </w:r>
          </w:p>
        </w:tc>
        <w:tc>
          <w:tcPr>
            <w:tcW w:w="3095" w:type="dxa"/>
            <w:shd w:val="clear" w:color="auto" w:fill="auto"/>
            <w:vAlign w:val="center"/>
          </w:tcPr>
          <w:p w14:paraId="2F94D637" w14:textId="77777777" w:rsidR="006A3DBC" w:rsidRPr="002B7276" w:rsidRDefault="006A3DBC" w:rsidP="005F4A92">
            <w:pPr>
              <w:spacing w:after="0" w:line="240" w:lineRule="auto"/>
              <w:jc w:val="center"/>
              <w:rPr>
                <w:rFonts w:eastAsia="Times New Roman" w:cs="Arial"/>
                <w:sz w:val="20"/>
                <w:szCs w:val="20"/>
                <w:lang w:val="es-GT"/>
              </w:rPr>
            </w:pPr>
          </w:p>
        </w:tc>
      </w:tr>
      <w:tr w:rsidR="002B7276" w:rsidRPr="002B7276" w14:paraId="15235A88" w14:textId="77777777" w:rsidTr="002B7276">
        <w:trPr>
          <w:trHeight w:val="227"/>
          <w:jc w:val="center"/>
        </w:trPr>
        <w:tc>
          <w:tcPr>
            <w:tcW w:w="3203" w:type="dxa"/>
            <w:shd w:val="clear" w:color="auto" w:fill="auto"/>
            <w:vAlign w:val="center"/>
          </w:tcPr>
          <w:p w14:paraId="7A7B9212" w14:textId="77777777" w:rsidR="006A3DBC" w:rsidRPr="002B7276" w:rsidRDefault="006A3DBC" w:rsidP="005F4A92">
            <w:pPr>
              <w:widowControl w:val="0"/>
              <w:autoSpaceDE w:val="0"/>
              <w:autoSpaceDN w:val="0"/>
              <w:adjustRightInd w:val="0"/>
              <w:spacing w:after="0" w:line="240" w:lineRule="auto"/>
              <w:jc w:val="both"/>
              <w:rPr>
                <w:rFonts w:cs="Arial"/>
                <w:bCs/>
                <w:sz w:val="20"/>
                <w:szCs w:val="20"/>
                <w:lang w:val="es-ES_tradnl"/>
              </w:rPr>
            </w:pPr>
            <w:r w:rsidRPr="002B7276">
              <w:rPr>
                <w:rFonts w:cs="Arial"/>
                <w:bCs/>
                <w:sz w:val="20"/>
                <w:szCs w:val="20"/>
                <w:lang w:val="es-ES_tradnl"/>
              </w:rPr>
              <w:t>Iglesias y congregaciones religiosas</w:t>
            </w:r>
          </w:p>
        </w:tc>
        <w:tc>
          <w:tcPr>
            <w:tcW w:w="1858" w:type="dxa"/>
            <w:shd w:val="clear" w:color="auto" w:fill="auto"/>
            <w:vAlign w:val="center"/>
          </w:tcPr>
          <w:p w14:paraId="719FB8D8" w14:textId="77777777" w:rsidR="006A3DBC" w:rsidRPr="002B7276" w:rsidRDefault="006A3DBC" w:rsidP="005F4A92">
            <w:pPr>
              <w:spacing w:after="0" w:line="240" w:lineRule="auto"/>
              <w:jc w:val="center"/>
              <w:rPr>
                <w:rFonts w:eastAsia="Times New Roman" w:cs="Arial"/>
                <w:sz w:val="20"/>
                <w:szCs w:val="20"/>
                <w:lang w:val="es-ES_tradnl"/>
              </w:rPr>
            </w:pPr>
          </w:p>
        </w:tc>
        <w:tc>
          <w:tcPr>
            <w:tcW w:w="1796" w:type="dxa"/>
            <w:shd w:val="clear" w:color="auto" w:fill="auto"/>
            <w:vAlign w:val="center"/>
          </w:tcPr>
          <w:p w14:paraId="17831D7F" w14:textId="77777777" w:rsidR="006A3DBC" w:rsidRPr="002B7276" w:rsidRDefault="006A3DBC" w:rsidP="005F4A92">
            <w:pPr>
              <w:spacing w:after="0" w:line="240" w:lineRule="auto"/>
              <w:jc w:val="center"/>
              <w:rPr>
                <w:rFonts w:eastAsia="Times New Roman" w:cs="Arial"/>
                <w:sz w:val="20"/>
                <w:szCs w:val="20"/>
                <w:lang w:val="es-ES_tradnl"/>
              </w:rPr>
            </w:pPr>
            <w:r w:rsidRPr="002B7276">
              <w:rPr>
                <w:rFonts w:eastAsia="Times New Roman" w:cs="Arial"/>
                <w:sz w:val="20"/>
                <w:szCs w:val="20"/>
                <w:lang w:val="es-ES_tradnl"/>
              </w:rPr>
              <w:t>X</w:t>
            </w:r>
          </w:p>
        </w:tc>
        <w:tc>
          <w:tcPr>
            <w:tcW w:w="3095" w:type="dxa"/>
            <w:shd w:val="clear" w:color="auto" w:fill="auto"/>
            <w:vAlign w:val="center"/>
          </w:tcPr>
          <w:p w14:paraId="1C0F61B0" w14:textId="77777777" w:rsidR="006A3DBC" w:rsidRPr="002B7276" w:rsidRDefault="006A3DBC" w:rsidP="005F4A92">
            <w:pPr>
              <w:spacing w:after="0" w:line="240" w:lineRule="auto"/>
              <w:jc w:val="center"/>
              <w:rPr>
                <w:rFonts w:eastAsia="Times New Roman" w:cs="Arial"/>
                <w:sz w:val="20"/>
                <w:szCs w:val="20"/>
                <w:lang w:val="es-GT"/>
              </w:rPr>
            </w:pPr>
          </w:p>
        </w:tc>
      </w:tr>
      <w:tr w:rsidR="002B7276" w:rsidRPr="002B7276" w14:paraId="1E148782" w14:textId="77777777" w:rsidTr="002B7276">
        <w:trPr>
          <w:trHeight w:val="227"/>
          <w:jc w:val="center"/>
        </w:trPr>
        <w:tc>
          <w:tcPr>
            <w:tcW w:w="3203" w:type="dxa"/>
            <w:shd w:val="clear" w:color="auto" w:fill="auto"/>
            <w:vAlign w:val="center"/>
          </w:tcPr>
          <w:p w14:paraId="0854D2B9" w14:textId="77777777" w:rsidR="006A3DBC" w:rsidRPr="002B7276" w:rsidRDefault="006A3DBC" w:rsidP="005F4A92">
            <w:pPr>
              <w:widowControl w:val="0"/>
              <w:autoSpaceDE w:val="0"/>
              <w:autoSpaceDN w:val="0"/>
              <w:adjustRightInd w:val="0"/>
              <w:spacing w:after="0" w:line="240" w:lineRule="auto"/>
              <w:jc w:val="both"/>
              <w:rPr>
                <w:rFonts w:cs="Arial"/>
                <w:bCs/>
                <w:sz w:val="20"/>
                <w:szCs w:val="20"/>
                <w:lang w:val="es-ES_tradnl"/>
              </w:rPr>
            </w:pPr>
            <w:r w:rsidRPr="002B7276">
              <w:rPr>
                <w:rFonts w:cs="Arial"/>
                <w:bCs/>
                <w:sz w:val="20"/>
                <w:szCs w:val="20"/>
                <w:lang w:val="es-ES_tradnl"/>
              </w:rPr>
              <w:t>Comités ambientales</w:t>
            </w:r>
          </w:p>
        </w:tc>
        <w:tc>
          <w:tcPr>
            <w:tcW w:w="1858" w:type="dxa"/>
            <w:shd w:val="clear" w:color="auto" w:fill="auto"/>
            <w:vAlign w:val="center"/>
          </w:tcPr>
          <w:p w14:paraId="3924C957" w14:textId="77777777" w:rsidR="006A3DBC" w:rsidRPr="002B7276" w:rsidRDefault="006A3DBC" w:rsidP="005F4A92">
            <w:pPr>
              <w:spacing w:after="0" w:line="240" w:lineRule="auto"/>
              <w:jc w:val="center"/>
              <w:rPr>
                <w:rFonts w:eastAsia="Times New Roman" w:cs="Arial"/>
                <w:sz w:val="20"/>
                <w:szCs w:val="20"/>
                <w:lang w:val="es-ES_tradnl"/>
              </w:rPr>
            </w:pPr>
          </w:p>
        </w:tc>
        <w:tc>
          <w:tcPr>
            <w:tcW w:w="1796" w:type="dxa"/>
            <w:shd w:val="clear" w:color="auto" w:fill="auto"/>
            <w:vAlign w:val="center"/>
          </w:tcPr>
          <w:p w14:paraId="534CE90B" w14:textId="77777777" w:rsidR="006A3DBC" w:rsidRPr="002B7276" w:rsidRDefault="006A3DBC" w:rsidP="005F4A92">
            <w:pPr>
              <w:spacing w:after="0" w:line="240" w:lineRule="auto"/>
              <w:jc w:val="center"/>
              <w:rPr>
                <w:rFonts w:eastAsia="Times New Roman" w:cs="Arial"/>
                <w:sz w:val="20"/>
                <w:szCs w:val="20"/>
                <w:lang w:val="es-GT"/>
              </w:rPr>
            </w:pPr>
            <w:r w:rsidRPr="002B7276">
              <w:rPr>
                <w:rFonts w:eastAsia="Times New Roman" w:cs="Arial"/>
                <w:sz w:val="20"/>
                <w:szCs w:val="20"/>
                <w:lang w:val="es-GT"/>
              </w:rPr>
              <w:t>X</w:t>
            </w:r>
          </w:p>
        </w:tc>
        <w:tc>
          <w:tcPr>
            <w:tcW w:w="3095" w:type="dxa"/>
            <w:shd w:val="clear" w:color="auto" w:fill="auto"/>
            <w:vAlign w:val="center"/>
          </w:tcPr>
          <w:p w14:paraId="48952E0D" w14:textId="77777777" w:rsidR="006A3DBC" w:rsidRPr="002B7276" w:rsidRDefault="006A3DBC" w:rsidP="005F4A92">
            <w:pPr>
              <w:spacing w:after="0" w:line="240" w:lineRule="auto"/>
              <w:jc w:val="center"/>
              <w:rPr>
                <w:rFonts w:eastAsia="Times New Roman" w:cs="Arial"/>
                <w:sz w:val="20"/>
                <w:szCs w:val="20"/>
                <w:lang w:val="es-GT"/>
              </w:rPr>
            </w:pPr>
          </w:p>
        </w:tc>
      </w:tr>
    </w:tbl>
    <w:p w14:paraId="149F5774" w14:textId="77777777" w:rsidR="006A3DBC" w:rsidRPr="00FA4B2D" w:rsidRDefault="006A3DBC" w:rsidP="006A3DBC">
      <w:pPr>
        <w:spacing w:after="0" w:line="240" w:lineRule="auto"/>
        <w:jc w:val="both"/>
        <w:rPr>
          <w:rFonts w:cs="Arial"/>
        </w:rPr>
      </w:pPr>
    </w:p>
    <w:p w14:paraId="54AF6263" w14:textId="77777777" w:rsidR="00016847" w:rsidRPr="00FA4B2D" w:rsidRDefault="00016847" w:rsidP="006A3DBC">
      <w:pPr>
        <w:spacing w:after="0" w:line="240" w:lineRule="auto"/>
        <w:jc w:val="both"/>
        <w:rPr>
          <w:rFonts w:cs="Arial"/>
        </w:rPr>
      </w:pPr>
    </w:p>
    <w:p w14:paraId="675E43A8" w14:textId="77777777" w:rsidR="00016847" w:rsidRPr="00FA4B2D" w:rsidRDefault="00016847" w:rsidP="006A3DBC">
      <w:pPr>
        <w:spacing w:after="0" w:line="240" w:lineRule="auto"/>
        <w:jc w:val="both"/>
        <w:rPr>
          <w:rFonts w:cs="Arial"/>
        </w:rPr>
      </w:pPr>
    </w:p>
    <w:p w14:paraId="7305EBFE" w14:textId="77777777" w:rsidR="00016847" w:rsidRPr="00FA4B2D" w:rsidRDefault="00016847" w:rsidP="006A3DBC">
      <w:pPr>
        <w:spacing w:after="0" w:line="240" w:lineRule="auto"/>
        <w:jc w:val="both"/>
        <w:rPr>
          <w:rFonts w:cs="Arial"/>
        </w:rPr>
      </w:pPr>
    </w:p>
    <w:p w14:paraId="3FEAACB8" w14:textId="77777777" w:rsidR="006A3DBC" w:rsidRPr="00FA4B2D" w:rsidRDefault="006A3DBC" w:rsidP="00411720">
      <w:pPr>
        <w:pStyle w:val="Ttulo2"/>
        <w:numPr>
          <w:ilvl w:val="2"/>
          <w:numId w:val="100"/>
        </w:numPr>
        <w:spacing w:before="0" w:line="240" w:lineRule="auto"/>
        <w:jc w:val="both"/>
        <w:rPr>
          <w:rFonts w:ascii="Arial" w:hAnsi="Arial" w:cs="Arial"/>
          <w:b/>
          <w:color w:val="767171" w:themeColor="background2" w:themeShade="80"/>
          <w:sz w:val="22"/>
          <w:szCs w:val="22"/>
        </w:rPr>
      </w:pPr>
      <w:bookmarkStart w:id="742" w:name="_Toc202456939"/>
      <w:r w:rsidRPr="00FA4B2D">
        <w:rPr>
          <w:rFonts w:ascii="Arial" w:hAnsi="Arial" w:cs="Arial"/>
          <w:b/>
          <w:color w:val="767171" w:themeColor="background2" w:themeShade="80"/>
          <w:sz w:val="22"/>
          <w:szCs w:val="22"/>
        </w:rPr>
        <w:lastRenderedPageBreak/>
        <w:t>Identificación de características de grupos considerados vulnerables</w:t>
      </w:r>
      <w:bookmarkEnd w:id="742"/>
      <w:r w:rsidRPr="00FA4B2D">
        <w:rPr>
          <w:rFonts w:ascii="Arial" w:hAnsi="Arial" w:cs="Arial"/>
          <w:b/>
          <w:color w:val="767171" w:themeColor="background2" w:themeShade="80"/>
          <w:sz w:val="22"/>
          <w:szCs w:val="22"/>
        </w:rPr>
        <w:t xml:space="preserve"> </w:t>
      </w:r>
    </w:p>
    <w:p w14:paraId="28F0F5CC" w14:textId="77777777" w:rsidR="006A3DBC" w:rsidRPr="00FA4B2D" w:rsidRDefault="006A3DBC" w:rsidP="006A3DBC">
      <w:pPr>
        <w:rPr>
          <w:rFonts w:cs="Arial"/>
        </w:rPr>
      </w:pPr>
    </w:p>
    <w:p w14:paraId="3F125C9D" w14:textId="77777777" w:rsidR="006A3DBC" w:rsidRPr="00FA4B2D" w:rsidRDefault="006A3DBC" w:rsidP="006A3DBC">
      <w:pPr>
        <w:pStyle w:val="Prrafodelista"/>
        <w:spacing w:after="0" w:line="240" w:lineRule="auto"/>
        <w:ind w:left="0"/>
        <w:jc w:val="both"/>
        <w:rPr>
          <w:rFonts w:cs="Arial"/>
          <w:lang w:val="es-HN"/>
        </w:rPr>
      </w:pPr>
      <w:r w:rsidRPr="00FA4B2D">
        <w:rPr>
          <w:rFonts w:cs="Arial"/>
          <w:lang w:val="es-HN"/>
        </w:rPr>
        <w:t>Según el Comisionado de los Derechos Humanos (CONADEH), “grupos vulnerables son aquellos grupos o comunidades que, por circunstancias de pobreza, origen étnico, estado de salud, edad, género o discapacidad, se encuentran en una situación de mayor indefensión para hacer frente a los problemas que plantea la vida y no cuentan con los recursos necesarios para satisfacer sus necesidades básicas. La vulnerabilidad coloca a quien la padece en una situación de desventaja en el ejercicio pleno de sus derechos y libertades”.</w:t>
      </w:r>
    </w:p>
    <w:p w14:paraId="3E77D425" w14:textId="77777777" w:rsidR="006A3DBC" w:rsidRPr="00FA4B2D" w:rsidRDefault="006A3DBC" w:rsidP="006A3DBC">
      <w:pPr>
        <w:pStyle w:val="Prrafodelista"/>
        <w:spacing w:after="0" w:line="240" w:lineRule="auto"/>
        <w:ind w:left="0"/>
        <w:jc w:val="both"/>
        <w:rPr>
          <w:rFonts w:cs="Arial"/>
          <w:lang w:val="es-HN"/>
        </w:rPr>
      </w:pPr>
      <w:r w:rsidRPr="00FA4B2D">
        <w:rPr>
          <w:rFonts w:cs="Arial"/>
          <w:lang w:val="es-HN"/>
        </w:rPr>
        <w:t>A continuación, se caracterizan los siguientes grupos vulnerables identificados a ser considerados en el marco de la implementación del Proyecto:</w:t>
      </w:r>
    </w:p>
    <w:p w14:paraId="16125281" w14:textId="77777777" w:rsidR="006A3DBC" w:rsidRPr="00FA4B2D" w:rsidRDefault="006A3DBC" w:rsidP="006A3DBC">
      <w:pPr>
        <w:pStyle w:val="Prrafodelista"/>
        <w:spacing w:after="0" w:line="240" w:lineRule="auto"/>
        <w:ind w:left="0"/>
        <w:jc w:val="both"/>
        <w:rPr>
          <w:rFonts w:cs="Arial"/>
          <w:lang w:val="es-HN"/>
        </w:rPr>
      </w:pPr>
    </w:p>
    <w:p w14:paraId="57F3E824" w14:textId="77777777" w:rsidR="006A3DBC" w:rsidRPr="00FA4B2D" w:rsidRDefault="006A3DBC" w:rsidP="00411720">
      <w:pPr>
        <w:pStyle w:val="Prrafodelista"/>
        <w:numPr>
          <w:ilvl w:val="0"/>
          <w:numId w:val="96"/>
        </w:numPr>
        <w:spacing w:after="0" w:line="240" w:lineRule="auto"/>
        <w:jc w:val="both"/>
        <w:rPr>
          <w:rFonts w:cs="Arial"/>
          <w:lang w:val="es-HN"/>
        </w:rPr>
      </w:pPr>
      <w:r w:rsidRPr="00FA4B2D">
        <w:rPr>
          <w:rFonts w:cs="Arial"/>
          <w:lang w:val="es-HN"/>
        </w:rPr>
        <w:t>Mujeres Rurales.</w:t>
      </w:r>
    </w:p>
    <w:p w14:paraId="431D9FA5" w14:textId="77777777" w:rsidR="006A3DBC" w:rsidRPr="00FA4B2D" w:rsidRDefault="006A3DBC" w:rsidP="00411720">
      <w:pPr>
        <w:pStyle w:val="Prrafodelista"/>
        <w:numPr>
          <w:ilvl w:val="0"/>
          <w:numId w:val="96"/>
        </w:numPr>
        <w:spacing w:after="0" w:line="240" w:lineRule="auto"/>
        <w:jc w:val="both"/>
        <w:rPr>
          <w:rFonts w:cs="Arial"/>
          <w:lang w:val="es-HN"/>
        </w:rPr>
      </w:pPr>
      <w:r w:rsidRPr="00FA4B2D">
        <w:rPr>
          <w:rFonts w:cs="Arial"/>
          <w:lang w:val="es-HN"/>
        </w:rPr>
        <w:t>Jóvenes y adolescentes.</w:t>
      </w:r>
    </w:p>
    <w:p w14:paraId="62824C5D" w14:textId="77777777" w:rsidR="006A3DBC" w:rsidRPr="00FA4B2D" w:rsidRDefault="006A3DBC" w:rsidP="00411720">
      <w:pPr>
        <w:pStyle w:val="Prrafodelista"/>
        <w:numPr>
          <w:ilvl w:val="0"/>
          <w:numId w:val="96"/>
        </w:numPr>
        <w:spacing w:after="0" w:line="240" w:lineRule="auto"/>
        <w:jc w:val="both"/>
        <w:rPr>
          <w:rFonts w:cs="Arial"/>
          <w:lang w:val="es-HN"/>
        </w:rPr>
      </w:pPr>
      <w:r w:rsidRPr="00FA4B2D">
        <w:rPr>
          <w:rFonts w:cs="Arial"/>
          <w:lang w:val="es-HN"/>
        </w:rPr>
        <w:t>Población Infantil.</w:t>
      </w:r>
    </w:p>
    <w:p w14:paraId="3BB87A4E" w14:textId="77777777" w:rsidR="006A3DBC" w:rsidRPr="00FA4B2D" w:rsidRDefault="006A3DBC" w:rsidP="00411720">
      <w:pPr>
        <w:pStyle w:val="Prrafodelista"/>
        <w:numPr>
          <w:ilvl w:val="0"/>
          <w:numId w:val="96"/>
        </w:numPr>
        <w:spacing w:after="0" w:line="240" w:lineRule="auto"/>
        <w:jc w:val="both"/>
        <w:rPr>
          <w:rFonts w:cs="Arial"/>
          <w:lang w:val="es-HN"/>
        </w:rPr>
      </w:pPr>
      <w:r w:rsidRPr="00FA4B2D">
        <w:rPr>
          <w:rFonts w:cs="Arial"/>
          <w:lang w:val="es-HN"/>
        </w:rPr>
        <w:t xml:space="preserve">Personas con discapacidad. </w:t>
      </w:r>
    </w:p>
    <w:p w14:paraId="2F38D91B" w14:textId="77777777" w:rsidR="006A3DBC" w:rsidRPr="00FA4B2D" w:rsidRDefault="006A3DBC" w:rsidP="00411720">
      <w:pPr>
        <w:pStyle w:val="Prrafodelista"/>
        <w:numPr>
          <w:ilvl w:val="0"/>
          <w:numId w:val="96"/>
        </w:numPr>
        <w:spacing w:after="0" w:line="240" w:lineRule="auto"/>
        <w:jc w:val="both"/>
        <w:rPr>
          <w:rFonts w:cs="Arial"/>
          <w:lang w:val="es-HN"/>
        </w:rPr>
      </w:pPr>
      <w:r w:rsidRPr="00FA4B2D">
        <w:rPr>
          <w:rFonts w:cs="Arial"/>
          <w:lang w:val="es-HN"/>
        </w:rPr>
        <w:t>Pueblos Indígenas.</w:t>
      </w:r>
    </w:p>
    <w:p w14:paraId="32EDA153" w14:textId="77777777" w:rsidR="006A3DBC" w:rsidRPr="00FA4B2D" w:rsidRDefault="006A3DBC" w:rsidP="00411720">
      <w:pPr>
        <w:pStyle w:val="Prrafodelista"/>
        <w:numPr>
          <w:ilvl w:val="0"/>
          <w:numId w:val="96"/>
        </w:numPr>
        <w:spacing w:after="0" w:line="240" w:lineRule="auto"/>
        <w:jc w:val="both"/>
        <w:rPr>
          <w:rFonts w:cs="Arial"/>
          <w:lang w:val="es-HN"/>
        </w:rPr>
      </w:pPr>
      <w:r w:rsidRPr="00FA4B2D">
        <w:rPr>
          <w:rFonts w:cs="Arial"/>
          <w:lang w:val="es-HN"/>
        </w:rPr>
        <w:t>Población afrodescendiente.</w:t>
      </w:r>
    </w:p>
    <w:p w14:paraId="6152AFB0" w14:textId="5B44A78E" w:rsidR="006A3DBC" w:rsidRPr="00FA4B2D" w:rsidRDefault="006A3DBC" w:rsidP="00411720">
      <w:pPr>
        <w:pStyle w:val="Prrafodelista"/>
        <w:numPr>
          <w:ilvl w:val="0"/>
          <w:numId w:val="96"/>
        </w:numPr>
        <w:spacing w:after="0" w:line="240" w:lineRule="auto"/>
        <w:jc w:val="both"/>
        <w:rPr>
          <w:rFonts w:cs="Arial"/>
          <w:bCs/>
          <w:lang w:val="es-HN"/>
        </w:rPr>
      </w:pPr>
      <w:r w:rsidRPr="00FA4B2D">
        <w:rPr>
          <w:rFonts w:cs="Arial"/>
          <w:bCs/>
          <w:lang w:val="es-HN"/>
        </w:rPr>
        <w:t>Personas LGBTIQ+</w:t>
      </w:r>
    </w:p>
    <w:p w14:paraId="3C2AD82B" w14:textId="77777777" w:rsidR="006A3DBC" w:rsidRPr="00FA4B2D" w:rsidRDefault="006A3DBC" w:rsidP="006A3DBC">
      <w:pPr>
        <w:pStyle w:val="Prrafodelista"/>
        <w:spacing w:after="0" w:line="240" w:lineRule="auto"/>
        <w:jc w:val="both"/>
        <w:rPr>
          <w:rFonts w:cs="Arial"/>
          <w:lang w:val="es-HN"/>
        </w:rPr>
      </w:pPr>
    </w:p>
    <w:p w14:paraId="52B3AC4E" w14:textId="77777777" w:rsidR="006A3DBC" w:rsidRPr="00FA4B2D" w:rsidRDefault="006A3DBC" w:rsidP="006A3DBC">
      <w:pPr>
        <w:pStyle w:val="Prrafodelista"/>
        <w:numPr>
          <w:ilvl w:val="0"/>
          <w:numId w:val="8"/>
        </w:numPr>
        <w:spacing w:after="0" w:line="240" w:lineRule="auto"/>
        <w:ind w:left="0" w:firstLine="0"/>
        <w:jc w:val="both"/>
        <w:rPr>
          <w:rFonts w:cs="Arial"/>
          <w:lang w:val="es-HN"/>
        </w:rPr>
      </w:pPr>
      <w:r w:rsidRPr="00FA4B2D">
        <w:rPr>
          <w:rFonts w:cs="Arial"/>
          <w:b/>
          <w:lang w:val="es-HN"/>
        </w:rPr>
        <w:t xml:space="preserve">Mujeres Rurales: </w:t>
      </w:r>
      <w:r w:rsidRPr="00FA4B2D">
        <w:rPr>
          <w:rFonts w:cs="Arial"/>
          <w:lang w:val="es-HN"/>
        </w:rPr>
        <w:t>Las condiciones de vida y trabajo de la mujer rural, especialmente su responsabilidad en la reproducción de la fuerza de trabajo rural, su desempeño en la producción de alimentos, especialmente de granos básicos, verduras y frutas, aun cuando las condiciones en que realiza los procesos productivos son generalmente difíciles, con altos niveles de marginamiento, violencia y exclusión. “El aporte invisible de las mujeres posibilita la reproducción y mantenimiento de la fuerza de trabajo familiar y contribuye en forma poco reconocida a la economía global del país.”</w:t>
      </w:r>
      <w:r w:rsidRPr="00FA4B2D">
        <w:rPr>
          <w:rStyle w:val="Refdenotaalpie"/>
          <w:rFonts w:cs="Arial"/>
          <w:lang w:val="es-HN"/>
        </w:rPr>
        <w:footnoteReference w:id="36"/>
      </w:r>
    </w:p>
    <w:p w14:paraId="51E61F80" w14:textId="77777777" w:rsidR="006A3DBC" w:rsidRPr="00FA4B2D" w:rsidRDefault="006A3DBC" w:rsidP="006A3DBC">
      <w:pPr>
        <w:pStyle w:val="Prrafodelista"/>
        <w:spacing w:after="0" w:line="240" w:lineRule="auto"/>
        <w:ind w:left="0"/>
        <w:jc w:val="both"/>
        <w:rPr>
          <w:rFonts w:cs="Arial"/>
          <w:lang w:val="es-HN"/>
        </w:rPr>
      </w:pPr>
    </w:p>
    <w:p w14:paraId="04535250" w14:textId="77777777" w:rsidR="006A3DBC" w:rsidRPr="00FA4B2D" w:rsidRDefault="006A3DBC" w:rsidP="006A3DBC">
      <w:pPr>
        <w:pStyle w:val="Prrafodelista"/>
        <w:spacing w:after="0" w:line="240" w:lineRule="auto"/>
        <w:ind w:left="0"/>
        <w:jc w:val="both"/>
        <w:rPr>
          <w:rFonts w:cs="Arial"/>
          <w:lang w:val="es-HN"/>
        </w:rPr>
      </w:pPr>
      <w:r w:rsidRPr="00FA4B2D">
        <w:rPr>
          <w:rFonts w:cs="Arial"/>
          <w:lang w:val="es-HN"/>
        </w:rPr>
        <w:t xml:space="preserve">Diversas investigaciones han confirmado que las difíciles condiciones de trabajo de la mujer rural guardan relación con la falta de acceso a los servicios básicos. Una gran cantidad de tiempo y esfuerzo invertido en el trabajo doméstico se debe a la falta de agua, energía eléctrica, leña, etc. </w:t>
      </w:r>
    </w:p>
    <w:p w14:paraId="0B896E41" w14:textId="77777777" w:rsidR="006A3DBC" w:rsidRPr="00FA4B2D" w:rsidRDefault="006A3DBC" w:rsidP="006A3DBC">
      <w:pPr>
        <w:pStyle w:val="Prrafodelista"/>
        <w:spacing w:after="0" w:line="240" w:lineRule="auto"/>
        <w:ind w:left="0"/>
        <w:jc w:val="both"/>
        <w:rPr>
          <w:rFonts w:cs="Arial"/>
          <w:lang w:val="es-HN"/>
        </w:rPr>
      </w:pPr>
    </w:p>
    <w:p w14:paraId="32576704" w14:textId="77777777" w:rsidR="006A3DBC" w:rsidRPr="00FA4B2D" w:rsidRDefault="006A3DBC" w:rsidP="006A3DBC">
      <w:pPr>
        <w:pStyle w:val="Prrafodelista"/>
        <w:spacing w:after="0" w:line="240" w:lineRule="auto"/>
        <w:ind w:left="0"/>
        <w:jc w:val="both"/>
        <w:rPr>
          <w:rFonts w:cs="Arial"/>
          <w:lang w:val="es-HN"/>
        </w:rPr>
      </w:pPr>
      <w:r w:rsidRPr="00FA4B2D">
        <w:rPr>
          <w:rFonts w:cs="Arial"/>
          <w:lang w:val="es-HN"/>
        </w:rPr>
        <w:t>Las actividades agrícolas en las que participa la mujer son muy poco reconocidas, igualmente lo es la crianza de los hijos e hijas y el cuidado del hogar. La mujer rural enfrenta problemas de pobreza y discriminación singular, probablemente más agudas las mujeres que viven las zonas urbanas, tiene grandes desafíos para emprender el camino hacia su propio desarrollo y el de su entorno. Les ha tocado asumir un rol protagónico en la reproducción social, apoyando o dirigiendo la producción agrícola de subsistencia muchas veces sola</w:t>
      </w:r>
      <w:r w:rsidRPr="00FA4B2D">
        <w:rPr>
          <w:rStyle w:val="Refdenotaalpie"/>
          <w:rFonts w:cs="Arial"/>
          <w:lang w:val="es-HN"/>
        </w:rPr>
        <w:footnoteReference w:id="37"/>
      </w:r>
      <w:r w:rsidRPr="00FA4B2D">
        <w:rPr>
          <w:rFonts w:cs="Arial"/>
          <w:lang w:val="es-HN"/>
        </w:rPr>
        <w:t>.</w:t>
      </w:r>
    </w:p>
    <w:p w14:paraId="5E17CF28" w14:textId="77777777" w:rsidR="006A3DBC" w:rsidRPr="00FA4B2D" w:rsidRDefault="006A3DBC" w:rsidP="006A3DBC">
      <w:pPr>
        <w:pStyle w:val="Prrafodelista"/>
        <w:spacing w:after="0" w:line="240" w:lineRule="auto"/>
        <w:ind w:left="0"/>
        <w:jc w:val="both"/>
        <w:rPr>
          <w:rFonts w:cs="Arial"/>
          <w:lang w:val="es-HN"/>
        </w:rPr>
      </w:pPr>
    </w:p>
    <w:p w14:paraId="52730F0A" w14:textId="77777777" w:rsidR="006A3DBC" w:rsidRPr="00FA4B2D" w:rsidRDefault="006A3DBC" w:rsidP="006A3DBC">
      <w:pPr>
        <w:pStyle w:val="Prrafodelista"/>
        <w:spacing w:after="0" w:line="240" w:lineRule="auto"/>
        <w:ind w:left="0"/>
        <w:jc w:val="both"/>
        <w:rPr>
          <w:rFonts w:cs="Arial"/>
          <w:lang w:val="es-HN"/>
        </w:rPr>
      </w:pPr>
      <w:r w:rsidRPr="00FA4B2D">
        <w:rPr>
          <w:rFonts w:cs="Arial"/>
          <w:lang w:val="es-HN"/>
        </w:rPr>
        <w:lastRenderedPageBreak/>
        <w:t>De las mujeres rurales que se vinculan a procesos productivos, sea agrícolas y/o ganaderos, muy pocas han podido participar en grupos organizados. Uno de los factores determinantes, según las mujeres es la cantidad de tiempo que les ocupa el oficio doméstico que les limita salir de casa; otro es el alto nivel de subordinación, la actitud poco receptiva de los hombres para que ellas participen en actividades que impliquen salir y vincularse con otras personas. Precisamente esta realidad de limitadas oportunidades ha sido objeto de alcances importantes en el Proyecto COMRURAL que registra una participación del 28% de beneficiarios directos mujeres, socias con derecho y acceso a los recursos de las OPRs, incluso se tienen casos de grupos desarrollados integrados exclusivamente por mujeres rurales, lo que supone un cambio de paradigmas en pequeña escala pero que se traducen en avances importantes considerando el entorno donde se desarrollan.</w:t>
      </w:r>
    </w:p>
    <w:p w14:paraId="2314E6D9" w14:textId="77777777" w:rsidR="006A3DBC" w:rsidRPr="00FA4B2D" w:rsidRDefault="006A3DBC" w:rsidP="006A3DBC">
      <w:pPr>
        <w:pStyle w:val="Prrafodelista"/>
        <w:spacing w:after="0" w:line="240" w:lineRule="auto"/>
        <w:ind w:left="0"/>
        <w:jc w:val="both"/>
        <w:rPr>
          <w:rFonts w:cs="Arial"/>
          <w:lang w:val="es-HN"/>
        </w:rPr>
      </w:pPr>
    </w:p>
    <w:p w14:paraId="73E8E21A" w14:textId="77777777" w:rsidR="006A3DBC" w:rsidRPr="00FA4B2D" w:rsidRDefault="006A3DBC" w:rsidP="006A3DBC">
      <w:pPr>
        <w:pStyle w:val="Prrafodelista"/>
        <w:spacing w:after="0" w:line="240" w:lineRule="auto"/>
        <w:ind w:left="0"/>
        <w:jc w:val="both"/>
        <w:rPr>
          <w:rFonts w:cs="Arial"/>
          <w:lang w:val="es-HN"/>
        </w:rPr>
      </w:pPr>
      <w:r w:rsidRPr="00FA4B2D">
        <w:rPr>
          <w:rFonts w:cs="Arial"/>
          <w:lang w:val="es-HN"/>
        </w:rPr>
        <w:t>Finalmente es oportuno apuntar que en los últimos años se ha registrado un incremento de la violencia contra la mujer, la violencia de género es una de las amenazas más persistentes en Honduras y América Latina, y un obstáculo al desarrollo humano, la salud pública y los derechos humanos, que se manifiesta en el ámbito privado o en el espacio público (barrio, familia, escuela, trabajo).</w:t>
      </w:r>
    </w:p>
    <w:p w14:paraId="48370664" w14:textId="77777777" w:rsidR="006A3DBC" w:rsidRPr="00FA4B2D" w:rsidRDefault="006A3DBC" w:rsidP="006A3DBC">
      <w:pPr>
        <w:pStyle w:val="Prrafodelista"/>
        <w:spacing w:after="0" w:line="240" w:lineRule="auto"/>
        <w:ind w:left="0"/>
        <w:jc w:val="both"/>
        <w:rPr>
          <w:rFonts w:cs="Arial"/>
          <w:lang w:val="es-HN"/>
        </w:rPr>
      </w:pPr>
    </w:p>
    <w:p w14:paraId="01FD096B" w14:textId="77777777" w:rsidR="006A3DBC" w:rsidRPr="00FA4B2D" w:rsidRDefault="006A3DBC" w:rsidP="006A3DBC">
      <w:pPr>
        <w:pStyle w:val="Prrafodelista"/>
        <w:spacing w:after="0" w:line="240" w:lineRule="auto"/>
        <w:ind w:left="0"/>
        <w:jc w:val="both"/>
        <w:rPr>
          <w:rFonts w:cs="Arial"/>
          <w:lang w:val="es-HN"/>
        </w:rPr>
      </w:pPr>
      <w:r w:rsidRPr="00FA4B2D">
        <w:rPr>
          <w:rFonts w:cs="Arial"/>
          <w:lang w:val="es-HN"/>
        </w:rPr>
        <w:t>Según el último informe proporcionado por el Instituto Universitario en Democracia, Paz y Seguridad (IUDPAS), junto a la Universidad Nacional Autónoma de Honduras (UNAH) y la Organización Nacional de la Violencia (ONV) un total de 987 muertes violentas contra mujeres se registraron en 2017 a nivel nacional. De acuerdo con el informe del IUDPAS, el 30.1 % de las víctimas (117 muertes), corresponden entre las edades de 15 a 24 años, que son mujeres que están en la construcción de identidad, formación educativa y edad reproductiva, mientras que según datos del CEDIJ (Centro Electrónico de Documentación en Información Judicial) en su boletín del año 2017, la violencia domestica registro datos que mantienen las tendencias de aumento a nivel nacional.</w:t>
      </w:r>
    </w:p>
    <w:p w14:paraId="635EEE3D" w14:textId="77777777" w:rsidR="006A3DBC" w:rsidRPr="00FA4B2D" w:rsidRDefault="006A3DBC" w:rsidP="006A3DBC">
      <w:pPr>
        <w:pStyle w:val="Prrafodelista"/>
        <w:spacing w:after="0" w:line="240" w:lineRule="auto"/>
        <w:ind w:left="0"/>
        <w:jc w:val="both"/>
        <w:rPr>
          <w:rFonts w:cs="Arial"/>
          <w:lang w:val="es-HN"/>
        </w:rPr>
      </w:pPr>
    </w:p>
    <w:p w14:paraId="1BFEBDC3" w14:textId="7008AF7A" w:rsidR="00F94AC4" w:rsidRDefault="00F94AC4" w:rsidP="00F94AC4">
      <w:pPr>
        <w:pStyle w:val="Descripcin"/>
        <w:keepNext/>
      </w:pPr>
      <w:bookmarkStart w:id="743" w:name="_Toc202455474"/>
      <w:r>
        <w:t xml:space="preserve">Tabla </w:t>
      </w:r>
      <w:r>
        <w:fldChar w:fldCharType="begin"/>
      </w:r>
      <w:r>
        <w:instrText xml:space="preserve"> SEQ Tabla \* ARABIC </w:instrText>
      </w:r>
      <w:r>
        <w:fldChar w:fldCharType="separate"/>
      </w:r>
      <w:r w:rsidR="000E6D86">
        <w:rPr>
          <w:noProof/>
        </w:rPr>
        <w:t>48</w:t>
      </w:r>
      <w:r>
        <w:fldChar w:fldCharType="end"/>
      </w:r>
      <w:r>
        <w:t xml:space="preserve">: </w:t>
      </w:r>
      <w:r w:rsidRPr="00CC5525">
        <w:t>Tipo de Violencia Declarada Por el Juez</w:t>
      </w:r>
      <w:bookmarkEnd w:id="743"/>
    </w:p>
    <w:tbl>
      <w:tblPr>
        <w:tblStyle w:val="Tabladecuadrcula1clara-nfasis41"/>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851"/>
        <w:gridCol w:w="1417"/>
        <w:gridCol w:w="1005"/>
        <w:gridCol w:w="1688"/>
        <w:gridCol w:w="1102"/>
      </w:tblGrid>
      <w:tr w:rsidR="002B7276" w:rsidRPr="002B7276" w14:paraId="7B731981" w14:textId="77777777" w:rsidTr="000168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vMerge w:val="restart"/>
            <w:shd w:val="clear" w:color="auto" w:fill="5CC5DA"/>
            <w:vAlign w:val="center"/>
          </w:tcPr>
          <w:p w14:paraId="65AEEDA2" w14:textId="77777777" w:rsidR="006A3DBC" w:rsidRPr="002B7276" w:rsidRDefault="006A3DBC" w:rsidP="005F4A92">
            <w:pPr>
              <w:pStyle w:val="Prrafodelista"/>
              <w:ind w:left="0"/>
              <w:jc w:val="center"/>
              <w:rPr>
                <w:rFonts w:cs="Arial"/>
                <w:sz w:val="20"/>
                <w:szCs w:val="20"/>
                <w:lang w:val="es-HN"/>
              </w:rPr>
            </w:pPr>
            <w:r w:rsidRPr="002B7276">
              <w:rPr>
                <w:rFonts w:cs="Arial"/>
                <w:sz w:val="20"/>
                <w:szCs w:val="20"/>
                <w:lang w:val="es-HN"/>
              </w:rPr>
              <w:t>Juzgado</w:t>
            </w:r>
          </w:p>
        </w:tc>
        <w:tc>
          <w:tcPr>
            <w:tcW w:w="4961" w:type="dxa"/>
            <w:gridSpan w:val="4"/>
            <w:tcBorders>
              <w:bottom w:val="single" w:sz="4" w:space="0" w:color="auto"/>
            </w:tcBorders>
            <w:shd w:val="clear" w:color="auto" w:fill="5CC5DA"/>
            <w:vAlign w:val="center"/>
          </w:tcPr>
          <w:p w14:paraId="02DF5EEF" w14:textId="77777777" w:rsidR="006A3DBC" w:rsidRPr="002B7276" w:rsidRDefault="006A3DBC" w:rsidP="005F4A92">
            <w:pPr>
              <w:pStyle w:val="Prrafodelista"/>
              <w:ind w:left="0"/>
              <w:jc w:val="center"/>
              <w:cnfStyle w:val="100000000000" w:firstRow="1" w:lastRow="0" w:firstColumn="0" w:lastColumn="0" w:oddVBand="0" w:evenVBand="0" w:oddHBand="0" w:evenHBand="0" w:firstRowFirstColumn="0" w:firstRowLastColumn="0" w:lastRowFirstColumn="0" w:lastRowLastColumn="0"/>
              <w:rPr>
                <w:rFonts w:cs="Arial"/>
                <w:bCs w:val="0"/>
                <w:sz w:val="20"/>
                <w:szCs w:val="20"/>
                <w:lang w:val="es-HN"/>
              </w:rPr>
            </w:pPr>
            <w:r w:rsidRPr="002B7276">
              <w:rPr>
                <w:rFonts w:cs="Arial"/>
                <w:bCs w:val="0"/>
                <w:sz w:val="20"/>
                <w:szCs w:val="20"/>
                <w:lang w:val="es-HN"/>
              </w:rPr>
              <w:t>Tipo de Violencia Domestica</w:t>
            </w:r>
          </w:p>
        </w:tc>
        <w:tc>
          <w:tcPr>
            <w:tcW w:w="1102" w:type="dxa"/>
            <w:vMerge w:val="restart"/>
            <w:shd w:val="clear" w:color="auto" w:fill="5CC5DA"/>
            <w:vAlign w:val="center"/>
          </w:tcPr>
          <w:p w14:paraId="4E49ACB2" w14:textId="77777777" w:rsidR="006A3DBC" w:rsidRPr="002B7276" w:rsidRDefault="006A3DBC" w:rsidP="005F4A92">
            <w:pPr>
              <w:pStyle w:val="Prrafodelista"/>
              <w:ind w:left="0"/>
              <w:jc w:val="center"/>
              <w:cnfStyle w:val="100000000000" w:firstRow="1" w:lastRow="0" w:firstColumn="0" w:lastColumn="0" w:oddVBand="0" w:evenVBand="0" w:oddHBand="0" w:evenHBand="0" w:firstRowFirstColumn="0" w:firstRowLastColumn="0" w:lastRowFirstColumn="0" w:lastRowLastColumn="0"/>
              <w:rPr>
                <w:rFonts w:cs="Arial"/>
                <w:bCs w:val="0"/>
                <w:sz w:val="20"/>
                <w:szCs w:val="20"/>
                <w:lang w:val="es-HN"/>
              </w:rPr>
            </w:pPr>
            <w:r w:rsidRPr="002B7276">
              <w:rPr>
                <w:rFonts w:cs="Arial"/>
                <w:bCs w:val="0"/>
                <w:sz w:val="20"/>
                <w:szCs w:val="20"/>
                <w:lang w:val="es-HN"/>
              </w:rPr>
              <w:t>Total</w:t>
            </w:r>
          </w:p>
        </w:tc>
      </w:tr>
      <w:tr w:rsidR="002B7276" w:rsidRPr="002B7276" w14:paraId="548922E1" w14:textId="77777777" w:rsidTr="00016847">
        <w:tc>
          <w:tcPr>
            <w:cnfStyle w:val="001000000000" w:firstRow="0" w:lastRow="0" w:firstColumn="1" w:lastColumn="0" w:oddVBand="0" w:evenVBand="0" w:oddHBand="0" w:evenHBand="0" w:firstRowFirstColumn="0" w:firstRowLastColumn="0" w:lastRowFirstColumn="0" w:lastRowLastColumn="0"/>
            <w:tcW w:w="1984" w:type="dxa"/>
            <w:vMerge/>
            <w:shd w:val="clear" w:color="auto" w:fill="5B9BD5" w:themeFill="accent1"/>
            <w:vAlign w:val="center"/>
          </w:tcPr>
          <w:p w14:paraId="09A66FD7" w14:textId="77777777" w:rsidR="006A3DBC" w:rsidRPr="002B7276" w:rsidRDefault="006A3DBC" w:rsidP="005F4A92">
            <w:pPr>
              <w:pStyle w:val="Prrafodelista"/>
              <w:ind w:left="0"/>
              <w:jc w:val="center"/>
              <w:rPr>
                <w:rFonts w:cs="Arial"/>
                <w:b w:val="0"/>
                <w:sz w:val="20"/>
                <w:szCs w:val="20"/>
                <w:lang w:val="es-HN"/>
              </w:rPr>
            </w:pPr>
          </w:p>
        </w:tc>
        <w:tc>
          <w:tcPr>
            <w:tcW w:w="851" w:type="dxa"/>
            <w:tcBorders>
              <w:right w:val="nil"/>
            </w:tcBorders>
            <w:shd w:val="clear" w:color="auto" w:fill="5CC5DA"/>
            <w:vAlign w:val="center"/>
          </w:tcPr>
          <w:p w14:paraId="511D35E4" w14:textId="77777777" w:rsidR="006A3DBC" w:rsidRPr="002B7276" w:rsidRDefault="006A3DBC" w:rsidP="005F4A92">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Arial"/>
                <w:b/>
                <w:sz w:val="20"/>
                <w:szCs w:val="20"/>
                <w:lang w:val="es-HN"/>
              </w:rPr>
            </w:pPr>
            <w:r w:rsidRPr="002B7276">
              <w:rPr>
                <w:rFonts w:cs="Arial"/>
                <w:b/>
                <w:sz w:val="20"/>
                <w:szCs w:val="20"/>
                <w:lang w:val="es-HN"/>
              </w:rPr>
              <w:t>Física</w:t>
            </w:r>
          </w:p>
        </w:tc>
        <w:tc>
          <w:tcPr>
            <w:tcW w:w="1417" w:type="dxa"/>
            <w:tcBorders>
              <w:left w:val="nil"/>
              <w:right w:val="nil"/>
            </w:tcBorders>
            <w:shd w:val="clear" w:color="auto" w:fill="5CC5DA"/>
            <w:vAlign w:val="center"/>
          </w:tcPr>
          <w:p w14:paraId="68A93ACD" w14:textId="77777777" w:rsidR="006A3DBC" w:rsidRPr="002B7276" w:rsidRDefault="006A3DBC" w:rsidP="005F4A92">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Arial"/>
                <w:b/>
                <w:sz w:val="20"/>
                <w:szCs w:val="20"/>
                <w:lang w:val="es-HN"/>
              </w:rPr>
            </w:pPr>
            <w:r w:rsidRPr="002B7276">
              <w:rPr>
                <w:rFonts w:cs="Arial"/>
                <w:b/>
                <w:sz w:val="20"/>
                <w:szCs w:val="20"/>
                <w:lang w:val="es-HN"/>
              </w:rPr>
              <w:t>Psicológica</w:t>
            </w:r>
          </w:p>
        </w:tc>
        <w:tc>
          <w:tcPr>
            <w:tcW w:w="1005" w:type="dxa"/>
            <w:tcBorders>
              <w:left w:val="nil"/>
              <w:right w:val="nil"/>
            </w:tcBorders>
            <w:shd w:val="clear" w:color="auto" w:fill="5CC5DA"/>
            <w:vAlign w:val="center"/>
          </w:tcPr>
          <w:p w14:paraId="3F41B58C" w14:textId="77777777" w:rsidR="006A3DBC" w:rsidRPr="002B7276" w:rsidRDefault="006A3DBC" w:rsidP="005F4A92">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Arial"/>
                <w:b/>
                <w:sz w:val="20"/>
                <w:szCs w:val="20"/>
                <w:lang w:val="es-HN"/>
              </w:rPr>
            </w:pPr>
            <w:r w:rsidRPr="002B7276">
              <w:rPr>
                <w:rFonts w:cs="Arial"/>
                <w:b/>
                <w:sz w:val="20"/>
                <w:szCs w:val="20"/>
                <w:lang w:val="es-HN"/>
              </w:rPr>
              <w:t>Sexual</w:t>
            </w:r>
          </w:p>
        </w:tc>
        <w:tc>
          <w:tcPr>
            <w:tcW w:w="1688" w:type="dxa"/>
            <w:tcBorders>
              <w:left w:val="nil"/>
            </w:tcBorders>
            <w:shd w:val="clear" w:color="auto" w:fill="5CC5DA"/>
            <w:vAlign w:val="center"/>
          </w:tcPr>
          <w:p w14:paraId="56DE84FD" w14:textId="77777777" w:rsidR="006A3DBC" w:rsidRPr="002B7276" w:rsidRDefault="006A3DBC" w:rsidP="005F4A92">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Arial"/>
                <w:b/>
                <w:sz w:val="20"/>
                <w:szCs w:val="20"/>
                <w:lang w:val="es-HN"/>
              </w:rPr>
            </w:pPr>
            <w:r w:rsidRPr="002B7276">
              <w:rPr>
                <w:rFonts w:cs="Arial"/>
                <w:b/>
                <w:sz w:val="20"/>
                <w:szCs w:val="20"/>
                <w:lang w:val="es-HN"/>
              </w:rPr>
              <w:t>Patrimonial/</w:t>
            </w:r>
          </w:p>
          <w:p w14:paraId="31A0C28A" w14:textId="77777777" w:rsidR="006A3DBC" w:rsidRPr="002B7276" w:rsidRDefault="006A3DBC" w:rsidP="005F4A92">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Arial"/>
                <w:b/>
                <w:sz w:val="20"/>
                <w:szCs w:val="20"/>
                <w:lang w:val="es-HN"/>
              </w:rPr>
            </w:pPr>
            <w:r w:rsidRPr="002B7276">
              <w:rPr>
                <w:rFonts w:cs="Arial"/>
                <w:b/>
                <w:sz w:val="20"/>
                <w:szCs w:val="20"/>
                <w:lang w:val="es-HN"/>
              </w:rPr>
              <w:t>Económica</w:t>
            </w:r>
          </w:p>
        </w:tc>
        <w:tc>
          <w:tcPr>
            <w:tcW w:w="1102" w:type="dxa"/>
            <w:vMerge/>
            <w:shd w:val="clear" w:color="auto" w:fill="5CC5DA"/>
            <w:vAlign w:val="center"/>
          </w:tcPr>
          <w:p w14:paraId="7F53FFCC" w14:textId="77777777" w:rsidR="006A3DBC" w:rsidRPr="002B7276" w:rsidRDefault="006A3DBC" w:rsidP="005F4A92">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Arial"/>
                <w:b/>
                <w:sz w:val="20"/>
                <w:szCs w:val="20"/>
                <w:lang w:val="es-HN"/>
              </w:rPr>
            </w:pPr>
          </w:p>
        </w:tc>
      </w:tr>
      <w:tr w:rsidR="002B7276" w:rsidRPr="002B7276" w14:paraId="72A9D209" w14:textId="77777777" w:rsidTr="005F4A92">
        <w:tc>
          <w:tcPr>
            <w:cnfStyle w:val="001000000000" w:firstRow="0" w:lastRow="0" w:firstColumn="1" w:lastColumn="0" w:oddVBand="0" w:evenVBand="0" w:oddHBand="0" w:evenHBand="0" w:firstRowFirstColumn="0" w:firstRowLastColumn="0" w:lastRowFirstColumn="0" w:lastRowLastColumn="0"/>
            <w:tcW w:w="1984" w:type="dxa"/>
            <w:vAlign w:val="center"/>
          </w:tcPr>
          <w:p w14:paraId="2C0BEFA0" w14:textId="77777777" w:rsidR="006A3DBC" w:rsidRPr="002B7276" w:rsidRDefault="006A3DBC" w:rsidP="005F4A92">
            <w:pPr>
              <w:pStyle w:val="Prrafodelista"/>
              <w:ind w:left="0"/>
              <w:jc w:val="center"/>
              <w:rPr>
                <w:rFonts w:cs="Arial"/>
                <w:b w:val="0"/>
                <w:sz w:val="20"/>
                <w:szCs w:val="20"/>
                <w:lang w:val="es-HN"/>
              </w:rPr>
            </w:pPr>
            <w:r w:rsidRPr="002B7276">
              <w:rPr>
                <w:rFonts w:cs="Arial"/>
                <w:b w:val="0"/>
                <w:sz w:val="20"/>
                <w:szCs w:val="20"/>
                <w:lang w:val="es-HN"/>
              </w:rPr>
              <w:t>Juzgado de Letras</w:t>
            </w:r>
          </w:p>
        </w:tc>
        <w:tc>
          <w:tcPr>
            <w:tcW w:w="851" w:type="dxa"/>
            <w:vAlign w:val="center"/>
          </w:tcPr>
          <w:p w14:paraId="60F49774" w14:textId="3A93E547" w:rsidR="006A3DBC" w:rsidRPr="002B7276" w:rsidRDefault="006A3DBC" w:rsidP="005F4A92">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s-HN"/>
              </w:rPr>
            </w:pPr>
            <w:r w:rsidRPr="002B7276">
              <w:rPr>
                <w:rFonts w:cs="Arial"/>
                <w:bCs/>
                <w:sz w:val="20"/>
                <w:szCs w:val="20"/>
                <w:lang w:val="es-HN"/>
              </w:rPr>
              <w:t>1</w:t>
            </w:r>
            <w:r w:rsidR="00897C39" w:rsidRPr="002B7276">
              <w:rPr>
                <w:rFonts w:cs="Arial"/>
                <w:bCs/>
                <w:sz w:val="20"/>
                <w:szCs w:val="20"/>
                <w:lang w:val="es-HN"/>
              </w:rPr>
              <w:t>,</w:t>
            </w:r>
            <w:r w:rsidRPr="002B7276">
              <w:rPr>
                <w:rFonts w:cs="Arial"/>
                <w:bCs/>
                <w:sz w:val="20"/>
                <w:szCs w:val="20"/>
                <w:lang w:val="es-HN"/>
              </w:rPr>
              <w:t>167</w:t>
            </w:r>
          </w:p>
        </w:tc>
        <w:tc>
          <w:tcPr>
            <w:tcW w:w="1417" w:type="dxa"/>
            <w:vAlign w:val="center"/>
          </w:tcPr>
          <w:p w14:paraId="22631E2D" w14:textId="0F931FD8" w:rsidR="006A3DBC" w:rsidRPr="002B7276" w:rsidRDefault="006A3DBC" w:rsidP="005F4A92">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s-HN"/>
              </w:rPr>
            </w:pPr>
            <w:r w:rsidRPr="002B7276">
              <w:rPr>
                <w:rFonts w:cs="Arial"/>
                <w:bCs/>
                <w:sz w:val="20"/>
                <w:szCs w:val="20"/>
                <w:lang w:val="es-HN"/>
              </w:rPr>
              <w:t>2</w:t>
            </w:r>
            <w:r w:rsidR="00897C39" w:rsidRPr="002B7276">
              <w:rPr>
                <w:rFonts w:cs="Arial"/>
                <w:bCs/>
                <w:sz w:val="20"/>
                <w:szCs w:val="20"/>
                <w:lang w:val="es-HN"/>
              </w:rPr>
              <w:t>,</w:t>
            </w:r>
            <w:r w:rsidRPr="002B7276">
              <w:rPr>
                <w:rFonts w:cs="Arial"/>
                <w:bCs/>
                <w:sz w:val="20"/>
                <w:szCs w:val="20"/>
                <w:lang w:val="es-HN"/>
              </w:rPr>
              <w:t>727</w:t>
            </w:r>
          </w:p>
        </w:tc>
        <w:tc>
          <w:tcPr>
            <w:tcW w:w="1005" w:type="dxa"/>
            <w:vAlign w:val="center"/>
          </w:tcPr>
          <w:p w14:paraId="4F896071" w14:textId="77777777" w:rsidR="006A3DBC" w:rsidRPr="002B7276" w:rsidRDefault="006A3DBC" w:rsidP="005F4A92">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s-HN"/>
              </w:rPr>
            </w:pPr>
            <w:r w:rsidRPr="002B7276">
              <w:rPr>
                <w:rFonts w:cs="Arial"/>
                <w:bCs/>
                <w:sz w:val="20"/>
                <w:szCs w:val="20"/>
                <w:lang w:val="es-HN"/>
              </w:rPr>
              <w:t>43</w:t>
            </w:r>
          </w:p>
        </w:tc>
        <w:tc>
          <w:tcPr>
            <w:tcW w:w="1688" w:type="dxa"/>
            <w:vAlign w:val="center"/>
          </w:tcPr>
          <w:p w14:paraId="64459C73" w14:textId="184EE0E1" w:rsidR="006A3DBC" w:rsidRPr="002B7276" w:rsidRDefault="006A3DBC" w:rsidP="005F4A92">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s-HN"/>
              </w:rPr>
            </w:pPr>
            <w:r w:rsidRPr="002B7276">
              <w:rPr>
                <w:rFonts w:cs="Arial"/>
                <w:bCs/>
                <w:sz w:val="20"/>
                <w:szCs w:val="20"/>
                <w:lang w:val="es-HN"/>
              </w:rPr>
              <w:t>1</w:t>
            </w:r>
            <w:r w:rsidR="00897C39" w:rsidRPr="002B7276">
              <w:rPr>
                <w:rFonts w:cs="Arial"/>
                <w:bCs/>
                <w:sz w:val="20"/>
                <w:szCs w:val="20"/>
                <w:lang w:val="es-HN"/>
              </w:rPr>
              <w:t>,</w:t>
            </w:r>
            <w:r w:rsidRPr="002B7276">
              <w:rPr>
                <w:rFonts w:cs="Arial"/>
                <w:bCs/>
                <w:sz w:val="20"/>
                <w:szCs w:val="20"/>
                <w:lang w:val="es-HN"/>
              </w:rPr>
              <w:t>168</w:t>
            </w:r>
          </w:p>
        </w:tc>
        <w:tc>
          <w:tcPr>
            <w:tcW w:w="1102" w:type="dxa"/>
            <w:vAlign w:val="center"/>
          </w:tcPr>
          <w:p w14:paraId="5D8FD9F7" w14:textId="6223AE5E" w:rsidR="006A3DBC" w:rsidRPr="002B7276" w:rsidRDefault="006A3DBC" w:rsidP="005F4A92">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s-HN"/>
              </w:rPr>
            </w:pPr>
            <w:r w:rsidRPr="002B7276">
              <w:rPr>
                <w:rFonts w:cs="Arial"/>
                <w:bCs/>
                <w:sz w:val="20"/>
                <w:szCs w:val="20"/>
                <w:lang w:val="es-HN"/>
              </w:rPr>
              <w:t>5</w:t>
            </w:r>
            <w:r w:rsidR="00897C39" w:rsidRPr="002B7276">
              <w:rPr>
                <w:rFonts w:cs="Arial"/>
                <w:bCs/>
                <w:sz w:val="20"/>
                <w:szCs w:val="20"/>
                <w:lang w:val="es-HN"/>
              </w:rPr>
              <w:t>,</w:t>
            </w:r>
            <w:r w:rsidRPr="002B7276">
              <w:rPr>
                <w:rFonts w:cs="Arial"/>
                <w:bCs/>
                <w:sz w:val="20"/>
                <w:szCs w:val="20"/>
                <w:lang w:val="es-HN"/>
              </w:rPr>
              <w:t>105</w:t>
            </w:r>
          </w:p>
        </w:tc>
      </w:tr>
      <w:tr w:rsidR="002B7276" w:rsidRPr="002B7276" w14:paraId="081BF245" w14:textId="77777777" w:rsidTr="005F4A92">
        <w:tc>
          <w:tcPr>
            <w:cnfStyle w:val="001000000000" w:firstRow="0" w:lastRow="0" w:firstColumn="1" w:lastColumn="0" w:oddVBand="0" w:evenVBand="0" w:oddHBand="0" w:evenHBand="0" w:firstRowFirstColumn="0" w:firstRowLastColumn="0" w:lastRowFirstColumn="0" w:lastRowLastColumn="0"/>
            <w:tcW w:w="1984" w:type="dxa"/>
            <w:vAlign w:val="center"/>
          </w:tcPr>
          <w:p w14:paraId="77EBA664" w14:textId="77777777" w:rsidR="006A3DBC" w:rsidRPr="002B7276" w:rsidRDefault="006A3DBC" w:rsidP="005F4A92">
            <w:pPr>
              <w:pStyle w:val="Prrafodelista"/>
              <w:ind w:left="0"/>
              <w:jc w:val="center"/>
              <w:rPr>
                <w:rFonts w:cs="Arial"/>
                <w:b w:val="0"/>
                <w:sz w:val="20"/>
                <w:szCs w:val="20"/>
                <w:lang w:val="es-HN"/>
              </w:rPr>
            </w:pPr>
            <w:r w:rsidRPr="002B7276">
              <w:rPr>
                <w:rFonts w:cs="Arial"/>
                <w:b w:val="0"/>
                <w:sz w:val="20"/>
                <w:szCs w:val="20"/>
                <w:lang w:val="es-HN"/>
              </w:rPr>
              <w:t>Juzgado de Paz</w:t>
            </w:r>
          </w:p>
        </w:tc>
        <w:tc>
          <w:tcPr>
            <w:tcW w:w="851" w:type="dxa"/>
            <w:vAlign w:val="center"/>
          </w:tcPr>
          <w:p w14:paraId="265B45BD" w14:textId="10CD4E52" w:rsidR="006A3DBC" w:rsidRPr="002B7276" w:rsidRDefault="006A3DBC" w:rsidP="005F4A92">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s-HN"/>
              </w:rPr>
            </w:pPr>
            <w:r w:rsidRPr="002B7276">
              <w:rPr>
                <w:rFonts w:cs="Arial"/>
                <w:bCs/>
                <w:sz w:val="20"/>
                <w:szCs w:val="20"/>
                <w:lang w:val="es-HN"/>
              </w:rPr>
              <w:t>1</w:t>
            </w:r>
            <w:r w:rsidR="00897C39" w:rsidRPr="002B7276">
              <w:rPr>
                <w:rFonts w:cs="Arial"/>
                <w:bCs/>
                <w:sz w:val="20"/>
                <w:szCs w:val="20"/>
                <w:lang w:val="es-HN"/>
              </w:rPr>
              <w:t>,</w:t>
            </w:r>
            <w:r w:rsidRPr="002B7276">
              <w:rPr>
                <w:rFonts w:cs="Arial"/>
                <w:bCs/>
                <w:sz w:val="20"/>
                <w:szCs w:val="20"/>
                <w:lang w:val="es-HN"/>
              </w:rPr>
              <w:t>351</w:t>
            </w:r>
          </w:p>
        </w:tc>
        <w:tc>
          <w:tcPr>
            <w:tcW w:w="1417" w:type="dxa"/>
            <w:vAlign w:val="center"/>
          </w:tcPr>
          <w:p w14:paraId="168F1D6F" w14:textId="191211D5" w:rsidR="006A3DBC" w:rsidRPr="002B7276" w:rsidRDefault="006A3DBC" w:rsidP="005F4A92">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s-HN"/>
              </w:rPr>
            </w:pPr>
            <w:r w:rsidRPr="002B7276">
              <w:rPr>
                <w:rFonts w:cs="Arial"/>
                <w:bCs/>
                <w:sz w:val="20"/>
                <w:szCs w:val="20"/>
                <w:lang w:val="es-HN"/>
              </w:rPr>
              <w:t>2</w:t>
            </w:r>
            <w:r w:rsidR="00897C39" w:rsidRPr="002B7276">
              <w:rPr>
                <w:rFonts w:cs="Arial"/>
                <w:bCs/>
                <w:sz w:val="20"/>
                <w:szCs w:val="20"/>
                <w:lang w:val="es-HN"/>
              </w:rPr>
              <w:t>,</w:t>
            </w:r>
            <w:r w:rsidRPr="002B7276">
              <w:rPr>
                <w:rFonts w:cs="Arial"/>
                <w:bCs/>
                <w:sz w:val="20"/>
                <w:szCs w:val="20"/>
                <w:lang w:val="es-HN"/>
              </w:rPr>
              <w:t>931</w:t>
            </w:r>
          </w:p>
        </w:tc>
        <w:tc>
          <w:tcPr>
            <w:tcW w:w="1005" w:type="dxa"/>
            <w:vAlign w:val="center"/>
          </w:tcPr>
          <w:p w14:paraId="0B68E087" w14:textId="77777777" w:rsidR="006A3DBC" w:rsidRPr="002B7276" w:rsidRDefault="006A3DBC" w:rsidP="005F4A92">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s-HN"/>
              </w:rPr>
            </w:pPr>
            <w:r w:rsidRPr="002B7276">
              <w:rPr>
                <w:rFonts w:cs="Arial"/>
                <w:bCs/>
                <w:sz w:val="20"/>
                <w:szCs w:val="20"/>
                <w:lang w:val="es-HN"/>
              </w:rPr>
              <w:t>110</w:t>
            </w:r>
          </w:p>
        </w:tc>
        <w:tc>
          <w:tcPr>
            <w:tcW w:w="1688" w:type="dxa"/>
            <w:vAlign w:val="center"/>
          </w:tcPr>
          <w:p w14:paraId="517A4D2B" w14:textId="25DC1ECC" w:rsidR="006A3DBC" w:rsidRPr="002B7276" w:rsidRDefault="006A3DBC" w:rsidP="005F4A92">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s-HN"/>
              </w:rPr>
            </w:pPr>
            <w:r w:rsidRPr="002B7276">
              <w:rPr>
                <w:rFonts w:cs="Arial"/>
                <w:bCs/>
                <w:sz w:val="20"/>
                <w:szCs w:val="20"/>
                <w:lang w:val="es-HN"/>
              </w:rPr>
              <w:t>1</w:t>
            </w:r>
            <w:r w:rsidR="00897C39" w:rsidRPr="002B7276">
              <w:rPr>
                <w:rFonts w:cs="Arial"/>
                <w:bCs/>
                <w:sz w:val="20"/>
                <w:szCs w:val="20"/>
                <w:lang w:val="es-HN"/>
              </w:rPr>
              <w:t>,</w:t>
            </w:r>
            <w:r w:rsidRPr="002B7276">
              <w:rPr>
                <w:rFonts w:cs="Arial"/>
                <w:bCs/>
                <w:sz w:val="20"/>
                <w:szCs w:val="20"/>
                <w:lang w:val="es-HN"/>
              </w:rPr>
              <w:t>064</w:t>
            </w:r>
          </w:p>
        </w:tc>
        <w:tc>
          <w:tcPr>
            <w:tcW w:w="1102" w:type="dxa"/>
            <w:vAlign w:val="center"/>
          </w:tcPr>
          <w:p w14:paraId="5BEF5851" w14:textId="57F1F190" w:rsidR="006A3DBC" w:rsidRPr="002B7276" w:rsidRDefault="006A3DBC" w:rsidP="005F4A92">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Arial"/>
                <w:bCs/>
                <w:sz w:val="20"/>
                <w:szCs w:val="20"/>
                <w:lang w:val="es-HN"/>
              </w:rPr>
            </w:pPr>
            <w:r w:rsidRPr="002B7276">
              <w:rPr>
                <w:rFonts w:cs="Arial"/>
                <w:bCs/>
                <w:sz w:val="20"/>
                <w:szCs w:val="20"/>
                <w:lang w:val="es-HN"/>
              </w:rPr>
              <w:t>5</w:t>
            </w:r>
            <w:r w:rsidR="00897C39" w:rsidRPr="002B7276">
              <w:rPr>
                <w:rFonts w:cs="Arial"/>
                <w:bCs/>
                <w:sz w:val="20"/>
                <w:szCs w:val="20"/>
                <w:lang w:val="es-HN"/>
              </w:rPr>
              <w:t>,</w:t>
            </w:r>
            <w:r w:rsidRPr="002B7276">
              <w:rPr>
                <w:rFonts w:cs="Arial"/>
                <w:bCs/>
                <w:sz w:val="20"/>
                <w:szCs w:val="20"/>
                <w:lang w:val="es-HN"/>
              </w:rPr>
              <w:t>456</w:t>
            </w:r>
          </w:p>
        </w:tc>
      </w:tr>
      <w:tr w:rsidR="002B7276" w:rsidRPr="002B7276" w14:paraId="7078430F" w14:textId="77777777" w:rsidTr="005F4A92">
        <w:tc>
          <w:tcPr>
            <w:cnfStyle w:val="001000000000" w:firstRow="0" w:lastRow="0" w:firstColumn="1" w:lastColumn="0" w:oddVBand="0" w:evenVBand="0" w:oddHBand="0" w:evenHBand="0" w:firstRowFirstColumn="0" w:firstRowLastColumn="0" w:lastRowFirstColumn="0" w:lastRowLastColumn="0"/>
            <w:tcW w:w="1984" w:type="dxa"/>
            <w:vAlign w:val="center"/>
          </w:tcPr>
          <w:p w14:paraId="332A088D" w14:textId="77777777" w:rsidR="006A3DBC" w:rsidRPr="002B7276" w:rsidRDefault="006A3DBC" w:rsidP="005F4A92">
            <w:pPr>
              <w:pStyle w:val="Prrafodelista"/>
              <w:ind w:left="0"/>
              <w:jc w:val="center"/>
              <w:rPr>
                <w:rFonts w:cs="Arial"/>
                <w:bCs w:val="0"/>
                <w:sz w:val="20"/>
                <w:szCs w:val="20"/>
                <w:lang w:val="es-HN"/>
              </w:rPr>
            </w:pPr>
            <w:r w:rsidRPr="002B7276">
              <w:rPr>
                <w:rFonts w:cs="Arial"/>
                <w:bCs w:val="0"/>
                <w:sz w:val="20"/>
                <w:szCs w:val="20"/>
                <w:lang w:val="es-HN"/>
              </w:rPr>
              <w:t>Total</w:t>
            </w:r>
          </w:p>
        </w:tc>
        <w:tc>
          <w:tcPr>
            <w:tcW w:w="851" w:type="dxa"/>
            <w:vAlign w:val="center"/>
          </w:tcPr>
          <w:p w14:paraId="6E96C7A3" w14:textId="4DE8434E" w:rsidR="006A3DBC" w:rsidRPr="002B7276" w:rsidRDefault="006A3DBC" w:rsidP="005F4A92">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Arial"/>
                <w:b/>
                <w:sz w:val="20"/>
                <w:szCs w:val="20"/>
                <w:lang w:val="es-HN"/>
              </w:rPr>
            </w:pPr>
            <w:r w:rsidRPr="002B7276">
              <w:rPr>
                <w:rFonts w:cs="Arial"/>
                <w:b/>
                <w:sz w:val="20"/>
                <w:szCs w:val="20"/>
                <w:lang w:val="es-HN"/>
              </w:rPr>
              <w:t>2</w:t>
            </w:r>
            <w:r w:rsidR="00897C39" w:rsidRPr="002B7276">
              <w:rPr>
                <w:rFonts w:cs="Arial"/>
                <w:b/>
                <w:sz w:val="20"/>
                <w:szCs w:val="20"/>
                <w:lang w:val="es-HN"/>
              </w:rPr>
              <w:t>,</w:t>
            </w:r>
            <w:r w:rsidRPr="002B7276">
              <w:rPr>
                <w:rFonts w:cs="Arial"/>
                <w:b/>
                <w:sz w:val="20"/>
                <w:szCs w:val="20"/>
                <w:lang w:val="es-HN"/>
              </w:rPr>
              <w:t>518</w:t>
            </w:r>
          </w:p>
        </w:tc>
        <w:tc>
          <w:tcPr>
            <w:tcW w:w="1417" w:type="dxa"/>
            <w:vAlign w:val="center"/>
          </w:tcPr>
          <w:p w14:paraId="29759DD2" w14:textId="6D66C25C" w:rsidR="006A3DBC" w:rsidRPr="002B7276" w:rsidRDefault="006A3DBC" w:rsidP="005F4A92">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Arial"/>
                <w:b/>
                <w:sz w:val="20"/>
                <w:szCs w:val="20"/>
                <w:lang w:val="es-HN"/>
              </w:rPr>
            </w:pPr>
            <w:r w:rsidRPr="002B7276">
              <w:rPr>
                <w:rFonts w:cs="Arial"/>
                <w:b/>
                <w:sz w:val="20"/>
                <w:szCs w:val="20"/>
                <w:lang w:val="es-HN"/>
              </w:rPr>
              <w:t>5</w:t>
            </w:r>
            <w:r w:rsidR="00897C39" w:rsidRPr="002B7276">
              <w:rPr>
                <w:rFonts w:cs="Arial"/>
                <w:b/>
                <w:sz w:val="20"/>
                <w:szCs w:val="20"/>
                <w:lang w:val="es-HN"/>
              </w:rPr>
              <w:t>,</w:t>
            </w:r>
            <w:r w:rsidRPr="002B7276">
              <w:rPr>
                <w:rFonts w:cs="Arial"/>
                <w:b/>
                <w:sz w:val="20"/>
                <w:szCs w:val="20"/>
                <w:lang w:val="es-HN"/>
              </w:rPr>
              <w:t>658</w:t>
            </w:r>
          </w:p>
        </w:tc>
        <w:tc>
          <w:tcPr>
            <w:tcW w:w="1005" w:type="dxa"/>
            <w:vAlign w:val="center"/>
          </w:tcPr>
          <w:p w14:paraId="20344075" w14:textId="77777777" w:rsidR="006A3DBC" w:rsidRPr="002B7276" w:rsidRDefault="006A3DBC" w:rsidP="005F4A92">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Arial"/>
                <w:b/>
                <w:sz w:val="20"/>
                <w:szCs w:val="20"/>
                <w:lang w:val="es-HN"/>
              </w:rPr>
            </w:pPr>
            <w:r w:rsidRPr="002B7276">
              <w:rPr>
                <w:rFonts w:cs="Arial"/>
                <w:b/>
                <w:sz w:val="20"/>
                <w:szCs w:val="20"/>
                <w:lang w:val="es-HN"/>
              </w:rPr>
              <w:t>153</w:t>
            </w:r>
          </w:p>
        </w:tc>
        <w:tc>
          <w:tcPr>
            <w:tcW w:w="1688" w:type="dxa"/>
            <w:vAlign w:val="center"/>
          </w:tcPr>
          <w:p w14:paraId="0F9980B4" w14:textId="300D2855" w:rsidR="006A3DBC" w:rsidRPr="002B7276" w:rsidRDefault="006A3DBC" w:rsidP="005F4A92">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Arial"/>
                <w:b/>
                <w:sz w:val="20"/>
                <w:szCs w:val="20"/>
                <w:lang w:val="es-HN"/>
              </w:rPr>
            </w:pPr>
            <w:r w:rsidRPr="002B7276">
              <w:rPr>
                <w:rFonts w:cs="Arial"/>
                <w:b/>
                <w:sz w:val="20"/>
                <w:szCs w:val="20"/>
                <w:lang w:val="es-HN"/>
              </w:rPr>
              <w:t>2</w:t>
            </w:r>
            <w:r w:rsidR="00897C39" w:rsidRPr="002B7276">
              <w:rPr>
                <w:rFonts w:cs="Arial"/>
                <w:b/>
                <w:sz w:val="20"/>
                <w:szCs w:val="20"/>
                <w:lang w:val="es-HN"/>
              </w:rPr>
              <w:t>,</w:t>
            </w:r>
            <w:r w:rsidRPr="002B7276">
              <w:rPr>
                <w:rFonts w:cs="Arial"/>
                <w:b/>
                <w:sz w:val="20"/>
                <w:szCs w:val="20"/>
                <w:lang w:val="es-HN"/>
              </w:rPr>
              <w:t>232</w:t>
            </w:r>
          </w:p>
        </w:tc>
        <w:tc>
          <w:tcPr>
            <w:tcW w:w="1102" w:type="dxa"/>
            <w:vAlign w:val="center"/>
          </w:tcPr>
          <w:p w14:paraId="0EEB35B6" w14:textId="190E53A2" w:rsidR="006A3DBC" w:rsidRPr="002B7276" w:rsidRDefault="006A3DBC" w:rsidP="005F4A92">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Arial"/>
                <w:b/>
                <w:sz w:val="20"/>
                <w:szCs w:val="20"/>
                <w:lang w:val="es-HN"/>
              </w:rPr>
            </w:pPr>
            <w:r w:rsidRPr="002B7276">
              <w:rPr>
                <w:rFonts w:cs="Arial"/>
                <w:b/>
                <w:sz w:val="20"/>
                <w:szCs w:val="20"/>
                <w:lang w:val="es-HN"/>
              </w:rPr>
              <w:t>10</w:t>
            </w:r>
            <w:r w:rsidR="00897C39" w:rsidRPr="002B7276">
              <w:rPr>
                <w:rFonts w:cs="Arial"/>
                <w:b/>
                <w:sz w:val="20"/>
                <w:szCs w:val="20"/>
                <w:lang w:val="es-HN"/>
              </w:rPr>
              <w:t>,</w:t>
            </w:r>
            <w:r w:rsidRPr="002B7276">
              <w:rPr>
                <w:rFonts w:cs="Arial"/>
                <w:b/>
                <w:sz w:val="20"/>
                <w:szCs w:val="20"/>
                <w:lang w:val="es-HN"/>
              </w:rPr>
              <w:t>561</w:t>
            </w:r>
          </w:p>
        </w:tc>
      </w:tr>
    </w:tbl>
    <w:p w14:paraId="50B17C47" w14:textId="77777777" w:rsidR="006A3DBC" w:rsidRPr="00FA4B2D" w:rsidRDefault="006A3DBC" w:rsidP="006A3DBC">
      <w:pPr>
        <w:pStyle w:val="Prrafodelista"/>
        <w:spacing w:after="0" w:line="240" w:lineRule="auto"/>
        <w:ind w:left="0"/>
        <w:jc w:val="both"/>
        <w:rPr>
          <w:rFonts w:cs="Arial"/>
          <w:sz w:val="20"/>
          <w:szCs w:val="20"/>
          <w:lang w:val="es-HN"/>
        </w:rPr>
      </w:pPr>
      <w:r w:rsidRPr="00FA4B2D">
        <w:rPr>
          <w:rFonts w:cs="Arial"/>
          <w:b/>
          <w:bCs/>
          <w:sz w:val="20"/>
          <w:szCs w:val="20"/>
          <w:lang w:val="es-HN"/>
        </w:rPr>
        <w:t>Fuente</w:t>
      </w:r>
      <w:r w:rsidRPr="00FA4B2D">
        <w:rPr>
          <w:rFonts w:cs="Arial"/>
          <w:sz w:val="20"/>
          <w:szCs w:val="20"/>
          <w:lang w:val="es-HN"/>
        </w:rPr>
        <w:t>: Elaboración Propia con datos del Centro Electrónico de Documentación en Información Judicial (CEDIJ). Año 2017.</w:t>
      </w:r>
    </w:p>
    <w:p w14:paraId="43F983F0" w14:textId="77777777" w:rsidR="006A3DBC" w:rsidRPr="00FA4B2D" w:rsidRDefault="006A3DBC" w:rsidP="006A3DBC">
      <w:pPr>
        <w:pStyle w:val="Prrafodelista"/>
        <w:spacing w:after="0" w:line="240" w:lineRule="auto"/>
        <w:ind w:left="0"/>
        <w:jc w:val="both"/>
        <w:rPr>
          <w:rFonts w:cs="Arial"/>
          <w:b/>
          <w:lang w:val="es-HN"/>
        </w:rPr>
      </w:pPr>
    </w:p>
    <w:p w14:paraId="5647675A" w14:textId="77777777" w:rsidR="006A3DBC" w:rsidRPr="00FA4B2D" w:rsidRDefault="006A3DBC" w:rsidP="006A3DBC">
      <w:pPr>
        <w:pStyle w:val="Prrafodelista"/>
        <w:spacing w:after="0" w:line="240" w:lineRule="auto"/>
        <w:ind w:left="0"/>
        <w:jc w:val="both"/>
        <w:rPr>
          <w:rFonts w:cs="Arial"/>
        </w:rPr>
      </w:pPr>
      <w:r w:rsidRPr="00FA4B2D">
        <w:rPr>
          <w:rFonts w:cs="Arial"/>
        </w:rPr>
        <w:t>En el país, el porcentaje de los hogares con jefatura femenina es de 28%, mostrando una tendencia al incremento en comparación con las dos encuestas anteriores (26 % en la ENDESA 2005-2006 y 21 % en la ENESF 2001), este mismo estudio estima que por área de residencia, la jefatura femenina es mayor en el área urbana que en la rural (34% y 22% respectivamente).</w:t>
      </w:r>
    </w:p>
    <w:p w14:paraId="0C54C762" w14:textId="77777777" w:rsidR="006A3DBC" w:rsidRPr="00FA4B2D" w:rsidRDefault="006A3DBC" w:rsidP="006A3DBC">
      <w:pPr>
        <w:pStyle w:val="Prrafodelista"/>
        <w:spacing w:after="0" w:line="240" w:lineRule="auto"/>
        <w:ind w:left="0"/>
        <w:jc w:val="both"/>
        <w:rPr>
          <w:rFonts w:cs="Arial"/>
        </w:rPr>
      </w:pPr>
      <w:r w:rsidRPr="00FA4B2D">
        <w:rPr>
          <w:rFonts w:cs="Arial"/>
        </w:rPr>
        <w:t xml:space="preserve"> </w:t>
      </w:r>
    </w:p>
    <w:p w14:paraId="2B71AC5B" w14:textId="77777777" w:rsidR="006A3DBC" w:rsidRPr="00FA4B2D" w:rsidRDefault="006A3DBC" w:rsidP="006A3DBC">
      <w:pPr>
        <w:pStyle w:val="Prrafodelista"/>
        <w:spacing w:after="0" w:line="240" w:lineRule="auto"/>
        <w:ind w:left="0"/>
        <w:jc w:val="both"/>
        <w:rPr>
          <w:rFonts w:cs="Arial"/>
        </w:rPr>
      </w:pPr>
      <w:r w:rsidRPr="00FA4B2D">
        <w:rPr>
          <w:rFonts w:cs="Arial"/>
        </w:rPr>
        <w:lastRenderedPageBreak/>
        <w:t>Tanto en el área urbana como en la rural, la proporción de mujeres a cargo de su hogar se incrementó en 2 puntos porcentuales con relación a lo observado en la ENDESA 2005-2006. Un tercio de los hogares en Francisco Morazán (34%) tienen una jefatura femenina, en comparación con 22 % en Lempira, lo cual parece indicar se asocia al fenómeno de urbanización de la población hondureña. El promedio de miembros del hogar del área urbana es de 4.2 y en el área rural es de 4.7, cifras menores a las encontradas en la ENDESA 2005-2006 (4.4 y 5.2, respectivamente). Tanto en el área urbana como en la rural, el 67 % de hogares tienen de 3 a 6 miembros. Sin embargo, el área rural tiene una mayor proporción de hogares con más de 6 miembros que el área urbana.</w:t>
      </w:r>
    </w:p>
    <w:p w14:paraId="42EDE9E9" w14:textId="77777777" w:rsidR="006A3DBC" w:rsidRPr="00FA4B2D" w:rsidRDefault="006A3DBC" w:rsidP="006A3DBC">
      <w:pPr>
        <w:pStyle w:val="Prrafodelista"/>
        <w:spacing w:after="0" w:line="240" w:lineRule="auto"/>
        <w:ind w:left="0"/>
        <w:jc w:val="both"/>
        <w:rPr>
          <w:rFonts w:cs="Arial"/>
          <w:b/>
          <w:lang w:val="es-HN"/>
        </w:rPr>
      </w:pPr>
    </w:p>
    <w:p w14:paraId="3C337B18" w14:textId="5FB18299" w:rsidR="006A3DBC" w:rsidRPr="00FA4B2D" w:rsidRDefault="006A3DBC" w:rsidP="006A3DBC">
      <w:pPr>
        <w:pStyle w:val="Prrafodelista"/>
        <w:numPr>
          <w:ilvl w:val="0"/>
          <w:numId w:val="9"/>
        </w:numPr>
        <w:spacing w:after="0" w:line="240" w:lineRule="auto"/>
        <w:ind w:left="0" w:firstLine="0"/>
        <w:jc w:val="both"/>
        <w:rPr>
          <w:rFonts w:cs="Arial"/>
        </w:rPr>
      </w:pPr>
      <w:r w:rsidRPr="00FA4B2D">
        <w:rPr>
          <w:rFonts w:cs="Arial"/>
          <w:b/>
          <w:lang w:val="es-HN"/>
        </w:rPr>
        <w:t xml:space="preserve">Jóvenes y adolescentes: </w:t>
      </w:r>
      <w:r w:rsidRPr="00FA4B2D">
        <w:rPr>
          <w:rFonts w:cs="Arial"/>
        </w:rPr>
        <w:t xml:space="preserve">A pesar de tener más educación y un mayor acceso a las tecnologías de la información y de la comunicación, los jóvenes en Honduras enfrentan dificultades para insertarse en el mundo del trabajo formal. Esta situación de desempleo y falta de oportunidades de acceder a un puesto de trabajo en la economía formal e informal es una condicionante para su inclinación por comportamientos socialmente cuestionados y contra las normas de sana convivencia, una inclinación lamentable que induce a la violencia que registra cada día la participación de población joven.  </w:t>
      </w:r>
    </w:p>
    <w:p w14:paraId="1E060D54" w14:textId="77777777" w:rsidR="006A3DBC" w:rsidRPr="00FA4B2D" w:rsidRDefault="006A3DBC" w:rsidP="006A3DBC">
      <w:pPr>
        <w:spacing w:after="0" w:line="240" w:lineRule="auto"/>
        <w:jc w:val="both"/>
        <w:rPr>
          <w:rFonts w:cs="Arial"/>
        </w:rPr>
      </w:pPr>
    </w:p>
    <w:p w14:paraId="693A1F89" w14:textId="77777777" w:rsidR="006A3DBC" w:rsidRPr="00FA4B2D" w:rsidRDefault="006A3DBC" w:rsidP="006A3DBC">
      <w:pPr>
        <w:spacing w:after="0" w:line="240" w:lineRule="auto"/>
        <w:jc w:val="both"/>
        <w:rPr>
          <w:rFonts w:cs="Arial"/>
        </w:rPr>
      </w:pPr>
      <w:r w:rsidRPr="00FA4B2D">
        <w:rPr>
          <w:rFonts w:cs="Arial"/>
        </w:rPr>
        <w:t>Son identificados como fuentes de la violencia juvenil los siguientes: 1) la desintegración familiar y la deficiente formación en valores en el hogar y en la escuela; 2) la mara o pandilla como espacio de interacción en el que encuentra lo que experimenta en el hogar: sentido de identidad y de protección, y, 3) la falta de oportunidades. Desde el punto de vista de la identidad cultural, se reprocha a la juventud el estar abandonando valores, símbolos, creencias y modos de comportamiento característicos de la hondureñidad y adoptando patrones culturales de otros países, sobre todo de los Estados Unidos.</w:t>
      </w:r>
    </w:p>
    <w:p w14:paraId="75D8CAAB" w14:textId="77777777" w:rsidR="006A3DBC" w:rsidRPr="00FA4B2D" w:rsidRDefault="006A3DBC" w:rsidP="006A3DBC">
      <w:pPr>
        <w:spacing w:after="0" w:line="240" w:lineRule="auto"/>
        <w:jc w:val="both"/>
        <w:rPr>
          <w:rFonts w:cs="Arial"/>
        </w:rPr>
      </w:pPr>
    </w:p>
    <w:p w14:paraId="18E404A6" w14:textId="77777777" w:rsidR="006A3DBC" w:rsidRPr="00FA4B2D" w:rsidRDefault="006A3DBC" w:rsidP="006A3DBC">
      <w:pPr>
        <w:jc w:val="both"/>
        <w:rPr>
          <w:rFonts w:cs="Arial"/>
          <w:b/>
          <w:lang w:val="es-HN"/>
        </w:rPr>
      </w:pPr>
      <w:r w:rsidRPr="00FA4B2D">
        <w:rPr>
          <w:rFonts w:cs="Arial"/>
        </w:rPr>
        <w:t>E</w:t>
      </w:r>
      <w:r w:rsidRPr="00FA4B2D">
        <w:rPr>
          <w:rFonts w:cs="Arial"/>
          <w:lang w:val="es-HN"/>
        </w:rPr>
        <w:t>l Observatorio de la Violencia de Honduras, registra una alta tasa de muertes violentas de menores de 30 años. Según este instituto de enero del año 2010 al 2018, se registraron 403 muertes violentas de la niñez y juventud. Y el 98 % de estos no sobrepasan los 30 años. Los universitarios no se escapan de esta ola de violencia, al menos 114 jóvenes han sido asesinados</w:t>
      </w:r>
      <w:r w:rsidRPr="00FA4B2D">
        <w:rPr>
          <w:rStyle w:val="Refdenotaalpie"/>
          <w:rFonts w:cs="Arial"/>
          <w:lang w:val="es-HN"/>
        </w:rPr>
        <w:footnoteReference w:id="38"/>
      </w:r>
      <w:r w:rsidRPr="00FA4B2D">
        <w:rPr>
          <w:rFonts w:cs="Arial"/>
          <w:b/>
          <w:lang w:val="es-HN"/>
        </w:rPr>
        <w:t>.</w:t>
      </w:r>
    </w:p>
    <w:p w14:paraId="7E9317F6" w14:textId="77777777" w:rsidR="006A3DBC" w:rsidRPr="00FA4B2D" w:rsidRDefault="006A3DBC" w:rsidP="006A3DBC">
      <w:pPr>
        <w:jc w:val="both"/>
        <w:rPr>
          <w:rFonts w:cs="Arial"/>
          <w:b/>
          <w:lang w:val="es-HN"/>
        </w:rPr>
      </w:pPr>
      <w:r w:rsidRPr="00FA4B2D">
        <w:rPr>
          <w:rFonts w:cs="Arial"/>
          <w:lang w:val="es-HN"/>
        </w:rPr>
        <w:t xml:space="preserve">Por otro lado, según algunas de las conclusiones del informe ‘Situación de maras y pandillas en Honduras”, presentado por el Programa Nacional de Prevención, Rehabilitación y Reinserción Social (PRRS) con el apoyo de UNICEF para conocer la realidad de estos grupos, indica que más de 4,700 niñas, niños y jóvenes pertenecen a alguna mara o pandilla en Honduras. La exclusión social y la falta de oportunidades son algunos de los factores que los impulsan a ingresar en estos </w:t>
      </w:r>
      <w:r w:rsidRPr="00FA4B2D">
        <w:rPr>
          <w:rFonts w:cs="Arial"/>
          <w:lang w:val="es-HN"/>
        </w:rPr>
        <w:lastRenderedPageBreak/>
        <w:t>grupos, que también logran un impacto negativo en la educación al provocar la deserción de estudiantes de sus escuelas mediante extorsiones y amenazas</w:t>
      </w:r>
      <w:r w:rsidRPr="00FA4B2D">
        <w:rPr>
          <w:rStyle w:val="Refdenotaalpie"/>
          <w:rFonts w:cs="Arial"/>
          <w:lang w:val="es-HN"/>
        </w:rPr>
        <w:footnoteReference w:id="39"/>
      </w:r>
      <w:r w:rsidRPr="00FA4B2D">
        <w:rPr>
          <w:rFonts w:cs="Arial"/>
          <w:b/>
          <w:lang w:val="es-HN"/>
        </w:rPr>
        <w:t>.</w:t>
      </w:r>
    </w:p>
    <w:p w14:paraId="6C0B3964" w14:textId="77777777" w:rsidR="006A3DBC" w:rsidRPr="00FA4B2D" w:rsidRDefault="006A3DBC" w:rsidP="006A3DBC">
      <w:pPr>
        <w:jc w:val="both"/>
        <w:rPr>
          <w:rFonts w:cs="Arial"/>
          <w:lang w:val="es-HN"/>
        </w:rPr>
      </w:pPr>
      <w:r w:rsidRPr="00FA4B2D">
        <w:rPr>
          <w:rFonts w:cs="Arial"/>
          <w:lang w:val="es-HN"/>
        </w:rPr>
        <w:t>Según registros oficiales que maneja el Centro Electrónico de Documentación en Información Judicial (CEDIJ) para el año 2017, la infracción de mayor frecuencia entre los adolescentes es el tráfico de estupefacientes con el 35.5% de las infracciones, seguido de la portación ilegal de armas 22.0% y el robo con el 21.2%.</w:t>
      </w:r>
    </w:p>
    <w:p w14:paraId="22D4BD93" w14:textId="7A7E1A6E" w:rsidR="00F94AC4" w:rsidRDefault="00F94AC4" w:rsidP="00F94AC4">
      <w:pPr>
        <w:pStyle w:val="Descripcin"/>
        <w:keepNext/>
      </w:pPr>
      <w:bookmarkStart w:id="744" w:name="_Toc202455475"/>
      <w:r>
        <w:t xml:space="preserve">Tabla </w:t>
      </w:r>
      <w:r>
        <w:fldChar w:fldCharType="begin"/>
      </w:r>
      <w:r>
        <w:instrText xml:space="preserve"> SEQ Tabla \* ARABIC </w:instrText>
      </w:r>
      <w:r>
        <w:fldChar w:fldCharType="separate"/>
      </w:r>
      <w:r w:rsidR="000E6D86">
        <w:rPr>
          <w:noProof/>
        </w:rPr>
        <w:t>49</w:t>
      </w:r>
      <w:r>
        <w:fldChar w:fldCharType="end"/>
      </w:r>
      <w:r>
        <w:t xml:space="preserve">: </w:t>
      </w:r>
      <w:r w:rsidRPr="004122A1">
        <w:t>Infracciones de Mayor Frecuencia Entre la Niñez y Adolescencia</w:t>
      </w:r>
      <w:bookmarkEnd w:id="744"/>
    </w:p>
    <w:tbl>
      <w:tblPr>
        <w:tblStyle w:val="Tabladecuadrcula2-nfasis3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4"/>
        <w:gridCol w:w="1894"/>
        <w:gridCol w:w="2268"/>
      </w:tblGrid>
      <w:tr w:rsidR="002B7276" w:rsidRPr="002B7276" w14:paraId="53796B14" w14:textId="77777777" w:rsidTr="0001684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44" w:type="dxa"/>
            <w:shd w:val="clear" w:color="auto" w:fill="5CC5DA"/>
            <w:vAlign w:val="center"/>
          </w:tcPr>
          <w:p w14:paraId="3F620E1F" w14:textId="77777777" w:rsidR="006A3DBC" w:rsidRPr="002B7276" w:rsidRDefault="006A3DBC" w:rsidP="005F4A92">
            <w:pPr>
              <w:jc w:val="center"/>
              <w:rPr>
                <w:rFonts w:cs="Arial"/>
                <w:sz w:val="20"/>
                <w:szCs w:val="20"/>
                <w:lang w:val="es-HN"/>
              </w:rPr>
            </w:pPr>
            <w:r w:rsidRPr="002B7276">
              <w:rPr>
                <w:rFonts w:cs="Arial"/>
                <w:sz w:val="20"/>
                <w:szCs w:val="20"/>
                <w:lang w:val="es-HN"/>
              </w:rPr>
              <w:t>Infracciones</w:t>
            </w:r>
          </w:p>
        </w:tc>
        <w:tc>
          <w:tcPr>
            <w:tcW w:w="1894" w:type="dxa"/>
            <w:shd w:val="clear" w:color="auto" w:fill="5CC5DA"/>
            <w:vAlign w:val="center"/>
          </w:tcPr>
          <w:p w14:paraId="2FC48C56" w14:textId="77777777" w:rsidR="006A3DBC" w:rsidRPr="002B7276" w:rsidRDefault="006A3DBC" w:rsidP="005F4A92">
            <w:pPr>
              <w:jc w:val="center"/>
              <w:cnfStyle w:val="100000000000" w:firstRow="1" w:lastRow="0" w:firstColumn="0" w:lastColumn="0" w:oddVBand="0" w:evenVBand="0" w:oddHBand="0" w:evenHBand="0" w:firstRowFirstColumn="0" w:firstRowLastColumn="0" w:lastRowFirstColumn="0" w:lastRowLastColumn="0"/>
              <w:rPr>
                <w:rFonts w:cs="Arial"/>
                <w:sz w:val="20"/>
                <w:szCs w:val="20"/>
                <w:lang w:val="es-HN"/>
              </w:rPr>
            </w:pPr>
            <w:r w:rsidRPr="002B7276">
              <w:rPr>
                <w:rFonts w:cs="Arial"/>
                <w:sz w:val="20"/>
                <w:szCs w:val="20"/>
                <w:lang w:val="es-HN"/>
              </w:rPr>
              <w:t>Cantidad</w:t>
            </w:r>
          </w:p>
        </w:tc>
        <w:tc>
          <w:tcPr>
            <w:tcW w:w="2268" w:type="dxa"/>
            <w:shd w:val="clear" w:color="auto" w:fill="5CC5DA"/>
            <w:vAlign w:val="center"/>
          </w:tcPr>
          <w:p w14:paraId="22488740" w14:textId="77777777" w:rsidR="006A3DBC" w:rsidRPr="002B7276" w:rsidRDefault="006A3DBC" w:rsidP="005F4A92">
            <w:pPr>
              <w:jc w:val="center"/>
              <w:cnfStyle w:val="100000000000" w:firstRow="1" w:lastRow="0" w:firstColumn="0" w:lastColumn="0" w:oddVBand="0" w:evenVBand="0" w:oddHBand="0" w:evenHBand="0" w:firstRowFirstColumn="0" w:firstRowLastColumn="0" w:lastRowFirstColumn="0" w:lastRowLastColumn="0"/>
              <w:rPr>
                <w:rFonts w:cs="Arial"/>
                <w:sz w:val="20"/>
                <w:szCs w:val="20"/>
                <w:lang w:val="es-HN"/>
              </w:rPr>
            </w:pPr>
            <w:r w:rsidRPr="002B7276">
              <w:rPr>
                <w:rFonts w:cs="Arial"/>
                <w:sz w:val="20"/>
                <w:szCs w:val="20"/>
                <w:lang w:val="es-HN"/>
              </w:rPr>
              <w:t>Porcentaje</w:t>
            </w:r>
          </w:p>
        </w:tc>
      </w:tr>
      <w:tr w:rsidR="002B7276" w:rsidRPr="002B7276" w14:paraId="7D36A573" w14:textId="77777777" w:rsidTr="005F4A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44" w:type="dxa"/>
            <w:vAlign w:val="center"/>
          </w:tcPr>
          <w:p w14:paraId="740DCD62" w14:textId="77777777" w:rsidR="006A3DBC" w:rsidRPr="002B7276" w:rsidRDefault="006A3DBC" w:rsidP="005F4A92">
            <w:pPr>
              <w:jc w:val="both"/>
              <w:rPr>
                <w:rFonts w:cs="Arial"/>
                <w:b w:val="0"/>
                <w:bCs w:val="0"/>
                <w:sz w:val="20"/>
                <w:szCs w:val="20"/>
                <w:lang w:val="es-HN"/>
              </w:rPr>
            </w:pPr>
            <w:r w:rsidRPr="002B7276">
              <w:rPr>
                <w:rFonts w:cs="Arial"/>
                <w:b w:val="0"/>
                <w:bCs w:val="0"/>
                <w:sz w:val="20"/>
                <w:szCs w:val="20"/>
                <w:lang w:val="es-HN"/>
              </w:rPr>
              <w:t>Tráfico de Estupefacientes</w:t>
            </w:r>
          </w:p>
        </w:tc>
        <w:tc>
          <w:tcPr>
            <w:tcW w:w="1894" w:type="dxa"/>
            <w:vAlign w:val="center"/>
          </w:tcPr>
          <w:p w14:paraId="508D10C0" w14:textId="77777777" w:rsidR="006A3DBC" w:rsidRPr="002B7276" w:rsidRDefault="006A3DBC" w:rsidP="005F4A92">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HN"/>
              </w:rPr>
            </w:pPr>
            <w:r w:rsidRPr="002B7276">
              <w:rPr>
                <w:rFonts w:cs="Arial"/>
                <w:sz w:val="20"/>
                <w:szCs w:val="20"/>
                <w:lang w:val="es-HN"/>
              </w:rPr>
              <w:t>332</w:t>
            </w:r>
          </w:p>
        </w:tc>
        <w:tc>
          <w:tcPr>
            <w:tcW w:w="2268" w:type="dxa"/>
            <w:vAlign w:val="center"/>
          </w:tcPr>
          <w:p w14:paraId="4EC8822C" w14:textId="77777777" w:rsidR="006A3DBC" w:rsidRPr="002B7276" w:rsidRDefault="006A3DBC" w:rsidP="005F4A92">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HN"/>
              </w:rPr>
            </w:pPr>
            <w:r w:rsidRPr="002B7276">
              <w:rPr>
                <w:rFonts w:cs="Arial"/>
                <w:sz w:val="20"/>
                <w:szCs w:val="20"/>
                <w:lang w:val="es-HN"/>
              </w:rPr>
              <w:t>35.5%</w:t>
            </w:r>
          </w:p>
        </w:tc>
      </w:tr>
      <w:tr w:rsidR="002B7276" w:rsidRPr="002B7276" w14:paraId="3FD7627C" w14:textId="77777777" w:rsidTr="005F4A92">
        <w:trPr>
          <w:jc w:val="center"/>
        </w:trPr>
        <w:tc>
          <w:tcPr>
            <w:cnfStyle w:val="001000000000" w:firstRow="0" w:lastRow="0" w:firstColumn="1" w:lastColumn="0" w:oddVBand="0" w:evenVBand="0" w:oddHBand="0" w:evenHBand="0" w:firstRowFirstColumn="0" w:firstRowLastColumn="0" w:lastRowFirstColumn="0" w:lastRowLastColumn="0"/>
            <w:tcW w:w="2844" w:type="dxa"/>
            <w:vAlign w:val="center"/>
          </w:tcPr>
          <w:p w14:paraId="34763A51" w14:textId="77777777" w:rsidR="006A3DBC" w:rsidRPr="002B7276" w:rsidRDefault="006A3DBC" w:rsidP="005F4A92">
            <w:pPr>
              <w:jc w:val="both"/>
              <w:rPr>
                <w:rFonts w:cs="Arial"/>
                <w:b w:val="0"/>
                <w:bCs w:val="0"/>
                <w:sz w:val="20"/>
                <w:szCs w:val="20"/>
                <w:lang w:val="es-HN"/>
              </w:rPr>
            </w:pPr>
            <w:r w:rsidRPr="002B7276">
              <w:rPr>
                <w:rFonts w:cs="Arial"/>
                <w:b w:val="0"/>
                <w:bCs w:val="0"/>
                <w:sz w:val="20"/>
                <w:szCs w:val="20"/>
                <w:lang w:val="es-HN"/>
              </w:rPr>
              <w:t>Portación Ilegal de Armas</w:t>
            </w:r>
          </w:p>
        </w:tc>
        <w:tc>
          <w:tcPr>
            <w:tcW w:w="1894" w:type="dxa"/>
            <w:vAlign w:val="center"/>
          </w:tcPr>
          <w:p w14:paraId="36A813E9" w14:textId="77777777" w:rsidR="006A3DBC" w:rsidRPr="002B7276" w:rsidRDefault="006A3DBC" w:rsidP="005F4A92">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s-HN"/>
              </w:rPr>
            </w:pPr>
            <w:r w:rsidRPr="002B7276">
              <w:rPr>
                <w:rFonts w:cs="Arial"/>
                <w:sz w:val="20"/>
                <w:szCs w:val="20"/>
                <w:lang w:val="es-HN"/>
              </w:rPr>
              <w:t>206</w:t>
            </w:r>
          </w:p>
        </w:tc>
        <w:tc>
          <w:tcPr>
            <w:tcW w:w="2268" w:type="dxa"/>
            <w:vAlign w:val="center"/>
          </w:tcPr>
          <w:p w14:paraId="6910AD5B" w14:textId="77777777" w:rsidR="006A3DBC" w:rsidRPr="002B7276" w:rsidRDefault="006A3DBC" w:rsidP="005F4A92">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s-HN"/>
              </w:rPr>
            </w:pPr>
            <w:r w:rsidRPr="002B7276">
              <w:rPr>
                <w:rFonts w:cs="Arial"/>
                <w:sz w:val="20"/>
                <w:szCs w:val="20"/>
                <w:lang w:val="es-HN"/>
              </w:rPr>
              <w:t>22.0%</w:t>
            </w:r>
          </w:p>
        </w:tc>
      </w:tr>
      <w:tr w:rsidR="002B7276" w:rsidRPr="002B7276" w14:paraId="7BFE4F76" w14:textId="77777777" w:rsidTr="005F4A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44" w:type="dxa"/>
            <w:vAlign w:val="center"/>
          </w:tcPr>
          <w:p w14:paraId="44EA1480" w14:textId="77777777" w:rsidR="006A3DBC" w:rsidRPr="002B7276" w:rsidRDefault="006A3DBC" w:rsidP="005F4A92">
            <w:pPr>
              <w:jc w:val="both"/>
              <w:rPr>
                <w:rFonts w:cs="Arial"/>
                <w:b w:val="0"/>
                <w:bCs w:val="0"/>
                <w:sz w:val="20"/>
                <w:szCs w:val="20"/>
                <w:lang w:val="es-HN"/>
              </w:rPr>
            </w:pPr>
            <w:r w:rsidRPr="002B7276">
              <w:rPr>
                <w:rFonts w:cs="Arial"/>
                <w:b w:val="0"/>
                <w:bCs w:val="0"/>
                <w:sz w:val="20"/>
                <w:szCs w:val="20"/>
                <w:lang w:val="es-HN"/>
              </w:rPr>
              <w:t>Robo</w:t>
            </w:r>
          </w:p>
        </w:tc>
        <w:tc>
          <w:tcPr>
            <w:tcW w:w="1894" w:type="dxa"/>
            <w:vAlign w:val="center"/>
          </w:tcPr>
          <w:p w14:paraId="63214A17" w14:textId="77777777" w:rsidR="006A3DBC" w:rsidRPr="002B7276" w:rsidRDefault="006A3DBC" w:rsidP="005F4A92">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HN"/>
              </w:rPr>
            </w:pPr>
            <w:r w:rsidRPr="002B7276">
              <w:rPr>
                <w:rFonts w:cs="Arial"/>
                <w:sz w:val="20"/>
                <w:szCs w:val="20"/>
                <w:lang w:val="es-HN"/>
              </w:rPr>
              <w:t>198</w:t>
            </w:r>
          </w:p>
        </w:tc>
        <w:tc>
          <w:tcPr>
            <w:tcW w:w="2268" w:type="dxa"/>
            <w:vAlign w:val="center"/>
          </w:tcPr>
          <w:p w14:paraId="0F243B29" w14:textId="77777777" w:rsidR="006A3DBC" w:rsidRPr="002B7276" w:rsidRDefault="006A3DBC" w:rsidP="005F4A92">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HN"/>
              </w:rPr>
            </w:pPr>
            <w:r w:rsidRPr="002B7276">
              <w:rPr>
                <w:rFonts w:cs="Arial"/>
                <w:sz w:val="20"/>
                <w:szCs w:val="20"/>
                <w:lang w:val="es-HN"/>
              </w:rPr>
              <w:t>21.2%</w:t>
            </w:r>
          </w:p>
        </w:tc>
      </w:tr>
      <w:tr w:rsidR="002B7276" w:rsidRPr="002B7276" w14:paraId="556B7BE3" w14:textId="77777777" w:rsidTr="005F4A92">
        <w:trPr>
          <w:jc w:val="center"/>
        </w:trPr>
        <w:tc>
          <w:tcPr>
            <w:cnfStyle w:val="001000000000" w:firstRow="0" w:lastRow="0" w:firstColumn="1" w:lastColumn="0" w:oddVBand="0" w:evenVBand="0" w:oddHBand="0" w:evenHBand="0" w:firstRowFirstColumn="0" w:firstRowLastColumn="0" w:lastRowFirstColumn="0" w:lastRowLastColumn="0"/>
            <w:tcW w:w="2844" w:type="dxa"/>
            <w:vAlign w:val="center"/>
          </w:tcPr>
          <w:p w14:paraId="663B4B37" w14:textId="77777777" w:rsidR="006A3DBC" w:rsidRPr="002B7276" w:rsidRDefault="006A3DBC" w:rsidP="005F4A92">
            <w:pPr>
              <w:jc w:val="both"/>
              <w:rPr>
                <w:rFonts w:cs="Arial"/>
                <w:b w:val="0"/>
                <w:bCs w:val="0"/>
                <w:sz w:val="20"/>
                <w:szCs w:val="20"/>
                <w:lang w:val="es-HN"/>
              </w:rPr>
            </w:pPr>
            <w:r w:rsidRPr="002B7276">
              <w:rPr>
                <w:rFonts w:cs="Arial"/>
                <w:b w:val="0"/>
                <w:bCs w:val="0"/>
                <w:sz w:val="20"/>
                <w:szCs w:val="20"/>
                <w:lang w:val="es-HN"/>
              </w:rPr>
              <w:t>Extorción</w:t>
            </w:r>
          </w:p>
        </w:tc>
        <w:tc>
          <w:tcPr>
            <w:tcW w:w="1894" w:type="dxa"/>
            <w:vAlign w:val="center"/>
          </w:tcPr>
          <w:p w14:paraId="0BC165CF" w14:textId="77777777" w:rsidR="006A3DBC" w:rsidRPr="002B7276" w:rsidRDefault="006A3DBC" w:rsidP="005F4A92">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s-HN"/>
              </w:rPr>
            </w:pPr>
            <w:r w:rsidRPr="002B7276">
              <w:rPr>
                <w:rFonts w:cs="Arial"/>
                <w:sz w:val="20"/>
                <w:szCs w:val="20"/>
                <w:lang w:val="es-HN"/>
              </w:rPr>
              <w:t>107</w:t>
            </w:r>
          </w:p>
        </w:tc>
        <w:tc>
          <w:tcPr>
            <w:tcW w:w="2268" w:type="dxa"/>
            <w:vAlign w:val="center"/>
          </w:tcPr>
          <w:p w14:paraId="156B6E19" w14:textId="77777777" w:rsidR="006A3DBC" w:rsidRPr="002B7276" w:rsidRDefault="006A3DBC" w:rsidP="005F4A92">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s-HN"/>
              </w:rPr>
            </w:pPr>
            <w:r w:rsidRPr="002B7276">
              <w:rPr>
                <w:rFonts w:cs="Arial"/>
                <w:sz w:val="20"/>
                <w:szCs w:val="20"/>
                <w:lang w:val="es-HN"/>
              </w:rPr>
              <w:t>11.4%</w:t>
            </w:r>
          </w:p>
        </w:tc>
      </w:tr>
      <w:tr w:rsidR="002B7276" w:rsidRPr="002B7276" w14:paraId="038F41A6" w14:textId="77777777" w:rsidTr="005F4A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44" w:type="dxa"/>
            <w:vAlign w:val="center"/>
          </w:tcPr>
          <w:p w14:paraId="177CA642" w14:textId="77777777" w:rsidR="006A3DBC" w:rsidRPr="002B7276" w:rsidRDefault="006A3DBC" w:rsidP="005F4A92">
            <w:pPr>
              <w:jc w:val="both"/>
              <w:rPr>
                <w:rFonts w:cs="Arial"/>
                <w:b w:val="0"/>
                <w:bCs w:val="0"/>
                <w:sz w:val="20"/>
                <w:szCs w:val="20"/>
                <w:lang w:val="es-HN"/>
              </w:rPr>
            </w:pPr>
            <w:r w:rsidRPr="002B7276">
              <w:rPr>
                <w:rFonts w:cs="Arial"/>
                <w:b w:val="0"/>
                <w:bCs w:val="0"/>
                <w:sz w:val="20"/>
                <w:szCs w:val="20"/>
                <w:lang w:val="es-HN"/>
              </w:rPr>
              <w:t>Violación</w:t>
            </w:r>
          </w:p>
        </w:tc>
        <w:tc>
          <w:tcPr>
            <w:tcW w:w="1894" w:type="dxa"/>
            <w:vAlign w:val="center"/>
          </w:tcPr>
          <w:p w14:paraId="2402EFF2" w14:textId="77777777" w:rsidR="006A3DBC" w:rsidRPr="002B7276" w:rsidRDefault="006A3DBC" w:rsidP="005F4A92">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HN"/>
              </w:rPr>
            </w:pPr>
            <w:r w:rsidRPr="002B7276">
              <w:rPr>
                <w:rFonts w:cs="Arial"/>
                <w:sz w:val="20"/>
                <w:szCs w:val="20"/>
                <w:lang w:val="es-HN"/>
              </w:rPr>
              <w:t>93</w:t>
            </w:r>
          </w:p>
        </w:tc>
        <w:tc>
          <w:tcPr>
            <w:tcW w:w="2268" w:type="dxa"/>
            <w:vAlign w:val="center"/>
          </w:tcPr>
          <w:p w14:paraId="1FBBD2B6" w14:textId="77777777" w:rsidR="006A3DBC" w:rsidRPr="002B7276" w:rsidRDefault="006A3DBC" w:rsidP="005F4A92">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s-HN"/>
              </w:rPr>
            </w:pPr>
            <w:r w:rsidRPr="002B7276">
              <w:rPr>
                <w:rFonts w:cs="Arial"/>
                <w:sz w:val="20"/>
                <w:szCs w:val="20"/>
                <w:lang w:val="es-HN"/>
              </w:rPr>
              <w:t>9.9%</w:t>
            </w:r>
          </w:p>
        </w:tc>
      </w:tr>
      <w:tr w:rsidR="002B7276" w:rsidRPr="002B7276" w14:paraId="7F26C632" w14:textId="77777777" w:rsidTr="005F4A92">
        <w:trPr>
          <w:jc w:val="center"/>
        </w:trPr>
        <w:tc>
          <w:tcPr>
            <w:cnfStyle w:val="001000000000" w:firstRow="0" w:lastRow="0" w:firstColumn="1" w:lastColumn="0" w:oddVBand="0" w:evenVBand="0" w:oddHBand="0" w:evenHBand="0" w:firstRowFirstColumn="0" w:firstRowLastColumn="0" w:lastRowFirstColumn="0" w:lastRowLastColumn="0"/>
            <w:tcW w:w="2844" w:type="dxa"/>
            <w:vAlign w:val="center"/>
          </w:tcPr>
          <w:p w14:paraId="29D63341" w14:textId="77777777" w:rsidR="006A3DBC" w:rsidRPr="002B7276" w:rsidRDefault="006A3DBC" w:rsidP="00897C39">
            <w:pPr>
              <w:jc w:val="center"/>
              <w:rPr>
                <w:rFonts w:cs="Arial"/>
                <w:bCs w:val="0"/>
                <w:sz w:val="20"/>
                <w:szCs w:val="20"/>
                <w:lang w:val="es-HN"/>
              </w:rPr>
            </w:pPr>
            <w:r w:rsidRPr="002B7276">
              <w:rPr>
                <w:rFonts w:cs="Arial"/>
                <w:bCs w:val="0"/>
                <w:sz w:val="20"/>
                <w:szCs w:val="20"/>
                <w:lang w:val="es-HN"/>
              </w:rPr>
              <w:t>Total</w:t>
            </w:r>
          </w:p>
        </w:tc>
        <w:tc>
          <w:tcPr>
            <w:tcW w:w="1894" w:type="dxa"/>
            <w:vAlign w:val="center"/>
          </w:tcPr>
          <w:p w14:paraId="19791610" w14:textId="77777777" w:rsidR="006A3DBC" w:rsidRPr="002B7276" w:rsidRDefault="006A3DBC" w:rsidP="005F4A92">
            <w:pPr>
              <w:jc w:val="center"/>
              <w:cnfStyle w:val="000000000000" w:firstRow="0" w:lastRow="0" w:firstColumn="0" w:lastColumn="0" w:oddVBand="0" w:evenVBand="0" w:oddHBand="0" w:evenHBand="0" w:firstRowFirstColumn="0" w:firstRowLastColumn="0" w:lastRowFirstColumn="0" w:lastRowLastColumn="0"/>
              <w:rPr>
                <w:rFonts w:cs="Arial"/>
                <w:b/>
                <w:sz w:val="20"/>
                <w:szCs w:val="20"/>
                <w:lang w:val="es-HN"/>
              </w:rPr>
            </w:pPr>
            <w:r w:rsidRPr="002B7276">
              <w:rPr>
                <w:rFonts w:cs="Arial"/>
                <w:b/>
                <w:sz w:val="20"/>
                <w:szCs w:val="20"/>
                <w:lang w:val="es-HN"/>
              </w:rPr>
              <w:t>936</w:t>
            </w:r>
          </w:p>
        </w:tc>
        <w:tc>
          <w:tcPr>
            <w:tcW w:w="2268" w:type="dxa"/>
            <w:vAlign w:val="center"/>
          </w:tcPr>
          <w:p w14:paraId="5550284C" w14:textId="77777777" w:rsidR="006A3DBC" w:rsidRPr="002B7276" w:rsidRDefault="006A3DBC" w:rsidP="005F4A92">
            <w:pPr>
              <w:jc w:val="center"/>
              <w:cnfStyle w:val="000000000000" w:firstRow="0" w:lastRow="0" w:firstColumn="0" w:lastColumn="0" w:oddVBand="0" w:evenVBand="0" w:oddHBand="0" w:evenHBand="0" w:firstRowFirstColumn="0" w:firstRowLastColumn="0" w:lastRowFirstColumn="0" w:lastRowLastColumn="0"/>
              <w:rPr>
                <w:rFonts w:cs="Arial"/>
                <w:b/>
                <w:sz w:val="20"/>
                <w:szCs w:val="20"/>
                <w:lang w:val="es-HN"/>
              </w:rPr>
            </w:pPr>
            <w:r w:rsidRPr="002B7276">
              <w:rPr>
                <w:rFonts w:cs="Arial"/>
                <w:b/>
                <w:sz w:val="20"/>
                <w:szCs w:val="20"/>
                <w:lang w:val="es-HN"/>
              </w:rPr>
              <w:t>100.0%</w:t>
            </w:r>
          </w:p>
        </w:tc>
      </w:tr>
    </w:tbl>
    <w:p w14:paraId="0D8E5D29" w14:textId="77777777" w:rsidR="006A3DBC" w:rsidRPr="00FA4B2D" w:rsidRDefault="006A3DBC" w:rsidP="006A3DBC">
      <w:pPr>
        <w:jc w:val="both"/>
        <w:rPr>
          <w:rFonts w:cs="Arial"/>
          <w:sz w:val="20"/>
          <w:szCs w:val="20"/>
          <w:lang w:val="es-HN"/>
        </w:rPr>
      </w:pPr>
      <w:r w:rsidRPr="00FA4B2D">
        <w:rPr>
          <w:rFonts w:cs="Arial"/>
          <w:b/>
          <w:bCs/>
          <w:sz w:val="20"/>
          <w:szCs w:val="20"/>
          <w:lang w:val="es-HN"/>
        </w:rPr>
        <w:t>Fuente</w:t>
      </w:r>
      <w:r w:rsidRPr="00FA4B2D">
        <w:rPr>
          <w:rFonts w:cs="Arial"/>
          <w:sz w:val="20"/>
          <w:szCs w:val="20"/>
          <w:lang w:val="es-HN"/>
        </w:rPr>
        <w:t>: Elaboración Propia con datos del Centro Electrónico de Documentación en Información Judicial (CEDIJ). Año 2017</w:t>
      </w:r>
    </w:p>
    <w:p w14:paraId="29989E13" w14:textId="77777777" w:rsidR="006A3DBC" w:rsidRDefault="006A3DBC" w:rsidP="006A3DBC">
      <w:pPr>
        <w:jc w:val="both"/>
        <w:rPr>
          <w:rFonts w:cs="Arial"/>
          <w:lang w:val="es-HN"/>
        </w:rPr>
      </w:pPr>
      <w:r w:rsidRPr="00FA4B2D">
        <w:rPr>
          <w:rFonts w:cs="Arial"/>
          <w:lang w:val="es-HN"/>
        </w:rPr>
        <w:t>Otro factor de vulnerabilidad y problema social de alta prioridad por los registros de los últimos años es el embarazo en adolescentes que requiere un abordaje estratégico, integral y urgente. El inicio más temprano de relaciones sexuales, el limitado acceso a recibir educación sexual, servicios de salud integrales, la presión del grupo social de referencia y la falta de programas acordes a la edad para postergar el inicio de su vida sexual o evitar el primer embarazo ubican a Honduras como el segundo país de Latinoamérica con mayor fecundidad entre adolescentes. El embarazo en el grupo de 10 - 14 años merece especial atención, mientras menor es la edad de las niñas que han tenido relaciones sexuales, mayor es la probabilidad de que se hayan enfrentado a una relación sexual obligada. El hacinamiento en la vivienda propicia relaciones sexuales a edad temprana y violaciones de sus derechos dentro del círculo familiar, dando como resultado embarazos no deseados, altos índices de aborto en condiciones de riesgo, abandono escolar, baja autoestima y marginamiento social que las relega en la pobreza o inclusive a un suicidio. El embarazo en las adolescentes limita su continuidad en el sistema educativo y, junto a las desigualdades de género, diezma las posibilidades de que la adolescente desarrolle su potencial y pueda sumarse a la mano de obra calificada para insertarse en el mercado laboral, su menor calificación y menor ingreso, no permite ofrecer mejor nutrición y salud a sus hijos e hijas repercutiendo a futuro en el rendimiento escolar; menores oportunidades y como resultado, se transmite entre generaciones la pobreza.</w:t>
      </w:r>
    </w:p>
    <w:p w14:paraId="475B366B" w14:textId="77777777" w:rsidR="002B7276" w:rsidRDefault="002B7276" w:rsidP="006A3DBC">
      <w:pPr>
        <w:jc w:val="both"/>
        <w:rPr>
          <w:rFonts w:cs="Arial"/>
          <w:lang w:val="es-HN"/>
        </w:rPr>
      </w:pPr>
    </w:p>
    <w:p w14:paraId="35E89CED" w14:textId="77777777" w:rsidR="002B7276" w:rsidRDefault="002B7276" w:rsidP="006A3DBC">
      <w:pPr>
        <w:jc w:val="both"/>
        <w:rPr>
          <w:rFonts w:cs="Arial"/>
          <w:lang w:val="es-HN"/>
        </w:rPr>
      </w:pPr>
    </w:p>
    <w:p w14:paraId="6506DF4A" w14:textId="77777777" w:rsidR="002B7276" w:rsidRDefault="002B7276" w:rsidP="006A3DBC">
      <w:pPr>
        <w:jc w:val="both"/>
        <w:rPr>
          <w:rFonts w:cs="Arial"/>
          <w:lang w:val="es-HN"/>
        </w:rPr>
      </w:pPr>
    </w:p>
    <w:p w14:paraId="5EF510DF" w14:textId="77777777" w:rsidR="006A3DBC" w:rsidRPr="00FA4B2D" w:rsidRDefault="006A3DBC" w:rsidP="006A3DBC">
      <w:pPr>
        <w:pStyle w:val="Prrafodelista"/>
        <w:numPr>
          <w:ilvl w:val="0"/>
          <w:numId w:val="9"/>
        </w:numPr>
        <w:spacing w:after="0" w:line="240" w:lineRule="auto"/>
        <w:ind w:left="0" w:firstLine="0"/>
        <w:jc w:val="both"/>
        <w:rPr>
          <w:rFonts w:cs="Arial"/>
          <w:b/>
          <w:lang w:val="es-HN"/>
        </w:rPr>
      </w:pPr>
      <w:r w:rsidRPr="00FA4B2D">
        <w:rPr>
          <w:rFonts w:cs="Arial"/>
          <w:b/>
          <w:lang w:val="es-HN"/>
        </w:rPr>
        <w:t>Población Infantil:</w:t>
      </w:r>
    </w:p>
    <w:p w14:paraId="7A953045" w14:textId="77777777" w:rsidR="006A3DBC" w:rsidRPr="00FA4B2D" w:rsidRDefault="006A3DBC" w:rsidP="006A3DBC">
      <w:pPr>
        <w:pStyle w:val="Prrafodelista"/>
        <w:spacing w:after="0" w:line="240" w:lineRule="auto"/>
        <w:ind w:left="0"/>
        <w:jc w:val="both"/>
        <w:rPr>
          <w:rFonts w:cs="Arial"/>
          <w:lang w:val="es-HN"/>
        </w:rPr>
      </w:pPr>
    </w:p>
    <w:p w14:paraId="4869D189" w14:textId="77777777" w:rsidR="006A3DBC" w:rsidRPr="00FA4B2D" w:rsidRDefault="006A3DBC" w:rsidP="006A3DBC">
      <w:pPr>
        <w:pStyle w:val="Prrafodelista"/>
        <w:spacing w:after="0" w:line="240" w:lineRule="auto"/>
        <w:ind w:left="0"/>
        <w:jc w:val="both"/>
        <w:rPr>
          <w:rFonts w:cs="Arial"/>
        </w:rPr>
      </w:pPr>
      <w:r w:rsidRPr="00FA4B2D">
        <w:rPr>
          <w:rFonts w:cs="Arial"/>
        </w:rPr>
        <w:t xml:space="preserve">La Convención sobre los Derechos del Niño reconoce su derecho a ser protegidos contra la explotación económica y contra el desempeño de cualquier trabajo que pueda ser peligroso o entorpecer su educación, o que sea nocivo para su salud o para su desarrollo físico, mental, espiritual, moral o social. </w:t>
      </w:r>
    </w:p>
    <w:p w14:paraId="1E984206" w14:textId="77777777" w:rsidR="006A3DBC" w:rsidRPr="00FA4B2D" w:rsidRDefault="006A3DBC" w:rsidP="006A3DBC">
      <w:pPr>
        <w:pStyle w:val="Prrafodelista"/>
        <w:spacing w:after="0" w:line="240" w:lineRule="auto"/>
        <w:ind w:left="0"/>
        <w:jc w:val="both"/>
        <w:rPr>
          <w:rFonts w:cs="Arial"/>
        </w:rPr>
      </w:pPr>
    </w:p>
    <w:p w14:paraId="52299E12" w14:textId="77777777" w:rsidR="006A3DBC" w:rsidRPr="00FA4B2D" w:rsidRDefault="006A3DBC" w:rsidP="006A3DBC">
      <w:pPr>
        <w:pStyle w:val="Prrafodelista"/>
        <w:spacing w:after="0" w:line="240" w:lineRule="auto"/>
        <w:ind w:left="0"/>
        <w:jc w:val="both"/>
        <w:rPr>
          <w:rFonts w:cs="Arial"/>
        </w:rPr>
      </w:pPr>
      <w:r w:rsidRPr="00FA4B2D">
        <w:rPr>
          <w:rFonts w:cs="Arial"/>
          <w:lang w:val="es-HN"/>
        </w:rPr>
        <w:t xml:space="preserve">La población total de </w:t>
      </w:r>
      <w:proofErr w:type="gramStart"/>
      <w:r w:rsidRPr="00FA4B2D">
        <w:rPr>
          <w:rFonts w:cs="Arial"/>
          <w:lang w:val="es-HN"/>
        </w:rPr>
        <w:t>niñas y niños</w:t>
      </w:r>
      <w:proofErr w:type="gramEnd"/>
      <w:r w:rsidRPr="00FA4B2D">
        <w:rPr>
          <w:rFonts w:cs="Arial"/>
          <w:lang w:val="es-HN"/>
        </w:rPr>
        <w:t xml:space="preserve"> entre los 5 a 17 años asciende a 2, 660,981, (INE 2013) de los cuales el 14.0% (371,386) se encuentran activos en el mercado laboral. Del total de esta población, el 9.0% (240,747) solo trabajan, el 4.9% (130,639) estudian y trabajan, un 15.6% (416,070) ni estudian ni trabajan y el 70.4% (1, 873,525) estudian. </w:t>
      </w:r>
      <w:r w:rsidRPr="00FA4B2D">
        <w:rPr>
          <w:rFonts w:cs="Arial"/>
        </w:rPr>
        <w:t xml:space="preserve">A nivel nacional en Honduras, la encuesta ENDESA identificó la presencia de situaciones de trabajo infantil, siendo que el 15.3% de los niños entre 5 y 17 años se enfrentan a esta situación.  </w:t>
      </w:r>
    </w:p>
    <w:p w14:paraId="21A1F3BB" w14:textId="77777777" w:rsidR="006A3DBC" w:rsidRPr="00FA4B2D" w:rsidRDefault="006A3DBC" w:rsidP="006A3DBC">
      <w:pPr>
        <w:pStyle w:val="Prrafodelista"/>
        <w:spacing w:after="0" w:line="240" w:lineRule="auto"/>
        <w:ind w:left="0"/>
        <w:jc w:val="both"/>
        <w:rPr>
          <w:rFonts w:cs="Arial"/>
          <w:lang w:val="es-HN"/>
        </w:rPr>
      </w:pPr>
    </w:p>
    <w:p w14:paraId="5D100295" w14:textId="77777777" w:rsidR="006A3DBC" w:rsidRPr="00FA4B2D" w:rsidRDefault="006A3DBC" w:rsidP="006A3DBC">
      <w:pPr>
        <w:pStyle w:val="Prrafodelista"/>
        <w:spacing w:after="0" w:line="240" w:lineRule="auto"/>
        <w:ind w:left="0"/>
        <w:jc w:val="both"/>
        <w:rPr>
          <w:rFonts w:cs="Arial"/>
          <w:lang w:val="es-HN"/>
        </w:rPr>
      </w:pPr>
      <w:r w:rsidRPr="00FA4B2D">
        <w:rPr>
          <w:rFonts w:cs="Arial"/>
          <w:lang w:val="es-HN"/>
        </w:rPr>
        <w:t xml:space="preserve">Las ocupaciones donde tienen mayor concentración de </w:t>
      </w:r>
      <w:proofErr w:type="gramStart"/>
      <w:r w:rsidRPr="00FA4B2D">
        <w:rPr>
          <w:rFonts w:cs="Arial"/>
          <w:lang w:val="es-HN"/>
        </w:rPr>
        <w:t>niños y niñas</w:t>
      </w:r>
      <w:proofErr w:type="gramEnd"/>
      <w:r w:rsidRPr="00FA4B2D">
        <w:rPr>
          <w:rFonts w:cs="Arial"/>
          <w:lang w:val="es-HN"/>
        </w:rPr>
        <w:t xml:space="preserve"> trabajadores, es el sector agropecuario, que emplea la mayor cantidad de niños y niñas 59.7%, 74.8% de los niños y 19.3% de las niñas. Este sector es seguido por el trabajo en albañilería y mecánica con 12.5% del total de </w:t>
      </w:r>
      <w:proofErr w:type="gramStart"/>
      <w:r w:rsidRPr="00FA4B2D">
        <w:rPr>
          <w:rFonts w:cs="Arial"/>
          <w:lang w:val="es-HN"/>
        </w:rPr>
        <w:t>niños y niñas</w:t>
      </w:r>
      <w:proofErr w:type="gramEnd"/>
      <w:r w:rsidRPr="00FA4B2D">
        <w:rPr>
          <w:rFonts w:cs="Arial"/>
          <w:lang w:val="es-HN"/>
        </w:rPr>
        <w:t xml:space="preserve"> trabajadoras, con una participación del 14% de los varones y 8.4% de las mujeres. Las ocupaciones en las cuales se contrata una mayor proporción de niñas son las de comerciantes y vendedoras con un 25.3%, y la de ocupación en los servicios 18.1% del total de mujeres, respectivamente.</w:t>
      </w:r>
    </w:p>
    <w:p w14:paraId="4A3FEA11" w14:textId="77777777" w:rsidR="006A3DBC" w:rsidRPr="00FA4B2D" w:rsidRDefault="006A3DBC" w:rsidP="006A3DBC">
      <w:pPr>
        <w:pStyle w:val="Prrafodelista"/>
        <w:spacing w:after="0" w:line="240" w:lineRule="auto"/>
        <w:ind w:left="0"/>
        <w:jc w:val="both"/>
        <w:rPr>
          <w:rFonts w:cs="Arial"/>
          <w:lang w:val="es-HN"/>
        </w:rPr>
      </w:pPr>
    </w:p>
    <w:p w14:paraId="11036326" w14:textId="7270703C" w:rsidR="006A3DBC" w:rsidRPr="00FA4B2D" w:rsidRDefault="006A3DBC" w:rsidP="006A3DBC">
      <w:pPr>
        <w:pStyle w:val="Prrafodelista"/>
        <w:spacing w:after="0" w:line="240" w:lineRule="auto"/>
        <w:ind w:left="0"/>
        <w:jc w:val="both"/>
        <w:rPr>
          <w:rFonts w:cs="Arial"/>
          <w:lang w:val="es-HN"/>
        </w:rPr>
      </w:pPr>
      <w:r w:rsidRPr="00FA4B2D">
        <w:rPr>
          <w:rFonts w:cs="Arial"/>
          <w:lang w:val="es-HN"/>
        </w:rPr>
        <w:t>En el sector agrícola, las áreas donde se han identificado los mayores riesgos de trabajo infantil son en los cultivos de melón, café, maíz, y ocra.</w:t>
      </w:r>
      <w:r w:rsidRPr="00FA4B2D">
        <w:rPr>
          <w:rStyle w:val="Refdenotaalpie"/>
          <w:rFonts w:cs="Arial"/>
          <w:lang w:val="es-HN"/>
        </w:rPr>
        <w:footnoteReference w:id="40"/>
      </w:r>
      <w:r w:rsidRPr="00FA4B2D">
        <w:rPr>
          <w:rFonts w:cs="Arial"/>
          <w:lang w:val="es-HN"/>
        </w:rPr>
        <w:t xml:space="preserve"> Otros cultivos donde existen riesgos asociados al trabajo infantil en </w:t>
      </w:r>
      <w:r w:rsidRPr="00FA4B2D">
        <w:rPr>
          <w:rFonts w:cs="Arial"/>
          <w:lang w:val="es-PE"/>
        </w:rPr>
        <w:t>la caña de azúcar, cultivo común en el departamento de Choluteca, y palma aceitera, común en el departamento de Atlántida.</w:t>
      </w:r>
      <w:r w:rsidRPr="00FA4B2D">
        <w:rPr>
          <w:rFonts w:cs="Arial"/>
          <w:lang w:val="es-HN"/>
        </w:rPr>
        <w:t xml:space="preserve"> </w:t>
      </w:r>
    </w:p>
    <w:p w14:paraId="49FF5B88" w14:textId="77777777" w:rsidR="006A3DBC" w:rsidRPr="00FA4B2D" w:rsidRDefault="006A3DBC" w:rsidP="006A3DBC">
      <w:pPr>
        <w:pStyle w:val="Prrafodelista"/>
        <w:spacing w:after="0" w:line="240" w:lineRule="auto"/>
        <w:ind w:left="0"/>
        <w:jc w:val="both"/>
        <w:rPr>
          <w:rFonts w:cs="Arial"/>
          <w:lang w:val="es-HN"/>
        </w:rPr>
      </w:pPr>
    </w:p>
    <w:p w14:paraId="6467491F" w14:textId="77777777" w:rsidR="006A3DBC" w:rsidRPr="00FA4B2D" w:rsidRDefault="006A3DBC" w:rsidP="006A3DBC">
      <w:pPr>
        <w:pStyle w:val="Prrafodelista"/>
        <w:spacing w:after="0" w:line="240" w:lineRule="auto"/>
        <w:ind w:left="0"/>
        <w:jc w:val="both"/>
        <w:rPr>
          <w:rFonts w:cs="Arial"/>
          <w:lang w:val="es-HN"/>
        </w:rPr>
      </w:pPr>
      <w:r w:rsidRPr="00FA4B2D">
        <w:rPr>
          <w:rFonts w:cs="Arial"/>
          <w:lang w:val="es-HN"/>
        </w:rPr>
        <w:t xml:space="preserve">La agricultura está asociada al uso intensivo de mano de obra en cada una de las fases del ciclo productivo. En condiciones de insuficiencia o falta de mano de obra adulta, niñas, niños y adolescentes asumen la responsabilidad de tareas fuertes que a menudo son inadecuadas para su edad. La participación de niños, niñas y adolescentes en la agricultura va a asociada, generalmente, con la pobreza en las áreas rurales. Las consecuencias más comunes de dicha participación incluyen la desventaja educativa y problemas físicos y emocionales. Las investigaciones realizadas han demostrado que niñas, niños y adolescentes que dedican gran parte del tiempo a estas tareas, por lo general abandonan la escuela o tienen un bajo rendimiento escolar. Además de esto, y dada la peligrosidad de las condiciones laborales que implica la producción de algunos cultivos, las lesiones y enfermedades de </w:t>
      </w:r>
      <w:proofErr w:type="gramStart"/>
      <w:r w:rsidRPr="00FA4B2D">
        <w:rPr>
          <w:rFonts w:cs="Arial"/>
          <w:lang w:val="es-HN"/>
        </w:rPr>
        <w:t>niñas y niños</w:t>
      </w:r>
      <w:proofErr w:type="gramEnd"/>
      <w:r w:rsidRPr="00FA4B2D">
        <w:rPr>
          <w:rFonts w:cs="Arial"/>
          <w:lang w:val="es-HN"/>
        </w:rPr>
        <w:t xml:space="preserve"> trabajadores agrícolas significan un porcentaje significativo de las discapacidades que sufren niñas y niños trabajadores en general.</w:t>
      </w:r>
    </w:p>
    <w:p w14:paraId="696D067F" w14:textId="77777777" w:rsidR="006A3DBC" w:rsidRPr="00FA4B2D" w:rsidRDefault="006A3DBC" w:rsidP="006A3DBC">
      <w:pPr>
        <w:pStyle w:val="Prrafodelista"/>
        <w:spacing w:after="0" w:line="240" w:lineRule="auto"/>
        <w:ind w:left="0"/>
        <w:jc w:val="both"/>
        <w:rPr>
          <w:rFonts w:cs="Arial"/>
          <w:lang w:val="es-HN"/>
        </w:rPr>
      </w:pPr>
    </w:p>
    <w:p w14:paraId="169F26FB" w14:textId="77777777" w:rsidR="006A3DBC" w:rsidRPr="00FA4B2D" w:rsidRDefault="006A3DBC" w:rsidP="006A3DBC">
      <w:pPr>
        <w:pStyle w:val="Prrafodelista"/>
        <w:spacing w:after="0" w:line="240" w:lineRule="auto"/>
        <w:ind w:left="0"/>
        <w:jc w:val="both"/>
        <w:rPr>
          <w:rFonts w:cs="Arial"/>
          <w:lang w:val="es-HN"/>
        </w:rPr>
      </w:pPr>
      <w:r w:rsidRPr="00FA4B2D">
        <w:rPr>
          <w:rFonts w:cs="Arial"/>
          <w:lang w:val="es-HN"/>
        </w:rPr>
        <w:t xml:space="preserve">En las actividades agrícolas, los niños, niñas y adolescentes a menudo están expuestos (directa o indirectamente) a herbicidas y pesticidas; trabajan durante largas jornadas, acarrean cargas pesadas, usan instrumentos punzocortantes y están expuestos a temperaturas extremas y cambios en las condiciones del tiempo.  </w:t>
      </w:r>
    </w:p>
    <w:p w14:paraId="72A733C9" w14:textId="77777777" w:rsidR="006A3DBC" w:rsidRPr="00FA4B2D" w:rsidRDefault="006A3DBC" w:rsidP="006A3DBC">
      <w:pPr>
        <w:pStyle w:val="Prrafodelista"/>
        <w:spacing w:after="0" w:line="240" w:lineRule="auto"/>
        <w:ind w:left="0"/>
        <w:jc w:val="both"/>
        <w:rPr>
          <w:rFonts w:cs="Arial"/>
          <w:lang w:val="es-HN"/>
        </w:rPr>
      </w:pPr>
    </w:p>
    <w:p w14:paraId="137AA699" w14:textId="77777777" w:rsidR="006A3DBC" w:rsidRPr="00FA4B2D" w:rsidRDefault="006A3DBC" w:rsidP="006A3DBC">
      <w:pPr>
        <w:pStyle w:val="Prrafodelista"/>
        <w:spacing w:after="0" w:line="240" w:lineRule="auto"/>
        <w:ind w:left="0"/>
        <w:jc w:val="both"/>
        <w:rPr>
          <w:rFonts w:cs="Arial"/>
          <w:lang w:val="es-HN"/>
        </w:rPr>
      </w:pPr>
      <w:r w:rsidRPr="00FA4B2D">
        <w:rPr>
          <w:rFonts w:cs="Arial"/>
          <w:lang w:val="es-HN"/>
        </w:rPr>
        <w:t>En primera instancia vale apuntar de inicio que la legislación hondureña prohíbe el trabajo infantil, excepto bajo condiciones especiales. La legislación hondureña define que está prohibido que un niño menor de 14 años trabaje, y los niños entre 16 y 18 años, solo podrán realizar trabajos técnicos si son certificados por la Secretaría de Trabajo y Seguridad Social (STSS),  cualquiera sea el tipo de relación que se haya establecido: asalariado, trabajador independiente o trabajo familiar, entre otros; en la producción y comercialización de bienes o en la prestación de servicios, que les impidan el acceso, rendimiento y permanencia en la educación o que se realice en ambientes peligrosos, produzca efectos negativos inmediatos o futuros en el desarrollo intelectual, físico, psicológico, moral o social. Sin embargo, en el contexto de las actividades financiadas por el Proyecto, la edad mínima para trabajar será de 18 años.</w:t>
      </w:r>
    </w:p>
    <w:p w14:paraId="635609BB" w14:textId="77777777" w:rsidR="006A3DBC" w:rsidRPr="00FA4B2D" w:rsidRDefault="006A3DBC" w:rsidP="006A3DBC">
      <w:pPr>
        <w:pStyle w:val="Prrafodelista"/>
        <w:spacing w:after="0" w:line="240" w:lineRule="auto"/>
        <w:ind w:left="0"/>
        <w:jc w:val="both"/>
        <w:rPr>
          <w:rFonts w:cs="Arial"/>
          <w:lang w:val="es-HN"/>
        </w:rPr>
      </w:pPr>
    </w:p>
    <w:p w14:paraId="76C03614" w14:textId="5E8E9D4A" w:rsidR="006A3DBC" w:rsidRPr="00FA4B2D" w:rsidRDefault="006A3DBC" w:rsidP="006A3DBC">
      <w:pPr>
        <w:pStyle w:val="Prrafodelista"/>
        <w:spacing w:after="0" w:line="240" w:lineRule="auto"/>
        <w:ind w:left="0"/>
        <w:jc w:val="both"/>
        <w:rPr>
          <w:rFonts w:cs="Arial"/>
          <w:lang w:val="es-HN"/>
        </w:rPr>
      </w:pPr>
      <w:r w:rsidRPr="00FA4B2D">
        <w:rPr>
          <w:rFonts w:cs="Arial"/>
          <w:lang w:val="es-HN"/>
        </w:rPr>
        <w:t>Para ese fin, el país cuenta con el II Plan de Acción Nacional contra el Trabajo Infantil, basado en la “Hoja de Ruta para hacer de Honduras un país libre de trabajo infantil y sus peores formas”, a</w:t>
      </w:r>
      <w:r w:rsidR="004E2A0C" w:rsidRPr="00FA4B2D">
        <w:rPr>
          <w:rFonts w:cs="Arial"/>
          <w:lang w:val="es-HN"/>
        </w:rPr>
        <w:t>ú</w:t>
      </w:r>
      <w:r w:rsidRPr="00FA4B2D">
        <w:rPr>
          <w:rFonts w:cs="Arial"/>
          <w:lang w:val="es-HN"/>
        </w:rPr>
        <w:t>n vigente, que constituye una plataforma para la programación operativa de acciones en el marco de las competencias institucionales y el enlace entre las diferentes políticas públicas. Por otro lado, se debe garantizar la seguridad de las personas mayores de 14 años y menores de 18, a quienes la ley permite trabajar bajo un régimen especial de protección.</w:t>
      </w:r>
    </w:p>
    <w:p w14:paraId="46E793BA" w14:textId="77777777" w:rsidR="006A3DBC" w:rsidRPr="00FA4B2D" w:rsidRDefault="006A3DBC" w:rsidP="006A3DBC">
      <w:pPr>
        <w:pStyle w:val="Prrafodelista"/>
        <w:spacing w:after="0" w:line="240" w:lineRule="auto"/>
        <w:ind w:left="0"/>
        <w:jc w:val="both"/>
        <w:rPr>
          <w:rFonts w:cs="Arial"/>
          <w:lang w:val="es-HN"/>
        </w:rPr>
      </w:pPr>
    </w:p>
    <w:p w14:paraId="3D1B2727" w14:textId="37EBB9FB" w:rsidR="006A3DBC" w:rsidRPr="00FA4B2D" w:rsidRDefault="006A3DBC" w:rsidP="006A3DBC">
      <w:pPr>
        <w:pStyle w:val="Prrafodelista"/>
        <w:spacing w:after="0" w:line="240" w:lineRule="auto"/>
        <w:ind w:left="0"/>
        <w:jc w:val="both"/>
        <w:rPr>
          <w:rFonts w:cs="Arial"/>
          <w:lang w:val="es-HN"/>
        </w:rPr>
      </w:pPr>
      <w:r w:rsidRPr="00FA4B2D">
        <w:rPr>
          <w:rFonts w:cs="Arial"/>
          <w:lang w:val="es-HN"/>
        </w:rPr>
        <w:t>Mediante PCM-025-2017, adecua la i</w:t>
      </w:r>
      <w:r w:rsidR="004E2A0C" w:rsidRPr="00FA4B2D">
        <w:rPr>
          <w:rFonts w:cs="Arial"/>
          <w:lang w:val="es-HN"/>
        </w:rPr>
        <w:t>n</w:t>
      </w:r>
      <w:r w:rsidRPr="00FA4B2D">
        <w:rPr>
          <w:rFonts w:cs="Arial"/>
          <w:lang w:val="es-HN"/>
        </w:rPr>
        <w:t>tegración de la Comisión Nacional para la Erradicación Gradual y Progresiva del Trabajo Infantil, es una instancia política, integrada por las máximas autoridades de instituciones de gobierno, organizaciones de trabajadores, empleadores y organismos de sociedad civil, creada mediante decreto ejecutivo PCM-17-98, del año 1998, con el propósito de articular, monitorear, evaluar y garantizar la implementación de un Plan Nacional, orientado a hacer de Honduras, un país libre de trabajo infantil y sus peores formas; y es presidida por la Secretaría de Trabajo y Seguridad Social.</w:t>
      </w:r>
    </w:p>
    <w:p w14:paraId="55B9E22D" w14:textId="77777777" w:rsidR="006A3DBC" w:rsidRPr="00FA4B2D" w:rsidRDefault="006A3DBC" w:rsidP="006A3DBC">
      <w:pPr>
        <w:pStyle w:val="Prrafodelista"/>
        <w:spacing w:after="0" w:line="240" w:lineRule="auto"/>
        <w:ind w:left="0"/>
        <w:jc w:val="both"/>
        <w:rPr>
          <w:rFonts w:cs="Arial"/>
          <w:lang w:val="es-HN"/>
        </w:rPr>
      </w:pPr>
    </w:p>
    <w:p w14:paraId="5726BE79" w14:textId="77777777" w:rsidR="006A3DBC" w:rsidRPr="00FA4B2D" w:rsidRDefault="006A3DBC" w:rsidP="006A3DBC">
      <w:pPr>
        <w:spacing w:after="0" w:line="240" w:lineRule="auto"/>
        <w:jc w:val="both"/>
        <w:rPr>
          <w:rFonts w:cs="Arial"/>
          <w:lang w:val="es-HN"/>
        </w:rPr>
      </w:pPr>
      <w:r w:rsidRPr="00FA4B2D">
        <w:rPr>
          <w:rFonts w:cs="Arial"/>
          <w:lang w:val="es-HN"/>
        </w:rPr>
        <w:t>Sus acciones movilizadoras se enmarcan en acuerdos internacionales regulados por la Organización Internacional del Trabajo (OIT), que promueven que todos los mandantes tripartitos de los Estados miembros se unan e intensifiquen las acciones anualmente, durante cada campaña mundial. En 2023, el lema es “Justicia social para todos. ¡</w:t>
      </w:r>
      <w:proofErr w:type="gramStart"/>
      <w:r w:rsidRPr="00FA4B2D">
        <w:rPr>
          <w:rFonts w:cs="Arial"/>
          <w:lang w:val="es-HN"/>
        </w:rPr>
        <w:t>Poner</w:t>
      </w:r>
      <w:proofErr w:type="gramEnd"/>
      <w:r w:rsidRPr="00FA4B2D">
        <w:rPr>
          <w:rFonts w:cs="Arial"/>
          <w:lang w:val="es-HN"/>
        </w:rPr>
        <w:t xml:space="preserve"> fin al trabajo infantil!” </w:t>
      </w:r>
    </w:p>
    <w:p w14:paraId="046617E7" w14:textId="77777777" w:rsidR="006A3DBC" w:rsidRPr="00FA4B2D" w:rsidRDefault="006A3DBC" w:rsidP="006A3DBC">
      <w:pPr>
        <w:pStyle w:val="Prrafodelista"/>
        <w:spacing w:after="0" w:line="240" w:lineRule="auto"/>
        <w:jc w:val="both"/>
        <w:rPr>
          <w:rFonts w:cs="Arial"/>
          <w:lang w:val="es-HN"/>
        </w:rPr>
      </w:pPr>
    </w:p>
    <w:p w14:paraId="5BAFBAA1" w14:textId="77777777" w:rsidR="006A3DBC" w:rsidRPr="00FA4B2D" w:rsidRDefault="006A3DBC" w:rsidP="006A3DBC">
      <w:pPr>
        <w:pStyle w:val="Prrafodelista"/>
        <w:spacing w:after="0" w:line="240" w:lineRule="auto"/>
        <w:ind w:left="0"/>
        <w:jc w:val="both"/>
        <w:rPr>
          <w:rFonts w:cs="Arial"/>
          <w:lang w:val="es-HN"/>
        </w:rPr>
      </w:pPr>
      <w:r w:rsidRPr="00FA4B2D">
        <w:rPr>
          <w:rFonts w:cs="Arial"/>
          <w:lang w:val="es-HN"/>
        </w:rPr>
        <w:t>Datos publicados por el Instituto Nacional de Estadística (INE), reportan que un 13.1% de la población entre 5 y 17 años, estudia y trabaja o solamente trabaja, el 62.8% se encuentra en el área rural y el 37.2% en el área urbana, agrupada en las actividades económicas de; agricultura, silvicultura, caza y pesca, comercio por mayor / menor, Industria manufacturera y construcción.</w:t>
      </w:r>
    </w:p>
    <w:p w14:paraId="7F9797CA" w14:textId="77777777" w:rsidR="006A3DBC" w:rsidRPr="00FA4B2D" w:rsidRDefault="006A3DBC" w:rsidP="006A3DBC">
      <w:pPr>
        <w:pStyle w:val="Prrafodelista"/>
        <w:spacing w:after="0" w:line="240" w:lineRule="auto"/>
        <w:ind w:left="0"/>
        <w:jc w:val="both"/>
        <w:rPr>
          <w:rFonts w:cs="Arial"/>
          <w:lang w:val="es-HN"/>
        </w:rPr>
      </w:pPr>
    </w:p>
    <w:p w14:paraId="75A71066" w14:textId="77777777" w:rsidR="006A3DBC" w:rsidRPr="00FA4B2D" w:rsidRDefault="006A3DBC" w:rsidP="006A3DBC">
      <w:pPr>
        <w:pStyle w:val="Prrafodelista"/>
        <w:spacing w:after="0" w:line="240" w:lineRule="auto"/>
        <w:ind w:left="0"/>
        <w:jc w:val="both"/>
        <w:rPr>
          <w:rFonts w:cs="Arial"/>
          <w:lang w:val="es-HN"/>
        </w:rPr>
      </w:pPr>
      <w:r w:rsidRPr="00FA4B2D">
        <w:rPr>
          <w:rFonts w:cs="Arial"/>
          <w:lang w:val="es-HN"/>
        </w:rPr>
        <w:t>En el Proyecto COMRURAL se fomenta el desarrollo empresarial con responsabilidad social en cada OPR que ejecuta su PdN. Entre los objetivos de este enfoque de sensibilización se espera que las actividades de monitoreo y seguimiento contribuyan a la erradicación del trabajo infantil, pese a las implicaciones y complejidad del tema en el medio rural, donde la pobreza y falta de ingresos agudizan este fenómeno.</w:t>
      </w:r>
    </w:p>
    <w:p w14:paraId="252D082D" w14:textId="77777777" w:rsidR="006A3DBC" w:rsidRPr="00FA4B2D" w:rsidRDefault="006A3DBC" w:rsidP="006A3DBC">
      <w:pPr>
        <w:pStyle w:val="Prrafodelista"/>
        <w:spacing w:after="0" w:line="240" w:lineRule="auto"/>
        <w:ind w:left="0"/>
        <w:jc w:val="both"/>
        <w:rPr>
          <w:rFonts w:cs="Arial"/>
          <w:lang w:val="es-HN"/>
        </w:rPr>
      </w:pPr>
    </w:p>
    <w:p w14:paraId="4B9F6836" w14:textId="77777777" w:rsidR="006A3DBC" w:rsidRPr="00FA4B2D" w:rsidRDefault="006A3DBC" w:rsidP="006A3DBC">
      <w:pPr>
        <w:pStyle w:val="Prrafodelista"/>
        <w:spacing w:after="0" w:line="240" w:lineRule="auto"/>
        <w:ind w:left="0"/>
        <w:jc w:val="both"/>
        <w:rPr>
          <w:rFonts w:cs="Arial"/>
          <w:lang w:val="es-HN"/>
        </w:rPr>
      </w:pPr>
      <w:r w:rsidRPr="00FA4B2D">
        <w:rPr>
          <w:rFonts w:cs="Arial"/>
          <w:lang w:val="es-HN"/>
        </w:rPr>
        <w:t>Información sobre la presencia del trabajo infantil será un indicador relacionado a la gestión social del proyecto, y se analizará al momento de preparar y revisar los planes de negocio y durante la etapa de implementación de estos.</w:t>
      </w:r>
    </w:p>
    <w:p w14:paraId="3D6DAC7E" w14:textId="77777777" w:rsidR="006A3DBC" w:rsidRPr="00FA4B2D" w:rsidRDefault="006A3DBC" w:rsidP="006A3DBC">
      <w:pPr>
        <w:pStyle w:val="Prrafodelista"/>
        <w:spacing w:after="0" w:line="240" w:lineRule="auto"/>
        <w:ind w:left="0"/>
        <w:jc w:val="both"/>
        <w:rPr>
          <w:rFonts w:cs="Arial"/>
          <w:lang w:val="es-HN"/>
        </w:rPr>
      </w:pPr>
    </w:p>
    <w:p w14:paraId="337F458D" w14:textId="77777777" w:rsidR="006A3DBC" w:rsidRPr="00FA4B2D" w:rsidRDefault="006A3DBC" w:rsidP="006A3DBC">
      <w:pPr>
        <w:pStyle w:val="Prrafodelista"/>
        <w:spacing w:after="0" w:line="240" w:lineRule="auto"/>
        <w:ind w:left="0"/>
        <w:jc w:val="both"/>
        <w:rPr>
          <w:rFonts w:cs="Arial"/>
          <w:lang w:val="es-HN"/>
        </w:rPr>
      </w:pPr>
      <w:r w:rsidRPr="00FA4B2D">
        <w:rPr>
          <w:rFonts w:cs="Arial"/>
          <w:lang w:val="es-HN"/>
        </w:rPr>
        <w:t>Entre los esfuerzos por sensibilizar y entender sobre los derechos de los niños y en los deberes de promover su desarrollo, desempeñan un papel importante a nivel de campo las empresas que regulan los sellos o certificaciones de comercialización de café especiales, como por ejemplo Comercio Justo, Fair Trade, UTZ y Rainforest Alliance, USDA-Organic, entre otras, que incluyen dentro de los requisitos de aprobación indicadores orientados a eliminar el trabajo infantil lo cual ha institucionalizado buenas prácticas socio ambientales sobre el particular. Las restantes cadenas, mediante los PSDEs y técnicos de COMRURAL, hacen hincapié en los compromisos sociales en PdN y la necesidad de incorporar nuevos compromisos e indicadores, entre los cuales precisamente está la instauración de medidas para la prohibición del trabajo infantil, aspecto incorporado en los contratos tripartitos que firma la OPR, el Prestador de Servicios de Desarrollo Empresarial (PSDE) y COMRURAL que serán monitoreados por el Proyecto.</w:t>
      </w:r>
    </w:p>
    <w:p w14:paraId="349BFBA7" w14:textId="77777777" w:rsidR="006A3DBC" w:rsidRPr="00FA4B2D" w:rsidRDefault="006A3DBC" w:rsidP="006A3DBC">
      <w:pPr>
        <w:pStyle w:val="Prrafodelista"/>
        <w:spacing w:after="0" w:line="240" w:lineRule="auto"/>
        <w:ind w:left="0"/>
        <w:jc w:val="both"/>
        <w:rPr>
          <w:rFonts w:cs="Arial"/>
          <w:lang w:val="es-HN"/>
        </w:rPr>
      </w:pPr>
    </w:p>
    <w:p w14:paraId="5F120FCE" w14:textId="77777777" w:rsidR="006A3DBC" w:rsidRPr="00FA4B2D" w:rsidRDefault="006A3DBC" w:rsidP="006A3DBC">
      <w:pPr>
        <w:spacing w:after="0" w:line="240" w:lineRule="auto"/>
        <w:jc w:val="both"/>
        <w:rPr>
          <w:rFonts w:cs="Arial"/>
          <w:lang w:val="es-HN"/>
        </w:rPr>
      </w:pPr>
      <w:r w:rsidRPr="00FA4B2D">
        <w:rPr>
          <w:rFonts w:cs="Arial"/>
          <w:lang w:val="es-HN"/>
        </w:rPr>
        <w:t>Para COMRURAL lll queda establecido que la edad mínima para trabajar es de 18 años y en ningún caso se permitirá el trabajo de personas con edades menores. También es prohibido el trabajo forzoso. Las medidas a tomar son:</w:t>
      </w:r>
    </w:p>
    <w:p w14:paraId="52F53F61" w14:textId="77777777" w:rsidR="006A3DBC" w:rsidRPr="00FA4B2D" w:rsidRDefault="006A3DBC" w:rsidP="006A3DBC">
      <w:pPr>
        <w:pStyle w:val="Prrafodelista"/>
        <w:spacing w:after="0" w:line="240" w:lineRule="auto"/>
        <w:jc w:val="both"/>
        <w:rPr>
          <w:rFonts w:cs="Arial"/>
        </w:rPr>
      </w:pPr>
      <w:r w:rsidRPr="00FA4B2D">
        <w:rPr>
          <w:rFonts w:cs="Arial"/>
          <w:lang w:val="es-HN"/>
        </w:rPr>
        <w:t>•</w:t>
      </w:r>
      <w:r w:rsidRPr="00FA4B2D">
        <w:rPr>
          <w:rFonts w:cs="Arial"/>
          <w:lang w:val="es-HN"/>
        </w:rPr>
        <w:tab/>
        <w:t>Exclusión de PdNs donde identifique la presencia de trabajo infantil entre los productores o postulantes a los fondos del programa. La Lista de exclusión de proyectos incluye a los “Planes de negocio donde identifique la presencia de trabajo infantil entre los productores o postulantes a los fondos del programa”.</w:t>
      </w:r>
    </w:p>
    <w:p w14:paraId="258D5B82" w14:textId="77777777" w:rsidR="006A3DBC" w:rsidRPr="00FA4B2D" w:rsidRDefault="006A3DBC" w:rsidP="006A3DBC">
      <w:pPr>
        <w:pStyle w:val="Prrafodelista"/>
        <w:spacing w:after="0" w:line="240" w:lineRule="auto"/>
        <w:jc w:val="both"/>
        <w:rPr>
          <w:rFonts w:cs="Arial"/>
          <w:lang w:val="es-HN"/>
        </w:rPr>
      </w:pPr>
      <w:r w:rsidRPr="00FA4B2D">
        <w:rPr>
          <w:rFonts w:cs="Arial"/>
          <w:lang w:val="es-HN"/>
        </w:rPr>
        <w:t>•</w:t>
      </w:r>
      <w:r w:rsidRPr="00FA4B2D">
        <w:rPr>
          <w:rFonts w:cs="Arial"/>
          <w:lang w:val="es-HN"/>
        </w:rPr>
        <w:tab/>
        <w:t>La edad mínima para trabajar es de 18 años y en ningún caso se permitirá el trabajo de personas con edades menores. Esto aplica también a OPR.</w:t>
      </w:r>
    </w:p>
    <w:p w14:paraId="3AFC59F3" w14:textId="77777777" w:rsidR="006A3DBC" w:rsidRPr="00FA4B2D" w:rsidRDefault="006A3DBC" w:rsidP="006A3DBC">
      <w:pPr>
        <w:pStyle w:val="Prrafodelista"/>
        <w:spacing w:after="0" w:line="240" w:lineRule="auto"/>
        <w:jc w:val="both"/>
        <w:rPr>
          <w:rFonts w:cs="Arial"/>
          <w:lang w:val="es-HN"/>
        </w:rPr>
      </w:pPr>
      <w:r w:rsidRPr="00FA4B2D">
        <w:rPr>
          <w:rFonts w:cs="Arial"/>
          <w:lang w:val="es-HN"/>
        </w:rPr>
        <w:t>•</w:t>
      </w:r>
      <w:r w:rsidRPr="00FA4B2D">
        <w:rPr>
          <w:rFonts w:cs="Arial"/>
          <w:lang w:val="es-HN"/>
        </w:rPr>
        <w:tab/>
        <w:t>Procedimientos para la identificación, análisis, y monitoreo del potencial trabajo infantil en actividades de los planes de negocio financiados por COMRURAL III. Para la verificación de la edad de los trabajadores se solicitará el DNI. En el caso de incumplimiento de estas regulaciones, se consignará el antecedente al proveedor de servicios u otra firma consultora y/o OPR y se instruirá el retiro del menor del plantel o de las actividades. En caso de reincidencia se cancela el PdN.</w:t>
      </w:r>
    </w:p>
    <w:p w14:paraId="7E13A34E" w14:textId="20350484" w:rsidR="006A3DBC" w:rsidRPr="00FA4B2D" w:rsidRDefault="006A3DBC" w:rsidP="006A3DBC">
      <w:pPr>
        <w:pStyle w:val="Prrafodelista"/>
        <w:spacing w:after="0" w:line="240" w:lineRule="auto"/>
        <w:jc w:val="both"/>
        <w:rPr>
          <w:rFonts w:cs="Arial"/>
          <w:lang w:val="es-HN"/>
        </w:rPr>
      </w:pPr>
      <w:r w:rsidRPr="00FA4B2D">
        <w:rPr>
          <w:rFonts w:cs="Arial"/>
          <w:lang w:val="es-HN"/>
        </w:rPr>
        <w:t>•</w:t>
      </w:r>
      <w:r w:rsidRPr="00FA4B2D">
        <w:rPr>
          <w:rFonts w:cs="Arial"/>
        </w:rPr>
        <w:tab/>
      </w:r>
      <w:r w:rsidRPr="00FA4B2D">
        <w:rPr>
          <w:rFonts w:cs="Arial"/>
          <w:lang w:val="es-HN"/>
        </w:rPr>
        <w:t xml:space="preserve">En el caso de reincidencia o incumplimiento de lo instruido, el proveedor de servicios o firma consultora deberá ser denunciado a las autoridades competentes, y se le dará el seguimiento en la </w:t>
      </w:r>
      <w:r w:rsidR="006B3F08" w:rsidRPr="00FA4B2D">
        <w:rPr>
          <w:rFonts w:cs="Arial"/>
          <w:lang w:val="es-HN"/>
        </w:rPr>
        <w:t xml:space="preserve">STSS </w:t>
      </w:r>
      <w:r w:rsidRPr="00FA4B2D">
        <w:rPr>
          <w:rFonts w:cs="Arial"/>
          <w:lang w:val="es-HN"/>
        </w:rPr>
        <w:t xml:space="preserve">para la </w:t>
      </w:r>
      <w:r w:rsidRPr="00FA4B2D">
        <w:rPr>
          <w:rFonts w:cs="Arial"/>
          <w:lang w:val="es-HN"/>
        </w:rPr>
        <w:lastRenderedPageBreak/>
        <w:t xml:space="preserve">aplicación de los correctivos y sanciones a que haya lugar, como ser multas, reparaciones o indemnizaciones, y hasta acciones punitivas. </w:t>
      </w:r>
    </w:p>
    <w:p w14:paraId="526CD3FB" w14:textId="77777777" w:rsidR="006A3DBC" w:rsidRPr="00FA4B2D" w:rsidRDefault="006A3DBC" w:rsidP="006A3DBC">
      <w:pPr>
        <w:pStyle w:val="Prrafodelista"/>
        <w:spacing w:after="0" w:line="240" w:lineRule="auto"/>
        <w:jc w:val="both"/>
        <w:rPr>
          <w:rFonts w:cs="Arial"/>
          <w:lang w:val="es-HN"/>
        </w:rPr>
      </w:pPr>
    </w:p>
    <w:p w14:paraId="340D2CB6" w14:textId="77777777" w:rsidR="006A3DBC" w:rsidRPr="00FA4B2D" w:rsidRDefault="006A3DBC" w:rsidP="006A3DBC">
      <w:pPr>
        <w:pStyle w:val="Prrafodelista"/>
        <w:spacing w:after="0" w:line="240" w:lineRule="auto"/>
        <w:ind w:left="0"/>
        <w:jc w:val="both"/>
        <w:rPr>
          <w:rFonts w:cs="Arial"/>
          <w:lang w:val="es-HN"/>
        </w:rPr>
      </w:pPr>
      <w:r w:rsidRPr="00FA4B2D">
        <w:rPr>
          <w:rFonts w:cs="Arial"/>
          <w:lang w:val="es-HN"/>
        </w:rPr>
        <w:t xml:space="preserve">Los menores entre los 18 y 21 años son considerados “menores-adultos”, pues ya tienen el carácter de ciudadanos y por ende entran en el goce de sus derechos civiles; sin embargo, permanecen hasta los 21 años bajo la patria potestad de los padres o de sus tutores. Pueden trabajar sin autorización judicial, pero en ningún momento se les puede asignar obligaciones que implique el manejo de equipo, maquinarias o herramientas que implique un peligro para su integridad física, ni se le pueden asignar actividades que lo afecten en su integridad mental, moral o que interfiera en su sano desarrollo físico o emocional. Tampoco pueden realizar trabajos que impliquen la exposición a: sustancias tóxicas o nocivas, mucho ruido, temperaturas extremas, manejo de carga pesada, etc.  </w:t>
      </w:r>
    </w:p>
    <w:p w14:paraId="78790480" w14:textId="77777777" w:rsidR="006A3DBC" w:rsidRPr="00FA4B2D" w:rsidRDefault="006A3DBC" w:rsidP="006A3DBC">
      <w:pPr>
        <w:pStyle w:val="Prrafodelista"/>
        <w:spacing w:after="0" w:line="240" w:lineRule="auto"/>
        <w:ind w:left="0"/>
        <w:jc w:val="both"/>
        <w:rPr>
          <w:rFonts w:cs="Arial"/>
          <w:lang w:val="es-HN"/>
        </w:rPr>
      </w:pPr>
    </w:p>
    <w:p w14:paraId="55AEA027" w14:textId="77777777" w:rsidR="006A3DBC" w:rsidRPr="00FA4B2D" w:rsidRDefault="006A3DBC" w:rsidP="006A3DBC">
      <w:pPr>
        <w:pStyle w:val="Prrafodelista"/>
        <w:numPr>
          <w:ilvl w:val="0"/>
          <w:numId w:val="9"/>
        </w:numPr>
        <w:spacing w:after="0" w:line="240" w:lineRule="auto"/>
        <w:ind w:left="0" w:firstLine="0"/>
        <w:jc w:val="both"/>
        <w:rPr>
          <w:rFonts w:cs="Arial"/>
          <w:lang w:val="es-HN"/>
        </w:rPr>
      </w:pPr>
      <w:r w:rsidRPr="00FA4B2D">
        <w:rPr>
          <w:rFonts w:cs="Arial"/>
          <w:b/>
          <w:lang w:val="es-HN"/>
        </w:rPr>
        <w:t>Personas con discapacidad</w:t>
      </w:r>
      <w:r w:rsidRPr="00FA4B2D">
        <w:rPr>
          <w:rFonts w:cs="Arial"/>
          <w:lang w:val="es-HN"/>
        </w:rPr>
        <w:t>:</w:t>
      </w:r>
    </w:p>
    <w:p w14:paraId="2742E989" w14:textId="77777777" w:rsidR="006A3DBC" w:rsidRPr="00FA4B2D" w:rsidRDefault="006A3DBC" w:rsidP="006A3DBC">
      <w:pPr>
        <w:spacing w:after="0" w:line="240" w:lineRule="auto"/>
        <w:jc w:val="both"/>
        <w:rPr>
          <w:rFonts w:cs="Arial"/>
          <w:lang w:val="es-HN"/>
        </w:rPr>
      </w:pPr>
    </w:p>
    <w:p w14:paraId="4D05FFCA" w14:textId="77777777" w:rsidR="006A3DBC" w:rsidRPr="00FA4B2D" w:rsidRDefault="006A3DBC" w:rsidP="006A3DBC">
      <w:pPr>
        <w:spacing w:after="0" w:line="240" w:lineRule="auto"/>
        <w:jc w:val="both"/>
        <w:rPr>
          <w:rFonts w:cs="Arial"/>
          <w:lang w:val="es-HN"/>
        </w:rPr>
      </w:pPr>
      <w:r w:rsidRPr="00FA4B2D">
        <w:rPr>
          <w:rFonts w:cs="Arial"/>
          <w:lang w:val="es-HN"/>
        </w:rPr>
        <w:t>La Convención Internacional sobre los Derechos de las Personas con Discapacidad (CRPD) promueve la plena integración de las personas con discapacidad en las sociedades. La CRPD hace referencia específicamente a la importancia del desarrollo internacional para abordar los derechos de las personas con discapacidad. Hasta la fecha, 172 países (incluyendo Honduras) han ratificado la CRPD, que lleva la fuerza de la legislación nacional. El número de leyes nacionales sobre discriminación por discapacidad y disposiciones constitucionales ha aumentado significativamente.</w:t>
      </w:r>
    </w:p>
    <w:p w14:paraId="7A32CC1C" w14:textId="77777777" w:rsidR="006A3DBC" w:rsidRPr="00FA4B2D" w:rsidRDefault="006A3DBC" w:rsidP="006A3DBC">
      <w:pPr>
        <w:spacing w:after="0" w:line="240" w:lineRule="auto"/>
        <w:jc w:val="both"/>
        <w:rPr>
          <w:rFonts w:cs="Arial"/>
          <w:lang w:val="es-HN"/>
        </w:rPr>
      </w:pPr>
    </w:p>
    <w:p w14:paraId="09CD4550" w14:textId="77777777" w:rsidR="006A3DBC" w:rsidRPr="00FA4B2D" w:rsidRDefault="006A3DBC" w:rsidP="006A3DBC">
      <w:pPr>
        <w:spacing w:after="0" w:line="240" w:lineRule="auto"/>
        <w:jc w:val="both"/>
        <w:rPr>
          <w:rFonts w:cs="Arial"/>
          <w:lang w:val="es-HN"/>
        </w:rPr>
      </w:pPr>
      <w:r w:rsidRPr="00FA4B2D">
        <w:rPr>
          <w:rFonts w:cs="Arial"/>
          <w:lang w:val="es-HN"/>
        </w:rPr>
        <w:t>Según el XVII Censo de Población y VI de Vivienda del año 2013 del INE, se estima que en Honduras hay 306,296 personas que tienen alguna discapacidad, física, intelectual, sensorial, mental o psicológica a nivel Nacional, en el área Urbana 138,691 y en el área Rural 167,606.</w:t>
      </w:r>
    </w:p>
    <w:p w14:paraId="22E8BA59" w14:textId="77777777" w:rsidR="006A3DBC" w:rsidRPr="00FA4B2D" w:rsidRDefault="006A3DBC" w:rsidP="006A3DBC">
      <w:pPr>
        <w:spacing w:after="0" w:line="240" w:lineRule="auto"/>
        <w:jc w:val="both"/>
        <w:rPr>
          <w:rFonts w:cs="Arial"/>
          <w:lang w:val="es-HN"/>
        </w:rPr>
      </w:pPr>
    </w:p>
    <w:p w14:paraId="0040EBD8" w14:textId="77777777" w:rsidR="006A3DBC" w:rsidRPr="00FA4B2D" w:rsidRDefault="006A3DBC" w:rsidP="006A3DBC">
      <w:pPr>
        <w:pStyle w:val="Prrafodelista"/>
        <w:numPr>
          <w:ilvl w:val="0"/>
          <w:numId w:val="9"/>
        </w:numPr>
        <w:spacing w:after="0" w:line="240" w:lineRule="auto"/>
        <w:ind w:left="0" w:firstLine="0"/>
        <w:jc w:val="both"/>
        <w:rPr>
          <w:rFonts w:cs="Arial"/>
          <w:b/>
          <w:lang w:val="es-HN"/>
        </w:rPr>
      </w:pPr>
      <w:r w:rsidRPr="00FA4B2D">
        <w:rPr>
          <w:rFonts w:cs="Arial"/>
          <w:b/>
          <w:lang w:val="es-HN"/>
        </w:rPr>
        <w:t>Pueblos Indígenas</w:t>
      </w:r>
    </w:p>
    <w:p w14:paraId="55A4610F" w14:textId="77777777" w:rsidR="006A3DBC" w:rsidRPr="00FA4B2D" w:rsidRDefault="006A3DBC" w:rsidP="006A3DBC">
      <w:pPr>
        <w:spacing w:after="0" w:line="240" w:lineRule="auto"/>
        <w:jc w:val="both"/>
        <w:rPr>
          <w:rFonts w:cs="Arial"/>
          <w:lang w:val="es-HN"/>
        </w:rPr>
      </w:pPr>
    </w:p>
    <w:p w14:paraId="1E2C6102" w14:textId="77777777" w:rsidR="006A3DBC" w:rsidRPr="00FA4B2D" w:rsidRDefault="006A3DBC" w:rsidP="006A3DBC">
      <w:pPr>
        <w:spacing w:after="0" w:line="240" w:lineRule="auto"/>
        <w:jc w:val="both"/>
        <w:rPr>
          <w:rFonts w:cs="Arial"/>
          <w:lang w:val="es-HN"/>
        </w:rPr>
      </w:pPr>
      <w:r w:rsidRPr="00FA4B2D">
        <w:rPr>
          <w:rFonts w:cs="Arial"/>
          <w:lang w:val="es-HN"/>
        </w:rPr>
        <w:t xml:space="preserve">Para el COMRURAL III, se han identificado como Pueblos Indígenas siete Pueblos que cumplen con los cuatro criterios del EAS 7 del BM y que están presentes en la zona de intervención del Proyecto (Tabla 23). </w:t>
      </w:r>
    </w:p>
    <w:p w14:paraId="27924273" w14:textId="77777777" w:rsidR="006A3DBC" w:rsidRPr="00FA4B2D" w:rsidRDefault="006A3DBC" w:rsidP="006A3DBC">
      <w:pPr>
        <w:spacing w:after="60"/>
        <w:jc w:val="both"/>
        <w:rPr>
          <w:rFonts w:cs="Arial"/>
          <w:lang w:val="es-HN"/>
        </w:rPr>
      </w:pPr>
    </w:p>
    <w:p w14:paraId="51AC8A2A" w14:textId="361502A0" w:rsidR="00F94AC4" w:rsidRDefault="00F94AC4" w:rsidP="00F94AC4">
      <w:pPr>
        <w:pStyle w:val="Descripcin"/>
        <w:keepNext/>
      </w:pPr>
      <w:bookmarkStart w:id="745" w:name="_Toc202455476"/>
      <w:r>
        <w:lastRenderedPageBreak/>
        <w:t xml:space="preserve">Tabla </w:t>
      </w:r>
      <w:r>
        <w:fldChar w:fldCharType="begin"/>
      </w:r>
      <w:r>
        <w:instrText xml:space="preserve"> SEQ Tabla \* ARABIC </w:instrText>
      </w:r>
      <w:r>
        <w:fldChar w:fldCharType="separate"/>
      </w:r>
      <w:r w:rsidR="000E6D86">
        <w:rPr>
          <w:noProof/>
        </w:rPr>
        <w:t>50</w:t>
      </w:r>
      <w:r>
        <w:fldChar w:fldCharType="end"/>
      </w:r>
      <w:r>
        <w:t xml:space="preserve">: </w:t>
      </w:r>
      <w:r w:rsidRPr="00E15542">
        <w:t>Criterios EAS 7 para identificación de Pueblos Indígenas</w:t>
      </w:r>
      <w:bookmarkEnd w:id="745"/>
    </w:p>
    <w:tbl>
      <w:tblPr>
        <w:tblStyle w:val="Tablaconcuadrcula"/>
        <w:tblW w:w="10372" w:type="dxa"/>
        <w:jc w:val="center"/>
        <w:tblLook w:val="04A0" w:firstRow="1" w:lastRow="0" w:firstColumn="1" w:lastColumn="0" w:noHBand="0" w:noVBand="1"/>
      </w:tblPr>
      <w:tblGrid>
        <w:gridCol w:w="1238"/>
        <w:gridCol w:w="2061"/>
        <w:gridCol w:w="2107"/>
        <w:gridCol w:w="2299"/>
        <w:gridCol w:w="1752"/>
        <w:gridCol w:w="915"/>
      </w:tblGrid>
      <w:tr w:rsidR="00F94AC4" w:rsidRPr="00F94AC4" w14:paraId="1C930DFE" w14:textId="77777777" w:rsidTr="00F94AC4">
        <w:trPr>
          <w:trHeight w:val="2938"/>
          <w:tblHeader/>
          <w:jc w:val="center"/>
        </w:trPr>
        <w:tc>
          <w:tcPr>
            <w:tcW w:w="1238" w:type="dxa"/>
            <w:shd w:val="clear" w:color="auto" w:fill="5CC5DA"/>
            <w:vAlign w:val="center"/>
          </w:tcPr>
          <w:p w14:paraId="7CB9E316" w14:textId="77777777" w:rsidR="00016847" w:rsidRPr="00F94AC4" w:rsidRDefault="00016847" w:rsidP="00897C39">
            <w:pPr>
              <w:spacing w:after="60"/>
              <w:jc w:val="both"/>
              <w:rPr>
                <w:rFonts w:cs="Arial"/>
                <w:b/>
                <w:bCs/>
                <w:sz w:val="18"/>
                <w:szCs w:val="18"/>
                <w:lang w:val="es-ES"/>
              </w:rPr>
            </w:pPr>
            <w:r w:rsidRPr="00F94AC4">
              <w:rPr>
                <w:rFonts w:cs="Arial"/>
                <w:b/>
                <w:bCs/>
                <w:sz w:val="18"/>
                <w:szCs w:val="18"/>
                <w:lang w:val="es-ES"/>
              </w:rPr>
              <w:t>Pueblo/ Grupo étnico</w:t>
            </w:r>
          </w:p>
        </w:tc>
        <w:tc>
          <w:tcPr>
            <w:tcW w:w="2061" w:type="dxa"/>
            <w:shd w:val="clear" w:color="auto" w:fill="5CC5DA"/>
            <w:vAlign w:val="center"/>
          </w:tcPr>
          <w:p w14:paraId="0249B1AA" w14:textId="08255DC4" w:rsidR="00016847" w:rsidRPr="00F94AC4" w:rsidRDefault="00016847" w:rsidP="00897C39">
            <w:pPr>
              <w:spacing w:after="60"/>
              <w:jc w:val="both"/>
              <w:rPr>
                <w:rFonts w:cs="Arial"/>
                <w:b/>
                <w:bCs/>
                <w:sz w:val="18"/>
                <w:szCs w:val="18"/>
              </w:rPr>
            </w:pPr>
            <w:r w:rsidRPr="00F94AC4">
              <w:rPr>
                <w:rFonts w:cs="Arial"/>
                <w:b/>
                <w:bCs/>
                <w:sz w:val="18"/>
                <w:szCs w:val="18"/>
              </w:rPr>
              <w:t>Autoidentificación como miembros de un grupo social y cultural indígena bien diferenciado, y reconocimiento de esta identidad por parte de otros grupos</w:t>
            </w:r>
          </w:p>
        </w:tc>
        <w:tc>
          <w:tcPr>
            <w:tcW w:w="2107" w:type="dxa"/>
            <w:shd w:val="clear" w:color="auto" w:fill="5CC5DA"/>
            <w:vAlign w:val="center"/>
          </w:tcPr>
          <w:p w14:paraId="6031852C" w14:textId="1C8AD53D" w:rsidR="00016847" w:rsidRPr="00F94AC4" w:rsidRDefault="00016847" w:rsidP="00897C39">
            <w:pPr>
              <w:spacing w:after="60"/>
              <w:jc w:val="both"/>
              <w:rPr>
                <w:rFonts w:cs="Arial"/>
                <w:b/>
                <w:bCs/>
                <w:sz w:val="18"/>
                <w:szCs w:val="18"/>
              </w:rPr>
            </w:pPr>
            <w:r w:rsidRPr="00F94AC4">
              <w:rPr>
                <w:rFonts w:cs="Arial"/>
                <w:b/>
                <w:bCs/>
                <w:sz w:val="18"/>
                <w:szCs w:val="18"/>
              </w:rPr>
              <w:t>Apego colectivo a hábitats geográficamente diferenciados, territorios ancestrales o áreas de uso u ocupación estacional, así como a los recursos naturales de esas áreas</w:t>
            </w:r>
          </w:p>
        </w:tc>
        <w:tc>
          <w:tcPr>
            <w:tcW w:w="2299" w:type="dxa"/>
            <w:shd w:val="clear" w:color="auto" w:fill="5CC5DA"/>
            <w:vAlign w:val="center"/>
          </w:tcPr>
          <w:p w14:paraId="66CECE96" w14:textId="15233F02" w:rsidR="00016847" w:rsidRPr="00F94AC4" w:rsidRDefault="00016847" w:rsidP="00897C39">
            <w:pPr>
              <w:spacing w:after="60"/>
              <w:jc w:val="both"/>
              <w:rPr>
                <w:rFonts w:cs="Arial"/>
                <w:b/>
                <w:bCs/>
                <w:sz w:val="18"/>
                <w:szCs w:val="18"/>
              </w:rPr>
            </w:pPr>
            <w:r w:rsidRPr="00F94AC4">
              <w:rPr>
                <w:rFonts w:cs="Arial"/>
                <w:b/>
                <w:bCs/>
                <w:sz w:val="18"/>
                <w:szCs w:val="18"/>
              </w:rPr>
              <w:t>Instituciones tradicionales culturales, económicas, sociales o políticas que están bien diferenciadas y son independientes de las de la sociedad o cultura predominante</w:t>
            </w:r>
          </w:p>
        </w:tc>
        <w:tc>
          <w:tcPr>
            <w:tcW w:w="1752" w:type="dxa"/>
            <w:shd w:val="clear" w:color="auto" w:fill="5CC5DA"/>
            <w:vAlign w:val="center"/>
          </w:tcPr>
          <w:p w14:paraId="26D84D06" w14:textId="0434EBE6" w:rsidR="00016847" w:rsidRPr="00F94AC4" w:rsidRDefault="00016847" w:rsidP="00897C39">
            <w:pPr>
              <w:spacing w:after="60"/>
              <w:jc w:val="both"/>
              <w:rPr>
                <w:rFonts w:cs="Arial"/>
                <w:b/>
                <w:bCs/>
                <w:sz w:val="18"/>
                <w:szCs w:val="18"/>
                <w:lang w:val="es-ES"/>
              </w:rPr>
            </w:pPr>
            <w:r w:rsidRPr="00F94AC4">
              <w:rPr>
                <w:rFonts w:cs="Arial"/>
                <w:b/>
                <w:bCs/>
                <w:sz w:val="18"/>
                <w:szCs w:val="18"/>
                <w:lang w:val="es-ES"/>
              </w:rPr>
              <w:t>U</w:t>
            </w:r>
            <w:r w:rsidRPr="00F94AC4">
              <w:rPr>
                <w:rFonts w:cs="Arial"/>
                <w:b/>
                <w:bCs/>
                <w:sz w:val="18"/>
                <w:szCs w:val="18"/>
              </w:rPr>
              <w:t>na lengua o dialecto distintivos, a menudo diferente del idioma o los idiomas oficiales del país o la región en la que residen</w:t>
            </w:r>
          </w:p>
        </w:tc>
        <w:tc>
          <w:tcPr>
            <w:tcW w:w="915" w:type="dxa"/>
            <w:shd w:val="clear" w:color="auto" w:fill="5CC5DA"/>
            <w:vAlign w:val="center"/>
          </w:tcPr>
          <w:p w14:paraId="530FB4AC" w14:textId="77777777" w:rsidR="00016847" w:rsidRPr="00F94AC4" w:rsidRDefault="00016847" w:rsidP="00897C39">
            <w:pPr>
              <w:spacing w:after="60"/>
              <w:jc w:val="both"/>
              <w:rPr>
                <w:rFonts w:cs="Arial"/>
                <w:b/>
                <w:bCs/>
                <w:sz w:val="18"/>
                <w:szCs w:val="18"/>
                <w:lang w:val="es-ES"/>
              </w:rPr>
            </w:pPr>
            <w:r w:rsidRPr="00F94AC4">
              <w:rPr>
                <w:rFonts w:cs="Arial"/>
                <w:b/>
                <w:bCs/>
                <w:sz w:val="18"/>
                <w:szCs w:val="18"/>
                <w:lang w:val="es-ES"/>
              </w:rPr>
              <w:t>EAS 7 aplica Sí/No</w:t>
            </w:r>
          </w:p>
        </w:tc>
      </w:tr>
      <w:tr w:rsidR="00F94AC4" w:rsidRPr="00F94AC4" w14:paraId="57BE282A" w14:textId="77777777" w:rsidTr="00F94AC4">
        <w:trPr>
          <w:trHeight w:val="283"/>
          <w:jc w:val="center"/>
        </w:trPr>
        <w:tc>
          <w:tcPr>
            <w:tcW w:w="1238" w:type="dxa"/>
          </w:tcPr>
          <w:p w14:paraId="508C8524" w14:textId="77777777" w:rsidR="00016847" w:rsidRPr="00F94AC4" w:rsidRDefault="00016847" w:rsidP="00C24D0B">
            <w:pPr>
              <w:spacing w:after="60"/>
              <w:rPr>
                <w:rFonts w:cs="Arial"/>
                <w:sz w:val="18"/>
                <w:szCs w:val="18"/>
                <w:lang w:val="es-ES"/>
              </w:rPr>
            </w:pPr>
            <w:r w:rsidRPr="00F94AC4">
              <w:rPr>
                <w:rFonts w:eastAsia="Times New Roman" w:cs="Arial"/>
                <w:sz w:val="18"/>
                <w:szCs w:val="18"/>
              </w:rPr>
              <w:t>Lenca</w:t>
            </w:r>
          </w:p>
        </w:tc>
        <w:tc>
          <w:tcPr>
            <w:tcW w:w="2061" w:type="dxa"/>
          </w:tcPr>
          <w:p w14:paraId="39DC94F0" w14:textId="77777777" w:rsidR="00016847" w:rsidRPr="00F94AC4" w:rsidRDefault="00016847" w:rsidP="00C24D0B">
            <w:pPr>
              <w:spacing w:after="60"/>
              <w:jc w:val="center"/>
              <w:rPr>
                <w:rFonts w:cs="Arial"/>
                <w:sz w:val="18"/>
                <w:szCs w:val="18"/>
                <w:lang w:val="es-ES"/>
              </w:rPr>
            </w:pPr>
            <w:r w:rsidRPr="00F94AC4">
              <w:rPr>
                <w:rFonts w:cs="Arial"/>
                <w:sz w:val="18"/>
                <w:szCs w:val="18"/>
                <w:lang w:val="es-ES"/>
              </w:rPr>
              <w:t>Ѵ</w:t>
            </w:r>
          </w:p>
        </w:tc>
        <w:tc>
          <w:tcPr>
            <w:tcW w:w="2107" w:type="dxa"/>
          </w:tcPr>
          <w:p w14:paraId="5E4A9360" w14:textId="77777777" w:rsidR="00016847" w:rsidRPr="00F94AC4" w:rsidRDefault="00016847" w:rsidP="00C24D0B">
            <w:pPr>
              <w:spacing w:after="60"/>
              <w:jc w:val="center"/>
              <w:rPr>
                <w:rFonts w:cs="Arial"/>
                <w:sz w:val="18"/>
                <w:szCs w:val="18"/>
                <w:lang w:val="es-ES"/>
              </w:rPr>
            </w:pPr>
            <w:r w:rsidRPr="00F94AC4">
              <w:rPr>
                <w:rFonts w:cs="Arial"/>
                <w:sz w:val="18"/>
                <w:szCs w:val="18"/>
                <w:lang w:val="es-ES"/>
              </w:rPr>
              <w:t>Ѵ</w:t>
            </w:r>
          </w:p>
        </w:tc>
        <w:tc>
          <w:tcPr>
            <w:tcW w:w="2299" w:type="dxa"/>
          </w:tcPr>
          <w:p w14:paraId="6E04C20F" w14:textId="77777777" w:rsidR="00016847" w:rsidRPr="00F94AC4" w:rsidRDefault="00016847" w:rsidP="00C24D0B">
            <w:pPr>
              <w:spacing w:after="60"/>
              <w:jc w:val="center"/>
              <w:rPr>
                <w:rFonts w:cs="Arial"/>
                <w:sz w:val="18"/>
                <w:szCs w:val="18"/>
                <w:lang w:val="es-ES"/>
              </w:rPr>
            </w:pPr>
            <w:r w:rsidRPr="00F94AC4">
              <w:rPr>
                <w:rFonts w:cs="Arial"/>
                <w:sz w:val="18"/>
                <w:szCs w:val="18"/>
                <w:lang w:val="es-ES"/>
              </w:rPr>
              <w:t>Ѵ</w:t>
            </w:r>
          </w:p>
        </w:tc>
        <w:tc>
          <w:tcPr>
            <w:tcW w:w="1752" w:type="dxa"/>
          </w:tcPr>
          <w:p w14:paraId="4795A0C6" w14:textId="77777777" w:rsidR="00016847" w:rsidRPr="00F94AC4" w:rsidRDefault="00016847" w:rsidP="00C24D0B">
            <w:pPr>
              <w:spacing w:after="60"/>
              <w:jc w:val="center"/>
              <w:rPr>
                <w:rFonts w:cs="Arial"/>
                <w:sz w:val="18"/>
                <w:szCs w:val="18"/>
                <w:lang w:val="es-ES"/>
              </w:rPr>
            </w:pPr>
            <w:r w:rsidRPr="00F94AC4">
              <w:rPr>
                <w:rFonts w:cs="Arial"/>
                <w:sz w:val="18"/>
                <w:szCs w:val="18"/>
                <w:lang w:val="es-ES"/>
              </w:rPr>
              <w:t>Ѵ</w:t>
            </w:r>
          </w:p>
        </w:tc>
        <w:tc>
          <w:tcPr>
            <w:tcW w:w="915" w:type="dxa"/>
          </w:tcPr>
          <w:p w14:paraId="5245B85A" w14:textId="77777777" w:rsidR="00016847" w:rsidRPr="00F94AC4" w:rsidRDefault="00016847" w:rsidP="00C24D0B">
            <w:pPr>
              <w:spacing w:after="60"/>
              <w:jc w:val="center"/>
              <w:rPr>
                <w:rFonts w:cs="Arial"/>
                <w:sz w:val="18"/>
                <w:szCs w:val="18"/>
                <w:lang w:val="es-ES"/>
              </w:rPr>
            </w:pPr>
            <w:r w:rsidRPr="00F94AC4">
              <w:rPr>
                <w:rFonts w:cs="Arial"/>
                <w:sz w:val="18"/>
                <w:szCs w:val="18"/>
                <w:lang w:val="es-ES"/>
              </w:rPr>
              <w:t>Sí</w:t>
            </w:r>
          </w:p>
        </w:tc>
      </w:tr>
      <w:tr w:rsidR="00F94AC4" w:rsidRPr="00F94AC4" w14:paraId="0631E6B0" w14:textId="77777777" w:rsidTr="00F94AC4">
        <w:trPr>
          <w:trHeight w:val="370"/>
          <w:jc w:val="center"/>
        </w:trPr>
        <w:tc>
          <w:tcPr>
            <w:tcW w:w="1238" w:type="dxa"/>
          </w:tcPr>
          <w:p w14:paraId="3517BA6F" w14:textId="77777777" w:rsidR="00016847" w:rsidRPr="00F94AC4" w:rsidRDefault="00016847" w:rsidP="00C24D0B">
            <w:pPr>
              <w:spacing w:after="60"/>
              <w:rPr>
                <w:rFonts w:cs="Arial"/>
                <w:sz w:val="18"/>
                <w:szCs w:val="18"/>
                <w:lang w:val="es-ES"/>
              </w:rPr>
            </w:pPr>
            <w:r w:rsidRPr="00F94AC4">
              <w:rPr>
                <w:rFonts w:eastAsia="Times New Roman" w:cs="Arial"/>
                <w:sz w:val="18"/>
                <w:szCs w:val="18"/>
              </w:rPr>
              <w:t>Maya Chortí</w:t>
            </w:r>
          </w:p>
        </w:tc>
        <w:tc>
          <w:tcPr>
            <w:tcW w:w="2061" w:type="dxa"/>
          </w:tcPr>
          <w:p w14:paraId="6A5812BB" w14:textId="77777777" w:rsidR="00016847" w:rsidRPr="00F94AC4" w:rsidRDefault="00016847" w:rsidP="00C24D0B">
            <w:pPr>
              <w:spacing w:after="60"/>
              <w:jc w:val="center"/>
              <w:rPr>
                <w:rFonts w:cs="Arial"/>
                <w:sz w:val="18"/>
                <w:szCs w:val="18"/>
                <w:lang w:val="es-ES"/>
              </w:rPr>
            </w:pPr>
            <w:r w:rsidRPr="00F94AC4">
              <w:rPr>
                <w:rFonts w:cs="Arial"/>
                <w:sz w:val="18"/>
                <w:szCs w:val="18"/>
                <w:lang w:val="es-ES"/>
              </w:rPr>
              <w:t>Ѵ</w:t>
            </w:r>
          </w:p>
        </w:tc>
        <w:tc>
          <w:tcPr>
            <w:tcW w:w="2107" w:type="dxa"/>
          </w:tcPr>
          <w:p w14:paraId="4FD38B0A" w14:textId="77777777" w:rsidR="00016847" w:rsidRPr="00F94AC4" w:rsidRDefault="00016847" w:rsidP="00C24D0B">
            <w:pPr>
              <w:spacing w:after="60"/>
              <w:jc w:val="center"/>
              <w:rPr>
                <w:rFonts w:cs="Arial"/>
                <w:sz w:val="18"/>
                <w:szCs w:val="18"/>
                <w:lang w:val="es-ES"/>
              </w:rPr>
            </w:pPr>
            <w:r w:rsidRPr="00F94AC4">
              <w:rPr>
                <w:rFonts w:cs="Arial"/>
                <w:sz w:val="18"/>
                <w:szCs w:val="18"/>
                <w:lang w:val="es-ES"/>
              </w:rPr>
              <w:t>Ѵ</w:t>
            </w:r>
          </w:p>
        </w:tc>
        <w:tc>
          <w:tcPr>
            <w:tcW w:w="2299" w:type="dxa"/>
          </w:tcPr>
          <w:p w14:paraId="0189E92F" w14:textId="77777777" w:rsidR="00016847" w:rsidRPr="00F94AC4" w:rsidRDefault="00016847" w:rsidP="00C24D0B">
            <w:pPr>
              <w:spacing w:after="60"/>
              <w:jc w:val="center"/>
              <w:rPr>
                <w:rFonts w:cs="Arial"/>
                <w:sz w:val="18"/>
                <w:szCs w:val="18"/>
                <w:lang w:val="es-ES"/>
              </w:rPr>
            </w:pPr>
            <w:r w:rsidRPr="00F94AC4">
              <w:rPr>
                <w:rFonts w:cs="Arial"/>
                <w:sz w:val="18"/>
                <w:szCs w:val="18"/>
                <w:lang w:val="es-ES"/>
              </w:rPr>
              <w:t>Ѵ</w:t>
            </w:r>
          </w:p>
        </w:tc>
        <w:tc>
          <w:tcPr>
            <w:tcW w:w="1752" w:type="dxa"/>
          </w:tcPr>
          <w:p w14:paraId="22C36ECB" w14:textId="77777777" w:rsidR="00016847" w:rsidRPr="00F94AC4" w:rsidRDefault="00016847" w:rsidP="00C24D0B">
            <w:pPr>
              <w:spacing w:after="60"/>
              <w:jc w:val="center"/>
              <w:rPr>
                <w:rFonts w:cs="Arial"/>
                <w:sz w:val="18"/>
                <w:szCs w:val="18"/>
                <w:lang w:val="es-ES"/>
              </w:rPr>
            </w:pPr>
            <w:r w:rsidRPr="00F94AC4">
              <w:rPr>
                <w:rFonts w:cs="Arial"/>
                <w:sz w:val="18"/>
                <w:szCs w:val="18"/>
                <w:lang w:val="es-ES"/>
              </w:rPr>
              <w:t>Ѵ</w:t>
            </w:r>
          </w:p>
        </w:tc>
        <w:tc>
          <w:tcPr>
            <w:tcW w:w="915" w:type="dxa"/>
          </w:tcPr>
          <w:p w14:paraId="3E7E167F" w14:textId="77777777" w:rsidR="00016847" w:rsidRPr="00F94AC4" w:rsidRDefault="00016847" w:rsidP="00C24D0B">
            <w:pPr>
              <w:spacing w:after="60"/>
              <w:jc w:val="center"/>
              <w:rPr>
                <w:rFonts w:cs="Arial"/>
                <w:sz w:val="18"/>
                <w:szCs w:val="18"/>
                <w:lang w:val="es-ES"/>
              </w:rPr>
            </w:pPr>
            <w:r w:rsidRPr="00F94AC4">
              <w:rPr>
                <w:rFonts w:cs="Arial"/>
                <w:sz w:val="18"/>
                <w:szCs w:val="18"/>
                <w:lang w:val="es-ES"/>
              </w:rPr>
              <w:t>Sí</w:t>
            </w:r>
          </w:p>
        </w:tc>
      </w:tr>
      <w:tr w:rsidR="00F94AC4" w:rsidRPr="00F94AC4" w14:paraId="02AB079D" w14:textId="77777777" w:rsidTr="00F94AC4">
        <w:trPr>
          <w:trHeight w:val="270"/>
          <w:jc w:val="center"/>
        </w:trPr>
        <w:tc>
          <w:tcPr>
            <w:tcW w:w="1238" w:type="dxa"/>
          </w:tcPr>
          <w:p w14:paraId="436B8FF4" w14:textId="77777777" w:rsidR="00016847" w:rsidRPr="00F94AC4" w:rsidRDefault="00016847" w:rsidP="00C24D0B">
            <w:pPr>
              <w:spacing w:after="60"/>
              <w:rPr>
                <w:rFonts w:cs="Arial"/>
                <w:sz w:val="18"/>
                <w:szCs w:val="18"/>
                <w:lang w:val="es-ES"/>
              </w:rPr>
            </w:pPr>
            <w:r w:rsidRPr="00F94AC4">
              <w:rPr>
                <w:rFonts w:eastAsia="Times New Roman" w:cs="Arial"/>
                <w:sz w:val="18"/>
                <w:szCs w:val="18"/>
              </w:rPr>
              <w:t>Pech</w:t>
            </w:r>
          </w:p>
        </w:tc>
        <w:tc>
          <w:tcPr>
            <w:tcW w:w="2061" w:type="dxa"/>
          </w:tcPr>
          <w:p w14:paraId="107E6F51" w14:textId="77777777" w:rsidR="00016847" w:rsidRPr="00F94AC4" w:rsidRDefault="00016847" w:rsidP="00C24D0B">
            <w:pPr>
              <w:spacing w:after="60"/>
              <w:jc w:val="center"/>
              <w:rPr>
                <w:rFonts w:cs="Arial"/>
                <w:sz w:val="18"/>
                <w:szCs w:val="18"/>
                <w:lang w:val="es-ES"/>
              </w:rPr>
            </w:pPr>
            <w:r w:rsidRPr="00F94AC4">
              <w:rPr>
                <w:rFonts w:cs="Arial"/>
                <w:sz w:val="18"/>
                <w:szCs w:val="18"/>
                <w:lang w:val="es-ES"/>
              </w:rPr>
              <w:t>Ѵ</w:t>
            </w:r>
          </w:p>
        </w:tc>
        <w:tc>
          <w:tcPr>
            <w:tcW w:w="2107" w:type="dxa"/>
          </w:tcPr>
          <w:p w14:paraId="5D812A93" w14:textId="77777777" w:rsidR="00016847" w:rsidRPr="00F94AC4" w:rsidRDefault="00016847" w:rsidP="00C24D0B">
            <w:pPr>
              <w:spacing w:after="60"/>
              <w:jc w:val="center"/>
              <w:rPr>
                <w:rFonts w:cs="Arial"/>
                <w:sz w:val="18"/>
                <w:szCs w:val="18"/>
                <w:lang w:val="es-ES"/>
              </w:rPr>
            </w:pPr>
            <w:r w:rsidRPr="00F94AC4">
              <w:rPr>
                <w:rFonts w:cs="Arial"/>
                <w:sz w:val="18"/>
                <w:szCs w:val="18"/>
                <w:lang w:val="es-ES"/>
              </w:rPr>
              <w:t>Ѵ</w:t>
            </w:r>
          </w:p>
        </w:tc>
        <w:tc>
          <w:tcPr>
            <w:tcW w:w="2299" w:type="dxa"/>
          </w:tcPr>
          <w:p w14:paraId="3F4B336D" w14:textId="77777777" w:rsidR="00016847" w:rsidRPr="00F94AC4" w:rsidRDefault="00016847" w:rsidP="00C24D0B">
            <w:pPr>
              <w:spacing w:after="60"/>
              <w:jc w:val="center"/>
              <w:rPr>
                <w:rFonts w:cs="Arial"/>
                <w:sz w:val="18"/>
                <w:szCs w:val="18"/>
                <w:lang w:val="es-ES"/>
              </w:rPr>
            </w:pPr>
            <w:r w:rsidRPr="00F94AC4">
              <w:rPr>
                <w:rFonts w:cs="Arial"/>
                <w:sz w:val="18"/>
                <w:szCs w:val="18"/>
                <w:lang w:val="es-ES"/>
              </w:rPr>
              <w:t>Ѵ</w:t>
            </w:r>
          </w:p>
        </w:tc>
        <w:tc>
          <w:tcPr>
            <w:tcW w:w="1752" w:type="dxa"/>
          </w:tcPr>
          <w:p w14:paraId="4300B743" w14:textId="77777777" w:rsidR="00016847" w:rsidRPr="00F94AC4" w:rsidRDefault="00016847" w:rsidP="00C24D0B">
            <w:pPr>
              <w:spacing w:after="60"/>
              <w:jc w:val="center"/>
              <w:rPr>
                <w:rFonts w:cs="Arial"/>
                <w:sz w:val="18"/>
                <w:szCs w:val="18"/>
                <w:lang w:val="es-ES"/>
              </w:rPr>
            </w:pPr>
            <w:r w:rsidRPr="00F94AC4">
              <w:rPr>
                <w:rFonts w:cs="Arial"/>
                <w:sz w:val="18"/>
                <w:szCs w:val="18"/>
                <w:lang w:val="es-ES"/>
              </w:rPr>
              <w:t>Ѵ</w:t>
            </w:r>
          </w:p>
        </w:tc>
        <w:tc>
          <w:tcPr>
            <w:tcW w:w="915" w:type="dxa"/>
          </w:tcPr>
          <w:p w14:paraId="0D8356F1" w14:textId="77777777" w:rsidR="00016847" w:rsidRPr="00F94AC4" w:rsidRDefault="00016847" w:rsidP="00C24D0B">
            <w:pPr>
              <w:spacing w:after="60"/>
              <w:jc w:val="center"/>
              <w:rPr>
                <w:rFonts w:cs="Arial"/>
                <w:sz w:val="18"/>
                <w:szCs w:val="18"/>
                <w:lang w:val="es-ES"/>
              </w:rPr>
            </w:pPr>
            <w:r w:rsidRPr="00F94AC4">
              <w:rPr>
                <w:rFonts w:cs="Arial"/>
                <w:sz w:val="18"/>
                <w:szCs w:val="18"/>
                <w:lang w:val="es-ES"/>
              </w:rPr>
              <w:t>Sí</w:t>
            </w:r>
          </w:p>
        </w:tc>
      </w:tr>
      <w:tr w:rsidR="00F94AC4" w:rsidRPr="00F94AC4" w14:paraId="62218A56" w14:textId="77777777" w:rsidTr="00F94AC4">
        <w:trPr>
          <w:trHeight w:val="283"/>
          <w:jc w:val="center"/>
        </w:trPr>
        <w:tc>
          <w:tcPr>
            <w:tcW w:w="1238" w:type="dxa"/>
          </w:tcPr>
          <w:p w14:paraId="764FBE04" w14:textId="77777777" w:rsidR="00016847" w:rsidRPr="00F94AC4" w:rsidRDefault="00016847" w:rsidP="00C24D0B">
            <w:pPr>
              <w:spacing w:after="60"/>
              <w:rPr>
                <w:rFonts w:cs="Arial"/>
                <w:sz w:val="18"/>
                <w:szCs w:val="18"/>
                <w:lang w:val="es-ES"/>
              </w:rPr>
            </w:pPr>
            <w:r w:rsidRPr="00F94AC4">
              <w:rPr>
                <w:rFonts w:eastAsia="Times New Roman" w:cs="Arial"/>
                <w:sz w:val="18"/>
                <w:szCs w:val="18"/>
              </w:rPr>
              <w:t>Tolupán</w:t>
            </w:r>
          </w:p>
        </w:tc>
        <w:tc>
          <w:tcPr>
            <w:tcW w:w="2061" w:type="dxa"/>
          </w:tcPr>
          <w:p w14:paraId="6C399132" w14:textId="77777777" w:rsidR="00016847" w:rsidRPr="00F94AC4" w:rsidRDefault="00016847" w:rsidP="00C24D0B">
            <w:pPr>
              <w:spacing w:after="60"/>
              <w:jc w:val="center"/>
              <w:rPr>
                <w:rFonts w:cs="Arial"/>
                <w:sz w:val="18"/>
                <w:szCs w:val="18"/>
                <w:lang w:val="es-ES"/>
              </w:rPr>
            </w:pPr>
            <w:r w:rsidRPr="00F94AC4">
              <w:rPr>
                <w:rFonts w:cs="Arial"/>
                <w:sz w:val="18"/>
                <w:szCs w:val="18"/>
                <w:lang w:val="es-ES"/>
              </w:rPr>
              <w:t>Ѵ</w:t>
            </w:r>
          </w:p>
        </w:tc>
        <w:tc>
          <w:tcPr>
            <w:tcW w:w="2107" w:type="dxa"/>
          </w:tcPr>
          <w:p w14:paraId="778411BD" w14:textId="77777777" w:rsidR="00016847" w:rsidRPr="00F94AC4" w:rsidRDefault="00016847" w:rsidP="00C24D0B">
            <w:pPr>
              <w:spacing w:after="60"/>
              <w:jc w:val="center"/>
              <w:rPr>
                <w:rFonts w:cs="Arial"/>
                <w:sz w:val="18"/>
                <w:szCs w:val="18"/>
                <w:lang w:val="es-ES"/>
              </w:rPr>
            </w:pPr>
            <w:r w:rsidRPr="00F94AC4">
              <w:rPr>
                <w:rFonts w:cs="Arial"/>
                <w:sz w:val="18"/>
                <w:szCs w:val="18"/>
                <w:lang w:val="es-ES"/>
              </w:rPr>
              <w:t>Ѵ</w:t>
            </w:r>
          </w:p>
        </w:tc>
        <w:tc>
          <w:tcPr>
            <w:tcW w:w="2299" w:type="dxa"/>
          </w:tcPr>
          <w:p w14:paraId="20A97320" w14:textId="77777777" w:rsidR="00016847" w:rsidRPr="00F94AC4" w:rsidRDefault="00016847" w:rsidP="00C24D0B">
            <w:pPr>
              <w:spacing w:after="60"/>
              <w:jc w:val="center"/>
              <w:rPr>
                <w:rFonts w:cs="Arial"/>
                <w:sz w:val="18"/>
                <w:szCs w:val="18"/>
                <w:lang w:val="es-ES"/>
              </w:rPr>
            </w:pPr>
            <w:r w:rsidRPr="00F94AC4">
              <w:rPr>
                <w:rFonts w:cs="Arial"/>
                <w:sz w:val="18"/>
                <w:szCs w:val="18"/>
                <w:lang w:val="es-ES"/>
              </w:rPr>
              <w:t>Ѵ</w:t>
            </w:r>
          </w:p>
        </w:tc>
        <w:tc>
          <w:tcPr>
            <w:tcW w:w="1752" w:type="dxa"/>
          </w:tcPr>
          <w:p w14:paraId="1FB26905" w14:textId="77777777" w:rsidR="00016847" w:rsidRPr="00F94AC4" w:rsidRDefault="00016847" w:rsidP="00C24D0B">
            <w:pPr>
              <w:spacing w:after="60"/>
              <w:jc w:val="center"/>
              <w:rPr>
                <w:rFonts w:cs="Arial"/>
                <w:sz w:val="18"/>
                <w:szCs w:val="18"/>
                <w:lang w:val="es-ES"/>
              </w:rPr>
            </w:pPr>
            <w:r w:rsidRPr="00F94AC4">
              <w:rPr>
                <w:rFonts w:cs="Arial"/>
                <w:sz w:val="18"/>
                <w:szCs w:val="18"/>
                <w:lang w:val="es-ES"/>
              </w:rPr>
              <w:t>Ѵ</w:t>
            </w:r>
          </w:p>
        </w:tc>
        <w:tc>
          <w:tcPr>
            <w:tcW w:w="915" w:type="dxa"/>
          </w:tcPr>
          <w:p w14:paraId="1A73A8DB" w14:textId="77777777" w:rsidR="00016847" w:rsidRPr="00F94AC4" w:rsidRDefault="00016847" w:rsidP="00C24D0B">
            <w:pPr>
              <w:spacing w:after="60"/>
              <w:jc w:val="center"/>
              <w:rPr>
                <w:rFonts w:cs="Arial"/>
                <w:sz w:val="18"/>
                <w:szCs w:val="18"/>
                <w:lang w:val="es-ES"/>
              </w:rPr>
            </w:pPr>
            <w:r w:rsidRPr="00F94AC4">
              <w:rPr>
                <w:rFonts w:cs="Arial"/>
                <w:sz w:val="18"/>
                <w:szCs w:val="18"/>
                <w:lang w:val="es-ES"/>
              </w:rPr>
              <w:t>Sí</w:t>
            </w:r>
          </w:p>
        </w:tc>
      </w:tr>
      <w:tr w:rsidR="00F94AC4" w:rsidRPr="00F94AC4" w14:paraId="288234EA" w14:textId="77777777" w:rsidTr="00F94AC4">
        <w:trPr>
          <w:trHeight w:val="270"/>
          <w:jc w:val="center"/>
        </w:trPr>
        <w:tc>
          <w:tcPr>
            <w:tcW w:w="1238" w:type="dxa"/>
          </w:tcPr>
          <w:p w14:paraId="3BC4E899" w14:textId="77777777" w:rsidR="00016847" w:rsidRPr="00F94AC4" w:rsidRDefault="00016847" w:rsidP="00C24D0B">
            <w:pPr>
              <w:spacing w:after="60"/>
              <w:rPr>
                <w:rFonts w:cs="Arial"/>
                <w:sz w:val="18"/>
                <w:szCs w:val="18"/>
                <w:lang w:val="es-ES"/>
              </w:rPr>
            </w:pPr>
            <w:r w:rsidRPr="00F94AC4">
              <w:rPr>
                <w:rFonts w:eastAsia="Times New Roman" w:cs="Arial"/>
                <w:sz w:val="18"/>
                <w:szCs w:val="18"/>
              </w:rPr>
              <w:t>Nahua</w:t>
            </w:r>
          </w:p>
        </w:tc>
        <w:tc>
          <w:tcPr>
            <w:tcW w:w="2061" w:type="dxa"/>
          </w:tcPr>
          <w:p w14:paraId="0C1C09E1" w14:textId="77777777" w:rsidR="00016847" w:rsidRPr="00F94AC4" w:rsidRDefault="00016847" w:rsidP="00C24D0B">
            <w:pPr>
              <w:spacing w:after="60"/>
              <w:jc w:val="center"/>
              <w:rPr>
                <w:rFonts w:cs="Arial"/>
                <w:sz w:val="18"/>
                <w:szCs w:val="18"/>
                <w:lang w:val="es-ES"/>
              </w:rPr>
            </w:pPr>
            <w:r w:rsidRPr="00F94AC4">
              <w:rPr>
                <w:rFonts w:cs="Arial"/>
                <w:sz w:val="18"/>
                <w:szCs w:val="18"/>
                <w:lang w:val="es-ES"/>
              </w:rPr>
              <w:t>Ѵ</w:t>
            </w:r>
          </w:p>
        </w:tc>
        <w:tc>
          <w:tcPr>
            <w:tcW w:w="2107" w:type="dxa"/>
          </w:tcPr>
          <w:p w14:paraId="2AB3BD7A" w14:textId="77777777" w:rsidR="00016847" w:rsidRPr="00F94AC4" w:rsidRDefault="00016847" w:rsidP="00C24D0B">
            <w:pPr>
              <w:spacing w:after="60"/>
              <w:jc w:val="center"/>
              <w:rPr>
                <w:rFonts w:cs="Arial"/>
                <w:sz w:val="18"/>
                <w:szCs w:val="18"/>
                <w:lang w:val="es-ES"/>
              </w:rPr>
            </w:pPr>
            <w:r w:rsidRPr="00F94AC4">
              <w:rPr>
                <w:rFonts w:cs="Arial"/>
                <w:sz w:val="18"/>
                <w:szCs w:val="18"/>
                <w:lang w:val="es-ES"/>
              </w:rPr>
              <w:t>Ѵ</w:t>
            </w:r>
          </w:p>
        </w:tc>
        <w:tc>
          <w:tcPr>
            <w:tcW w:w="2299" w:type="dxa"/>
          </w:tcPr>
          <w:p w14:paraId="4C78C8C3" w14:textId="77777777" w:rsidR="00016847" w:rsidRPr="00F94AC4" w:rsidRDefault="00016847" w:rsidP="00C24D0B">
            <w:pPr>
              <w:spacing w:after="60"/>
              <w:jc w:val="center"/>
              <w:rPr>
                <w:rFonts w:cs="Arial"/>
                <w:sz w:val="18"/>
                <w:szCs w:val="18"/>
                <w:lang w:val="es-ES"/>
              </w:rPr>
            </w:pPr>
            <w:r w:rsidRPr="00F94AC4">
              <w:rPr>
                <w:rFonts w:cs="Arial"/>
                <w:sz w:val="18"/>
                <w:szCs w:val="18"/>
                <w:lang w:val="es-ES"/>
              </w:rPr>
              <w:t>Ѵ</w:t>
            </w:r>
          </w:p>
        </w:tc>
        <w:tc>
          <w:tcPr>
            <w:tcW w:w="1752" w:type="dxa"/>
          </w:tcPr>
          <w:p w14:paraId="50BAB9B4" w14:textId="77777777" w:rsidR="00016847" w:rsidRPr="00F94AC4" w:rsidRDefault="00016847" w:rsidP="00C24D0B">
            <w:pPr>
              <w:spacing w:after="60"/>
              <w:jc w:val="center"/>
              <w:rPr>
                <w:rFonts w:cs="Arial"/>
                <w:sz w:val="18"/>
                <w:szCs w:val="18"/>
                <w:lang w:val="es-ES"/>
              </w:rPr>
            </w:pPr>
            <w:r w:rsidRPr="00F94AC4">
              <w:rPr>
                <w:rFonts w:cs="Arial"/>
                <w:sz w:val="18"/>
                <w:szCs w:val="18"/>
                <w:lang w:val="es-ES"/>
              </w:rPr>
              <w:t>Ѵ</w:t>
            </w:r>
          </w:p>
        </w:tc>
        <w:tc>
          <w:tcPr>
            <w:tcW w:w="915" w:type="dxa"/>
          </w:tcPr>
          <w:p w14:paraId="26731891" w14:textId="77777777" w:rsidR="00016847" w:rsidRPr="00F94AC4" w:rsidRDefault="00016847" w:rsidP="00C24D0B">
            <w:pPr>
              <w:spacing w:after="60"/>
              <w:jc w:val="center"/>
              <w:rPr>
                <w:rFonts w:cs="Arial"/>
                <w:sz w:val="18"/>
                <w:szCs w:val="18"/>
                <w:lang w:val="es-ES"/>
              </w:rPr>
            </w:pPr>
            <w:r w:rsidRPr="00F94AC4">
              <w:rPr>
                <w:rFonts w:cs="Arial"/>
                <w:sz w:val="18"/>
                <w:szCs w:val="18"/>
                <w:lang w:val="es-ES"/>
              </w:rPr>
              <w:t>Sí</w:t>
            </w:r>
          </w:p>
        </w:tc>
      </w:tr>
      <w:tr w:rsidR="00F94AC4" w:rsidRPr="00F94AC4" w14:paraId="6BF3699B" w14:textId="77777777" w:rsidTr="00F94AC4">
        <w:trPr>
          <w:trHeight w:val="283"/>
          <w:jc w:val="center"/>
        </w:trPr>
        <w:tc>
          <w:tcPr>
            <w:tcW w:w="1238" w:type="dxa"/>
          </w:tcPr>
          <w:p w14:paraId="2634BE5D" w14:textId="77777777" w:rsidR="00016847" w:rsidRPr="00F94AC4" w:rsidRDefault="00016847" w:rsidP="00C24D0B">
            <w:pPr>
              <w:spacing w:after="60"/>
              <w:rPr>
                <w:rFonts w:eastAsia="Times New Roman" w:cs="Arial"/>
                <w:sz w:val="18"/>
                <w:szCs w:val="18"/>
              </w:rPr>
            </w:pPr>
            <w:r w:rsidRPr="00F94AC4">
              <w:rPr>
                <w:rFonts w:eastAsia="Times New Roman" w:cs="Arial"/>
                <w:sz w:val="18"/>
                <w:szCs w:val="18"/>
              </w:rPr>
              <w:t>Tawahka</w:t>
            </w:r>
          </w:p>
        </w:tc>
        <w:tc>
          <w:tcPr>
            <w:tcW w:w="2061" w:type="dxa"/>
          </w:tcPr>
          <w:p w14:paraId="5077C8F4" w14:textId="77777777" w:rsidR="00016847" w:rsidRPr="00F94AC4" w:rsidRDefault="00016847" w:rsidP="00C24D0B">
            <w:pPr>
              <w:spacing w:after="60"/>
              <w:jc w:val="center"/>
              <w:rPr>
                <w:rFonts w:cs="Arial"/>
                <w:sz w:val="18"/>
                <w:szCs w:val="18"/>
                <w:lang w:val="es-ES"/>
              </w:rPr>
            </w:pPr>
            <w:r w:rsidRPr="00F94AC4">
              <w:rPr>
                <w:rFonts w:cs="Arial"/>
                <w:sz w:val="18"/>
                <w:szCs w:val="18"/>
                <w:lang w:val="es-ES"/>
              </w:rPr>
              <w:t>Ѵ</w:t>
            </w:r>
          </w:p>
        </w:tc>
        <w:tc>
          <w:tcPr>
            <w:tcW w:w="2107" w:type="dxa"/>
          </w:tcPr>
          <w:p w14:paraId="1E652A4F" w14:textId="77777777" w:rsidR="00016847" w:rsidRPr="00F94AC4" w:rsidRDefault="00016847" w:rsidP="00C24D0B">
            <w:pPr>
              <w:spacing w:after="60"/>
              <w:jc w:val="center"/>
              <w:rPr>
                <w:rFonts w:cs="Arial"/>
                <w:sz w:val="18"/>
                <w:szCs w:val="18"/>
                <w:lang w:val="es-ES"/>
              </w:rPr>
            </w:pPr>
            <w:r w:rsidRPr="00F94AC4">
              <w:rPr>
                <w:rFonts w:cs="Arial"/>
                <w:sz w:val="18"/>
                <w:szCs w:val="18"/>
                <w:lang w:val="es-ES"/>
              </w:rPr>
              <w:t>Ѵ</w:t>
            </w:r>
          </w:p>
        </w:tc>
        <w:tc>
          <w:tcPr>
            <w:tcW w:w="2299" w:type="dxa"/>
          </w:tcPr>
          <w:p w14:paraId="2A14E13B" w14:textId="77777777" w:rsidR="00016847" w:rsidRPr="00F94AC4" w:rsidRDefault="00016847" w:rsidP="00C24D0B">
            <w:pPr>
              <w:spacing w:after="60"/>
              <w:jc w:val="center"/>
              <w:rPr>
                <w:rFonts w:cs="Arial"/>
                <w:sz w:val="18"/>
                <w:szCs w:val="18"/>
                <w:lang w:val="es-ES"/>
              </w:rPr>
            </w:pPr>
            <w:r w:rsidRPr="00F94AC4">
              <w:rPr>
                <w:rFonts w:cs="Arial"/>
                <w:sz w:val="18"/>
                <w:szCs w:val="18"/>
                <w:lang w:val="es-ES"/>
              </w:rPr>
              <w:t>Ѵ</w:t>
            </w:r>
          </w:p>
        </w:tc>
        <w:tc>
          <w:tcPr>
            <w:tcW w:w="1752" w:type="dxa"/>
          </w:tcPr>
          <w:p w14:paraId="7E1167AD" w14:textId="77777777" w:rsidR="00016847" w:rsidRPr="00F94AC4" w:rsidRDefault="00016847" w:rsidP="00C24D0B">
            <w:pPr>
              <w:spacing w:after="60"/>
              <w:jc w:val="center"/>
              <w:rPr>
                <w:rFonts w:cs="Arial"/>
                <w:sz w:val="18"/>
                <w:szCs w:val="18"/>
                <w:lang w:val="es-ES"/>
              </w:rPr>
            </w:pPr>
            <w:r w:rsidRPr="00F94AC4">
              <w:rPr>
                <w:rFonts w:cs="Arial"/>
                <w:sz w:val="18"/>
                <w:szCs w:val="18"/>
                <w:lang w:val="es-ES"/>
              </w:rPr>
              <w:t>Ѵ</w:t>
            </w:r>
          </w:p>
        </w:tc>
        <w:tc>
          <w:tcPr>
            <w:tcW w:w="915" w:type="dxa"/>
          </w:tcPr>
          <w:p w14:paraId="7CC3507B" w14:textId="77777777" w:rsidR="00016847" w:rsidRPr="00F94AC4" w:rsidRDefault="00016847" w:rsidP="00C24D0B">
            <w:pPr>
              <w:spacing w:after="60"/>
              <w:jc w:val="center"/>
              <w:rPr>
                <w:rFonts w:cs="Arial"/>
                <w:sz w:val="18"/>
                <w:szCs w:val="18"/>
                <w:lang w:val="es-ES"/>
              </w:rPr>
            </w:pPr>
            <w:r w:rsidRPr="00F94AC4">
              <w:rPr>
                <w:rFonts w:cs="Arial"/>
                <w:sz w:val="18"/>
                <w:szCs w:val="18"/>
                <w:lang w:val="es-ES"/>
              </w:rPr>
              <w:t>Sí</w:t>
            </w:r>
          </w:p>
        </w:tc>
      </w:tr>
      <w:tr w:rsidR="00F94AC4" w:rsidRPr="00F94AC4" w14:paraId="2A49A74C" w14:textId="77777777" w:rsidTr="00F94AC4">
        <w:trPr>
          <w:trHeight w:val="270"/>
          <w:jc w:val="center"/>
        </w:trPr>
        <w:tc>
          <w:tcPr>
            <w:tcW w:w="1238" w:type="dxa"/>
          </w:tcPr>
          <w:p w14:paraId="742740F0" w14:textId="77777777" w:rsidR="00016847" w:rsidRPr="00F94AC4" w:rsidRDefault="00016847" w:rsidP="00C24D0B">
            <w:pPr>
              <w:spacing w:after="60"/>
              <w:rPr>
                <w:rFonts w:cs="Arial"/>
                <w:sz w:val="18"/>
                <w:szCs w:val="18"/>
                <w:lang w:val="es-ES"/>
              </w:rPr>
            </w:pPr>
            <w:r w:rsidRPr="00F94AC4">
              <w:rPr>
                <w:rFonts w:eastAsia="Times New Roman" w:cs="Arial"/>
                <w:sz w:val="18"/>
                <w:szCs w:val="18"/>
              </w:rPr>
              <w:t>Garífuna</w:t>
            </w:r>
          </w:p>
        </w:tc>
        <w:tc>
          <w:tcPr>
            <w:tcW w:w="2061" w:type="dxa"/>
          </w:tcPr>
          <w:p w14:paraId="20F32B1B" w14:textId="77777777" w:rsidR="00016847" w:rsidRPr="00F94AC4" w:rsidRDefault="00016847" w:rsidP="00C24D0B">
            <w:pPr>
              <w:spacing w:after="60"/>
              <w:jc w:val="center"/>
              <w:rPr>
                <w:rFonts w:cs="Arial"/>
                <w:sz w:val="18"/>
                <w:szCs w:val="18"/>
                <w:lang w:val="es-ES"/>
              </w:rPr>
            </w:pPr>
            <w:r w:rsidRPr="00F94AC4">
              <w:rPr>
                <w:rFonts w:cs="Arial"/>
                <w:sz w:val="18"/>
                <w:szCs w:val="18"/>
                <w:lang w:val="es-ES"/>
              </w:rPr>
              <w:t>Ѵ</w:t>
            </w:r>
          </w:p>
        </w:tc>
        <w:tc>
          <w:tcPr>
            <w:tcW w:w="2107" w:type="dxa"/>
          </w:tcPr>
          <w:p w14:paraId="2BC95E49" w14:textId="77777777" w:rsidR="00016847" w:rsidRPr="00F94AC4" w:rsidRDefault="00016847" w:rsidP="00C24D0B">
            <w:pPr>
              <w:spacing w:after="60"/>
              <w:jc w:val="center"/>
              <w:rPr>
                <w:rFonts w:cs="Arial"/>
                <w:sz w:val="18"/>
                <w:szCs w:val="18"/>
                <w:lang w:val="es-ES"/>
              </w:rPr>
            </w:pPr>
            <w:r w:rsidRPr="00F94AC4">
              <w:rPr>
                <w:rFonts w:cs="Arial"/>
                <w:sz w:val="18"/>
                <w:szCs w:val="18"/>
                <w:lang w:val="es-ES"/>
              </w:rPr>
              <w:t>Ѵ</w:t>
            </w:r>
          </w:p>
        </w:tc>
        <w:tc>
          <w:tcPr>
            <w:tcW w:w="2299" w:type="dxa"/>
          </w:tcPr>
          <w:p w14:paraId="6732E830" w14:textId="77777777" w:rsidR="00016847" w:rsidRPr="00F94AC4" w:rsidRDefault="00016847" w:rsidP="00C24D0B">
            <w:pPr>
              <w:spacing w:after="60"/>
              <w:jc w:val="center"/>
              <w:rPr>
                <w:rFonts w:cs="Arial"/>
                <w:sz w:val="18"/>
                <w:szCs w:val="18"/>
                <w:lang w:val="es-ES"/>
              </w:rPr>
            </w:pPr>
            <w:r w:rsidRPr="00F94AC4">
              <w:rPr>
                <w:rFonts w:cs="Arial"/>
                <w:sz w:val="18"/>
                <w:szCs w:val="18"/>
                <w:lang w:val="es-ES"/>
              </w:rPr>
              <w:t>Ѵ</w:t>
            </w:r>
          </w:p>
        </w:tc>
        <w:tc>
          <w:tcPr>
            <w:tcW w:w="1752" w:type="dxa"/>
          </w:tcPr>
          <w:p w14:paraId="27027931" w14:textId="77777777" w:rsidR="00016847" w:rsidRPr="00F94AC4" w:rsidRDefault="00016847" w:rsidP="00C24D0B">
            <w:pPr>
              <w:spacing w:after="60"/>
              <w:jc w:val="center"/>
              <w:rPr>
                <w:rFonts w:cs="Arial"/>
                <w:sz w:val="18"/>
                <w:szCs w:val="18"/>
                <w:lang w:val="es-ES"/>
              </w:rPr>
            </w:pPr>
            <w:r w:rsidRPr="00F94AC4">
              <w:rPr>
                <w:rFonts w:cs="Arial"/>
                <w:sz w:val="18"/>
                <w:szCs w:val="18"/>
                <w:lang w:val="es-ES"/>
              </w:rPr>
              <w:t>Ѵ</w:t>
            </w:r>
          </w:p>
        </w:tc>
        <w:tc>
          <w:tcPr>
            <w:tcW w:w="915" w:type="dxa"/>
          </w:tcPr>
          <w:p w14:paraId="24F01B07" w14:textId="77777777" w:rsidR="00016847" w:rsidRPr="00F94AC4" w:rsidRDefault="00016847" w:rsidP="00C24D0B">
            <w:pPr>
              <w:spacing w:after="60"/>
              <w:jc w:val="center"/>
              <w:rPr>
                <w:rFonts w:cs="Arial"/>
                <w:sz w:val="18"/>
                <w:szCs w:val="18"/>
                <w:lang w:val="es-ES"/>
              </w:rPr>
            </w:pPr>
            <w:r w:rsidRPr="00F94AC4">
              <w:rPr>
                <w:rFonts w:cs="Arial"/>
                <w:sz w:val="18"/>
                <w:szCs w:val="18"/>
                <w:lang w:val="es-ES"/>
              </w:rPr>
              <w:t>Sí</w:t>
            </w:r>
          </w:p>
        </w:tc>
      </w:tr>
      <w:tr w:rsidR="00F94AC4" w:rsidRPr="00F94AC4" w14:paraId="342A7C01" w14:textId="77777777" w:rsidTr="00F94AC4">
        <w:trPr>
          <w:trHeight w:val="721"/>
          <w:jc w:val="center"/>
        </w:trPr>
        <w:tc>
          <w:tcPr>
            <w:tcW w:w="1238" w:type="dxa"/>
          </w:tcPr>
          <w:p w14:paraId="66A3DA96" w14:textId="77777777" w:rsidR="00016847" w:rsidRPr="00F94AC4" w:rsidRDefault="00016847" w:rsidP="00563BAC">
            <w:pPr>
              <w:spacing w:after="60"/>
              <w:jc w:val="both"/>
              <w:rPr>
                <w:rFonts w:eastAsia="Times New Roman" w:cs="Arial"/>
                <w:sz w:val="18"/>
                <w:szCs w:val="18"/>
              </w:rPr>
            </w:pPr>
            <w:r w:rsidRPr="00F94AC4">
              <w:rPr>
                <w:rFonts w:eastAsia="Times New Roman" w:cs="Arial"/>
                <w:sz w:val="18"/>
                <w:szCs w:val="18"/>
              </w:rPr>
              <w:t>Negro de habla inglesa</w:t>
            </w:r>
          </w:p>
        </w:tc>
        <w:tc>
          <w:tcPr>
            <w:tcW w:w="2061" w:type="dxa"/>
          </w:tcPr>
          <w:p w14:paraId="37058D60" w14:textId="77777777" w:rsidR="00016847" w:rsidRPr="00F94AC4" w:rsidRDefault="00016847" w:rsidP="00C24D0B">
            <w:pPr>
              <w:spacing w:after="60"/>
              <w:jc w:val="center"/>
              <w:rPr>
                <w:rFonts w:cs="Arial"/>
                <w:sz w:val="18"/>
                <w:szCs w:val="18"/>
                <w:lang w:val="es-ES"/>
              </w:rPr>
            </w:pPr>
          </w:p>
          <w:p w14:paraId="6B0D7064" w14:textId="77777777" w:rsidR="00016847" w:rsidRPr="00F94AC4" w:rsidRDefault="00016847" w:rsidP="00C24D0B">
            <w:pPr>
              <w:spacing w:after="60"/>
              <w:jc w:val="center"/>
              <w:rPr>
                <w:rFonts w:cs="Arial"/>
                <w:sz w:val="18"/>
                <w:szCs w:val="18"/>
                <w:lang w:val="es-ES"/>
              </w:rPr>
            </w:pPr>
            <w:r w:rsidRPr="00F94AC4">
              <w:rPr>
                <w:rFonts w:cs="Arial"/>
                <w:sz w:val="18"/>
                <w:szCs w:val="18"/>
                <w:lang w:val="es-ES"/>
              </w:rPr>
              <w:t>Ѵ</w:t>
            </w:r>
          </w:p>
        </w:tc>
        <w:tc>
          <w:tcPr>
            <w:tcW w:w="2107" w:type="dxa"/>
          </w:tcPr>
          <w:p w14:paraId="7D9DA855" w14:textId="77777777" w:rsidR="00016847" w:rsidRPr="00F94AC4" w:rsidRDefault="00016847" w:rsidP="00C24D0B">
            <w:pPr>
              <w:spacing w:after="60"/>
              <w:jc w:val="center"/>
              <w:rPr>
                <w:rFonts w:cs="Arial"/>
                <w:sz w:val="18"/>
                <w:szCs w:val="18"/>
                <w:lang w:val="es-ES"/>
              </w:rPr>
            </w:pPr>
          </w:p>
          <w:p w14:paraId="244FB666" w14:textId="77777777" w:rsidR="00016847" w:rsidRPr="00F94AC4" w:rsidRDefault="00016847" w:rsidP="00C24D0B">
            <w:pPr>
              <w:spacing w:after="60"/>
              <w:jc w:val="center"/>
              <w:rPr>
                <w:rFonts w:cs="Arial"/>
                <w:sz w:val="18"/>
                <w:szCs w:val="18"/>
                <w:lang w:val="es-ES"/>
              </w:rPr>
            </w:pPr>
            <w:r w:rsidRPr="00F94AC4">
              <w:rPr>
                <w:rFonts w:cs="Arial"/>
                <w:sz w:val="18"/>
                <w:szCs w:val="18"/>
                <w:lang w:val="es-ES"/>
              </w:rPr>
              <w:t>-</w:t>
            </w:r>
          </w:p>
        </w:tc>
        <w:tc>
          <w:tcPr>
            <w:tcW w:w="2299" w:type="dxa"/>
            <w:vAlign w:val="center"/>
          </w:tcPr>
          <w:p w14:paraId="211521BA" w14:textId="77777777" w:rsidR="00016847" w:rsidRPr="00F94AC4" w:rsidRDefault="00016847" w:rsidP="00C24D0B">
            <w:pPr>
              <w:spacing w:after="60"/>
              <w:jc w:val="center"/>
              <w:rPr>
                <w:rFonts w:cs="Arial"/>
                <w:sz w:val="18"/>
                <w:szCs w:val="18"/>
                <w:lang w:val="es-ES"/>
              </w:rPr>
            </w:pPr>
            <w:r w:rsidRPr="00F94AC4">
              <w:rPr>
                <w:rFonts w:cs="Arial"/>
                <w:sz w:val="18"/>
                <w:szCs w:val="18"/>
                <w:lang w:val="es-ES"/>
              </w:rPr>
              <w:t>-</w:t>
            </w:r>
          </w:p>
        </w:tc>
        <w:tc>
          <w:tcPr>
            <w:tcW w:w="1752" w:type="dxa"/>
          </w:tcPr>
          <w:p w14:paraId="42BB98AA" w14:textId="77777777" w:rsidR="00016847" w:rsidRPr="00F94AC4" w:rsidRDefault="00016847" w:rsidP="00C24D0B">
            <w:pPr>
              <w:spacing w:after="60"/>
              <w:jc w:val="center"/>
              <w:rPr>
                <w:rFonts w:cs="Arial"/>
                <w:sz w:val="18"/>
                <w:szCs w:val="18"/>
                <w:lang w:val="es-ES"/>
              </w:rPr>
            </w:pPr>
          </w:p>
          <w:p w14:paraId="31DC7F29" w14:textId="77777777" w:rsidR="00016847" w:rsidRPr="00F94AC4" w:rsidRDefault="00016847" w:rsidP="00C24D0B">
            <w:pPr>
              <w:spacing w:after="60"/>
              <w:jc w:val="center"/>
              <w:rPr>
                <w:rFonts w:cs="Arial"/>
                <w:sz w:val="18"/>
                <w:szCs w:val="18"/>
                <w:lang w:val="es-ES"/>
              </w:rPr>
            </w:pPr>
            <w:r w:rsidRPr="00F94AC4">
              <w:rPr>
                <w:rFonts w:cs="Arial"/>
                <w:sz w:val="18"/>
                <w:szCs w:val="18"/>
                <w:lang w:val="es-ES"/>
              </w:rPr>
              <w:t>Ѵ</w:t>
            </w:r>
          </w:p>
        </w:tc>
        <w:tc>
          <w:tcPr>
            <w:tcW w:w="915" w:type="dxa"/>
          </w:tcPr>
          <w:p w14:paraId="730713B8" w14:textId="77777777" w:rsidR="00016847" w:rsidRPr="00F94AC4" w:rsidRDefault="00016847" w:rsidP="00C24D0B">
            <w:pPr>
              <w:spacing w:after="60"/>
              <w:jc w:val="center"/>
              <w:rPr>
                <w:rFonts w:cs="Arial"/>
                <w:sz w:val="18"/>
                <w:szCs w:val="18"/>
                <w:lang w:val="es-ES"/>
              </w:rPr>
            </w:pPr>
          </w:p>
          <w:p w14:paraId="718C7326" w14:textId="77777777" w:rsidR="00016847" w:rsidRPr="00F94AC4" w:rsidRDefault="00016847" w:rsidP="00C24D0B">
            <w:pPr>
              <w:spacing w:after="60"/>
              <w:jc w:val="center"/>
              <w:rPr>
                <w:rFonts w:cs="Arial"/>
                <w:sz w:val="18"/>
                <w:szCs w:val="18"/>
                <w:lang w:val="es-ES"/>
              </w:rPr>
            </w:pPr>
            <w:r w:rsidRPr="00F94AC4">
              <w:rPr>
                <w:rFonts w:cs="Arial"/>
                <w:sz w:val="18"/>
                <w:szCs w:val="18"/>
                <w:lang w:val="es-ES"/>
              </w:rPr>
              <w:t>No</w:t>
            </w:r>
          </w:p>
        </w:tc>
      </w:tr>
    </w:tbl>
    <w:p w14:paraId="3FF8C287" w14:textId="77777777" w:rsidR="00016847" w:rsidRPr="00FA4B2D" w:rsidRDefault="00016847" w:rsidP="006A3DBC">
      <w:pPr>
        <w:spacing w:after="60"/>
        <w:jc w:val="both"/>
        <w:rPr>
          <w:rFonts w:cs="Arial"/>
          <w:noProof/>
          <w:lang w:val="es-HN" w:eastAsia="es-HN"/>
        </w:rPr>
      </w:pPr>
    </w:p>
    <w:p w14:paraId="6203C115" w14:textId="7D4A848F" w:rsidR="009B6DA7" w:rsidRPr="00FA4B2D" w:rsidRDefault="006A3DBC" w:rsidP="006A3DBC">
      <w:pPr>
        <w:spacing w:after="60"/>
        <w:jc w:val="both"/>
        <w:rPr>
          <w:rFonts w:cs="Arial"/>
          <w:lang w:val="es-ES"/>
        </w:rPr>
      </w:pPr>
      <w:r w:rsidRPr="00FA4B2D">
        <w:rPr>
          <w:rFonts w:cs="Arial"/>
          <w:lang w:val="es-HN"/>
        </w:rPr>
        <w:t>La ubicación de los siete Pueblos</w:t>
      </w:r>
      <w:r w:rsidRPr="00FA4B2D">
        <w:rPr>
          <w:rFonts w:cs="Arial"/>
          <w:lang w:val="es-ES"/>
        </w:rPr>
        <w:t xml:space="preserve"> Indígena en</w:t>
      </w:r>
      <w:r w:rsidRPr="00FA4B2D">
        <w:rPr>
          <w:rFonts w:cs="Arial"/>
          <w:lang w:val="es-HN"/>
        </w:rPr>
        <w:t xml:space="preserve"> la zona de influencia del COMRURAL III</w:t>
      </w:r>
      <w:r w:rsidRPr="00FA4B2D">
        <w:rPr>
          <w:rFonts w:cs="Arial"/>
          <w:lang w:val="es-ES"/>
        </w:rPr>
        <w:t xml:space="preserve"> (Lenca, Maya Chortí, Pech, Tolupán, Nahua, Tawahka, y Garífuna) se muestra en el siguiente mapa. </w:t>
      </w:r>
    </w:p>
    <w:p w14:paraId="75AFD1D2" w14:textId="09B8333B" w:rsidR="00F94AC4" w:rsidRDefault="00F94AC4" w:rsidP="00F94AC4">
      <w:pPr>
        <w:pStyle w:val="Descripcin"/>
        <w:keepNext/>
        <w:jc w:val="center"/>
      </w:pPr>
      <w:bookmarkStart w:id="746" w:name="_Toc202455589"/>
      <w:r>
        <w:lastRenderedPageBreak/>
        <w:t xml:space="preserve">Ilustración </w:t>
      </w:r>
      <w:r>
        <w:fldChar w:fldCharType="begin"/>
      </w:r>
      <w:r>
        <w:instrText xml:space="preserve"> SEQ Ilustración \* ARABIC </w:instrText>
      </w:r>
      <w:r>
        <w:fldChar w:fldCharType="separate"/>
      </w:r>
      <w:r>
        <w:rPr>
          <w:noProof/>
        </w:rPr>
        <w:t>27</w:t>
      </w:r>
      <w:r>
        <w:fldChar w:fldCharType="end"/>
      </w:r>
      <w:r>
        <w:t xml:space="preserve">: </w:t>
      </w:r>
      <w:r w:rsidRPr="00A3540D">
        <w:t>Mapa de Pueblos Indigenas en Honduras</w:t>
      </w:r>
      <w:bookmarkEnd w:id="746"/>
    </w:p>
    <w:p w14:paraId="066AD268" w14:textId="1070383B" w:rsidR="009B6DA7" w:rsidRPr="00FA4B2D" w:rsidRDefault="00C039A0" w:rsidP="00F94AC4">
      <w:pPr>
        <w:spacing w:after="60"/>
        <w:jc w:val="center"/>
        <w:rPr>
          <w:rFonts w:cs="Arial"/>
          <w:lang w:val="es-ES"/>
        </w:rPr>
      </w:pPr>
      <w:r w:rsidRPr="00FA4B2D">
        <w:rPr>
          <w:rFonts w:cs="Arial"/>
          <w:noProof/>
          <w:lang w:val="es-HN" w:eastAsia="es-HN"/>
        </w:rPr>
        <w:drawing>
          <wp:inline distT="0" distB="0" distL="0" distR="0" wp14:anchorId="3C29F9B0" wp14:editId="38DA6A1C">
            <wp:extent cx="5499100" cy="3489960"/>
            <wp:effectExtent l="0" t="0" r="6350" b="0"/>
            <wp:docPr id="30" name="Imagen 30" descr="C:\Users\Roger Hernández\Pictures\Mapa-Etnias-Hondu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ger Hernández\Pictures\Mapa-Etnias-Honduras.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03345" cy="3492654"/>
                    </a:xfrm>
                    <a:prstGeom prst="rect">
                      <a:avLst/>
                    </a:prstGeom>
                    <a:noFill/>
                    <a:ln>
                      <a:noFill/>
                    </a:ln>
                  </pic:spPr>
                </pic:pic>
              </a:graphicData>
            </a:graphic>
          </wp:inline>
        </w:drawing>
      </w:r>
    </w:p>
    <w:p w14:paraId="4BF8AFF4" w14:textId="3E62AA9D" w:rsidR="00C039A0" w:rsidRPr="00FA4B2D" w:rsidRDefault="00C039A0" w:rsidP="006A3DBC">
      <w:pPr>
        <w:spacing w:after="60"/>
        <w:jc w:val="both"/>
        <w:rPr>
          <w:rFonts w:cs="Arial"/>
          <w:sz w:val="18"/>
          <w:szCs w:val="18"/>
          <w:lang w:val="es-ES"/>
        </w:rPr>
      </w:pPr>
      <w:r w:rsidRPr="00FA4B2D">
        <w:rPr>
          <w:rFonts w:cs="Arial"/>
          <w:b/>
          <w:bCs/>
          <w:sz w:val="18"/>
          <w:szCs w:val="18"/>
          <w:lang w:val="es-ES"/>
        </w:rPr>
        <w:t>Fuente</w:t>
      </w:r>
      <w:r w:rsidRPr="00FA4B2D">
        <w:rPr>
          <w:rFonts w:cs="Arial"/>
          <w:sz w:val="18"/>
          <w:szCs w:val="18"/>
          <w:lang w:val="es-ES"/>
        </w:rPr>
        <w:t>:</w:t>
      </w:r>
      <w:r w:rsidRPr="00FA4B2D">
        <w:rPr>
          <w:rFonts w:cs="Arial"/>
        </w:rPr>
        <w:t xml:space="preserve"> </w:t>
      </w:r>
      <w:r w:rsidRPr="00FA4B2D">
        <w:rPr>
          <w:rFonts w:cs="Arial"/>
          <w:sz w:val="18"/>
          <w:szCs w:val="18"/>
        </w:rPr>
        <w:t xml:space="preserve">: </w:t>
      </w:r>
      <w:hyperlink r:id="rId73" w:tgtFrame="_blank" w:history="1">
        <w:r w:rsidRPr="00FA4B2D">
          <w:rPr>
            <w:rStyle w:val="Hipervnculo"/>
            <w:rFonts w:cs="Arial"/>
            <w:sz w:val="18"/>
            <w:szCs w:val="18"/>
          </w:rPr>
          <w:t>https://redhonduras.com/.../mapa-etnias-grupos-indigenas.../</w:t>
        </w:r>
      </w:hyperlink>
      <w:r w:rsidRPr="00FA4B2D">
        <w:rPr>
          <w:rFonts w:cs="Arial"/>
          <w:sz w:val="18"/>
          <w:szCs w:val="18"/>
          <w:lang w:val="es-ES"/>
        </w:rPr>
        <w:t xml:space="preserve"> </w:t>
      </w:r>
    </w:p>
    <w:p w14:paraId="24A48FC9" w14:textId="77777777" w:rsidR="006A3DBC" w:rsidRPr="00FA4B2D" w:rsidRDefault="006A3DBC" w:rsidP="006A3DBC">
      <w:pPr>
        <w:spacing w:after="60"/>
        <w:jc w:val="both"/>
        <w:rPr>
          <w:rFonts w:cs="Arial"/>
          <w:lang w:val="es-ES" w:eastAsia="es-ES"/>
        </w:rPr>
      </w:pPr>
    </w:p>
    <w:p w14:paraId="582CCA24" w14:textId="77777777" w:rsidR="006A3DBC" w:rsidRPr="00FA4B2D" w:rsidRDefault="006A3DBC" w:rsidP="006A3DBC">
      <w:pPr>
        <w:spacing w:after="0" w:line="240" w:lineRule="auto"/>
        <w:jc w:val="both"/>
        <w:rPr>
          <w:rFonts w:cs="Arial"/>
          <w:lang w:val="es-HN"/>
        </w:rPr>
      </w:pPr>
      <w:r w:rsidRPr="00FA4B2D">
        <w:rPr>
          <w:rFonts w:cs="Arial"/>
          <w:lang w:val="es-HN"/>
        </w:rPr>
        <w:t>El MPPI describe en detalle los indicadores socioeconómicos de la población indígena, su participación en el proyecto e identifica los principales riesgos y medidas de mitigación, entre otros.</w:t>
      </w:r>
    </w:p>
    <w:p w14:paraId="4953A2CA" w14:textId="77777777" w:rsidR="006A3DBC" w:rsidRPr="00FA4B2D" w:rsidRDefault="006A3DBC" w:rsidP="006A3DBC">
      <w:pPr>
        <w:tabs>
          <w:tab w:val="left" w:pos="5325"/>
        </w:tabs>
        <w:spacing w:after="0" w:line="240" w:lineRule="auto"/>
        <w:jc w:val="both"/>
        <w:rPr>
          <w:rFonts w:cs="Arial"/>
          <w:lang w:val="es-HN"/>
        </w:rPr>
      </w:pPr>
      <w:r w:rsidRPr="00FA4B2D">
        <w:rPr>
          <w:rFonts w:cs="Arial"/>
          <w:lang w:val="es-HN"/>
        </w:rPr>
        <w:tab/>
      </w:r>
    </w:p>
    <w:p w14:paraId="289905D0" w14:textId="77777777" w:rsidR="006A3DBC" w:rsidRPr="00FA4B2D" w:rsidRDefault="006A3DBC" w:rsidP="006A3DBC">
      <w:pPr>
        <w:pStyle w:val="Prrafodelista"/>
        <w:numPr>
          <w:ilvl w:val="0"/>
          <w:numId w:val="9"/>
        </w:numPr>
        <w:spacing w:after="0" w:line="240" w:lineRule="auto"/>
        <w:ind w:left="360"/>
        <w:jc w:val="both"/>
        <w:rPr>
          <w:rFonts w:cs="Arial"/>
          <w:b/>
          <w:lang w:val="es-HN"/>
        </w:rPr>
      </w:pPr>
      <w:r w:rsidRPr="00FA4B2D">
        <w:rPr>
          <w:rFonts w:cs="Arial"/>
          <w:b/>
          <w:lang w:val="es-HN"/>
        </w:rPr>
        <w:t>Comunidades Afrodescendientes</w:t>
      </w:r>
    </w:p>
    <w:p w14:paraId="1180BBA8" w14:textId="77777777" w:rsidR="006A3DBC" w:rsidRPr="00FA4B2D" w:rsidRDefault="006A3DBC" w:rsidP="006A3DBC">
      <w:pPr>
        <w:spacing w:after="0" w:line="240" w:lineRule="auto"/>
        <w:jc w:val="both"/>
        <w:rPr>
          <w:rFonts w:cs="Arial"/>
          <w:lang w:val="es-HN"/>
        </w:rPr>
      </w:pPr>
    </w:p>
    <w:p w14:paraId="12ABCD43" w14:textId="3DAC5216" w:rsidR="006A3DBC" w:rsidRPr="00FA4B2D" w:rsidRDefault="006A3DBC" w:rsidP="006A3DBC">
      <w:pPr>
        <w:spacing w:after="0" w:line="240" w:lineRule="auto"/>
        <w:jc w:val="both"/>
        <w:rPr>
          <w:rFonts w:cs="Arial"/>
          <w:lang w:val="es-HN"/>
        </w:rPr>
      </w:pPr>
      <w:r w:rsidRPr="00FA4B2D">
        <w:rPr>
          <w:rFonts w:cs="Arial"/>
          <w:lang w:val="es-HN"/>
        </w:rPr>
        <w:t>Si bien las comunidades afro hondureñas se componen tanto por negros de habla inglesa y el pueblo garífuna; este último por sus características cumple con los criterios del EAS7 de pueblo indígena y, por tanto, se abordan en profundidad en el MPPI.  En la tabla 18 se incluyen algunas de las acciones afirmativas que se implementarán en el marco del Proyecto COMRURAL III para fomentar su participación en las actividades y beneficios de este.  Sin embargo, mayor detalle se encuentra en el MPPI. Se destinará fondos para la contratación de una firma implementadora y atender grupos afrodescendientes.</w:t>
      </w:r>
    </w:p>
    <w:p w14:paraId="63EE43C7" w14:textId="77777777" w:rsidR="006A3DBC" w:rsidRPr="00FA4B2D" w:rsidRDefault="006A3DBC" w:rsidP="006A3DBC">
      <w:pPr>
        <w:spacing w:after="0" w:line="240" w:lineRule="auto"/>
        <w:jc w:val="both"/>
        <w:rPr>
          <w:rFonts w:cs="Arial"/>
          <w:lang w:val="es-HN"/>
        </w:rPr>
      </w:pPr>
    </w:p>
    <w:p w14:paraId="46AB0B39" w14:textId="77777777" w:rsidR="006A3DBC" w:rsidRPr="00FA4B2D" w:rsidRDefault="006A3DBC" w:rsidP="006A3DBC">
      <w:pPr>
        <w:spacing w:after="0" w:line="240" w:lineRule="auto"/>
        <w:jc w:val="both"/>
        <w:rPr>
          <w:rFonts w:cs="Arial"/>
          <w:lang w:val="es-HN"/>
        </w:rPr>
      </w:pPr>
      <w:r w:rsidRPr="00FA4B2D">
        <w:rPr>
          <w:rFonts w:cs="Arial"/>
          <w:lang w:val="es-HN"/>
        </w:rPr>
        <w:t xml:space="preserve">Respecto del pueblo Negro de habla inglesa se ha conformado por población negra africana que llegó a Honduras a trabajar con las compañías bananeras, la mayoría procedentes de Jamaica y Trinidad y Tobago, países caribeños de habla inglesa, las compañías bananeras trajeron ese personal para apoyar la producción de banano como efecto de la dinámica económica que vivió la historia nacional de Honduras en el siglo pasado.  En la actualidad se registra una población aproximada de 80,000 personas. Se conocen como isleños, ya que habitan en su mayoría en el departamento de Islas de la Bahía, y en menor medida en los departamentos de </w:t>
      </w:r>
      <w:r w:rsidRPr="00FA4B2D">
        <w:rPr>
          <w:rFonts w:cs="Arial"/>
          <w:lang w:val="es-HN"/>
        </w:rPr>
        <w:lastRenderedPageBreak/>
        <w:t>Atlántida, Cortes y Colón. El departamento de Islas de la Bahía, donde se ubica la mayor parte de esta población, está fuera del ámbito de intervención del Proyecto COMRURAL III; pero aún es posible encontrar, aunque en mucha menor medida, este tipo de población en los otros departamentos donde si trabajará el Proyecto.</w:t>
      </w:r>
    </w:p>
    <w:p w14:paraId="2ADA730F" w14:textId="77777777" w:rsidR="006A3DBC" w:rsidRPr="00FA4B2D" w:rsidRDefault="006A3DBC" w:rsidP="006A3DBC">
      <w:pPr>
        <w:spacing w:after="0" w:line="240" w:lineRule="auto"/>
        <w:jc w:val="both"/>
        <w:rPr>
          <w:rFonts w:cs="Arial"/>
          <w:lang w:val="es-HN"/>
        </w:rPr>
      </w:pPr>
    </w:p>
    <w:p w14:paraId="197CC8C3" w14:textId="16D5FBAC" w:rsidR="006A3DBC" w:rsidRPr="00FA4B2D" w:rsidRDefault="006A3DBC" w:rsidP="006A3DBC">
      <w:pPr>
        <w:spacing w:after="0" w:line="240" w:lineRule="auto"/>
        <w:jc w:val="both"/>
        <w:rPr>
          <w:rFonts w:cs="Arial"/>
          <w:lang w:val="es-HN"/>
        </w:rPr>
      </w:pPr>
      <w:r w:rsidRPr="00FA4B2D">
        <w:rPr>
          <w:rFonts w:cs="Arial"/>
          <w:lang w:val="es-HN"/>
        </w:rPr>
        <w:t xml:space="preserve">Hay escasa información específica sobre este grupo tanto con relación a su localización fuera del departamento de Islas de la Bahía como a mayores detalles de su situación socio </w:t>
      </w:r>
      <w:r w:rsidR="00345968" w:rsidRPr="00FA4B2D">
        <w:rPr>
          <w:rFonts w:cs="Arial"/>
          <w:lang w:val="es-HN"/>
        </w:rPr>
        <w:t>económico</w:t>
      </w:r>
      <w:r w:rsidRPr="00FA4B2D">
        <w:rPr>
          <w:rFonts w:cs="Arial"/>
          <w:lang w:val="es-HN"/>
        </w:rPr>
        <w:t xml:space="preserve">.  Sin embargo, en el estudio “Caracterización de la población indígena y afrodescendiente de Honduras” del programa DIPA, se resaltan los índices negativos y los malos resultados socioeconómicos de este grupo en general, un alto nivel de rezago y agudeza de analfabetismo, pocos años de escolaridad promedio, baja participación económica, desempleo, viviendas carenciadas, alta presencia de mujeres solas, reproducción de roles de género desventajosos para las mujeres, pérdida de la lengua materna por parte de algunos pueblos, bajo conocimiento y uso de sitios ceremoniales, baja presencia de autoridades tradicionales en sus comunidades y desinterés en la organización comunitaria.  </w:t>
      </w:r>
    </w:p>
    <w:p w14:paraId="632EB129" w14:textId="77777777" w:rsidR="006A3DBC" w:rsidRPr="00FA4B2D" w:rsidRDefault="006A3DBC" w:rsidP="006A3DBC">
      <w:pPr>
        <w:spacing w:after="0" w:line="240" w:lineRule="auto"/>
        <w:jc w:val="both"/>
        <w:rPr>
          <w:rFonts w:cs="Arial"/>
          <w:lang w:val="es-HN"/>
        </w:rPr>
      </w:pPr>
    </w:p>
    <w:p w14:paraId="114F674F" w14:textId="77777777" w:rsidR="006A3DBC" w:rsidRPr="00FA4B2D" w:rsidRDefault="006A3DBC" w:rsidP="006A3DBC">
      <w:pPr>
        <w:spacing w:after="0" w:line="240" w:lineRule="auto"/>
        <w:jc w:val="both"/>
        <w:rPr>
          <w:rFonts w:cs="Arial"/>
          <w:lang w:val="es-HN"/>
        </w:rPr>
      </w:pPr>
      <w:r w:rsidRPr="00FA4B2D">
        <w:rPr>
          <w:rFonts w:cs="Arial"/>
          <w:lang w:val="es-HN"/>
        </w:rPr>
        <w:t xml:space="preserve">En la evaluación social complementaria que se realizará al inicio de la efectividad del Proyecto, se buscará el apoyo de las organizaciones afro hondureñas para fortalecer la caracterización de este grupo poblacional. </w:t>
      </w:r>
    </w:p>
    <w:p w14:paraId="2E3B0D61" w14:textId="77777777" w:rsidR="006A3DBC" w:rsidRDefault="006A3DBC" w:rsidP="006A3DBC">
      <w:pPr>
        <w:spacing w:after="0" w:line="240" w:lineRule="auto"/>
        <w:jc w:val="both"/>
        <w:rPr>
          <w:rFonts w:cs="Arial"/>
          <w:lang w:val="es-HN"/>
        </w:rPr>
      </w:pPr>
    </w:p>
    <w:p w14:paraId="732A4AB9" w14:textId="77777777" w:rsidR="00F94AC4" w:rsidRDefault="00F94AC4" w:rsidP="006A3DBC">
      <w:pPr>
        <w:spacing w:after="0" w:line="240" w:lineRule="auto"/>
        <w:jc w:val="both"/>
        <w:rPr>
          <w:rFonts w:cs="Arial"/>
          <w:lang w:val="es-HN"/>
        </w:rPr>
      </w:pPr>
    </w:p>
    <w:p w14:paraId="5D4B32E0" w14:textId="77777777" w:rsidR="00F94AC4" w:rsidRPr="00FA4B2D" w:rsidRDefault="00F94AC4" w:rsidP="006A3DBC">
      <w:pPr>
        <w:spacing w:after="0" w:line="240" w:lineRule="auto"/>
        <w:jc w:val="both"/>
        <w:rPr>
          <w:rFonts w:cs="Arial"/>
          <w:lang w:val="es-HN"/>
        </w:rPr>
      </w:pPr>
    </w:p>
    <w:p w14:paraId="2A7D0740" w14:textId="77777777" w:rsidR="006A3DBC" w:rsidRPr="00FA4B2D" w:rsidRDefault="006A3DBC" w:rsidP="006A3DBC">
      <w:pPr>
        <w:pStyle w:val="Prrafodelista"/>
        <w:numPr>
          <w:ilvl w:val="0"/>
          <w:numId w:val="9"/>
        </w:numPr>
        <w:spacing w:after="0" w:line="240" w:lineRule="auto"/>
        <w:ind w:left="360"/>
        <w:jc w:val="both"/>
        <w:rPr>
          <w:rFonts w:cs="Arial"/>
          <w:b/>
          <w:lang w:val="es-HN"/>
        </w:rPr>
      </w:pPr>
      <w:r w:rsidRPr="00FA4B2D">
        <w:rPr>
          <w:rFonts w:cs="Arial"/>
          <w:b/>
          <w:lang w:val="es-HN"/>
        </w:rPr>
        <w:t>Personas LGBTIQ+</w:t>
      </w:r>
    </w:p>
    <w:p w14:paraId="198BE0E5" w14:textId="77777777" w:rsidR="006A3DBC" w:rsidRPr="00FA4B2D" w:rsidRDefault="006A3DBC" w:rsidP="006A3DBC">
      <w:pPr>
        <w:spacing w:after="0" w:line="240" w:lineRule="auto"/>
        <w:jc w:val="both"/>
        <w:rPr>
          <w:rFonts w:cs="Arial"/>
          <w:lang w:val="es-HN"/>
        </w:rPr>
      </w:pPr>
    </w:p>
    <w:p w14:paraId="263F5EF9" w14:textId="77777777" w:rsidR="006A3DBC" w:rsidRPr="00FA4B2D" w:rsidRDefault="006A3DBC" w:rsidP="006A3DBC">
      <w:pPr>
        <w:spacing w:after="0" w:line="240" w:lineRule="auto"/>
        <w:jc w:val="both"/>
        <w:rPr>
          <w:rFonts w:cs="Arial"/>
          <w:lang w:val="es-ES"/>
        </w:rPr>
      </w:pPr>
      <w:r w:rsidRPr="00FA4B2D">
        <w:rPr>
          <w:rFonts w:cs="Arial"/>
          <w:lang w:val="es-ES"/>
        </w:rPr>
        <w:t>Las personas Lesbiana, Gay, Bisexual, Transgénero, Intersexual y Queer (+) enfrentan falta de protección legal y los altos niveles de estigma social hacen que las personas LGBTIQ+ se consideren un grupo vulnerable en Honduras, incluyendo el área rural. Todas las minorías sexuales enfrentan altos niveles de violencia, incluida una de las tasas de homicidio más altas de la región. Las personas LGBTIQ+ son extremadamente vulnerables al acoso de las pandillas. Además, los agentes de policía a menudo hacen poco para detener la violencia y, a menudo, participan o fomentan comportamientos homofóbicos y transfóbicos. Históricamente, las minorías sexuales y de género han sido excluidas del sector laboral formal. La falta de oportunidades económicas disponibles para las personas LGBTIQ+ a menudo las obliga a realizar trabajos riesgosos, peligrosos o inestables en el sector laboral informal, incluido el trabajo sexual.</w:t>
      </w:r>
    </w:p>
    <w:p w14:paraId="682B4F9F" w14:textId="77777777" w:rsidR="006A3DBC" w:rsidRPr="00FA4B2D" w:rsidRDefault="006A3DBC" w:rsidP="006A3DBC">
      <w:pPr>
        <w:spacing w:after="0" w:line="240" w:lineRule="auto"/>
        <w:jc w:val="both"/>
        <w:rPr>
          <w:rFonts w:cs="Arial"/>
          <w:lang w:val="es-ES"/>
        </w:rPr>
      </w:pPr>
    </w:p>
    <w:p w14:paraId="609A6672" w14:textId="77777777" w:rsidR="006A3DBC" w:rsidRPr="00FA4B2D" w:rsidRDefault="006A3DBC" w:rsidP="006A3DBC">
      <w:pPr>
        <w:spacing w:after="0" w:line="240" w:lineRule="auto"/>
        <w:jc w:val="both"/>
        <w:rPr>
          <w:rFonts w:cs="Arial"/>
          <w:lang w:val="es-ES"/>
        </w:rPr>
      </w:pPr>
      <w:r w:rsidRPr="00FA4B2D">
        <w:rPr>
          <w:rFonts w:cs="Arial"/>
          <w:lang w:val="es-ES"/>
        </w:rPr>
        <w:t xml:space="preserve">Honduras no tiene una ley de identidad de género, lo que dificulta que las personas transgénero cambien su nombre y género en los documentos oficiales. En 2005, la Constitución fue enmendada para prohibir explícitamente el matrimonio entre personas del mismo sexo y la adopción por parejas del mismo sexo. Algunos avances en la legislación incluyen las reformas hechas al código penal en el 2013, por medio del Decreto No. 23-2013. El artículo 321 no solo prohíbe la discriminación por motivos de orientación sexual e identidad de género en el trabajo o en el acceso a bienes y servicios, sino que también tipifica como delito la incitación al odio o la </w:t>
      </w:r>
      <w:r w:rsidRPr="00FA4B2D">
        <w:rPr>
          <w:rFonts w:cs="Arial"/>
          <w:lang w:val="es-ES"/>
        </w:rPr>
        <w:lastRenderedPageBreak/>
        <w:t>discriminación por motivos de orientación sexual e identidad de género. En los artículos 211 y 212 se prohíbe la discriminación por motivos de orientación sexual e identidad de género en el acceso a los servicios públicos, así como a los servicios prestados por otros profesionales y empresas. Esta disposición prohíbe la discriminación por orientación sexual e identidad de género en términos generales y, por lo tanto, se aplica al empleo. También fue modificado el párrafo 27 del artículo 27 del Código Penal el cual ahora establece que el odio o el desprecio de la orientación sexual de la víctima es una circunstancia agravante. El nuevo Código Penal entró en vigor en junio de 2020.</w:t>
      </w:r>
    </w:p>
    <w:p w14:paraId="1E58FB88" w14:textId="77777777" w:rsidR="006A3DBC" w:rsidRPr="00FA4B2D" w:rsidRDefault="006A3DBC" w:rsidP="006A3DBC">
      <w:pPr>
        <w:spacing w:after="0" w:line="240" w:lineRule="auto"/>
        <w:jc w:val="both"/>
        <w:rPr>
          <w:rFonts w:cs="Arial"/>
          <w:lang w:val="es-HN"/>
        </w:rPr>
      </w:pPr>
    </w:p>
    <w:p w14:paraId="2CD7DE6D" w14:textId="77777777" w:rsidR="006A3DBC" w:rsidRPr="00FA4B2D" w:rsidRDefault="3A7FC69B" w:rsidP="00411720">
      <w:pPr>
        <w:pStyle w:val="Ttulo2"/>
        <w:numPr>
          <w:ilvl w:val="2"/>
          <w:numId w:val="100"/>
        </w:numPr>
        <w:spacing w:before="0" w:line="240" w:lineRule="auto"/>
        <w:jc w:val="both"/>
        <w:rPr>
          <w:rFonts w:ascii="Arial" w:hAnsi="Arial" w:cs="Arial"/>
          <w:b/>
          <w:bCs/>
          <w:color w:val="767171" w:themeColor="background2" w:themeShade="80"/>
          <w:sz w:val="22"/>
          <w:szCs w:val="22"/>
        </w:rPr>
      </w:pPr>
      <w:bookmarkStart w:id="747" w:name="_Toc202456940"/>
      <w:r w:rsidRPr="00FA4B2D">
        <w:rPr>
          <w:rFonts w:ascii="Arial" w:hAnsi="Arial" w:cs="Arial"/>
          <w:b/>
          <w:bCs/>
          <w:color w:val="767171" w:themeColor="background2" w:themeShade="80"/>
          <w:sz w:val="22"/>
          <w:szCs w:val="22"/>
        </w:rPr>
        <w:t>Estrategia y acciones afirmativas para asegurar la participación de grupos vulnerables durante la implementación del Proyecto</w:t>
      </w:r>
      <w:r w:rsidR="006A3DBC" w:rsidRPr="00FA4B2D">
        <w:rPr>
          <w:rStyle w:val="Refdenotaalpie"/>
          <w:rFonts w:ascii="Arial" w:hAnsi="Arial" w:cs="Arial"/>
          <w:b/>
          <w:bCs/>
          <w:color w:val="767171" w:themeColor="background2" w:themeShade="80"/>
          <w:sz w:val="22"/>
          <w:szCs w:val="22"/>
        </w:rPr>
        <w:footnoteReference w:id="41"/>
      </w:r>
      <w:bookmarkEnd w:id="747"/>
    </w:p>
    <w:p w14:paraId="707CC134" w14:textId="77777777" w:rsidR="006A3DBC" w:rsidRPr="00FA4B2D" w:rsidRDefault="006A3DBC" w:rsidP="006A3DBC">
      <w:pPr>
        <w:spacing w:after="0" w:line="240" w:lineRule="auto"/>
        <w:jc w:val="both"/>
        <w:rPr>
          <w:rFonts w:cs="Arial"/>
          <w:lang w:val="es-HN"/>
        </w:rPr>
      </w:pPr>
    </w:p>
    <w:p w14:paraId="7D0CDE46" w14:textId="77777777" w:rsidR="006A3DBC" w:rsidRPr="00FA4B2D" w:rsidRDefault="006A3DBC" w:rsidP="006A3DBC">
      <w:pPr>
        <w:spacing w:after="0" w:line="240" w:lineRule="auto"/>
        <w:jc w:val="both"/>
        <w:rPr>
          <w:rFonts w:cs="Arial"/>
          <w:lang w:val="es-ES"/>
        </w:rPr>
      </w:pPr>
      <w:r w:rsidRPr="00FA4B2D">
        <w:rPr>
          <w:rFonts w:cs="Arial"/>
          <w:lang w:val="es-ES"/>
        </w:rPr>
        <w:t xml:space="preserve">El PPPI del COMRURAL III prevé una serie de acciones afirmativas para asegurar la participación de grupos vulnerables durante la implementación del Proyecto. </w:t>
      </w:r>
    </w:p>
    <w:p w14:paraId="71B82354" w14:textId="77777777" w:rsidR="006A3DBC" w:rsidRPr="00FA4B2D" w:rsidRDefault="006A3DBC" w:rsidP="006A3DBC">
      <w:pPr>
        <w:spacing w:after="0" w:line="240" w:lineRule="auto"/>
        <w:jc w:val="both"/>
        <w:rPr>
          <w:rFonts w:cs="Arial"/>
          <w:lang w:val="es-ES"/>
        </w:rPr>
      </w:pPr>
    </w:p>
    <w:p w14:paraId="4030501E" w14:textId="77777777" w:rsidR="006A3DBC" w:rsidRPr="00FA4B2D" w:rsidRDefault="006A3DBC" w:rsidP="006A3DBC">
      <w:pPr>
        <w:spacing w:after="0" w:line="240" w:lineRule="auto"/>
        <w:jc w:val="both"/>
        <w:rPr>
          <w:rFonts w:cs="Arial"/>
          <w:lang w:val="es-ES"/>
        </w:rPr>
      </w:pPr>
      <w:r w:rsidRPr="00FA4B2D">
        <w:rPr>
          <w:rFonts w:cs="Arial"/>
          <w:lang w:val="es-ES"/>
        </w:rPr>
        <w:t>Por un lado, COMRURAL III ha identificado umbrales mínimos para garantizar la participación y no exclusión de mujeres, jóvenes y personas consideradas vulnerables por el BM: (i) mujeres 30%; (ii) jóvenes (18-29 años) 15%; y (iii) Pueblos Indígenas y afrodescendientes 20%. Estos umbrales representan el nivel mínimo de participación que se debe alcanzar y, al mismo tiempo se busca mantener la flexibilidad, dado que las actividades del Componente serán impulsadas por la demanda. La inclusión de estos grupos se promoverá a través de procedimientos adaptados a ellos y a su realidad sociocultural, incluida la divulgación y asistencia técnica para la preparación de propuestas. Además, en la fase de aprobación de perfiles de negocio por el Comité de Evaluación, se dan más puntos a aquellas propuestas que vienen de una OPR 100% de población indígena, 100% de mujeres, con equidad en la participación de jóvenes, y con equidad en la participación con personas con alguna discapacidad; es decir, COMRURAL favorece estos perfiles de negocios y busca activamente darles más oportunidad a grupos más vulnerables de la población. Para población indígena estos procedimientos están descritos en detalle en el MPPI de COMRURAL III y posteriormente en el MOP.</w:t>
      </w:r>
    </w:p>
    <w:p w14:paraId="187E5974" w14:textId="77777777" w:rsidR="006A3DBC" w:rsidRPr="00FA4B2D" w:rsidRDefault="006A3DBC" w:rsidP="006A3DBC">
      <w:pPr>
        <w:spacing w:after="0" w:line="240" w:lineRule="auto"/>
        <w:jc w:val="both"/>
        <w:rPr>
          <w:rFonts w:cs="Arial"/>
        </w:rPr>
      </w:pPr>
    </w:p>
    <w:p w14:paraId="423A86B7" w14:textId="77777777" w:rsidR="006A3DBC" w:rsidRPr="00FA4B2D" w:rsidRDefault="006A3DBC" w:rsidP="006A3DBC">
      <w:pPr>
        <w:spacing w:after="0" w:line="240" w:lineRule="auto"/>
        <w:jc w:val="both"/>
        <w:rPr>
          <w:rFonts w:cs="Arial"/>
        </w:rPr>
      </w:pPr>
      <w:r w:rsidRPr="00FA4B2D">
        <w:rPr>
          <w:rFonts w:cs="Arial"/>
        </w:rPr>
        <w:t>Adicionalmente, todo PdN debe incluir el Anexo con PGAS conteniendo un análisis de riesgo incluyendo la participación de grupos vulnerables y las medidas de mitigación correspondientes.</w:t>
      </w:r>
    </w:p>
    <w:p w14:paraId="5A4EF092" w14:textId="77777777" w:rsidR="006A3DBC" w:rsidRPr="00FA4B2D" w:rsidRDefault="006A3DBC" w:rsidP="006A3DBC">
      <w:pPr>
        <w:spacing w:after="0" w:line="240" w:lineRule="auto"/>
        <w:jc w:val="both"/>
        <w:rPr>
          <w:rFonts w:cs="Arial"/>
        </w:rPr>
      </w:pPr>
    </w:p>
    <w:p w14:paraId="217005EE" w14:textId="77777777" w:rsidR="006A3DBC" w:rsidRPr="00FA4B2D" w:rsidRDefault="006A3DBC" w:rsidP="006A3DBC">
      <w:pPr>
        <w:spacing w:after="0" w:line="240" w:lineRule="auto"/>
        <w:jc w:val="both"/>
        <w:rPr>
          <w:rFonts w:cs="Arial"/>
        </w:rPr>
      </w:pPr>
      <w:r w:rsidRPr="00FA4B2D">
        <w:rPr>
          <w:rFonts w:cs="Arial"/>
        </w:rPr>
        <w:t>A continuación, se presentan los obstáculos identificados por el PPPI del Proyecto para la participación de grupos vulnerables y las medidas de mitigación y/o acciones afirmativas contempladas.</w:t>
      </w:r>
    </w:p>
    <w:p w14:paraId="61A03CB9" w14:textId="77777777" w:rsidR="006A3DBC" w:rsidRPr="00FA4B2D" w:rsidRDefault="006A3DBC" w:rsidP="006A3DBC">
      <w:pPr>
        <w:spacing w:after="0" w:line="240" w:lineRule="auto"/>
        <w:jc w:val="both"/>
        <w:rPr>
          <w:rFonts w:cs="Arial"/>
        </w:rPr>
        <w:sectPr w:rsidR="006A3DBC" w:rsidRPr="00FA4B2D" w:rsidSect="005F4A92">
          <w:pgSz w:w="12240" w:h="15840"/>
          <w:pgMar w:top="1417" w:right="1750" w:bottom="1417" w:left="1560" w:header="708" w:footer="708" w:gutter="0"/>
          <w:cols w:space="708"/>
          <w:docGrid w:linePitch="360"/>
        </w:sectPr>
      </w:pPr>
    </w:p>
    <w:p w14:paraId="7D761868" w14:textId="43193BF4" w:rsidR="00F94AC4" w:rsidRDefault="00F94AC4" w:rsidP="00F94AC4">
      <w:pPr>
        <w:pStyle w:val="Descripcin"/>
        <w:keepNext/>
      </w:pPr>
      <w:bookmarkStart w:id="748" w:name="_Toc202455477"/>
      <w:r>
        <w:lastRenderedPageBreak/>
        <w:t xml:space="preserve">Tabla </w:t>
      </w:r>
      <w:r>
        <w:fldChar w:fldCharType="begin"/>
      </w:r>
      <w:r>
        <w:instrText xml:space="preserve"> SEQ Tabla \* ARABIC </w:instrText>
      </w:r>
      <w:r>
        <w:fldChar w:fldCharType="separate"/>
      </w:r>
      <w:r w:rsidR="000E6D86">
        <w:rPr>
          <w:noProof/>
        </w:rPr>
        <w:t>51</w:t>
      </w:r>
      <w:r>
        <w:fldChar w:fldCharType="end"/>
      </w:r>
      <w:r>
        <w:t xml:space="preserve">: </w:t>
      </w:r>
      <w:r w:rsidRPr="00483045">
        <w:t>Acciones propuestas para promover la participación equitativa de mujeres y posibles acciones afirmativas</w:t>
      </w:r>
      <w:bookmarkEnd w:id="748"/>
    </w:p>
    <w:tbl>
      <w:tblPr>
        <w:tblW w:w="12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blLook w:val="04A0" w:firstRow="1" w:lastRow="0" w:firstColumn="1" w:lastColumn="0" w:noHBand="0" w:noVBand="1"/>
      </w:tblPr>
      <w:tblGrid>
        <w:gridCol w:w="3168"/>
        <w:gridCol w:w="9727"/>
      </w:tblGrid>
      <w:tr w:rsidR="00F94AC4" w:rsidRPr="00F94AC4" w14:paraId="6097FC87" w14:textId="77777777" w:rsidTr="37B44ACB">
        <w:trPr>
          <w:tblHeader/>
          <w:jc w:val="center"/>
        </w:trPr>
        <w:tc>
          <w:tcPr>
            <w:tcW w:w="3168" w:type="dxa"/>
            <w:shd w:val="clear" w:color="auto" w:fill="5CC5DA"/>
          </w:tcPr>
          <w:p w14:paraId="36ECB332" w14:textId="77777777" w:rsidR="006A3DBC" w:rsidRPr="00F94AC4" w:rsidRDefault="006A3DBC" w:rsidP="005F4A92">
            <w:pPr>
              <w:spacing w:after="60" w:line="240" w:lineRule="auto"/>
              <w:jc w:val="center"/>
              <w:rPr>
                <w:rFonts w:cs="Arial"/>
                <w:b/>
                <w:sz w:val="20"/>
                <w:szCs w:val="20"/>
                <w:lang w:val="es-GT"/>
              </w:rPr>
            </w:pPr>
            <w:r w:rsidRPr="00F94AC4">
              <w:rPr>
                <w:rFonts w:cs="Arial"/>
                <w:b/>
                <w:sz w:val="20"/>
                <w:szCs w:val="20"/>
                <w:lang w:val="es-GT"/>
              </w:rPr>
              <w:t>Obstáculo</w:t>
            </w:r>
          </w:p>
        </w:tc>
        <w:tc>
          <w:tcPr>
            <w:tcW w:w="9727" w:type="dxa"/>
            <w:shd w:val="clear" w:color="auto" w:fill="5CC5DA"/>
          </w:tcPr>
          <w:p w14:paraId="31A34B99" w14:textId="77777777" w:rsidR="006A3DBC" w:rsidRPr="00F94AC4" w:rsidRDefault="006A3DBC" w:rsidP="005F4A92">
            <w:pPr>
              <w:spacing w:after="60" w:line="240" w:lineRule="auto"/>
              <w:ind w:left="151"/>
              <w:jc w:val="center"/>
              <w:rPr>
                <w:rFonts w:cs="Arial"/>
                <w:b/>
                <w:sz w:val="20"/>
                <w:szCs w:val="20"/>
                <w:lang w:val="es-GT"/>
              </w:rPr>
            </w:pPr>
            <w:r w:rsidRPr="00F94AC4">
              <w:rPr>
                <w:rFonts w:cs="Arial"/>
                <w:b/>
                <w:sz w:val="20"/>
                <w:szCs w:val="20"/>
                <w:lang w:val="es-GT"/>
              </w:rPr>
              <w:t>Medida de mitigación o Acción afirmativa</w:t>
            </w:r>
          </w:p>
        </w:tc>
      </w:tr>
      <w:tr w:rsidR="00F94AC4" w:rsidRPr="00F94AC4" w14:paraId="637EB756" w14:textId="77777777" w:rsidTr="37B44ACB">
        <w:trPr>
          <w:jc w:val="center"/>
        </w:trPr>
        <w:tc>
          <w:tcPr>
            <w:tcW w:w="3168" w:type="dxa"/>
            <w:shd w:val="clear" w:color="auto" w:fill="FFFFFF" w:themeFill="background1"/>
          </w:tcPr>
          <w:p w14:paraId="41BFBFFA" w14:textId="77777777" w:rsidR="006A3DBC" w:rsidRPr="00F94AC4" w:rsidRDefault="006A3DBC" w:rsidP="005F4A92">
            <w:pPr>
              <w:spacing w:after="60" w:line="240" w:lineRule="auto"/>
              <w:jc w:val="both"/>
              <w:rPr>
                <w:rFonts w:cs="Arial"/>
                <w:sz w:val="20"/>
                <w:szCs w:val="20"/>
                <w:lang w:val="es-GT"/>
              </w:rPr>
            </w:pPr>
            <w:bookmarkStart w:id="749" w:name="_Hlk40425108"/>
            <w:r w:rsidRPr="00F94AC4">
              <w:rPr>
                <w:rFonts w:cs="Arial"/>
                <w:sz w:val="20"/>
                <w:szCs w:val="20"/>
                <w:lang w:val="es-GT"/>
              </w:rPr>
              <w:t>Alta carga de trabajo (triple rol; migración hombre; muchos niños pequeños a su cargo).</w:t>
            </w:r>
          </w:p>
        </w:tc>
        <w:tc>
          <w:tcPr>
            <w:tcW w:w="9727" w:type="dxa"/>
            <w:shd w:val="clear" w:color="auto" w:fill="FFFFFF" w:themeFill="background1"/>
          </w:tcPr>
          <w:p w14:paraId="7434BA1A" w14:textId="77777777" w:rsidR="006A3DBC" w:rsidRPr="00F94AC4" w:rsidRDefault="3A7FC69B" w:rsidP="005F4A92">
            <w:pPr>
              <w:spacing w:after="60" w:line="240" w:lineRule="auto"/>
              <w:jc w:val="both"/>
              <w:rPr>
                <w:rFonts w:cs="Arial"/>
                <w:sz w:val="20"/>
                <w:szCs w:val="20"/>
                <w:lang w:val="es-GT"/>
              </w:rPr>
            </w:pPr>
            <w:r w:rsidRPr="00F94AC4">
              <w:rPr>
                <w:rFonts w:cs="Arial"/>
                <w:sz w:val="20"/>
                <w:szCs w:val="20"/>
                <w:lang w:val="es-GT"/>
              </w:rPr>
              <w:t>-Organizar guarderías temporales para que las mujeres con niños pequeños puedan concentrarse mejor (siempre y cuando las mujeres consideren esta opción como un apoyo útil)</w:t>
            </w:r>
            <w:r w:rsidR="006A3DBC" w:rsidRPr="00F94AC4">
              <w:rPr>
                <w:rFonts w:cs="Arial"/>
                <w:sz w:val="20"/>
                <w:szCs w:val="20"/>
                <w:vertAlign w:val="superscript"/>
                <w:lang w:val="es-GT"/>
              </w:rPr>
              <w:footnoteReference w:id="42"/>
            </w:r>
            <w:r w:rsidRPr="00F94AC4">
              <w:rPr>
                <w:rFonts w:cs="Arial"/>
                <w:sz w:val="20"/>
                <w:szCs w:val="20"/>
                <w:lang w:val="es-GT"/>
              </w:rPr>
              <w:t>.</w:t>
            </w:r>
          </w:p>
          <w:p w14:paraId="25D460F2" w14:textId="77777777" w:rsidR="006A3DBC" w:rsidRPr="00F94AC4" w:rsidRDefault="006A3DBC" w:rsidP="005F4A92">
            <w:pPr>
              <w:spacing w:after="60" w:line="240" w:lineRule="auto"/>
              <w:jc w:val="both"/>
              <w:rPr>
                <w:rFonts w:cs="Arial"/>
                <w:sz w:val="20"/>
                <w:szCs w:val="20"/>
                <w:lang w:val="es-GT"/>
              </w:rPr>
            </w:pPr>
            <w:r w:rsidRPr="00F94AC4">
              <w:rPr>
                <w:rFonts w:cs="Arial"/>
                <w:sz w:val="20"/>
                <w:szCs w:val="20"/>
                <w:lang w:val="es-GT"/>
              </w:rPr>
              <w:t>-Respetar horarios convenientes para hombres y mujeres.</w:t>
            </w:r>
          </w:p>
          <w:p w14:paraId="5F97F429" w14:textId="77777777" w:rsidR="006A3DBC" w:rsidRPr="00F94AC4" w:rsidRDefault="006A3DBC" w:rsidP="005F4A92">
            <w:pPr>
              <w:spacing w:after="60" w:line="240" w:lineRule="auto"/>
              <w:jc w:val="both"/>
              <w:rPr>
                <w:rFonts w:cs="Arial"/>
                <w:sz w:val="20"/>
                <w:szCs w:val="20"/>
                <w:lang w:val="es-GT"/>
              </w:rPr>
            </w:pPr>
            <w:r w:rsidRPr="00F94AC4">
              <w:rPr>
                <w:rFonts w:cs="Arial"/>
                <w:sz w:val="20"/>
                <w:szCs w:val="20"/>
                <w:lang w:val="es-GT"/>
              </w:rPr>
              <w:t>Enviar las convocatorias dirigidas a las mujeres para asegurar su participación en las actividades.</w:t>
            </w:r>
          </w:p>
        </w:tc>
      </w:tr>
      <w:tr w:rsidR="00F94AC4" w:rsidRPr="00F94AC4" w14:paraId="787B53B1" w14:textId="77777777" w:rsidTr="37B44ACB">
        <w:trPr>
          <w:jc w:val="center"/>
        </w:trPr>
        <w:tc>
          <w:tcPr>
            <w:tcW w:w="3168" w:type="dxa"/>
            <w:shd w:val="clear" w:color="auto" w:fill="FFFFFF" w:themeFill="background1"/>
          </w:tcPr>
          <w:p w14:paraId="0F4C5468" w14:textId="77777777" w:rsidR="006A3DBC" w:rsidRPr="00F94AC4" w:rsidRDefault="006A3DBC" w:rsidP="005F4A92">
            <w:pPr>
              <w:spacing w:after="60" w:line="240" w:lineRule="auto"/>
              <w:jc w:val="both"/>
              <w:rPr>
                <w:rFonts w:cs="Arial"/>
                <w:sz w:val="20"/>
                <w:szCs w:val="20"/>
                <w:lang w:val="es-GT"/>
              </w:rPr>
            </w:pPr>
            <w:r w:rsidRPr="00F94AC4">
              <w:rPr>
                <w:rFonts w:cs="Arial"/>
                <w:sz w:val="20"/>
                <w:szCs w:val="20"/>
                <w:lang w:val="es-GT"/>
              </w:rPr>
              <w:t>Machismo (no tener libertad de decidir o de moverse físicamente para asistir a una actividad social o productiva (asistencia técnica, capacitación), baja autoestima, violencia, timidez, miedo).</w:t>
            </w:r>
          </w:p>
        </w:tc>
        <w:tc>
          <w:tcPr>
            <w:tcW w:w="9727" w:type="dxa"/>
            <w:shd w:val="clear" w:color="auto" w:fill="FFFFFF" w:themeFill="background1"/>
          </w:tcPr>
          <w:p w14:paraId="7E4EDE69" w14:textId="77777777" w:rsidR="006A3DBC" w:rsidRPr="00F94AC4" w:rsidRDefault="006A3DBC" w:rsidP="005F4A92">
            <w:pPr>
              <w:pStyle w:val="Sinespaciado"/>
              <w:spacing w:after="60"/>
              <w:jc w:val="both"/>
              <w:rPr>
                <w:rFonts w:ascii="Arial" w:hAnsi="Arial" w:cs="Arial"/>
                <w:color w:val="767171" w:themeColor="background2" w:themeShade="80"/>
                <w:sz w:val="20"/>
                <w:szCs w:val="20"/>
                <w:lang w:val="es-GT"/>
              </w:rPr>
            </w:pPr>
            <w:r w:rsidRPr="00F94AC4">
              <w:rPr>
                <w:rFonts w:ascii="Arial" w:hAnsi="Arial" w:cs="Arial"/>
                <w:color w:val="767171" w:themeColor="background2" w:themeShade="80"/>
                <w:sz w:val="20"/>
                <w:szCs w:val="20"/>
                <w:lang w:val="es-GT"/>
              </w:rPr>
              <w:t xml:space="preserve">-Evaluar si es necesario realizar eventos separados para mujeres y hombres o asistencia en pareja. </w:t>
            </w:r>
          </w:p>
          <w:p w14:paraId="32B77109" w14:textId="77777777" w:rsidR="006A3DBC" w:rsidRPr="00F94AC4" w:rsidRDefault="006A3DBC" w:rsidP="005F4A92">
            <w:pPr>
              <w:pStyle w:val="Sinespaciado"/>
              <w:spacing w:after="60"/>
              <w:jc w:val="both"/>
              <w:rPr>
                <w:rFonts w:ascii="Arial" w:hAnsi="Arial" w:cs="Arial"/>
                <w:color w:val="767171" w:themeColor="background2" w:themeShade="80"/>
                <w:sz w:val="20"/>
                <w:szCs w:val="20"/>
                <w:lang w:val="es-GT"/>
              </w:rPr>
            </w:pPr>
            <w:r w:rsidRPr="00F94AC4">
              <w:rPr>
                <w:rFonts w:ascii="Arial" w:hAnsi="Arial" w:cs="Arial"/>
                <w:color w:val="767171" w:themeColor="background2" w:themeShade="80"/>
                <w:sz w:val="20"/>
                <w:szCs w:val="20"/>
                <w:lang w:val="es-GT"/>
              </w:rPr>
              <w:t>-Coordinar e involucrar a lideresas comunitarias mujeres por su conocimiento de Grupos productivos organizados de mujeres y sus intereses.</w:t>
            </w:r>
          </w:p>
          <w:p w14:paraId="427828BB" w14:textId="77777777" w:rsidR="006A3DBC" w:rsidRPr="00F94AC4" w:rsidRDefault="006A3DBC" w:rsidP="005F4A92">
            <w:pPr>
              <w:spacing w:after="60" w:line="240" w:lineRule="auto"/>
              <w:jc w:val="both"/>
              <w:rPr>
                <w:rFonts w:cs="Arial"/>
                <w:sz w:val="20"/>
                <w:szCs w:val="20"/>
                <w:lang w:val="es-GT"/>
              </w:rPr>
            </w:pPr>
            <w:r w:rsidRPr="00F94AC4">
              <w:rPr>
                <w:rFonts w:cs="Arial"/>
                <w:sz w:val="20"/>
                <w:szCs w:val="20"/>
                <w:lang w:val="es-GT"/>
              </w:rPr>
              <w:t>-Al momento de la convocatoria explicar de qué se trata el evento y explicar al esposo/compañero de vida porqué es importante y beneficiosa la participación de las mujeres.</w:t>
            </w:r>
          </w:p>
          <w:p w14:paraId="16BF6C32" w14:textId="77777777" w:rsidR="006A3DBC" w:rsidRPr="00F94AC4" w:rsidRDefault="006A3DBC" w:rsidP="005F4A92">
            <w:pPr>
              <w:spacing w:after="60" w:line="240" w:lineRule="auto"/>
              <w:jc w:val="both"/>
              <w:rPr>
                <w:rFonts w:cs="Arial"/>
                <w:sz w:val="20"/>
                <w:szCs w:val="20"/>
                <w:lang w:val="es-GT"/>
              </w:rPr>
            </w:pPr>
            <w:r w:rsidRPr="00F94AC4">
              <w:rPr>
                <w:rFonts w:cs="Arial"/>
                <w:sz w:val="20"/>
                <w:szCs w:val="20"/>
                <w:lang w:val="es-GT"/>
              </w:rPr>
              <w:t>-Tener personal técnico femenino.</w:t>
            </w:r>
          </w:p>
          <w:p w14:paraId="48A680F9" w14:textId="77777777" w:rsidR="006A3DBC" w:rsidRPr="00F94AC4" w:rsidRDefault="006A3DBC" w:rsidP="005F4A92">
            <w:pPr>
              <w:spacing w:after="60" w:line="240" w:lineRule="auto"/>
              <w:jc w:val="both"/>
              <w:rPr>
                <w:rFonts w:cs="Arial"/>
                <w:sz w:val="20"/>
                <w:szCs w:val="20"/>
                <w:lang w:val="es-GT"/>
              </w:rPr>
            </w:pPr>
            <w:r w:rsidRPr="00F94AC4">
              <w:rPr>
                <w:rFonts w:cs="Arial"/>
                <w:sz w:val="20"/>
                <w:szCs w:val="20"/>
                <w:lang w:val="es-GT"/>
              </w:rPr>
              <w:t>-Socialización en área de influencia Proyecto y OPR(s) de mensajes a favor de la igualdad, inclusión social y contra la violencia contra mujer.</w:t>
            </w:r>
          </w:p>
          <w:p w14:paraId="36AE9CE3" w14:textId="77777777" w:rsidR="006A3DBC" w:rsidRPr="00F94AC4" w:rsidRDefault="006A3DBC" w:rsidP="005F4A92">
            <w:pPr>
              <w:pStyle w:val="Sinespaciado"/>
              <w:spacing w:after="60"/>
              <w:jc w:val="both"/>
              <w:rPr>
                <w:rFonts w:ascii="Arial" w:hAnsi="Arial" w:cs="Arial"/>
                <w:color w:val="767171" w:themeColor="background2" w:themeShade="80"/>
                <w:sz w:val="20"/>
                <w:szCs w:val="20"/>
                <w:lang w:val="es-GT"/>
              </w:rPr>
            </w:pPr>
            <w:r w:rsidRPr="00F94AC4">
              <w:rPr>
                <w:rFonts w:ascii="Arial" w:hAnsi="Arial" w:cs="Arial"/>
                <w:color w:val="767171" w:themeColor="background2" w:themeShade="80"/>
                <w:sz w:val="20"/>
                <w:szCs w:val="20"/>
                <w:lang w:val="es-GT"/>
              </w:rPr>
              <w:t>-Organizar los eventos en las comunidades y no en lugares que requieran viaje y/o hospedaje, ya que de esta manera se puede superar ciertas restricciones sociales y limitaciones de tiempo de las mujeres rurales.</w:t>
            </w:r>
          </w:p>
          <w:p w14:paraId="63C56E6E" w14:textId="77777777" w:rsidR="006A3DBC" w:rsidRPr="00F94AC4" w:rsidRDefault="006A3DBC" w:rsidP="005F4A92">
            <w:pPr>
              <w:pStyle w:val="Sinespaciado"/>
              <w:spacing w:after="60"/>
              <w:jc w:val="both"/>
              <w:rPr>
                <w:rFonts w:ascii="Arial" w:hAnsi="Arial" w:cs="Arial"/>
                <w:color w:val="767171" w:themeColor="background2" w:themeShade="80"/>
                <w:sz w:val="20"/>
                <w:szCs w:val="20"/>
                <w:lang w:val="es-GT"/>
              </w:rPr>
            </w:pPr>
            <w:r w:rsidRPr="00F94AC4">
              <w:rPr>
                <w:rFonts w:ascii="Arial" w:hAnsi="Arial" w:cs="Arial"/>
                <w:color w:val="767171" w:themeColor="background2" w:themeShade="80"/>
                <w:sz w:val="20"/>
                <w:szCs w:val="20"/>
                <w:lang w:val="es-GT"/>
              </w:rPr>
              <w:t>-Talleres de autoestima e igualdad de género tanto para hombres como mujeres.</w:t>
            </w:r>
          </w:p>
          <w:p w14:paraId="282A541E" w14:textId="77777777" w:rsidR="006A3DBC" w:rsidRPr="00F94AC4" w:rsidRDefault="006A3DBC" w:rsidP="005F4A92">
            <w:pPr>
              <w:pStyle w:val="Sinespaciado"/>
              <w:spacing w:after="60"/>
              <w:jc w:val="both"/>
              <w:rPr>
                <w:rFonts w:ascii="Arial" w:hAnsi="Arial" w:cs="Arial"/>
                <w:color w:val="767171" w:themeColor="background2" w:themeShade="80"/>
                <w:sz w:val="20"/>
                <w:szCs w:val="20"/>
                <w:lang w:val="es-GT"/>
              </w:rPr>
            </w:pPr>
            <w:r w:rsidRPr="00F94AC4">
              <w:rPr>
                <w:rFonts w:ascii="Arial" w:hAnsi="Arial" w:cs="Arial"/>
                <w:color w:val="767171" w:themeColor="background2" w:themeShade="80"/>
                <w:sz w:val="20"/>
                <w:szCs w:val="20"/>
                <w:lang w:val="es-GT"/>
              </w:rPr>
              <w:t>-Conocer los canales para denunciar actos de violencia e instancias que se puede recomendar a personas en situación de maltrato.</w:t>
            </w:r>
          </w:p>
          <w:p w14:paraId="7AE9DAC9" w14:textId="77777777" w:rsidR="006A3DBC" w:rsidRPr="00F94AC4" w:rsidRDefault="006A3DBC" w:rsidP="005F4A92">
            <w:pPr>
              <w:pStyle w:val="Sinespaciado"/>
              <w:spacing w:after="60"/>
              <w:jc w:val="both"/>
              <w:rPr>
                <w:rFonts w:ascii="Arial" w:hAnsi="Arial" w:cs="Arial"/>
                <w:color w:val="767171" w:themeColor="background2" w:themeShade="80"/>
                <w:sz w:val="20"/>
                <w:szCs w:val="20"/>
                <w:lang w:val="es-GT"/>
              </w:rPr>
            </w:pPr>
            <w:r w:rsidRPr="00F94AC4">
              <w:rPr>
                <w:rFonts w:ascii="Arial" w:hAnsi="Arial" w:cs="Arial"/>
                <w:color w:val="767171" w:themeColor="background2" w:themeShade="80"/>
                <w:sz w:val="20"/>
                <w:szCs w:val="20"/>
                <w:lang w:val="es-GT"/>
              </w:rPr>
              <w:t>Talleres de masculinidad.</w:t>
            </w:r>
          </w:p>
        </w:tc>
      </w:tr>
      <w:tr w:rsidR="00F94AC4" w:rsidRPr="00F94AC4" w14:paraId="7D64F2E3" w14:textId="77777777" w:rsidTr="37B44ACB">
        <w:trPr>
          <w:jc w:val="center"/>
        </w:trPr>
        <w:tc>
          <w:tcPr>
            <w:tcW w:w="3168" w:type="dxa"/>
            <w:shd w:val="clear" w:color="auto" w:fill="FFFFFF" w:themeFill="background1"/>
          </w:tcPr>
          <w:p w14:paraId="2E46A51D" w14:textId="77777777" w:rsidR="006A3DBC" w:rsidRPr="00F94AC4" w:rsidRDefault="006A3DBC" w:rsidP="005F4A92">
            <w:pPr>
              <w:spacing w:after="60" w:line="240" w:lineRule="auto"/>
              <w:jc w:val="both"/>
              <w:rPr>
                <w:rFonts w:cs="Arial"/>
                <w:sz w:val="20"/>
                <w:szCs w:val="20"/>
                <w:lang w:val="es-GT"/>
              </w:rPr>
            </w:pPr>
            <w:r w:rsidRPr="00F94AC4">
              <w:rPr>
                <w:rFonts w:cs="Arial"/>
                <w:sz w:val="20"/>
                <w:szCs w:val="20"/>
                <w:lang w:val="es-GT"/>
              </w:rPr>
              <w:t>Analfabetismo o bajo nivel educativo.</w:t>
            </w:r>
          </w:p>
        </w:tc>
        <w:tc>
          <w:tcPr>
            <w:tcW w:w="9727" w:type="dxa"/>
            <w:shd w:val="clear" w:color="auto" w:fill="FFFFFF" w:themeFill="background1"/>
          </w:tcPr>
          <w:p w14:paraId="67390E18" w14:textId="77777777" w:rsidR="006A3DBC" w:rsidRPr="00F94AC4" w:rsidRDefault="006A3DBC" w:rsidP="005F4A92">
            <w:pPr>
              <w:pStyle w:val="Sinespaciado"/>
              <w:spacing w:after="60"/>
              <w:jc w:val="both"/>
              <w:rPr>
                <w:rFonts w:ascii="Arial" w:hAnsi="Arial" w:cs="Arial"/>
                <w:color w:val="767171" w:themeColor="background2" w:themeShade="80"/>
                <w:sz w:val="20"/>
                <w:szCs w:val="20"/>
                <w:lang w:val="es-GT"/>
              </w:rPr>
            </w:pPr>
            <w:r w:rsidRPr="00F94AC4">
              <w:rPr>
                <w:rFonts w:ascii="Arial" w:hAnsi="Arial" w:cs="Arial"/>
                <w:color w:val="767171" w:themeColor="background2" w:themeShade="80"/>
                <w:sz w:val="20"/>
                <w:szCs w:val="20"/>
                <w:lang w:val="es-GT"/>
              </w:rPr>
              <w:t>-Usar lenguaje no técnico que sea inclusivo.</w:t>
            </w:r>
          </w:p>
          <w:p w14:paraId="12DE9047" w14:textId="77777777" w:rsidR="006A3DBC" w:rsidRPr="00F94AC4" w:rsidRDefault="006A3DBC" w:rsidP="005F4A92">
            <w:pPr>
              <w:pStyle w:val="Sinespaciado"/>
              <w:spacing w:after="60"/>
              <w:jc w:val="both"/>
              <w:rPr>
                <w:rFonts w:ascii="Arial" w:hAnsi="Arial" w:cs="Arial"/>
                <w:color w:val="767171" w:themeColor="background2" w:themeShade="80"/>
                <w:sz w:val="20"/>
                <w:szCs w:val="20"/>
                <w:lang w:val="es-GT"/>
              </w:rPr>
            </w:pPr>
            <w:r w:rsidRPr="00F94AC4">
              <w:rPr>
                <w:rFonts w:ascii="Arial" w:hAnsi="Arial" w:cs="Arial"/>
                <w:color w:val="767171" w:themeColor="background2" w:themeShade="80"/>
                <w:sz w:val="20"/>
                <w:szCs w:val="20"/>
                <w:lang w:val="es-GT"/>
              </w:rPr>
              <w:t>-Usar materiales visuales.</w:t>
            </w:r>
          </w:p>
          <w:p w14:paraId="7F51BA4C" w14:textId="77777777" w:rsidR="006A3DBC" w:rsidRPr="00F94AC4" w:rsidRDefault="006A3DBC" w:rsidP="005F4A92">
            <w:pPr>
              <w:pStyle w:val="Sinespaciado"/>
              <w:spacing w:after="60"/>
              <w:jc w:val="both"/>
              <w:rPr>
                <w:rFonts w:ascii="Arial" w:hAnsi="Arial" w:cs="Arial"/>
                <w:color w:val="767171" w:themeColor="background2" w:themeShade="80"/>
                <w:sz w:val="20"/>
                <w:szCs w:val="20"/>
                <w:lang w:val="es-GT"/>
              </w:rPr>
            </w:pPr>
            <w:r w:rsidRPr="00F94AC4">
              <w:rPr>
                <w:rFonts w:ascii="Arial" w:hAnsi="Arial" w:cs="Arial"/>
                <w:color w:val="767171" w:themeColor="background2" w:themeShade="80"/>
                <w:sz w:val="20"/>
                <w:szCs w:val="20"/>
                <w:lang w:val="es-GT"/>
              </w:rPr>
              <w:t xml:space="preserve">-Usar métodos participativos. </w:t>
            </w:r>
          </w:p>
        </w:tc>
      </w:tr>
      <w:tr w:rsidR="00F94AC4" w:rsidRPr="00F94AC4" w14:paraId="77762529" w14:textId="77777777" w:rsidTr="37B44ACB">
        <w:trPr>
          <w:jc w:val="center"/>
        </w:trPr>
        <w:tc>
          <w:tcPr>
            <w:tcW w:w="3168" w:type="dxa"/>
            <w:shd w:val="clear" w:color="auto" w:fill="FFFFFF" w:themeFill="background1"/>
          </w:tcPr>
          <w:p w14:paraId="24C6E348" w14:textId="77777777" w:rsidR="006A3DBC" w:rsidRPr="00F94AC4" w:rsidRDefault="006A3DBC" w:rsidP="005F4A92">
            <w:pPr>
              <w:spacing w:after="60" w:line="240" w:lineRule="auto"/>
              <w:jc w:val="both"/>
              <w:rPr>
                <w:rFonts w:cs="Arial"/>
                <w:sz w:val="20"/>
                <w:szCs w:val="20"/>
                <w:lang w:val="es-GT"/>
              </w:rPr>
            </w:pPr>
            <w:r w:rsidRPr="00F94AC4">
              <w:rPr>
                <w:rFonts w:cs="Arial"/>
                <w:sz w:val="20"/>
                <w:szCs w:val="20"/>
                <w:lang w:val="es-GT"/>
              </w:rPr>
              <w:t xml:space="preserve">Condición de pobreza (dificulta inversiones o para cubrir gastos </w:t>
            </w:r>
            <w:r w:rsidRPr="00F94AC4">
              <w:rPr>
                <w:rFonts w:cs="Arial"/>
                <w:sz w:val="20"/>
                <w:szCs w:val="20"/>
                <w:lang w:val="es-GT"/>
              </w:rPr>
              <w:lastRenderedPageBreak/>
              <w:t>para asistir a capacitaciones, etc).</w:t>
            </w:r>
          </w:p>
        </w:tc>
        <w:tc>
          <w:tcPr>
            <w:tcW w:w="9727" w:type="dxa"/>
            <w:shd w:val="clear" w:color="auto" w:fill="FFFFFF" w:themeFill="background1"/>
          </w:tcPr>
          <w:p w14:paraId="7D09FB86" w14:textId="77777777" w:rsidR="006A3DBC" w:rsidRPr="00F94AC4" w:rsidRDefault="3A7FC69B" w:rsidP="005F4A92">
            <w:pPr>
              <w:pStyle w:val="Sinespaciado"/>
              <w:spacing w:after="60"/>
              <w:jc w:val="both"/>
              <w:rPr>
                <w:rFonts w:ascii="Arial" w:hAnsi="Arial" w:cs="Arial"/>
                <w:color w:val="767171" w:themeColor="background2" w:themeShade="80"/>
                <w:sz w:val="20"/>
                <w:szCs w:val="20"/>
                <w:lang w:val="es-GT"/>
              </w:rPr>
            </w:pPr>
            <w:r w:rsidRPr="00F94AC4">
              <w:rPr>
                <w:rFonts w:ascii="Arial" w:hAnsi="Arial" w:cs="Arial"/>
                <w:color w:val="767171" w:themeColor="background2" w:themeShade="80"/>
                <w:sz w:val="20"/>
                <w:szCs w:val="20"/>
                <w:lang w:val="es-GT"/>
              </w:rPr>
              <w:lastRenderedPageBreak/>
              <w:t>-Incluir en el presupuesto de eventos el rubro de viáticos, especialmente para aquellos participantes que se sabe no tienen el recurso económico para pagar su pasaje u otros gastos relacionados</w:t>
            </w:r>
            <w:r w:rsidR="006A3DBC" w:rsidRPr="00F94AC4">
              <w:rPr>
                <w:rStyle w:val="Refdenotaalpie"/>
                <w:rFonts w:ascii="Arial" w:hAnsi="Arial" w:cs="Arial"/>
                <w:color w:val="767171" w:themeColor="background2" w:themeShade="80"/>
                <w:lang w:val="es-GT"/>
              </w:rPr>
              <w:footnoteReference w:id="43"/>
            </w:r>
            <w:r w:rsidRPr="00F94AC4">
              <w:rPr>
                <w:rFonts w:ascii="Arial" w:hAnsi="Arial" w:cs="Arial"/>
                <w:color w:val="767171" w:themeColor="background2" w:themeShade="80"/>
                <w:sz w:val="20"/>
                <w:szCs w:val="20"/>
                <w:lang w:val="es-GT"/>
              </w:rPr>
              <w:t>.</w:t>
            </w:r>
          </w:p>
          <w:p w14:paraId="030330A1" w14:textId="77777777" w:rsidR="006A3DBC" w:rsidRPr="00F94AC4" w:rsidRDefault="006A3DBC" w:rsidP="005F4A92">
            <w:pPr>
              <w:pStyle w:val="Sinespaciado"/>
              <w:spacing w:after="60"/>
              <w:jc w:val="both"/>
              <w:rPr>
                <w:rFonts w:ascii="Arial" w:hAnsi="Arial" w:cs="Arial"/>
                <w:color w:val="767171" w:themeColor="background2" w:themeShade="80"/>
                <w:sz w:val="20"/>
                <w:szCs w:val="20"/>
                <w:lang w:val="es-GT"/>
              </w:rPr>
            </w:pPr>
          </w:p>
          <w:p w14:paraId="2C6D4829" w14:textId="77777777" w:rsidR="006A3DBC" w:rsidRPr="00F94AC4" w:rsidRDefault="006A3DBC" w:rsidP="005F4A92">
            <w:pPr>
              <w:pStyle w:val="Sinespaciado"/>
              <w:spacing w:after="60"/>
              <w:jc w:val="both"/>
              <w:rPr>
                <w:rFonts w:ascii="Arial" w:hAnsi="Arial" w:cs="Arial"/>
                <w:color w:val="767171" w:themeColor="background2" w:themeShade="80"/>
                <w:sz w:val="20"/>
                <w:szCs w:val="20"/>
                <w:lang w:val="es-GT"/>
              </w:rPr>
            </w:pPr>
            <w:r w:rsidRPr="00F94AC4">
              <w:rPr>
                <w:rFonts w:ascii="Arial" w:hAnsi="Arial" w:cs="Arial"/>
                <w:color w:val="767171" w:themeColor="background2" w:themeShade="80"/>
                <w:sz w:val="20"/>
                <w:szCs w:val="20"/>
                <w:lang w:val="es-GT"/>
              </w:rPr>
              <w:lastRenderedPageBreak/>
              <w:t xml:space="preserve">Asignar cuotas de participación de mujeres en las organizaciones y en eventos directos del Proyecto. </w:t>
            </w:r>
          </w:p>
        </w:tc>
      </w:tr>
      <w:tr w:rsidR="00F94AC4" w:rsidRPr="00F94AC4" w14:paraId="703215AE" w14:textId="77777777" w:rsidTr="37B44ACB">
        <w:trPr>
          <w:jc w:val="center"/>
        </w:trPr>
        <w:tc>
          <w:tcPr>
            <w:tcW w:w="3168" w:type="dxa"/>
            <w:shd w:val="clear" w:color="auto" w:fill="FFFFFF" w:themeFill="background1"/>
          </w:tcPr>
          <w:p w14:paraId="0A7C85B1" w14:textId="77777777" w:rsidR="006A3DBC" w:rsidRPr="00F94AC4" w:rsidRDefault="006A3DBC" w:rsidP="005F4A92">
            <w:pPr>
              <w:spacing w:after="60" w:line="240" w:lineRule="auto"/>
              <w:jc w:val="both"/>
              <w:rPr>
                <w:rFonts w:cs="Arial"/>
                <w:sz w:val="20"/>
                <w:szCs w:val="20"/>
                <w:lang w:val="es-GT"/>
              </w:rPr>
            </w:pPr>
            <w:r w:rsidRPr="00F94AC4">
              <w:rPr>
                <w:rFonts w:cs="Arial"/>
                <w:sz w:val="20"/>
                <w:szCs w:val="20"/>
                <w:lang w:val="es-GT"/>
              </w:rPr>
              <w:lastRenderedPageBreak/>
              <w:t>Poca tenencia de la tierra.</w:t>
            </w:r>
          </w:p>
        </w:tc>
        <w:tc>
          <w:tcPr>
            <w:tcW w:w="9727" w:type="dxa"/>
            <w:shd w:val="clear" w:color="auto" w:fill="FFFFFF" w:themeFill="background1"/>
          </w:tcPr>
          <w:p w14:paraId="66218B13" w14:textId="77777777" w:rsidR="006A3DBC" w:rsidRPr="00F94AC4" w:rsidRDefault="006A3DBC" w:rsidP="005F4A92">
            <w:pPr>
              <w:pStyle w:val="Sinespaciado"/>
              <w:spacing w:after="60"/>
              <w:jc w:val="both"/>
              <w:rPr>
                <w:rFonts w:ascii="Arial" w:hAnsi="Arial" w:cs="Arial"/>
                <w:color w:val="767171" w:themeColor="background2" w:themeShade="80"/>
                <w:sz w:val="20"/>
                <w:szCs w:val="20"/>
                <w:lang w:val="es-GT"/>
              </w:rPr>
            </w:pPr>
            <w:r w:rsidRPr="00F94AC4">
              <w:rPr>
                <w:rFonts w:ascii="Arial" w:hAnsi="Arial" w:cs="Arial"/>
                <w:color w:val="767171" w:themeColor="background2" w:themeShade="80"/>
                <w:sz w:val="20"/>
                <w:szCs w:val="20"/>
                <w:lang w:val="es-GT"/>
              </w:rPr>
              <w:t>-No es un tema que lo solucionará el Proyecto, pero puede contribuir sensibilizando a padres y madres de familia sobre igualdad de género, incluyendo el tema de tenencia de la tierra (efecto a largo plazo).</w:t>
            </w:r>
          </w:p>
          <w:p w14:paraId="2FE14573" w14:textId="77777777" w:rsidR="006A3DBC" w:rsidRPr="00F94AC4" w:rsidRDefault="006A3DBC" w:rsidP="005F4A92">
            <w:pPr>
              <w:pStyle w:val="Sinespaciado"/>
              <w:spacing w:after="60"/>
              <w:jc w:val="both"/>
              <w:rPr>
                <w:rFonts w:ascii="Arial" w:hAnsi="Arial" w:cs="Arial"/>
                <w:color w:val="767171" w:themeColor="background2" w:themeShade="80"/>
                <w:sz w:val="20"/>
                <w:szCs w:val="20"/>
                <w:lang w:val="es-GT"/>
              </w:rPr>
            </w:pPr>
            <w:r w:rsidRPr="00F94AC4">
              <w:rPr>
                <w:rFonts w:ascii="Arial" w:hAnsi="Arial" w:cs="Arial"/>
                <w:color w:val="767171" w:themeColor="background2" w:themeShade="80"/>
                <w:sz w:val="20"/>
                <w:szCs w:val="20"/>
                <w:lang w:val="es-GT"/>
              </w:rPr>
              <w:t>Potenciar cadenas de valor que se adapten a las necesidades de las mujeres.</w:t>
            </w:r>
          </w:p>
        </w:tc>
      </w:tr>
      <w:tr w:rsidR="00F94AC4" w:rsidRPr="00F94AC4" w14:paraId="7F914671" w14:textId="77777777" w:rsidTr="37B44ACB">
        <w:trPr>
          <w:jc w:val="center"/>
        </w:trPr>
        <w:tc>
          <w:tcPr>
            <w:tcW w:w="3168" w:type="dxa"/>
            <w:shd w:val="clear" w:color="auto" w:fill="FFFFFF" w:themeFill="background1"/>
          </w:tcPr>
          <w:p w14:paraId="4C76AA4C" w14:textId="77777777" w:rsidR="006A3DBC" w:rsidRPr="00F94AC4" w:rsidRDefault="006A3DBC" w:rsidP="005F4A92">
            <w:pPr>
              <w:spacing w:after="60" w:line="240" w:lineRule="auto"/>
              <w:jc w:val="both"/>
              <w:rPr>
                <w:rFonts w:cs="Arial"/>
                <w:sz w:val="20"/>
                <w:szCs w:val="20"/>
                <w:lang w:val="es-GT"/>
              </w:rPr>
            </w:pPr>
            <w:r w:rsidRPr="00F94AC4">
              <w:rPr>
                <w:rFonts w:cs="Arial"/>
                <w:sz w:val="20"/>
                <w:szCs w:val="20"/>
                <w:lang w:val="es-GT"/>
              </w:rPr>
              <w:t xml:space="preserve">Acceso a crédito por ejemplo para emprendimientos. </w:t>
            </w:r>
          </w:p>
        </w:tc>
        <w:tc>
          <w:tcPr>
            <w:tcW w:w="9727" w:type="dxa"/>
            <w:shd w:val="clear" w:color="auto" w:fill="FFFFFF" w:themeFill="background1"/>
          </w:tcPr>
          <w:p w14:paraId="7F7009A3" w14:textId="77777777" w:rsidR="006A3DBC" w:rsidRPr="00F94AC4" w:rsidRDefault="006A3DBC" w:rsidP="005F4A92">
            <w:pPr>
              <w:spacing w:after="60" w:line="240" w:lineRule="auto"/>
              <w:jc w:val="both"/>
              <w:rPr>
                <w:rFonts w:cs="Arial"/>
                <w:sz w:val="20"/>
                <w:szCs w:val="20"/>
                <w:lang w:val="es-GT"/>
              </w:rPr>
            </w:pPr>
            <w:r w:rsidRPr="00F94AC4">
              <w:rPr>
                <w:rFonts w:cs="Arial"/>
                <w:sz w:val="20"/>
                <w:szCs w:val="20"/>
                <w:lang w:val="es-GT"/>
              </w:rPr>
              <w:t>-Criterios de selección para los subproyectos, toman en cuenta las condiciones particulares de las mujeres rurales, indígenas y madres solteras.</w:t>
            </w:r>
          </w:p>
          <w:p w14:paraId="082E9EDD" w14:textId="77777777" w:rsidR="006A3DBC" w:rsidRPr="00F94AC4" w:rsidRDefault="006A3DBC" w:rsidP="005F4A92">
            <w:pPr>
              <w:spacing w:after="60" w:line="240" w:lineRule="auto"/>
              <w:jc w:val="both"/>
              <w:rPr>
                <w:rFonts w:cs="Arial"/>
                <w:sz w:val="20"/>
                <w:szCs w:val="20"/>
                <w:lang w:val="es-GT"/>
              </w:rPr>
            </w:pPr>
            <w:r w:rsidRPr="00F94AC4">
              <w:rPr>
                <w:rFonts w:cs="Arial"/>
                <w:sz w:val="20"/>
                <w:szCs w:val="20"/>
                <w:lang w:val="es-GT"/>
              </w:rPr>
              <w:t>-Condiciones de Instancias Financieros que permiten acceso a oportunidades de financiamiento y/o garantías de crédito.</w:t>
            </w:r>
          </w:p>
        </w:tc>
      </w:tr>
      <w:tr w:rsidR="00F94AC4" w:rsidRPr="00F94AC4" w14:paraId="41D414B8" w14:textId="77777777" w:rsidTr="37B44ACB">
        <w:trPr>
          <w:jc w:val="center"/>
        </w:trPr>
        <w:tc>
          <w:tcPr>
            <w:tcW w:w="3168" w:type="dxa"/>
            <w:shd w:val="clear" w:color="auto" w:fill="FFFFFF" w:themeFill="background1"/>
          </w:tcPr>
          <w:p w14:paraId="03486C2B" w14:textId="77777777" w:rsidR="006A3DBC" w:rsidRPr="00F94AC4" w:rsidRDefault="006A3DBC" w:rsidP="005F4A92">
            <w:pPr>
              <w:spacing w:after="60" w:line="240" w:lineRule="auto"/>
              <w:jc w:val="both"/>
              <w:rPr>
                <w:rFonts w:cs="Arial"/>
                <w:sz w:val="20"/>
                <w:szCs w:val="20"/>
                <w:lang w:val="es-GT"/>
              </w:rPr>
            </w:pPr>
            <w:r w:rsidRPr="00F94AC4">
              <w:rPr>
                <w:rFonts w:cs="Arial"/>
                <w:sz w:val="20"/>
                <w:szCs w:val="20"/>
                <w:lang w:val="es-GT"/>
              </w:rPr>
              <w:t>No es considerada como socia en Organizaciones de Productores, por ejemplo, Cooperativas agrícolas.</w:t>
            </w:r>
          </w:p>
        </w:tc>
        <w:tc>
          <w:tcPr>
            <w:tcW w:w="9727" w:type="dxa"/>
            <w:shd w:val="clear" w:color="auto" w:fill="FFFFFF" w:themeFill="background1"/>
          </w:tcPr>
          <w:p w14:paraId="0C6A5EB4" w14:textId="77777777" w:rsidR="006A3DBC" w:rsidRPr="00F94AC4" w:rsidRDefault="006A3DBC" w:rsidP="005F4A92">
            <w:pPr>
              <w:spacing w:after="60" w:line="240" w:lineRule="auto"/>
              <w:jc w:val="both"/>
              <w:rPr>
                <w:rFonts w:cs="Arial"/>
                <w:sz w:val="20"/>
                <w:szCs w:val="20"/>
                <w:lang w:val="es-GT"/>
              </w:rPr>
            </w:pPr>
            <w:r w:rsidRPr="00F94AC4">
              <w:rPr>
                <w:rFonts w:cs="Arial"/>
                <w:sz w:val="20"/>
                <w:szCs w:val="20"/>
                <w:lang w:val="es-GT"/>
              </w:rPr>
              <w:t>-Charlas de sensibilización en organizaciones de productores sobre igualdad de género y sus beneficios.</w:t>
            </w:r>
          </w:p>
          <w:p w14:paraId="67BFD1E4" w14:textId="77777777" w:rsidR="006A3DBC" w:rsidRPr="00F94AC4" w:rsidRDefault="006A3DBC" w:rsidP="005F4A92">
            <w:pPr>
              <w:spacing w:after="60" w:line="240" w:lineRule="auto"/>
              <w:jc w:val="both"/>
              <w:rPr>
                <w:rFonts w:cs="Arial"/>
                <w:sz w:val="20"/>
                <w:szCs w:val="20"/>
                <w:lang w:val="es-GT"/>
              </w:rPr>
            </w:pPr>
            <w:r w:rsidRPr="00F94AC4">
              <w:rPr>
                <w:rFonts w:cs="Arial"/>
                <w:sz w:val="20"/>
                <w:szCs w:val="20"/>
                <w:lang w:val="es-GT"/>
              </w:rPr>
              <w:t>-Apoyo para cambiar estatus y reglamentos.</w:t>
            </w:r>
          </w:p>
          <w:p w14:paraId="44E418FF" w14:textId="77777777" w:rsidR="006A3DBC" w:rsidRPr="00F94AC4" w:rsidRDefault="006A3DBC" w:rsidP="005F4A92">
            <w:pPr>
              <w:spacing w:after="60" w:line="240" w:lineRule="auto"/>
              <w:jc w:val="both"/>
              <w:rPr>
                <w:rFonts w:cs="Arial"/>
                <w:sz w:val="20"/>
                <w:szCs w:val="20"/>
                <w:lang w:val="es-GT"/>
              </w:rPr>
            </w:pPr>
            <w:r w:rsidRPr="00F94AC4">
              <w:rPr>
                <w:rFonts w:cs="Arial"/>
                <w:sz w:val="20"/>
                <w:szCs w:val="20"/>
                <w:lang w:val="es-GT"/>
              </w:rPr>
              <w:t>-Apoyo a la legalización de organizaciones de mujeres productoras informales con potencial de crecimiento y de formar parte de las cadenas de valor priorizadas.</w:t>
            </w:r>
          </w:p>
          <w:p w14:paraId="7D9FBEE2" w14:textId="77777777" w:rsidR="006A3DBC" w:rsidRPr="00F94AC4" w:rsidRDefault="006A3DBC" w:rsidP="005F4A92">
            <w:pPr>
              <w:spacing w:after="60" w:line="240" w:lineRule="auto"/>
              <w:jc w:val="both"/>
              <w:rPr>
                <w:rFonts w:cs="Arial"/>
                <w:sz w:val="20"/>
                <w:szCs w:val="20"/>
                <w:lang w:val="es-GT"/>
              </w:rPr>
            </w:pPr>
            <w:r w:rsidRPr="00F94AC4">
              <w:rPr>
                <w:rFonts w:cs="Arial"/>
                <w:sz w:val="20"/>
                <w:szCs w:val="20"/>
                <w:lang w:val="es-GT"/>
              </w:rPr>
              <w:t>-Elaborar e implementar estrategias de género en cada OPR.</w:t>
            </w:r>
          </w:p>
          <w:p w14:paraId="746AD28B" w14:textId="77777777" w:rsidR="006A3DBC" w:rsidRPr="00F94AC4" w:rsidRDefault="006A3DBC" w:rsidP="005F4A92">
            <w:pPr>
              <w:jc w:val="both"/>
              <w:rPr>
                <w:rFonts w:cs="Arial"/>
                <w:sz w:val="20"/>
                <w:szCs w:val="20"/>
                <w:lang w:val="es-GT"/>
              </w:rPr>
            </w:pPr>
            <w:r w:rsidRPr="00F94AC4">
              <w:rPr>
                <w:rFonts w:cs="Arial"/>
                <w:sz w:val="20"/>
                <w:szCs w:val="20"/>
                <w:lang w:val="es-GT"/>
              </w:rPr>
              <w:t xml:space="preserve">-Capacitaciones relacionadas con temas de masculinidad y género para mejorar la conciencia sobre los roles y el empoderamiento de las mujeres. </w:t>
            </w:r>
          </w:p>
          <w:p w14:paraId="411C14CF" w14:textId="77777777" w:rsidR="006A3DBC" w:rsidRPr="00F94AC4" w:rsidRDefault="006A3DBC" w:rsidP="005F4A92">
            <w:pPr>
              <w:jc w:val="both"/>
              <w:rPr>
                <w:rFonts w:cs="Arial"/>
                <w:sz w:val="20"/>
                <w:szCs w:val="20"/>
                <w:lang w:val="es-GT"/>
              </w:rPr>
            </w:pPr>
            <w:r w:rsidRPr="00F94AC4">
              <w:rPr>
                <w:rFonts w:cs="Arial"/>
                <w:sz w:val="20"/>
                <w:szCs w:val="20"/>
                <w:lang w:val="es-GT"/>
              </w:rPr>
              <w:t xml:space="preserve">-Diagnóstico de brechas de género en la Moskitia-Costa Atlántica y específicamente en las áreas de intervención del Proyecto. </w:t>
            </w:r>
          </w:p>
          <w:p w14:paraId="6D571BD8" w14:textId="77777777" w:rsidR="006A3DBC" w:rsidRPr="00F94AC4" w:rsidRDefault="006A3DBC" w:rsidP="005F4A92">
            <w:pPr>
              <w:jc w:val="both"/>
              <w:rPr>
                <w:rFonts w:cs="Arial"/>
                <w:sz w:val="20"/>
                <w:szCs w:val="20"/>
                <w:lang w:val="es-GT"/>
              </w:rPr>
            </w:pPr>
            <w:r w:rsidRPr="00F94AC4">
              <w:rPr>
                <w:rFonts w:cs="Arial"/>
                <w:sz w:val="20"/>
                <w:szCs w:val="20"/>
                <w:lang w:val="es-GT"/>
              </w:rPr>
              <w:t>-Elaboración de una estrategia de género y un plan de acción para asegurar que las necesidades, preocupaciones y aspiraciones de las mujeres sean debidamente consideradas para que puedan participar efectivamente en las actividades del Proyecto y beneficiarse plenamente de su participación.</w:t>
            </w:r>
          </w:p>
        </w:tc>
      </w:tr>
      <w:bookmarkEnd w:id="749"/>
      <w:tr w:rsidR="00F94AC4" w:rsidRPr="00F94AC4" w14:paraId="39A11B4D" w14:textId="77777777" w:rsidTr="37B44ACB">
        <w:trPr>
          <w:jc w:val="center"/>
        </w:trPr>
        <w:tc>
          <w:tcPr>
            <w:tcW w:w="3168" w:type="dxa"/>
            <w:shd w:val="clear" w:color="auto" w:fill="FFFFFF" w:themeFill="background1"/>
          </w:tcPr>
          <w:p w14:paraId="002BBC60" w14:textId="77777777" w:rsidR="006A3DBC" w:rsidRPr="00F94AC4" w:rsidRDefault="006A3DBC" w:rsidP="005F4A92">
            <w:pPr>
              <w:spacing w:after="60" w:line="240" w:lineRule="auto"/>
              <w:jc w:val="both"/>
              <w:rPr>
                <w:rFonts w:cs="Arial"/>
                <w:sz w:val="20"/>
                <w:szCs w:val="20"/>
                <w:lang w:val="es-GT"/>
              </w:rPr>
            </w:pPr>
            <w:r w:rsidRPr="00F94AC4">
              <w:rPr>
                <w:rFonts w:cs="Arial"/>
                <w:sz w:val="20"/>
                <w:szCs w:val="20"/>
                <w:lang w:val="es-GT"/>
              </w:rPr>
              <w:t>División tradicional de trabajo resulta en sesgo de personal técnico de instancias gubernamentales para involucrarla en eventos de capacitación, asistencia técnica, procesos de consulta y/o toma de decisión.</w:t>
            </w:r>
          </w:p>
        </w:tc>
        <w:tc>
          <w:tcPr>
            <w:tcW w:w="9727" w:type="dxa"/>
            <w:shd w:val="clear" w:color="auto" w:fill="FFFFFF" w:themeFill="background1"/>
          </w:tcPr>
          <w:p w14:paraId="28E66713" w14:textId="77777777" w:rsidR="006A3DBC" w:rsidRPr="00F94AC4" w:rsidRDefault="006A3DBC" w:rsidP="005F4A92">
            <w:pPr>
              <w:spacing w:after="60" w:line="240" w:lineRule="auto"/>
              <w:jc w:val="both"/>
              <w:rPr>
                <w:rFonts w:cs="Arial"/>
                <w:sz w:val="20"/>
                <w:szCs w:val="20"/>
                <w:lang w:val="es-GT"/>
              </w:rPr>
            </w:pPr>
            <w:r w:rsidRPr="00F94AC4">
              <w:rPr>
                <w:rFonts w:cs="Arial"/>
                <w:sz w:val="20"/>
                <w:szCs w:val="20"/>
                <w:lang w:val="es-GT"/>
              </w:rPr>
              <w:t xml:space="preserve">- Charlas de sensibilización sobre división tradicional de trabajo con </w:t>
            </w:r>
            <w:proofErr w:type="gramStart"/>
            <w:r w:rsidRPr="00F94AC4">
              <w:rPr>
                <w:rFonts w:cs="Arial"/>
                <w:sz w:val="20"/>
                <w:szCs w:val="20"/>
                <w:lang w:val="es-GT"/>
              </w:rPr>
              <w:t>socios y socias</w:t>
            </w:r>
            <w:proofErr w:type="gramEnd"/>
            <w:r w:rsidRPr="00F94AC4">
              <w:rPr>
                <w:rFonts w:cs="Arial"/>
                <w:sz w:val="20"/>
                <w:szCs w:val="20"/>
                <w:lang w:val="es-GT"/>
              </w:rPr>
              <w:t xml:space="preserve"> en diversas organizaciones productivas, así como personal técnico de la UEP.</w:t>
            </w:r>
          </w:p>
          <w:p w14:paraId="2A0D0039" w14:textId="1B9A6D3B" w:rsidR="006A3DBC" w:rsidRPr="00F94AC4" w:rsidRDefault="006A3DBC" w:rsidP="005F4A92">
            <w:pPr>
              <w:spacing w:after="60" w:line="240" w:lineRule="auto"/>
              <w:jc w:val="both"/>
              <w:rPr>
                <w:rFonts w:cs="Arial"/>
                <w:sz w:val="20"/>
                <w:szCs w:val="20"/>
                <w:lang w:val="es-GT"/>
              </w:rPr>
            </w:pPr>
            <w:r w:rsidRPr="00F94AC4">
              <w:rPr>
                <w:rFonts w:cs="Arial"/>
                <w:sz w:val="20"/>
                <w:szCs w:val="20"/>
                <w:lang w:val="es-GT"/>
              </w:rPr>
              <w:t>-Al realizar la convocatoria, emplear canales de comunicación específicos para mujeres como sus propias organizaciones y lideresas en el municipio y comunidad, y canales de radio escuchadas por ellas.</w:t>
            </w:r>
          </w:p>
          <w:p w14:paraId="4FCE5509" w14:textId="77777777" w:rsidR="006A3DBC" w:rsidRPr="00F94AC4" w:rsidRDefault="006A3DBC" w:rsidP="005F4A92">
            <w:pPr>
              <w:spacing w:after="60" w:line="240" w:lineRule="auto"/>
              <w:jc w:val="both"/>
              <w:rPr>
                <w:rFonts w:cs="Arial"/>
                <w:sz w:val="20"/>
                <w:szCs w:val="20"/>
                <w:lang w:val="es-GT"/>
              </w:rPr>
            </w:pPr>
            <w:r w:rsidRPr="00F94AC4">
              <w:rPr>
                <w:rFonts w:cs="Arial"/>
                <w:sz w:val="20"/>
                <w:szCs w:val="20"/>
                <w:lang w:val="es-GT"/>
              </w:rPr>
              <w:t>-Mencionar en la convocatoria de manera explícita que se invita a hombres y mujeres.</w:t>
            </w:r>
          </w:p>
        </w:tc>
      </w:tr>
      <w:tr w:rsidR="00F94AC4" w:rsidRPr="00F94AC4" w14:paraId="6DBA93AF" w14:textId="77777777" w:rsidTr="37B44ACB">
        <w:trPr>
          <w:jc w:val="center"/>
        </w:trPr>
        <w:tc>
          <w:tcPr>
            <w:tcW w:w="3168" w:type="dxa"/>
            <w:shd w:val="clear" w:color="auto" w:fill="FFFFFF" w:themeFill="background1"/>
          </w:tcPr>
          <w:p w14:paraId="74A13B6D" w14:textId="77777777" w:rsidR="006A3DBC" w:rsidRPr="00F94AC4" w:rsidRDefault="006A3DBC" w:rsidP="005F4A92">
            <w:pPr>
              <w:spacing w:after="60" w:line="240" w:lineRule="auto"/>
              <w:jc w:val="both"/>
              <w:rPr>
                <w:rFonts w:cs="Arial"/>
                <w:sz w:val="20"/>
                <w:szCs w:val="20"/>
                <w:lang w:val="es-GT"/>
              </w:rPr>
            </w:pPr>
            <w:r w:rsidRPr="00F94AC4">
              <w:rPr>
                <w:rFonts w:cs="Arial"/>
                <w:sz w:val="20"/>
                <w:szCs w:val="20"/>
                <w:lang w:val="es-GT"/>
              </w:rPr>
              <w:lastRenderedPageBreak/>
              <w:t xml:space="preserve">Baja participación de mujeres en iniciativas productivas locales, las mujeres mayormente están en organizaciones sociales no en productivas </w:t>
            </w:r>
          </w:p>
        </w:tc>
        <w:tc>
          <w:tcPr>
            <w:tcW w:w="9727" w:type="dxa"/>
            <w:shd w:val="clear" w:color="auto" w:fill="FFFFFF" w:themeFill="background1"/>
          </w:tcPr>
          <w:p w14:paraId="6871B85C" w14:textId="77777777" w:rsidR="006A3DBC" w:rsidRPr="00F94AC4" w:rsidRDefault="006A3DBC" w:rsidP="005F4A92">
            <w:pPr>
              <w:spacing w:after="60" w:line="240" w:lineRule="auto"/>
              <w:jc w:val="both"/>
              <w:rPr>
                <w:rFonts w:cs="Arial"/>
                <w:sz w:val="20"/>
                <w:szCs w:val="20"/>
                <w:lang w:val="es-GT"/>
              </w:rPr>
            </w:pPr>
            <w:r w:rsidRPr="00F94AC4">
              <w:rPr>
                <w:rFonts w:cs="Arial"/>
                <w:sz w:val="20"/>
                <w:szCs w:val="20"/>
                <w:lang w:val="es-GT"/>
              </w:rPr>
              <w:t>El Proyecto considera umbrales de participación de mujeres del 30%, lo cual en la consulta externa ha sido bien recibido dadas las situaciones de exclusión que enfrentan en actividades productivas incluyendo las de cadenas de valor y su participación en organización productiva</w:t>
            </w:r>
          </w:p>
        </w:tc>
      </w:tr>
      <w:tr w:rsidR="00F94AC4" w:rsidRPr="00F94AC4" w14:paraId="62487988" w14:textId="77777777" w:rsidTr="37B44ACB">
        <w:trPr>
          <w:jc w:val="center"/>
        </w:trPr>
        <w:tc>
          <w:tcPr>
            <w:tcW w:w="3168" w:type="dxa"/>
            <w:shd w:val="clear" w:color="auto" w:fill="FFFFFF" w:themeFill="background1"/>
          </w:tcPr>
          <w:p w14:paraId="29C0A0DA" w14:textId="77777777" w:rsidR="006A3DBC" w:rsidRPr="00F94AC4" w:rsidRDefault="006A3DBC" w:rsidP="005F4A92">
            <w:pPr>
              <w:spacing w:after="60" w:line="240" w:lineRule="auto"/>
              <w:jc w:val="both"/>
              <w:rPr>
                <w:rFonts w:cs="Arial"/>
                <w:sz w:val="20"/>
                <w:szCs w:val="20"/>
                <w:lang w:val="es-GT"/>
              </w:rPr>
            </w:pPr>
            <w:r w:rsidRPr="00F94AC4">
              <w:rPr>
                <w:rFonts w:cs="Arial"/>
                <w:sz w:val="20"/>
                <w:szCs w:val="20"/>
                <w:lang w:val="es-GT"/>
              </w:rPr>
              <w:t xml:space="preserve">La presencia de grupos delictivos en las comunidades se identifica como una limitante que puede generar temor para que más mujeres participen en el Proyecto </w:t>
            </w:r>
          </w:p>
        </w:tc>
        <w:tc>
          <w:tcPr>
            <w:tcW w:w="9727" w:type="dxa"/>
            <w:shd w:val="clear" w:color="auto" w:fill="FFFFFF" w:themeFill="background1"/>
          </w:tcPr>
          <w:p w14:paraId="5DE7A3D5" w14:textId="0F9FF189" w:rsidR="006A3DBC" w:rsidRPr="00F94AC4" w:rsidRDefault="006A3DBC" w:rsidP="005F4A92">
            <w:pPr>
              <w:spacing w:after="60" w:line="240" w:lineRule="auto"/>
              <w:jc w:val="both"/>
              <w:rPr>
                <w:rFonts w:cs="Arial"/>
                <w:sz w:val="20"/>
                <w:szCs w:val="20"/>
                <w:lang w:val="es-GT"/>
              </w:rPr>
            </w:pPr>
            <w:r w:rsidRPr="00F94AC4">
              <w:rPr>
                <w:rFonts w:cs="Arial"/>
                <w:sz w:val="20"/>
                <w:szCs w:val="20"/>
                <w:lang w:val="es-GT"/>
              </w:rPr>
              <w:t>- Creación de espacios coordinados de trabajo con referentes comunitarios, l</w:t>
            </w:r>
            <w:r w:rsidR="00E039B7" w:rsidRPr="00F94AC4">
              <w:rPr>
                <w:rFonts w:cs="Arial"/>
                <w:sz w:val="20"/>
                <w:szCs w:val="20"/>
                <w:lang w:val="es-GT"/>
              </w:rPr>
              <w:t>í</w:t>
            </w:r>
            <w:r w:rsidRPr="00F94AC4">
              <w:rPr>
                <w:rFonts w:cs="Arial"/>
                <w:sz w:val="20"/>
                <w:szCs w:val="20"/>
                <w:lang w:val="es-GT"/>
              </w:rPr>
              <w:t>deres(</w:t>
            </w:r>
            <w:r w:rsidR="005A1730" w:rsidRPr="00F94AC4">
              <w:rPr>
                <w:rFonts w:cs="Arial"/>
                <w:sz w:val="20"/>
                <w:szCs w:val="20"/>
                <w:lang w:val="es-GT"/>
              </w:rPr>
              <w:t>lideres</w:t>
            </w:r>
            <w:r w:rsidRPr="00F94AC4">
              <w:rPr>
                <w:rFonts w:cs="Arial"/>
                <w:sz w:val="20"/>
                <w:szCs w:val="20"/>
                <w:lang w:val="es-GT"/>
              </w:rPr>
              <w:t>as) para acceder a las comunidades de manera segura y oportuna tanto para las participantes como para el personal del Proyecto.</w:t>
            </w:r>
          </w:p>
          <w:p w14:paraId="1A851E03" w14:textId="0601CC5F" w:rsidR="006A3DBC" w:rsidRPr="00F94AC4" w:rsidRDefault="006A3DBC" w:rsidP="005F4A92">
            <w:pPr>
              <w:spacing w:after="60" w:line="240" w:lineRule="auto"/>
              <w:jc w:val="both"/>
              <w:rPr>
                <w:rFonts w:cs="Arial"/>
                <w:sz w:val="20"/>
                <w:szCs w:val="20"/>
                <w:lang w:val="es-GT"/>
              </w:rPr>
            </w:pPr>
            <w:r w:rsidRPr="00F94AC4">
              <w:rPr>
                <w:rFonts w:cs="Arial"/>
                <w:sz w:val="20"/>
                <w:szCs w:val="20"/>
                <w:lang w:val="es-GT"/>
              </w:rPr>
              <w:t>- Se buscarán coordinaciones y estrategias colectivas con actores locales para una inmersión efectiva de mujeres en el proyecto, incluyendo medidas de autoprotección y cuido: horarios acordes, lugares neutrales, cercanía de las actividades, etc.).</w:t>
            </w:r>
          </w:p>
          <w:p w14:paraId="7FDD27B0" w14:textId="77777777" w:rsidR="006A3DBC" w:rsidRPr="00F94AC4" w:rsidRDefault="006A3DBC" w:rsidP="005F4A92">
            <w:pPr>
              <w:spacing w:after="60" w:line="240" w:lineRule="auto"/>
              <w:jc w:val="both"/>
              <w:rPr>
                <w:rFonts w:cs="Arial"/>
                <w:sz w:val="20"/>
                <w:szCs w:val="20"/>
                <w:lang w:val="es-GT"/>
              </w:rPr>
            </w:pPr>
          </w:p>
        </w:tc>
      </w:tr>
    </w:tbl>
    <w:p w14:paraId="116B3425" w14:textId="77777777" w:rsidR="006A3DBC" w:rsidRPr="00FA4B2D" w:rsidRDefault="006A3DBC" w:rsidP="006A3DBC">
      <w:pPr>
        <w:rPr>
          <w:rFonts w:cs="Arial"/>
          <w:sz w:val="20"/>
          <w:szCs w:val="20"/>
        </w:rPr>
      </w:pPr>
      <w:r w:rsidRPr="00FA4B2D">
        <w:rPr>
          <w:rFonts w:cs="Arial"/>
          <w:b/>
          <w:bCs/>
          <w:sz w:val="20"/>
          <w:szCs w:val="20"/>
        </w:rPr>
        <w:t>Fuente</w:t>
      </w:r>
      <w:r w:rsidRPr="00FA4B2D">
        <w:rPr>
          <w:rFonts w:cs="Arial"/>
          <w:sz w:val="20"/>
          <w:szCs w:val="20"/>
        </w:rPr>
        <w:t>: PPPI COMRURAL III actualizado marzo de 2024.</w:t>
      </w:r>
    </w:p>
    <w:p w14:paraId="58BC2BD5" w14:textId="77777777" w:rsidR="006A3DBC" w:rsidRPr="00FA4B2D" w:rsidRDefault="006A3DBC" w:rsidP="006A3DBC">
      <w:pPr>
        <w:spacing w:after="60" w:line="240" w:lineRule="auto"/>
        <w:jc w:val="both"/>
        <w:rPr>
          <w:rFonts w:cs="Arial"/>
          <w:lang w:val="es-GT"/>
        </w:rPr>
      </w:pPr>
      <w:r w:rsidRPr="00FA4B2D">
        <w:rPr>
          <w:rFonts w:cs="Arial"/>
          <w:lang w:val="es-GT"/>
        </w:rPr>
        <w:t>Entre los grupos vulnerables también se encuentra la población indígena y afrodescendiente, puesto que enfrentan diferentes limitaciones y obstáculos históricos, que hasta el día de hoy perduran e impactan su verdadera y plena participación. A continuación, se presentan los principales obstáculos y propuestas de medidas de mitigación que se aplicarán al Proyecto en base a las circunstancias de cada PdN (Tabla 53).</w:t>
      </w:r>
    </w:p>
    <w:p w14:paraId="45EA73A7" w14:textId="77777777" w:rsidR="006A3DBC" w:rsidRPr="00FA4B2D" w:rsidRDefault="006A3DBC" w:rsidP="006A3DBC">
      <w:pPr>
        <w:spacing w:after="60" w:line="240" w:lineRule="auto"/>
        <w:jc w:val="both"/>
        <w:rPr>
          <w:rFonts w:cs="Arial"/>
          <w:lang w:val="es-GT"/>
        </w:rPr>
      </w:pPr>
    </w:p>
    <w:p w14:paraId="75442EE8" w14:textId="07BD1E5C" w:rsidR="00F94AC4" w:rsidRDefault="00F94AC4" w:rsidP="00F94AC4">
      <w:pPr>
        <w:pStyle w:val="Descripcin"/>
        <w:keepNext/>
      </w:pPr>
      <w:bookmarkStart w:id="750" w:name="_Toc202455478"/>
      <w:r>
        <w:t xml:space="preserve">Tabla </w:t>
      </w:r>
      <w:r>
        <w:fldChar w:fldCharType="begin"/>
      </w:r>
      <w:r>
        <w:instrText xml:space="preserve"> SEQ Tabla \* ARABIC </w:instrText>
      </w:r>
      <w:r>
        <w:fldChar w:fldCharType="separate"/>
      </w:r>
      <w:r w:rsidR="000E6D86">
        <w:rPr>
          <w:noProof/>
        </w:rPr>
        <w:t>52</w:t>
      </w:r>
      <w:r>
        <w:fldChar w:fldCharType="end"/>
      </w:r>
      <w:r>
        <w:t xml:space="preserve">: </w:t>
      </w:r>
      <w:r w:rsidRPr="00C50E8B">
        <w:t>Acciones propuestas para promover la participación de población indígena y afrodescendiente y posibles medidas</w:t>
      </w:r>
      <w:bookmarkEnd w:id="750"/>
    </w:p>
    <w:tbl>
      <w:tblPr>
        <w:tblW w:w="1304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blLook w:val="04A0" w:firstRow="1" w:lastRow="0" w:firstColumn="1" w:lastColumn="0" w:noHBand="0" w:noVBand="1"/>
      </w:tblPr>
      <w:tblGrid>
        <w:gridCol w:w="3260"/>
        <w:gridCol w:w="9781"/>
      </w:tblGrid>
      <w:tr w:rsidR="00F94AC4" w:rsidRPr="00F94AC4" w14:paraId="3B6FF66E" w14:textId="77777777" w:rsidTr="00C24D0B">
        <w:trPr>
          <w:tblHeader/>
        </w:trPr>
        <w:tc>
          <w:tcPr>
            <w:tcW w:w="3260" w:type="dxa"/>
            <w:shd w:val="clear" w:color="auto" w:fill="5CC5DA"/>
          </w:tcPr>
          <w:p w14:paraId="614BCA51" w14:textId="77777777" w:rsidR="006A3DBC" w:rsidRPr="00F94AC4" w:rsidRDefault="006A3DBC" w:rsidP="005F4A92">
            <w:pPr>
              <w:spacing w:after="60" w:line="240" w:lineRule="auto"/>
              <w:jc w:val="center"/>
              <w:rPr>
                <w:rFonts w:cs="Arial"/>
                <w:b/>
                <w:sz w:val="20"/>
                <w:szCs w:val="20"/>
                <w:lang w:val="es-GT"/>
              </w:rPr>
            </w:pPr>
            <w:r w:rsidRPr="00F94AC4">
              <w:rPr>
                <w:rFonts w:cs="Arial"/>
                <w:b/>
                <w:sz w:val="20"/>
                <w:szCs w:val="20"/>
                <w:lang w:val="es-GT"/>
              </w:rPr>
              <w:t>Obstáculo</w:t>
            </w:r>
          </w:p>
        </w:tc>
        <w:tc>
          <w:tcPr>
            <w:tcW w:w="9781" w:type="dxa"/>
            <w:shd w:val="clear" w:color="auto" w:fill="5CC5DA"/>
          </w:tcPr>
          <w:p w14:paraId="339D7A77" w14:textId="77777777" w:rsidR="006A3DBC" w:rsidRPr="00F94AC4" w:rsidRDefault="006A3DBC" w:rsidP="005F4A92">
            <w:pPr>
              <w:spacing w:after="60" w:line="240" w:lineRule="auto"/>
              <w:ind w:left="151"/>
              <w:jc w:val="center"/>
              <w:rPr>
                <w:rFonts w:cs="Arial"/>
                <w:b/>
                <w:sz w:val="20"/>
                <w:szCs w:val="20"/>
                <w:lang w:val="es-GT"/>
              </w:rPr>
            </w:pPr>
            <w:r w:rsidRPr="00F94AC4">
              <w:rPr>
                <w:rFonts w:cs="Arial"/>
                <w:b/>
                <w:sz w:val="20"/>
                <w:szCs w:val="20"/>
                <w:lang w:val="es-GT"/>
              </w:rPr>
              <w:t>Medida de mitigación o Acción afirmativa</w:t>
            </w:r>
          </w:p>
        </w:tc>
      </w:tr>
      <w:tr w:rsidR="00F94AC4" w:rsidRPr="00F94AC4" w14:paraId="2CEEF189" w14:textId="77777777" w:rsidTr="00C24D0B">
        <w:tc>
          <w:tcPr>
            <w:tcW w:w="13041" w:type="dxa"/>
            <w:gridSpan w:val="2"/>
            <w:shd w:val="clear" w:color="auto" w:fill="5CC5DA"/>
          </w:tcPr>
          <w:p w14:paraId="514DB393" w14:textId="77777777" w:rsidR="006A3DBC" w:rsidRPr="00F94AC4" w:rsidDel="004F3D45" w:rsidRDefault="006A3DBC" w:rsidP="005F4A92">
            <w:pPr>
              <w:spacing w:after="60" w:line="240" w:lineRule="auto"/>
              <w:jc w:val="center"/>
              <w:rPr>
                <w:rFonts w:cs="Arial"/>
                <w:b/>
                <w:bCs/>
                <w:sz w:val="20"/>
                <w:szCs w:val="20"/>
                <w:lang w:val="es-GT"/>
              </w:rPr>
            </w:pPr>
            <w:r w:rsidRPr="00F94AC4">
              <w:rPr>
                <w:rFonts w:cs="Arial"/>
                <w:b/>
                <w:bCs/>
                <w:sz w:val="20"/>
                <w:szCs w:val="20"/>
                <w:lang w:val="es-GT"/>
              </w:rPr>
              <w:t>Población Indígena</w:t>
            </w:r>
          </w:p>
        </w:tc>
      </w:tr>
      <w:tr w:rsidR="00F94AC4" w:rsidRPr="00F94AC4" w14:paraId="2BCC1EF5" w14:textId="77777777" w:rsidTr="005F4A92">
        <w:tc>
          <w:tcPr>
            <w:tcW w:w="3260" w:type="dxa"/>
            <w:shd w:val="clear" w:color="auto" w:fill="FFFFFF"/>
          </w:tcPr>
          <w:p w14:paraId="65B4D428" w14:textId="77777777" w:rsidR="006A3DBC" w:rsidRPr="00F94AC4" w:rsidRDefault="006A3DBC" w:rsidP="005F4A92">
            <w:pPr>
              <w:spacing w:after="60" w:line="240" w:lineRule="auto"/>
              <w:jc w:val="both"/>
              <w:rPr>
                <w:rFonts w:cs="Arial"/>
                <w:sz w:val="20"/>
                <w:szCs w:val="20"/>
                <w:lang w:val="es-GT"/>
              </w:rPr>
            </w:pPr>
            <w:r w:rsidRPr="00F94AC4">
              <w:rPr>
                <w:rFonts w:cs="Arial"/>
                <w:sz w:val="20"/>
                <w:szCs w:val="20"/>
                <w:lang w:val="es-GT"/>
              </w:rPr>
              <w:t>Analfabetismo o bajo nivel educativo.</w:t>
            </w:r>
          </w:p>
        </w:tc>
        <w:tc>
          <w:tcPr>
            <w:tcW w:w="9781" w:type="dxa"/>
            <w:shd w:val="clear" w:color="auto" w:fill="FFFFFF"/>
          </w:tcPr>
          <w:p w14:paraId="653BF5FE" w14:textId="77777777" w:rsidR="006A3DBC" w:rsidRPr="00F94AC4" w:rsidRDefault="006A3DBC" w:rsidP="005F4A92">
            <w:pPr>
              <w:pStyle w:val="Sinespaciado"/>
              <w:spacing w:after="60"/>
              <w:jc w:val="both"/>
              <w:rPr>
                <w:rFonts w:ascii="Arial" w:hAnsi="Arial" w:cs="Arial"/>
                <w:color w:val="767171" w:themeColor="background2" w:themeShade="80"/>
                <w:sz w:val="20"/>
                <w:szCs w:val="20"/>
                <w:lang w:val="es-GT"/>
              </w:rPr>
            </w:pPr>
            <w:r w:rsidRPr="00F94AC4">
              <w:rPr>
                <w:rFonts w:ascii="Arial" w:hAnsi="Arial" w:cs="Arial"/>
                <w:color w:val="767171" w:themeColor="background2" w:themeShade="80"/>
                <w:sz w:val="20"/>
                <w:szCs w:val="20"/>
                <w:lang w:val="es-GT"/>
              </w:rPr>
              <w:t>-Usar lenguaje no técnico.</w:t>
            </w:r>
          </w:p>
          <w:p w14:paraId="48590DF4" w14:textId="77777777" w:rsidR="006A3DBC" w:rsidRPr="00F94AC4" w:rsidRDefault="006A3DBC" w:rsidP="005F4A92">
            <w:pPr>
              <w:pStyle w:val="Sinespaciado"/>
              <w:spacing w:after="60"/>
              <w:jc w:val="both"/>
              <w:rPr>
                <w:rFonts w:ascii="Arial" w:hAnsi="Arial" w:cs="Arial"/>
                <w:color w:val="767171" w:themeColor="background2" w:themeShade="80"/>
                <w:sz w:val="20"/>
                <w:szCs w:val="20"/>
                <w:lang w:val="es-GT"/>
              </w:rPr>
            </w:pPr>
            <w:r w:rsidRPr="00F94AC4">
              <w:rPr>
                <w:rFonts w:ascii="Arial" w:hAnsi="Arial" w:cs="Arial"/>
                <w:color w:val="767171" w:themeColor="background2" w:themeShade="80"/>
                <w:sz w:val="20"/>
                <w:szCs w:val="20"/>
                <w:lang w:val="es-GT"/>
              </w:rPr>
              <w:t>-Usar materiales visuales.</w:t>
            </w:r>
          </w:p>
          <w:p w14:paraId="1B792D13" w14:textId="77777777" w:rsidR="006A3DBC" w:rsidRPr="00F94AC4" w:rsidRDefault="006A3DBC" w:rsidP="005F4A92">
            <w:pPr>
              <w:pStyle w:val="Sinespaciado"/>
              <w:spacing w:after="60"/>
              <w:jc w:val="both"/>
              <w:rPr>
                <w:rFonts w:ascii="Arial" w:hAnsi="Arial" w:cs="Arial"/>
                <w:color w:val="767171" w:themeColor="background2" w:themeShade="80"/>
                <w:sz w:val="20"/>
                <w:szCs w:val="20"/>
                <w:lang w:val="es-GT"/>
              </w:rPr>
            </w:pPr>
            <w:r w:rsidRPr="00F94AC4">
              <w:rPr>
                <w:rFonts w:ascii="Arial" w:hAnsi="Arial" w:cs="Arial"/>
                <w:color w:val="767171" w:themeColor="background2" w:themeShade="80"/>
                <w:sz w:val="20"/>
                <w:szCs w:val="20"/>
                <w:lang w:val="es-GT"/>
              </w:rPr>
              <w:t>-Usar métodos participativos.</w:t>
            </w:r>
          </w:p>
          <w:p w14:paraId="12C2E6CE" w14:textId="77777777" w:rsidR="006A3DBC" w:rsidRPr="00F94AC4" w:rsidRDefault="006A3DBC" w:rsidP="005F4A92">
            <w:pPr>
              <w:pStyle w:val="Sinespaciado"/>
              <w:spacing w:after="60"/>
              <w:jc w:val="both"/>
              <w:rPr>
                <w:rFonts w:ascii="Arial" w:hAnsi="Arial" w:cs="Arial"/>
                <w:color w:val="767171" w:themeColor="background2" w:themeShade="80"/>
                <w:sz w:val="20"/>
                <w:szCs w:val="20"/>
                <w:lang w:val="es-GT"/>
              </w:rPr>
            </w:pPr>
            <w:r w:rsidRPr="00F94AC4">
              <w:rPr>
                <w:rFonts w:ascii="Arial" w:hAnsi="Arial" w:cs="Arial"/>
                <w:color w:val="767171" w:themeColor="background2" w:themeShade="80"/>
                <w:sz w:val="20"/>
                <w:szCs w:val="20"/>
                <w:lang w:val="es-GT"/>
              </w:rPr>
              <w:t>-Procedimientos y formatos adecuados para PdN, subproyectos, informes, entre otros.</w:t>
            </w:r>
          </w:p>
          <w:p w14:paraId="5A1D2974" w14:textId="77777777" w:rsidR="006A3DBC" w:rsidRPr="00F94AC4" w:rsidRDefault="006A3DBC" w:rsidP="005F4A92">
            <w:pPr>
              <w:pStyle w:val="Sinespaciado"/>
              <w:spacing w:after="60"/>
              <w:jc w:val="both"/>
              <w:rPr>
                <w:rFonts w:ascii="Arial" w:hAnsi="Arial" w:cs="Arial"/>
                <w:color w:val="767171" w:themeColor="background2" w:themeShade="80"/>
                <w:sz w:val="20"/>
                <w:szCs w:val="20"/>
                <w:lang w:val="es-GT"/>
              </w:rPr>
            </w:pPr>
            <w:r w:rsidRPr="00F94AC4">
              <w:rPr>
                <w:rFonts w:ascii="Arial" w:hAnsi="Arial" w:cs="Arial"/>
                <w:color w:val="767171" w:themeColor="background2" w:themeShade="80"/>
                <w:sz w:val="20"/>
                <w:szCs w:val="20"/>
                <w:lang w:val="es-GT"/>
              </w:rPr>
              <w:t>Traducción de los contenidos en las capacitaciones en el pueblo Miskitu</w:t>
            </w:r>
          </w:p>
        </w:tc>
      </w:tr>
      <w:tr w:rsidR="00F94AC4" w:rsidRPr="00F94AC4" w14:paraId="6DFC77C7" w14:textId="77777777" w:rsidTr="005F4A92">
        <w:tc>
          <w:tcPr>
            <w:tcW w:w="3260" w:type="dxa"/>
            <w:shd w:val="clear" w:color="auto" w:fill="FFFFFF"/>
          </w:tcPr>
          <w:p w14:paraId="50CC7259" w14:textId="77777777" w:rsidR="006A3DBC" w:rsidRPr="00F94AC4" w:rsidRDefault="006A3DBC" w:rsidP="005F4A92">
            <w:pPr>
              <w:spacing w:after="60" w:line="240" w:lineRule="auto"/>
              <w:jc w:val="both"/>
              <w:rPr>
                <w:rFonts w:cs="Arial"/>
                <w:sz w:val="20"/>
                <w:szCs w:val="20"/>
                <w:lang w:val="es-GT"/>
              </w:rPr>
            </w:pPr>
            <w:r w:rsidRPr="00F94AC4">
              <w:rPr>
                <w:rFonts w:cs="Arial"/>
                <w:sz w:val="20"/>
                <w:szCs w:val="20"/>
                <w:lang w:val="es-GT"/>
              </w:rPr>
              <w:t>Condición de pobreza (dificulta cubrir gastos para asistir a capacitaciones, etc).</w:t>
            </w:r>
          </w:p>
          <w:p w14:paraId="4E4B95E6" w14:textId="77777777" w:rsidR="006A3DBC" w:rsidRPr="00F94AC4" w:rsidRDefault="006A3DBC" w:rsidP="005F4A92">
            <w:pPr>
              <w:spacing w:after="60" w:line="240" w:lineRule="auto"/>
              <w:jc w:val="both"/>
              <w:rPr>
                <w:rFonts w:cs="Arial"/>
                <w:sz w:val="20"/>
                <w:szCs w:val="20"/>
                <w:lang w:val="es-GT"/>
              </w:rPr>
            </w:pPr>
          </w:p>
          <w:p w14:paraId="44C28307" w14:textId="77777777" w:rsidR="006A3DBC" w:rsidRPr="00F94AC4" w:rsidRDefault="006A3DBC" w:rsidP="005F4A92">
            <w:pPr>
              <w:spacing w:after="60" w:line="240" w:lineRule="auto"/>
              <w:jc w:val="both"/>
              <w:rPr>
                <w:rFonts w:cs="Arial"/>
                <w:sz w:val="20"/>
                <w:szCs w:val="20"/>
                <w:lang w:val="es-GT"/>
              </w:rPr>
            </w:pPr>
            <w:r w:rsidRPr="00F94AC4">
              <w:rPr>
                <w:rFonts w:cs="Arial"/>
                <w:sz w:val="20"/>
                <w:szCs w:val="20"/>
                <w:lang w:val="es-GT"/>
              </w:rPr>
              <w:lastRenderedPageBreak/>
              <w:t>No tener garantía para ser sujeto a crédito (patrimonio propio, título de tierra o inmueble, etc.)</w:t>
            </w:r>
          </w:p>
        </w:tc>
        <w:tc>
          <w:tcPr>
            <w:tcW w:w="9781" w:type="dxa"/>
            <w:shd w:val="clear" w:color="auto" w:fill="FFFFFF"/>
          </w:tcPr>
          <w:p w14:paraId="752981A6" w14:textId="77777777" w:rsidR="006A3DBC" w:rsidRPr="00F94AC4" w:rsidRDefault="006A3DBC" w:rsidP="005F4A92">
            <w:pPr>
              <w:pStyle w:val="Sinespaciado"/>
              <w:spacing w:after="60"/>
              <w:jc w:val="both"/>
              <w:rPr>
                <w:rFonts w:ascii="Arial" w:hAnsi="Arial" w:cs="Arial"/>
                <w:color w:val="767171" w:themeColor="background2" w:themeShade="80"/>
                <w:sz w:val="20"/>
                <w:szCs w:val="20"/>
                <w:lang w:val="es-GT"/>
              </w:rPr>
            </w:pPr>
            <w:r w:rsidRPr="00F94AC4">
              <w:rPr>
                <w:rFonts w:ascii="Arial" w:hAnsi="Arial" w:cs="Arial"/>
                <w:color w:val="767171" w:themeColor="background2" w:themeShade="80"/>
                <w:sz w:val="20"/>
                <w:szCs w:val="20"/>
                <w:lang w:val="es-GT"/>
              </w:rPr>
              <w:lastRenderedPageBreak/>
              <w:t>-Organizar los eventos en las comunidades y no en lugares que requieran viaje y/o hospedaje (reducir gasto).</w:t>
            </w:r>
          </w:p>
          <w:p w14:paraId="545FC2E7" w14:textId="77777777" w:rsidR="006A3DBC" w:rsidRPr="00F94AC4" w:rsidRDefault="006A3DBC" w:rsidP="005F4A92">
            <w:pPr>
              <w:pStyle w:val="Sinespaciado"/>
              <w:spacing w:after="60"/>
              <w:jc w:val="both"/>
              <w:rPr>
                <w:rFonts w:ascii="Arial" w:hAnsi="Arial" w:cs="Arial"/>
                <w:color w:val="767171" w:themeColor="background2" w:themeShade="80"/>
                <w:sz w:val="20"/>
                <w:szCs w:val="20"/>
                <w:lang w:val="es-GT"/>
              </w:rPr>
            </w:pPr>
            <w:r w:rsidRPr="00F94AC4">
              <w:rPr>
                <w:rFonts w:ascii="Arial" w:hAnsi="Arial" w:cs="Arial"/>
                <w:color w:val="767171" w:themeColor="background2" w:themeShade="80"/>
                <w:sz w:val="20"/>
                <w:szCs w:val="20"/>
                <w:lang w:val="es-GT"/>
              </w:rPr>
              <w:t>-Incluir en el presupuesto de eventos el rubro de viáticos, especialmente para aquellos participantes que se sabe no tienen el recurso económico para pagar su pasaje u otros gastos relacionados.</w:t>
            </w:r>
          </w:p>
          <w:p w14:paraId="78C4ECA9" w14:textId="77777777" w:rsidR="006A3DBC" w:rsidRPr="00F94AC4" w:rsidRDefault="006A3DBC" w:rsidP="005F4A92">
            <w:pPr>
              <w:pStyle w:val="Sinespaciado"/>
              <w:spacing w:after="60"/>
              <w:jc w:val="both"/>
              <w:rPr>
                <w:rFonts w:ascii="Arial" w:hAnsi="Arial" w:cs="Arial"/>
                <w:color w:val="767171" w:themeColor="background2" w:themeShade="80"/>
                <w:sz w:val="20"/>
                <w:szCs w:val="20"/>
                <w:lang w:val="es-GT"/>
              </w:rPr>
            </w:pPr>
            <w:r w:rsidRPr="00F94AC4">
              <w:rPr>
                <w:rFonts w:ascii="Arial" w:hAnsi="Arial" w:cs="Arial"/>
                <w:color w:val="767171" w:themeColor="background2" w:themeShade="80"/>
                <w:sz w:val="20"/>
                <w:szCs w:val="20"/>
                <w:lang w:val="es-GT"/>
              </w:rPr>
              <w:lastRenderedPageBreak/>
              <w:t>-Criterios de selección para los subproyectos y/o contrapartida en PdN, toman en cuenta las condiciones particulares de la población indígena.</w:t>
            </w:r>
          </w:p>
          <w:p w14:paraId="35B7F9F2" w14:textId="77777777" w:rsidR="006A3DBC" w:rsidRPr="00F94AC4" w:rsidRDefault="006A3DBC" w:rsidP="005F4A92">
            <w:pPr>
              <w:pStyle w:val="Sinespaciado"/>
              <w:spacing w:after="60"/>
              <w:jc w:val="both"/>
              <w:rPr>
                <w:rFonts w:ascii="Arial" w:hAnsi="Arial" w:cs="Arial"/>
                <w:color w:val="767171" w:themeColor="background2" w:themeShade="80"/>
                <w:sz w:val="20"/>
                <w:szCs w:val="20"/>
                <w:lang w:val="es-GT"/>
              </w:rPr>
            </w:pPr>
            <w:r w:rsidRPr="00F94AC4">
              <w:rPr>
                <w:rFonts w:ascii="Arial" w:hAnsi="Arial" w:cs="Arial"/>
                <w:color w:val="767171" w:themeColor="background2" w:themeShade="80"/>
                <w:sz w:val="20"/>
                <w:szCs w:val="20"/>
                <w:lang w:val="es-GT"/>
              </w:rPr>
              <w:t>-Sensibilizar a instituciones financieras para que ajusten condiciones de financiamiento a condiciones de población indígena y afrodescendiente.</w:t>
            </w:r>
          </w:p>
        </w:tc>
      </w:tr>
      <w:tr w:rsidR="00F94AC4" w:rsidRPr="00F94AC4" w14:paraId="6591BC35" w14:textId="77777777" w:rsidTr="005F4A92">
        <w:tc>
          <w:tcPr>
            <w:tcW w:w="3260" w:type="dxa"/>
            <w:shd w:val="clear" w:color="auto" w:fill="FFFFFF"/>
          </w:tcPr>
          <w:p w14:paraId="098BF659" w14:textId="77777777" w:rsidR="006A3DBC" w:rsidRPr="00F94AC4" w:rsidRDefault="006A3DBC" w:rsidP="005F4A92">
            <w:pPr>
              <w:spacing w:after="60" w:line="240" w:lineRule="auto"/>
              <w:jc w:val="both"/>
              <w:rPr>
                <w:rFonts w:cs="Arial"/>
                <w:sz w:val="20"/>
                <w:szCs w:val="20"/>
                <w:lang w:val="es-GT"/>
              </w:rPr>
            </w:pPr>
            <w:r w:rsidRPr="00F94AC4">
              <w:rPr>
                <w:rFonts w:cs="Arial"/>
                <w:sz w:val="20"/>
                <w:szCs w:val="20"/>
                <w:lang w:val="es-GT"/>
              </w:rPr>
              <w:lastRenderedPageBreak/>
              <w:t xml:space="preserve">Prácticas ancestrales no son siempre tomadas en cuenta por los subproyectos.  </w:t>
            </w:r>
          </w:p>
        </w:tc>
        <w:tc>
          <w:tcPr>
            <w:tcW w:w="9781" w:type="dxa"/>
            <w:shd w:val="clear" w:color="auto" w:fill="FFFFFF"/>
          </w:tcPr>
          <w:p w14:paraId="59765AEB" w14:textId="77777777" w:rsidR="006A3DBC" w:rsidRPr="00F94AC4" w:rsidRDefault="006A3DBC" w:rsidP="005F4A92">
            <w:pPr>
              <w:pStyle w:val="Sinespaciado"/>
              <w:spacing w:after="60"/>
              <w:jc w:val="both"/>
              <w:rPr>
                <w:rFonts w:ascii="Arial" w:hAnsi="Arial" w:cs="Arial"/>
                <w:color w:val="767171" w:themeColor="background2" w:themeShade="80"/>
                <w:sz w:val="20"/>
                <w:szCs w:val="20"/>
                <w:lang w:val="es-GT"/>
              </w:rPr>
            </w:pPr>
            <w:r w:rsidRPr="00F94AC4">
              <w:rPr>
                <w:rFonts w:ascii="Arial" w:hAnsi="Arial" w:cs="Arial"/>
                <w:color w:val="767171" w:themeColor="background2" w:themeShade="80"/>
                <w:sz w:val="20"/>
                <w:szCs w:val="20"/>
                <w:lang w:val="es-GT"/>
              </w:rPr>
              <w:t xml:space="preserve">Respeto a las tradiciones ancestrales y prácticas culturalmente aceptables, incluyendo tener el EAS 7 sobre el CLPI para realizar inversiones comunitarias y productivas considerando estos aspectos. </w:t>
            </w:r>
          </w:p>
          <w:p w14:paraId="2C8AD81E" w14:textId="77777777" w:rsidR="006A3DBC" w:rsidRPr="00F94AC4" w:rsidRDefault="006A3DBC" w:rsidP="005F4A92">
            <w:pPr>
              <w:pStyle w:val="Sinespaciado"/>
              <w:spacing w:after="60"/>
              <w:jc w:val="both"/>
              <w:rPr>
                <w:rFonts w:ascii="Arial" w:hAnsi="Arial" w:cs="Arial"/>
                <w:color w:val="767171" w:themeColor="background2" w:themeShade="80"/>
                <w:sz w:val="20"/>
                <w:szCs w:val="20"/>
                <w:lang w:val="es-GT"/>
              </w:rPr>
            </w:pPr>
            <w:r w:rsidRPr="00F94AC4">
              <w:rPr>
                <w:rFonts w:ascii="Arial" w:hAnsi="Arial" w:cs="Arial"/>
                <w:color w:val="767171" w:themeColor="background2" w:themeShade="80"/>
                <w:sz w:val="20"/>
                <w:szCs w:val="20"/>
                <w:lang w:val="es-GT"/>
              </w:rPr>
              <w:t xml:space="preserve">Adaptación de criterios de elegibilidad diferenciados a las condiciones y necesidades propias de los pueblos, incluyendo adaptaciones de metodologías que consideren las tradiciones ancestrales y conservación de saberes de los pueblos.  </w:t>
            </w:r>
          </w:p>
        </w:tc>
      </w:tr>
      <w:tr w:rsidR="00F94AC4" w:rsidRPr="00F94AC4" w14:paraId="1D331FBC" w14:textId="77777777" w:rsidTr="005F4A92">
        <w:tc>
          <w:tcPr>
            <w:tcW w:w="3260" w:type="dxa"/>
            <w:shd w:val="clear" w:color="auto" w:fill="FFFFFF"/>
          </w:tcPr>
          <w:p w14:paraId="22EE17C5" w14:textId="77777777" w:rsidR="006A3DBC" w:rsidRPr="00F94AC4" w:rsidRDefault="006A3DBC" w:rsidP="005F4A92">
            <w:pPr>
              <w:spacing w:after="60" w:line="240" w:lineRule="auto"/>
              <w:jc w:val="both"/>
              <w:rPr>
                <w:rFonts w:cs="Arial"/>
                <w:sz w:val="20"/>
                <w:szCs w:val="20"/>
                <w:lang w:val="es-GT"/>
              </w:rPr>
            </w:pPr>
            <w:r w:rsidRPr="00F94AC4">
              <w:rPr>
                <w:rFonts w:cs="Arial"/>
                <w:sz w:val="20"/>
                <w:szCs w:val="20"/>
                <w:lang w:val="es-GT"/>
              </w:rPr>
              <w:t>Riesgo de exclusión de pueblos indígenas por la falta de cumplimiento de requisitos o criterios de selección adecuados.</w:t>
            </w:r>
          </w:p>
        </w:tc>
        <w:tc>
          <w:tcPr>
            <w:tcW w:w="9781" w:type="dxa"/>
            <w:shd w:val="clear" w:color="auto" w:fill="FFFFFF"/>
          </w:tcPr>
          <w:p w14:paraId="2312A43B" w14:textId="77777777" w:rsidR="006A3DBC" w:rsidRPr="00F94AC4" w:rsidRDefault="006A3DBC" w:rsidP="005F4A92">
            <w:pPr>
              <w:pStyle w:val="Sinespaciado"/>
              <w:spacing w:after="60"/>
              <w:jc w:val="both"/>
              <w:rPr>
                <w:rFonts w:ascii="Arial" w:hAnsi="Arial" w:cs="Arial"/>
                <w:color w:val="767171" w:themeColor="background2" w:themeShade="80"/>
                <w:sz w:val="20"/>
                <w:szCs w:val="20"/>
                <w:lang w:val="es-GT"/>
              </w:rPr>
            </w:pPr>
            <w:r w:rsidRPr="00F94AC4">
              <w:rPr>
                <w:rFonts w:ascii="Arial" w:hAnsi="Arial" w:cs="Arial"/>
                <w:color w:val="767171" w:themeColor="background2" w:themeShade="80"/>
                <w:sz w:val="20"/>
                <w:szCs w:val="20"/>
                <w:lang w:val="es-GT"/>
              </w:rPr>
              <w:t>Adaptación de criterios de elegibilidad diferenciados a las condiciones y necesidades propias de los pueblos, incluyendo adaptaciones de metodologías que consideren las tradiciones ancestrales y conservación de saberes de los pueblos.</w:t>
            </w:r>
          </w:p>
        </w:tc>
      </w:tr>
      <w:tr w:rsidR="00F94AC4" w:rsidRPr="00F94AC4" w14:paraId="5AA7639C" w14:textId="77777777" w:rsidTr="00C24D0B">
        <w:tc>
          <w:tcPr>
            <w:tcW w:w="13041" w:type="dxa"/>
            <w:gridSpan w:val="2"/>
            <w:shd w:val="clear" w:color="auto" w:fill="5CC5DA"/>
          </w:tcPr>
          <w:p w14:paraId="4D5540E5" w14:textId="77777777" w:rsidR="006A3DBC" w:rsidRPr="00F94AC4" w:rsidRDefault="006A3DBC" w:rsidP="005F4A92">
            <w:pPr>
              <w:pStyle w:val="Sinespaciado"/>
              <w:spacing w:after="60"/>
              <w:jc w:val="center"/>
              <w:rPr>
                <w:rFonts w:ascii="Arial" w:hAnsi="Arial" w:cs="Arial"/>
                <w:b/>
                <w:bCs/>
                <w:color w:val="767171" w:themeColor="background2" w:themeShade="80"/>
                <w:sz w:val="20"/>
                <w:szCs w:val="20"/>
                <w:lang w:val="es-GT"/>
              </w:rPr>
            </w:pPr>
            <w:r w:rsidRPr="00F94AC4">
              <w:rPr>
                <w:rFonts w:ascii="Arial" w:hAnsi="Arial" w:cs="Arial"/>
                <w:b/>
                <w:bCs/>
                <w:color w:val="767171" w:themeColor="background2" w:themeShade="80"/>
                <w:sz w:val="20"/>
                <w:szCs w:val="20"/>
                <w:lang w:val="es-GT"/>
              </w:rPr>
              <w:t>Población afrodescendiente</w:t>
            </w:r>
          </w:p>
        </w:tc>
      </w:tr>
      <w:tr w:rsidR="00F94AC4" w:rsidRPr="00F94AC4" w14:paraId="04DAEB8C" w14:textId="77777777" w:rsidTr="005F4A92">
        <w:tc>
          <w:tcPr>
            <w:tcW w:w="3260" w:type="dxa"/>
            <w:shd w:val="clear" w:color="auto" w:fill="FFFFFF"/>
          </w:tcPr>
          <w:p w14:paraId="62A55061" w14:textId="77777777" w:rsidR="006A3DBC" w:rsidRPr="00F94AC4" w:rsidRDefault="006A3DBC" w:rsidP="005F4A92">
            <w:pPr>
              <w:spacing w:after="60" w:line="240" w:lineRule="auto"/>
              <w:jc w:val="both"/>
              <w:rPr>
                <w:rFonts w:cs="Arial"/>
                <w:sz w:val="20"/>
                <w:szCs w:val="20"/>
                <w:lang w:val="es-GT"/>
              </w:rPr>
            </w:pPr>
            <w:r w:rsidRPr="00F94AC4">
              <w:rPr>
                <w:rFonts w:cs="Arial"/>
                <w:sz w:val="20"/>
                <w:szCs w:val="20"/>
                <w:lang w:val="es-GT"/>
              </w:rPr>
              <w:t>Falta de asociatividad</w:t>
            </w:r>
          </w:p>
        </w:tc>
        <w:tc>
          <w:tcPr>
            <w:tcW w:w="9781" w:type="dxa"/>
            <w:shd w:val="clear" w:color="auto" w:fill="FFFFFF"/>
          </w:tcPr>
          <w:p w14:paraId="7B098AFA" w14:textId="77777777" w:rsidR="006A3DBC" w:rsidRPr="00F94AC4" w:rsidRDefault="006A3DBC" w:rsidP="005F4A92">
            <w:pPr>
              <w:pStyle w:val="Sinespaciado"/>
              <w:spacing w:after="60"/>
              <w:jc w:val="both"/>
              <w:rPr>
                <w:rFonts w:ascii="Arial" w:hAnsi="Arial" w:cs="Arial"/>
                <w:color w:val="767171" w:themeColor="background2" w:themeShade="80"/>
                <w:sz w:val="20"/>
                <w:szCs w:val="20"/>
                <w:lang w:val="es-GT"/>
              </w:rPr>
            </w:pPr>
            <w:r w:rsidRPr="00F94AC4">
              <w:rPr>
                <w:rFonts w:ascii="Arial" w:hAnsi="Arial" w:cs="Arial"/>
                <w:color w:val="767171" w:themeColor="background2" w:themeShade="80"/>
                <w:sz w:val="20"/>
                <w:szCs w:val="20"/>
                <w:lang w:val="es-GT"/>
              </w:rPr>
              <w:t>-Desarrollar programas de capacitación en formación de liderazgos y tipos de organización.</w:t>
            </w:r>
          </w:p>
          <w:p w14:paraId="38258EAF" w14:textId="77777777" w:rsidR="006A3DBC" w:rsidRPr="00F94AC4" w:rsidRDefault="006A3DBC" w:rsidP="005F4A92">
            <w:pPr>
              <w:pStyle w:val="Sinespaciado"/>
              <w:spacing w:after="60"/>
              <w:jc w:val="both"/>
              <w:rPr>
                <w:rFonts w:ascii="Arial" w:hAnsi="Arial" w:cs="Arial"/>
                <w:color w:val="767171" w:themeColor="background2" w:themeShade="80"/>
                <w:sz w:val="20"/>
                <w:szCs w:val="20"/>
              </w:rPr>
            </w:pPr>
            <w:r w:rsidRPr="00F94AC4">
              <w:rPr>
                <w:rFonts w:ascii="Arial" w:hAnsi="Arial" w:cs="Arial"/>
                <w:color w:val="767171" w:themeColor="background2" w:themeShade="80"/>
                <w:sz w:val="20"/>
                <w:szCs w:val="20"/>
                <w:lang w:val="es-GT"/>
              </w:rPr>
              <w:t>-</w:t>
            </w:r>
            <w:r w:rsidRPr="00F94AC4">
              <w:rPr>
                <w:rFonts w:ascii="Arial" w:hAnsi="Arial" w:cs="Arial"/>
                <w:color w:val="767171" w:themeColor="background2" w:themeShade="80"/>
                <w:sz w:val="20"/>
                <w:szCs w:val="20"/>
              </w:rPr>
              <w:t xml:space="preserve"> Asesoramiento técnico para organizaciones interesadas y con potencial para conseguir personería jurídica y requisitos legales y analizar con ellas opciones para garantías para acceder a los créditos. </w:t>
            </w:r>
          </w:p>
          <w:p w14:paraId="13DF9EC7" w14:textId="77777777" w:rsidR="006A3DBC" w:rsidRPr="00F94AC4" w:rsidRDefault="006A3DBC" w:rsidP="005F4A92">
            <w:pPr>
              <w:pStyle w:val="Sinespaciado"/>
              <w:spacing w:after="60"/>
              <w:jc w:val="both"/>
              <w:rPr>
                <w:rFonts w:ascii="Arial" w:hAnsi="Arial" w:cs="Arial"/>
                <w:color w:val="767171" w:themeColor="background2" w:themeShade="80"/>
                <w:sz w:val="20"/>
                <w:szCs w:val="20"/>
                <w:lang w:val="es-GT"/>
              </w:rPr>
            </w:pPr>
            <w:r w:rsidRPr="00F94AC4">
              <w:rPr>
                <w:rFonts w:ascii="Arial" w:hAnsi="Arial" w:cs="Arial"/>
                <w:color w:val="767171" w:themeColor="background2" w:themeShade="80"/>
                <w:sz w:val="20"/>
                <w:szCs w:val="20"/>
                <w:lang w:val="es-GT"/>
              </w:rPr>
              <w:t>-Apoyar desde el proyecto la formación de grupos informales para acceder Ventana 1 o formales para acceder las otras Ventanas.</w:t>
            </w:r>
          </w:p>
        </w:tc>
      </w:tr>
      <w:tr w:rsidR="00F94AC4" w:rsidRPr="00F94AC4" w14:paraId="6B28876C" w14:textId="77777777" w:rsidTr="005F4A92">
        <w:tc>
          <w:tcPr>
            <w:tcW w:w="3260" w:type="dxa"/>
            <w:shd w:val="clear" w:color="auto" w:fill="FFFFFF"/>
          </w:tcPr>
          <w:p w14:paraId="5D8B16A0" w14:textId="77777777" w:rsidR="006A3DBC" w:rsidRPr="00F94AC4" w:rsidRDefault="006A3DBC" w:rsidP="005F4A92">
            <w:pPr>
              <w:spacing w:after="60" w:line="240" w:lineRule="auto"/>
              <w:jc w:val="both"/>
              <w:rPr>
                <w:rFonts w:cs="Arial"/>
                <w:sz w:val="20"/>
                <w:szCs w:val="20"/>
                <w:lang w:val="es-GT"/>
              </w:rPr>
            </w:pPr>
            <w:r w:rsidRPr="00F94AC4">
              <w:rPr>
                <w:rFonts w:cs="Arial"/>
                <w:sz w:val="20"/>
                <w:szCs w:val="20"/>
                <w:lang w:val="es-GT"/>
              </w:rPr>
              <w:t>Discriminación en procesos de desarrollo.</w:t>
            </w:r>
          </w:p>
        </w:tc>
        <w:tc>
          <w:tcPr>
            <w:tcW w:w="9781" w:type="dxa"/>
            <w:shd w:val="clear" w:color="auto" w:fill="FFFFFF"/>
          </w:tcPr>
          <w:p w14:paraId="3BEFDDE1" w14:textId="77777777" w:rsidR="006A3DBC" w:rsidRPr="00F94AC4" w:rsidRDefault="006A3DBC" w:rsidP="005F4A92">
            <w:pPr>
              <w:pStyle w:val="Sinespaciado"/>
              <w:spacing w:after="60"/>
              <w:jc w:val="both"/>
              <w:rPr>
                <w:rFonts w:ascii="Arial" w:hAnsi="Arial" w:cs="Arial"/>
                <w:color w:val="767171" w:themeColor="background2" w:themeShade="80"/>
                <w:sz w:val="20"/>
                <w:szCs w:val="20"/>
                <w:lang w:val="es-GT"/>
              </w:rPr>
            </w:pPr>
            <w:r w:rsidRPr="00F94AC4">
              <w:rPr>
                <w:rFonts w:ascii="Arial" w:hAnsi="Arial" w:cs="Arial"/>
                <w:color w:val="767171" w:themeColor="background2" w:themeShade="80"/>
                <w:sz w:val="20"/>
                <w:szCs w:val="20"/>
                <w:lang w:val="es-GT"/>
              </w:rPr>
              <w:t xml:space="preserve">-Elaborar diagnósticos sectoriales, análisis de cadenas, mapeo y otros estudios (ej. Análisis de usos culturales del suelo) que servirán de base para el diseño participativo de las actividades y subproyectos. </w:t>
            </w:r>
          </w:p>
          <w:p w14:paraId="7C1FCDD6" w14:textId="77777777" w:rsidR="006A3DBC" w:rsidRPr="00F94AC4" w:rsidRDefault="006A3DBC" w:rsidP="005F4A92">
            <w:pPr>
              <w:pStyle w:val="Sinespaciado"/>
              <w:spacing w:after="60"/>
              <w:jc w:val="both"/>
              <w:rPr>
                <w:rFonts w:ascii="Arial" w:hAnsi="Arial" w:cs="Arial"/>
                <w:color w:val="767171" w:themeColor="background2" w:themeShade="80"/>
                <w:sz w:val="20"/>
                <w:szCs w:val="20"/>
                <w:lang w:val="es-GT"/>
              </w:rPr>
            </w:pPr>
            <w:r w:rsidRPr="00F94AC4">
              <w:rPr>
                <w:rFonts w:ascii="Arial" w:hAnsi="Arial" w:cs="Arial"/>
                <w:color w:val="767171" w:themeColor="background2" w:themeShade="80"/>
                <w:sz w:val="20"/>
                <w:szCs w:val="20"/>
                <w:lang w:val="es-GT"/>
              </w:rPr>
              <w:t>-Ampliar la participación de los Consejos Territoriales y organizaciones de los pueblos indígenas y afro hondureños en la toma de decisiones sobre el proyecto mediante diseño participativo de las inversiones.</w:t>
            </w:r>
          </w:p>
        </w:tc>
      </w:tr>
      <w:tr w:rsidR="00F94AC4" w:rsidRPr="00F94AC4" w14:paraId="2A53FBD1" w14:textId="77777777" w:rsidTr="005F4A92">
        <w:tc>
          <w:tcPr>
            <w:tcW w:w="3260" w:type="dxa"/>
            <w:shd w:val="clear" w:color="auto" w:fill="FFFFFF"/>
          </w:tcPr>
          <w:p w14:paraId="0CE01DAB" w14:textId="77777777" w:rsidR="006A3DBC" w:rsidRPr="00F94AC4" w:rsidRDefault="006A3DBC" w:rsidP="005F4A92">
            <w:pPr>
              <w:spacing w:after="60" w:line="240" w:lineRule="auto"/>
              <w:jc w:val="both"/>
              <w:rPr>
                <w:rFonts w:cs="Arial"/>
                <w:sz w:val="20"/>
                <w:szCs w:val="20"/>
                <w:lang w:val="es-GT"/>
              </w:rPr>
            </w:pPr>
            <w:r w:rsidRPr="00F94AC4">
              <w:rPr>
                <w:rFonts w:cs="Arial"/>
                <w:sz w:val="20"/>
                <w:szCs w:val="20"/>
                <w:lang w:val="es-GT"/>
              </w:rPr>
              <w:t>Riesgo de exclusión de participación de pueblos indígenas y afrohondureños en las actividades del Proyecto.</w:t>
            </w:r>
          </w:p>
        </w:tc>
        <w:tc>
          <w:tcPr>
            <w:tcW w:w="9781" w:type="dxa"/>
            <w:shd w:val="clear" w:color="auto" w:fill="FFFFFF"/>
          </w:tcPr>
          <w:p w14:paraId="0CDEDE19" w14:textId="6E9330EF" w:rsidR="006A3DBC" w:rsidRPr="00F94AC4" w:rsidRDefault="006A3DBC" w:rsidP="005F4A92">
            <w:pPr>
              <w:pStyle w:val="Sinespaciado"/>
              <w:spacing w:after="60"/>
              <w:jc w:val="both"/>
              <w:rPr>
                <w:rFonts w:ascii="Arial" w:hAnsi="Arial" w:cs="Arial"/>
                <w:color w:val="767171" w:themeColor="background2" w:themeShade="80"/>
                <w:sz w:val="20"/>
                <w:szCs w:val="20"/>
                <w:lang w:val="es-GT"/>
              </w:rPr>
            </w:pPr>
            <w:r w:rsidRPr="00F94AC4">
              <w:rPr>
                <w:rFonts w:ascii="Arial" w:hAnsi="Arial" w:cs="Arial"/>
                <w:color w:val="767171" w:themeColor="background2" w:themeShade="80"/>
                <w:sz w:val="20"/>
                <w:szCs w:val="20"/>
                <w:lang w:val="es-GT"/>
              </w:rPr>
              <w:t xml:space="preserve">El Proyecto ha definido un umbral de participación de personas de pueblos indígenas y afrodescendientes en la zona de intervención del 20%, con lo que se tiene en cuenta la participación </w:t>
            </w:r>
            <w:r w:rsidR="009C2E29" w:rsidRPr="00F94AC4">
              <w:rPr>
                <w:rFonts w:ascii="Arial" w:hAnsi="Arial" w:cs="Arial"/>
                <w:color w:val="767171" w:themeColor="background2" w:themeShade="80"/>
                <w:sz w:val="20"/>
                <w:szCs w:val="20"/>
                <w:lang w:val="es-GT"/>
              </w:rPr>
              <w:t xml:space="preserve">de </w:t>
            </w:r>
            <w:proofErr w:type="gramStart"/>
            <w:r w:rsidR="009C2E29" w:rsidRPr="00F94AC4">
              <w:rPr>
                <w:rFonts w:ascii="Arial" w:hAnsi="Arial" w:cs="Arial"/>
                <w:color w:val="767171" w:themeColor="background2" w:themeShade="80"/>
                <w:sz w:val="20"/>
                <w:szCs w:val="20"/>
                <w:lang w:val="es-GT"/>
              </w:rPr>
              <w:t>los mismos</w:t>
            </w:r>
            <w:proofErr w:type="gramEnd"/>
            <w:r w:rsidRPr="00F94AC4">
              <w:rPr>
                <w:rFonts w:ascii="Arial" w:hAnsi="Arial" w:cs="Arial"/>
                <w:color w:val="767171" w:themeColor="background2" w:themeShade="80"/>
                <w:sz w:val="20"/>
                <w:szCs w:val="20"/>
                <w:lang w:val="es-GT"/>
              </w:rPr>
              <w:t>, en actividades directas.</w:t>
            </w:r>
          </w:p>
          <w:p w14:paraId="5CFB28AA" w14:textId="77777777" w:rsidR="006A3DBC" w:rsidRPr="00F94AC4" w:rsidRDefault="006A3DBC" w:rsidP="005F4A92">
            <w:pPr>
              <w:pStyle w:val="Sinespaciado"/>
              <w:spacing w:after="60"/>
              <w:jc w:val="both"/>
              <w:rPr>
                <w:rFonts w:ascii="Arial" w:hAnsi="Arial" w:cs="Arial"/>
                <w:color w:val="767171" w:themeColor="background2" w:themeShade="80"/>
                <w:sz w:val="20"/>
                <w:szCs w:val="20"/>
                <w:lang w:val="es-GT"/>
              </w:rPr>
            </w:pPr>
          </w:p>
        </w:tc>
      </w:tr>
    </w:tbl>
    <w:p w14:paraId="72F056A4" w14:textId="77777777" w:rsidR="006A3DBC" w:rsidRPr="00FA4B2D" w:rsidRDefault="006A3DBC" w:rsidP="006A3DBC">
      <w:pPr>
        <w:rPr>
          <w:rFonts w:cs="Arial"/>
        </w:rPr>
      </w:pPr>
    </w:p>
    <w:p w14:paraId="0938C9FE" w14:textId="1FC92D2C" w:rsidR="006A3DBC" w:rsidRPr="00FA4B2D" w:rsidRDefault="006A3DBC" w:rsidP="006A3DBC">
      <w:pPr>
        <w:spacing w:after="60" w:line="240" w:lineRule="auto"/>
        <w:jc w:val="both"/>
        <w:rPr>
          <w:rFonts w:cs="Arial"/>
          <w:lang w:val="es-GT"/>
        </w:rPr>
      </w:pPr>
      <w:r w:rsidRPr="00FA4B2D">
        <w:rPr>
          <w:rFonts w:cs="Arial"/>
          <w:lang w:val="es-GT"/>
        </w:rPr>
        <w:t xml:space="preserve">Entre grupos vulnerables es importante dar espacio a las y los jóvenes rurales, quienes afrentan brechas educativas, desempleo, migración y exclusión de participación efectiva en mecanismos organizativos y procesos de toma de decisiones. </w:t>
      </w:r>
      <w:r w:rsidRPr="00FA4B2D">
        <w:rPr>
          <w:rFonts w:cs="Arial"/>
          <w:lang w:val="es-GT"/>
        </w:rPr>
        <w:lastRenderedPageBreak/>
        <w:t xml:space="preserve">A continuación, se presentan principales obstáculos, y propuestas de medidas de mitigación que se aplicarán al </w:t>
      </w:r>
      <w:r w:rsidR="00EC118A" w:rsidRPr="00FA4B2D">
        <w:rPr>
          <w:rFonts w:cs="Arial"/>
          <w:lang w:val="es-GT"/>
        </w:rPr>
        <w:t>P</w:t>
      </w:r>
      <w:r w:rsidRPr="00FA4B2D">
        <w:rPr>
          <w:rFonts w:cs="Arial"/>
          <w:lang w:val="es-GT"/>
        </w:rPr>
        <w:t>royecto en base a las circunstancias de cada subproyecto o PdN (Tabla 53).</w:t>
      </w:r>
    </w:p>
    <w:p w14:paraId="62A9C4DA" w14:textId="77777777" w:rsidR="006A3DBC" w:rsidRPr="00FA4B2D" w:rsidRDefault="006A3DBC" w:rsidP="006A3DBC">
      <w:pPr>
        <w:spacing w:after="60" w:line="240" w:lineRule="auto"/>
        <w:jc w:val="both"/>
        <w:rPr>
          <w:rFonts w:cs="Arial"/>
          <w:lang w:val="es-GT"/>
        </w:rPr>
      </w:pPr>
    </w:p>
    <w:p w14:paraId="46897CF0" w14:textId="30738D02" w:rsidR="00F94AC4" w:rsidRDefault="00F94AC4" w:rsidP="00F94AC4">
      <w:pPr>
        <w:pStyle w:val="Descripcin"/>
        <w:keepNext/>
      </w:pPr>
      <w:bookmarkStart w:id="751" w:name="_Toc202455479"/>
      <w:r>
        <w:t xml:space="preserve">Tabla </w:t>
      </w:r>
      <w:r>
        <w:fldChar w:fldCharType="begin"/>
      </w:r>
      <w:r>
        <w:instrText xml:space="preserve"> SEQ Tabla \* ARABIC </w:instrText>
      </w:r>
      <w:r>
        <w:fldChar w:fldCharType="separate"/>
      </w:r>
      <w:r w:rsidR="000E6D86">
        <w:rPr>
          <w:noProof/>
        </w:rPr>
        <w:t>53</w:t>
      </w:r>
      <w:r>
        <w:fldChar w:fldCharType="end"/>
      </w:r>
      <w:r>
        <w:t xml:space="preserve">: </w:t>
      </w:r>
      <w:r w:rsidRPr="00B85349">
        <w:t>Acciones propuestas para promover la participación personas jóvenes y posibles medidas</w:t>
      </w:r>
      <w:bookmarkEnd w:id="751"/>
    </w:p>
    <w:tbl>
      <w:tblPr>
        <w:tblW w:w="133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blLook w:val="04A0" w:firstRow="1" w:lastRow="0" w:firstColumn="1" w:lastColumn="0" w:noHBand="0" w:noVBand="1"/>
      </w:tblPr>
      <w:tblGrid>
        <w:gridCol w:w="3544"/>
        <w:gridCol w:w="9781"/>
      </w:tblGrid>
      <w:tr w:rsidR="00F94AC4" w:rsidRPr="00F94AC4" w14:paraId="1C0AB443" w14:textId="77777777" w:rsidTr="00C24D0B">
        <w:trPr>
          <w:tblHeader/>
        </w:trPr>
        <w:tc>
          <w:tcPr>
            <w:tcW w:w="3544" w:type="dxa"/>
            <w:shd w:val="clear" w:color="auto" w:fill="5CC5DA"/>
          </w:tcPr>
          <w:p w14:paraId="474B694F" w14:textId="77777777" w:rsidR="006A3DBC" w:rsidRPr="00F94AC4" w:rsidRDefault="006A3DBC" w:rsidP="005F4A92">
            <w:pPr>
              <w:spacing w:after="60" w:line="240" w:lineRule="auto"/>
              <w:jc w:val="center"/>
              <w:rPr>
                <w:rFonts w:cs="Arial"/>
                <w:b/>
                <w:sz w:val="20"/>
                <w:szCs w:val="20"/>
                <w:lang w:val="es-GT"/>
              </w:rPr>
            </w:pPr>
            <w:r w:rsidRPr="00F94AC4">
              <w:rPr>
                <w:rFonts w:cs="Arial"/>
                <w:b/>
                <w:sz w:val="20"/>
                <w:szCs w:val="20"/>
                <w:lang w:val="es-GT"/>
              </w:rPr>
              <w:t>Obstáculo</w:t>
            </w:r>
          </w:p>
        </w:tc>
        <w:tc>
          <w:tcPr>
            <w:tcW w:w="9781" w:type="dxa"/>
            <w:shd w:val="clear" w:color="auto" w:fill="5CC5DA"/>
          </w:tcPr>
          <w:p w14:paraId="3313DCCF" w14:textId="77777777" w:rsidR="006A3DBC" w:rsidRPr="00F94AC4" w:rsidRDefault="006A3DBC" w:rsidP="005F4A92">
            <w:pPr>
              <w:spacing w:after="60" w:line="240" w:lineRule="auto"/>
              <w:ind w:left="151"/>
              <w:jc w:val="center"/>
              <w:rPr>
                <w:rFonts w:cs="Arial"/>
                <w:b/>
                <w:sz w:val="20"/>
                <w:szCs w:val="20"/>
                <w:lang w:val="es-GT"/>
              </w:rPr>
            </w:pPr>
            <w:r w:rsidRPr="00F94AC4">
              <w:rPr>
                <w:rFonts w:cs="Arial"/>
                <w:b/>
                <w:sz w:val="20"/>
                <w:szCs w:val="20"/>
                <w:lang w:val="es-GT"/>
              </w:rPr>
              <w:t>Medida de mitigación o Acción afirmativa</w:t>
            </w:r>
          </w:p>
        </w:tc>
      </w:tr>
      <w:tr w:rsidR="00F94AC4" w:rsidRPr="00F94AC4" w14:paraId="111F68D5" w14:textId="77777777" w:rsidTr="005F4A92">
        <w:tc>
          <w:tcPr>
            <w:tcW w:w="3544" w:type="dxa"/>
            <w:shd w:val="clear" w:color="auto" w:fill="FFFFFF"/>
          </w:tcPr>
          <w:p w14:paraId="61B2379E" w14:textId="77777777" w:rsidR="006A3DBC" w:rsidRPr="00F94AC4" w:rsidRDefault="006A3DBC" w:rsidP="005F4A92">
            <w:pPr>
              <w:spacing w:after="60" w:line="240" w:lineRule="auto"/>
              <w:jc w:val="both"/>
              <w:rPr>
                <w:rFonts w:cs="Arial"/>
                <w:sz w:val="20"/>
                <w:szCs w:val="20"/>
                <w:lang w:val="es-GT"/>
              </w:rPr>
            </w:pPr>
            <w:r w:rsidRPr="00F94AC4">
              <w:rPr>
                <w:rFonts w:cs="Arial"/>
                <w:sz w:val="20"/>
                <w:szCs w:val="20"/>
                <w:lang w:val="es-GT"/>
              </w:rPr>
              <w:t>Pocas oportunidades de desarrollo y económicas; baja autoestima; buscando oportunidades mediante migración; altamente vulnerable al crimen (pandillas juveniles y crimen organizado).</w:t>
            </w:r>
          </w:p>
        </w:tc>
        <w:tc>
          <w:tcPr>
            <w:tcW w:w="9781" w:type="dxa"/>
            <w:shd w:val="clear" w:color="auto" w:fill="FFFFFF"/>
          </w:tcPr>
          <w:p w14:paraId="697645D5" w14:textId="77777777" w:rsidR="006A3DBC" w:rsidRPr="00F94AC4" w:rsidRDefault="006A3DBC" w:rsidP="005F4A92">
            <w:pPr>
              <w:spacing w:after="60" w:line="240" w:lineRule="auto"/>
              <w:jc w:val="both"/>
              <w:rPr>
                <w:rFonts w:cs="Arial"/>
                <w:sz w:val="20"/>
                <w:szCs w:val="20"/>
              </w:rPr>
            </w:pPr>
            <w:r w:rsidRPr="00F94AC4">
              <w:rPr>
                <w:rFonts w:cs="Arial"/>
                <w:sz w:val="20"/>
                <w:szCs w:val="20"/>
              </w:rPr>
              <w:t xml:space="preserve">-Tener en cuenta el interés de la población joven en las intervenciones del Proyecto. </w:t>
            </w:r>
          </w:p>
          <w:p w14:paraId="7961FA2E" w14:textId="77777777" w:rsidR="006A3DBC" w:rsidRPr="00F94AC4" w:rsidRDefault="006A3DBC" w:rsidP="005F4A92">
            <w:pPr>
              <w:spacing w:after="60" w:line="240" w:lineRule="auto"/>
              <w:jc w:val="both"/>
              <w:rPr>
                <w:rFonts w:cs="Arial"/>
                <w:sz w:val="20"/>
                <w:szCs w:val="20"/>
              </w:rPr>
            </w:pPr>
            <w:r w:rsidRPr="00F94AC4">
              <w:rPr>
                <w:rFonts w:cs="Arial"/>
                <w:sz w:val="20"/>
                <w:szCs w:val="20"/>
              </w:rPr>
              <w:t xml:space="preserve">-Enseñar a los jóvenes sobre la agricultura desde una perspectiva empresarial, técnica y de gestión, centrándose en los sistemas de riego y los rendimientos, las cadenas de valor, las oportunidades comerciales y las proyecciones de crecimiento del mercado agrícola. </w:t>
            </w:r>
          </w:p>
          <w:p w14:paraId="3EC7B5F1" w14:textId="77777777" w:rsidR="006A3DBC" w:rsidRPr="00F94AC4" w:rsidRDefault="006A3DBC" w:rsidP="005F4A92">
            <w:pPr>
              <w:spacing w:after="60" w:line="240" w:lineRule="auto"/>
              <w:jc w:val="both"/>
              <w:rPr>
                <w:rFonts w:cs="Arial"/>
                <w:sz w:val="20"/>
                <w:szCs w:val="20"/>
              </w:rPr>
            </w:pPr>
            <w:r w:rsidRPr="00F94AC4">
              <w:rPr>
                <w:rFonts w:cs="Arial"/>
                <w:sz w:val="20"/>
                <w:szCs w:val="20"/>
              </w:rPr>
              <w:t>-Ayudar en el desarrollo de PdNs para la agricultura, incluyendo el componente humano, de modo que los jóvenes puedan establecer metas y planes futuros por sí mismos y pueden enfocarse en el futuro no sólo el día a día.</w:t>
            </w:r>
          </w:p>
          <w:p w14:paraId="0E9BA284" w14:textId="77777777" w:rsidR="006A3DBC" w:rsidRPr="00F94AC4" w:rsidRDefault="006A3DBC" w:rsidP="005F4A92">
            <w:pPr>
              <w:spacing w:after="60" w:line="240" w:lineRule="auto"/>
              <w:jc w:val="both"/>
              <w:rPr>
                <w:rFonts w:cs="Arial"/>
                <w:sz w:val="20"/>
                <w:szCs w:val="20"/>
              </w:rPr>
            </w:pPr>
            <w:r w:rsidRPr="00F94AC4">
              <w:rPr>
                <w:rFonts w:cs="Arial"/>
                <w:sz w:val="20"/>
                <w:szCs w:val="20"/>
              </w:rPr>
              <w:t>-Para cualquier tipo de trabajo de infraestructura, tratar de contratar a jóvenes y poblaciones en riesgo de las comunidades objetivo.</w:t>
            </w:r>
          </w:p>
          <w:p w14:paraId="03B64BC4" w14:textId="77777777" w:rsidR="006A3DBC" w:rsidRPr="00F94AC4" w:rsidRDefault="006A3DBC" w:rsidP="005F4A92">
            <w:pPr>
              <w:spacing w:after="60" w:line="240" w:lineRule="auto"/>
              <w:jc w:val="both"/>
              <w:rPr>
                <w:rFonts w:cs="Arial"/>
                <w:sz w:val="20"/>
                <w:szCs w:val="20"/>
              </w:rPr>
            </w:pPr>
            <w:r w:rsidRPr="00F94AC4">
              <w:rPr>
                <w:rFonts w:cs="Arial"/>
                <w:sz w:val="20"/>
                <w:szCs w:val="20"/>
              </w:rPr>
              <w:t xml:space="preserve">-Utilizar la tecnología para involucrar a los jóvenes y explotar su talento y potencial. </w:t>
            </w:r>
          </w:p>
          <w:p w14:paraId="03855F52" w14:textId="77777777" w:rsidR="006A3DBC" w:rsidRPr="00F94AC4" w:rsidRDefault="006A3DBC" w:rsidP="005F4A92">
            <w:pPr>
              <w:spacing w:after="60" w:line="240" w:lineRule="auto"/>
              <w:jc w:val="both"/>
              <w:rPr>
                <w:rFonts w:cs="Arial"/>
                <w:sz w:val="20"/>
                <w:szCs w:val="20"/>
              </w:rPr>
            </w:pPr>
            <w:r w:rsidRPr="00F94AC4">
              <w:rPr>
                <w:rFonts w:cs="Arial"/>
                <w:sz w:val="20"/>
                <w:szCs w:val="20"/>
              </w:rPr>
              <w:t>-Brindar talleres o capacitaciones sobre cómo desarrollar y / o utilizar la tecnología para entregar alimentos, dirigir un negocio innovador, gestionar la logística, administrar las ventas, etc. (en línea con objetivos de la Ventana 4).</w:t>
            </w:r>
          </w:p>
          <w:p w14:paraId="2EA67A59" w14:textId="77777777" w:rsidR="006A3DBC" w:rsidRPr="00F94AC4" w:rsidRDefault="006A3DBC" w:rsidP="005F4A92">
            <w:pPr>
              <w:spacing w:after="60" w:line="240" w:lineRule="auto"/>
              <w:jc w:val="both"/>
              <w:rPr>
                <w:rFonts w:cs="Arial"/>
                <w:sz w:val="20"/>
                <w:szCs w:val="20"/>
              </w:rPr>
            </w:pPr>
            <w:r w:rsidRPr="00F94AC4">
              <w:rPr>
                <w:rFonts w:cs="Arial"/>
                <w:sz w:val="20"/>
                <w:szCs w:val="20"/>
              </w:rPr>
              <w:t xml:space="preserve">-Apoyar a establecer alianzas con el sector privado para apoyar las ideas empresariales de los jóvenes y generar empleos en diferentes áreas de la cadena de valor agrícola. </w:t>
            </w:r>
          </w:p>
          <w:p w14:paraId="43B06C98" w14:textId="77777777" w:rsidR="006A3DBC" w:rsidRPr="00F94AC4" w:rsidRDefault="006A3DBC" w:rsidP="005F4A92">
            <w:pPr>
              <w:spacing w:after="60" w:line="240" w:lineRule="auto"/>
              <w:jc w:val="both"/>
              <w:rPr>
                <w:rFonts w:cs="Arial"/>
                <w:sz w:val="20"/>
                <w:szCs w:val="20"/>
              </w:rPr>
            </w:pPr>
            <w:r w:rsidRPr="00F94AC4">
              <w:rPr>
                <w:rFonts w:cs="Arial"/>
                <w:sz w:val="20"/>
                <w:szCs w:val="20"/>
              </w:rPr>
              <w:t xml:space="preserve">-Desarrollar identidad y autoestima. </w:t>
            </w:r>
          </w:p>
          <w:p w14:paraId="6242C8E6" w14:textId="77777777" w:rsidR="006A3DBC" w:rsidRPr="00F94AC4" w:rsidRDefault="006A3DBC" w:rsidP="005F4A92">
            <w:pPr>
              <w:spacing w:after="60" w:line="240" w:lineRule="auto"/>
              <w:jc w:val="both"/>
              <w:rPr>
                <w:rFonts w:cs="Arial"/>
                <w:sz w:val="20"/>
                <w:szCs w:val="20"/>
              </w:rPr>
            </w:pPr>
            <w:r w:rsidRPr="00F94AC4">
              <w:rPr>
                <w:rFonts w:cs="Arial"/>
                <w:sz w:val="20"/>
                <w:szCs w:val="20"/>
              </w:rPr>
              <w:t>-Promover grupos de jóvenes que participan en tipos similares de actividades agrícolas (logística, ganadería, riego, etc.) y permitirles compartir experiencias y mejores prácticas entre ellos. Asegúrese de que comprendan la importancia de su trabajo y de que formen una red de apoyo entre ellos.</w:t>
            </w:r>
          </w:p>
          <w:p w14:paraId="6F1BA6A2" w14:textId="77777777" w:rsidR="006A3DBC" w:rsidRPr="00F94AC4" w:rsidRDefault="006A3DBC" w:rsidP="005F4A92">
            <w:pPr>
              <w:spacing w:after="60" w:line="240" w:lineRule="auto"/>
              <w:jc w:val="both"/>
              <w:rPr>
                <w:rFonts w:cs="Arial"/>
                <w:sz w:val="20"/>
                <w:szCs w:val="20"/>
              </w:rPr>
            </w:pPr>
            <w:r w:rsidRPr="00F94AC4">
              <w:rPr>
                <w:rFonts w:cs="Arial"/>
                <w:sz w:val="20"/>
                <w:szCs w:val="20"/>
              </w:rPr>
              <w:t>-Fortalecer el capital social en las comunidades a través de asociaciones y cooperativas agrícolas. El bajo capital social facilita que las pandillas y los grupos criminales operen en las comunidades y se aprovechen de ellas. Las redes sociales, que incluyen el compromiso y la participación de los ciudadanos, el sentido de pertenencia y el apego al lugar, pueden mejorarse para aumentar los ingresos y, al mismo tiempo, desarrollar la eficacia de la comunidad para contrarrestar y abordar los factores de riesgo comunitarios asociados con la participación en pandillas.</w:t>
            </w:r>
          </w:p>
        </w:tc>
      </w:tr>
      <w:tr w:rsidR="00F94AC4" w:rsidRPr="00F94AC4" w14:paraId="07A935FE" w14:textId="77777777" w:rsidTr="005F4A92">
        <w:tc>
          <w:tcPr>
            <w:tcW w:w="3544" w:type="dxa"/>
            <w:shd w:val="clear" w:color="auto" w:fill="FFFFFF"/>
          </w:tcPr>
          <w:p w14:paraId="7D055B2A" w14:textId="77777777" w:rsidR="006A3DBC" w:rsidRPr="00F94AC4" w:rsidRDefault="006A3DBC" w:rsidP="005F4A92">
            <w:pPr>
              <w:spacing w:after="60" w:line="240" w:lineRule="auto"/>
              <w:jc w:val="both"/>
              <w:rPr>
                <w:rFonts w:cs="Arial"/>
                <w:sz w:val="20"/>
                <w:szCs w:val="20"/>
                <w:lang w:val="es-GT"/>
              </w:rPr>
            </w:pPr>
            <w:r w:rsidRPr="00F94AC4">
              <w:rPr>
                <w:rFonts w:cs="Arial"/>
                <w:sz w:val="20"/>
                <w:szCs w:val="20"/>
                <w:lang w:val="es-GT"/>
              </w:rPr>
              <w:t>Organizaciones de jóvenes no visibilizadas e informales.</w:t>
            </w:r>
          </w:p>
        </w:tc>
        <w:tc>
          <w:tcPr>
            <w:tcW w:w="9781" w:type="dxa"/>
            <w:shd w:val="clear" w:color="auto" w:fill="FFFFFF"/>
          </w:tcPr>
          <w:p w14:paraId="51874568" w14:textId="77777777" w:rsidR="006A3DBC" w:rsidRPr="00F94AC4" w:rsidRDefault="006A3DBC" w:rsidP="005F4A92">
            <w:pPr>
              <w:pStyle w:val="Sinespaciado"/>
              <w:spacing w:after="60"/>
              <w:jc w:val="both"/>
              <w:rPr>
                <w:rFonts w:ascii="Arial" w:hAnsi="Arial" w:cs="Arial"/>
                <w:color w:val="767171" w:themeColor="background2" w:themeShade="80"/>
                <w:sz w:val="20"/>
                <w:szCs w:val="20"/>
                <w:lang w:val="es-GT"/>
              </w:rPr>
            </w:pPr>
            <w:r w:rsidRPr="00F94AC4">
              <w:rPr>
                <w:rFonts w:ascii="Arial" w:hAnsi="Arial" w:cs="Arial"/>
                <w:color w:val="767171" w:themeColor="background2" w:themeShade="80"/>
                <w:sz w:val="20"/>
                <w:szCs w:val="20"/>
                <w:lang w:val="es-GT"/>
              </w:rPr>
              <w:t>-Mapeo de organizaciones de jóvenes rurales o jóvenes con ideas de empresa o empresas incipientes relevantes en el contexto de COMRURAL III en coordinación con, por ejemplo, líderes juveniles, iglesias, escuelas, entre otros.</w:t>
            </w:r>
          </w:p>
          <w:p w14:paraId="4D7E7707" w14:textId="77777777" w:rsidR="006A3DBC" w:rsidRPr="00F94AC4" w:rsidRDefault="006A3DBC" w:rsidP="005F4A92">
            <w:pPr>
              <w:pStyle w:val="Sinespaciado"/>
              <w:spacing w:after="60"/>
              <w:jc w:val="both"/>
              <w:rPr>
                <w:rFonts w:ascii="Arial" w:hAnsi="Arial" w:cs="Arial"/>
                <w:color w:val="767171" w:themeColor="background2" w:themeShade="80"/>
                <w:sz w:val="20"/>
                <w:szCs w:val="20"/>
                <w:lang w:val="es-GT"/>
              </w:rPr>
            </w:pPr>
            <w:r w:rsidRPr="00F94AC4">
              <w:rPr>
                <w:rFonts w:ascii="Arial" w:hAnsi="Arial" w:cs="Arial"/>
                <w:color w:val="767171" w:themeColor="background2" w:themeShade="80"/>
                <w:sz w:val="20"/>
                <w:szCs w:val="20"/>
                <w:lang w:val="es-GT"/>
              </w:rPr>
              <w:lastRenderedPageBreak/>
              <w:t>-Apoyo a la legalización de organizaciones de jóvenes informales con potencial de presentar un PdN y de grupos de jóvenes con ideas de empresa de prestación de servicios en el marco de COMRURAL III.</w:t>
            </w:r>
          </w:p>
        </w:tc>
      </w:tr>
      <w:tr w:rsidR="00F94AC4" w:rsidRPr="00F94AC4" w14:paraId="302879BA" w14:textId="77777777" w:rsidTr="005F4A92">
        <w:tc>
          <w:tcPr>
            <w:tcW w:w="3544" w:type="dxa"/>
            <w:shd w:val="clear" w:color="auto" w:fill="FFFFFF"/>
          </w:tcPr>
          <w:p w14:paraId="0188FAB7" w14:textId="77777777" w:rsidR="006A3DBC" w:rsidRPr="00F94AC4" w:rsidRDefault="006A3DBC" w:rsidP="005F4A92">
            <w:pPr>
              <w:spacing w:after="60" w:line="240" w:lineRule="auto"/>
              <w:jc w:val="both"/>
              <w:rPr>
                <w:rFonts w:cs="Arial"/>
                <w:sz w:val="20"/>
                <w:szCs w:val="20"/>
                <w:lang w:val="es-GT"/>
              </w:rPr>
            </w:pPr>
            <w:r w:rsidRPr="00F94AC4">
              <w:rPr>
                <w:rFonts w:cs="Arial"/>
                <w:sz w:val="20"/>
                <w:szCs w:val="20"/>
                <w:lang w:val="es-GT"/>
              </w:rPr>
              <w:lastRenderedPageBreak/>
              <w:t xml:space="preserve">Bajo nivel de educativo. </w:t>
            </w:r>
          </w:p>
          <w:p w14:paraId="7F06DCBF" w14:textId="77777777" w:rsidR="006A3DBC" w:rsidRPr="00F94AC4" w:rsidRDefault="006A3DBC" w:rsidP="005F4A92">
            <w:pPr>
              <w:spacing w:after="60" w:line="240" w:lineRule="auto"/>
              <w:jc w:val="both"/>
              <w:rPr>
                <w:rFonts w:cs="Arial"/>
                <w:sz w:val="20"/>
                <w:szCs w:val="20"/>
                <w:lang w:val="es-GT"/>
              </w:rPr>
            </w:pPr>
          </w:p>
          <w:p w14:paraId="454F9A47" w14:textId="77777777" w:rsidR="006A3DBC" w:rsidRPr="00F94AC4" w:rsidRDefault="006A3DBC" w:rsidP="005F4A92">
            <w:pPr>
              <w:spacing w:after="60" w:line="240" w:lineRule="auto"/>
              <w:jc w:val="both"/>
              <w:rPr>
                <w:rFonts w:cs="Arial"/>
                <w:sz w:val="20"/>
                <w:szCs w:val="20"/>
                <w:lang w:val="es-GT"/>
              </w:rPr>
            </w:pPr>
            <w:r w:rsidRPr="00F94AC4">
              <w:rPr>
                <w:rFonts w:cs="Arial"/>
                <w:sz w:val="20"/>
                <w:szCs w:val="20"/>
                <w:lang w:val="es-GT"/>
              </w:rPr>
              <w:t>Falta de experiencia con en asociatividad y gestión organizativa.</w:t>
            </w:r>
          </w:p>
        </w:tc>
        <w:tc>
          <w:tcPr>
            <w:tcW w:w="9781" w:type="dxa"/>
            <w:shd w:val="clear" w:color="auto" w:fill="FFFFFF"/>
          </w:tcPr>
          <w:p w14:paraId="19DE63CC" w14:textId="77777777" w:rsidR="006A3DBC" w:rsidRPr="00F94AC4" w:rsidRDefault="006A3DBC" w:rsidP="005F4A92">
            <w:pPr>
              <w:spacing w:after="60" w:line="240" w:lineRule="auto"/>
              <w:jc w:val="both"/>
              <w:rPr>
                <w:rFonts w:cs="Arial"/>
                <w:sz w:val="20"/>
                <w:szCs w:val="20"/>
                <w:lang w:val="es-GT"/>
              </w:rPr>
            </w:pPr>
            <w:r w:rsidRPr="00F94AC4">
              <w:rPr>
                <w:rFonts w:cs="Arial"/>
                <w:sz w:val="20"/>
                <w:szCs w:val="20"/>
                <w:lang w:val="es-GT"/>
              </w:rPr>
              <w:t xml:space="preserve"> -Facilitar la transferencia de conocimiento sobre nuevas tecnologías, educación financiera y empresarial.</w:t>
            </w:r>
          </w:p>
          <w:p w14:paraId="03A73FF6" w14:textId="77777777" w:rsidR="006A3DBC" w:rsidRPr="00F94AC4" w:rsidRDefault="006A3DBC" w:rsidP="005F4A92">
            <w:pPr>
              <w:spacing w:after="60" w:line="240" w:lineRule="auto"/>
              <w:jc w:val="both"/>
              <w:rPr>
                <w:rFonts w:cs="Arial"/>
                <w:sz w:val="20"/>
                <w:szCs w:val="20"/>
                <w:lang w:val="es-GT"/>
              </w:rPr>
            </w:pPr>
            <w:r w:rsidRPr="00F94AC4">
              <w:rPr>
                <w:rFonts w:cs="Arial"/>
                <w:sz w:val="20"/>
                <w:szCs w:val="20"/>
                <w:lang w:val="es-GT"/>
              </w:rPr>
              <w:t>-Desarrollar programas de capacitación en formación de liderazgos, tipos de organización y escuelas de campo.</w:t>
            </w:r>
          </w:p>
          <w:p w14:paraId="424D7258" w14:textId="77777777" w:rsidR="006A3DBC" w:rsidRPr="00F94AC4" w:rsidRDefault="006A3DBC" w:rsidP="005F4A92">
            <w:pPr>
              <w:spacing w:after="60" w:line="240" w:lineRule="auto"/>
              <w:jc w:val="both"/>
              <w:rPr>
                <w:rFonts w:cs="Arial"/>
                <w:sz w:val="20"/>
                <w:szCs w:val="20"/>
                <w:lang w:val="es-GT"/>
              </w:rPr>
            </w:pPr>
            <w:r w:rsidRPr="00F94AC4">
              <w:rPr>
                <w:rFonts w:cs="Arial"/>
                <w:sz w:val="20"/>
                <w:szCs w:val="20"/>
                <w:lang w:val="es-GT"/>
              </w:rPr>
              <w:t>-Diseñar e implementar estrategias de relevo o traslape generacional.</w:t>
            </w:r>
          </w:p>
        </w:tc>
      </w:tr>
      <w:tr w:rsidR="00F94AC4" w:rsidRPr="00F94AC4" w14:paraId="38750302" w14:textId="77777777" w:rsidTr="005F4A92">
        <w:tc>
          <w:tcPr>
            <w:tcW w:w="3544" w:type="dxa"/>
            <w:shd w:val="clear" w:color="auto" w:fill="FFFFFF"/>
          </w:tcPr>
          <w:p w14:paraId="1BD2B3A8" w14:textId="77777777" w:rsidR="006A3DBC" w:rsidRPr="00F94AC4" w:rsidRDefault="006A3DBC" w:rsidP="005F4A92">
            <w:pPr>
              <w:spacing w:after="60" w:line="240" w:lineRule="auto"/>
              <w:jc w:val="both"/>
              <w:rPr>
                <w:rFonts w:cs="Arial"/>
                <w:sz w:val="20"/>
                <w:szCs w:val="20"/>
                <w:lang w:val="es-GT"/>
              </w:rPr>
            </w:pPr>
            <w:r w:rsidRPr="00F94AC4">
              <w:rPr>
                <w:rFonts w:cs="Arial"/>
                <w:sz w:val="20"/>
                <w:szCs w:val="20"/>
                <w:lang w:val="es-GT"/>
              </w:rPr>
              <w:t>Condición de pobreza (dificulta cubrir gastos para asistir a capacitaciones, etc.).</w:t>
            </w:r>
          </w:p>
          <w:p w14:paraId="7D42FAC3" w14:textId="77777777" w:rsidR="006A3DBC" w:rsidRPr="00F94AC4" w:rsidRDefault="006A3DBC" w:rsidP="005F4A92">
            <w:pPr>
              <w:spacing w:after="60" w:line="240" w:lineRule="auto"/>
              <w:jc w:val="both"/>
              <w:rPr>
                <w:rFonts w:cs="Arial"/>
                <w:sz w:val="20"/>
                <w:szCs w:val="20"/>
                <w:lang w:val="es-GT"/>
              </w:rPr>
            </w:pPr>
          </w:p>
          <w:p w14:paraId="0D9AF6AA" w14:textId="77777777" w:rsidR="006A3DBC" w:rsidRPr="00F94AC4" w:rsidRDefault="006A3DBC" w:rsidP="005F4A92">
            <w:pPr>
              <w:spacing w:after="60" w:line="240" w:lineRule="auto"/>
              <w:jc w:val="both"/>
              <w:rPr>
                <w:rFonts w:cs="Arial"/>
                <w:sz w:val="20"/>
                <w:szCs w:val="20"/>
                <w:lang w:val="es-GT"/>
              </w:rPr>
            </w:pPr>
            <w:r w:rsidRPr="00F94AC4">
              <w:rPr>
                <w:rFonts w:cs="Arial"/>
                <w:sz w:val="20"/>
                <w:szCs w:val="20"/>
                <w:lang w:val="es-GT"/>
              </w:rPr>
              <w:t>No tener garantía para ser sujeto a crédito (patrimonio propio, título de tierra o inmueble, etc.).</w:t>
            </w:r>
          </w:p>
        </w:tc>
        <w:tc>
          <w:tcPr>
            <w:tcW w:w="9781" w:type="dxa"/>
            <w:shd w:val="clear" w:color="auto" w:fill="FFFFFF"/>
          </w:tcPr>
          <w:p w14:paraId="0CF599EC" w14:textId="77777777" w:rsidR="006A3DBC" w:rsidRPr="00F94AC4" w:rsidRDefault="006A3DBC" w:rsidP="005F4A92">
            <w:pPr>
              <w:pStyle w:val="Sinespaciado"/>
              <w:spacing w:after="60"/>
              <w:jc w:val="both"/>
              <w:rPr>
                <w:rFonts w:ascii="Arial" w:hAnsi="Arial" w:cs="Arial"/>
                <w:color w:val="767171" w:themeColor="background2" w:themeShade="80"/>
                <w:sz w:val="20"/>
                <w:szCs w:val="20"/>
                <w:lang w:val="es-GT"/>
              </w:rPr>
            </w:pPr>
            <w:r w:rsidRPr="00F94AC4">
              <w:rPr>
                <w:rFonts w:ascii="Arial" w:hAnsi="Arial" w:cs="Arial"/>
                <w:color w:val="767171" w:themeColor="background2" w:themeShade="80"/>
                <w:sz w:val="20"/>
                <w:szCs w:val="20"/>
                <w:lang w:val="es-GT"/>
              </w:rPr>
              <w:t>-Organizar los eventos en las comunidades, escuelas, iglesia y, no en lugares que requieran viaje y/o hospedaje (reducir gasto).</w:t>
            </w:r>
          </w:p>
          <w:p w14:paraId="451EB51F" w14:textId="77777777" w:rsidR="006A3DBC" w:rsidRPr="00F94AC4" w:rsidRDefault="006A3DBC" w:rsidP="005F4A92">
            <w:pPr>
              <w:pStyle w:val="Sinespaciado"/>
              <w:spacing w:after="60"/>
              <w:jc w:val="both"/>
              <w:rPr>
                <w:rFonts w:ascii="Arial" w:hAnsi="Arial" w:cs="Arial"/>
                <w:color w:val="767171" w:themeColor="background2" w:themeShade="80"/>
                <w:sz w:val="20"/>
                <w:szCs w:val="20"/>
                <w:lang w:val="es-GT"/>
              </w:rPr>
            </w:pPr>
            <w:r w:rsidRPr="00F94AC4">
              <w:rPr>
                <w:rFonts w:ascii="Arial" w:hAnsi="Arial" w:cs="Arial"/>
                <w:color w:val="767171" w:themeColor="background2" w:themeShade="80"/>
                <w:sz w:val="20"/>
                <w:szCs w:val="20"/>
                <w:lang w:val="es-GT"/>
              </w:rPr>
              <w:t>-Incluir en el presupuesto de eventos el rubro de viáticos, especialmente para aquellos participantes que se sabe no tienen el recurso económico para pagar su pasaje u otros gastos relacionados.</w:t>
            </w:r>
          </w:p>
          <w:p w14:paraId="46173D8E" w14:textId="77777777" w:rsidR="006A3DBC" w:rsidRPr="00F94AC4" w:rsidRDefault="006A3DBC" w:rsidP="005F4A92">
            <w:pPr>
              <w:pStyle w:val="Sinespaciado"/>
              <w:spacing w:after="60"/>
              <w:jc w:val="both"/>
              <w:rPr>
                <w:rFonts w:ascii="Arial" w:hAnsi="Arial" w:cs="Arial"/>
                <w:color w:val="767171" w:themeColor="background2" w:themeShade="80"/>
                <w:sz w:val="20"/>
                <w:szCs w:val="20"/>
                <w:lang w:val="es-GT"/>
              </w:rPr>
            </w:pPr>
            <w:r w:rsidRPr="00F94AC4">
              <w:rPr>
                <w:rFonts w:ascii="Arial" w:hAnsi="Arial" w:cs="Arial"/>
                <w:color w:val="767171" w:themeColor="background2" w:themeShade="80"/>
                <w:sz w:val="20"/>
                <w:szCs w:val="20"/>
                <w:lang w:val="es-GT"/>
              </w:rPr>
              <w:t>-Criterios de selección para los subproyectos y/o contrapartida en PdN toman en cuenta las condiciones particulares de las y los jóvenes.</w:t>
            </w:r>
          </w:p>
          <w:p w14:paraId="04A13B85" w14:textId="77777777" w:rsidR="006A3DBC" w:rsidRPr="00F94AC4" w:rsidRDefault="006A3DBC" w:rsidP="005F4A92">
            <w:pPr>
              <w:pStyle w:val="Sinespaciado"/>
              <w:spacing w:after="60"/>
              <w:jc w:val="both"/>
              <w:rPr>
                <w:rFonts w:ascii="Arial" w:hAnsi="Arial" w:cs="Arial"/>
                <w:color w:val="767171" w:themeColor="background2" w:themeShade="80"/>
                <w:sz w:val="20"/>
                <w:szCs w:val="20"/>
                <w:lang w:val="es-GT"/>
              </w:rPr>
            </w:pPr>
            <w:r w:rsidRPr="00F94AC4">
              <w:rPr>
                <w:rFonts w:ascii="Arial" w:hAnsi="Arial" w:cs="Arial"/>
                <w:color w:val="767171" w:themeColor="background2" w:themeShade="80"/>
                <w:sz w:val="20"/>
                <w:szCs w:val="20"/>
                <w:lang w:val="es-GT"/>
              </w:rPr>
              <w:t>-Sensibilizar a instituciones financieras para que ajusten condiciones de financiamiento a condiciones de jóvenes.</w:t>
            </w:r>
          </w:p>
        </w:tc>
      </w:tr>
      <w:tr w:rsidR="00F94AC4" w:rsidRPr="00F94AC4" w14:paraId="73D1E80A" w14:textId="77777777" w:rsidTr="005F4A92">
        <w:tc>
          <w:tcPr>
            <w:tcW w:w="3544" w:type="dxa"/>
            <w:shd w:val="clear" w:color="auto" w:fill="FFFFFF"/>
          </w:tcPr>
          <w:p w14:paraId="7C012536" w14:textId="77777777" w:rsidR="006A3DBC" w:rsidRPr="00F94AC4" w:rsidRDefault="006A3DBC" w:rsidP="005F4A92">
            <w:pPr>
              <w:spacing w:after="60" w:line="240" w:lineRule="auto"/>
              <w:rPr>
                <w:rFonts w:cs="Arial"/>
                <w:sz w:val="20"/>
                <w:szCs w:val="20"/>
                <w:lang w:val="es-GT"/>
              </w:rPr>
            </w:pPr>
            <w:r w:rsidRPr="00F94AC4">
              <w:rPr>
                <w:rFonts w:cs="Arial"/>
                <w:sz w:val="20"/>
                <w:szCs w:val="20"/>
                <w:lang w:val="es-GT"/>
              </w:rPr>
              <w:t>Baja participación de jóvenes a consecuencia de la migración.</w:t>
            </w:r>
          </w:p>
        </w:tc>
        <w:tc>
          <w:tcPr>
            <w:tcW w:w="9781" w:type="dxa"/>
            <w:shd w:val="clear" w:color="auto" w:fill="FFFFFF"/>
          </w:tcPr>
          <w:p w14:paraId="52FD7F61" w14:textId="77777777" w:rsidR="006A3DBC" w:rsidRPr="00F94AC4" w:rsidRDefault="006A3DBC" w:rsidP="005F4A92">
            <w:pPr>
              <w:spacing w:after="0" w:line="240" w:lineRule="auto"/>
              <w:jc w:val="both"/>
              <w:rPr>
                <w:rFonts w:cs="Arial"/>
                <w:sz w:val="20"/>
                <w:szCs w:val="20"/>
              </w:rPr>
            </w:pPr>
            <w:r w:rsidRPr="00F94AC4">
              <w:rPr>
                <w:rFonts w:cs="Arial"/>
                <w:sz w:val="20"/>
                <w:szCs w:val="20"/>
              </w:rPr>
              <w:t xml:space="preserve">El Proyecto buscará identificar acciones dentro del componente que prevengan la migración y despierten el interés y la retención de las juventudes </w:t>
            </w:r>
          </w:p>
          <w:p w14:paraId="620C8254" w14:textId="77777777" w:rsidR="006A3DBC" w:rsidRPr="00F94AC4" w:rsidRDefault="006A3DBC" w:rsidP="005F4A92">
            <w:pPr>
              <w:spacing w:after="0" w:line="240" w:lineRule="auto"/>
              <w:jc w:val="both"/>
              <w:rPr>
                <w:rFonts w:cs="Arial"/>
                <w:sz w:val="20"/>
                <w:szCs w:val="20"/>
                <w:lang w:val="es-SV" w:eastAsia="es-SV"/>
              </w:rPr>
            </w:pPr>
            <w:r w:rsidRPr="00F94AC4">
              <w:rPr>
                <w:rFonts w:cs="Arial"/>
                <w:sz w:val="20"/>
                <w:szCs w:val="20"/>
              </w:rPr>
              <w:br/>
              <w:t>El Proyecto ha definido un umbral de participación de personas jóvenes entre 18-29 años, que es del 15%, con lo que se tiene en cuenta la participación de los mismo, en actividades directas</w:t>
            </w:r>
          </w:p>
          <w:p w14:paraId="14F0C568" w14:textId="77777777" w:rsidR="006A3DBC" w:rsidRPr="00F94AC4" w:rsidRDefault="006A3DBC" w:rsidP="005F4A92">
            <w:pPr>
              <w:pStyle w:val="Sinespaciado"/>
              <w:spacing w:after="60"/>
              <w:jc w:val="both"/>
              <w:rPr>
                <w:rFonts w:ascii="Arial" w:hAnsi="Arial" w:cs="Arial"/>
                <w:color w:val="767171" w:themeColor="background2" w:themeShade="80"/>
                <w:sz w:val="20"/>
                <w:szCs w:val="20"/>
                <w:lang w:val="es-SV"/>
              </w:rPr>
            </w:pPr>
          </w:p>
        </w:tc>
      </w:tr>
    </w:tbl>
    <w:p w14:paraId="56BFCFDA" w14:textId="77777777" w:rsidR="006A3DBC" w:rsidRPr="00FA4B2D" w:rsidRDefault="006A3DBC" w:rsidP="006A3DBC">
      <w:pPr>
        <w:rPr>
          <w:rFonts w:cs="Arial"/>
        </w:rPr>
      </w:pPr>
    </w:p>
    <w:p w14:paraId="1795C0BB" w14:textId="77777777" w:rsidR="006A3DBC" w:rsidRPr="00FA4B2D" w:rsidRDefault="006A3DBC" w:rsidP="006A3DBC">
      <w:pPr>
        <w:spacing w:after="60" w:line="240" w:lineRule="auto"/>
        <w:jc w:val="both"/>
        <w:rPr>
          <w:rFonts w:cs="Arial"/>
          <w:shd w:val="clear" w:color="auto" w:fill="FFFFFF"/>
        </w:rPr>
      </w:pPr>
      <w:r w:rsidRPr="00FA4B2D">
        <w:rPr>
          <w:rFonts w:cs="Arial"/>
          <w:shd w:val="clear" w:color="auto" w:fill="FFFFFF"/>
        </w:rPr>
        <w:t>En la Agenda 2030 para el Desarrollo Sostenible se establece claramente que la discapacidad no puede ser un motivo o criterio para privar a las personas de acceso a programas de desarrollo y el ejercicio de los derechos humanos y en el caso de COMRURAL, además de las medidas mencionadas en el capítulo 5.2, se tomarán otras medidas como as que se presentan en la tabla 11 y que se complementarán y nutrirán de los resultados del estudio sobre discapacidad en el ámbitos agrícola y agroindustrial en Honduras que se está elaborando el BM y FIDA.</w:t>
      </w:r>
    </w:p>
    <w:p w14:paraId="670F73F0" w14:textId="77777777" w:rsidR="006A3DBC" w:rsidRPr="00FA4B2D" w:rsidRDefault="006A3DBC" w:rsidP="006A3DBC">
      <w:pPr>
        <w:spacing w:after="60" w:line="240" w:lineRule="auto"/>
        <w:jc w:val="both"/>
        <w:rPr>
          <w:rFonts w:cs="Arial"/>
        </w:rPr>
      </w:pPr>
    </w:p>
    <w:p w14:paraId="748D846A" w14:textId="77777777" w:rsidR="00CF0B97" w:rsidRPr="00FA4B2D" w:rsidRDefault="00CF0B97" w:rsidP="006A3DBC">
      <w:pPr>
        <w:spacing w:after="60" w:line="240" w:lineRule="auto"/>
        <w:jc w:val="both"/>
        <w:rPr>
          <w:rFonts w:cs="Arial"/>
        </w:rPr>
      </w:pPr>
    </w:p>
    <w:p w14:paraId="741DC074" w14:textId="77777777" w:rsidR="00CF0B97" w:rsidRPr="00FA4B2D" w:rsidRDefault="00CF0B97" w:rsidP="006A3DBC">
      <w:pPr>
        <w:spacing w:after="60" w:line="240" w:lineRule="auto"/>
        <w:jc w:val="both"/>
        <w:rPr>
          <w:rFonts w:cs="Arial"/>
        </w:rPr>
      </w:pPr>
    </w:p>
    <w:p w14:paraId="7477F35E" w14:textId="60C2DA13" w:rsidR="00F94AC4" w:rsidRDefault="00F94AC4" w:rsidP="00F94AC4">
      <w:pPr>
        <w:pStyle w:val="Descripcin"/>
        <w:keepNext/>
      </w:pPr>
      <w:bookmarkStart w:id="752" w:name="_Toc202455480"/>
      <w:r>
        <w:lastRenderedPageBreak/>
        <w:t xml:space="preserve">Tabla </w:t>
      </w:r>
      <w:r>
        <w:fldChar w:fldCharType="begin"/>
      </w:r>
      <w:r>
        <w:instrText xml:space="preserve"> SEQ Tabla \* ARABIC </w:instrText>
      </w:r>
      <w:r>
        <w:fldChar w:fldCharType="separate"/>
      </w:r>
      <w:r w:rsidR="000E6D86">
        <w:rPr>
          <w:noProof/>
        </w:rPr>
        <w:t>54</w:t>
      </w:r>
      <w:r>
        <w:fldChar w:fldCharType="end"/>
      </w:r>
      <w:r>
        <w:t xml:space="preserve">: </w:t>
      </w:r>
      <w:r w:rsidRPr="004B2340">
        <w:t>Obstáculos generales que limitan la participación equitativa de personas con discapacidades y posibles medidas o acciones afirmativas</w:t>
      </w:r>
      <w:bookmarkEnd w:id="752"/>
    </w:p>
    <w:tbl>
      <w:tblPr>
        <w:tblW w:w="129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blLook w:val="04A0" w:firstRow="1" w:lastRow="0" w:firstColumn="1" w:lastColumn="0" w:noHBand="0" w:noVBand="1"/>
      </w:tblPr>
      <w:tblGrid>
        <w:gridCol w:w="3431"/>
        <w:gridCol w:w="9497"/>
      </w:tblGrid>
      <w:tr w:rsidR="00F94AC4" w:rsidRPr="00F94AC4" w14:paraId="5392427C" w14:textId="77777777" w:rsidTr="00C24D0B">
        <w:trPr>
          <w:trHeight w:val="206"/>
          <w:tblHeader/>
        </w:trPr>
        <w:tc>
          <w:tcPr>
            <w:tcW w:w="3431" w:type="dxa"/>
            <w:shd w:val="clear" w:color="auto" w:fill="5CC5DA"/>
          </w:tcPr>
          <w:p w14:paraId="5DE0334C" w14:textId="77777777" w:rsidR="006A3DBC" w:rsidRPr="00F94AC4" w:rsidRDefault="006A3DBC" w:rsidP="005F4A92">
            <w:pPr>
              <w:spacing w:after="60" w:line="240" w:lineRule="auto"/>
              <w:jc w:val="center"/>
              <w:rPr>
                <w:rFonts w:cs="Arial"/>
                <w:sz w:val="20"/>
                <w:szCs w:val="20"/>
                <w:lang w:val="es-GT"/>
              </w:rPr>
            </w:pPr>
            <w:r w:rsidRPr="00F94AC4">
              <w:rPr>
                <w:rFonts w:cs="Arial"/>
                <w:b/>
                <w:sz w:val="20"/>
                <w:szCs w:val="20"/>
                <w:lang w:val="es-GT"/>
              </w:rPr>
              <w:t>Obstáculo</w:t>
            </w:r>
          </w:p>
        </w:tc>
        <w:tc>
          <w:tcPr>
            <w:tcW w:w="9497" w:type="dxa"/>
            <w:shd w:val="clear" w:color="auto" w:fill="5CC5DA"/>
          </w:tcPr>
          <w:p w14:paraId="7D1CC3D8" w14:textId="77777777" w:rsidR="006A3DBC" w:rsidRPr="00F94AC4" w:rsidRDefault="006A3DBC" w:rsidP="005F4A92">
            <w:pPr>
              <w:pStyle w:val="Sinespaciado"/>
              <w:spacing w:after="60"/>
              <w:jc w:val="center"/>
              <w:rPr>
                <w:rFonts w:ascii="Arial" w:hAnsi="Arial" w:cs="Arial"/>
                <w:color w:val="767171" w:themeColor="background2" w:themeShade="80"/>
                <w:sz w:val="20"/>
                <w:szCs w:val="20"/>
                <w:lang w:val="es-GT"/>
              </w:rPr>
            </w:pPr>
            <w:r w:rsidRPr="00F94AC4">
              <w:rPr>
                <w:rFonts w:ascii="Arial" w:hAnsi="Arial" w:cs="Arial"/>
                <w:b/>
                <w:color w:val="767171" w:themeColor="background2" w:themeShade="80"/>
                <w:sz w:val="20"/>
                <w:szCs w:val="20"/>
                <w:lang w:val="es-GT"/>
              </w:rPr>
              <w:t>Medida de mitigación o Acción afirmativa</w:t>
            </w:r>
          </w:p>
        </w:tc>
      </w:tr>
      <w:tr w:rsidR="00F94AC4" w:rsidRPr="00F94AC4" w14:paraId="0F410E6B" w14:textId="77777777" w:rsidTr="5E228CF5">
        <w:trPr>
          <w:trHeight w:val="206"/>
        </w:trPr>
        <w:tc>
          <w:tcPr>
            <w:tcW w:w="3431" w:type="dxa"/>
            <w:shd w:val="clear" w:color="auto" w:fill="FFFFFF" w:themeFill="background1"/>
          </w:tcPr>
          <w:p w14:paraId="2D0D6331" w14:textId="77777777" w:rsidR="006A3DBC" w:rsidRPr="00F94AC4" w:rsidRDefault="006A3DBC" w:rsidP="005F4A92">
            <w:pPr>
              <w:spacing w:after="60" w:line="240" w:lineRule="auto"/>
              <w:jc w:val="both"/>
              <w:rPr>
                <w:rFonts w:cs="Arial"/>
                <w:sz w:val="20"/>
                <w:szCs w:val="20"/>
                <w:lang w:val="es-GT"/>
              </w:rPr>
            </w:pPr>
            <w:r w:rsidRPr="00F94AC4">
              <w:rPr>
                <w:rFonts w:cs="Arial"/>
                <w:sz w:val="20"/>
                <w:szCs w:val="20"/>
                <w:lang w:val="es-GT"/>
              </w:rPr>
              <w:t>Muchas veces no son “visibles”.</w:t>
            </w:r>
          </w:p>
        </w:tc>
        <w:tc>
          <w:tcPr>
            <w:tcW w:w="9497" w:type="dxa"/>
            <w:shd w:val="clear" w:color="auto" w:fill="FFFFFF" w:themeFill="background1"/>
          </w:tcPr>
          <w:p w14:paraId="75A327F6" w14:textId="77777777" w:rsidR="006A3DBC" w:rsidRPr="00F94AC4" w:rsidRDefault="006A3DBC" w:rsidP="005F4A92">
            <w:pPr>
              <w:pStyle w:val="Sinespaciado"/>
              <w:spacing w:after="60"/>
              <w:jc w:val="both"/>
              <w:rPr>
                <w:rFonts w:ascii="Arial" w:hAnsi="Arial" w:cs="Arial"/>
                <w:color w:val="767171" w:themeColor="background2" w:themeShade="80"/>
                <w:sz w:val="20"/>
                <w:szCs w:val="20"/>
                <w:lang w:val="es-GT"/>
              </w:rPr>
            </w:pPr>
            <w:r w:rsidRPr="00F94AC4">
              <w:rPr>
                <w:rFonts w:ascii="Arial" w:hAnsi="Arial" w:cs="Arial"/>
                <w:color w:val="767171" w:themeColor="background2" w:themeShade="80"/>
                <w:sz w:val="20"/>
                <w:szCs w:val="20"/>
                <w:lang w:val="es-GT"/>
              </w:rPr>
              <w:t>Charlas sensibilización en OPRs sobre inclusión social.</w:t>
            </w:r>
          </w:p>
        </w:tc>
      </w:tr>
      <w:tr w:rsidR="00F94AC4" w:rsidRPr="00F94AC4" w14:paraId="39E1563E" w14:textId="77777777" w:rsidTr="5E228CF5">
        <w:trPr>
          <w:trHeight w:val="1097"/>
        </w:trPr>
        <w:tc>
          <w:tcPr>
            <w:tcW w:w="3431" w:type="dxa"/>
            <w:shd w:val="clear" w:color="auto" w:fill="FFFFFF" w:themeFill="background1"/>
          </w:tcPr>
          <w:p w14:paraId="4DD2D0B3" w14:textId="442B4BBC" w:rsidR="006A3DBC" w:rsidRPr="00F94AC4" w:rsidRDefault="006A3DBC" w:rsidP="005F4A92">
            <w:pPr>
              <w:spacing w:after="60" w:line="240" w:lineRule="auto"/>
              <w:jc w:val="both"/>
              <w:rPr>
                <w:rFonts w:cs="Arial"/>
                <w:sz w:val="20"/>
                <w:szCs w:val="20"/>
                <w:lang w:val="es-GT"/>
              </w:rPr>
            </w:pPr>
            <w:r w:rsidRPr="00F94AC4">
              <w:rPr>
                <w:rFonts w:cs="Arial"/>
                <w:sz w:val="20"/>
                <w:szCs w:val="20"/>
                <w:lang w:val="es-GT"/>
              </w:rPr>
              <w:t xml:space="preserve">Retos con la </w:t>
            </w:r>
            <w:r w:rsidR="758B69A4" w:rsidRPr="00F94AC4">
              <w:rPr>
                <w:rFonts w:cs="Arial"/>
                <w:sz w:val="20"/>
                <w:szCs w:val="20"/>
                <w:lang w:val="es-GT"/>
              </w:rPr>
              <w:t>movilización.</w:t>
            </w:r>
          </w:p>
        </w:tc>
        <w:tc>
          <w:tcPr>
            <w:tcW w:w="9497" w:type="dxa"/>
            <w:shd w:val="clear" w:color="auto" w:fill="FFFFFF" w:themeFill="background1"/>
          </w:tcPr>
          <w:p w14:paraId="2B9D34DA" w14:textId="77777777" w:rsidR="006A3DBC" w:rsidRPr="00F94AC4" w:rsidRDefault="006A3DBC" w:rsidP="005F4A92">
            <w:pPr>
              <w:pStyle w:val="Sinespaciado"/>
              <w:spacing w:after="60"/>
              <w:jc w:val="both"/>
              <w:rPr>
                <w:rFonts w:ascii="Arial" w:hAnsi="Arial" w:cs="Arial"/>
                <w:color w:val="767171" w:themeColor="background2" w:themeShade="80"/>
                <w:sz w:val="20"/>
                <w:szCs w:val="20"/>
                <w:lang w:val="es-GT"/>
              </w:rPr>
            </w:pPr>
            <w:r w:rsidRPr="00F94AC4">
              <w:rPr>
                <w:rFonts w:ascii="Arial" w:hAnsi="Arial" w:cs="Arial"/>
                <w:color w:val="767171" w:themeColor="background2" w:themeShade="80"/>
                <w:sz w:val="20"/>
                <w:szCs w:val="20"/>
                <w:lang w:val="es-GT"/>
              </w:rPr>
              <w:t>-Organizar los eventos en las comunidades, escuelas, iglesia y no en lugares que requieran viaje y/o hospedaje.</w:t>
            </w:r>
          </w:p>
          <w:p w14:paraId="49015028" w14:textId="77777777" w:rsidR="006A3DBC" w:rsidRPr="00F94AC4" w:rsidRDefault="006A3DBC" w:rsidP="005F4A92">
            <w:pPr>
              <w:pStyle w:val="Sinespaciado"/>
              <w:spacing w:after="60"/>
              <w:jc w:val="both"/>
              <w:rPr>
                <w:rFonts w:ascii="Arial" w:hAnsi="Arial" w:cs="Arial"/>
                <w:color w:val="767171" w:themeColor="background2" w:themeShade="80"/>
                <w:sz w:val="20"/>
                <w:szCs w:val="20"/>
                <w:lang w:val="es-GT"/>
              </w:rPr>
            </w:pPr>
            <w:r w:rsidRPr="00F94AC4">
              <w:rPr>
                <w:rFonts w:ascii="Arial" w:hAnsi="Arial" w:cs="Arial"/>
                <w:color w:val="767171" w:themeColor="background2" w:themeShade="80"/>
                <w:sz w:val="20"/>
                <w:szCs w:val="20"/>
                <w:lang w:val="es-GT"/>
              </w:rPr>
              <w:t>-T</w:t>
            </w:r>
            <w:r w:rsidRPr="00F94AC4">
              <w:rPr>
                <w:rFonts w:ascii="Arial" w:hAnsi="Arial" w:cs="Arial"/>
                <w:color w:val="767171" w:themeColor="background2" w:themeShade="80"/>
                <w:sz w:val="20"/>
                <w:szCs w:val="20"/>
              </w:rPr>
              <w:t>omar en cuenta en la selección del proveedor de servicios (hotel, etc.), la accesibilidad para personas con capacidades especiales. Incluir esto en el MOP.</w:t>
            </w:r>
          </w:p>
          <w:p w14:paraId="526CFAE0" w14:textId="77777777" w:rsidR="006A3DBC" w:rsidRPr="00F94AC4" w:rsidRDefault="006A3DBC" w:rsidP="005F4A92">
            <w:pPr>
              <w:pStyle w:val="Sinespaciado"/>
              <w:spacing w:after="60"/>
              <w:jc w:val="both"/>
              <w:rPr>
                <w:rFonts w:ascii="Arial" w:hAnsi="Arial" w:cs="Arial"/>
                <w:color w:val="767171" w:themeColor="background2" w:themeShade="80"/>
                <w:sz w:val="20"/>
                <w:szCs w:val="20"/>
                <w:lang w:val="es-GT"/>
              </w:rPr>
            </w:pPr>
            <w:r w:rsidRPr="00F94AC4">
              <w:rPr>
                <w:rFonts w:ascii="Arial" w:hAnsi="Arial" w:cs="Arial"/>
                <w:color w:val="767171" w:themeColor="background2" w:themeShade="80"/>
                <w:sz w:val="20"/>
                <w:szCs w:val="20"/>
              </w:rPr>
              <w:t>-Proveer transporte especial para personas con discapacidades para que puedan participar en eventos, asistencia técnica, capacitación del Proyecto.</w:t>
            </w:r>
          </w:p>
        </w:tc>
      </w:tr>
      <w:tr w:rsidR="00F94AC4" w:rsidRPr="00F94AC4" w14:paraId="454C0966" w14:textId="77777777" w:rsidTr="5E228CF5">
        <w:trPr>
          <w:trHeight w:val="692"/>
        </w:trPr>
        <w:tc>
          <w:tcPr>
            <w:tcW w:w="3431" w:type="dxa"/>
            <w:shd w:val="clear" w:color="auto" w:fill="FFFFFF" w:themeFill="background1"/>
          </w:tcPr>
          <w:p w14:paraId="14B64D76" w14:textId="77777777" w:rsidR="006A3DBC" w:rsidRPr="00F94AC4" w:rsidRDefault="006A3DBC" w:rsidP="005F4A92">
            <w:pPr>
              <w:spacing w:after="60" w:line="240" w:lineRule="auto"/>
              <w:jc w:val="both"/>
              <w:rPr>
                <w:rFonts w:cs="Arial"/>
                <w:sz w:val="20"/>
                <w:szCs w:val="20"/>
                <w:lang w:val="es-GT"/>
              </w:rPr>
            </w:pPr>
            <w:r w:rsidRPr="00F94AC4">
              <w:rPr>
                <w:rFonts w:cs="Arial"/>
                <w:sz w:val="20"/>
                <w:szCs w:val="20"/>
                <w:lang w:val="es-GT"/>
              </w:rPr>
              <w:t>Socialización.</w:t>
            </w:r>
          </w:p>
        </w:tc>
        <w:tc>
          <w:tcPr>
            <w:tcW w:w="9497" w:type="dxa"/>
            <w:shd w:val="clear" w:color="auto" w:fill="FFFFFF" w:themeFill="background1"/>
          </w:tcPr>
          <w:p w14:paraId="30C65F8A" w14:textId="77777777" w:rsidR="006A3DBC" w:rsidRPr="00F94AC4" w:rsidRDefault="006A3DBC" w:rsidP="005F4A92">
            <w:pPr>
              <w:pStyle w:val="Sinespaciado"/>
              <w:spacing w:after="60"/>
              <w:jc w:val="both"/>
              <w:rPr>
                <w:rFonts w:ascii="Arial" w:hAnsi="Arial" w:cs="Arial"/>
                <w:color w:val="767171" w:themeColor="background2" w:themeShade="80"/>
                <w:sz w:val="20"/>
                <w:szCs w:val="20"/>
                <w:lang w:val="es-GT"/>
              </w:rPr>
            </w:pPr>
            <w:r w:rsidRPr="00F94AC4">
              <w:rPr>
                <w:rFonts w:ascii="Arial" w:hAnsi="Arial" w:cs="Arial"/>
                <w:color w:val="767171" w:themeColor="background2" w:themeShade="80"/>
                <w:sz w:val="20"/>
                <w:szCs w:val="20"/>
                <w:lang w:val="es-GT"/>
              </w:rPr>
              <w:t>- Utilizar diferentes medios de socialización de información que faciliten la llegada a todas las personas (e.g. subtítulos en los videos, información oral, información escrita, etc.).</w:t>
            </w:r>
          </w:p>
        </w:tc>
      </w:tr>
      <w:tr w:rsidR="00F94AC4" w:rsidRPr="00F94AC4" w14:paraId="617B127A" w14:textId="77777777" w:rsidTr="5E228CF5">
        <w:trPr>
          <w:trHeight w:val="692"/>
        </w:trPr>
        <w:tc>
          <w:tcPr>
            <w:tcW w:w="3431" w:type="dxa"/>
            <w:shd w:val="clear" w:color="auto" w:fill="FFFFFF" w:themeFill="background1"/>
          </w:tcPr>
          <w:p w14:paraId="111166D9" w14:textId="77777777" w:rsidR="006A3DBC" w:rsidRPr="00F94AC4" w:rsidRDefault="006A3DBC" w:rsidP="00A26608">
            <w:pPr>
              <w:spacing w:after="60" w:line="240" w:lineRule="auto"/>
              <w:jc w:val="both"/>
              <w:rPr>
                <w:rFonts w:cs="Arial"/>
                <w:sz w:val="20"/>
                <w:szCs w:val="20"/>
                <w:lang w:val="es-GT"/>
              </w:rPr>
            </w:pPr>
            <w:r w:rsidRPr="00F94AC4">
              <w:rPr>
                <w:rFonts w:cs="Arial"/>
                <w:sz w:val="20"/>
                <w:szCs w:val="20"/>
                <w:lang w:val="es-GT"/>
              </w:rPr>
              <w:t xml:space="preserve">Exclusión/Abandono/Falta de atención de salud/tratamiento. </w:t>
            </w:r>
          </w:p>
        </w:tc>
        <w:tc>
          <w:tcPr>
            <w:tcW w:w="9497" w:type="dxa"/>
            <w:shd w:val="clear" w:color="auto" w:fill="FFFFFF" w:themeFill="background1"/>
          </w:tcPr>
          <w:p w14:paraId="63A34FAC" w14:textId="77777777" w:rsidR="006A3DBC" w:rsidRPr="00F94AC4" w:rsidRDefault="006A3DBC" w:rsidP="005F4A92">
            <w:pPr>
              <w:pStyle w:val="Sinespaciado"/>
              <w:spacing w:after="60"/>
              <w:rPr>
                <w:rFonts w:ascii="Arial" w:hAnsi="Arial" w:cs="Arial"/>
                <w:color w:val="767171" w:themeColor="background2" w:themeShade="80"/>
                <w:sz w:val="20"/>
                <w:szCs w:val="20"/>
                <w:lang w:val="es-GT"/>
              </w:rPr>
            </w:pPr>
            <w:r w:rsidRPr="00F94AC4">
              <w:rPr>
                <w:rFonts w:ascii="Arial" w:hAnsi="Arial" w:cs="Arial"/>
                <w:color w:val="767171" w:themeColor="background2" w:themeShade="80"/>
                <w:sz w:val="20"/>
                <w:szCs w:val="20"/>
                <w:lang w:val="es-GT"/>
              </w:rPr>
              <w:t>Para el FA, como parte de la evaluación social se evaluará la pertinencia de los siguientes aspectos.</w:t>
            </w:r>
          </w:p>
          <w:p w14:paraId="0B346635" w14:textId="77777777" w:rsidR="006A3DBC" w:rsidRPr="00F94AC4" w:rsidRDefault="006A3DBC" w:rsidP="005F4A92">
            <w:pPr>
              <w:pStyle w:val="Sinespaciado"/>
              <w:spacing w:after="60"/>
              <w:rPr>
                <w:rFonts w:ascii="Arial" w:hAnsi="Arial" w:cs="Arial"/>
                <w:color w:val="767171" w:themeColor="background2" w:themeShade="80"/>
                <w:sz w:val="20"/>
                <w:szCs w:val="20"/>
                <w:lang w:val="es-419"/>
              </w:rPr>
            </w:pPr>
          </w:p>
          <w:p w14:paraId="7441C83B" w14:textId="77777777" w:rsidR="006A3DBC" w:rsidRPr="00F94AC4" w:rsidRDefault="006A3DBC" w:rsidP="005F4A92">
            <w:pPr>
              <w:pStyle w:val="Sinespaciado"/>
              <w:spacing w:after="60"/>
              <w:jc w:val="both"/>
              <w:rPr>
                <w:rFonts w:ascii="Arial" w:hAnsi="Arial" w:cs="Arial"/>
                <w:color w:val="767171" w:themeColor="background2" w:themeShade="80"/>
                <w:sz w:val="20"/>
                <w:szCs w:val="20"/>
                <w:lang w:val="es-GT"/>
              </w:rPr>
            </w:pPr>
            <w:r w:rsidRPr="00F94AC4">
              <w:rPr>
                <w:rFonts w:ascii="Arial" w:hAnsi="Arial" w:cs="Arial"/>
                <w:color w:val="767171" w:themeColor="background2" w:themeShade="80"/>
                <w:sz w:val="20"/>
                <w:szCs w:val="20"/>
                <w:lang w:val="es-GT"/>
              </w:rPr>
              <w:t>- Análisis social de antecedentes sobre las barreras que enfrentan las personas con discapacidad en el sector agroindustrial en Honduras, con enfoque en Gracias a Dios.</w:t>
            </w:r>
          </w:p>
          <w:p w14:paraId="1AAB7C7E" w14:textId="77777777" w:rsidR="006A3DBC" w:rsidRPr="00F94AC4" w:rsidRDefault="006A3DBC" w:rsidP="005F4A92">
            <w:pPr>
              <w:pStyle w:val="Sinespaciado"/>
              <w:spacing w:after="60"/>
              <w:jc w:val="both"/>
              <w:rPr>
                <w:rFonts w:ascii="Arial" w:hAnsi="Arial" w:cs="Arial"/>
                <w:color w:val="767171" w:themeColor="background2" w:themeShade="80"/>
                <w:sz w:val="20"/>
                <w:szCs w:val="20"/>
                <w:lang w:val="es-GT"/>
              </w:rPr>
            </w:pPr>
            <w:r w:rsidRPr="00F94AC4">
              <w:rPr>
                <w:rFonts w:ascii="Arial" w:hAnsi="Arial" w:cs="Arial"/>
                <w:color w:val="767171" w:themeColor="background2" w:themeShade="80"/>
                <w:sz w:val="20"/>
                <w:szCs w:val="20"/>
                <w:lang w:val="es-GT"/>
              </w:rPr>
              <w:t>-Subvención a hogares de acuerdo con sus necesidades específicas para garantizar acceso al trabajo en la producción alimentaria y agrícola.</w:t>
            </w:r>
          </w:p>
          <w:p w14:paraId="3FD3A765" w14:textId="77777777" w:rsidR="006A3DBC" w:rsidRPr="00F94AC4" w:rsidRDefault="006A3DBC" w:rsidP="005F4A92">
            <w:pPr>
              <w:pStyle w:val="Sinespaciado"/>
              <w:spacing w:after="60"/>
              <w:jc w:val="both"/>
              <w:rPr>
                <w:rFonts w:ascii="Arial" w:hAnsi="Arial" w:cs="Arial"/>
                <w:color w:val="767171" w:themeColor="background2" w:themeShade="80"/>
                <w:sz w:val="20"/>
                <w:szCs w:val="20"/>
                <w:lang w:val="es-GT"/>
              </w:rPr>
            </w:pPr>
            <w:r w:rsidRPr="00F94AC4">
              <w:rPr>
                <w:rFonts w:ascii="Arial" w:hAnsi="Arial" w:cs="Arial"/>
                <w:color w:val="767171" w:themeColor="background2" w:themeShade="80"/>
                <w:sz w:val="20"/>
                <w:szCs w:val="20"/>
                <w:lang w:val="es-GT"/>
              </w:rPr>
              <w:t xml:space="preserve">-Reinserción laboral de personas afectadas/lisiadas por buceo/recolección de especies marinas. </w:t>
            </w:r>
          </w:p>
          <w:p w14:paraId="35C99B51" w14:textId="77777777" w:rsidR="006A3DBC" w:rsidRPr="00F94AC4" w:rsidRDefault="006A3DBC" w:rsidP="005F4A92">
            <w:pPr>
              <w:pStyle w:val="Sinespaciado"/>
              <w:spacing w:after="60"/>
              <w:jc w:val="both"/>
              <w:rPr>
                <w:rFonts w:ascii="Arial" w:hAnsi="Arial" w:cs="Arial"/>
                <w:color w:val="767171" w:themeColor="background2" w:themeShade="80"/>
                <w:sz w:val="20"/>
                <w:szCs w:val="20"/>
                <w:lang w:val="es-GT"/>
              </w:rPr>
            </w:pPr>
            <w:r w:rsidRPr="00F94AC4">
              <w:rPr>
                <w:rFonts w:ascii="Arial" w:hAnsi="Arial" w:cs="Arial"/>
                <w:color w:val="767171" w:themeColor="background2" w:themeShade="80"/>
                <w:sz w:val="20"/>
                <w:szCs w:val="20"/>
                <w:lang w:val="es-GT"/>
              </w:rPr>
              <w:t>-Atención médica y psicológica integral y especializada a las víctimas y sus familiares, incluyendo tratamientos de rehabilitación.</w:t>
            </w:r>
          </w:p>
          <w:p w14:paraId="12585329" w14:textId="77777777" w:rsidR="006A3DBC" w:rsidRPr="00F94AC4" w:rsidRDefault="006A3DBC" w:rsidP="005F4A92">
            <w:pPr>
              <w:pStyle w:val="Sinespaciado"/>
              <w:spacing w:after="60"/>
              <w:rPr>
                <w:rFonts w:ascii="Arial" w:hAnsi="Arial" w:cs="Arial"/>
                <w:color w:val="767171" w:themeColor="background2" w:themeShade="80"/>
                <w:sz w:val="20"/>
                <w:szCs w:val="20"/>
                <w:lang w:val="es-GT"/>
              </w:rPr>
            </w:pPr>
          </w:p>
        </w:tc>
      </w:tr>
      <w:tr w:rsidR="00F94AC4" w:rsidRPr="00F94AC4" w14:paraId="3F32C919" w14:textId="77777777" w:rsidTr="5E228CF5">
        <w:trPr>
          <w:trHeight w:val="692"/>
        </w:trPr>
        <w:tc>
          <w:tcPr>
            <w:tcW w:w="3431" w:type="dxa"/>
            <w:shd w:val="clear" w:color="auto" w:fill="FFFFFF" w:themeFill="background1"/>
          </w:tcPr>
          <w:p w14:paraId="4980B035" w14:textId="77777777" w:rsidR="006A3DBC" w:rsidRPr="00F94AC4" w:rsidRDefault="006A3DBC" w:rsidP="005F4A92">
            <w:pPr>
              <w:spacing w:after="60" w:line="240" w:lineRule="auto"/>
              <w:jc w:val="both"/>
              <w:rPr>
                <w:rFonts w:cs="Arial"/>
                <w:sz w:val="20"/>
                <w:szCs w:val="20"/>
                <w:lang w:val="es-GT"/>
              </w:rPr>
            </w:pPr>
            <w:r w:rsidRPr="00F94AC4">
              <w:rPr>
                <w:rFonts w:cs="Arial"/>
                <w:sz w:val="20"/>
                <w:szCs w:val="20"/>
                <w:lang w:val="es-GT"/>
              </w:rPr>
              <w:t xml:space="preserve">Exclusión de personas con discapacidad por la falta de información o debida divulgación sobre el Proyecto. </w:t>
            </w:r>
          </w:p>
        </w:tc>
        <w:tc>
          <w:tcPr>
            <w:tcW w:w="9497" w:type="dxa"/>
            <w:shd w:val="clear" w:color="auto" w:fill="FFFFFF" w:themeFill="background1"/>
          </w:tcPr>
          <w:p w14:paraId="68F4AB95" w14:textId="4C053ED7" w:rsidR="006A3DBC" w:rsidRPr="00F94AC4" w:rsidRDefault="006A3DBC" w:rsidP="005F4A92">
            <w:pPr>
              <w:pStyle w:val="Sinespaciado"/>
              <w:spacing w:after="60"/>
              <w:jc w:val="both"/>
              <w:rPr>
                <w:rFonts w:ascii="Arial" w:hAnsi="Arial" w:cs="Arial"/>
                <w:color w:val="767171" w:themeColor="background2" w:themeShade="80"/>
                <w:sz w:val="20"/>
                <w:szCs w:val="20"/>
              </w:rPr>
            </w:pPr>
            <w:r w:rsidRPr="00F94AC4">
              <w:rPr>
                <w:rFonts w:ascii="Arial" w:hAnsi="Arial" w:cs="Arial"/>
                <w:color w:val="767171" w:themeColor="background2" w:themeShade="80"/>
                <w:sz w:val="20"/>
                <w:szCs w:val="20"/>
              </w:rPr>
              <w:t xml:space="preserve">El Proyecto ha definido un umbral de participación de personas con discapacidad con lo que se tiene en cuenta la participación </w:t>
            </w:r>
            <w:proofErr w:type="gramStart"/>
            <w:r w:rsidR="009C2E29" w:rsidRPr="00F94AC4">
              <w:rPr>
                <w:rFonts w:ascii="Arial" w:hAnsi="Arial" w:cs="Arial"/>
                <w:color w:val="767171" w:themeColor="background2" w:themeShade="80"/>
                <w:sz w:val="20"/>
                <w:szCs w:val="20"/>
              </w:rPr>
              <w:t>del mismo</w:t>
            </w:r>
            <w:proofErr w:type="gramEnd"/>
            <w:r w:rsidRPr="00F94AC4">
              <w:rPr>
                <w:rFonts w:ascii="Arial" w:hAnsi="Arial" w:cs="Arial"/>
                <w:color w:val="767171" w:themeColor="background2" w:themeShade="80"/>
                <w:sz w:val="20"/>
                <w:szCs w:val="20"/>
              </w:rPr>
              <w:t>, en actividades directas del Proyecto.</w:t>
            </w:r>
          </w:p>
          <w:p w14:paraId="0D67542A" w14:textId="77777777" w:rsidR="006A3DBC" w:rsidRPr="00F94AC4" w:rsidRDefault="006A3DBC" w:rsidP="005F4A92">
            <w:pPr>
              <w:pStyle w:val="Sinespaciado"/>
              <w:spacing w:after="60"/>
              <w:jc w:val="both"/>
              <w:rPr>
                <w:rFonts w:ascii="Arial" w:hAnsi="Arial" w:cs="Arial"/>
                <w:color w:val="767171" w:themeColor="background2" w:themeShade="80"/>
                <w:sz w:val="20"/>
                <w:szCs w:val="20"/>
              </w:rPr>
            </w:pPr>
          </w:p>
          <w:p w14:paraId="50148B5A" w14:textId="77777777" w:rsidR="006A3DBC" w:rsidRPr="00F94AC4" w:rsidRDefault="006A3DBC" w:rsidP="005F4A92">
            <w:pPr>
              <w:pStyle w:val="Sinespaciado"/>
              <w:spacing w:after="60"/>
              <w:jc w:val="both"/>
              <w:rPr>
                <w:rFonts w:ascii="Arial" w:hAnsi="Arial" w:cs="Arial"/>
                <w:color w:val="767171" w:themeColor="background2" w:themeShade="80"/>
                <w:sz w:val="20"/>
                <w:szCs w:val="20"/>
                <w:lang w:val="es-GT"/>
              </w:rPr>
            </w:pPr>
            <w:r w:rsidRPr="00F94AC4">
              <w:rPr>
                <w:rFonts w:ascii="Arial" w:hAnsi="Arial" w:cs="Arial"/>
                <w:color w:val="767171" w:themeColor="background2" w:themeShade="80"/>
                <w:sz w:val="20"/>
                <w:szCs w:val="20"/>
              </w:rPr>
              <w:t xml:space="preserve">El Proyecto desde la línea base tomará en cuenta aspectos relativos a las personas con discapacidad, entre otros grupos vulnerables para que sean informados adecuadamente sobre el Proyecto y puedan ser incluidos en las actividades a potenciar. </w:t>
            </w:r>
          </w:p>
        </w:tc>
      </w:tr>
    </w:tbl>
    <w:p w14:paraId="1A598FE9" w14:textId="77777777" w:rsidR="006A3DBC" w:rsidRPr="00FA4B2D" w:rsidRDefault="006A3DBC" w:rsidP="006A3DBC">
      <w:pPr>
        <w:rPr>
          <w:rFonts w:cs="Arial"/>
        </w:rPr>
      </w:pPr>
    </w:p>
    <w:p w14:paraId="2E131B72" w14:textId="77777777" w:rsidR="006A3DBC" w:rsidRPr="00FA4B2D" w:rsidRDefault="006A3DBC" w:rsidP="006A3DBC">
      <w:pPr>
        <w:rPr>
          <w:rFonts w:cs="Arial"/>
        </w:rPr>
        <w:sectPr w:rsidR="006A3DBC" w:rsidRPr="00FA4B2D" w:rsidSect="005F4A92">
          <w:pgSz w:w="15840" w:h="12240" w:orient="landscape"/>
          <w:pgMar w:top="1750" w:right="1417" w:bottom="1560" w:left="1417" w:header="708" w:footer="708" w:gutter="0"/>
          <w:cols w:space="708"/>
          <w:docGrid w:linePitch="360"/>
        </w:sectPr>
      </w:pPr>
    </w:p>
    <w:p w14:paraId="2E109E1C" w14:textId="77777777" w:rsidR="006A3DBC" w:rsidRPr="00FA4B2D" w:rsidRDefault="006A3DBC" w:rsidP="00411720">
      <w:pPr>
        <w:pStyle w:val="Ttulo1"/>
        <w:numPr>
          <w:ilvl w:val="0"/>
          <w:numId w:val="100"/>
        </w:numPr>
        <w:ind w:left="0" w:firstLine="0"/>
        <w:jc w:val="both"/>
        <w:rPr>
          <w:rFonts w:ascii="Arial" w:hAnsi="Arial" w:cs="Arial"/>
          <w:b/>
          <w:color w:val="767171" w:themeColor="background2" w:themeShade="80"/>
          <w:sz w:val="22"/>
          <w:szCs w:val="22"/>
        </w:rPr>
      </w:pPr>
      <w:bookmarkStart w:id="753" w:name="_Toc65884189"/>
      <w:bookmarkStart w:id="754" w:name="_Toc67573411"/>
      <w:bookmarkStart w:id="755" w:name="_Toc202341266"/>
      <w:bookmarkStart w:id="756" w:name="_Toc202456941"/>
      <w:r w:rsidRPr="00FA4B2D">
        <w:rPr>
          <w:rFonts w:ascii="Arial" w:hAnsi="Arial" w:cs="Arial"/>
          <w:b/>
          <w:color w:val="767171" w:themeColor="background2" w:themeShade="80"/>
          <w:sz w:val="22"/>
          <w:szCs w:val="22"/>
        </w:rPr>
        <w:lastRenderedPageBreak/>
        <w:t>Principales Riesgos e Impactos Ambientales y Sociales Identificados y Medidas de Mitigación</w:t>
      </w:r>
      <w:bookmarkEnd w:id="753"/>
      <w:bookmarkEnd w:id="754"/>
      <w:bookmarkEnd w:id="755"/>
      <w:bookmarkEnd w:id="756"/>
    </w:p>
    <w:p w14:paraId="4E8E6CC4" w14:textId="77777777" w:rsidR="006A3DBC" w:rsidRPr="00FA4B2D" w:rsidRDefault="006A3DBC" w:rsidP="006A3DBC">
      <w:pPr>
        <w:spacing w:after="0" w:line="240" w:lineRule="auto"/>
        <w:jc w:val="both"/>
        <w:rPr>
          <w:rFonts w:cs="Arial"/>
        </w:rPr>
      </w:pPr>
    </w:p>
    <w:p w14:paraId="48EF77D0" w14:textId="77777777" w:rsidR="006A3DBC" w:rsidRPr="00FA4B2D" w:rsidRDefault="006A3DBC" w:rsidP="00411720">
      <w:pPr>
        <w:pStyle w:val="Ttulo1"/>
        <w:numPr>
          <w:ilvl w:val="1"/>
          <w:numId w:val="100"/>
        </w:numPr>
        <w:jc w:val="both"/>
        <w:rPr>
          <w:rFonts w:ascii="Arial" w:hAnsi="Arial" w:cs="Arial"/>
          <w:b/>
          <w:bCs/>
          <w:color w:val="767171" w:themeColor="background2" w:themeShade="80"/>
          <w:sz w:val="22"/>
          <w:szCs w:val="22"/>
        </w:rPr>
      </w:pPr>
      <w:bookmarkStart w:id="757" w:name="_Toc65857053"/>
      <w:bookmarkStart w:id="758" w:name="_Toc65857149"/>
      <w:bookmarkStart w:id="759" w:name="_Toc65857211"/>
      <w:bookmarkStart w:id="760" w:name="_Toc65857425"/>
      <w:bookmarkStart w:id="761" w:name="_Toc65865998"/>
      <w:bookmarkStart w:id="762" w:name="_Toc65877233"/>
      <w:bookmarkStart w:id="763" w:name="_Toc65877381"/>
      <w:bookmarkStart w:id="764" w:name="_Toc65881360"/>
      <w:bookmarkStart w:id="765" w:name="_Toc65882234"/>
      <w:bookmarkStart w:id="766" w:name="_Toc65884190"/>
      <w:bookmarkStart w:id="767" w:name="_Toc66035468"/>
      <w:bookmarkStart w:id="768" w:name="_Toc66037090"/>
      <w:bookmarkStart w:id="769" w:name="_Toc66038474"/>
      <w:bookmarkStart w:id="770" w:name="_Toc66038593"/>
      <w:bookmarkStart w:id="771" w:name="_Toc66038755"/>
      <w:bookmarkStart w:id="772" w:name="_Toc66039211"/>
      <w:bookmarkStart w:id="773" w:name="_Toc66223557"/>
      <w:bookmarkStart w:id="774" w:name="_Toc67238090"/>
      <w:bookmarkStart w:id="775" w:name="_Toc67240529"/>
      <w:bookmarkStart w:id="776" w:name="_Toc67240769"/>
      <w:bookmarkStart w:id="777" w:name="_Toc67240968"/>
      <w:bookmarkStart w:id="778" w:name="_Toc67241163"/>
      <w:bookmarkStart w:id="779" w:name="_Toc67241354"/>
      <w:bookmarkStart w:id="780" w:name="_Toc67241539"/>
      <w:bookmarkStart w:id="781" w:name="_Toc67241735"/>
      <w:bookmarkStart w:id="782" w:name="_Toc67241843"/>
      <w:bookmarkStart w:id="783" w:name="_Toc67241917"/>
      <w:bookmarkStart w:id="784" w:name="_Toc67242031"/>
      <w:bookmarkStart w:id="785" w:name="_Toc67242102"/>
      <w:bookmarkStart w:id="786" w:name="_Toc67242751"/>
      <w:bookmarkStart w:id="787" w:name="_Toc67243145"/>
      <w:bookmarkStart w:id="788" w:name="_Toc67243806"/>
      <w:bookmarkStart w:id="789" w:name="_Toc67557004"/>
      <w:bookmarkStart w:id="790" w:name="_Toc67564423"/>
      <w:bookmarkStart w:id="791" w:name="_Toc67567153"/>
      <w:bookmarkStart w:id="792" w:name="_Toc67567442"/>
      <w:bookmarkStart w:id="793" w:name="_Toc67567538"/>
      <w:bookmarkStart w:id="794" w:name="_Toc67568531"/>
      <w:bookmarkStart w:id="795" w:name="_Toc67571800"/>
      <w:bookmarkStart w:id="796" w:name="_Toc67572822"/>
      <w:bookmarkStart w:id="797" w:name="_Toc67573412"/>
      <w:bookmarkStart w:id="798" w:name="_Toc69380780"/>
      <w:bookmarkStart w:id="799" w:name="_Toc69382019"/>
      <w:bookmarkStart w:id="800" w:name="_Toc69389896"/>
      <w:bookmarkStart w:id="801" w:name="_Toc69393569"/>
      <w:bookmarkStart w:id="802" w:name="_Toc69410735"/>
      <w:bookmarkStart w:id="803" w:name="_Toc69410973"/>
      <w:bookmarkStart w:id="804" w:name="_Toc69918745"/>
      <w:bookmarkStart w:id="805" w:name="_Toc69922975"/>
      <w:bookmarkStart w:id="806" w:name="_Toc160535987"/>
      <w:bookmarkStart w:id="807" w:name="_Toc67564424"/>
      <w:bookmarkStart w:id="808" w:name="_Toc67567154"/>
      <w:bookmarkStart w:id="809" w:name="_Toc67567443"/>
      <w:bookmarkStart w:id="810" w:name="_Toc67567539"/>
      <w:bookmarkStart w:id="811" w:name="_Toc67568532"/>
      <w:bookmarkStart w:id="812" w:name="_Toc67571801"/>
      <w:bookmarkStart w:id="813" w:name="_Toc67572823"/>
      <w:bookmarkStart w:id="814" w:name="_Toc67573413"/>
      <w:bookmarkStart w:id="815" w:name="_Toc69380781"/>
      <w:bookmarkStart w:id="816" w:name="_Toc69382020"/>
      <w:bookmarkStart w:id="817" w:name="_Toc69389897"/>
      <w:bookmarkStart w:id="818" w:name="_Toc69393570"/>
      <w:bookmarkStart w:id="819" w:name="_Toc69410736"/>
      <w:bookmarkStart w:id="820" w:name="_Toc69410974"/>
      <w:bookmarkStart w:id="821" w:name="_Toc69918746"/>
      <w:bookmarkStart w:id="822" w:name="_Toc69922976"/>
      <w:bookmarkStart w:id="823" w:name="_Toc160535988"/>
      <w:bookmarkStart w:id="824" w:name="_Toc65884191"/>
      <w:bookmarkStart w:id="825" w:name="_Toc67573414"/>
      <w:bookmarkStart w:id="826" w:name="_Toc202456942"/>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r w:rsidRPr="00FA4B2D">
        <w:rPr>
          <w:rFonts w:ascii="Arial" w:hAnsi="Arial" w:cs="Arial"/>
          <w:b/>
          <w:color w:val="767171" w:themeColor="background2" w:themeShade="80"/>
          <w:sz w:val="22"/>
          <w:szCs w:val="22"/>
        </w:rPr>
        <w:t>Beneficios</w:t>
      </w:r>
      <w:r w:rsidRPr="00FA4B2D">
        <w:rPr>
          <w:rFonts w:ascii="Arial" w:hAnsi="Arial" w:cs="Arial"/>
          <w:b/>
          <w:bCs/>
          <w:color w:val="767171" w:themeColor="background2" w:themeShade="80"/>
          <w:sz w:val="22"/>
          <w:szCs w:val="22"/>
        </w:rPr>
        <w:t xml:space="preserve"> e Impactos socio ambientales positivos</w:t>
      </w:r>
      <w:bookmarkEnd w:id="824"/>
      <w:bookmarkEnd w:id="825"/>
      <w:bookmarkEnd w:id="826"/>
    </w:p>
    <w:p w14:paraId="25D453E3" w14:textId="77777777" w:rsidR="006A3DBC" w:rsidRPr="00FA4B2D" w:rsidRDefault="006A3DBC" w:rsidP="006A3DBC">
      <w:pPr>
        <w:pStyle w:val="Prrafodelista"/>
        <w:spacing w:after="0" w:line="240" w:lineRule="auto"/>
        <w:ind w:left="207"/>
        <w:jc w:val="both"/>
        <w:rPr>
          <w:rFonts w:cs="Arial"/>
        </w:rPr>
      </w:pPr>
    </w:p>
    <w:p w14:paraId="5DA2DF77" w14:textId="77777777" w:rsidR="006A3DBC" w:rsidRPr="00FA4B2D" w:rsidRDefault="006A3DBC" w:rsidP="006A3DBC">
      <w:pPr>
        <w:spacing w:after="0" w:line="240" w:lineRule="auto"/>
        <w:jc w:val="both"/>
        <w:rPr>
          <w:rFonts w:cs="Arial"/>
        </w:rPr>
      </w:pPr>
      <w:r w:rsidRPr="00FA4B2D">
        <w:rPr>
          <w:rFonts w:cs="Arial"/>
        </w:rPr>
        <w:t>El Proyecto promoverá mejoras competitivas a lo largo de todo el espectro de vínculos de cadena de valor hacia atrás y hacia adelante. A través de la mejora de la competitividad en todas las cadenas de valor y el apoyo de enfoques innovadores, el Proyecto abordará los siguientes desafíos actuales para el desarrollo de agronegocios:</w:t>
      </w:r>
    </w:p>
    <w:p w14:paraId="4C63B451" w14:textId="77777777" w:rsidR="006A3DBC" w:rsidRPr="00FA4B2D" w:rsidRDefault="006A3DBC" w:rsidP="006A3DBC">
      <w:pPr>
        <w:spacing w:after="0" w:line="240" w:lineRule="auto"/>
        <w:ind w:left="360"/>
        <w:jc w:val="both"/>
        <w:rPr>
          <w:rFonts w:cs="Arial"/>
        </w:rPr>
      </w:pPr>
    </w:p>
    <w:p w14:paraId="28096A55" w14:textId="77777777" w:rsidR="006A3DBC" w:rsidRPr="00FA4B2D" w:rsidRDefault="006A3DBC" w:rsidP="00411720">
      <w:pPr>
        <w:pStyle w:val="Prrafodelista"/>
        <w:numPr>
          <w:ilvl w:val="0"/>
          <w:numId w:val="98"/>
        </w:numPr>
        <w:spacing w:after="0" w:line="240" w:lineRule="auto"/>
        <w:jc w:val="both"/>
        <w:rPr>
          <w:rFonts w:cs="Arial"/>
        </w:rPr>
      </w:pPr>
      <w:r w:rsidRPr="00FA4B2D">
        <w:rPr>
          <w:rFonts w:cs="Arial"/>
        </w:rPr>
        <w:t>Fortalecimiento de la estructura institucional y modernización de la provisión de servicios requeridos para habilitar el entorno de agronegocios.</w:t>
      </w:r>
    </w:p>
    <w:p w14:paraId="0C410FBB" w14:textId="77777777" w:rsidR="006A3DBC" w:rsidRPr="00FA4B2D" w:rsidRDefault="006A3DBC" w:rsidP="00411720">
      <w:pPr>
        <w:pStyle w:val="Prrafodelista"/>
        <w:numPr>
          <w:ilvl w:val="0"/>
          <w:numId w:val="98"/>
        </w:numPr>
        <w:spacing w:after="0" w:line="240" w:lineRule="auto"/>
        <w:jc w:val="both"/>
        <w:rPr>
          <w:rFonts w:cs="Arial"/>
        </w:rPr>
      </w:pPr>
      <w:r w:rsidRPr="00FA4B2D">
        <w:rPr>
          <w:rFonts w:cs="Arial"/>
        </w:rPr>
        <w:t>Fortalecimiento del capital humano mediante la promoción de agro empresarios con capacidades mejoradas y acceso a habilidades y conocimientos de vanguardia.</w:t>
      </w:r>
    </w:p>
    <w:p w14:paraId="37052C09" w14:textId="77777777" w:rsidR="006A3DBC" w:rsidRPr="00FA4B2D" w:rsidRDefault="006A3DBC" w:rsidP="00411720">
      <w:pPr>
        <w:pStyle w:val="Prrafodelista"/>
        <w:numPr>
          <w:ilvl w:val="0"/>
          <w:numId w:val="98"/>
        </w:numPr>
        <w:spacing w:after="0" w:line="240" w:lineRule="auto"/>
        <w:jc w:val="both"/>
        <w:rPr>
          <w:rFonts w:cs="Arial"/>
        </w:rPr>
      </w:pPr>
      <w:r w:rsidRPr="00FA4B2D">
        <w:rPr>
          <w:rFonts w:cs="Arial"/>
        </w:rPr>
        <w:t>Acceso a las finanzas. Los empresarios agrícolas tienen un acceso limitado a la financiación debido a la falta de regulaciones especializadas y productos financieros agrícolas.</w:t>
      </w:r>
    </w:p>
    <w:p w14:paraId="5C772A76" w14:textId="77777777" w:rsidR="006A3DBC" w:rsidRPr="00FA4B2D" w:rsidRDefault="3A7FC69B" w:rsidP="00411720">
      <w:pPr>
        <w:pStyle w:val="Prrafodelista"/>
        <w:numPr>
          <w:ilvl w:val="0"/>
          <w:numId w:val="98"/>
        </w:numPr>
        <w:spacing w:after="0" w:line="240" w:lineRule="auto"/>
        <w:jc w:val="both"/>
        <w:rPr>
          <w:rFonts w:cs="Arial"/>
        </w:rPr>
      </w:pPr>
      <w:r w:rsidRPr="00FA4B2D">
        <w:rPr>
          <w:rFonts w:cs="Arial"/>
        </w:rPr>
        <w:t>Desarrollo de agro-logística para apoyar cadenas de valor agrícola. Para los productos perecederos hondureños, incluidos los productos de horticultura, ganadería y acuicultura / pesca, así como los productos básicos no perecederos, como el café y el frijol, las demoras derivadas de los cuellos de botella agro-logísticos resultan en pérdida de calidad y cantidad, todo lo cual se traduce en un impacto económico y ambiental.</w:t>
      </w:r>
      <w:r w:rsidR="006A3DBC" w:rsidRPr="00FA4B2D">
        <w:rPr>
          <w:rStyle w:val="Refdenotaalpie"/>
          <w:rFonts w:cs="Arial"/>
        </w:rPr>
        <w:footnoteReference w:id="44"/>
      </w:r>
    </w:p>
    <w:p w14:paraId="62A4DEDC" w14:textId="77777777" w:rsidR="006A3DBC" w:rsidRPr="00FA4B2D" w:rsidRDefault="006A3DBC" w:rsidP="006A3DBC">
      <w:pPr>
        <w:spacing w:after="0" w:line="240" w:lineRule="auto"/>
        <w:ind w:left="1080"/>
        <w:jc w:val="both"/>
        <w:rPr>
          <w:rFonts w:cs="Arial"/>
        </w:rPr>
      </w:pPr>
    </w:p>
    <w:p w14:paraId="18E79A94" w14:textId="77777777" w:rsidR="006A3DBC" w:rsidRPr="00FA4B2D" w:rsidRDefault="006A3DBC" w:rsidP="006A3DBC">
      <w:pPr>
        <w:spacing w:after="0" w:line="240" w:lineRule="auto"/>
        <w:jc w:val="both"/>
        <w:rPr>
          <w:rFonts w:cs="Arial"/>
        </w:rPr>
      </w:pPr>
      <w:r w:rsidRPr="00FA4B2D">
        <w:rPr>
          <w:rFonts w:cs="Arial"/>
        </w:rPr>
        <w:t>Los principales beneficios e impactos socioambientales positivos del COMRURAL III son:</w:t>
      </w:r>
    </w:p>
    <w:p w14:paraId="0821DFAF" w14:textId="77777777" w:rsidR="006A3DBC" w:rsidRPr="00FA4B2D" w:rsidRDefault="006A3DBC" w:rsidP="006A3DBC">
      <w:pPr>
        <w:spacing w:after="0" w:line="240" w:lineRule="auto"/>
        <w:jc w:val="both"/>
        <w:rPr>
          <w:rFonts w:cs="Arial"/>
        </w:rPr>
      </w:pPr>
    </w:p>
    <w:p w14:paraId="168EEDBB" w14:textId="77777777" w:rsidR="006A3DBC" w:rsidRPr="00FA4B2D" w:rsidRDefault="006A3DBC" w:rsidP="00411720">
      <w:pPr>
        <w:pStyle w:val="Prrafodelista"/>
        <w:numPr>
          <w:ilvl w:val="0"/>
          <w:numId w:val="97"/>
        </w:numPr>
        <w:spacing w:after="0" w:line="240" w:lineRule="auto"/>
        <w:jc w:val="both"/>
        <w:rPr>
          <w:rFonts w:cs="Arial"/>
        </w:rPr>
      </w:pPr>
      <w:r w:rsidRPr="00FA4B2D">
        <w:rPr>
          <w:rFonts w:cs="Arial"/>
        </w:rPr>
        <w:t>La estabilización de la frontera agrícola será el resultado de incentivos reales por parte del COMRURAL hacia aquellos productores que apliquen las medidas de mitigación en los planes de manejo ambiental de cada negocio que emprendan.</w:t>
      </w:r>
    </w:p>
    <w:p w14:paraId="1374CD79" w14:textId="77777777" w:rsidR="006A3DBC" w:rsidRPr="00FA4B2D" w:rsidRDefault="006A3DBC" w:rsidP="00411720">
      <w:pPr>
        <w:pStyle w:val="Prrafodelista"/>
        <w:numPr>
          <w:ilvl w:val="0"/>
          <w:numId w:val="97"/>
        </w:numPr>
        <w:spacing w:after="0" w:line="240" w:lineRule="auto"/>
        <w:jc w:val="both"/>
        <w:rPr>
          <w:rFonts w:cs="Arial"/>
        </w:rPr>
      </w:pPr>
      <w:r w:rsidRPr="00FA4B2D">
        <w:rPr>
          <w:rFonts w:cs="Arial"/>
        </w:rPr>
        <w:t>La existencia de alianzas productivas dentro de las cadenas de valor y la provisión de asistencia técnica en procedimientos ambientales y sociales conducirá a las comunidades hacia la producción agrícola sostenible y la prestación de servicios de calidad, de acuerdo con la creciente demanda de consumir alimentos sanos y respetar la naturaleza.</w:t>
      </w:r>
    </w:p>
    <w:p w14:paraId="00416FE0" w14:textId="77777777" w:rsidR="006A3DBC" w:rsidRPr="00FA4B2D" w:rsidRDefault="006A3DBC" w:rsidP="00411720">
      <w:pPr>
        <w:pStyle w:val="Prrafodelista"/>
        <w:numPr>
          <w:ilvl w:val="0"/>
          <w:numId w:val="97"/>
        </w:numPr>
        <w:spacing w:after="0" w:line="240" w:lineRule="auto"/>
        <w:jc w:val="both"/>
        <w:rPr>
          <w:rFonts w:cs="Arial"/>
        </w:rPr>
      </w:pPr>
      <w:r w:rsidRPr="00FA4B2D">
        <w:rPr>
          <w:rFonts w:cs="Arial"/>
        </w:rPr>
        <w:t>Promoción de la conservación de la biodiversidad y el uso sostenible de los recursos naturales.</w:t>
      </w:r>
    </w:p>
    <w:p w14:paraId="2E10DBBA" w14:textId="0E66ADBC" w:rsidR="006A3DBC" w:rsidRPr="002B7276" w:rsidRDefault="006A3DBC" w:rsidP="00522705">
      <w:pPr>
        <w:pStyle w:val="Prrafodelista"/>
        <w:numPr>
          <w:ilvl w:val="0"/>
          <w:numId w:val="97"/>
        </w:numPr>
        <w:spacing w:after="0" w:line="240" w:lineRule="auto"/>
        <w:jc w:val="both"/>
        <w:rPr>
          <w:rFonts w:cs="Arial"/>
        </w:rPr>
      </w:pPr>
      <w:r w:rsidRPr="002B7276">
        <w:rPr>
          <w:rFonts w:cs="Arial"/>
        </w:rPr>
        <w:t xml:space="preserve">Promoción de prácticas agrícolas climáticamente inteligentes en las distintas cadenas productivas. </w:t>
      </w:r>
    </w:p>
    <w:p w14:paraId="57CA3287" w14:textId="77777777" w:rsidR="006A3DBC" w:rsidRPr="00FA4B2D" w:rsidRDefault="006A3DBC" w:rsidP="00411720">
      <w:pPr>
        <w:pStyle w:val="Prrafodelista"/>
        <w:numPr>
          <w:ilvl w:val="0"/>
          <w:numId w:val="97"/>
        </w:numPr>
        <w:spacing w:after="0" w:line="240" w:lineRule="auto"/>
        <w:jc w:val="both"/>
        <w:rPr>
          <w:rFonts w:cs="Arial"/>
        </w:rPr>
      </w:pPr>
      <w:r w:rsidRPr="00FA4B2D">
        <w:rPr>
          <w:rFonts w:cs="Arial"/>
        </w:rPr>
        <w:lastRenderedPageBreak/>
        <w:t>Se procura incrementar la productividad y competitividad de los productores rurales organizados en diferentes figuras o tipos de asociatividad, fortaleciendo las iniciativas locales de desarrollo y generación de empleo rural.</w:t>
      </w:r>
    </w:p>
    <w:p w14:paraId="6623243D" w14:textId="77777777" w:rsidR="006A3DBC" w:rsidRPr="00FA4B2D" w:rsidRDefault="006A3DBC" w:rsidP="00411720">
      <w:pPr>
        <w:pStyle w:val="Prrafodelista"/>
        <w:numPr>
          <w:ilvl w:val="0"/>
          <w:numId w:val="97"/>
        </w:numPr>
        <w:spacing w:after="0" w:line="240" w:lineRule="auto"/>
        <w:jc w:val="both"/>
        <w:rPr>
          <w:rFonts w:cs="Arial"/>
        </w:rPr>
      </w:pPr>
      <w:r w:rsidRPr="00FA4B2D">
        <w:rPr>
          <w:rFonts w:cs="Arial"/>
        </w:rPr>
        <w:t>La generación de empleo que el COMRURAL III fortalecerá y que permitirá crear opciones o alternativas de ingreso para los jóvenes rurales.</w:t>
      </w:r>
    </w:p>
    <w:p w14:paraId="39C61AAD" w14:textId="77777777" w:rsidR="006A3DBC" w:rsidRPr="00FA4B2D" w:rsidRDefault="006A3DBC" w:rsidP="00411720">
      <w:pPr>
        <w:pStyle w:val="Prrafodelista"/>
        <w:numPr>
          <w:ilvl w:val="0"/>
          <w:numId w:val="97"/>
        </w:numPr>
        <w:spacing w:after="0" w:line="240" w:lineRule="auto"/>
        <w:jc w:val="both"/>
        <w:rPr>
          <w:rFonts w:cs="Arial"/>
        </w:rPr>
      </w:pPr>
      <w:r w:rsidRPr="00FA4B2D">
        <w:rPr>
          <w:rFonts w:cs="Arial"/>
        </w:rPr>
        <w:t>El COMRURAL III sostendrá y consolidará los impactos positivos de participación de la mujer, que implican derechos alcanzados a nivel de acceso a los recursos, tierra, organización, productividad, capacitación, administración y gestión empresarial, entre otros.</w:t>
      </w:r>
    </w:p>
    <w:p w14:paraId="3EC1F993" w14:textId="77777777" w:rsidR="006A3DBC" w:rsidRPr="00FA4B2D" w:rsidRDefault="006A3DBC" w:rsidP="00411720">
      <w:pPr>
        <w:pStyle w:val="Prrafodelista"/>
        <w:numPr>
          <w:ilvl w:val="0"/>
          <w:numId w:val="97"/>
        </w:numPr>
        <w:spacing w:after="0" w:line="240" w:lineRule="auto"/>
        <w:jc w:val="both"/>
        <w:rPr>
          <w:rFonts w:cs="Arial"/>
        </w:rPr>
      </w:pPr>
      <w:r w:rsidRPr="00FA4B2D">
        <w:rPr>
          <w:rFonts w:cs="Arial"/>
        </w:rPr>
        <w:t>El modelo de alianza publico privado facilita el acceso al recurso financiero superando barreras históricas de reservas y disminución de inversiones provenientes del sector privado en el agro hondureño.</w:t>
      </w:r>
    </w:p>
    <w:p w14:paraId="64666FEC" w14:textId="77777777" w:rsidR="006A3DBC" w:rsidRPr="00FA4B2D" w:rsidRDefault="006A3DBC" w:rsidP="00411720">
      <w:pPr>
        <w:pStyle w:val="Prrafodelista"/>
        <w:numPr>
          <w:ilvl w:val="0"/>
          <w:numId w:val="97"/>
        </w:numPr>
        <w:spacing w:after="0" w:line="240" w:lineRule="auto"/>
        <w:jc w:val="both"/>
        <w:rPr>
          <w:rFonts w:cs="Arial"/>
        </w:rPr>
      </w:pPr>
      <w:r w:rsidRPr="00FA4B2D">
        <w:rPr>
          <w:rFonts w:cs="Arial"/>
        </w:rPr>
        <w:t>Fortalecer el desarrollo de competencias en el manejo eficiente y transparente de los recursos mediante procesos de adquisiciones documentados y sustentables para rendición de cuentas interna y externa.</w:t>
      </w:r>
    </w:p>
    <w:p w14:paraId="6964B8BE" w14:textId="77777777" w:rsidR="006A3DBC" w:rsidRPr="00FA4B2D" w:rsidRDefault="006A3DBC" w:rsidP="00411720">
      <w:pPr>
        <w:pStyle w:val="Prrafodelista"/>
        <w:numPr>
          <w:ilvl w:val="0"/>
          <w:numId w:val="97"/>
        </w:numPr>
        <w:spacing w:after="0" w:line="240" w:lineRule="auto"/>
        <w:jc w:val="both"/>
        <w:rPr>
          <w:rFonts w:cs="Arial"/>
        </w:rPr>
      </w:pPr>
      <w:r w:rsidRPr="00FA4B2D">
        <w:rPr>
          <w:rFonts w:cs="Arial"/>
        </w:rPr>
        <w:t xml:space="preserve">El cumplimiento de las medidas socioambientales desde la formulación de los PdNs, ejecución de los subproyectos y entrega de obras e inversiones, es un proceso de gestión responsable. </w:t>
      </w:r>
    </w:p>
    <w:p w14:paraId="05596C20" w14:textId="77777777" w:rsidR="006A3DBC" w:rsidRPr="00FA4B2D" w:rsidRDefault="006A3DBC" w:rsidP="00411720">
      <w:pPr>
        <w:pStyle w:val="Prrafodelista"/>
        <w:numPr>
          <w:ilvl w:val="0"/>
          <w:numId w:val="97"/>
        </w:numPr>
        <w:spacing w:after="0" w:line="240" w:lineRule="auto"/>
        <w:jc w:val="both"/>
        <w:rPr>
          <w:rFonts w:cs="Arial"/>
        </w:rPr>
      </w:pPr>
      <w:r w:rsidRPr="00FA4B2D">
        <w:rPr>
          <w:rFonts w:cs="Arial"/>
        </w:rPr>
        <w:t xml:space="preserve">Incorporación de 3 nuevos departamentos al área de intervención: Olancho, Valle y Yoro. </w:t>
      </w:r>
    </w:p>
    <w:p w14:paraId="5295BA5A" w14:textId="77777777" w:rsidR="006A3DBC" w:rsidRPr="00FA4B2D" w:rsidRDefault="006A3DBC" w:rsidP="006A3DBC">
      <w:pPr>
        <w:spacing w:after="0" w:line="240" w:lineRule="auto"/>
        <w:jc w:val="both"/>
        <w:rPr>
          <w:rFonts w:cs="Arial"/>
        </w:rPr>
      </w:pPr>
    </w:p>
    <w:p w14:paraId="551AE769" w14:textId="77777777" w:rsidR="006A3DBC" w:rsidRPr="00FA4B2D" w:rsidRDefault="006A3DBC" w:rsidP="006A3DBC">
      <w:pPr>
        <w:spacing w:after="0" w:line="240" w:lineRule="auto"/>
        <w:jc w:val="both"/>
        <w:rPr>
          <w:rFonts w:cs="Arial"/>
          <w:lang w:val="es-ES_tradnl"/>
        </w:rPr>
      </w:pPr>
      <w:r w:rsidRPr="00FA4B2D">
        <w:rPr>
          <w:rFonts w:cs="Arial"/>
          <w:lang w:val="es-ES_tradnl"/>
        </w:rPr>
        <w:t xml:space="preserve">En relación con los Municipios de Valle, Yoro y Valle se realizó en el mes de diciembre de 2023, un proceso de consulta en el que participaron 205 participantes (41 mujeres y 164 hombres): </w:t>
      </w:r>
    </w:p>
    <w:p w14:paraId="042C8363" w14:textId="77777777" w:rsidR="006A3DBC" w:rsidRPr="00FA4B2D" w:rsidRDefault="006A3DBC" w:rsidP="006A3DBC">
      <w:pPr>
        <w:spacing w:after="0" w:line="240" w:lineRule="auto"/>
        <w:jc w:val="both"/>
        <w:rPr>
          <w:rFonts w:cs="Arial"/>
          <w:lang w:val="es-ES_tradnl"/>
        </w:rPr>
      </w:pPr>
    </w:p>
    <w:p w14:paraId="3AB91115" w14:textId="77777777" w:rsidR="006A3DBC" w:rsidRPr="00FA4B2D" w:rsidRDefault="006A3DBC" w:rsidP="00411720">
      <w:pPr>
        <w:pStyle w:val="Prrafodelista"/>
        <w:numPr>
          <w:ilvl w:val="0"/>
          <w:numId w:val="99"/>
        </w:numPr>
        <w:spacing w:after="60" w:line="240" w:lineRule="auto"/>
        <w:jc w:val="both"/>
        <w:rPr>
          <w:rFonts w:cs="Arial"/>
          <w:lang w:val="es-ES_tradnl"/>
        </w:rPr>
      </w:pPr>
      <w:r w:rsidRPr="00FA4B2D">
        <w:rPr>
          <w:rFonts w:cs="Arial"/>
          <w:lang w:val="es-ES_tradnl"/>
        </w:rPr>
        <w:t>Como ya se indicó en dichos talleres participaron múltiples actores que desde distintas perspectivas identificaron algunos de los siguientes aspectos, relacionados con el diseño del Proyecto y a los potenciales riesgos sociales y mitigaciones y mecanismos efectivos de participación, entre otras consideraciones señaladas al diseño del Proyecto:</w:t>
      </w:r>
    </w:p>
    <w:p w14:paraId="68D11B3B" w14:textId="77777777" w:rsidR="006A3DBC" w:rsidRPr="00FA4B2D" w:rsidRDefault="006A3DBC" w:rsidP="00411720">
      <w:pPr>
        <w:pStyle w:val="Prrafodelista"/>
        <w:numPr>
          <w:ilvl w:val="0"/>
          <w:numId w:val="99"/>
        </w:numPr>
        <w:spacing w:after="60" w:line="240" w:lineRule="auto"/>
        <w:jc w:val="both"/>
        <w:rPr>
          <w:rFonts w:cs="Arial"/>
          <w:lang w:val="es-ES_tradnl"/>
        </w:rPr>
      </w:pPr>
      <w:r w:rsidRPr="00FA4B2D">
        <w:rPr>
          <w:rFonts w:cs="Arial"/>
          <w:lang w:val="es-ES_tradnl"/>
        </w:rPr>
        <w:t xml:space="preserve">Se identifican factores externos y limitaciones que se deben tomar en cuenta en la implementación del Proyecto, dentro de estas: factores económicos como la pobreza, migración de la población joven, inseguridad ciudadana, problemas de débil o nulo acceso a mercados, dificultades de acceso a caminos por las malas condiciones de acceso vial y distancias, falta de acceso a recursos financieros por incumplimiento de requisitos crediticios y garantías, , la desinformación sobre los requisitos que deben cumplir las organizaciones se visualizan como un riesgo para poder aplicar a las ventanillas, por ejemplo la falta de terrenos propios. </w:t>
      </w:r>
    </w:p>
    <w:p w14:paraId="390EA703" w14:textId="77777777" w:rsidR="006A3DBC" w:rsidRPr="00FA4B2D" w:rsidRDefault="006A3DBC" w:rsidP="00411720">
      <w:pPr>
        <w:pStyle w:val="Prrafodelista"/>
        <w:numPr>
          <w:ilvl w:val="0"/>
          <w:numId w:val="99"/>
        </w:numPr>
        <w:spacing w:after="60" w:line="240" w:lineRule="auto"/>
        <w:jc w:val="both"/>
        <w:rPr>
          <w:rFonts w:cs="Arial"/>
          <w:lang w:val="es-ES_tradnl"/>
        </w:rPr>
      </w:pPr>
      <w:r w:rsidRPr="00FA4B2D">
        <w:rPr>
          <w:rFonts w:cs="Arial"/>
          <w:lang w:val="es-ES_tradnl"/>
        </w:rPr>
        <w:t xml:space="preserve">Con respecto al Proyecto, se identifican aspectos positivos, en relación con el diseño dentro de estos:   actividades importantes para logran un desarrollo acelerado de la zona, generación de empleo en la zona, competencias para producir y transformar productos, oportunidades de empleo para reducir la migración, crecimiento económico y comercial en la zona. </w:t>
      </w:r>
    </w:p>
    <w:p w14:paraId="0229EC3F" w14:textId="77777777" w:rsidR="006A3DBC" w:rsidRPr="00FA4B2D" w:rsidRDefault="006A3DBC" w:rsidP="00411720">
      <w:pPr>
        <w:pStyle w:val="Prrafodelista"/>
        <w:numPr>
          <w:ilvl w:val="0"/>
          <w:numId w:val="99"/>
        </w:numPr>
        <w:spacing w:after="60" w:line="240" w:lineRule="auto"/>
        <w:jc w:val="both"/>
        <w:rPr>
          <w:rFonts w:cs="Arial"/>
          <w:lang w:val="es-ES_tradnl"/>
        </w:rPr>
      </w:pPr>
      <w:r w:rsidRPr="00FA4B2D">
        <w:rPr>
          <w:rFonts w:cs="Arial"/>
          <w:lang w:val="es-ES_tradnl"/>
        </w:rPr>
        <w:t xml:space="preserve">En relación con los riesgos sociales e impactos estos se han profundizado a nivel del MGAS, sin embargo, algunos de los principales riesgos se asocian </w:t>
      </w:r>
      <w:r w:rsidRPr="00FA4B2D">
        <w:rPr>
          <w:rFonts w:cs="Arial"/>
          <w:lang w:val="es-ES_tradnl"/>
        </w:rPr>
        <w:lastRenderedPageBreak/>
        <w:t>a: cumplir las expectativas que dejan en la comunidad, dado que han llegado proyectos a la zona y únicamente les han censado sin obtener respuesta (falsas expectativas) lo que demanda fomentar la transparencia, el seguimiento y la rendición de cuentas, débil organización lo que demanda fortalecer capacidades de los productores (as). Falta de participación y motivación de mujeres a participar en las organizaciones productivas.</w:t>
      </w:r>
    </w:p>
    <w:p w14:paraId="1D58CB4F" w14:textId="77777777" w:rsidR="006A3DBC" w:rsidRPr="00FA4B2D" w:rsidRDefault="006A3DBC" w:rsidP="00411720">
      <w:pPr>
        <w:pStyle w:val="Prrafodelista"/>
        <w:numPr>
          <w:ilvl w:val="0"/>
          <w:numId w:val="99"/>
        </w:numPr>
        <w:spacing w:after="60" w:line="240" w:lineRule="auto"/>
        <w:jc w:val="both"/>
        <w:rPr>
          <w:rFonts w:cs="Arial"/>
          <w:lang w:val="es-ES_tradnl"/>
        </w:rPr>
      </w:pPr>
      <w:r w:rsidRPr="00FA4B2D">
        <w:rPr>
          <w:rFonts w:cs="Arial"/>
          <w:lang w:val="es-ES_tradnl"/>
        </w:rPr>
        <w:t>La presencia de organizaciones que trabajan en la zona se identifica como algo positivo a potenciarse en el proyecto, recurso humano (mano de obra calificada), buena ubicación geográfica de algunos de los Municipios, presencia de aliados técnicos en los territorios (HEIFER, Visión Mundial y otros en las zonas). Desarrollar alianzas con escuelas especializadas de agricultura y otras como INFOP y SAG se ve como una medida para fortalecer las capacidades de todas las personas productoras, incluyendo a jóvenes para prevenir que migren</w:t>
      </w:r>
    </w:p>
    <w:p w14:paraId="727C65CC" w14:textId="77777777" w:rsidR="006A3DBC" w:rsidRPr="00FA4B2D" w:rsidRDefault="006A3DBC" w:rsidP="00411720">
      <w:pPr>
        <w:pStyle w:val="Prrafodelista"/>
        <w:numPr>
          <w:ilvl w:val="0"/>
          <w:numId w:val="99"/>
        </w:numPr>
        <w:spacing w:after="60" w:line="240" w:lineRule="auto"/>
        <w:jc w:val="both"/>
        <w:rPr>
          <w:rFonts w:cs="Arial"/>
          <w:lang w:val="es-ES_tradnl"/>
        </w:rPr>
      </w:pPr>
      <w:r w:rsidRPr="00FA4B2D">
        <w:rPr>
          <w:rFonts w:cs="Arial"/>
          <w:lang w:val="es-ES_tradnl"/>
        </w:rPr>
        <w:t xml:space="preserve">Con respecto a la participación, la posibilidad de buscar inclusión de mujeres en las organizaciones a través del Proyecto, desarrollar capacitaciones para mejorar las capacidades de los miembros de organizaciones de productores, incluyendo personas indígenas y mujeres. Asegurar la participación de al menos 30% de mujeres, se ve como una medida de mitigación y una acción afirmativa para promover la participación en las iniciativas productivas. </w:t>
      </w:r>
    </w:p>
    <w:p w14:paraId="295A3A9F" w14:textId="77777777" w:rsidR="006A3DBC" w:rsidRPr="00FA4B2D" w:rsidRDefault="006A3DBC" w:rsidP="00411720">
      <w:pPr>
        <w:pStyle w:val="Prrafodelista"/>
        <w:numPr>
          <w:ilvl w:val="0"/>
          <w:numId w:val="99"/>
        </w:numPr>
        <w:spacing w:after="60" w:line="240" w:lineRule="auto"/>
        <w:jc w:val="both"/>
        <w:rPr>
          <w:rFonts w:cs="Arial"/>
          <w:lang w:val="es-ES_tradnl"/>
        </w:rPr>
      </w:pPr>
      <w:r w:rsidRPr="00FA4B2D">
        <w:rPr>
          <w:rFonts w:cs="Arial"/>
          <w:lang w:val="es-ES_tradnl"/>
        </w:rPr>
        <w:t xml:space="preserve">Apoyar a los pueblos indígenas que tienen pequeñas agrupaciones de productores y no solo a personas mestizas se valora como buena práctica para el Proyecto.  La capacitación es necesaria para el desarrollo de las personas. Incentivar la participación de los jóvenes en las actividades del Proyecto, se ve como una oportunidad positiva. Es esencial los controles para cada una de las etapas del proyecto e informar adecuadamente sobre lo que se puede estar haciendo mal, entre otros aspectos que se consideran parte de las medidas de mitigación sugeridas en el MGAS. </w:t>
      </w:r>
    </w:p>
    <w:p w14:paraId="0587B4D1" w14:textId="77777777" w:rsidR="006A3DBC" w:rsidRPr="00FA4B2D" w:rsidRDefault="006A3DBC" w:rsidP="006A3DBC">
      <w:pPr>
        <w:spacing w:after="0" w:line="240" w:lineRule="auto"/>
        <w:jc w:val="both"/>
        <w:rPr>
          <w:rFonts w:cs="Arial"/>
        </w:rPr>
      </w:pPr>
    </w:p>
    <w:p w14:paraId="42305B3E" w14:textId="77777777" w:rsidR="006A3DBC" w:rsidRPr="00FA4B2D" w:rsidRDefault="006A3DBC" w:rsidP="006A3DBC">
      <w:pPr>
        <w:pStyle w:val="Prrafodelista"/>
        <w:spacing w:after="0" w:line="240" w:lineRule="auto"/>
        <w:jc w:val="both"/>
        <w:rPr>
          <w:rFonts w:cs="Arial"/>
        </w:rPr>
      </w:pPr>
    </w:p>
    <w:p w14:paraId="6B263D3E" w14:textId="13575B4C" w:rsidR="00F94AC4" w:rsidRDefault="00F94AC4" w:rsidP="00F94AC4">
      <w:pPr>
        <w:pStyle w:val="Descripcin"/>
        <w:keepNext/>
      </w:pPr>
      <w:bookmarkStart w:id="827" w:name="_Toc202455481"/>
      <w:r>
        <w:lastRenderedPageBreak/>
        <w:t xml:space="preserve">Tabla </w:t>
      </w:r>
      <w:r>
        <w:fldChar w:fldCharType="begin"/>
      </w:r>
      <w:r>
        <w:instrText xml:space="preserve"> SEQ Tabla \* ARABIC </w:instrText>
      </w:r>
      <w:r>
        <w:fldChar w:fldCharType="separate"/>
      </w:r>
      <w:r w:rsidR="000E6D86">
        <w:rPr>
          <w:noProof/>
        </w:rPr>
        <w:t>55</w:t>
      </w:r>
      <w:r>
        <w:fldChar w:fldCharType="end"/>
      </w:r>
      <w:r>
        <w:t xml:space="preserve">: </w:t>
      </w:r>
      <w:r w:rsidRPr="00A74784">
        <w:t>Resumen de Impactos Positivos en las Principales Cadenas Productivas del COMRURAL III</w:t>
      </w:r>
      <w:bookmarkEnd w:id="827"/>
    </w:p>
    <w:tbl>
      <w:tblPr>
        <w:tblStyle w:val="TableGrid1"/>
        <w:tblW w:w="10065" w:type="dxa"/>
        <w:tblLook w:val="04A0" w:firstRow="1" w:lastRow="0" w:firstColumn="1" w:lastColumn="0" w:noHBand="0" w:noVBand="1"/>
      </w:tblPr>
      <w:tblGrid>
        <w:gridCol w:w="1985"/>
        <w:gridCol w:w="4105"/>
        <w:gridCol w:w="3975"/>
      </w:tblGrid>
      <w:tr w:rsidR="00F94AC4" w:rsidRPr="00F94AC4" w14:paraId="0917C80C" w14:textId="77777777" w:rsidTr="00C24D0B">
        <w:trPr>
          <w:tblHeader/>
        </w:trPr>
        <w:tc>
          <w:tcPr>
            <w:tcW w:w="1985" w:type="dxa"/>
            <w:shd w:val="clear" w:color="auto" w:fill="5CC5DA"/>
            <w:hideMark/>
          </w:tcPr>
          <w:p w14:paraId="48852C69" w14:textId="77777777" w:rsidR="006A3DBC" w:rsidRPr="00F94AC4" w:rsidRDefault="006A3DBC" w:rsidP="005F4A92">
            <w:pPr>
              <w:jc w:val="center"/>
              <w:rPr>
                <w:rFonts w:cs="Arial"/>
                <w:b/>
                <w:bCs/>
                <w:sz w:val="18"/>
                <w:szCs w:val="18"/>
              </w:rPr>
            </w:pPr>
            <w:r w:rsidRPr="00F94AC4">
              <w:rPr>
                <w:rFonts w:cs="Arial"/>
                <w:b/>
                <w:bCs/>
                <w:sz w:val="18"/>
                <w:szCs w:val="18"/>
              </w:rPr>
              <w:t>Cadena Productiva</w:t>
            </w:r>
          </w:p>
        </w:tc>
        <w:tc>
          <w:tcPr>
            <w:tcW w:w="4105" w:type="dxa"/>
            <w:shd w:val="clear" w:color="auto" w:fill="5CC5DA"/>
            <w:hideMark/>
          </w:tcPr>
          <w:p w14:paraId="38058C4A" w14:textId="77777777" w:rsidR="006A3DBC" w:rsidRPr="00F94AC4" w:rsidRDefault="006A3DBC" w:rsidP="005F4A92">
            <w:pPr>
              <w:jc w:val="center"/>
              <w:rPr>
                <w:rFonts w:cs="Arial"/>
                <w:b/>
                <w:sz w:val="18"/>
                <w:szCs w:val="18"/>
              </w:rPr>
            </w:pPr>
            <w:r w:rsidRPr="00F94AC4">
              <w:rPr>
                <w:rFonts w:cs="Arial"/>
                <w:b/>
                <w:sz w:val="18"/>
                <w:szCs w:val="18"/>
              </w:rPr>
              <w:t>Impactos Sociales Positivos</w:t>
            </w:r>
          </w:p>
        </w:tc>
        <w:tc>
          <w:tcPr>
            <w:tcW w:w="3975" w:type="dxa"/>
            <w:shd w:val="clear" w:color="auto" w:fill="5CC5DA"/>
            <w:hideMark/>
          </w:tcPr>
          <w:p w14:paraId="47E3CC0C" w14:textId="77777777" w:rsidR="006A3DBC" w:rsidRPr="00F94AC4" w:rsidRDefault="006A3DBC" w:rsidP="005F4A92">
            <w:pPr>
              <w:jc w:val="center"/>
              <w:rPr>
                <w:rFonts w:cs="Arial"/>
                <w:b/>
                <w:sz w:val="18"/>
                <w:szCs w:val="18"/>
              </w:rPr>
            </w:pPr>
            <w:r w:rsidRPr="00F94AC4">
              <w:rPr>
                <w:rFonts w:cs="Arial"/>
                <w:b/>
                <w:sz w:val="18"/>
                <w:szCs w:val="18"/>
              </w:rPr>
              <w:t>Impactos Ambientales Positivos</w:t>
            </w:r>
          </w:p>
        </w:tc>
      </w:tr>
      <w:tr w:rsidR="00F94AC4" w:rsidRPr="00F94AC4" w14:paraId="5133BBEE" w14:textId="77777777" w:rsidTr="005F4A92">
        <w:trPr>
          <w:trHeight w:val="6299"/>
        </w:trPr>
        <w:tc>
          <w:tcPr>
            <w:tcW w:w="1985" w:type="dxa"/>
          </w:tcPr>
          <w:p w14:paraId="7062261C" w14:textId="77777777" w:rsidR="006A3DBC" w:rsidRPr="00F94AC4" w:rsidRDefault="006A3DBC" w:rsidP="005F4A92">
            <w:pPr>
              <w:rPr>
                <w:rFonts w:cs="Arial"/>
                <w:sz w:val="18"/>
                <w:szCs w:val="18"/>
              </w:rPr>
            </w:pPr>
            <w:r w:rsidRPr="00F94AC4">
              <w:rPr>
                <w:rFonts w:cs="Arial"/>
                <w:sz w:val="18"/>
                <w:szCs w:val="18"/>
              </w:rPr>
              <w:t>Café especial</w:t>
            </w:r>
          </w:p>
          <w:p w14:paraId="005CF165" w14:textId="77777777" w:rsidR="006A3DBC" w:rsidRPr="00F94AC4" w:rsidRDefault="006A3DBC" w:rsidP="005F4A92">
            <w:pPr>
              <w:rPr>
                <w:rFonts w:cs="Arial"/>
                <w:sz w:val="18"/>
                <w:szCs w:val="18"/>
              </w:rPr>
            </w:pPr>
          </w:p>
        </w:tc>
        <w:tc>
          <w:tcPr>
            <w:tcW w:w="4105" w:type="dxa"/>
            <w:hideMark/>
          </w:tcPr>
          <w:p w14:paraId="08A54E7E" w14:textId="77777777" w:rsidR="006A3DBC" w:rsidRPr="00F94AC4" w:rsidRDefault="006A3DBC" w:rsidP="005F4A92">
            <w:pPr>
              <w:pStyle w:val="Prrafodelista"/>
              <w:numPr>
                <w:ilvl w:val="0"/>
                <w:numId w:val="15"/>
              </w:numPr>
              <w:jc w:val="both"/>
              <w:rPr>
                <w:rFonts w:cs="Arial"/>
                <w:sz w:val="18"/>
                <w:szCs w:val="18"/>
              </w:rPr>
            </w:pPr>
            <w:r w:rsidRPr="00F94AC4">
              <w:rPr>
                <w:rFonts w:cs="Arial"/>
                <w:sz w:val="18"/>
                <w:szCs w:val="18"/>
              </w:rPr>
              <w:t>Aumento de la</w:t>
            </w:r>
            <w:r w:rsidRPr="00F94AC4">
              <w:rPr>
                <w:rFonts w:cs="Arial"/>
                <w:b/>
                <w:sz w:val="18"/>
                <w:szCs w:val="18"/>
              </w:rPr>
              <w:t xml:space="preserve"> </w:t>
            </w:r>
            <w:r w:rsidRPr="00F94AC4">
              <w:rPr>
                <w:rFonts w:cs="Arial"/>
                <w:sz w:val="18"/>
                <w:szCs w:val="18"/>
              </w:rPr>
              <w:t>membrecía, equivalente a más familias mejorando sus ingresos y competencias al participar en OPRs con mejoramiento en la capacidad instalada.</w:t>
            </w:r>
          </w:p>
          <w:p w14:paraId="48C0DDFD" w14:textId="77777777" w:rsidR="006A3DBC" w:rsidRPr="00F94AC4" w:rsidRDefault="006A3DBC" w:rsidP="005F4A92">
            <w:pPr>
              <w:pStyle w:val="Prrafodelista"/>
              <w:numPr>
                <w:ilvl w:val="0"/>
                <w:numId w:val="15"/>
              </w:numPr>
              <w:jc w:val="both"/>
              <w:rPr>
                <w:rFonts w:cs="Arial"/>
                <w:sz w:val="18"/>
                <w:szCs w:val="18"/>
              </w:rPr>
            </w:pPr>
            <w:r w:rsidRPr="00F94AC4">
              <w:rPr>
                <w:rFonts w:cs="Arial"/>
                <w:sz w:val="18"/>
                <w:szCs w:val="18"/>
              </w:rPr>
              <w:t>Mejoramiento de la economía familiar, por el incremento de los ingresos, debido a los premios otorgados por los sellos de certificación de cafés especiales.</w:t>
            </w:r>
          </w:p>
          <w:p w14:paraId="2A110D31" w14:textId="77777777" w:rsidR="006A3DBC" w:rsidRPr="00F94AC4" w:rsidRDefault="006A3DBC" w:rsidP="005F4A92">
            <w:pPr>
              <w:pStyle w:val="Prrafodelista"/>
              <w:numPr>
                <w:ilvl w:val="0"/>
                <w:numId w:val="15"/>
              </w:numPr>
              <w:jc w:val="both"/>
              <w:rPr>
                <w:rFonts w:cs="Arial"/>
                <w:sz w:val="18"/>
                <w:szCs w:val="18"/>
              </w:rPr>
            </w:pPr>
            <w:r w:rsidRPr="00F94AC4">
              <w:rPr>
                <w:rFonts w:cs="Arial"/>
                <w:sz w:val="18"/>
                <w:szCs w:val="18"/>
              </w:rPr>
              <w:t>Alta generación de empleos temporales y permanentes a nivel de fincas y centrales de beneficiado.</w:t>
            </w:r>
          </w:p>
          <w:p w14:paraId="6B33D6A2" w14:textId="77777777" w:rsidR="006A3DBC" w:rsidRPr="00F94AC4" w:rsidRDefault="006A3DBC" w:rsidP="005F4A92">
            <w:pPr>
              <w:pStyle w:val="Prrafodelista"/>
              <w:numPr>
                <w:ilvl w:val="0"/>
                <w:numId w:val="15"/>
              </w:numPr>
              <w:jc w:val="both"/>
              <w:rPr>
                <w:rFonts w:cs="Arial"/>
                <w:sz w:val="18"/>
                <w:szCs w:val="18"/>
              </w:rPr>
            </w:pPr>
            <w:r w:rsidRPr="00F94AC4">
              <w:rPr>
                <w:rFonts w:cs="Arial"/>
                <w:sz w:val="18"/>
                <w:szCs w:val="18"/>
              </w:rPr>
              <w:t>Oportunidades de capacitación en centros nacionales y el extranjero para jóvenes con cargos técnicos y administrativos de algunas OPRs.</w:t>
            </w:r>
          </w:p>
          <w:p w14:paraId="3EBDE9C8" w14:textId="77777777" w:rsidR="006A3DBC" w:rsidRPr="00F94AC4" w:rsidRDefault="006A3DBC" w:rsidP="005F4A92">
            <w:pPr>
              <w:pStyle w:val="Prrafodelista"/>
              <w:numPr>
                <w:ilvl w:val="0"/>
                <w:numId w:val="15"/>
              </w:numPr>
              <w:jc w:val="both"/>
              <w:rPr>
                <w:rFonts w:cs="Arial"/>
                <w:sz w:val="18"/>
                <w:szCs w:val="18"/>
              </w:rPr>
            </w:pPr>
            <w:r w:rsidRPr="00F94AC4">
              <w:rPr>
                <w:rFonts w:cs="Arial"/>
                <w:sz w:val="18"/>
                <w:szCs w:val="18"/>
              </w:rPr>
              <w:t>Mayor participación de mujeres en cargos de toma de decisión en más del 50% de OPRs.</w:t>
            </w:r>
          </w:p>
          <w:p w14:paraId="16BE6AE9" w14:textId="77777777" w:rsidR="006A3DBC" w:rsidRPr="00F94AC4" w:rsidRDefault="006A3DBC" w:rsidP="005F4A92">
            <w:pPr>
              <w:pStyle w:val="Prrafodelista"/>
              <w:numPr>
                <w:ilvl w:val="0"/>
                <w:numId w:val="15"/>
              </w:numPr>
              <w:jc w:val="both"/>
              <w:rPr>
                <w:rFonts w:cs="Arial"/>
                <w:sz w:val="18"/>
                <w:szCs w:val="18"/>
              </w:rPr>
            </w:pPr>
            <w:r w:rsidRPr="00F94AC4">
              <w:rPr>
                <w:rFonts w:cs="Arial"/>
                <w:sz w:val="18"/>
                <w:szCs w:val="18"/>
              </w:rPr>
              <w:t>Las empresas (OPRs) apoyan a sus socios y familias con beneficios en salud, educación entre otros.</w:t>
            </w:r>
          </w:p>
          <w:p w14:paraId="22182A8A" w14:textId="77777777" w:rsidR="006A3DBC" w:rsidRPr="00F94AC4" w:rsidRDefault="006A3DBC" w:rsidP="005F4A92">
            <w:pPr>
              <w:pStyle w:val="Prrafodelista"/>
              <w:numPr>
                <w:ilvl w:val="0"/>
                <w:numId w:val="15"/>
              </w:numPr>
              <w:jc w:val="both"/>
              <w:rPr>
                <w:rFonts w:cs="Arial"/>
                <w:sz w:val="18"/>
                <w:szCs w:val="18"/>
              </w:rPr>
            </w:pPr>
            <w:r w:rsidRPr="00F94AC4">
              <w:rPr>
                <w:rFonts w:cs="Arial"/>
                <w:sz w:val="18"/>
                <w:szCs w:val="18"/>
              </w:rPr>
              <w:t>Las OPRs están sensibilizadas y cumplen las condiciones laborales con sus empleados (Salario, seguridad ocupacional) y se ejecutan acciones para erradicar el trabajo infantil en las fincas.</w:t>
            </w:r>
          </w:p>
          <w:p w14:paraId="1424A4F6" w14:textId="77777777" w:rsidR="006A3DBC" w:rsidRPr="00F94AC4" w:rsidRDefault="006A3DBC" w:rsidP="005F4A92">
            <w:pPr>
              <w:pStyle w:val="Prrafodelista"/>
              <w:numPr>
                <w:ilvl w:val="0"/>
                <w:numId w:val="15"/>
              </w:numPr>
              <w:jc w:val="both"/>
              <w:rPr>
                <w:rFonts w:cs="Arial"/>
                <w:sz w:val="18"/>
                <w:szCs w:val="18"/>
              </w:rPr>
            </w:pPr>
            <w:r w:rsidRPr="00F94AC4">
              <w:rPr>
                <w:rFonts w:cs="Arial"/>
                <w:sz w:val="18"/>
                <w:szCs w:val="18"/>
              </w:rPr>
              <w:t>OPRs incluyen en sus agendas medidas de auditoria en sus empresas (Social, Financiera, certificaciones y rendición de cuentas).</w:t>
            </w:r>
          </w:p>
        </w:tc>
        <w:tc>
          <w:tcPr>
            <w:tcW w:w="3975" w:type="dxa"/>
            <w:hideMark/>
          </w:tcPr>
          <w:p w14:paraId="5CD92704" w14:textId="77777777" w:rsidR="006A3DBC" w:rsidRPr="00F94AC4" w:rsidRDefault="006A3DBC" w:rsidP="005F4A92">
            <w:pPr>
              <w:pStyle w:val="Prrafodelista"/>
              <w:numPr>
                <w:ilvl w:val="0"/>
                <w:numId w:val="16"/>
              </w:numPr>
              <w:jc w:val="both"/>
              <w:rPr>
                <w:rFonts w:cs="Arial"/>
                <w:sz w:val="18"/>
                <w:szCs w:val="18"/>
              </w:rPr>
            </w:pPr>
            <w:r w:rsidRPr="00F94AC4">
              <w:rPr>
                <w:rFonts w:cs="Arial"/>
                <w:sz w:val="18"/>
                <w:szCs w:val="18"/>
              </w:rPr>
              <w:t>Mejora sustancial en el manejo y tratamiento de residuos sólidos y líquidos, reduciendo significativamente la contaminación del ambiente por aguas mieles y pulpa.</w:t>
            </w:r>
          </w:p>
          <w:p w14:paraId="11BAA065" w14:textId="77777777" w:rsidR="006A3DBC" w:rsidRPr="00F94AC4" w:rsidRDefault="006A3DBC" w:rsidP="005F4A92">
            <w:pPr>
              <w:pStyle w:val="Prrafodelista"/>
              <w:numPr>
                <w:ilvl w:val="0"/>
                <w:numId w:val="16"/>
              </w:numPr>
              <w:jc w:val="both"/>
              <w:rPr>
                <w:rFonts w:cs="Arial"/>
                <w:sz w:val="18"/>
                <w:szCs w:val="18"/>
              </w:rPr>
            </w:pPr>
            <w:r w:rsidRPr="00F94AC4">
              <w:rPr>
                <w:rFonts w:cs="Arial"/>
                <w:sz w:val="18"/>
                <w:szCs w:val="18"/>
              </w:rPr>
              <w:t>Reducción del uso de material combustible (leña, casulla) en hornos, al instalar secadoras solares, en algunas OPRs.</w:t>
            </w:r>
          </w:p>
          <w:p w14:paraId="3FA7F14C" w14:textId="77777777" w:rsidR="006A3DBC" w:rsidRPr="00F94AC4" w:rsidRDefault="006A3DBC" w:rsidP="005F4A92">
            <w:pPr>
              <w:pStyle w:val="Prrafodelista"/>
              <w:numPr>
                <w:ilvl w:val="0"/>
                <w:numId w:val="16"/>
              </w:numPr>
              <w:jc w:val="both"/>
              <w:rPr>
                <w:rFonts w:cs="Arial"/>
                <w:sz w:val="18"/>
                <w:szCs w:val="18"/>
              </w:rPr>
            </w:pPr>
            <w:r w:rsidRPr="00F94AC4">
              <w:rPr>
                <w:rFonts w:cs="Arial"/>
                <w:sz w:val="18"/>
                <w:szCs w:val="18"/>
              </w:rPr>
              <w:t>Disminución tangible de algunas OPRs en el uso de fertilizantes químicos, al instalar y poner en funcionamiento fábricas de abonos orgánicos.</w:t>
            </w:r>
          </w:p>
          <w:p w14:paraId="28E0C9B3" w14:textId="77777777" w:rsidR="006A3DBC" w:rsidRPr="00F94AC4" w:rsidRDefault="006A3DBC" w:rsidP="005F4A92">
            <w:pPr>
              <w:pStyle w:val="Prrafodelista"/>
              <w:numPr>
                <w:ilvl w:val="0"/>
                <w:numId w:val="16"/>
              </w:numPr>
              <w:jc w:val="both"/>
              <w:rPr>
                <w:rFonts w:cs="Arial"/>
                <w:sz w:val="18"/>
                <w:szCs w:val="18"/>
              </w:rPr>
            </w:pPr>
            <w:r w:rsidRPr="00F94AC4">
              <w:rPr>
                <w:rFonts w:cs="Arial"/>
                <w:sz w:val="18"/>
                <w:szCs w:val="18"/>
              </w:rPr>
              <w:t>Contribución de algunas OPRs con el ambiente al generar energía limpia a través de la instalación de paneles solares y otras estructuras como biodigestores.</w:t>
            </w:r>
          </w:p>
          <w:p w14:paraId="52A6B0BE" w14:textId="77777777" w:rsidR="006A3DBC" w:rsidRPr="00F94AC4" w:rsidRDefault="006A3DBC" w:rsidP="005F4A92">
            <w:pPr>
              <w:pStyle w:val="Prrafodelista"/>
              <w:numPr>
                <w:ilvl w:val="0"/>
                <w:numId w:val="16"/>
              </w:numPr>
              <w:jc w:val="both"/>
              <w:rPr>
                <w:rFonts w:cs="Arial"/>
                <w:sz w:val="18"/>
                <w:szCs w:val="18"/>
              </w:rPr>
            </w:pPr>
            <w:r w:rsidRPr="00F94AC4">
              <w:rPr>
                <w:rFonts w:cs="Arial"/>
                <w:sz w:val="18"/>
                <w:szCs w:val="18"/>
              </w:rPr>
              <w:t xml:space="preserve">Adopción de equipo más eficiente en el uso de leña como combustible para el secado del café. </w:t>
            </w:r>
          </w:p>
          <w:p w14:paraId="5FD74542" w14:textId="77777777" w:rsidR="006A3DBC" w:rsidRPr="00F94AC4" w:rsidRDefault="006A3DBC" w:rsidP="005F4A92">
            <w:pPr>
              <w:pStyle w:val="Prrafodelista"/>
              <w:numPr>
                <w:ilvl w:val="0"/>
                <w:numId w:val="16"/>
              </w:numPr>
              <w:jc w:val="both"/>
              <w:rPr>
                <w:rFonts w:cs="Arial"/>
                <w:sz w:val="18"/>
                <w:szCs w:val="18"/>
              </w:rPr>
            </w:pPr>
            <w:r w:rsidRPr="00F94AC4">
              <w:rPr>
                <w:rFonts w:cs="Arial"/>
                <w:sz w:val="18"/>
                <w:szCs w:val="18"/>
              </w:rPr>
              <w:t>Inversiones en fincas (letrinas, áreas de descanso, etc.) para mejorar las condiciones de los trabajadores.</w:t>
            </w:r>
          </w:p>
          <w:p w14:paraId="6088E5D1" w14:textId="77777777" w:rsidR="006A3DBC" w:rsidRPr="00F94AC4" w:rsidRDefault="006A3DBC" w:rsidP="005F4A92">
            <w:pPr>
              <w:pStyle w:val="Prrafodelista"/>
              <w:numPr>
                <w:ilvl w:val="0"/>
                <w:numId w:val="16"/>
              </w:numPr>
              <w:jc w:val="both"/>
              <w:rPr>
                <w:rFonts w:cs="Arial"/>
                <w:sz w:val="18"/>
                <w:szCs w:val="18"/>
              </w:rPr>
            </w:pPr>
            <w:r w:rsidRPr="00F94AC4">
              <w:rPr>
                <w:rFonts w:cs="Arial"/>
                <w:sz w:val="18"/>
                <w:szCs w:val="18"/>
              </w:rPr>
              <w:t>Adopción de equipo más eficiente en el uso agua en el despulpado de café (Reutilización del agua).</w:t>
            </w:r>
          </w:p>
          <w:p w14:paraId="7EE571E4" w14:textId="77777777" w:rsidR="006A3DBC" w:rsidRPr="00F94AC4" w:rsidRDefault="006A3DBC" w:rsidP="005F4A92">
            <w:pPr>
              <w:pStyle w:val="Prrafodelista"/>
              <w:numPr>
                <w:ilvl w:val="0"/>
                <w:numId w:val="16"/>
              </w:numPr>
              <w:jc w:val="both"/>
              <w:rPr>
                <w:rFonts w:cs="Arial"/>
                <w:sz w:val="18"/>
                <w:szCs w:val="18"/>
              </w:rPr>
            </w:pPr>
            <w:r w:rsidRPr="00F94AC4">
              <w:rPr>
                <w:rFonts w:cs="Arial"/>
                <w:sz w:val="18"/>
                <w:szCs w:val="18"/>
              </w:rPr>
              <w:t>Alta promoción y aprobación por parte de las OPRS de sellos de certificación de café especiales para exportación.</w:t>
            </w:r>
          </w:p>
          <w:p w14:paraId="434F3868" w14:textId="77777777" w:rsidR="006A3DBC" w:rsidRPr="00F94AC4" w:rsidRDefault="006A3DBC" w:rsidP="005F4A92">
            <w:pPr>
              <w:pStyle w:val="Prrafodelista"/>
              <w:ind w:left="360"/>
              <w:jc w:val="both"/>
              <w:rPr>
                <w:rFonts w:cs="Arial"/>
                <w:sz w:val="18"/>
                <w:szCs w:val="18"/>
              </w:rPr>
            </w:pPr>
          </w:p>
        </w:tc>
      </w:tr>
      <w:tr w:rsidR="00F94AC4" w:rsidRPr="00F94AC4" w14:paraId="59B07A13" w14:textId="77777777" w:rsidTr="005F4A92">
        <w:tc>
          <w:tcPr>
            <w:tcW w:w="10065" w:type="dxa"/>
            <w:gridSpan w:val="3"/>
            <w:shd w:val="clear" w:color="auto" w:fill="FFF2CC" w:themeFill="accent4" w:themeFillTint="33"/>
          </w:tcPr>
          <w:p w14:paraId="48BD849C" w14:textId="77777777" w:rsidR="006A3DBC" w:rsidRPr="00F94AC4" w:rsidRDefault="006A3DBC" w:rsidP="005F4A92">
            <w:pPr>
              <w:pStyle w:val="Prrafodelista"/>
              <w:ind w:left="0"/>
              <w:jc w:val="both"/>
              <w:rPr>
                <w:rFonts w:cs="Arial"/>
                <w:sz w:val="18"/>
                <w:szCs w:val="18"/>
              </w:rPr>
            </w:pPr>
            <w:r w:rsidRPr="00F94AC4">
              <w:rPr>
                <w:rFonts w:cs="Arial"/>
                <w:sz w:val="18"/>
                <w:szCs w:val="18"/>
              </w:rPr>
              <w:t xml:space="preserve">Impactos positivos para el ComRural III: Consolidar los procesos descritos y ampliar la oferta de atención según niveles de desarrollo empresarial alcanzados por las OPRs en las fases anteriores. Es importante mencionar que los cafés especiales representaron el mayor porcentaje de planes de negocio ejecutados (59%). En esta cadena y especialmente en la zona centro occidente del país existe un potencial de inversión y generación de empleo mediante nuevas inversiones que permitan un incremento de la productividad pero de igual forma un aumento de las competencias en el manejo socioambiental, con inversiones que desarrollen innovación tecnológica y valor agregado pero con responsabilidad social y ambiental (manejo correcto de residuos sólidos y líquidos, uso eficiente del agua, no contaminación de fuentes de agua, siembra bajo sombra, entre otros) . </w:t>
            </w:r>
          </w:p>
          <w:p w14:paraId="299524C6" w14:textId="77777777" w:rsidR="006A3DBC" w:rsidRPr="00F94AC4" w:rsidRDefault="006A3DBC" w:rsidP="005F4A92">
            <w:pPr>
              <w:pStyle w:val="Prrafodelista"/>
              <w:ind w:left="0"/>
              <w:jc w:val="both"/>
              <w:rPr>
                <w:rFonts w:cs="Arial"/>
                <w:sz w:val="18"/>
                <w:szCs w:val="18"/>
              </w:rPr>
            </w:pPr>
            <w:r w:rsidRPr="00F94AC4">
              <w:rPr>
                <w:rFonts w:cs="Arial"/>
                <w:sz w:val="18"/>
                <w:szCs w:val="18"/>
              </w:rPr>
              <w:t xml:space="preserve">La cadena productiva del café representa y representara especial importancia tomando en cuenta que cerca de 120,000 familias se dedican a esta actividad, representando más del 5% del producto interno bruto a nivel nacional y más del 30% del producto interno agrícola (PBI).  </w:t>
            </w:r>
          </w:p>
        </w:tc>
      </w:tr>
      <w:tr w:rsidR="00F94AC4" w:rsidRPr="00F94AC4" w14:paraId="0C1AE45A" w14:textId="77777777" w:rsidTr="005F4A92">
        <w:tc>
          <w:tcPr>
            <w:tcW w:w="1985" w:type="dxa"/>
          </w:tcPr>
          <w:p w14:paraId="624802F1" w14:textId="77777777" w:rsidR="006A3DBC" w:rsidRPr="00F94AC4" w:rsidRDefault="006A3DBC" w:rsidP="005F4A92">
            <w:pPr>
              <w:rPr>
                <w:rFonts w:cs="Arial"/>
                <w:sz w:val="18"/>
                <w:szCs w:val="18"/>
              </w:rPr>
            </w:pPr>
            <w:r w:rsidRPr="00F94AC4">
              <w:rPr>
                <w:rFonts w:cs="Arial"/>
                <w:sz w:val="18"/>
                <w:szCs w:val="18"/>
              </w:rPr>
              <w:t>Hortalizas</w:t>
            </w:r>
          </w:p>
          <w:p w14:paraId="7FA5C1CC" w14:textId="77777777" w:rsidR="006A3DBC" w:rsidRPr="00F94AC4" w:rsidRDefault="006A3DBC" w:rsidP="005F4A92">
            <w:pPr>
              <w:rPr>
                <w:rFonts w:cs="Arial"/>
                <w:sz w:val="18"/>
                <w:szCs w:val="18"/>
              </w:rPr>
            </w:pPr>
          </w:p>
        </w:tc>
        <w:tc>
          <w:tcPr>
            <w:tcW w:w="4105" w:type="dxa"/>
            <w:hideMark/>
          </w:tcPr>
          <w:p w14:paraId="15089EAE" w14:textId="77777777" w:rsidR="006A3DBC" w:rsidRPr="00F94AC4" w:rsidRDefault="006A3DBC" w:rsidP="005F4A92">
            <w:pPr>
              <w:pStyle w:val="Prrafodelista"/>
              <w:numPr>
                <w:ilvl w:val="0"/>
                <w:numId w:val="15"/>
              </w:numPr>
              <w:jc w:val="both"/>
              <w:rPr>
                <w:rFonts w:cs="Arial"/>
                <w:sz w:val="18"/>
                <w:szCs w:val="18"/>
              </w:rPr>
            </w:pPr>
            <w:r w:rsidRPr="00F94AC4">
              <w:rPr>
                <w:rFonts w:cs="Arial"/>
                <w:sz w:val="18"/>
                <w:szCs w:val="18"/>
              </w:rPr>
              <w:t>Fortalecimiento de la membrecía de las OPRs hortícolas, ya que las mejoras realizadas en la infraestructura productiva, atrae más productoras y productores a formar parte de las organizaciones de productores.</w:t>
            </w:r>
          </w:p>
          <w:p w14:paraId="06BC3E86" w14:textId="77777777" w:rsidR="006A3DBC" w:rsidRPr="00F94AC4" w:rsidRDefault="006A3DBC" w:rsidP="005F4A92">
            <w:pPr>
              <w:pStyle w:val="Prrafodelista"/>
              <w:numPr>
                <w:ilvl w:val="0"/>
                <w:numId w:val="15"/>
              </w:numPr>
              <w:jc w:val="both"/>
              <w:rPr>
                <w:rFonts w:cs="Arial"/>
                <w:sz w:val="18"/>
                <w:szCs w:val="18"/>
              </w:rPr>
            </w:pPr>
            <w:r w:rsidRPr="00F94AC4">
              <w:rPr>
                <w:rFonts w:cs="Arial"/>
                <w:sz w:val="18"/>
                <w:szCs w:val="18"/>
              </w:rPr>
              <w:t>Se han abierto espacios para la participación de mujeres y jóvenes a través de la generación de empleos y la implementación de iniciativas de emprendimiento empresarial.</w:t>
            </w:r>
          </w:p>
          <w:p w14:paraId="7EB74ED4" w14:textId="77777777" w:rsidR="006A3DBC" w:rsidRPr="00F94AC4" w:rsidRDefault="006A3DBC" w:rsidP="005F4A92">
            <w:pPr>
              <w:pStyle w:val="Prrafodelista"/>
              <w:numPr>
                <w:ilvl w:val="0"/>
                <w:numId w:val="15"/>
              </w:numPr>
              <w:jc w:val="both"/>
              <w:rPr>
                <w:rFonts w:cs="Arial"/>
                <w:sz w:val="18"/>
                <w:szCs w:val="18"/>
              </w:rPr>
            </w:pPr>
            <w:r w:rsidRPr="00F94AC4">
              <w:rPr>
                <w:rFonts w:cs="Arial"/>
                <w:sz w:val="18"/>
                <w:szCs w:val="18"/>
              </w:rPr>
              <w:t>Mejoramiento de la economía familiar por el aumento de ingresos en la venta de vegetales de alto valor y la disminución en el rechazo de estos, en los supermercados por Buenas Prácticas Agrícolas (BPA) implementadas.</w:t>
            </w:r>
          </w:p>
          <w:p w14:paraId="5958050A" w14:textId="77777777" w:rsidR="006A3DBC" w:rsidRPr="00F94AC4" w:rsidRDefault="006A3DBC" w:rsidP="005F4A92">
            <w:pPr>
              <w:pStyle w:val="Prrafodelista"/>
              <w:numPr>
                <w:ilvl w:val="0"/>
                <w:numId w:val="15"/>
              </w:numPr>
              <w:jc w:val="both"/>
              <w:rPr>
                <w:rFonts w:cs="Arial"/>
                <w:sz w:val="18"/>
                <w:szCs w:val="18"/>
              </w:rPr>
            </w:pPr>
            <w:r w:rsidRPr="00F94AC4">
              <w:rPr>
                <w:rFonts w:cs="Arial"/>
                <w:sz w:val="18"/>
                <w:szCs w:val="18"/>
              </w:rPr>
              <w:lastRenderedPageBreak/>
              <w:t>Mantenimiento de precios a la producción de los socios en época baja y alta, producto de las alianzas estratégicas impulsadas por el modelo de ComRural.</w:t>
            </w:r>
          </w:p>
          <w:p w14:paraId="20C62B60" w14:textId="77777777" w:rsidR="006A3DBC" w:rsidRPr="00F94AC4" w:rsidRDefault="006A3DBC" w:rsidP="005F4A92">
            <w:pPr>
              <w:pStyle w:val="Prrafodelista"/>
              <w:numPr>
                <w:ilvl w:val="0"/>
                <w:numId w:val="15"/>
              </w:numPr>
              <w:jc w:val="both"/>
              <w:rPr>
                <w:rFonts w:cs="Arial"/>
                <w:sz w:val="18"/>
                <w:szCs w:val="18"/>
              </w:rPr>
            </w:pPr>
            <w:r w:rsidRPr="00F94AC4">
              <w:rPr>
                <w:rFonts w:cs="Arial"/>
                <w:sz w:val="18"/>
                <w:szCs w:val="18"/>
              </w:rPr>
              <w:t>Las empresas cumplen las condiciones laborales con sus empleados (salario, seguridad ocupacional).</w:t>
            </w:r>
          </w:p>
          <w:p w14:paraId="6D7AB413" w14:textId="77777777" w:rsidR="006A3DBC" w:rsidRPr="00F94AC4" w:rsidRDefault="006A3DBC" w:rsidP="005F4A92">
            <w:pPr>
              <w:pStyle w:val="Prrafodelista"/>
              <w:numPr>
                <w:ilvl w:val="0"/>
                <w:numId w:val="15"/>
              </w:numPr>
              <w:jc w:val="both"/>
              <w:rPr>
                <w:rFonts w:cs="Arial"/>
                <w:sz w:val="18"/>
                <w:szCs w:val="18"/>
              </w:rPr>
            </w:pPr>
            <w:r w:rsidRPr="00F94AC4">
              <w:rPr>
                <w:rFonts w:cs="Arial"/>
                <w:sz w:val="18"/>
                <w:szCs w:val="18"/>
              </w:rPr>
              <w:t>En la planta, se implementan medidas de seguridad ocupacional y Buenas Prácticas de Manufactura y en las parcelas se hace uso de equipo de protección.</w:t>
            </w:r>
          </w:p>
          <w:p w14:paraId="175B3192" w14:textId="77777777" w:rsidR="006A3DBC" w:rsidRPr="00F94AC4" w:rsidRDefault="006A3DBC" w:rsidP="005F4A92">
            <w:pPr>
              <w:pStyle w:val="Prrafodelista"/>
              <w:numPr>
                <w:ilvl w:val="0"/>
                <w:numId w:val="15"/>
              </w:numPr>
              <w:jc w:val="both"/>
              <w:rPr>
                <w:rFonts w:cs="Arial"/>
                <w:sz w:val="18"/>
                <w:szCs w:val="18"/>
              </w:rPr>
            </w:pPr>
            <w:r w:rsidRPr="00F94AC4">
              <w:rPr>
                <w:rFonts w:cs="Arial"/>
                <w:sz w:val="18"/>
                <w:szCs w:val="18"/>
              </w:rPr>
              <w:t>Algunas empresas que implementan programa de escalonamiento para abastecimiento de mercados generan empleos temporales casi todo el año.</w:t>
            </w:r>
          </w:p>
          <w:p w14:paraId="20895A79" w14:textId="77777777" w:rsidR="006A3DBC" w:rsidRPr="00F94AC4" w:rsidRDefault="006A3DBC" w:rsidP="005F4A92">
            <w:pPr>
              <w:pStyle w:val="Prrafodelista"/>
              <w:numPr>
                <w:ilvl w:val="0"/>
                <w:numId w:val="15"/>
              </w:numPr>
              <w:jc w:val="both"/>
              <w:rPr>
                <w:rFonts w:cs="Arial"/>
                <w:sz w:val="18"/>
                <w:szCs w:val="18"/>
              </w:rPr>
            </w:pPr>
            <w:r w:rsidRPr="00F94AC4">
              <w:rPr>
                <w:rFonts w:cs="Arial"/>
                <w:sz w:val="18"/>
                <w:szCs w:val="18"/>
              </w:rPr>
              <w:t>Facilitan a sus socios el financiamiento con proveedores, instituciones financieras para la producción de hortalizas.</w:t>
            </w:r>
          </w:p>
          <w:p w14:paraId="5060A2C8" w14:textId="77777777" w:rsidR="006A3DBC" w:rsidRPr="00F94AC4" w:rsidRDefault="006A3DBC" w:rsidP="005F4A92">
            <w:pPr>
              <w:pStyle w:val="Prrafodelista"/>
              <w:numPr>
                <w:ilvl w:val="0"/>
                <w:numId w:val="15"/>
              </w:numPr>
              <w:jc w:val="both"/>
              <w:rPr>
                <w:rFonts w:cs="Arial"/>
                <w:sz w:val="18"/>
                <w:szCs w:val="18"/>
              </w:rPr>
            </w:pPr>
            <w:r w:rsidRPr="00F94AC4">
              <w:rPr>
                <w:rFonts w:cs="Arial"/>
                <w:sz w:val="18"/>
                <w:szCs w:val="18"/>
              </w:rPr>
              <w:t>OPRs disponen de fondo de ayuda social a los socios y sus familias, Empleados y comunidad.</w:t>
            </w:r>
          </w:p>
          <w:p w14:paraId="2651AFCB" w14:textId="77777777" w:rsidR="006A3DBC" w:rsidRPr="00F94AC4" w:rsidRDefault="006A3DBC" w:rsidP="005F4A92">
            <w:pPr>
              <w:pStyle w:val="Prrafodelista"/>
              <w:numPr>
                <w:ilvl w:val="0"/>
                <w:numId w:val="15"/>
              </w:numPr>
              <w:jc w:val="both"/>
              <w:rPr>
                <w:rFonts w:cs="Arial"/>
                <w:sz w:val="18"/>
                <w:szCs w:val="18"/>
              </w:rPr>
            </w:pPr>
            <w:r w:rsidRPr="00F94AC4">
              <w:rPr>
                <w:rFonts w:cs="Arial"/>
                <w:sz w:val="18"/>
                <w:szCs w:val="18"/>
              </w:rPr>
              <w:t xml:space="preserve">Participación amplia de población indígena en zonas productivas de vegetales y hortalizas. </w:t>
            </w:r>
          </w:p>
        </w:tc>
        <w:tc>
          <w:tcPr>
            <w:tcW w:w="3975" w:type="dxa"/>
            <w:hideMark/>
          </w:tcPr>
          <w:p w14:paraId="26D1D01F" w14:textId="77777777" w:rsidR="006A3DBC" w:rsidRPr="00F94AC4" w:rsidRDefault="006A3DBC" w:rsidP="005F4A92">
            <w:pPr>
              <w:pStyle w:val="Prrafodelista"/>
              <w:numPr>
                <w:ilvl w:val="0"/>
                <w:numId w:val="16"/>
              </w:numPr>
              <w:jc w:val="both"/>
              <w:rPr>
                <w:rFonts w:cs="Arial"/>
                <w:sz w:val="18"/>
                <w:szCs w:val="18"/>
              </w:rPr>
            </w:pPr>
            <w:r w:rsidRPr="00F94AC4">
              <w:rPr>
                <w:rFonts w:cs="Arial"/>
                <w:sz w:val="18"/>
                <w:szCs w:val="18"/>
              </w:rPr>
              <w:lastRenderedPageBreak/>
              <w:t>La implementación y mejoramiento de la agricultura protegida ha significado un aporte valioso para la salud de los consumidores de vegetales y para el ambiente, al reducir el uso de agroquímicos en la producción de hortalizas.</w:t>
            </w:r>
          </w:p>
          <w:p w14:paraId="5A29F2C7" w14:textId="77777777" w:rsidR="006A3DBC" w:rsidRPr="00F94AC4" w:rsidRDefault="006A3DBC" w:rsidP="005F4A92">
            <w:pPr>
              <w:pStyle w:val="Prrafodelista"/>
              <w:numPr>
                <w:ilvl w:val="0"/>
                <w:numId w:val="16"/>
              </w:numPr>
              <w:jc w:val="both"/>
              <w:rPr>
                <w:rFonts w:cs="Arial"/>
                <w:sz w:val="18"/>
                <w:szCs w:val="18"/>
              </w:rPr>
            </w:pPr>
            <w:r w:rsidRPr="00F94AC4">
              <w:rPr>
                <w:rFonts w:cs="Arial"/>
                <w:sz w:val="18"/>
                <w:szCs w:val="18"/>
              </w:rPr>
              <w:t>La eliminación del uso de productos químicos etiqueta roja, resulta en una reducción del riesgo de intoxicación para los productores y consumidores, así como la minimización del riesgo de contaminación al ambiente.</w:t>
            </w:r>
          </w:p>
          <w:p w14:paraId="16539B01" w14:textId="77777777" w:rsidR="006A3DBC" w:rsidRPr="00F94AC4" w:rsidRDefault="006A3DBC" w:rsidP="005F4A92">
            <w:pPr>
              <w:pStyle w:val="Prrafodelista"/>
              <w:numPr>
                <w:ilvl w:val="0"/>
                <w:numId w:val="16"/>
              </w:numPr>
              <w:jc w:val="both"/>
              <w:rPr>
                <w:rFonts w:cs="Arial"/>
                <w:sz w:val="18"/>
                <w:szCs w:val="18"/>
              </w:rPr>
            </w:pPr>
            <w:r w:rsidRPr="00F94AC4">
              <w:rPr>
                <w:rFonts w:cs="Arial"/>
                <w:sz w:val="18"/>
                <w:szCs w:val="18"/>
              </w:rPr>
              <w:t>El aumento en el uso de abonos orgánicos contribuye con la economía de los productores y a la vez con la calidad de los suelos hortícolas.</w:t>
            </w:r>
          </w:p>
          <w:p w14:paraId="206E3F9F" w14:textId="77777777" w:rsidR="006A3DBC" w:rsidRPr="00F94AC4" w:rsidRDefault="006A3DBC" w:rsidP="005F4A92">
            <w:pPr>
              <w:pStyle w:val="Prrafodelista"/>
              <w:numPr>
                <w:ilvl w:val="0"/>
                <w:numId w:val="16"/>
              </w:numPr>
              <w:jc w:val="both"/>
              <w:rPr>
                <w:rFonts w:cs="Arial"/>
                <w:sz w:val="18"/>
                <w:szCs w:val="18"/>
              </w:rPr>
            </w:pPr>
            <w:r w:rsidRPr="00F94AC4">
              <w:rPr>
                <w:rFonts w:cs="Arial"/>
                <w:sz w:val="18"/>
                <w:szCs w:val="18"/>
              </w:rPr>
              <w:lastRenderedPageBreak/>
              <w:t>Las instalaciones principalmente colectivas han invertido en infraestructura para el manejo de aguas residuales.</w:t>
            </w:r>
          </w:p>
          <w:p w14:paraId="408B6A76" w14:textId="77777777" w:rsidR="006A3DBC" w:rsidRPr="00F94AC4" w:rsidRDefault="006A3DBC" w:rsidP="005F4A92">
            <w:pPr>
              <w:pStyle w:val="Prrafodelista"/>
              <w:numPr>
                <w:ilvl w:val="0"/>
                <w:numId w:val="16"/>
              </w:numPr>
              <w:jc w:val="both"/>
              <w:rPr>
                <w:rFonts w:cs="Arial"/>
                <w:sz w:val="18"/>
                <w:szCs w:val="18"/>
              </w:rPr>
            </w:pPr>
            <w:r w:rsidRPr="00F94AC4">
              <w:rPr>
                <w:rFonts w:cs="Arial"/>
                <w:sz w:val="18"/>
                <w:szCs w:val="18"/>
              </w:rPr>
              <w:t>Adopción de equipo más eficiente para el consumo de agua (recirculación de agua).</w:t>
            </w:r>
          </w:p>
          <w:p w14:paraId="3F801772" w14:textId="77777777" w:rsidR="006A3DBC" w:rsidRPr="00F94AC4" w:rsidRDefault="006A3DBC" w:rsidP="005F4A92">
            <w:pPr>
              <w:pStyle w:val="Prrafodelista"/>
              <w:numPr>
                <w:ilvl w:val="0"/>
                <w:numId w:val="16"/>
              </w:numPr>
              <w:jc w:val="both"/>
              <w:rPr>
                <w:rFonts w:cs="Arial"/>
                <w:sz w:val="18"/>
                <w:szCs w:val="18"/>
              </w:rPr>
            </w:pPr>
            <w:r w:rsidRPr="00F94AC4">
              <w:rPr>
                <w:rFonts w:cs="Arial"/>
                <w:sz w:val="18"/>
                <w:szCs w:val="18"/>
              </w:rPr>
              <w:t>En las parcelas los socios se Implementan Escuelas de Campo para capacitar a sus socios (BPA).</w:t>
            </w:r>
          </w:p>
          <w:p w14:paraId="30103D71" w14:textId="183CAE18" w:rsidR="006A3DBC" w:rsidRPr="00F94AC4" w:rsidRDefault="006A3DBC" w:rsidP="005F4A92">
            <w:pPr>
              <w:pStyle w:val="Prrafodelista"/>
              <w:numPr>
                <w:ilvl w:val="0"/>
                <w:numId w:val="16"/>
              </w:numPr>
              <w:jc w:val="both"/>
              <w:rPr>
                <w:rFonts w:cs="Arial"/>
                <w:sz w:val="18"/>
                <w:szCs w:val="18"/>
              </w:rPr>
            </w:pPr>
            <w:r w:rsidRPr="00F94AC4">
              <w:rPr>
                <w:rFonts w:cs="Arial"/>
                <w:sz w:val="18"/>
                <w:szCs w:val="18"/>
              </w:rPr>
              <w:t xml:space="preserve">En la planta, se implementan las </w:t>
            </w:r>
            <w:r w:rsidR="00647672" w:rsidRPr="00F94AC4">
              <w:rPr>
                <w:rFonts w:cs="Arial"/>
                <w:sz w:val="18"/>
                <w:szCs w:val="18"/>
              </w:rPr>
              <w:t>Buenas Prácticas de Manufactura (</w:t>
            </w:r>
            <w:r w:rsidRPr="00F94AC4">
              <w:rPr>
                <w:rFonts w:cs="Arial"/>
                <w:sz w:val="18"/>
                <w:szCs w:val="18"/>
              </w:rPr>
              <w:t>BPM</w:t>
            </w:r>
            <w:r w:rsidR="00647672" w:rsidRPr="00F94AC4">
              <w:rPr>
                <w:rFonts w:cs="Arial"/>
                <w:sz w:val="18"/>
                <w:szCs w:val="18"/>
              </w:rPr>
              <w:t>)</w:t>
            </w:r>
            <w:r w:rsidRPr="00F94AC4">
              <w:rPr>
                <w:rFonts w:cs="Arial"/>
                <w:sz w:val="18"/>
                <w:szCs w:val="18"/>
              </w:rPr>
              <w:t>.</w:t>
            </w:r>
          </w:p>
          <w:p w14:paraId="7A11E766" w14:textId="77777777" w:rsidR="006A3DBC" w:rsidRPr="00F94AC4" w:rsidRDefault="006A3DBC" w:rsidP="005F4A92">
            <w:pPr>
              <w:pStyle w:val="Prrafodelista"/>
              <w:numPr>
                <w:ilvl w:val="0"/>
                <w:numId w:val="16"/>
              </w:numPr>
              <w:jc w:val="both"/>
              <w:rPr>
                <w:rFonts w:cs="Arial"/>
                <w:sz w:val="18"/>
                <w:szCs w:val="18"/>
              </w:rPr>
            </w:pPr>
            <w:r w:rsidRPr="00F94AC4">
              <w:rPr>
                <w:rFonts w:cs="Arial"/>
                <w:sz w:val="18"/>
                <w:szCs w:val="18"/>
              </w:rPr>
              <w:t>Promoción y gestión adecuada en el manejo de envases plásticos y desechos sólidos de agroquímicos en coordinación con las comunidades.</w:t>
            </w:r>
          </w:p>
          <w:p w14:paraId="1BE71B9C" w14:textId="77777777" w:rsidR="006A3DBC" w:rsidRPr="00F94AC4" w:rsidRDefault="006A3DBC" w:rsidP="005F4A92">
            <w:pPr>
              <w:pStyle w:val="Prrafodelista"/>
              <w:numPr>
                <w:ilvl w:val="0"/>
                <w:numId w:val="16"/>
              </w:numPr>
              <w:jc w:val="both"/>
              <w:rPr>
                <w:rFonts w:cs="Arial"/>
                <w:sz w:val="18"/>
                <w:szCs w:val="18"/>
              </w:rPr>
            </w:pPr>
            <w:r w:rsidRPr="00F94AC4">
              <w:rPr>
                <w:rFonts w:cs="Arial"/>
                <w:sz w:val="18"/>
                <w:szCs w:val="18"/>
              </w:rPr>
              <w:t>Manejo de desechos sólidos y líquidos en la planta de procesamiento como normativa establecida dentro de los procesos de inversión y ejecución de los PdNs.</w:t>
            </w:r>
          </w:p>
        </w:tc>
      </w:tr>
      <w:tr w:rsidR="00F94AC4" w:rsidRPr="00F94AC4" w14:paraId="49405EA9" w14:textId="77777777" w:rsidTr="005F4A92">
        <w:tc>
          <w:tcPr>
            <w:tcW w:w="10065" w:type="dxa"/>
            <w:gridSpan w:val="3"/>
            <w:shd w:val="clear" w:color="auto" w:fill="FFF2CC" w:themeFill="accent4" w:themeFillTint="33"/>
          </w:tcPr>
          <w:p w14:paraId="7EB6F867" w14:textId="77777777" w:rsidR="006A3DBC" w:rsidRPr="00F94AC4" w:rsidRDefault="006A3DBC" w:rsidP="005F4A92">
            <w:pPr>
              <w:jc w:val="both"/>
              <w:rPr>
                <w:rFonts w:cs="Arial"/>
                <w:sz w:val="18"/>
                <w:szCs w:val="18"/>
              </w:rPr>
            </w:pPr>
            <w:r w:rsidRPr="00F94AC4">
              <w:rPr>
                <w:rFonts w:cs="Arial"/>
                <w:sz w:val="18"/>
                <w:szCs w:val="18"/>
              </w:rPr>
              <w:lastRenderedPageBreak/>
              <w:t>Impactos positivos para el ComRural III: Fortalecer los procesos de inocuidad y certificación de productos en plantas de procesamiento es una apuesta para la cadena hortícola, además de la promoción sostenida de procesos productivos que incluyan manejo integrado de plagas, control y regularización de usos de químicos para producción con menos contaminantes, mejorar la calidad de semilla y rendimientos productivos en la cadena, incentivar el uso rotativo de tierra y priorizar inversiones colectivas en infraestructura productiva, entre otros son las medidas positiva a impulsar para lograr producción sostenida con mayores estándares de calidad para el productor y consumidor final.</w:t>
            </w:r>
          </w:p>
          <w:p w14:paraId="4C6491F6" w14:textId="77777777" w:rsidR="006A3DBC" w:rsidRPr="00F94AC4" w:rsidRDefault="006A3DBC" w:rsidP="005F4A92">
            <w:pPr>
              <w:jc w:val="both"/>
              <w:rPr>
                <w:rFonts w:cs="Arial"/>
                <w:sz w:val="18"/>
                <w:szCs w:val="18"/>
              </w:rPr>
            </w:pPr>
            <w:r w:rsidRPr="00F94AC4">
              <w:rPr>
                <w:rFonts w:cs="Arial"/>
                <w:sz w:val="18"/>
                <w:szCs w:val="18"/>
              </w:rPr>
              <w:t xml:space="preserve">Esta cadena es importante ya que las zonas donde se cultivan y constituye su patrimonio productivo son territorios identificados con pueblos indígenas, según datos sociales registrados en el proyecto original, el 85% de </w:t>
            </w:r>
            <w:proofErr w:type="gramStart"/>
            <w:r w:rsidRPr="00F94AC4">
              <w:rPr>
                <w:rFonts w:cs="Arial"/>
                <w:sz w:val="18"/>
                <w:szCs w:val="18"/>
              </w:rPr>
              <w:t>productoras y productores</w:t>
            </w:r>
            <w:proofErr w:type="gramEnd"/>
            <w:r w:rsidRPr="00F94AC4">
              <w:rPr>
                <w:rFonts w:cs="Arial"/>
                <w:sz w:val="18"/>
                <w:szCs w:val="18"/>
              </w:rPr>
              <w:t xml:space="preserve"> apoyados son indígenas, y un aproximado del 32% son socias mujeres dedicadas a la producción de hortalizas.</w:t>
            </w:r>
          </w:p>
        </w:tc>
      </w:tr>
      <w:tr w:rsidR="00F94AC4" w:rsidRPr="00F94AC4" w14:paraId="49C3EC88" w14:textId="77777777" w:rsidTr="005F4A92">
        <w:tc>
          <w:tcPr>
            <w:tcW w:w="1985" w:type="dxa"/>
          </w:tcPr>
          <w:p w14:paraId="457C607F" w14:textId="77777777" w:rsidR="006A3DBC" w:rsidRPr="00F94AC4" w:rsidRDefault="006A3DBC" w:rsidP="005F4A92">
            <w:pPr>
              <w:rPr>
                <w:rFonts w:cs="Arial"/>
                <w:sz w:val="18"/>
                <w:szCs w:val="18"/>
              </w:rPr>
            </w:pPr>
            <w:r w:rsidRPr="00F94AC4">
              <w:rPr>
                <w:rFonts w:cs="Arial"/>
                <w:sz w:val="18"/>
                <w:szCs w:val="18"/>
              </w:rPr>
              <w:t>Ganadería</w:t>
            </w:r>
          </w:p>
          <w:p w14:paraId="4F8EBF94" w14:textId="77777777" w:rsidR="006A3DBC" w:rsidRPr="00F94AC4" w:rsidRDefault="006A3DBC" w:rsidP="005F4A92">
            <w:pPr>
              <w:rPr>
                <w:rFonts w:cs="Arial"/>
                <w:sz w:val="18"/>
                <w:szCs w:val="18"/>
              </w:rPr>
            </w:pPr>
          </w:p>
        </w:tc>
        <w:tc>
          <w:tcPr>
            <w:tcW w:w="4105" w:type="dxa"/>
          </w:tcPr>
          <w:p w14:paraId="325869A2" w14:textId="77777777" w:rsidR="006A3DBC" w:rsidRPr="00F94AC4" w:rsidRDefault="006A3DBC" w:rsidP="005F4A92">
            <w:pPr>
              <w:pStyle w:val="Prrafodelista"/>
              <w:numPr>
                <w:ilvl w:val="0"/>
                <w:numId w:val="15"/>
              </w:numPr>
              <w:jc w:val="both"/>
              <w:rPr>
                <w:rFonts w:cs="Arial"/>
                <w:sz w:val="18"/>
                <w:szCs w:val="18"/>
              </w:rPr>
            </w:pPr>
            <w:r w:rsidRPr="00F94AC4">
              <w:rPr>
                <w:rFonts w:cs="Arial"/>
                <w:sz w:val="18"/>
                <w:szCs w:val="18"/>
              </w:rPr>
              <w:t>Mejoramiento de la economía familiar, al recibir, los socios, mejores ingresos por la venta de leche procesada y con valor agregado.</w:t>
            </w:r>
          </w:p>
          <w:p w14:paraId="04D92FAA" w14:textId="77777777" w:rsidR="006A3DBC" w:rsidRPr="00F94AC4" w:rsidRDefault="006A3DBC" w:rsidP="005F4A92">
            <w:pPr>
              <w:pStyle w:val="Prrafodelista"/>
              <w:numPr>
                <w:ilvl w:val="0"/>
                <w:numId w:val="15"/>
              </w:numPr>
              <w:jc w:val="both"/>
              <w:rPr>
                <w:rFonts w:cs="Arial"/>
                <w:sz w:val="18"/>
                <w:szCs w:val="18"/>
              </w:rPr>
            </w:pPr>
            <w:r w:rsidRPr="00F94AC4">
              <w:rPr>
                <w:rFonts w:cs="Arial"/>
                <w:sz w:val="18"/>
                <w:szCs w:val="18"/>
              </w:rPr>
              <w:t xml:space="preserve">Desarrollo de competencias en familias productoras para mejor aprovechamiento y administración de la cadena incentivando inclusión de mujeres y jóvenes. </w:t>
            </w:r>
          </w:p>
        </w:tc>
        <w:tc>
          <w:tcPr>
            <w:tcW w:w="3975" w:type="dxa"/>
            <w:hideMark/>
          </w:tcPr>
          <w:p w14:paraId="1B064EFF" w14:textId="77777777" w:rsidR="006A3DBC" w:rsidRPr="00F94AC4" w:rsidRDefault="006A3DBC" w:rsidP="005F4A92">
            <w:pPr>
              <w:pStyle w:val="Prrafodelista"/>
              <w:numPr>
                <w:ilvl w:val="0"/>
                <w:numId w:val="16"/>
              </w:numPr>
              <w:jc w:val="both"/>
              <w:rPr>
                <w:rFonts w:cs="Arial"/>
                <w:sz w:val="18"/>
                <w:szCs w:val="18"/>
              </w:rPr>
            </w:pPr>
            <w:r w:rsidRPr="00F94AC4">
              <w:rPr>
                <w:rFonts w:cs="Arial"/>
                <w:sz w:val="18"/>
                <w:szCs w:val="18"/>
              </w:rPr>
              <w:t>Contar con los registros legales, permisos ambientales y sanitarios les permite a las OPRs acceder a nuevos mercados.</w:t>
            </w:r>
          </w:p>
          <w:p w14:paraId="5C1155FD" w14:textId="77777777" w:rsidR="006A3DBC" w:rsidRPr="00F94AC4" w:rsidRDefault="006A3DBC" w:rsidP="005F4A92">
            <w:pPr>
              <w:pStyle w:val="Prrafodelista"/>
              <w:numPr>
                <w:ilvl w:val="0"/>
                <w:numId w:val="16"/>
              </w:numPr>
              <w:jc w:val="both"/>
              <w:rPr>
                <w:rFonts w:cs="Arial"/>
                <w:sz w:val="18"/>
                <w:szCs w:val="18"/>
              </w:rPr>
            </w:pPr>
            <w:r w:rsidRPr="00F94AC4">
              <w:rPr>
                <w:rFonts w:cs="Arial"/>
                <w:sz w:val="18"/>
                <w:szCs w:val="18"/>
              </w:rPr>
              <w:t>Formación de capacidades de los socios en el aspecto de inocuidad, Buenas Prácticas Ambientales y BPM.</w:t>
            </w:r>
          </w:p>
          <w:p w14:paraId="201CC472" w14:textId="77777777" w:rsidR="006A3DBC" w:rsidRPr="00F94AC4" w:rsidRDefault="006A3DBC" w:rsidP="005F4A92">
            <w:pPr>
              <w:pStyle w:val="Prrafodelista"/>
              <w:numPr>
                <w:ilvl w:val="0"/>
                <w:numId w:val="16"/>
              </w:numPr>
              <w:jc w:val="both"/>
              <w:rPr>
                <w:rFonts w:cs="Arial"/>
                <w:sz w:val="18"/>
                <w:szCs w:val="18"/>
              </w:rPr>
            </w:pPr>
            <w:r w:rsidRPr="00F94AC4">
              <w:rPr>
                <w:rFonts w:cs="Arial"/>
                <w:sz w:val="18"/>
                <w:szCs w:val="18"/>
              </w:rPr>
              <w:t>Las OPRs de la cadena de ganadería tienen en uso instrumentos como el Manual de Normas y Medidas de Bioseguridad y el Manual de Rutina de Ordeño.</w:t>
            </w:r>
          </w:p>
          <w:p w14:paraId="0AA914B8" w14:textId="77777777" w:rsidR="006A3DBC" w:rsidRPr="00F94AC4" w:rsidRDefault="006A3DBC" w:rsidP="005F4A92">
            <w:pPr>
              <w:pStyle w:val="Prrafodelista"/>
              <w:numPr>
                <w:ilvl w:val="0"/>
                <w:numId w:val="16"/>
              </w:numPr>
              <w:jc w:val="both"/>
              <w:rPr>
                <w:rFonts w:cs="Arial"/>
                <w:sz w:val="18"/>
                <w:szCs w:val="18"/>
              </w:rPr>
            </w:pPr>
            <w:r w:rsidRPr="00F94AC4">
              <w:rPr>
                <w:rFonts w:cs="Arial"/>
                <w:sz w:val="18"/>
                <w:szCs w:val="18"/>
              </w:rPr>
              <w:t>Buen manejo de alimentación y de alternativas alimentarias para el ganado (producción local de concentrado).</w:t>
            </w:r>
          </w:p>
          <w:p w14:paraId="138C9F61" w14:textId="77777777" w:rsidR="006A3DBC" w:rsidRPr="00F94AC4" w:rsidRDefault="006A3DBC" w:rsidP="005F4A92">
            <w:pPr>
              <w:pStyle w:val="Prrafodelista"/>
              <w:numPr>
                <w:ilvl w:val="0"/>
                <w:numId w:val="16"/>
              </w:numPr>
              <w:jc w:val="both"/>
              <w:rPr>
                <w:rFonts w:cs="Arial"/>
                <w:sz w:val="18"/>
                <w:szCs w:val="18"/>
              </w:rPr>
            </w:pPr>
            <w:r w:rsidRPr="00F94AC4">
              <w:rPr>
                <w:rFonts w:cs="Arial"/>
                <w:sz w:val="18"/>
                <w:szCs w:val="18"/>
              </w:rPr>
              <w:t>Promoción y ejecución del buen control sanitario (preventivo y curativo).</w:t>
            </w:r>
          </w:p>
          <w:p w14:paraId="14CAF920" w14:textId="77777777" w:rsidR="006A3DBC" w:rsidRPr="00F94AC4" w:rsidRDefault="006A3DBC" w:rsidP="005F4A92">
            <w:pPr>
              <w:jc w:val="both"/>
              <w:rPr>
                <w:rFonts w:cs="Arial"/>
                <w:sz w:val="18"/>
                <w:szCs w:val="18"/>
              </w:rPr>
            </w:pPr>
          </w:p>
        </w:tc>
      </w:tr>
      <w:tr w:rsidR="00F94AC4" w:rsidRPr="00F94AC4" w14:paraId="0B84A056" w14:textId="77777777" w:rsidTr="005F4A92">
        <w:tc>
          <w:tcPr>
            <w:tcW w:w="10065" w:type="dxa"/>
            <w:gridSpan w:val="3"/>
            <w:shd w:val="clear" w:color="auto" w:fill="FFF2CC" w:themeFill="accent4" w:themeFillTint="33"/>
          </w:tcPr>
          <w:p w14:paraId="7C56082D" w14:textId="77777777" w:rsidR="006A3DBC" w:rsidRPr="00F94AC4" w:rsidRDefault="006A3DBC" w:rsidP="005F4A92">
            <w:pPr>
              <w:jc w:val="both"/>
              <w:rPr>
                <w:rFonts w:cs="Arial"/>
                <w:sz w:val="18"/>
                <w:szCs w:val="18"/>
              </w:rPr>
            </w:pPr>
            <w:r w:rsidRPr="00F94AC4">
              <w:rPr>
                <w:rFonts w:cs="Arial"/>
                <w:sz w:val="18"/>
                <w:szCs w:val="18"/>
              </w:rPr>
              <w:t xml:space="preserve">Impactos positivos para el ComRural III: Fortalecer los procesos productivos e iniciativas locales de la cadena productiva de ganadería y sus derivados (productos lácteos), propiciando mecanismos para promover la explotación intensiva, mejorando los hatos ganaderos y producción de leche, con mejores procesos de inocuidad y buenas prácticas agrícolas. En esta cadena se fortalecerá especialmente con iniciativas que permitan valor agregado y producto terminado en el mercado que mejora la rentabilidad e ingresos de los productores. De igual forma priorizar inversiones individuales y colectivas que eviten la contaminación de microcuencas y fuentes de agua, en términos generales se pueden alcanzar impactos positivos con la adopción de medidas tales como: sistemas intensivos con prácticas agrícolas correctas que reduzcan el uso de plaguicidas y la pérdida de fertilizantes en los cultivos forrajeros. La gestión intensiva de los pastizales y los sistemas extensivos de producción podrían contribuir a la conservación de la biodiversidad mediante la adopción de métodos silvopastorales. Los adelantos tecnológicos deben destinarse a incrementar la eficacia de la alimentación y la cría de los animales, así como de la sanidad pecuaria. La investigación y la gestión de cultivos forrajeros han de tener como objetivo incrementar la producción a través de sistemas adaptados a las condiciones locales que respeten el medio ambiente.   </w:t>
            </w:r>
          </w:p>
        </w:tc>
      </w:tr>
      <w:tr w:rsidR="00F94AC4" w:rsidRPr="00F94AC4" w14:paraId="5200C29F" w14:textId="77777777" w:rsidTr="005F4A92">
        <w:tc>
          <w:tcPr>
            <w:tcW w:w="1985" w:type="dxa"/>
          </w:tcPr>
          <w:p w14:paraId="7A07ABA0" w14:textId="77777777" w:rsidR="006A3DBC" w:rsidRPr="00F94AC4" w:rsidRDefault="006A3DBC" w:rsidP="005F4A92">
            <w:pPr>
              <w:rPr>
                <w:rFonts w:cs="Arial"/>
                <w:sz w:val="18"/>
                <w:szCs w:val="18"/>
              </w:rPr>
            </w:pPr>
            <w:r w:rsidRPr="00F94AC4">
              <w:rPr>
                <w:rFonts w:cs="Arial"/>
                <w:sz w:val="18"/>
                <w:szCs w:val="18"/>
              </w:rPr>
              <w:lastRenderedPageBreak/>
              <w:t>Frutales</w:t>
            </w:r>
          </w:p>
          <w:p w14:paraId="135015A9" w14:textId="77777777" w:rsidR="006A3DBC" w:rsidRPr="00F94AC4" w:rsidRDefault="006A3DBC" w:rsidP="005F4A92">
            <w:pPr>
              <w:rPr>
                <w:rFonts w:cs="Arial"/>
                <w:sz w:val="18"/>
                <w:szCs w:val="18"/>
              </w:rPr>
            </w:pPr>
          </w:p>
        </w:tc>
        <w:tc>
          <w:tcPr>
            <w:tcW w:w="4105" w:type="dxa"/>
          </w:tcPr>
          <w:p w14:paraId="025BA3AE" w14:textId="77777777" w:rsidR="006A3DBC" w:rsidRPr="00F94AC4" w:rsidRDefault="006A3DBC" w:rsidP="005F4A92">
            <w:pPr>
              <w:pStyle w:val="Prrafodelista"/>
              <w:numPr>
                <w:ilvl w:val="0"/>
                <w:numId w:val="15"/>
              </w:numPr>
              <w:jc w:val="both"/>
              <w:rPr>
                <w:rFonts w:cs="Arial"/>
                <w:sz w:val="18"/>
                <w:szCs w:val="18"/>
              </w:rPr>
            </w:pPr>
            <w:r w:rsidRPr="00F94AC4">
              <w:rPr>
                <w:rFonts w:cs="Arial"/>
                <w:sz w:val="18"/>
                <w:szCs w:val="18"/>
              </w:rPr>
              <w:t xml:space="preserve">Implementan sostenida de medidas de seguridad ocupacional y BPM. </w:t>
            </w:r>
          </w:p>
          <w:p w14:paraId="10A2EEEE" w14:textId="77777777" w:rsidR="006A3DBC" w:rsidRPr="00F94AC4" w:rsidRDefault="006A3DBC" w:rsidP="005F4A92">
            <w:pPr>
              <w:pStyle w:val="Prrafodelista"/>
              <w:numPr>
                <w:ilvl w:val="0"/>
                <w:numId w:val="15"/>
              </w:numPr>
              <w:jc w:val="both"/>
              <w:rPr>
                <w:rFonts w:cs="Arial"/>
                <w:sz w:val="18"/>
                <w:szCs w:val="18"/>
              </w:rPr>
            </w:pPr>
            <w:r w:rsidRPr="00F94AC4">
              <w:rPr>
                <w:rFonts w:cs="Arial"/>
                <w:sz w:val="18"/>
                <w:szCs w:val="18"/>
              </w:rPr>
              <w:t>En las parcelas se hace uso de equipo de protección.</w:t>
            </w:r>
          </w:p>
          <w:p w14:paraId="55B4D416" w14:textId="77777777" w:rsidR="006A3DBC" w:rsidRPr="00F94AC4" w:rsidRDefault="006A3DBC" w:rsidP="005F4A92">
            <w:pPr>
              <w:pStyle w:val="Prrafodelista"/>
              <w:numPr>
                <w:ilvl w:val="0"/>
                <w:numId w:val="15"/>
              </w:numPr>
              <w:jc w:val="both"/>
              <w:rPr>
                <w:rFonts w:cs="Arial"/>
                <w:sz w:val="18"/>
                <w:szCs w:val="18"/>
              </w:rPr>
            </w:pPr>
            <w:r w:rsidRPr="00F94AC4">
              <w:rPr>
                <w:rFonts w:cs="Arial"/>
                <w:sz w:val="18"/>
                <w:szCs w:val="18"/>
              </w:rPr>
              <w:t>Generación de empleo temporal y permanente en centros de acopio, plantas de procesamiento y fincas.</w:t>
            </w:r>
          </w:p>
        </w:tc>
        <w:tc>
          <w:tcPr>
            <w:tcW w:w="3975" w:type="dxa"/>
            <w:hideMark/>
          </w:tcPr>
          <w:p w14:paraId="1539469B" w14:textId="77777777" w:rsidR="006A3DBC" w:rsidRPr="00F94AC4" w:rsidRDefault="006A3DBC" w:rsidP="005F4A92">
            <w:pPr>
              <w:pStyle w:val="Prrafodelista"/>
              <w:numPr>
                <w:ilvl w:val="0"/>
                <w:numId w:val="16"/>
              </w:numPr>
              <w:jc w:val="both"/>
              <w:rPr>
                <w:rFonts w:cs="Arial"/>
                <w:sz w:val="18"/>
                <w:szCs w:val="18"/>
              </w:rPr>
            </w:pPr>
            <w:r w:rsidRPr="00F94AC4">
              <w:rPr>
                <w:rFonts w:cs="Arial"/>
                <w:sz w:val="18"/>
                <w:szCs w:val="18"/>
              </w:rPr>
              <w:t>Las instalaciones han invertido en infraestructura para el manejo de aguas residuales.</w:t>
            </w:r>
          </w:p>
          <w:p w14:paraId="51567064" w14:textId="77777777" w:rsidR="006A3DBC" w:rsidRPr="00F94AC4" w:rsidRDefault="006A3DBC" w:rsidP="005F4A92">
            <w:pPr>
              <w:pStyle w:val="Prrafodelista"/>
              <w:numPr>
                <w:ilvl w:val="0"/>
                <w:numId w:val="16"/>
              </w:numPr>
              <w:jc w:val="both"/>
              <w:rPr>
                <w:rFonts w:cs="Arial"/>
                <w:sz w:val="18"/>
                <w:szCs w:val="18"/>
              </w:rPr>
            </w:pPr>
            <w:r w:rsidRPr="00F94AC4">
              <w:rPr>
                <w:rFonts w:cs="Arial"/>
                <w:sz w:val="18"/>
                <w:szCs w:val="18"/>
              </w:rPr>
              <w:t>En las parcelas los socios implementan BPA.</w:t>
            </w:r>
          </w:p>
          <w:p w14:paraId="7C227C20" w14:textId="77777777" w:rsidR="006A3DBC" w:rsidRPr="00F94AC4" w:rsidRDefault="006A3DBC" w:rsidP="005F4A92">
            <w:pPr>
              <w:pStyle w:val="Prrafodelista"/>
              <w:numPr>
                <w:ilvl w:val="0"/>
                <w:numId w:val="16"/>
              </w:numPr>
              <w:jc w:val="both"/>
              <w:rPr>
                <w:rFonts w:cs="Arial"/>
                <w:sz w:val="18"/>
                <w:szCs w:val="18"/>
              </w:rPr>
            </w:pPr>
            <w:r w:rsidRPr="00F94AC4">
              <w:rPr>
                <w:rFonts w:cs="Arial"/>
                <w:sz w:val="18"/>
                <w:szCs w:val="18"/>
              </w:rPr>
              <w:t>Manejo adecuado de envases plásticos de agroquímicos en las parcelas productivas.</w:t>
            </w:r>
          </w:p>
        </w:tc>
      </w:tr>
      <w:tr w:rsidR="00F94AC4" w:rsidRPr="00F94AC4" w14:paraId="1B2A7746" w14:textId="77777777" w:rsidTr="005F4A92">
        <w:tc>
          <w:tcPr>
            <w:tcW w:w="10065" w:type="dxa"/>
            <w:gridSpan w:val="3"/>
            <w:shd w:val="clear" w:color="auto" w:fill="FFF2CC" w:themeFill="accent4" w:themeFillTint="33"/>
          </w:tcPr>
          <w:p w14:paraId="0237364A" w14:textId="77777777" w:rsidR="006A3DBC" w:rsidRPr="00F94AC4" w:rsidRDefault="006A3DBC" w:rsidP="005F4A92">
            <w:pPr>
              <w:jc w:val="both"/>
              <w:rPr>
                <w:rFonts w:cs="Arial"/>
                <w:sz w:val="18"/>
                <w:szCs w:val="18"/>
              </w:rPr>
            </w:pPr>
            <w:r w:rsidRPr="00F94AC4">
              <w:rPr>
                <w:rFonts w:cs="Arial"/>
                <w:sz w:val="18"/>
                <w:szCs w:val="18"/>
              </w:rPr>
              <w:t xml:space="preserve">Impactos positivos para el ComRural III: Se continuará fortaleciendo las BPM y certificación de plantas de procesamiento, es fundamental en la consolidación de la cadena de frutales reducir el uso de insumos químicos, promoviendo la siembra en tierras aptas para los cultivos que permitan reducir la degradación de suelos.  </w:t>
            </w:r>
          </w:p>
        </w:tc>
      </w:tr>
      <w:tr w:rsidR="00F94AC4" w:rsidRPr="00F94AC4" w14:paraId="41D9179F" w14:textId="77777777" w:rsidTr="005F4A92">
        <w:tc>
          <w:tcPr>
            <w:tcW w:w="1985" w:type="dxa"/>
          </w:tcPr>
          <w:p w14:paraId="472E695C" w14:textId="77777777" w:rsidR="006A3DBC" w:rsidRPr="00F94AC4" w:rsidRDefault="006A3DBC" w:rsidP="005F4A92">
            <w:pPr>
              <w:rPr>
                <w:rFonts w:cs="Arial"/>
                <w:sz w:val="18"/>
                <w:szCs w:val="18"/>
              </w:rPr>
            </w:pPr>
            <w:r w:rsidRPr="00F94AC4">
              <w:rPr>
                <w:rFonts w:cs="Arial"/>
                <w:sz w:val="18"/>
                <w:szCs w:val="18"/>
              </w:rPr>
              <w:t>Granos Básicos</w:t>
            </w:r>
          </w:p>
          <w:p w14:paraId="5A8CD05A" w14:textId="77777777" w:rsidR="006A3DBC" w:rsidRPr="00F94AC4" w:rsidRDefault="006A3DBC" w:rsidP="005F4A92">
            <w:pPr>
              <w:rPr>
                <w:rFonts w:cs="Arial"/>
                <w:sz w:val="18"/>
                <w:szCs w:val="18"/>
              </w:rPr>
            </w:pPr>
          </w:p>
        </w:tc>
        <w:tc>
          <w:tcPr>
            <w:tcW w:w="4105" w:type="dxa"/>
            <w:hideMark/>
          </w:tcPr>
          <w:p w14:paraId="6721F60B" w14:textId="77777777" w:rsidR="006A3DBC" w:rsidRPr="00F94AC4" w:rsidRDefault="006A3DBC" w:rsidP="005F4A92">
            <w:pPr>
              <w:pStyle w:val="Prrafodelista"/>
              <w:numPr>
                <w:ilvl w:val="0"/>
                <w:numId w:val="15"/>
              </w:numPr>
              <w:jc w:val="both"/>
              <w:rPr>
                <w:rFonts w:cs="Arial"/>
                <w:sz w:val="18"/>
                <w:szCs w:val="18"/>
              </w:rPr>
            </w:pPr>
            <w:r w:rsidRPr="00F94AC4">
              <w:rPr>
                <w:rFonts w:cs="Arial"/>
                <w:sz w:val="18"/>
                <w:szCs w:val="18"/>
              </w:rPr>
              <w:t>Las empresas cumplen las condiciones laborales con sus empleados (salario, seguridad ocupacional).</w:t>
            </w:r>
          </w:p>
          <w:p w14:paraId="1CE8ECAC" w14:textId="77777777" w:rsidR="006A3DBC" w:rsidRPr="00F94AC4" w:rsidRDefault="006A3DBC" w:rsidP="005F4A92">
            <w:pPr>
              <w:pStyle w:val="Prrafodelista"/>
              <w:numPr>
                <w:ilvl w:val="0"/>
                <w:numId w:val="15"/>
              </w:numPr>
              <w:jc w:val="both"/>
              <w:rPr>
                <w:rFonts w:cs="Arial"/>
                <w:sz w:val="18"/>
                <w:szCs w:val="18"/>
              </w:rPr>
            </w:pPr>
            <w:r w:rsidRPr="00F94AC4">
              <w:rPr>
                <w:rFonts w:cs="Arial"/>
                <w:sz w:val="18"/>
                <w:szCs w:val="18"/>
              </w:rPr>
              <w:t>En la planta, se implementan medidas de seguridad ocupacional y en las parcelas se hace uso de equipo de protección.</w:t>
            </w:r>
          </w:p>
        </w:tc>
        <w:tc>
          <w:tcPr>
            <w:tcW w:w="3975" w:type="dxa"/>
            <w:hideMark/>
          </w:tcPr>
          <w:p w14:paraId="2ECC52CF" w14:textId="77777777" w:rsidR="006A3DBC" w:rsidRPr="00F94AC4" w:rsidRDefault="006A3DBC" w:rsidP="005F4A92">
            <w:pPr>
              <w:pStyle w:val="Prrafodelista"/>
              <w:numPr>
                <w:ilvl w:val="0"/>
                <w:numId w:val="16"/>
              </w:numPr>
              <w:jc w:val="both"/>
              <w:rPr>
                <w:rFonts w:cs="Arial"/>
                <w:sz w:val="18"/>
                <w:szCs w:val="18"/>
              </w:rPr>
            </w:pPr>
            <w:r w:rsidRPr="00F94AC4">
              <w:rPr>
                <w:rFonts w:cs="Arial"/>
                <w:sz w:val="18"/>
                <w:szCs w:val="18"/>
              </w:rPr>
              <w:t>En la planta, se implementan las BPM.</w:t>
            </w:r>
          </w:p>
          <w:p w14:paraId="6F919E3F" w14:textId="77777777" w:rsidR="006A3DBC" w:rsidRPr="00F94AC4" w:rsidRDefault="006A3DBC" w:rsidP="005F4A92">
            <w:pPr>
              <w:pStyle w:val="Prrafodelista"/>
              <w:numPr>
                <w:ilvl w:val="0"/>
                <w:numId w:val="16"/>
              </w:numPr>
              <w:jc w:val="both"/>
              <w:rPr>
                <w:rFonts w:cs="Arial"/>
                <w:sz w:val="18"/>
                <w:szCs w:val="18"/>
              </w:rPr>
            </w:pPr>
            <w:r w:rsidRPr="00F94AC4">
              <w:rPr>
                <w:rFonts w:cs="Arial"/>
                <w:sz w:val="18"/>
                <w:szCs w:val="18"/>
              </w:rPr>
              <w:t>En las parcelas, los socios implementan las BPA.</w:t>
            </w:r>
          </w:p>
          <w:p w14:paraId="4070C8EE" w14:textId="77777777" w:rsidR="006A3DBC" w:rsidRPr="00F94AC4" w:rsidRDefault="006A3DBC" w:rsidP="005F4A92">
            <w:pPr>
              <w:pStyle w:val="Prrafodelista"/>
              <w:numPr>
                <w:ilvl w:val="0"/>
                <w:numId w:val="16"/>
              </w:numPr>
              <w:jc w:val="both"/>
              <w:rPr>
                <w:rFonts w:cs="Arial"/>
                <w:sz w:val="18"/>
                <w:szCs w:val="18"/>
              </w:rPr>
            </w:pPr>
            <w:r w:rsidRPr="00F94AC4">
              <w:rPr>
                <w:rFonts w:cs="Arial"/>
                <w:sz w:val="18"/>
                <w:szCs w:val="18"/>
              </w:rPr>
              <w:t>Manejo de envases plásticos de agroquímicos.</w:t>
            </w:r>
          </w:p>
        </w:tc>
      </w:tr>
      <w:tr w:rsidR="00F94AC4" w:rsidRPr="00F94AC4" w14:paraId="09960483" w14:textId="77777777" w:rsidTr="005F4A92">
        <w:tc>
          <w:tcPr>
            <w:tcW w:w="10065" w:type="dxa"/>
            <w:gridSpan w:val="3"/>
            <w:shd w:val="clear" w:color="auto" w:fill="FFF2CC" w:themeFill="accent4" w:themeFillTint="33"/>
          </w:tcPr>
          <w:p w14:paraId="406BFB57" w14:textId="77777777" w:rsidR="006A3DBC" w:rsidRPr="00F94AC4" w:rsidRDefault="006A3DBC" w:rsidP="005F4A92">
            <w:pPr>
              <w:jc w:val="both"/>
              <w:rPr>
                <w:rFonts w:cs="Arial"/>
                <w:sz w:val="18"/>
                <w:szCs w:val="18"/>
              </w:rPr>
            </w:pPr>
            <w:r w:rsidRPr="00F94AC4">
              <w:rPr>
                <w:rFonts w:cs="Arial"/>
                <w:sz w:val="18"/>
                <w:szCs w:val="18"/>
              </w:rPr>
              <w:t xml:space="preserve">Impactos positivos para el ComRural III: Mejorar la producción y procesamiento de la producción de granos básicos mediante inversiones que consoliden el valor agregado y calidad de los productos, entre los cuales figura el frijol, maíz y arroz que son de trascendental importancia para la dieta y seguridad alimentaria del país. Y es que blindar la seguridad alimentaria y nutricional ante el cambio climático, particularmente los granos básicos y transitar hacia una agricultura más sostenible e incluyente son retos enormes e impostergables para proteger a la población pobre del campo y la ciudad puntos sobre los cuales debe contribuir como impacto positivo el COMRURAL III.  </w:t>
            </w:r>
          </w:p>
        </w:tc>
      </w:tr>
      <w:tr w:rsidR="00F94AC4" w:rsidRPr="00F94AC4" w14:paraId="54062405" w14:textId="77777777" w:rsidTr="005F4A92">
        <w:tc>
          <w:tcPr>
            <w:tcW w:w="1985" w:type="dxa"/>
          </w:tcPr>
          <w:p w14:paraId="5B37C924" w14:textId="77777777" w:rsidR="006A3DBC" w:rsidRPr="00F94AC4" w:rsidRDefault="006A3DBC" w:rsidP="005F4A92">
            <w:pPr>
              <w:jc w:val="both"/>
              <w:rPr>
                <w:rFonts w:cs="Arial"/>
                <w:sz w:val="18"/>
                <w:szCs w:val="18"/>
              </w:rPr>
            </w:pPr>
            <w:bookmarkStart w:id="828" w:name="_Hlk65774297"/>
            <w:r w:rsidRPr="00F94AC4">
              <w:rPr>
                <w:rFonts w:cs="Arial"/>
                <w:sz w:val="18"/>
                <w:szCs w:val="18"/>
              </w:rPr>
              <w:t>Apícola</w:t>
            </w:r>
          </w:p>
        </w:tc>
        <w:tc>
          <w:tcPr>
            <w:tcW w:w="4105" w:type="dxa"/>
          </w:tcPr>
          <w:p w14:paraId="062C42B9" w14:textId="77777777" w:rsidR="006A3DBC" w:rsidRPr="00F94AC4" w:rsidRDefault="006A3DBC" w:rsidP="005F4A92">
            <w:pPr>
              <w:pStyle w:val="Prrafodelista"/>
              <w:numPr>
                <w:ilvl w:val="0"/>
                <w:numId w:val="15"/>
              </w:numPr>
              <w:jc w:val="both"/>
              <w:rPr>
                <w:rFonts w:cs="Arial"/>
                <w:sz w:val="18"/>
                <w:szCs w:val="18"/>
              </w:rPr>
            </w:pPr>
            <w:r w:rsidRPr="00F94AC4">
              <w:rPr>
                <w:rFonts w:cs="Arial"/>
                <w:sz w:val="18"/>
                <w:szCs w:val="18"/>
              </w:rPr>
              <w:t>El modelo de alianzas impulsado por el ComRural ha permitido diversificar las fuentes de ingreso de la población rural, y desarrollar planes de negocio en cadenas productivas históricamente excluidas que incorporan en sus membresías jóvenes rurales emprendedores.</w:t>
            </w:r>
          </w:p>
        </w:tc>
        <w:tc>
          <w:tcPr>
            <w:tcW w:w="3975" w:type="dxa"/>
          </w:tcPr>
          <w:p w14:paraId="6B08621C" w14:textId="77777777" w:rsidR="006A3DBC" w:rsidRPr="00F94AC4" w:rsidRDefault="006A3DBC" w:rsidP="005F4A92">
            <w:pPr>
              <w:pStyle w:val="Prrafodelista"/>
              <w:numPr>
                <w:ilvl w:val="0"/>
                <w:numId w:val="16"/>
              </w:numPr>
              <w:jc w:val="both"/>
              <w:rPr>
                <w:rFonts w:cs="Arial"/>
                <w:sz w:val="18"/>
                <w:szCs w:val="18"/>
              </w:rPr>
            </w:pPr>
            <w:r w:rsidRPr="00F94AC4">
              <w:rPr>
                <w:rFonts w:cs="Arial"/>
                <w:sz w:val="18"/>
                <w:szCs w:val="18"/>
              </w:rPr>
              <w:t>Incorporación de buenas prácticas apícolas y de inocuidad, tecnificando los procesos de mantenimiento, acopio y procesamiento de miel son los principales impactos positivos</w:t>
            </w:r>
          </w:p>
          <w:p w14:paraId="3BA8C123" w14:textId="77777777" w:rsidR="006A3DBC" w:rsidRPr="00F94AC4" w:rsidRDefault="006A3DBC" w:rsidP="005F4A92">
            <w:pPr>
              <w:pStyle w:val="Prrafodelista"/>
              <w:numPr>
                <w:ilvl w:val="0"/>
                <w:numId w:val="16"/>
              </w:numPr>
              <w:jc w:val="both"/>
              <w:rPr>
                <w:rFonts w:cs="Arial"/>
                <w:sz w:val="18"/>
                <w:szCs w:val="18"/>
              </w:rPr>
            </w:pPr>
            <w:r w:rsidRPr="00F94AC4">
              <w:rPr>
                <w:rFonts w:cs="Arial"/>
                <w:sz w:val="18"/>
                <w:szCs w:val="18"/>
              </w:rPr>
              <w:t>Promover la implementación del Manual de apicultura Básica del instituto Interamericano de Cooperación para la Agricultura (IICA).</w:t>
            </w:r>
          </w:p>
        </w:tc>
      </w:tr>
      <w:bookmarkEnd w:id="828"/>
      <w:tr w:rsidR="00F94AC4" w:rsidRPr="00F94AC4" w14:paraId="1C6BE7EE" w14:textId="77777777" w:rsidTr="005F4A92">
        <w:tc>
          <w:tcPr>
            <w:tcW w:w="10065" w:type="dxa"/>
            <w:gridSpan w:val="3"/>
            <w:shd w:val="clear" w:color="auto" w:fill="FFF2CC" w:themeFill="accent4" w:themeFillTint="33"/>
          </w:tcPr>
          <w:p w14:paraId="0AA0B886" w14:textId="77777777" w:rsidR="006A3DBC" w:rsidRPr="00F94AC4" w:rsidRDefault="006A3DBC" w:rsidP="005F4A92">
            <w:pPr>
              <w:jc w:val="both"/>
              <w:rPr>
                <w:rFonts w:cs="Arial"/>
                <w:sz w:val="18"/>
                <w:szCs w:val="18"/>
              </w:rPr>
            </w:pPr>
            <w:r w:rsidRPr="00F94AC4">
              <w:rPr>
                <w:rFonts w:cs="Arial"/>
                <w:sz w:val="18"/>
                <w:szCs w:val="18"/>
              </w:rPr>
              <w:t xml:space="preserve">Impactos Positivos proyectados para el ComRural III: La introducción de BPA y buenas prácticas de manufactura e inocuidad, así como la tecnificación de la cadena son los principales impactos. La cadena apícola contribuye en la conservación y sostenibilidad de la biodiversidad ya que permiten conservar los ecosistemas forestales para su desarrollo, en el caso particular de Honduras existe como potencial adicional que la producción se sustenta en especies de abejas nativas que se han mezclado de forma natural con especies foráneas dando lugar a mejores resultados y calidad del producto. </w:t>
            </w:r>
          </w:p>
          <w:p w14:paraId="52D3A4F3" w14:textId="77777777" w:rsidR="006A3DBC" w:rsidRPr="00F94AC4" w:rsidRDefault="006A3DBC" w:rsidP="005F4A92">
            <w:pPr>
              <w:jc w:val="both"/>
              <w:rPr>
                <w:rFonts w:cs="Arial"/>
                <w:sz w:val="18"/>
                <w:szCs w:val="18"/>
              </w:rPr>
            </w:pPr>
          </w:p>
        </w:tc>
      </w:tr>
      <w:tr w:rsidR="00F94AC4" w:rsidRPr="00F94AC4" w14:paraId="0CA560E4" w14:textId="77777777" w:rsidTr="005F4A92">
        <w:tc>
          <w:tcPr>
            <w:tcW w:w="1985" w:type="dxa"/>
            <w:shd w:val="clear" w:color="auto" w:fill="FFF2CC" w:themeFill="accent4" w:themeFillTint="33"/>
          </w:tcPr>
          <w:p w14:paraId="72AD4D48" w14:textId="77777777" w:rsidR="006A3DBC" w:rsidRPr="00F94AC4" w:rsidRDefault="006A3DBC" w:rsidP="005F4A92">
            <w:pPr>
              <w:jc w:val="both"/>
              <w:rPr>
                <w:rFonts w:cs="Arial"/>
                <w:sz w:val="18"/>
                <w:szCs w:val="18"/>
              </w:rPr>
            </w:pPr>
            <w:r w:rsidRPr="00F94AC4">
              <w:rPr>
                <w:rFonts w:cs="Arial"/>
                <w:sz w:val="18"/>
                <w:szCs w:val="18"/>
              </w:rPr>
              <w:t>Cacao fino</w:t>
            </w:r>
          </w:p>
        </w:tc>
        <w:tc>
          <w:tcPr>
            <w:tcW w:w="4105" w:type="dxa"/>
            <w:shd w:val="clear" w:color="auto" w:fill="FFF2CC" w:themeFill="accent4" w:themeFillTint="33"/>
          </w:tcPr>
          <w:p w14:paraId="7D7AA95B" w14:textId="77777777" w:rsidR="006A3DBC" w:rsidRPr="00F94AC4" w:rsidRDefault="006A3DBC" w:rsidP="005F4A92">
            <w:pPr>
              <w:pStyle w:val="Prrafodelista"/>
              <w:numPr>
                <w:ilvl w:val="0"/>
                <w:numId w:val="15"/>
              </w:numPr>
              <w:jc w:val="both"/>
              <w:rPr>
                <w:rFonts w:cs="Arial"/>
                <w:sz w:val="18"/>
                <w:szCs w:val="18"/>
              </w:rPr>
            </w:pPr>
            <w:r w:rsidRPr="00F94AC4">
              <w:rPr>
                <w:rFonts w:cs="Arial"/>
                <w:sz w:val="18"/>
                <w:szCs w:val="18"/>
              </w:rPr>
              <w:t>Existen nuevos mercados y mejores precios para el cacao que están generando incentivos para la siembra y recuperación de plantaciones en zonas que estaban en abandono, lo cual diversifica y crea nuevas furentes de ingresos en las familias rurales.</w:t>
            </w:r>
          </w:p>
          <w:p w14:paraId="65BFFEF8" w14:textId="77777777" w:rsidR="006A3DBC" w:rsidRPr="00F94AC4" w:rsidRDefault="006A3DBC" w:rsidP="005F4A92">
            <w:pPr>
              <w:pStyle w:val="Prrafodelista"/>
              <w:numPr>
                <w:ilvl w:val="0"/>
                <w:numId w:val="15"/>
              </w:numPr>
              <w:jc w:val="both"/>
              <w:rPr>
                <w:rFonts w:cs="Arial"/>
                <w:sz w:val="18"/>
                <w:szCs w:val="18"/>
              </w:rPr>
            </w:pPr>
            <w:r w:rsidRPr="00F94AC4">
              <w:rPr>
                <w:rFonts w:cs="Arial"/>
                <w:sz w:val="18"/>
                <w:szCs w:val="18"/>
              </w:rPr>
              <w:t>Las fincas de cacao absorben un promedio de 1,260 empleos anuales, calculados en base al equivalente de empleos permanentes y temporales, un claro indicativo que es una cadena que contribuye en la generación de empleos en el medio rural.</w:t>
            </w:r>
          </w:p>
          <w:p w14:paraId="11A55420" w14:textId="77777777" w:rsidR="006A3DBC" w:rsidRPr="00F94AC4" w:rsidRDefault="006A3DBC" w:rsidP="005F4A92">
            <w:pPr>
              <w:pStyle w:val="Prrafodelista"/>
              <w:numPr>
                <w:ilvl w:val="0"/>
                <w:numId w:val="15"/>
              </w:numPr>
              <w:jc w:val="both"/>
              <w:rPr>
                <w:rFonts w:cs="Arial"/>
                <w:sz w:val="18"/>
                <w:szCs w:val="18"/>
              </w:rPr>
            </w:pPr>
            <w:r w:rsidRPr="00F94AC4">
              <w:rPr>
                <w:rFonts w:cs="Arial"/>
                <w:sz w:val="18"/>
                <w:szCs w:val="18"/>
              </w:rPr>
              <w:t>Existen oportunidades para que los productores en general, incluyendo mujeres y jóvenes (incluyendo participantes de pueblos indígenas) desarrollen sus capacidades y competencia productivas en la cadena.</w:t>
            </w:r>
          </w:p>
          <w:p w14:paraId="0E9915E9" w14:textId="77777777" w:rsidR="006A3DBC" w:rsidRPr="00F94AC4" w:rsidRDefault="006A3DBC" w:rsidP="005F4A92">
            <w:pPr>
              <w:pStyle w:val="Prrafodelista"/>
              <w:numPr>
                <w:ilvl w:val="0"/>
                <w:numId w:val="15"/>
              </w:numPr>
              <w:jc w:val="both"/>
              <w:rPr>
                <w:rFonts w:cs="Arial"/>
                <w:sz w:val="18"/>
                <w:szCs w:val="18"/>
              </w:rPr>
            </w:pPr>
            <w:r w:rsidRPr="00F94AC4">
              <w:rPr>
                <w:rFonts w:cs="Arial"/>
                <w:sz w:val="18"/>
                <w:szCs w:val="18"/>
              </w:rPr>
              <w:t>Es una cadena que presenta alternativas para impulsar iniciativas de procesamiento y valor agregado a la producción primaria con amplia participación de mujeres.</w:t>
            </w:r>
          </w:p>
          <w:p w14:paraId="21EA4DA9" w14:textId="77777777" w:rsidR="006A3DBC" w:rsidRPr="00F94AC4" w:rsidRDefault="006A3DBC" w:rsidP="005F4A92">
            <w:pPr>
              <w:pStyle w:val="Prrafodelista"/>
              <w:numPr>
                <w:ilvl w:val="0"/>
                <w:numId w:val="15"/>
              </w:numPr>
              <w:jc w:val="both"/>
              <w:rPr>
                <w:rFonts w:cs="Arial"/>
                <w:sz w:val="18"/>
                <w:szCs w:val="18"/>
              </w:rPr>
            </w:pPr>
            <w:r w:rsidRPr="00F94AC4">
              <w:rPr>
                <w:rFonts w:cs="Arial"/>
                <w:sz w:val="18"/>
                <w:szCs w:val="18"/>
              </w:rPr>
              <w:lastRenderedPageBreak/>
              <w:t>Existe una demanda en crecimiento que promueve el emprendedurismo productivo y las diferentes formas de asociatividad de productores/as aumentando de esta manera el capital social en las comunidades.</w:t>
            </w:r>
          </w:p>
        </w:tc>
        <w:tc>
          <w:tcPr>
            <w:tcW w:w="3975" w:type="dxa"/>
            <w:shd w:val="clear" w:color="auto" w:fill="FFF2CC" w:themeFill="accent4" w:themeFillTint="33"/>
          </w:tcPr>
          <w:p w14:paraId="34B200D8" w14:textId="77777777" w:rsidR="006A3DBC" w:rsidRPr="00F94AC4" w:rsidRDefault="006A3DBC" w:rsidP="005F4A92">
            <w:pPr>
              <w:jc w:val="both"/>
              <w:rPr>
                <w:rFonts w:cs="Arial"/>
                <w:sz w:val="18"/>
                <w:szCs w:val="18"/>
              </w:rPr>
            </w:pPr>
            <w:r w:rsidRPr="00F94AC4">
              <w:rPr>
                <w:rFonts w:cs="Arial"/>
                <w:sz w:val="18"/>
                <w:szCs w:val="18"/>
              </w:rPr>
              <w:lastRenderedPageBreak/>
              <w:t>31. Es una cadena productiva asociada a especies forestales y BPA.</w:t>
            </w:r>
          </w:p>
          <w:p w14:paraId="2BD73E01" w14:textId="77777777" w:rsidR="006A3DBC" w:rsidRPr="00F94AC4" w:rsidRDefault="006A3DBC" w:rsidP="005F4A92">
            <w:pPr>
              <w:jc w:val="both"/>
              <w:rPr>
                <w:rFonts w:cs="Arial"/>
                <w:sz w:val="18"/>
                <w:szCs w:val="18"/>
              </w:rPr>
            </w:pPr>
          </w:p>
          <w:p w14:paraId="7B72768A" w14:textId="77777777" w:rsidR="006A3DBC" w:rsidRPr="00F94AC4" w:rsidRDefault="006A3DBC" w:rsidP="005F4A92">
            <w:pPr>
              <w:jc w:val="both"/>
              <w:rPr>
                <w:rFonts w:cs="Arial"/>
                <w:sz w:val="18"/>
                <w:szCs w:val="18"/>
              </w:rPr>
            </w:pPr>
            <w:r w:rsidRPr="00F94AC4">
              <w:rPr>
                <w:rFonts w:cs="Arial"/>
                <w:sz w:val="18"/>
                <w:szCs w:val="18"/>
              </w:rPr>
              <w:t>32. Es amigable con la biodiversidad de especies vegetales y animales.</w:t>
            </w:r>
          </w:p>
          <w:p w14:paraId="713A8597" w14:textId="77777777" w:rsidR="006A3DBC" w:rsidRPr="00F94AC4" w:rsidRDefault="006A3DBC" w:rsidP="005F4A92">
            <w:pPr>
              <w:jc w:val="both"/>
              <w:rPr>
                <w:rFonts w:cs="Arial"/>
                <w:sz w:val="18"/>
                <w:szCs w:val="18"/>
              </w:rPr>
            </w:pPr>
          </w:p>
          <w:p w14:paraId="6D23DCA0" w14:textId="77777777" w:rsidR="006A3DBC" w:rsidRPr="00F94AC4" w:rsidRDefault="006A3DBC" w:rsidP="005F4A92">
            <w:pPr>
              <w:jc w:val="both"/>
              <w:rPr>
                <w:rFonts w:cs="Arial"/>
                <w:sz w:val="18"/>
                <w:szCs w:val="18"/>
              </w:rPr>
            </w:pPr>
            <w:r w:rsidRPr="00F94AC4">
              <w:rPr>
                <w:rFonts w:cs="Arial"/>
                <w:sz w:val="18"/>
                <w:szCs w:val="18"/>
              </w:rPr>
              <w:t>33. Permite el aprovechamiento de residuos biodegradables en el proceso productivo que disminuyen la contaminación de los suelos.</w:t>
            </w:r>
          </w:p>
          <w:p w14:paraId="13D3E030" w14:textId="77777777" w:rsidR="006A3DBC" w:rsidRPr="00F94AC4" w:rsidRDefault="006A3DBC" w:rsidP="005F4A92">
            <w:pPr>
              <w:jc w:val="both"/>
              <w:rPr>
                <w:rFonts w:cs="Arial"/>
                <w:sz w:val="18"/>
                <w:szCs w:val="18"/>
              </w:rPr>
            </w:pPr>
          </w:p>
          <w:p w14:paraId="424C40DE" w14:textId="77777777" w:rsidR="006A3DBC" w:rsidRPr="00F94AC4" w:rsidRDefault="006A3DBC" w:rsidP="005F4A92">
            <w:pPr>
              <w:jc w:val="both"/>
              <w:rPr>
                <w:rFonts w:cs="Arial"/>
                <w:sz w:val="18"/>
                <w:szCs w:val="18"/>
              </w:rPr>
            </w:pPr>
            <w:r w:rsidRPr="00F94AC4">
              <w:rPr>
                <w:rFonts w:cs="Arial"/>
                <w:sz w:val="18"/>
                <w:szCs w:val="18"/>
              </w:rPr>
              <w:t>34. Conservación de la fauna asociada al descanso, la alimentación y la procreación propias de este tipo de agroecosistemas.</w:t>
            </w:r>
          </w:p>
          <w:p w14:paraId="02615DAB" w14:textId="77777777" w:rsidR="006A3DBC" w:rsidRPr="00F94AC4" w:rsidRDefault="006A3DBC" w:rsidP="005F4A92">
            <w:pPr>
              <w:jc w:val="both"/>
              <w:rPr>
                <w:rFonts w:cs="Arial"/>
                <w:sz w:val="18"/>
                <w:szCs w:val="18"/>
              </w:rPr>
            </w:pPr>
          </w:p>
          <w:p w14:paraId="6C531481" w14:textId="77777777" w:rsidR="006A3DBC" w:rsidRPr="00F94AC4" w:rsidRDefault="006A3DBC" w:rsidP="005F4A92">
            <w:pPr>
              <w:jc w:val="both"/>
              <w:rPr>
                <w:rFonts w:cs="Arial"/>
                <w:sz w:val="18"/>
                <w:szCs w:val="18"/>
              </w:rPr>
            </w:pPr>
            <w:r w:rsidRPr="00F94AC4">
              <w:rPr>
                <w:rFonts w:cs="Arial"/>
                <w:sz w:val="18"/>
                <w:szCs w:val="18"/>
              </w:rPr>
              <w:t xml:space="preserve">35. Permite la conservación de las fuentes hídricas. </w:t>
            </w:r>
          </w:p>
          <w:p w14:paraId="4A467939" w14:textId="77777777" w:rsidR="006A3DBC" w:rsidRPr="00F94AC4" w:rsidRDefault="006A3DBC" w:rsidP="005F4A92">
            <w:pPr>
              <w:jc w:val="both"/>
              <w:rPr>
                <w:rFonts w:cs="Arial"/>
                <w:sz w:val="18"/>
                <w:szCs w:val="18"/>
              </w:rPr>
            </w:pPr>
          </w:p>
        </w:tc>
      </w:tr>
      <w:tr w:rsidR="00F94AC4" w:rsidRPr="00F94AC4" w14:paraId="64F80F34" w14:textId="77777777" w:rsidTr="005F4A92">
        <w:tc>
          <w:tcPr>
            <w:tcW w:w="10065" w:type="dxa"/>
            <w:gridSpan w:val="3"/>
            <w:shd w:val="clear" w:color="auto" w:fill="FFF2CC" w:themeFill="accent4" w:themeFillTint="33"/>
          </w:tcPr>
          <w:p w14:paraId="3F82D4DC" w14:textId="77777777" w:rsidR="006A3DBC" w:rsidRPr="00F94AC4" w:rsidRDefault="006A3DBC" w:rsidP="005F4A92">
            <w:pPr>
              <w:jc w:val="both"/>
              <w:rPr>
                <w:rFonts w:cs="Arial"/>
                <w:sz w:val="18"/>
                <w:szCs w:val="18"/>
              </w:rPr>
            </w:pPr>
            <w:r w:rsidRPr="00F94AC4">
              <w:rPr>
                <w:rFonts w:cs="Arial"/>
                <w:sz w:val="18"/>
                <w:szCs w:val="18"/>
              </w:rPr>
              <w:t>Impactos Positivos para el COMRURAL III:</w:t>
            </w:r>
            <w:r w:rsidRPr="00F94AC4">
              <w:rPr>
                <w:rFonts w:cs="Arial"/>
              </w:rPr>
              <w:t xml:space="preserve"> </w:t>
            </w:r>
            <w:r w:rsidRPr="00F94AC4">
              <w:rPr>
                <w:rFonts w:cs="Arial"/>
                <w:sz w:val="18"/>
                <w:szCs w:val="18"/>
              </w:rPr>
              <w:t xml:space="preserve">El cultivo de cacao se caracteriza por la poca utilización de tecnologías o maquinaria que afecten o contaminen, por lo general las diferentes etapas del cultivo se realizan todavía se forma manual ya que no se ha generado oferta tecnológica que en forma generalizada acuse efectos negativos. Aumentar la capacidad de beneficiado y comercialización de cacao, así como brindar seguridad laboral e institucional, mediante la incorporación de herramientas y procesos orientados al cuidado personal, buscando beneficios tanto económicos, sociales y ambientales en marco de un desarrollo del sector de manera sostenible, así como también la introducción de BPA y buenas prácticas de manufactura e inocuidad. Un fortalecimiento de la cadena productiva mediante inversiones estratégicas en el marco del ComRural, promoverá la generación de empleo rural, especialmente para jóvenes y mujeres que tienen muchas oportunidades de asociatividad y participación.  </w:t>
            </w:r>
          </w:p>
          <w:p w14:paraId="192CC115" w14:textId="77777777" w:rsidR="006A3DBC" w:rsidRPr="00F94AC4" w:rsidRDefault="006A3DBC" w:rsidP="005F4A92">
            <w:pPr>
              <w:jc w:val="both"/>
              <w:rPr>
                <w:rFonts w:cs="Arial"/>
                <w:sz w:val="18"/>
                <w:szCs w:val="18"/>
              </w:rPr>
            </w:pPr>
          </w:p>
        </w:tc>
      </w:tr>
    </w:tbl>
    <w:p w14:paraId="1B6C3029" w14:textId="77777777" w:rsidR="006A3DBC" w:rsidRPr="00FA4B2D" w:rsidRDefault="006A3DBC" w:rsidP="006A3DBC">
      <w:pPr>
        <w:spacing w:after="0" w:line="240" w:lineRule="auto"/>
        <w:jc w:val="both"/>
        <w:rPr>
          <w:rFonts w:cs="Arial"/>
        </w:rPr>
      </w:pPr>
    </w:p>
    <w:p w14:paraId="20804873" w14:textId="77777777" w:rsidR="006A3DBC" w:rsidRPr="00FA4B2D" w:rsidRDefault="006A3DBC" w:rsidP="00411720">
      <w:pPr>
        <w:pStyle w:val="Ttulo1"/>
        <w:numPr>
          <w:ilvl w:val="2"/>
          <w:numId w:val="100"/>
        </w:numPr>
        <w:jc w:val="both"/>
        <w:rPr>
          <w:rFonts w:ascii="Arial" w:hAnsi="Arial" w:cs="Arial"/>
          <w:b/>
          <w:bCs/>
          <w:color w:val="767171" w:themeColor="background2" w:themeShade="80"/>
          <w:sz w:val="22"/>
          <w:szCs w:val="22"/>
        </w:rPr>
      </w:pPr>
      <w:bookmarkStart w:id="829" w:name="_Toc65857055"/>
      <w:bookmarkStart w:id="830" w:name="_Toc65857151"/>
      <w:bookmarkStart w:id="831" w:name="_Toc65857213"/>
      <w:bookmarkStart w:id="832" w:name="_Toc65857427"/>
      <w:bookmarkStart w:id="833" w:name="_Toc65866000"/>
      <w:bookmarkStart w:id="834" w:name="_Toc65877235"/>
      <w:bookmarkStart w:id="835" w:name="_Toc65877383"/>
      <w:bookmarkStart w:id="836" w:name="_Toc65881362"/>
      <w:bookmarkStart w:id="837" w:name="_Toc65882236"/>
      <w:bookmarkStart w:id="838" w:name="_Toc65884192"/>
      <w:bookmarkStart w:id="839" w:name="_Toc66035470"/>
      <w:bookmarkStart w:id="840" w:name="_Toc66037092"/>
      <w:bookmarkStart w:id="841" w:name="_Toc66038476"/>
      <w:bookmarkStart w:id="842" w:name="_Toc66038595"/>
      <w:bookmarkStart w:id="843" w:name="_Toc66038757"/>
      <w:bookmarkStart w:id="844" w:name="_Toc66039213"/>
      <w:bookmarkStart w:id="845" w:name="_Toc66223559"/>
      <w:bookmarkStart w:id="846" w:name="_Toc67238092"/>
      <w:bookmarkStart w:id="847" w:name="_Toc67240531"/>
      <w:bookmarkStart w:id="848" w:name="_Toc67240771"/>
      <w:bookmarkStart w:id="849" w:name="_Toc67240970"/>
      <w:bookmarkStart w:id="850" w:name="_Toc67241165"/>
      <w:bookmarkStart w:id="851" w:name="_Toc67241356"/>
      <w:bookmarkStart w:id="852" w:name="_Toc67241541"/>
      <w:bookmarkStart w:id="853" w:name="_Toc67241737"/>
      <w:bookmarkStart w:id="854" w:name="_Toc67241845"/>
      <w:bookmarkStart w:id="855" w:name="_Toc67241919"/>
      <w:bookmarkStart w:id="856" w:name="_Toc67242033"/>
      <w:bookmarkStart w:id="857" w:name="_Toc67242104"/>
      <w:bookmarkStart w:id="858" w:name="_Toc67242753"/>
      <w:bookmarkStart w:id="859" w:name="_Toc67243147"/>
      <w:bookmarkStart w:id="860" w:name="_Toc67243808"/>
      <w:bookmarkStart w:id="861" w:name="_Toc65857062"/>
      <w:bookmarkStart w:id="862" w:name="_Toc65857158"/>
      <w:bookmarkStart w:id="863" w:name="_Toc65857220"/>
      <w:bookmarkStart w:id="864" w:name="_Toc65857434"/>
      <w:bookmarkStart w:id="865" w:name="_Toc65866007"/>
      <w:bookmarkStart w:id="866" w:name="_Toc65877242"/>
      <w:bookmarkStart w:id="867" w:name="_Toc65877390"/>
      <w:bookmarkStart w:id="868" w:name="_Toc65881369"/>
      <w:bookmarkStart w:id="869" w:name="_Toc65882243"/>
      <w:bookmarkStart w:id="870" w:name="_Toc65884199"/>
      <w:bookmarkStart w:id="871" w:name="_Toc66035477"/>
      <w:bookmarkStart w:id="872" w:name="_Toc66037099"/>
      <w:bookmarkStart w:id="873" w:name="_Toc66038483"/>
      <w:bookmarkStart w:id="874" w:name="_Toc66038602"/>
      <w:bookmarkStart w:id="875" w:name="_Toc66038764"/>
      <w:bookmarkStart w:id="876" w:name="_Toc66039220"/>
      <w:bookmarkStart w:id="877" w:name="_Toc66223566"/>
      <w:bookmarkStart w:id="878" w:name="_Toc67238099"/>
      <w:bookmarkStart w:id="879" w:name="_Toc67240538"/>
      <w:bookmarkStart w:id="880" w:name="_Toc67240778"/>
      <w:bookmarkStart w:id="881" w:name="_Toc67240977"/>
      <w:bookmarkStart w:id="882" w:name="_Toc67241172"/>
      <w:bookmarkStart w:id="883" w:name="_Toc67241363"/>
      <w:bookmarkStart w:id="884" w:name="_Toc67241548"/>
      <w:bookmarkStart w:id="885" w:name="_Toc67241744"/>
      <w:bookmarkStart w:id="886" w:name="_Toc67241852"/>
      <w:bookmarkStart w:id="887" w:name="_Toc67241926"/>
      <w:bookmarkStart w:id="888" w:name="_Toc67242040"/>
      <w:bookmarkStart w:id="889" w:name="_Toc67242111"/>
      <w:bookmarkStart w:id="890" w:name="_Toc67242760"/>
      <w:bookmarkStart w:id="891" w:name="_Toc67243154"/>
      <w:bookmarkStart w:id="892" w:name="_Toc67243815"/>
      <w:bookmarkStart w:id="893" w:name="_Toc65884200"/>
      <w:bookmarkStart w:id="894" w:name="_Toc67573415"/>
      <w:bookmarkStart w:id="895" w:name="_Toc202456943"/>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r w:rsidRPr="00FA4B2D">
        <w:rPr>
          <w:rFonts w:ascii="Arial" w:hAnsi="Arial" w:cs="Arial"/>
          <w:b/>
          <w:bCs/>
          <w:color w:val="767171" w:themeColor="background2" w:themeShade="80"/>
          <w:sz w:val="22"/>
          <w:szCs w:val="22"/>
        </w:rPr>
        <w:t>Riesgos e impactos ambientales y sociales</w:t>
      </w:r>
      <w:bookmarkEnd w:id="893"/>
      <w:bookmarkEnd w:id="894"/>
      <w:bookmarkEnd w:id="895"/>
      <w:r w:rsidRPr="00FA4B2D">
        <w:rPr>
          <w:rFonts w:ascii="Arial" w:hAnsi="Arial" w:cs="Arial"/>
          <w:b/>
          <w:bCs/>
          <w:color w:val="767171" w:themeColor="background2" w:themeShade="80"/>
          <w:sz w:val="22"/>
          <w:szCs w:val="22"/>
        </w:rPr>
        <w:t xml:space="preserve"> </w:t>
      </w:r>
    </w:p>
    <w:p w14:paraId="7468160D" w14:textId="77777777" w:rsidR="006A3DBC" w:rsidRPr="00FA4B2D" w:rsidRDefault="006A3DBC" w:rsidP="006A3DBC">
      <w:pPr>
        <w:spacing w:after="0" w:line="240" w:lineRule="auto"/>
        <w:jc w:val="both"/>
        <w:rPr>
          <w:rFonts w:cs="Arial"/>
          <w:lang w:val="es-HN"/>
        </w:rPr>
      </w:pPr>
    </w:p>
    <w:p w14:paraId="5822EC5A" w14:textId="77777777" w:rsidR="006A3DBC" w:rsidRPr="00FA4B2D" w:rsidRDefault="006A3DBC" w:rsidP="006A3DBC">
      <w:pPr>
        <w:spacing w:after="0" w:line="240" w:lineRule="auto"/>
        <w:jc w:val="both"/>
        <w:rPr>
          <w:rFonts w:cs="Arial"/>
          <w:lang w:val="es-HN"/>
        </w:rPr>
      </w:pPr>
      <w:r w:rsidRPr="00FA4B2D">
        <w:rPr>
          <w:rFonts w:cs="Arial"/>
          <w:lang w:val="es-HN"/>
        </w:rPr>
        <w:t xml:space="preserve">Pese a sus múltiples ventajas, si las inversiones y proyectos de incentivo y mejora de los sistemas de producción de las diferentes cadenas de valor no están adecuadamente diseñados y manejados, pueden tener impactos negativos ambientales y/o sociales y hasta en la productividad y, por ende, en el bienestar de la población. </w:t>
      </w:r>
    </w:p>
    <w:p w14:paraId="4ED22DCF" w14:textId="77777777" w:rsidR="006A3DBC" w:rsidRPr="00FA4B2D" w:rsidRDefault="006A3DBC" w:rsidP="006A3DBC">
      <w:pPr>
        <w:spacing w:after="0" w:line="240" w:lineRule="auto"/>
        <w:jc w:val="both"/>
        <w:rPr>
          <w:rFonts w:cs="Arial"/>
          <w:lang w:val="es-HN"/>
        </w:rPr>
      </w:pPr>
    </w:p>
    <w:p w14:paraId="7034345D" w14:textId="5633DF00" w:rsidR="006A3DBC" w:rsidRPr="00FA4B2D" w:rsidRDefault="006A3DBC" w:rsidP="006A3DBC">
      <w:pPr>
        <w:spacing w:after="0" w:line="240" w:lineRule="auto"/>
        <w:jc w:val="both"/>
        <w:rPr>
          <w:rFonts w:cs="Arial"/>
          <w:lang w:val="es-HN"/>
        </w:rPr>
      </w:pPr>
      <w:r w:rsidRPr="00FA4B2D">
        <w:rPr>
          <w:rFonts w:cs="Arial"/>
          <w:lang w:val="es-HN"/>
        </w:rPr>
        <w:t>Los riesgos e impactos negativos que puedan suscitarse COMRURAL</w:t>
      </w:r>
      <w:r w:rsidR="00C450D9" w:rsidRPr="00FA4B2D">
        <w:rPr>
          <w:rFonts w:cs="Arial"/>
          <w:lang w:val="es-HN"/>
        </w:rPr>
        <w:t xml:space="preserve"> III</w:t>
      </w:r>
      <w:r w:rsidRPr="00FA4B2D">
        <w:rPr>
          <w:rFonts w:cs="Arial"/>
          <w:lang w:val="es-HN"/>
        </w:rPr>
        <w:t>, se detallan por componente y principales actividades a continuación.</w:t>
      </w:r>
    </w:p>
    <w:p w14:paraId="1DC9CFA5" w14:textId="77777777" w:rsidR="006A3DBC" w:rsidRPr="00FA4B2D" w:rsidRDefault="006A3DBC" w:rsidP="006A3DBC">
      <w:pPr>
        <w:spacing w:after="0" w:line="240" w:lineRule="auto"/>
        <w:jc w:val="both"/>
        <w:rPr>
          <w:rFonts w:cs="Arial"/>
          <w:lang w:val="es-HN"/>
        </w:rPr>
        <w:sectPr w:rsidR="006A3DBC" w:rsidRPr="00FA4B2D" w:rsidSect="005F4A92">
          <w:pgSz w:w="12240" w:h="15840"/>
          <w:pgMar w:top="1417" w:right="1750" w:bottom="1417" w:left="1560" w:header="708" w:footer="708" w:gutter="0"/>
          <w:cols w:space="708"/>
          <w:docGrid w:linePitch="360"/>
        </w:sectPr>
      </w:pPr>
    </w:p>
    <w:p w14:paraId="622FAA28" w14:textId="6C126B18" w:rsidR="006A3DBC" w:rsidRPr="00FA4B2D" w:rsidRDefault="006A3DBC" w:rsidP="006A3DBC">
      <w:pPr>
        <w:pStyle w:val="Descripcin"/>
        <w:jc w:val="center"/>
        <w:rPr>
          <w:rFonts w:cs="Arial"/>
          <w:b/>
          <w:bCs/>
          <w:i w:val="0"/>
          <w:iCs w:val="0"/>
          <w:color w:val="767171" w:themeColor="background2" w:themeShade="80"/>
          <w:sz w:val="22"/>
          <w:szCs w:val="22"/>
          <w:lang w:val="es-HN"/>
        </w:rPr>
      </w:pPr>
      <w:bookmarkStart w:id="896" w:name="_Toc65884253"/>
      <w:bookmarkStart w:id="897" w:name="_Toc67573503"/>
      <w:r w:rsidRPr="00FA4B2D">
        <w:rPr>
          <w:rFonts w:cs="Arial"/>
          <w:b/>
          <w:bCs/>
          <w:i w:val="0"/>
          <w:iCs w:val="0"/>
          <w:color w:val="767171" w:themeColor="background2" w:themeShade="80"/>
          <w:sz w:val="22"/>
          <w:szCs w:val="22"/>
        </w:rPr>
        <w:lastRenderedPageBreak/>
        <w:t xml:space="preserve">Riesgos e </w:t>
      </w:r>
      <w:r w:rsidRPr="00FA4B2D">
        <w:rPr>
          <w:rFonts w:cs="Arial"/>
          <w:b/>
          <w:bCs/>
          <w:i w:val="0"/>
          <w:iCs w:val="0"/>
          <w:color w:val="767171" w:themeColor="background2" w:themeShade="80"/>
          <w:sz w:val="22"/>
          <w:szCs w:val="22"/>
          <w:lang w:val="es-HN"/>
        </w:rPr>
        <w:t>impactos ambientales y sociales y medidas de mitigación</w:t>
      </w:r>
      <w:bookmarkEnd w:id="896"/>
      <w:bookmarkEnd w:id="897"/>
    </w:p>
    <w:p w14:paraId="5FCA2169" w14:textId="5DE6AEE5" w:rsidR="000E6D86" w:rsidRDefault="000E6D86" w:rsidP="000E6D86">
      <w:pPr>
        <w:pStyle w:val="Descripcin"/>
        <w:keepNext/>
      </w:pPr>
      <w:bookmarkStart w:id="898" w:name="_Toc202455482"/>
      <w:r>
        <w:t xml:space="preserve">Tabla </w:t>
      </w:r>
      <w:r>
        <w:fldChar w:fldCharType="begin"/>
      </w:r>
      <w:r>
        <w:instrText xml:space="preserve"> SEQ Tabla \* ARABIC </w:instrText>
      </w:r>
      <w:r>
        <w:fldChar w:fldCharType="separate"/>
      </w:r>
      <w:r>
        <w:rPr>
          <w:noProof/>
        </w:rPr>
        <w:t>56</w:t>
      </w:r>
      <w:r>
        <w:fldChar w:fldCharType="end"/>
      </w:r>
      <w:r>
        <w:t xml:space="preserve">: </w:t>
      </w:r>
      <w:r w:rsidRPr="003C50B4">
        <w:t>Análisis de riesgos e impactos ambientales negativos y medidas de mitigación</w:t>
      </w:r>
      <w:bookmarkEnd w:id="898"/>
    </w:p>
    <w:tbl>
      <w:tblPr>
        <w:tblStyle w:val="Tablanormal1"/>
        <w:tblW w:w="13325" w:type="dxa"/>
        <w:tblInd w:w="-147" w:type="dxa"/>
        <w:tblLayout w:type="fixed"/>
        <w:tblLook w:val="04A0" w:firstRow="1" w:lastRow="0" w:firstColumn="1" w:lastColumn="0" w:noHBand="0" w:noVBand="1"/>
      </w:tblPr>
      <w:tblGrid>
        <w:gridCol w:w="1620"/>
        <w:gridCol w:w="3767"/>
        <w:gridCol w:w="3402"/>
        <w:gridCol w:w="4536"/>
      </w:tblGrid>
      <w:tr w:rsidR="000E6D86" w:rsidRPr="000E6D86" w14:paraId="10CF2B31" w14:textId="77777777" w:rsidTr="37B44ACB">
        <w:trPr>
          <w:cnfStyle w:val="100000000000" w:firstRow="1" w:lastRow="0" w:firstColumn="0" w:lastColumn="0" w:oddVBand="0" w:evenVBand="0" w:oddHBand="0" w:evenHBand="0" w:firstRowFirstColumn="0" w:firstRowLastColumn="0" w:lastRowFirstColumn="0" w:lastRowLastColumn="0"/>
          <w:trHeight w:val="422"/>
          <w:tblHeader/>
        </w:trPr>
        <w:tc>
          <w:tcPr>
            <w:cnfStyle w:val="001000000000" w:firstRow="0" w:lastRow="0" w:firstColumn="1" w:lastColumn="0" w:oddVBand="0" w:evenVBand="0" w:oddHBand="0" w:evenHBand="0" w:firstRowFirstColumn="0" w:firstRowLastColumn="0" w:lastRowFirstColumn="0" w:lastRowLastColumn="0"/>
            <w:tcW w:w="1620" w:type="dxa"/>
            <w:shd w:val="clear" w:color="auto" w:fill="5CC5DA"/>
            <w:vAlign w:val="center"/>
          </w:tcPr>
          <w:p w14:paraId="5F60B00C" w14:textId="77777777" w:rsidR="006A3DBC" w:rsidRPr="000E6D86" w:rsidRDefault="006A3DBC" w:rsidP="005F4A92">
            <w:pPr>
              <w:spacing w:after="60"/>
              <w:jc w:val="center"/>
              <w:rPr>
                <w:rFonts w:cs="Arial"/>
                <w:iCs/>
                <w:sz w:val="18"/>
                <w:szCs w:val="18"/>
                <w:lang w:val="es-ES"/>
              </w:rPr>
            </w:pPr>
            <w:r w:rsidRPr="000E6D86">
              <w:rPr>
                <w:rFonts w:cs="Arial"/>
                <w:iCs/>
                <w:sz w:val="18"/>
                <w:szCs w:val="18"/>
                <w:lang w:val="es-ES"/>
              </w:rPr>
              <w:t>Componente</w:t>
            </w:r>
          </w:p>
        </w:tc>
        <w:tc>
          <w:tcPr>
            <w:tcW w:w="3767" w:type="dxa"/>
            <w:shd w:val="clear" w:color="auto" w:fill="5CC5DA"/>
            <w:vAlign w:val="center"/>
          </w:tcPr>
          <w:p w14:paraId="1B4EB106" w14:textId="77777777" w:rsidR="006A3DBC" w:rsidRPr="000E6D86" w:rsidRDefault="006A3DBC" w:rsidP="005F4A92">
            <w:pPr>
              <w:spacing w:after="60"/>
              <w:jc w:val="center"/>
              <w:cnfStyle w:val="100000000000" w:firstRow="1" w:lastRow="0" w:firstColumn="0" w:lastColumn="0" w:oddVBand="0" w:evenVBand="0" w:oddHBand="0" w:evenHBand="0" w:firstRowFirstColumn="0" w:firstRowLastColumn="0" w:lastRowFirstColumn="0" w:lastRowLastColumn="0"/>
              <w:rPr>
                <w:rFonts w:cs="Arial"/>
                <w:iCs/>
                <w:sz w:val="18"/>
                <w:szCs w:val="18"/>
                <w:lang w:val="es-ES"/>
              </w:rPr>
            </w:pPr>
            <w:r w:rsidRPr="000E6D86">
              <w:rPr>
                <w:rFonts w:cs="Arial"/>
                <w:iCs/>
                <w:sz w:val="18"/>
                <w:szCs w:val="18"/>
                <w:lang w:val="es-ES"/>
              </w:rPr>
              <w:t>Principales actividades</w:t>
            </w:r>
          </w:p>
        </w:tc>
        <w:tc>
          <w:tcPr>
            <w:tcW w:w="3402" w:type="dxa"/>
            <w:shd w:val="clear" w:color="auto" w:fill="5CC5DA"/>
            <w:vAlign w:val="center"/>
          </w:tcPr>
          <w:p w14:paraId="34EA05E7" w14:textId="77777777" w:rsidR="006A3DBC" w:rsidRPr="000E6D86" w:rsidRDefault="006A3DBC" w:rsidP="005F4A92">
            <w:pPr>
              <w:spacing w:after="60"/>
              <w:jc w:val="center"/>
              <w:cnfStyle w:val="100000000000" w:firstRow="1" w:lastRow="0" w:firstColumn="0" w:lastColumn="0" w:oddVBand="0" w:evenVBand="0" w:oddHBand="0" w:evenHBand="0" w:firstRowFirstColumn="0" w:firstRowLastColumn="0" w:lastRowFirstColumn="0" w:lastRowLastColumn="0"/>
              <w:rPr>
                <w:rFonts w:cs="Arial"/>
                <w:iCs/>
                <w:sz w:val="18"/>
                <w:szCs w:val="18"/>
                <w:lang w:val="es-ES"/>
              </w:rPr>
            </w:pPr>
            <w:r w:rsidRPr="000E6D86">
              <w:rPr>
                <w:rFonts w:cs="Arial"/>
                <w:bCs w:val="0"/>
                <w:spacing w:val="-2"/>
                <w:sz w:val="18"/>
                <w:szCs w:val="18"/>
                <w:lang w:val="es-ES"/>
              </w:rPr>
              <w:t>R</w:t>
            </w:r>
            <w:r w:rsidRPr="000E6D86">
              <w:rPr>
                <w:rFonts w:cs="Arial"/>
                <w:bCs w:val="0"/>
                <w:spacing w:val="2"/>
                <w:sz w:val="18"/>
                <w:szCs w:val="18"/>
                <w:lang w:val="es-ES"/>
              </w:rPr>
              <w:t>ie</w:t>
            </w:r>
            <w:r w:rsidRPr="000E6D86">
              <w:rPr>
                <w:rFonts w:cs="Arial"/>
                <w:bCs w:val="0"/>
                <w:spacing w:val="-2"/>
                <w:sz w:val="18"/>
                <w:szCs w:val="18"/>
                <w:lang w:val="es-ES"/>
              </w:rPr>
              <w:t>s</w:t>
            </w:r>
            <w:r w:rsidRPr="000E6D86">
              <w:rPr>
                <w:rFonts w:cs="Arial"/>
                <w:bCs w:val="0"/>
                <w:sz w:val="18"/>
                <w:szCs w:val="18"/>
                <w:lang w:val="es-ES"/>
              </w:rPr>
              <w:t>go</w:t>
            </w:r>
            <w:r w:rsidRPr="000E6D86">
              <w:rPr>
                <w:rFonts w:cs="Arial"/>
                <w:bCs w:val="0"/>
                <w:spacing w:val="-2"/>
                <w:sz w:val="18"/>
                <w:szCs w:val="18"/>
                <w:lang w:val="es-ES"/>
              </w:rPr>
              <w:t xml:space="preserve"> e Impactos Ambientales y Sociales</w:t>
            </w:r>
          </w:p>
        </w:tc>
        <w:tc>
          <w:tcPr>
            <w:tcW w:w="4536" w:type="dxa"/>
            <w:shd w:val="clear" w:color="auto" w:fill="5CC5DA"/>
            <w:vAlign w:val="center"/>
          </w:tcPr>
          <w:p w14:paraId="10F136C7" w14:textId="77777777" w:rsidR="006A3DBC" w:rsidRPr="000E6D86" w:rsidRDefault="006A3DBC" w:rsidP="005F4A92">
            <w:pPr>
              <w:spacing w:after="60"/>
              <w:jc w:val="center"/>
              <w:cnfStyle w:val="100000000000" w:firstRow="1" w:lastRow="0" w:firstColumn="0" w:lastColumn="0" w:oddVBand="0" w:evenVBand="0" w:oddHBand="0" w:evenHBand="0" w:firstRowFirstColumn="0" w:firstRowLastColumn="0" w:lastRowFirstColumn="0" w:lastRowLastColumn="0"/>
              <w:rPr>
                <w:rFonts w:cs="Arial"/>
                <w:iCs/>
                <w:sz w:val="18"/>
                <w:szCs w:val="18"/>
                <w:lang w:val="es-ES"/>
              </w:rPr>
            </w:pPr>
            <w:r w:rsidRPr="000E6D86">
              <w:rPr>
                <w:rFonts w:cs="Arial"/>
                <w:bCs w:val="0"/>
                <w:spacing w:val="2"/>
                <w:sz w:val="18"/>
                <w:szCs w:val="18"/>
                <w:lang w:val="es-ES"/>
              </w:rPr>
              <w:t>Me</w:t>
            </w:r>
            <w:r w:rsidRPr="000E6D86">
              <w:rPr>
                <w:rFonts w:cs="Arial"/>
                <w:bCs w:val="0"/>
                <w:spacing w:val="-2"/>
                <w:sz w:val="18"/>
                <w:szCs w:val="18"/>
                <w:lang w:val="es-ES"/>
              </w:rPr>
              <w:t>d</w:t>
            </w:r>
            <w:r w:rsidRPr="000E6D86">
              <w:rPr>
                <w:rFonts w:cs="Arial"/>
                <w:bCs w:val="0"/>
                <w:spacing w:val="2"/>
                <w:sz w:val="18"/>
                <w:szCs w:val="18"/>
                <w:lang w:val="es-ES"/>
              </w:rPr>
              <w:t>i</w:t>
            </w:r>
            <w:r w:rsidRPr="000E6D86">
              <w:rPr>
                <w:rFonts w:cs="Arial"/>
                <w:bCs w:val="0"/>
                <w:spacing w:val="-2"/>
                <w:sz w:val="18"/>
                <w:szCs w:val="18"/>
                <w:lang w:val="es-ES"/>
              </w:rPr>
              <w:t>d</w:t>
            </w:r>
            <w:r w:rsidRPr="000E6D86">
              <w:rPr>
                <w:rFonts w:cs="Arial"/>
                <w:bCs w:val="0"/>
                <w:sz w:val="18"/>
                <w:szCs w:val="18"/>
                <w:lang w:val="es-ES"/>
              </w:rPr>
              <w:t>as</w:t>
            </w:r>
            <w:r w:rsidRPr="000E6D86">
              <w:rPr>
                <w:rFonts w:cs="Arial"/>
                <w:bCs w:val="0"/>
                <w:spacing w:val="-4"/>
                <w:sz w:val="18"/>
                <w:szCs w:val="18"/>
                <w:lang w:val="es-ES"/>
              </w:rPr>
              <w:t xml:space="preserve"> </w:t>
            </w:r>
            <w:r w:rsidRPr="000E6D86">
              <w:rPr>
                <w:rFonts w:cs="Arial"/>
                <w:bCs w:val="0"/>
                <w:spacing w:val="-2"/>
                <w:sz w:val="18"/>
                <w:szCs w:val="18"/>
                <w:lang w:val="es-ES"/>
              </w:rPr>
              <w:t>d</w:t>
            </w:r>
            <w:r w:rsidRPr="000E6D86">
              <w:rPr>
                <w:rFonts w:cs="Arial"/>
                <w:bCs w:val="0"/>
                <w:sz w:val="18"/>
                <w:szCs w:val="18"/>
                <w:lang w:val="es-ES"/>
              </w:rPr>
              <w:t>e Mitigación/Instrumentos</w:t>
            </w:r>
          </w:p>
        </w:tc>
      </w:tr>
      <w:tr w:rsidR="000E6D86" w:rsidRPr="000E6D86" w14:paraId="21B3953D" w14:textId="77777777" w:rsidTr="37B44ACB">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1620" w:type="dxa"/>
            <w:vMerge w:val="restart"/>
            <w:vAlign w:val="center"/>
          </w:tcPr>
          <w:p w14:paraId="76B8A16F" w14:textId="77777777" w:rsidR="006A3DBC" w:rsidRPr="000E6D86" w:rsidRDefault="006A3DBC" w:rsidP="005F4A92">
            <w:pPr>
              <w:tabs>
                <w:tab w:val="left" w:pos="0"/>
              </w:tabs>
              <w:jc w:val="both"/>
              <w:rPr>
                <w:rFonts w:cs="Arial"/>
                <w:b w:val="0"/>
                <w:bCs w:val="0"/>
                <w:sz w:val="18"/>
                <w:szCs w:val="18"/>
              </w:rPr>
            </w:pPr>
            <w:r w:rsidRPr="000E6D86">
              <w:rPr>
                <w:rFonts w:cs="Arial"/>
                <w:b w:val="0"/>
                <w:bCs w:val="0"/>
                <w:sz w:val="18"/>
                <w:szCs w:val="18"/>
              </w:rPr>
              <w:t xml:space="preserve">Componente 1: </w:t>
            </w:r>
          </w:p>
          <w:p w14:paraId="241606BA" w14:textId="77777777" w:rsidR="006A3DBC" w:rsidRPr="000E6D86" w:rsidRDefault="006A3DBC" w:rsidP="00897C39">
            <w:pPr>
              <w:tabs>
                <w:tab w:val="left" w:pos="0"/>
              </w:tabs>
              <w:jc w:val="both"/>
              <w:rPr>
                <w:rFonts w:cs="Arial"/>
                <w:sz w:val="18"/>
                <w:szCs w:val="18"/>
              </w:rPr>
            </w:pPr>
            <w:r w:rsidRPr="000E6D86">
              <w:rPr>
                <w:rFonts w:cs="Arial"/>
                <w:sz w:val="18"/>
                <w:szCs w:val="18"/>
              </w:rPr>
              <w:t xml:space="preserve">Mejora de la competitividad y la resiliencia en las cadenas de valor priorizadas </w:t>
            </w:r>
          </w:p>
          <w:p w14:paraId="7C0CDA85" w14:textId="77777777" w:rsidR="006A3DBC" w:rsidRPr="000E6D86" w:rsidRDefault="006A3DBC" w:rsidP="005F4A92">
            <w:pPr>
              <w:rPr>
                <w:rFonts w:cs="Arial"/>
                <w:b w:val="0"/>
                <w:sz w:val="18"/>
                <w:szCs w:val="18"/>
              </w:rPr>
            </w:pPr>
          </w:p>
        </w:tc>
        <w:tc>
          <w:tcPr>
            <w:tcW w:w="3767" w:type="dxa"/>
            <w:vAlign w:val="center"/>
          </w:tcPr>
          <w:p w14:paraId="14280F10" w14:textId="77777777" w:rsidR="006A3DBC" w:rsidRPr="000E6D86" w:rsidRDefault="006A3DBC" w:rsidP="005F4A92">
            <w:pPr>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0E6D86">
              <w:rPr>
                <w:rFonts w:cs="Arial"/>
                <w:sz w:val="18"/>
                <w:szCs w:val="18"/>
              </w:rPr>
              <w:t>Cofinanciar subproyectos para iniciativas agroindustriales competitivas, innovadoras y resilientes al clima (subproyectos o PdNs) en cadenas de valor agroalimentarias priorizadas. Iniciativas como, por ejemplo:</w:t>
            </w:r>
          </w:p>
          <w:p w14:paraId="5FD69E45" w14:textId="77777777" w:rsidR="006A3DBC" w:rsidRPr="000E6D86" w:rsidRDefault="006A3DBC" w:rsidP="004A4FBC">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lang w:val="es-ES"/>
              </w:rPr>
              <w:t>Inversiones para la mitigación y adaptación al cambio climático (incluyendo la mejora de la capacidad de resiliencia). Prácticas de silvopastoreo; prácticas de manejo de suelo que reducen la erosión y limitan la evapotranspiración; técnicas de uso eficiente del agua para la agricultura.</w:t>
            </w:r>
          </w:p>
          <w:p w14:paraId="4782A584" w14:textId="77777777" w:rsidR="006A3DBC" w:rsidRPr="000E6D86" w:rsidRDefault="006A3DBC" w:rsidP="004A4FBC">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lang w:val="es-ES"/>
              </w:rPr>
              <w:t>Desarrollo de riego por parte de agricultores y de sistemas de riego colectivo de pequeña escala (recolección y almacenamiento de agua; construcción de sistemas de riego y drenaje de pequeña escala de gestión colectiva).</w:t>
            </w:r>
          </w:p>
          <w:p w14:paraId="7A149ABB" w14:textId="77777777" w:rsidR="006A3DBC" w:rsidRPr="000E6D86" w:rsidRDefault="006A3DBC" w:rsidP="004A4FBC">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lang w:val="es-ES"/>
              </w:rPr>
              <w:t>Tecnologías de riego en finca que aumentan la productividad y el ahorro de agua (principalmente por goteo) y sistemas de bombeo de bajo costo (alimentados por energía solar).</w:t>
            </w:r>
          </w:p>
          <w:p w14:paraId="0380F9B7" w14:textId="77777777" w:rsidR="006A3DBC" w:rsidRPr="000E6D86" w:rsidRDefault="006A3DBC" w:rsidP="004A4FBC">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lang w:val="es-ES"/>
              </w:rPr>
              <w:t>Preparación de tierras para producción primaria (mecanización, entre otros).</w:t>
            </w:r>
          </w:p>
          <w:p w14:paraId="05F885AD" w14:textId="77777777" w:rsidR="006A3DBC" w:rsidRPr="000E6D86" w:rsidRDefault="006A3DBC" w:rsidP="004A4FBC">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lang w:val="es-ES"/>
              </w:rPr>
              <w:t>Construcción de invernaderos, cercas u otras para producción primaria.</w:t>
            </w:r>
          </w:p>
          <w:p w14:paraId="2A2CE70F" w14:textId="77777777" w:rsidR="006A3DBC" w:rsidRPr="000E6D86" w:rsidRDefault="006A3DBC" w:rsidP="004A4FBC">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lang w:val="es-ES"/>
              </w:rPr>
              <w:t>Establecimiento de sistemas de agricultura inteligente.</w:t>
            </w:r>
          </w:p>
          <w:p w14:paraId="17A9008B" w14:textId="77777777" w:rsidR="006A3DBC" w:rsidRPr="000E6D86" w:rsidRDefault="006A3DBC" w:rsidP="004A4FBC">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lang w:val="es-ES"/>
              </w:rPr>
              <w:t xml:space="preserve">Promoción o fortalecimiento de negocios verdes: generación de energía limpia (solar, mediante quema de bagazo, metano, etc.), que liberen presión energética al sistema público y </w:t>
            </w:r>
            <w:r w:rsidRPr="000E6D86">
              <w:rPr>
                <w:rFonts w:cs="Arial"/>
                <w:sz w:val="18"/>
                <w:szCs w:val="18"/>
                <w:lang w:val="es-ES"/>
              </w:rPr>
              <w:lastRenderedPageBreak/>
              <w:t>que sean eco-rentables, eficiencia energética, reducción de combustibles fósiles, buen manejo de residuos sólidos en planta y en finca y eficiencia en el uso del agua en plantas procesadoras.</w:t>
            </w:r>
          </w:p>
          <w:p w14:paraId="4986A305" w14:textId="77777777" w:rsidR="006A3DBC" w:rsidRPr="000E6D86" w:rsidRDefault="006A3DBC" w:rsidP="004A4FBC">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lang w:val="es-ES"/>
              </w:rPr>
              <w:t>Construcción o mejoramiento de plantas de procesamiento, centros de acopio u otras estructuras fijas ya existentes.</w:t>
            </w:r>
          </w:p>
          <w:p w14:paraId="4D28DE71" w14:textId="77777777" w:rsidR="006A3DBC" w:rsidRPr="000E6D86" w:rsidRDefault="006A3DBC" w:rsidP="004A4FBC">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lang w:val="es-ES"/>
              </w:rPr>
              <w:t>Promoción o fortalecimiento de procesamiento agroindustrial.</w:t>
            </w:r>
          </w:p>
          <w:p w14:paraId="33EA76E8" w14:textId="77777777" w:rsidR="006A3DBC" w:rsidRPr="000E6D86" w:rsidRDefault="006A3DBC" w:rsidP="004A4FBC">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lang w:val="es-ES"/>
              </w:rPr>
              <w:t>Establecimiento de sistemas de recolección y distribución de productos manteniendo la cadena de frío.</w:t>
            </w:r>
          </w:p>
          <w:p w14:paraId="44E084AA" w14:textId="77777777" w:rsidR="006A3DBC" w:rsidRPr="000E6D86" w:rsidRDefault="006A3DBC" w:rsidP="004A4FBC">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0E6D86">
              <w:rPr>
                <w:rFonts w:cs="Arial"/>
                <w:sz w:val="18"/>
                <w:szCs w:val="18"/>
                <w:lang w:val="es-ES"/>
              </w:rPr>
              <w:t>Manejo y conservación de productos mediante cuartos fríos u otras necesarias.</w:t>
            </w:r>
          </w:p>
        </w:tc>
        <w:tc>
          <w:tcPr>
            <w:tcW w:w="3402" w:type="dxa"/>
            <w:vAlign w:val="center"/>
          </w:tcPr>
          <w:p w14:paraId="744E3430" w14:textId="77777777" w:rsidR="006A3DBC" w:rsidRPr="000E6D86" w:rsidRDefault="006A3DBC" w:rsidP="005F4A92">
            <w:pPr>
              <w:jc w:val="both"/>
              <w:cnfStyle w:val="000000100000" w:firstRow="0" w:lastRow="0" w:firstColumn="0" w:lastColumn="0" w:oddVBand="0" w:evenVBand="0" w:oddHBand="1" w:evenHBand="0" w:firstRowFirstColumn="0" w:firstRowLastColumn="0" w:lastRowFirstColumn="0" w:lastRowLastColumn="0"/>
              <w:rPr>
                <w:rFonts w:cs="Arial"/>
                <w:b/>
                <w:bCs/>
                <w:sz w:val="18"/>
                <w:szCs w:val="18"/>
                <w:lang w:val="es-ES"/>
              </w:rPr>
            </w:pPr>
            <w:r w:rsidRPr="000E6D86">
              <w:rPr>
                <w:rFonts w:cs="Arial"/>
                <w:b/>
                <w:bCs/>
                <w:sz w:val="18"/>
                <w:szCs w:val="18"/>
                <w:lang w:val="es-ES"/>
              </w:rPr>
              <w:lastRenderedPageBreak/>
              <w:t xml:space="preserve">Riesgos ambientales </w:t>
            </w:r>
          </w:p>
          <w:p w14:paraId="77350BBF" w14:textId="77777777" w:rsidR="006A3DBC" w:rsidRPr="000E6D86" w:rsidRDefault="006A3DBC" w:rsidP="004A4FBC">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lang w:val="es-ES"/>
              </w:rPr>
              <w:t>Pérdida de bosques: Cambio de uso del suelo si se amplía la frontera agrícola por cualquier tipo de producción, y sobre todo en áreas protegidas o en su cercanía (zonas de amortiguamiento).</w:t>
            </w:r>
          </w:p>
          <w:p w14:paraId="49109765" w14:textId="77777777" w:rsidR="006A3DBC" w:rsidRPr="000E6D86" w:rsidRDefault="006A3DBC" w:rsidP="004A4FBC">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lang w:val="es-ES"/>
              </w:rPr>
              <w:t xml:space="preserve">Pérdida de hábitats, degradación, fragmentación, debido a actividades productivas. </w:t>
            </w:r>
          </w:p>
          <w:p w14:paraId="1C8CE505" w14:textId="77777777" w:rsidR="006A3DBC" w:rsidRPr="000E6D86" w:rsidRDefault="006A3DBC" w:rsidP="004A4FBC">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lang w:val="es-ES"/>
              </w:rPr>
              <w:t>Degradación de ecosistemas frágiles en zonas de inversión.</w:t>
            </w:r>
          </w:p>
          <w:p w14:paraId="643AB6CC" w14:textId="77777777" w:rsidR="006A3DBC" w:rsidRPr="000E6D86" w:rsidRDefault="006A3DBC" w:rsidP="004A4FBC">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lang w:val="es-ES"/>
              </w:rPr>
              <w:t xml:space="preserve">Ampliación de frontera agrícola por incentivo y rentabilidad de cultivos. </w:t>
            </w:r>
          </w:p>
          <w:p w14:paraId="3B83A2FA" w14:textId="77777777" w:rsidR="006A3DBC" w:rsidRPr="000E6D86" w:rsidRDefault="006A3DBC" w:rsidP="004A4FBC">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lang w:val="es-ES"/>
              </w:rPr>
              <w:t>Erosión por cultivo en laderas.</w:t>
            </w:r>
          </w:p>
          <w:p w14:paraId="381F6B26" w14:textId="74652A50" w:rsidR="006A3DBC" w:rsidRPr="000E6D86" w:rsidRDefault="006A3DBC" w:rsidP="004A4FBC">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lang w:val="es-ES"/>
              </w:rPr>
              <w:t>Contaminación de suelo y fuentes de agua por la gestión inadecuada de residuos.</w:t>
            </w:r>
          </w:p>
          <w:p w14:paraId="48F1B054" w14:textId="67FD61D7" w:rsidR="006A3DBC" w:rsidRPr="000E6D86" w:rsidRDefault="006A3DBC" w:rsidP="004A4FBC">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lang w:val="es-ES"/>
              </w:rPr>
              <w:t xml:space="preserve">Contaminación de fuentes de agua por el uso inadecuado de agroquímicos. </w:t>
            </w:r>
          </w:p>
          <w:p w14:paraId="7B0669B8" w14:textId="77777777" w:rsidR="006A3DBC" w:rsidRPr="000E6D86" w:rsidRDefault="006A3DBC" w:rsidP="004A4FBC">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lang w:val="es-ES"/>
              </w:rPr>
              <w:t>Presión sobre los recursos hídricos y hábitat naturales por uso agrícola.</w:t>
            </w:r>
          </w:p>
          <w:p w14:paraId="4012A491" w14:textId="77777777" w:rsidR="006A3DBC" w:rsidRPr="000E6D86" w:rsidRDefault="006A3DBC" w:rsidP="004A4FBC">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lang w:val="es-ES"/>
              </w:rPr>
              <w:t>Uso excesivo de pesticidas, herbicidas fertilizantes es medio de contaminación de cursos de agua y pérdida de fertilidad del suelo ocasionando daños a la salud humana y pérdida de biodiversidad.</w:t>
            </w:r>
          </w:p>
          <w:p w14:paraId="264017BC" w14:textId="77777777" w:rsidR="006A3DBC" w:rsidRPr="000E6D86" w:rsidRDefault="006A3DBC" w:rsidP="004A4FBC">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lang w:val="es-ES"/>
              </w:rPr>
              <w:t>Daño a la capa de ozono por la emisión de gases refrigerantes prohibidos debido al uso de equipo de refrigeración.</w:t>
            </w:r>
          </w:p>
          <w:p w14:paraId="03DB3E99" w14:textId="77777777" w:rsidR="006A3DBC" w:rsidRPr="000E6D86" w:rsidRDefault="006A3DBC" w:rsidP="005F4A92">
            <w:pPr>
              <w:ind w:left="720"/>
              <w:contextualSpacing/>
              <w:cnfStyle w:val="000000100000" w:firstRow="0" w:lastRow="0" w:firstColumn="0" w:lastColumn="0" w:oddVBand="0" w:evenVBand="0" w:oddHBand="1" w:evenHBand="0" w:firstRowFirstColumn="0" w:firstRowLastColumn="0" w:lastRowFirstColumn="0" w:lastRowLastColumn="0"/>
              <w:rPr>
                <w:rFonts w:cs="Arial"/>
                <w:sz w:val="18"/>
                <w:szCs w:val="18"/>
                <w:lang w:val="es-ES"/>
              </w:rPr>
            </w:pPr>
          </w:p>
          <w:p w14:paraId="0CFD2902" w14:textId="77777777" w:rsidR="006A3DBC" w:rsidRPr="000E6D86" w:rsidRDefault="006A3DBC" w:rsidP="005F4A92">
            <w:pPr>
              <w:autoSpaceDE w:val="0"/>
              <w:autoSpaceDN w:val="0"/>
              <w:adjustRightInd w:val="0"/>
              <w:ind w:left="360"/>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p>
          <w:p w14:paraId="671AF8C2" w14:textId="77777777" w:rsidR="006A3DBC" w:rsidRPr="000E6D86" w:rsidRDefault="006A3DBC" w:rsidP="005F4A9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Arial"/>
                <w:b/>
                <w:bCs/>
                <w:sz w:val="18"/>
                <w:szCs w:val="18"/>
                <w:lang w:val="es-ES"/>
              </w:rPr>
            </w:pPr>
            <w:r w:rsidRPr="000E6D86">
              <w:rPr>
                <w:rFonts w:cs="Arial"/>
                <w:b/>
                <w:bCs/>
                <w:sz w:val="18"/>
                <w:szCs w:val="18"/>
                <w:lang w:val="es-ES"/>
              </w:rPr>
              <w:t>Riesgos sociales</w:t>
            </w:r>
          </w:p>
          <w:p w14:paraId="10C60BD0" w14:textId="77777777" w:rsidR="006A3DBC" w:rsidRPr="000E6D86" w:rsidRDefault="006A3DBC" w:rsidP="004A4FBC">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lang w:val="es-ES"/>
              </w:rPr>
              <w:lastRenderedPageBreak/>
              <w:t xml:space="preserve">Que el Proyecto no logré a corto plazo mejoras en los marcos normativos que faciliten una mayor participación de hombres y mujeres que forman parte de las organizaciones de productores rurales e iniciativas productivas locales en el medio rural de Honduras.  </w:t>
            </w:r>
          </w:p>
          <w:p w14:paraId="18BFDC2B" w14:textId="77777777" w:rsidR="006A3DBC" w:rsidRPr="000E6D86" w:rsidRDefault="006A3DBC" w:rsidP="004A4FBC">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lang w:val="es-ES"/>
              </w:rPr>
              <w:t>Población indígena, afrodescendiente y grupos vulnerables no participan en el proceso de capacitación y formación de las escuelas agrícolas por falta del diseño o estrategia inclusiva.</w:t>
            </w:r>
          </w:p>
          <w:p w14:paraId="136E1A8A" w14:textId="77777777" w:rsidR="006A3DBC" w:rsidRPr="000E6D86" w:rsidRDefault="006A3DBC" w:rsidP="004A4FBC">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lang w:val="es-ES"/>
              </w:rPr>
              <w:t>Débil coordinación y falta de convenios y acuerdos institucionales solidos duplica la inversión de recursos, confunde a la población meta y limita la participación de organizaciones de productores rurales y población objetivo del COMRURAL III.</w:t>
            </w:r>
          </w:p>
          <w:p w14:paraId="01FCED77" w14:textId="4FAEA387" w:rsidR="006A3DBC" w:rsidRPr="000E6D86" w:rsidRDefault="006A3DBC" w:rsidP="004A4FBC">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lang w:val="es-ES"/>
              </w:rPr>
              <w:t xml:space="preserve">Flujos migratorios de productores rurales que afectan sus membresías y tienen efectos adversos en la sostenibilidad de inversiones y desarrollo de acciones programadas en los </w:t>
            </w:r>
            <w:r w:rsidR="004A4FBC" w:rsidRPr="000E6D86">
              <w:rPr>
                <w:rFonts w:cs="Arial"/>
                <w:sz w:val="18"/>
                <w:szCs w:val="18"/>
                <w:lang w:val="es-ES"/>
              </w:rPr>
              <w:t>PdNs</w:t>
            </w:r>
            <w:r w:rsidRPr="000E6D86">
              <w:rPr>
                <w:rFonts w:cs="Arial"/>
                <w:sz w:val="18"/>
                <w:szCs w:val="18"/>
                <w:lang w:val="es-ES"/>
              </w:rPr>
              <w:t>.</w:t>
            </w:r>
          </w:p>
        </w:tc>
        <w:tc>
          <w:tcPr>
            <w:tcW w:w="4536" w:type="dxa"/>
            <w:vAlign w:val="center"/>
          </w:tcPr>
          <w:p w14:paraId="5F2E8CBA" w14:textId="77777777" w:rsidR="006A3DBC" w:rsidRPr="000E6D86" w:rsidRDefault="006A3DBC" w:rsidP="005F4A92">
            <w:pPr>
              <w:jc w:val="both"/>
              <w:cnfStyle w:val="000000100000" w:firstRow="0" w:lastRow="0" w:firstColumn="0" w:lastColumn="0" w:oddVBand="0" w:evenVBand="0" w:oddHBand="1" w:evenHBand="0" w:firstRowFirstColumn="0" w:firstRowLastColumn="0" w:lastRowFirstColumn="0" w:lastRowLastColumn="0"/>
              <w:rPr>
                <w:rFonts w:cs="Arial"/>
                <w:b/>
                <w:bCs/>
                <w:sz w:val="18"/>
                <w:szCs w:val="18"/>
                <w:lang w:val="es-ES"/>
              </w:rPr>
            </w:pPr>
            <w:r w:rsidRPr="000E6D86">
              <w:rPr>
                <w:rFonts w:cs="Arial"/>
                <w:b/>
                <w:bCs/>
                <w:sz w:val="18"/>
                <w:szCs w:val="18"/>
                <w:lang w:val="es-ES"/>
              </w:rPr>
              <w:lastRenderedPageBreak/>
              <w:t xml:space="preserve">Medidas ambientales </w:t>
            </w:r>
          </w:p>
          <w:p w14:paraId="10DB6A9C" w14:textId="7D244DEA" w:rsidR="006A3DBC" w:rsidRPr="000E6D86" w:rsidRDefault="006A3DBC" w:rsidP="005F4A92">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lang w:val="es-ES"/>
              </w:rPr>
              <w:t>El Proyecto cuenta con directrices y procedimientos que incluyen criterios para la sostenibilidad ambiental</w:t>
            </w:r>
            <w:r w:rsidR="0B1EB8F7" w:rsidRPr="000E6D86">
              <w:rPr>
                <w:rFonts w:cs="Arial"/>
                <w:sz w:val="18"/>
                <w:szCs w:val="18"/>
                <w:lang w:val="es-ES"/>
              </w:rPr>
              <w:t xml:space="preserve"> </w:t>
            </w:r>
            <w:r w:rsidRPr="000E6D86">
              <w:rPr>
                <w:rFonts w:cs="Arial"/>
                <w:sz w:val="18"/>
                <w:szCs w:val="18"/>
                <w:lang w:val="es-ES"/>
              </w:rPr>
              <w:t xml:space="preserve">de los PdNs, un MGAS que incluye lineamientos para elaborar un PGAS para cada uno de los PdNs con una sección </w:t>
            </w:r>
            <w:bookmarkStart w:id="899" w:name="_Hlk66969031"/>
            <w:r w:rsidRPr="000E6D86">
              <w:rPr>
                <w:rFonts w:cs="Arial"/>
                <w:sz w:val="18"/>
                <w:szCs w:val="18"/>
                <w:lang w:val="es-ES"/>
              </w:rPr>
              <w:t>para la protección y conservación de las especies amenazadas en su localidad, departamento o región; un Plan de Manejo de Plaguicidas. Cuando se identifiquen riesgos e impactos adversos significativos en la biodiversidad, se elaborará e implementará un Plan de Manejo de la Biodiversidad (PMB)</w:t>
            </w:r>
            <w:r w:rsidR="00CF4E29" w:rsidRPr="000E6D86">
              <w:rPr>
                <w:rFonts w:cs="Arial"/>
                <w:sz w:val="18"/>
                <w:szCs w:val="18"/>
                <w:lang w:val="es-ES"/>
              </w:rPr>
              <w:t>.</w:t>
            </w:r>
            <w:r w:rsidRPr="000E6D86">
              <w:rPr>
                <w:rFonts w:cs="Arial"/>
                <w:sz w:val="18"/>
                <w:szCs w:val="18"/>
                <w:lang w:val="es-ES"/>
              </w:rPr>
              <w:t xml:space="preserve"> </w:t>
            </w:r>
            <w:bookmarkEnd w:id="899"/>
          </w:p>
          <w:p w14:paraId="201B9396" w14:textId="20E6DB41" w:rsidR="006A3DBC" w:rsidRPr="000E6D86" w:rsidRDefault="006A3DBC" w:rsidP="005F4A92">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lang w:val="es-ES"/>
              </w:rPr>
              <w:t>Estos instrumentos se basan en el Marco Normativo Nacional y EASs del BM.</w:t>
            </w:r>
          </w:p>
          <w:p w14:paraId="6DFCFDF4" w14:textId="47286907" w:rsidR="006A3DBC" w:rsidRPr="000E6D86" w:rsidRDefault="006A3DBC" w:rsidP="005F4A92">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bookmarkStart w:id="900" w:name="_Hlk66201783"/>
            <w:bookmarkStart w:id="901" w:name="_Hlk66200473"/>
            <w:r w:rsidRPr="000E6D86">
              <w:rPr>
                <w:rFonts w:cs="Arial"/>
                <w:sz w:val="18"/>
                <w:szCs w:val="18"/>
                <w:lang w:val="es-ES"/>
              </w:rPr>
              <w:t>En el ComRural III se implementa el listado de actividades excluidas de inversión con fondos del Proyecto</w:t>
            </w:r>
            <w:bookmarkEnd w:id="900"/>
            <w:r w:rsidRPr="000E6D86">
              <w:rPr>
                <w:rFonts w:cs="Arial"/>
                <w:sz w:val="18"/>
                <w:szCs w:val="18"/>
                <w:lang w:val="es-ES"/>
              </w:rPr>
              <w:t>.</w:t>
            </w:r>
          </w:p>
          <w:p w14:paraId="3A03475C" w14:textId="468A8DDD" w:rsidR="006A3DBC" w:rsidRPr="000E6D86" w:rsidRDefault="3A7FC69B" w:rsidP="005F4A92">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lang w:val="es-ES"/>
              </w:rPr>
              <w:t xml:space="preserve">Solo se financiarán proyectos en suelos de uso agrícola actual (Según el EAS 6, esto corresponde a hábitats modificados sin biodiversidad de valor significativo), con un uso igual o mayor a cinco años. Esto será evaluado por medio de la Ficha de Evaluación Ambiental y Social Preliminar para Determinar la Viabilidad Socio- Ambiental de los PdNs </w:t>
            </w:r>
            <w:r w:rsidRPr="000E6D86">
              <w:rPr>
                <w:rFonts w:cs="Arial"/>
                <w:sz w:val="18"/>
                <w:szCs w:val="18"/>
                <w:lang w:val="es-HN"/>
              </w:rPr>
              <w:t xml:space="preserve">(ver sección </w:t>
            </w:r>
            <w:r w:rsidR="188584F1" w:rsidRPr="000E6D86">
              <w:rPr>
                <w:rFonts w:cs="Arial"/>
                <w:sz w:val="18"/>
                <w:szCs w:val="18"/>
                <w:lang w:val="es-HN"/>
              </w:rPr>
              <w:t>12</w:t>
            </w:r>
            <w:r w:rsidR="006A3DBC" w:rsidRPr="000E6D86">
              <w:rPr>
                <w:rFonts w:cs="Arial"/>
                <w:sz w:val="18"/>
                <w:szCs w:val="18"/>
                <w:lang w:val="es-HN"/>
              </w:rPr>
              <w:fldChar w:fldCharType="begin"/>
            </w:r>
            <w:r w:rsidR="006A3DBC" w:rsidRPr="000E6D86">
              <w:rPr>
                <w:rFonts w:cs="Arial"/>
                <w:sz w:val="18"/>
                <w:szCs w:val="18"/>
                <w:lang w:val="es-HN"/>
              </w:rPr>
              <w:instrText xml:space="preserve"> REF _Ref67242636 \n \h  \* MERGEFORMAT </w:instrText>
            </w:r>
            <w:r w:rsidR="006A3DBC" w:rsidRPr="000E6D86">
              <w:rPr>
                <w:rFonts w:cs="Arial"/>
                <w:sz w:val="18"/>
                <w:szCs w:val="18"/>
                <w:lang w:val="es-HN"/>
              </w:rPr>
            </w:r>
            <w:r w:rsidR="006A3DBC" w:rsidRPr="000E6D86">
              <w:rPr>
                <w:rFonts w:cs="Arial"/>
                <w:sz w:val="18"/>
                <w:szCs w:val="18"/>
                <w:lang w:val="es-HN"/>
              </w:rPr>
              <w:fldChar w:fldCharType="separate"/>
            </w:r>
            <w:r w:rsidR="00BF4BCA" w:rsidRPr="000E6D86">
              <w:rPr>
                <w:rFonts w:cs="Arial"/>
                <w:b/>
                <w:bCs/>
                <w:sz w:val="18"/>
                <w:szCs w:val="18"/>
                <w:lang w:val="es-MX"/>
              </w:rPr>
              <w:t>¡Error! No se encuentra el origen de la referencia.</w:t>
            </w:r>
            <w:r w:rsidR="006A3DBC" w:rsidRPr="000E6D86">
              <w:rPr>
                <w:rFonts w:cs="Arial"/>
                <w:sz w:val="18"/>
                <w:szCs w:val="18"/>
                <w:lang w:val="es-HN"/>
              </w:rPr>
              <w:fldChar w:fldCharType="end"/>
            </w:r>
            <w:r w:rsidRPr="000E6D86">
              <w:rPr>
                <w:rFonts w:cs="Arial"/>
                <w:sz w:val="18"/>
                <w:szCs w:val="18"/>
                <w:lang w:val="es-HN"/>
              </w:rPr>
              <w:t>)</w:t>
            </w:r>
            <w:r w:rsidRPr="000E6D86">
              <w:rPr>
                <w:rFonts w:cs="Arial"/>
                <w:sz w:val="18"/>
                <w:szCs w:val="18"/>
                <w:lang w:val="es-ES"/>
              </w:rPr>
              <w:t xml:space="preserve">. </w:t>
            </w:r>
            <w:bookmarkEnd w:id="901"/>
          </w:p>
          <w:p w14:paraId="2AD55C34" w14:textId="2DD75F2B" w:rsidR="006A3DBC" w:rsidRPr="000E6D86" w:rsidRDefault="006A3DBC" w:rsidP="005F4A92">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lang w:val="es-ES"/>
              </w:rPr>
              <w:t xml:space="preserve">Los subproyectos de desarrollo de riego por parte de agricultores y de sistemas de riego colectivo de pequeña escala (recolección y almacenamiento de agua; construcción de sistemas de riego y drenaje de pequeña escala de gestión colectiva) estarán permitidos aquellas obras de irrigación que no tengan más de dos metros de altura, con capacidad de llenado no superior a un espejo de agua de una hectárea y se haya sometido al </w:t>
            </w:r>
            <w:r w:rsidRPr="000E6D86">
              <w:rPr>
                <w:rFonts w:cs="Arial"/>
                <w:sz w:val="18"/>
                <w:szCs w:val="18"/>
                <w:lang w:val="es-ES"/>
              </w:rPr>
              <w:lastRenderedPageBreak/>
              <w:t xml:space="preserve">proceso de evaluación de Impacto Ambiental correspondiente. Para todos aquellos PdNs con subproyectos de riego, el diseño de la represa deberá considerar, la libre movilización de los recursos bióticos de agua dulce (caudal ecológico), y terrestre, evitando que la misma impida o limite la capacidad de las especies para reproducirse. Estos subproyectos aplicarán, en caso de corresponder, los procedimientos establecidos en el MRI. </w:t>
            </w:r>
          </w:p>
          <w:p w14:paraId="563F112E" w14:textId="77777777" w:rsidR="006A3DBC" w:rsidRPr="000E6D86" w:rsidRDefault="006A3DBC" w:rsidP="005F4A92">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cs="Arial"/>
                <w:sz w:val="14"/>
                <w:szCs w:val="14"/>
                <w:lang w:val="es-ES"/>
              </w:rPr>
            </w:pPr>
            <w:r w:rsidRPr="000E6D86">
              <w:rPr>
                <w:rFonts w:cs="Arial"/>
                <w:sz w:val="18"/>
                <w:szCs w:val="18"/>
              </w:rPr>
              <w:t>Para los subproyectos que dependerán del almacenamiento y operación de una presa pequeña existente o una pequeña presa en construcción (DUC) menor a 10 metros de altura, para su suministro de agua y no podría funcionar si la presa falla, la SAG, organizará para que uno o más especialistas independientes en represas: (a) inspeccione y evalúe el estado de seguridad de la represa o DUC existente, sus accesorios y su historial de desempeño; (b) revisar y evaluar los procedimientos de operación y mantenimiento del propietario; y (c) proporcionar un informe escrito de los hallazgos y recomendaciones para cualquier trabajo de reparación o medidas relacionadas con la seguridad necesarias para actualizar la presa o DUC existente a un estándar de seguridad aceptable</w:t>
            </w:r>
          </w:p>
          <w:p w14:paraId="4C82E6D4" w14:textId="77777777" w:rsidR="006A3DBC" w:rsidRPr="000E6D86" w:rsidRDefault="006A3DBC" w:rsidP="005F4A92">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lang w:val="es-ES"/>
              </w:rPr>
              <w:t xml:space="preserve">Ejecución de obras físicas y medidas de mitigación ambiental planteadas bajo el concepto de un PGAS en la formulación del PdN, entre las cuales se recomienda de manera general: </w:t>
            </w:r>
          </w:p>
          <w:p w14:paraId="54DE3A0B" w14:textId="77777777" w:rsidR="006A3DBC" w:rsidRPr="000E6D86" w:rsidRDefault="006A3DBC" w:rsidP="00411720">
            <w:pPr>
              <w:numPr>
                <w:ilvl w:val="0"/>
                <w:numId w:val="114"/>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lang w:val="es-ES"/>
              </w:rPr>
              <w:t>Rotulación y delimitación de áreas según su función particular.</w:t>
            </w:r>
          </w:p>
          <w:p w14:paraId="0E314095" w14:textId="42A73F4F" w:rsidR="006A3DBC" w:rsidRPr="000E6D86" w:rsidRDefault="006A3DBC" w:rsidP="005F4A92">
            <w:pPr>
              <w:pStyle w:val="Prrafodelista"/>
              <w:numPr>
                <w:ilvl w:val="0"/>
                <w:numId w:val="114"/>
              </w:numPr>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lang w:val="es-ES"/>
              </w:rPr>
              <w:t>Implementación de medidas de seguridad laboral.</w:t>
            </w:r>
          </w:p>
          <w:p w14:paraId="6D39FB4D" w14:textId="3A6AC638" w:rsidR="006A3DBC" w:rsidRPr="000E6D86" w:rsidRDefault="006A3DBC" w:rsidP="005F4A92">
            <w:pPr>
              <w:pStyle w:val="Prrafodelista"/>
              <w:numPr>
                <w:ilvl w:val="0"/>
                <w:numId w:val="115"/>
              </w:numPr>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lang w:val="es-ES"/>
              </w:rPr>
              <w:t>Adopción de buenas pr</w:t>
            </w:r>
            <w:r w:rsidR="004A4FBC" w:rsidRPr="000E6D86">
              <w:rPr>
                <w:rFonts w:cs="Arial"/>
                <w:sz w:val="18"/>
                <w:szCs w:val="18"/>
                <w:lang w:val="es-ES"/>
              </w:rPr>
              <w:t>á</w:t>
            </w:r>
            <w:r w:rsidRPr="000E6D86">
              <w:rPr>
                <w:rFonts w:cs="Arial"/>
                <w:sz w:val="18"/>
                <w:szCs w:val="18"/>
                <w:lang w:val="es-ES"/>
              </w:rPr>
              <w:t>cticas</w:t>
            </w:r>
            <w:r w:rsidR="003326A0" w:rsidRPr="000E6D86">
              <w:rPr>
                <w:rFonts w:cs="Arial"/>
                <w:sz w:val="18"/>
                <w:szCs w:val="18"/>
                <w:lang w:val="es-ES"/>
              </w:rPr>
              <w:t>:</w:t>
            </w:r>
          </w:p>
          <w:p w14:paraId="646AB92C" w14:textId="68CCF759" w:rsidR="006A3DBC" w:rsidRPr="000E6D86" w:rsidRDefault="006A3DBC" w:rsidP="00411720">
            <w:pPr>
              <w:numPr>
                <w:ilvl w:val="0"/>
                <w:numId w:val="116"/>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lang w:val="es-ES"/>
              </w:rPr>
              <w:t>Suscripción a certificaciones socioambientales y de calidad cuando proceda</w:t>
            </w:r>
            <w:r w:rsidR="00E12EB7" w:rsidRPr="000E6D86">
              <w:rPr>
                <w:rFonts w:cs="Arial"/>
                <w:sz w:val="18"/>
                <w:szCs w:val="18"/>
                <w:lang w:val="es-ES"/>
              </w:rPr>
              <w:t>.</w:t>
            </w:r>
          </w:p>
          <w:p w14:paraId="6D4EC518" w14:textId="77777777" w:rsidR="006A3DBC" w:rsidRPr="000E6D86" w:rsidRDefault="006A3DBC" w:rsidP="00411720">
            <w:pPr>
              <w:numPr>
                <w:ilvl w:val="0"/>
                <w:numId w:val="116"/>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lang w:val="es-ES"/>
              </w:rPr>
              <w:lastRenderedPageBreak/>
              <w:t xml:space="preserve">Fomentar la adopción de las Guías de Buenas Prácticas Ambientales y de Producción Más Limpia, para las cadenas en las que se ha desarrollado este instrumento. Disponibles en: </w:t>
            </w:r>
            <w:hyperlink r:id="rId74" w:history="1">
              <w:r w:rsidRPr="000E6D86">
                <w:rPr>
                  <w:rStyle w:val="Hipervnculo"/>
                  <w:rFonts w:cs="Arial"/>
                  <w:color w:val="767171" w:themeColor="background2" w:themeShade="80"/>
                  <w:sz w:val="18"/>
                  <w:szCs w:val="18"/>
                  <w:lang w:val="es-ES"/>
                </w:rPr>
                <w:t>https://www.cnpml-honduras.org/documentos-tecnicos</w:t>
              </w:r>
            </w:hyperlink>
          </w:p>
          <w:p w14:paraId="01EC0A15" w14:textId="77777777" w:rsidR="006A3DBC" w:rsidRPr="000E6D86" w:rsidRDefault="006A3DBC" w:rsidP="00411720">
            <w:pPr>
              <w:numPr>
                <w:ilvl w:val="0"/>
                <w:numId w:val="116"/>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rPr>
              <w:t xml:space="preserve">Implementación de medidas de inocuidad en unidades productivas. </w:t>
            </w:r>
          </w:p>
          <w:p w14:paraId="574B6B85" w14:textId="77777777" w:rsidR="006A3DBC" w:rsidRPr="000E6D86" w:rsidRDefault="006A3DBC" w:rsidP="00411720">
            <w:pPr>
              <w:numPr>
                <w:ilvl w:val="0"/>
                <w:numId w:val="116"/>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rPr>
              <w:t xml:space="preserve">Implementación de las medidas de bioseguridad establecidas por la STSS, que se encuentran disponibles en: </w:t>
            </w:r>
            <w:r w:rsidRPr="000E6D86">
              <w:rPr>
                <w:rFonts w:cs="Arial"/>
                <w:sz w:val="18"/>
                <w:szCs w:val="18"/>
                <w:lang w:val="es-ES"/>
              </w:rPr>
              <w:t xml:space="preserve">http://www.trabajo.gob.hn/ </w:t>
            </w:r>
          </w:p>
          <w:p w14:paraId="0368A763" w14:textId="77777777" w:rsidR="006A3DBC" w:rsidRPr="000E6D86" w:rsidRDefault="006A3DBC" w:rsidP="00411720">
            <w:pPr>
              <w:numPr>
                <w:ilvl w:val="0"/>
                <w:numId w:val="116"/>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lang w:val="es-ES"/>
              </w:rPr>
              <w:t>compras sostenibles en la selección de insumos y materias que promuevan la sostenibilidad ambiental de los subproyectos.</w:t>
            </w:r>
          </w:p>
          <w:p w14:paraId="60EA31D1" w14:textId="4757BBA9" w:rsidR="006A3DBC" w:rsidRPr="000E6D86" w:rsidRDefault="006A3DBC" w:rsidP="00411720">
            <w:pPr>
              <w:numPr>
                <w:ilvl w:val="0"/>
                <w:numId w:val="116"/>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lang w:val="es-ES"/>
              </w:rPr>
              <w:t>Elaborar un registro de proveedores de equipo e insumos eficientes y amigables con el ambiente</w:t>
            </w:r>
            <w:r w:rsidR="00E12EB7" w:rsidRPr="000E6D86">
              <w:rPr>
                <w:rFonts w:cs="Arial"/>
                <w:sz w:val="18"/>
                <w:szCs w:val="18"/>
                <w:lang w:val="es-ES"/>
              </w:rPr>
              <w:t>.</w:t>
            </w:r>
            <w:r w:rsidRPr="000E6D86">
              <w:rPr>
                <w:rFonts w:cs="Arial"/>
                <w:sz w:val="18"/>
                <w:szCs w:val="18"/>
                <w:lang w:val="es-ES"/>
              </w:rPr>
              <w:t xml:space="preserve"> </w:t>
            </w:r>
            <w:r w:rsidRPr="000E6D86">
              <w:rPr>
                <w:rFonts w:cs="Arial"/>
                <w:strike/>
                <w:sz w:val="18"/>
                <w:szCs w:val="18"/>
                <w:lang w:val="es-ES"/>
              </w:rPr>
              <w:t>por tipo de subproyecto.</w:t>
            </w:r>
          </w:p>
          <w:p w14:paraId="13860941" w14:textId="77777777" w:rsidR="006A3DBC" w:rsidRPr="000E6D86" w:rsidRDefault="006A3DBC" w:rsidP="005F4A92">
            <w:pPr>
              <w:jc w:val="both"/>
              <w:cnfStyle w:val="000000100000" w:firstRow="0" w:lastRow="0" w:firstColumn="0" w:lastColumn="0" w:oddVBand="0" w:evenVBand="0" w:oddHBand="1" w:evenHBand="0" w:firstRowFirstColumn="0" w:firstRowLastColumn="0" w:lastRowFirstColumn="0" w:lastRowLastColumn="0"/>
              <w:rPr>
                <w:rFonts w:cs="Arial"/>
                <w:b/>
                <w:sz w:val="18"/>
                <w:szCs w:val="18"/>
                <w:lang w:val="es-ES"/>
              </w:rPr>
            </w:pPr>
          </w:p>
          <w:p w14:paraId="181DAC6D" w14:textId="77777777" w:rsidR="006A3DBC" w:rsidRPr="000E6D86" w:rsidRDefault="006A3DBC" w:rsidP="005F4A92">
            <w:pPr>
              <w:jc w:val="both"/>
              <w:cnfStyle w:val="000000100000" w:firstRow="0" w:lastRow="0" w:firstColumn="0" w:lastColumn="0" w:oddVBand="0" w:evenVBand="0" w:oddHBand="1" w:evenHBand="0" w:firstRowFirstColumn="0" w:firstRowLastColumn="0" w:lastRowFirstColumn="0" w:lastRowLastColumn="0"/>
              <w:rPr>
                <w:rFonts w:cs="Arial"/>
                <w:b/>
                <w:sz w:val="18"/>
                <w:szCs w:val="18"/>
                <w:lang w:val="es-ES"/>
              </w:rPr>
            </w:pPr>
            <w:r w:rsidRPr="000E6D86">
              <w:rPr>
                <w:rFonts w:cs="Arial"/>
                <w:b/>
                <w:sz w:val="18"/>
                <w:szCs w:val="18"/>
                <w:lang w:val="es-ES"/>
              </w:rPr>
              <w:t>Medidas sociales</w:t>
            </w:r>
          </w:p>
          <w:p w14:paraId="71452409" w14:textId="48261A32" w:rsidR="006A3DBC" w:rsidRPr="000E6D86" w:rsidRDefault="006A3DBC" w:rsidP="005F4A92">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0E6D86">
              <w:rPr>
                <w:rFonts w:cs="Arial"/>
                <w:sz w:val="18"/>
                <w:szCs w:val="18"/>
              </w:rPr>
              <w:t>El Proyecto cuenta con directrices y procedimientos que incluyen criterios a fin de promover inclusión, según PPPI, un MPPI y procedimientos inclusivos definidos en el MGAS y MOP.</w:t>
            </w:r>
          </w:p>
          <w:p w14:paraId="048457E5" w14:textId="77777777" w:rsidR="006A3DBC" w:rsidRPr="000E6D86" w:rsidRDefault="006A3DBC" w:rsidP="005F4A92">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0E6D86">
              <w:rPr>
                <w:rFonts w:cs="Arial"/>
                <w:sz w:val="18"/>
                <w:szCs w:val="18"/>
              </w:rPr>
              <w:t>El Proyecto COMRURAL III mediante acuerdo institucional con la representación del sistema educativo y en el marco de cumplimiento de los EASs relevantes del MAS del BM priorizará apoyo a centros de formación agrícola ubicados en zonas o regiones donde existe mayor población indígena y afrodescendiente.</w:t>
            </w:r>
          </w:p>
          <w:p w14:paraId="642CB1F3" w14:textId="77777777" w:rsidR="006A3DBC" w:rsidRPr="000E6D86" w:rsidRDefault="006A3DBC" w:rsidP="005F4A92">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cs="Arial"/>
                <w:bCs/>
                <w:sz w:val="18"/>
                <w:szCs w:val="18"/>
                <w:lang w:val="es-ES"/>
              </w:rPr>
            </w:pPr>
            <w:r w:rsidRPr="000E6D86">
              <w:rPr>
                <w:rFonts w:cs="Arial"/>
                <w:sz w:val="18"/>
                <w:szCs w:val="18"/>
              </w:rPr>
              <w:t>El Marco conceptual del Proyecto conviene el establecimiento del CNA para la promoción de acciones coordinadas y obtener mayores niveles de productividad y competitividad, además del impulso de nuevas ofertas de atención que incluyen grupos de mayor vulnerabilidad socioeconómica.</w:t>
            </w:r>
          </w:p>
        </w:tc>
      </w:tr>
      <w:tr w:rsidR="000E6D86" w:rsidRPr="000E6D86" w14:paraId="7F2538DF" w14:textId="77777777" w:rsidTr="37B44ACB">
        <w:trPr>
          <w:trHeight w:val="703"/>
        </w:trPr>
        <w:tc>
          <w:tcPr>
            <w:cnfStyle w:val="001000000000" w:firstRow="0" w:lastRow="0" w:firstColumn="1" w:lastColumn="0" w:oddVBand="0" w:evenVBand="0" w:oddHBand="0" w:evenHBand="0" w:firstRowFirstColumn="0" w:firstRowLastColumn="0" w:lastRowFirstColumn="0" w:lastRowLastColumn="0"/>
            <w:tcW w:w="1620" w:type="dxa"/>
            <w:vMerge/>
            <w:vAlign w:val="center"/>
          </w:tcPr>
          <w:p w14:paraId="01711676" w14:textId="77777777" w:rsidR="006A3DBC" w:rsidRPr="000E6D86" w:rsidRDefault="006A3DBC" w:rsidP="005F4A92">
            <w:pPr>
              <w:spacing w:after="60"/>
              <w:rPr>
                <w:rFonts w:cs="Arial"/>
                <w:b w:val="0"/>
                <w:sz w:val="18"/>
                <w:szCs w:val="18"/>
                <w:lang w:val="es-PY"/>
              </w:rPr>
            </w:pPr>
          </w:p>
        </w:tc>
        <w:tc>
          <w:tcPr>
            <w:tcW w:w="3767" w:type="dxa"/>
            <w:vAlign w:val="center"/>
          </w:tcPr>
          <w:p w14:paraId="6A77636A" w14:textId="77777777" w:rsidR="006A3DBC" w:rsidRPr="000E6D86" w:rsidRDefault="006A3DBC" w:rsidP="005F4A92">
            <w:pPr>
              <w:tabs>
                <w:tab w:val="left" w:pos="0"/>
              </w:tabs>
              <w:spacing w:after="60"/>
              <w:jc w:val="both"/>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0E6D86">
              <w:rPr>
                <w:rFonts w:cs="Arial"/>
                <w:bCs/>
                <w:sz w:val="18"/>
                <w:szCs w:val="18"/>
              </w:rPr>
              <w:t>Fomentar alianzas productivas que buscan la participación y cofinanciamiento de PdNs por parte de instituciones financieras privadas.</w:t>
            </w:r>
          </w:p>
        </w:tc>
        <w:tc>
          <w:tcPr>
            <w:tcW w:w="3402" w:type="dxa"/>
            <w:vAlign w:val="center"/>
          </w:tcPr>
          <w:p w14:paraId="012DBC58" w14:textId="77777777" w:rsidR="006A3DBC" w:rsidRPr="000E6D86" w:rsidRDefault="006A3DBC" w:rsidP="004A4FBC">
            <w:pPr>
              <w:numPr>
                <w:ilvl w:val="0"/>
                <w:numId w:val="19"/>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lang w:val="es-ES"/>
              </w:rPr>
            </w:pPr>
            <w:r w:rsidRPr="000E6D86">
              <w:rPr>
                <w:rFonts w:cs="Arial"/>
                <w:sz w:val="18"/>
                <w:szCs w:val="18"/>
                <w:lang w:val="es-ES"/>
              </w:rPr>
              <w:t>Fomentar alianzas productivas que no incluyan criterios para la sostenibilidad ambiental.</w:t>
            </w:r>
          </w:p>
          <w:p w14:paraId="529F2AF3" w14:textId="77777777" w:rsidR="006A3DBC" w:rsidRPr="000E6D86" w:rsidRDefault="006A3DBC" w:rsidP="004A4FBC">
            <w:pPr>
              <w:numPr>
                <w:ilvl w:val="0"/>
                <w:numId w:val="19"/>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lang w:val="es-ES"/>
              </w:rPr>
              <w:t>Pérdida o falta de interés del sector privado en el apalancamiento financiero de proyectos que impliquen inversiones mayormente orientadas a la gestión ambiental y de responsabilidad social.</w:t>
            </w:r>
          </w:p>
        </w:tc>
        <w:tc>
          <w:tcPr>
            <w:tcW w:w="4536" w:type="dxa"/>
            <w:vAlign w:val="center"/>
          </w:tcPr>
          <w:p w14:paraId="3F3F81D9" w14:textId="03E6458E" w:rsidR="006A3DBC" w:rsidRPr="000E6D86" w:rsidRDefault="006A3DBC" w:rsidP="005F4A92">
            <w:pPr>
              <w:numPr>
                <w:ilvl w:val="0"/>
                <w:numId w:val="19"/>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lang w:val="es-ES"/>
              </w:rPr>
            </w:pPr>
            <w:r w:rsidRPr="000E6D86">
              <w:rPr>
                <w:rFonts w:cs="Arial"/>
                <w:sz w:val="18"/>
                <w:szCs w:val="18"/>
                <w:lang w:val="es-ES"/>
              </w:rPr>
              <w:t>El Proyecto cuenta con directrices y procedimientos que incluyen criterios para la sostenibilidad ambiental de los PdNs, un MGAS que incluye lineamientos para elaborar un PGAS para cada uno de los PdNs; Un Plan de Manejo Integrado de Plagas</w:t>
            </w:r>
            <w:r w:rsidRPr="000E6D86">
              <w:rPr>
                <w:rFonts w:cs="Arial"/>
                <w:strike/>
                <w:sz w:val="18"/>
                <w:szCs w:val="18"/>
                <w:lang w:val="es-ES"/>
              </w:rPr>
              <w:t>de Plaguicidas</w:t>
            </w:r>
            <w:r w:rsidR="00E46207" w:rsidRPr="000E6D86">
              <w:rPr>
                <w:rFonts w:cs="Arial"/>
                <w:sz w:val="18"/>
                <w:szCs w:val="18"/>
                <w:lang w:val="es-ES"/>
              </w:rPr>
              <w:t xml:space="preserve"> (MIP).</w:t>
            </w:r>
            <w:r w:rsidRPr="000E6D86">
              <w:rPr>
                <w:rFonts w:cs="Arial"/>
                <w:sz w:val="18"/>
                <w:szCs w:val="18"/>
                <w:lang w:val="es-ES"/>
              </w:rPr>
              <w:t xml:space="preserve"> Estos instrumentos se basan en el Marco Normativo Nacional y Socioambiental y MAS del BM.</w:t>
            </w:r>
          </w:p>
          <w:p w14:paraId="02653169" w14:textId="727AE0A4" w:rsidR="006A3DBC" w:rsidRPr="000E6D86" w:rsidRDefault="006A3DBC" w:rsidP="005F4A92">
            <w:pPr>
              <w:numPr>
                <w:ilvl w:val="0"/>
                <w:numId w:val="19"/>
              </w:numPr>
              <w:contextualSpacing/>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ES"/>
              </w:rPr>
            </w:pPr>
            <w:r w:rsidRPr="000E6D86">
              <w:rPr>
                <w:rFonts w:cs="Arial"/>
                <w:sz w:val="18"/>
                <w:szCs w:val="18"/>
                <w:lang w:val="es-ES"/>
              </w:rPr>
              <w:t>Fomentar la adopción de las Guías de Buenas Prácticas Ambientales y de producción más limpia para las cadenas en las que se ha desarrollado este instrumento.</w:t>
            </w:r>
          </w:p>
        </w:tc>
      </w:tr>
      <w:tr w:rsidR="000E6D86" w:rsidRPr="000E6D86" w14:paraId="52490513" w14:textId="77777777" w:rsidTr="37B44AC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620" w:type="dxa"/>
            <w:vMerge/>
            <w:vAlign w:val="center"/>
          </w:tcPr>
          <w:p w14:paraId="5203B7E7" w14:textId="77777777" w:rsidR="006A3DBC" w:rsidRPr="000E6D86" w:rsidRDefault="006A3DBC" w:rsidP="005F4A92">
            <w:pPr>
              <w:spacing w:after="60"/>
              <w:rPr>
                <w:rFonts w:cs="Arial"/>
                <w:b w:val="0"/>
                <w:sz w:val="18"/>
                <w:szCs w:val="18"/>
                <w:lang w:val="es-PY"/>
              </w:rPr>
            </w:pPr>
          </w:p>
        </w:tc>
        <w:tc>
          <w:tcPr>
            <w:tcW w:w="3767" w:type="dxa"/>
            <w:vAlign w:val="center"/>
          </w:tcPr>
          <w:p w14:paraId="73B2F141" w14:textId="77777777" w:rsidR="006A3DBC" w:rsidRPr="000E6D86" w:rsidRDefault="006A3DBC" w:rsidP="005F4A92">
            <w:pPr>
              <w:tabs>
                <w:tab w:val="left" w:pos="0"/>
              </w:tabs>
              <w:spacing w:after="60"/>
              <w:jc w:val="both"/>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0E6D86">
              <w:rPr>
                <w:rFonts w:cs="Arial"/>
                <w:bCs/>
                <w:sz w:val="18"/>
                <w:szCs w:val="18"/>
              </w:rPr>
              <w:t>Capacitación, asistencia técnica, y servicios de consultoría para la selección, preparación e implementación de determinados subproyectos (PdNs), con activa participación de las instituciones financieras privadas).</w:t>
            </w:r>
          </w:p>
        </w:tc>
        <w:tc>
          <w:tcPr>
            <w:tcW w:w="3402" w:type="dxa"/>
            <w:vAlign w:val="center"/>
          </w:tcPr>
          <w:p w14:paraId="32DE50BC" w14:textId="77777777" w:rsidR="006A3DBC" w:rsidRPr="000E6D86" w:rsidRDefault="006A3DBC" w:rsidP="004A4FBC">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cs="Arial"/>
                <w:b/>
                <w:sz w:val="18"/>
                <w:lang w:val="es-ES"/>
              </w:rPr>
            </w:pPr>
            <w:r w:rsidRPr="000E6D86">
              <w:rPr>
                <w:rFonts w:cs="Arial"/>
                <w:sz w:val="18"/>
                <w:szCs w:val="18"/>
                <w:lang w:val="es-ES"/>
              </w:rPr>
              <w:t xml:space="preserve">Las capacitaciones, asistencia técnica y servicios de los subproyectos, no contemplen requisitos para la sostenibilidad ambiental, gestión del riesgo, cambio climático, la salud y bioseguridad, como eje transversal. </w:t>
            </w:r>
          </w:p>
        </w:tc>
        <w:tc>
          <w:tcPr>
            <w:tcW w:w="4536" w:type="dxa"/>
            <w:vAlign w:val="center"/>
          </w:tcPr>
          <w:p w14:paraId="15CC1B89" w14:textId="77777777" w:rsidR="006A3DBC" w:rsidRPr="000E6D86" w:rsidRDefault="006A3DBC" w:rsidP="004A4FBC">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PY"/>
              </w:rPr>
            </w:pPr>
            <w:r w:rsidRPr="000E6D86">
              <w:rPr>
                <w:rFonts w:cs="Arial"/>
                <w:sz w:val="18"/>
                <w:szCs w:val="18"/>
                <w:lang w:val="es-ES"/>
              </w:rPr>
              <w:t>Los manuales de capacitación, lineamientos de asistencia técnica y Términos de Referencia (TdR) de los subproyectos, condiciones de crédito incorporan y aplican criterios/requerimientos nacionales e internacionales de sostenibilidad ambiental, gestión del riesgo, cambio climático, salud y bioseguridad.</w:t>
            </w:r>
            <w:r w:rsidRPr="000E6D86">
              <w:rPr>
                <w:rFonts w:cs="Arial"/>
                <w:sz w:val="18"/>
                <w:szCs w:val="18"/>
                <w:lang w:val="es-PY"/>
              </w:rPr>
              <w:t xml:space="preserve"> </w:t>
            </w:r>
          </w:p>
        </w:tc>
      </w:tr>
      <w:tr w:rsidR="000E6D86" w:rsidRPr="000E6D86" w14:paraId="3694A0A3" w14:textId="77777777" w:rsidTr="37B44ACB">
        <w:trPr>
          <w:trHeight w:val="269"/>
        </w:trPr>
        <w:tc>
          <w:tcPr>
            <w:cnfStyle w:val="001000000000" w:firstRow="0" w:lastRow="0" w:firstColumn="1" w:lastColumn="0" w:oddVBand="0" w:evenVBand="0" w:oddHBand="0" w:evenHBand="0" w:firstRowFirstColumn="0" w:firstRowLastColumn="0" w:lastRowFirstColumn="0" w:lastRowLastColumn="0"/>
            <w:tcW w:w="1620" w:type="dxa"/>
            <w:vMerge/>
            <w:vAlign w:val="center"/>
          </w:tcPr>
          <w:p w14:paraId="56548D7B" w14:textId="77777777" w:rsidR="006A3DBC" w:rsidRPr="000E6D86" w:rsidRDefault="006A3DBC" w:rsidP="005F4A92">
            <w:pPr>
              <w:spacing w:after="60"/>
              <w:rPr>
                <w:rFonts w:cs="Arial"/>
                <w:b w:val="0"/>
                <w:sz w:val="18"/>
                <w:szCs w:val="18"/>
                <w:lang w:val="es-PY"/>
              </w:rPr>
            </w:pPr>
          </w:p>
        </w:tc>
        <w:tc>
          <w:tcPr>
            <w:tcW w:w="3767" w:type="dxa"/>
            <w:vAlign w:val="center"/>
          </w:tcPr>
          <w:p w14:paraId="04C490E3" w14:textId="77777777" w:rsidR="006A3DBC" w:rsidRPr="000E6D86" w:rsidRDefault="006A3DBC" w:rsidP="005F4A92">
            <w:pPr>
              <w:tabs>
                <w:tab w:val="left" w:pos="0"/>
              </w:tabs>
              <w:spacing w:after="60"/>
              <w:jc w:val="both"/>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0E6D86">
              <w:rPr>
                <w:rFonts w:cs="Arial"/>
                <w:bCs/>
                <w:sz w:val="18"/>
                <w:szCs w:val="18"/>
              </w:rPr>
              <w:t>Apoyo a la modernización del entorno de agronegocios de Honduras.</w:t>
            </w:r>
          </w:p>
        </w:tc>
        <w:tc>
          <w:tcPr>
            <w:tcW w:w="3402" w:type="dxa"/>
            <w:vAlign w:val="center"/>
          </w:tcPr>
          <w:p w14:paraId="03F708D8" w14:textId="77777777" w:rsidR="006A3DBC" w:rsidRPr="000E6D86" w:rsidRDefault="006A3DBC" w:rsidP="004A4FBC">
            <w:pPr>
              <w:numPr>
                <w:ilvl w:val="0"/>
                <w:numId w:val="19"/>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lang w:val="es-ES"/>
              </w:rPr>
            </w:pPr>
            <w:r w:rsidRPr="000E6D86">
              <w:rPr>
                <w:rFonts w:cs="Arial"/>
                <w:sz w:val="18"/>
                <w:szCs w:val="18"/>
                <w:lang w:val="es-ES"/>
              </w:rPr>
              <w:t>Que el Proyecto no logré a corto plazo convenios para el cumplimiento de los marcos normativos que rigen los procedimientos de permiso y licenciamiento ambiental, controles y permisos sanitarios entre otros, que faciliten la aprobación y ejecución de PdN.</w:t>
            </w:r>
          </w:p>
          <w:p w14:paraId="371AF8AC" w14:textId="77777777" w:rsidR="006A3DBC" w:rsidRPr="000E6D86" w:rsidRDefault="006A3DBC" w:rsidP="004A4FBC">
            <w:pPr>
              <w:numPr>
                <w:ilvl w:val="0"/>
                <w:numId w:val="19"/>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lang w:val="es-ES"/>
              </w:rPr>
            </w:pPr>
            <w:r w:rsidRPr="000E6D86">
              <w:rPr>
                <w:rFonts w:cs="Arial"/>
                <w:sz w:val="18"/>
                <w:szCs w:val="18"/>
                <w:lang w:val="es-ES"/>
              </w:rPr>
              <w:t>Falta de entendimiento y voluntad de las partes involucradas del sector público, obstaculiza la toma de decisiones para impulsar reformas de procedimiento institucional orientadas a la agilización de la tramitología y efectividad para abordar los temas ambientales en zonas de cobertura del COMRURAL III.</w:t>
            </w:r>
          </w:p>
        </w:tc>
        <w:tc>
          <w:tcPr>
            <w:tcW w:w="4536" w:type="dxa"/>
            <w:vAlign w:val="center"/>
          </w:tcPr>
          <w:p w14:paraId="676B6DBD" w14:textId="77777777" w:rsidR="006A3DBC" w:rsidRPr="000E6D86" w:rsidRDefault="006A3DBC" w:rsidP="004A4FBC">
            <w:pPr>
              <w:numPr>
                <w:ilvl w:val="0"/>
                <w:numId w:val="19"/>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lang w:val="es-ES"/>
              </w:rPr>
            </w:pPr>
            <w:r w:rsidRPr="000E6D86">
              <w:rPr>
                <w:rFonts w:cs="Arial"/>
                <w:sz w:val="18"/>
                <w:szCs w:val="18"/>
                <w:lang w:val="es-ES"/>
              </w:rPr>
              <w:t xml:space="preserve">El Proyecto facilitaría las inversiones necesarias para el establecimiento y funcionamiento del CNA, incluido el establecimiento de una unidad técnica para respaldar un intercambio regular y un diálogo sobre políticas, y la asistencia técnica adicional necesaria para seguir desarrollando su estructura. </w:t>
            </w:r>
          </w:p>
          <w:p w14:paraId="1F5DD9E2" w14:textId="77777777" w:rsidR="006A3DBC" w:rsidRPr="000E6D86" w:rsidRDefault="006A3DBC" w:rsidP="004A4FBC">
            <w:pPr>
              <w:ind w:left="360"/>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lang w:val="es-ES"/>
              </w:rPr>
            </w:pPr>
          </w:p>
          <w:p w14:paraId="6E7C6DFE" w14:textId="77777777" w:rsidR="006A3DBC" w:rsidRPr="000E6D86" w:rsidRDefault="006A3DBC" w:rsidP="005F4A92">
            <w:pPr>
              <w:ind w:left="360"/>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lang w:val="es-ES"/>
              </w:rPr>
            </w:pPr>
          </w:p>
        </w:tc>
      </w:tr>
      <w:tr w:rsidR="000E6D86" w:rsidRPr="000E6D86" w14:paraId="403121EE" w14:textId="77777777" w:rsidTr="37B44AC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620" w:type="dxa"/>
            <w:vMerge/>
            <w:vAlign w:val="center"/>
          </w:tcPr>
          <w:p w14:paraId="7EE34E53" w14:textId="77777777" w:rsidR="006A3DBC" w:rsidRPr="000E6D86" w:rsidRDefault="006A3DBC" w:rsidP="005F4A92">
            <w:pPr>
              <w:spacing w:after="60"/>
              <w:rPr>
                <w:rFonts w:cs="Arial"/>
                <w:b w:val="0"/>
                <w:sz w:val="18"/>
                <w:szCs w:val="18"/>
                <w:lang w:val="es-PY"/>
              </w:rPr>
            </w:pPr>
          </w:p>
        </w:tc>
        <w:tc>
          <w:tcPr>
            <w:tcW w:w="3767" w:type="dxa"/>
            <w:vAlign w:val="center"/>
          </w:tcPr>
          <w:p w14:paraId="7140C06F" w14:textId="77777777" w:rsidR="006A3DBC" w:rsidRPr="000E6D86" w:rsidRDefault="006A3DBC" w:rsidP="005F4A92">
            <w:pPr>
              <w:tabs>
                <w:tab w:val="left" w:pos="0"/>
              </w:tabs>
              <w:spacing w:after="60"/>
              <w:jc w:val="both"/>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0E6D86">
              <w:rPr>
                <w:rFonts w:cs="Arial"/>
                <w:bCs/>
                <w:sz w:val="18"/>
                <w:szCs w:val="18"/>
              </w:rPr>
              <w:t xml:space="preserve">Actividades periódicas de promoción para informar a los beneficiarios sobre su </w:t>
            </w:r>
            <w:r w:rsidRPr="000E6D86">
              <w:rPr>
                <w:rFonts w:cs="Arial"/>
                <w:bCs/>
                <w:sz w:val="18"/>
                <w:szCs w:val="18"/>
              </w:rPr>
              <w:lastRenderedPageBreak/>
              <w:t>participación en el mecanismo de aportes de contrapartida del Proyecto.</w:t>
            </w:r>
          </w:p>
        </w:tc>
        <w:tc>
          <w:tcPr>
            <w:tcW w:w="3402" w:type="dxa"/>
            <w:vAlign w:val="center"/>
          </w:tcPr>
          <w:p w14:paraId="5C234CF2" w14:textId="77777777" w:rsidR="006A3DBC" w:rsidRPr="000E6D86" w:rsidRDefault="006A3DBC" w:rsidP="004A4FBC">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lang w:val="es-ES"/>
              </w:rPr>
              <w:lastRenderedPageBreak/>
              <w:t xml:space="preserve">Los altos costos e y desconocimiento de las gestiones </w:t>
            </w:r>
            <w:r w:rsidRPr="000E6D86">
              <w:rPr>
                <w:rFonts w:cs="Arial"/>
                <w:sz w:val="18"/>
                <w:szCs w:val="18"/>
                <w:lang w:val="es-ES"/>
              </w:rPr>
              <w:lastRenderedPageBreak/>
              <w:t>que redunda en alargar el en tiempo para la obtención de la Licencia Ambiental pueden desmotivar la participación de organizaciones de productores rurales y otras poblaciones objetivas del proyecto COMRURAL III, durante la fase de elaboración y aprobación de PdNs.</w:t>
            </w:r>
          </w:p>
        </w:tc>
        <w:tc>
          <w:tcPr>
            <w:tcW w:w="4536" w:type="dxa"/>
            <w:vAlign w:val="center"/>
          </w:tcPr>
          <w:p w14:paraId="63DF533A" w14:textId="77777777" w:rsidR="006A3DBC" w:rsidRPr="000E6D86" w:rsidRDefault="006A3DBC" w:rsidP="004A4FBC">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lang w:val="es-ES"/>
              </w:rPr>
              <w:lastRenderedPageBreak/>
              <w:t xml:space="preserve">El CNA puede ser la instancia capaz de coordinar acciones para facilitar acuerdos </w:t>
            </w:r>
            <w:r w:rsidRPr="000E6D86">
              <w:rPr>
                <w:rFonts w:cs="Arial"/>
                <w:sz w:val="18"/>
                <w:szCs w:val="18"/>
                <w:lang w:val="es-ES"/>
              </w:rPr>
              <w:lastRenderedPageBreak/>
              <w:t xml:space="preserve">interinstitucionales que permitan resolver el cumplimiento de los requisitos de normativa ambiental para organizaciones de productores de pueblos indígenas y afrodescendientes. </w:t>
            </w:r>
          </w:p>
          <w:p w14:paraId="00866DDB" w14:textId="1A2270EB" w:rsidR="006A3DBC" w:rsidRPr="000E6D86" w:rsidRDefault="006A3DBC" w:rsidP="004A4FBC">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lang w:val="es-ES"/>
              </w:rPr>
              <w:t xml:space="preserve">El Proyecto cuenta con una especialista ambiental y apoderado legal que orientará y asesorará a las organizaciones de producto el proceso que conlleva la obtención de la Licencia Ambiental. </w:t>
            </w:r>
          </w:p>
        </w:tc>
      </w:tr>
      <w:tr w:rsidR="000E6D86" w:rsidRPr="000E6D86" w14:paraId="04517082" w14:textId="77777777" w:rsidTr="37B44ACB">
        <w:trPr>
          <w:trHeight w:val="269"/>
        </w:trPr>
        <w:tc>
          <w:tcPr>
            <w:cnfStyle w:val="001000000000" w:firstRow="0" w:lastRow="0" w:firstColumn="1" w:lastColumn="0" w:oddVBand="0" w:evenVBand="0" w:oddHBand="0" w:evenHBand="0" w:firstRowFirstColumn="0" w:firstRowLastColumn="0" w:lastRowFirstColumn="0" w:lastRowLastColumn="0"/>
            <w:tcW w:w="1620" w:type="dxa"/>
            <w:vMerge/>
            <w:vAlign w:val="center"/>
          </w:tcPr>
          <w:p w14:paraId="37EF8A38" w14:textId="77777777" w:rsidR="006A3DBC" w:rsidRPr="000E6D86" w:rsidRDefault="006A3DBC" w:rsidP="005F4A92">
            <w:pPr>
              <w:spacing w:after="60"/>
              <w:rPr>
                <w:rFonts w:cs="Arial"/>
                <w:b w:val="0"/>
                <w:sz w:val="18"/>
                <w:szCs w:val="18"/>
                <w:lang w:val="es-PY"/>
              </w:rPr>
            </w:pPr>
          </w:p>
        </w:tc>
        <w:tc>
          <w:tcPr>
            <w:tcW w:w="3767" w:type="dxa"/>
            <w:vAlign w:val="center"/>
          </w:tcPr>
          <w:p w14:paraId="7B9654B7" w14:textId="77777777" w:rsidR="006A3DBC" w:rsidRPr="000E6D86" w:rsidRDefault="006A3DBC" w:rsidP="005F4A92">
            <w:pPr>
              <w:tabs>
                <w:tab w:val="left" w:pos="0"/>
              </w:tabs>
              <w:spacing w:after="6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 xml:space="preserve">Identificación y selección de subproyectos mediante un mecanismo transparente impulsado por la demanda. </w:t>
            </w:r>
          </w:p>
        </w:tc>
        <w:tc>
          <w:tcPr>
            <w:tcW w:w="3402" w:type="dxa"/>
            <w:vAlign w:val="center"/>
          </w:tcPr>
          <w:p w14:paraId="513CF088" w14:textId="77777777" w:rsidR="006A3DBC" w:rsidRPr="000E6D86" w:rsidRDefault="006A3DBC" w:rsidP="004A4FBC">
            <w:pPr>
              <w:numPr>
                <w:ilvl w:val="0"/>
                <w:numId w:val="19"/>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lang w:val="es-ES"/>
              </w:rPr>
            </w:pPr>
            <w:r w:rsidRPr="000E6D86">
              <w:rPr>
                <w:rFonts w:cs="Arial"/>
                <w:sz w:val="18"/>
                <w:szCs w:val="18"/>
                <w:lang w:val="es-ES"/>
              </w:rPr>
              <w:t>La selección de los subproyectos prioriza iniciativas agroindustriales competitivas, innovadoras y resilientes al clima (subproyectos o planes de negocios) en cadenas de valor agroalimentarias priorizadas.</w:t>
            </w:r>
          </w:p>
        </w:tc>
        <w:tc>
          <w:tcPr>
            <w:tcW w:w="4536" w:type="dxa"/>
            <w:vAlign w:val="center"/>
          </w:tcPr>
          <w:p w14:paraId="29E47B95" w14:textId="77777777" w:rsidR="006A3DBC" w:rsidRPr="000E6D86" w:rsidRDefault="006A3DBC" w:rsidP="004A4FBC">
            <w:pPr>
              <w:numPr>
                <w:ilvl w:val="0"/>
                <w:numId w:val="19"/>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lang w:val="es-ES"/>
              </w:rPr>
            </w:pPr>
            <w:r w:rsidRPr="000E6D86">
              <w:rPr>
                <w:rFonts w:cs="Arial"/>
                <w:sz w:val="18"/>
                <w:szCs w:val="18"/>
                <w:lang w:val="es-ES"/>
              </w:rPr>
              <w:t>Los instrumentos para la identificación y selección de los subproyectos contienen criterios de conservación de la biodiversidad, sostenibilidad ambiental, gestión del riesgo, cambio climático, salud y bioseguridad.</w:t>
            </w:r>
          </w:p>
          <w:p w14:paraId="3D65C55E" w14:textId="77777777" w:rsidR="006A3DBC" w:rsidRPr="000E6D86" w:rsidRDefault="006A3DBC" w:rsidP="005F4A92">
            <w:pPr>
              <w:ind w:left="360"/>
              <w:contextualSpacing/>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PY"/>
              </w:rPr>
            </w:pPr>
          </w:p>
        </w:tc>
      </w:tr>
      <w:tr w:rsidR="000E6D86" w:rsidRPr="000E6D86" w14:paraId="3E5E2D25" w14:textId="77777777" w:rsidTr="37B44AC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620" w:type="dxa"/>
            <w:vMerge/>
            <w:vAlign w:val="center"/>
          </w:tcPr>
          <w:p w14:paraId="4355D809" w14:textId="77777777" w:rsidR="004A4FBC" w:rsidRPr="000E6D86" w:rsidRDefault="004A4FBC" w:rsidP="005F4A92">
            <w:pPr>
              <w:spacing w:after="60"/>
              <w:rPr>
                <w:rFonts w:cs="Arial"/>
                <w:b w:val="0"/>
                <w:sz w:val="18"/>
                <w:szCs w:val="18"/>
                <w:lang w:val="es-PY"/>
              </w:rPr>
            </w:pPr>
          </w:p>
        </w:tc>
        <w:tc>
          <w:tcPr>
            <w:tcW w:w="3767" w:type="dxa"/>
            <w:vMerge w:val="restart"/>
            <w:vAlign w:val="center"/>
          </w:tcPr>
          <w:p w14:paraId="4F4D9C92" w14:textId="77777777" w:rsidR="004A4FBC" w:rsidRPr="000E6D86" w:rsidRDefault="004A4FBC" w:rsidP="005F4A92">
            <w:pPr>
              <w:tabs>
                <w:tab w:val="left" w:pos="0"/>
              </w:tabs>
              <w:spacing w:after="60"/>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0E6D86">
              <w:rPr>
                <w:rFonts w:cs="Arial"/>
                <w:bCs/>
                <w:sz w:val="18"/>
                <w:szCs w:val="18"/>
              </w:rPr>
              <w:t>Implementar l</w:t>
            </w:r>
            <w:r w:rsidRPr="000E6D86">
              <w:rPr>
                <w:rFonts w:cs="Arial"/>
                <w:sz w:val="18"/>
                <w:szCs w:val="18"/>
              </w:rPr>
              <w:t>a Ventana 1 (agricultura de subsistencia) para grupos informales de agricultores que poseen el potencial de realizar inversiones productivas de incipiente naturaleza comercial.</w:t>
            </w:r>
          </w:p>
          <w:p w14:paraId="6F7C7BEE" w14:textId="77777777" w:rsidR="004A4FBC" w:rsidRPr="000E6D86" w:rsidRDefault="004A4FBC" w:rsidP="005F4A92">
            <w:pPr>
              <w:tabs>
                <w:tab w:val="left" w:pos="0"/>
              </w:tabs>
              <w:spacing w:after="60"/>
              <w:jc w:val="both"/>
              <w:cnfStyle w:val="000000100000" w:firstRow="0" w:lastRow="0" w:firstColumn="0" w:lastColumn="0" w:oddVBand="0" w:evenVBand="0" w:oddHBand="1" w:evenHBand="0" w:firstRowFirstColumn="0" w:firstRowLastColumn="0" w:lastRowFirstColumn="0" w:lastRowLastColumn="0"/>
              <w:rPr>
                <w:rFonts w:cs="Arial"/>
                <w:sz w:val="18"/>
                <w:szCs w:val="18"/>
              </w:rPr>
            </w:pPr>
          </w:p>
          <w:p w14:paraId="15AB5313" w14:textId="77777777" w:rsidR="004A4FBC" w:rsidRPr="000E6D86" w:rsidRDefault="004A4FBC" w:rsidP="005F4A92">
            <w:pPr>
              <w:tabs>
                <w:tab w:val="left" w:pos="0"/>
              </w:tabs>
              <w:spacing w:after="60"/>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0E6D86">
              <w:rPr>
                <w:rFonts w:cs="Arial"/>
                <w:sz w:val="18"/>
                <w:szCs w:val="18"/>
              </w:rPr>
              <w:t>Implementar la Ventana 2 (agricultura de transición) para los productores que practican la agricultura como su principal medio de vida y aspiran a la transición de la producción de subsistencia a la producción con orientación comercial (el préstamo privado será de por lo menos un 30% del presupuesto total del PdN).</w:t>
            </w:r>
          </w:p>
          <w:p w14:paraId="689EABE2" w14:textId="77777777" w:rsidR="004A4FBC" w:rsidRPr="000E6D86" w:rsidRDefault="004A4FBC" w:rsidP="005F4A92">
            <w:pPr>
              <w:tabs>
                <w:tab w:val="left" w:pos="0"/>
              </w:tabs>
              <w:spacing w:after="60"/>
              <w:jc w:val="both"/>
              <w:cnfStyle w:val="000000100000" w:firstRow="0" w:lastRow="0" w:firstColumn="0" w:lastColumn="0" w:oddVBand="0" w:evenVBand="0" w:oddHBand="1" w:evenHBand="0" w:firstRowFirstColumn="0" w:firstRowLastColumn="0" w:lastRowFirstColumn="0" w:lastRowLastColumn="0"/>
              <w:rPr>
                <w:rFonts w:cs="Arial"/>
                <w:sz w:val="18"/>
                <w:szCs w:val="18"/>
              </w:rPr>
            </w:pPr>
          </w:p>
          <w:p w14:paraId="2A34EED8" w14:textId="77777777" w:rsidR="004A4FBC" w:rsidRPr="000E6D86" w:rsidRDefault="004A4FBC" w:rsidP="005F4A92">
            <w:pPr>
              <w:tabs>
                <w:tab w:val="left" w:pos="0"/>
              </w:tabs>
              <w:spacing w:after="60"/>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0E6D86">
              <w:rPr>
                <w:rFonts w:cs="Arial"/>
                <w:sz w:val="18"/>
                <w:szCs w:val="18"/>
              </w:rPr>
              <w:t xml:space="preserve">Implementar la Ventana 3 (agricultura con orientación comercial) para los grupos formales de agricultores que ya poseen una orientación comercial, así como el potencial para incrementar y contribuir a la generación de empleo y otros aspectos del crecimiento económico rural (el préstamo privado será de </w:t>
            </w:r>
            <w:r w:rsidRPr="000E6D86">
              <w:rPr>
                <w:rFonts w:cs="Arial"/>
                <w:sz w:val="18"/>
                <w:szCs w:val="18"/>
              </w:rPr>
              <w:lastRenderedPageBreak/>
              <w:t>por los menos el 50% del presupuesto total de PdNs).</w:t>
            </w:r>
          </w:p>
          <w:p w14:paraId="4BBBA3F8" w14:textId="77777777" w:rsidR="004A4FBC" w:rsidRPr="000E6D86" w:rsidRDefault="004A4FBC" w:rsidP="005F4A92">
            <w:pPr>
              <w:tabs>
                <w:tab w:val="left" w:pos="0"/>
              </w:tabs>
              <w:spacing w:after="60"/>
              <w:jc w:val="both"/>
              <w:cnfStyle w:val="000000100000" w:firstRow="0" w:lastRow="0" w:firstColumn="0" w:lastColumn="0" w:oddVBand="0" w:evenVBand="0" w:oddHBand="1" w:evenHBand="0" w:firstRowFirstColumn="0" w:firstRowLastColumn="0" w:lastRowFirstColumn="0" w:lastRowLastColumn="0"/>
              <w:rPr>
                <w:rFonts w:cs="Arial"/>
                <w:sz w:val="18"/>
                <w:szCs w:val="18"/>
              </w:rPr>
            </w:pPr>
          </w:p>
          <w:p w14:paraId="788E3037" w14:textId="77777777" w:rsidR="004A4FBC" w:rsidRPr="000E6D86" w:rsidRDefault="004A4FBC" w:rsidP="005F4A92">
            <w:pPr>
              <w:tabs>
                <w:tab w:val="left" w:pos="0"/>
              </w:tabs>
              <w:spacing w:after="60"/>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0E6D86">
              <w:rPr>
                <w:rFonts w:cs="Arial"/>
                <w:sz w:val="18"/>
                <w:szCs w:val="18"/>
              </w:rPr>
              <w:t>Implementar la Ventana 4 para grupos más pequeños de agricultores o jóvenes emprendedores rurales con ideas comerciales avanzadas para promover la adopción de soluciones tecnológicas innovadoras a fin de fortalecer los sistemas agroalimentarios (digitalización de la agroindustria, información agroclimática, provisión de insumos agrícolas, gestión de agronegocios, programas de e-learning, extensión electrónica, trazabilidad).</w:t>
            </w:r>
          </w:p>
        </w:tc>
        <w:tc>
          <w:tcPr>
            <w:tcW w:w="3402" w:type="dxa"/>
            <w:vMerge w:val="restart"/>
            <w:vAlign w:val="center"/>
          </w:tcPr>
          <w:p w14:paraId="597BE2A3" w14:textId="19DEA3C1" w:rsidR="004A4FBC" w:rsidRPr="000E6D86" w:rsidRDefault="004A4FBC" w:rsidP="005F4A92">
            <w:pPr>
              <w:numPr>
                <w:ilvl w:val="0"/>
                <w:numId w:val="2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0E6D86">
              <w:rPr>
                <w:rFonts w:cs="Arial"/>
                <w:sz w:val="18"/>
                <w:szCs w:val="18"/>
              </w:rPr>
              <w:lastRenderedPageBreak/>
              <w:t>Los altos costos e implicaciones en tiempo para la obtención de la Licencia Ambiental pueden desmotivar la participación de OPRs y otras poblaciones objetivo del Proyecto COMRURAL III, durante la fase de elaboración y aprobación de PdNs.</w:t>
            </w:r>
          </w:p>
          <w:p w14:paraId="00B267CD" w14:textId="77777777" w:rsidR="004A4FBC" w:rsidRPr="000E6D86" w:rsidRDefault="004A4FBC" w:rsidP="004A4FBC">
            <w:pPr>
              <w:numPr>
                <w:ilvl w:val="0"/>
                <w:numId w:val="2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0E6D86">
              <w:rPr>
                <w:rFonts w:cs="Arial"/>
                <w:sz w:val="18"/>
                <w:szCs w:val="18"/>
              </w:rPr>
              <w:t xml:space="preserve">Pérdida de biodiversidad en hábitats modificados, naturales y críticos y áreas protegidas y corredores biológicos por cualquier tipo de producción agrícola, y sobre todo en áreas protegidas o en su cercanía (zonas de amortiguamiento). </w:t>
            </w:r>
          </w:p>
          <w:p w14:paraId="5744DC1E" w14:textId="77777777" w:rsidR="004A4FBC" w:rsidRPr="000E6D86" w:rsidRDefault="004A4FBC" w:rsidP="004A4FBC">
            <w:pPr>
              <w:numPr>
                <w:ilvl w:val="0"/>
                <w:numId w:val="2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0E6D86">
              <w:rPr>
                <w:rFonts w:cs="Arial"/>
                <w:sz w:val="18"/>
                <w:szCs w:val="18"/>
              </w:rPr>
              <w:t xml:space="preserve">Contaminación de fuentes de agua por procesos agroindustriales de las diferentes cadenas agrícolas, apicultura, acuicultura y turismo rural. </w:t>
            </w:r>
          </w:p>
          <w:p w14:paraId="07BD5108" w14:textId="77777777" w:rsidR="004A4FBC" w:rsidRPr="000E6D86" w:rsidRDefault="004A4FBC" w:rsidP="004A4FBC">
            <w:pPr>
              <w:numPr>
                <w:ilvl w:val="0"/>
                <w:numId w:val="2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0E6D86">
              <w:rPr>
                <w:rFonts w:cs="Arial"/>
                <w:sz w:val="18"/>
                <w:szCs w:val="18"/>
              </w:rPr>
              <w:t xml:space="preserve"> Contaminación por residuos sólidos y líquidos en general. </w:t>
            </w:r>
          </w:p>
          <w:p w14:paraId="04DA4E97" w14:textId="77777777" w:rsidR="004A4FBC" w:rsidRPr="000E6D86" w:rsidRDefault="004A4FBC" w:rsidP="005F4A92">
            <w:pPr>
              <w:ind w:left="360"/>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rPr>
            </w:pPr>
          </w:p>
          <w:p w14:paraId="4605B08D" w14:textId="77777777" w:rsidR="004A4FBC" w:rsidRPr="000E6D86" w:rsidRDefault="004A4FBC" w:rsidP="005F4A92">
            <w:pPr>
              <w:ind w:left="360"/>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rPr>
            </w:pPr>
          </w:p>
          <w:p w14:paraId="6352E5D1" w14:textId="77777777" w:rsidR="004A4FBC" w:rsidRPr="000E6D86" w:rsidRDefault="004A4FBC" w:rsidP="005F4A92">
            <w:pPr>
              <w:ind w:left="360"/>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rPr>
            </w:pPr>
          </w:p>
          <w:p w14:paraId="01DCA6FE" w14:textId="77777777" w:rsidR="004A4FBC" w:rsidRPr="000E6D86" w:rsidRDefault="004A4FBC" w:rsidP="005F4A92">
            <w:pPr>
              <w:ind w:left="360"/>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p>
        </w:tc>
        <w:tc>
          <w:tcPr>
            <w:tcW w:w="4536" w:type="dxa"/>
            <w:vAlign w:val="center"/>
          </w:tcPr>
          <w:p w14:paraId="08FF1F3D" w14:textId="77777777" w:rsidR="004A4FBC" w:rsidRPr="000E6D86" w:rsidRDefault="004A4FBC" w:rsidP="004A4FBC">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lang w:val="es-ES"/>
              </w:rPr>
              <w:lastRenderedPageBreak/>
              <w:t>El CNA puede ser la instancia capaz de coordinar acciones para facilitar acuerdos interinstitucionales que permitan resolver el cumplimiento de los requisitos de normativa ambiental para organizaciones de productores de pueblos indígenas y afrodescendientes.</w:t>
            </w:r>
          </w:p>
        </w:tc>
      </w:tr>
      <w:tr w:rsidR="000E6D86" w:rsidRPr="000E6D86" w14:paraId="5D4DEB15" w14:textId="77777777" w:rsidTr="37B44ACB">
        <w:trPr>
          <w:trHeight w:val="703"/>
        </w:trPr>
        <w:tc>
          <w:tcPr>
            <w:tcW w:w="1620" w:type="dxa"/>
            <w:vMerge/>
            <w:vAlign w:val="center"/>
          </w:tcPr>
          <w:p w14:paraId="3DF6C7F0" w14:textId="77777777" w:rsidR="004A4FBC" w:rsidRPr="000E6D86" w:rsidRDefault="004A4FBC" w:rsidP="005F4A92">
            <w:pPr>
              <w:spacing w:after="60"/>
              <w:cnfStyle w:val="001000000000" w:firstRow="0" w:lastRow="0" w:firstColumn="1" w:lastColumn="0" w:oddVBand="0" w:evenVBand="0" w:oddHBand="0" w:evenHBand="0" w:firstRowFirstColumn="0" w:firstRowLastColumn="0" w:lastRowFirstColumn="0" w:lastRowLastColumn="0"/>
              <w:rPr>
                <w:rFonts w:cs="Arial"/>
                <w:b w:val="0"/>
                <w:sz w:val="18"/>
                <w:szCs w:val="18"/>
                <w:lang w:val="es-PY"/>
              </w:rPr>
            </w:pPr>
          </w:p>
        </w:tc>
        <w:tc>
          <w:tcPr>
            <w:tcW w:w="3767" w:type="dxa"/>
            <w:vMerge/>
            <w:vAlign w:val="center"/>
          </w:tcPr>
          <w:p w14:paraId="3F611522" w14:textId="77777777" w:rsidR="004A4FBC" w:rsidRPr="000E6D86" w:rsidRDefault="004A4FBC" w:rsidP="005F4A92">
            <w:pPr>
              <w:tabs>
                <w:tab w:val="left" w:pos="0"/>
              </w:tabs>
              <w:spacing w:after="60"/>
              <w:jc w:val="both"/>
              <w:rPr>
                <w:rFonts w:cs="Arial"/>
                <w:bCs/>
                <w:sz w:val="18"/>
                <w:szCs w:val="18"/>
              </w:rPr>
            </w:pPr>
          </w:p>
        </w:tc>
        <w:tc>
          <w:tcPr>
            <w:tcW w:w="3402" w:type="dxa"/>
            <w:vMerge/>
            <w:vAlign w:val="center"/>
          </w:tcPr>
          <w:p w14:paraId="0FCFB76E" w14:textId="77777777" w:rsidR="004A4FBC" w:rsidRPr="000E6D86" w:rsidRDefault="004A4FBC" w:rsidP="005F4A92">
            <w:pPr>
              <w:ind w:left="360"/>
              <w:contextualSpacing/>
              <w:jc w:val="both"/>
              <w:rPr>
                <w:rFonts w:cs="Arial"/>
                <w:sz w:val="18"/>
                <w:szCs w:val="18"/>
              </w:rPr>
            </w:pPr>
          </w:p>
        </w:tc>
        <w:tc>
          <w:tcPr>
            <w:tcW w:w="4536" w:type="dxa"/>
            <w:vAlign w:val="center"/>
          </w:tcPr>
          <w:p w14:paraId="2EBCB05B" w14:textId="77777777" w:rsidR="004A4FBC" w:rsidRPr="000E6D86" w:rsidRDefault="004A4FBC" w:rsidP="004A4FBC">
            <w:pPr>
              <w:numPr>
                <w:ilvl w:val="0"/>
                <w:numId w:val="19"/>
              </w:numPr>
              <w:contextualSpacing/>
              <w:jc w:val="both"/>
              <w:rPr>
                <w:rFonts w:cs="Arial"/>
                <w:sz w:val="18"/>
                <w:szCs w:val="18"/>
                <w:lang w:val="es-ES"/>
              </w:rPr>
            </w:pPr>
            <w:r w:rsidRPr="000E6D86">
              <w:rPr>
                <w:rFonts w:cs="Arial"/>
                <w:sz w:val="18"/>
                <w:szCs w:val="18"/>
                <w:lang w:val="es-ES"/>
              </w:rPr>
              <w:t>El Proyecto ComRural III según MOP no aprueba inversiones en PdNs de categoría ambiental 4 calificadas de muy alto impacto o riesgo ambiental según normativa nacional. (Que se corresponde con la categoría “Alto Riesgo” del BM).</w:t>
            </w:r>
          </w:p>
          <w:p w14:paraId="17C67225" w14:textId="77777777" w:rsidR="004A4FBC" w:rsidRPr="000E6D86" w:rsidRDefault="004A4FBC" w:rsidP="004A4FBC">
            <w:pPr>
              <w:numPr>
                <w:ilvl w:val="0"/>
                <w:numId w:val="19"/>
              </w:numPr>
              <w:contextualSpacing/>
              <w:jc w:val="both"/>
              <w:rPr>
                <w:rFonts w:cs="Arial"/>
                <w:sz w:val="18"/>
                <w:szCs w:val="18"/>
                <w:lang w:val="es-ES"/>
              </w:rPr>
            </w:pPr>
            <w:r w:rsidRPr="000E6D86">
              <w:rPr>
                <w:rFonts w:cs="Arial"/>
                <w:sz w:val="18"/>
                <w:szCs w:val="18"/>
                <w:lang w:val="es-ES"/>
              </w:rPr>
              <w:t>El Proyecto facilitará asesoría técnica y legal a las OPRs para la orientación en la realización de los trámites correspondientes.</w:t>
            </w:r>
          </w:p>
          <w:p w14:paraId="3315BC2D" w14:textId="77777777" w:rsidR="004A4FBC" w:rsidRPr="000E6D86" w:rsidRDefault="004A4FBC" w:rsidP="004A4FBC">
            <w:pPr>
              <w:numPr>
                <w:ilvl w:val="0"/>
                <w:numId w:val="19"/>
              </w:numPr>
              <w:contextualSpacing/>
              <w:jc w:val="both"/>
              <w:rPr>
                <w:rFonts w:cs="Arial"/>
                <w:sz w:val="18"/>
                <w:szCs w:val="18"/>
                <w:lang w:val="es-ES"/>
              </w:rPr>
            </w:pPr>
            <w:r w:rsidRPr="000E6D86">
              <w:rPr>
                <w:rFonts w:cs="Arial"/>
                <w:sz w:val="18"/>
                <w:szCs w:val="18"/>
                <w:lang w:val="es-ES"/>
              </w:rPr>
              <w:t>Desarrollar reuniones de socialización con personal de los departamentos correspondientes del ICF y SERNA para dar a conocer los PdNs con potencial de aprobación y sensibilizar las autoridades correspondientes sobre la importancia de agilizar los respectivos trámites.</w:t>
            </w:r>
          </w:p>
          <w:p w14:paraId="63E0CFCE" w14:textId="77777777" w:rsidR="004A4FBC" w:rsidRPr="000E6D86" w:rsidRDefault="004A4FBC" w:rsidP="004A4FBC">
            <w:pPr>
              <w:numPr>
                <w:ilvl w:val="0"/>
                <w:numId w:val="19"/>
              </w:numPr>
              <w:contextualSpacing/>
              <w:jc w:val="both"/>
              <w:rPr>
                <w:rFonts w:cs="Arial"/>
                <w:sz w:val="18"/>
                <w:szCs w:val="18"/>
                <w:lang w:val="es-ES"/>
              </w:rPr>
            </w:pPr>
            <w:r w:rsidRPr="000E6D86">
              <w:rPr>
                <w:rFonts w:cs="Arial"/>
                <w:sz w:val="18"/>
                <w:szCs w:val="18"/>
                <w:lang w:val="es-ES"/>
              </w:rPr>
              <w:t>El MOP incluirá que las actividades están limitadas a hábitats modificados sin valores significativos de Biodiversidad.</w:t>
            </w:r>
          </w:p>
          <w:p w14:paraId="4290FA49" w14:textId="77777777" w:rsidR="004A4FBC" w:rsidRPr="000E6D86" w:rsidRDefault="004A4FBC" w:rsidP="004A4FBC">
            <w:pPr>
              <w:numPr>
                <w:ilvl w:val="0"/>
                <w:numId w:val="19"/>
              </w:numPr>
              <w:contextualSpacing/>
              <w:jc w:val="both"/>
              <w:rPr>
                <w:rFonts w:cs="Arial"/>
                <w:sz w:val="18"/>
                <w:szCs w:val="18"/>
                <w:lang w:val="es-ES"/>
              </w:rPr>
            </w:pPr>
            <w:r w:rsidRPr="000E6D86">
              <w:rPr>
                <w:rFonts w:cs="Arial"/>
                <w:sz w:val="18"/>
                <w:szCs w:val="18"/>
                <w:lang w:val="es-ES"/>
              </w:rPr>
              <w:lastRenderedPageBreak/>
              <w:t>Realizar un análisis de nutrientes del suelo para conocer las deficiencias de este antes de entregar o aplicar fertilizantes.</w:t>
            </w:r>
          </w:p>
          <w:p w14:paraId="4EDEA44D" w14:textId="77777777" w:rsidR="004A4FBC" w:rsidRPr="000E6D86" w:rsidRDefault="004A4FBC" w:rsidP="004A4FBC">
            <w:pPr>
              <w:numPr>
                <w:ilvl w:val="0"/>
                <w:numId w:val="19"/>
              </w:numPr>
              <w:contextualSpacing/>
              <w:jc w:val="both"/>
              <w:rPr>
                <w:rFonts w:cs="Arial"/>
                <w:sz w:val="18"/>
                <w:szCs w:val="18"/>
                <w:lang w:val="es-ES"/>
              </w:rPr>
            </w:pPr>
            <w:r w:rsidRPr="000E6D86">
              <w:rPr>
                <w:rFonts w:cs="Arial"/>
                <w:sz w:val="18"/>
                <w:szCs w:val="18"/>
                <w:lang w:val="es-ES"/>
              </w:rPr>
              <w:t>Evitar la selección de rubros que contemplen monocultivos o la introducción de especies no nativas y potencialmente invasivas que no cuentan con un plan de control.</w:t>
            </w:r>
          </w:p>
          <w:p w14:paraId="4E51F962" w14:textId="77777777" w:rsidR="004A4FBC" w:rsidRPr="000E6D86" w:rsidRDefault="004A4FBC" w:rsidP="004A4FBC">
            <w:pPr>
              <w:numPr>
                <w:ilvl w:val="0"/>
                <w:numId w:val="19"/>
              </w:numPr>
              <w:contextualSpacing/>
              <w:jc w:val="both"/>
              <w:rPr>
                <w:rFonts w:cs="Arial"/>
                <w:sz w:val="18"/>
                <w:szCs w:val="18"/>
                <w:lang w:val="es-ES"/>
              </w:rPr>
            </w:pPr>
            <w:r w:rsidRPr="000E6D86">
              <w:rPr>
                <w:rFonts w:cs="Arial"/>
                <w:sz w:val="18"/>
                <w:szCs w:val="18"/>
                <w:lang w:val="es-ES"/>
              </w:rPr>
              <w:t>Implementar el Plan de Plaguicidas para regular y contrarrestar el uso de químicos utilizado en el COMRURAL III.</w:t>
            </w:r>
          </w:p>
          <w:p w14:paraId="39D91585" w14:textId="77777777" w:rsidR="004A4FBC" w:rsidRPr="000E6D86" w:rsidRDefault="004A4FBC" w:rsidP="004A4FBC">
            <w:pPr>
              <w:numPr>
                <w:ilvl w:val="0"/>
                <w:numId w:val="19"/>
              </w:numPr>
              <w:contextualSpacing/>
              <w:jc w:val="both"/>
              <w:rPr>
                <w:rFonts w:cs="Arial"/>
                <w:sz w:val="18"/>
                <w:szCs w:val="18"/>
                <w:lang w:val="es-ES"/>
              </w:rPr>
            </w:pPr>
            <w:bookmarkStart w:id="902" w:name="_Hlk66201913"/>
            <w:r w:rsidRPr="000E6D86">
              <w:rPr>
                <w:rFonts w:cs="Arial"/>
                <w:sz w:val="18"/>
                <w:szCs w:val="18"/>
                <w:lang w:val="es-ES"/>
              </w:rPr>
              <w:t>El MOP incluirá el listado de actividades excluidas de inversión con fondos del proyecto COMRURAL III.</w:t>
            </w:r>
          </w:p>
          <w:bookmarkEnd w:id="902"/>
          <w:p w14:paraId="581B5EE4" w14:textId="77777777" w:rsidR="004A4FBC" w:rsidRPr="000E6D86" w:rsidRDefault="004A4FBC" w:rsidP="004A4FBC">
            <w:pPr>
              <w:numPr>
                <w:ilvl w:val="0"/>
                <w:numId w:val="19"/>
              </w:numPr>
              <w:contextualSpacing/>
              <w:jc w:val="both"/>
              <w:rPr>
                <w:rFonts w:cs="Arial"/>
                <w:sz w:val="18"/>
                <w:szCs w:val="18"/>
                <w:lang w:val="es-ES"/>
              </w:rPr>
            </w:pPr>
            <w:r w:rsidRPr="000E6D86">
              <w:rPr>
                <w:rFonts w:cs="Arial"/>
                <w:sz w:val="18"/>
                <w:szCs w:val="18"/>
                <w:lang w:val="es-ES"/>
              </w:rPr>
              <w:t xml:space="preserve">Aplicación de la lista negativa de las inversiones a financiar por el Proyecto para evitar inclusión de PdNs que impliquen aumento de la frontera agrícola; </w:t>
            </w:r>
          </w:p>
          <w:p w14:paraId="2D1426EC" w14:textId="77777777" w:rsidR="004A4FBC" w:rsidRPr="000E6D86" w:rsidRDefault="004A4FBC" w:rsidP="004A4FBC">
            <w:pPr>
              <w:numPr>
                <w:ilvl w:val="0"/>
                <w:numId w:val="19"/>
              </w:numPr>
              <w:contextualSpacing/>
              <w:jc w:val="both"/>
              <w:rPr>
                <w:rFonts w:cs="Arial"/>
                <w:sz w:val="18"/>
                <w:szCs w:val="18"/>
                <w:lang w:val="es-ES"/>
              </w:rPr>
            </w:pPr>
            <w:r w:rsidRPr="000E6D86">
              <w:rPr>
                <w:rFonts w:cs="Arial"/>
                <w:sz w:val="18"/>
                <w:szCs w:val="18"/>
                <w:lang w:val="es-ES"/>
              </w:rPr>
              <w:t>Se limitará la implementación de unidades productivas en predios ecológicamente intervenidos (hábitats modificados sin presencia de valores significativas de biodiversidad) para evitar el aumento de la frontera agrícola.</w:t>
            </w:r>
          </w:p>
          <w:p w14:paraId="7925FA42" w14:textId="77777777" w:rsidR="004A4FBC" w:rsidRPr="000E6D86" w:rsidRDefault="004A4FBC" w:rsidP="004A4FBC">
            <w:pPr>
              <w:numPr>
                <w:ilvl w:val="0"/>
                <w:numId w:val="19"/>
              </w:numPr>
              <w:contextualSpacing/>
              <w:jc w:val="both"/>
              <w:rPr>
                <w:rFonts w:cs="Arial"/>
                <w:sz w:val="18"/>
                <w:szCs w:val="18"/>
                <w:lang w:val="es-ES"/>
              </w:rPr>
            </w:pPr>
            <w:r w:rsidRPr="000E6D86">
              <w:rPr>
                <w:rFonts w:cs="Arial"/>
                <w:sz w:val="18"/>
                <w:szCs w:val="18"/>
                <w:lang w:val="es-ES"/>
              </w:rPr>
              <w:t>Levantamiento de la línea base socioambiental de cada PdN y el sistema de monitoreo socioambiental, asegurar un nivel adecuado de control y monitoreo preventivo en el campo.</w:t>
            </w:r>
          </w:p>
          <w:p w14:paraId="02F0FEE1" w14:textId="4FDB4F03" w:rsidR="004A4FBC" w:rsidRPr="000E6D86" w:rsidRDefault="004A4FBC" w:rsidP="005F4A92">
            <w:pPr>
              <w:numPr>
                <w:ilvl w:val="0"/>
                <w:numId w:val="19"/>
              </w:numPr>
              <w:contextualSpacing/>
              <w:jc w:val="both"/>
              <w:rPr>
                <w:rFonts w:cs="Arial"/>
                <w:sz w:val="18"/>
                <w:szCs w:val="18"/>
                <w:lang w:val="es-ES"/>
              </w:rPr>
            </w:pPr>
            <w:r w:rsidRPr="000E6D86">
              <w:rPr>
                <w:rFonts w:cs="Arial"/>
                <w:sz w:val="18"/>
                <w:szCs w:val="18"/>
                <w:lang w:val="es-ES"/>
              </w:rPr>
              <w:t xml:space="preserve">Ejecución de obras físicas y medidas de mitigación ambiental planteadas bajo el concepto de un PGAS en la formulación del PdN, entre las cuales se recomienda de manera general: </w:t>
            </w:r>
          </w:p>
          <w:p w14:paraId="726EC0B9" w14:textId="77777777" w:rsidR="004A4FBC" w:rsidRPr="000E6D86" w:rsidRDefault="004A4FBC" w:rsidP="005F4A92">
            <w:pPr>
              <w:numPr>
                <w:ilvl w:val="0"/>
                <w:numId w:val="40"/>
              </w:numPr>
              <w:ind w:left="720"/>
              <w:contextualSpacing/>
              <w:jc w:val="both"/>
              <w:rPr>
                <w:rFonts w:cs="Arial"/>
                <w:sz w:val="18"/>
                <w:szCs w:val="18"/>
                <w:lang w:val="es-ES"/>
              </w:rPr>
            </w:pPr>
            <w:r w:rsidRPr="000E6D86">
              <w:rPr>
                <w:rFonts w:cs="Arial"/>
                <w:sz w:val="18"/>
                <w:szCs w:val="18"/>
                <w:lang w:val="es-ES"/>
              </w:rPr>
              <w:t>Obras de tratamiento y manejo de desechos sólidos. Incluye desechos propios del procesamiento, desechos de cosecha, desechos comunes degradables y no biodegradables, así como el manejo y tratamiento de desecho sólidos peligrosos y desechos plásticos agrícolas.</w:t>
            </w:r>
          </w:p>
          <w:p w14:paraId="1DE461E3" w14:textId="77777777" w:rsidR="004A4FBC" w:rsidRPr="000E6D86" w:rsidRDefault="004A4FBC" w:rsidP="005F4A92">
            <w:pPr>
              <w:numPr>
                <w:ilvl w:val="0"/>
                <w:numId w:val="40"/>
              </w:numPr>
              <w:ind w:left="720"/>
              <w:contextualSpacing/>
              <w:jc w:val="both"/>
              <w:rPr>
                <w:rFonts w:cs="Arial"/>
                <w:sz w:val="18"/>
                <w:szCs w:val="18"/>
                <w:lang w:val="es-ES"/>
              </w:rPr>
            </w:pPr>
            <w:r w:rsidRPr="000E6D86">
              <w:rPr>
                <w:rFonts w:cs="Arial"/>
                <w:sz w:val="18"/>
                <w:szCs w:val="18"/>
                <w:lang w:val="es-ES"/>
              </w:rPr>
              <w:t xml:space="preserve">Obras de tratamiento y manejo de aguas residuales. Incluye efluentes de sistemas de </w:t>
            </w:r>
            <w:r w:rsidRPr="000E6D86">
              <w:rPr>
                <w:rFonts w:cs="Arial"/>
                <w:sz w:val="18"/>
                <w:szCs w:val="18"/>
                <w:lang w:val="es-ES"/>
              </w:rPr>
              <w:lastRenderedPageBreak/>
              <w:t>producción, aguas pluviales, aguas grises y negras.</w:t>
            </w:r>
          </w:p>
          <w:p w14:paraId="5D8C026D" w14:textId="0B3BCC73" w:rsidR="004A4FBC" w:rsidRPr="000E6D86" w:rsidRDefault="469CD370" w:rsidP="005F4A92">
            <w:pPr>
              <w:numPr>
                <w:ilvl w:val="0"/>
                <w:numId w:val="40"/>
              </w:numPr>
              <w:ind w:left="720"/>
              <w:contextualSpacing/>
              <w:jc w:val="both"/>
              <w:rPr>
                <w:rFonts w:cs="Arial"/>
                <w:sz w:val="18"/>
                <w:szCs w:val="18"/>
                <w:lang w:val="es-ES"/>
              </w:rPr>
            </w:pPr>
            <w:r w:rsidRPr="000E6D86">
              <w:rPr>
                <w:rFonts w:cs="Arial"/>
                <w:sz w:val="18"/>
                <w:szCs w:val="18"/>
                <w:lang w:val="es-ES"/>
              </w:rPr>
              <w:t>Aplicación de guías de buenas prácticas ambientales, que serán específicas para cada rubro. En términos generales, incluye: aplicación de MIP y Manejo Integrado de Cultivos (MIC), BPM y Buenas Prácticas Ambientales</w:t>
            </w:r>
            <w:r w:rsidR="004A4FBC" w:rsidRPr="000E6D86">
              <w:rPr>
                <w:rStyle w:val="Refdenotaalpie"/>
                <w:rFonts w:cs="Arial"/>
                <w:sz w:val="18"/>
                <w:szCs w:val="18"/>
                <w:lang w:val="es-ES"/>
              </w:rPr>
              <w:footnoteReference w:id="45"/>
            </w:r>
            <w:r w:rsidRPr="000E6D86">
              <w:rPr>
                <w:rFonts w:cs="Arial"/>
                <w:sz w:val="18"/>
                <w:szCs w:val="18"/>
                <w:lang w:val="es-ES"/>
              </w:rPr>
              <w:t>.</w:t>
            </w:r>
          </w:p>
          <w:p w14:paraId="5F45FBF1" w14:textId="77777777" w:rsidR="004A4FBC" w:rsidRPr="000E6D86" w:rsidRDefault="004A4FBC" w:rsidP="005F4A92">
            <w:pPr>
              <w:numPr>
                <w:ilvl w:val="0"/>
                <w:numId w:val="40"/>
              </w:numPr>
              <w:ind w:left="720"/>
              <w:contextualSpacing/>
              <w:jc w:val="both"/>
              <w:rPr>
                <w:rFonts w:cs="Arial"/>
                <w:sz w:val="18"/>
                <w:szCs w:val="18"/>
                <w:lang w:val="es-ES"/>
              </w:rPr>
            </w:pPr>
            <w:r w:rsidRPr="000E6D86">
              <w:rPr>
                <w:rFonts w:cs="Arial"/>
                <w:sz w:val="18"/>
                <w:szCs w:val="18"/>
                <w:lang w:val="es-ES"/>
              </w:rPr>
              <w:t>Implementación de medidas de inocuidad en unidades productivas.</w:t>
            </w:r>
          </w:p>
          <w:p w14:paraId="1ADF3F6B" w14:textId="77777777" w:rsidR="004A4FBC" w:rsidRPr="000E6D86" w:rsidRDefault="004A4FBC" w:rsidP="005F4A92">
            <w:pPr>
              <w:numPr>
                <w:ilvl w:val="0"/>
                <w:numId w:val="40"/>
              </w:numPr>
              <w:ind w:left="720"/>
              <w:contextualSpacing/>
              <w:jc w:val="both"/>
              <w:rPr>
                <w:rFonts w:cs="Arial"/>
                <w:sz w:val="18"/>
                <w:szCs w:val="18"/>
                <w:lang w:val="es-ES"/>
              </w:rPr>
            </w:pPr>
            <w:r w:rsidRPr="000E6D86">
              <w:rPr>
                <w:rFonts w:cs="Arial"/>
                <w:sz w:val="18"/>
                <w:szCs w:val="18"/>
                <w:lang w:val="es-ES"/>
              </w:rPr>
              <w:t>Implementación de medidas de seguridad laboral.</w:t>
            </w:r>
          </w:p>
          <w:p w14:paraId="0190B0CF" w14:textId="101F008B" w:rsidR="004A4FBC" w:rsidRPr="000E6D86" w:rsidRDefault="004A4FBC" w:rsidP="005F4A92">
            <w:pPr>
              <w:numPr>
                <w:ilvl w:val="0"/>
                <w:numId w:val="40"/>
              </w:numPr>
              <w:ind w:left="720"/>
              <w:contextualSpacing/>
              <w:jc w:val="both"/>
              <w:rPr>
                <w:rFonts w:cs="Arial"/>
                <w:sz w:val="18"/>
                <w:szCs w:val="18"/>
                <w:lang w:val="es-ES"/>
              </w:rPr>
            </w:pPr>
            <w:r w:rsidRPr="000E6D86">
              <w:rPr>
                <w:rFonts w:cs="Arial"/>
                <w:sz w:val="18"/>
                <w:szCs w:val="18"/>
                <w:lang w:val="es-ES"/>
              </w:rPr>
              <w:t xml:space="preserve">Implementación de las medidas de bioseguridad establecidas por la STSS, que se encuentran disponibles en: http://www.trabajo.gob.hn/ </w:t>
            </w:r>
          </w:p>
          <w:p w14:paraId="26DBACDF" w14:textId="77777777" w:rsidR="004A4FBC" w:rsidRPr="000E6D86" w:rsidRDefault="004A4FBC" w:rsidP="005F4A92">
            <w:pPr>
              <w:numPr>
                <w:ilvl w:val="0"/>
                <w:numId w:val="40"/>
              </w:numPr>
              <w:ind w:left="720"/>
              <w:contextualSpacing/>
              <w:jc w:val="both"/>
              <w:rPr>
                <w:rFonts w:cs="Arial"/>
                <w:sz w:val="18"/>
                <w:szCs w:val="18"/>
                <w:lang w:val="es-ES"/>
              </w:rPr>
            </w:pPr>
            <w:r w:rsidRPr="000E6D86">
              <w:rPr>
                <w:rFonts w:cs="Arial"/>
                <w:sz w:val="18"/>
                <w:szCs w:val="18"/>
                <w:lang w:val="es-ES"/>
              </w:rPr>
              <w:t>Rotulación y delimitación de áreas según su función particular.</w:t>
            </w:r>
          </w:p>
          <w:p w14:paraId="5483BF47" w14:textId="77777777" w:rsidR="004A4FBC" w:rsidRPr="000E6D86" w:rsidRDefault="004A4FBC" w:rsidP="005F4A92">
            <w:pPr>
              <w:numPr>
                <w:ilvl w:val="0"/>
                <w:numId w:val="40"/>
              </w:numPr>
              <w:ind w:left="720"/>
              <w:contextualSpacing/>
              <w:jc w:val="both"/>
              <w:rPr>
                <w:rFonts w:cs="Arial"/>
                <w:sz w:val="18"/>
                <w:szCs w:val="18"/>
                <w:lang w:val="es-ES"/>
              </w:rPr>
            </w:pPr>
            <w:r w:rsidRPr="000E6D86">
              <w:rPr>
                <w:rFonts w:cs="Arial"/>
                <w:sz w:val="18"/>
                <w:szCs w:val="18"/>
                <w:lang w:val="es-ES"/>
              </w:rPr>
              <w:t>Suscripción a certificaciones socioambientales y de calidad.</w:t>
            </w:r>
          </w:p>
        </w:tc>
      </w:tr>
      <w:tr w:rsidR="000E6D86" w:rsidRPr="000E6D86" w14:paraId="6DAA4E59" w14:textId="77777777" w:rsidTr="37B44AC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620" w:type="dxa"/>
            <w:vMerge/>
            <w:vAlign w:val="center"/>
          </w:tcPr>
          <w:p w14:paraId="11407686" w14:textId="77777777" w:rsidR="006A3DBC" w:rsidRPr="000E6D86" w:rsidRDefault="006A3DBC" w:rsidP="005F4A92">
            <w:pPr>
              <w:spacing w:after="60"/>
              <w:rPr>
                <w:rFonts w:cs="Arial"/>
                <w:b w:val="0"/>
                <w:sz w:val="18"/>
                <w:szCs w:val="18"/>
                <w:lang w:val="es-PY"/>
              </w:rPr>
            </w:pPr>
          </w:p>
        </w:tc>
        <w:tc>
          <w:tcPr>
            <w:tcW w:w="3767" w:type="dxa"/>
            <w:vMerge/>
            <w:vAlign w:val="center"/>
          </w:tcPr>
          <w:p w14:paraId="710FA9C0" w14:textId="77777777" w:rsidR="006A3DBC" w:rsidRPr="000E6D86" w:rsidRDefault="006A3DBC" w:rsidP="005F4A92">
            <w:pPr>
              <w:tabs>
                <w:tab w:val="left" w:pos="0"/>
              </w:tabs>
              <w:spacing w:after="60"/>
              <w:jc w:val="both"/>
              <w:cnfStyle w:val="000000100000" w:firstRow="0" w:lastRow="0" w:firstColumn="0" w:lastColumn="0" w:oddVBand="0" w:evenVBand="0" w:oddHBand="1" w:evenHBand="0" w:firstRowFirstColumn="0" w:firstRowLastColumn="0" w:lastRowFirstColumn="0" w:lastRowLastColumn="0"/>
              <w:rPr>
                <w:rFonts w:cs="Arial"/>
                <w:bCs/>
                <w:sz w:val="18"/>
                <w:szCs w:val="18"/>
              </w:rPr>
            </w:pPr>
          </w:p>
        </w:tc>
        <w:tc>
          <w:tcPr>
            <w:tcW w:w="3402" w:type="dxa"/>
            <w:vAlign w:val="center"/>
          </w:tcPr>
          <w:p w14:paraId="00F01800" w14:textId="77777777" w:rsidR="006A3DBC" w:rsidRPr="000E6D86" w:rsidRDefault="006A3DBC" w:rsidP="004A4FBC">
            <w:pPr>
              <w:numPr>
                <w:ilvl w:val="0"/>
                <w:numId w:val="2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0E6D86">
              <w:rPr>
                <w:rFonts w:cs="Arial"/>
                <w:sz w:val="18"/>
                <w:szCs w:val="18"/>
              </w:rPr>
              <w:t xml:space="preserve">Presión sobre los recursos hídricos, hábitats naturales acuáticos y terrestres por uso agrícola. </w:t>
            </w:r>
          </w:p>
          <w:p w14:paraId="15D5652F" w14:textId="77777777" w:rsidR="006A3DBC" w:rsidRPr="000E6D86" w:rsidRDefault="006A3DBC" w:rsidP="005F4A92">
            <w:pPr>
              <w:ind w:left="360"/>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4536" w:type="dxa"/>
            <w:vAlign w:val="center"/>
          </w:tcPr>
          <w:p w14:paraId="369783DC" w14:textId="77777777" w:rsidR="006A3DBC" w:rsidRPr="000E6D86" w:rsidRDefault="006A3DBC" w:rsidP="005F4A92">
            <w:pPr>
              <w:numPr>
                <w:ilvl w:val="0"/>
                <w:numId w:val="29"/>
              </w:numPr>
              <w:ind w:firstLine="0"/>
              <w:contextualSpacing/>
              <w:jc w:val="both"/>
              <w:cnfStyle w:val="000000100000" w:firstRow="0" w:lastRow="0" w:firstColumn="0" w:lastColumn="0" w:oddVBand="0" w:evenVBand="0" w:oddHBand="1" w:evenHBand="0" w:firstRowFirstColumn="0" w:firstRowLastColumn="0" w:lastRowFirstColumn="0" w:lastRowLastColumn="0"/>
              <w:rPr>
                <w:rFonts w:cs="Arial"/>
                <w:lang w:val="es-ES"/>
              </w:rPr>
            </w:pPr>
            <w:r w:rsidRPr="000E6D86">
              <w:rPr>
                <w:rFonts w:cs="Arial"/>
                <w:sz w:val="18"/>
                <w:szCs w:val="18"/>
                <w:lang w:val="es-ES"/>
              </w:rPr>
              <w:t>El Proyecto COMRURAL III excluye actividades y cadenas productivas que representen un daño al medio ambiente, se implementa el listado de actividades excluidas de inversión con fondos del proyecto, aquellas para evitar financiar planes de negocios fuera de hábitats modificados con valores significativas de biodiversidad.</w:t>
            </w:r>
          </w:p>
        </w:tc>
      </w:tr>
      <w:tr w:rsidR="000E6D86" w:rsidRPr="000E6D86" w14:paraId="2E33B716" w14:textId="77777777" w:rsidTr="37B44ACB">
        <w:trPr>
          <w:trHeight w:val="269"/>
        </w:trPr>
        <w:tc>
          <w:tcPr>
            <w:cnfStyle w:val="001000000000" w:firstRow="0" w:lastRow="0" w:firstColumn="1" w:lastColumn="0" w:oddVBand="0" w:evenVBand="0" w:oddHBand="0" w:evenHBand="0" w:firstRowFirstColumn="0" w:firstRowLastColumn="0" w:lastRowFirstColumn="0" w:lastRowLastColumn="0"/>
            <w:tcW w:w="1620" w:type="dxa"/>
            <w:vMerge/>
            <w:vAlign w:val="center"/>
          </w:tcPr>
          <w:p w14:paraId="398C9023" w14:textId="77777777" w:rsidR="006A3DBC" w:rsidRPr="000E6D86" w:rsidRDefault="006A3DBC" w:rsidP="005F4A92">
            <w:pPr>
              <w:spacing w:after="60"/>
              <w:rPr>
                <w:rFonts w:cs="Arial"/>
                <w:b w:val="0"/>
                <w:sz w:val="18"/>
                <w:szCs w:val="18"/>
                <w:lang w:val="es-PY"/>
              </w:rPr>
            </w:pPr>
          </w:p>
        </w:tc>
        <w:tc>
          <w:tcPr>
            <w:tcW w:w="3767" w:type="dxa"/>
            <w:vMerge/>
            <w:vAlign w:val="center"/>
          </w:tcPr>
          <w:p w14:paraId="60826674" w14:textId="77777777" w:rsidR="006A3DBC" w:rsidRPr="000E6D86" w:rsidRDefault="006A3DBC" w:rsidP="005F4A92">
            <w:pPr>
              <w:tabs>
                <w:tab w:val="left" w:pos="0"/>
              </w:tabs>
              <w:spacing w:after="60"/>
              <w:jc w:val="both"/>
              <w:cnfStyle w:val="000000000000" w:firstRow="0" w:lastRow="0" w:firstColumn="0" w:lastColumn="0" w:oddVBand="0" w:evenVBand="0" w:oddHBand="0" w:evenHBand="0" w:firstRowFirstColumn="0" w:firstRowLastColumn="0" w:lastRowFirstColumn="0" w:lastRowLastColumn="0"/>
              <w:rPr>
                <w:rFonts w:cs="Arial"/>
                <w:bCs/>
                <w:sz w:val="18"/>
                <w:szCs w:val="18"/>
              </w:rPr>
            </w:pPr>
          </w:p>
        </w:tc>
        <w:tc>
          <w:tcPr>
            <w:tcW w:w="3402" w:type="dxa"/>
            <w:vAlign w:val="center"/>
          </w:tcPr>
          <w:p w14:paraId="05A164E2" w14:textId="77777777" w:rsidR="006A3DBC" w:rsidRPr="000E6D86" w:rsidRDefault="006A3DBC" w:rsidP="004A4FBC">
            <w:pPr>
              <w:numPr>
                <w:ilvl w:val="0"/>
                <w:numId w:val="29"/>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riesgo de intensificación de tensiones a nivel local por el uso del agua para propósitos agroindustriales.</w:t>
            </w:r>
          </w:p>
        </w:tc>
        <w:tc>
          <w:tcPr>
            <w:tcW w:w="4536" w:type="dxa"/>
            <w:vAlign w:val="center"/>
          </w:tcPr>
          <w:p w14:paraId="1BA7E56E" w14:textId="77777777" w:rsidR="006A3DBC" w:rsidRPr="000E6D86" w:rsidRDefault="006A3DBC" w:rsidP="005F4A92">
            <w:pPr>
              <w:numPr>
                <w:ilvl w:val="0"/>
                <w:numId w:val="29"/>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lang w:val="es-ES"/>
              </w:rPr>
            </w:pPr>
            <w:r w:rsidRPr="000E6D86">
              <w:rPr>
                <w:rFonts w:cs="Arial"/>
                <w:sz w:val="18"/>
                <w:szCs w:val="18"/>
                <w:lang w:val="es-ES"/>
              </w:rPr>
              <w:t>Promover gestión equitativa del recurso agua.</w:t>
            </w:r>
          </w:p>
          <w:p w14:paraId="131970B3" w14:textId="77777777" w:rsidR="006A3DBC" w:rsidRPr="000E6D86" w:rsidRDefault="006A3DBC" w:rsidP="005F4A92">
            <w:pPr>
              <w:numPr>
                <w:ilvl w:val="0"/>
                <w:numId w:val="29"/>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lang w:val="es-ES"/>
              </w:rPr>
            </w:pPr>
            <w:r w:rsidRPr="000E6D86">
              <w:rPr>
                <w:rFonts w:cs="Arial"/>
                <w:sz w:val="18"/>
                <w:szCs w:val="18"/>
                <w:lang w:val="es-ES"/>
              </w:rPr>
              <w:t>Promover siembra de productos de menor necesidad de agua.</w:t>
            </w:r>
          </w:p>
          <w:p w14:paraId="52053E4B" w14:textId="77777777" w:rsidR="006A3DBC" w:rsidRPr="000E6D86" w:rsidRDefault="006A3DBC" w:rsidP="005F4A92">
            <w:pPr>
              <w:numPr>
                <w:ilvl w:val="0"/>
                <w:numId w:val="29"/>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lang w:val="es-ES"/>
              </w:rPr>
            </w:pPr>
            <w:r w:rsidRPr="000E6D86">
              <w:rPr>
                <w:rFonts w:cs="Arial"/>
                <w:sz w:val="18"/>
                <w:szCs w:val="18"/>
                <w:lang w:val="es-ES"/>
              </w:rPr>
              <w:t>Promover el uso de tecnologías y prácticas que reduzcan el consumo de agua.</w:t>
            </w:r>
          </w:p>
        </w:tc>
      </w:tr>
      <w:tr w:rsidR="000E6D86" w:rsidRPr="000E6D86" w14:paraId="180DB4FE" w14:textId="77777777" w:rsidTr="37B44ACB">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1620" w:type="dxa"/>
            <w:vMerge/>
            <w:vAlign w:val="center"/>
          </w:tcPr>
          <w:p w14:paraId="110399CB" w14:textId="77777777" w:rsidR="006A3DBC" w:rsidRPr="000E6D86" w:rsidRDefault="006A3DBC" w:rsidP="005F4A92">
            <w:pPr>
              <w:spacing w:after="60"/>
              <w:rPr>
                <w:rFonts w:cs="Arial"/>
                <w:b w:val="0"/>
                <w:sz w:val="18"/>
                <w:szCs w:val="18"/>
                <w:lang w:val="es-PY"/>
              </w:rPr>
            </w:pPr>
          </w:p>
        </w:tc>
        <w:tc>
          <w:tcPr>
            <w:tcW w:w="3767" w:type="dxa"/>
            <w:vMerge/>
            <w:vAlign w:val="center"/>
          </w:tcPr>
          <w:p w14:paraId="522FA935" w14:textId="77777777" w:rsidR="006A3DBC" w:rsidRPr="000E6D86" w:rsidRDefault="006A3DBC" w:rsidP="005F4A92">
            <w:pPr>
              <w:tabs>
                <w:tab w:val="left" w:pos="0"/>
              </w:tabs>
              <w:spacing w:after="60"/>
              <w:jc w:val="both"/>
              <w:cnfStyle w:val="000000100000" w:firstRow="0" w:lastRow="0" w:firstColumn="0" w:lastColumn="0" w:oddVBand="0" w:evenVBand="0" w:oddHBand="1" w:evenHBand="0" w:firstRowFirstColumn="0" w:firstRowLastColumn="0" w:lastRowFirstColumn="0" w:lastRowLastColumn="0"/>
              <w:rPr>
                <w:rFonts w:cs="Arial"/>
                <w:bCs/>
                <w:sz w:val="18"/>
                <w:szCs w:val="18"/>
              </w:rPr>
            </w:pPr>
          </w:p>
        </w:tc>
        <w:tc>
          <w:tcPr>
            <w:tcW w:w="3402" w:type="dxa"/>
            <w:vAlign w:val="center"/>
          </w:tcPr>
          <w:p w14:paraId="097B3365" w14:textId="77777777" w:rsidR="006A3DBC" w:rsidRPr="000E6D86" w:rsidRDefault="006A3DBC" w:rsidP="004A4FBC">
            <w:pPr>
              <w:numPr>
                <w:ilvl w:val="0"/>
                <w:numId w:val="2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0E6D86">
              <w:rPr>
                <w:rFonts w:cs="Arial"/>
                <w:sz w:val="18"/>
                <w:szCs w:val="18"/>
              </w:rPr>
              <w:t>Degradación de ecosistemas frágiles en zonas de inversión.</w:t>
            </w:r>
          </w:p>
        </w:tc>
        <w:tc>
          <w:tcPr>
            <w:tcW w:w="4536" w:type="dxa"/>
            <w:vMerge w:val="restart"/>
            <w:vAlign w:val="center"/>
          </w:tcPr>
          <w:p w14:paraId="566F54B3" w14:textId="77777777" w:rsidR="006A3DBC" w:rsidRPr="000E6D86" w:rsidRDefault="006A3DBC" w:rsidP="004A4FBC">
            <w:pPr>
              <w:numPr>
                <w:ilvl w:val="0"/>
                <w:numId w:val="2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lang w:val="es-ES"/>
              </w:rPr>
              <w:t>El Proyecto COMRURAL III incentiva la inversión productiva agrícola intensiva no extensiva. Los PdNs deben estar diseñados conforme en primer lugar, con un mercado que debe ser identificado y solo se financiarán subproyectos agrícolas propuestos en hábitats modificados sin valores significativos de biodiversidad.</w:t>
            </w:r>
          </w:p>
          <w:p w14:paraId="08113AE9" w14:textId="77777777" w:rsidR="006A3DBC" w:rsidRPr="000E6D86" w:rsidRDefault="006A3DBC" w:rsidP="004A4FBC">
            <w:pPr>
              <w:numPr>
                <w:ilvl w:val="0"/>
                <w:numId w:val="2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lang w:val="es-ES"/>
              </w:rPr>
              <w:t>No se financiará establecimiento de monocultivos de mayor escala (cultivos estacionarios más de 2 hectárea y permanentes más de 3.5 hectárea).</w:t>
            </w:r>
          </w:p>
        </w:tc>
      </w:tr>
      <w:tr w:rsidR="000E6D86" w:rsidRPr="000E6D86" w14:paraId="18A23564" w14:textId="77777777" w:rsidTr="37B44ACB">
        <w:trPr>
          <w:trHeight w:val="269"/>
        </w:trPr>
        <w:tc>
          <w:tcPr>
            <w:cnfStyle w:val="001000000000" w:firstRow="0" w:lastRow="0" w:firstColumn="1" w:lastColumn="0" w:oddVBand="0" w:evenVBand="0" w:oddHBand="0" w:evenHBand="0" w:firstRowFirstColumn="0" w:firstRowLastColumn="0" w:lastRowFirstColumn="0" w:lastRowLastColumn="0"/>
            <w:tcW w:w="1620" w:type="dxa"/>
            <w:vMerge/>
            <w:vAlign w:val="center"/>
          </w:tcPr>
          <w:p w14:paraId="60E53E87" w14:textId="77777777" w:rsidR="006A3DBC" w:rsidRPr="000E6D86" w:rsidRDefault="006A3DBC" w:rsidP="005F4A92">
            <w:pPr>
              <w:spacing w:after="60"/>
              <w:rPr>
                <w:rFonts w:cs="Arial"/>
                <w:b w:val="0"/>
                <w:sz w:val="18"/>
                <w:szCs w:val="18"/>
                <w:lang w:val="es-PY"/>
              </w:rPr>
            </w:pPr>
          </w:p>
        </w:tc>
        <w:tc>
          <w:tcPr>
            <w:tcW w:w="3767" w:type="dxa"/>
            <w:vMerge/>
            <w:vAlign w:val="center"/>
          </w:tcPr>
          <w:p w14:paraId="559C9B1B" w14:textId="77777777" w:rsidR="006A3DBC" w:rsidRPr="000E6D86" w:rsidRDefault="006A3DBC" w:rsidP="005F4A92">
            <w:pPr>
              <w:tabs>
                <w:tab w:val="left" w:pos="0"/>
              </w:tabs>
              <w:spacing w:after="60"/>
              <w:jc w:val="both"/>
              <w:cnfStyle w:val="000000000000" w:firstRow="0" w:lastRow="0" w:firstColumn="0" w:lastColumn="0" w:oddVBand="0" w:evenVBand="0" w:oddHBand="0" w:evenHBand="0" w:firstRowFirstColumn="0" w:firstRowLastColumn="0" w:lastRowFirstColumn="0" w:lastRowLastColumn="0"/>
              <w:rPr>
                <w:rFonts w:cs="Arial"/>
                <w:bCs/>
                <w:sz w:val="18"/>
                <w:szCs w:val="18"/>
              </w:rPr>
            </w:pPr>
          </w:p>
        </w:tc>
        <w:tc>
          <w:tcPr>
            <w:tcW w:w="3402" w:type="dxa"/>
            <w:vAlign w:val="center"/>
          </w:tcPr>
          <w:p w14:paraId="73F74162" w14:textId="77777777" w:rsidR="006A3DBC" w:rsidRPr="000E6D86" w:rsidRDefault="006A3DBC" w:rsidP="004A4FBC">
            <w:pPr>
              <w:numPr>
                <w:ilvl w:val="0"/>
                <w:numId w:val="29"/>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 xml:space="preserve">Ampliación de frontera agrícola por incentivo y rentabilidad de cultivos. </w:t>
            </w:r>
          </w:p>
          <w:p w14:paraId="6F943FFD" w14:textId="77777777" w:rsidR="006A3DBC" w:rsidRPr="000E6D86" w:rsidRDefault="006A3DBC" w:rsidP="005F4A92">
            <w:pPr>
              <w:ind w:left="360"/>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4536" w:type="dxa"/>
            <w:vMerge/>
            <w:vAlign w:val="center"/>
          </w:tcPr>
          <w:p w14:paraId="2567C2A0" w14:textId="77777777" w:rsidR="006A3DBC" w:rsidRPr="000E6D86" w:rsidRDefault="006A3DBC" w:rsidP="004A4FBC">
            <w:pPr>
              <w:numPr>
                <w:ilvl w:val="0"/>
                <w:numId w:val="29"/>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lang w:val="es-ES"/>
              </w:rPr>
            </w:pPr>
          </w:p>
        </w:tc>
      </w:tr>
      <w:tr w:rsidR="000E6D86" w:rsidRPr="000E6D86" w14:paraId="53BFFCA1" w14:textId="77777777" w:rsidTr="37B44AC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620" w:type="dxa"/>
            <w:vMerge/>
            <w:vAlign w:val="center"/>
          </w:tcPr>
          <w:p w14:paraId="21E6F8D3" w14:textId="77777777" w:rsidR="006A3DBC" w:rsidRPr="000E6D86" w:rsidRDefault="006A3DBC" w:rsidP="005F4A92">
            <w:pPr>
              <w:spacing w:after="60"/>
              <w:rPr>
                <w:rFonts w:cs="Arial"/>
                <w:b w:val="0"/>
                <w:sz w:val="18"/>
                <w:szCs w:val="18"/>
                <w:lang w:val="es-PY"/>
              </w:rPr>
            </w:pPr>
          </w:p>
        </w:tc>
        <w:tc>
          <w:tcPr>
            <w:tcW w:w="3767" w:type="dxa"/>
            <w:vMerge/>
            <w:vAlign w:val="center"/>
          </w:tcPr>
          <w:p w14:paraId="34E472AC" w14:textId="77777777" w:rsidR="006A3DBC" w:rsidRPr="000E6D86" w:rsidRDefault="006A3DBC" w:rsidP="005F4A92">
            <w:pPr>
              <w:tabs>
                <w:tab w:val="left" w:pos="0"/>
              </w:tabs>
              <w:spacing w:after="60"/>
              <w:jc w:val="both"/>
              <w:cnfStyle w:val="000000100000" w:firstRow="0" w:lastRow="0" w:firstColumn="0" w:lastColumn="0" w:oddVBand="0" w:evenVBand="0" w:oddHBand="1" w:evenHBand="0" w:firstRowFirstColumn="0" w:firstRowLastColumn="0" w:lastRowFirstColumn="0" w:lastRowLastColumn="0"/>
              <w:rPr>
                <w:rFonts w:cs="Arial"/>
                <w:bCs/>
                <w:sz w:val="18"/>
                <w:szCs w:val="18"/>
              </w:rPr>
            </w:pPr>
          </w:p>
        </w:tc>
        <w:tc>
          <w:tcPr>
            <w:tcW w:w="3402" w:type="dxa"/>
            <w:vAlign w:val="center"/>
          </w:tcPr>
          <w:p w14:paraId="3B0FF6EB" w14:textId="77777777" w:rsidR="006A3DBC" w:rsidRPr="000E6D86" w:rsidRDefault="006A3DBC" w:rsidP="004A4FBC">
            <w:pPr>
              <w:numPr>
                <w:ilvl w:val="0"/>
                <w:numId w:val="2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0E6D86">
              <w:rPr>
                <w:rFonts w:cs="Arial"/>
                <w:sz w:val="18"/>
                <w:szCs w:val="18"/>
              </w:rPr>
              <w:t>Erosión por cultivo en laderas.</w:t>
            </w:r>
          </w:p>
          <w:p w14:paraId="6E806551" w14:textId="77777777" w:rsidR="006A3DBC" w:rsidRPr="000E6D86" w:rsidRDefault="006A3DBC" w:rsidP="005F4A92">
            <w:pPr>
              <w:ind w:left="360"/>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4536" w:type="dxa"/>
            <w:vAlign w:val="center"/>
          </w:tcPr>
          <w:p w14:paraId="4EBBCD5C" w14:textId="77777777" w:rsidR="006A3DBC" w:rsidRPr="000E6D86" w:rsidRDefault="006A3DBC" w:rsidP="004A4FBC">
            <w:pPr>
              <w:numPr>
                <w:ilvl w:val="0"/>
                <w:numId w:val="2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lang w:val="es-ES"/>
              </w:rPr>
              <w:t xml:space="preserve">El PGAS y las guías de BPA establecen las medidas sobre las formas y métodos de producción agrícola correctos en laderas. </w:t>
            </w:r>
          </w:p>
          <w:p w14:paraId="15C222DC" w14:textId="77777777" w:rsidR="006A3DBC" w:rsidRPr="000E6D86" w:rsidRDefault="006A3DBC" w:rsidP="004A4FBC">
            <w:pPr>
              <w:numPr>
                <w:ilvl w:val="0"/>
                <w:numId w:val="2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lang w:val="es-ES"/>
              </w:rPr>
              <w:t>Evitar en los PdNs, la inversión en áreas que no sean estables, a menos que sea posible la introducción o ejecución de obras y medidas de estabilización de terrenos.</w:t>
            </w:r>
          </w:p>
        </w:tc>
      </w:tr>
      <w:tr w:rsidR="000E6D86" w:rsidRPr="000E6D86" w14:paraId="64B22840" w14:textId="77777777" w:rsidTr="37B44ACB">
        <w:trPr>
          <w:trHeight w:val="269"/>
        </w:trPr>
        <w:tc>
          <w:tcPr>
            <w:cnfStyle w:val="001000000000" w:firstRow="0" w:lastRow="0" w:firstColumn="1" w:lastColumn="0" w:oddVBand="0" w:evenVBand="0" w:oddHBand="0" w:evenHBand="0" w:firstRowFirstColumn="0" w:firstRowLastColumn="0" w:lastRowFirstColumn="0" w:lastRowLastColumn="0"/>
            <w:tcW w:w="1620" w:type="dxa"/>
            <w:vMerge/>
            <w:vAlign w:val="center"/>
          </w:tcPr>
          <w:p w14:paraId="074B9ADD" w14:textId="77777777" w:rsidR="006A3DBC" w:rsidRPr="000E6D86" w:rsidRDefault="006A3DBC" w:rsidP="005F4A92">
            <w:pPr>
              <w:spacing w:after="60"/>
              <w:rPr>
                <w:rFonts w:cs="Arial"/>
                <w:b w:val="0"/>
                <w:sz w:val="18"/>
                <w:szCs w:val="18"/>
                <w:lang w:val="es-PY"/>
              </w:rPr>
            </w:pPr>
          </w:p>
        </w:tc>
        <w:tc>
          <w:tcPr>
            <w:tcW w:w="3767" w:type="dxa"/>
            <w:vMerge/>
            <w:vAlign w:val="center"/>
          </w:tcPr>
          <w:p w14:paraId="7A80B2C0" w14:textId="77777777" w:rsidR="006A3DBC" w:rsidRPr="000E6D86" w:rsidRDefault="006A3DBC" w:rsidP="005F4A92">
            <w:pPr>
              <w:tabs>
                <w:tab w:val="left" w:pos="0"/>
              </w:tabs>
              <w:spacing w:after="60"/>
              <w:jc w:val="both"/>
              <w:cnfStyle w:val="000000000000" w:firstRow="0" w:lastRow="0" w:firstColumn="0" w:lastColumn="0" w:oddVBand="0" w:evenVBand="0" w:oddHBand="0" w:evenHBand="0" w:firstRowFirstColumn="0" w:firstRowLastColumn="0" w:lastRowFirstColumn="0" w:lastRowLastColumn="0"/>
              <w:rPr>
                <w:rFonts w:cs="Arial"/>
                <w:bCs/>
                <w:sz w:val="18"/>
                <w:szCs w:val="18"/>
              </w:rPr>
            </w:pPr>
          </w:p>
        </w:tc>
        <w:tc>
          <w:tcPr>
            <w:tcW w:w="3402" w:type="dxa"/>
            <w:vAlign w:val="center"/>
          </w:tcPr>
          <w:p w14:paraId="36565EDF" w14:textId="77777777" w:rsidR="006A3DBC" w:rsidRPr="000E6D86" w:rsidRDefault="006A3DBC" w:rsidP="004A4FBC">
            <w:pPr>
              <w:numPr>
                <w:ilvl w:val="0"/>
                <w:numId w:val="29"/>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 xml:space="preserve">En algunos casos, los hábitats naturales críticos se encuentran en peligro debido a que la expansión cafetalera se encuentra protegida por ley y solamente requiere de la intencionalidad del agricultor para que reciba incentivos e incluso permisos contrapuestos a lo dispuesto en los planes de manejo de las áreas protegidas. </w:t>
            </w:r>
          </w:p>
        </w:tc>
        <w:tc>
          <w:tcPr>
            <w:tcW w:w="4536" w:type="dxa"/>
            <w:vAlign w:val="center"/>
          </w:tcPr>
          <w:p w14:paraId="2A8252E0" w14:textId="77777777" w:rsidR="006A3DBC" w:rsidRPr="000E6D86" w:rsidRDefault="006A3DBC" w:rsidP="004A4FBC">
            <w:pPr>
              <w:numPr>
                <w:ilvl w:val="0"/>
                <w:numId w:val="29"/>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lang w:val="es-ES"/>
              </w:rPr>
            </w:pPr>
            <w:r w:rsidRPr="000E6D86">
              <w:rPr>
                <w:rFonts w:cs="Arial"/>
                <w:sz w:val="18"/>
                <w:szCs w:val="18"/>
                <w:lang w:val="es-ES"/>
              </w:rPr>
              <w:t xml:space="preserve">El COMRURAL III no financiará subproyectos fuera de hábitats modificados sin valores significativos de biodiversidad.  </w:t>
            </w:r>
          </w:p>
        </w:tc>
      </w:tr>
      <w:tr w:rsidR="000E6D86" w:rsidRPr="000E6D86" w14:paraId="4BE58817" w14:textId="77777777" w:rsidTr="37B44AC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620" w:type="dxa"/>
            <w:vMerge/>
            <w:vAlign w:val="center"/>
          </w:tcPr>
          <w:p w14:paraId="21BF0707" w14:textId="77777777" w:rsidR="006A3DBC" w:rsidRPr="000E6D86" w:rsidRDefault="006A3DBC" w:rsidP="005F4A92">
            <w:pPr>
              <w:spacing w:after="60"/>
              <w:rPr>
                <w:rFonts w:cs="Arial"/>
                <w:b w:val="0"/>
                <w:sz w:val="18"/>
                <w:szCs w:val="18"/>
                <w:lang w:val="es-PY"/>
              </w:rPr>
            </w:pPr>
          </w:p>
        </w:tc>
        <w:tc>
          <w:tcPr>
            <w:tcW w:w="3767" w:type="dxa"/>
            <w:vMerge/>
            <w:vAlign w:val="center"/>
          </w:tcPr>
          <w:p w14:paraId="387D60F9" w14:textId="77777777" w:rsidR="006A3DBC" w:rsidRPr="000E6D86" w:rsidRDefault="006A3DBC" w:rsidP="005F4A92">
            <w:pPr>
              <w:tabs>
                <w:tab w:val="left" w:pos="0"/>
              </w:tabs>
              <w:spacing w:after="60"/>
              <w:jc w:val="both"/>
              <w:cnfStyle w:val="000000100000" w:firstRow="0" w:lastRow="0" w:firstColumn="0" w:lastColumn="0" w:oddVBand="0" w:evenVBand="0" w:oddHBand="1" w:evenHBand="0" w:firstRowFirstColumn="0" w:firstRowLastColumn="0" w:lastRowFirstColumn="0" w:lastRowLastColumn="0"/>
              <w:rPr>
                <w:rFonts w:cs="Arial"/>
                <w:bCs/>
                <w:sz w:val="18"/>
                <w:szCs w:val="18"/>
              </w:rPr>
            </w:pPr>
          </w:p>
        </w:tc>
        <w:tc>
          <w:tcPr>
            <w:tcW w:w="3402" w:type="dxa"/>
            <w:vAlign w:val="center"/>
          </w:tcPr>
          <w:p w14:paraId="3CFE0A99" w14:textId="77777777" w:rsidR="006A3DBC" w:rsidRPr="000E6D86" w:rsidRDefault="006A3DBC" w:rsidP="004A4FBC">
            <w:pPr>
              <w:numPr>
                <w:ilvl w:val="0"/>
                <w:numId w:val="2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0E6D86">
              <w:rPr>
                <w:rFonts w:cs="Arial"/>
                <w:sz w:val="18"/>
                <w:szCs w:val="18"/>
              </w:rPr>
              <w:t>Uso excesivo de pesticidas, herbicidas fertilizantes es medio de contaminación de cursos de agua y pérdida de fertilidad del suelo ocasionando daños a la salud humana. Otros riesgos asociados a la salud surgen de los operadores de los pesticidas y herbicidas si no se siguen las instrucciones correspondientes, si no se almacenan y protegen de manera adecuada o se dejan al alcance de los niños.</w:t>
            </w:r>
          </w:p>
        </w:tc>
        <w:tc>
          <w:tcPr>
            <w:tcW w:w="4536" w:type="dxa"/>
            <w:vAlign w:val="center"/>
          </w:tcPr>
          <w:p w14:paraId="78E956C3" w14:textId="77777777" w:rsidR="006A3DBC" w:rsidRPr="000E6D86" w:rsidRDefault="006A3DBC" w:rsidP="004A4FBC">
            <w:pPr>
              <w:numPr>
                <w:ilvl w:val="0"/>
                <w:numId w:val="2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lang w:val="es-ES"/>
              </w:rPr>
              <w:t>Este MGAS incluye medidas y Plan de Plaguicidas haciendo referencia a la obligatoriedad de cumplir lo que la legislación nacional ordena en este punto (Reglamento sobre el Registro, uso y control de plaguicidas y sustancias afines) y a las guías de buenas prácticas internacionales de la industria relacionadas con el tema.</w:t>
            </w:r>
          </w:p>
          <w:p w14:paraId="2AB2661C" w14:textId="77777777" w:rsidR="006A3DBC" w:rsidRPr="000E6D86" w:rsidRDefault="006A3DBC" w:rsidP="004A4FBC">
            <w:pPr>
              <w:numPr>
                <w:ilvl w:val="0"/>
                <w:numId w:val="2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lang w:val="es-ES"/>
              </w:rPr>
              <w:t>El COMRURAL III prioriza iniciativas productivas certificadas y de producción organiza.</w:t>
            </w:r>
          </w:p>
          <w:p w14:paraId="19040FF9" w14:textId="77777777" w:rsidR="006A3DBC" w:rsidRPr="000E6D86" w:rsidRDefault="006A3DBC" w:rsidP="004A4FBC">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lang w:val="es-ES"/>
              </w:rPr>
              <w:t xml:space="preserve">Los Especialistas en Adquisiciones de COMRURAL aplicarán un filtro activo en aprobar </w:t>
            </w:r>
            <w:r w:rsidRPr="000E6D86">
              <w:rPr>
                <w:rFonts w:cs="Arial"/>
                <w:sz w:val="18"/>
                <w:szCs w:val="18"/>
                <w:lang w:val="es-ES"/>
              </w:rPr>
              <w:lastRenderedPageBreak/>
              <w:t>los productos agroquímicos elegibles para financiamiento del Proyecto.</w:t>
            </w:r>
          </w:p>
        </w:tc>
      </w:tr>
      <w:tr w:rsidR="000E6D86" w:rsidRPr="000E6D86" w14:paraId="3967ACBC" w14:textId="77777777" w:rsidTr="37B44ACB">
        <w:trPr>
          <w:trHeight w:val="7463"/>
        </w:trPr>
        <w:tc>
          <w:tcPr>
            <w:tcW w:w="1620" w:type="dxa"/>
            <w:vMerge/>
            <w:vAlign w:val="center"/>
          </w:tcPr>
          <w:p w14:paraId="3FA2C2E1" w14:textId="77777777" w:rsidR="006A3DBC" w:rsidRPr="000E6D86" w:rsidRDefault="006A3DBC" w:rsidP="005F4A92">
            <w:pPr>
              <w:spacing w:after="60"/>
              <w:cnfStyle w:val="001000000000" w:firstRow="0" w:lastRow="0" w:firstColumn="1" w:lastColumn="0" w:oddVBand="0" w:evenVBand="0" w:oddHBand="0" w:evenHBand="0" w:firstRowFirstColumn="0" w:firstRowLastColumn="0" w:lastRowFirstColumn="0" w:lastRowLastColumn="0"/>
              <w:rPr>
                <w:rFonts w:cs="Arial"/>
                <w:b w:val="0"/>
                <w:sz w:val="18"/>
                <w:szCs w:val="18"/>
                <w:lang w:val="es-PY"/>
              </w:rPr>
            </w:pPr>
          </w:p>
        </w:tc>
        <w:tc>
          <w:tcPr>
            <w:tcW w:w="3767" w:type="dxa"/>
            <w:vMerge/>
            <w:vAlign w:val="center"/>
          </w:tcPr>
          <w:p w14:paraId="621B1A7C" w14:textId="77777777" w:rsidR="006A3DBC" w:rsidRPr="000E6D86" w:rsidRDefault="006A3DBC" w:rsidP="005F4A92">
            <w:pPr>
              <w:tabs>
                <w:tab w:val="left" w:pos="0"/>
              </w:tabs>
              <w:spacing w:after="60"/>
              <w:jc w:val="both"/>
              <w:rPr>
                <w:rFonts w:cs="Arial"/>
                <w:bCs/>
                <w:sz w:val="18"/>
                <w:szCs w:val="18"/>
              </w:rPr>
            </w:pPr>
          </w:p>
        </w:tc>
        <w:tc>
          <w:tcPr>
            <w:tcW w:w="3402" w:type="dxa"/>
            <w:vAlign w:val="center"/>
          </w:tcPr>
          <w:p w14:paraId="44D404B4" w14:textId="77777777" w:rsidR="006A3DBC" w:rsidRPr="000E6D86" w:rsidRDefault="006A3DBC" w:rsidP="00CE4DEC">
            <w:pPr>
              <w:numPr>
                <w:ilvl w:val="0"/>
                <w:numId w:val="29"/>
              </w:numPr>
              <w:contextualSpacing/>
              <w:jc w:val="both"/>
              <w:rPr>
                <w:rFonts w:cs="Arial"/>
                <w:sz w:val="18"/>
                <w:szCs w:val="18"/>
              </w:rPr>
            </w:pPr>
            <w:r w:rsidRPr="000E6D86">
              <w:rPr>
                <w:rFonts w:cs="Arial"/>
                <w:sz w:val="18"/>
                <w:szCs w:val="18"/>
              </w:rPr>
              <w:t>Contaminación a cuerpos de agua por procesos agroindustriales de las diferentes cadenas agrícolas, apicultura, acuicultura y turismo rural.</w:t>
            </w:r>
          </w:p>
          <w:p w14:paraId="6D0E6DD7" w14:textId="1F931597" w:rsidR="006A3DBC" w:rsidRPr="000E6D86" w:rsidRDefault="006A3DBC" w:rsidP="00CE4DEC">
            <w:pPr>
              <w:numPr>
                <w:ilvl w:val="0"/>
                <w:numId w:val="29"/>
              </w:numPr>
              <w:contextualSpacing/>
              <w:jc w:val="both"/>
              <w:rPr>
                <w:rFonts w:cs="Arial"/>
                <w:sz w:val="18"/>
                <w:szCs w:val="18"/>
              </w:rPr>
            </w:pPr>
            <w:r w:rsidRPr="000E6D86">
              <w:rPr>
                <w:rFonts w:cs="Arial"/>
                <w:sz w:val="18"/>
                <w:szCs w:val="18"/>
              </w:rPr>
              <w:t>Contaminación por residuos sólidos y líquidos en general.</w:t>
            </w:r>
          </w:p>
        </w:tc>
        <w:tc>
          <w:tcPr>
            <w:tcW w:w="4536" w:type="dxa"/>
            <w:vAlign w:val="center"/>
          </w:tcPr>
          <w:p w14:paraId="5D98B8F4" w14:textId="77777777" w:rsidR="006A3DBC" w:rsidRPr="000E6D86" w:rsidRDefault="006A3DBC" w:rsidP="004A4FBC">
            <w:pPr>
              <w:numPr>
                <w:ilvl w:val="0"/>
                <w:numId w:val="19"/>
              </w:numPr>
              <w:contextualSpacing/>
              <w:jc w:val="both"/>
              <w:rPr>
                <w:rFonts w:cs="Arial"/>
                <w:sz w:val="18"/>
                <w:szCs w:val="18"/>
                <w:lang w:val="es-ES"/>
              </w:rPr>
            </w:pPr>
            <w:r w:rsidRPr="000E6D86">
              <w:rPr>
                <w:rFonts w:cs="Arial"/>
                <w:sz w:val="18"/>
                <w:szCs w:val="18"/>
                <w:lang w:val="es-ES"/>
              </w:rPr>
              <w:t xml:space="preserve">Ejecución de obras físicas y medidas de mitigación ambiental planteadas bajo el concepto de un PGAS en la formulación del PdN, entre las cuales se recomienda de manera general: </w:t>
            </w:r>
          </w:p>
          <w:p w14:paraId="46FC5F8D" w14:textId="77777777" w:rsidR="006A3DBC" w:rsidRPr="000E6D86" w:rsidRDefault="006A3DBC" w:rsidP="004A4FBC">
            <w:pPr>
              <w:numPr>
                <w:ilvl w:val="0"/>
                <w:numId w:val="30"/>
              </w:numPr>
              <w:ind w:left="738" w:hanging="284"/>
              <w:jc w:val="both"/>
              <w:rPr>
                <w:rFonts w:cs="Arial"/>
                <w:sz w:val="18"/>
                <w:szCs w:val="18"/>
              </w:rPr>
            </w:pPr>
            <w:r w:rsidRPr="000E6D86">
              <w:rPr>
                <w:rFonts w:cs="Arial"/>
                <w:sz w:val="18"/>
                <w:szCs w:val="18"/>
              </w:rPr>
              <w:t>Obras de tratamiento y manejo de desechos sólidos. Incluye desechos propios del procesamiento, desechos de cosecha, desechos comunes degradables y no biodegradables, así como el manejo y tratamiento de desecho sólidos peligrosos y desechos plásticos agrícolas.</w:t>
            </w:r>
          </w:p>
          <w:p w14:paraId="5AEA882D" w14:textId="77777777" w:rsidR="006A3DBC" w:rsidRPr="000E6D86" w:rsidRDefault="006A3DBC" w:rsidP="004A4FBC">
            <w:pPr>
              <w:numPr>
                <w:ilvl w:val="0"/>
                <w:numId w:val="30"/>
              </w:numPr>
              <w:ind w:left="738" w:hanging="284"/>
              <w:jc w:val="both"/>
              <w:rPr>
                <w:rFonts w:cs="Arial"/>
                <w:sz w:val="18"/>
                <w:szCs w:val="18"/>
              </w:rPr>
            </w:pPr>
            <w:r w:rsidRPr="000E6D86">
              <w:rPr>
                <w:rFonts w:cs="Arial"/>
                <w:sz w:val="18"/>
                <w:szCs w:val="18"/>
              </w:rPr>
              <w:t>Obras de tratamiento y manejo de aguas residuales. Incluye efluentes de sistemas de producción, aguas pluviales, aguas grises y negras.</w:t>
            </w:r>
          </w:p>
          <w:p w14:paraId="72770C06" w14:textId="7AAD398A" w:rsidR="006A3DBC" w:rsidRPr="000E6D86" w:rsidRDefault="3A7FC69B" w:rsidP="004A4FBC">
            <w:pPr>
              <w:numPr>
                <w:ilvl w:val="0"/>
                <w:numId w:val="30"/>
              </w:numPr>
              <w:ind w:left="738" w:hanging="284"/>
              <w:jc w:val="both"/>
              <w:rPr>
                <w:rFonts w:cs="Arial"/>
                <w:sz w:val="18"/>
                <w:szCs w:val="18"/>
              </w:rPr>
            </w:pPr>
            <w:r w:rsidRPr="000E6D86">
              <w:rPr>
                <w:rFonts w:cs="Arial"/>
                <w:sz w:val="18"/>
                <w:szCs w:val="18"/>
              </w:rPr>
              <w:t xml:space="preserve">Aplicación de guías de buenas prácticas ambientales, que serán específicas para cada rubro. En términos generales, incluye: </w:t>
            </w:r>
            <w:r w:rsidRPr="000E6D86">
              <w:rPr>
                <w:rFonts w:cs="Arial"/>
                <w:sz w:val="18"/>
                <w:szCs w:val="18"/>
              </w:rPr>
              <w:lastRenderedPageBreak/>
              <w:t>aplicación de MIP y MIC, BPM y Buenas Prácticas Ambientales</w:t>
            </w:r>
            <w:r w:rsidR="006A3DBC" w:rsidRPr="000E6D86">
              <w:rPr>
                <w:rStyle w:val="Refdenotaalpie"/>
                <w:rFonts w:cs="Arial"/>
                <w:sz w:val="18"/>
                <w:szCs w:val="18"/>
              </w:rPr>
              <w:footnoteReference w:id="46"/>
            </w:r>
          </w:p>
          <w:p w14:paraId="5C152EAD" w14:textId="77777777" w:rsidR="006A3DBC" w:rsidRPr="000E6D86" w:rsidRDefault="006A3DBC" w:rsidP="004A4FBC">
            <w:pPr>
              <w:numPr>
                <w:ilvl w:val="0"/>
                <w:numId w:val="30"/>
              </w:numPr>
              <w:ind w:left="738" w:hanging="284"/>
              <w:jc w:val="both"/>
              <w:rPr>
                <w:rFonts w:cs="Arial"/>
                <w:sz w:val="18"/>
                <w:szCs w:val="18"/>
              </w:rPr>
            </w:pPr>
            <w:r w:rsidRPr="000E6D86">
              <w:rPr>
                <w:rFonts w:cs="Arial"/>
                <w:sz w:val="18"/>
                <w:szCs w:val="18"/>
              </w:rPr>
              <w:t>Implementación de medidas de inocuidad en unidades productivas.</w:t>
            </w:r>
          </w:p>
          <w:p w14:paraId="33AC7D4A" w14:textId="77777777" w:rsidR="006A3DBC" w:rsidRPr="000E6D86" w:rsidRDefault="006A3DBC" w:rsidP="004A4FBC">
            <w:pPr>
              <w:numPr>
                <w:ilvl w:val="0"/>
                <w:numId w:val="30"/>
              </w:numPr>
              <w:ind w:left="738" w:hanging="284"/>
              <w:jc w:val="both"/>
              <w:rPr>
                <w:rFonts w:cs="Arial"/>
                <w:sz w:val="18"/>
                <w:szCs w:val="18"/>
              </w:rPr>
            </w:pPr>
            <w:r w:rsidRPr="000E6D86">
              <w:rPr>
                <w:rFonts w:cs="Arial"/>
                <w:sz w:val="18"/>
                <w:szCs w:val="18"/>
              </w:rPr>
              <w:t>Implementación de medidas de seguridad laboral.</w:t>
            </w:r>
          </w:p>
          <w:p w14:paraId="7B4F3C92" w14:textId="77777777" w:rsidR="006A3DBC" w:rsidRPr="000E6D86" w:rsidRDefault="006A3DBC" w:rsidP="004A4FBC">
            <w:pPr>
              <w:numPr>
                <w:ilvl w:val="0"/>
                <w:numId w:val="30"/>
              </w:numPr>
              <w:ind w:left="738" w:hanging="284"/>
              <w:jc w:val="both"/>
              <w:rPr>
                <w:rFonts w:cs="Arial"/>
                <w:sz w:val="18"/>
                <w:szCs w:val="18"/>
              </w:rPr>
            </w:pPr>
            <w:r w:rsidRPr="000E6D86">
              <w:rPr>
                <w:rFonts w:cs="Arial"/>
                <w:sz w:val="18"/>
                <w:szCs w:val="18"/>
              </w:rPr>
              <w:t>Rotulación y delimitación de áreas según su función particular.</w:t>
            </w:r>
          </w:p>
          <w:p w14:paraId="29D3B230" w14:textId="4BB12CB8" w:rsidR="006A3DBC" w:rsidRPr="000E6D86" w:rsidRDefault="006A3DBC" w:rsidP="004A4FBC">
            <w:pPr>
              <w:numPr>
                <w:ilvl w:val="0"/>
                <w:numId w:val="30"/>
              </w:numPr>
              <w:ind w:left="738" w:hanging="284"/>
              <w:contextualSpacing/>
              <w:rPr>
                <w:rFonts w:cs="Arial"/>
                <w:sz w:val="18"/>
                <w:szCs w:val="18"/>
              </w:rPr>
            </w:pPr>
            <w:r w:rsidRPr="000E6D86">
              <w:rPr>
                <w:rFonts w:cs="Arial"/>
                <w:sz w:val="18"/>
                <w:szCs w:val="18"/>
              </w:rPr>
              <w:t>Suscripción a certificaciones</w:t>
            </w:r>
            <w:r w:rsidR="00176300" w:rsidRPr="000E6D86">
              <w:rPr>
                <w:rFonts w:cs="Arial"/>
                <w:sz w:val="18"/>
                <w:szCs w:val="18"/>
              </w:rPr>
              <w:t xml:space="preserve"> </w:t>
            </w:r>
            <w:r w:rsidRPr="000E6D86">
              <w:rPr>
                <w:rFonts w:cs="Arial"/>
                <w:sz w:val="18"/>
                <w:szCs w:val="18"/>
              </w:rPr>
              <w:t>socioambientales y de calidad.</w:t>
            </w:r>
          </w:p>
        </w:tc>
      </w:tr>
      <w:tr w:rsidR="000E6D86" w:rsidRPr="000E6D86" w14:paraId="47244839" w14:textId="77777777" w:rsidTr="37B44ACB">
        <w:trPr>
          <w:cnfStyle w:val="000000100000" w:firstRow="0" w:lastRow="0" w:firstColumn="0" w:lastColumn="0" w:oddVBand="0" w:evenVBand="0" w:oddHBand="1" w:evenHBand="0" w:firstRowFirstColumn="0" w:firstRowLastColumn="0" w:lastRowFirstColumn="0" w:lastRowLastColumn="0"/>
          <w:trHeight w:val="7463"/>
        </w:trPr>
        <w:tc>
          <w:tcPr>
            <w:cnfStyle w:val="001000000000" w:firstRow="0" w:lastRow="0" w:firstColumn="1" w:lastColumn="0" w:oddVBand="0" w:evenVBand="0" w:oddHBand="0" w:evenHBand="0" w:firstRowFirstColumn="0" w:firstRowLastColumn="0" w:lastRowFirstColumn="0" w:lastRowLastColumn="0"/>
            <w:tcW w:w="1620" w:type="dxa"/>
            <w:vAlign w:val="center"/>
          </w:tcPr>
          <w:p w14:paraId="595A8535" w14:textId="77777777" w:rsidR="006A3DBC" w:rsidRPr="000E6D86" w:rsidRDefault="006A3DBC" w:rsidP="005F4A92">
            <w:pPr>
              <w:spacing w:after="60"/>
              <w:rPr>
                <w:rFonts w:cs="Arial"/>
                <w:b w:val="0"/>
                <w:sz w:val="18"/>
                <w:szCs w:val="18"/>
                <w:lang w:val="es-PY"/>
              </w:rPr>
            </w:pPr>
          </w:p>
        </w:tc>
        <w:tc>
          <w:tcPr>
            <w:tcW w:w="3767" w:type="dxa"/>
            <w:vAlign w:val="center"/>
          </w:tcPr>
          <w:p w14:paraId="00B52517" w14:textId="77777777" w:rsidR="006A3DBC" w:rsidRPr="000E6D86" w:rsidRDefault="006A3DBC" w:rsidP="005F4A92">
            <w:pPr>
              <w:tabs>
                <w:tab w:val="left" w:pos="0"/>
              </w:tabs>
              <w:spacing w:after="60"/>
              <w:jc w:val="both"/>
              <w:cnfStyle w:val="000000100000" w:firstRow="0" w:lastRow="0" w:firstColumn="0" w:lastColumn="0" w:oddVBand="0" w:evenVBand="0" w:oddHBand="1" w:evenHBand="0" w:firstRowFirstColumn="0" w:firstRowLastColumn="0" w:lastRowFirstColumn="0" w:lastRowLastColumn="0"/>
              <w:rPr>
                <w:rFonts w:cs="Arial"/>
                <w:bCs/>
                <w:sz w:val="18"/>
                <w:szCs w:val="18"/>
              </w:rPr>
            </w:pPr>
          </w:p>
        </w:tc>
        <w:tc>
          <w:tcPr>
            <w:tcW w:w="3402" w:type="dxa"/>
            <w:vAlign w:val="center"/>
          </w:tcPr>
          <w:p w14:paraId="405C86DF" w14:textId="6CA4171B" w:rsidR="006A3DBC" w:rsidRPr="000E6D86" w:rsidRDefault="006A3DBC" w:rsidP="00CE4DEC">
            <w:pPr>
              <w:numPr>
                <w:ilvl w:val="0"/>
                <w:numId w:val="2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0E6D86">
              <w:rPr>
                <w:rFonts w:cs="Arial"/>
                <w:sz w:val="18"/>
                <w:szCs w:val="18"/>
              </w:rPr>
              <w:t>Riesgo de trabajo infantil en la actividad agrícola y/o agroindustrial</w:t>
            </w:r>
            <w:r w:rsidR="00CE4DEC" w:rsidRPr="000E6D86">
              <w:rPr>
                <w:rFonts w:cs="Arial"/>
                <w:sz w:val="18"/>
                <w:szCs w:val="18"/>
              </w:rPr>
              <w:t>.</w:t>
            </w:r>
          </w:p>
        </w:tc>
        <w:tc>
          <w:tcPr>
            <w:tcW w:w="4536" w:type="dxa"/>
            <w:vAlign w:val="center"/>
          </w:tcPr>
          <w:p w14:paraId="38AEF699" w14:textId="046293D0" w:rsidR="006A3DBC" w:rsidRPr="000E6D86" w:rsidRDefault="006A3DBC" w:rsidP="00CE4DEC">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lang w:val="es-ES"/>
              </w:rPr>
              <w:t>Exclusión de PdNs donde identifique la presencia de trabajo infantil entre los productores o postulantes a los fondos del programa COMRURAL.</w:t>
            </w:r>
          </w:p>
          <w:p w14:paraId="2B372BDE" w14:textId="34B19F30" w:rsidR="006A3DBC" w:rsidRPr="000E6D86" w:rsidRDefault="006A3DBC" w:rsidP="00CE4DEC">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lang w:val="es-ES"/>
              </w:rPr>
              <w:t>La edad mínima para trabajar es de 18 años y en ningún caso se permitirá el trabajo de personas con edades menores. Esto aplica también a OPRs.</w:t>
            </w:r>
          </w:p>
          <w:p w14:paraId="7E9AA6C8" w14:textId="21D85BFF" w:rsidR="006A3DBC" w:rsidRPr="000E6D86" w:rsidRDefault="006A3DBC" w:rsidP="00CE4DEC">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lang w:val="es-ES"/>
              </w:rPr>
              <w:t>Procedimientos para la identificación, análisis, y monitoreo del potencial trabajo infantil en actividades de los PdNs financiados por COMRURAL III. Para la verificación de la edad de los trabajadores se solicitará el Documento Nacional de Identificación (DNI).  En el caso de incumplimiento de estas regulaciones, se consignará el antecedente al proveedor de servicios u otra firma consultora y/o OPR y se instruirá el retiro del menor del plantel o de las actividades. En caso de reincidencia se cancela el PdN.</w:t>
            </w:r>
          </w:p>
          <w:p w14:paraId="0DFD3D45" w14:textId="62856EDF" w:rsidR="006A3DBC" w:rsidRPr="000E6D86" w:rsidRDefault="006A3DBC" w:rsidP="00CE4DEC">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MX"/>
              </w:rPr>
            </w:pPr>
            <w:r w:rsidRPr="000E6D86">
              <w:rPr>
                <w:rFonts w:cs="Arial"/>
                <w:sz w:val="18"/>
                <w:szCs w:val="18"/>
                <w:lang w:val="es-ES"/>
              </w:rPr>
              <w:t xml:space="preserve">En el caso de reincidencia o incumplimiento de lo instruido, el proveedor de servicios o firma consultora deberá ser denunciado a las autoridades competentes, y se le dará el seguimiento en la </w:t>
            </w:r>
            <w:r w:rsidR="00176300" w:rsidRPr="000E6D86">
              <w:rPr>
                <w:rFonts w:cs="Arial"/>
                <w:sz w:val="18"/>
                <w:szCs w:val="18"/>
                <w:lang w:val="es-ES"/>
              </w:rPr>
              <w:t>STSS</w:t>
            </w:r>
            <w:r w:rsidRPr="000E6D86">
              <w:rPr>
                <w:rFonts w:cs="Arial"/>
                <w:sz w:val="18"/>
                <w:szCs w:val="18"/>
                <w:lang w:val="es-ES"/>
              </w:rPr>
              <w:t xml:space="preserve"> para la aplicación de los correctivos y sanciones a que haya lugar, como ser multas, reparaciones o indemnizaciones, y hasta acciones punitivas.</w:t>
            </w:r>
          </w:p>
        </w:tc>
      </w:tr>
      <w:tr w:rsidR="000E6D86" w:rsidRPr="000E6D86" w14:paraId="45D32B73" w14:textId="77777777" w:rsidTr="37B44ACB">
        <w:trPr>
          <w:trHeight w:val="1408"/>
        </w:trPr>
        <w:tc>
          <w:tcPr>
            <w:cnfStyle w:val="001000000000" w:firstRow="0" w:lastRow="0" w:firstColumn="1" w:lastColumn="0" w:oddVBand="0" w:evenVBand="0" w:oddHBand="0" w:evenHBand="0" w:firstRowFirstColumn="0" w:firstRowLastColumn="0" w:lastRowFirstColumn="0" w:lastRowLastColumn="0"/>
            <w:tcW w:w="1620" w:type="dxa"/>
            <w:vAlign w:val="center"/>
          </w:tcPr>
          <w:p w14:paraId="55F38979" w14:textId="77777777" w:rsidR="006A3DBC" w:rsidRPr="000E6D86" w:rsidRDefault="006A3DBC" w:rsidP="005F4A92">
            <w:pPr>
              <w:spacing w:after="60"/>
              <w:rPr>
                <w:rFonts w:cs="Arial"/>
                <w:b w:val="0"/>
                <w:sz w:val="18"/>
                <w:szCs w:val="18"/>
                <w:lang w:val="es-PY"/>
              </w:rPr>
            </w:pPr>
          </w:p>
        </w:tc>
        <w:tc>
          <w:tcPr>
            <w:tcW w:w="3767" w:type="dxa"/>
            <w:vAlign w:val="center"/>
          </w:tcPr>
          <w:p w14:paraId="7AEDCDD5" w14:textId="77777777" w:rsidR="006A3DBC" w:rsidRPr="000E6D86" w:rsidRDefault="006A3DBC" w:rsidP="005F4A92">
            <w:pPr>
              <w:tabs>
                <w:tab w:val="left" w:pos="0"/>
              </w:tabs>
              <w:spacing w:after="60"/>
              <w:jc w:val="both"/>
              <w:cnfStyle w:val="000000000000" w:firstRow="0" w:lastRow="0" w:firstColumn="0" w:lastColumn="0" w:oddVBand="0" w:evenVBand="0" w:oddHBand="0" w:evenHBand="0" w:firstRowFirstColumn="0" w:firstRowLastColumn="0" w:lastRowFirstColumn="0" w:lastRowLastColumn="0"/>
              <w:rPr>
                <w:rFonts w:cs="Arial"/>
                <w:sz w:val="18"/>
                <w:szCs w:val="18"/>
                <w:lang w:val="es-PY"/>
              </w:rPr>
            </w:pPr>
            <w:r w:rsidRPr="000E6D86">
              <w:rPr>
                <w:rFonts w:cs="Arial"/>
                <w:sz w:val="18"/>
                <w:szCs w:val="18"/>
              </w:rPr>
              <w:t>Facilitar la formalización de grupos de productores con el propósito de que puedan acceder a los recursos del modelo COMRURAL en su Ventana 2.</w:t>
            </w:r>
          </w:p>
        </w:tc>
        <w:tc>
          <w:tcPr>
            <w:tcW w:w="3402" w:type="dxa"/>
            <w:vAlign w:val="center"/>
          </w:tcPr>
          <w:p w14:paraId="0FFE4D48" w14:textId="77777777" w:rsidR="006A3DBC" w:rsidRPr="000E6D86" w:rsidRDefault="006A3DBC" w:rsidP="00CE4DEC">
            <w:pPr>
              <w:numPr>
                <w:ilvl w:val="0"/>
                <w:numId w:val="29"/>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Los altos costos e implicaciones en tiempo para la obtención de la Licencia Ambiental pueden desmotivar la participación de OPRs y otras poblaciones objetivas del Proyecto COMRURAL III, durante la fase de elaboración y aprobación de PdNs.</w:t>
            </w:r>
          </w:p>
          <w:p w14:paraId="29E78206" w14:textId="77777777" w:rsidR="006A3DBC" w:rsidRPr="000E6D86" w:rsidRDefault="006A3DBC" w:rsidP="00CE4DEC">
            <w:pPr>
              <w:tabs>
                <w:tab w:val="left" w:pos="194"/>
              </w:tabs>
              <w:spacing w:after="60"/>
              <w:ind w:hanging="36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 xml:space="preserve"> </w:t>
            </w:r>
          </w:p>
        </w:tc>
        <w:tc>
          <w:tcPr>
            <w:tcW w:w="4536" w:type="dxa"/>
            <w:vMerge w:val="restart"/>
            <w:vAlign w:val="center"/>
          </w:tcPr>
          <w:p w14:paraId="3173E2DE" w14:textId="77777777" w:rsidR="006A3DBC" w:rsidRPr="000E6D86" w:rsidRDefault="006A3DBC" w:rsidP="00CE4DEC">
            <w:pPr>
              <w:numPr>
                <w:ilvl w:val="0"/>
                <w:numId w:val="19"/>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lang w:val="es-ES"/>
              </w:rPr>
              <w:t>El CNA puede ser la instancia capaz de coordinar acciones para facilitar acuerdos interinstitucionales que permitan resolver el cumplimiento de los requisitos de normativa ambiental para organizaciones de productores de pueblos indígenas y afrodescendientes. El CNA puede ser la instancia capaz de coordinar acciones para facilitar acuerdos interinstitucionales que permitan resolver el cumplimiento de los requisitos de normativa ambiental para organizaciones de productores de pueblos indígenas y afrodescendientes.</w:t>
            </w:r>
          </w:p>
        </w:tc>
      </w:tr>
      <w:tr w:rsidR="000E6D86" w:rsidRPr="000E6D86" w14:paraId="0BD79303" w14:textId="77777777" w:rsidTr="37B44ACB">
        <w:trPr>
          <w:cnfStyle w:val="000000100000" w:firstRow="0" w:lastRow="0" w:firstColumn="0" w:lastColumn="0" w:oddVBand="0" w:evenVBand="0" w:oddHBand="1" w:evenHBand="0" w:firstRowFirstColumn="0" w:firstRowLastColumn="0" w:lastRowFirstColumn="0" w:lastRowLastColumn="0"/>
          <w:trHeight w:val="872"/>
        </w:trPr>
        <w:tc>
          <w:tcPr>
            <w:cnfStyle w:val="001000000000" w:firstRow="0" w:lastRow="0" w:firstColumn="1" w:lastColumn="0" w:oddVBand="0" w:evenVBand="0" w:oddHBand="0" w:evenHBand="0" w:firstRowFirstColumn="0" w:firstRowLastColumn="0" w:lastRowFirstColumn="0" w:lastRowLastColumn="0"/>
            <w:tcW w:w="1620" w:type="dxa"/>
            <w:vMerge w:val="restart"/>
            <w:vAlign w:val="center"/>
          </w:tcPr>
          <w:p w14:paraId="5136BB95" w14:textId="77777777" w:rsidR="006A3DBC" w:rsidRPr="000E6D86" w:rsidRDefault="006A3DBC" w:rsidP="005F4A92">
            <w:pPr>
              <w:spacing w:after="60"/>
              <w:jc w:val="both"/>
              <w:rPr>
                <w:rFonts w:cs="Arial"/>
                <w:b w:val="0"/>
                <w:sz w:val="18"/>
                <w:szCs w:val="18"/>
                <w:lang w:val="es-PY"/>
              </w:rPr>
            </w:pPr>
            <w:r w:rsidRPr="000E6D86">
              <w:rPr>
                <w:rFonts w:cs="Arial"/>
                <w:b w:val="0"/>
                <w:sz w:val="18"/>
                <w:szCs w:val="18"/>
              </w:rPr>
              <w:t>C</w:t>
            </w:r>
            <w:r w:rsidRPr="000E6D86">
              <w:rPr>
                <w:rFonts w:cs="Arial"/>
                <w:b w:val="0"/>
                <w:sz w:val="18"/>
                <w:szCs w:val="18"/>
                <w:lang w:val="es-PY"/>
              </w:rPr>
              <w:t xml:space="preserve">omponente 2: </w:t>
            </w:r>
            <w:r w:rsidRPr="000E6D86">
              <w:rPr>
                <w:rFonts w:cs="Arial"/>
                <w:sz w:val="18"/>
                <w:szCs w:val="18"/>
              </w:rPr>
              <w:t>Apoyo a la adopción de tecnologías para posibilitar el entorno de agronegocios</w:t>
            </w:r>
          </w:p>
        </w:tc>
        <w:tc>
          <w:tcPr>
            <w:tcW w:w="3767" w:type="dxa"/>
            <w:vAlign w:val="center"/>
          </w:tcPr>
          <w:p w14:paraId="3BC7370B" w14:textId="77777777" w:rsidR="006A3DBC" w:rsidRPr="000E6D86" w:rsidRDefault="006A3DBC" w:rsidP="005F4A92">
            <w:pPr>
              <w:tabs>
                <w:tab w:val="left" w:pos="0"/>
              </w:tabs>
              <w:spacing w:after="60"/>
              <w:jc w:val="both"/>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0E6D86">
              <w:rPr>
                <w:rFonts w:cs="Arial"/>
                <w:bCs/>
                <w:sz w:val="18"/>
                <w:szCs w:val="18"/>
              </w:rPr>
              <w:t>Implementación con SENASA de un sistema de TIC para certificaciones fitosanitarias y zoosanitarias y un sistema nacional de trazabilidad y registro agrícola, acuícola y pesquero.</w:t>
            </w:r>
          </w:p>
        </w:tc>
        <w:tc>
          <w:tcPr>
            <w:tcW w:w="3402" w:type="dxa"/>
            <w:vAlign w:val="center"/>
          </w:tcPr>
          <w:p w14:paraId="64977AC2" w14:textId="77777777" w:rsidR="006A3DBC" w:rsidRPr="000E6D86" w:rsidRDefault="006A3DBC" w:rsidP="00CE4DEC">
            <w:pPr>
              <w:numPr>
                <w:ilvl w:val="0"/>
                <w:numId w:val="2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0E6D86">
              <w:rPr>
                <w:rFonts w:cs="Arial"/>
                <w:sz w:val="18"/>
                <w:szCs w:val="18"/>
              </w:rPr>
              <w:t>Que el Proyecto no logré a corto plazo convenios para el cumplimiento de los marcos normativos que rigen los procedimientos de permiso y licenciamiento ambiental, controles y permisos sanitarios entre otros, que faciliten la aprobación y ejecución de PdNs.</w:t>
            </w:r>
          </w:p>
        </w:tc>
        <w:tc>
          <w:tcPr>
            <w:tcW w:w="4536" w:type="dxa"/>
            <w:vMerge/>
            <w:vAlign w:val="center"/>
          </w:tcPr>
          <w:p w14:paraId="224D558C" w14:textId="77777777" w:rsidR="006A3DBC" w:rsidRPr="000E6D86" w:rsidRDefault="006A3DBC" w:rsidP="005F4A92">
            <w:pPr>
              <w:spacing w:after="60"/>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0E6D86" w:rsidRPr="000E6D86" w14:paraId="3F35A980" w14:textId="77777777" w:rsidTr="37B44ACB">
        <w:trPr>
          <w:trHeight w:val="98"/>
        </w:trPr>
        <w:tc>
          <w:tcPr>
            <w:cnfStyle w:val="001000000000" w:firstRow="0" w:lastRow="0" w:firstColumn="1" w:lastColumn="0" w:oddVBand="0" w:evenVBand="0" w:oddHBand="0" w:evenHBand="0" w:firstRowFirstColumn="0" w:firstRowLastColumn="0" w:lastRowFirstColumn="0" w:lastRowLastColumn="0"/>
            <w:tcW w:w="1620" w:type="dxa"/>
            <w:vMerge/>
            <w:vAlign w:val="center"/>
          </w:tcPr>
          <w:p w14:paraId="682F8193" w14:textId="77777777" w:rsidR="006A3DBC" w:rsidRPr="000E6D86" w:rsidRDefault="006A3DBC" w:rsidP="005F4A92">
            <w:pPr>
              <w:spacing w:after="60"/>
              <w:contextualSpacing/>
              <w:rPr>
                <w:rFonts w:cs="Arial"/>
                <w:b w:val="0"/>
                <w:sz w:val="18"/>
                <w:szCs w:val="18"/>
              </w:rPr>
            </w:pPr>
          </w:p>
        </w:tc>
        <w:tc>
          <w:tcPr>
            <w:tcW w:w="3767" w:type="dxa"/>
            <w:vAlign w:val="center"/>
          </w:tcPr>
          <w:p w14:paraId="018ADA0B" w14:textId="77777777" w:rsidR="006A3DBC" w:rsidRPr="000E6D86" w:rsidRDefault="006A3DBC" w:rsidP="005F4A92">
            <w:pPr>
              <w:tabs>
                <w:tab w:val="left" w:pos="0"/>
              </w:tabs>
              <w:spacing w:after="60"/>
              <w:jc w:val="both"/>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0E6D86">
              <w:rPr>
                <w:rFonts w:cs="Arial"/>
                <w:bCs/>
                <w:sz w:val="18"/>
                <w:szCs w:val="18"/>
              </w:rPr>
              <w:t>Apoyar ARSA con la construcción y el equipamiento de dos pequeños laboratorios de análisis de alimentos y bebidas procesados.</w:t>
            </w:r>
          </w:p>
        </w:tc>
        <w:tc>
          <w:tcPr>
            <w:tcW w:w="3402" w:type="dxa"/>
            <w:vAlign w:val="center"/>
          </w:tcPr>
          <w:p w14:paraId="46DB9237" w14:textId="77777777" w:rsidR="006A3DBC" w:rsidRPr="000E6D86" w:rsidRDefault="006A3DBC" w:rsidP="00CE4DEC">
            <w:pPr>
              <w:numPr>
                <w:ilvl w:val="0"/>
                <w:numId w:val="29"/>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Generación de residuos comunes y especiales, uso de recursos, consumo de agua y energía.</w:t>
            </w:r>
          </w:p>
        </w:tc>
        <w:tc>
          <w:tcPr>
            <w:tcW w:w="4536" w:type="dxa"/>
            <w:vAlign w:val="center"/>
          </w:tcPr>
          <w:p w14:paraId="708526FD" w14:textId="77777777" w:rsidR="006A3DBC" w:rsidRPr="000E6D86" w:rsidRDefault="006A3DBC" w:rsidP="00CE4DEC">
            <w:pPr>
              <w:numPr>
                <w:ilvl w:val="0"/>
                <w:numId w:val="19"/>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lang w:val="es-ES"/>
              </w:rPr>
            </w:pPr>
            <w:r w:rsidRPr="000E6D86">
              <w:rPr>
                <w:rFonts w:cs="Arial"/>
                <w:sz w:val="18"/>
                <w:szCs w:val="18"/>
                <w:lang w:val="es-ES"/>
              </w:rPr>
              <w:t>Establecer buenas prácticas en manejo de productos químicos, seguridad ocupacional, bioseguridad, planes de manejo de residuos sólidos y uso eficientes de agua y energía.</w:t>
            </w:r>
          </w:p>
        </w:tc>
      </w:tr>
      <w:tr w:rsidR="000E6D86" w:rsidRPr="000E6D86" w14:paraId="7FEC34F4" w14:textId="77777777" w:rsidTr="37B44ACB">
        <w:trPr>
          <w:cnfStyle w:val="000000100000" w:firstRow="0" w:lastRow="0" w:firstColumn="0" w:lastColumn="0" w:oddVBand="0" w:evenVBand="0" w:oddHBand="1" w:evenHBand="0" w:firstRowFirstColumn="0" w:firstRowLastColumn="0" w:lastRowFirstColumn="0" w:lastRowLastColumn="0"/>
          <w:trHeight w:val="1617"/>
        </w:trPr>
        <w:tc>
          <w:tcPr>
            <w:cnfStyle w:val="001000000000" w:firstRow="0" w:lastRow="0" w:firstColumn="1" w:lastColumn="0" w:oddVBand="0" w:evenVBand="0" w:oddHBand="0" w:evenHBand="0" w:firstRowFirstColumn="0" w:firstRowLastColumn="0" w:lastRowFirstColumn="0" w:lastRowLastColumn="0"/>
            <w:tcW w:w="1620" w:type="dxa"/>
            <w:vMerge/>
            <w:vAlign w:val="center"/>
          </w:tcPr>
          <w:p w14:paraId="08B47B6E" w14:textId="77777777" w:rsidR="006A3DBC" w:rsidRPr="000E6D86" w:rsidRDefault="006A3DBC" w:rsidP="005F4A92">
            <w:pPr>
              <w:spacing w:after="60"/>
              <w:contextualSpacing/>
              <w:rPr>
                <w:rFonts w:cs="Arial"/>
                <w:b w:val="0"/>
                <w:sz w:val="18"/>
                <w:szCs w:val="18"/>
              </w:rPr>
            </w:pPr>
          </w:p>
        </w:tc>
        <w:tc>
          <w:tcPr>
            <w:tcW w:w="3767" w:type="dxa"/>
            <w:vAlign w:val="center"/>
          </w:tcPr>
          <w:p w14:paraId="0EEFDBF8" w14:textId="77777777" w:rsidR="006A3DBC" w:rsidRPr="000E6D86" w:rsidRDefault="006A3DBC" w:rsidP="005F4A92">
            <w:pPr>
              <w:tabs>
                <w:tab w:val="left" w:pos="0"/>
              </w:tabs>
              <w:spacing w:after="60"/>
              <w:jc w:val="both"/>
              <w:cnfStyle w:val="000000100000" w:firstRow="0" w:lastRow="0" w:firstColumn="0" w:lastColumn="0" w:oddVBand="0" w:evenVBand="0" w:oddHBand="1" w:evenHBand="0" w:firstRowFirstColumn="0" w:firstRowLastColumn="0" w:lastRowFirstColumn="0" w:lastRowLastColumn="0"/>
              <w:rPr>
                <w:rFonts w:cs="Arial"/>
                <w:bCs/>
                <w:sz w:val="18"/>
                <w:szCs w:val="18"/>
                <w:lang w:val="es-ES"/>
              </w:rPr>
            </w:pPr>
            <w:r w:rsidRPr="000E6D86">
              <w:rPr>
                <w:rFonts w:cs="Arial"/>
                <w:bCs/>
                <w:sz w:val="18"/>
                <w:szCs w:val="18"/>
              </w:rPr>
              <w:t>Crear en la SAG un registro nacional de productores en cadenas de valor agrícolas, para apoyar la formalización y la toma de decisiones efectiva. Al mismo tiempo, el fortalecimiento de los sistemas de datos agrícolas permitirá monitorear las dimensiones climáticas relevantes, como las prácticas agrícolas sostenibles y las estrategias rurales resilientes, para informar la toma de decisiones en estas áreas. De manera similar, se asegurará de que las herramientas estadísticas se revisen para proporcionar información confiable y sistemática sobre la participación en las cadenas de valor agrícolas por motivos de género y etnia.</w:t>
            </w:r>
          </w:p>
        </w:tc>
        <w:tc>
          <w:tcPr>
            <w:tcW w:w="3402" w:type="dxa"/>
            <w:vAlign w:val="center"/>
          </w:tcPr>
          <w:p w14:paraId="22D664A1" w14:textId="77777777" w:rsidR="006A3DBC" w:rsidRPr="000E6D86" w:rsidRDefault="006A3DBC" w:rsidP="00CE4DEC">
            <w:pPr>
              <w:numPr>
                <w:ilvl w:val="0"/>
                <w:numId w:val="2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0E6D86">
              <w:rPr>
                <w:rFonts w:cs="Arial"/>
                <w:sz w:val="18"/>
                <w:szCs w:val="18"/>
              </w:rPr>
              <w:t xml:space="preserve">Que la creación del registro nacional de productores genere brechas de acceso a parte de la población. </w:t>
            </w:r>
          </w:p>
        </w:tc>
        <w:tc>
          <w:tcPr>
            <w:tcW w:w="4536" w:type="dxa"/>
            <w:vAlign w:val="center"/>
          </w:tcPr>
          <w:p w14:paraId="15DF3C6C" w14:textId="77777777" w:rsidR="006A3DBC" w:rsidRPr="000E6D86" w:rsidRDefault="006A3DBC" w:rsidP="00CE4DEC">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lang w:val="es-ES"/>
              </w:rPr>
              <w:t>Incorporar en el proceso de creación del registro las consideraciones necesarias en base al análisis de las características y requerimientos de la población involucrada.</w:t>
            </w:r>
          </w:p>
          <w:p w14:paraId="301DBD19" w14:textId="77777777" w:rsidR="006A3DBC" w:rsidRPr="000E6D86" w:rsidRDefault="006A3DBC" w:rsidP="005F4A92">
            <w:pPr>
              <w:ind w:left="360"/>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p>
        </w:tc>
      </w:tr>
      <w:tr w:rsidR="000E6D86" w:rsidRPr="000E6D86" w14:paraId="1C1765E1" w14:textId="77777777" w:rsidTr="37B44ACB">
        <w:trPr>
          <w:trHeight w:val="98"/>
        </w:trPr>
        <w:tc>
          <w:tcPr>
            <w:cnfStyle w:val="001000000000" w:firstRow="0" w:lastRow="0" w:firstColumn="1" w:lastColumn="0" w:oddVBand="0" w:evenVBand="0" w:oddHBand="0" w:evenHBand="0" w:firstRowFirstColumn="0" w:firstRowLastColumn="0" w:lastRowFirstColumn="0" w:lastRowLastColumn="0"/>
            <w:tcW w:w="1620" w:type="dxa"/>
            <w:vMerge/>
            <w:vAlign w:val="center"/>
          </w:tcPr>
          <w:p w14:paraId="23B882C8" w14:textId="77777777" w:rsidR="006A3DBC" w:rsidRPr="000E6D86" w:rsidRDefault="006A3DBC" w:rsidP="005F4A92">
            <w:pPr>
              <w:spacing w:after="60"/>
              <w:contextualSpacing/>
              <w:rPr>
                <w:rFonts w:cs="Arial"/>
                <w:b w:val="0"/>
                <w:sz w:val="18"/>
                <w:szCs w:val="18"/>
              </w:rPr>
            </w:pPr>
          </w:p>
        </w:tc>
        <w:tc>
          <w:tcPr>
            <w:tcW w:w="3767" w:type="dxa"/>
            <w:vAlign w:val="center"/>
          </w:tcPr>
          <w:p w14:paraId="787DFC28" w14:textId="77777777" w:rsidR="006A3DBC" w:rsidRPr="000E6D86" w:rsidRDefault="006A3DBC" w:rsidP="005F4A92">
            <w:pPr>
              <w:tabs>
                <w:tab w:val="left" w:pos="0"/>
              </w:tabs>
              <w:spacing w:after="60"/>
              <w:jc w:val="both"/>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0E6D86">
              <w:rPr>
                <w:rFonts w:cs="Arial"/>
                <w:bCs/>
                <w:sz w:val="18"/>
                <w:szCs w:val="18"/>
              </w:rPr>
              <w:t>Brindar asistencia técnica para diseñar la estructura de gobernanza y las funciones operativas de un CNA y una Unidad Técnica de la SAG.</w:t>
            </w:r>
          </w:p>
        </w:tc>
        <w:tc>
          <w:tcPr>
            <w:tcW w:w="3402" w:type="dxa"/>
            <w:vAlign w:val="center"/>
          </w:tcPr>
          <w:p w14:paraId="143F9201" w14:textId="77777777" w:rsidR="006A3DBC" w:rsidRPr="000E6D86" w:rsidRDefault="006A3DBC" w:rsidP="00CE4DEC">
            <w:pPr>
              <w:numPr>
                <w:ilvl w:val="0"/>
                <w:numId w:val="29"/>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Que el diseño de las estructuras de gobernanza no contenga la gestión integral del riesgo, resiliencia al cambio climático, el medio ambiente y la salud como eje transversal.</w:t>
            </w:r>
          </w:p>
        </w:tc>
        <w:tc>
          <w:tcPr>
            <w:tcW w:w="4536" w:type="dxa"/>
            <w:vAlign w:val="center"/>
          </w:tcPr>
          <w:p w14:paraId="65D0F36C" w14:textId="77777777" w:rsidR="006A3DBC" w:rsidRPr="000E6D86" w:rsidRDefault="006A3DBC" w:rsidP="00CE4DEC">
            <w:pPr>
              <w:numPr>
                <w:ilvl w:val="0"/>
                <w:numId w:val="19"/>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lang w:val="es-ES"/>
              </w:rPr>
            </w:pPr>
            <w:r w:rsidRPr="000E6D86">
              <w:rPr>
                <w:rFonts w:cs="Arial"/>
                <w:sz w:val="18"/>
                <w:szCs w:val="18"/>
                <w:lang w:val="es-ES"/>
              </w:rPr>
              <w:t xml:space="preserve">El Proyecto facilitaría las inversiones necesarias para el establecimiento y funcionamiento del CNA, incluido el establecimiento de una unidad técnica para respaldar un intercambio regular y un diálogo sobre políticas, y la asistencia técnica adicional necesaria para seguir desarrollando su estructura de gobierno y sus modalidades operativas. </w:t>
            </w:r>
          </w:p>
        </w:tc>
      </w:tr>
      <w:tr w:rsidR="000E6D86" w:rsidRPr="000E6D86" w14:paraId="019EB70D" w14:textId="77777777" w:rsidTr="37B44ACB">
        <w:trPr>
          <w:cnfStyle w:val="000000100000" w:firstRow="0" w:lastRow="0" w:firstColumn="0" w:lastColumn="0" w:oddVBand="0" w:evenVBand="0" w:oddHBand="1" w:evenHBand="0" w:firstRowFirstColumn="0" w:firstRowLastColumn="0" w:lastRowFirstColumn="0" w:lastRowLastColumn="0"/>
          <w:trHeight w:val="98"/>
        </w:trPr>
        <w:tc>
          <w:tcPr>
            <w:cnfStyle w:val="001000000000" w:firstRow="0" w:lastRow="0" w:firstColumn="1" w:lastColumn="0" w:oddVBand="0" w:evenVBand="0" w:oddHBand="0" w:evenHBand="0" w:firstRowFirstColumn="0" w:firstRowLastColumn="0" w:lastRowFirstColumn="0" w:lastRowLastColumn="0"/>
            <w:tcW w:w="1620" w:type="dxa"/>
            <w:vMerge/>
            <w:vAlign w:val="center"/>
          </w:tcPr>
          <w:p w14:paraId="48AC34F1" w14:textId="77777777" w:rsidR="006A3DBC" w:rsidRPr="000E6D86" w:rsidRDefault="006A3DBC" w:rsidP="005F4A92">
            <w:pPr>
              <w:spacing w:after="60"/>
              <w:contextualSpacing/>
              <w:rPr>
                <w:rFonts w:cs="Arial"/>
                <w:b w:val="0"/>
                <w:sz w:val="18"/>
                <w:szCs w:val="18"/>
              </w:rPr>
            </w:pPr>
          </w:p>
        </w:tc>
        <w:tc>
          <w:tcPr>
            <w:tcW w:w="3767" w:type="dxa"/>
            <w:vAlign w:val="center"/>
          </w:tcPr>
          <w:p w14:paraId="1177D0FA" w14:textId="77777777" w:rsidR="006A3DBC" w:rsidRPr="000E6D86" w:rsidRDefault="006A3DBC" w:rsidP="005F4A92">
            <w:pPr>
              <w:tabs>
                <w:tab w:val="left" w:pos="0"/>
              </w:tabs>
              <w:spacing w:after="60"/>
              <w:jc w:val="both"/>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0E6D86">
              <w:rPr>
                <w:rFonts w:cs="Arial"/>
                <w:bCs/>
                <w:sz w:val="18"/>
                <w:szCs w:val="18"/>
              </w:rPr>
              <w:t>Asistencia técnica para la elaboración de una Estrategia Nacional de Agro-logística bajo el CNA (la estrategia identificará cuellos de botella en base a la demanda existente y proyecciones sólidas del desarrollo de las principales cadenas de valor, para identificar áreas prioritarias de inversión).</w:t>
            </w:r>
          </w:p>
        </w:tc>
        <w:tc>
          <w:tcPr>
            <w:tcW w:w="3402" w:type="dxa"/>
            <w:vAlign w:val="center"/>
          </w:tcPr>
          <w:p w14:paraId="3C98CEFA" w14:textId="77777777" w:rsidR="006A3DBC" w:rsidRPr="000E6D86" w:rsidRDefault="006A3DBC" w:rsidP="00CE4DEC">
            <w:pPr>
              <w:numPr>
                <w:ilvl w:val="0"/>
                <w:numId w:val="2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0E6D86">
              <w:rPr>
                <w:rFonts w:cs="Arial"/>
                <w:sz w:val="18"/>
                <w:szCs w:val="18"/>
              </w:rPr>
              <w:t xml:space="preserve">La Estrategia Nacional de Agro logística bajo el CNA no contenga a acciones específicas incluya la gestión integral del riesgo, resiliencia al cambio climático, el medio ambiente y la salud como eje transversal. </w:t>
            </w:r>
          </w:p>
        </w:tc>
        <w:tc>
          <w:tcPr>
            <w:tcW w:w="4536" w:type="dxa"/>
            <w:vAlign w:val="center"/>
          </w:tcPr>
          <w:p w14:paraId="4D492396" w14:textId="77777777" w:rsidR="006A3DBC" w:rsidRPr="000E6D86" w:rsidRDefault="006A3DBC" w:rsidP="00CE4DEC">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lang w:val="es-ES"/>
              </w:rPr>
              <w:t>La asistencia técnica para la elaboración de la Estrategia Nacional de Agro logística bajo el CNA incorporará acciones específicas sobre la gestión integral del riesgo, resiliencia al cambio climático, el medio ambiente, la salud y bioseguridad, como eje transversal.</w:t>
            </w:r>
          </w:p>
          <w:p w14:paraId="09E7185F" w14:textId="77777777" w:rsidR="006A3DBC" w:rsidRPr="000E6D86" w:rsidRDefault="006A3DBC" w:rsidP="00CE4DEC">
            <w:pPr>
              <w:ind w:hanging="360"/>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p>
        </w:tc>
      </w:tr>
      <w:tr w:rsidR="000E6D86" w:rsidRPr="000E6D86" w14:paraId="0BF117B2" w14:textId="77777777" w:rsidTr="37B44ACB">
        <w:trPr>
          <w:trHeight w:val="98"/>
        </w:trPr>
        <w:tc>
          <w:tcPr>
            <w:cnfStyle w:val="001000000000" w:firstRow="0" w:lastRow="0" w:firstColumn="1" w:lastColumn="0" w:oddVBand="0" w:evenVBand="0" w:oddHBand="0" w:evenHBand="0" w:firstRowFirstColumn="0" w:firstRowLastColumn="0" w:lastRowFirstColumn="0" w:lastRowLastColumn="0"/>
            <w:tcW w:w="1620" w:type="dxa"/>
            <w:vMerge/>
            <w:vAlign w:val="center"/>
          </w:tcPr>
          <w:p w14:paraId="40E12C96" w14:textId="77777777" w:rsidR="006A3DBC" w:rsidRPr="000E6D86" w:rsidRDefault="006A3DBC" w:rsidP="005F4A92">
            <w:pPr>
              <w:spacing w:after="60"/>
              <w:contextualSpacing/>
              <w:rPr>
                <w:rFonts w:cs="Arial"/>
                <w:b w:val="0"/>
                <w:sz w:val="18"/>
                <w:szCs w:val="18"/>
              </w:rPr>
            </w:pPr>
          </w:p>
        </w:tc>
        <w:tc>
          <w:tcPr>
            <w:tcW w:w="3767" w:type="dxa"/>
            <w:vAlign w:val="center"/>
          </w:tcPr>
          <w:p w14:paraId="19785F8C" w14:textId="77777777" w:rsidR="006A3DBC" w:rsidRPr="000E6D86" w:rsidRDefault="006A3DBC" w:rsidP="005F4A92">
            <w:pPr>
              <w:tabs>
                <w:tab w:val="left" w:pos="0"/>
              </w:tabs>
              <w:spacing w:after="60"/>
              <w:jc w:val="both"/>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0E6D86">
              <w:rPr>
                <w:rFonts w:cs="Arial"/>
                <w:bCs/>
                <w:sz w:val="18"/>
                <w:szCs w:val="18"/>
              </w:rPr>
              <w:t xml:space="preserve">Diseño de un SNIAC bajo el CNA (combinará información biofísica a partir de sensores remotos/datos meteorológicos en tiempo real con información sobre el contexto agrícola local, para brindar información relevante para las decisiones de las partes interesadas a nivel distrital y nacional. </w:t>
            </w:r>
          </w:p>
        </w:tc>
        <w:tc>
          <w:tcPr>
            <w:tcW w:w="3402" w:type="dxa"/>
            <w:vAlign w:val="center"/>
          </w:tcPr>
          <w:p w14:paraId="39F62FC3" w14:textId="77777777" w:rsidR="006A3DBC" w:rsidRPr="000E6D86" w:rsidRDefault="006A3DBC" w:rsidP="00CE4DEC">
            <w:pPr>
              <w:numPr>
                <w:ilvl w:val="0"/>
                <w:numId w:val="29"/>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 xml:space="preserve">El SNIAC bajo el CNA (combinará información biofísica a partir de sensores remotos/datos meteorológicos en tiempo real no contenga información que permita implementar medidas para la adaptación al cambio climático. </w:t>
            </w:r>
          </w:p>
        </w:tc>
        <w:tc>
          <w:tcPr>
            <w:tcW w:w="4536" w:type="dxa"/>
            <w:vAlign w:val="center"/>
          </w:tcPr>
          <w:p w14:paraId="349324A2" w14:textId="77777777" w:rsidR="006A3DBC" w:rsidRPr="000E6D86" w:rsidRDefault="006A3DBC" w:rsidP="00CE4DEC">
            <w:pPr>
              <w:numPr>
                <w:ilvl w:val="0"/>
                <w:numId w:val="19"/>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lang w:val="es-ES"/>
              </w:rPr>
            </w:pPr>
            <w:r w:rsidRPr="000E6D86">
              <w:rPr>
                <w:rFonts w:cs="Arial"/>
                <w:sz w:val="18"/>
                <w:szCs w:val="18"/>
                <w:lang w:val="es-ES"/>
              </w:rPr>
              <w:t>Incluir en el SNIAC bajo el CNA las medidas de adaptación al cambio climático.</w:t>
            </w:r>
          </w:p>
        </w:tc>
      </w:tr>
      <w:tr w:rsidR="000E6D86" w:rsidRPr="000E6D86" w14:paraId="2CC781D5" w14:textId="77777777" w:rsidTr="37B44ACB">
        <w:trPr>
          <w:cnfStyle w:val="000000100000" w:firstRow="0" w:lastRow="0" w:firstColumn="0" w:lastColumn="0" w:oddVBand="0" w:evenVBand="0" w:oddHBand="1" w:evenHBand="0" w:firstRowFirstColumn="0" w:firstRowLastColumn="0" w:lastRowFirstColumn="0" w:lastRowLastColumn="0"/>
          <w:trHeight w:val="98"/>
        </w:trPr>
        <w:tc>
          <w:tcPr>
            <w:cnfStyle w:val="001000000000" w:firstRow="0" w:lastRow="0" w:firstColumn="1" w:lastColumn="0" w:oddVBand="0" w:evenVBand="0" w:oddHBand="0" w:evenHBand="0" w:firstRowFirstColumn="0" w:firstRowLastColumn="0" w:lastRowFirstColumn="0" w:lastRowLastColumn="0"/>
            <w:tcW w:w="1620" w:type="dxa"/>
            <w:vMerge/>
            <w:vAlign w:val="center"/>
          </w:tcPr>
          <w:p w14:paraId="3B26CE06" w14:textId="77777777" w:rsidR="006A3DBC" w:rsidRPr="000E6D86" w:rsidRDefault="006A3DBC" w:rsidP="005F4A92">
            <w:pPr>
              <w:spacing w:after="60"/>
              <w:contextualSpacing/>
              <w:rPr>
                <w:rFonts w:cs="Arial"/>
                <w:b w:val="0"/>
                <w:sz w:val="18"/>
                <w:szCs w:val="18"/>
              </w:rPr>
            </w:pPr>
          </w:p>
        </w:tc>
        <w:tc>
          <w:tcPr>
            <w:tcW w:w="3767" w:type="dxa"/>
            <w:vAlign w:val="center"/>
          </w:tcPr>
          <w:p w14:paraId="5ABA8529" w14:textId="77777777" w:rsidR="006A3DBC" w:rsidRPr="000E6D86" w:rsidRDefault="006A3DBC" w:rsidP="005F4A92">
            <w:pPr>
              <w:tabs>
                <w:tab w:val="left" w:pos="0"/>
              </w:tabs>
              <w:spacing w:after="60"/>
              <w:jc w:val="both"/>
              <w:cnfStyle w:val="000000100000" w:firstRow="0" w:lastRow="0" w:firstColumn="0" w:lastColumn="0" w:oddVBand="0" w:evenVBand="0" w:oddHBand="1" w:evenHBand="0" w:firstRowFirstColumn="0" w:firstRowLastColumn="0" w:lastRowFirstColumn="0" w:lastRowLastColumn="0"/>
              <w:rPr>
                <w:rFonts w:cs="Arial"/>
                <w:bCs/>
                <w:sz w:val="18"/>
                <w:szCs w:val="18"/>
                <w:lang w:val="es-ES"/>
              </w:rPr>
            </w:pPr>
            <w:r w:rsidRPr="000E6D86">
              <w:rPr>
                <w:rFonts w:cs="Arial"/>
                <w:bCs/>
                <w:sz w:val="18"/>
                <w:szCs w:val="18"/>
              </w:rPr>
              <w:t>Apoyar la digitalización de procesos de registro, licencias y certificaciones, incluida la emisión de licencias de personería jurídica o certificaciones ambientales, entre otros.</w:t>
            </w:r>
          </w:p>
        </w:tc>
        <w:tc>
          <w:tcPr>
            <w:tcW w:w="3402" w:type="dxa"/>
            <w:vAlign w:val="center"/>
          </w:tcPr>
          <w:p w14:paraId="40934C96" w14:textId="77777777" w:rsidR="006A3DBC" w:rsidRPr="000E6D86" w:rsidRDefault="006A3DBC" w:rsidP="00CE4DEC">
            <w:pPr>
              <w:numPr>
                <w:ilvl w:val="0"/>
                <w:numId w:val="2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rPr>
              <w:t>Que el proceso de digitalización genere brechas de acceso a parte de la población.</w:t>
            </w:r>
            <w:r w:rsidRPr="000E6D86">
              <w:rPr>
                <w:rFonts w:cs="Arial"/>
                <w:sz w:val="18"/>
                <w:szCs w:val="18"/>
                <w:lang w:val="es-ES"/>
              </w:rPr>
              <w:t xml:space="preserve"> </w:t>
            </w:r>
          </w:p>
        </w:tc>
        <w:tc>
          <w:tcPr>
            <w:tcW w:w="4536" w:type="dxa"/>
            <w:vAlign w:val="center"/>
          </w:tcPr>
          <w:p w14:paraId="6DEDF666" w14:textId="77777777" w:rsidR="006A3DBC" w:rsidRPr="000E6D86" w:rsidRDefault="006A3DBC" w:rsidP="00CE4DEC">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lang w:val="es-ES"/>
              </w:rPr>
              <w:t>Incorporar en el proceso de digitalización las consideraciones necesarias en base al análisis de las características y requerimientos de la población involucrada.</w:t>
            </w:r>
          </w:p>
          <w:p w14:paraId="5D129413" w14:textId="77777777" w:rsidR="006A3DBC" w:rsidRPr="000E6D86" w:rsidRDefault="006A3DBC" w:rsidP="00CE4DEC">
            <w:pPr>
              <w:ind w:left="360" w:hanging="360"/>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p>
        </w:tc>
      </w:tr>
      <w:tr w:rsidR="000E6D86" w:rsidRPr="000E6D86" w14:paraId="756133C1" w14:textId="77777777" w:rsidTr="37B44ACB">
        <w:trPr>
          <w:trHeight w:val="98"/>
        </w:trPr>
        <w:tc>
          <w:tcPr>
            <w:cnfStyle w:val="001000000000" w:firstRow="0" w:lastRow="0" w:firstColumn="1" w:lastColumn="0" w:oddVBand="0" w:evenVBand="0" w:oddHBand="0" w:evenHBand="0" w:firstRowFirstColumn="0" w:firstRowLastColumn="0" w:lastRowFirstColumn="0" w:lastRowLastColumn="0"/>
            <w:tcW w:w="1620" w:type="dxa"/>
            <w:vMerge/>
            <w:vAlign w:val="center"/>
          </w:tcPr>
          <w:p w14:paraId="7CCC958D" w14:textId="77777777" w:rsidR="006A3DBC" w:rsidRPr="000E6D86" w:rsidRDefault="006A3DBC" w:rsidP="005F4A92">
            <w:pPr>
              <w:spacing w:after="60"/>
              <w:contextualSpacing/>
              <w:rPr>
                <w:rFonts w:cs="Arial"/>
                <w:b w:val="0"/>
                <w:sz w:val="18"/>
                <w:szCs w:val="18"/>
              </w:rPr>
            </w:pPr>
          </w:p>
        </w:tc>
        <w:tc>
          <w:tcPr>
            <w:tcW w:w="3767" w:type="dxa"/>
            <w:vMerge w:val="restart"/>
            <w:vAlign w:val="center"/>
          </w:tcPr>
          <w:p w14:paraId="4F9245DF" w14:textId="77777777" w:rsidR="006A3DBC" w:rsidRPr="000E6D86" w:rsidRDefault="006A3DBC" w:rsidP="005F4A92">
            <w:pPr>
              <w:tabs>
                <w:tab w:val="left" w:pos="0"/>
              </w:tabs>
              <w:spacing w:after="60"/>
              <w:jc w:val="both"/>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0E6D86">
              <w:rPr>
                <w:rFonts w:cs="Arial"/>
                <w:bCs/>
                <w:sz w:val="18"/>
                <w:szCs w:val="18"/>
              </w:rPr>
              <w:t>Pre-inversión para la preparación de subproyectos.</w:t>
            </w:r>
          </w:p>
          <w:p w14:paraId="398F5B65" w14:textId="77777777" w:rsidR="006A3DBC" w:rsidRPr="000E6D86" w:rsidRDefault="006A3DBC" w:rsidP="005F4A92">
            <w:pPr>
              <w:tabs>
                <w:tab w:val="left" w:pos="0"/>
              </w:tabs>
              <w:spacing w:after="60"/>
              <w:jc w:val="both"/>
              <w:cnfStyle w:val="000000000000" w:firstRow="0" w:lastRow="0" w:firstColumn="0" w:lastColumn="0" w:oddVBand="0" w:evenVBand="0" w:oddHBand="0" w:evenHBand="0" w:firstRowFirstColumn="0" w:firstRowLastColumn="0" w:lastRowFirstColumn="0" w:lastRowLastColumn="0"/>
              <w:rPr>
                <w:rFonts w:cs="Arial"/>
                <w:bCs/>
                <w:sz w:val="18"/>
                <w:szCs w:val="18"/>
              </w:rPr>
            </w:pPr>
          </w:p>
        </w:tc>
        <w:tc>
          <w:tcPr>
            <w:tcW w:w="3402" w:type="dxa"/>
            <w:vAlign w:val="center"/>
          </w:tcPr>
          <w:p w14:paraId="4BB2144C" w14:textId="77777777" w:rsidR="006A3DBC" w:rsidRPr="000E6D86" w:rsidRDefault="006A3DBC" w:rsidP="005F4A92">
            <w:pPr>
              <w:jc w:val="both"/>
              <w:cnfStyle w:val="000000000000" w:firstRow="0" w:lastRow="0" w:firstColumn="0" w:lastColumn="0" w:oddVBand="0" w:evenVBand="0" w:oddHBand="0" w:evenHBand="0" w:firstRowFirstColumn="0" w:firstRowLastColumn="0" w:lastRowFirstColumn="0" w:lastRowLastColumn="0"/>
              <w:rPr>
                <w:rFonts w:cs="Arial"/>
                <w:b/>
                <w:bCs/>
                <w:sz w:val="18"/>
                <w:szCs w:val="18"/>
              </w:rPr>
            </w:pPr>
          </w:p>
          <w:p w14:paraId="09C182F3" w14:textId="77777777" w:rsidR="006A3DBC" w:rsidRPr="000E6D86" w:rsidRDefault="006A3DBC" w:rsidP="005F4A92">
            <w:pPr>
              <w:jc w:val="both"/>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0E6D86">
              <w:rPr>
                <w:rFonts w:cs="Arial"/>
                <w:b/>
                <w:bCs/>
                <w:sz w:val="18"/>
                <w:szCs w:val="18"/>
              </w:rPr>
              <w:t>Riesgos Sociales:</w:t>
            </w:r>
          </w:p>
          <w:p w14:paraId="5FC967DC" w14:textId="09CC67E4" w:rsidR="006A3DBC" w:rsidRPr="000E6D86" w:rsidRDefault="006A3DBC" w:rsidP="00CE4DEC">
            <w:pPr>
              <w:numPr>
                <w:ilvl w:val="0"/>
                <w:numId w:val="29"/>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 xml:space="preserve">Organizaciones de mujeres e indígenas presentan limitada asociatividad para lograr economías de escala, acceder a tecnologías y a nichos de mercado y por ende su capacidad organizativa no responde a convocatorias para presentación de perfiles de COMRURAL, lo que podría restringir su acceso a los beneficios del programa </w:t>
            </w:r>
            <w:r w:rsidRPr="000E6D86">
              <w:rPr>
                <w:rFonts w:cs="Arial"/>
                <w:sz w:val="18"/>
                <w:szCs w:val="18"/>
              </w:rPr>
              <w:lastRenderedPageBreak/>
              <w:t>COMRURAL y constituirse como un obstáculo para su inclusión en cualquiera de las ventanillas del Proyecto.</w:t>
            </w:r>
          </w:p>
          <w:p w14:paraId="4CA25CFB" w14:textId="434D371F" w:rsidR="006A3DBC" w:rsidRPr="000E6D86" w:rsidRDefault="006A3DBC" w:rsidP="00CE4DEC">
            <w:pPr>
              <w:numPr>
                <w:ilvl w:val="0"/>
                <w:numId w:val="29"/>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Bajo porcentaje de aprobación y ejecución de planes de negocio presentados por Organizaciones formadas por productores de pueblos indígenas como resultado de un modelo de competitividad no compatible con su cultura y cosmovisión.</w:t>
            </w:r>
          </w:p>
          <w:p w14:paraId="0BD5DEE8" w14:textId="31E4CF63" w:rsidR="006A3DBC" w:rsidRPr="000E6D86" w:rsidRDefault="006A3DBC" w:rsidP="00CE4DEC">
            <w:pPr>
              <w:numPr>
                <w:ilvl w:val="0"/>
                <w:numId w:val="29"/>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Que el modelo de participación e inclusión no considere los bajos niveles educativos de la población y el bajo grado académico limite la participación e incidencia en el desarrollo de la cadena de valor.</w:t>
            </w:r>
          </w:p>
          <w:p w14:paraId="26D515F7" w14:textId="26749CA6" w:rsidR="006A3DBC" w:rsidRPr="000E6D86" w:rsidRDefault="006A3DBC" w:rsidP="00CE4DEC">
            <w:pPr>
              <w:numPr>
                <w:ilvl w:val="0"/>
                <w:numId w:val="29"/>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Existe un riesgo de ampliar esta brecha de desigualdad de género si el PdN no tiene un enfoque de género ni mecanismos de supervisión adecuados.</w:t>
            </w:r>
          </w:p>
          <w:p w14:paraId="57B87A99" w14:textId="42D896FC" w:rsidR="006A3DBC" w:rsidRPr="000E6D86" w:rsidRDefault="006A3DBC" w:rsidP="00CE4DEC">
            <w:pPr>
              <w:numPr>
                <w:ilvl w:val="0"/>
                <w:numId w:val="29"/>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En zonas de cobertura de pueblos indígenas y de productores de menor ingreso las organizaciones tienen dificultades para lograr documentos de propiedad definitiva de la tierra que les permitan servir de garantías para acceso al financiamiento.</w:t>
            </w:r>
          </w:p>
          <w:p w14:paraId="2B3329B5" w14:textId="155AE83E" w:rsidR="006A3DBC" w:rsidRPr="000E6D86" w:rsidRDefault="006A3DBC" w:rsidP="00CE4DEC">
            <w:pPr>
              <w:numPr>
                <w:ilvl w:val="0"/>
                <w:numId w:val="29"/>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lang w:val="es-ES"/>
              </w:rPr>
            </w:pPr>
            <w:r w:rsidRPr="000E6D86">
              <w:rPr>
                <w:rFonts w:cs="Arial"/>
                <w:sz w:val="18"/>
                <w:szCs w:val="18"/>
              </w:rPr>
              <w:t>Riesgo de intensificación de conflictos sociales, particularmente debido a temas de tenencia de tierras asociados al sector agro productivo.</w:t>
            </w:r>
          </w:p>
        </w:tc>
        <w:tc>
          <w:tcPr>
            <w:tcW w:w="4536" w:type="dxa"/>
            <w:vAlign w:val="center"/>
          </w:tcPr>
          <w:p w14:paraId="64D3CB56" w14:textId="77777777" w:rsidR="006A3DBC" w:rsidRPr="000E6D86" w:rsidRDefault="006A3DBC" w:rsidP="005F4A92">
            <w:pPr>
              <w:jc w:val="both"/>
              <w:cnfStyle w:val="000000000000" w:firstRow="0" w:lastRow="0" w:firstColumn="0" w:lastColumn="0" w:oddVBand="0" w:evenVBand="0" w:oddHBand="0" w:evenHBand="0" w:firstRowFirstColumn="0" w:firstRowLastColumn="0" w:lastRowFirstColumn="0" w:lastRowLastColumn="0"/>
              <w:rPr>
                <w:rFonts w:cs="Arial"/>
                <w:b/>
                <w:bCs/>
                <w:sz w:val="18"/>
                <w:szCs w:val="18"/>
                <w:lang w:val="es-ES"/>
              </w:rPr>
            </w:pPr>
          </w:p>
          <w:p w14:paraId="2C2C8021" w14:textId="77777777" w:rsidR="006A3DBC" w:rsidRPr="000E6D86" w:rsidRDefault="006A3DBC" w:rsidP="005F4A92">
            <w:pPr>
              <w:jc w:val="both"/>
              <w:cnfStyle w:val="000000000000" w:firstRow="0" w:lastRow="0" w:firstColumn="0" w:lastColumn="0" w:oddVBand="0" w:evenVBand="0" w:oddHBand="0" w:evenHBand="0" w:firstRowFirstColumn="0" w:firstRowLastColumn="0" w:lastRowFirstColumn="0" w:lastRowLastColumn="0"/>
              <w:rPr>
                <w:rFonts w:cs="Arial"/>
                <w:b/>
                <w:bCs/>
                <w:sz w:val="18"/>
                <w:szCs w:val="18"/>
                <w:lang w:val="es-ES"/>
              </w:rPr>
            </w:pPr>
            <w:r w:rsidRPr="000E6D86">
              <w:rPr>
                <w:rFonts w:cs="Arial"/>
                <w:b/>
                <w:bCs/>
                <w:sz w:val="18"/>
                <w:szCs w:val="18"/>
                <w:lang w:val="es-ES"/>
              </w:rPr>
              <w:t>Medidas Sociales:</w:t>
            </w:r>
          </w:p>
          <w:p w14:paraId="423C3C51" w14:textId="77777777" w:rsidR="006A3DBC" w:rsidRPr="000E6D86" w:rsidRDefault="006A3DBC" w:rsidP="005F4A92">
            <w:p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lang w:val="es-ES"/>
              </w:rPr>
            </w:pPr>
          </w:p>
          <w:p w14:paraId="1BE2D076" w14:textId="2462DDF9" w:rsidR="006A3DBC" w:rsidRPr="000E6D86" w:rsidRDefault="006A3DBC" w:rsidP="00CE4DEC">
            <w:pPr>
              <w:numPr>
                <w:ilvl w:val="0"/>
                <w:numId w:val="19"/>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lang w:val="es-ES"/>
              </w:rPr>
            </w:pPr>
            <w:r w:rsidRPr="000E6D86">
              <w:rPr>
                <w:rFonts w:cs="Arial"/>
                <w:sz w:val="18"/>
                <w:szCs w:val="18"/>
                <w:lang w:val="es-ES"/>
              </w:rPr>
              <w:t xml:space="preserve">Se ha incluido en el diseño del Proyecto un proceso más intenso e intencionado de convocatoria a fin de promover una mayor participación a través de tres modalidades de atención (ventanillas). </w:t>
            </w:r>
          </w:p>
          <w:p w14:paraId="6763FAF5" w14:textId="77777777" w:rsidR="006A3DBC" w:rsidRPr="000E6D86" w:rsidRDefault="006A3DBC" w:rsidP="00CE4DEC">
            <w:pPr>
              <w:numPr>
                <w:ilvl w:val="0"/>
                <w:numId w:val="19"/>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lang w:val="es-ES"/>
              </w:rPr>
            </w:pPr>
            <w:r w:rsidRPr="000E6D86">
              <w:rPr>
                <w:rFonts w:cs="Arial"/>
                <w:sz w:val="18"/>
                <w:szCs w:val="18"/>
                <w:lang w:val="es-ES"/>
              </w:rPr>
              <w:t xml:space="preserve">El Proyecto cuenta con directrices y procedimientos que incluyen criterios a fin de promover inclusión, según PPPI, un MPPI, procedimientos inclusivos definidos en el MGAS y MOP. </w:t>
            </w:r>
          </w:p>
          <w:p w14:paraId="019F7CC6" w14:textId="77777777" w:rsidR="006A3DBC" w:rsidRPr="000E6D86" w:rsidRDefault="006A3DBC" w:rsidP="00CE4DEC">
            <w:pPr>
              <w:numPr>
                <w:ilvl w:val="0"/>
                <w:numId w:val="19"/>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lang w:val="es-ES"/>
              </w:rPr>
            </w:pPr>
            <w:r w:rsidRPr="000E6D86">
              <w:rPr>
                <w:rFonts w:cs="Arial"/>
                <w:sz w:val="18"/>
                <w:szCs w:val="18"/>
                <w:lang w:val="es-ES"/>
              </w:rPr>
              <w:lastRenderedPageBreak/>
              <w:t xml:space="preserve">El diseño del Proyecto cuenta con varias ventanillas en el cual pueden participar, de igual manera se aplicará un enfoque de inclusión, estrategia de género y criterios definidos en el MGAS y MOP. </w:t>
            </w:r>
          </w:p>
          <w:p w14:paraId="5E825D64" w14:textId="77777777" w:rsidR="006A3DBC" w:rsidRPr="000E6D86" w:rsidRDefault="006A3DBC" w:rsidP="00CE4DEC">
            <w:pPr>
              <w:numPr>
                <w:ilvl w:val="0"/>
                <w:numId w:val="19"/>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lang w:val="es-ES"/>
              </w:rPr>
            </w:pPr>
            <w:r w:rsidRPr="000E6D86">
              <w:rPr>
                <w:rFonts w:cs="Arial"/>
                <w:sz w:val="18"/>
                <w:szCs w:val="18"/>
                <w:lang w:val="es-ES"/>
              </w:rPr>
              <w:t xml:space="preserve">La elaboración y aprobación de PdNs incluyen una estrategia y acciones de género la cual será mejorada para el Proyecto y se implementará a través de los PGAS. </w:t>
            </w:r>
          </w:p>
          <w:p w14:paraId="4A45BEA3" w14:textId="77777777" w:rsidR="006A3DBC" w:rsidRPr="000E6D86" w:rsidRDefault="006A3DBC" w:rsidP="00CE4DEC">
            <w:pPr>
              <w:numPr>
                <w:ilvl w:val="0"/>
                <w:numId w:val="19"/>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lang w:val="es-ES"/>
              </w:rPr>
            </w:pPr>
            <w:r w:rsidRPr="000E6D86">
              <w:rPr>
                <w:rFonts w:cs="Arial"/>
                <w:sz w:val="18"/>
                <w:szCs w:val="18"/>
                <w:lang w:val="es-ES"/>
              </w:rPr>
              <w:t xml:space="preserve"> El diseño del Proyecto contempla 3 ventanillas en las cuales podrían participar según sus características socioeconómicas de población objetivo definidas en su marco conceptual y MOP. </w:t>
            </w:r>
          </w:p>
          <w:p w14:paraId="70AF5B70" w14:textId="77777777" w:rsidR="006A3DBC" w:rsidRPr="000E6D86" w:rsidRDefault="006A3DBC" w:rsidP="00CE4DEC">
            <w:pPr>
              <w:numPr>
                <w:ilvl w:val="0"/>
                <w:numId w:val="19"/>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lang w:val="es-ES"/>
              </w:rPr>
            </w:pPr>
            <w:r w:rsidRPr="000E6D86">
              <w:rPr>
                <w:rFonts w:cs="Arial"/>
                <w:sz w:val="18"/>
                <w:szCs w:val="18"/>
                <w:lang w:val="es-ES"/>
              </w:rPr>
              <w:t xml:space="preserve"> Se aplicará los procedimientos definidos en el MPPI a fin de incluir una mayor participación. </w:t>
            </w:r>
          </w:p>
          <w:p w14:paraId="1253CAEE" w14:textId="77777777" w:rsidR="006A3DBC" w:rsidRPr="000E6D86" w:rsidRDefault="006A3DBC" w:rsidP="00CE4DEC">
            <w:pPr>
              <w:numPr>
                <w:ilvl w:val="0"/>
                <w:numId w:val="19"/>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lang w:val="es-ES"/>
              </w:rPr>
            </w:pPr>
            <w:r w:rsidRPr="000E6D86">
              <w:rPr>
                <w:rFonts w:cs="Arial"/>
                <w:sz w:val="18"/>
                <w:szCs w:val="18"/>
                <w:lang w:val="es-ES"/>
              </w:rPr>
              <w:t xml:space="preserve">La figura del CNA definida en el Componente 1 del Proyecto puede coordinar acciones de intervención y arreglos institucionales para prevenir y resolver los conflictos. </w:t>
            </w:r>
          </w:p>
          <w:p w14:paraId="339CCE06" w14:textId="77777777" w:rsidR="006A3DBC" w:rsidRPr="000E6D86" w:rsidRDefault="006A3DBC" w:rsidP="00CE4DEC">
            <w:pPr>
              <w:numPr>
                <w:ilvl w:val="0"/>
                <w:numId w:val="19"/>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lang w:val="es-ES"/>
              </w:rPr>
            </w:pPr>
            <w:r w:rsidRPr="000E6D86">
              <w:rPr>
                <w:rFonts w:cs="Arial"/>
                <w:sz w:val="18"/>
                <w:szCs w:val="18"/>
                <w:lang w:val="es-ES"/>
              </w:rPr>
              <w:t>El MGAS y MOP han definido procedimientos para realizar evaluaciones sociales, así como los criterios de elegibilidad que prevenga o maneje este potencial impacto.</w:t>
            </w:r>
          </w:p>
          <w:p w14:paraId="2198938C" w14:textId="77777777" w:rsidR="006A3DBC" w:rsidRPr="000E6D86" w:rsidRDefault="006A3DBC" w:rsidP="005F4A92">
            <w:p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lang w:val="es-ES"/>
              </w:rPr>
            </w:pPr>
          </w:p>
        </w:tc>
      </w:tr>
      <w:tr w:rsidR="000E6D86" w:rsidRPr="000E6D86" w14:paraId="08B89EF4" w14:textId="77777777" w:rsidTr="37B44ACB">
        <w:trPr>
          <w:cnfStyle w:val="000000100000" w:firstRow="0" w:lastRow="0" w:firstColumn="0" w:lastColumn="0" w:oddVBand="0" w:evenVBand="0" w:oddHBand="1" w:evenHBand="0" w:firstRowFirstColumn="0" w:firstRowLastColumn="0" w:lastRowFirstColumn="0" w:lastRowLastColumn="0"/>
          <w:trHeight w:val="98"/>
        </w:trPr>
        <w:tc>
          <w:tcPr>
            <w:cnfStyle w:val="001000000000" w:firstRow="0" w:lastRow="0" w:firstColumn="1" w:lastColumn="0" w:oddVBand="0" w:evenVBand="0" w:oddHBand="0" w:evenHBand="0" w:firstRowFirstColumn="0" w:firstRowLastColumn="0" w:lastRowFirstColumn="0" w:lastRowLastColumn="0"/>
            <w:tcW w:w="1620" w:type="dxa"/>
            <w:vMerge/>
            <w:vAlign w:val="center"/>
          </w:tcPr>
          <w:p w14:paraId="2D0B6169" w14:textId="77777777" w:rsidR="006A3DBC" w:rsidRPr="000E6D86" w:rsidRDefault="006A3DBC" w:rsidP="005F4A92">
            <w:pPr>
              <w:spacing w:after="60"/>
              <w:contextualSpacing/>
              <w:rPr>
                <w:rFonts w:cs="Arial"/>
                <w:b w:val="0"/>
                <w:sz w:val="18"/>
                <w:szCs w:val="18"/>
              </w:rPr>
            </w:pPr>
          </w:p>
        </w:tc>
        <w:tc>
          <w:tcPr>
            <w:tcW w:w="3767" w:type="dxa"/>
            <w:vMerge/>
            <w:vAlign w:val="center"/>
          </w:tcPr>
          <w:p w14:paraId="28A4BB02" w14:textId="77777777" w:rsidR="006A3DBC" w:rsidRPr="000E6D86" w:rsidRDefault="006A3DBC" w:rsidP="005F4A92">
            <w:pPr>
              <w:tabs>
                <w:tab w:val="left" w:pos="0"/>
              </w:tabs>
              <w:spacing w:after="60"/>
              <w:jc w:val="both"/>
              <w:cnfStyle w:val="000000100000" w:firstRow="0" w:lastRow="0" w:firstColumn="0" w:lastColumn="0" w:oddVBand="0" w:evenVBand="0" w:oddHBand="1" w:evenHBand="0" w:firstRowFirstColumn="0" w:firstRowLastColumn="0" w:lastRowFirstColumn="0" w:lastRowLastColumn="0"/>
              <w:rPr>
                <w:rFonts w:cs="Arial"/>
                <w:bCs/>
                <w:sz w:val="18"/>
                <w:szCs w:val="18"/>
              </w:rPr>
            </w:pPr>
          </w:p>
        </w:tc>
        <w:tc>
          <w:tcPr>
            <w:tcW w:w="3402" w:type="dxa"/>
            <w:vAlign w:val="center"/>
          </w:tcPr>
          <w:p w14:paraId="52A7089A" w14:textId="77777777" w:rsidR="006A3DBC" w:rsidRPr="000E6D86" w:rsidRDefault="006A3DBC" w:rsidP="005F4A92">
            <w:pPr>
              <w:jc w:val="both"/>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0E6D86">
              <w:rPr>
                <w:rFonts w:cs="Arial"/>
                <w:b/>
                <w:bCs/>
                <w:sz w:val="18"/>
                <w:szCs w:val="18"/>
              </w:rPr>
              <w:t>Riesgos Ambientales:</w:t>
            </w:r>
          </w:p>
          <w:p w14:paraId="6D01E3B8" w14:textId="33FB5813" w:rsidR="006A3DBC" w:rsidRPr="000E6D86" w:rsidRDefault="006A3DBC" w:rsidP="00CE4DEC">
            <w:pPr>
              <w:numPr>
                <w:ilvl w:val="0"/>
                <w:numId w:val="2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0E6D86">
              <w:rPr>
                <w:rFonts w:cs="Arial"/>
                <w:sz w:val="18"/>
                <w:szCs w:val="18"/>
              </w:rPr>
              <w:t xml:space="preserve">En el país aplica cuatro categorías ambientales de proyectos, obras y actividades en función de criterios </w:t>
            </w:r>
            <w:r w:rsidRPr="000E6D86">
              <w:rPr>
                <w:rFonts w:cs="Arial"/>
                <w:sz w:val="18"/>
                <w:szCs w:val="18"/>
              </w:rPr>
              <w:lastRenderedPageBreak/>
              <w:t xml:space="preserve">relacionadas con el tamaño del proyecto, obra o actividad, el tipo de tecnología que se aplicará, la ubicación de los proyectos, obras o actividades y su magnitud. El cumplimiento de la normativa Nacional, por costos y prolongado proceso de </w:t>
            </w:r>
            <w:r w:rsidR="003A0575" w:rsidRPr="000E6D86">
              <w:rPr>
                <w:rFonts w:cs="Arial"/>
                <w:sz w:val="18"/>
                <w:szCs w:val="18"/>
              </w:rPr>
              <w:t>trámite</w:t>
            </w:r>
            <w:r w:rsidRPr="000E6D86">
              <w:rPr>
                <w:rFonts w:cs="Arial"/>
                <w:sz w:val="18"/>
                <w:szCs w:val="18"/>
              </w:rPr>
              <w:t xml:space="preserve"> puede provocar menor aprobación de PdNs en iniciativas menos desarrolladas, de comunidades de mayor pobreza y organizaciones de pueblos indígenas y afrodescendientes. </w:t>
            </w:r>
          </w:p>
          <w:p w14:paraId="7C89F9A2" w14:textId="77777777" w:rsidR="006A3DBC" w:rsidRPr="000E6D86" w:rsidRDefault="006A3DBC" w:rsidP="00CE4DEC">
            <w:pPr>
              <w:numPr>
                <w:ilvl w:val="0"/>
                <w:numId w:val="2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0E6D86">
              <w:rPr>
                <w:rFonts w:cs="Arial"/>
                <w:sz w:val="18"/>
                <w:szCs w:val="18"/>
              </w:rPr>
              <w:t xml:space="preserve">Los altos costos e implicaciones en tiempo para la obtención de la Licencia Ambiental pueden desmotivar la participación de organizaciones de productores rurales y otras poblaciones objetivas del Proyecto COMRURAL II, durante la fase de elaboración y aprobación de PdNs. </w:t>
            </w:r>
          </w:p>
          <w:p w14:paraId="543ABC5A" w14:textId="77777777" w:rsidR="006A3DBC" w:rsidRPr="000E6D86" w:rsidRDefault="006A3DBC" w:rsidP="00CE4DEC">
            <w:pPr>
              <w:numPr>
                <w:ilvl w:val="0"/>
                <w:numId w:val="2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0E6D86">
              <w:rPr>
                <w:rFonts w:cs="Arial"/>
                <w:sz w:val="18"/>
                <w:szCs w:val="18"/>
              </w:rPr>
              <w:t xml:space="preserve">Honduras cuenta con un SINAPH que es administrado y manejado por el ICF y cuyas políticas son establecidas por la SERNA. La falta de coordinación institucional para establecer acuerdos de atención de OPRs en estas zonas puede incidir en la baja aprobación de PdNs. </w:t>
            </w:r>
          </w:p>
          <w:p w14:paraId="6C58B650" w14:textId="77777777" w:rsidR="006A3DBC" w:rsidRPr="000E6D86" w:rsidRDefault="006A3DBC" w:rsidP="005F4A92">
            <w:pPr>
              <w:contextualSpacing/>
              <w:jc w:val="both"/>
              <w:cnfStyle w:val="000000100000" w:firstRow="0" w:lastRow="0" w:firstColumn="0" w:lastColumn="0" w:oddVBand="0" w:evenVBand="0" w:oddHBand="1" w:evenHBand="0" w:firstRowFirstColumn="0" w:firstRowLastColumn="0" w:lastRowFirstColumn="0" w:lastRowLastColumn="0"/>
              <w:rPr>
                <w:rFonts w:cs="Arial"/>
                <w:sz w:val="18"/>
                <w:lang w:val="es-ES"/>
              </w:rPr>
            </w:pPr>
          </w:p>
        </w:tc>
        <w:tc>
          <w:tcPr>
            <w:tcW w:w="4536" w:type="dxa"/>
            <w:vAlign w:val="center"/>
          </w:tcPr>
          <w:p w14:paraId="2257114D" w14:textId="77777777" w:rsidR="006A3DBC" w:rsidRPr="000E6D86" w:rsidRDefault="006A3DBC" w:rsidP="005F4A92">
            <w:pPr>
              <w:jc w:val="both"/>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0E6D86">
              <w:rPr>
                <w:rFonts w:cs="Arial"/>
                <w:b/>
                <w:bCs/>
                <w:sz w:val="18"/>
                <w:szCs w:val="18"/>
              </w:rPr>
              <w:lastRenderedPageBreak/>
              <w:t>Medidas Ambientales:</w:t>
            </w:r>
          </w:p>
          <w:p w14:paraId="013F82BB" w14:textId="77777777" w:rsidR="006A3DBC" w:rsidRPr="000E6D86" w:rsidRDefault="006A3DBC" w:rsidP="00CE4DEC">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lang w:val="es-ES"/>
              </w:rPr>
              <w:t xml:space="preserve">El Proyecto COMRURAL III según MOP no aprueba inversiones en PdNs de categoría </w:t>
            </w:r>
            <w:r w:rsidRPr="000E6D86">
              <w:rPr>
                <w:rFonts w:cs="Arial"/>
                <w:sz w:val="18"/>
                <w:szCs w:val="18"/>
                <w:lang w:val="es-ES"/>
              </w:rPr>
              <w:lastRenderedPageBreak/>
              <w:t>ambiental 4 calificadas de muy alto impacto o riesgo ambiental según normativa nacional.</w:t>
            </w:r>
            <w:r w:rsidRPr="000E6D86" w:rsidDel="003E3F01">
              <w:rPr>
                <w:rFonts w:cs="Arial"/>
                <w:sz w:val="18"/>
                <w:szCs w:val="18"/>
                <w:lang w:val="es-ES"/>
              </w:rPr>
              <w:t xml:space="preserve"> </w:t>
            </w:r>
          </w:p>
          <w:p w14:paraId="7C86E58B" w14:textId="77777777" w:rsidR="006A3DBC" w:rsidRPr="000E6D86" w:rsidRDefault="006A3DBC" w:rsidP="00CE4DEC">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lang w:val="es-ES"/>
              </w:rPr>
              <w:t xml:space="preserve">El Proyecto facilitará asesoría técnica y legal a las OPRs para la orientación en la realización de los trámites correspondientes. </w:t>
            </w:r>
          </w:p>
          <w:p w14:paraId="5E210CBE" w14:textId="77777777" w:rsidR="006A3DBC" w:rsidRPr="000E6D86" w:rsidRDefault="006A3DBC" w:rsidP="00CE4DEC">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lang w:val="es-ES"/>
              </w:rPr>
              <w:t xml:space="preserve">Desarrollar reuniones de socialización con personal de los departamentos correspondientes del ICF y SERNA para dar a conocer los Planes de Negocios con potencial de aprobación y sensibilizar las autoridades correspondientes sobre la importancia de agilizar los respectivos trámites. </w:t>
            </w:r>
          </w:p>
          <w:p w14:paraId="34F2B528" w14:textId="77777777" w:rsidR="006A3DBC" w:rsidRPr="000E6D86" w:rsidRDefault="006A3DBC" w:rsidP="00CE4DEC">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lang w:val="es-ES"/>
              </w:rPr>
              <w:t xml:space="preserve">El CNA puede ser la instancia capaz de coordinar acciones para facilitar acuerdos interinstitucionales que permitan resolver el cumplimiento de los requisitos de normativa ambiental para organizaciones de productores de pueblos indígenas y afrodescendientes. </w:t>
            </w:r>
          </w:p>
          <w:p w14:paraId="5E1C9B18" w14:textId="4C6E9C6E" w:rsidR="006A3DBC" w:rsidRPr="000E6D86" w:rsidRDefault="006A3DBC" w:rsidP="00CE4DEC">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lang w:val="es-ES"/>
              </w:rPr>
              <w:t>El marco conceptual del Proyecto dispone de lineamientos específicos para modernizar y fortalecer los servicios del sector público, que incluyen instituciones responsables de la gestión ambiental como</w:t>
            </w:r>
            <w:r w:rsidR="00CE4DEC" w:rsidRPr="000E6D86">
              <w:rPr>
                <w:rFonts w:cs="Arial"/>
                <w:sz w:val="18"/>
                <w:szCs w:val="18"/>
                <w:lang w:val="es-ES"/>
              </w:rPr>
              <w:t>:</w:t>
            </w:r>
            <w:r w:rsidRPr="000E6D86">
              <w:rPr>
                <w:rFonts w:cs="Arial"/>
                <w:sz w:val="18"/>
                <w:szCs w:val="18"/>
                <w:lang w:val="es-ES"/>
              </w:rPr>
              <w:t xml:space="preserve"> SERNA, ARSA y el ICF. </w:t>
            </w:r>
          </w:p>
          <w:p w14:paraId="0A76C036" w14:textId="77777777" w:rsidR="006A3DBC" w:rsidRPr="000E6D86" w:rsidRDefault="006A3DBC" w:rsidP="005F4A92">
            <w:pPr>
              <w:contextualSpacing/>
              <w:jc w:val="both"/>
              <w:cnfStyle w:val="000000100000" w:firstRow="0" w:lastRow="0" w:firstColumn="0" w:lastColumn="0" w:oddVBand="0" w:evenVBand="0" w:oddHBand="1" w:evenHBand="0" w:firstRowFirstColumn="0" w:firstRowLastColumn="0" w:lastRowFirstColumn="0" w:lastRowLastColumn="0"/>
              <w:rPr>
                <w:rFonts w:cs="Arial"/>
                <w:b/>
                <w:bCs/>
                <w:sz w:val="18"/>
                <w:szCs w:val="18"/>
                <w:lang w:val="es-ES"/>
              </w:rPr>
            </w:pPr>
          </w:p>
        </w:tc>
      </w:tr>
      <w:tr w:rsidR="000E6D86" w:rsidRPr="000E6D86" w14:paraId="79AB11EA" w14:textId="77777777" w:rsidTr="37B44ACB">
        <w:trPr>
          <w:trHeight w:val="20077"/>
        </w:trPr>
        <w:tc>
          <w:tcPr>
            <w:cnfStyle w:val="001000000000" w:firstRow="0" w:lastRow="0" w:firstColumn="1" w:lastColumn="0" w:oddVBand="0" w:evenVBand="0" w:oddHBand="0" w:evenHBand="0" w:firstRowFirstColumn="0" w:firstRowLastColumn="0" w:lastRowFirstColumn="0" w:lastRowLastColumn="0"/>
            <w:tcW w:w="1620" w:type="dxa"/>
            <w:vMerge/>
            <w:vAlign w:val="center"/>
          </w:tcPr>
          <w:p w14:paraId="2DB6A71F" w14:textId="77777777" w:rsidR="006A3DBC" w:rsidRPr="000E6D86" w:rsidRDefault="006A3DBC" w:rsidP="005F4A92">
            <w:pPr>
              <w:spacing w:after="60"/>
              <w:contextualSpacing/>
              <w:rPr>
                <w:rFonts w:cs="Arial"/>
                <w:b w:val="0"/>
                <w:sz w:val="18"/>
                <w:szCs w:val="18"/>
              </w:rPr>
            </w:pPr>
          </w:p>
        </w:tc>
        <w:tc>
          <w:tcPr>
            <w:tcW w:w="3767" w:type="dxa"/>
            <w:vAlign w:val="center"/>
          </w:tcPr>
          <w:p w14:paraId="533617BE" w14:textId="77777777" w:rsidR="006A3DBC" w:rsidRPr="000E6D86" w:rsidRDefault="006A3DBC" w:rsidP="4265895F">
            <w:pPr>
              <w:spacing w:after="60"/>
              <w:jc w:val="both"/>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0E6D86">
              <w:rPr>
                <w:rFonts w:cs="Arial"/>
                <w:b/>
                <w:bCs/>
                <w:sz w:val="18"/>
                <w:szCs w:val="18"/>
              </w:rPr>
              <w:t>Inversiones productivas para mejorar la competitividad a través de la innovación.</w:t>
            </w:r>
          </w:p>
          <w:p w14:paraId="5D39B8CD" w14:textId="77777777" w:rsidR="006A3DBC" w:rsidRPr="000E6D86" w:rsidRDefault="006A3DBC" w:rsidP="005F4A92">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Ventana 1: vínculos productivos a través de empresarios individuales y gobiernos locales (subsistencia).</w:t>
            </w:r>
          </w:p>
          <w:p w14:paraId="0A737614" w14:textId="77777777" w:rsidR="006A3DBC" w:rsidRPr="000E6D86" w:rsidRDefault="006A3DBC" w:rsidP="005F4A92">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Ventana 2: vínculos productivos a través del fortalecimiento de los grupos de productores (transición).</w:t>
            </w:r>
          </w:p>
          <w:p w14:paraId="0A859C6F" w14:textId="77777777" w:rsidR="006A3DBC" w:rsidRPr="000E6D86" w:rsidRDefault="006A3DBC" w:rsidP="005F4A92">
            <w:pPr>
              <w:tabs>
                <w:tab w:val="left" w:pos="0"/>
              </w:tabs>
              <w:spacing w:after="6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Ventana 3: Cadena de valor productiva y desarrollo agroindustrial (orientado comercialmente).</w:t>
            </w:r>
          </w:p>
          <w:p w14:paraId="42CF0685" w14:textId="77777777" w:rsidR="006A3DBC" w:rsidRPr="000E6D86" w:rsidRDefault="006A3DBC" w:rsidP="005F4A92">
            <w:pPr>
              <w:tabs>
                <w:tab w:val="left" w:pos="0"/>
              </w:tabs>
              <w:spacing w:after="60"/>
              <w:jc w:val="both"/>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0E6D86">
              <w:rPr>
                <w:rFonts w:cs="Arial"/>
                <w:sz w:val="18"/>
                <w:szCs w:val="18"/>
              </w:rPr>
              <w:t>Ventana 4: Subproyectos innovadores.</w:t>
            </w:r>
          </w:p>
          <w:p w14:paraId="1B39FF00" w14:textId="77777777" w:rsidR="006A3DBC" w:rsidRPr="000E6D86" w:rsidRDefault="006A3DBC" w:rsidP="005F4A92">
            <w:pPr>
              <w:tabs>
                <w:tab w:val="left" w:pos="0"/>
              </w:tabs>
              <w:spacing w:after="60"/>
              <w:contextualSpacing/>
              <w:jc w:val="both"/>
              <w:cnfStyle w:val="000000000000" w:firstRow="0" w:lastRow="0" w:firstColumn="0" w:lastColumn="0" w:oddVBand="0" w:evenVBand="0" w:oddHBand="0" w:evenHBand="0" w:firstRowFirstColumn="0" w:firstRowLastColumn="0" w:lastRowFirstColumn="0" w:lastRowLastColumn="0"/>
              <w:rPr>
                <w:rFonts w:cs="Arial"/>
                <w:bCs/>
                <w:sz w:val="18"/>
                <w:szCs w:val="18"/>
              </w:rPr>
            </w:pPr>
          </w:p>
        </w:tc>
        <w:tc>
          <w:tcPr>
            <w:tcW w:w="3402" w:type="dxa"/>
            <w:vAlign w:val="center"/>
          </w:tcPr>
          <w:p w14:paraId="1AF85EF2" w14:textId="77777777" w:rsidR="006A3DBC" w:rsidRPr="000E6D86" w:rsidRDefault="006A3DBC" w:rsidP="005F4A92">
            <w:pPr>
              <w:jc w:val="both"/>
              <w:cnfStyle w:val="000000000000" w:firstRow="0" w:lastRow="0" w:firstColumn="0" w:lastColumn="0" w:oddVBand="0" w:evenVBand="0" w:oddHBand="0" w:evenHBand="0" w:firstRowFirstColumn="0" w:firstRowLastColumn="0" w:lastRowFirstColumn="0" w:lastRowLastColumn="0"/>
              <w:rPr>
                <w:rFonts w:cs="Arial"/>
                <w:b/>
                <w:sz w:val="18"/>
              </w:rPr>
            </w:pPr>
            <w:r w:rsidRPr="000E6D86">
              <w:rPr>
                <w:rFonts w:cs="Arial"/>
                <w:b/>
                <w:sz w:val="18"/>
              </w:rPr>
              <w:t>Riesgos Sociales:</w:t>
            </w:r>
          </w:p>
          <w:p w14:paraId="455F2961" w14:textId="77777777" w:rsidR="006A3DBC" w:rsidRPr="000E6D86" w:rsidRDefault="006A3DBC" w:rsidP="00CE4DEC">
            <w:pPr>
              <w:numPr>
                <w:ilvl w:val="0"/>
                <w:numId w:val="29"/>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Inversiones colectivas en plantas para procesamiento agroindustrial; principalmente café especial, hortalizas y frutales, potencialmente podrían generar pérdida permanente de la tierra residencial, provocando desplazamiento físico de lugar de residencia por parte de población participante y no participante en el Proyecto.</w:t>
            </w:r>
          </w:p>
          <w:p w14:paraId="6EC3424E" w14:textId="77777777" w:rsidR="006A3DBC" w:rsidRPr="000E6D86" w:rsidRDefault="006A3DBC" w:rsidP="00CE4DEC">
            <w:pPr>
              <w:numPr>
                <w:ilvl w:val="0"/>
                <w:numId w:val="29"/>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Captación de agua para procesamiento agroindustrial que limita el abastecimiento de agua a las comunidades que provoque pérdida permanente de áreas productivas y de residencia.</w:t>
            </w:r>
          </w:p>
          <w:p w14:paraId="53D3A2E5" w14:textId="77777777" w:rsidR="006A3DBC" w:rsidRPr="000E6D86" w:rsidRDefault="006A3DBC" w:rsidP="00CE4DEC">
            <w:pPr>
              <w:numPr>
                <w:ilvl w:val="0"/>
                <w:numId w:val="29"/>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Inversiones en subproyectos de sistemas de riego por paso de tuberías, obras de almacenamiento de aguas, pequeñas represas y cosechas de agua podría generar pérdida de áreas productivas y fuentes de ingresos.</w:t>
            </w:r>
          </w:p>
          <w:p w14:paraId="791D0F11" w14:textId="77777777" w:rsidR="006A3DBC" w:rsidRPr="000E6D86" w:rsidRDefault="006A3DBC" w:rsidP="00CE4DEC">
            <w:pPr>
              <w:numPr>
                <w:ilvl w:val="0"/>
                <w:numId w:val="29"/>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 xml:space="preserve">Inversiones en sistemas eléctricos para procesamiento agroindustrial debido a lo que se conoce en términos legales como; la servidumbre de paso de electricidad o de energía eléctrica que provoquen pérdida de tierra productiva e ingreso. </w:t>
            </w:r>
          </w:p>
          <w:p w14:paraId="6AD8043F" w14:textId="77777777" w:rsidR="006A3DBC" w:rsidRPr="000E6D86" w:rsidRDefault="006A3DBC" w:rsidP="00CE4DEC">
            <w:pPr>
              <w:numPr>
                <w:ilvl w:val="0"/>
                <w:numId w:val="29"/>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OPRS o participantes del Proyecto aseguran manejo sostenible de microcuencas que implica desplazar productores asociados y no socios de la zona a proteger.</w:t>
            </w:r>
          </w:p>
          <w:p w14:paraId="7C27D580" w14:textId="77777777" w:rsidR="006A3DBC" w:rsidRPr="000E6D86" w:rsidRDefault="006A3DBC" w:rsidP="00CE4DEC">
            <w:pPr>
              <w:numPr>
                <w:ilvl w:val="0"/>
                <w:numId w:val="29"/>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 xml:space="preserve">Selección de bancos de materiales, planteles o zonas de microorganismos de montaña para producción de abono orgánico a </w:t>
            </w:r>
            <w:r w:rsidRPr="000E6D86">
              <w:rPr>
                <w:rFonts w:cs="Arial"/>
                <w:sz w:val="18"/>
                <w:szCs w:val="18"/>
              </w:rPr>
              <w:lastRenderedPageBreak/>
              <w:t>gran escala que desencadenen en la pérdida de tierra productiva de participantes directos y no participantes en el Proyecto (no socios de OPRs).</w:t>
            </w:r>
          </w:p>
          <w:p w14:paraId="1F369001" w14:textId="77777777" w:rsidR="006A3DBC" w:rsidRPr="000E6D86" w:rsidRDefault="006A3DBC" w:rsidP="00CE4DEC">
            <w:pPr>
              <w:numPr>
                <w:ilvl w:val="0"/>
                <w:numId w:val="29"/>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Organización de productores o beneficiarios de iniciativa productiva deciden y reglamentan los límites geográficos o de altitud, por generación de medios de contaminación etc. (recuperación de medio de vida ambiental) Lo que exige reubicación de socios y no socios para asegurar éxito y rentabilidad en sus negocios certificados y desencadene la pérdida de tierra productiva de participantes directos y no participantes en el Proyecto (no socios de OPRs).</w:t>
            </w:r>
          </w:p>
          <w:p w14:paraId="0B3F3DA0" w14:textId="77777777" w:rsidR="006A3DBC" w:rsidRPr="000E6D86" w:rsidRDefault="006A3DBC" w:rsidP="00CE4DEC">
            <w:pPr>
              <w:numPr>
                <w:ilvl w:val="0"/>
                <w:numId w:val="29"/>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Riesgo de intensificación de conflictos sociales, particularmente debido a temas de tenencia de tierras asociados al sector agro productivo.</w:t>
            </w:r>
          </w:p>
          <w:p w14:paraId="142BCCA3" w14:textId="77777777" w:rsidR="006A3DBC" w:rsidRPr="000E6D86" w:rsidRDefault="006A3DBC" w:rsidP="00CE4DEC">
            <w:pPr>
              <w:numPr>
                <w:ilvl w:val="0"/>
                <w:numId w:val="29"/>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Existe un riesgo de ampliar esta brecha de desigualdad de género si el PdN no tiene un enfoque de género ni mecanismos de supervisión adecuados.</w:t>
            </w:r>
          </w:p>
          <w:p w14:paraId="6F5654D1" w14:textId="77777777" w:rsidR="006A3DBC" w:rsidRPr="000E6D86" w:rsidRDefault="006A3DBC" w:rsidP="00CE4DEC">
            <w:pPr>
              <w:numPr>
                <w:ilvl w:val="0"/>
                <w:numId w:val="29"/>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Una alta proporción de los productores de café o cacao convencional, con menos de 3 manzanas, no logra generar un ingreso equivalente al costo de la canasta básica o al salario mínimo agrícola.</w:t>
            </w:r>
          </w:p>
          <w:p w14:paraId="5E00BA54" w14:textId="77777777" w:rsidR="006A3DBC" w:rsidRPr="000E6D86" w:rsidRDefault="006A3DBC" w:rsidP="00CE4DEC">
            <w:pPr>
              <w:numPr>
                <w:ilvl w:val="0"/>
                <w:numId w:val="29"/>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 xml:space="preserve">La sostenibilidad social de dichas cadenas es por lo tanto precaria, con riesgos importantes en materia de acceso a la tierra, lo cual genera un contexto de vulnerabilidad social </w:t>
            </w:r>
            <w:r w:rsidRPr="000E6D86">
              <w:rPr>
                <w:rFonts w:cs="Arial"/>
                <w:sz w:val="18"/>
                <w:szCs w:val="18"/>
              </w:rPr>
              <w:lastRenderedPageBreak/>
              <w:t>propenso a conflictos sociales que podrían generarse como resultado de los subproyectos a implementarse.</w:t>
            </w:r>
          </w:p>
          <w:p w14:paraId="5CF911A3" w14:textId="77777777" w:rsidR="006A3DBC" w:rsidRPr="000E6D86" w:rsidRDefault="006A3DBC" w:rsidP="005F4A92">
            <w:pPr>
              <w:numPr>
                <w:ilvl w:val="0"/>
                <w:numId w:val="17"/>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En la ejecución de los PdNs y actividades agrícolas programadas existe el riesgo que se puedan presentar situaciones de trabajo infantil, en donde la pobreza y falta de ingresos agudizan este fenómeno que presenta variadas implicaciones y complejidad en el medio rural.</w:t>
            </w:r>
          </w:p>
          <w:p w14:paraId="5A269459" w14:textId="77777777" w:rsidR="006A3DBC" w:rsidRPr="000E6D86" w:rsidRDefault="006A3DBC" w:rsidP="005F4A92">
            <w:pPr>
              <w:numPr>
                <w:ilvl w:val="0"/>
                <w:numId w:val="17"/>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Desarrollo de turismo rural por empresas foráneas a las comunidades locales podría tener poca generación de beneficios y mejora en las condiciones de vida para la población local y organizaciones indígenas que habitan en las zonas de influencia del PdN, resultando en una situación en la cual la población local podría resultar excluida de los beneficios socioeconómicos de los subproyectos a ser financiados.</w:t>
            </w:r>
          </w:p>
          <w:p w14:paraId="1515F705" w14:textId="77777777" w:rsidR="006A3DBC" w:rsidRPr="000E6D86" w:rsidRDefault="006A3DBC" w:rsidP="005F4A92">
            <w:pPr>
              <w:numPr>
                <w:ilvl w:val="0"/>
                <w:numId w:val="17"/>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Afluencia de población de otras comunidades y regiones en busca de empleo generado por los subproyectos ejecutados por las OPRs que podría generar el aumento de la población en comunidades rurales puede generar conflictos familiares, presión y mayor demanda sobre los servicios públicos, proliferación de enfermedades infectocontagiosas, entre las cuales están las de transmisión sexual.</w:t>
            </w:r>
          </w:p>
          <w:p w14:paraId="06B248BF" w14:textId="77777777" w:rsidR="006A3DBC" w:rsidRPr="000E6D86" w:rsidRDefault="006A3DBC" w:rsidP="005F4A92">
            <w:pPr>
              <w:numPr>
                <w:ilvl w:val="0"/>
                <w:numId w:val="17"/>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 xml:space="preserve">flujos migratorios de productores rurales que afectan sus membresías y tienen efectos adversos en la sostenibilidad de </w:t>
            </w:r>
            <w:r w:rsidRPr="000E6D86">
              <w:rPr>
                <w:rFonts w:cs="Arial"/>
                <w:sz w:val="18"/>
                <w:szCs w:val="18"/>
              </w:rPr>
              <w:lastRenderedPageBreak/>
              <w:t>inversiones y desarrollo de acciones programadas en los PdNs.</w:t>
            </w:r>
          </w:p>
        </w:tc>
        <w:tc>
          <w:tcPr>
            <w:tcW w:w="4536" w:type="dxa"/>
            <w:vAlign w:val="center"/>
          </w:tcPr>
          <w:p w14:paraId="009D7745" w14:textId="77777777" w:rsidR="006A3DBC" w:rsidRPr="000E6D86" w:rsidRDefault="006A3DBC" w:rsidP="005F4A92">
            <w:pPr>
              <w:jc w:val="both"/>
              <w:cnfStyle w:val="000000000000" w:firstRow="0" w:lastRow="0" w:firstColumn="0" w:lastColumn="0" w:oddVBand="0" w:evenVBand="0" w:oddHBand="0" w:evenHBand="0" w:firstRowFirstColumn="0" w:firstRowLastColumn="0" w:lastRowFirstColumn="0" w:lastRowLastColumn="0"/>
              <w:rPr>
                <w:rFonts w:cs="Arial"/>
                <w:b/>
                <w:sz w:val="18"/>
              </w:rPr>
            </w:pPr>
            <w:r w:rsidRPr="000E6D86">
              <w:rPr>
                <w:rFonts w:cs="Arial"/>
                <w:b/>
                <w:sz w:val="18"/>
              </w:rPr>
              <w:lastRenderedPageBreak/>
              <w:t>Medidas sociales:</w:t>
            </w:r>
          </w:p>
          <w:p w14:paraId="33F5482A" w14:textId="4A740565" w:rsidR="006A3DBC" w:rsidRPr="000E6D86" w:rsidRDefault="006A3DBC" w:rsidP="005F4A92">
            <w:pPr>
              <w:numPr>
                <w:ilvl w:val="0"/>
                <w:numId w:val="17"/>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 xml:space="preserve">Se aplicará los procedimientos definidos en el </w:t>
            </w:r>
            <w:r w:rsidR="00BC353C" w:rsidRPr="000E6D86">
              <w:rPr>
                <w:rFonts w:cs="Arial"/>
                <w:sz w:val="18"/>
                <w:szCs w:val="18"/>
              </w:rPr>
              <w:t>MRI</w:t>
            </w:r>
            <w:r w:rsidRPr="000E6D86">
              <w:rPr>
                <w:rFonts w:cs="Arial"/>
                <w:sz w:val="18"/>
                <w:szCs w:val="18"/>
              </w:rPr>
              <w:t>, que incluye su Marco de Proceso.</w:t>
            </w:r>
          </w:p>
          <w:p w14:paraId="63DE52A4" w14:textId="77777777" w:rsidR="006A3DBC" w:rsidRPr="000E6D86" w:rsidRDefault="006A3DBC" w:rsidP="005F4A92">
            <w:pPr>
              <w:numPr>
                <w:ilvl w:val="0"/>
                <w:numId w:val="17"/>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El MGAS y MOP han definido procedimientos para realizar evaluaciones sociales, así como los criterios de elegibilidad que prevenga o maneje este potencial impacto.</w:t>
            </w:r>
          </w:p>
          <w:p w14:paraId="63154BAF" w14:textId="77777777" w:rsidR="006A3DBC" w:rsidRPr="000E6D86" w:rsidRDefault="006A3DBC" w:rsidP="005F4A92">
            <w:pPr>
              <w:numPr>
                <w:ilvl w:val="0"/>
                <w:numId w:val="17"/>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El proyecto dispone del PPPI que define las acciones de diseño y ejecución de estrategias de género y relevo generacional en cada PdN aprobado, monitoreando su cumplimiento durante su ejecución.</w:t>
            </w:r>
          </w:p>
          <w:p w14:paraId="43056286" w14:textId="77777777" w:rsidR="006A3DBC" w:rsidRPr="000E6D86" w:rsidRDefault="006A3DBC" w:rsidP="005F4A92">
            <w:pPr>
              <w:numPr>
                <w:ilvl w:val="0"/>
                <w:numId w:val="17"/>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 xml:space="preserve">El COMRURAL III incluye ampliación de oferta de atención según condiciones socioeconómicas de población meta e iniciativas productivas rurales que permitirá establecer estrategias diferenciadas de apoyo y beneficio social. </w:t>
            </w:r>
          </w:p>
          <w:p w14:paraId="40A18260" w14:textId="77777777" w:rsidR="006A3DBC" w:rsidRPr="000E6D86" w:rsidRDefault="006A3DBC" w:rsidP="005F4A92">
            <w:pPr>
              <w:numPr>
                <w:ilvl w:val="0"/>
                <w:numId w:val="17"/>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El Proyecto COMRURAL III establece lineamientos de apoyo al fortalecimiento organizativo y desarrollo del capital humano, además de inversiones individuales y colectivas como opciones o alternativas de mejora y sostenibilidad productiva.</w:t>
            </w:r>
          </w:p>
          <w:p w14:paraId="0F137299" w14:textId="77777777" w:rsidR="006A3DBC" w:rsidRPr="000E6D86" w:rsidRDefault="006A3DBC" w:rsidP="005F4A92">
            <w:pPr>
              <w:numPr>
                <w:ilvl w:val="0"/>
                <w:numId w:val="17"/>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Cláusulas contractuales serán establecidas con las contrapartes ya definidas en el MGAS y MOP.</w:t>
            </w:r>
          </w:p>
          <w:p w14:paraId="78200343" w14:textId="77777777" w:rsidR="006A3DBC" w:rsidRPr="000E6D86" w:rsidRDefault="006A3DBC" w:rsidP="005F4A92">
            <w:pPr>
              <w:numPr>
                <w:ilvl w:val="0"/>
                <w:numId w:val="17"/>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En el Proyecto COMRURAL se fomenta el desarrollo empresarial con responsabilidad social en cada OPR que ejecuta su PdN.</w:t>
            </w:r>
          </w:p>
          <w:p w14:paraId="7F2A1D91" w14:textId="77777777" w:rsidR="006A3DBC" w:rsidRPr="000E6D86" w:rsidRDefault="006A3DBC" w:rsidP="005F4A92">
            <w:pPr>
              <w:numPr>
                <w:ilvl w:val="0"/>
                <w:numId w:val="17"/>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Entre los objetivos de este enfoque de sensibilización se espera que las actividades de monitoreo y seguimiento contribuyan a la erradicación del trabajo infantil.</w:t>
            </w:r>
          </w:p>
          <w:p w14:paraId="31D3559F" w14:textId="52515063" w:rsidR="006A3DBC" w:rsidRPr="000E6D86" w:rsidRDefault="006A3DBC" w:rsidP="005F4A92">
            <w:pPr>
              <w:numPr>
                <w:ilvl w:val="0"/>
                <w:numId w:val="17"/>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El Proyecto cuenta con directrices y procedimientos que incluyen criterios a fin de promover inclusión, según PPPI, un MPPI, procedimientos inclusivos definidos en el MGAS y MOP.</w:t>
            </w:r>
          </w:p>
          <w:p w14:paraId="13889439" w14:textId="77777777" w:rsidR="006A3DBC" w:rsidRPr="000E6D86" w:rsidRDefault="006A3DBC" w:rsidP="00057429">
            <w:pPr>
              <w:numPr>
                <w:ilvl w:val="0"/>
                <w:numId w:val="17"/>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lang w:val="es-ES"/>
              </w:rPr>
            </w:pPr>
            <w:r w:rsidRPr="000E6D86">
              <w:rPr>
                <w:rFonts w:cs="Arial"/>
                <w:sz w:val="18"/>
                <w:szCs w:val="18"/>
              </w:rPr>
              <w:t>Generación de sinergias con otras instituciones y medidas ambientales y sociales serán incluidas en la ventanilla 1 de agroindustrias.</w:t>
            </w:r>
          </w:p>
        </w:tc>
      </w:tr>
      <w:tr w:rsidR="000E6D86" w:rsidRPr="000E6D86" w14:paraId="02A7E5C6" w14:textId="77777777" w:rsidTr="37B44ACB">
        <w:trPr>
          <w:cnfStyle w:val="000000100000" w:firstRow="0" w:lastRow="0" w:firstColumn="0" w:lastColumn="0" w:oddVBand="0" w:evenVBand="0" w:oddHBand="1" w:evenHBand="0" w:firstRowFirstColumn="0" w:firstRowLastColumn="0" w:lastRowFirstColumn="0" w:lastRowLastColumn="0"/>
          <w:trHeight w:val="98"/>
        </w:trPr>
        <w:tc>
          <w:tcPr>
            <w:cnfStyle w:val="001000000000" w:firstRow="0" w:lastRow="0" w:firstColumn="1" w:lastColumn="0" w:oddVBand="0" w:evenVBand="0" w:oddHBand="0" w:evenHBand="0" w:firstRowFirstColumn="0" w:firstRowLastColumn="0" w:lastRowFirstColumn="0" w:lastRowLastColumn="0"/>
            <w:tcW w:w="1620" w:type="dxa"/>
            <w:vMerge w:val="restart"/>
            <w:vAlign w:val="center"/>
          </w:tcPr>
          <w:p w14:paraId="32DB3B97" w14:textId="77777777" w:rsidR="006A3DBC" w:rsidRPr="000E6D86" w:rsidRDefault="006A3DBC" w:rsidP="005F4A92">
            <w:pPr>
              <w:spacing w:after="60"/>
              <w:contextualSpacing/>
              <w:rPr>
                <w:rFonts w:cs="Arial"/>
                <w:b w:val="0"/>
                <w:sz w:val="18"/>
                <w:szCs w:val="18"/>
              </w:rPr>
            </w:pPr>
          </w:p>
        </w:tc>
        <w:tc>
          <w:tcPr>
            <w:tcW w:w="3767" w:type="dxa"/>
            <w:vMerge w:val="restart"/>
            <w:vAlign w:val="center"/>
          </w:tcPr>
          <w:p w14:paraId="1F89D3D1" w14:textId="77777777" w:rsidR="006A3DBC" w:rsidRPr="000E6D86" w:rsidRDefault="006A3DBC" w:rsidP="005F4A92">
            <w:pPr>
              <w:tabs>
                <w:tab w:val="left" w:pos="0"/>
              </w:tabs>
              <w:spacing w:after="60"/>
              <w:jc w:val="both"/>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tcW w:w="3402" w:type="dxa"/>
          </w:tcPr>
          <w:p w14:paraId="058FC91A" w14:textId="77777777" w:rsidR="006A3DBC" w:rsidRPr="000E6D86" w:rsidRDefault="006A3DBC" w:rsidP="005F4A92">
            <w:pPr>
              <w:jc w:val="both"/>
              <w:cnfStyle w:val="000000100000" w:firstRow="0" w:lastRow="0" w:firstColumn="0" w:lastColumn="0" w:oddVBand="0" w:evenVBand="0" w:oddHBand="1" w:evenHBand="0" w:firstRowFirstColumn="0" w:firstRowLastColumn="0" w:lastRowFirstColumn="0" w:lastRowLastColumn="0"/>
              <w:rPr>
                <w:rFonts w:cs="Arial"/>
                <w:b/>
                <w:sz w:val="18"/>
                <w:szCs w:val="18"/>
              </w:rPr>
            </w:pPr>
            <w:r w:rsidRPr="000E6D86">
              <w:rPr>
                <w:rFonts w:cs="Arial"/>
                <w:b/>
                <w:sz w:val="18"/>
                <w:szCs w:val="18"/>
              </w:rPr>
              <w:t xml:space="preserve">Riesgos ambientales: </w:t>
            </w:r>
          </w:p>
          <w:p w14:paraId="7822AB8E" w14:textId="77777777" w:rsidR="006A3DBC" w:rsidRPr="000E6D86" w:rsidRDefault="006A3DBC" w:rsidP="00057429">
            <w:pPr>
              <w:numPr>
                <w:ilvl w:val="0"/>
                <w:numId w:val="17"/>
              </w:numPr>
              <w:contextualSpacing/>
              <w:jc w:val="both"/>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0E6D86">
              <w:rPr>
                <w:rFonts w:cs="Arial"/>
                <w:sz w:val="18"/>
                <w:szCs w:val="18"/>
              </w:rPr>
              <w:t>Uso excesivo de pesticidas, herbicidas fertilizantes es medio de contaminación de cursos de agua y pérdida de fertilidad del suelo ocasionando daños a la salud humana y pérdida de biodiversidad.</w:t>
            </w:r>
          </w:p>
        </w:tc>
        <w:tc>
          <w:tcPr>
            <w:tcW w:w="4536" w:type="dxa"/>
            <w:vAlign w:val="center"/>
          </w:tcPr>
          <w:p w14:paraId="651C60DE" w14:textId="77777777" w:rsidR="006A3DBC" w:rsidRPr="000E6D86" w:rsidRDefault="006A3DBC" w:rsidP="005F4A92">
            <w:pPr>
              <w:jc w:val="both"/>
              <w:cnfStyle w:val="000000100000" w:firstRow="0" w:lastRow="0" w:firstColumn="0" w:lastColumn="0" w:oddVBand="0" w:evenVBand="0" w:oddHBand="1" w:evenHBand="0" w:firstRowFirstColumn="0" w:firstRowLastColumn="0" w:lastRowFirstColumn="0" w:lastRowLastColumn="0"/>
              <w:rPr>
                <w:rFonts w:cs="Arial"/>
                <w:b/>
                <w:sz w:val="18"/>
                <w:szCs w:val="18"/>
              </w:rPr>
            </w:pPr>
            <w:r w:rsidRPr="000E6D86">
              <w:rPr>
                <w:rFonts w:cs="Arial"/>
                <w:b/>
                <w:sz w:val="18"/>
                <w:szCs w:val="18"/>
              </w:rPr>
              <w:t xml:space="preserve">Medidas ambientales: </w:t>
            </w:r>
          </w:p>
          <w:p w14:paraId="0CBD0F46" w14:textId="77777777" w:rsidR="006A3DBC" w:rsidRPr="000E6D86" w:rsidRDefault="006A3DBC" w:rsidP="00057429">
            <w:pPr>
              <w:numPr>
                <w:ilvl w:val="0"/>
                <w:numId w:val="17"/>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0E6D86">
              <w:rPr>
                <w:rFonts w:cs="Arial"/>
                <w:sz w:val="18"/>
                <w:szCs w:val="18"/>
              </w:rPr>
              <w:t>Favorecer en el proceso de selección, propuestas de negocios de producción orgánica.</w:t>
            </w:r>
          </w:p>
          <w:p w14:paraId="4BFFB61D" w14:textId="77777777" w:rsidR="006A3DBC" w:rsidRPr="000E6D86" w:rsidRDefault="006A3DBC" w:rsidP="00057429">
            <w:pPr>
              <w:numPr>
                <w:ilvl w:val="0"/>
                <w:numId w:val="17"/>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0E6D86">
              <w:rPr>
                <w:rFonts w:cs="Arial"/>
                <w:sz w:val="18"/>
                <w:szCs w:val="18"/>
              </w:rPr>
              <w:t>El MGAS del Proyecto COMRURAL III incluye instrumentos como el PGAS y Plan de Plaguicidas para regular y contrarrestar el uso de químicos.</w:t>
            </w:r>
          </w:p>
          <w:p w14:paraId="2BFA4D87" w14:textId="77777777" w:rsidR="006A3DBC" w:rsidRPr="000E6D86" w:rsidRDefault="006A3DBC" w:rsidP="00057429">
            <w:pPr>
              <w:numPr>
                <w:ilvl w:val="0"/>
                <w:numId w:val="17"/>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0E6D86">
              <w:rPr>
                <w:rFonts w:cs="Arial"/>
                <w:sz w:val="18"/>
                <w:szCs w:val="18"/>
              </w:rPr>
              <w:t>El MOP y MGAS regulan la compra de insumos agrícolas para evitar fuentes de contaminación.</w:t>
            </w:r>
          </w:p>
          <w:p w14:paraId="3C7D0976" w14:textId="77777777" w:rsidR="006A3DBC" w:rsidRPr="000E6D86" w:rsidRDefault="006A3DBC" w:rsidP="00057429">
            <w:pPr>
              <w:numPr>
                <w:ilvl w:val="0"/>
                <w:numId w:val="17"/>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0E6D86">
              <w:rPr>
                <w:rFonts w:cs="Arial"/>
                <w:sz w:val="18"/>
                <w:szCs w:val="18"/>
              </w:rPr>
              <w:t>Realizar un análisis de nutrientes del suelo para conocer las deficiencias de este antes de aplicar fertilizantes.</w:t>
            </w:r>
          </w:p>
          <w:p w14:paraId="23E0D068" w14:textId="77777777" w:rsidR="006A3DBC" w:rsidRPr="000E6D86" w:rsidRDefault="006A3DBC" w:rsidP="00057429">
            <w:pPr>
              <w:numPr>
                <w:ilvl w:val="0"/>
                <w:numId w:val="17"/>
              </w:numPr>
              <w:contextualSpacing/>
              <w:jc w:val="both"/>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0E6D86">
              <w:rPr>
                <w:rFonts w:cs="Arial"/>
                <w:sz w:val="18"/>
                <w:szCs w:val="18"/>
              </w:rPr>
              <w:t>Evitar la selección de rubros que contemplen monocultivos o la introducción de especies nuevas o foráneas a escalas medianas o grandes que degraden los suelos y servicios ecosistémicos de las áreas y que requieren aplicaciones fuertes de químicos.</w:t>
            </w:r>
            <w:r w:rsidRPr="000E6D86">
              <w:rPr>
                <w:rFonts w:cs="Arial"/>
                <w:sz w:val="18"/>
                <w:lang w:val="es-ES"/>
              </w:rPr>
              <w:t xml:space="preserve">   </w:t>
            </w:r>
          </w:p>
        </w:tc>
      </w:tr>
      <w:tr w:rsidR="000E6D86" w:rsidRPr="000E6D86" w14:paraId="113F67C1" w14:textId="77777777" w:rsidTr="37B44ACB">
        <w:trPr>
          <w:trHeight w:val="98"/>
        </w:trPr>
        <w:tc>
          <w:tcPr>
            <w:cnfStyle w:val="001000000000" w:firstRow="0" w:lastRow="0" w:firstColumn="1" w:lastColumn="0" w:oddVBand="0" w:evenVBand="0" w:oddHBand="0" w:evenHBand="0" w:firstRowFirstColumn="0" w:firstRowLastColumn="0" w:lastRowFirstColumn="0" w:lastRowLastColumn="0"/>
            <w:tcW w:w="1620" w:type="dxa"/>
            <w:vMerge/>
            <w:vAlign w:val="center"/>
          </w:tcPr>
          <w:p w14:paraId="7E26950C" w14:textId="77777777" w:rsidR="006A3DBC" w:rsidRPr="000E6D86" w:rsidRDefault="006A3DBC" w:rsidP="005F4A92">
            <w:pPr>
              <w:spacing w:after="60"/>
              <w:contextualSpacing/>
              <w:rPr>
                <w:rFonts w:cs="Arial"/>
                <w:b w:val="0"/>
                <w:sz w:val="18"/>
                <w:szCs w:val="18"/>
              </w:rPr>
            </w:pPr>
          </w:p>
        </w:tc>
        <w:tc>
          <w:tcPr>
            <w:tcW w:w="3767" w:type="dxa"/>
            <w:vMerge/>
            <w:vAlign w:val="center"/>
          </w:tcPr>
          <w:p w14:paraId="2930EF70" w14:textId="77777777" w:rsidR="006A3DBC" w:rsidRPr="000E6D86" w:rsidRDefault="006A3DBC" w:rsidP="005F4A92">
            <w:pPr>
              <w:tabs>
                <w:tab w:val="left" w:pos="0"/>
              </w:tabs>
              <w:spacing w:after="60"/>
              <w:jc w:val="both"/>
              <w:cnfStyle w:val="000000000000" w:firstRow="0" w:lastRow="0" w:firstColumn="0" w:lastColumn="0" w:oddVBand="0" w:evenVBand="0" w:oddHBand="0" w:evenHBand="0" w:firstRowFirstColumn="0" w:firstRowLastColumn="0" w:lastRowFirstColumn="0" w:lastRowLastColumn="0"/>
              <w:rPr>
                <w:rFonts w:cs="Arial"/>
                <w:b/>
                <w:sz w:val="18"/>
                <w:szCs w:val="18"/>
              </w:rPr>
            </w:pPr>
          </w:p>
        </w:tc>
        <w:tc>
          <w:tcPr>
            <w:tcW w:w="3402" w:type="dxa"/>
            <w:vAlign w:val="center"/>
          </w:tcPr>
          <w:p w14:paraId="555E72D4" w14:textId="77777777" w:rsidR="006A3DBC" w:rsidRPr="000E6D86" w:rsidRDefault="006A3DBC" w:rsidP="00057429">
            <w:pPr>
              <w:numPr>
                <w:ilvl w:val="0"/>
                <w:numId w:val="17"/>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Pérdida de bosques: Cambio de uso del suelo si se amplía la frontera agrícola por cualquier tipo de producción, y sobre todo en áreas protegidas o en su cercanía (zonas de amortiguamiento).</w:t>
            </w:r>
          </w:p>
          <w:p w14:paraId="2368125F" w14:textId="77777777" w:rsidR="006A3DBC" w:rsidRPr="000E6D86" w:rsidRDefault="006A3DBC" w:rsidP="005F4A92">
            <w:pPr>
              <w:jc w:val="both"/>
              <w:cnfStyle w:val="000000000000" w:firstRow="0" w:lastRow="0" w:firstColumn="0" w:lastColumn="0" w:oddVBand="0" w:evenVBand="0" w:oddHBand="0" w:evenHBand="0" w:firstRowFirstColumn="0" w:firstRowLastColumn="0" w:lastRowFirstColumn="0" w:lastRowLastColumn="0"/>
              <w:rPr>
                <w:rFonts w:cs="Arial"/>
                <w:b/>
                <w:bCs/>
                <w:sz w:val="18"/>
                <w:szCs w:val="18"/>
              </w:rPr>
            </w:pPr>
          </w:p>
        </w:tc>
        <w:tc>
          <w:tcPr>
            <w:tcW w:w="4536" w:type="dxa"/>
            <w:vAlign w:val="center"/>
          </w:tcPr>
          <w:p w14:paraId="6A959ACE" w14:textId="77777777" w:rsidR="006A3DBC" w:rsidRPr="000E6D86" w:rsidRDefault="006A3DBC" w:rsidP="00057429">
            <w:pPr>
              <w:numPr>
                <w:ilvl w:val="0"/>
                <w:numId w:val="17"/>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El MOP incluirá el listado de actividades excluidas de inversión con fondos del proyecto COMRURAL III, y no se financiarán PdNs en hábitats naturales y críticos, ni en áreas valiosas para la biodiversidad legalmente protegidas y reconocidas a nivel internacional y regional” que pueden abarcar hábitats de cualquiera de estas categorías.</w:t>
            </w:r>
          </w:p>
          <w:p w14:paraId="017D49A2" w14:textId="43F00809" w:rsidR="006A3DBC" w:rsidRPr="000E6D86" w:rsidRDefault="3A7FC69B" w:rsidP="00057429">
            <w:pPr>
              <w:numPr>
                <w:ilvl w:val="0"/>
                <w:numId w:val="17"/>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 xml:space="preserve">Solo se financiarán proyectos en suelos de uso agrícola actual (Según el EAS 6, esto corresponde a hábitats modificados sin biodiversidad de valor significativo), con un uso igual o mayor a cinco años. Esto será evaluado por medio de la Ficha de Evaluación Ambiental y Social Preliminar para Determinar la Viabilidad </w:t>
            </w:r>
            <w:proofErr w:type="gramStart"/>
            <w:r w:rsidRPr="000E6D86">
              <w:rPr>
                <w:rFonts w:cs="Arial"/>
                <w:sz w:val="18"/>
                <w:szCs w:val="18"/>
              </w:rPr>
              <w:t>Socio-Ambiental</w:t>
            </w:r>
            <w:proofErr w:type="gramEnd"/>
            <w:r w:rsidRPr="000E6D86">
              <w:rPr>
                <w:rFonts w:cs="Arial"/>
                <w:sz w:val="18"/>
                <w:szCs w:val="18"/>
              </w:rPr>
              <w:t xml:space="preserve"> de los Planes de Negocio (ver sección </w:t>
            </w:r>
            <w:r w:rsidR="14EFBB81" w:rsidRPr="000E6D86">
              <w:rPr>
                <w:rFonts w:cs="Arial"/>
                <w:sz w:val="18"/>
                <w:szCs w:val="18"/>
              </w:rPr>
              <w:t>12</w:t>
            </w:r>
            <w:r w:rsidR="006A3DBC" w:rsidRPr="000E6D86">
              <w:rPr>
                <w:rFonts w:cs="Arial"/>
                <w:sz w:val="18"/>
                <w:szCs w:val="18"/>
              </w:rPr>
              <w:fldChar w:fldCharType="begin"/>
            </w:r>
            <w:r w:rsidR="006A3DBC" w:rsidRPr="000E6D86">
              <w:rPr>
                <w:rFonts w:cs="Arial"/>
                <w:sz w:val="18"/>
                <w:szCs w:val="18"/>
              </w:rPr>
              <w:instrText xml:space="preserve"> REF _Ref67242636 \n \h  \* MERGEFORMAT </w:instrText>
            </w:r>
            <w:r w:rsidR="006A3DBC" w:rsidRPr="000E6D86">
              <w:rPr>
                <w:rFonts w:cs="Arial"/>
                <w:sz w:val="18"/>
                <w:szCs w:val="18"/>
              </w:rPr>
            </w:r>
            <w:r w:rsidR="006A3DBC" w:rsidRPr="000E6D86">
              <w:rPr>
                <w:rFonts w:cs="Arial"/>
                <w:sz w:val="18"/>
                <w:szCs w:val="18"/>
              </w:rPr>
              <w:fldChar w:fldCharType="separate"/>
            </w:r>
            <w:r w:rsidR="00BF4BCA" w:rsidRPr="000E6D86">
              <w:rPr>
                <w:rFonts w:cs="Arial"/>
                <w:b/>
                <w:bCs/>
                <w:sz w:val="18"/>
                <w:szCs w:val="18"/>
                <w:lang w:val="es-MX"/>
              </w:rPr>
              <w:t>¡Error! No se encuentra el origen de la referencia.</w:t>
            </w:r>
            <w:r w:rsidR="006A3DBC" w:rsidRPr="000E6D86">
              <w:rPr>
                <w:rFonts w:cs="Arial"/>
                <w:sz w:val="18"/>
                <w:szCs w:val="18"/>
              </w:rPr>
              <w:fldChar w:fldCharType="end"/>
            </w:r>
            <w:r w:rsidRPr="000E6D86">
              <w:rPr>
                <w:rFonts w:cs="Arial"/>
                <w:sz w:val="18"/>
                <w:szCs w:val="18"/>
              </w:rPr>
              <w:t xml:space="preserve">). </w:t>
            </w:r>
          </w:p>
          <w:p w14:paraId="15C22CDF" w14:textId="77777777" w:rsidR="006A3DBC" w:rsidRPr="000E6D86" w:rsidRDefault="006A3DBC" w:rsidP="00057429">
            <w:pPr>
              <w:numPr>
                <w:ilvl w:val="0"/>
                <w:numId w:val="17"/>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 xml:space="preserve">En el COMRURAL III se implementa el listado de actividades excluidas de inversión con fondos del Proyecto, para evitar financiar proyectos agrícolas en hábitats naturales y críticos, junto con “áreas valiosas para la biodiversidad legalmente protegidas y reconocidas a nivel internacional y </w:t>
            </w:r>
            <w:r w:rsidRPr="000E6D86">
              <w:rPr>
                <w:rFonts w:cs="Arial"/>
                <w:sz w:val="18"/>
                <w:szCs w:val="18"/>
              </w:rPr>
              <w:lastRenderedPageBreak/>
              <w:t>regional” que pueden abarcar hábitats de cualquiera de estas categorías.</w:t>
            </w:r>
          </w:p>
          <w:p w14:paraId="1B3311D2" w14:textId="77777777" w:rsidR="006A3DBC" w:rsidRPr="000E6D86" w:rsidRDefault="006A3DBC" w:rsidP="00057429">
            <w:pPr>
              <w:numPr>
                <w:ilvl w:val="0"/>
                <w:numId w:val="17"/>
              </w:numPr>
              <w:contextualSpacing/>
              <w:jc w:val="both"/>
              <w:cnfStyle w:val="000000000000" w:firstRow="0" w:lastRow="0" w:firstColumn="0" w:lastColumn="0" w:oddVBand="0" w:evenVBand="0" w:oddHBand="0" w:evenHBand="0" w:firstRowFirstColumn="0" w:firstRowLastColumn="0" w:lastRowFirstColumn="0" w:lastRowLastColumn="0"/>
              <w:rPr>
                <w:rFonts w:cs="Arial"/>
                <w:sz w:val="18"/>
              </w:rPr>
            </w:pPr>
            <w:r w:rsidRPr="000E6D86">
              <w:rPr>
                <w:rFonts w:cs="Arial"/>
                <w:sz w:val="18"/>
                <w:szCs w:val="18"/>
              </w:rPr>
              <w:t>Levantamiento de la línea base socioambiental de cada PdN y el sistema de monitoreo socioambiental, asegurar un nivel adecuado de control y monitoreo preventivo en el campo.</w:t>
            </w:r>
          </w:p>
        </w:tc>
      </w:tr>
      <w:tr w:rsidR="000E6D86" w:rsidRPr="000E6D86" w14:paraId="5A7E9642" w14:textId="77777777" w:rsidTr="37B44ACB">
        <w:trPr>
          <w:cnfStyle w:val="000000100000" w:firstRow="0" w:lastRow="0" w:firstColumn="0" w:lastColumn="0" w:oddVBand="0" w:evenVBand="0" w:oddHBand="1" w:evenHBand="0" w:firstRowFirstColumn="0" w:firstRowLastColumn="0" w:lastRowFirstColumn="0" w:lastRowLastColumn="0"/>
          <w:trHeight w:val="98"/>
        </w:trPr>
        <w:tc>
          <w:tcPr>
            <w:cnfStyle w:val="001000000000" w:firstRow="0" w:lastRow="0" w:firstColumn="1" w:lastColumn="0" w:oddVBand="0" w:evenVBand="0" w:oddHBand="0" w:evenHBand="0" w:firstRowFirstColumn="0" w:firstRowLastColumn="0" w:lastRowFirstColumn="0" w:lastRowLastColumn="0"/>
            <w:tcW w:w="1620" w:type="dxa"/>
            <w:vMerge/>
            <w:vAlign w:val="center"/>
          </w:tcPr>
          <w:p w14:paraId="487C0F02" w14:textId="77777777" w:rsidR="006A3DBC" w:rsidRPr="000E6D86" w:rsidRDefault="006A3DBC" w:rsidP="005F4A92">
            <w:pPr>
              <w:spacing w:after="60"/>
              <w:contextualSpacing/>
              <w:rPr>
                <w:rFonts w:cs="Arial"/>
                <w:b w:val="0"/>
                <w:sz w:val="18"/>
                <w:szCs w:val="18"/>
              </w:rPr>
            </w:pPr>
          </w:p>
        </w:tc>
        <w:tc>
          <w:tcPr>
            <w:tcW w:w="3767" w:type="dxa"/>
            <w:vMerge/>
            <w:vAlign w:val="center"/>
          </w:tcPr>
          <w:p w14:paraId="5A58ACE5" w14:textId="77777777" w:rsidR="006A3DBC" w:rsidRPr="000E6D86" w:rsidRDefault="006A3DBC" w:rsidP="005F4A92">
            <w:pPr>
              <w:tabs>
                <w:tab w:val="left" w:pos="0"/>
              </w:tabs>
              <w:spacing w:after="60"/>
              <w:jc w:val="both"/>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tcW w:w="3402" w:type="dxa"/>
            <w:vAlign w:val="center"/>
          </w:tcPr>
          <w:p w14:paraId="16EDBFFC" w14:textId="77777777" w:rsidR="006A3DBC" w:rsidRPr="000E6D86" w:rsidRDefault="006A3DBC" w:rsidP="00057429">
            <w:pPr>
              <w:numPr>
                <w:ilvl w:val="0"/>
                <w:numId w:val="17"/>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0E6D86">
              <w:rPr>
                <w:rFonts w:cs="Arial"/>
                <w:sz w:val="18"/>
                <w:szCs w:val="18"/>
              </w:rPr>
              <w:t xml:space="preserve">Presión sobre los recursos hídricos y hábitat naturales por uso agrícola. </w:t>
            </w:r>
          </w:p>
          <w:p w14:paraId="39EAE483" w14:textId="77777777" w:rsidR="006A3DBC" w:rsidRPr="000E6D86" w:rsidRDefault="006A3DBC" w:rsidP="00057429">
            <w:pPr>
              <w:ind w:left="360"/>
              <w:jc w:val="both"/>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4536" w:type="dxa"/>
            <w:vAlign w:val="center"/>
          </w:tcPr>
          <w:p w14:paraId="034D57C0" w14:textId="77777777" w:rsidR="006A3DBC" w:rsidRPr="000E6D86" w:rsidRDefault="006A3DBC" w:rsidP="00057429">
            <w:pPr>
              <w:numPr>
                <w:ilvl w:val="0"/>
                <w:numId w:val="17"/>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0E6D86">
              <w:rPr>
                <w:rFonts w:cs="Arial"/>
                <w:sz w:val="18"/>
                <w:szCs w:val="18"/>
              </w:rPr>
              <w:t xml:space="preserve">El Proyecto COMRURAL excluye actividades y cadenas productivas que representen un daño al medio ambiente en todas sus expresiones y aprueba inversiones en PdNs solo en suelos de uso agrícola y con antecedentes de haber sido áreas cultivables. Según el estándar 6, esto corresponde a hábitats modificados. </w:t>
            </w:r>
          </w:p>
          <w:p w14:paraId="3AC60A1C" w14:textId="77777777" w:rsidR="006A3DBC" w:rsidRPr="000E6D86" w:rsidRDefault="006A3DBC" w:rsidP="00057429">
            <w:pPr>
              <w:numPr>
                <w:ilvl w:val="0"/>
                <w:numId w:val="17"/>
              </w:numPr>
              <w:contextualSpacing/>
              <w:jc w:val="both"/>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0E6D86">
              <w:rPr>
                <w:rFonts w:cs="Arial"/>
                <w:sz w:val="18"/>
                <w:szCs w:val="18"/>
              </w:rPr>
              <w:t>Los PdNs aprobados deben evitar la contaminación de cuerpos de agua e incorporar protección y monitoreo de cuerpos de agua y siembra de árboles en reposición de especies taladas por necesidades constructivas.</w:t>
            </w:r>
          </w:p>
        </w:tc>
      </w:tr>
      <w:tr w:rsidR="000E6D86" w:rsidRPr="000E6D86" w14:paraId="25F84C32" w14:textId="77777777" w:rsidTr="37B44ACB">
        <w:trPr>
          <w:trHeight w:val="98"/>
        </w:trPr>
        <w:tc>
          <w:tcPr>
            <w:cnfStyle w:val="001000000000" w:firstRow="0" w:lastRow="0" w:firstColumn="1" w:lastColumn="0" w:oddVBand="0" w:evenVBand="0" w:oddHBand="0" w:evenHBand="0" w:firstRowFirstColumn="0" w:firstRowLastColumn="0" w:lastRowFirstColumn="0" w:lastRowLastColumn="0"/>
            <w:tcW w:w="1620" w:type="dxa"/>
            <w:vMerge/>
            <w:vAlign w:val="center"/>
          </w:tcPr>
          <w:p w14:paraId="455743C2" w14:textId="77777777" w:rsidR="006A3DBC" w:rsidRPr="000E6D86" w:rsidRDefault="006A3DBC" w:rsidP="005F4A92">
            <w:pPr>
              <w:spacing w:after="60"/>
              <w:contextualSpacing/>
              <w:rPr>
                <w:rFonts w:cs="Arial"/>
                <w:b w:val="0"/>
                <w:sz w:val="18"/>
                <w:szCs w:val="18"/>
              </w:rPr>
            </w:pPr>
          </w:p>
        </w:tc>
        <w:tc>
          <w:tcPr>
            <w:tcW w:w="3767" w:type="dxa"/>
            <w:vMerge/>
            <w:vAlign w:val="center"/>
          </w:tcPr>
          <w:p w14:paraId="3FCF44E4" w14:textId="77777777" w:rsidR="006A3DBC" w:rsidRPr="000E6D86" w:rsidRDefault="006A3DBC" w:rsidP="005F4A92">
            <w:pPr>
              <w:tabs>
                <w:tab w:val="left" w:pos="0"/>
              </w:tabs>
              <w:spacing w:after="60"/>
              <w:jc w:val="both"/>
              <w:cnfStyle w:val="000000000000" w:firstRow="0" w:lastRow="0" w:firstColumn="0" w:lastColumn="0" w:oddVBand="0" w:evenVBand="0" w:oddHBand="0" w:evenHBand="0" w:firstRowFirstColumn="0" w:firstRowLastColumn="0" w:lastRowFirstColumn="0" w:lastRowLastColumn="0"/>
              <w:rPr>
                <w:rFonts w:cs="Arial"/>
                <w:b/>
                <w:sz w:val="18"/>
                <w:szCs w:val="18"/>
              </w:rPr>
            </w:pPr>
          </w:p>
        </w:tc>
        <w:tc>
          <w:tcPr>
            <w:tcW w:w="3402" w:type="dxa"/>
            <w:vAlign w:val="center"/>
          </w:tcPr>
          <w:p w14:paraId="4E78E42D" w14:textId="26DB844E" w:rsidR="006A3DBC" w:rsidRPr="000E6D86" w:rsidRDefault="006A3DBC" w:rsidP="00057429">
            <w:pPr>
              <w:numPr>
                <w:ilvl w:val="0"/>
                <w:numId w:val="17"/>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Degradación de ecosistemas frágiles en zonas de inversión.</w:t>
            </w:r>
          </w:p>
        </w:tc>
        <w:tc>
          <w:tcPr>
            <w:tcW w:w="4536" w:type="dxa"/>
            <w:vMerge w:val="restart"/>
            <w:vAlign w:val="center"/>
          </w:tcPr>
          <w:p w14:paraId="0ED66872" w14:textId="77777777" w:rsidR="006A3DBC" w:rsidRPr="000E6D86" w:rsidRDefault="006A3DBC" w:rsidP="00A81B72">
            <w:pPr>
              <w:numPr>
                <w:ilvl w:val="0"/>
                <w:numId w:val="17"/>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 xml:space="preserve">El Proyecto COMRURAL III incentiva la inversión productiva agrícola intensiva no extensiva según MOP. Los PdNs deben estar diseñados conforme en primer lugar, con un mercado que debe ser identificado y en segundo con actividades únicamente en hábitats modificados y sin valores significativos de biodiversidad, los que serán confirmados aplicando la Ficha de Evaluación Ambiental y Social Preliminar para Determinar la Viabilidad Socio- Ambiental de los PdNs. </w:t>
            </w:r>
          </w:p>
          <w:p w14:paraId="52718593" w14:textId="77777777" w:rsidR="006A3DBC" w:rsidRPr="000E6D86" w:rsidRDefault="006A3DBC" w:rsidP="00A81B72">
            <w:pPr>
              <w:numPr>
                <w:ilvl w:val="0"/>
                <w:numId w:val="17"/>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 xml:space="preserve">A través de los PdNs se promoverán acciones para la protección y conservación de las especies en peligro de extinción. </w:t>
            </w:r>
          </w:p>
          <w:p w14:paraId="681E4007" w14:textId="76652A94" w:rsidR="006A3DBC" w:rsidRPr="000E6D86" w:rsidRDefault="006A3DBC" w:rsidP="00A81B72">
            <w:pPr>
              <w:numPr>
                <w:ilvl w:val="0"/>
                <w:numId w:val="17"/>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 xml:space="preserve">El Proyecto promueve prácticas climáticamente inteligentes en las de valor productivas. </w:t>
            </w:r>
          </w:p>
          <w:p w14:paraId="6B8B2E66" w14:textId="77777777" w:rsidR="006A3DBC" w:rsidRPr="000E6D86" w:rsidRDefault="006A3DBC" w:rsidP="00A81B72">
            <w:pPr>
              <w:numPr>
                <w:ilvl w:val="0"/>
                <w:numId w:val="17"/>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No se financiará establecimiento de monocultivos de mayor escala (cultivos estacionarios más de 2 hectárea y permanentes más de 3.5 hectárea).</w:t>
            </w:r>
          </w:p>
          <w:p w14:paraId="557FE16F" w14:textId="77777777" w:rsidR="006A3DBC" w:rsidRPr="000E6D86" w:rsidRDefault="006A3DBC" w:rsidP="00A81B72">
            <w:pPr>
              <w:numPr>
                <w:ilvl w:val="0"/>
                <w:numId w:val="17"/>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 xml:space="preserve">Aplicación de la lista de exclusiones de las inversiones a financiar por el Proyecto y no se financiarán PdNs en hábitats naturales y críticos, ni en “áreas valiosas para la biodiversidad </w:t>
            </w:r>
            <w:r w:rsidRPr="000E6D86">
              <w:rPr>
                <w:rFonts w:cs="Arial"/>
                <w:sz w:val="18"/>
                <w:szCs w:val="18"/>
              </w:rPr>
              <w:lastRenderedPageBreak/>
              <w:t>legalmente protegidas y reconocidas a nivel internacional y regional” que pueden abarcar hábitats de cualquiera de estas categorías.</w:t>
            </w:r>
          </w:p>
        </w:tc>
      </w:tr>
      <w:tr w:rsidR="000E6D86" w:rsidRPr="000E6D86" w14:paraId="58EB6494" w14:textId="77777777" w:rsidTr="37B44ACB">
        <w:trPr>
          <w:cnfStyle w:val="000000100000" w:firstRow="0" w:lastRow="0" w:firstColumn="0" w:lastColumn="0" w:oddVBand="0" w:evenVBand="0" w:oddHBand="1" w:evenHBand="0" w:firstRowFirstColumn="0" w:firstRowLastColumn="0" w:lastRowFirstColumn="0" w:lastRowLastColumn="0"/>
          <w:trHeight w:val="98"/>
        </w:trPr>
        <w:tc>
          <w:tcPr>
            <w:cnfStyle w:val="001000000000" w:firstRow="0" w:lastRow="0" w:firstColumn="1" w:lastColumn="0" w:oddVBand="0" w:evenVBand="0" w:oddHBand="0" w:evenHBand="0" w:firstRowFirstColumn="0" w:firstRowLastColumn="0" w:lastRowFirstColumn="0" w:lastRowLastColumn="0"/>
            <w:tcW w:w="1620" w:type="dxa"/>
            <w:vMerge/>
            <w:vAlign w:val="center"/>
          </w:tcPr>
          <w:p w14:paraId="418FF115" w14:textId="77777777" w:rsidR="006A3DBC" w:rsidRPr="000E6D86" w:rsidRDefault="006A3DBC" w:rsidP="005F4A92">
            <w:pPr>
              <w:spacing w:after="60"/>
              <w:contextualSpacing/>
              <w:rPr>
                <w:rFonts w:cs="Arial"/>
                <w:b w:val="0"/>
                <w:sz w:val="18"/>
                <w:szCs w:val="18"/>
              </w:rPr>
            </w:pPr>
          </w:p>
        </w:tc>
        <w:tc>
          <w:tcPr>
            <w:tcW w:w="3767" w:type="dxa"/>
            <w:vMerge/>
            <w:vAlign w:val="center"/>
          </w:tcPr>
          <w:p w14:paraId="4A208114" w14:textId="77777777" w:rsidR="006A3DBC" w:rsidRPr="000E6D86" w:rsidRDefault="006A3DBC" w:rsidP="005F4A92">
            <w:pPr>
              <w:tabs>
                <w:tab w:val="left" w:pos="0"/>
              </w:tabs>
              <w:spacing w:after="60"/>
              <w:jc w:val="both"/>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tcW w:w="3402" w:type="dxa"/>
            <w:vAlign w:val="center"/>
          </w:tcPr>
          <w:p w14:paraId="5C04BCEC" w14:textId="77777777" w:rsidR="006A3DBC" w:rsidRPr="000E6D86" w:rsidRDefault="006A3DBC" w:rsidP="00057429">
            <w:pPr>
              <w:numPr>
                <w:ilvl w:val="0"/>
                <w:numId w:val="17"/>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0E6D86">
              <w:rPr>
                <w:rFonts w:cs="Arial"/>
                <w:sz w:val="18"/>
                <w:szCs w:val="18"/>
              </w:rPr>
              <w:t xml:space="preserve">Ampliación de frontera agrícola por incentivo y rentabilidad de cultivos. </w:t>
            </w:r>
          </w:p>
          <w:p w14:paraId="3CD08FB6" w14:textId="77777777" w:rsidR="006A3DBC" w:rsidRPr="000E6D86" w:rsidRDefault="006A3DBC" w:rsidP="00057429">
            <w:pPr>
              <w:ind w:left="360"/>
              <w:jc w:val="both"/>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4536" w:type="dxa"/>
            <w:vMerge/>
            <w:vAlign w:val="center"/>
          </w:tcPr>
          <w:p w14:paraId="28261B20" w14:textId="77777777" w:rsidR="006A3DBC" w:rsidRPr="000E6D86" w:rsidRDefault="006A3DBC" w:rsidP="005F4A92">
            <w:pPr>
              <w:numPr>
                <w:ilvl w:val="0"/>
                <w:numId w:val="19"/>
              </w:numPr>
              <w:ind w:firstLine="0"/>
              <w:contextualSpacing/>
              <w:jc w:val="both"/>
              <w:cnfStyle w:val="000000100000" w:firstRow="0" w:lastRow="0" w:firstColumn="0" w:lastColumn="0" w:oddVBand="0" w:evenVBand="0" w:oddHBand="1" w:evenHBand="0" w:firstRowFirstColumn="0" w:firstRowLastColumn="0" w:lastRowFirstColumn="0" w:lastRowLastColumn="0"/>
              <w:rPr>
                <w:rFonts w:cs="Arial"/>
                <w:sz w:val="18"/>
              </w:rPr>
            </w:pPr>
          </w:p>
        </w:tc>
      </w:tr>
      <w:tr w:rsidR="000E6D86" w:rsidRPr="000E6D86" w14:paraId="6FB64078" w14:textId="77777777" w:rsidTr="37B44ACB">
        <w:trPr>
          <w:trHeight w:val="98"/>
        </w:trPr>
        <w:tc>
          <w:tcPr>
            <w:cnfStyle w:val="001000000000" w:firstRow="0" w:lastRow="0" w:firstColumn="1" w:lastColumn="0" w:oddVBand="0" w:evenVBand="0" w:oddHBand="0" w:evenHBand="0" w:firstRowFirstColumn="0" w:firstRowLastColumn="0" w:lastRowFirstColumn="0" w:lastRowLastColumn="0"/>
            <w:tcW w:w="1620" w:type="dxa"/>
            <w:vMerge/>
            <w:vAlign w:val="center"/>
          </w:tcPr>
          <w:p w14:paraId="597E6651" w14:textId="77777777" w:rsidR="006A3DBC" w:rsidRPr="000E6D86" w:rsidRDefault="006A3DBC" w:rsidP="005F4A92">
            <w:pPr>
              <w:spacing w:after="60"/>
              <w:contextualSpacing/>
              <w:rPr>
                <w:rFonts w:cs="Arial"/>
                <w:b w:val="0"/>
                <w:sz w:val="18"/>
                <w:szCs w:val="18"/>
              </w:rPr>
            </w:pPr>
          </w:p>
        </w:tc>
        <w:tc>
          <w:tcPr>
            <w:tcW w:w="3767" w:type="dxa"/>
            <w:vMerge/>
            <w:vAlign w:val="center"/>
          </w:tcPr>
          <w:p w14:paraId="6128287C" w14:textId="77777777" w:rsidR="006A3DBC" w:rsidRPr="000E6D86" w:rsidRDefault="006A3DBC" w:rsidP="005F4A92">
            <w:pPr>
              <w:tabs>
                <w:tab w:val="left" w:pos="0"/>
              </w:tabs>
              <w:spacing w:after="60"/>
              <w:jc w:val="both"/>
              <w:cnfStyle w:val="000000000000" w:firstRow="0" w:lastRow="0" w:firstColumn="0" w:lastColumn="0" w:oddVBand="0" w:evenVBand="0" w:oddHBand="0" w:evenHBand="0" w:firstRowFirstColumn="0" w:firstRowLastColumn="0" w:lastRowFirstColumn="0" w:lastRowLastColumn="0"/>
              <w:rPr>
                <w:rFonts w:cs="Arial"/>
                <w:b/>
                <w:sz w:val="18"/>
                <w:szCs w:val="18"/>
              </w:rPr>
            </w:pPr>
          </w:p>
        </w:tc>
        <w:tc>
          <w:tcPr>
            <w:tcW w:w="3402" w:type="dxa"/>
            <w:vAlign w:val="center"/>
          </w:tcPr>
          <w:p w14:paraId="5CA60EF0" w14:textId="77777777" w:rsidR="006A3DBC" w:rsidRPr="000E6D86" w:rsidRDefault="006A3DBC" w:rsidP="00411720">
            <w:pPr>
              <w:pStyle w:val="Prrafodelista"/>
              <w:numPr>
                <w:ilvl w:val="0"/>
                <w:numId w:val="103"/>
              </w:numPr>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Erosión por cultivo en laderas.</w:t>
            </w:r>
          </w:p>
          <w:p w14:paraId="6997EA9F" w14:textId="77777777" w:rsidR="006A3DBC" w:rsidRPr="000E6D86" w:rsidRDefault="006A3DBC" w:rsidP="005F4A92">
            <w:pPr>
              <w:jc w:val="both"/>
              <w:cnfStyle w:val="000000000000" w:firstRow="0" w:lastRow="0" w:firstColumn="0" w:lastColumn="0" w:oddVBand="0" w:evenVBand="0" w:oddHBand="0" w:evenHBand="0" w:firstRowFirstColumn="0" w:firstRowLastColumn="0" w:lastRowFirstColumn="0" w:lastRowLastColumn="0"/>
              <w:rPr>
                <w:rFonts w:cs="Arial"/>
                <w:b/>
                <w:bCs/>
                <w:sz w:val="18"/>
                <w:szCs w:val="18"/>
              </w:rPr>
            </w:pPr>
          </w:p>
        </w:tc>
        <w:tc>
          <w:tcPr>
            <w:tcW w:w="4536" w:type="dxa"/>
            <w:vAlign w:val="center"/>
          </w:tcPr>
          <w:p w14:paraId="0410C303" w14:textId="77777777" w:rsidR="006A3DBC" w:rsidRPr="000E6D86" w:rsidRDefault="006A3DBC" w:rsidP="00A81B72">
            <w:pPr>
              <w:numPr>
                <w:ilvl w:val="0"/>
                <w:numId w:val="17"/>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 xml:space="preserve">El PGAS y las guías de buenas prácticas agrícolas establecen las medidas sobre las formas y métodos de producción agrícola correctos en laderas. </w:t>
            </w:r>
          </w:p>
          <w:p w14:paraId="1215F720" w14:textId="77777777" w:rsidR="006A3DBC" w:rsidRPr="000E6D86" w:rsidRDefault="006A3DBC" w:rsidP="00A81B72">
            <w:pPr>
              <w:numPr>
                <w:ilvl w:val="0"/>
                <w:numId w:val="17"/>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Evitar en los PdNs, la inversión en áreas que no sean estables, a menos que sea posible la introducción o ejecución de obras y medidas de estabilización de terrenos.</w:t>
            </w:r>
          </w:p>
        </w:tc>
      </w:tr>
      <w:tr w:rsidR="000E6D86" w:rsidRPr="000E6D86" w14:paraId="40A75E53" w14:textId="77777777" w:rsidTr="37B44ACB">
        <w:trPr>
          <w:cnfStyle w:val="000000100000" w:firstRow="0" w:lastRow="0" w:firstColumn="0" w:lastColumn="0" w:oddVBand="0" w:evenVBand="0" w:oddHBand="1" w:evenHBand="0" w:firstRowFirstColumn="0" w:firstRowLastColumn="0" w:lastRowFirstColumn="0" w:lastRowLastColumn="0"/>
          <w:trHeight w:val="98"/>
        </w:trPr>
        <w:tc>
          <w:tcPr>
            <w:cnfStyle w:val="001000000000" w:firstRow="0" w:lastRow="0" w:firstColumn="1" w:lastColumn="0" w:oddVBand="0" w:evenVBand="0" w:oddHBand="0" w:evenHBand="0" w:firstRowFirstColumn="0" w:firstRowLastColumn="0" w:lastRowFirstColumn="0" w:lastRowLastColumn="0"/>
            <w:tcW w:w="1620" w:type="dxa"/>
            <w:vMerge/>
            <w:vAlign w:val="center"/>
          </w:tcPr>
          <w:p w14:paraId="3DD41E20" w14:textId="77777777" w:rsidR="006A3DBC" w:rsidRPr="000E6D86" w:rsidRDefault="006A3DBC" w:rsidP="005F4A92">
            <w:pPr>
              <w:spacing w:after="60"/>
              <w:contextualSpacing/>
              <w:rPr>
                <w:rFonts w:cs="Arial"/>
                <w:b w:val="0"/>
                <w:sz w:val="18"/>
                <w:szCs w:val="18"/>
              </w:rPr>
            </w:pPr>
          </w:p>
        </w:tc>
        <w:tc>
          <w:tcPr>
            <w:tcW w:w="3767" w:type="dxa"/>
            <w:vMerge/>
            <w:vAlign w:val="center"/>
          </w:tcPr>
          <w:p w14:paraId="0D948613" w14:textId="77777777" w:rsidR="006A3DBC" w:rsidRPr="000E6D86" w:rsidRDefault="006A3DBC" w:rsidP="005F4A92">
            <w:pPr>
              <w:tabs>
                <w:tab w:val="left" w:pos="0"/>
              </w:tabs>
              <w:spacing w:after="60"/>
              <w:jc w:val="both"/>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tcW w:w="3402" w:type="dxa"/>
            <w:vAlign w:val="center"/>
          </w:tcPr>
          <w:p w14:paraId="15E82F37" w14:textId="77777777" w:rsidR="006A3DBC" w:rsidRPr="000E6D86" w:rsidRDefault="006A3DBC" w:rsidP="00411720">
            <w:pPr>
              <w:pStyle w:val="Prrafodelista"/>
              <w:numPr>
                <w:ilvl w:val="0"/>
                <w:numId w:val="103"/>
              </w:numPr>
              <w:jc w:val="both"/>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0E6D86">
              <w:rPr>
                <w:rFonts w:cs="Arial"/>
                <w:sz w:val="18"/>
                <w:szCs w:val="18"/>
              </w:rPr>
              <w:t xml:space="preserve">En algunos casos, los hábitats naturales críticos se encuentran en peligro debido a que la expansión cafetalera se encuentra protegida por ley y solamente requiere de la intencionalidad del agricultor para que reciba incentivos e incluso permisos contrapuestos a lo dispuesto en los planes de manejo de las áreas protegidas. </w:t>
            </w:r>
          </w:p>
        </w:tc>
        <w:tc>
          <w:tcPr>
            <w:tcW w:w="4536" w:type="dxa"/>
            <w:vAlign w:val="center"/>
          </w:tcPr>
          <w:p w14:paraId="0768202F" w14:textId="77777777" w:rsidR="006A3DBC" w:rsidRPr="000E6D86" w:rsidRDefault="006A3DBC" w:rsidP="00A81B72">
            <w:pPr>
              <w:numPr>
                <w:ilvl w:val="0"/>
                <w:numId w:val="17"/>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0E6D86">
              <w:rPr>
                <w:rFonts w:cs="Arial"/>
                <w:sz w:val="18"/>
                <w:szCs w:val="18"/>
              </w:rPr>
              <w:t xml:space="preserve">El MOP incluirá el listado de actividades excluidas de inversión con fondos del Proyecto COMRURAL III, y no se financiarán PdNs en hábitats naturales y críticos, junto con “áreas valiosas para la biodiversidad legalmente protegidas y reconocidas a nivel internacional y regional” que pueden abarcar hábitats de cualquiera de estas categorías. </w:t>
            </w:r>
            <w:bookmarkStart w:id="903" w:name="_Hlk66433539"/>
            <w:r w:rsidRPr="000E6D86">
              <w:rPr>
                <w:rFonts w:cs="Arial"/>
                <w:sz w:val="18"/>
                <w:szCs w:val="18"/>
              </w:rPr>
              <w:t>El PGAS para cada uno de los PdNS promoverán la protección y conservación de las especies amenazadas en su localidad, departamento o región y un Plan de Manejo de Plaguicidas.</w:t>
            </w:r>
            <w:bookmarkEnd w:id="903"/>
          </w:p>
        </w:tc>
      </w:tr>
      <w:tr w:rsidR="000E6D86" w:rsidRPr="000E6D86" w14:paraId="556DF9D0" w14:textId="77777777" w:rsidTr="37B44ACB">
        <w:trPr>
          <w:trHeight w:val="98"/>
        </w:trPr>
        <w:tc>
          <w:tcPr>
            <w:cnfStyle w:val="001000000000" w:firstRow="0" w:lastRow="0" w:firstColumn="1" w:lastColumn="0" w:oddVBand="0" w:evenVBand="0" w:oddHBand="0" w:evenHBand="0" w:firstRowFirstColumn="0" w:firstRowLastColumn="0" w:lastRowFirstColumn="0" w:lastRowLastColumn="0"/>
            <w:tcW w:w="1620" w:type="dxa"/>
            <w:vMerge/>
            <w:vAlign w:val="center"/>
          </w:tcPr>
          <w:p w14:paraId="6FDA7948" w14:textId="77777777" w:rsidR="006A3DBC" w:rsidRPr="000E6D86" w:rsidRDefault="006A3DBC" w:rsidP="005F4A92">
            <w:pPr>
              <w:spacing w:after="60"/>
              <w:contextualSpacing/>
              <w:rPr>
                <w:rFonts w:cs="Arial"/>
                <w:b w:val="0"/>
                <w:sz w:val="18"/>
                <w:szCs w:val="18"/>
              </w:rPr>
            </w:pPr>
          </w:p>
        </w:tc>
        <w:tc>
          <w:tcPr>
            <w:tcW w:w="3767" w:type="dxa"/>
            <w:vMerge/>
            <w:vAlign w:val="center"/>
          </w:tcPr>
          <w:p w14:paraId="2B6BA4E9" w14:textId="77777777" w:rsidR="006A3DBC" w:rsidRPr="000E6D86" w:rsidRDefault="006A3DBC" w:rsidP="005F4A92">
            <w:pPr>
              <w:tabs>
                <w:tab w:val="left" w:pos="0"/>
              </w:tabs>
              <w:spacing w:after="60"/>
              <w:jc w:val="both"/>
              <w:cnfStyle w:val="000000000000" w:firstRow="0" w:lastRow="0" w:firstColumn="0" w:lastColumn="0" w:oddVBand="0" w:evenVBand="0" w:oddHBand="0" w:evenHBand="0" w:firstRowFirstColumn="0" w:firstRowLastColumn="0" w:lastRowFirstColumn="0" w:lastRowLastColumn="0"/>
              <w:rPr>
                <w:rFonts w:cs="Arial"/>
                <w:b/>
                <w:sz w:val="18"/>
                <w:szCs w:val="18"/>
              </w:rPr>
            </w:pPr>
          </w:p>
        </w:tc>
        <w:tc>
          <w:tcPr>
            <w:tcW w:w="3402" w:type="dxa"/>
            <w:vAlign w:val="center"/>
          </w:tcPr>
          <w:p w14:paraId="5BA24BE5" w14:textId="77777777" w:rsidR="006A3DBC" w:rsidRPr="000E6D86" w:rsidRDefault="006A3DBC" w:rsidP="00A81B72">
            <w:pPr>
              <w:pStyle w:val="Prrafodelista"/>
              <w:numPr>
                <w:ilvl w:val="0"/>
                <w:numId w:val="103"/>
              </w:numPr>
              <w:jc w:val="both"/>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0E6D86">
              <w:rPr>
                <w:rFonts w:cs="Arial"/>
                <w:sz w:val="18"/>
                <w:szCs w:val="18"/>
              </w:rPr>
              <w:t>Uso excesivo de pesticidas, herbicidas fertilizantes es medio de contaminación de cursos de agua y pérdida de fertilidad del suelo ocasionando daños a la salud humana.</w:t>
            </w:r>
          </w:p>
        </w:tc>
        <w:tc>
          <w:tcPr>
            <w:tcW w:w="4536" w:type="dxa"/>
            <w:vAlign w:val="center"/>
          </w:tcPr>
          <w:p w14:paraId="7C467471" w14:textId="77777777" w:rsidR="006A3DBC" w:rsidRPr="000E6D86" w:rsidRDefault="006A3DBC" w:rsidP="00A81B72">
            <w:pPr>
              <w:numPr>
                <w:ilvl w:val="0"/>
                <w:numId w:val="17"/>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El Proyecto en su MGAS incluye medidas y Plan de Plaguicidas haciendo referencia a la obligatoriedad de cumplir lo que la legislación nacional ordena en este punto (Reglamento sobre el Registro, uso y control de plaguicidas y sustancias afines) y a las guías de buenas prácticas relacionadas con el tema.</w:t>
            </w:r>
          </w:p>
          <w:p w14:paraId="35EE149A" w14:textId="77777777" w:rsidR="006A3DBC" w:rsidRPr="000E6D86" w:rsidRDefault="006A3DBC" w:rsidP="00A81B72">
            <w:pPr>
              <w:numPr>
                <w:ilvl w:val="0"/>
                <w:numId w:val="17"/>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El MOP prioriza iniciativas productivas certificadas y de producción organiza.</w:t>
            </w:r>
          </w:p>
          <w:p w14:paraId="09993409" w14:textId="77777777" w:rsidR="006A3DBC" w:rsidRPr="000E6D86" w:rsidRDefault="006A3DBC" w:rsidP="00A81B72">
            <w:pPr>
              <w:numPr>
                <w:ilvl w:val="0"/>
                <w:numId w:val="17"/>
              </w:numPr>
              <w:contextualSpacing/>
              <w:jc w:val="both"/>
              <w:cnfStyle w:val="000000000000" w:firstRow="0" w:lastRow="0" w:firstColumn="0" w:lastColumn="0" w:oddVBand="0" w:evenVBand="0" w:oddHBand="0" w:evenHBand="0" w:firstRowFirstColumn="0" w:firstRowLastColumn="0" w:lastRowFirstColumn="0" w:lastRowLastColumn="0"/>
              <w:rPr>
                <w:rFonts w:cs="Arial"/>
                <w:sz w:val="18"/>
              </w:rPr>
            </w:pPr>
            <w:r w:rsidRPr="000E6D86">
              <w:rPr>
                <w:rFonts w:cs="Arial"/>
                <w:sz w:val="18"/>
                <w:szCs w:val="18"/>
              </w:rPr>
              <w:t>Los Especialistas en Adquisiciones de COMRURAL III aplicarán un filtro activo en aprobar los productos agroquímicos elegibles para financiamiento del Proyecto.</w:t>
            </w:r>
          </w:p>
        </w:tc>
      </w:tr>
      <w:tr w:rsidR="000E6D86" w:rsidRPr="000E6D86" w14:paraId="1714A980" w14:textId="77777777" w:rsidTr="37B44ACB">
        <w:trPr>
          <w:cnfStyle w:val="000000100000" w:firstRow="0" w:lastRow="0" w:firstColumn="0" w:lastColumn="0" w:oddVBand="0" w:evenVBand="0" w:oddHBand="1" w:evenHBand="0" w:firstRowFirstColumn="0" w:firstRowLastColumn="0" w:lastRowFirstColumn="0" w:lastRowLastColumn="0"/>
          <w:trHeight w:val="98"/>
        </w:trPr>
        <w:tc>
          <w:tcPr>
            <w:cnfStyle w:val="001000000000" w:firstRow="0" w:lastRow="0" w:firstColumn="1" w:lastColumn="0" w:oddVBand="0" w:evenVBand="0" w:oddHBand="0" w:evenHBand="0" w:firstRowFirstColumn="0" w:firstRowLastColumn="0" w:lastRowFirstColumn="0" w:lastRowLastColumn="0"/>
            <w:tcW w:w="1620" w:type="dxa"/>
            <w:vMerge/>
            <w:vAlign w:val="center"/>
          </w:tcPr>
          <w:p w14:paraId="77157168" w14:textId="77777777" w:rsidR="006A3DBC" w:rsidRPr="000E6D86" w:rsidRDefault="006A3DBC" w:rsidP="005F4A92">
            <w:pPr>
              <w:spacing w:after="60"/>
              <w:contextualSpacing/>
              <w:rPr>
                <w:rFonts w:cs="Arial"/>
                <w:b w:val="0"/>
                <w:sz w:val="18"/>
                <w:szCs w:val="18"/>
              </w:rPr>
            </w:pPr>
          </w:p>
        </w:tc>
        <w:tc>
          <w:tcPr>
            <w:tcW w:w="3767" w:type="dxa"/>
            <w:vMerge/>
            <w:vAlign w:val="center"/>
          </w:tcPr>
          <w:p w14:paraId="0CACA29D" w14:textId="77777777" w:rsidR="006A3DBC" w:rsidRPr="000E6D86" w:rsidRDefault="006A3DBC" w:rsidP="005F4A92">
            <w:pPr>
              <w:tabs>
                <w:tab w:val="left" w:pos="0"/>
              </w:tabs>
              <w:spacing w:after="60"/>
              <w:jc w:val="both"/>
              <w:cnfStyle w:val="000000100000" w:firstRow="0" w:lastRow="0" w:firstColumn="0" w:lastColumn="0" w:oddVBand="0" w:evenVBand="0" w:oddHBand="1" w:evenHBand="0" w:firstRowFirstColumn="0" w:firstRowLastColumn="0" w:lastRowFirstColumn="0" w:lastRowLastColumn="0"/>
              <w:rPr>
                <w:rFonts w:cs="Arial"/>
                <w:b/>
                <w:sz w:val="18"/>
                <w:szCs w:val="18"/>
              </w:rPr>
            </w:pPr>
          </w:p>
        </w:tc>
        <w:tc>
          <w:tcPr>
            <w:tcW w:w="3402" w:type="dxa"/>
            <w:vAlign w:val="center"/>
          </w:tcPr>
          <w:p w14:paraId="55E71004" w14:textId="77777777" w:rsidR="006A3DBC" w:rsidRPr="000E6D86" w:rsidRDefault="006A3DBC" w:rsidP="00A81B72">
            <w:pPr>
              <w:pStyle w:val="Prrafodelista"/>
              <w:numPr>
                <w:ilvl w:val="0"/>
                <w:numId w:val="103"/>
              </w:numPr>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0E6D86">
              <w:rPr>
                <w:rFonts w:cs="Arial"/>
                <w:sz w:val="18"/>
                <w:szCs w:val="18"/>
              </w:rPr>
              <w:t xml:space="preserve">Contaminación de fuentes de agua por procesos agroindustriales de las diferentes cadenas agrícolas, </w:t>
            </w:r>
            <w:r w:rsidRPr="000E6D86">
              <w:rPr>
                <w:rFonts w:cs="Arial"/>
                <w:sz w:val="18"/>
                <w:szCs w:val="18"/>
              </w:rPr>
              <w:lastRenderedPageBreak/>
              <w:t>apicultura, acuicultura y turismo rural.</w:t>
            </w:r>
          </w:p>
        </w:tc>
        <w:tc>
          <w:tcPr>
            <w:tcW w:w="4536" w:type="dxa"/>
            <w:vMerge w:val="restart"/>
            <w:vAlign w:val="center"/>
          </w:tcPr>
          <w:p w14:paraId="1C5E3F06" w14:textId="77777777" w:rsidR="006A3DBC" w:rsidRPr="000E6D86" w:rsidRDefault="006A3DBC" w:rsidP="00A81B72">
            <w:pPr>
              <w:numPr>
                <w:ilvl w:val="0"/>
                <w:numId w:val="17"/>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0E6D86">
              <w:rPr>
                <w:rFonts w:cs="Arial"/>
                <w:sz w:val="18"/>
                <w:szCs w:val="18"/>
              </w:rPr>
              <w:lastRenderedPageBreak/>
              <w:t xml:space="preserve">Ejecución de obras físicas y medidas de mitigación ambiental planteadas bajo el concepto </w:t>
            </w:r>
            <w:r w:rsidRPr="000E6D86">
              <w:rPr>
                <w:rFonts w:cs="Arial"/>
                <w:sz w:val="18"/>
                <w:szCs w:val="18"/>
              </w:rPr>
              <w:lastRenderedPageBreak/>
              <w:t xml:space="preserve">de un PGAS en la formulación del PdN, entre las cuales se recomienda de manera general: </w:t>
            </w:r>
          </w:p>
          <w:p w14:paraId="66A48D4A" w14:textId="77777777" w:rsidR="006A3DBC" w:rsidRPr="000E6D86" w:rsidRDefault="006A3DBC" w:rsidP="00411720">
            <w:pPr>
              <w:numPr>
                <w:ilvl w:val="0"/>
                <w:numId w:val="117"/>
              </w:numPr>
              <w:jc w:val="both"/>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0E6D86">
              <w:rPr>
                <w:rFonts w:cs="Arial"/>
                <w:bCs/>
                <w:sz w:val="18"/>
                <w:szCs w:val="18"/>
              </w:rPr>
              <w:t>Obras de tratamiento y manejo de desechos sólidos. Incluye desechos propios del procesamiento, desechos de cosecha, desechos comunes degradables y no biodegradables, así como el manejo y tratamiento de desecho sólidos peligrosos y desechos plásticos agrícolas.</w:t>
            </w:r>
          </w:p>
          <w:p w14:paraId="51CD2DFE" w14:textId="77777777" w:rsidR="006A3DBC" w:rsidRPr="000E6D86" w:rsidRDefault="006A3DBC" w:rsidP="00411720">
            <w:pPr>
              <w:numPr>
                <w:ilvl w:val="0"/>
                <w:numId w:val="117"/>
              </w:numPr>
              <w:jc w:val="both"/>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0E6D86">
              <w:rPr>
                <w:rFonts w:cs="Arial"/>
                <w:bCs/>
                <w:sz w:val="18"/>
                <w:szCs w:val="18"/>
              </w:rPr>
              <w:t>Obras de tratamiento y manejo de aguas residuales. Incluye efluentes de sistemas de producción, aguas pluviales, aguas grises y negras.</w:t>
            </w:r>
          </w:p>
          <w:p w14:paraId="536C77E5" w14:textId="2C0BA3C6" w:rsidR="006A3DBC" w:rsidRPr="000E6D86" w:rsidRDefault="006A3DBC" w:rsidP="003578A1">
            <w:pPr>
              <w:numPr>
                <w:ilvl w:val="0"/>
                <w:numId w:val="117"/>
              </w:numPr>
              <w:ind w:left="738"/>
              <w:jc w:val="both"/>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0E6D86">
              <w:rPr>
                <w:rFonts w:cs="Arial"/>
                <w:bCs/>
                <w:sz w:val="18"/>
                <w:szCs w:val="18"/>
              </w:rPr>
              <w:t>Aplicación de guías de buenas prácticas ambientales, que serán específicas para cada rubro. En términos generales, incluye: aplicación de MIP y MIC, BPM y Buenas Prácticas Ambientales.</w:t>
            </w:r>
          </w:p>
          <w:p w14:paraId="03406FC6" w14:textId="77777777" w:rsidR="006A3DBC" w:rsidRPr="000E6D86" w:rsidRDefault="006A3DBC" w:rsidP="00411720">
            <w:pPr>
              <w:numPr>
                <w:ilvl w:val="0"/>
                <w:numId w:val="117"/>
              </w:numPr>
              <w:jc w:val="both"/>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0E6D86">
              <w:rPr>
                <w:rFonts w:cs="Arial"/>
                <w:bCs/>
                <w:sz w:val="18"/>
                <w:szCs w:val="18"/>
              </w:rPr>
              <w:t>Implementación de medidas de inocuidad en unidades productivas.</w:t>
            </w:r>
          </w:p>
          <w:p w14:paraId="5A0CC1C4" w14:textId="77777777" w:rsidR="006A3DBC" w:rsidRPr="000E6D86" w:rsidRDefault="006A3DBC" w:rsidP="00411720">
            <w:pPr>
              <w:numPr>
                <w:ilvl w:val="0"/>
                <w:numId w:val="117"/>
              </w:numPr>
              <w:jc w:val="both"/>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0E6D86">
              <w:rPr>
                <w:rFonts w:cs="Arial"/>
                <w:bCs/>
                <w:sz w:val="18"/>
                <w:szCs w:val="18"/>
              </w:rPr>
              <w:t>Implementación de medidas de seguridad laboral.</w:t>
            </w:r>
          </w:p>
          <w:p w14:paraId="367256F2" w14:textId="77777777" w:rsidR="006A3DBC" w:rsidRPr="000E6D86" w:rsidRDefault="006A3DBC" w:rsidP="00411720">
            <w:pPr>
              <w:numPr>
                <w:ilvl w:val="0"/>
                <w:numId w:val="117"/>
              </w:numPr>
              <w:jc w:val="both"/>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0E6D86">
              <w:rPr>
                <w:rFonts w:cs="Arial"/>
                <w:bCs/>
                <w:sz w:val="18"/>
                <w:szCs w:val="18"/>
              </w:rPr>
              <w:t>Rotulación y delimitación de áreas según su función particular.</w:t>
            </w:r>
          </w:p>
          <w:p w14:paraId="5B7E4B1E" w14:textId="77777777" w:rsidR="006A3DBC" w:rsidRPr="000E6D86" w:rsidRDefault="006A3DBC" w:rsidP="00411720">
            <w:pPr>
              <w:numPr>
                <w:ilvl w:val="0"/>
                <w:numId w:val="117"/>
              </w:numPr>
              <w:contextualSpacing/>
              <w:cnfStyle w:val="000000100000" w:firstRow="0" w:lastRow="0" w:firstColumn="0" w:lastColumn="0" w:oddVBand="0" w:evenVBand="0" w:oddHBand="1" w:evenHBand="0" w:firstRowFirstColumn="0" w:firstRowLastColumn="0" w:lastRowFirstColumn="0" w:lastRowLastColumn="0"/>
              <w:rPr>
                <w:rFonts w:cs="Arial"/>
                <w:sz w:val="18"/>
              </w:rPr>
            </w:pPr>
            <w:r w:rsidRPr="000E6D86">
              <w:rPr>
                <w:rFonts w:cs="Arial"/>
                <w:bCs/>
                <w:sz w:val="18"/>
                <w:szCs w:val="18"/>
              </w:rPr>
              <w:t>Suscripción a certificaciones socioambientales y de calidad.</w:t>
            </w:r>
          </w:p>
        </w:tc>
      </w:tr>
      <w:tr w:rsidR="000E6D86" w:rsidRPr="000E6D86" w14:paraId="00FD2BCF" w14:textId="77777777" w:rsidTr="37B44ACB">
        <w:trPr>
          <w:trHeight w:val="98"/>
        </w:trPr>
        <w:tc>
          <w:tcPr>
            <w:cnfStyle w:val="001000000000" w:firstRow="0" w:lastRow="0" w:firstColumn="1" w:lastColumn="0" w:oddVBand="0" w:evenVBand="0" w:oddHBand="0" w:evenHBand="0" w:firstRowFirstColumn="0" w:firstRowLastColumn="0" w:lastRowFirstColumn="0" w:lastRowLastColumn="0"/>
            <w:tcW w:w="1620" w:type="dxa"/>
            <w:vMerge/>
            <w:vAlign w:val="center"/>
          </w:tcPr>
          <w:p w14:paraId="0EB740AF" w14:textId="77777777" w:rsidR="006A3DBC" w:rsidRPr="000E6D86" w:rsidRDefault="006A3DBC" w:rsidP="005F4A92">
            <w:pPr>
              <w:spacing w:after="60"/>
              <w:rPr>
                <w:rFonts w:cs="Arial"/>
                <w:b w:val="0"/>
                <w:sz w:val="18"/>
                <w:szCs w:val="18"/>
              </w:rPr>
            </w:pPr>
          </w:p>
        </w:tc>
        <w:tc>
          <w:tcPr>
            <w:tcW w:w="3767" w:type="dxa"/>
            <w:vMerge/>
            <w:vAlign w:val="center"/>
          </w:tcPr>
          <w:p w14:paraId="2739415B" w14:textId="77777777" w:rsidR="006A3DBC" w:rsidRPr="000E6D86" w:rsidRDefault="006A3DBC" w:rsidP="005F4A92">
            <w:pPr>
              <w:tabs>
                <w:tab w:val="left" w:pos="0"/>
              </w:tabs>
              <w:spacing w:after="60"/>
              <w:jc w:val="both"/>
              <w:cnfStyle w:val="000000000000" w:firstRow="0" w:lastRow="0" w:firstColumn="0" w:lastColumn="0" w:oddVBand="0" w:evenVBand="0" w:oddHBand="0" w:evenHBand="0" w:firstRowFirstColumn="0" w:firstRowLastColumn="0" w:lastRowFirstColumn="0" w:lastRowLastColumn="0"/>
              <w:rPr>
                <w:rFonts w:cs="Arial"/>
                <w:b/>
                <w:sz w:val="18"/>
                <w:szCs w:val="18"/>
              </w:rPr>
            </w:pPr>
          </w:p>
        </w:tc>
        <w:tc>
          <w:tcPr>
            <w:tcW w:w="3402" w:type="dxa"/>
            <w:vAlign w:val="center"/>
          </w:tcPr>
          <w:p w14:paraId="5A8D1A59" w14:textId="77777777" w:rsidR="006A3DBC" w:rsidRPr="000E6D86" w:rsidRDefault="006A3DBC" w:rsidP="00A81B72">
            <w:pPr>
              <w:pStyle w:val="Prrafodelista"/>
              <w:numPr>
                <w:ilvl w:val="0"/>
                <w:numId w:val="103"/>
              </w:numPr>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Contaminación por residuos sólidos y líquidos en general.</w:t>
            </w:r>
          </w:p>
        </w:tc>
        <w:tc>
          <w:tcPr>
            <w:tcW w:w="4536" w:type="dxa"/>
            <w:vMerge/>
            <w:vAlign w:val="center"/>
          </w:tcPr>
          <w:p w14:paraId="72389D73" w14:textId="77777777" w:rsidR="006A3DBC" w:rsidRPr="000E6D86" w:rsidRDefault="006A3DBC" w:rsidP="005F4A92">
            <w:pPr>
              <w:jc w:val="both"/>
              <w:cnfStyle w:val="000000000000" w:firstRow="0" w:lastRow="0" w:firstColumn="0" w:lastColumn="0" w:oddVBand="0" w:evenVBand="0" w:oddHBand="0" w:evenHBand="0" w:firstRowFirstColumn="0" w:firstRowLastColumn="0" w:lastRowFirstColumn="0" w:lastRowLastColumn="0"/>
              <w:rPr>
                <w:rFonts w:cs="Arial"/>
                <w:b/>
                <w:bCs/>
                <w:sz w:val="18"/>
                <w:szCs w:val="18"/>
              </w:rPr>
            </w:pPr>
          </w:p>
        </w:tc>
      </w:tr>
      <w:tr w:rsidR="000E6D86" w:rsidRPr="000E6D86" w14:paraId="7919603A" w14:textId="77777777" w:rsidTr="37B44A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vMerge w:val="restart"/>
            <w:vAlign w:val="center"/>
          </w:tcPr>
          <w:p w14:paraId="0B864E63" w14:textId="77777777" w:rsidR="006A3DBC" w:rsidRPr="000E6D86" w:rsidRDefault="006A3DBC" w:rsidP="00897C39">
            <w:pPr>
              <w:spacing w:after="60"/>
              <w:jc w:val="both"/>
              <w:rPr>
                <w:rFonts w:cs="Arial"/>
                <w:bCs w:val="0"/>
                <w:sz w:val="18"/>
                <w:szCs w:val="18"/>
                <w:lang w:val="es-PY"/>
              </w:rPr>
            </w:pPr>
            <w:r w:rsidRPr="000E6D86">
              <w:rPr>
                <w:rFonts w:cs="Arial"/>
                <w:b w:val="0"/>
                <w:sz w:val="18"/>
                <w:szCs w:val="18"/>
                <w:lang w:val="es-PY"/>
              </w:rPr>
              <w:t>Componente 3:</w:t>
            </w:r>
            <w:r w:rsidRPr="000E6D86">
              <w:rPr>
                <w:rFonts w:cs="Arial"/>
                <w:bCs w:val="0"/>
                <w:sz w:val="18"/>
                <w:szCs w:val="18"/>
                <w:lang w:val="es-PY"/>
              </w:rPr>
              <w:t xml:space="preserve"> Gestión, seguimiento y evaluación del Proyecto</w:t>
            </w:r>
          </w:p>
        </w:tc>
        <w:tc>
          <w:tcPr>
            <w:tcW w:w="3767" w:type="dxa"/>
            <w:vAlign w:val="center"/>
          </w:tcPr>
          <w:p w14:paraId="3A79E98F" w14:textId="77777777" w:rsidR="006A3DBC" w:rsidRPr="000E6D86" w:rsidRDefault="006A3DBC" w:rsidP="005F4A92">
            <w:pPr>
              <w:tabs>
                <w:tab w:val="left" w:pos="0"/>
              </w:tabs>
              <w:spacing w:after="60"/>
              <w:jc w:val="both"/>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0E6D86">
              <w:rPr>
                <w:rFonts w:cs="Arial"/>
                <w:bCs/>
                <w:sz w:val="18"/>
                <w:szCs w:val="18"/>
              </w:rPr>
              <w:t>Gestión y coordinación del Proyecto entre los diferentes actores.</w:t>
            </w:r>
          </w:p>
        </w:tc>
        <w:tc>
          <w:tcPr>
            <w:tcW w:w="3402" w:type="dxa"/>
            <w:vAlign w:val="center"/>
          </w:tcPr>
          <w:p w14:paraId="7201DDC3" w14:textId="77777777" w:rsidR="006A3DBC" w:rsidRPr="000E6D86" w:rsidRDefault="006A3DBC" w:rsidP="00111875">
            <w:pPr>
              <w:pStyle w:val="Prrafodelista"/>
              <w:numPr>
                <w:ilvl w:val="0"/>
                <w:numId w:val="103"/>
              </w:numPr>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0E6D86">
              <w:rPr>
                <w:rFonts w:cs="Arial"/>
                <w:sz w:val="18"/>
                <w:szCs w:val="18"/>
              </w:rPr>
              <w:t>La gestión y coordinación no incluya la gestión de riesgos, el cambio climático, el medio ambiente y la salud.</w:t>
            </w:r>
          </w:p>
          <w:p w14:paraId="4CA57D06" w14:textId="77777777" w:rsidR="006A3DBC" w:rsidRPr="000E6D86" w:rsidRDefault="006A3DBC" w:rsidP="00111875">
            <w:pPr>
              <w:pStyle w:val="Prrafodelista"/>
              <w:numPr>
                <w:ilvl w:val="0"/>
                <w:numId w:val="103"/>
              </w:numPr>
              <w:jc w:val="both"/>
              <w:cnfStyle w:val="000000100000" w:firstRow="0" w:lastRow="0" w:firstColumn="0" w:lastColumn="0" w:oddVBand="0" w:evenVBand="0" w:oddHBand="1" w:evenHBand="0" w:firstRowFirstColumn="0" w:firstRowLastColumn="0" w:lastRowFirstColumn="0" w:lastRowLastColumn="0"/>
              <w:rPr>
                <w:rFonts w:cs="Arial"/>
                <w:sz w:val="18"/>
                <w:szCs w:val="18"/>
                <w:lang w:val="es-ES"/>
              </w:rPr>
            </w:pPr>
            <w:r w:rsidRPr="000E6D86">
              <w:rPr>
                <w:rFonts w:cs="Arial"/>
                <w:sz w:val="18"/>
                <w:szCs w:val="18"/>
              </w:rPr>
              <w:t>Que la contratación del personal social y ambiental no sea suficiente para cubrir los compromisos reflejados en los instrumentos ambientales y sociales del Proyecto.</w:t>
            </w:r>
          </w:p>
        </w:tc>
        <w:tc>
          <w:tcPr>
            <w:tcW w:w="4536" w:type="dxa"/>
            <w:vAlign w:val="center"/>
          </w:tcPr>
          <w:p w14:paraId="03BA1A56" w14:textId="77777777" w:rsidR="006A3DBC" w:rsidRPr="000E6D86" w:rsidRDefault="006A3DBC" w:rsidP="00111875">
            <w:pPr>
              <w:numPr>
                <w:ilvl w:val="0"/>
                <w:numId w:val="17"/>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0E6D86">
              <w:rPr>
                <w:rFonts w:cs="Arial"/>
                <w:sz w:val="18"/>
                <w:szCs w:val="18"/>
              </w:rPr>
              <w:t>La gestión y coordinación incluye la gestión de riesgos, el cambio climático, el medio ambiente y la salud.</w:t>
            </w:r>
          </w:p>
          <w:p w14:paraId="15910FD7" w14:textId="77777777" w:rsidR="006A3DBC" w:rsidRPr="000E6D86" w:rsidRDefault="006A3DBC" w:rsidP="00111875">
            <w:pPr>
              <w:numPr>
                <w:ilvl w:val="0"/>
                <w:numId w:val="17"/>
              </w:numPr>
              <w:contextualSpacing/>
              <w:jc w:val="both"/>
              <w:cnfStyle w:val="000000100000" w:firstRow="0" w:lastRow="0" w:firstColumn="0" w:lastColumn="0" w:oddVBand="0" w:evenVBand="0" w:oddHBand="1" w:evenHBand="0" w:firstRowFirstColumn="0" w:firstRowLastColumn="0" w:lastRowFirstColumn="0" w:lastRowLastColumn="0"/>
              <w:rPr>
                <w:rFonts w:cs="Arial"/>
                <w:iCs/>
                <w:sz w:val="18"/>
                <w:szCs w:val="18"/>
                <w:lang w:val="es-ES"/>
              </w:rPr>
            </w:pPr>
            <w:r w:rsidRPr="000E6D86">
              <w:rPr>
                <w:rFonts w:cs="Arial"/>
                <w:sz w:val="18"/>
                <w:szCs w:val="18"/>
              </w:rPr>
              <w:t>En dicho componente se asignarán los recursos humanos y financieros para el fortalecimiento de la gestión ambiental y social.</w:t>
            </w:r>
          </w:p>
        </w:tc>
      </w:tr>
      <w:tr w:rsidR="000E6D86" w:rsidRPr="000E6D86" w14:paraId="725DB0E3" w14:textId="77777777" w:rsidTr="37B44ACB">
        <w:tc>
          <w:tcPr>
            <w:cnfStyle w:val="001000000000" w:firstRow="0" w:lastRow="0" w:firstColumn="1" w:lastColumn="0" w:oddVBand="0" w:evenVBand="0" w:oddHBand="0" w:evenHBand="0" w:firstRowFirstColumn="0" w:firstRowLastColumn="0" w:lastRowFirstColumn="0" w:lastRowLastColumn="0"/>
            <w:tcW w:w="1620" w:type="dxa"/>
            <w:vMerge/>
            <w:vAlign w:val="center"/>
          </w:tcPr>
          <w:p w14:paraId="5D8D88F4" w14:textId="77777777" w:rsidR="006A3DBC" w:rsidRPr="000E6D86" w:rsidRDefault="006A3DBC" w:rsidP="005F4A92">
            <w:pPr>
              <w:spacing w:after="60"/>
              <w:rPr>
                <w:rFonts w:cs="Arial"/>
                <w:b w:val="0"/>
                <w:sz w:val="18"/>
                <w:szCs w:val="18"/>
                <w:lang w:val="es-PY"/>
              </w:rPr>
            </w:pPr>
          </w:p>
        </w:tc>
        <w:tc>
          <w:tcPr>
            <w:tcW w:w="3767" w:type="dxa"/>
            <w:vAlign w:val="center"/>
          </w:tcPr>
          <w:p w14:paraId="19CBEA76" w14:textId="77777777" w:rsidR="006A3DBC" w:rsidRPr="000E6D86" w:rsidRDefault="006A3DBC" w:rsidP="005F4A92">
            <w:pPr>
              <w:tabs>
                <w:tab w:val="left" w:pos="0"/>
              </w:tabs>
              <w:spacing w:after="60"/>
              <w:jc w:val="both"/>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0E6D86">
              <w:rPr>
                <w:rFonts w:cs="Arial"/>
                <w:bCs/>
                <w:sz w:val="18"/>
                <w:szCs w:val="18"/>
              </w:rPr>
              <w:t xml:space="preserve">Seguimiento, evaluación de resultados y evaluación de impacto de las actividades del Proyecto, incluyendo encuestas periódicas </w:t>
            </w:r>
            <w:r w:rsidRPr="000E6D86">
              <w:rPr>
                <w:rFonts w:cs="Arial"/>
                <w:bCs/>
                <w:sz w:val="18"/>
                <w:szCs w:val="18"/>
              </w:rPr>
              <w:lastRenderedPageBreak/>
              <w:t>de satisfacción de los beneficiarios. Incluye gestión de conocimiento.</w:t>
            </w:r>
          </w:p>
        </w:tc>
        <w:tc>
          <w:tcPr>
            <w:tcW w:w="3402" w:type="dxa"/>
            <w:vAlign w:val="center"/>
          </w:tcPr>
          <w:p w14:paraId="3EEE60F9" w14:textId="77777777" w:rsidR="006A3DBC" w:rsidRPr="000E6D86" w:rsidRDefault="006A3DBC" w:rsidP="00111875">
            <w:pPr>
              <w:pStyle w:val="Prrafodelista"/>
              <w:numPr>
                <w:ilvl w:val="0"/>
                <w:numId w:val="103"/>
              </w:numPr>
              <w:jc w:val="both"/>
              <w:cnfStyle w:val="000000000000" w:firstRow="0" w:lastRow="0" w:firstColumn="0" w:lastColumn="0" w:oddVBand="0" w:evenVBand="0" w:oddHBand="0" w:evenHBand="0" w:firstRowFirstColumn="0" w:firstRowLastColumn="0" w:lastRowFirstColumn="0" w:lastRowLastColumn="0"/>
              <w:rPr>
                <w:rFonts w:cs="Arial"/>
                <w:sz w:val="18"/>
                <w:szCs w:val="18"/>
                <w:lang w:val="es-ES"/>
              </w:rPr>
            </w:pPr>
            <w:r w:rsidRPr="000E6D86">
              <w:rPr>
                <w:rFonts w:cs="Arial"/>
                <w:sz w:val="18"/>
                <w:szCs w:val="18"/>
              </w:rPr>
              <w:lastRenderedPageBreak/>
              <w:t xml:space="preserve">El seguimiento y la evaluación de resultados e impactos de las actividades del proyecto, incluyendo las encuestas </w:t>
            </w:r>
            <w:r w:rsidRPr="000E6D86">
              <w:rPr>
                <w:rFonts w:cs="Arial"/>
                <w:sz w:val="18"/>
                <w:szCs w:val="18"/>
              </w:rPr>
              <w:lastRenderedPageBreak/>
              <w:t>periódicas de satisfacción de los beneficios, no incluyen temas de gestión de riesgos, el cambio climático, el medio ambiente y salud.</w:t>
            </w:r>
          </w:p>
        </w:tc>
        <w:tc>
          <w:tcPr>
            <w:tcW w:w="4536" w:type="dxa"/>
            <w:vAlign w:val="center"/>
          </w:tcPr>
          <w:p w14:paraId="5A0AFB76" w14:textId="77777777" w:rsidR="006A3DBC" w:rsidRPr="000E6D86" w:rsidRDefault="006A3DBC" w:rsidP="00111875">
            <w:pPr>
              <w:numPr>
                <w:ilvl w:val="0"/>
                <w:numId w:val="17"/>
              </w:numPr>
              <w:contextualSpacing/>
              <w:jc w:val="both"/>
              <w:cnfStyle w:val="000000000000" w:firstRow="0" w:lastRow="0" w:firstColumn="0" w:lastColumn="0" w:oddVBand="0" w:evenVBand="0" w:oddHBand="0" w:evenHBand="0" w:firstRowFirstColumn="0" w:firstRowLastColumn="0" w:lastRowFirstColumn="0" w:lastRowLastColumn="0"/>
              <w:rPr>
                <w:rFonts w:cs="Arial"/>
                <w:iCs/>
                <w:sz w:val="18"/>
                <w:szCs w:val="18"/>
                <w:lang w:val="es-ES"/>
              </w:rPr>
            </w:pPr>
            <w:r w:rsidRPr="000E6D86">
              <w:rPr>
                <w:rFonts w:cs="Arial"/>
                <w:sz w:val="18"/>
                <w:szCs w:val="18"/>
              </w:rPr>
              <w:lastRenderedPageBreak/>
              <w:t>Los instrumentos de monitoreo, incluyendo encuestas, incluyen los temas de gestión de riesgos, cambio climático, medio ambiente y salud.</w:t>
            </w:r>
            <w:r w:rsidRPr="000E6D86">
              <w:rPr>
                <w:rFonts w:cs="Arial"/>
                <w:iCs/>
                <w:sz w:val="18"/>
                <w:szCs w:val="18"/>
                <w:lang w:val="es-ES"/>
              </w:rPr>
              <w:t xml:space="preserve"> </w:t>
            </w:r>
          </w:p>
        </w:tc>
      </w:tr>
      <w:tr w:rsidR="000E6D86" w:rsidRPr="000E6D86" w14:paraId="6F86923B" w14:textId="77777777" w:rsidTr="37B44A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vMerge/>
            <w:vAlign w:val="center"/>
          </w:tcPr>
          <w:p w14:paraId="0F57D833" w14:textId="77777777" w:rsidR="006A3DBC" w:rsidRPr="000E6D86" w:rsidRDefault="006A3DBC" w:rsidP="005F4A92">
            <w:pPr>
              <w:spacing w:after="60"/>
              <w:rPr>
                <w:rFonts w:cs="Arial"/>
                <w:b w:val="0"/>
                <w:sz w:val="18"/>
                <w:szCs w:val="18"/>
                <w:lang w:val="es-PY"/>
              </w:rPr>
            </w:pPr>
          </w:p>
        </w:tc>
        <w:tc>
          <w:tcPr>
            <w:tcW w:w="3767" w:type="dxa"/>
            <w:vAlign w:val="center"/>
          </w:tcPr>
          <w:p w14:paraId="380DC703" w14:textId="77777777" w:rsidR="006A3DBC" w:rsidRPr="000E6D86" w:rsidRDefault="006A3DBC" w:rsidP="005F4A92">
            <w:pPr>
              <w:tabs>
                <w:tab w:val="left" w:pos="0"/>
              </w:tabs>
              <w:spacing w:after="60"/>
              <w:jc w:val="both"/>
              <w:cnfStyle w:val="000000100000" w:firstRow="0" w:lastRow="0" w:firstColumn="0" w:lastColumn="0" w:oddVBand="0" w:evenVBand="0" w:oddHBand="1" w:evenHBand="0" w:firstRowFirstColumn="0" w:firstRowLastColumn="0" w:lastRowFirstColumn="0" w:lastRowLastColumn="0"/>
              <w:rPr>
                <w:rFonts w:cs="Arial"/>
                <w:bCs/>
                <w:sz w:val="18"/>
                <w:szCs w:val="18"/>
              </w:rPr>
            </w:pPr>
            <w:r w:rsidRPr="000E6D86">
              <w:rPr>
                <w:rFonts w:cs="Arial"/>
                <w:bCs/>
                <w:sz w:val="18"/>
                <w:szCs w:val="18"/>
              </w:rPr>
              <w:t>Administración fiduciaria, controles internos y auditorías del Proyecto.</w:t>
            </w:r>
          </w:p>
        </w:tc>
        <w:tc>
          <w:tcPr>
            <w:tcW w:w="3402" w:type="dxa"/>
            <w:vAlign w:val="center"/>
          </w:tcPr>
          <w:p w14:paraId="0FFAF7C8" w14:textId="22B37296" w:rsidR="006A3DBC" w:rsidRPr="000E6D86" w:rsidRDefault="006A3DBC" w:rsidP="00111875">
            <w:pPr>
              <w:pStyle w:val="Prrafodelista"/>
              <w:numPr>
                <w:ilvl w:val="0"/>
                <w:numId w:val="103"/>
              </w:numPr>
              <w:jc w:val="both"/>
              <w:cnfStyle w:val="000000100000" w:firstRow="0" w:lastRow="0" w:firstColumn="0" w:lastColumn="0" w:oddVBand="0" w:evenVBand="0" w:oddHBand="1" w:evenHBand="0" w:firstRowFirstColumn="0" w:firstRowLastColumn="0" w:lastRowFirstColumn="0" w:lastRowLastColumn="0"/>
              <w:rPr>
                <w:rFonts w:cs="Arial"/>
                <w:iCs/>
                <w:sz w:val="18"/>
                <w:szCs w:val="18"/>
                <w:lang w:val="es-ES"/>
              </w:rPr>
            </w:pPr>
            <w:r w:rsidRPr="000E6D86">
              <w:rPr>
                <w:rFonts w:cs="Arial"/>
                <w:sz w:val="18"/>
                <w:szCs w:val="18"/>
              </w:rPr>
              <w:t xml:space="preserve">Que no se incluya el análisis de cumplimiento ambiental. en los controles internos y auditorías del Proyecto. </w:t>
            </w:r>
            <w:r w:rsidRPr="000E6D86">
              <w:rPr>
                <w:rFonts w:cs="Arial"/>
                <w:iCs/>
                <w:sz w:val="18"/>
                <w:szCs w:val="18"/>
                <w:lang w:val="es-ES"/>
              </w:rPr>
              <w:t xml:space="preserve">   </w:t>
            </w:r>
          </w:p>
        </w:tc>
        <w:tc>
          <w:tcPr>
            <w:tcW w:w="4536" w:type="dxa"/>
            <w:vAlign w:val="center"/>
          </w:tcPr>
          <w:p w14:paraId="2A007B4A" w14:textId="77777777" w:rsidR="006A3DBC" w:rsidRPr="000E6D86" w:rsidRDefault="006A3DBC" w:rsidP="00111875">
            <w:pPr>
              <w:numPr>
                <w:ilvl w:val="0"/>
                <w:numId w:val="17"/>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0E6D86">
              <w:rPr>
                <w:rFonts w:cs="Arial"/>
                <w:sz w:val="18"/>
                <w:szCs w:val="18"/>
              </w:rPr>
              <w:t xml:space="preserve">Que se incluya el análisis de cumplimiento ambiental en los controles del proyecto internos y auditorías del Proyecto. </w:t>
            </w:r>
          </w:p>
        </w:tc>
      </w:tr>
      <w:tr w:rsidR="000E6D86" w:rsidRPr="000E6D86" w14:paraId="21B94486" w14:textId="77777777" w:rsidTr="37B44ACB">
        <w:trPr>
          <w:trHeight w:val="498"/>
        </w:trPr>
        <w:tc>
          <w:tcPr>
            <w:cnfStyle w:val="001000000000" w:firstRow="0" w:lastRow="0" w:firstColumn="1" w:lastColumn="0" w:oddVBand="0" w:evenVBand="0" w:oddHBand="0" w:evenHBand="0" w:firstRowFirstColumn="0" w:firstRowLastColumn="0" w:lastRowFirstColumn="0" w:lastRowLastColumn="0"/>
            <w:tcW w:w="1620" w:type="dxa"/>
            <w:vMerge/>
            <w:vAlign w:val="center"/>
          </w:tcPr>
          <w:p w14:paraId="18A4E529" w14:textId="77777777" w:rsidR="006A3DBC" w:rsidRPr="000E6D86" w:rsidRDefault="006A3DBC" w:rsidP="005F4A92">
            <w:pPr>
              <w:spacing w:after="60"/>
              <w:rPr>
                <w:rFonts w:cs="Arial"/>
                <w:b w:val="0"/>
                <w:sz w:val="18"/>
                <w:szCs w:val="18"/>
                <w:lang w:val="es-PY"/>
              </w:rPr>
            </w:pPr>
          </w:p>
        </w:tc>
        <w:tc>
          <w:tcPr>
            <w:tcW w:w="3767" w:type="dxa"/>
            <w:vAlign w:val="center"/>
          </w:tcPr>
          <w:p w14:paraId="08F815F6" w14:textId="77777777" w:rsidR="006A3DBC" w:rsidRPr="000E6D86" w:rsidRDefault="006A3DBC" w:rsidP="005F4A92">
            <w:pPr>
              <w:tabs>
                <w:tab w:val="left" w:pos="0"/>
              </w:tabs>
              <w:spacing w:after="60"/>
              <w:jc w:val="both"/>
              <w:cnfStyle w:val="000000000000" w:firstRow="0" w:lastRow="0" w:firstColumn="0" w:lastColumn="0" w:oddVBand="0" w:evenVBand="0" w:oddHBand="0" w:evenHBand="0" w:firstRowFirstColumn="0" w:firstRowLastColumn="0" w:lastRowFirstColumn="0" w:lastRowLastColumn="0"/>
              <w:rPr>
                <w:rFonts w:cs="Arial"/>
                <w:bCs/>
                <w:sz w:val="18"/>
                <w:szCs w:val="18"/>
              </w:rPr>
            </w:pPr>
            <w:r w:rsidRPr="000E6D86">
              <w:rPr>
                <w:rFonts w:cs="Arial"/>
                <w:bCs/>
                <w:sz w:val="18"/>
                <w:szCs w:val="18"/>
              </w:rPr>
              <w:t>Gestión de riesgos/instrumentos ambientales y sociales del Proyecto.</w:t>
            </w:r>
          </w:p>
        </w:tc>
        <w:tc>
          <w:tcPr>
            <w:tcW w:w="3402" w:type="dxa"/>
            <w:vAlign w:val="center"/>
          </w:tcPr>
          <w:p w14:paraId="306F3D75" w14:textId="77777777" w:rsidR="006A3DBC" w:rsidRPr="000E6D86" w:rsidRDefault="006A3DBC" w:rsidP="00111875">
            <w:pPr>
              <w:pStyle w:val="Prrafodelista"/>
              <w:numPr>
                <w:ilvl w:val="0"/>
                <w:numId w:val="103"/>
              </w:numPr>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 xml:space="preserve">PGAS que no son parte del PdN.   </w:t>
            </w:r>
          </w:p>
        </w:tc>
        <w:tc>
          <w:tcPr>
            <w:tcW w:w="4536" w:type="dxa"/>
            <w:vAlign w:val="center"/>
          </w:tcPr>
          <w:p w14:paraId="36958919" w14:textId="77777777" w:rsidR="006A3DBC" w:rsidRPr="000E6D86" w:rsidRDefault="006A3DBC" w:rsidP="00111875">
            <w:pPr>
              <w:numPr>
                <w:ilvl w:val="0"/>
                <w:numId w:val="17"/>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PdNs incluyen un PGAS.</w:t>
            </w:r>
          </w:p>
        </w:tc>
      </w:tr>
      <w:tr w:rsidR="000E6D86" w:rsidRPr="000E6D86" w14:paraId="19EE9F35" w14:textId="77777777" w:rsidTr="37B44ACB">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620" w:type="dxa"/>
            <w:vMerge/>
            <w:vAlign w:val="center"/>
          </w:tcPr>
          <w:p w14:paraId="5B86843F" w14:textId="77777777" w:rsidR="006A3DBC" w:rsidRPr="000E6D86" w:rsidRDefault="006A3DBC" w:rsidP="005F4A92">
            <w:pPr>
              <w:spacing w:after="60"/>
              <w:rPr>
                <w:rFonts w:cs="Arial"/>
                <w:b w:val="0"/>
                <w:sz w:val="18"/>
                <w:szCs w:val="18"/>
                <w:lang w:val="es-PY"/>
              </w:rPr>
            </w:pPr>
          </w:p>
        </w:tc>
        <w:tc>
          <w:tcPr>
            <w:tcW w:w="3767" w:type="dxa"/>
            <w:vAlign w:val="center"/>
          </w:tcPr>
          <w:p w14:paraId="528C4E3C" w14:textId="77777777" w:rsidR="006A3DBC" w:rsidRPr="000E6D86" w:rsidRDefault="006A3DBC" w:rsidP="005F4A92">
            <w:pPr>
              <w:tabs>
                <w:tab w:val="left" w:pos="179"/>
              </w:tabs>
              <w:spacing w:after="60"/>
              <w:cnfStyle w:val="000000100000" w:firstRow="0" w:lastRow="0" w:firstColumn="0" w:lastColumn="0" w:oddVBand="0" w:evenVBand="0" w:oddHBand="1" w:evenHBand="0" w:firstRowFirstColumn="0" w:firstRowLastColumn="0" w:lastRowFirstColumn="0" w:lastRowLastColumn="0"/>
              <w:rPr>
                <w:rFonts w:cs="Arial"/>
                <w:bCs/>
                <w:sz w:val="18"/>
                <w:szCs w:val="18"/>
                <w:lang w:val="es-PY"/>
              </w:rPr>
            </w:pPr>
            <w:r w:rsidRPr="000E6D86">
              <w:rPr>
                <w:rFonts w:cs="Arial"/>
                <w:bCs/>
                <w:sz w:val="18"/>
                <w:szCs w:val="18"/>
                <w:lang w:val="es-PY"/>
              </w:rPr>
              <w:t>Gestión de los mecanismos de participación de las partes interesadas y de quejas y reclamos.</w:t>
            </w:r>
          </w:p>
        </w:tc>
        <w:tc>
          <w:tcPr>
            <w:tcW w:w="3402" w:type="dxa"/>
            <w:vAlign w:val="center"/>
          </w:tcPr>
          <w:p w14:paraId="6BA23C78" w14:textId="77777777" w:rsidR="006A3DBC" w:rsidRPr="000E6D86" w:rsidRDefault="006A3DBC" w:rsidP="00111875">
            <w:pPr>
              <w:pStyle w:val="Prrafodelista"/>
              <w:numPr>
                <w:ilvl w:val="0"/>
                <w:numId w:val="103"/>
              </w:numPr>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0E6D86">
              <w:rPr>
                <w:rFonts w:cs="Arial"/>
                <w:sz w:val="18"/>
                <w:szCs w:val="18"/>
              </w:rPr>
              <w:t>No exista un PPPI/mecanismo de quejas y reclamos.</w:t>
            </w:r>
          </w:p>
        </w:tc>
        <w:tc>
          <w:tcPr>
            <w:tcW w:w="4536" w:type="dxa"/>
            <w:vAlign w:val="center"/>
          </w:tcPr>
          <w:p w14:paraId="49F6BE48" w14:textId="5596B74C" w:rsidR="006A3DBC" w:rsidRPr="000E6D86" w:rsidRDefault="006A3DBC" w:rsidP="00111875">
            <w:pPr>
              <w:numPr>
                <w:ilvl w:val="0"/>
                <w:numId w:val="17"/>
              </w:numPr>
              <w:contextualSpacing/>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sidRPr="000E6D86">
              <w:rPr>
                <w:rFonts w:cs="Arial"/>
                <w:sz w:val="18"/>
                <w:szCs w:val="18"/>
              </w:rPr>
              <w:t>Se pide a la OPR que t</w:t>
            </w:r>
            <w:r w:rsidR="008047B3" w:rsidRPr="000E6D86">
              <w:rPr>
                <w:rFonts w:cs="Arial"/>
                <w:sz w:val="18"/>
                <w:szCs w:val="18"/>
              </w:rPr>
              <w:t>e</w:t>
            </w:r>
            <w:r w:rsidRPr="000E6D86">
              <w:rPr>
                <w:rFonts w:cs="Arial"/>
                <w:sz w:val="18"/>
                <w:szCs w:val="18"/>
              </w:rPr>
              <w:t>nga su mecanismo de quejas y reclamos y el Proyecto su mecanismo propio</w:t>
            </w:r>
          </w:p>
        </w:tc>
      </w:tr>
      <w:tr w:rsidR="000E6D86" w:rsidRPr="000E6D86" w14:paraId="01ECBB0B" w14:textId="77777777" w:rsidTr="37B44ACB">
        <w:trPr>
          <w:trHeight w:val="498"/>
        </w:trPr>
        <w:tc>
          <w:tcPr>
            <w:cnfStyle w:val="001000000000" w:firstRow="0" w:lastRow="0" w:firstColumn="1" w:lastColumn="0" w:oddVBand="0" w:evenVBand="0" w:oddHBand="0" w:evenHBand="0" w:firstRowFirstColumn="0" w:firstRowLastColumn="0" w:lastRowFirstColumn="0" w:lastRowLastColumn="0"/>
            <w:tcW w:w="1620" w:type="dxa"/>
            <w:vAlign w:val="center"/>
          </w:tcPr>
          <w:p w14:paraId="725E7FEE" w14:textId="77777777" w:rsidR="006A3DBC" w:rsidRPr="000E6D86" w:rsidRDefault="006A3DBC" w:rsidP="005F4A92">
            <w:pPr>
              <w:spacing w:after="60"/>
              <w:rPr>
                <w:rFonts w:cs="Arial"/>
                <w:b w:val="0"/>
                <w:sz w:val="18"/>
                <w:szCs w:val="18"/>
                <w:lang w:val="es-PY"/>
              </w:rPr>
            </w:pPr>
          </w:p>
        </w:tc>
        <w:tc>
          <w:tcPr>
            <w:tcW w:w="3767" w:type="dxa"/>
            <w:vAlign w:val="center"/>
          </w:tcPr>
          <w:p w14:paraId="2E5EB8D6" w14:textId="77777777" w:rsidR="006A3DBC" w:rsidRPr="000E6D86" w:rsidRDefault="006A3DBC" w:rsidP="005F4A92">
            <w:pPr>
              <w:jc w:val="both"/>
              <w:cnfStyle w:val="000000000000" w:firstRow="0" w:lastRow="0" w:firstColumn="0" w:lastColumn="0" w:oddVBand="0" w:evenVBand="0" w:oddHBand="0" w:evenHBand="0" w:firstRowFirstColumn="0" w:firstRowLastColumn="0" w:lastRowFirstColumn="0" w:lastRowLastColumn="0"/>
              <w:rPr>
                <w:rFonts w:cs="Arial"/>
                <w:bCs/>
                <w:sz w:val="18"/>
                <w:szCs w:val="18"/>
                <w:lang w:val="es-PY"/>
              </w:rPr>
            </w:pPr>
            <w:r w:rsidRPr="000E6D86">
              <w:rPr>
                <w:rFonts w:cs="Arial"/>
                <w:bCs/>
                <w:sz w:val="18"/>
                <w:szCs w:val="18"/>
                <w:lang w:val="es-PY"/>
              </w:rPr>
              <w:t>Apoyo a la gestión del Proyecto.</w:t>
            </w:r>
            <w:r w:rsidRPr="000E6D86" w:rsidDel="007F4A9B">
              <w:rPr>
                <w:rFonts w:cs="Arial"/>
                <w:bCs/>
                <w:sz w:val="18"/>
                <w:szCs w:val="18"/>
                <w:lang w:val="es-PY"/>
              </w:rPr>
              <w:t xml:space="preserve"> </w:t>
            </w:r>
          </w:p>
          <w:p w14:paraId="02E5A876" w14:textId="77777777" w:rsidR="006A3DBC" w:rsidRPr="000E6D86" w:rsidRDefault="006A3DBC" w:rsidP="005F4A92">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 xml:space="preserve">(a) coordinación y gestión del Proyecto; </w:t>
            </w:r>
          </w:p>
          <w:p w14:paraId="3F7C6B9E" w14:textId="77777777" w:rsidR="006A3DBC" w:rsidRPr="000E6D86" w:rsidRDefault="006A3DBC" w:rsidP="005F4A92">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 xml:space="preserve">(b) monitoreo, evaluación de resultados y evaluación de impacto de las actividades del Proyecto; </w:t>
            </w:r>
          </w:p>
          <w:p w14:paraId="23396172" w14:textId="77777777" w:rsidR="006A3DBC" w:rsidRPr="000E6D86" w:rsidRDefault="006A3DBC" w:rsidP="005F4A92">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 xml:space="preserve">(c) administración fiduciaria del Proyecto, controles internos y auditorías; </w:t>
            </w:r>
          </w:p>
          <w:p w14:paraId="6B5C231C" w14:textId="77777777" w:rsidR="006A3DBC" w:rsidRPr="000E6D86" w:rsidRDefault="006A3DBC" w:rsidP="005F4A92">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 xml:space="preserve">(d) gestión de riesgos ambientales y sociales del Proyecto; </w:t>
            </w:r>
          </w:p>
          <w:p w14:paraId="48BBDB10" w14:textId="77777777" w:rsidR="006A3DBC" w:rsidRPr="000E6D86" w:rsidRDefault="006A3DBC" w:rsidP="005F4A92">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 xml:space="preserve">(e) un mecanismo de participación ciudadana; y </w:t>
            </w:r>
          </w:p>
          <w:p w14:paraId="69CFD23F" w14:textId="77777777" w:rsidR="006A3DBC" w:rsidRPr="000E6D86" w:rsidRDefault="006A3DBC" w:rsidP="005F4A92">
            <w:pPr>
              <w:tabs>
                <w:tab w:val="left" w:pos="179"/>
              </w:tabs>
              <w:spacing w:after="60"/>
              <w:cnfStyle w:val="000000000000" w:firstRow="0" w:lastRow="0" w:firstColumn="0" w:lastColumn="0" w:oddVBand="0" w:evenVBand="0" w:oddHBand="0" w:evenHBand="0" w:firstRowFirstColumn="0" w:firstRowLastColumn="0" w:lastRowFirstColumn="0" w:lastRowLastColumn="0"/>
              <w:rPr>
                <w:rFonts w:cs="Arial"/>
                <w:bCs/>
                <w:sz w:val="18"/>
                <w:szCs w:val="18"/>
                <w:lang w:val="es-PY"/>
              </w:rPr>
            </w:pPr>
            <w:r w:rsidRPr="000E6D86">
              <w:rPr>
                <w:rFonts w:cs="Arial"/>
                <w:sz w:val="18"/>
                <w:szCs w:val="18"/>
              </w:rPr>
              <w:t>(f) estudios relacionados con subproyectos.</w:t>
            </w:r>
          </w:p>
        </w:tc>
        <w:tc>
          <w:tcPr>
            <w:tcW w:w="3402" w:type="dxa"/>
            <w:vAlign w:val="center"/>
          </w:tcPr>
          <w:p w14:paraId="5E2F751E" w14:textId="224302AE" w:rsidR="006A3DBC" w:rsidRPr="000E6D86" w:rsidRDefault="006A3DBC" w:rsidP="00111875">
            <w:pPr>
              <w:pStyle w:val="Prrafodelista"/>
              <w:numPr>
                <w:ilvl w:val="0"/>
                <w:numId w:val="103"/>
              </w:numPr>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Que la contratación del personal social y ambiental no sea suficiente para cubrir la demanda nacional que generé dificultades en el seguimiento de la implementación del MGAS y PGAS a nivel de OPRs.</w:t>
            </w:r>
          </w:p>
          <w:p w14:paraId="5DACEDF7" w14:textId="77777777" w:rsidR="006A3DBC" w:rsidRPr="000E6D86" w:rsidRDefault="006A3DBC" w:rsidP="00111875">
            <w:pPr>
              <w:pStyle w:val="Prrafodelista"/>
              <w:numPr>
                <w:ilvl w:val="0"/>
                <w:numId w:val="103"/>
              </w:numPr>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Que no se asignen recursos financieros y logísticos para el seguimiento de la implementación de las medidas establecidas en el MGAS.</w:t>
            </w:r>
          </w:p>
        </w:tc>
        <w:tc>
          <w:tcPr>
            <w:tcW w:w="4536" w:type="dxa"/>
            <w:vAlign w:val="center"/>
          </w:tcPr>
          <w:p w14:paraId="4E32166A" w14:textId="77777777" w:rsidR="006A3DBC" w:rsidRPr="000E6D86" w:rsidRDefault="006A3DBC" w:rsidP="00111875">
            <w:pPr>
              <w:numPr>
                <w:ilvl w:val="0"/>
                <w:numId w:val="17"/>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En dicho componente se asignarán los recursos humanos y financieros para el fortalecimiento de la gestión ambiental y social del Proyecto para lo cual se tiene previsto la contratación y fortalecimiento del equipo con mayor personal a partir del Proyecto COMRURAL III.</w:t>
            </w:r>
          </w:p>
          <w:p w14:paraId="7292B9BF" w14:textId="77777777" w:rsidR="006A3DBC" w:rsidRPr="000E6D86" w:rsidRDefault="006A3DBC" w:rsidP="00111875">
            <w:pPr>
              <w:numPr>
                <w:ilvl w:val="0"/>
                <w:numId w:val="17"/>
              </w:numPr>
              <w:contextualSpacing/>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0E6D86">
              <w:rPr>
                <w:rFonts w:cs="Arial"/>
                <w:sz w:val="18"/>
                <w:szCs w:val="18"/>
              </w:rPr>
              <w:t>MGAS incluye presupuesto y asignación de recursos para consolidar el equipo con 6 responsables de la gestión socio ambiental (3 sociales y 3 ambientales) distribuidos en las Unidades de Coordinación Regional.</w:t>
            </w:r>
          </w:p>
        </w:tc>
      </w:tr>
      <w:tr w:rsidR="000E6D86" w:rsidRPr="000E6D86" w14:paraId="251A8A97" w14:textId="77777777" w:rsidTr="37B44ACB">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620" w:type="dxa"/>
            <w:vAlign w:val="center"/>
          </w:tcPr>
          <w:p w14:paraId="71D042C6" w14:textId="77777777" w:rsidR="006A3DBC" w:rsidRPr="000E6D86" w:rsidRDefault="006A3DBC" w:rsidP="005F4A92">
            <w:pPr>
              <w:spacing w:after="60"/>
              <w:rPr>
                <w:rFonts w:cs="Arial"/>
                <w:b w:val="0"/>
                <w:sz w:val="18"/>
                <w:szCs w:val="18"/>
                <w:lang w:val="es-PY"/>
              </w:rPr>
            </w:pPr>
            <w:r w:rsidRPr="000E6D86">
              <w:rPr>
                <w:rFonts w:cs="Arial"/>
                <w:b w:val="0"/>
                <w:sz w:val="18"/>
                <w:szCs w:val="18"/>
                <w:lang w:val="es-PY"/>
              </w:rPr>
              <w:t>Componente 4:</w:t>
            </w:r>
          </w:p>
          <w:p w14:paraId="5D9EA575" w14:textId="77777777" w:rsidR="006A3DBC" w:rsidRPr="000E6D86" w:rsidRDefault="006A3DBC" w:rsidP="00B348AC">
            <w:pPr>
              <w:spacing w:after="60"/>
              <w:jc w:val="both"/>
              <w:rPr>
                <w:rFonts w:cs="Arial"/>
                <w:sz w:val="18"/>
                <w:szCs w:val="18"/>
                <w:lang w:val="es-PY"/>
              </w:rPr>
            </w:pPr>
            <w:r w:rsidRPr="000E6D86">
              <w:rPr>
                <w:rFonts w:cs="Arial"/>
                <w:sz w:val="18"/>
                <w:szCs w:val="18"/>
              </w:rPr>
              <w:t>Respuesta a Emergencias de Contingencia (CERC)</w:t>
            </w:r>
          </w:p>
        </w:tc>
        <w:tc>
          <w:tcPr>
            <w:tcW w:w="3767" w:type="dxa"/>
            <w:vAlign w:val="center"/>
          </w:tcPr>
          <w:p w14:paraId="2A3E7044" w14:textId="433DD5D9" w:rsidR="006A3DBC" w:rsidRPr="000E6D86" w:rsidRDefault="006A3DBC" w:rsidP="005F4A92">
            <w:pPr>
              <w:tabs>
                <w:tab w:val="left" w:pos="179"/>
              </w:tabs>
              <w:spacing w:after="60"/>
              <w:cnfStyle w:val="000000100000" w:firstRow="0" w:lastRow="0" w:firstColumn="0" w:lastColumn="0" w:oddVBand="0" w:evenVBand="0" w:oddHBand="1" w:evenHBand="0" w:firstRowFirstColumn="0" w:firstRowLastColumn="0" w:lastRowFirstColumn="0" w:lastRowLastColumn="0"/>
              <w:rPr>
                <w:rFonts w:cs="Arial"/>
                <w:bCs/>
                <w:sz w:val="18"/>
                <w:szCs w:val="18"/>
                <w:lang w:val="es-PY"/>
              </w:rPr>
            </w:pPr>
            <w:r w:rsidRPr="000E6D86">
              <w:rPr>
                <w:rFonts w:cs="Arial"/>
                <w:sz w:val="18"/>
                <w:szCs w:val="18"/>
              </w:rPr>
              <w:t>Este Componente proporcionará una respuesta inmediata a las emergencias elegibles.</w:t>
            </w:r>
          </w:p>
        </w:tc>
        <w:tc>
          <w:tcPr>
            <w:tcW w:w="3402" w:type="dxa"/>
            <w:vAlign w:val="center"/>
          </w:tcPr>
          <w:p w14:paraId="3865B6B9" w14:textId="472783FB" w:rsidR="006A3DBC" w:rsidRPr="000E6D86" w:rsidRDefault="006A3DBC" w:rsidP="00111875">
            <w:pPr>
              <w:pStyle w:val="Prrafodelista"/>
              <w:numPr>
                <w:ilvl w:val="0"/>
                <w:numId w:val="103"/>
              </w:numPr>
              <w:jc w:val="both"/>
              <w:cnfStyle w:val="000000100000" w:firstRow="0" w:lastRow="0" w:firstColumn="0" w:lastColumn="0" w:oddVBand="0" w:evenVBand="0" w:oddHBand="1" w:evenHBand="0" w:firstRowFirstColumn="0" w:firstRowLastColumn="0" w:lastRowFirstColumn="0" w:lastRowLastColumn="0"/>
              <w:rPr>
                <w:rFonts w:cs="Arial"/>
                <w:iCs/>
                <w:sz w:val="18"/>
                <w:szCs w:val="18"/>
                <w:lang w:val="es-ES"/>
              </w:rPr>
            </w:pPr>
            <w:r w:rsidRPr="000E6D86">
              <w:rPr>
                <w:rFonts w:cs="Arial"/>
                <w:sz w:val="18"/>
                <w:szCs w:val="18"/>
              </w:rPr>
              <w:t>No determinados inic</w:t>
            </w:r>
            <w:r w:rsidR="001D2A53" w:rsidRPr="000E6D86">
              <w:rPr>
                <w:rFonts w:cs="Arial"/>
                <w:sz w:val="18"/>
                <w:szCs w:val="18"/>
              </w:rPr>
              <w:t>i</w:t>
            </w:r>
            <w:r w:rsidRPr="000E6D86">
              <w:rPr>
                <w:rFonts w:cs="Arial"/>
                <w:sz w:val="18"/>
                <w:szCs w:val="18"/>
              </w:rPr>
              <w:t>almente, se definen una vez declarada la emergencia y realizada la evaluación de daños y análisis de necesidades de la población impactada por el fenómeno natural, que puede implicar pérdidas de vidas humanas, materiales, riesgos de epidemias,</w:t>
            </w:r>
            <w:r w:rsidR="00B53789" w:rsidRPr="000E6D86">
              <w:rPr>
                <w:rFonts w:cs="Arial"/>
                <w:sz w:val="18"/>
                <w:szCs w:val="18"/>
              </w:rPr>
              <w:t xml:space="preserve"> </w:t>
            </w:r>
            <w:r w:rsidR="18E4F1BB" w:rsidRPr="000E6D86">
              <w:rPr>
                <w:rFonts w:cs="Arial"/>
                <w:sz w:val="18"/>
                <w:szCs w:val="18"/>
              </w:rPr>
              <w:t>d</w:t>
            </w:r>
            <w:r w:rsidR="00B53789" w:rsidRPr="000E6D86">
              <w:rPr>
                <w:rFonts w:cs="Arial"/>
                <w:sz w:val="18"/>
                <w:szCs w:val="18"/>
              </w:rPr>
              <w:t>e</w:t>
            </w:r>
            <w:r w:rsidRPr="000E6D86">
              <w:rPr>
                <w:rFonts w:cs="Arial"/>
                <w:sz w:val="18"/>
                <w:szCs w:val="18"/>
              </w:rPr>
              <w:t>pérdidas de medios de vida, entre otros.</w:t>
            </w:r>
          </w:p>
        </w:tc>
        <w:tc>
          <w:tcPr>
            <w:tcW w:w="4536" w:type="dxa"/>
            <w:vAlign w:val="center"/>
          </w:tcPr>
          <w:p w14:paraId="311F9EC4" w14:textId="77777777" w:rsidR="006A3DBC" w:rsidRPr="000E6D86" w:rsidRDefault="006A3DBC" w:rsidP="00111875">
            <w:pPr>
              <w:numPr>
                <w:ilvl w:val="0"/>
                <w:numId w:val="17"/>
              </w:numPr>
              <w:contextualSpacing/>
              <w:jc w:val="both"/>
              <w:cnfStyle w:val="000000100000" w:firstRow="0" w:lastRow="0" w:firstColumn="0" w:lastColumn="0" w:oddVBand="0" w:evenVBand="0" w:oddHBand="1" w:evenHBand="0" w:firstRowFirstColumn="0" w:firstRowLastColumn="0" w:lastRowFirstColumn="0" w:lastRowLastColumn="0"/>
              <w:rPr>
                <w:rFonts w:cs="Arial"/>
                <w:iCs/>
                <w:sz w:val="18"/>
                <w:szCs w:val="18"/>
                <w:lang w:val="es-ES"/>
              </w:rPr>
            </w:pPr>
            <w:r w:rsidRPr="000E6D86">
              <w:rPr>
                <w:rFonts w:cs="Arial"/>
                <w:sz w:val="18"/>
                <w:szCs w:val="18"/>
              </w:rPr>
              <w:t>Todas las actividades del CERC que impliquen riesgos potenciales sociales requerirán Evaluaciones de Impacto Ambiental y Social y Planes de Manejo y Mitigación proporcionales a los riesgos de sus actividades.</w:t>
            </w:r>
          </w:p>
        </w:tc>
      </w:tr>
    </w:tbl>
    <w:p w14:paraId="2BB3834B" w14:textId="77777777" w:rsidR="00111875" w:rsidRPr="00FA4B2D" w:rsidRDefault="00111875" w:rsidP="006A3DBC">
      <w:pPr>
        <w:spacing w:after="0" w:line="240" w:lineRule="auto"/>
        <w:jc w:val="both"/>
        <w:rPr>
          <w:rFonts w:cs="Arial"/>
        </w:rPr>
      </w:pPr>
    </w:p>
    <w:p w14:paraId="71A26775" w14:textId="64DDCAA2" w:rsidR="006A3DBC" w:rsidRPr="00FA4B2D" w:rsidRDefault="006A3DBC" w:rsidP="006A3DBC">
      <w:pPr>
        <w:spacing w:after="0" w:line="240" w:lineRule="auto"/>
        <w:jc w:val="both"/>
        <w:rPr>
          <w:rFonts w:cs="Arial"/>
        </w:rPr>
      </w:pPr>
      <w:r w:rsidRPr="00FA4B2D">
        <w:rPr>
          <w:rFonts w:cs="Arial"/>
        </w:rPr>
        <w:lastRenderedPageBreak/>
        <w:t xml:space="preserve">Particularmente, en el caso de los riesgos sociales y laborales complementarios para los Departamentos de Yoro, Valle y Olancho, han sido identificados a nivel de subcomponentes en el mes de diciembre de 2023, producto de la consulta a 205 personas de los tres Departamentos, y los resultados se presentan a continuación: </w:t>
      </w:r>
    </w:p>
    <w:p w14:paraId="7E67E7F0" w14:textId="77777777" w:rsidR="006A3DBC" w:rsidRPr="00FA4B2D" w:rsidRDefault="006A3DBC" w:rsidP="006A3DBC">
      <w:pPr>
        <w:spacing w:after="0" w:line="240" w:lineRule="auto"/>
        <w:rPr>
          <w:rFonts w:cs="Arial"/>
        </w:rPr>
      </w:pPr>
    </w:p>
    <w:p w14:paraId="4CD8C8BE" w14:textId="1E400D1C" w:rsidR="000E6D86" w:rsidRDefault="000E6D86" w:rsidP="000E6D86">
      <w:pPr>
        <w:pStyle w:val="Descripcin"/>
        <w:keepNext/>
      </w:pPr>
      <w:bookmarkStart w:id="904" w:name="_Toc202455483"/>
      <w:r>
        <w:t xml:space="preserve">Tabla </w:t>
      </w:r>
      <w:r>
        <w:fldChar w:fldCharType="begin"/>
      </w:r>
      <w:r>
        <w:instrText xml:space="preserve"> SEQ Tabla \* ARABIC </w:instrText>
      </w:r>
      <w:r>
        <w:fldChar w:fldCharType="separate"/>
      </w:r>
      <w:r>
        <w:rPr>
          <w:noProof/>
        </w:rPr>
        <w:t>57</w:t>
      </w:r>
      <w:r>
        <w:fldChar w:fldCharType="end"/>
      </w:r>
      <w:r>
        <w:t xml:space="preserve">: </w:t>
      </w:r>
      <w:r w:rsidRPr="008C3469">
        <w:t>Identificación de riesgos sociolaborales de los Departamentos de Yoro, Valle y Olancho</w:t>
      </w:r>
      <w:bookmarkEnd w:id="904"/>
    </w:p>
    <w:tbl>
      <w:tblPr>
        <w:tblW w:w="13717" w:type="dxa"/>
        <w:tblCellMar>
          <w:left w:w="70" w:type="dxa"/>
          <w:right w:w="70" w:type="dxa"/>
        </w:tblCellMar>
        <w:tblLook w:val="04A0" w:firstRow="1" w:lastRow="0" w:firstColumn="1" w:lastColumn="0" w:noHBand="0" w:noVBand="1"/>
      </w:tblPr>
      <w:tblGrid>
        <w:gridCol w:w="3121"/>
        <w:gridCol w:w="849"/>
        <w:gridCol w:w="3678"/>
        <w:gridCol w:w="1351"/>
        <w:gridCol w:w="4718"/>
      </w:tblGrid>
      <w:tr w:rsidR="000E6D86" w:rsidRPr="000E6D86" w14:paraId="358BEA07" w14:textId="77777777" w:rsidTr="000E6D86">
        <w:trPr>
          <w:trHeight w:val="285"/>
          <w:tblHeader/>
        </w:trPr>
        <w:tc>
          <w:tcPr>
            <w:tcW w:w="13717" w:type="dxa"/>
            <w:gridSpan w:val="5"/>
            <w:tcBorders>
              <w:top w:val="single" w:sz="4" w:space="0" w:color="auto"/>
              <w:left w:val="single" w:sz="4" w:space="0" w:color="auto"/>
              <w:bottom w:val="single" w:sz="4" w:space="0" w:color="auto"/>
              <w:right w:val="single" w:sz="4" w:space="0" w:color="auto"/>
            </w:tcBorders>
            <w:shd w:val="clear" w:color="auto" w:fill="5CC5DA"/>
            <w:noWrap/>
            <w:vAlign w:val="center"/>
            <w:hideMark/>
          </w:tcPr>
          <w:p w14:paraId="104155F9" w14:textId="77777777" w:rsidR="006A3DBC" w:rsidRPr="000E6D86" w:rsidRDefault="006A3DBC" w:rsidP="005F4A92">
            <w:pPr>
              <w:spacing w:after="0" w:line="240" w:lineRule="auto"/>
              <w:jc w:val="center"/>
              <w:rPr>
                <w:rFonts w:eastAsia="Times New Roman" w:cs="Arial"/>
                <w:b/>
                <w:bCs/>
                <w:sz w:val="18"/>
                <w:szCs w:val="18"/>
                <w:lang w:val="es-SV" w:eastAsia="es-SV"/>
              </w:rPr>
            </w:pPr>
            <w:r w:rsidRPr="000E6D86">
              <w:rPr>
                <w:rFonts w:eastAsia="Times New Roman" w:cs="Arial"/>
                <w:b/>
                <w:bCs/>
                <w:sz w:val="18"/>
                <w:szCs w:val="18"/>
                <w:lang w:val="es-SV" w:eastAsia="es-SV"/>
              </w:rPr>
              <w:t>ETAPA DE PLANIFICACIÓN (Formulación y aprobación)</w:t>
            </w:r>
          </w:p>
        </w:tc>
      </w:tr>
      <w:tr w:rsidR="000E6D86" w:rsidRPr="000E6D86" w14:paraId="262F7DF6" w14:textId="77777777" w:rsidTr="000E6D86">
        <w:trPr>
          <w:trHeight w:val="285"/>
          <w:tblHeader/>
        </w:trPr>
        <w:tc>
          <w:tcPr>
            <w:tcW w:w="3121" w:type="dxa"/>
            <w:tcBorders>
              <w:top w:val="nil"/>
              <w:left w:val="single" w:sz="4" w:space="0" w:color="auto"/>
              <w:bottom w:val="single" w:sz="4" w:space="0" w:color="auto"/>
              <w:right w:val="single" w:sz="4" w:space="0" w:color="auto"/>
            </w:tcBorders>
            <w:shd w:val="clear" w:color="auto" w:fill="5CC5DA"/>
            <w:noWrap/>
            <w:vAlign w:val="center"/>
            <w:hideMark/>
          </w:tcPr>
          <w:p w14:paraId="539DEDB3" w14:textId="77777777" w:rsidR="006A3DBC" w:rsidRPr="000E6D86" w:rsidRDefault="006A3DBC" w:rsidP="005F4A92">
            <w:pPr>
              <w:spacing w:after="0" w:line="240" w:lineRule="auto"/>
              <w:jc w:val="center"/>
              <w:rPr>
                <w:rFonts w:eastAsia="Times New Roman" w:cs="Arial"/>
                <w:b/>
                <w:bCs/>
                <w:sz w:val="18"/>
                <w:szCs w:val="18"/>
                <w:lang w:val="es-SV" w:eastAsia="es-SV"/>
              </w:rPr>
            </w:pPr>
            <w:r w:rsidRPr="000E6D86">
              <w:rPr>
                <w:rFonts w:eastAsia="Times New Roman" w:cs="Arial"/>
                <w:b/>
                <w:bCs/>
                <w:sz w:val="18"/>
                <w:szCs w:val="18"/>
                <w:lang w:val="es-SV" w:eastAsia="es-SV"/>
              </w:rPr>
              <w:t>Actividades</w:t>
            </w:r>
          </w:p>
        </w:tc>
        <w:tc>
          <w:tcPr>
            <w:tcW w:w="849" w:type="dxa"/>
            <w:tcBorders>
              <w:top w:val="nil"/>
              <w:left w:val="nil"/>
              <w:bottom w:val="single" w:sz="4" w:space="0" w:color="auto"/>
              <w:right w:val="single" w:sz="4" w:space="0" w:color="auto"/>
            </w:tcBorders>
            <w:shd w:val="clear" w:color="auto" w:fill="5CC5DA"/>
            <w:noWrap/>
            <w:vAlign w:val="center"/>
            <w:hideMark/>
          </w:tcPr>
          <w:p w14:paraId="6CB4E017" w14:textId="77777777" w:rsidR="006A3DBC" w:rsidRPr="000E6D86" w:rsidRDefault="006A3DBC" w:rsidP="005F4A92">
            <w:pPr>
              <w:spacing w:after="0" w:line="240" w:lineRule="auto"/>
              <w:jc w:val="center"/>
              <w:rPr>
                <w:rFonts w:eastAsia="Times New Roman" w:cs="Arial"/>
                <w:b/>
                <w:bCs/>
                <w:sz w:val="18"/>
                <w:szCs w:val="18"/>
                <w:lang w:val="es-SV" w:eastAsia="es-SV"/>
              </w:rPr>
            </w:pPr>
            <w:r w:rsidRPr="000E6D86">
              <w:rPr>
                <w:rFonts w:eastAsia="Times New Roman" w:cs="Arial"/>
                <w:b/>
                <w:bCs/>
                <w:sz w:val="18"/>
                <w:szCs w:val="18"/>
                <w:lang w:val="es-SV" w:eastAsia="es-SV"/>
              </w:rPr>
              <w:t>Tipo de riesgo</w:t>
            </w:r>
          </w:p>
        </w:tc>
        <w:tc>
          <w:tcPr>
            <w:tcW w:w="3678" w:type="dxa"/>
            <w:tcBorders>
              <w:top w:val="nil"/>
              <w:left w:val="nil"/>
              <w:bottom w:val="single" w:sz="4" w:space="0" w:color="auto"/>
              <w:right w:val="single" w:sz="4" w:space="0" w:color="auto"/>
            </w:tcBorders>
            <w:shd w:val="clear" w:color="auto" w:fill="5CC5DA"/>
            <w:noWrap/>
            <w:vAlign w:val="center"/>
            <w:hideMark/>
          </w:tcPr>
          <w:p w14:paraId="7205BA0E" w14:textId="77777777" w:rsidR="006A3DBC" w:rsidRPr="000E6D86" w:rsidRDefault="006A3DBC" w:rsidP="005F4A92">
            <w:pPr>
              <w:spacing w:after="0" w:line="240" w:lineRule="auto"/>
              <w:jc w:val="center"/>
              <w:rPr>
                <w:rFonts w:eastAsia="Times New Roman" w:cs="Arial"/>
                <w:b/>
                <w:bCs/>
                <w:sz w:val="18"/>
                <w:szCs w:val="18"/>
                <w:lang w:val="es-SV" w:eastAsia="es-SV"/>
              </w:rPr>
            </w:pPr>
            <w:r w:rsidRPr="000E6D86">
              <w:rPr>
                <w:rFonts w:eastAsia="Times New Roman" w:cs="Arial"/>
                <w:b/>
                <w:bCs/>
                <w:sz w:val="18"/>
                <w:szCs w:val="18"/>
                <w:lang w:val="es-SV" w:eastAsia="es-SV"/>
              </w:rPr>
              <w:t xml:space="preserve">Descripción del riesgo </w:t>
            </w:r>
          </w:p>
        </w:tc>
        <w:tc>
          <w:tcPr>
            <w:tcW w:w="1351" w:type="dxa"/>
            <w:tcBorders>
              <w:top w:val="nil"/>
              <w:left w:val="nil"/>
              <w:bottom w:val="single" w:sz="4" w:space="0" w:color="auto"/>
              <w:right w:val="single" w:sz="4" w:space="0" w:color="auto"/>
            </w:tcBorders>
            <w:shd w:val="clear" w:color="auto" w:fill="5CC5DA"/>
            <w:noWrap/>
            <w:vAlign w:val="center"/>
            <w:hideMark/>
          </w:tcPr>
          <w:p w14:paraId="60BF93E9" w14:textId="77777777" w:rsidR="006A3DBC" w:rsidRPr="000E6D86" w:rsidRDefault="006A3DBC" w:rsidP="005F4A92">
            <w:pPr>
              <w:spacing w:after="0" w:line="240" w:lineRule="auto"/>
              <w:jc w:val="center"/>
              <w:rPr>
                <w:rFonts w:eastAsia="Times New Roman" w:cs="Arial"/>
                <w:b/>
                <w:bCs/>
                <w:sz w:val="18"/>
                <w:szCs w:val="18"/>
                <w:lang w:val="es-SV" w:eastAsia="es-SV"/>
              </w:rPr>
            </w:pPr>
            <w:r w:rsidRPr="000E6D86">
              <w:rPr>
                <w:rFonts w:eastAsia="Times New Roman" w:cs="Arial"/>
                <w:b/>
                <w:bCs/>
                <w:sz w:val="18"/>
                <w:szCs w:val="18"/>
                <w:lang w:val="es-SV" w:eastAsia="es-SV"/>
              </w:rPr>
              <w:t xml:space="preserve">Departamento </w:t>
            </w:r>
          </w:p>
        </w:tc>
        <w:tc>
          <w:tcPr>
            <w:tcW w:w="4718" w:type="dxa"/>
            <w:tcBorders>
              <w:top w:val="nil"/>
              <w:left w:val="nil"/>
              <w:bottom w:val="single" w:sz="4" w:space="0" w:color="auto"/>
              <w:right w:val="single" w:sz="4" w:space="0" w:color="auto"/>
            </w:tcBorders>
            <w:shd w:val="clear" w:color="auto" w:fill="5CC5DA"/>
            <w:noWrap/>
            <w:vAlign w:val="center"/>
            <w:hideMark/>
          </w:tcPr>
          <w:p w14:paraId="309A2FFB" w14:textId="77777777" w:rsidR="006A3DBC" w:rsidRPr="000E6D86" w:rsidRDefault="006A3DBC" w:rsidP="005F4A92">
            <w:pPr>
              <w:spacing w:after="0" w:line="240" w:lineRule="auto"/>
              <w:jc w:val="center"/>
              <w:rPr>
                <w:rFonts w:eastAsia="Times New Roman" w:cs="Arial"/>
                <w:b/>
                <w:bCs/>
                <w:sz w:val="18"/>
                <w:szCs w:val="18"/>
                <w:lang w:val="es-SV" w:eastAsia="es-SV"/>
              </w:rPr>
            </w:pPr>
            <w:r w:rsidRPr="000E6D86">
              <w:rPr>
                <w:rFonts w:eastAsia="Times New Roman" w:cs="Arial"/>
                <w:b/>
                <w:bCs/>
                <w:sz w:val="18"/>
                <w:szCs w:val="18"/>
                <w:lang w:val="es-SV" w:eastAsia="es-SV"/>
              </w:rPr>
              <w:t>Medidas de mitigación</w:t>
            </w:r>
          </w:p>
        </w:tc>
      </w:tr>
      <w:tr w:rsidR="000E6D86" w:rsidRPr="000E6D86" w14:paraId="720F1CBF" w14:textId="77777777" w:rsidTr="000E6D86">
        <w:trPr>
          <w:trHeight w:val="1201"/>
        </w:trPr>
        <w:tc>
          <w:tcPr>
            <w:tcW w:w="3121" w:type="dxa"/>
            <w:tcBorders>
              <w:top w:val="nil"/>
              <w:left w:val="single" w:sz="4" w:space="0" w:color="auto"/>
              <w:bottom w:val="single" w:sz="4" w:space="0" w:color="auto"/>
              <w:right w:val="single" w:sz="4" w:space="0" w:color="auto"/>
            </w:tcBorders>
            <w:shd w:val="clear" w:color="auto" w:fill="FFFFFF" w:themeFill="background1"/>
            <w:hideMark/>
          </w:tcPr>
          <w:p w14:paraId="07000EAD"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Componente 1 Mejoramiento de la competitividad y la resiliencia en las cadenas de valor priorizadas (PdNs).</w:t>
            </w:r>
          </w:p>
        </w:tc>
        <w:tc>
          <w:tcPr>
            <w:tcW w:w="849" w:type="dxa"/>
            <w:tcBorders>
              <w:top w:val="nil"/>
              <w:left w:val="nil"/>
              <w:bottom w:val="single" w:sz="4" w:space="0" w:color="auto"/>
              <w:right w:val="single" w:sz="4" w:space="0" w:color="auto"/>
            </w:tcBorders>
            <w:shd w:val="clear" w:color="auto" w:fill="FFFFFF" w:themeFill="background1"/>
            <w:noWrap/>
            <w:hideMark/>
          </w:tcPr>
          <w:p w14:paraId="283FC131" w14:textId="521D9CD5" w:rsidR="006A3DBC" w:rsidRPr="000E6D86" w:rsidRDefault="006A3DBC" w:rsidP="00E12984">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Social</w:t>
            </w:r>
          </w:p>
        </w:tc>
        <w:tc>
          <w:tcPr>
            <w:tcW w:w="3678" w:type="dxa"/>
            <w:tcBorders>
              <w:top w:val="nil"/>
              <w:left w:val="nil"/>
              <w:bottom w:val="single" w:sz="4" w:space="0" w:color="auto"/>
              <w:right w:val="single" w:sz="4" w:space="0" w:color="auto"/>
            </w:tcBorders>
            <w:shd w:val="clear" w:color="auto" w:fill="FFFFFF" w:themeFill="background1"/>
            <w:hideMark/>
          </w:tcPr>
          <w:p w14:paraId="30E32D13" w14:textId="77777777" w:rsidR="006A3DBC" w:rsidRPr="000E6D86" w:rsidRDefault="006A3DBC" w:rsidP="00111875">
            <w:pPr>
              <w:pStyle w:val="Prrafodelista"/>
              <w:numPr>
                <w:ilvl w:val="0"/>
                <w:numId w:val="103"/>
              </w:numPr>
              <w:spacing w:after="0" w:line="240" w:lineRule="auto"/>
              <w:jc w:val="both"/>
              <w:rPr>
                <w:rFonts w:eastAsia="Times New Roman" w:cs="Arial"/>
                <w:sz w:val="18"/>
                <w:szCs w:val="18"/>
                <w:lang w:val="es-SV" w:eastAsia="es-SV"/>
              </w:rPr>
            </w:pPr>
            <w:r w:rsidRPr="000E6D86">
              <w:rPr>
                <w:rFonts w:cs="Arial"/>
                <w:sz w:val="18"/>
                <w:szCs w:val="18"/>
              </w:rPr>
              <w:t>Riesgo de intensificación de conflictos sociales, particularmente debido a temas de tenencia de tierras asociados al sector agro productivo.</w:t>
            </w:r>
          </w:p>
        </w:tc>
        <w:tc>
          <w:tcPr>
            <w:tcW w:w="1351" w:type="dxa"/>
            <w:tcBorders>
              <w:top w:val="nil"/>
              <w:left w:val="nil"/>
              <w:bottom w:val="single" w:sz="4" w:space="0" w:color="auto"/>
              <w:right w:val="single" w:sz="4" w:space="0" w:color="auto"/>
            </w:tcBorders>
            <w:shd w:val="clear" w:color="auto" w:fill="FFFFFF" w:themeFill="background1"/>
            <w:noWrap/>
            <w:hideMark/>
          </w:tcPr>
          <w:p w14:paraId="1644F531" w14:textId="00947C9C" w:rsidR="006A3DBC" w:rsidRPr="000E6D86" w:rsidRDefault="006A3DBC" w:rsidP="00E12984">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Todos</w:t>
            </w:r>
          </w:p>
        </w:tc>
        <w:tc>
          <w:tcPr>
            <w:tcW w:w="4718" w:type="dxa"/>
            <w:tcBorders>
              <w:top w:val="nil"/>
              <w:left w:val="nil"/>
              <w:bottom w:val="single" w:sz="4" w:space="0" w:color="auto"/>
              <w:right w:val="single" w:sz="4" w:space="0" w:color="auto"/>
            </w:tcBorders>
            <w:shd w:val="clear" w:color="auto" w:fill="FFFFFF" w:themeFill="background1"/>
            <w:hideMark/>
          </w:tcPr>
          <w:p w14:paraId="6E7F109F" w14:textId="62294B14" w:rsidR="006A3DBC" w:rsidRPr="000E6D86" w:rsidRDefault="3A7FC69B" w:rsidP="00111875">
            <w:pPr>
              <w:numPr>
                <w:ilvl w:val="0"/>
                <w:numId w:val="17"/>
              </w:numPr>
              <w:spacing w:after="0" w:line="240" w:lineRule="auto"/>
              <w:contextualSpacing/>
              <w:jc w:val="both"/>
              <w:rPr>
                <w:rFonts w:cs="Arial"/>
                <w:sz w:val="18"/>
                <w:szCs w:val="18"/>
              </w:rPr>
            </w:pPr>
            <w:r w:rsidRPr="000E6D86">
              <w:rPr>
                <w:rFonts w:cs="Arial"/>
                <w:sz w:val="18"/>
                <w:szCs w:val="18"/>
              </w:rPr>
              <w:t xml:space="preserve">El Proyecto buscará mecanismos de participación y acercamiento con </w:t>
            </w:r>
            <w:r w:rsidR="226DBB65" w:rsidRPr="000E6D86">
              <w:rPr>
                <w:rFonts w:cs="Arial"/>
                <w:sz w:val="18"/>
                <w:szCs w:val="18"/>
              </w:rPr>
              <w:t>líderes</w:t>
            </w:r>
            <w:r w:rsidRPr="000E6D86">
              <w:rPr>
                <w:rFonts w:cs="Arial"/>
                <w:sz w:val="18"/>
                <w:szCs w:val="18"/>
              </w:rPr>
              <w:t>(</w:t>
            </w:r>
            <w:r w:rsidR="2762D334" w:rsidRPr="000E6D86">
              <w:rPr>
                <w:rFonts w:cs="Arial"/>
                <w:sz w:val="18"/>
                <w:szCs w:val="18"/>
              </w:rPr>
              <w:t>lideres</w:t>
            </w:r>
            <w:r w:rsidRPr="000E6D86">
              <w:rPr>
                <w:rFonts w:cs="Arial"/>
                <w:sz w:val="18"/>
                <w:szCs w:val="18"/>
              </w:rPr>
              <w:t xml:space="preserve">as) comunitarias para dar a conocer los criterios bajos los cuales se financiarán actividades del componente, de manera que se conozcan a priori la lista de requisitos y las actividades de la lista de exclusiones. </w:t>
            </w:r>
          </w:p>
          <w:p w14:paraId="1BAD89F7" w14:textId="528DBF09" w:rsidR="006A3DBC" w:rsidRPr="000E6D86" w:rsidRDefault="006A3DBC" w:rsidP="00111875">
            <w:pPr>
              <w:numPr>
                <w:ilvl w:val="0"/>
                <w:numId w:val="17"/>
              </w:numPr>
              <w:spacing w:after="0" w:line="240" w:lineRule="auto"/>
              <w:contextualSpacing/>
              <w:jc w:val="both"/>
              <w:rPr>
                <w:rFonts w:cs="Arial"/>
                <w:sz w:val="18"/>
                <w:szCs w:val="18"/>
              </w:rPr>
            </w:pPr>
            <w:r w:rsidRPr="000E6D86">
              <w:rPr>
                <w:rFonts w:cs="Arial"/>
                <w:sz w:val="18"/>
                <w:szCs w:val="18"/>
              </w:rPr>
              <w:t>En la evaluación de los terrenos susceptibles de inversiones edificaciones/ con</w:t>
            </w:r>
            <w:r w:rsidR="008047B3" w:rsidRPr="000E6D86">
              <w:rPr>
                <w:rFonts w:cs="Arial"/>
                <w:sz w:val="18"/>
                <w:szCs w:val="18"/>
              </w:rPr>
              <w:t>s</w:t>
            </w:r>
            <w:r w:rsidRPr="000E6D86">
              <w:rPr>
                <w:rFonts w:cs="Arial"/>
                <w:sz w:val="18"/>
                <w:szCs w:val="18"/>
              </w:rPr>
              <w:t xml:space="preserve">trucciones, se llevará un proceso para verificar la elegibilidad del terreno, desde el </w:t>
            </w:r>
            <w:r w:rsidR="4AA5C01A" w:rsidRPr="000E6D86">
              <w:rPr>
                <w:rFonts w:cs="Arial"/>
                <w:sz w:val="18"/>
                <w:szCs w:val="18"/>
              </w:rPr>
              <w:t>punto</w:t>
            </w:r>
            <w:r w:rsidRPr="000E6D86">
              <w:rPr>
                <w:rFonts w:cs="Arial"/>
                <w:sz w:val="18"/>
                <w:szCs w:val="18"/>
              </w:rPr>
              <w:t xml:space="preserve"> de vista de no conflicto legal asociado a tenencia de la tierra, disputa entre partes, y confirmar que esos terrenos no tengan ningún tipo de reclamo o conflicto asociado. Debe presentarse documento que acredite la propiedad a nombre del Grupo de Productores/ OPR de parte del Instituto de la Propiedad en el caso de terrenos privados o nacionales.</w:t>
            </w:r>
          </w:p>
          <w:p w14:paraId="6B929947" w14:textId="1F3928A0" w:rsidR="006A3DBC" w:rsidRPr="000E6D86" w:rsidRDefault="006A3DBC" w:rsidP="00337DD6">
            <w:pPr>
              <w:numPr>
                <w:ilvl w:val="0"/>
                <w:numId w:val="17"/>
              </w:numPr>
              <w:spacing w:after="0" w:line="240" w:lineRule="auto"/>
              <w:contextualSpacing/>
              <w:jc w:val="both"/>
              <w:rPr>
                <w:rFonts w:eastAsia="Times New Roman" w:cs="Arial"/>
                <w:sz w:val="18"/>
                <w:szCs w:val="18"/>
                <w:lang w:val="es-SV" w:eastAsia="es-SV"/>
              </w:rPr>
            </w:pPr>
            <w:r w:rsidRPr="000E6D86">
              <w:rPr>
                <w:rFonts w:cs="Arial"/>
                <w:sz w:val="18"/>
                <w:szCs w:val="18"/>
              </w:rPr>
              <w:t>En caso de propiedad colecti</w:t>
            </w:r>
            <w:r w:rsidR="6D98C7FB" w:rsidRPr="000E6D86">
              <w:rPr>
                <w:rFonts w:cs="Arial"/>
                <w:sz w:val="18"/>
                <w:szCs w:val="18"/>
              </w:rPr>
              <w:t>v</w:t>
            </w:r>
            <w:r w:rsidRPr="000E6D86">
              <w:rPr>
                <w:rFonts w:cs="Arial"/>
                <w:sz w:val="18"/>
                <w:szCs w:val="18"/>
              </w:rPr>
              <w:t xml:space="preserve">a/ comunitaria/ títulos ancestrales, el otorgamiento del uso de los terrenos para fines de / </w:t>
            </w:r>
            <w:r w:rsidR="000E6D86" w:rsidRPr="000E6D86">
              <w:rPr>
                <w:rFonts w:cs="Arial"/>
                <w:sz w:val="18"/>
                <w:szCs w:val="18"/>
              </w:rPr>
              <w:t>inversiones se</w:t>
            </w:r>
            <w:r w:rsidRPr="000E6D86">
              <w:rPr>
                <w:rFonts w:cs="Arial"/>
                <w:sz w:val="18"/>
                <w:szCs w:val="18"/>
              </w:rPr>
              <w:t xml:space="preserve"> hará mediante convenio de </w:t>
            </w:r>
            <w:r w:rsidR="00B53789" w:rsidRPr="000E6D86">
              <w:rPr>
                <w:rFonts w:cs="Arial"/>
                <w:sz w:val="18"/>
                <w:szCs w:val="18"/>
              </w:rPr>
              <w:t>usufructo, entre</w:t>
            </w:r>
            <w:r w:rsidRPr="000E6D86">
              <w:rPr>
                <w:rFonts w:cs="Arial"/>
                <w:sz w:val="18"/>
                <w:szCs w:val="18"/>
              </w:rPr>
              <w:t xml:space="preserve"> </w:t>
            </w:r>
            <w:r w:rsidR="5DD7C50F" w:rsidRPr="000E6D86">
              <w:rPr>
                <w:rFonts w:cs="Arial"/>
                <w:sz w:val="18"/>
                <w:szCs w:val="18"/>
              </w:rPr>
              <w:t>el beneficiario</w:t>
            </w:r>
            <w:r w:rsidRPr="000E6D86">
              <w:rPr>
                <w:rFonts w:cs="Arial"/>
                <w:sz w:val="18"/>
                <w:szCs w:val="18"/>
              </w:rPr>
              <w:t xml:space="preserve"> y el Comité/ Consejo/ de custodio, administración u otra figura comunitaria que administre dicha propiedad colectiva/ comunitaria/ ancestral.</w:t>
            </w:r>
            <w:r w:rsidRPr="000E6D86">
              <w:rPr>
                <w:rFonts w:eastAsia="Times New Roman" w:cs="Arial"/>
                <w:sz w:val="18"/>
                <w:szCs w:val="18"/>
                <w:lang w:val="es-SV" w:eastAsia="es-SV"/>
              </w:rPr>
              <w:t xml:space="preserve">  </w:t>
            </w:r>
          </w:p>
        </w:tc>
      </w:tr>
      <w:tr w:rsidR="000E6D86" w:rsidRPr="000E6D86" w14:paraId="53F82C19" w14:textId="77777777" w:rsidTr="000E6D86">
        <w:trPr>
          <w:trHeight w:val="1906"/>
        </w:trPr>
        <w:tc>
          <w:tcPr>
            <w:tcW w:w="3121" w:type="dxa"/>
            <w:tcBorders>
              <w:top w:val="nil"/>
              <w:left w:val="single" w:sz="4" w:space="0" w:color="auto"/>
              <w:bottom w:val="single" w:sz="4" w:space="0" w:color="auto"/>
              <w:right w:val="single" w:sz="4" w:space="0" w:color="auto"/>
            </w:tcBorders>
            <w:shd w:val="clear" w:color="auto" w:fill="FFFFFF" w:themeFill="background1"/>
            <w:hideMark/>
          </w:tcPr>
          <w:p w14:paraId="48CEB137"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lastRenderedPageBreak/>
              <w:t>Componente 1 Mejoramiento de la competitividad y la resiliencia en las cadenas de valor priorizadas (PdNs).</w:t>
            </w:r>
          </w:p>
        </w:tc>
        <w:tc>
          <w:tcPr>
            <w:tcW w:w="849" w:type="dxa"/>
            <w:tcBorders>
              <w:top w:val="nil"/>
              <w:left w:val="nil"/>
              <w:bottom w:val="single" w:sz="4" w:space="0" w:color="auto"/>
              <w:right w:val="single" w:sz="4" w:space="0" w:color="auto"/>
            </w:tcBorders>
            <w:shd w:val="clear" w:color="auto" w:fill="FFFFFF" w:themeFill="background1"/>
            <w:noWrap/>
            <w:hideMark/>
          </w:tcPr>
          <w:p w14:paraId="3C715F20" w14:textId="3BF777F1" w:rsidR="006A3DBC" w:rsidRPr="000E6D86" w:rsidRDefault="006A3DBC" w:rsidP="00E12984">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Social</w:t>
            </w:r>
          </w:p>
        </w:tc>
        <w:tc>
          <w:tcPr>
            <w:tcW w:w="3678" w:type="dxa"/>
            <w:tcBorders>
              <w:top w:val="nil"/>
              <w:left w:val="nil"/>
              <w:bottom w:val="single" w:sz="4" w:space="0" w:color="auto"/>
              <w:right w:val="single" w:sz="4" w:space="0" w:color="auto"/>
            </w:tcBorders>
            <w:shd w:val="clear" w:color="auto" w:fill="FFFFFF" w:themeFill="background1"/>
            <w:hideMark/>
          </w:tcPr>
          <w:p w14:paraId="645B27CA"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Riesgos de desplazamientos físicos o económicos permanentes o temporales.</w:t>
            </w:r>
          </w:p>
        </w:tc>
        <w:tc>
          <w:tcPr>
            <w:tcW w:w="1351" w:type="dxa"/>
            <w:tcBorders>
              <w:top w:val="nil"/>
              <w:left w:val="nil"/>
              <w:bottom w:val="single" w:sz="4" w:space="0" w:color="auto"/>
              <w:right w:val="single" w:sz="4" w:space="0" w:color="auto"/>
            </w:tcBorders>
            <w:shd w:val="clear" w:color="auto" w:fill="FFFFFF" w:themeFill="background1"/>
            <w:noWrap/>
            <w:hideMark/>
          </w:tcPr>
          <w:p w14:paraId="18125012" w14:textId="3DEEB03C" w:rsidR="006A3DBC" w:rsidRPr="000E6D86" w:rsidRDefault="006A3DBC" w:rsidP="00E12984">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Todos</w:t>
            </w:r>
          </w:p>
        </w:tc>
        <w:tc>
          <w:tcPr>
            <w:tcW w:w="4718" w:type="dxa"/>
            <w:tcBorders>
              <w:top w:val="nil"/>
              <w:left w:val="nil"/>
              <w:bottom w:val="single" w:sz="4" w:space="0" w:color="auto"/>
              <w:right w:val="single" w:sz="4" w:space="0" w:color="auto"/>
            </w:tcBorders>
            <w:shd w:val="clear" w:color="auto" w:fill="FFFFFF" w:themeFill="background1"/>
            <w:hideMark/>
          </w:tcPr>
          <w:p w14:paraId="0986717D" w14:textId="11133635" w:rsidR="006A3DBC" w:rsidRPr="000E6D86" w:rsidRDefault="006A3DBC" w:rsidP="00111875">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 xml:space="preserve">El Proyecto hará énfasis en comunicar que las actividades a financiar con </w:t>
            </w:r>
            <w:r w:rsidR="00BD5886" w:rsidRPr="000E6D86">
              <w:rPr>
                <w:rFonts w:eastAsia="Times New Roman" w:cs="Arial"/>
                <w:sz w:val="18"/>
                <w:szCs w:val="18"/>
                <w:lang w:val="es-SV" w:eastAsia="es-SV"/>
              </w:rPr>
              <w:t>PdNs</w:t>
            </w:r>
            <w:r w:rsidRPr="000E6D86">
              <w:rPr>
                <w:rFonts w:eastAsia="Times New Roman" w:cs="Arial"/>
                <w:sz w:val="18"/>
                <w:szCs w:val="18"/>
                <w:lang w:val="es-SV" w:eastAsia="es-SV"/>
              </w:rPr>
              <w:t xml:space="preserve">, se realizarán en propiedad privada- registradas en el órgano competente (Instituto de la Propiedad) o registro comunitario (Comité de Custodio de Título) a favor de las </w:t>
            </w:r>
            <w:r w:rsidR="003326A0" w:rsidRPr="000E6D86">
              <w:rPr>
                <w:rFonts w:cs="Arial"/>
                <w:sz w:val="18"/>
                <w:szCs w:val="18"/>
              </w:rPr>
              <w:t>OPRs.</w:t>
            </w:r>
          </w:p>
          <w:p w14:paraId="1196744B" w14:textId="75926CE0" w:rsidR="00CC7E1C" w:rsidRPr="000E6D86" w:rsidRDefault="00CC7E1C" w:rsidP="00111875">
            <w:pPr>
              <w:numPr>
                <w:ilvl w:val="0"/>
                <w:numId w:val="17"/>
              </w:numPr>
              <w:spacing w:after="0" w:line="240" w:lineRule="auto"/>
              <w:contextualSpacing/>
              <w:jc w:val="both"/>
              <w:rPr>
                <w:rFonts w:eastAsia="Times New Roman" w:cs="Arial"/>
                <w:sz w:val="18"/>
                <w:szCs w:val="18"/>
                <w:lang w:val="es-SV" w:eastAsia="es-SV"/>
              </w:rPr>
            </w:pPr>
            <w:r w:rsidRPr="000E6D86">
              <w:rPr>
                <w:rFonts w:cs="Arial"/>
                <w:sz w:val="18"/>
                <w:szCs w:val="18"/>
              </w:rPr>
              <w:t xml:space="preserve">En el proceso de aprobación de un </w:t>
            </w:r>
            <w:r w:rsidR="007A1C92" w:rsidRPr="000E6D86">
              <w:rPr>
                <w:rFonts w:cs="Arial"/>
                <w:sz w:val="18"/>
                <w:szCs w:val="18"/>
              </w:rPr>
              <w:t>PdN</w:t>
            </w:r>
            <w:r w:rsidRPr="000E6D86">
              <w:rPr>
                <w:rFonts w:cs="Arial"/>
                <w:sz w:val="18"/>
                <w:szCs w:val="18"/>
              </w:rPr>
              <w:t xml:space="preserve"> existen tres momentos en donde se confirma la disponibilidad legal en dominio pleno del terreno y sus antecedentes que describen su naturaleza jurídica, primero en la etapa de perfil del plan de negocio equipo de la regional o la unidad de pre-inversión (UPI) levantan la ficha de diagnóstico</w:t>
            </w:r>
            <w:r w:rsidRPr="000E6D86">
              <w:rPr>
                <w:rFonts w:cs="Arial"/>
                <w:sz w:val="18"/>
                <w:szCs w:val="18"/>
                <w:lang w:val="es-419"/>
              </w:rPr>
              <w:t xml:space="preserve"> en donde se recopila información de la disponibilidad legal del terreno y su condición de registro en el órgano oficial del estado el IP. En este nivel el especialista legal que forma parte del </w:t>
            </w:r>
            <w:proofErr w:type="gramStart"/>
            <w:r w:rsidR="007A1C92" w:rsidRPr="000E6D86">
              <w:rPr>
                <w:rFonts w:cs="Arial"/>
                <w:sz w:val="18"/>
                <w:szCs w:val="18"/>
                <w:lang w:val="es-419"/>
              </w:rPr>
              <w:t>CE</w:t>
            </w:r>
            <w:r w:rsidRPr="000E6D86">
              <w:rPr>
                <w:rFonts w:cs="Arial"/>
                <w:sz w:val="18"/>
                <w:szCs w:val="18"/>
                <w:lang w:val="es-419"/>
              </w:rPr>
              <w:t>,</w:t>
            </w:r>
            <w:proofErr w:type="gramEnd"/>
            <w:r w:rsidRPr="000E6D86">
              <w:rPr>
                <w:rFonts w:cs="Arial"/>
                <w:sz w:val="18"/>
                <w:szCs w:val="18"/>
                <w:lang w:val="es-419"/>
              </w:rPr>
              <w:t xml:space="preserve"> revisa el documento y su legitimidad</w:t>
            </w:r>
            <w:r w:rsidR="00206355" w:rsidRPr="000E6D86">
              <w:rPr>
                <w:rFonts w:cs="Arial"/>
                <w:sz w:val="18"/>
                <w:szCs w:val="18"/>
                <w:lang w:val="es-419"/>
              </w:rPr>
              <w:t xml:space="preserve">, en caso de no disponer o presentar algún indicio irregular se confirma su otorgamiento ya que es un requisito de cumplimiento obligatorio para aprobación del perfil. Cuando el perfil es aprobado pasa a plan de negocio en donde el equipo socioambiental elabora la ficha de evaluación preliminar en campo y de igual forma de confirma la condición legal del terreno, en caso de presentar algún indicio de conflictividad o ilegitimidad se concluye a nivel de CE que el plan de negocio no es viable.  </w:t>
            </w:r>
            <w:r w:rsidRPr="000E6D86">
              <w:rPr>
                <w:rFonts w:cs="Arial"/>
                <w:sz w:val="18"/>
                <w:szCs w:val="18"/>
                <w:lang w:val="es-419"/>
              </w:rPr>
              <w:t xml:space="preserve"> </w:t>
            </w:r>
            <w:r w:rsidRPr="000E6D86">
              <w:rPr>
                <w:rFonts w:cs="Arial"/>
                <w:sz w:val="18"/>
                <w:szCs w:val="18"/>
              </w:rPr>
              <w:t xml:space="preserve"> </w:t>
            </w:r>
          </w:p>
        </w:tc>
      </w:tr>
      <w:tr w:rsidR="000E6D86" w:rsidRPr="000E6D86" w14:paraId="237B4F9B" w14:textId="77777777" w:rsidTr="000E6D86">
        <w:trPr>
          <w:trHeight w:val="1667"/>
        </w:trPr>
        <w:tc>
          <w:tcPr>
            <w:tcW w:w="3121" w:type="dxa"/>
            <w:tcBorders>
              <w:top w:val="nil"/>
              <w:left w:val="single" w:sz="4" w:space="0" w:color="auto"/>
              <w:bottom w:val="single" w:sz="4" w:space="0" w:color="auto"/>
              <w:right w:val="single" w:sz="4" w:space="0" w:color="auto"/>
            </w:tcBorders>
            <w:shd w:val="clear" w:color="auto" w:fill="FFFFFF" w:themeFill="background1"/>
            <w:hideMark/>
          </w:tcPr>
          <w:p w14:paraId="72C0A687"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Componente 1 Mejoramiento de la competitividad y la resiliencia en las cadenas de valor priorizadas (PdNs).</w:t>
            </w:r>
          </w:p>
        </w:tc>
        <w:tc>
          <w:tcPr>
            <w:tcW w:w="849" w:type="dxa"/>
            <w:tcBorders>
              <w:top w:val="nil"/>
              <w:left w:val="nil"/>
              <w:bottom w:val="single" w:sz="4" w:space="0" w:color="auto"/>
              <w:right w:val="single" w:sz="4" w:space="0" w:color="auto"/>
            </w:tcBorders>
            <w:shd w:val="clear" w:color="auto" w:fill="FFFFFF" w:themeFill="background1"/>
            <w:noWrap/>
            <w:hideMark/>
          </w:tcPr>
          <w:p w14:paraId="63C17503" w14:textId="73EE68AD" w:rsidR="006A3DBC" w:rsidRPr="000E6D86" w:rsidRDefault="006A3DBC" w:rsidP="00E12984">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Social</w:t>
            </w:r>
          </w:p>
        </w:tc>
        <w:tc>
          <w:tcPr>
            <w:tcW w:w="3678" w:type="dxa"/>
            <w:tcBorders>
              <w:top w:val="nil"/>
              <w:left w:val="nil"/>
              <w:bottom w:val="single" w:sz="4" w:space="0" w:color="auto"/>
              <w:right w:val="single" w:sz="4" w:space="0" w:color="auto"/>
            </w:tcBorders>
            <w:shd w:val="clear" w:color="auto" w:fill="FFFFFF" w:themeFill="background1"/>
            <w:hideMark/>
          </w:tcPr>
          <w:p w14:paraId="0FB2EA8E"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 xml:space="preserve">Riesgos de desplazamientos o la restricción al uso de la tierra que pueda generar desplazamientos </w:t>
            </w:r>
            <w:r w:rsidRPr="002B7276">
              <w:rPr>
                <w:rFonts w:eastAsia="Times New Roman" w:cs="Arial"/>
                <w:sz w:val="18"/>
                <w:szCs w:val="18"/>
                <w:lang w:val="es-SV" w:eastAsia="es-SV"/>
              </w:rPr>
              <w:t xml:space="preserve">físicos </w:t>
            </w:r>
            <w:r w:rsidRPr="000E6D86">
              <w:rPr>
                <w:rFonts w:eastAsia="Times New Roman" w:cs="Arial"/>
                <w:sz w:val="18"/>
                <w:szCs w:val="18"/>
                <w:lang w:val="es-SV" w:eastAsia="es-SV"/>
              </w:rPr>
              <w:t xml:space="preserve">y/o económicos, en el caso de comunidades de pueblos indígenas. </w:t>
            </w:r>
          </w:p>
        </w:tc>
        <w:tc>
          <w:tcPr>
            <w:tcW w:w="1351" w:type="dxa"/>
            <w:tcBorders>
              <w:top w:val="nil"/>
              <w:left w:val="nil"/>
              <w:bottom w:val="single" w:sz="4" w:space="0" w:color="auto"/>
              <w:right w:val="single" w:sz="4" w:space="0" w:color="auto"/>
            </w:tcBorders>
            <w:shd w:val="clear" w:color="auto" w:fill="FFFFFF" w:themeFill="background1"/>
            <w:noWrap/>
            <w:hideMark/>
          </w:tcPr>
          <w:p w14:paraId="5DDD03BB" w14:textId="353F805F" w:rsidR="006A3DBC" w:rsidRPr="000E6D86" w:rsidRDefault="006A3DBC" w:rsidP="00E12984">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Todos</w:t>
            </w:r>
          </w:p>
        </w:tc>
        <w:tc>
          <w:tcPr>
            <w:tcW w:w="4718" w:type="dxa"/>
            <w:tcBorders>
              <w:top w:val="nil"/>
              <w:left w:val="nil"/>
              <w:bottom w:val="single" w:sz="4" w:space="0" w:color="auto"/>
              <w:right w:val="single" w:sz="4" w:space="0" w:color="auto"/>
            </w:tcBorders>
            <w:shd w:val="clear" w:color="auto" w:fill="FFFFFF" w:themeFill="background1"/>
            <w:hideMark/>
          </w:tcPr>
          <w:p w14:paraId="02E4F4FA" w14:textId="77777777" w:rsidR="006A3DBC" w:rsidRPr="000E6D86" w:rsidRDefault="006A3DBC" w:rsidP="00111875">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Para el Proyecto es un lineamiento operativo (contenido en la ficha de evaluación inicial) que contiene la restricción, en relación con los desplazamientos, buscando todas las alternativas posibles para evitar este tipo de actividades.</w:t>
            </w:r>
          </w:p>
          <w:p w14:paraId="2496DEB5" w14:textId="0D67B24F" w:rsidR="006A3DBC" w:rsidRPr="000E6D86" w:rsidRDefault="006A3DBC" w:rsidP="00111875">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 xml:space="preserve">Es entendido que, al ser preventivo el abordaje del reasentamiento involuntario, solamente se requiere consentimiento en 3 circunstancias: impactos adversos sobre la tierra y recursos naturales; reubicación de pueblos indígenas de tierras y recursos naturales sujetos a propiedad tradicional; o impactos significativos en el patrimonio cultural. Los </w:t>
            </w:r>
            <w:r w:rsidRPr="000E6D86">
              <w:rPr>
                <w:rFonts w:eastAsia="Times New Roman" w:cs="Arial"/>
                <w:sz w:val="18"/>
                <w:szCs w:val="18"/>
                <w:lang w:val="es-SV" w:eastAsia="es-SV"/>
              </w:rPr>
              <w:lastRenderedPageBreak/>
              <w:t>proyectos con estos impactos están exc</w:t>
            </w:r>
            <w:r w:rsidR="00BD5886" w:rsidRPr="000E6D86">
              <w:rPr>
                <w:rFonts w:eastAsia="Times New Roman" w:cs="Arial"/>
                <w:sz w:val="18"/>
                <w:szCs w:val="18"/>
                <w:lang w:val="es-SV" w:eastAsia="es-SV"/>
              </w:rPr>
              <w:t>l</w:t>
            </w:r>
            <w:r w:rsidRPr="000E6D86">
              <w:rPr>
                <w:rFonts w:eastAsia="Times New Roman" w:cs="Arial"/>
                <w:sz w:val="18"/>
                <w:szCs w:val="18"/>
                <w:lang w:val="es-SV" w:eastAsia="es-SV"/>
              </w:rPr>
              <w:t>uidos conforme la lista de exclusión.</w:t>
            </w:r>
          </w:p>
          <w:p w14:paraId="4AEA8EF6" w14:textId="77777777" w:rsidR="006A3DBC" w:rsidRPr="000E6D86" w:rsidRDefault="006A3DBC" w:rsidP="005F4A92">
            <w:pPr>
              <w:spacing w:after="0" w:line="240" w:lineRule="auto"/>
              <w:jc w:val="both"/>
              <w:rPr>
                <w:rFonts w:eastAsia="Times New Roman" w:cs="Arial"/>
                <w:sz w:val="18"/>
                <w:szCs w:val="18"/>
                <w:lang w:val="es-SV" w:eastAsia="es-SV"/>
              </w:rPr>
            </w:pPr>
          </w:p>
        </w:tc>
      </w:tr>
      <w:tr w:rsidR="000E6D86" w:rsidRPr="000E6D86" w14:paraId="49567B4B" w14:textId="77777777" w:rsidTr="000E6D86">
        <w:trPr>
          <w:trHeight w:val="800"/>
        </w:trPr>
        <w:tc>
          <w:tcPr>
            <w:tcW w:w="3121" w:type="dxa"/>
            <w:tcBorders>
              <w:top w:val="nil"/>
              <w:left w:val="single" w:sz="4" w:space="0" w:color="auto"/>
              <w:bottom w:val="single" w:sz="4" w:space="0" w:color="auto"/>
              <w:right w:val="single" w:sz="4" w:space="0" w:color="auto"/>
            </w:tcBorders>
            <w:shd w:val="clear" w:color="auto" w:fill="FFFFFF" w:themeFill="background1"/>
            <w:hideMark/>
          </w:tcPr>
          <w:p w14:paraId="4CA9B7C9"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lastRenderedPageBreak/>
              <w:t>Componente 1 Mejoramiento de la competitividad y la resiliencia en las cadenas de valor priorizadas (PdNs).</w:t>
            </w:r>
          </w:p>
        </w:tc>
        <w:tc>
          <w:tcPr>
            <w:tcW w:w="849" w:type="dxa"/>
            <w:tcBorders>
              <w:top w:val="nil"/>
              <w:left w:val="nil"/>
              <w:bottom w:val="single" w:sz="4" w:space="0" w:color="auto"/>
              <w:right w:val="single" w:sz="4" w:space="0" w:color="auto"/>
            </w:tcBorders>
            <w:shd w:val="clear" w:color="auto" w:fill="FFFFFF" w:themeFill="background1"/>
            <w:noWrap/>
            <w:hideMark/>
          </w:tcPr>
          <w:p w14:paraId="25FC88FE" w14:textId="1C32B1FB" w:rsidR="006A3DBC" w:rsidRPr="000E6D86" w:rsidRDefault="006A3DBC" w:rsidP="00E12984">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Social</w:t>
            </w:r>
          </w:p>
        </w:tc>
        <w:tc>
          <w:tcPr>
            <w:tcW w:w="3678" w:type="dxa"/>
            <w:tcBorders>
              <w:top w:val="nil"/>
              <w:left w:val="nil"/>
              <w:bottom w:val="single" w:sz="4" w:space="0" w:color="auto"/>
              <w:right w:val="single" w:sz="4" w:space="0" w:color="auto"/>
            </w:tcBorders>
            <w:shd w:val="clear" w:color="auto" w:fill="FFFFFF" w:themeFill="background1"/>
            <w:hideMark/>
          </w:tcPr>
          <w:p w14:paraId="64202C1F"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Riesgo de exclusión por el bajo porcentaje de aprobación y ejecución de planes de negocio presentados por Organizaciones formadas por productores de pueblos indígenas, como resultado de un modelo de competitividad no compatible con su cultura y cosmovisión.</w:t>
            </w:r>
          </w:p>
        </w:tc>
        <w:tc>
          <w:tcPr>
            <w:tcW w:w="1351" w:type="dxa"/>
            <w:tcBorders>
              <w:top w:val="nil"/>
              <w:left w:val="nil"/>
              <w:bottom w:val="single" w:sz="4" w:space="0" w:color="auto"/>
              <w:right w:val="single" w:sz="4" w:space="0" w:color="auto"/>
            </w:tcBorders>
            <w:shd w:val="clear" w:color="auto" w:fill="FFFFFF" w:themeFill="background1"/>
            <w:noWrap/>
            <w:hideMark/>
          </w:tcPr>
          <w:p w14:paraId="414995C7" w14:textId="602C9959" w:rsidR="006A3DBC" w:rsidRPr="000E6D86" w:rsidRDefault="006A3DBC" w:rsidP="00E12984">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Todos</w:t>
            </w:r>
          </w:p>
        </w:tc>
        <w:tc>
          <w:tcPr>
            <w:tcW w:w="4718" w:type="dxa"/>
            <w:tcBorders>
              <w:top w:val="nil"/>
              <w:left w:val="nil"/>
              <w:bottom w:val="single" w:sz="4" w:space="0" w:color="auto"/>
              <w:right w:val="single" w:sz="4" w:space="0" w:color="auto"/>
            </w:tcBorders>
            <w:shd w:val="clear" w:color="auto" w:fill="FFFFFF" w:themeFill="background1"/>
            <w:vAlign w:val="center"/>
            <w:hideMark/>
          </w:tcPr>
          <w:p w14:paraId="36C9E732" w14:textId="77777777" w:rsidR="00111875" w:rsidRPr="000E6D86" w:rsidRDefault="006A3DBC" w:rsidP="00111875">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Se ha incluido en el diseño del Proyecto un proceso más intenso e intencionado de convocatoria a fin de promover una mayor participación a través de cuatro modalidades de atención (ventanas).</w:t>
            </w:r>
          </w:p>
          <w:p w14:paraId="0CB9A75E" w14:textId="1D64B2E0" w:rsidR="006A3DBC" w:rsidRPr="000E6D86" w:rsidRDefault="006A3DBC" w:rsidP="00111875">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En la fase de aprobación de perfiles de negocio por el Comité de Evaluación, se dan más puntos a aquellas propuestas que vienen de una OPR 100% de población indígena, 100% de mujeres, con equidad en la participación de jóvenes, y con equidad en la participación con personas con alguna discapacidad; es decir, COMRURAL favorece estos perfiles de negocios y busca activamente darles más oportunidad a grupos más vulnerables de la población.</w:t>
            </w:r>
          </w:p>
        </w:tc>
      </w:tr>
      <w:tr w:rsidR="000E6D86" w:rsidRPr="000E6D86" w14:paraId="147B1C90" w14:textId="77777777" w:rsidTr="000E6D86">
        <w:trPr>
          <w:trHeight w:val="516"/>
        </w:trPr>
        <w:tc>
          <w:tcPr>
            <w:tcW w:w="3121" w:type="dxa"/>
            <w:tcBorders>
              <w:top w:val="nil"/>
              <w:left w:val="single" w:sz="4" w:space="0" w:color="auto"/>
              <w:bottom w:val="single" w:sz="4" w:space="0" w:color="auto"/>
              <w:right w:val="single" w:sz="4" w:space="0" w:color="auto"/>
            </w:tcBorders>
            <w:shd w:val="clear" w:color="auto" w:fill="FFFFFF" w:themeFill="background1"/>
            <w:hideMark/>
          </w:tcPr>
          <w:p w14:paraId="15C4C44A"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Componente 1 Mejoramiento de la competitividad y la resiliencia en las cadenas de valor priorizadas (PdNs).</w:t>
            </w:r>
            <w:r w:rsidRPr="000E6D86">
              <w:rPr>
                <w:rFonts w:eastAsia="Times New Roman" w:cs="Arial"/>
                <w:sz w:val="18"/>
                <w:szCs w:val="18"/>
                <w:lang w:val="es-SV" w:eastAsia="es-SV"/>
              </w:rPr>
              <w:br/>
              <w:t>Componente 2. Fortalecimiento institucional para mejorar el entorno de los agronegocios (Construcción o rehabilitación de infraestructuras rurales).</w:t>
            </w:r>
          </w:p>
        </w:tc>
        <w:tc>
          <w:tcPr>
            <w:tcW w:w="849" w:type="dxa"/>
            <w:tcBorders>
              <w:top w:val="nil"/>
              <w:left w:val="nil"/>
              <w:bottom w:val="single" w:sz="4" w:space="0" w:color="auto"/>
              <w:right w:val="single" w:sz="4" w:space="0" w:color="auto"/>
            </w:tcBorders>
            <w:shd w:val="clear" w:color="auto" w:fill="FFFFFF" w:themeFill="background1"/>
            <w:noWrap/>
            <w:hideMark/>
          </w:tcPr>
          <w:p w14:paraId="38AB0EC5" w14:textId="0C6BEF84" w:rsidR="006A3DBC" w:rsidRPr="000E6D86" w:rsidRDefault="006A3DBC" w:rsidP="00E12984">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Social</w:t>
            </w:r>
          </w:p>
        </w:tc>
        <w:tc>
          <w:tcPr>
            <w:tcW w:w="3678" w:type="dxa"/>
            <w:tcBorders>
              <w:top w:val="nil"/>
              <w:left w:val="nil"/>
              <w:bottom w:val="single" w:sz="4" w:space="0" w:color="auto"/>
              <w:right w:val="single" w:sz="4" w:space="0" w:color="auto"/>
            </w:tcBorders>
            <w:shd w:val="clear" w:color="auto" w:fill="FFFFFF" w:themeFill="background1"/>
            <w:hideMark/>
          </w:tcPr>
          <w:p w14:paraId="156264C6"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 xml:space="preserve">Riesgo de exclusión de pueblos indígenas por la falta de cumplimiento de requisitos o criterios de selección adecuados. </w:t>
            </w:r>
          </w:p>
        </w:tc>
        <w:tc>
          <w:tcPr>
            <w:tcW w:w="1351" w:type="dxa"/>
            <w:tcBorders>
              <w:top w:val="nil"/>
              <w:left w:val="nil"/>
              <w:bottom w:val="single" w:sz="4" w:space="0" w:color="auto"/>
              <w:right w:val="single" w:sz="4" w:space="0" w:color="auto"/>
            </w:tcBorders>
            <w:shd w:val="clear" w:color="auto" w:fill="FFFFFF" w:themeFill="background1"/>
            <w:noWrap/>
            <w:hideMark/>
          </w:tcPr>
          <w:p w14:paraId="7AC0C529" w14:textId="3B990D97" w:rsidR="006A3DBC" w:rsidRPr="000E6D86" w:rsidRDefault="006A3DBC" w:rsidP="00E12984">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Todos</w:t>
            </w:r>
          </w:p>
        </w:tc>
        <w:tc>
          <w:tcPr>
            <w:tcW w:w="4718" w:type="dxa"/>
            <w:tcBorders>
              <w:top w:val="nil"/>
              <w:left w:val="nil"/>
              <w:bottom w:val="single" w:sz="4" w:space="0" w:color="auto"/>
              <w:right w:val="single" w:sz="4" w:space="0" w:color="auto"/>
            </w:tcBorders>
            <w:shd w:val="clear" w:color="auto" w:fill="FFFFFF" w:themeFill="background1"/>
            <w:hideMark/>
          </w:tcPr>
          <w:p w14:paraId="5058AFCD" w14:textId="3F926F6F" w:rsidR="006A3DBC" w:rsidRPr="000E6D86" w:rsidRDefault="006A3DBC" w:rsidP="00111875">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El Proyecto contempla para dar a conocer las actividades y oportunidades del Proyecto: medios de comunicación utilizados con frecuencia por los pueblos indígenas (considerando las limitaciones a internet y otros), apoyo en la presentación de planes de trabajo (por ejemplo, aplicación de normas nacionales e internacionales dirigidas a los pueblos.</w:t>
            </w:r>
          </w:p>
          <w:p w14:paraId="755D39B0" w14:textId="77777777" w:rsidR="006A3DBC" w:rsidRPr="000E6D86" w:rsidRDefault="006A3DBC" w:rsidP="00111875">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Adaptación de criterios de elegibilidad diferenciados a las condiciones y necesidades propias de los pueblos, incluyendo adaptaciones de metodologías que consideren las tradiciones ancestrales y conservación de saberes de los pueblos.</w:t>
            </w:r>
          </w:p>
        </w:tc>
      </w:tr>
      <w:tr w:rsidR="000E6D86" w:rsidRPr="000E6D86" w14:paraId="56C8650E" w14:textId="77777777" w:rsidTr="000E6D86">
        <w:trPr>
          <w:trHeight w:val="2144"/>
        </w:trPr>
        <w:tc>
          <w:tcPr>
            <w:tcW w:w="3121" w:type="dxa"/>
            <w:tcBorders>
              <w:top w:val="nil"/>
              <w:left w:val="single" w:sz="4" w:space="0" w:color="auto"/>
              <w:bottom w:val="single" w:sz="4" w:space="0" w:color="auto"/>
              <w:right w:val="single" w:sz="4" w:space="0" w:color="auto"/>
            </w:tcBorders>
            <w:shd w:val="clear" w:color="auto" w:fill="FFFFFF" w:themeFill="background1"/>
          </w:tcPr>
          <w:p w14:paraId="52036B19" w14:textId="77777777" w:rsidR="006A3DBC" w:rsidRPr="000E6D86" w:rsidRDefault="006A3DBC" w:rsidP="005F4A92">
            <w:pPr>
              <w:spacing w:after="0" w:line="240" w:lineRule="auto"/>
              <w:rPr>
                <w:rFonts w:eastAsia="Times New Roman" w:cs="Arial"/>
                <w:sz w:val="18"/>
                <w:szCs w:val="18"/>
                <w:lang w:val="es-SV" w:eastAsia="es-SV"/>
              </w:rPr>
            </w:pPr>
          </w:p>
        </w:tc>
        <w:tc>
          <w:tcPr>
            <w:tcW w:w="849" w:type="dxa"/>
            <w:tcBorders>
              <w:top w:val="nil"/>
              <w:left w:val="nil"/>
              <w:bottom w:val="single" w:sz="4" w:space="0" w:color="auto"/>
              <w:right w:val="single" w:sz="4" w:space="0" w:color="auto"/>
            </w:tcBorders>
            <w:shd w:val="clear" w:color="auto" w:fill="FFFFFF" w:themeFill="background1"/>
            <w:noWrap/>
          </w:tcPr>
          <w:p w14:paraId="68306D0E" w14:textId="77777777" w:rsidR="006A3DBC" w:rsidRPr="000E6D86" w:rsidRDefault="006A3DBC" w:rsidP="00E12984">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Social</w:t>
            </w:r>
          </w:p>
        </w:tc>
        <w:tc>
          <w:tcPr>
            <w:tcW w:w="3678" w:type="dxa"/>
            <w:tcBorders>
              <w:top w:val="nil"/>
              <w:left w:val="nil"/>
              <w:bottom w:val="single" w:sz="4" w:space="0" w:color="auto"/>
              <w:right w:val="single" w:sz="4" w:space="0" w:color="auto"/>
            </w:tcBorders>
            <w:shd w:val="clear" w:color="auto" w:fill="FFFFFF" w:themeFill="background1"/>
          </w:tcPr>
          <w:p w14:paraId="24D49D29" w14:textId="5E302796" w:rsidR="006A3DBC" w:rsidRPr="000E6D86" w:rsidRDefault="63826BF9" w:rsidP="00111875">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Riesgo</w:t>
            </w:r>
            <w:r w:rsidR="3A7FC69B" w:rsidRPr="000E6D86">
              <w:rPr>
                <w:rFonts w:eastAsia="Times New Roman" w:cs="Arial"/>
                <w:sz w:val="18"/>
                <w:szCs w:val="18"/>
                <w:lang w:val="es-SV" w:eastAsia="es-SV"/>
              </w:rPr>
              <w:t xml:space="preserve"> de exclusión por falta de tenencia legal de tierra, especialmente para población indígena y/o afrodescendiente.</w:t>
            </w:r>
          </w:p>
        </w:tc>
        <w:tc>
          <w:tcPr>
            <w:tcW w:w="1351" w:type="dxa"/>
            <w:tcBorders>
              <w:top w:val="nil"/>
              <w:left w:val="nil"/>
              <w:bottom w:val="single" w:sz="4" w:space="0" w:color="auto"/>
              <w:right w:val="single" w:sz="4" w:space="0" w:color="auto"/>
            </w:tcBorders>
            <w:shd w:val="clear" w:color="auto" w:fill="FFFFFF" w:themeFill="background1"/>
            <w:noWrap/>
          </w:tcPr>
          <w:p w14:paraId="0B9DF707" w14:textId="77777777" w:rsidR="006A3DBC" w:rsidRPr="000E6D86" w:rsidRDefault="006A3DBC" w:rsidP="00E12984">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Todos</w:t>
            </w:r>
          </w:p>
        </w:tc>
        <w:tc>
          <w:tcPr>
            <w:tcW w:w="4718" w:type="dxa"/>
            <w:tcBorders>
              <w:top w:val="nil"/>
              <w:left w:val="nil"/>
              <w:bottom w:val="single" w:sz="4" w:space="0" w:color="auto"/>
              <w:right w:val="single" w:sz="4" w:space="0" w:color="auto"/>
            </w:tcBorders>
            <w:shd w:val="clear" w:color="auto" w:fill="FFFFFF" w:themeFill="background1"/>
          </w:tcPr>
          <w:p w14:paraId="461A85CF" w14:textId="332787F6" w:rsidR="006A3DBC" w:rsidRPr="000E6D86" w:rsidRDefault="006A3DBC" w:rsidP="00111875">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En caso de propiedad colecti</w:t>
            </w:r>
            <w:r w:rsidR="02FD6A3A" w:rsidRPr="000E6D86">
              <w:rPr>
                <w:rFonts w:eastAsia="Times New Roman" w:cs="Arial"/>
                <w:sz w:val="18"/>
                <w:szCs w:val="18"/>
                <w:lang w:val="es-SV" w:eastAsia="es-SV"/>
              </w:rPr>
              <w:t>v</w:t>
            </w:r>
            <w:r w:rsidRPr="000E6D86">
              <w:rPr>
                <w:rFonts w:eastAsia="Times New Roman" w:cs="Arial"/>
                <w:sz w:val="18"/>
                <w:szCs w:val="18"/>
                <w:lang w:val="es-SV" w:eastAsia="es-SV"/>
              </w:rPr>
              <w:t>a/ comunitaria/ títulos ancestrales, el otorgamiento del uso de los terrenos para fines de</w:t>
            </w:r>
            <w:r w:rsidR="00206355" w:rsidRPr="000E6D86">
              <w:rPr>
                <w:rFonts w:eastAsia="Times New Roman" w:cs="Arial"/>
                <w:sz w:val="18"/>
                <w:szCs w:val="18"/>
                <w:lang w:val="es-SV" w:eastAsia="es-SV"/>
              </w:rPr>
              <w:t xml:space="preserve"> inversión con fondos de la transferencia no reembolsable se orientan </w:t>
            </w:r>
            <w:r w:rsidR="21FDA4E7" w:rsidRPr="000E6D86">
              <w:rPr>
                <w:rFonts w:eastAsia="Times New Roman" w:cs="Arial"/>
                <w:sz w:val="18"/>
                <w:szCs w:val="18"/>
                <w:lang w:val="es-SV" w:eastAsia="es-SV"/>
              </w:rPr>
              <w:t xml:space="preserve">de preferencia </w:t>
            </w:r>
            <w:r w:rsidR="00206355" w:rsidRPr="000E6D86">
              <w:rPr>
                <w:rFonts w:eastAsia="Times New Roman" w:cs="Arial"/>
                <w:sz w:val="18"/>
                <w:szCs w:val="18"/>
                <w:lang w:val="es-SV" w:eastAsia="es-SV"/>
              </w:rPr>
              <w:t>a bienes</w:t>
            </w:r>
            <w:r w:rsidR="6A2B3E1F" w:rsidRPr="000E6D86">
              <w:rPr>
                <w:rFonts w:eastAsia="Times New Roman" w:cs="Arial"/>
                <w:sz w:val="18"/>
                <w:szCs w:val="18"/>
                <w:lang w:val="es-SV" w:eastAsia="es-SV"/>
              </w:rPr>
              <w:t>,</w:t>
            </w:r>
            <w:r w:rsidR="00206355" w:rsidRPr="000E6D86">
              <w:rPr>
                <w:rFonts w:eastAsia="Times New Roman" w:cs="Arial"/>
                <w:sz w:val="18"/>
                <w:szCs w:val="18"/>
                <w:lang w:val="es-SV" w:eastAsia="es-SV"/>
              </w:rPr>
              <w:t xml:space="preserve"> no obras fijas</w:t>
            </w:r>
            <w:r w:rsidR="007A1C92" w:rsidRPr="000E6D86">
              <w:rPr>
                <w:rFonts w:eastAsia="Times New Roman" w:cs="Arial"/>
                <w:sz w:val="18"/>
                <w:szCs w:val="18"/>
                <w:lang w:val="es-SV" w:eastAsia="es-SV"/>
              </w:rPr>
              <w:t>.</w:t>
            </w:r>
            <w:r w:rsidR="00206355" w:rsidRPr="000E6D86">
              <w:rPr>
                <w:rFonts w:eastAsia="Times New Roman" w:cs="Arial"/>
                <w:sz w:val="18"/>
                <w:szCs w:val="18"/>
                <w:lang w:val="es-SV" w:eastAsia="es-SV"/>
              </w:rPr>
              <w:t xml:space="preserve"> </w:t>
            </w:r>
            <w:r w:rsidR="000E6D86" w:rsidRPr="000E6D86">
              <w:rPr>
                <w:rFonts w:eastAsia="Times New Roman" w:cs="Arial"/>
                <w:sz w:val="18"/>
                <w:szCs w:val="18"/>
                <w:lang w:val="es-SV" w:eastAsia="es-SV"/>
              </w:rPr>
              <w:t>Estas son</w:t>
            </w:r>
            <w:r w:rsidR="00206355" w:rsidRPr="000E6D86">
              <w:rPr>
                <w:rFonts w:eastAsia="Times New Roman" w:cs="Arial"/>
                <w:sz w:val="18"/>
                <w:szCs w:val="18"/>
                <w:lang w:val="es-SV" w:eastAsia="es-SV"/>
              </w:rPr>
              <w:t xml:space="preserve"> cubiertas por fuentes del aliado financiero privado o </w:t>
            </w:r>
            <w:r w:rsidR="00F90B0D" w:rsidRPr="000E6D86">
              <w:rPr>
                <w:rFonts w:eastAsia="Times New Roman" w:cs="Arial"/>
                <w:sz w:val="18"/>
                <w:szCs w:val="18"/>
                <w:lang w:val="es-SV" w:eastAsia="es-SV"/>
              </w:rPr>
              <w:t>las OPRs.</w:t>
            </w:r>
            <w:r w:rsidRPr="000E6D86">
              <w:rPr>
                <w:rFonts w:eastAsia="Times New Roman" w:cs="Arial"/>
                <w:sz w:val="18"/>
                <w:szCs w:val="18"/>
                <w:lang w:val="es-SV" w:eastAsia="es-SV"/>
              </w:rPr>
              <w:t xml:space="preserve"> </w:t>
            </w:r>
            <w:r w:rsidR="00F90B0D" w:rsidRPr="000E6D86">
              <w:rPr>
                <w:rFonts w:eastAsia="Times New Roman" w:cs="Arial"/>
                <w:sz w:val="18"/>
                <w:szCs w:val="18"/>
                <w:lang w:val="es-SV" w:eastAsia="es-SV"/>
              </w:rPr>
              <w:t>Para efectos de legitimar lo</w:t>
            </w:r>
            <w:r w:rsidR="007A1C92" w:rsidRPr="000E6D86">
              <w:rPr>
                <w:rFonts w:eastAsia="Times New Roman" w:cs="Arial"/>
                <w:sz w:val="18"/>
                <w:szCs w:val="18"/>
                <w:lang w:val="es-SV" w:eastAsia="es-SV"/>
              </w:rPr>
              <w:t>s</w:t>
            </w:r>
            <w:r w:rsidR="00F90B0D" w:rsidRPr="000E6D86">
              <w:rPr>
                <w:rFonts w:eastAsia="Times New Roman" w:cs="Arial"/>
                <w:sz w:val="18"/>
                <w:szCs w:val="18"/>
                <w:lang w:val="es-SV" w:eastAsia="es-SV"/>
              </w:rPr>
              <w:t xml:space="preserve"> casos descritos y tener un mayor respaldo</w:t>
            </w:r>
            <w:r w:rsidR="007A1C92" w:rsidRPr="000E6D86">
              <w:rPr>
                <w:rFonts w:eastAsia="Times New Roman" w:cs="Arial"/>
                <w:sz w:val="18"/>
                <w:szCs w:val="18"/>
                <w:lang w:val="es-SV" w:eastAsia="es-SV"/>
              </w:rPr>
              <w:t>,</w:t>
            </w:r>
            <w:r w:rsidR="00F90B0D" w:rsidRPr="000E6D86">
              <w:rPr>
                <w:rFonts w:eastAsia="Times New Roman" w:cs="Arial"/>
                <w:sz w:val="18"/>
                <w:szCs w:val="18"/>
                <w:lang w:val="es-SV" w:eastAsia="es-SV"/>
              </w:rPr>
              <w:t xml:space="preserve"> se recomienda la suscripción de un </w:t>
            </w:r>
            <w:r w:rsidRPr="000E6D86">
              <w:rPr>
                <w:rFonts w:eastAsia="Times New Roman" w:cs="Arial"/>
                <w:sz w:val="18"/>
                <w:szCs w:val="18"/>
                <w:lang w:val="es-SV" w:eastAsia="es-SV"/>
              </w:rPr>
              <w:t xml:space="preserve">de </w:t>
            </w:r>
            <w:r w:rsidR="25989581" w:rsidRPr="000E6D86">
              <w:rPr>
                <w:rFonts w:eastAsia="Times New Roman" w:cs="Arial"/>
                <w:sz w:val="18"/>
                <w:szCs w:val="18"/>
                <w:lang w:val="es-SV" w:eastAsia="es-SV"/>
              </w:rPr>
              <w:t>usufructo</w:t>
            </w:r>
            <w:r w:rsidRPr="000E6D86">
              <w:rPr>
                <w:rFonts w:eastAsia="Times New Roman" w:cs="Arial"/>
                <w:sz w:val="18"/>
                <w:szCs w:val="18"/>
                <w:lang w:val="es-SV" w:eastAsia="es-SV"/>
              </w:rPr>
              <w:t xml:space="preserve">, </w:t>
            </w:r>
            <w:r w:rsidR="0AC9537C" w:rsidRPr="000E6D86">
              <w:rPr>
                <w:rFonts w:eastAsia="Times New Roman" w:cs="Arial"/>
                <w:sz w:val="18"/>
                <w:szCs w:val="18"/>
                <w:lang w:val="es-SV" w:eastAsia="es-SV"/>
              </w:rPr>
              <w:t>servidumbre</w:t>
            </w:r>
            <w:r w:rsidRPr="000E6D86">
              <w:rPr>
                <w:rFonts w:eastAsia="Times New Roman" w:cs="Arial"/>
                <w:sz w:val="18"/>
                <w:szCs w:val="18"/>
                <w:lang w:val="es-SV" w:eastAsia="es-SV"/>
              </w:rPr>
              <w:t>, entre el benefi</w:t>
            </w:r>
            <w:r w:rsidR="6EBC395F" w:rsidRPr="000E6D86">
              <w:rPr>
                <w:rFonts w:eastAsia="Times New Roman" w:cs="Arial"/>
                <w:sz w:val="18"/>
                <w:szCs w:val="18"/>
                <w:lang w:val="es-SV" w:eastAsia="es-SV"/>
              </w:rPr>
              <w:t>ciario</w:t>
            </w:r>
            <w:r w:rsidRPr="000E6D86">
              <w:rPr>
                <w:rFonts w:eastAsia="Times New Roman" w:cs="Arial"/>
                <w:sz w:val="18"/>
                <w:szCs w:val="18"/>
                <w:lang w:val="es-SV" w:eastAsia="es-SV"/>
              </w:rPr>
              <w:t xml:space="preserve"> y el Comité/ Consejo/ de custodio, administración u otra figura comunitaria que administre dicha propiedad colectiva/ comunitaria/ ancestral.</w:t>
            </w:r>
          </w:p>
          <w:p w14:paraId="57CFFC88" w14:textId="14278B32" w:rsidR="006A3DBC" w:rsidRPr="000E6D86" w:rsidRDefault="006A3DBC" w:rsidP="00111875">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ComRural aceptará</w:t>
            </w:r>
            <w:r w:rsidR="00F90B0D" w:rsidRPr="000E6D86">
              <w:rPr>
                <w:rFonts w:eastAsia="Times New Roman" w:cs="Arial"/>
                <w:sz w:val="18"/>
                <w:szCs w:val="18"/>
                <w:lang w:val="es-SV" w:eastAsia="es-SV"/>
              </w:rPr>
              <w:t xml:space="preserve"> en organizaciones ubicadas en terrenos comprobados de pueblos indígenas/afordescendientes,</w:t>
            </w:r>
            <w:r w:rsidRPr="000E6D86">
              <w:rPr>
                <w:rFonts w:eastAsia="Times New Roman" w:cs="Arial"/>
                <w:sz w:val="18"/>
                <w:szCs w:val="18"/>
                <w:lang w:val="es-SV" w:eastAsia="es-SV"/>
              </w:rPr>
              <w:t xml:space="preserve"> como</w:t>
            </w:r>
            <w:r w:rsidR="5E9E0308" w:rsidRPr="000E6D86">
              <w:rPr>
                <w:rFonts w:eastAsia="Times New Roman" w:cs="Arial"/>
                <w:sz w:val="18"/>
                <w:szCs w:val="18"/>
                <w:lang w:val="es-SV" w:eastAsia="es-SV"/>
              </w:rPr>
              <w:t xml:space="preserve"> </w:t>
            </w:r>
            <w:r w:rsidRPr="000E6D86">
              <w:rPr>
                <w:rFonts w:eastAsia="Times New Roman" w:cs="Arial"/>
                <w:sz w:val="18"/>
                <w:szCs w:val="18"/>
                <w:lang w:val="es-SV" w:eastAsia="es-SV"/>
              </w:rPr>
              <w:t xml:space="preserve">documentos legales, no necesariamente los otorgados por la institucionalidad oficial del Estado de Honduras, siendo en este caso aceptables sin restricción: los </w:t>
            </w:r>
            <w:r w:rsidR="4DB4B51C" w:rsidRPr="000E6D86">
              <w:rPr>
                <w:rFonts w:eastAsia="Times New Roman" w:cs="Arial"/>
                <w:sz w:val="18"/>
                <w:szCs w:val="18"/>
                <w:lang w:val="es-SV" w:eastAsia="es-SV"/>
              </w:rPr>
              <w:t>procedimientos</w:t>
            </w:r>
            <w:r w:rsidRPr="000E6D86">
              <w:rPr>
                <w:rFonts w:eastAsia="Times New Roman" w:cs="Arial"/>
                <w:sz w:val="18"/>
                <w:szCs w:val="18"/>
                <w:lang w:val="es-SV" w:eastAsia="es-SV"/>
              </w:rPr>
              <w:t xml:space="preserve"> de administración por las autoridades indígenas y/o afrodescendientes constituidas como Gobernanza (Consejo de Custodio de Título, Consejo de Desarrollo Comunitario, otra figura local aceptada por la población con base a su derecho consuetudinario). </w:t>
            </w:r>
          </w:p>
          <w:p w14:paraId="028C2DDF" w14:textId="1B58A8AB" w:rsidR="00F90B0D" w:rsidRPr="000E6D86" w:rsidRDefault="00F90B0D" w:rsidP="00111875">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Para efectos de proceder y aprobar lo mencionado en el inciso anterior, el antecedente y certificación del otorgamiento o permiso lo constituye el acta de aprobación del Comité de Desarrollo Comunitario o Consejo Territorial, máxima autoridad en los sistemas de gobernanza indígena. Estos acuerdos son administrados por el comité de custodio de títulos o figura reconocida por el pueblo para tal efecto.</w:t>
            </w:r>
          </w:p>
        </w:tc>
      </w:tr>
      <w:tr w:rsidR="000E6D86" w:rsidRPr="000E6D86" w14:paraId="0501FF32" w14:textId="77777777" w:rsidTr="000E6D86">
        <w:trPr>
          <w:trHeight w:val="800"/>
        </w:trPr>
        <w:tc>
          <w:tcPr>
            <w:tcW w:w="3121" w:type="dxa"/>
            <w:tcBorders>
              <w:top w:val="nil"/>
              <w:left w:val="single" w:sz="4" w:space="0" w:color="auto"/>
              <w:bottom w:val="single" w:sz="4" w:space="0" w:color="auto"/>
              <w:right w:val="single" w:sz="4" w:space="0" w:color="auto"/>
            </w:tcBorders>
            <w:shd w:val="clear" w:color="auto" w:fill="FFFFFF" w:themeFill="background1"/>
            <w:hideMark/>
          </w:tcPr>
          <w:p w14:paraId="60D9A7E6"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 xml:space="preserve">Componente 2. Fortalecimiento institucional para mejorar el entorno de los agronegocios (Construcción o rehabilitación de infraestructuras rurales). </w:t>
            </w:r>
          </w:p>
        </w:tc>
        <w:tc>
          <w:tcPr>
            <w:tcW w:w="849" w:type="dxa"/>
            <w:tcBorders>
              <w:top w:val="nil"/>
              <w:left w:val="nil"/>
              <w:bottom w:val="single" w:sz="4" w:space="0" w:color="auto"/>
              <w:right w:val="single" w:sz="4" w:space="0" w:color="auto"/>
            </w:tcBorders>
            <w:shd w:val="clear" w:color="auto" w:fill="FFFFFF" w:themeFill="background1"/>
            <w:noWrap/>
            <w:hideMark/>
          </w:tcPr>
          <w:p w14:paraId="190AFCEC" w14:textId="06866D12" w:rsidR="006A3DBC" w:rsidRPr="000E6D86" w:rsidRDefault="006A3DBC" w:rsidP="00E12984">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Social</w:t>
            </w:r>
          </w:p>
        </w:tc>
        <w:tc>
          <w:tcPr>
            <w:tcW w:w="3678" w:type="dxa"/>
            <w:tcBorders>
              <w:top w:val="nil"/>
              <w:left w:val="nil"/>
              <w:bottom w:val="single" w:sz="4" w:space="0" w:color="auto"/>
              <w:right w:val="single" w:sz="4" w:space="0" w:color="auto"/>
            </w:tcBorders>
            <w:shd w:val="clear" w:color="auto" w:fill="FFFFFF" w:themeFill="background1"/>
            <w:hideMark/>
          </w:tcPr>
          <w:p w14:paraId="55959F75"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 xml:space="preserve">Riesgo de excavaciones de suelo en áreas de importancia cultural o histórica. </w:t>
            </w:r>
          </w:p>
        </w:tc>
        <w:tc>
          <w:tcPr>
            <w:tcW w:w="1351" w:type="dxa"/>
            <w:tcBorders>
              <w:top w:val="nil"/>
              <w:left w:val="nil"/>
              <w:bottom w:val="single" w:sz="4" w:space="0" w:color="auto"/>
              <w:right w:val="single" w:sz="4" w:space="0" w:color="auto"/>
            </w:tcBorders>
            <w:shd w:val="clear" w:color="auto" w:fill="FFFFFF" w:themeFill="background1"/>
            <w:noWrap/>
            <w:hideMark/>
          </w:tcPr>
          <w:p w14:paraId="68132E68" w14:textId="2F8D3D7E" w:rsidR="006A3DBC" w:rsidRPr="000E6D86" w:rsidRDefault="006A3DBC" w:rsidP="00E12984">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Todos</w:t>
            </w:r>
          </w:p>
        </w:tc>
        <w:tc>
          <w:tcPr>
            <w:tcW w:w="4718" w:type="dxa"/>
            <w:tcBorders>
              <w:top w:val="nil"/>
              <w:left w:val="nil"/>
              <w:bottom w:val="single" w:sz="4" w:space="0" w:color="auto"/>
              <w:right w:val="single" w:sz="4" w:space="0" w:color="auto"/>
            </w:tcBorders>
            <w:shd w:val="clear" w:color="auto" w:fill="FFFFFF" w:themeFill="background1"/>
            <w:hideMark/>
          </w:tcPr>
          <w:p w14:paraId="42E842FE" w14:textId="77777777" w:rsidR="006A3DBC" w:rsidRPr="000E6D86" w:rsidRDefault="006A3DBC" w:rsidP="00111875">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 xml:space="preserve">El Proyecto establecerá las disposiciones para la selección y evaluación a nivel de subproyecto de cualquier sitio conocido de importancia cultural o histórica de importancia cultural, e incluirán: i) procedimientos de búsqueda fortuita para las zonas de construcción, y los contratos de construcción incluirán cláusulas que exijan a los contratistas civiles </w:t>
            </w:r>
            <w:r w:rsidRPr="000E6D86">
              <w:rPr>
                <w:rFonts w:eastAsia="Times New Roman" w:cs="Arial"/>
                <w:sz w:val="18"/>
                <w:szCs w:val="18"/>
                <w:lang w:val="es-SV" w:eastAsia="es-SV"/>
              </w:rPr>
              <w:lastRenderedPageBreak/>
              <w:t>que adopten las medidas de protección adecuadas en caso de que se descubran sitios del patrimonio cultural; y (ii) cualquier medida de mitigación necesaria para evitar o restaurar los sitios culturales comunitarios. Todas las medidas se reflejarán en los contratos de construcción correspondientes.</w:t>
            </w:r>
          </w:p>
          <w:p w14:paraId="635EE3BC" w14:textId="63DD87DD" w:rsidR="006A3DBC" w:rsidRPr="000E6D86" w:rsidRDefault="006A3DBC" w:rsidP="00111875">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De igual forma antes de proceder con un PdN que en su primera fase implique riesgo o directamente daño al patrimonio cultural debe determinar el conocimiento sobre los aspectos culturales del sitio propuesto, se debe comunicar y proceder ante el Instituto Hondureño de Antropología e Historia (IHAH), y si hay cualquier duda sobre el patrimonio cultural de un área, se debe aplicar una breve encuesta de reconocimiento de campo ejecutada por un especialista.</w:t>
            </w:r>
          </w:p>
          <w:p w14:paraId="4A539EDA" w14:textId="06E5D3E1" w:rsidR="006A3DBC" w:rsidRPr="000E6D86" w:rsidRDefault="006A3DBC" w:rsidP="00111875">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Si la encuesta de reconocimiento de campo revela la existencia de patrimonio cultural que pueda resultar dañado por el PdN, se debe obtener un informe y autorización del IHAH como una condición de aprobación y ejecución de este.</w:t>
            </w:r>
          </w:p>
        </w:tc>
      </w:tr>
      <w:tr w:rsidR="000E6D86" w:rsidRPr="000E6D86" w14:paraId="547535AC" w14:textId="77777777" w:rsidTr="000E6D86">
        <w:trPr>
          <w:trHeight w:val="1679"/>
        </w:trPr>
        <w:tc>
          <w:tcPr>
            <w:tcW w:w="3121" w:type="dxa"/>
            <w:tcBorders>
              <w:top w:val="nil"/>
              <w:left w:val="single" w:sz="4" w:space="0" w:color="auto"/>
              <w:bottom w:val="single" w:sz="4" w:space="0" w:color="auto"/>
              <w:right w:val="single" w:sz="4" w:space="0" w:color="auto"/>
            </w:tcBorders>
            <w:shd w:val="clear" w:color="auto" w:fill="FFFFFF" w:themeFill="background1"/>
            <w:hideMark/>
          </w:tcPr>
          <w:p w14:paraId="38A7C727"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lastRenderedPageBreak/>
              <w:t>Componente 1 Mejoramiento de la competitividad y la resiliencia en las cadenas de valor priorizadas (PdNs).</w:t>
            </w:r>
            <w:r w:rsidRPr="000E6D86">
              <w:rPr>
                <w:rFonts w:eastAsia="Times New Roman" w:cs="Arial"/>
                <w:sz w:val="18"/>
                <w:szCs w:val="18"/>
                <w:lang w:val="es-SV" w:eastAsia="es-SV"/>
              </w:rPr>
              <w:br/>
              <w:t>Componente 2. Fortalecimiento institucional para mejorar el entorno de los agronegocios (Construcción o rehabilitación de infraestructuras rurales).</w:t>
            </w:r>
          </w:p>
        </w:tc>
        <w:tc>
          <w:tcPr>
            <w:tcW w:w="849" w:type="dxa"/>
            <w:tcBorders>
              <w:top w:val="nil"/>
              <w:left w:val="nil"/>
              <w:bottom w:val="single" w:sz="4" w:space="0" w:color="auto"/>
              <w:right w:val="single" w:sz="4" w:space="0" w:color="auto"/>
            </w:tcBorders>
            <w:shd w:val="clear" w:color="auto" w:fill="FFFFFF" w:themeFill="background1"/>
            <w:noWrap/>
            <w:hideMark/>
          </w:tcPr>
          <w:p w14:paraId="17900088" w14:textId="1E30510E" w:rsidR="006A3DBC" w:rsidRPr="000E6D86" w:rsidRDefault="006A3DBC" w:rsidP="00E12984">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Social</w:t>
            </w:r>
          </w:p>
        </w:tc>
        <w:tc>
          <w:tcPr>
            <w:tcW w:w="3678" w:type="dxa"/>
            <w:tcBorders>
              <w:top w:val="nil"/>
              <w:left w:val="nil"/>
              <w:bottom w:val="single" w:sz="4" w:space="0" w:color="auto"/>
              <w:right w:val="single" w:sz="4" w:space="0" w:color="auto"/>
            </w:tcBorders>
            <w:shd w:val="clear" w:color="auto" w:fill="FFFFFF" w:themeFill="background1"/>
            <w:hideMark/>
          </w:tcPr>
          <w:p w14:paraId="0A712153"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 xml:space="preserve">Exclusión de personas con discapacidad por la falta de información o debida divulgación sobre el Proyecto. </w:t>
            </w:r>
          </w:p>
        </w:tc>
        <w:tc>
          <w:tcPr>
            <w:tcW w:w="1351" w:type="dxa"/>
            <w:tcBorders>
              <w:top w:val="nil"/>
              <w:left w:val="nil"/>
              <w:bottom w:val="single" w:sz="4" w:space="0" w:color="auto"/>
              <w:right w:val="single" w:sz="4" w:space="0" w:color="auto"/>
            </w:tcBorders>
            <w:shd w:val="clear" w:color="auto" w:fill="FFFFFF" w:themeFill="background1"/>
            <w:noWrap/>
            <w:hideMark/>
          </w:tcPr>
          <w:p w14:paraId="31181E4E" w14:textId="436A98A0" w:rsidR="006A3DBC" w:rsidRPr="000E6D86" w:rsidRDefault="006A3DBC" w:rsidP="00E12984">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Todos</w:t>
            </w:r>
          </w:p>
        </w:tc>
        <w:tc>
          <w:tcPr>
            <w:tcW w:w="4718" w:type="dxa"/>
            <w:tcBorders>
              <w:top w:val="nil"/>
              <w:left w:val="nil"/>
              <w:bottom w:val="single" w:sz="4" w:space="0" w:color="auto"/>
              <w:right w:val="single" w:sz="4" w:space="0" w:color="auto"/>
            </w:tcBorders>
            <w:shd w:val="clear" w:color="auto" w:fill="FFFFFF" w:themeFill="background1"/>
            <w:hideMark/>
          </w:tcPr>
          <w:p w14:paraId="0603452F" w14:textId="77777777" w:rsidR="00111875" w:rsidRPr="000E6D86" w:rsidRDefault="006A3DBC" w:rsidP="00111875">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El Proyecto ha definido un umbral de participación de personas con discapacidad con lo que se tiene en cuenta la participación de los mismo, en actividades directas del Proyecto</w:t>
            </w:r>
          </w:p>
          <w:p w14:paraId="054F762C" w14:textId="5E733D4B" w:rsidR="006A3DBC" w:rsidRPr="000E6D86" w:rsidRDefault="006A3DBC" w:rsidP="00111875">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 xml:space="preserve">El Proyecto desde la línea base tomará en cuenta aspectos relativos a las personas con discapacidad, entre otros grupos vulnerables para que sean informados adecuadamente sobre el Proyecto y puedan ser incluidos en las actividades a potenciar. </w:t>
            </w:r>
          </w:p>
        </w:tc>
      </w:tr>
      <w:tr w:rsidR="000E6D86" w:rsidRPr="000E6D86" w14:paraId="5B53188D" w14:textId="77777777" w:rsidTr="000E6D86">
        <w:trPr>
          <w:trHeight w:val="516"/>
        </w:trPr>
        <w:tc>
          <w:tcPr>
            <w:tcW w:w="3121" w:type="dxa"/>
            <w:tcBorders>
              <w:top w:val="nil"/>
              <w:left w:val="single" w:sz="4" w:space="0" w:color="auto"/>
              <w:bottom w:val="single" w:sz="4" w:space="0" w:color="auto"/>
              <w:right w:val="single" w:sz="4" w:space="0" w:color="auto"/>
            </w:tcBorders>
            <w:shd w:val="clear" w:color="auto" w:fill="FFFFFF" w:themeFill="background1"/>
            <w:hideMark/>
          </w:tcPr>
          <w:p w14:paraId="2F98F076"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Componente 1 Mejoramiento de la competitividad y la resiliencia en las cadenas de valor priorizadas.</w:t>
            </w:r>
          </w:p>
        </w:tc>
        <w:tc>
          <w:tcPr>
            <w:tcW w:w="849" w:type="dxa"/>
            <w:tcBorders>
              <w:top w:val="nil"/>
              <w:left w:val="nil"/>
              <w:bottom w:val="single" w:sz="4" w:space="0" w:color="auto"/>
              <w:right w:val="single" w:sz="4" w:space="0" w:color="auto"/>
            </w:tcBorders>
            <w:shd w:val="clear" w:color="auto" w:fill="FFFFFF" w:themeFill="background1"/>
            <w:noWrap/>
            <w:hideMark/>
          </w:tcPr>
          <w:p w14:paraId="194DA4B4" w14:textId="3EA24267" w:rsidR="006A3DBC" w:rsidRPr="000E6D86" w:rsidRDefault="006A3DBC" w:rsidP="00E12984">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Social</w:t>
            </w:r>
          </w:p>
        </w:tc>
        <w:tc>
          <w:tcPr>
            <w:tcW w:w="3678" w:type="dxa"/>
            <w:tcBorders>
              <w:top w:val="nil"/>
              <w:left w:val="nil"/>
              <w:bottom w:val="single" w:sz="4" w:space="0" w:color="auto"/>
              <w:right w:val="single" w:sz="4" w:space="0" w:color="auto"/>
            </w:tcBorders>
            <w:shd w:val="clear" w:color="auto" w:fill="FFFFFF" w:themeFill="background1"/>
            <w:hideMark/>
          </w:tcPr>
          <w:p w14:paraId="52B44BF4"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 xml:space="preserve">Baja participación de hombres y mujeres que forman parte de las OPRs e iniciativas productivas locales. </w:t>
            </w:r>
          </w:p>
        </w:tc>
        <w:tc>
          <w:tcPr>
            <w:tcW w:w="1351" w:type="dxa"/>
            <w:tcBorders>
              <w:top w:val="nil"/>
              <w:left w:val="nil"/>
              <w:bottom w:val="single" w:sz="4" w:space="0" w:color="auto"/>
              <w:right w:val="single" w:sz="4" w:space="0" w:color="auto"/>
            </w:tcBorders>
            <w:shd w:val="clear" w:color="auto" w:fill="FFFFFF" w:themeFill="background1"/>
            <w:hideMark/>
          </w:tcPr>
          <w:p w14:paraId="69D2C32E" w14:textId="6B6E085D" w:rsidR="006A3DBC" w:rsidRPr="000E6D86" w:rsidRDefault="006A3DBC" w:rsidP="00E12984">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Olancho (Catacamas, Silama), Valle (Nacaome)</w:t>
            </w:r>
          </w:p>
        </w:tc>
        <w:tc>
          <w:tcPr>
            <w:tcW w:w="4718" w:type="dxa"/>
            <w:tcBorders>
              <w:top w:val="nil"/>
              <w:left w:val="nil"/>
              <w:bottom w:val="single" w:sz="4" w:space="0" w:color="auto"/>
              <w:right w:val="single" w:sz="4" w:space="0" w:color="auto"/>
            </w:tcBorders>
            <w:shd w:val="clear" w:color="auto" w:fill="FFFFFF" w:themeFill="background1"/>
            <w:hideMark/>
          </w:tcPr>
          <w:p w14:paraId="559698FF" w14:textId="77777777" w:rsidR="006A3DBC" w:rsidRPr="000E6D86" w:rsidRDefault="006A3DBC" w:rsidP="00111875">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El Proyecto pondrá a disposición una estrategia de comunicación y participación para incentivar la incorporación de hombres y mujeres en las OPRs y en actividades productivas locales.</w:t>
            </w:r>
          </w:p>
          <w:p w14:paraId="0D784DF3" w14:textId="2F4B189B" w:rsidR="006A3DBC" w:rsidRPr="000E6D86" w:rsidRDefault="006A3DBC" w:rsidP="00111875">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 xml:space="preserve">El COMRURAL III ha identificado umbrales mínimos para garantizar la participación y no exclusión de mujeres, jóvenes y personas consideradas vulnerables por el BM: (i) mujeres 30%; (ii) jóvenes (18-29 años) 15%; y (iii) Pueblos Indígenas y </w:t>
            </w:r>
            <w:r w:rsidRPr="000E6D86">
              <w:rPr>
                <w:rFonts w:eastAsia="Times New Roman" w:cs="Arial"/>
                <w:sz w:val="18"/>
                <w:szCs w:val="18"/>
                <w:lang w:val="es-SV" w:eastAsia="es-SV"/>
              </w:rPr>
              <w:lastRenderedPageBreak/>
              <w:t>afrodescendientes 20%. Con estos umbrales que representan proporciones se espera lograr la participación considerando las brechas de acceso de estos a este tipo de proyectos, al mismo tiempo se busca mantener la flexibilidad, dado que las actividades del Componente serán impulsadas por la demanda.</w:t>
            </w:r>
          </w:p>
        </w:tc>
      </w:tr>
      <w:tr w:rsidR="000E6D86" w:rsidRPr="000E6D86" w14:paraId="41A414CD" w14:textId="77777777" w:rsidTr="000E6D86">
        <w:trPr>
          <w:trHeight w:val="1268"/>
        </w:trPr>
        <w:tc>
          <w:tcPr>
            <w:tcW w:w="3121" w:type="dxa"/>
            <w:tcBorders>
              <w:top w:val="nil"/>
              <w:left w:val="single" w:sz="4" w:space="0" w:color="auto"/>
              <w:bottom w:val="single" w:sz="4" w:space="0" w:color="auto"/>
              <w:right w:val="single" w:sz="4" w:space="0" w:color="auto"/>
            </w:tcBorders>
            <w:shd w:val="clear" w:color="auto" w:fill="FFFFFF" w:themeFill="background1"/>
            <w:hideMark/>
          </w:tcPr>
          <w:p w14:paraId="1DE1B8AF"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lastRenderedPageBreak/>
              <w:t>Componente 1 Mejoramiento de la competitividad y la resiliencia en las cadenas de valor priorizadas.</w:t>
            </w:r>
          </w:p>
        </w:tc>
        <w:tc>
          <w:tcPr>
            <w:tcW w:w="849" w:type="dxa"/>
            <w:tcBorders>
              <w:top w:val="nil"/>
              <w:left w:val="nil"/>
              <w:bottom w:val="single" w:sz="4" w:space="0" w:color="auto"/>
              <w:right w:val="single" w:sz="4" w:space="0" w:color="auto"/>
            </w:tcBorders>
            <w:shd w:val="clear" w:color="auto" w:fill="FFFFFF" w:themeFill="background1"/>
            <w:noWrap/>
            <w:hideMark/>
          </w:tcPr>
          <w:p w14:paraId="7776D4C8" w14:textId="71DA4BB9" w:rsidR="006A3DBC" w:rsidRPr="000E6D86" w:rsidRDefault="006A3DBC" w:rsidP="00E12984">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Social</w:t>
            </w:r>
          </w:p>
        </w:tc>
        <w:tc>
          <w:tcPr>
            <w:tcW w:w="3678" w:type="dxa"/>
            <w:tcBorders>
              <w:top w:val="nil"/>
              <w:left w:val="nil"/>
              <w:bottom w:val="single" w:sz="4" w:space="0" w:color="auto"/>
              <w:right w:val="single" w:sz="4" w:space="0" w:color="auto"/>
            </w:tcBorders>
            <w:shd w:val="clear" w:color="auto" w:fill="FFFFFF" w:themeFill="background1"/>
            <w:hideMark/>
          </w:tcPr>
          <w:p w14:paraId="24CDFA3D"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Riesgo de baja participación de mujeres en las actividades del Proyecto.</w:t>
            </w:r>
          </w:p>
        </w:tc>
        <w:tc>
          <w:tcPr>
            <w:tcW w:w="1351" w:type="dxa"/>
            <w:tcBorders>
              <w:top w:val="nil"/>
              <w:left w:val="nil"/>
              <w:bottom w:val="single" w:sz="4" w:space="0" w:color="auto"/>
              <w:right w:val="single" w:sz="4" w:space="0" w:color="auto"/>
            </w:tcBorders>
            <w:shd w:val="clear" w:color="auto" w:fill="FFFFFF" w:themeFill="background1"/>
            <w:hideMark/>
          </w:tcPr>
          <w:p w14:paraId="0D05BA20" w14:textId="77777777" w:rsidR="006A3DBC" w:rsidRPr="000E6D86" w:rsidRDefault="006A3DBC" w:rsidP="00E12984">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Yoro</w:t>
            </w:r>
          </w:p>
        </w:tc>
        <w:tc>
          <w:tcPr>
            <w:tcW w:w="4718" w:type="dxa"/>
            <w:tcBorders>
              <w:top w:val="nil"/>
              <w:left w:val="nil"/>
              <w:bottom w:val="single" w:sz="4" w:space="0" w:color="auto"/>
              <w:right w:val="single" w:sz="4" w:space="0" w:color="auto"/>
            </w:tcBorders>
            <w:shd w:val="clear" w:color="auto" w:fill="FFFFFF" w:themeFill="background1"/>
            <w:hideMark/>
          </w:tcPr>
          <w:p w14:paraId="2FC20770" w14:textId="77777777" w:rsidR="006A3DBC" w:rsidRPr="000E6D86" w:rsidRDefault="006A3DBC" w:rsidP="00111875">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 xml:space="preserve">El Proyecto dispone de una tabla de calificación que brinda un puntaje extra para organizaciones de productores que presentan parcial (superior al 25%) o totalmente (100%) de organizaciones formadas por mujeres, jóvenes e indígenas. </w:t>
            </w:r>
          </w:p>
        </w:tc>
      </w:tr>
      <w:tr w:rsidR="000E6D86" w:rsidRPr="000E6D86" w14:paraId="0C3F5755" w14:textId="77777777" w:rsidTr="000E6D86">
        <w:trPr>
          <w:trHeight w:val="628"/>
        </w:trPr>
        <w:tc>
          <w:tcPr>
            <w:tcW w:w="3121" w:type="dxa"/>
            <w:tcBorders>
              <w:top w:val="nil"/>
              <w:left w:val="single" w:sz="4" w:space="0" w:color="auto"/>
              <w:bottom w:val="single" w:sz="4" w:space="0" w:color="auto"/>
              <w:right w:val="single" w:sz="4" w:space="0" w:color="auto"/>
            </w:tcBorders>
            <w:shd w:val="clear" w:color="auto" w:fill="FFFFFF" w:themeFill="background1"/>
            <w:hideMark/>
          </w:tcPr>
          <w:p w14:paraId="4EBED064"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 xml:space="preserve">Componente 1 Mejoramiento de la competitividad y la resiliencia en las cadenas de valor priorizadas y componente 2. </w:t>
            </w:r>
          </w:p>
        </w:tc>
        <w:tc>
          <w:tcPr>
            <w:tcW w:w="849" w:type="dxa"/>
            <w:tcBorders>
              <w:top w:val="nil"/>
              <w:left w:val="nil"/>
              <w:bottom w:val="single" w:sz="4" w:space="0" w:color="auto"/>
              <w:right w:val="single" w:sz="4" w:space="0" w:color="auto"/>
            </w:tcBorders>
            <w:shd w:val="clear" w:color="auto" w:fill="FFFFFF" w:themeFill="background1"/>
            <w:noWrap/>
            <w:hideMark/>
          </w:tcPr>
          <w:p w14:paraId="094D76F4" w14:textId="5E97DE08" w:rsidR="006A3DBC" w:rsidRPr="000E6D86" w:rsidRDefault="006A3DBC" w:rsidP="00E12984">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Social</w:t>
            </w:r>
          </w:p>
        </w:tc>
        <w:tc>
          <w:tcPr>
            <w:tcW w:w="3678" w:type="dxa"/>
            <w:tcBorders>
              <w:top w:val="nil"/>
              <w:left w:val="nil"/>
              <w:bottom w:val="single" w:sz="4" w:space="0" w:color="auto"/>
              <w:right w:val="single" w:sz="4" w:space="0" w:color="auto"/>
            </w:tcBorders>
            <w:shd w:val="clear" w:color="auto" w:fill="FFFFFF" w:themeFill="background1"/>
            <w:hideMark/>
          </w:tcPr>
          <w:p w14:paraId="7BD93452"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Riesgo que no se contraten formuladores de PdNs a tiempo tanto para ventana 1 como 2 genere documentos que no cumplan requisitos técnicos que faciliten su aprobación o sean rechazados.</w:t>
            </w:r>
          </w:p>
        </w:tc>
        <w:tc>
          <w:tcPr>
            <w:tcW w:w="1351" w:type="dxa"/>
            <w:tcBorders>
              <w:top w:val="nil"/>
              <w:left w:val="nil"/>
              <w:bottom w:val="single" w:sz="4" w:space="0" w:color="auto"/>
              <w:right w:val="single" w:sz="4" w:space="0" w:color="auto"/>
            </w:tcBorders>
            <w:shd w:val="clear" w:color="auto" w:fill="FFFFFF" w:themeFill="background1"/>
            <w:hideMark/>
          </w:tcPr>
          <w:p w14:paraId="56B92B25" w14:textId="7743DA9B" w:rsidR="006A3DBC" w:rsidRPr="000E6D86" w:rsidRDefault="006A3DBC" w:rsidP="00E12984">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Valle</w:t>
            </w:r>
          </w:p>
        </w:tc>
        <w:tc>
          <w:tcPr>
            <w:tcW w:w="4718" w:type="dxa"/>
            <w:tcBorders>
              <w:top w:val="nil"/>
              <w:left w:val="nil"/>
              <w:bottom w:val="single" w:sz="4" w:space="0" w:color="auto"/>
              <w:right w:val="single" w:sz="4" w:space="0" w:color="auto"/>
            </w:tcBorders>
            <w:shd w:val="clear" w:color="auto" w:fill="FFFFFF" w:themeFill="background1"/>
            <w:hideMark/>
          </w:tcPr>
          <w:p w14:paraId="18B8FFF0" w14:textId="58017134" w:rsidR="006A3DBC" w:rsidRPr="000E6D86" w:rsidRDefault="006A3DBC" w:rsidP="00111875">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 xml:space="preserve">El Proyecto, </w:t>
            </w:r>
            <w:r w:rsidR="000E6D86">
              <w:rPr>
                <w:rFonts w:eastAsia="Times New Roman" w:cs="Arial"/>
                <w:sz w:val="18"/>
                <w:szCs w:val="18"/>
                <w:lang w:val="es-SV" w:eastAsia="es-SV"/>
              </w:rPr>
              <w:t>en conjunto</w:t>
            </w:r>
            <w:r w:rsidRPr="000E6D86">
              <w:rPr>
                <w:rFonts w:eastAsia="Times New Roman" w:cs="Arial"/>
                <w:sz w:val="18"/>
                <w:szCs w:val="18"/>
                <w:lang w:val="es-SV" w:eastAsia="es-SV"/>
              </w:rPr>
              <w:t xml:space="preserve"> con el área de adquisiciones, buscar</w:t>
            </w:r>
            <w:r w:rsidR="003326A0" w:rsidRPr="000E6D86">
              <w:rPr>
                <w:rFonts w:eastAsia="Times New Roman" w:cs="Arial"/>
                <w:sz w:val="18"/>
                <w:szCs w:val="18"/>
                <w:lang w:val="es-SV" w:eastAsia="es-SV"/>
              </w:rPr>
              <w:t>á</w:t>
            </w:r>
            <w:r w:rsidRPr="000E6D86">
              <w:rPr>
                <w:rFonts w:eastAsia="Times New Roman" w:cs="Arial"/>
                <w:sz w:val="18"/>
                <w:szCs w:val="18"/>
                <w:lang w:val="es-SV" w:eastAsia="es-SV"/>
              </w:rPr>
              <w:t xml:space="preserve"> desarrollar mecanismos agiles y oportunos que faciliten la contratación de asistencia técnica para la elaboración de PdNs que no pueden financiar su propio proceso. </w:t>
            </w:r>
          </w:p>
        </w:tc>
      </w:tr>
      <w:tr w:rsidR="000E6D86" w:rsidRPr="000E6D86" w14:paraId="5340D42B" w14:textId="77777777" w:rsidTr="000E6D86">
        <w:trPr>
          <w:trHeight w:val="845"/>
        </w:trPr>
        <w:tc>
          <w:tcPr>
            <w:tcW w:w="3121" w:type="dxa"/>
            <w:tcBorders>
              <w:top w:val="nil"/>
              <w:left w:val="single" w:sz="4" w:space="0" w:color="auto"/>
              <w:bottom w:val="single" w:sz="4" w:space="0" w:color="auto"/>
              <w:right w:val="single" w:sz="4" w:space="0" w:color="auto"/>
            </w:tcBorders>
            <w:shd w:val="clear" w:color="auto" w:fill="FFFFFF" w:themeFill="background1"/>
            <w:hideMark/>
          </w:tcPr>
          <w:p w14:paraId="750613BE"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Componente 1 Mejoramiento de la competitividad y la resiliencia en las cadenas de valor priorizadas.</w:t>
            </w:r>
          </w:p>
        </w:tc>
        <w:tc>
          <w:tcPr>
            <w:tcW w:w="849" w:type="dxa"/>
            <w:tcBorders>
              <w:top w:val="nil"/>
              <w:left w:val="nil"/>
              <w:bottom w:val="single" w:sz="4" w:space="0" w:color="auto"/>
              <w:right w:val="single" w:sz="4" w:space="0" w:color="auto"/>
            </w:tcBorders>
            <w:shd w:val="clear" w:color="auto" w:fill="FFFFFF" w:themeFill="background1"/>
            <w:noWrap/>
            <w:hideMark/>
          </w:tcPr>
          <w:p w14:paraId="05306540" w14:textId="5BFBDFC3" w:rsidR="006A3DBC" w:rsidRPr="000E6D86" w:rsidRDefault="006A3DBC" w:rsidP="00E12984">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Social</w:t>
            </w:r>
          </w:p>
        </w:tc>
        <w:tc>
          <w:tcPr>
            <w:tcW w:w="3678" w:type="dxa"/>
            <w:tcBorders>
              <w:top w:val="nil"/>
              <w:left w:val="nil"/>
              <w:bottom w:val="single" w:sz="4" w:space="0" w:color="auto"/>
              <w:right w:val="single" w:sz="4" w:space="0" w:color="auto"/>
            </w:tcBorders>
            <w:shd w:val="clear" w:color="auto" w:fill="FFFFFF" w:themeFill="background1"/>
            <w:hideMark/>
          </w:tcPr>
          <w:p w14:paraId="2CA8FA3B"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 xml:space="preserve">Riesgo de baja participación de mujeres y exclusión en las cadenas de valor. </w:t>
            </w:r>
          </w:p>
        </w:tc>
        <w:tc>
          <w:tcPr>
            <w:tcW w:w="1351" w:type="dxa"/>
            <w:tcBorders>
              <w:top w:val="nil"/>
              <w:left w:val="nil"/>
              <w:bottom w:val="single" w:sz="4" w:space="0" w:color="auto"/>
              <w:right w:val="single" w:sz="4" w:space="0" w:color="auto"/>
            </w:tcBorders>
            <w:shd w:val="clear" w:color="auto" w:fill="FFFFFF" w:themeFill="background1"/>
            <w:hideMark/>
          </w:tcPr>
          <w:p w14:paraId="699462D4" w14:textId="77777777" w:rsidR="006A3DBC" w:rsidRPr="000E6D86" w:rsidRDefault="006A3DBC" w:rsidP="00E12984">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Valle</w:t>
            </w:r>
          </w:p>
        </w:tc>
        <w:tc>
          <w:tcPr>
            <w:tcW w:w="4718" w:type="dxa"/>
            <w:tcBorders>
              <w:top w:val="nil"/>
              <w:left w:val="nil"/>
              <w:bottom w:val="single" w:sz="4" w:space="0" w:color="auto"/>
              <w:right w:val="single" w:sz="4" w:space="0" w:color="auto"/>
            </w:tcBorders>
            <w:shd w:val="clear" w:color="auto" w:fill="FFFFFF" w:themeFill="background1"/>
            <w:hideMark/>
          </w:tcPr>
          <w:p w14:paraId="16012185" w14:textId="77777777" w:rsidR="00111875" w:rsidRPr="000E6D86" w:rsidRDefault="006A3DBC" w:rsidP="00111875">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El Proyecto contempla criterios de inclusión para mujeres en las cadenas de valor.</w:t>
            </w:r>
          </w:p>
          <w:p w14:paraId="2A7B322E" w14:textId="4BAA584F" w:rsidR="006A3DBC" w:rsidRPr="000E6D86" w:rsidRDefault="006A3DBC" w:rsidP="00111875">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 xml:space="preserve"> El Proyecto apoyará acciones para promover la membresía de mujeres en los sectores vinculados a las cadenas de valor a financiar.</w:t>
            </w:r>
          </w:p>
        </w:tc>
      </w:tr>
      <w:tr w:rsidR="000E6D86" w:rsidRPr="000E6D86" w14:paraId="5FD0D6D0" w14:textId="77777777" w:rsidTr="000E6D86">
        <w:trPr>
          <w:trHeight w:val="2859"/>
        </w:trPr>
        <w:tc>
          <w:tcPr>
            <w:tcW w:w="3121" w:type="dxa"/>
            <w:tcBorders>
              <w:top w:val="nil"/>
              <w:left w:val="single" w:sz="4" w:space="0" w:color="auto"/>
              <w:bottom w:val="single" w:sz="4" w:space="0" w:color="auto"/>
              <w:right w:val="single" w:sz="4" w:space="0" w:color="auto"/>
            </w:tcBorders>
            <w:shd w:val="clear" w:color="auto" w:fill="FFFFFF" w:themeFill="background1"/>
            <w:hideMark/>
          </w:tcPr>
          <w:p w14:paraId="79185E11"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Componente 1 Mejoramiento de la competitividad y la resiliencia en las cadenas de valor priorizadas.</w:t>
            </w:r>
          </w:p>
        </w:tc>
        <w:tc>
          <w:tcPr>
            <w:tcW w:w="849" w:type="dxa"/>
            <w:tcBorders>
              <w:top w:val="nil"/>
              <w:left w:val="nil"/>
              <w:bottom w:val="single" w:sz="4" w:space="0" w:color="auto"/>
              <w:right w:val="single" w:sz="4" w:space="0" w:color="auto"/>
            </w:tcBorders>
            <w:shd w:val="clear" w:color="auto" w:fill="FFFFFF" w:themeFill="background1"/>
            <w:noWrap/>
            <w:hideMark/>
          </w:tcPr>
          <w:p w14:paraId="36DDBA52" w14:textId="68C428C9" w:rsidR="006A3DBC" w:rsidRPr="000E6D86" w:rsidRDefault="006A3DBC" w:rsidP="00E12984">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Social</w:t>
            </w:r>
          </w:p>
        </w:tc>
        <w:tc>
          <w:tcPr>
            <w:tcW w:w="3678" w:type="dxa"/>
            <w:tcBorders>
              <w:top w:val="nil"/>
              <w:left w:val="nil"/>
              <w:bottom w:val="single" w:sz="4" w:space="0" w:color="auto"/>
              <w:right w:val="single" w:sz="4" w:space="0" w:color="auto"/>
            </w:tcBorders>
            <w:shd w:val="clear" w:color="auto" w:fill="FFFFFF" w:themeFill="background1"/>
            <w:hideMark/>
          </w:tcPr>
          <w:p w14:paraId="7341B746" w14:textId="08C1D6F4"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 xml:space="preserve">Riesgos de exclusión de grupos de productores/ </w:t>
            </w:r>
            <w:r w:rsidR="53B29A95" w:rsidRPr="000E6D86">
              <w:rPr>
                <w:rFonts w:eastAsia="Times New Roman" w:cs="Arial"/>
                <w:sz w:val="18"/>
                <w:szCs w:val="18"/>
                <w:lang w:val="es-SV" w:eastAsia="es-SV"/>
              </w:rPr>
              <w:t>OPRs</w:t>
            </w:r>
            <w:r w:rsidRPr="000E6D86">
              <w:rPr>
                <w:rFonts w:eastAsia="Times New Roman" w:cs="Arial"/>
                <w:sz w:val="18"/>
                <w:szCs w:val="18"/>
                <w:lang w:val="es-SV" w:eastAsia="es-SV"/>
              </w:rPr>
              <w:t xml:space="preserve">, en ambos casos integradas en su mayoría por mujeres, por falta de recursos económicos/ financieros para sufragar los costos de formulación de sus </w:t>
            </w:r>
            <w:r w:rsidR="53B29A95" w:rsidRPr="000E6D86">
              <w:rPr>
                <w:rFonts w:eastAsia="Times New Roman" w:cs="Arial"/>
                <w:sz w:val="18"/>
                <w:szCs w:val="18"/>
                <w:lang w:val="es-SV" w:eastAsia="es-SV"/>
              </w:rPr>
              <w:t>PdNs</w:t>
            </w:r>
            <w:r w:rsidRPr="000E6D86">
              <w:rPr>
                <w:rFonts w:eastAsia="Times New Roman" w:cs="Arial"/>
                <w:sz w:val="18"/>
                <w:szCs w:val="18"/>
                <w:lang w:val="es-SV" w:eastAsia="es-SV"/>
              </w:rPr>
              <w:t xml:space="preserve">.                                                                                                                                                                                                                                                                                                                                                                                                                                                                                                                                                                                                                                                                                                                                                                         </w:t>
            </w:r>
          </w:p>
        </w:tc>
        <w:tc>
          <w:tcPr>
            <w:tcW w:w="1351" w:type="dxa"/>
            <w:tcBorders>
              <w:top w:val="nil"/>
              <w:left w:val="nil"/>
              <w:bottom w:val="single" w:sz="4" w:space="0" w:color="auto"/>
              <w:right w:val="single" w:sz="4" w:space="0" w:color="auto"/>
            </w:tcBorders>
            <w:shd w:val="clear" w:color="auto" w:fill="FFFFFF" w:themeFill="background1"/>
            <w:hideMark/>
          </w:tcPr>
          <w:p w14:paraId="3B20F051" w14:textId="08C9242B" w:rsidR="006A3DBC" w:rsidRPr="000E6D86" w:rsidRDefault="006A3DBC" w:rsidP="00E12984">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Olancho (Catacamas, Salamá, Valle (Nacaome)</w:t>
            </w:r>
          </w:p>
        </w:tc>
        <w:tc>
          <w:tcPr>
            <w:tcW w:w="4718" w:type="dxa"/>
            <w:tcBorders>
              <w:top w:val="nil"/>
              <w:left w:val="nil"/>
              <w:bottom w:val="single" w:sz="4" w:space="0" w:color="auto"/>
              <w:right w:val="single" w:sz="4" w:space="0" w:color="auto"/>
            </w:tcBorders>
            <w:shd w:val="clear" w:color="auto" w:fill="FFFFFF" w:themeFill="background1"/>
            <w:hideMark/>
          </w:tcPr>
          <w:p w14:paraId="79B01EE0" w14:textId="57813C4C" w:rsidR="006A3DBC" w:rsidRPr="000E6D86" w:rsidRDefault="006A3DBC" w:rsidP="00111875">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 xml:space="preserve">El Proyecto contempla asistencia técnica para el asesoramiento en el diseño de </w:t>
            </w:r>
            <w:proofErr w:type="gramStart"/>
            <w:r w:rsidR="000E6D86" w:rsidRPr="000E6D86">
              <w:rPr>
                <w:rFonts w:eastAsia="Times New Roman" w:cs="Arial"/>
                <w:sz w:val="18"/>
                <w:szCs w:val="18"/>
                <w:lang w:val="es-SV" w:eastAsia="es-SV"/>
              </w:rPr>
              <w:t xml:space="preserve">PdNs,  </w:t>
            </w:r>
            <w:r w:rsidR="56F854F7" w:rsidRPr="000E6D86">
              <w:rPr>
                <w:rFonts w:eastAsia="Times New Roman" w:cs="Arial"/>
                <w:sz w:val="18"/>
                <w:szCs w:val="18"/>
                <w:lang w:val="es-SV" w:eastAsia="es-SV"/>
              </w:rPr>
              <w:t>de</w:t>
            </w:r>
            <w:proofErr w:type="gramEnd"/>
            <w:r w:rsidR="56F854F7" w:rsidRPr="000E6D86">
              <w:rPr>
                <w:rFonts w:eastAsia="Times New Roman" w:cs="Arial"/>
                <w:sz w:val="18"/>
                <w:szCs w:val="18"/>
                <w:lang w:val="es-SV" w:eastAsia="es-SV"/>
              </w:rPr>
              <w:t xml:space="preserve"> OPR de </w:t>
            </w:r>
            <w:r w:rsidRPr="000E6D86">
              <w:rPr>
                <w:rFonts w:eastAsia="Times New Roman" w:cs="Arial"/>
                <w:sz w:val="18"/>
                <w:szCs w:val="18"/>
                <w:lang w:val="es-SV" w:eastAsia="es-SV"/>
              </w:rPr>
              <w:t>mujeres</w:t>
            </w:r>
            <w:r w:rsidR="3FB1525D" w:rsidRPr="000E6D86">
              <w:rPr>
                <w:rFonts w:eastAsia="Times New Roman" w:cs="Arial"/>
                <w:sz w:val="18"/>
                <w:szCs w:val="18"/>
                <w:lang w:val="es-SV" w:eastAsia="es-SV"/>
              </w:rPr>
              <w:t xml:space="preserve"> y otros grupos en donde compruebe que no tienen capacidad de asumir estos costos. </w:t>
            </w:r>
          </w:p>
          <w:p w14:paraId="749D7434" w14:textId="6040144B" w:rsidR="006A3DBC" w:rsidRPr="000E6D86" w:rsidRDefault="006A3DBC" w:rsidP="00111875">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 xml:space="preserve">El Proyecto, </w:t>
            </w:r>
            <w:r w:rsidR="000E6D86">
              <w:rPr>
                <w:rFonts w:eastAsia="Times New Roman" w:cs="Arial"/>
                <w:sz w:val="18"/>
                <w:szCs w:val="18"/>
                <w:lang w:val="es-SV" w:eastAsia="es-SV"/>
              </w:rPr>
              <w:t>en conjunto</w:t>
            </w:r>
            <w:r w:rsidRPr="000E6D86">
              <w:rPr>
                <w:rFonts w:eastAsia="Times New Roman" w:cs="Arial"/>
                <w:sz w:val="18"/>
                <w:szCs w:val="18"/>
                <w:lang w:val="es-SV" w:eastAsia="es-SV"/>
              </w:rPr>
              <w:t xml:space="preserve"> con el área de adquisiciones, buscarán desarrollar mecanismos agiles y oportunos que faciliten la contratación de asistencia técnica para la elaboración de PdNs para grupos o personas indígenas y afrohondureños, que no pueden financiar su propio proceso. </w:t>
            </w:r>
          </w:p>
          <w:p w14:paraId="577FE068" w14:textId="7504F2F6" w:rsidR="006A3DBC" w:rsidRPr="000E6D86" w:rsidRDefault="006A3DBC" w:rsidP="00111875">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 xml:space="preserve">El Proyecto deberá contemplar capacitaciones que permitan brindan fortalecer capacidades de las personas de la organización. </w:t>
            </w:r>
          </w:p>
        </w:tc>
      </w:tr>
      <w:tr w:rsidR="000E6D86" w:rsidRPr="000E6D86" w14:paraId="54C1F09B" w14:textId="77777777" w:rsidTr="000E6D86">
        <w:trPr>
          <w:trHeight w:val="3635"/>
        </w:trPr>
        <w:tc>
          <w:tcPr>
            <w:tcW w:w="3121" w:type="dxa"/>
            <w:tcBorders>
              <w:top w:val="nil"/>
              <w:left w:val="single" w:sz="4" w:space="0" w:color="auto"/>
              <w:bottom w:val="single" w:sz="4" w:space="0" w:color="auto"/>
              <w:right w:val="single" w:sz="4" w:space="0" w:color="auto"/>
            </w:tcBorders>
            <w:shd w:val="clear" w:color="auto" w:fill="FFFFFF" w:themeFill="background1"/>
            <w:hideMark/>
          </w:tcPr>
          <w:p w14:paraId="69CDCC04"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lastRenderedPageBreak/>
              <w:t>Componente 1 Mejoramiento de la competitividad y la resiliencia en las cadenas de valor priorizadas.</w:t>
            </w:r>
          </w:p>
        </w:tc>
        <w:tc>
          <w:tcPr>
            <w:tcW w:w="849" w:type="dxa"/>
            <w:tcBorders>
              <w:top w:val="nil"/>
              <w:left w:val="nil"/>
              <w:bottom w:val="single" w:sz="4" w:space="0" w:color="auto"/>
              <w:right w:val="single" w:sz="4" w:space="0" w:color="auto"/>
            </w:tcBorders>
            <w:shd w:val="clear" w:color="auto" w:fill="FFFFFF" w:themeFill="background1"/>
            <w:noWrap/>
            <w:hideMark/>
          </w:tcPr>
          <w:p w14:paraId="1718A938" w14:textId="485D84E8" w:rsidR="006A3DBC" w:rsidRPr="000E6D86" w:rsidRDefault="006A3DBC" w:rsidP="00E12984">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Social</w:t>
            </w:r>
          </w:p>
        </w:tc>
        <w:tc>
          <w:tcPr>
            <w:tcW w:w="3678" w:type="dxa"/>
            <w:tcBorders>
              <w:top w:val="nil"/>
              <w:left w:val="nil"/>
              <w:bottom w:val="single" w:sz="4" w:space="0" w:color="auto"/>
              <w:right w:val="single" w:sz="4" w:space="0" w:color="auto"/>
            </w:tcBorders>
            <w:shd w:val="clear" w:color="auto" w:fill="FFFFFF" w:themeFill="background1"/>
            <w:hideMark/>
          </w:tcPr>
          <w:p w14:paraId="2820952C"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Riesgo de ampliarse la brecha de desigualdad de género en el acceso a las actividades del Proyecto.</w:t>
            </w:r>
          </w:p>
        </w:tc>
        <w:tc>
          <w:tcPr>
            <w:tcW w:w="1351" w:type="dxa"/>
            <w:tcBorders>
              <w:top w:val="nil"/>
              <w:left w:val="nil"/>
              <w:bottom w:val="single" w:sz="4" w:space="0" w:color="auto"/>
              <w:right w:val="single" w:sz="4" w:space="0" w:color="auto"/>
            </w:tcBorders>
            <w:shd w:val="clear" w:color="auto" w:fill="FFFFFF" w:themeFill="background1"/>
            <w:hideMark/>
          </w:tcPr>
          <w:p w14:paraId="05078BEF" w14:textId="277D4516" w:rsidR="006A3DBC" w:rsidRPr="000E6D86" w:rsidRDefault="006A3DBC" w:rsidP="00E12984">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Olancho (Catacamas, Salamá), Valle (Nacaome)</w:t>
            </w:r>
          </w:p>
        </w:tc>
        <w:tc>
          <w:tcPr>
            <w:tcW w:w="4718" w:type="dxa"/>
            <w:tcBorders>
              <w:top w:val="nil"/>
              <w:left w:val="nil"/>
              <w:bottom w:val="single" w:sz="4" w:space="0" w:color="auto"/>
              <w:right w:val="single" w:sz="4" w:space="0" w:color="auto"/>
            </w:tcBorders>
            <w:shd w:val="clear" w:color="auto" w:fill="FFFFFF" w:themeFill="background1"/>
            <w:hideMark/>
          </w:tcPr>
          <w:p w14:paraId="0D90063A" w14:textId="35941591" w:rsidR="006A3DBC" w:rsidRPr="000E6D86" w:rsidRDefault="006A3DBC" w:rsidP="00A20261">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El Proyecto identificará acciones afirmativas género inclusivas para incentivar la participación de hombres y mujeres, considerando sus necesidades diferenciadas</w:t>
            </w:r>
            <w:r w:rsidR="00A20261" w:rsidRPr="000E6D86">
              <w:rPr>
                <w:rFonts w:eastAsia="Times New Roman" w:cs="Arial"/>
                <w:sz w:val="18"/>
                <w:szCs w:val="18"/>
                <w:lang w:val="es-SV" w:eastAsia="es-SV"/>
              </w:rPr>
              <w:t>.</w:t>
            </w:r>
          </w:p>
          <w:p w14:paraId="694B8D99" w14:textId="393684F3" w:rsidR="006A3DBC" w:rsidRPr="000E6D86" w:rsidRDefault="00A20261" w:rsidP="00A20261">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 xml:space="preserve">Promover </w:t>
            </w:r>
            <w:r w:rsidR="006A3DBC" w:rsidRPr="000E6D86">
              <w:rPr>
                <w:rFonts w:eastAsia="Times New Roman" w:cs="Arial"/>
                <w:sz w:val="18"/>
                <w:szCs w:val="18"/>
                <w:lang w:val="es-SV" w:eastAsia="es-SV"/>
              </w:rPr>
              <w:t>el ingreso</w:t>
            </w:r>
            <w:r w:rsidR="378C148B" w:rsidRPr="000E6D86">
              <w:rPr>
                <w:rFonts w:eastAsia="Times New Roman" w:cs="Arial"/>
                <w:sz w:val="18"/>
                <w:szCs w:val="18"/>
                <w:lang w:val="es-SV" w:eastAsia="es-SV"/>
              </w:rPr>
              <w:t xml:space="preserve"> </w:t>
            </w:r>
            <w:r w:rsidR="006A3DBC" w:rsidRPr="000E6D86">
              <w:rPr>
                <w:rFonts w:eastAsia="Times New Roman" w:cs="Arial"/>
                <w:sz w:val="18"/>
                <w:szCs w:val="18"/>
                <w:lang w:val="es-SV" w:eastAsia="es-SV"/>
              </w:rPr>
              <w:t>de más mujeres al Proyecto.</w:t>
            </w:r>
          </w:p>
          <w:p w14:paraId="12841F12" w14:textId="77777777" w:rsidR="006A3DBC" w:rsidRPr="000E6D86" w:rsidRDefault="006A3DBC" w:rsidP="00A20261">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 xml:space="preserve">Búsqueda de estrategias para reducir las brechas de género en la participación de las mujeres </w:t>
            </w:r>
            <w:r w:rsidRPr="000E6D86">
              <w:rPr>
                <w:rFonts w:eastAsia="Times New Roman" w:cs="Arial"/>
                <w:sz w:val="18"/>
                <w:szCs w:val="18"/>
                <w:lang w:val="es-SV" w:eastAsia="es-SV"/>
              </w:rPr>
              <w:br/>
              <w:t xml:space="preserve">Ampliar espacios y oportunidades para hombres y mujeres </w:t>
            </w:r>
            <w:r w:rsidRPr="000E6D86">
              <w:rPr>
                <w:rFonts w:eastAsia="Times New Roman" w:cs="Arial"/>
                <w:sz w:val="18"/>
                <w:szCs w:val="18"/>
                <w:lang w:val="es-SV" w:eastAsia="es-SV"/>
              </w:rPr>
              <w:br/>
              <w:t>Promover un enfoque de trabajo en el que se compartan responsabilidades entre hombres y mujeres.</w:t>
            </w:r>
          </w:p>
          <w:p w14:paraId="71A8AC02" w14:textId="54080F41" w:rsidR="006A3DBC" w:rsidRPr="000E6D86" w:rsidRDefault="006A3DBC" w:rsidP="00A20261">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Definir estrategias para incluir mujeres y motivarlas para participar en las actividades de campo.</w:t>
            </w:r>
          </w:p>
          <w:p w14:paraId="6EDBCAF3" w14:textId="577176F9" w:rsidR="006A3DBC" w:rsidRPr="000E6D86" w:rsidRDefault="006A3DBC" w:rsidP="00A20261">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El Proyecto deberá cumplir con la cuota de al menos del 30% en la participación de mujeres.</w:t>
            </w:r>
          </w:p>
          <w:p w14:paraId="0105C0CC" w14:textId="77777777" w:rsidR="006A3DBC" w:rsidRPr="000E6D86" w:rsidRDefault="006A3DBC" w:rsidP="00A20261">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Desarrollar talleres de género a los miembros de las organizaciones para concienciar sobre el tema de la desigualdad.</w:t>
            </w:r>
          </w:p>
        </w:tc>
      </w:tr>
      <w:tr w:rsidR="000E6D86" w:rsidRPr="000E6D86" w14:paraId="75BE17BD" w14:textId="77777777" w:rsidTr="000E6D86">
        <w:trPr>
          <w:trHeight w:val="2823"/>
        </w:trPr>
        <w:tc>
          <w:tcPr>
            <w:tcW w:w="3121" w:type="dxa"/>
            <w:tcBorders>
              <w:top w:val="nil"/>
              <w:left w:val="single" w:sz="4" w:space="0" w:color="auto"/>
              <w:bottom w:val="single" w:sz="4" w:space="0" w:color="auto"/>
              <w:right w:val="single" w:sz="4" w:space="0" w:color="auto"/>
            </w:tcBorders>
            <w:shd w:val="clear" w:color="auto" w:fill="FFFFFF" w:themeFill="background1"/>
            <w:hideMark/>
          </w:tcPr>
          <w:p w14:paraId="2F384161"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Componente 1 Mejoramiento de la competitividad y la resiliencia en las cadenas de valor priorizadas.</w:t>
            </w:r>
          </w:p>
        </w:tc>
        <w:tc>
          <w:tcPr>
            <w:tcW w:w="849" w:type="dxa"/>
            <w:tcBorders>
              <w:top w:val="nil"/>
              <w:left w:val="nil"/>
              <w:bottom w:val="single" w:sz="4" w:space="0" w:color="auto"/>
              <w:right w:val="single" w:sz="4" w:space="0" w:color="auto"/>
            </w:tcBorders>
            <w:shd w:val="clear" w:color="auto" w:fill="FFFFFF" w:themeFill="background1"/>
            <w:noWrap/>
            <w:hideMark/>
          </w:tcPr>
          <w:p w14:paraId="1C30E7BA" w14:textId="21DC50A3" w:rsidR="006A3DBC" w:rsidRPr="000E6D86" w:rsidRDefault="006A3DBC" w:rsidP="00E12984">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Social</w:t>
            </w:r>
          </w:p>
        </w:tc>
        <w:tc>
          <w:tcPr>
            <w:tcW w:w="3678" w:type="dxa"/>
            <w:tcBorders>
              <w:top w:val="nil"/>
              <w:left w:val="nil"/>
              <w:bottom w:val="single" w:sz="4" w:space="0" w:color="auto"/>
              <w:right w:val="single" w:sz="4" w:space="0" w:color="auto"/>
            </w:tcBorders>
            <w:shd w:val="clear" w:color="auto" w:fill="FFFFFF" w:themeFill="background1"/>
            <w:hideMark/>
          </w:tcPr>
          <w:p w14:paraId="1B369AF9" w14:textId="30AEABE2"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Riesgo de exclusión de participación de pueblos indígenas y afrohondureños en las actividades del Proyecto debido a falta de</w:t>
            </w:r>
            <w:r w:rsidR="695A2267" w:rsidRPr="000E6D86">
              <w:rPr>
                <w:rFonts w:eastAsia="Times New Roman" w:cs="Arial"/>
                <w:sz w:val="18"/>
                <w:szCs w:val="18"/>
                <w:lang w:val="es-SV" w:eastAsia="es-SV"/>
              </w:rPr>
              <w:t xml:space="preserve"> seguridad</w:t>
            </w:r>
            <w:r w:rsidRPr="000E6D86">
              <w:rPr>
                <w:rFonts w:eastAsia="Times New Roman" w:cs="Arial"/>
                <w:sz w:val="18"/>
                <w:szCs w:val="18"/>
                <w:lang w:val="es-SV" w:eastAsia="es-SV"/>
              </w:rPr>
              <w:t xml:space="preserve"> </w:t>
            </w:r>
            <w:r w:rsidR="30CC4DBF" w:rsidRPr="000E6D86">
              <w:rPr>
                <w:rFonts w:eastAsia="Times New Roman" w:cs="Arial"/>
                <w:sz w:val="18"/>
                <w:szCs w:val="18"/>
                <w:lang w:val="es-SV" w:eastAsia="es-SV"/>
              </w:rPr>
              <w:t xml:space="preserve">en la </w:t>
            </w:r>
            <w:r w:rsidRPr="000E6D86">
              <w:rPr>
                <w:rFonts w:eastAsia="Times New Roman" w:cs="Arial"/>
                <w:sz w:val="18"/>
                <w:szCs w:val="18"/>
                <w:lang w:val="es-SV" w:eastAsia="es-SV"/>
              </w:rPr>
              <w:t>tenencia de tierra, falta de capacidad organizativa y técnica, entre otras.</w:t>
            </w:r>
          </w:p>
        </w:tc>
        <w:tc>
          <w:tcPr>
            <w:tcW w:w="1351" w:type="dxa"/>
            <w:tcBorders>
              <w:top w:val="nil"/>
              <w:left w:val="nil"/>
              <w:bottom w:val="single" w:sz="4" w:space="0" w:color="auto"/>
              <w:right w:val="single" w:sz="4" w:space="0" w:color="auto"/>
            </w:tcBorders>
            <w:shd w:val="clear" w:color="auto" w:fill="FFFFFF" w:themeFill="background1"/>
            <w:hideMark/>
          </w:tcPr>
          <w:p w14:paraId="18E3F21D" w14:textId="73E3C0A1" w:rsidR="006A3DBC" w:rsidRPr="000E6D86" w:rsidRDefault="006A3DBC" w:rsidP="00E12984">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Olancho (Salamá, Catacamas, Juticalpa), Valle (Nacaome)</w:t>
            </w:r>
          </w:p>
        </w:tc>
        <w:tc>
          <w:tcPr>
            <w:tcW w:w="4718" w:type="dxa"/>
            <w:tcBorders>
              <w:top w:val="nil"/>
              <w:left w:val="nil"/>
              <w:bottom w:val="single" w:sz="4" w:space="0" w:color="auto"/>
              <w:right w:val="single" w:sz="4" w:space="0" w:color="auto"/>
            </w:tcBorders>
            <w:shd w:val="clear" w:color="auto" w:fill="FFFFFF" w:themeFill="background1"/>
            <w:hideMark/>
          </w:tcPr>
          <w:p w14:paraId="7DDD2CE9" w14:textId="4F33A2A5" w:rsidR="2F14C7FC" w:rsidRPr="000E6D86" w:rsidRDefault="4A09885E" w:rsidP="3C78D2F6">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Verificar</w:t>
            </w:r>
            <w:r w:rsidR="2F14C7FC" w:rsidRPr="000E6D86">
              <w:rPr>
                <w:rFonts w:eastAsia="Times New Roman" w:cs="Arial"/>
                <w:sz w:val="18"/>
                <w:szCs w:val="18"/>
                <w:lang w:val="es-SV" w:eastAsia="es-SV"/>
              </w:rPr>
              <w:t xml:space="preserve"> las formas de propiedad indígenas y sus órganos de administración.  </w:t>
            </w:r>
            <w:proofErr w:type="gramStart"/>
            <w:r w:rsidR="2F14C7FC" w:rsidRPr="000E6D86">
              <w:rPr>
                <w:rFonts w:eastAsia="Times New Roman" w:cs="Arial"/>
                <w:sz w:val="18"/>
                <w:szCs w:val="18"/>
                <w:lang w:val="es-SV" w:eastAsia="es-SV"/>
              </w:rPr>
              <w:t>Asegurar</w:t>
            </w:r>
            <w:proofErr w:type="gramEnd"/>
            <w:r w:rsidR="2F14C7FC" w:rsidRPr="000E6D86">
              <w:rPr>
                <w:rFonts w:eastAsia="Times New Roman" w:cs="Arial"/>
                <w:sz w:val="18"/>
                <w:szCs w:val="18"/>
                <w:lang w:val="es-SV" w:eastAsia="es-SV"/>
              </w:rPr>
              <w:t xml:space="preserve"> </w:t>
            </w:r>
            <w:r w:rsidR="1153F328" w:rsidRPr="000E6D86">
              <w:rPr>
                <w:rFonts w:eastAsia="Times New Roman" w:cs="Arial"/>
                <w:sz w:val="18"/>
                <w:szCs w:val="18"/>
                <w:lang w:val="es-SV" w:eastAsia="es-SV"/>
              </w:rPr>
              <w:t>que hay acuerdos entre la OPR y el órgano administrador de la propiedad colectiva.</w:t>
            </w:r>
          </w:p>
          <w:p w14:paraId="7BCC0A17" w14:textId="77777777" w:rsidR="006A3DBC" w:rsidRPr="000E6D86" w:rsidRDefault="006A3DBC" w:rsidP="00A20261">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El Proyecto implementará mecanismos intensivos e intencionados para garantizar la convocatoria considerando las necesidades diferenciadas de los distintos pueblos indígenas y afrohondureños, considerando el mapeo de pueblos indígenas y afrodescendientes con el que dispone el Proyecto.</w:t>
            </w:r>
          </w:p>
          <w:p w14:paraId="5DAC001A" w14:textId="0057D769" w:rsidR="006A3DBC" w:rsidRPr="000E6D86" w:rsidRDefault="3A7FC69B" w:rsidP="00A20261">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 xml:space="preserve">El Proyecto ha definido un umbral de participación de personas de pueblos indígenas y afrodescendientes en la zona de intervención del 20%, con lo que se tiene en cuenta la participación </w:t>
            </w:r>
            <w:proofErr w:type="gramStart"/>
            <w:r w:rsidR="2C3CE756" w:rsidRPr="000E6D86">
              <w:rPr>
                <w:rFonts w:eastAsia="Times New Roman" w:cs="Arial"/>
                <w:sz w:val="18"/>
                <w:szCs w:val="18"/>
                <w:lang w:val="es-SV" w:eastAsia="es-SV"/>
              </w:rPr>
              <w:t>del mismo</w:t>
            </w:r>
            <w:proofErr w:type="gramEnd"/>
            <w:r w:rsidRPr="000E6D86">
              <w:rPr>
                <w:rFonts w:eastAsia="Times New Roman" w:cs="Arial"/>
                <w:sz w:val="18"/>
                <w:szCs w:val="18"/>
                <w:lang w:val="es-SV" w:eastAsia="es-SV"/>
              </w:rPr>
              <w:t>, en actividades directas.</w:t>
            </w:r>
          </w:p>
          <w:p w14:paraId="2A8CC714" w14:textId="002EFC89" w:rsidR="006A3DBC" w:rsidRPr="000E6D86" w:rsidRDefault="006A3DBC" w:rsidP="00A20261">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 xml:space="preserve"> El Proyecto incentivará la apertura y participación de personas indígenas y afrohondureños incluyendo de las personas que se autodenominan como parte de estos grupos. </w:t>
            </w:r>
          </w:p>
        </w:tc>
      </w:tr>
      <w:tr w:rsidR="000E6D86" w:rsidRPr="000E6D86" w14:paraId="21027CC5" w14:textId="77777777" w:rsidTr="000E6D86">
        <w:trPr>
          <w:trHeight w:val="714"/>
        </w:trPr>
        <w:tc>
          <w:tcPr>
            <w:tcW w:w="3121" w:type="dxa"/>
            <w:tcBorders>
              <w:top w:val="nil"/>
              <w:left w:val="single" w:sz="4" w:space="0" w:color="auto"/>
              <w:bottom w:val="single" w:sz="4" w:space="0" w:color="auto"/>
              <w:right w:val="single" w:sz="4" w:space="0" w:color="auto"/>
            </w:tcBorders>
            <w:shd w:val="clear" w:color="auto" w:fill="FFFFFF" w:themeFill="background1"/>
            <w:hideMark/>
          </w:tcPr>
          <w:p w14:paraId="18A1A6D2"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lastRenderedPageBreak/>
              <w:t>Componente 1 Mejoramiento de la competitividad y la resiliencia en las cadenas de valor priorizadas.</w:t>
            </w:r>
          </w:p>
        </w:tc>
        <w:tc>
          <w:tcPr>
            <w:tcW w:w="849" w:type="dxa"/>
            <w:tcBorders>
              <w:top w:val="nil"/>
              <w:left w:val="nil"/>
              <w:bottom w:val="single" w:sz="4" w:space="0" w:color="auto"/>
              <w:right w:val="single" w:sz="4" w:space="0" w:color="auto"/>
            </w:tcBorders>
            <w:shd w:val="clear" w:color="auto" w:fill="FFFFFF" w:themeFill="background1"/>
            <w:noWrap/>
            <w:hideMark/>
          </w:tcPr>
          <w:p w14:paraId="0C899531" w14:textId="1C0E4D9E" w:rsidR="006A3DBC" w:rsidRPr="000E6D86" w:rsidRDefault="006A3DBC" w:rsidP="00E12984">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Social</w:t>
            </w:r>
          </w:p>
        </w:tc>
        <w:tc>
          <w:tcPr>
            <w:tcW w:w="3678" w:type="dxa"/>
            <w:tcBorders>
              <w:top w:val="nil"/>
              <w:left w:val="nil"/>
              <w:bottom w:val="single" w:sz="4" w:space="0" w:color="auto"/>
              <w:right w:val="single" w:sz="4" w:space="0" w:color="auto"/>
            </w:tcBorders>
            <w:shd w:val="clear" w:color="auto" w:fill="FFFFFF" w:themeFill="background1"/>
            <w:hideMark/>
          </w:tcPr>
          <w:p w14:paraId="152D368B"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 xml:space="preserve">Riesgo de exclusión de participación de pequeñas agrupaciones conformadas por </w:t>
            </w:r>
            <w:proofErr w:type="gramStart"/>
            <w:r w:rsidRPr="000E6D86">
              <w:rPr>
                <w:rFonts w:eastAsia="Times New Roman" w:cs="Arial"/>
                <w:sz w:val="18"/>
                <w:szCs w:val="18"/>
                <w:lang w:val="es-SV" w:eastAsia="es-SV"/>
              </w:rPr>
              <w:t>productores y productoras</w:t>
            </w:r>
            <w:proofErr w:type="gramEnd"/>
            <w:r w:rsidRPr="000E6D86">
              <w:rPr>
                <w:rFonts w:eastAsia="Times New Roman" w:cs="Arial"/>
                <w:sz w:val="18"/>
                <w:szCs w:val="18"/>
                <w:lang w:val="es-SV" w:eastAsia="es-SV"/>
              </w:rPr>
              <w:t xml:space="preserve"> de las zonas de intervención del Proyecto.</w:t>
            </w:r>
          </w:p>
        </w:tc>
        <w:tc>
          <w:tcPr>
            <w:tcW w:w="1351" w:type="dxa"/>
            <w:tcBorders>
              <w:top w:val="nil"/>
              <w:left w:val="nil"/>
              <w:bottom w:val="single" w:sz="4" w:space="0" w:color="auto"/>
              <w:right w:val="single" w:sz="4" w:space="0" w:color="auto"/>
            </w:tcBorders>
            <w:shd w:val="clear" w:color="auto" w:fill="FFFFFF" w:themeFill="background1"/>
            <w:hideMark/>
          </w:tcPr>
          <w:p w14:paraId="02923FC0" w14:textId="77777777" w:rsidR="006A3DBC" w:rsidRPr="000E6D86" w:rsidRDefault="006A3DBC" w:rsidP="00E12984">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Valle (Nacaome)</w:t>
            </w:r>
          </w:p>
        </w:tc>
        <w:tc>
          <w:tcPr>
            <w:tcW w:w="4718" w:type="dxa"/>
            <w:tcBorders>
              <w:top w:val="nil"/>
              <w:left w:val="nil"/>
              <w:bottom w:val="single" w:sz="4" w:space="0" w:color="auto"/>
              <w:right w:val="single" w:sz="4" w:space="0" w:color="auto"/>
            </w:tcBorders>
            <w:shd w:val="clear" w:color="auto" w:fill="FFFFFF" w:themeFill="background1"/>
            <w:hideMark/>
          </w:tcPr>
          <w:p w14:paraId="3FA466A4" w14:textId="77777777" w:rsidR="006A3DBC" w:rsidRPr="000E6D86" w:rsidRDefault="006A3DBC" w:rsidP="00A20261">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Apoyar la participación de pequeñas agrupaciones de personas productoras y productores.</w:t>
            </w:r>
          </w:p>
        </w:tc>
      </w:tr>
    </w:tbl>
    <w:p w14:paraId="77795E37" w14:textId="77777777" w:rsidR="006A3DBC" w:rsidRPr="00FA4B2D" w:rsidRDefault="006A3DBC" w:rsidP="006A3DBC">
      <w:pPr>
        <w:spacing w:after="0" w:line="240" w:lineRule="auto"/>
        <w:rPr>
          <w:rFonts w:cs="Arial"/>
          <w:lang w:val="es-SV"/>
        </w:rPr>
      </w:pPr>
    </w:p>
    <w:p w14:paraId="29BC30B0" w14:textId="77777777" w:rsidR="006A3DBC" w:rsidRPr="00FA4B2D" w:rsidRDefault="006A3DBC" w:rsidP="006A3DBC">
      <w:pPr>
        <w:spacing w:after="0" w:line="240" w:lineRule="auto"/>
        <w:jc w:val="both"/>
        <w:rPr>
          <w:rFonts w:cs="Arial"/>
          <w:lang w:val="es-SV"/>
        </w:rPr>
      </w:pPr>
      <w:r w:rsidRPr="00FA4B2D">
        <w:rPr>
          <w:rFonts w:cs="Arial"/>
          <w:lang w:val="es-SV"/>
        </w:rPr>
        <w:t>En la etapa de implementación del Proyecto, en la consulta externa significativa se identificaron los riesgos sociolaborales siguientes:</w:t>
      </w:r>
    </w:p>
    <w:p w14:paraId="33A49971" w14:textId="77777777" w:rsidR="006A3DBC" w:rsidRPr="00FA4B2D" w:rsidRDefault="006A3DBC" w:rsidP="006A3DBC">
      <w:pPr>
        <w:spacing w:after="0" w:line="240" w:lineRule="auto"/>
        <w:rPr>
          <w:rFonts w:cs="Arial"/>
          <w:lang w:val="es-SV"/>
        </w:rPr>
      </w:pP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14"/>
        <w:gridCol w:w="931"/>
        <w:gridCol w:w="3686"/>
        <w:gridCol w:w="1351"/>
        <w:gridCol w:w="4677"/>
      </w:tblGrid>
      <w:tr w:rsidR="000E6D86" w:rsidRPr="000E6D86" w14:paraId="19F898F5" w14:textId="77777777" w:rsidTr="000E6D86">
        <w:trPr>
          <w:trHeight w:val="264"/>
          <w:tblHeader/>
        </w:trPr>
        <w:tc>
          <w:tcPr>
            <w:tcW w:w="13603" w:type="dxa"/>
            <w:gridSpan w:val="5"/>
            <w:shd w:val="clear" w:color="auto" w:fill="5CC5DA"/>
            <w:noWrap/>
            <w:vAlign w:val="center"/>
            <w:hideMark/>
          </w:tcPr>
          <w:p w14:paraId="4C9F6528" w14:textId="77777777" w:rsidR="006A3DBC" w:rsidRPr="000E6D86" w:rsidRDefault="006A3DBC" w:rsidP="005F4A92">
            <w:pPr>
              <w:spacing w:after="0" w:line="240" w:lineRule="auto"/>
              <w:jc w:val="center"/>
              <w:rPr>
                <w:rFonts w:eastAsia="Times New Roman" w:cs="Arial"/>
                <w:b/>
                <w:bCs/>
                <w:sz w:val="18"/>
                <w:szCs w:val="18"/>
                <w:lang w:val="es-SV" w:eastAsia="es-SV"/>
              </w:rPr>
            </w:pPr>
            <w:r w:rsidRPr="000E6D86">
              <w:rPr>
                <w:rFonts w:eastAsia="Times New Roman" w:cs="Arial"/>
                <w:b/>
                <w:bCs/>
                <w:sz w:val="18"/>
                <w:szCs w:val="18"/>
                <w:lang w:val="es-SV" w:eastAsia="es-SV"/>
              </w:rPr>
              <w:t>IMPLEMENTACIÓN</w:t>
            </w:r>
          </w:p>
        </w:tc>
      </w:tr>
      <w:tr w:rsidR="000E6D86" w:rsidRPr="000E6D86" w14:paraId="3B3912EE" w14:textId="77777777" w:rsidTr="000E6D86">
        <w:trPr>
          <w:trHeight w:val="220"/>
          <w:tblHeader/>
        </w:trPr>
        <w:tc>
          <w:tcPr>
            <w:tcW w:w="3114" w:type="dxa"/>
            <w:shd w:val="clear" w:color="auto" w:fill="5CC5DA"/>
            <w:noWrap/>
            <w:vAlign w:val="center"/>
            <w:hideMark/>
          </w:tcPr>
          <w:p w14:paraId="7110B848" w14:textId="77777777" w:rsidR="006A3DBC" w:rsidRPr="000E6D86" w:rsidRDefault="006A3DBC" w:rsidP="005F4A92">
            <w:pPr>
              <w:spacing w:after="0" w:line="240" w:lineRule="auto"/>
              <w:jc w:val="center"/>
              <w:rPr>
                <w:rFonts w:eastAsia="Times New Roman" w:cs="Arial"/>
                <w:b/>
                <w:bCs/>
                <w:sz w:val="18"/>
                <w:szCs w:val="18"/>
                <w:lang w:val="es-SV" w:eastAsia="es-SV"/>
              </w:rPr>
            </w:pPr>
            <w:r w:rsidRPr="000E6D86">
              <w:rPr>
                <w:rFonts w:eastAsia="Times New Roman" w:cs="Arial"/>
                <w:b/>
                <w:bCs/>
                <w:sz w:val="18"/>
                <w:szCs w:val="18"/>
                <w:lang w:val="es-SV" w:eastAsia="es-SV"/>
              </w:rPr>
              <w:t xml:space="preserve">Actividad </w:t>
            </w:r>
          </w:p>
        </w:tc>
        <w:tc>
          <w:tcPr>
            <w:tcW w:w="850" w:type="dxa"/>
            <w:shd w:val="clear" w:color="auto" w:fill="5CC5DA"/>
            <w:noWrap/>
            <w:vAlign w:val="center"/>
            <w:hideMark/>
          </w:tcPr>
          <w:p w14:paraId="297A94B9" w14:textId="77777777" w:rsidR="006A3DBC" w:rsidRPr="000E6D86" w:rsidRDefault="006A3DBC" w:rsidP="005F4A92">
            <w:pPr>
              <w:spacing w:after="0" w:line="240" w:lineRule="auto"/>
              <w:jc w:val="center"/>
              <w:rPr>
                <w:rFonts w:eastAsia="Times New Roman" w:cs="Arial"/>
                <w:b/>
                <w:bCs/>
                <w:sz w:val="18"/>
                <w:szCs w:val="18"/>
                <w:lang w:val="es-SV" w:eastAsia="es-SV"/>
              </w:rPr>
            </w:pPr>
            <w:r w:rsidRPr="000E6D86">
              <w:rPr>
                <w:rFonts w:eastAsia="Times New Roman" w:cs="Arial"/>
                <w:b/>
                <w:bCs/>
                <w:sz w:val="18"/>
                <w:szCs w:val="18"/>
                <w:lang w:val="es-SV" w:eastAsia="es-SV"/>
              </w:rPr>
              <w:t>Tipo de riesgo</w:t>
            </w:r>
          </w:p>
        </w:tc>
        <w:tc>
          <w:tcPr>
            <w:tcW w:w="3686" w:type="dxa"/>
            <w:shd w:val="clear" w:color="auto" w:fill="5CC5DA"/>
            <w:noWrap/>
            <w:vAlign w:val="center"/>
            <w:hideMark/>
          </w:tcPr>
          <w:p w14:paraId="5EA84CB4" w14:textId="77777777" w:rsidR="006A3DBC" w:rsidRPr="000E6D86" w:rsidRDefault="006A3DBC" w:rsidP="005F4A92">
            <w:pPr>
              <w:spacing w:after="0" w:line="240" w:lineRule="auto"/>
              <w:jc w:val="center"/>
              <w:rPr>
                <w:rFonts w:eastAsia="Times New Roman" w:cs="Arial"/>
                <w:b/>
                <w:bCs/>
                <w:sz w:val="18"/>
                <w:szCs w:val="18"/>
                <w:lang w:val="es-SV" w:eastAsia="es-SV"/>
              </w:rPr>
            </w:pPr>
            <w:r w:rsidRPr="000E6D86">
              <w:rPr>
                <w:rFonts w:eastAsia="Times New Roman" w:cs="Arial"/>
                <w:b/>
                <w:bCs/>
                <w:sz w:val="18"/>
                <w:szCs w:val="18"/>
                <w:lang w:val="es-SV" w:eastAsia="es-SV"/>
              </w:rPr>
              <w:t xml:space="preserve">Descripción del riesgo </w:t>
            </w:r>
          </w:p>
        </w:tc>
        <w:tc>
          <w:tcPr>
            <w:tcW w:w="1276" w:type="dxa"/>
            <w:shd w:val="clear" w:color="auto" w:fill="5CC5DA"/>
            <w:noWrap/>
            <w:vAlign w:val="center"/>
            <w:hideMark/>
          </w:tcPr>
          <w:p w14:paraId="79938AE0" w14:textId="77777777" w:rsidR="006A3DBC" w:rsidRPr="000E6D86" w:rsidRDefault="006A3DBC" w:rsidP="005F4A92">
            <w:pPr>
              <w:spacing w:after="0" w:line="240" w:lineRule="auto"/>
              <w:jc w:val="center"/>
              <w:rPr>
                <w:rFonts w:eastAsia="Times New Roman" w:cs="Arial"/>
                <w:b/>
                <w:bCs/>
                <w:sz w:val="18"/>
                <w:szCs w:val="18"/>
                <w:lang w:val="es-SV" w:eastAsia="es-SV"/>
              </w:rPr>
            </w:pPr>
            <w:r w:rsidRPr="000E6D86">
              <w:rPr>
                <w:rFonts w:eastAsia="Times New Roman" w:cs="Arial"/>
                <w:b/>
                <w:bCs/>
                <w:sz w:val="18"/>
                <w:szCs w:val="18"/>
                <w:lang w:val="es-SV" w:eastAsia="es-SV"/>
              </w:rPr>
              <w:t xml:space="preserve">Departamento </w:t>
            </w:r>
          </w:p>
        </w:tc>
        <w:tc>
          <w:tcPr>
            <w:tcW w:w="4677" w:type="dxa"/>
            <w:shd w:val="clear" w:color="auto" w:fill="5CC5DA"/>
            <w:noWrap/>
            <w:vAlign w:val="center"/>
            <w:hideMark/>
          </w:tcPr>
          <w:p w14:paraId="2C43AC63" w14:textId="77777777" w:rsidR="006A3DBC" w:rsidRPr="000E6D86" w:rsidRDefault="006A3DBC" w:rsidP="005F4A92">
            <w:pPr>
              <w:spacing w:after="0" w:line="240" w:lineRule="auto"/>
              <w:jc w:val="center"/>
              <w:rPr>
                <w:rFonts w:eastAsia="Times New Roman" w:cs="Arial"/>
                <w:b/>
                <w:bCs/>
                <w:sz w:val="18"/>
                <w:szCs w:val="18"/>
                <w:lang w:val="es-SV" w:eastAsia="es-SV"/>
              </w:rPr>
            </w:pPr>
            <w:r w:rsidRPr="000E6D86">
              <w:rPr>
                <w:rFonts w:eastAsia="Times New Roman" w:cs="Arial"/>
                <w:b/>
                <w:bCs/>
                <w:sz w:val="18"/>
                <w:szCs w:val="18"/>
                <w:lang w:val="es-SV" w:eastAsia="es-SV"/>
              </w:rPr>
              <w:t>Medidas de mitigación</w:t>
            </w:r>
          </w:p>
        </w:tc>
      </w:tr>
      <w:tr w:rsidR="000E6D86" w:rsidRPr="000E6D86" w14:paraId="7E191C19" w14:textId="77777777" w:rsidTr="000E6D86">
        <w:trPr>
          <w:trHeight w:val="402"/>
        </w:trPr>
        <w:tc>
          <w:tcPr>
            <w:tcW w:w="3114" w:type="dxa"/>
            <w:vMerge w:val="restart"/>
            <w:shd w:val="clear" w:color="auto" w:fill="FFFFFF" w:themeFill="background1"/>
            <w:hideMark/>
          </w:tcPr>
          <w:p w14:paraId="1797FA72"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Componente 1 Mejoramiento de la competitividad y la resiliencia en las cadenas de valor priorizadas (PdNs).</w:t>
            </w:r>
          </w:p>
          <w:p w14:paraId="3C6FB3EB" w14:textId="77777777" w:rsidR="006A3DBC" w:rsidRPr="000E6D86" w:rsidRDefault="006A3DBC" w:rsidP="005F4A92">
            <w:pPr>
              <w:spacing w:after="0" w:line="240" w:lineRule="auto"/>
              <w:jc w:val="both"/>
              <w:rPr>
                <w:rFonts w:eastAsia="Times New Roman" w:cs="Arial"/>
                <w:sz w:val="18"/>
                <w:szCs w:val="18"/>
                <w:lang w:val="es-SV" w:eastAsia="es-SV"/>
              </w:rPr>
            </w:pPr>
          </w:p>
        </w:tc>
        <w:tc>
          <w:tcPr>
            <w:tcW w:w="850" w:type="dxa"/>
            <w:shd w:val="clear" w:color="auto" w:fill="FFFFFF" w:themeFill="background1"/>
            <w:noWrap/>
            <w:hideMark/>
          </w:tcPr>
          <w:p w14:paraId="2456034F" w14:textId="44FC5C53" w:rsidR="006A3DBC" w:rsidRPr="000E6D86" w:rsidRDefault="006A3DBC" w:rsidP="00E12984">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Social</w:t>
            </w:r>
          </w:p>
        </w:tc>
        <w:tc>
          <w:tcPr>
            <w:tcW w:w="3686" w:type="dxa"/>
            <w:shd w:val="clear" w:color="auto" w:fill="FFFFFF" w:themeFill="background1"/>
            <w:hideMark/>
          </w:tcPr>
          <w:p w14:paraId="12C9A560"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 xml:space="preserve">Línea de base del Proyecto no incluya variables para la identificación de grupos vulnerables: personas con discapacidad, personas de pueblos indígenas y afrodescendientes, trabajo infantil, entre otras. </w:t>
            </w:r>
          </w:p>
        </w:tc>
        <w:tc>
          <w:tcPr>
            <w:tcW w:w="1276" w:type="dxa"/>
            <w:shd w:val="clear" w:color="auto" w:fill="FFFFFF" w:themeFill="background1"/>
            <w:noWrap/>
            <w:hideMark/>
          </w:tcPr>
          <w:p w14:paraId="5CDA05C7" w14:textId="77777777" w:rsidR="006A3DBC" w:rsidRPr="000E6D86" w:rsidRDefault="006A3DBC" w:rsidP="00E12984">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Todos</w:t>
            </w:r>
          </w:p>
        </w:tc>
        <w:tc>
          <w:tcPr>
            <w:tcW w:w="4677" w:type="dxa"/>
            <w:shd w:val="clear" w:color="auto" w:fill="FFFFFF" w:themeFill="background1"/>
            <w:hideMark/>
          </w:tcPr>
          <w:p w14:paraId="331C7C16" w14:textId="3D6C91A1" w:rsidR="006A3DBC" w:rsidRPr="000E6D86" w:rsidRDefault="006A3DBC" w:rsidP="00A20261">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 xml:space="preserve">El Proyecto establecerá fichas de recolección inicial de participantes para caracterizar a las personas beneficiarias de acuerdo con el tipo de grupo vulnerable al que pertenecen (personas con </w:t>
            </w:r>
            <w:r w:rsidR="5FBC9487" w:rsidRPr="000E6D86">
              <w:rPr>
                <w:rFonts w:eastAsia="Times New Roman" w:cs="Arial"/>
                <w:sz w:val="18"/>
                <w:szCs w:val="18"/>
                <w:lang w:val="es-SV" w:eastAsia="es-SV"/>
              </w:rPr>
              <w:t>discapacidad</w:t>
            </w:r>
            <w:r w:rsidRPr="000E6D86">
              <w:rPr>
                <w:rFonts w:eastAsia="Times New Roman" w:cs="Arial"/>
                <w:sz w:val="18"/>
                <w:szCs w:val="18"/>
                <w:lang w:val="es-SV" w:eastAsia="es-SV"/>
              </w:rPr>
              <w:t>, personas de pueblos indígenas y/o afrode</w:t>
            </w:r>
            <w:r w:rsidR="1E87C014" w:rsidRPr="000E6D86">
              <w:rPr>
                <w:rFonts w:eastAsia="Times New Roman" w:cs="Arial"/>
                <w:sz w:val="18"/>
                <w:szCs w:val="18"/>
                <w:lang w:val="es-SV" w:eastAsia="es-SV"/>
              </w:rPr>
              <w:t>s</w:t>
            </w:r>
            <w:r w:rsidRPr="000E6D86">
              <w:rPr>
                <w:rFonts w:eastAsia="Times New Roman" w:cs="Arial"/>
                <w:sz w:val="18"/>
                <w:szCs w:val="18"/>
                <w:lang w:val="es-SV" w:eastAsia="es-SV"/>
              </w:rPr>
              <w:t xml:space="preserve">cendientes, adultos mayores, población infantil, mujeres en </w:t>
            </w:r>
            <w:r w:rsidR="7D004178" w:rsidRPr="000E6D86">
              <w:rPr>
                <w:rFonts w:eastAsia="Times New Roman" w:cs="Arial"/>
                <w:sz w:val="18"/>
                <w:szCs w:val="18"/>
                <w:lang w:val="es-SV" w:eastAsia="es-SV"/>
              </w:rPr>
              <w:t>condición</w:t>
            </w:r>
            <w:r w:rsidRPr="000E6D86">
              <w:rPr>
                <w:rFonts w:eastAsia="Times New Roman" w:cs="Arial"/>
                <w:sz w:val="18"/>
                <w:szCs w:val="18"/>
                <w:lang w:val="es-SV" w:eastAsia="es-SV"/>
              </w:rPr>
              <w:t xml:space="preserve"> de vulnerabilidad social y/ o económica, LGTBIQ+.</w:t>
            </w:r>
          </w:p>
          <w:p w14:paraId="66D114D5" w14:textId="77777777" w:rsidR="006A3DBC" w:rsidRPr="000E6D86" w:rsidRDefault="006A3DBC" w:rsidP="00A20261">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El Proyecto a partir de estadísticas oficiales de INE identificará la línea base de trabajo infantil de los tres departamentos, para darle seguimiento a la medición durante la vida del Proyecto.</w:t>
            </w:r>
          </w:p>
        </w:tc>
      </w:tr>
      <w:tr w:rsidR="000E6D86" w:rsidRPr="000E6D86" w14:paraId="7DBD5799" w14:textId="77777777" w:rsidTr="000E6D86">
        <w:trPr>
          <w:trHeight w:val="3970"/>
        </w:trPr>
        <w:tc>
          <w:tcPr>
            <w:tcW w:w="3114" w:type="dxa"/>
            <w:vMerge/>
            <w:noWrap/>
            <w:hideMark/>
          </w:tcPr>
          <w:p w14:paraId="2457DA6D" w14:textId="77777777" w:rsidR="006A3DBC" w:rsidRPr="000E6D86" w:rsidRDefault="006A3DBC" w:rsidP="005F4A92">
            <w:pPr>
              <w:spacing w:after="0" w:line="240" w:lineRule="auto"/>
              <w:jc w:val="both"/>
              <w:rPr>
                <w:rFonts w:eastAsia="Times New Roman" w:cs="Arial"/>
                <w:sz w:val="18"/>
                <w:szCs w:val="18"/>
                <w:lang w:val="es-SV" w:eastAsia="es-SV"/>
              </w:rPr>
            </w:pPr>
          </w:p>
        </w:tc>
        <w:tc>
          <w:tcPr>
            <w:tcW w:w="850" w:type="dxa"/>
            <w:shd w:val="clear" w:color="auto" w:fill="FFFFFF" w:themeFill="background1"/>
            <w:noWrap/>
            <w:hideMark/>
          </w:tcPr>
          <w:p w14:paraId="59635E70" w14:textId="55F58D85" w:rsidR="006A3DBC" w:rsidRPr="000E6D86" w:rsidRDefault="006A3DBC" w:rsidP="00E12984">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Social</w:t>
            </w:r>
          </w:p>
        </w:tc>
        <w:tc>
          <w:tcPr>
            <w:tcW w:w="3686" w:type="dxa"/>
            <w:shd w:val="clear" w:color="auto" w:fill="FFFFFF" w:themeFill="background1"/>
            <w:hideMark/>
          </w:tcPr>
          <w:p w14:paraId="542ADC88"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Riesgo de desconfianza por iniciativas preexistentes que levantan expectativas y no concretizan acciones (instituciones del Sector Público).</w:t>
            </w:r>
          </w:p>
        </w:tc>
        <w:tc>
          <w:tcPr>
            <w:tcW w:w="1276" w:type="dxa"/>
            <w:shd w:val="clear" w:color="auto" w:fill="FFFFFF" w:themeFill="background1"/>
            <w:noWrap/>
            <w:hideMark/>
          </w:tcPr>
          <w:p w14:paraId="0B5B3230" w14:textId="77777777" w:rsidR="006A3DBC" w:rsidRPr="000E6D86" w:rsidRDefault="006A3DBC" w:rsidP="00E12984">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Todos</w:t>
            </w:r>
          </w:p>
        </w:tc>
        <w:tc>
          <w:tcPr>
            <w:tcW w:w="4677" w:type="dxa"/>
            <w:shd w:val="clear" w:color="auto" w:fill="FFFFFF" w:themeFill="background1"/>
            <w:hideMark/>
          </w:tcPr>
          <w:p w14:paraId="44F1FD3F" w14:textId="77777777" w:rsidR="00891BDD" w:rsidRPr="000E6D86" w:rsidRDefault="006A3DBC" w:rsidP="00A20261">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Mecanismos de comunicación desde la etapa de operaciones y el resto del ciclo y articular los esfuerzos según las partes interesadas y afectadas identificadas en el PPPI</w:t>
            </w:r>
            <w:r w:rsidR="00891BDD" w:rsidRPr="000E6D86">
              <w:rPr>
                <w:rFonts w:eastAsia="Times New Roman" w:cs="Arial"/>
                <w:sz w:val="18"/>
                <w:szCs w:val="18"/>
                <w:lang w:val="es-SV" w:eastAsia="es-SV"/>
              </w:rPr>
              <w:t>.</w:t>
            </w:r>
          </w:p>
          <w:p w14:paraId="44A11AAD" w14:textId="01BC652B" w:rsidR="006A3DBC" w:rsidRPr="000E6D86" w:rsidRDefault="006A3DBC" w:rsidP="00A20261">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Identificar estrategias efectivas de comunicación a partir de la experiencia ganada de los equipos de COMRURAL.</w:t>
            </w:r>
          </w:p>
          <w:p w14:paraId="7389445F" w14:textId="07CC0B51" w:rsidR="006A3DBC" w:rsidRPr="000E6D86" w:rsidRDefault="006A3DBC" w:rsidP="00A20261">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 xml:space="preserve"> Mantener los canales identificados en el PPPI en todas las etapas del Proyecto.</w:t>
            </w:r>
          </w:p>
          <w:p w14:paraId="7410F56F" w14:textId="3AC3265A" w:rsidR="006A3DBC" w:rsidRPr="000E6D86" w:rsidRDefault="006A3DBC" w:rsidP="00A20261">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Adecuar las comunicaciones escritas o verbales a las distintas partes interesadas considerando las barreras lingüísticas y culturales.</w:t>
            </w:r>
          </w:p>
          <w:p w14:paraId="49A48628" w14:textId="57A9435E" w:rsidR="006A3DBC" w:rsidRPr="000E6D86" w:rsidRDefault="006A3DBC" w:rsidP="00A20261">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Considerar el Mapeo de actores en los PPPI (actualizado en diciembre 2023), en los territorios donde se ubican mesas integradas de cooperantes, gobiernos locales e instituciones públicas con presencia en la zona y con actividades vinculadas al Proyecto.</w:t>
            </w:r>
          </w:p>
          <w:p w14:paraId="47BB767C" w14:textId="2513CC95" w:rsidR="006A3DBC" w:rsidRPr="000E6D86" w:rsidRDefault="006A3DBC" w:rsidP="00891BDD">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 xml:space="preserve"> Desarrollar actividades de coordinación para prevenir duplicidad y unificar esfuerzos con los actores mapeados.</w:t>
            </w:r>
          </w:p>
        </w:tc>
      </w:tr>
      <w:tr w:rsidR="000E6D86" w:rsidRPr="000E6D86" w14:paraId="5EEF27DE" w14:textId="77777777" w:rsidTr="000E6D86">
        <w:trPr>
          <w:trHeight w:val="1480"/>
        </w:trPr>
        <w:tc>
          <w:tcPr>
            <w:tcW w:w="3114" w:type="dxa"/>
            <w:shd w:val="clear" w:color="auto" w:fill="FFFFFF" w:themeFill="background1"/>
            <w:hideMark/>
          </w:tcPr>
          <w:p w14:paraId="63D67FA4"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Componente 1 Mejoramiento de la competitividad y la resiliencia en las cadenas de valor priorizadas (PdNs).</w:t>
            </w:r>
          </w:p>
        </w:tc>
        <w:tc>
          <w:tcPr>
            <w:tcW w:w="850" w:type="dxa"/>
            <w:shd w:val="clear" w:color="auto" w:fill="FFFFFF" w:themeFill="background1"/>
            <w:noWrap/>
            <w:hideMark/>
          </w:tcPr>
          <w:p w14:paraId="36EBA88C" w14:textId="48431DDA" w:rsidR="006A3DBC" w:rsidRPr="000E6D86" w:rsidRDefault="006A3DBC" w:rsidP="00E12984">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Social</w:t>
            </w:r>
          </w:p>
        </w:tc>
        <w:tc>
          <w:tcPr>
            <w:tcW w:w="3686" w:type="dxa"/>
            <w:shd w:val="clear" w:color="auto" w:fill="FFFFFF" w:themeFill="background1"/>
            <w:hideMark/>
          </w:tcPr>
          <w:p w14:paraId="09ADC0E7"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 xml:space="preserve">Crecimiento de brechas de acceso y desigualdad en la atención a colectivos menos favorecidos, principalmente personas indígenas por falta de sensibilización. </w:t>
            </w:r>
          </w:p>
        </w:tc>
        <w:tc>
          <w:tcPr>
            <w:tcW w:w="1276" w:type="dxa"/>
            <w:shd w:val="clear" w:color="auto" w:fill="FFFFFF" w:themeFill="background1"/>
            <w:noWrap/>
            <w:hideMark/>
          </w:tcPr>
          <w:p w14:paraId="69CE20AD" w14:textId="77777777" w:rsidR="006A3DBC" w:rsidRPr="000E6D86" w:rsidRDefault="006A3DBC" w:rsidP="00E12984">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Todos</w:t>
            </w:r>
          </w:p>
        </w:tc>
        <w:tc>
          <w:tcPr>
            <w:tcW w:w="4677" w:type="dxa"/>
            <w:shd w:val="clear" w:color="auto" w:fill="FFFFFF" w:themeFill="background1"/>
            <w:hideMark/>
          </w:tcPr>
          <w:p w14:paraId="23C886FC" w14:textId="091BA010" w:rsidR="006A3DBC" w:rsidRPr="000E6D86" w:rsidRDefault="006A3DBC" w:rsidP="00891BDD">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El Proyecto identificará organizaciones de población indígena y/o afrohondureñas en las zonas de incidencia del Proyecto para incluirlas en las convocatorias desde la etapa de la consulta inicial y coordinará con l</w:t>
            </w:r>
            <w:r w:rsidR="00E039B7" w:rsidRPr="000E6D86">
              <w:rPr>
                <w:rFonts w:eastAsia="Times New Roman" w:cs="Arial"/>
                <w:sz w:val="18"/>
                <w:szCs w:val="18"/>
                <w:lang w:val="es-SV" w:eastAsia="es-SV"/>
              </w:rPr>
              <w:t>í</w:t>
            </w:r>
            <w:r w:rsidRPr="000E6D86">
              <w:rPr>
                <w:rFonts w:eastAsia="Times New Roman" w:cs="Arial"/>
                <w:sz w:val="18"/>
                <w:szCs w:val="18"/>
                <w:lang w:val="es-SV" w:eastAsia="es-SV"/>
              </w:rPr>
              <w:t>deres(</w:t>
            </w:r>
            <w:r w:rsidR="005A1730" w:rsidRPr="000E6D86">
              <w:rPr>
                <w:rFonts w:eastAsia="Times New Roman" w:cs="Arial"/>
                <w:sz w:val="18"/>
                <w:szCs w:val="18"/>
                <w:lang w:val="es-SV" w:eastAsia="es-SV"/>
              </w:rPr>
              <w:t>lideres</w:t>
            </w:r>
            <w:r w:rsidRPr="000E6D86">
              <w:rPr>
                <w:rFonts w:eastAsia="Times New Roman" w:cs="Arial"/>
                <w:sz w:val="18"/>
                <w:szCs w:val="18"/>
                <w:lang w:val="es-SV" w:eastAsia="es-SV"/>
              </w:rPr>
              <w:t xml:space="preserve">as) de la etnia los procesos de convocatoria, socialización, consentimiento informado e informes de avance para veeduría. </w:t>
            </w:r>
          </w:p>
        </w:tc>
      </w:tr>
      <w:tr w:rsidR="000E6D86" w:rsidRPr="000E6D86" w14:paraId="08750BB4" w14:textId="77777777" w:rsidTr="000E6D86">
        <w:trPr>
          <w:trHeight w:val="835"/>
        </w:trPr>
        <w:tc>
          <w:tcPr>
            <w:tcW w:w="3114" w:type="dxa"/>
            <w:shd w:val="clear" w:color="auto" w:fill="FFFFFF" w:themeFill="background1"/>
            <w:hideMark/>
          </w:tcPr>
          <w:p w14:paraId="17D963F1"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 xml:space="preserve">Componente 2. Fortalecimiento institucional para mejorar el entorno de los agronegocios (Construcción o rehabilitación de infraestructuras rurales). </w:t>
            </w:r>
          </w:p>
        </w:tc>
        <w:tc>
          <w:tcPr>
            <w:tcW w:w="850" w:type="dxa"/>
            <w:shd w:val="clear" w:color="auto" w:fill="FFFFFF" w:themeFill="background1"/>
            <w:noWrap/>
            <w:hideMark/>
          </w:tcPr>
          <w:p w14:paraId="09DBC46F" w14:textId="51DD1BAC" w:rsidR="006A3DBC" w:rsidRPr="000E6D86" w:rsidRDefault="006A3DBC" w:rsidP="00E12984">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Social</w:t>
            </w:r>
          </w:p>
        </w:tc>
        <w:tc>
          <w:tcPr>
            <w:tcW w:w="3686" w:type="dxa"/>
            <w:shd w:val="clear" w:color="auto" w:fill="FFFFFF" w:themeFill="background1"/>
            <w:hideMark/>
          </w:tcPr>
          <w:p w14:paraId="4F0B8C6C"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Riesgos como la explotación y el abuso y el acoso sexual.</w:t>
            </w:r>
          </w:p>
        </w:tc>
        <w:tc>
          <w:tcPr>
            <w:tcW w:w="1276" w:type="dxa"/>
            <w:shd w:val="clear" w:color="auto" w:fill="FFFFFF" w:themeFill="background1"/>
            <w:noWrap/>
            <w:hideMark/>
          </w:tcPr>
          <w:p w14:paraId="0916EA9F" w14:textId="77777777" w:rsidR="006A3DBC" w:rsidRPr="000E6D86" w:rsidRDefault="006A3DBC" w:rsidP="00E12984">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Todos</w:t>
            </w:r>
          </w:p>
        </w:tc>
        <w:tc>
          <w:tcPr>
            <w:tcW w:w="4677" w:type="dxa"/>
            <w:shd w:val="clear" w:color="auto" w:fill="FFFFFF" w:themeFill="background1"/>
            <w:hideMark/>
          </w:tcPr>
          <w:p w14:paraId="4F339201" w14:textId="77777777" w:rsidR="006A3DBC" w:rsidRPr="000E6D86" w:rsidRDefault="006A3DBC" w:rsidP="00891BDD">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 xml:space="preserve">Elaboración y aplicación de códigos de conducta para trabajadores del Proyecto, incluidos como parte de la normativa de contratación de subcontratistas en los TdR. </w:t>
            </w:r>
          </w:p>
        </w:tc>
      </w:tr>
      <w:tr w:rsidR="000E6D86" w:rsidRPr="000E6D86" w14:paraId="722E4A69" w14:textId="77777777" w:rsidTr="000E6D86">
        <w:trPr>
          <w:trHeight w:val="919"/>
        </w:trPr>
        <w:tc>
          <w:tcPr>
            <w:tcW w:w="3114" w:type="dxa"/>
            <w:shd w:val="clear" w:color="auto" w:fill="FFFFFF" w:themeFill="background1"/>
            <w:hideMark/>
          </w:tcPr>
          <w:p w14:paraId="0D4EBBFB"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Componente 1 Mejoramiento de la competitividad y la resiliencia en las cadenas de valor priorizadas (PdNS)</w:t>
            </w:r>
          </w:p>
        </w:tc>
        <w:tc>
          <w:tcPr>
            <w:tcW w:w="850" w:type="dxa"/>
            <w:shd w:val="clear" w:color="auto" w:fill="FFFFFF" w:themeFill="background1"/>
            <w:noWrap/>
            <w:hideMark/>
          </w:tcPr>
          <w:p w14:paraId="208E3984" w14:textId="32EE2E10" w:rsidR="006A3DBC" w:rsidRPr="000E6D86" w:rsidRDefault="006A3DBC" w:rsidP="00E12984">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Social</w:t>
            </w:r>
          </w:p>
        </w:tc>
        <w:tc>
          <w:tcPr>
            <w:tcW w:w="3686" w:type="dxa"/>
            <w:shd w:val="clear" w:color="auto" w:fill="FFFFFF" w:themeFill="background1"/>
            <w:hideMark/>
          </w:tcPr>
          <w:p w14:paraId="0B4152AD"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 xml:space="preserve">Riesgos por VBG. </w:t>
            </w:r>
          </w:p>
        </w:tc>
        <w:tc>
          <w:tcPr>
            <w:tcW w:w="1276" w:type="dxa"/>
            <w:shd w:val="clear" w:color="auto" w:fill="FFFFFF" w:themeFill="background1"/>
            <w:noWrap/>
            <w:hideMark/>
          </w:tcPr>
          <w:p w14:paraId="640D6287" w14:textId="77777777" w:rsidR="006A3DBC" w:rsidRPr="000E6D86" w:rsidRDefault="006A3DBC" w:rsidP="00E12984">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Todos</w:t>
            </w:r>
          </w:p>
        </w:tc>
        <w:tc>
          <w:tcPr>
            <w:tcW w:w="4677" w:type="dxa"/>
            <w:shd w:val="clear" w:color="auto" w:fill="FFFFFF" w:themeFill="background1"/>
            <w:hideMark/>
          </w:tcPr>
          <w:p w14:paraId="7089D145" w14:textId="77777777" w:rsidR="006A3DBC" w:rsidRPr="000E6D86" w:rsidRDefault="006A3DBC" w:rsidP="00891BDD">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Mapeo de las instituciones encargadas de la prevención y respuesta a la violencia de género son parte de las evaluaciones ambientales y sociales a nivel de subproyecto.</w:t>
            </w:r>
          </w:p>
        </w:tc>
      </w:tr>
      <w:tr w:rsidR="000E6D86" w:rsidRPr="000E6D86" w14:paraId="3A07373A" w14:textId="77777777" w:rsidTr="000E6D86">
        <w:trPr>
          <w:trHeight w:val="2574"/>
        </w:trPr>
        <w:tc>
          <w:tcPr>
            <w:tcW w:w="3114" w:type="dxa"/>
            <w:shd w:val="clear" w:color="auto" w:fill="FFFFFF" w:themeFill="background1"/>
            <w:hideMark/>
          </w:tcPr>
          <w:p w14:paraId="74E99235" w14:textId="77777777" w:rsidR="006A3DBC" w:rsidRPr="000E6D86" w:rsidRDefault="006A3DBC" w:rsidP="005F4A92">
            <w:pPr>
              <w:spacing w:after="240" w:line="240" w:lineRule="auto"/>
              <w:jc w:val="both"/>
              <w:rPr>
                <w:rFonts w:eastAsia="Times New Roman" w:cs="Arial"/>
                <w:sz w:val="18"/>
                <w:szCs w:val="18"/>
                <w:lang w:val="es-SV" w:eastAsia="es-SV"/>
              </w:rPr>
            </w:pPr>
            <w:r w:rsidRPr="000E6D86">
              <w:rPr>
                <w:rFonts w:eastAsia="Times New Roman" w:cs="Arial"/>
                <w:sz w:val="18"/>
                <w:szCs w:val="18"/>
                <w:lang w:val="es-SV" w:eastAsia="es-SV"/>
              </w:rPr>
              <w:lastRenderedPageBreak/>
              <w:t>Componente 1 Mejoramiento de la competitividad y la resiliencia en las cadenas de valor priorizadas (PdNs)</w:t>
            </w:r>
          </w:p>
          <w:p w14:paraId="3F9AE308" w14:textId="77777777" w:rsidR="006A3DBC" w:rsidRPr="000E6D86" w:rsidRDefault="006A3DBC" w:rsidP="005F4A92">
            <w:pPr>
              <w:spacing w:after="240" w:line="240" w:lineRule="auto"/>
              <w:jc w:val="both"/>
              <w:rPr>
                <w:rFonts w:eastAsia="Times New Roman" w:cs="Arial"/>
                <w:sz w:val="18"/>
                <w:szCs w:val="18"/>
                <w:lang w:val="es-SV" w:eastAsia="es-SV"/>
              </w:rPr>
            </w:pPr>
          </w:p>
        </w:tc>
        <w:tc>
          <w:tcPr>
            <w:tcW w:w="850" w:type="dxa"/>
            <w:shd w:val="clear" w:color="auto" w:fill="FFFFFF" w:themeFill="background1"/>
            <w:noWrap/>
            <w:hideMark/>
          </w:tcPr>
          <w:p w14:paraId="34047369" w14:textId="77777777" w:rsidR="006A3DBC" w:rsidRPr="000E6D86" w:rsidRDefault="006A3DBC" w:rsidP="00E12984">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Laborales</w:t>
            </w:r>
          </w:p>
        </w:tc>
        <w:tc>
          <w:tcPr>
            <w:tcW w:w="3686" w:type="dxa"/>
            <w:shd w:val="clear" w:color="auto" w:fill="FFFFFF" w:themeFill="background1"/>
            <w:noWrap/>
            <w:hideMark/>
          </w:tcPr>
          <w:p w14:paraId="29CC6441"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 xml:space="preserve">Riesgo de prevalencia del trabajo infantil en las comunidades. </w:t>
            </w:r>
          </w:p>
        </w:tc>
        <w:tc>
          <w:tcPr>
            <w:tcW w:w="1276" w:type="dxa"/>
            <w:shd w:val="clear" w:color="auto" w:fill="FFFFFF" w:themeFill="background1"/>
            <w:noWrap/>
            <w:hideMark/>
          </w:tcPr>
          <w:p w14:paraId="212ED4AD" w14:textId="77777777" w:rsidR="006A3DBC" w:rsidRPr="000E6D86" w:rsidRDefault="006A3DBC" w:rsidP="00E12984">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Todos</w:t>
            </w:r>
          </w:p>
        </w:tc>
        <w:tc>
          <w:tcPr>
            <w:tcW w:w="4677" w:type="dxa"/>
            <w:shd w:val="clear" w:color="auto" w:fill="FFFFFF" w:themeFill="background1"/>
            <w:hideMark/>
          </w:tcPr>
          <w:p w14:paraId="1CA1BA21" w14:textId="77777777" w:rsidR="006A3DBC" w:rsidRPr="000E6D86" w:rsidRDefault="006A3DBC" w:rsidP="00891BDD">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El Proyecto buscara sensibilizar sobre el tema de trabajo infantil y todas sus formas (OIT) para prevenir su incidencia en el marco de la implementación de actividades del Proyecto, particularmente las vinculadas a cadenas de valor.</w:t>
            </w:r>
          </w:p>
          <w:p w14:paraId="036E5032" w14:textId="42C45424" w:rsidR="006A3DBC" w:rsidRPr="000E6D86" w:rsidRDefault="006A3DBC" w:rsidP="00891BDD">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Las bases de licitación y TdR contemplaran las prohibiciones a toda forma de explotación laboral a los contratistas y subcontratista, incluyendo el trabajo infantil. Los contratistas deberán incluir en sus planes mecanismos para prevenir la participación de menores de edad en las actividades de construcción y obras.</w:t>
            </w:r>
          </w:p>
        </w:tc>
      </w:tr>
      <w:tr w:rsidR="000E6D86" w:rsidRPr="000E6D86" w14:paraId="2E47478D" w14:textId="77777777" w:rsidTr="000E6D86">
        <w:trPr>
          <w:trHeight w:val="1847"/>
        </w:trPr>
        <w:tc>
          <w:tcPr>
            <w:tcW w:w="3114" w:type="dxa"/>
            <w:shd w:val="clear" w:color="auto" w:fill="FFFFFF" w:themeFill="background1"/>
            <w:hideMark/>
          </w:tcPr>
          <w:p w14:paraId="41DE743A"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 xml:space="preserve">Componente 1 Mejoramiento de la competitividad y la resiliencia en las cadenas de valor priorizadas (PdNs) - Componente 2. Fortalecimiento institucional para mejorar el entorno de los agronegocios (Construcción o rehabilitación de infraestructuras rurales). </w:t>
            </w:r>
          </w:p>
        </w:tc>
        <w:tc>
          <w:tcPr>
            <w:tcW w:w="850" w:type="dxa"/>
            <w:shd w:val="clear" w:color="auto" w:fill="FFFFFF" w:themeFill="background1"/>
            <w:noWrap/>
            <w:hideMark/>
          </w:tcPr>
          <w:p w14:paraId="0E1DABD7" w14:textId="77777777" w:rsidR="006A3DBC" w:rsidRPr="000E6D86" w:rsidRDefault="006A3DBC" w:rsidP="00E12984">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Laborales</w:t>
            </w:r>
          </w:p>
        </w:tc>
        <w:tc>
          <w:tcPr>
            <w:tcW w:w="3686" w:type="dxa"/>
            <w:shd w:val="clear" w:color="auto" w:fill="FFFFFF" w:themeFill="background1"/>
            <w:noWrap/>
            <w:hideMark/>
          </w:tcPr>
          <w:p w14:paraId="2356179F"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 xml:space="preserve">Riesgo de prevalencia de actividades que incluyan el trabajo forzado. </w:t>
            </w:r>
          </w:p>
        </w:tc>
        <w:tc>
          <w:tcPr>
            <w:tcW w:w="1276" w:type="dxa"/>
            <w:shd w:val="clear" w:color="auto" w:fill="FFFFFF" w:themeFill="background1"/>
            <w:noWrap/>
            <w:hideMark/>
          </w:tcPr>
          <w:p w14:paraId="38D4F14C" w14:textId="77777777" w:rsidR="006A3DBC" w:rsidRPr="000E6D86" w:rsidRDefault="006A3DBC" w:rsidP="00E12984">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Todos</w:t>
            </w:r>
          </w:p>
        </w:tc>
        <w:tc>
          <w:tcPr>
            <w:tcW w:w="4677" w:type="dxa"/>
            <w:shd w:val="clear" w:color="auto" w:fill="FFFFFF" w:themeFill="background1"/>
            <w:hideMark/>
          </w:tcPr>
          <w:p w14:paraId="5C39D5D6" w14:textId="77777777" w:rsidR="006A3DBC" w:rsidRPr="000E6D86" w:rsidRDefault="006A3DBC" w:rsidP="00891BDD">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El Proyecto tiene prohibición plena a la explotación laboral en todas sus formas, por lo que buscará sensibilizar a los participantes sobre el tema.</w:t>
            </w:r>
          </w:p>
          <w:p w14:paraId="31CD5BCB" w14:textId="5E6572C5" w:rsidR="006A3DBC" w:rsidRPr="000E6D86" w:rsidRDefault="006A3DBC" w:rsidP="00891BDD">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 xml:space="preserve">Las bases de licitación y TdR contemplarán las prohibiciones a toda forma de explotación laboral a los contratistas y subcontratista, los cuales deberán contemplar en sus ofertas medidas para prevenir el trabajo forzado. </w:t>
            </w:r>
          </w:p>
        </w:tc>
      </w:tr>
      <w:tr w:rsidR="000E6D86" w:rsidRPr="000E6D86" w14:paraId="6D70708D" w14:textId="77777777" w:rsidTr="000E6D86">
        <w:trPr>
          <w:trHeight w:val="560"/>
        </w:trPr>
        <w:tc>
          <w:tcPr>
            <w:tcW w:w="3114" w:type="dxa"/>
            <w:shd w:val="clear" w:color="auto" w:fill="FFFFFF" w:themeFill="background1"/>
            <w:hideMark/>
          </w:tcPr>
          <w:p w14:paraId="7F90A6AA"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Componente 1 Mejoramiento de la competitividad y la resiliencia en las cadenas de valor priorizadas (PdNs)</w:t>
            </w:r>
          </w:p>
        </w:tc>
        <w:tc>
          <w:tcPr>
            <w:tcW w:w="850" w:type="dxa"/>
            <w:shd w:val="clear" w:color="auto" w:fill="FFFFFF" w:themeFill="background1"/>
            <w:noWrap/>
            <w:hideMark/>
          </w:tcPr>
          <w:p w14:paraId="6B56BBAB" w14:textId="7669F041" w:rsidR="006A3DBC" w:rsidRPr="000E6D86" w:rsidRDefault="006A3DBC" w:rsidP="00E12984">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Social</w:t>
            </w:r>
          </w:p>
        </w:tc>
        <w:tc>
          <w:tcPr>
            <w:tcW w:w="3686" w:type="dxa"/>
            <w:shd w:val="clear" w:color="auto" w:fill="FFFFFF" w:themeFill="background1"/>
            <w:hideMark/>
          </w:tcPr>
          <w:p w14:paraId="796A8F52"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 xml:space="preserve">Mecanismos de comunicación y de participación ciudadana no consideran aspectos culturalmente sensibles. </w:t>
            </w:r>
          </w:p>
        </w:tc>
        <w:tc>
          <w:tcPr>
            <w:tcW w:w="1276" w:type="dxa"/>
            <w:shd w:val="clear" w:color="auto" w:fill="FFFFFF" w:themeFill="background1"/>
            <w:noWrap/>
            <w:hideMark/>
          </w:tcPr>
          <w:p w14:paraId="080934E7" w14:textId="77777777" w:rsidR="006A3DBC" w:rsidRPr="000E6D86" w:rsidRDefault="006A3DBC" w:rsidP="00E12984">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Todos</w:t>
            </w:r>
          </w:p>
        </w:tc>
        <w:tc>
          <w:tcPr>
            <w:tcW w:w="4677" w:type="dxa"/>
            <w:shd w:val="clear" w:color="auto" w:fill="FFFFFF" w:themeFill="background1"/>
            <w:hideMark/>
          </w:tcPr>
          <w:p w14:paraId="643F3BFC" w14:textId="727D061B" w:rsidR="006A3DBC" w:rsidRPr="000E6D86" w:rsidRDefault="3A7FC69B" w:rsidP="00891BDD">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El Proyecto tomará en cuenta en las comunicaciones aspectos culturalmente sensibles para prevenir barreras lingüísticas en las comunicaciones.</w:t>
            </w:r>
          </w:p>
          <w:p w14:paraId="68ED29FB" w14:textId="38C2BC93" w:rsidR="006A3DBC" w:rsidRPr="000E6D86" w:rsidRDefault="006A3DBC" w:rsidP="00891BDD">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 xml:space="preserve">El MCQRS es parte de las herramientas de comunicación del </w:t>
            </w:r>
            <w:r w:rsidR="00891BDD" w:rsidRPr="000E6D86">
              <w:rPr>
                <w:rFonts w:eastAsia="Times New Roman" w:cs="Arial"/>
                <w:sz w:val="18"/>
                <w:szCs w:val="18"/>
                <w:lang w:val="es-SV" w:eastAsia="es-SV"/>
              </w:rPr>
              <w:t>P</w:t>
            </w:r>
            <w:r w:rsidRPr="000E6D86">
              <w:rPr>
                <w:rFonts w:eastAsia="Times New Roman" w:cs="Arial"/>
                <w:sz w:val="18"/>
                <w:szCs w:val="18"/>
                <w:lang w:val="es-SV" w:eastAsia="es-SV"/>
              </w:rPr>
              <w:t xml:space="preserve">royecto, </w:t>
            </w:r>
            <w:r w:rsidR="4D91399D" w:rsidRPr="000E6D86">
              <w:rPr>
                <w:rFonts w:eastAsia="Times New Roman" w:cs="Arial"/>
                <w:sz w:val="18"/>
                <w:szCs w:val="18"/>
                <w:lang w:val="es-SV" w:eastAsia="es-SV"/>
              </w:rPr>
              <w:t>teniendo</w:t>
            </w:r>
            <w:r w:rsidR="00891BDD" w:rsidRPr="000E6D86">
              <w:rPr>
                <w:rFonts w:eastAsia="Times New Roman" w:cs="Arial"/>
                <w:sz w:val="18"/>
                <w:szCs w:val="18"/>
                <w:lang w:val="es-SV" w:eastAsia="es-SV"/>
              </w:rPr>
              <w:t xml:space="preserve"> </w:t>
            </w:r>
            <w:r w:rsidRPr="000E6D86">
              <w:rPr>
                <w:rFonts w:eastAsia="Times New Roman" w:cs="Arial"/>
                <w:sz w:val="18"/>
                <w:szCs w:val="18"/>
                <w:lang w:val="es-SV" w:eastAsia="es-SV"/>
              </w:rPr>
              <w:t>su propia estrategia de divulgación para beneficiarios del proyecto, trabajadores y comunidad en general</w:t>
            </w:r>
            <w:r w:rsidR="70ADD16F" w:rsidRPr="000E6D86">
              <w:rPr>
                <w:rFonts w:eastAsia="Times New Roman" w:cs="Arial"/>
                <w:sz w:val="18"/>
                <w:szCs w:val="18"/>
                <w:lang w:val="es-SV" w:eastAsia="es-SV"/>
              </w:rPr>
              <w:t>, por lo que también toma en cuenta los aspectos cultural</w:t>
            </w:r>
            <w:r w:rsidR="2A5E1352" w:rsidRPr="000E6D86">
              <w:rPr>
                <w:rFonts w:eastAsia="Times New Roman" w:cs="Arial"/>
                <w:sz w:val="18"/>
                <w:szCs w:val="18"/>
                <w:lang w:val="es-SV" w:eastAsia="es-SV"/>
              </w:rPr>
              <w:t>es</w:t>
            </w:r>
            <w:r w:rsidR="70ADD16F" w:rsidRPr="000E6D86">
              <w:rPr>
                <w:rFonts w:eastAsia="Times New Roman" w:cs="Arial"/>
                <w:sz w:val="18"/>
                <w:szCs w:val="18"/>
                <w:lang w:val="es-SV" w:eastAsia="es-SV"/>
              </w:rPr>
              <w:t xml:space="preserve"> sensibles.</w:t>
            </w:r>
            <w:r w:rsidRPr="000E6D86">
              <w:rPr>
                <w:rFonts w:eastAsia="Times New Roman" w:cs="Arial"/>
                <w:sz w:val="18"/>
                <w:szCs w:val="18"/>
                <w:lang w:val="es-SV" w:eastAsia="es-SV"/>
              </w:rPr>
              <w:t xml:space="preserve">  </w:t>
            </w:r>
          </w:p>
        </w:tc>
      </w:tr>
      <w:tr w:rsidR="000E6D86" w:rsidRPr="000E6D86" w14:paraId="79E48F26" w14:textId="77777777" w:rsidTr="000E6D86">
        <w:trPr>
          <w:trHeight w:val="1112"/>
        </w:trPr>
        <w:tc>
          <w:tcPr>
            <w:tcW w:w="3114" w:type="dxa"/>
            <w:shd w:val="clear" w:color="auto" w:fill="FFFFFF" w:themeFill="background1"/>
            <w:hideMark/>
          </w:tcPr>
          <w:p w14:paraId="0D9AC06B"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Componente 1 Mejoramiento de la competitividad y la resiliencia en las cadenas de valor priorizadas (PdNs)</w:t>
            </w:r>
          </w:p>
        </w:tc>
        <w:tc>
          <w:tcPr>
            <w:tcW w:w="850" w:type="dxa"/>
            <w:shd w:val="clear" w:color="auto" w:fill="FFFFFF" w:themeFill="background1"/>
            <w:noWrap/>
            <w:hideMark/>
          </w:tcPr>
          <w:p w14:paraId="04D491A1" w14:textId="6CAF6FDA"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Social</w:t>
            </w:r>
          </w:p>
        </w:tc>
        <w:tc>
          <w:tcPr>
            <w:tcW w:w="3686" w:type="dxa"/>
            <w:shd w:val="clear" w:color="auto" w:fill="FFFFFF" w:themeFill="background1"/>
            <w:hideMark/>
          </w:tcPr>
          <w:p w14:paraId="69E38F46"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 xml:space="preserve">Desconocimiento de mecanismos para interposición de quejas y reclamos del Proyecto. </w:t>
            </w:r>
          </w:p>
        </w:tc>
        <w:tc>
          <w:tcPr>
            <w:tcW w:w="1276" w:type="dxa"/>
            <w:shd w:val="clear" w:color="auto" w:fill="FFFFFF" w:themeFill="background1"/>
            <w:noWrap/>
            <w:hideMark/>
          </w:tcPr>
          <w:p w14:paraId="59FC5CB3" w14:textId="77777777"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Todos</w:t>
            </w:r>
          </w:p>
        </w:tc>
        <w:tc>
          <w:tcPr>
            <w:tcW w:w="4677" w:type="dxa"/>
            <w:shd w:val="clear" w:color="auto" w:fill="FFFFFF" w:themeFill="background1"/>
            <w:hideMark/>
          </w:tcPr>
          <w:p w14:paraId="417D2AED" w14:textId="77777777" w:rsidR="006A3DBC" w:rsidRPr="000E6D86" w:rsidRDefault="006A3DBC" w:rsidP="00891BDD">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 xml:space="preserve">El Proyecto buscará en la etapa de arranque socializar y dar a conocer las vías de interposición de quejas y reclamos de manera culturalmente sensibles a los participantes, incluyendo mensajes en lenguas nativas y en los medios de información e información identificados con los potenciales participantes. </w:t>
            </w:r>
          </w:p>
        </w:tc>
      </w:tr>
      <w:tr w:rsidR="000E6D86" w:rsidRPr="000E6D86" w14:paraId="07E332D4" w14:textId="77777777" w:rsidTr="000E6D86">
        <w:trPr>
          <w:trHeight w:val="744"/>
        </w:trPr>
        <w:tc>
          <w:tcPr>
            <w:tcW w:w="3114" w:type="dxa"/>
            <w:shd w:val="clear" w:color="auto" w:fill="FFFFFF" w:themeFill="background1"/>
            <w:hideMark/>
          </w:tcPr>
          <w:p w14:paraId="5054A8D4"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lastRenderedPageBreak/>
              <w:t>Componente 1 Mejoramiento de la competitividad y la resiliencia en las cadenas de valor priorizadas (PdNs)</w:t>
            </w:r>
          </w:p>
        </w:tc>
        <w:tc>
          <w:tcPr>
            <w:tcW w:w="850" w:type="dxa"/>
            <w:shd w:val="clear" w:color="auto" w:fill="FFFFFF" w:themeFill="background1"/>
            <w:noWrap/>
            <w:hideMark/>
          </w:tcPr>
          <w:p w14:paraId="5ADDA8F4" w14:textId="70778488"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Social</w:t>
            </w:r>
          </w:p>
        </w:tc>
        <w:tc>
          <w:tcPr>
            <w:tcW w:w="3686" w:type="dxa"/>
            <w:shd w:val="clear" w:color="auto" w:fill="FFFFFF" w:themeFill="background1"/>
            <w:hideMark/>
          </w:tcPr>
          <w:p w14:paraId="04A76D9D"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 xml:space="preserve">Riesgo de desconocimiento de las actividades de Proyecto ante la falta de coordinación con referentes de los pueblos indígenas y afrohondureños. </w:t>
            </w:r>
          </w:p>
        </w:tc>
        <w:tc>
          <w:tcPr>
            <w:tcW w:w="1276" w:type="dxa"/>
            <w:shd w:val="clear" w:color="auto" w:fill="FFFFFF" w:themeFill="background1"/>
            <w:noWrap/>
            <w:hideMark/>
          </w:tcPr>
          <w:p w14:paraId="2624D2C3" w14:textId="77777777"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Todos</w:t>
            </w:r>
          </w:p>
        </w:tc>
        <w:tc>
          <w:tcPr>
            <w:tcW w:w="4677" w:type="dxa"/>
            <w:shd w:val="clear" w:color="auto" w:fill="FFFFFF" w:themeFill="background1"/>
            <w:hideMark/>
          </w:tcPr>
          <w:p w14:paraId="6DB65B8D" w14:textId="21C91B7C" w:rsidR="006A3DBC" w:rsidRPr="000E6D86" w:rsidRDefault="006A3DBC" w:rsidP="00891BDD">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El Proyecto coordinará con l</w:t>
            </w:r>
            <w:r w:rsidR="00E039B7" w:rsidRPr="000E6D86">
              <w:rPr>
                <w:rFonts w:eastAsia="Times New Roman" w:cs="Arial"/>
                <w:sz w:val="18"/>
                <w:szCs w:val="18"/>
                <w:lang w:val="es-SV" w:eastAsia="es-SV"/>
              </w:rPr>
              <w:t>í</w:t>
            </w:r>
            <w:r w:rsidRPr="000E6D86">
              <w:rPr>
                <w:rFonts w:eastAsia="Times New Roman" w:cs="Arial"/>
                <w:sz w:val="18"/>
                <w:szCs w:val="18"/>
                <w:lang w:val="es-SV" w:eastAsia="es-SV"/>
              </w:rPr>
              <w:t>deres(</w:t>
            </w:r>
            <w:r w:rsidR="00462F49" w:rsidRPr="000E6D86">
              <w:rPr>
                <w:rFonts w:eastAsia="Times New Roman" w:cs="Arial"/>
                <w:sz w:val="18"/>
                <w:szCs w:val="18"/>
                <w:lang w:val="es-SV" w:eastAsia="es-SV"/>
              </w:rPr>
              <w:t>lideres</w:t>
            </w:r>
            <w:r w:rsidRPr="000E6D86">
              <w:rPr>
                <w:rFonts w:eastAsia="Times New Roman" w:cs="Arial"/>
                <w:sz w:val="18"/>
                <w:szCs w:val="18"/>
                <w:lang w:val="es-SV" w:eastAsia="es-SV"/>
              </w:rPr>
              <w:t>as) de los pueblos indígenas y afrohondureñas para garantizar comunicaciones y coordinaciones eficientes y eficaces de las actividades del Proyecto.</w:t>
            </w:r>
          </w:p>
        </w:tc>
      </w:tr>
      <w:tr w:rsidR="000E6D86" w:rsidRPr="000E6D86" w14:paraId="37FA9ABD" w14:textId="77777777" w:rsidTr="000E6D86">
        <w:trPr>
          <w:trHeight w:val="735"/>
        </w:trPr>
        <w:tc>
          <w:tcPr>
            <w:tcW w:w="3114" w:type="dxa"/>
            <w:shd w:val="clear" w:color="auto" w:fill="FFFFFF" w:themeFill="background1"/>
            <w:hideMark/>
          </w:tcPr>
          <w:p w14:paraId="32219335" w14:textId="292AB26E"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Componente 2. Fortalecimiento institucional para mejorar el entorno de los agronegocios (Rehabilitación y construcción de caminos rurales).</w:t>
            </w:r>
          </w:p>
        </w:tc>
        <w:tc>
          <w:tcPr>
            <w:tcW w:w="850" w:type="dxa"/>
            <w:shd w:val="clear" w:color="auto" w:fill="FFFFFF" w:themeFill="background1"/>
            <w:noWrap/>
            <w:hideMark/>
          </w:tcPr>
          <w:p w14:paraId="4D1927D4" w14:textId="34244713"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Social</w:t>
            </w:r>
          </w:p>
        </w:tc>
        <w:tc>
          <w:tcPr>
            <w:tcW w:w="3686" w:type="dxa"/>
            <w:shd w:val="clear" w:color="auto" w:fill="FFFFFF" w:themeFill="background1"/>
            <w:hideMark/>
          </w:tcPr>
          <w:p w14:paraId="5919C61B"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La inseguridad y violencia que puede estar presente en las áreas de intervención del Proyecto y presentar un riesgo adicional para el Proyecto.</w:t>
            </w:r>
          </w:p>
        </w:tc>
        <w:tc>
          <w:tcPr>
            <w:tcW w:w="1276" w:type="dxa"/>
            <w:shd w:val="clear" w:color="auto" w:fill="FFFFFF" w:themeFill="background1"/>
            <w:noWrap/>
            <w:hideMark/>
          </w:tcPr>
          <w:p w14:paraId="4CD1EEB2" w14:textId="77777777"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Todos</w:t>
            </w:r>
          </w:p>
        </w:tc>
        <w:tc>
          <w:tcPr>
            <w:tcW w:w="4677" w:type="dxa"/>
            <w:shd w:val="clear" w:color="auto" w:fill="FFFFFF" w:themeFill="background1"/>
            <w:hideMark/>
          </w:tcPr>
          <w:p w14:paraId="2CBF0A4B" w14:textId="3B3033D9" w:rsidR="006A3DBC" w:rsidRPr="000E6D86" w:rsidRDefault="006A3DBC" w:rsidP="00891BDD">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Coordinación a nivel local y municipal con autoridades y l</w:t>
            </w:r>
            <w:r w:rsidR="00E039B7" w:rsidRPr="000E6D86">
              <w:rPr>
                <w:rFonts w:eastAsia="Times New Roman" w:cs="Arial"/>
                <w:sz w:val="18"/>
                <w:szCs w:val="18"/>
                <w:lang w:val="es-SV" w:eastAsia="es-SV"/>
              </w:rPr>
              <w:t>í</w:t>
            </w:r>
            <w:r w:rsidRPr="000E6D86">
              <w:rPr>
                <w:rFonts w:eastAsia="Times New Roman" w:cs="Arial"/>
                <w:sz w:val="18"/>
                <w:szCs w:val="18"/>
                <w:lang w:val="es-SV" w:eastAsia="es-SV"/>
              </w:rPr>
              <w:t>deres(</w:t>
            </w:r>
            <w:r w:rsidR="00462F49" w:rsidRPr="000E6D86">
              <w:rPr>
                <w:rFonts w:eastAsia="Times New Roman" w:cs="Arial"/>
                <w:sz w:val="18"/>
                <w:szCs w:val="18"/>
                <w:lang w:val="es-SV" w:eastAsia="es-SV"/>
              </w:rPr>
              <w:t>lideres</w:t>
            </w:r>
            <w:r w:rsidRPr="000E6D86">
              <w:rPr>
                <w:rFonts w:eastAsia="Times New Roman" w:cs="Arial"/>
                <w:sz w:val="18"/>
                <w:szCs w:val="18"/>
                <w:lang w:val="es-SV" w:eastAsia="es-SV"/>
              </w:rPr>
              <w:t>as) para dar a conocer el Proyecto y prevenir situaciones de riesgo en la zona de intervención.</w:t>
            </w:r>
          </w:p>
        </w:tc>
      </w:tr>
      <w:tr w:rsidR="000E6D86" w:rsidRPr="000E6D86" w14:paraId="20262B31" w14:textId="77777777" w:rsidTr="000E6D86">
        <w:trPr>
          <w:trHeight w:val="2290"/>
        </w:trPr>
        <w:tc>
          <w:tcPr>
            <w:tcW w:w="3114" w:type="dxa"/>
            <w:shd w:val="clear" w:color="auto" w:fill="FFFFFF" w:themeFill="background1"/>
            <w:hideMark/>
          </w:tcPr>
          <w:p w14:paraId="240F270B"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Componente 1 Mejoramiento de la competitividad y la resiliencia en las cadenas de valor priorizadas (Elaboración de subproyectos de inversión).</w:t>
            </w:r>
          </w:p>
        </w:tc>
        <w:tc>
          <w:tcPr>
            <w:tcW w:w="850" w:type="dxa"/>
            <w:shd w:val="clear" w:color="auto" w:fill="FFFFFF" w:themeFill="background1"/>
            <w:noWrap/>
            <w:hideMark/>
          </w:tcPr>
          <w:p w14:paraId="7459976D" w14:textId="6EC76C81"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Social</w:t>
            </w:r>
          </w:p>
        </w:tc>
        <w:tc>
          <w:tcPr>
            <w:tcW w:w="3686" w:type="dxa"/>
            <w:shd w:val="clear" w:color="auto" w:fill="FFFFFF" w:themeFill="background1"/>
            <w:hideMark/>
          </w:tcPr>
          <w:p w14:paraId="2C1326E9"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 xml:space="preserve">Riesgo de exclusión de grupos indígenas múltiples y diversos dispersos. </w:t>
            </w:r>
          </w:p>
        </w:tc>
        <w:tc>
          <w:tcPr>
            <w:tcW w:w="1276" w:type="dxa"/>
            <w:shd w:val="clear" w:color="auto" w:fill="FFFFFF" w:themeFill="background1"/>
            <w:noWrap/>
            <w:hideMark/>
          </w:tcPr>
          <w:p w14:paraId="75C88B4A" w14:textId="77777777"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Todos</w:t>
            </w:r>
          </w:p>
        </w:tc>
        <w:tc>
          <w:tcPr>
            <w:tcW w:w="4677" w:type="dxa"/>
            <w:shd w:val="clear" w:color="auto" w:fill="FFFFFF" w:themeFill="background1"/>
            <w:hideMark/>
          </w:tcPr>
          <w:p w14:paraId="29947D23" w14:textId="77777777" w:rsidR="006A3DBC" w:rsidRPr="000E6D86" w:rsidRDefault="006A3DBC" w:rsidP="00891BDD">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Trabajar con referentes de las tribus y pueblos indígenas para procesos de consultas y otras medidas contempladas en el marco del EAS 7, incluyendo la participación directa de especialistas sociales contratados.</w:t>
            </w:r>
          </w:p>
          <w:p w14:paraId="409166E1" w14:textId="5CD761CA" w:rsidR="006A3DBC" w:rsidRPr="000E6D86" w:rsidRDefault="006A3DBC" w:rsidP="00891BDD">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El Proyecto cuenta con directrices y procedimientos para promover la inclusión de pueblos indígenas y afrohondureños en el MGAS y MOP.</w:t>
            </w:r>
          </w:p>
          <w:p w14:paraId="09BFDA4B" w14:textId="77777777" w:rsidR="006A3DBC" w:rsidRPr="000E6D86" w:rsidRDefault="006A3DBC" w:rsidP="00891BDD">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 xml:space="preserve">Adecuar la estrategia de comunicación y participación culturalmente apropiada a las necesidades de información de los pueblos. </w:t>
            </w:r>
          </w:p>
        </w:tc>
      </w:tr>
      <w:tr w:rsidR="000E6D86" w:rsidRPr="000E6D86" w14:paraId="0AE7A391" w14:textId="77777777" w:rsidTr="000E6D86">
        <w:trPr>
          <w:trHeight w:val="402"/>
        </w:trPr>
        <w:tc>
          <w:tcPr>
            <w:tcW w:w="3114" w:type="dxa"/>
            <w:shd w:val="clear" w:color="auto" w:fill="FFFFFF" w:themeFill="background1"/>
            <w:hideMark/>
          </w:tcPr>
          <w:p w14:paraId="7353B643"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Componente 1 Mejoramiento de la competitividad y la resiliencia en las cadenas de valor priorizadas (Elaboración de subproyectos de inversión).</w:t>
            </w:r>
          </w:p>
        </w:tc>
        <w:tc>
          <w:tcPr>
            <w:tcW w:w="850" w:type="dxa"/>
            <w:shd w:val="clear" w:color="auto" w:fill="FFFFFF" w:themeFill="background1"/>
            <w:hideMark/>
          </w:tcPr>
          <w:p w14:paraId="6D8422C5" w14:textId="739A9170"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Social</w:t>
            </w:r>
          </w:p>
        </w:tc>
        <w:tc>
          <w:tcPr>
            <w:tcW w:w="3686" w:type="dxa"/>
            <w:shd w:val="clear" w:color="auto" w:fill="FFFFFF" w:themeFill="background1"/>
            <w:hideMark/>
          </w:tcPr>
          <w:p w14:paraId="0136D848"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 xml:space="preserve">Riesgo de criminalidad ante la dispersión del Proyecto en zonas remotas y de difícil acceso. </w:t>
            </w:r>
          </w:p>
        </w:tc>
        <w:tc>
          <w:tcPr>
            <w:tcW w:w="1276" w:type="dxa"/>
            <w:shd w:val="clear" w:color="auto" w:fill="FFFFFF" w:themeFill="background1"/>
            <w:hideMark/>
          </w:tcPr>
          <w:p w14:paraId="3013E73F" w14:textId="2EF230E9"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Yoro</w:t>
            </w:r>
          </w:p>
        </w:tc>
        <w:tc>
          <w:tcPr>
            <w:tcW w:w="4677" w:type="dxa"/>
            <w:shd w:val="clear" w:color="auto" w:fill="FFFFFF" w:themeFill="background1"/>
            <w:hideMark/>
          </w:tcPr>
          <w:p w14:paraId="069B325C" w14:textId="77777777" w:rsidR="006A3DBC" w:rsidRPr="000E6D86" w:rsidRDefault="006A3DBC" w:rsidP="00891BDD">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 xml:space="preserve">El Proyecto buscará realizar una convocatoria ampliada a través de una lista de referentes locales que apoyarán la convocatoria del Proyecto, de manera que se prevengan exclusión de personas que se ubican en áreas remotas. </w:t>
            </w:r>
          </w:p>
        </w:tc>
      </w:tr>
      <w:tr w:rsidR="000E6D86" w:rsidRPr="000E6D86" w14:paraId="51624636" w14:textId="77777777" w:rsidTr="000E6D86">
        <w:trPr>
          <w:trHeight w:val="1103"/>
        </w:trPr>
        <w:tc>
          <w:tcPr>
            <w:tcW w:w="3114" w:type="dxa"/>
            <w:shd w:val="clear" w:color="auto" w:fill="FFFFFF" w:themeFill="background1"/>
            <w:hideMark/>
          </w:tcPr>
          <w:p w14:paraId="737AACFB"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Componente 1 Mejoramiento de la competitividad y la resiliencia en las cadenas de valor priorizadas (Planes de negocios)</w:t>
            </w:r>
          </w:p>
        </w:tc>
        <w:tc>
          <w:tcPr>
            <w:tcW w:w="850" w:type="dxa"/>
            <w:shd w:val="clear" w:color="auto" w:fill="FFFFFF" w:themeFill="background1"/>
            <w:noWrap/>
            <w:hideMark/>
          </w:tcPr>
          <w:p w14:paraId="444AFD53" w14:textId="0BCA6A34"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Social</w:t>
            </w:r>
          </w:p>
        </w:tc>
        <w:tc>
          <w:tcPr>
            <w:tcW w:w="3686" w:type="dxa"/>
            <w:shd w:val="clear" w:color="auto" w:fill="FFFFFF" w:themeFill="background1"/>
            <w:hideMark/>
          </w:tcPr>
          <w:p w14:paraId="0BE53D2F"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 xml:space="preserve">Riesgo de inasistencia educativa de </w:t>
            </w:r>
            <w:proofErr w:type="gramStart"/>
            <w:r w:rsidRPr="000E6D86">
              <w:rPr>
                <w:rFonts w:eastAsia="Times New Roman" w:cs="Arial"/>
                <w:sz w:val="18"/>
                <w:szCs w:val="18"/>
                <w:lang w:val="es-SV" w:eastAsia="es-SV"/>
              </w:rPr>
              <w:t>niños y niñas</w:t>
            </w:r>
            <w:proofErr w:type="gramEnd"/>
            <w:r w:rsidRPr="000E6D86">
              <w:rPr>
                <w:rFonts w:eastAsia="Times New Roman" w:cs="Arial"/>
                <w:sz w:val="18"/>
                <w:szCs w:val="18"/>
                <w:lang w:val="es-SV" w:eastAsia="es-SV"/>
              </w:rPr>
              <w:t xml:space="preserve"> en las áreas de influencia del Proyecto. </w:t>
            </w:r>
          </w:p>
        </w:tc>
        <w:tc>
          <w:tcPr>
            <w:tcW w:w="1276" w:type="dxa"/>
            <w:shd w:val="clear" w:color="auto" w:fill="FFFFFF" w:themeFill="background1"/>
            <w:noWrap/>
            <w:hideMark/>
          </w:tcPr>
          <w:p w14:paraId="7468FA5B" w14:textId="77777777"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Todos</w:t>
            </w:r>
          </w:p>
        </w:tc>
        <w:tc>
          <w:tcPr>
            <w:tcW w:w="4677" w:type="dxa"/>
            <w:shd w:val="clear" w:color="auto" w:fill="FFFFFF" w:themeFill="background1"/>
            <w:hideMark/>
          </w:tcPr>
          <w:p w14:paraId="7A595D6E" w14:textId="4341D077" w:rsidR="006A3DBC" w:rsidRPr="000E6D86" w:rsidRDefault="006A3DBC" w:rsidP="00891BDD">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El</w:t>
            </w:r>
            <w:r w:rsidR="00891BDD" w:rsidRPr="000E6D86">
              <w:rPr>
                <w:rFonts w:eastAsia="Times New Roman" w:cs="Arial"/>
                <w:sz w:val="18"/>
                <w:szCs w:val="18"/>
                <w:lang w:val="es-SV" w:eastAsia="es-SV"/>
              </w:rPr>
              <w:t xml:space="preserve"> </w:t>
            </w:r>
            <w:r w:rsidRPr="000E6D86">
              <w:rPr>
                <w:rFonts w:eastAsia="Times New Roman" w:cs="Arial"/>
                <w:sz w:val="18"/>
                <w:szCs w:val="18"/>
                <w:lang w:val="es-SV" w:eastAsia="es-SV"/>
              </w:rPr>
              <w:t xml:space="preserve">Proyecto, a través de sus especialistas sociales promoverá capacitaciones y charlas con enfoque de derechos de </w:t>
            </w:r>
            <w:proofErr w:type="gramStart"/>
            <w:r w:rsidRPr="000E6D86">
              <w:rPr>
                <w:rFonts w:eastAsia="Times New Roman" w:cs="Arial"/>
                <w:sz w:val="18"/>
                <w:szCs w:val="18"/>
                <w:lang w:val="es-SV" w:eastAsia="es-SV"/>
              </w:rPr>
              <w:t>las niñas y niños</w:t>
            </w:r>
            <w:proofErr w:type="gramEnd"/>
            <w:r w:rsidRPr="000E6D86">
              <w:rPr>
                <w:rFonts w:eastAsia="Times New Roman" w:cs="Arial"/>
                <w:sz w:val="18"/>
                <w:szCs w:val="18"/>
                <w:lang w:val="es-SV" w:eastAsia="es-SV"/>
              </w:rPr>
              <w:t xml:space="preserve"> para prevenir el trabajo infantil y promover la inclusión en centros educativos y el control nutricional en las etapas tempranas del desarrollo</w:t>
            </w:r>
            <w:r w:rsidR="00891BDD" w:rsidRPr="000E6D86">
              <w:rPr>
                <w:rFonts w:eastAsia="Times New Roman" w:cs="Arial"/>
                <w:sz w:val="18"/>
                <w:szCs w:val="18"/>
                <w:lang w:val="es-SV" w:eastAsia="es-SV"/>
              </w:rPr>
              <w:t>.</w:t>
            </w:r>
            <w:r w:rsidRPr="000E6D86">
              <w:rPr>
                <w:rFonts w:eastAsia="Times New Roman" w:cs="Arial"/>
                <w:sz w:val="18"/>
                <w:szCs w:val="18"/>
                <w:lang w:val="es-SV" w:eastAsia="es-SV"/>
              </w:rPr>
              <w:t xml:space="preserve"> </w:t>
            </w:r>
          </w:p>
        </w:tc>
      </w:tr>
      <w:tr w:rsidR="000E6D86" w:rsidRPr="000E6D86" w14:paraId="3F4804EE" w14:textId="77777777" w:rsidTr="000E6D86">
        <w:trPr>
          <w:trHeight w:val="544"/>
        </w:trPr>
        <w:tc>
          <w:tcPr>
            <w:tcW w:w="3114" w:type="dxa"/>
            <w:shd w:val="clear" w:color="auto" w:fill="FFFFFF" w:themeFill="background1"/>
            <w:hideMark/>
          </w:tcPr>
          <w:p w14:paraId="422C6C32"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Componente 1 Mejoramiento de la competitividad y la resiliencia en las cadenas de valor priorizadas (PdNs)</w:t>
            </w:r>
          </w:p>
        </w:tc>
        <w:tc>
          <w:tcPr>
            <w:tcW w:w="850" w:type="dxa"/>
            <w:shd w:val="clear" w:color="auto" w:fill="FFFFFF" w:themeFill="background1"/>
            <w:noWrap/>
            <w:hideMark/>
          </w:tcPr>
          <w:p w14:paraId="3D3F8731" w14:textId="072EF648"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Social</w:t>
            </w:r>
          </w:p>
        </w:tc>
        <w:tc>
          <w:tcPr>
            <w:tcW w:w="3686" w:type="dxa"/>
            <w:shd w:val="clear" w:color="auto" w:fill="FFFFFF" w:themeFill="background1"/>
            <w:hideMark/>
          </w:tcPr>
          <w:p w14:paraId="49323226"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Baja participación de jóvenes a consecuencia de la migración.</w:t>
            </w:r>
          </w:p>
        </w:tc>
        <w:tc>
          <w:tcPr>
            <w:tcW w:w="1276" w:type="dxa"/>
            <w:shd w:val="clear" w:color="auto" w:fill="FFFFFF" w:themeFill="background1"/>
            <w:noWrap/>
            <w:hideMark/>
          </w:tcPr>
          <w:p w14:paraId="25BAC35C" w14:textId="77777777"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Todos</w:t>
            </w:r>
          </w:p>
        </w:tc>
        <w:tc>
          <w:tcPr>
            <w:tcW w:w="4677" w:type="dxa"/>
            <w:shd w:val="clear" w:color="auto" w:fill="FFFFFF" w:themeFill="background1"/>
            <w:hideMark/>
          </w:tcPr>
          <w:p w14:paraId="08E554F3" w14:textId="77777777" w:rsidR="006A3DBC" w:rsidRPr="000E6D86" w:rsidRDefault="006A3DBC" w:rsidP="00891BDD">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El Proyecto buscará identificar acciones dentro del componente que prevengan la migración y despierten el interés y la retención de las juventudes.</w:t>
            </w:r>
          </w:p>
          <w:p w14:paraId="60F8AE6A" w14:textId="7AB07D2C" w:rsidR="006A3DBC" w:rsidRPr="000E6D86" w:rsidRDefault="006A3DBC" w:rsidP="00891BDD">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 xml:space="preserve"> El Proyecto ha definido un umbral de participación de personas jóvenes entre 18-29 años, que es del 15%, con lo que se tiene en cuenta la participación de los mismo, en actividades directas.</w:t>
            </w:r>
          </w:p>
        </w:tc>
      </w:tr>
      <w:tr w:rsidR="000E6D86" w:rsidRPr="000E6D86" w14:paraId="5F192964" w14:textId="77777777" w:rsidTr="000E6D86">
        <w:trPr>
          <w:trHeight w:val="1103"/>
        </w:trPr>
        <w:tc>
          <w:tcPr>
            <w:tcW w:w="3114" w:type="dxa"/>
            <w:shd w:val="clear" w:color="auto" w:fill="FFFFFF" w:themeFill="background1"/>
            <w:hideMark/>
          </w:tcPr>
          <w:p w14:paraId="48F1F1EE"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lastRenderedPageBreak/>
              <w:t>Componente 1 Mejoramiento de la competitividad y la resiliencia en las cadenas de valor priorizadas (PdNs).</w:t>
            </w:r>
          </w:p>
        </w:tc>
        <w:tc>
          <w:tcPr>
            <w:tcW w:w="850" w:type="dxa"/>
            <w:shd w:val="clear" w:color="auto" w:fill="FFFFFF" w:themeFill="background1"/>
            <w:noWrap/>
            <w:hideMark/>
          </w:tcPr>
          <w:p w14:paraId="04DB1EA4" w14:textId="2FAAD171"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Social</w:t>
            </w:r>
          </w:p>
        </w:tc>
        <w:tc>
          <w:tcPr>
            <w:tcW w:w="3686" w:type="dxa"/>
            <w:shd w:val="clear" w:color="auto" w:fill="FFFFFF" w:themeFill="background1"/>
            <w:hideMark/>
          </w:tcPr>
          <w:p w14:paraId="6533319F"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 xml:space="preserve">Riesgo de ejecución de actividades de componente 1 por la falta de seguridad jurídica y otros requisitos. </w:t>
            </w:r>
          </w:p>
        </w:tc>
        <w:tc>
          <w:tcPr>
            <w:tcW w:w="1276" w:type="dxa"/>
            <w:shd w:val="clear" w:color="auto" w:fill="FFFFFF" w:themeFill="background1"/>
            <w:noWrap/>
            <w:hideMark/>
          </w:tcPr>
          <w:p w14:paraId="78039BDE" w14:textId="77777777"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Todos</w:t>
            </w:r>
          </w:p>
        </w:tc>
        <w:tc>
          <w:tcPr>
            <w:tcW w:w="4677" w:type="dxa"/>
            <w:shd w:val="clear" w:color="auto" w:fill="FFFFFF" w:themeFill="background1"/>
            <w:hideMark/>
          </w:tcPr>
          <w:p w14:paraId="3D7F7E32" w14:textId="77777777" w:rsidR="006A3DBC" w:rsidRPr="000E6D86" w:rsidRDefault="006A3DBC" w:rsidP="00891BDD">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 xml:space="preserve">El Proyecto informará oportunamente a los potenciales participantes los requisitos de cada uno de los componentes del Proyecto, de manera que se conozca de forma transparente y en tiempo los requerimientos, incluyendo los temas relacionados a la tenencia de la tierra, para prevenir faltas expectativas </w:t>
            </w:r>
          </w:p>
        </w:tc>
      </w:tr>
      <w:tr w:rsidR="000E6D86" w:rsidRPr="000E6D86" w14:paraId="43C56551" w14:textId="77777777" w:rsidTr="000E6D86">
        <w:trPr>
          <w:trHeight w:val="2022"/>
        </w:trPr>
        <w:tc>
          <w:tcPr>
            <w:tcW w:w="3114" w:type="dxa"/>
            <w:shd w:val="clear" w:color="auto" w:fill="FFFFFF" w:themeFill="background1"/>
            <w:hideMark/>
          </w:tcPr>
          <w:p w14:paraId="6355CA60"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Componente 1 Mejoramiento de la competitividad y la resiliencia en las cadenas de valor priorizadas (PdNs).</w:t>
            </w:r>
          </w:p>
        </w:tc>
        <w:tc>
          <w:tcPr>
            <w:tcW w:w="850" w:type="dxa"/>
            <w:shd w:val="clear" w:color="auto" w:fill="FFFFFF" w:themeFill="background1"/>
            <w:noWrap/>
            <w:hideMark/>
          </w:tcPr>
          <w:p w14:paraId="6D41B80A" w14:textId="554B257F"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Social</w:t>
            </w:r>
          </w:p>
        </w:tc>
        <w:tc>
          <w:tcPr>
            <w:tcW w:w="3686" w:type="dxa"/>
            <w:shd w:val="clear" w:color="auto" w:fill="FFFFFF" w:themeFill="background1"/>
            <w:hideMark/>
          </w:tcPr>
          <w:p w14:paraId="0D3E3872"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 xml:space="preserve">Bajo grado académico de la población limita la participación e incidencia en el desarrollo de cadenas de valor. </w:t>
            </w:r>
          </w:p>
        </w:tc>
        <w:tc>
          <w:tcPr>
            <w:tcW w:w="1276" w:type="dxa"/>
            <w:shd w:val="clear" w:color="auto" w:fill="FFFFFF" w:themeFill="background1"/>
            <w:hideMark/>
          </w:tcPr>
          <w:p w14:paraId="2708149A" w14:textId="77777777"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Olancho (Salamá, Catacamas)</w:t>
            </w:r>
          </w:p>
        </w:tc>
        <w:tc>
          <w:tcPr>
            <w:tcW w:w="4677" w:type="dxa"/>
            <w:shd w:val="clear" w:color="auto" w:fill="FFFFFF" w:themeFill="background1"/>
            <w:hideMark/>
          </w:tcPr>
          <w:p w14:paraId="7C0B31B5" w14:textId="77777777" w:rsidR="006A3DBC" w:rsidRPr="000E6D86" w:rsidRDefault="006A3DBC" w:rsidP="00891BDD">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Búsqueda de estrategias y metodologías para incorporar a productores jóvenes en los procesos de desarrollo de cadenas de valor.</w:t>
            </w:r>
          </w:p>
          <w:p w14:paraId="547EDDD2" w14:textId="26BCDA3C" w:rsidR="006A3DBC" w:rsidRPr="000E6D86" w:rsidRDefault="006A3DBC" w:rsidP="00891BDD">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Establecer alianzas locales para incorporación de jóvenes en educación media y superior.</w:t>
            </w:r>
          </w:p>
          <w:p w14:paraId="22109EE0" w14:textId="5164CE22" w:rsidR="006A3DBC" w:rsidRPr="000E6D86" w:rsidRDefault="006A3DBC" w:rsidP="00891BDD">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Motivar a personas con mayor grado académico para que participen en el Proyecto.</w:t>
            </w:r>
          </w:p>
          <w:p w14:paraId="72ABCC31" w14:textId="5C1BA8D1" w:rsidR="006A3DBC" w:rsidRPr="000E6D86" w:rsidRDefault="006A3DBC" w:rsidP="00891BDD">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 xml:space="preserve">Fortalecer los mecanismos de formación, educación y capacitación de participantes. </w:t>
            </w:r>
          </w:p>
        </w:tc>
      </w:tr>
      <w:tr w:rsidR="000E6D86" w:rsidRPr="000E6D86" w14:paraId="7618F5AD" w14:textId="77777777" w:rsidTr="000E6D86">
        <w:trPr>
          <w:trHeight w:val="1286"/>
        </w:trPr>
        <w:tc>
          <w:tcPr>
            <w:tcW w:w="3114" w:type="dxa"/>
            <w:shd w:val="clear" w:color="auto" w:fill="FFFFFF" w:themeFill="background1"/>
            <w:hideMark/>
          </w:tcPr>
          <w:p w14:paraId="06CCB576"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Componente 1 Mejoramiento de la competitividad y la resiliencia en las cadenas de valor priorizadas (PdNs).</w:t>
            </w:r>
          </w:p>
        </w:tc>
        <w:tc>
          <w:tcPr>
            <w:tcW w:w="850" w:type="dxa"/>
            <w:shd w:val="clear" w:color="auto" w:fill="FFFFFF" w:themeFill="background1"/>
            <w:noWrap/>
            <w:hideMark/>
          </w:tcPr>
          <w:p w14:paraId="765A2BF5" w14:textId="3EEA5D8B"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Social</w:t>
            </w:r>
          </w:p>
        </w:tc>
        <w:tc>
          <w:tcPr>
            <w:tcW w:w="3686" w:type="dxa"/>
            <w:shd w:val="clear" w:color="auto" w:fill="FFFFFF" w:themeFill="background1"/>
            <w:hideMark/>
          </w:tcPr>
          <w:p w14:paraId="7C5549C4"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Riesgo de exclusión de participantes por la falta de formación agrícola cercana a las zonas de intervención en donde prevalece personas indígenas y afrohondureñas.</w:t>
            </w:r>
          </w:p>
        </w:tc>
        <w:tc>
          <w:tcPr>
            <w:tcW w:w="1276" w:type="dxa"/>
            <w:shd w:val="clear" w:color="auto" w:fill="FFFFFF" w:themeFill="background1"/>
            <w:hideMark/>
          </w:tcPr>
          <w:p w14:paraId="6EFBD677" w14:textId="77777777"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Valle (Nacaome)</w:t>
            </w:r>
          </w:p>
        </w:tc>
        <w:tc>
          <w:tcPr>
            <w:tcW w:w="4677" w:type="dxa"/>
            <w:shd w:val="clear" w:color="auto" w:fill="FFFFFF" w:themeFill="background1"/>
            <w:hideMark/>
          </w:tcPr>
          <w:p w14:paraId="4E5F9395" w14:textId="77777777" w:rsidR="006A3DBC" w:rsidRPr="000E6D86" w:rsidRDefault="006A3DBC" w:rsidP="00891BDD">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Desarrollo de alianzas con organizaciones locales, INFOP, Escuelas agrícolas, ONGs para acercar la formación y capacitación.</w:t>
            </w:r>
          </w:p>
          <w:p w14:paraId="43AD9AD0" w14:textId="16934292" w:rsidR="006A3DBC" w:rsidRPr="000E6D86" w:rsidRDefault="006A3DBC" w:rsidP="00891BDD">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 xml:space="preserve">Fortalecer la capacitación y formación de personas indígenas y afrohondureñas, en lenguaje culturalmente aceptables para los pueblos. </w:t>
            </w:r>
          </w:p>
        </w:tc>
      </w:tr>
      <w:tr w:rsidR="000E6D86" w:rsidRPr="000E6D86" w14:paraId="0B085F02" w14:textId="77777777" w:rsidTr="000E6D86">
        <w:trPr>
          <w:trHeight w:val="544"/>
        </w:trPr>
        <w:tc>
          <w:tcPr>
            <w:tcW w:w="3114" w:type="dxa"/>
            <w:shd w:val="clear" w:color="auto" w:fill="FFFFFF" w:themeFill="background1"/>
            <w:hideMark/>
          </w:tcPr>
          <w:p w14:paraId="3695DF11"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Componente 1 Mejoramiento de la competitividad y la resiliencia en las cadenas de valor priorizadas (PdNs).</w:t>
            </w:r>
          </w:p>
        </w:tc>
        <w:tc>
          <w:tcPr>
            <w:tcW w:w="850" w:type="dxa"/>
            <w:shd w:val="clear" w:color="auto" w:fill="FFFFFF" w:themeFill="background1"/>
            <w:noWrap/>
            <w:hideMark/>
          </w:tcPr>
          <w:p w14:paraId="2E9B5456" w14:textId="40136042"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Social</w:t>
            </w:r>
          </w:p>
        </w:tc>
        <w:tc>
          <w:tcPr>
            <w:tcW w:w="3686" w:type="dxa"/>
            <w:shd w:val="clear" w:color="auto" w:fill="FFFFFF" w:themeFill="background1"/>
            <w:hideMark/>
          </w:tcPr>
          <w:p w14:paraId="17FF33D2"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 xml:space="preserve">Riesgo la débil capacidad de coordinación entre las instituciones del sector público con presencia en las áreas del Proyecto. </w:t>
            </w:r>
          </w:p>
        </w:tc>
        <w:tc>
          <w:tcPr>
            <w:tcW w:w="1276" w:type="dxa"/>
            <w:shd w:val="clear" w:color="auto" w:fill="FFFFFF" w:themeFill="background1"/>
            <w:hideMark/>
          </w:tcPr>
          <w:p w14:paraId="3473CB31" w14:textId="77777777"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Olancho (Catacamas, Salamá), Valle (Nacaome)</w:t>
            </w:r>
          </w:p>
        </w:tc>
        <w:tc>
          <w:tcPr>
            <w:tcW w:w="4677" w:type="dxa"/>
            <w:shd w:val="clear" w:color="auto" w:fill="FFFFFF" w:themeFill="background1"/>
            <w:hideMark/>
          </w:tcPr>
          <w:p w14:paraId="5946F0B7" w14:textId="77777777" w:rsidR="006A3DBC" w:rsidRPr="000E6D86" w:rsidRDefault="006A3DBC" w:rsidP="00891BDD">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Mapeo de convenios y alianzas existentes e identificación de brechas con otros potenciales aliados.</w:t>
            </w:r>
          </w:p>
          <w:p w14:paraId="118D7520" w14:textId="6874AC26" w:rsidR="006A3DBC" w:rsidRPr="000E6D86" w:rsidRDefault="006A3DBC" w:rsidP="00891BDD">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 xml:space="preserve"> Buscar apoyo empresarial y bancario para desarrollar actividades de mayor escala.</w:t>
            </w:r>
          </w:p>
          <w:p w14:paraId="3546F7C7" w14:textId="77777777" w:rsidR="00891BDD" w:rsidRPr="000E6D86" w:rsidRDefault="006A3DBC" w:rsidP="00891BDD">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 xml:space="preserve"> Búsqueda de alianzas estratégicas para el desarrollo de cada subproyecto.</w:t>
            </w:r>
          </w:p>
          <w:p w14:paraId="7AD2FB87" w14:textId="23938864" w:rsidR="006A3DBC" w:rsidRPr="000E6D86" w:rsidRDefault="006A3DBC" w:rsidP="00891BDD">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 xml:space="preserve"> Establecer lineamientos y políticas claras de quienes norman y regulan el apoyo al sector.</w:t>
            </w:r>
          </w:p>
        </w:tc>
      </w:tr>
      <w:tr w:rsidR="000E6D86" w:rsidRPr="000E6D86" w14:paraId="10D2A323" w14:textId="77777777" w:rsidTr="000E6D86">
        <w:trPr>
          <w:trHeight w:val="1962"/>
        </w:trPr>
        <w:tc>
          <w:tcPr>
            <w:tcW w:w="3114" w:type="dxa"/>
            <w:shd w:val="clear" w:color="auto" w:fill="FFFFFF" w:themeFill="background1"/>
            <w:hideMark/>
          </w:tcPr>
          <w:p w14:paraId="5B319808"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lastRenderedPageBreak/>
              <w:t>Componente 1 Mejoramiento de la competitividad y la resiliencia en las cadenas de valor priorizadas (PdNs).</w:t>
            </w:r>
          </w:p>
        </w:tc>
        <w:tc>
          <w:tcPr>
            <w:tcW w:w="850" w:type="dxa"/>
            <w:shd w:val="clear" w:color="auto" w:fill="FFFFFF" w:themeFill="background1"/>
            <w:noWrap/>
            <w:hideMark/>
          </w:tcPr>
          <w:p w14:paraId="18A24F9D" w14:textId="426097BF"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Social</w:t>
            </w:r>
          </w:p>
        </w:tc>
        <w:tc>
          <w:tcPr>
            <w:tcW w:w="3686" w:type="dxa"/>
            <w:shd w:val="clear" w:color="auto" w:fill="FFFFFF" w:themeFill="background1"/>
            <w:hideMark/>
          </w:tcPr>
          <w:p w14:paraId="25D4F24F"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 xml:space="preserve">Riesgo de falta de interés por el uso de mecanismos de quejas de la OPR por confusión y desconocimiento sobre su aplicación. </w:t>
            </w:r>
          </w:p>
        </w:tc>
        <w:tc>
          <w:tcPr>
            <w:tcW w:w="1276" w:type="dxa"/>
            <w:shd w:val="clear" w:color="auto" w:fill="FFFFFF" w:themeFill="background1"/>
            <w:noWrap/>
            <w:hideMark/>
          </w:tcPr>
          <w:p w14:paraId="756083FB" w14:textId="77777777"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Olancho</w:t>
            </w:r>
          </w:p>
        </w:tc>
        <w:tc>
          <w:tcPr>
            <w:tcW w:w="4677" w:type="dxa"/>
            <w:shd w:val="clear" w:color="auto" w:fill="FFFFFF" w:themeFill="background1"/>
            <w:hideMark/>
          </w:tcPr>
          <w:p w14:paraId="12B438BC" w14:textId="77777777" w:rsidR="006A3DBC" w:rsidRPr="000E6D86" w:rsidRDefault="006A3DBC" w:rsidP="00891BDD">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Mecanismos de quejas y reclamos propios de la OPR y mecanismos de quejas y reclamos propio del Proyecto, incluyendo libros de quejas o sugerencias y otros mecanismos de captación como memorándum (quejas hacia el personal del Proyecto).</w:t>
            </w:r>
          </w:p>
          <w:p w14:paraId="26F14436" w14:textId="39146CB0" w:rsidR="006A3DBC" w:rsidRPr="000E6D86" w:rsidRDefault="006A3DBC" w:rsidP="00891BDD">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 xml:space="preserve">Socializar ambos mecanismos y la importancia de estos para incentivar el uso cuando sea requerido por los participantes. </w:t>
            </w:r>
          </w:p>
        </w:tc>
      </w:tr>
      <w:tr w:rsidR="000E6D86" w:rsidRPr="000E6D86" w14:paraId="2D6EE954" w14:textId="77777777" w:rsidTr="000E6D86">
        <w:trPr>
          <w:trHeight w:val="1771"/>
        </w:trPr>
        <w:tc>
          <w:tcPr>
            <w:tcW w:w="3114" w:type="dxa"/>
            <w:shd w:val="clear" w:color="auto" w:fill="FFFFFF" w:themeFill="background1"/>
            <w:hideMark/>
          </w:tcPr>
          <w:p w14:paraId="7BC92F2E"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Componente 1 Mejoramiento de la competitividad y la resiliencia en las cadenas de valor priorizadas (PdNs).</w:t>
            </w:r>
          </w:p>
        </w:tc>
        <w:tc>
          <w:tcPr>
            <w:tcW w:w="850" w:type="dxa"/>
            <w:shd w:val="clear" w:color="auto" w:fill="FFFFFF" w:themeFill="background1"/>
            <w:noWrap/>
            <w:hideMark/>
          </w:tcPr>
          <w:p w14:paraId="70240420" w14:textId="767A3EB0"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Social</w:t>
            </w:r>
          </w:p>
        </w:tc>
        <w:tc>
          <w:tcPr>
            <w:tcW w:w="3686" w:type="dxa"/>
            <w:shd w:val="clear" w:color="auto" w:fill="FFFFFF" w:themeFill="background1"/>
            <w:hideMark/>
          </w:tcPr>
          <w:p w14:paraId="30BF28C0"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Riesgo de exclusión de personas por la falta de información sobre las modalidades de atención del Proyecto.</w:t>
            </w:r>
          </w:p>
        </w:tc>
        <w:tc>
          <w:tcPr>
            <w:tcW w:w="1276" w:type="dxa"/>
            <w:shd w:val="clear" w:color="auto" w:fill="FFFFFF" w:themeFill="background1"/>
            <w:hideMark/>
          </w:tcPr>
          <w:p w14:paraId="308B2199" w14:textId="77777777"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Olancho (Catacamas, Salamá), Valle (Nacaome)</w:t>
            </w:r>
          </w:p>
        </w:tc>
        <w:tc>
          <w:tcPr>
            <w:tcW w:w="4677" w:type="dxa"/>
            <w:shd w:val="clear" w:color="auto" w:fill="FFFFFF" w:themeFill="background1"/>
            <w:hideMark/>
          </w:tcPr>
          <w:p w14:paraId="6494A7DF" w14:textId="77777777" w:rsidR="006A3DBC" w:rsidRPr="000E6D86" w:rsidRDefault="006A3DBC" w:rsidP="00891BDD">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El Proyecto contempla en el diseño un proceso intensivo e intencionado de convocatoria a fin de promover mayor participación, incluyendo modalidades de convocatoria virtual, escrita, asambleas y puntos de actas, informes, entre otros.</w:t>
            </w:r>
          </w:p>
          <w:p w14:paraId="35F9062E" w14:textId="7FF6878A" w:rsidR="006A3DBC" w:rsidRPr="000E6D86" w:rsidRDefault="006A3DBC" w:rsidP="00891BDD">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Dar a conocer todas las indicaciones del Proyecto</w:t>
            </w:r>
            <w:r w:rsidRPr="000E6D86">
              <w:rPr>
                <w:rFonts w:eastAsia="Times New Roman" w:cs="Arial"/>
                <w:sz w:val="18"/>
                <w:szCs w:val="18"/>
                <w:lang w:val="es-SV" w:eastAsia="es-SV"/>
              </w:rPr>
              <w:br/>
              <w:t>Desarrollar socialización en las comunidades y con las organizaciones.</w:t>
            </w:r>
          </w:p>
        </w:tc>
      </w:tr>
      <w:tr w:rsidR="000E6D86" w:rsidRPr="000E6D86" w14:paraId="509F6B5F" w14:textId="77777777" w:rsidTr="000E6D86">
        <w:trPr>
          <w:trHeight w:val="560"/>
        </w:trPr>
        <w:tc>
          <w:tcPr>
            <w:tcW w:w="3114" w:type="dxa"/>
            <w:shd w:val="clear" w:color="auto" w:fill="FFFFFF" w:themeFill="background1"/>
            <w:hideMark/>
          </w:tcPr>
          <w:p w14:paraId="12FA1475"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Componente 1 Mejoramiento de la competitividad y la resiliencia en las cadenas de valor priorizadas (PdNs).</w:t>
            </w:r>
          </w:p>
        </w:tc>
        <w:tc>
          <w:tcPr>
            <w:tcW w:w="850" w:type="dxa"/>
            <w:shd w:val="clear" w:color="auto" w:fill="FFFFFF" w:themeFill="background1"/>
            <w:noWrap/>
            <w:hideMark/>
          </w:tcPr>
          <w:p w14:paraId="1EEF9749" w14:textId="4AC3D67B"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Social</w:t>
            </w:r>
          </w:p>
        </w:tc>
        <w:tc>
          <w:tcPr>
            <w:tcW w:w="3686" w:type="dxa"/>
            <w:shd w:val="clear" w:color="auto" w:fill="FFFFFF" w:themeFill="background1"/>
            <w:hideMark/>
          </w:tcPr>
          <w:p w14:paraId="688B89A2"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Riesgos de conflictos en actividades del Proyecto por el uso de tierra.</w:t>
            </w:r>
          </w:p>
        </w:tc>
        <w:tc>
          <w:tcPr>
            <w:tcW w:w="1276" w:type="dxa"/>
            <w:shd w:val="clear" w:color="auto" w:fill="FFFFFF" w:themeFill="background1"/>
            <w:noWrap/>
            <w:hideMark/>
          </w:tcPr>
          <w:p w14:paraId="4C2BFBF2" w14:textId="77777777"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Olancho</w:t>
            </w:r>
          </w:p>
        </w:tc>
        <w:tc>
          <w:tcPr>
            <w:tcW w:w="4677" w:type="dxa"/>
            <w:shd w:val="clear" w:color="auto" w:fill="FFFFFF" w:themeFill="background1"/>
            <w:hideMark/>
          </w:tcPr>
          <w:p w14:paraId="4E6D4290" w14:textId="77777777" w:rsidR="006A3DBC" w:rsidRPr="000E6D86" w:rsidRDefault="006A3DBC" w:rsidP="00891BDD">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El Proyecto aplicará lo establecido en el MGAS y MOP con relación a procedimientos de evaluación social y prevención de conflictos sobre tierras.</w:t>
            </w:r>
          </w:p>
        </w:tc>
      </w:tr>
      <w:tr w:rsidR="000E6D86" w:rsidRPr="000E6D86" w14:paraId="6F394A1F" w14:textId="77777777" w:rsidTr="000E6D86">
        <w:trPr>
          <w:trHeight w:val="828"/>
        </w:trPr>
        <w:tc>
          <w:tcPr>
            <w:tcW w:w="3114" w:type="dxa"/>
            <w:shd w:val="clear" w:color="auto" w:fill="FFFFFF" w:themeFill="background1"/>
            <w:hideMark/>
          </w:tcPr>
          <w:p w14:paraId="0EE70C48"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Componente 1 Mejoramiento de la competitividad y la resiliencia en las cadenas de valor priorizadas (PdNs).</w:t>
            </w:r>
          </w:p>
        </w:tc>
        <w:tc>
          <w:tcPr>
            <w:tcW w:w="850" w:type="dxa"/>
            <w:shd w:val="clear" w:color="auto" w:fill="FFFFFF" w:themeFill="background1"/>
            <w:noWrap/>
            <w:hideMark/>
          </w:tcPr>
          <w:p w14:paraId="50CEE7CB" w14:textId="5607FFEE"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Social</w:t>
            </w:r>
          </w:p>
        </w:tc>
        <w:tc>
          <w:tcPr>
            <w:tcW w:w="3686" w:type="dxa"/>
            <w:shd w:val="clear" w:color="auto" w:fill="FFFFFF" w:themeFill="background1"/>
            <w:hideMark/>
          </w:tcPr>
          <w:p w14:paraId="2C9F3515"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 xml:space="preserve">Riesgo de exclusión de personas indígenas y afrohondureños en la formación agrícola. </w:t>
            </w:r>
          </w:p>
        </w:tc>
        <w:tc>
          <w:tcPr>
            <w:tcW w:w="1276" w:type="dxa"/>
            <w:shd w:val="clear" w:color="auto" w:fill="FFFFFF" w:themeFill="background1"/>
            <w:noWrap/>
            <w:hideMark/>
          </w:tcPr>
          <w:p w14:paraId="72C43467" w14:textId="77777777"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Olancho</w:t>
            </w:r>
          </w:p>
        </w:tc>
        <w:tc>
          <w:tcPr>
            <w:tcW w:w="4677" w:type="dxa"/>
            <w:shd w:val="clear" w:color="auto" w:fill="FFFFFF" w:themeFill="background1"/>
            <w:hideMark/>
          </w:tcPr>
          <w:p w14:paraId="6C1B4216" w14:textId="77777777" w:rsidR="006A3DBC" w:rsidRPr="000E6D86" w:rsidRDefault="006A3DBC" w:rsidP="00891BDD">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El Proyecto apoyará a centros de formación agrícola ubicados en zonas o regiones donde existe mayor población indígena y afrodescendiente.</w:t>
            </w:r>
          </w:p>
          <w:p w14:paraId="6CC32AC5" w14:textId="19494645" w:rsidR="006A3DBC" w:rsidRPr="000E6D86" w:rsidRDefault="006A3DBC" w:rsidP="00A26608">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El Proyecto promoverá alianzas para la formación agrícola de las personas, sensibilizando sobre la importancia de metodologías formativas que consideren aspectos culturalmente sensibles para los pueblos.</w:t>
            </w:r>
          </w:p>
          <w:p w14:paraId="164CAD3F" w14:textId="4EE74DC1" w:rsidR="006A3DBC" w:rsidRPr="000E6D86" w:rsidRDefault="006A3DBC" w:rsidP="00891BDD">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Diseño de PdNs con bases para su elabora</w:t>
            </w:r>
            <w:r w:rsidR="008217BC" w:rsidRPr="000E6D86">
              <w:rPr>
                <w:rFonts w:eastAsia="Times New Roman" w:cs="Arial"/>
                <w:sz w:val="18"/>
                <w:szCs w:val="18"/>
                <w:lang w:val="es-SV" w:eastAsia="es-SV"/>
              </w:rPr>
              <w:t>ció</w:t>
            </w:r>
            <w:r w:rsidRPr="000E6D86">
              <w:rPr>
                <w:rFonts w:eastAsia="Times New Roman" w:cs="Arial"/>
                <w:sz w:val="18"/>
                <w:szCs w:val="18"/>
                <w:lang w:val="es-SV" w:eastAsia="es-SV"/>
              </w:rPr>
              <w:t>n que contemplen el lenguaje sensible y culturalmente aceptable.</w:t>
            </w:r>
          </w:p>
          <w:p w14:paraId="169F1019" w14:textId="186B2D0C" w:rsidR="006A3DBC" w:rsidRPr="000E6D86" w:rsidRDefault="006A3DBC" w:rsidP="00891BDD">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Facilitación de la capacitación y la formación con metodologías sencillas y culturalmente aceptables.</w:t>
            </w:r>
          </w:p>
        </w:tc>
      </w:tr>
      <w:tr w:rsidR="000E6D86" w:rsidRPr="000E6D86" w14:paraId="2C9A5F2E" w14:textId="77777777" w:rsidTr="000E6D86">
        <w:trPr>
          <w:trHeight w:val="735"/>
        </w:trPr>
        <w:tc>
          <w:tcPr>
            <w:tcW w:w="3114" w:type="dxa"/>
            <w:shd w:val="clear" w:color="auto" w:fill="FFFFFF" w:themeFill="background1"/>
            <w:hideMark/>
          </w:tcPr>
          <w:p w14:paraId="03DD8C90"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Componente 1 Mejoramiento de la competitividad y la resiliencia en las cadenas de valor priorizadas (PdNs).</w:t>
            </w:r>
          </w:p>
        </w:tc>
        <w:tc>
          <w:tcPr>
            <w:tcW w:w="850" w:type="dxa"/>
            <w:shd w:val="clear" w:color="auto" w:fill="FFFFFF" w:themeFill="background1"/>
            <w:noWrap/>
            <w:hideMark/>
          </w:tcPr>
          <w:p w14:paraId="6566292E" w14:textId="0BF21FBC"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Social</w:t>
            </w:r>
          </w:p>
        </w:tc>
        <w:tc>
          <w:tcPr>
            <w:tcW w:w="3686" w:type="dxa"/>
            <w:shd w:val="clear" w:color="auto" w:fill="FFFFFF" w:themeFill="background1"/>
            <w:hideMark/>
          </w:tcPr>
          <w:p w14:paraId="1B46C4BF"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 xml:space="preserve">Riesgo de que las nuevas ofertas de atención excluyan a grupos de mayor vulnerabilidad socioeconómica. </w:t>
            </w:r>
          </w:p>
        </w:tc>
        <w:tc>
          <w:tcPr>
            <w:tcW w:w="1276" w:type="dxa"/>
            <w:shd w:val="clear" w:color="auto" w:fill="FFFFFF" w:themeFill="background1"/>
            <w:noWrap/>
            <w:hideMark/>
          </w:tcPr>
          <w:p w14:paraId="04F6909B" w14:textId="77777777"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Olancho</w:t>
            </w:r>
          </w:p>
        </w:tc>
        <w:tc>
          <w:tcPr>
            <w:tcW w:w="4677" w:type="dxa"/>
            <w:shd w:val="clear" w:color="auto" w:fill="FFFFFF" w:themeFill="background1"/>
            <w:hideMark/>
          </w:tcPr>
          <w:p w14:paraId="02164D26" w14:textId="77777777" w:rsidR="006A3DBC" w:rsidRPr="000E6D86" w:rsidRDefault="006A3DBC" w:rsidP="008217BC">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 xml:space="preserve">El Proyecto promoverá acciones coordinadas que permitan garantizar la participación de las organizaciones, incluyendo las que representan a grupos con mayor vulnerabilidad. </w:t>
            </w:r>
          </w:p>
        </w:tc>
      </w:tr>
      <w:tr w:rsidR="000E6D86" w:rsidRPr="000E6D86" w14:paraId="77F204B2" w14:textId="77777777" w:rsidTr="000E6D86">
        <w:trPr>
          <w:trHeight w:val="1654"/>
        </w:trPr>
        <w:tc>
          <w:tcPr>
            <w:tcW w:w="3114" w:type="dxa"/>
            <w:shd w:val="clear" w:color="auto" w:fill="FFFFFF" w:themeFill="background1"/>
            <w:hideMark/>
          </w:tcPr>
          <w:p w14:paraId="39424047"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lastRenderedPageBreak/>
              <w:t>Componente 1 Mejoramiento de la competitividad y la resiliencia en las cadenas de valor priorizadas (PdNs).</w:t>
            </w:r>
          </w:p>
        </w:tc>
        <w:tc>
          <w:tcPr>
            <w:tcW w:w="850" w:type="dxa"/>
            <w:shd w:val="clear" w:color="auto" w:fill="FFFFFF" w:themeFill="background1"/>
            <w:noWrap/>
            <w:hideMark/>
          </w:tcPr>
          <w:p w14:paraId="3DA8C919" w14:textId="4471200A"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Social</w:t>
            </w:r>
          </w:p>
        </w:tc>
        <w:tc>
          <w:tcPr>
            <w:tcW w:w="3686" w:type="dxa"/>
            <w:shd w:val="clear" w:color="auto" w:fill="FFFFFF" w:themeFill="background1"/>
            <w:hideMark/>
          </w:tcPr>
          <w:p w14:paraId="0F378DBD"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 xml:space="preserve">Riesgo de prevalencia de una cultura individualista que no incentiva la asociatividad. </w:t>
            </w:r>
          </w:p>
        </w:tc>
        <w:tc>
          <w:tcPr>
            <w:tcW w:w="1276" w:type="dxa"/>
            <w:shd w:val="clear" w:color="auto" w:fill="FFFFFF" w:themeFill="background1"/>
            <w:hideMark/>
          </w:tcPr>
          <w:p w14:paraId="61455457" w14:textId="77777777"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Olancho (Caracamas, Salamá, Juticalpa), Yoro (Yoro)</w:t>
            </w:r>
          </w:p>
        </w:tc>
        <w:tc>
          <w:tcPr>
            <w:tcW w:w="4677" w:type="dxa"/>
            <w:shd w:val="clear" w:color="auto" w:fill="FFFFFF" w:themeFill="background1"/>
            <w:hideMark/>
          </w:tcPr>
          <w:p w14:paraId="3BC16ECA" w14:textId="77777777" w:rsidR="006A3DBC" w:rsidRPr="000E6D86" w:rsidRDefault="006A3DBC" w:rsidP="008217BC">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El Proyecto tomará en cuenta prácticas para el fomento de la Asociatividad, cultura gremial, motivación para la inclusión y capacitación para fomentar iniciativas y oportunidades.</w:t>
            </w:r>
          </w:p>
          <w:p w14:paraId="06C4056A" w14:textId="0A9B09DE" w:rsidR="006A3DBC" w:rsidRPr="000E6D86" w:rsidRDefault="006A3DBC" w:rsidP="008217BC">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 xml:space="preserve"> El Proyecto promoverá un enfoque de participación para buscar cambios en la cultura individual.</w:t>
            </w:r>
          </w:p>
          <w:p w14:paraId="291078AB" w14:textId="266D44A4" w:rsidR="006A3DBC" w:rsidRPr="000E6D86" w:rsidRDefault="006A3DBC" w:rsidP="008217BC">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 xml:space="preserve"> Dar a conocer las actividades del proyecto e involucrar a todos los asociados. </w:t>
            </w:r>
          </w:p>
        </w:tc>
      </w:tr>
      <w:tr w:rsidR="000E6D86" w:rsidRPr="000E6D86" w14:paraId="5B24A54C" w14:textId="77777777" w:rsidTr="000E6D86">
        <w:trPr>
          <w:trHeight w:val="919"/>
        </w:trPr>
        <w:tc>
          <w:tcPr>
            <w:tcW w:w="3114" w:type="dxa"/>
            <w:shd w:val="clear" w:color="auto" w:fill="FFFFFF" w:themeFill="background1"/>
            <w:hideMark/>
          </w:tcPr>
          <w:p w14:paraId="1AAB12EF"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Componente 1 Mejoramiento de la competitividad y la resiliencia en las cadenas de valor priorizadas.</w:t>
            </w:r>
          </w:p>
        </w:tc>
        <w:tc>
          <w:tcPr>
            <w:tcW w:w="850" w:type="dxa"/>
            <w:shd w:val="clear" w:color="auto" w:fill="FFFFFF" w:themeFill="background1"/>
            <w:noWrap/>
            <w:hideMark/>
          </w:tcPr>
          <w:p w14:paraId="30020E73" w14:textId="42E7071C"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Social</w:t>
            </w:r>
          </w:p>
        </w:tc>
        <w:tc>
          <w:tcPr>
            <w:tcW w:w="3686" w:type="dxa"/>
            <w:shd w:val="clear" w:color="auto" w:fill="FFFFFF" w:themeFill="background1"/>
            <w:hideMark/>
          </w:tcPr>
          <w:p w14:paraId="59F13162" w14:textId="09031DD1"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Riesgo de baja participación de mujeres y exclusión en las cadenas de valor</w:t>
            </w:r>
            <w:r w:rsidR="008217BC" w:rsidRPr="000E6D86">
              <w:rPr>
                <w:rFonts w:eastAsia="Times New Roman" w:cs="Arial"/>
                <w:sz w:val="18"/>
                <w:szCs w:val="18"/>
                <w:lang w:val="es-SV" w:eastAsia="es-SV"/>
              </w:rPr>
              <w:t>.</w:t>
            </w:r>
            <w:r w:rsidRPr="000E6D86">
              <w:rPr>
                <w:rFonts w:eastAsia="Times New Roman" w:cs="Arial"/>
                <w:sz w:val="18"/>
                <w:szCs w:val="18"/>
                <w:lang w:val="es-SV" w:eastAsia="es-SV"/>
              </w:rPr>
              <w:t xml:space="preserve"> </w:t>
            </w:r>
          </w:p>
        </w:tc>
        <w:tc>
          <w:tcPr>
            <w:tcW w:w="1276" w:type="dxa"/>
            <w:shd w:val="clear" w:color="auto" w:fill="FFFFFF" w:themeFill="background1"/>
            <w:noWrap/>
            <w:hideMark/>
          </w:tcPr>
          <w:p w14:paraId="1500741D" w14:textId="0A4D86E3"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Valle</w:t>
            </w:r>
          </w:p>
        </w:tc>
        <w:tc>
          <w:tcPr>
            <w:tcW w:w="4677" w:type="dxa"/>
            <w:shd w:val="clear" w:color="auto" w:fill="FFFFFF" w:themeFill="background1"/>
            <w:hideMark/>
          </w:tcPr>
          <w:p w14:paraId="6E01411A" w14:textId="77777777" w:rsidR="008217BC" w:rsidRPr="000E6D86" w:rsidRDefault="006A3DBC" w:rsidP="008217BC">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El Proyecto contempla criterios de inclusión para mujeres en las cadenas de valor</w:t>
            </w:r>
            <w:r w:rsidR="008217BC" w:rsidRPr="000E6D86">
              <w:rPr>
                <w:rFonts w:eastAsia="Times New Roman" w:cs="Arial"/>
                <w:sz w:val="18"/>
                <w:szCs w:val="18"/>
                <w:lang w:val="es-SV" w:eastAsia="es-SV"/>
              </w:rPr>
              <w:t>.</w:t>
            </w:r>
          </w:p>
          <w:p w14:paraId="4D734B82" w14:textId="0E247EAC" w:rsidR="006A3DBC" w:rsidRPr="000E6D86" w:rsidRDefault="006A3DBC" w:rsidP="008217BC">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 xml:space="preserve"> El Proyecto apoyará acciones para promover la membresía de mujeres en los sectores vinculados a las cadenas de valor a financiar</w:t>
            </w:r>
          </w:p>
        </w:tc>
      </w:tr>
      <w:tr w:rsidR="000E6D86" w:rsidRPr="000E6D86" w14:paraId="582FD14D" w14:textId="77777777" w:rsidTr="000E6D86">
        <w:trPr>
          <w:trHeight w:val="919"/>
        </w:trPr>
        <w:tc>
          <w:tcPr>
            <w:tcW w:w="3114" w:type="dxa"/>
            <w:shd w:val="clear" w:color="auto" w:fill="FFFFFF" w:themeFill="background1"/>
            <w:hideMark/>
          </w:tcPr>
          <w:p w14:paraId="27E6441B"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Componente 1 Mejoramiento de la competitividad y la resiliencia en las cadenas de valor priorizadas.</w:t>
            </w:r>
          </w:p>
        </w:tc>
        <w:tc>
          <w:tcPr>
            <w:tcW w:w="850" w:type="dxa"/>
            <w:shd w:val="clear" w:color="auto" w:fill="FFFFFF" w:themeFill="background1"/>
            <w:noWrap/>
            <w:hideMark/>
          </w:tcPr>
          <w:p w14:paraId="47CF7E13" w14:textId="34089118"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Social</w:t>
            </w:r>
          </w:p>
        </w:tc>
        <w:tc>
          <w:tcPr>
            <w:tcW w:w="3686" w:type="dxa"/>
            <w:shd w:val="clear" w:color="auto" w:fill="FFFFFF" w:themeFill="background1"/>
            <w:hideMark/>
          </w:tcPr>
          <w:p w14:paraId="7E247691" w14:textId="46A6B5A6"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Riesgo de baja participación de jóvenes en las actividades de la cadena de valor</w:t>
            </w:r>
            <w:r w:rsidR="008217BC" w:rsidRPr="000E6D86">
              <w:rPr>
                <w:rFonts w:eastAsia="Times New Roman" w:cs="Arial"/>
                <w:sz w:val="18"/>
                <w:szCs w:val="18"/>
                <w:lang w:val="es-SV" w:eastAsia="es-SV"/>
              </w:rPr>
              <w:t>.</w:t>
            </w:r>
            <w:r w:rsidRPr="000E6D86">
              <w:rPr>
                <w:rFonts w:eastAsia="Times New Roman" w:cs="Arial"/>
                <w:sz w:val="18"/>
                <w:szCs w:val="18"/>
                <w:lang w:val="es-SV" w:eastAsia="es-SV"/>
              </w:rPr>
              <w:t xml:space="preserve"> </w:t>
            </w:r>
          </w:p>
        </w:tc>
        <w:tc>
          <w:tcPr>
            <w:tcW w:w="1276" w:type="dxa"/>
            <w:shd w:val="clear" w:color="auto" w:fill="FFFFFF" w:themeFill="background1"/>
            <w:noWrap/>
            <w:hideMark/>
          </w:tcPr>
          <w:p w14:paraId="57E58672" w14:textId="77777777"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Valle</w:t>
            </w:r>
          </w:p>
        </w:tc>
        <w:tc>
          <w:tcPr>
            <w:tcW w:w="4677" w:type="dxa"/>
            <w:shd w:val="clear" w:color="auto" w:fill="FFFFFF" w:themeFill="background1"/>
            <w:hideMark/>
          </w:tcPr>
          <w:p w14:paraId="6323CFDA" w14:textId="77777777" w:rsidR="008217BC" w:rsidRPr="000E6D86" w:rsidRDefault="006A3DBC" w:rsidP="008217BC">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Promover acciones de interés de las juventudes para su incorporación en las actividades del Proyecto</w:t>
            </w:r>
            <w:r w:rsidR="008217BC" w:rsidRPr="000E6D86">
              <w:rPr>
                <w:rFonts w:eastAsia="Times New Roman" w:cs="Arial"/>
                <w:sz w:val="18"/>
                <w:szCs w:val="18"/>
                <w:lang w:val="es-SV" w:eastAsia="es-SV"/>
              </w:rPr>
              <w:t>.</w:t>
            </w:r>
          </w:p>
          <w:p w14:paraId="1B63A14D" w14:textId="515F0F7C" w:rsidR="006A3DBC" w:rsidRPr="000E6D86" w:rsidRDefault="006A3DBC" w:rsidP="008217BC">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 xml:space="preserve">Promover la incorporación paulatina para el relevo generacional  </w:t>
            </w:r>
          </w:p>
        </w:tc>
      </w:tr>
      <w:tr w:rsidR="000E6D86" w:rsidRPr="000E6D86" w14:paraId="35719C96" w14:textId="77777777" w:rsidTr="000E6D86">
        <w:trPr>
          <w:trHeight w:val="1112"/>
        </w:trPr>
        <w:tc>
          <w:tcPr>
            <w:tcW w:w="3114" w:type="dxa"/>
            <w:shd w:val="clear" w:color="auto" w:fill="FFFFFF" w:themeFill="background1"/>
            <w:hideMark/>
          </w:tcPr>
          <w:p w14:paraId="3D7D5801"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Componente 1 Mejoramiento de la competitividad y la resiliencia en las cadenas de valor priorizadas (PdNs).</w:t>
            </w:r>
          </w:p>
        </w:tc>
        <w:tc>
          <w:tcPr>
            <w:tcW w:w="850" w:type="dxa"/>
            <w:shd w:val="clear" w:color="auto" w:fill="FFFFFF" w:themeFill="background1"/>
            <w:noWrap/>
            <w:hideMark/>
          </w:tcPr>
          <w:p w14:paraId="0CA600D3" w14:textId="47B309FA"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Social</w:t>
            </w:r>
          </w:p>
        </w:tc>
        <w:tc>
          <w:tcPr>
            <w:tcW w:w="3686" w:type="dxa"/>
            <w:shd w:val="clear" w:color="auto" w:fill="FFFFFF" w:themeFill="background1"/>
            <w:hideMark/>
          </w:tcPr>
          <w:p w14:paraId="577A45B0"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Riesgo de exclusión por barreras lingüísticas, culturales o similares, en la comunidad.</w:t>
            </w:r>
          </w:p>
        </w:tc>
        <w:tc>
          <w:tcPr>
            <w:tcW w:w="1276" w:type="dxa"/>
            <w:shd w:val="clear" w:color="auto" w:fill="FFFFFF" w:themeFill="background1"/>
            <w:noWrap/>
            <w:hideMark/>
          </w:tcPr>
          <w:p w14:paraId="08D06322" w14:textId="77777777"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Valle</w:t>
            </w:r>
          </w:p>
        </w:tc>
        <w:tc>
          <w:tcPr>
            <w:tcW w:w="4677" w:type="dxa"/>
            <w:shd w:val="clear" w:color="auto" w:fill="FFFFFF" w:themeFill="background1"/>
            <w:hideMark/>
          </w:tcPr>
          <w:p w14:paraId="3D77BBEF" w14:textId="255D20E0" w:rsidR="006A3DBC" w:rsidRPr="000E6D86" w:rsidRDefault="006A3DBC" w:rsidP="008217BC">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El Proyecto elaborará comunicaciones en lenguaje culturalmente aceptable, utilizando los medios de información mayormente aceptados por los pueblos indígenas afrohondureños y otros grupos vulnerables (WhatsApp, reuniones informativas, llamadas telefónicas, comunicación escrita o similares).</w:t>
            </w:r>
          </w:p>
        </w:tc>
      </w:tr>
      <w:tr w:rsidR="000E6D86" w:rsidRPr="000E6D86" w14:paraId="4C62A64C" w14:textId="77777777" w:rsidTr="000E6D86">
        <w:trPr>
          <w:trHeight w:val="2031"/>
        </w:trPr>
        <w:tc>
          <w:tcPr>
            <w:tcW w:w="3114" w:type="dxa"/>
            <w:shd w:val="clear" w:color="auto" w:fill="FFFFFF" w:themeFill="background1"/>
            <w:hideMark/>
          </w:tcPr>
          <w:p w14:paraId="6290FB62"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Componente 1 Mejoramiento de la competitividad y la resiliencia en las cadenas de valor priorizadas (PdNs).</w:t>
            </w:r>
          </w:p>
        </w:tc>
        <w:tc>
          <w:tcPr>
            <w:tcW w:w="850" w:type="dxa"/>
            <w:shd w:val="clear" w:color="auto" w:fill="FFFFFF" w:themeFill="background1"/>
            <w:noWrap/>
            <w:hideMark/>
          </w:tcPr>
          <w:p w14:paraId="6F08D715" w14:textId="11D17204"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Social</w:t>
            </w:r>
          </w:p>
        </w:tc>
        <w:tc>
          <w:tcPr>
            <w:tcW w:w="3686" w:type="dxa"/>
            <w:shd w:val="clear" w:color="auto" w:fill="FFFFFF" w:themeFill="background1"/>
            <w:hideMark/>
          </w:tcPr>
          <w:p w14:paraId="413043D4"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Riesgo por la presencia de grupos de hombres y mujeres que afectan a la comunidad (violencia social).</w:t>
            </w:r>
          </w:p>
        </w:tc>
        <w:tc>
          <w:tcPr>
            <w:tcW w:w="1276" w:type="dxa"/>
            <w:shd w:val="clear" w:color="auto" w:fill="FFFFFF" w:themeFill="background1"/>
            <w:hideMark/>
          </w:tcPr>
          <w:p w14:paraId="73A6F7F3" w14:textId="0E40483C"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Yoro</w:t>
            </w:r>
          </w:p>
        </w:tc>
        <w:tc>
          <w:tcPr>
            <w:tcW w:w="4677" w:type="dxa"/>
            <w:shd w:val="clear" w:color="auto" w:fill="FFFFFF" w:themeFill="background1"/>
            <w:hideMark/>
          </w:tcPr>
          <w:p w14:paraId="6783209B" w14:textId="77777777" w:rsidR="006A3DBC" w:rsidRPr="000E6D86" w:rsidRDefault="006A3DBC" w:rsidP="003D759B">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El Proyecto buscará coordinaciones con actores comunitarios para la inmersión y dar a conocer las actividades que se ejecutarán.  Se identificarán rutas de riesgos y se prevendrá en la medida del alcance las situaciones a la exposición principalmente de mujeres y jóvenes (horarios adecuados, lugares neutrales de trabajo, cercanía a las comunidades, etc.).</w:t>
            </w:r>
          </w:p>
          <w:p w14:paraId="2C86D9EA" w14:textId="1A9ECDDE" w:rsidR="006A3DBC" w:rsidRPr="000E6D86" w:rsidRDefault="006A3DBC" w:rsidP="003D759B">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Creación de espacios coordinados de trabajo con referentes comunitarios, l</w:t>
            </w:r>
            <w:r w:rsidR="00E039B7" w:rsidRPr="000E6D86">
              <w:rPr>
                <w:rFonts w:eastAsia="Times New Roman" w:cs="Arial"/>
                <w:sz w:val="18"/>
                <w:szCs w:val="18"/>
                <w:lang w:val="es-SV" w:eastAsia="es-SV"/>
              </w:rPr>
              <w:t>í</w:t>
            </w:r>
            <w:r w:rsidRPr="000E6D86">
              <w:rPr>
                <w:rFonts w:eastAsia="Times New Roman" w:cs="Arial"/>
                <w:sz w:val="18"/>
                <w:szCs w:val="18"/>
                <w:lang w:val="es-SV" w:eastAsia="es-SV"/>
              </w:rPr>
              <w:t>deres(lideresas) para acceder a las comunidades de manera segura y oportuna.</w:t>
            </w:r>
          </w:p>
        </w:tc>
      </w:tr>
      <w:tr w:rsidR="000E6D86" w:rsidRPr="000E6D86" w14:paraId="02711FC5" w14:textId="77777777" w:rsidTr="000E6D86">
        <w:trPr>
          <w:trHeight w:val="744"/>
        </w:trPr>
        <w:tc>
          <w:tcPr>
            <w:tcW w:w="3114" w:type="dxa"/>
            <w:shd w:val="clear" w:color="auto" w:fill="FFFFFF" w:themeFill="background1"/>
            <w:hideMark/>
          </w:tcPr>
          <w:p w14:paraId="7F92859A"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lastRenderedPageBreak/>
              <w:t>Componente 1 Mejoramiento de la competitividad y la resiliencia en las cadenas de valor priorizadas (PdNs).</w:t>
            </w:r>
          </w:p>
        </w:tc>
        <w:tc>
          <w:tcPr>
            <w:tcW w:w="850" w:type="dxa"/>
            <w:shd w:val="clear" w:color="auto" w:fill="FFFFFF" w:themeFill="background1"/>
            <w:noWrap/>
            <w:hideMark/>
          </w:tcPr>
          <w:p w14:paraId="331C568A" w14:textId="2B0FBAFA"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Social</w:t>
            </w:r>
          </w:p>
        </w:tc>
        <w:tc>
          <w:tcPr>
            <w:tcW w:w="3686" w:type="dxa"/>
            <w:shd w:val="clear" w:color="auto" w:fill="FFFFFF" w:themeFill="background1"/>
            <w:hideMark/>
          </w:tcPr>
          <w:p w14:paraId="6130ADB2" w14:textId="77777777" w:rsidR="006A3DBC" w:rsidRPr="000E6D86" w:rsidRDefault="006A3DBC" w:rsidP="005F4A92">
            <w:pPr>
              <w:spacing w:after="0" w:line="240" w:lineRule="auto"/>
              <w:jc w:val="both"/>
              <w:rPr>
                <w:rFonts w:eastAsia="Times New Roman" w:cs="Arial"/>
                <w:sz w:val="18"/>
                <w:szCs w:val="18"/>
                <w:lang w:val="es-SV" w:eastAsia="es-SV"/>
              </w:rPr>
            </w:pPr>
            <w:proofErr w:type="gramStart"/>
            <w:r w:rsidRPr="000E6D86">
              <w:rPr>
                <w:rFonts w:eastAsia="Times New Roman" w:cs="Arial"/>
                <w:sz w:val="18"/>
                <w:szCs w:val="18"/>
                <w:lang w:val="es-SV" w:eastAsia="es-SV"/>
              </w:rPr>
              <w:t>Las niñas y niños</w:t>
            </w:r>
            <w:proofErr w:type="gramEnd"/>
            <w:r w:rsidRPr="000E6D86">
              <w:rPr>
                <w:rFonts w:eastAsia="Times New Roman" w:cs="Arial"/>
                <w:sz w:val="18"/>
                <w:szCs w:val="18"/>
                <w:lang w:val="es-SV" w:eastAsia="es-SV"/>
              </w:rPr>
              <w:t xml:space="preserve"> de su familia tienen control de su nutrición y desarrollo.</w:t>
            </w:r>
          </w:p>
        </w:tc>
        <w:tc>
          <w:tcPr>
            <w:tcW w:w="1276" w:type="dxa"/>
            <w:shd w:val="clear" w:color="auto" w:fill="FFFFFF" w:themeFill="background1"/>
            <w:hideMark/>
          </w:tcPr>
          <w:p w14:paraId="23845D08" w14:textId="531FEB8E"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Yoro</w:t>
            </w:r>
          </w:p>
        </w:tc>
        <w:tc>
          <w:tcPr>
            <w:tcW w:w="4677" w:type="dxa"/>
            <w:shd w:val="clear" w:color="auto" w:fill="FFFFFF" w:themeFill="background1"/>
            <w:hideMark/>
          </w:tcPr>
          <w:p w14:paraId="27F1CDCE" w14:textId="77777777" w:rsidR="006A3DBC" w:rsidRPr="000E6D86" w:rsidRDefault="006A3DBC" w:rsidP="003D759B">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 xml:space="preserve">El Proyecto buscará alianzas para trabajar en la sensibilización de la promoción de la nutrición y el control de </w:t>
            </w:r>
            <w:proofErr w:type="gramStart"/>
            <w:r w:rsidRPr="000E6D86">
              <w:rPr>
                <w:rFonts w:eastAsia="Times New Roman" w:cs="Arial"/>
                <w:sz w:val="18"/>
                <w:szCs w:val="18"/>
                <w:lang w:val="es-SV" w:eastAsia="es-SV"/>
              </w:rPr>
              <w:t>niñas y niños</w:t>
            </w:r>
            <w:proofErr w:type="gramEnd"/>
            <w:r w:rsidRPr="000E6D86">
              <w:rPr>
                <w:rFonts w:eastAsia="Times New Roman" w:cs="Arial"/>
                <w:sz w:val="18"/>
                <w:szCs w:val="18"/>
                <w:lang w:val="es-SV" w:eastAsia="es-SV"/>
              </w:rPr>
              <w:t xml:space="preserve"> en las áreas de influencia del Proyecto.</w:t>
            </w:r>
          </w:p>
        </w:tc>
      </w:tr>
      <w:tr w:rsidR="000E6D86" w:rsidRPr="000E6D86" w14:paraId="18433B7A" w14:textId="77777777" w:rsidTr="000E6D86">
        <w:trPr>
          <w:trHeight w:val="560"/>
        </w:trPr>
        <w:tc>
          <w:tcPr>
            <w:tcW w:w="3114" w:type="dxa"/>
            <w:shd w:val="clear" w:color="auto" w:fill="FFFFFF" w:themeFill="background1"/>
            <w:hideMark/>
          </w:tcPr>
          <w:p w14:paraId="48DC8A6E"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Componente 1 Mejoramiento de la competitividad y la resiliencia en las cadenas de valor priorizadas (PdNs)</w:t>
            </w:r>
          </w:p>
        </w:tc>
        <w:tc>
          <w:tcPr>
            <w:tcW w:w="850" w:type="dxa"/>
            <w:shd w:val="clear" w:color="auto" w:fill="FFFFFF" w:themeFill="background1"/>
            <w:noWrap/>
            <w:hideMark/>
          </w:tcPr>
          <w:p w14:paraId="4FB76AD7" w14:textId="1584D327"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Social</w:t>
            </w:r>
          </w:p>
        </w:tc>
        <w:tc>
          <w:tcPr>
            <w:tcW w:w="3686" w:type="dxa"/>
            <w:shd w:val="clear" w:color="auto" w:fill="FFFFFF" w:themeFill="background1"/>
            <w:hideMark/>
          </w:tcPr>
          <w:p w14:paraId="4A8A9285" w14:textId="77777777" w:rsidR="006A3DBC" w:rsidRPr="000E6D86" w:rsidRDefault="006A3DBC" w:rsidP="005F4A92">
            <w:pPr>
              <w:spacing w:after="0" w:line="240" w:lineRule="auto"/>
              <w:jc w:val="both"/>
              <w:rPr>
                <w:rFonts w:eastAsia="Times New Roman" w:cs="Arial"/>
                <w:sz w:val="18"/>
                <w:szCs w:val="18"/>
                <w:lang w:val="es-SV" w:eastAsia="es-SV"/>
              </w:rPr>
            </w:pPr>
            <w:proofErr w:type="gramStart"/>
            <w:r w:rsidRPr="000E6D86">
              <w:rPr>
                <w:rFonts w:eastAsia="Times New Roman" w:cs="Arial"/>
                <w:sz w:val="18"/>
                <w:szCs w:val="18"/>
                <w:lang w:val="es-SV" w:eastAsia="es-SV"/>
              </w:rPr>
              <w:t>Las niñas y niños</w:t>
            </w:r>
            <w:proofErr w:type="gramEnd"/>
            <w:r w:rsidRPr="000E6D86">
              <w:rPr>
                <w:rFonts w:eastAsia="Times New Roman" w:cs="Arial"/>
                <w:sz w:val="18"/>
                <w:szCs w:val="18"/>
                <w:lang w:val="es-SV" w:eastAsia="es-SV"/>
              </w:rPr>
              <w:t xml:space="preserve"> no asistente a centros educativos. </w:t>
            </w:r>
          </w:p>
        </w:tc>
        <w:tc>
          <w:tcPr>
            <w:tcW w:w="1276" w:type="dxa"/>
            <w:shd w:val="clear" w:color="auto" w:fill="FFFFFF" w:themeFill="background1"/>
            <w:hideMark/>
          </w:tcPr>
          <w:p w14:paraId="4123DF0B" w14:textId="0A9C848D"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Yoro</w:t>
            </w:r>
          </w:p>
        </w:tc>
        <w:tc>
          <w:tcPr>
            <w:tcW w:w="4677" w:type="dxa"/>
            <w:shd w:val="clear" w:color="auto" w:fill="FFFFFF" w:themeFill="background1"/>
            <w:hideMark/>
          </w:tcPr>
          <w:p w14:paraId="183083F6" w14:textId="77777777" w:rsidR="006A3DBC" w:rsidRPr="000E6D86" w:rsidRDefault="006A3DBC" w:rsidP="003D759B">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 xml:space="preserve">El Proyecto promoverá alianzas con actores locales para sensibilizar sobre la importancia de la educación de los </w:t>
            </w:r>
            <w:proofErr w:type="gramStart"/>
            <w:r w:rsidRPr="000E6D86">
              <w:rPr>
                <w:rFonts w:eastAsia="Times New Roman" w:cs="Arial"/>
                <w:sz w:val="18"/>
                <w:szCs w:val="18"/>
                <w:lang w:val="es-SV" w:eastAsia="es-SV"/>
              </w:rPr>
              <w:t>niñas y niños</w:t>
            </w:r>
            <w:proofErr w:type="gramEnd"/>
            <w:r w:rsidRPr="000E6D86">
              <w:rPr>
                <w:rFonts w:eastAsia="Times New Roman" w:cs="Arial"/>
                <w:sz w:val="18"/>
                <w:szCs w:val="18"/>
                <w:lang w:val="es-SV" w:eastAsia="es-SV"/>
              </w:rPr>
              <w:t xml:space="preserve"> en el marco de sus derechos. </w:t>
            </w:r>
          </w:p>
        </w:tc>
      </w:tr>
      <w:tr w:rsidR="000E6D86" w:rsidRPr="000E6D86" w14:paraId="2AD6B52E" w14:textId="77777777" w:rsidTr="000E6D86">
        <w:trPr>
          <w:trHeight w:val="1253"/>
        </w:trPr>
        <w:tc>
          <w:tcPr>
            <w:tcW w:w="3114" w:type="dxa"/>
            <w:shd w:val="clear" w:color="auto" w:fill="FFFFFF" w:themeFill="background1"/>
            <w:hideMark/>
          </w:tcPr>
          <w:p w14:paraId="664D7941"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Componente 1 Mejoramiento de la competitividad y la resiliencia en las cadenas de valor priorizadas (PdNs).</w:t>
            </w:r>
          </w:p>
        </w:tc>
        <w:tc>
          <w:tcPr>
            <w:tcW w:w="850" w:type="dxa"/>
            <w:shd w:val="clear" w:color="auto" w:fill="FFFFFF" w:themeFill="background1"/>
            <w:noWrap/>
            <w:hideMark/>
          </w:tcPr>
          <w:p w14:paraId="4531ACD2" w14:textId="23A539D7"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Social</w:t>
            </w:r>
          </w:p>
        </w:tc>
        <w:tc>
          <w:tcPr>
            <w:tcW w:w="3686" w:type="dxa"/>
            <w:shd w:val="clear" w:color="auto" w:fill="FFFFFF" w:themeFill="background1"/>
            <w:hideMark/>
          </w:tcPr>
          <w:p w14:paraId="1DBFD7F2"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Riesgo de que las organizaciones o grupos no logren cumplir los objetivos e indicadores establecidos en los PdNs.</w:t>
            </w:r>
          </w:p>
        </w:tc>
        <w:tc>
          <w:tcPr>
            <w:tcW w:w="1276" w:type="dxa"/>
            <w:shd w:val="clear" w:color="auto" w:fill="FFFFFF" w:themeFill="background1"/>
            <w:hideMark/>
          </w:tcPr>
          <w:p w14:paraId="63CC28B7" w14:textId="77777777"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Olancho (Salamá, Catacamas, Juticalpa), Valle (Nacaome)</w:t>
            </w:r>
          </w:p>
        </w:tc>
        <w:tc>
          <w:tcPr>
            <w:tcW w:w="4677" w:type="dxa"/>
            <w:shd w:val="clear" w:color="auto" w:fill="FFFFFF" w:themeFill="background1"/>
            <w:hideMark/>
          </w:tcPr>
          <w:p w14:paraId="7BD4CB79" w14:textId="77777777" w:rsidR="003D759B" w:rsidRPr="000E6D86" w:rsidRDefault="006A3DBC" w:rsidP="003D759B">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 xml:space="preserve">Seguimiento periódico al alcance de los planes ambientales y sociales. </w:t>
            </w:r>
          </w:p>
          <w:p w14:paraId="653614CE" w14:textId="46065417" w:rsidR="006A3DBC" w:rsidRPr="000E6D86" w:rsidRDefault="006A3DBC" w:rsidP="003D759B">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Rigurosidad del seguimiento de metas en seguimiento a los prestadores de servicios contratados por el Proyecto, que brindan servicios (implementadores).</w:t>
            </w:r>
          </w:p>
          <w:p w14:paraId="66C913FA" w14:textId="2B65006C" w:rsidR="006A3DBC" w:rsidRPr="000E6D86" w:rsidRDefault="006A3DBC" w:rsidP="003D759B">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Informes trimestrales de verificación de cumplimiento de indicadores de planes de negocios (indicadores de productividad, venta, mejoras en ingresos, entre otros).</w:t>
            </w:r>
          </w:p>
          <w:p w14:paraId="4B10424C" w14:textId="6FF6CF7C" w:rsidR="006A3DBC" w:rsidRPr="000E6D86" w:rsidRDefault="006A3DBC" w:rsidP="003D759B">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Verificar que los especialistas ambientales y sociales contratados por los implementadores para que cumplan con el perfil y las actividades asignadas.</w:t>
            </w:r>
          </w:p>
          <w:p w14:paraId="49CC4DB4" w14:textId="7F262A8B" w:rsidR="006A3DBC" w:rsidRPr="000E6D86" w:rsidRDefault="006A3DBC" w:rsidP="003D759B">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 xml:space="preserve">Establecimiento del </w:t>
            </w:r>
            <w:proofErr w:type="gramStart"/>
            <w:r w:rsidRPr="000E6D86">
              <w:rPr>
                <w:rFonts w:eastAsia="Times New Roman" w:cs="Arial"/>
                <w:sz w:val="18"/>
                <w:szCs w:val="18"/>
                <w:lang w:val="es-SV" w:eastAsia="es-SV"/>
              </w:rPr>
              <w:t>CNA</w:t>
            </w:r>
            <w:proofErr w:type="gramEnd"/>
            <w:r w:rsidRPr="000E6D86">
              <w:rPr>
                <w:rFonts w:eastAsia="Times New Roman" w:cs="Arial"/>
                <w:sz w:val="18"/>
                <w:szCs w:val="18"/>
                <w:lang w:val="es-SV" w:eastAsia="es-SV"/>
              </w:rPr>
              <w:t xml:space="preserve"> pero considerando la vinculación con grupos organizados de pequeños productores.</w:t>
            </w:r>
          </w:p>
          <w:p w14:paraId="3DCDC20A" w14:textId="1E24086B" w:rsidR="006A3DBC" w:rsidRPr="000E6D86" w:rsidRDefault="006A3DBC" w:rsidP="003D759B">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Mejorar las estrategias y alianzas con proveedores de servicios del Proyecto.</w:t>
            </w:r>
          </w:p>
          <w:p w14:paraId="3DCE3511" w14:textId="1164CA2C" w:rsidR="006A3DBC" w:rsidRPr="000E6D86" w:rsidRDefault="006A3DBC" w:rsidP="003D759B">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Dar seguimiento a que se realice un proceso de rendición de cuenta de las organizaciones en espacios como asambleas generales, y otros con integrantes de sus organizaciones y actores locales vinculados.</w:t>
            </w:r>
          </w:p>
        </w:tc>
      </w:tr>
      <w:tr w:rsidR="000E6D86" w:rsidRPr="000E6D86" w14:paraId="2BA8C734" w14:textId="77777777" w:rsidTr="000E6D86">
        <w:trPr>
          <w:trHeight w:val="560"/>
        </w:trPr>
        <w:tc>
          <w:tcPr>
            <w:tcW w:w="3114" w:type="dxa"/>
            <w:shd w:val="clear" w:color="auto" w:fill="FFFFFF" w:themeFill="background1"/>
            <w:hideMark/>
          </w:tcPr>
          <w:p w14:paraId="09F15DB0"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Componente 1 Mejoramiento de la competitividad y la resiliencia en las cadenas de valor priorizadas (PdNs).</w:t>
            </w:r>
          </w:p>
        </w:tc>
        <w:tc>
          <w:tcPr>
            <w:tcW w:w="850" w:type="dxa"/>
            <w:shd w:val="clear" w:color="auto" w:fill="FFFFFF" w:themeFill="background1"/>
            <w:noWrap/>
            <w:hideMark/>
          </w:tcPr>
          <w:p w14:paraId="0BA3D05A" w14:textId="783A93FC"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Social</w:t>
            </w:r>
          </w:p>
        </w:tc>
        <w:tc>
          <w:tcPr>
            <w:tcW w:w="3686" w:type="dxa"/>
            <w:shd w:val="clear" w:color="auto" w:fill="FFFFFF" w:themeFill="background1"/>
            <w:hideMark/>
          </w:tcPr>
          <w:p w14:paraId="267CD501" w14:textId="594C6E93"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Riesgo de no contar con información oportuna sobre la gestión social e indicadores de línea base social para tomar decisiones del Proyecto.</w:t>
            </w:r>
          </w:p>
        </w:tc>
        <w:tc>
          <w:tcPr>
            <w:tcW w:w="1276" w:type="dxa"/>
            <w:shd w:val="clear" w:color="auto" w:fill="FFFFFF" w:themeFill="background1"/>
            <w:hideMark/>
          </w:tcPr>
          <w:p w14:paraId="1E0445B5" w14:textId="77777777"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Olancho</w:t>
            </w:r>
          </w:p>
        </w:tc>
        <w:tc>
          <w:tcPr>
            <w:tcW w:w="4677" w:type="dxa"/>
            <w:shd w:val="clear" w:color="auto" w:fill="FFFFFF" w:themeFill="background1"/>
            <w:hideMark/>
          </w:tcPr>
          <w:p w14:paraId="24F2E907" w14:textId="77777777" w:rsidR="006A3DBC" w:rsidRPr="000E6D86" w:rsidRDefault="006A3DBC" w:rsidP="003D759B">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 xml:space="preserve">Registro de información de línea base y de seguimiento sobre aspectos de la gestión social vinculados al Proyecto </w:t>
            </w:r>
            <w:r w:rsidRPr="000E6D86">
              <w:rPr>
                <w:rFonts w:eastAsia="Times New Roman" w:cs="Arial"/>
                <w:sz w:val="18"/>
                <w:szCs w:val="18"/>
                <w:lang w:val="es-SV" w:eastAsia="es-SV"/>
              </w:rPr>
              <w:br/>
              <w:t>Fortalecer el sistema de registro y ubicación de socios para el Proyecto.</w:t>
            </w:r>
          </w:p>
          <w:p w14:paraId="15E274D5" w14:textId="0FC15C20" w:rsidR="006A3DBC" w:rsidRPr="000E6D86" w:rsidRDefault="006A3DBC" w:rsidP="003D759B">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 xml:space="preserve"> Seguimiento y coordinación por parte del formulador. </w:t>
            </w:r>
          </w:p>
        </w:tc>
      </w:tr>
      <w:tr w:rsidR="000E6D86" w:rsidRPr="000E6D86" w14:paraId="01921EA1" w14:textId="77777777" w:rsidTr="000E6D86">
        <w:trPr>
          <w:trHeight w:val="560"/>
        </w:trPr>
        <w:tc>
          <w:tcPr>
            <w:tcW w:w="3114" w:type="dxa"/>
            <w:shd w:val="clear" w:color="auto" w:fill="FFFFFF" w:themeFill="background1"/>
            <w:hideMark/>
          </w:tcPr>
          <w:p w14:paraId="04EED5BC"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lastRenderedPageBreak/>
              <w:t>Componente 1 Mejoramiento de la competitividad y la resiliencia en las cadenas de valor priorizadas (PdNs)</w:t>
            </w:r>
          </w:p>
        </w:tc>
        <w:tc>
          <w:tcPr>
            <w:tcW w:w="850" w:type="dxa"/>
            <w:shd w:val="clear" w:color="auto" w:fill="FFFFFF" w:themeFill="background1"/>
            <w:noWrap/>
            <w:hideMark/>
          </w:tcPr>
          <w:p w14:paraId="598A377B" w14:textId="7A4C104C"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Social</w:t>
            </w:r>
          </w:p>
        </w:tc>
        <w:tc>
          <w:tcPr>
            <w:tcW w:w="3686" w:type="dxa"/>
            <w:shd w:val="clear" w:color="auto" w:fill="FFFFFF" w:themeFill="background1"/>
            <w:hideMark/>
          </w:tcPr>
          <w:p w14:paraId="267F4DA4"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Riesgo de baja participación de mujeres en las actividades del Proyecto.</w:t>
            </w:r>
          </w:p>
        </w:tc>
        <w:tc>
          <w:tcPr>
            <w:tcW w:w="1276" w:type="dxa"/>
            <w:shd w:val="clear" w:color="auto" w:fill="FFFFFF" w:themeFill="background1"/>
            <w:hideMark/>
          </w:tcPr>
          <w:p w14:paraId="7CD24BE4" w14:textId="77777777"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Olancho (Salamá, Catacamas)</w:t>
            </w:r>
          </w:p>
        </w:tc>
        <w:tc>
          <w:tcPr>
            <w:tcW w:w="4677" w:type="dxa"/>
            <w:shd w:val="clear" w:color="auto" w:fill="FFFFFF" w:themeFill="background1"/>
            <w:hideMark/>
          </w:tcPr>
          <w:p w14:paraId="2AB65653" w14:textId="77777777" w:rsidR="006A3DBC" w:rsidRPr="000E6D86" w:rsidRDefault="006A3DBC" w:rsidP="003D759B">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Sobre la base de lecciones aprendidas y buenas prácticas de inclusión social el proyecto busca promover derechos de las mujeres en cuanto a recursos, acceso, productividad, capacitación, gestión empresarial, entre otros.</w:t>
            </w:r>
          </w:p>
          <w:p w14:paraId="301A8898" w14:textId="56672568" w:rsidR="006A3DBC" w:rsidRPr="000E6D86" w:rsidRDefault="003D759B" w:rsidP="003D759B">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E</w:t>
            </w:r>
            <w:r w:rsidR="006A3DBC" w:rsidRPr="000E6D86">
              <w:rPr>
                <w:rFonts w:eastAsia="Times New Roman" w:cs="Arial"/>
                <w:sz w:val="18"/>
                <w:szCs w:val="18"/>
                <w:lang w:val="es-SV" w:eastAsia="es-SV"/>
              </w:rPr>
              <w:t>l Proyecto apoyará para fortalecer la participación e inclusión de mujeres dentro de las membresías de las organizaciones.</w:t>
            </w:r>
          </w:p>
          <w:p w14:paraId="04F6EBEA" w14:textId="0A3B251F" w:rsidR="006A3DBC" w:rsidRPr="000E6D86" w:rsidRDefault="006A3DBC" w:rsidP="003D759B">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El Proyecto brindar asistencia técnica para que las mujeres se proyecten en los grupos y mejoren su desarrollo.</w:t>
            </w:r>
          </w:p>
          <w:p w14:paraId="0FC5286F" w14:textId="28366304" w:rsidR="006A3DBC" w:rsidRPr="000E6D86" w:rsidRDefault="006A3DBC" w:rsidP="003D759B">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Mantener y fortalecer la membresía de mujeres y grupos sociales.</w:t>
            </w:r>
          </w:p>
          <w:p w14:paraId="19ACD530" w14:textId="22F84AC1" w:rsidR="006A3DBC" w:rsidRPr="000E6D86" w:rsidRDefault="006A3DBC" w:rsidP="003D759B">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Fortalecer la participación de las mujeres en la toma de decisiones.</w:t>
            </w:r>
          </w:p>
          <w:p w14:paraId="167B4205" w14:textId="3AFF1E73" w:rsidR="006A3DBC" w:rsidRPr="000E6D86" w:rsidRDefault="006A3DBC" w:rsidP="003D759B">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Promover la formación de las mujeres para la generación de empleo e ingresos.</w:t>
            </w:r>
          </w:p>
          <w:p w14:paraId="11A07A68" w14:textId="2B20613B" w:rsidR="006A3DBC" w:rsidRPr="000E6D86" w:rsidRDefault="006A3DBC" w:rsidP="003D759B">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El Proyecto deberá considerar procesos para que las mujeres puedan cumplir los requisitos de participación y organización en el Proyecto.</w:t>
            </w:r>
          </w:p>
          <w:p w14:paraId="5484B149" w14:textId="71E91B38" w:rsidR="006A3DBC" w:rsidRPr="000E6D86" w:rsidRDefault="006A3DBC" w:rsidP="003D759B">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Fomentar la participación de las mujeres dentro de las organizaciones a beneficiar en el Proyecto.</w:t>
            </w:r>
          </w:p>
        </w:tc>
      </w:tr>
      <w:tr w:rsidR="000E6D86" w:rsidRPr="000E6D86" w14:paraId="70E3A22A" w14:textId="77777777" w:rsidTr="000E6D86">
        <w:trPr>
          <w:trHeight w:val="560"/>
        </w:trPr>
        <w:tc>
          <w:tcPr>
            <w:tcW w:w="3114" w:type="dxa"/>
            <w:shd w:val="clear" w:color="auto" w:fill="FFFFFF" w:themeFill="background1"/>
            <w:hideMark/>
          </w:tcPr>
          <w:p w14:paraId="5DADC98C"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Componente 1 Mejoramiento de la competitividad y la resiliencia en las cadenas de valor priorizadas PdNs).</w:t>
            </w:r>
          </w:p>
        </w:tc>
        <w:tc>
          <w:tcPr>
            <w:tcW w:w="850" w:type="dxa"/>
            <w:shd w:val="clear" w:color="auto" w:fill="FFFFFF" w:themeFill="background1"/>
            <w:noWrap/>
            <w:hideMark/>
          </w:tcPr>
          <w:p w14:paraId="6F19EF80" w14:textId="50DE9573"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Social</w:t>
            </w:r>
          </w:p>
        </w:tc>
        <w:tc>
          <w:tcPr>
            <w:tcW w:w="3686" w:type="dxa"/>
            <w:shd w:val="clear" w:color="auto" w:fill="FFFFFF" w:themeFill="background1"/>
            <w:hideMark/>
          </w:tcPr>
          <w:p w14:paraId="5105FF87"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 xml:space="preserve">Riesgo de baja participación de jóvenes en actividades del Proyecto. </w:t>
            </w:r>
          </w:p>
        </w:tc>
        <w:tc>
          <w:tcPr>
            <w:tcW w:w="1276" w:type="dxa"/>
            <w:shd w:val="clear" w:color="auto" w:fill="FFFFFF" w:themeFill="background1"/>
            <w:hideMark/>
          </w:tcPr>
          <w:p w14:paraId="6E28CBF6" w14:textId="77777777"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Olancho (Salamá, Catacamas), Yoro (Yoro)</w:t>
            </w:r>
          </w:p>
        </w:tc>
        <w:tc>
          <w:tcPr>
            <w:tcW w:w="4677" w:type="dxa"/>
            <w:shd w:val="clear" w:color="auto" w:fill="FFFFFF" w:themeFill="background1"/>
            <w:hideMark/>
          </w:tcPr>
          <w:p w14:paraId="096669C6" w14:textId="77777777" w:rsidR="003D759B" w:rsidRPr="000E6D86" w:rsidRDefault="006A3DBC" w:rsidP="003D759B">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El Proyecto buscará mecanismos para motivar e incentivar la participación constante de jóvenes y mujeres en las organizaciones.</w:t>
            </w:r>
          </w:p>
          <w:p w14:paraId="2E25881E" w14:textId="3282A35F" w:rsidR="006A3DBC" w:rsidRPr="000E6D86" w:rsidRDefault="006A3DBC" w:rsidP="003D759B">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Identificar mecanismos para atraer a los jóvenes como un empleo y prevenir la migración</w:t>
            </w:r>
            <w:r w:rsidRPr="000E6D86">
              <w:rPr>
                <w:rFonts w:eastAsia="Times New Roman" w:cs="Arial"/>
                <w:sz w:val="18"/>
                <w:szCs w:val="18"/>
                <w:lang w:val="es-SV" w:eastAsia="es-SV"/>
              </w:rPr>
              <w:br/>
              <w:t xml:space="preserve">Fortalecer la organización asociación juvenil. </w:t>
            </w:r>
          </w:p>
        </w:tc>
      </w:tr>
      <w:tr w:rsidR="000E6D86" w:rsidRPr="000E6D86" w14:paraId="6914F835" w14:textId="77777777" w:rsidTr="000E6D86">
        <w:trPr>
          <w:trHeight w:val="560"/>
        </w:trPr>
        <w:tc>
          <w:tcPr>
            <w:tcW w:w="3114" w:type="dxa"/>
            <w:shd w:val="clear" w:color="auto" w:fill="FFFFFF" w:themeFill="background1"/>
            <w:hideMark/>
          </w:tcPr>
          <w:p w14:paraId="67D11918"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Componente 1 Mejoramiento de la competitividad y la resiliencia en las cadenas de valor priorizadas (PdNs).</w:t>
            </w:r>
          </w:p>
        </w:tc>
        <w:tc>
          <w:tcPr>
            <w:tcW w:w="850" w:type="dxa"/>
            <w:shd w:val="clear" w:color="auto" w:fill="FFFFFF" w:themeFill="background1"/>
            <w:noWrap/>
            <w:hideMark/>
          </w:tcPr>
          <w:p w14:paraId="5BBCA707" w14:textId="06182F21" w:rsidR="006A3DBC" w:rsidRPr="000E6D86" w:rsidRDefault="006A3DBC" w:rsidP="00B53789">
            <w:pPr>
              <w:spacing w:after="0" w:line="240" w:lineRule="auto"/>
              <w:jc w:val="center"/>
              <w:rPr>
                <w:rFonts w:eastAsia="Times New Roman" w:cs="Arial"/>
                <w:sz w:val="18"/>
                <w:szCs w:val="18"/>
                <w:lang w:val="es-SV" w:eastAsia="es-SV"/>
              </w:rPr>
            </w:pPr>
          </w:p>
        </w:tc>
        <w:tc>
          <w:tcPr>
            <w:tcW w:w="3686" w:type="dxa"/>
            <w:shd w:val="clear" w:color="auto" w:fill="FFFFFF" w:themeFill="background1"/>
            <w:hideMark/>
          </w:tcPr>
          <w:p w14:paraId="6F60944D" w14:textId="643AEEB1"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 xml:space="preserve">Riesgo de conflicto de interés entre directivos y los miembros de las organizaciones que implementan los PdNs. </w:t>
            </w:r>
          </w:p>
        </w:tc>
        <w:tc>
          <w:tcPr>
            <w:tcW w:w="1276" w:type="dxa"/>
            <w:shd w:val="clear" w:color="auto" w:fill="FFFFFF" w:themeFill="background1"/>
            <w:hideMark/>
          </w:tcPr>
          <w:p w14:paraId="6726493A" w14:textId="4F59E2D2" w:rsidR="006A3DBC" w:rsidRPr="000E6D86" w:rsidRDefault="006A3DBC" w:rsidP="00B53789">
            <w:pPr>
              <w:spacing w:after="0" w:line="240" w:lineRule="auto"/>
              <w:jc w:val="center"/>
              <w:rPr>
                <w:rFonts w:eastAsia="Times New Roman" w:cs="Arial"/>
                <w:sz w:val="18"/>
                <w:szCs w:val="18"/>
                <w:lang w:val="es-SV" w:eastAsia="es-SV"/>
              </w:rPr>
            </w:pPr>
          </w:p>
        </w:tc>
        <w:tc>
          <w:tcPr>
            <w:tcW w:w="4677" w:type="dxa"/>
            <w:shd w:val="clear" w:color="auto" w:fill="FFFFFF" w:themeFill="background1"/>
            <w:hideMark/>
          </w:tcPr>
          <w:p w14:paraId="6D61D771" w14:textId="77777777" w:rsidR="003D759B" w:rsidRPr="000E6D86" w:rsidRDefault="006A3DBC" w:rsidP="003D759B">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Fortalecer la participación de los socios en la toma de decisiones.</w:t>
            </w:r>
          </w:p>
          <w:p w14:paraId="610DBA4B" w14:textId="1FAA9654" w:rsidR="006A3DBC" w:rsidRPr="000E6D86" w:rsidRDefault="006A3DBC" w:rsidP="003D759B">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Coordinar procesos de administración y transparencia para el mejor manejo de los fondos.</w:t>
            </w:r>
          </w:p>
          <w:p w14:paraId="66B0A6FC" w14:textId="25376C6F" w:rsidR="006A3DBC" w:rsidRPr="000E6D86" w:rsidRDefault="006A3DBC" w:rsidP="003D759B">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Llevar a la práctica los compromisos y acuerdos que se establezcan.</w:t>
            </w:r>
          </w:p>
          <w:p w14:paraId="2203064A" w14:textId="372A6F41" w:rsidR="006A3DBC" w:rsidRPr="000E6D86" w:rsidRDefault="006A3DBC" w:rsidP="003D759B">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Fortalecer procesos de transparencia y rendición de cuentas en el marco del Proyecto.</w:t>
            </w:r>
          </w:p>
        </w:tc>
      </w:tr>
      <w:tr w:rsidR="000E6D86" w:rsidRPr="000E6D86" w14:paraId="452D971B" w14:textId="77777777" w:rsidTr="000E6D86">
        <w:trPr>
          <w:trHeight w:val="560"/>
        </w:trPr>
        <w:tc>
          <w:tcPr>
            <w:tcW w:w="3114" w:type="dxa"/>
            <w:shd w:val="clear" w:color="auto" w:fill="FFFFFF" w:themeFill="background1"/>
            <w:hideMark/>
          </w:tcPr>
          <w:p w14:paraId="6482F35A"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lastRenderedPageBreak/>
              <w:t xml:space="preserve">Componente 2. Fortalecimiento institucional para mejorar el entorno de los agronegocios (Construcción o rehabilitación de infraestructuras rurales). </w:t>
            </w:r>
          </w:p>
        </w:tc>
        <w:tc>
          <w:tcPr>
            <w:tcW w:w="850" w:type="dxa"/>
            <w:shd w:val="clear" w:color="auto" w:fill="FFFFFF" w:themeFill="background1"/>
            <w:noWrap/>
            <w:hideMark/>
          </w:tcPr>
          <w:p w14:paraId="0EBEA555" w14:textId="68D4AA00"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Social</w:t>
            </w:r>
          </w:p>
        </w:tc>
        <w:tc>
          <w:tcPr>
            <w:tcW w:w="3686" w:type="dxa"/>
            <w:shd w:val="clear" w:color="auto" w:fill="FFFFFF" w:themeFill="background1"/>
            <w:hideMark/>
          </w:tcPr>
          <w:p w14:paraId="42D954FE"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 xml:space="preserve">Riesgo de desconfianza por falta de transparencia del Proyecto. </w:t>
            </w:r>
          </w:p>
        </w:tc>
        <w:tc>
          <w:tcPr>
            <w:tcW w:w="1276" w:type="dxa"/>
            <w:shd w:val="clear" w:color="auto" w:fill="FFFFFF" w:themeFill="background1"/>
            <w:hideMark/>
          </w:tcPr>
          <w:p w14:paraId="269E6712" w14:textId="77777777"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Olancho (Salamá, Juticalpa), Valle (Nacaome), Yoro (Olanchito, Yoro)</w:t>
            </w:r>
          </w:p>
        </w:tc>
        <w:tc>
          <w:tcPr>
            <w:tcW w:w="4677" w:type="dxa"/>
            <w:shd w:val="clear" w:color="auto" w:fill="FFFFFF" w:themeFill="background1"/>
            <w:hideMark/>
          </w:tcPr>
          <w:p w14:paraId="25E4EC5E" w14:textId="332408B9" w:rsidR="006A3DBC" w:rsidRPr="000E6D86" w:rsidRDefault="006A3DBC" w:rsidP="003D759B">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El Proyecto cuenta con un M</w:t>
            </w:r>
            <w:r w:rsidR="00163A7A" w:rsidRPr="000E6D86">
              <w:rPr>
                <w:rFonts w:eastAsia="Times New Roman" w:cs="Arial"/>
                <w:sz w:val="18"/>
                <w:szCs w:val="18"/>
                <w:lang w:val="es-SV" w:eastAsia="es-SV"/>
              </w:rPr>
              <w:t>C</w:t>
            </w:r>
            <w:r w:rsidRPr="000E6D86">
              <w:rPr>
                <w:rFonts w:eastAsia="Times New Roman" w:cs="Arial"/>
                <w:sz w:val="18"/>
                <w:szCs w:val="18"/>
                <w:lang w:val="es-SV" w:eastAsia="es-SV"/>
              </w:rPr>
              <w:t>QRS en donde se pueden por diversos medios realizar las consultas que la población estime conveniente.</w:t>
            </w:r>
          </w:p>
          <w:p w14:paraId="5A4C88EB" w14:textId="53277358" w:rsidR="006A3DBC" w:rsidRPr="000E6D86" w:rsidRDefault="006A3DBC" w:rsidP="003D759B">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En el PPPI donde se identifican los mecanismos de veeduría y transparencia para informar acerca de las actividades, avances y resultados del Proyecto.</w:t>
            </w:r>
          </w:p>
        </w:tc>
      </w:tr>
      <w:tr w:rsidR="000E6D86" w:rsidRPr="000E6D86" w14:paraId="555C4A6E" w14:textId="77777777" w:rsidTr="000E6D86">
        <w:trPr>
          <w:trHeight w:val="560"/>
        </w:trPr>
        <w:tc>
          <w:tcPr>
            <w:tcW w:w="3114" w:type="dxa"/>
            <w:shd w:val="clear" w:color="auto" w:fill="FFFFFF" w:themeFill="background1"/>
            <w:hideMark/>
          </w:tcPr>
          <w:p w14:paraId="010ACAB1"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 xml:space="preserve">Componente 2. Fortalecimiento institucional para mejorar el entorno de los agronegocios (Construcción o rehabilitación de infraestructuras rurales). </w:t>
            </w:r>
          </w:p>
        </w:tc>
        <w:tc>
          <w:tcPr>
            <w:tcW w:w="850" w:type="dxa"/>
            <w:shd w:val="clear" w:color="auto" w:fill="FFFFFF" w:themeFill="background1"/>
            <w:noWrap/>
            <w:hideMark/>
          </w:tcPr>
          <w:p w14:paraId="160EA0A6"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 xml:space="preserve">Social </w:t>
            </w:r>
          </w:p>
        </w:tc>
        <w:tc>
          <w:tcPr>
            <w:tcW w:w="3686" w:type="dxa"/>
            <w:shd w:val="clear" w:color="auto" w:fill="FFFFFF" w:themeFill="background1"/>
            <w:hideMark/>
          </w:tcPr>
          <w:p w14:paraId="4A35CA8F" w14:textId="5613169E"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Riesgo por la débil organización y falta de convenios</w:t>
            </w:r>
            <w:r w:rsidR="003D759B" w:rsidRPr="000E6D86">
              <w:rPr>
                <w:rFonts w:eastAsia="Times New Roman" w:cs="Arial"/>
                <w:sz w:val="18"/>
                <w:szCs w:val="18"/>
                <w:lang w:val="es-SV" w:eastAsia="es-SV"/>
              </w:rPr>
              <w:t xml:space="preserve"> </w:t>
            </w:r>
            <w:r w:rsidRPr="000E6D86">
              <w:rPr>
                <w:rFonts w:eastAsia="Times New Roman" w:cs="Arial"/>
                <w:sz w:val="18"/>
                <w:szCs w:val="18"/>
                <w:lang w:val="es-SV" w:eastAsia="es-SV"/>
              </w:rPr>
              <w:t>-</w:t>
            </w:r>
            <w:r w:rsidR="003D759B" w:rsidRPr="000E6D86">
              <w:rPr>
                <w:rFonts w:eastAsia="Times New Roman" w:cs="Arial"/>
                <w:sz w:val="18"/>
                <w:szCs w:val="18"/>
                <w:lang w:val="es-SV" w:eastAsia="es-SV"/>
              </w:rPr>
              <w:t xml:space="preserve"> </w:t>
            </w:r>
            <w:r w:rsidRPr="000E6D86">
              <w:rPr>
                <w:rFonts w:eastAsia="Times New Roman" w:cs="Arial"/>
                <w:sz w:val="18"/>
                <w:szCs w:val="18"/>
                <w:lang w:val="es-SV" w:eastAsia="es-SV"/>
              </w:rPr>
              <w:t xml:space="preserve">acuerdos institucionales sólidos. </w:t>
            </w:r>
          </w:p>
        </w:tc>
        <w:tc>
          <w:tcPr>
            <w:tcW w:w="1276" w:type="dxa"/>
            <w:shd w:val="clear" w:color="auto" w:fill="FFFFFF" w:themeFill="background1"/>
            <w:hideMark/>
          </w:tcPr>
          <w:p w14:paraId="0CA8B585" w14:textId="77777777"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Olancho (Salamá, Juticalpa)</w:t>
            </w:r>
          </w:p>
        </w:tc>
        <w:tc>
          <w:tcPr>
            <w:tcW w:w="4677" w:type="dxa"/>
            <w:shd w:val="clear" w:color="auto" w:fill="FFFFFF" w:themeFill="background1"/>
            <w:hideMark/>
          </w:tcPr>
          <w:p w14:paraId="3E0E4F8F" w14:textId="77777777" w:rsidR="003D759B" w:rsidRPr="000E6D86" w:rsidRDefault="006A3DBC" w:rsidP="003D759B">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 xml:space="preserve">Se requiere brindar seguimiento a los acuerdos existentes. </w:t>
            </w:r>
          </w:p>
          <w:p w14:paraId="118080B9" w14:textId="77777777" w:rsidR="003D759B" w:rsidRPr="000E6D86" w:rsidRDefault="006A3DBC" w:rsidP="003D759B">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Motivar a las organizaciones dado que cuento se trata de mejorar hay apertura</w:t>
            </w:r>
            <w:r w:rsidR="003D759B" w:rsidRPr="000E6D86">
              <w:rPr>
                <w:rFonts w:eastAsia="Times New Roman" w:cs="Arial"/>
                <w:sz w:val="18"/>
                <w:szCs w:val="18"/>
                <w:lang w:val="es-SV" w:eastAsia="es-SV"/>
              </w:rPr>
              <w:t>.</w:t>
            </w:r>
          </w:p>
          <w:p w14:paraId="3F4857C7" w14:textId="0B8C781C" w:rsidR="003D759B" w:rsidRPr="000E6D86" w:rsidRDefault="006A3DBC" w:rsidP="003D759B">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Brindar seguimiento a los acuerdos establecidos.</w:t>
            </w:r>
          </w:p>
        </w:tc>
      </w:tr>
    </w:tbl>
    <w:p w14:paraId="50A02F55" w14:textId="77777777" w:rsidR="006A3DBC" w:rsidRPr="00FA4B2D" w:rsidRDefault="006A3DBC" w:rsidP="006A3DBC">
      <w:pPr>
        <w:spacing w:after="0" w:line="240" w:lineRule="auto"/>
        <w:rPr>
          <w:rFonts w:cs="Arial"/>
          <w:lang w:val="es-SV"/>
        </w:rPr>
      </w:pPr>
    </w:p>
    <w:p w14:paraId="2C44B3C3" w14:textId="77777777" w:rsidR="006A3DBC" w:rsidRPr="00FA4B2D" w:rsidRDefault="006A3DBC" w:rsidP="006A3DBC">
      <w:pPr>
        <w:spacing w:after="0" w:line="240" w:lineRule="auto"/>
        <w:rPr>
          <w:rFonts w:cs="Arial"/>
          <w:lang w:val="es-SV"/>
        </w:rPr>
      </w:pPr>
      <w:r w:rsidRPr="00FA4B2D">
        <w:rPr>
          <w:rFonts w:cs="Arial"/>
          <w:lang w:val="es-SV"/>
        </w:rPr>
        <w:t xml:space="preserve">Con relación al cierre se identifican los siguientes riesgos sociolaborales: </w:t>
      </w:r>
    </w:p>
    <w:p w14:paraId="62B0F82F" w14:textId="77777777" w:rsidR="006A3DBC" w:rsidRPr="00FA4B2D" w:rsidRDefault="006A3DBC" w:rsidP="006A3DBC">
      <w:pPr>
        <w:spacing w:after="0" w:line="240" w:lineRule="auto"/>
        <w:rPr>
          <w:rFonts w:cs="Arial"/>
          <w:lang w:val="es-SV"/>
        </w:rPr>
      </w:pPr>
    </w:p>
    <w:tbl>
      <w:tblPr>
        <w:tblW w:w="14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7"/>
        <w:gridCol w:w="1436"/>
        <w:gridCol w:w="4930"/>
        <w:gridCol w:w="1501"/>
        <w:gridCol w:w="3948"/>
      </w:tblGrid>
      <w:tr w:rsidR="000E6D86" w:rsidRPr="000E6D86" w14:paraId="14B6475E" w14:textId="77777777" w:rsidTr="0071059D">
        <w:trPr>
          <w:trHeight w:val="351"/>
          <w:tblHeader/>
          <w:jc w:val="center"/>
        </w:trPr>
        <w:tc>
          <w:tcPr>
            <w:tcW w:w="14322" w:type="dxa"/>
            <w:gridSpan w:val="5"/>
            <w:shd w:val="clear" w:color="auto" w:fill="5CC5DA"/>
            <w:noWrap/>
            <w:vAlign w:val="center"/>
            <w:hideMark/>
          </w:tcPr>
          <w:p w14:paraId="3A2E13B1" w14:textId="77777777" w:rsidR="006A3DBC" w:rsidRPr="000E6D86" w:rsidRDefault="006A3DBC" w:rsidP="005F4A92">
            <w:pPr>
              <w:spacing w:after="0" w:line="240" w:lineRule="auto"/>
              <w:jc w:val="center"/>
              <w:rPr>
                <w:rFonts w:eastAsia="Times New Roman" w:cs="Arial"/>
                <w:b/>
                <w:bCs/>
                <w:sz w:val="18"/>
                <w:szCs w:val="18"/>
                <w:lang w:val="es-SV" w:eastAsia="es-SV"/>
              </w:rPr>
            </w:pPr>
            <w:r w:rsidRPr="000E6D86">
              <w:rPr>
                <w:rFonts w:eastAsia="Times New Roman" w:cs="Arial"/>
                <w:b/>
                <w:bCs/>
                <w:sz w:val="18"/>
                <w:szCs w:val="18"/>
                <w:lang w:val="es-SV" w:eastAsia="es-SV"/>
              </w:rPr>
              <w:t>CIERRE DESMANTELAMIENTO</w:t>
            </w:r>
          </w:p>
        </w:tc>
      </w:tr>
      <w:tr w:rsidR="000E6D86" w:rsidRPr="000E6D86" w14:paraId="625F923A" w14:textId="77777777" w:rsidTr="0071059D">
        <w:trPr>
          <w:trHeight w:val="382"/>
          <w:tblHeader/>
          <w:jc w:val="center"/>
        </w:trPr>
        <w:tc>
          <w:tcPr>
            <w:tcW w:w="2507" w:type="dxa"/>
            <w:shd w:val="clear" w:color="auto" w:fill="5CC5DA"/>
            <w:noWrap/>
            <w:vAlign w:val="center"/>
            <w:hideMark/>
          </w:tcPr>
          <w:p w14:paraId="2FDCA15D" w14:textId="77777777" w:rsidR="006A3DBC" w:rsidRPr="000E6D86" w:rsidRDefault="006A3DBC" w:rsidP="005F4A92">
            <w:pPr>
              <w:spacing w:after="0" w:line="240" w:lineRule="auto"/>
              <w:jc w:val="center"/>
              <w:rPr>
                <w:rFonts w:eastAsia="Times New Roman" w:cs="Arial"/>
                <w:b/>
                <w:bCs/>
                <w:sz w:val="18"/>
                <w:szCs w:val="18"/>
                <w:lang w:val="es-SV" w:eastAsia="es-SV"/>
              </w:rPr>
            </w:pPr>
            <w:r w:rsidRPr="000E6D86">
              <w:rPr>
                <w:rFonts w:eastAsia="Times New Roman" w:cs="Arial"/>
                <w:b/>
                <w:bCs/>
                <w:sz w:val="18"/>
                <w:szCs w:val="18"/>
                <w:lang w:val="es-SV" w:eastAsia="es-SV"/>
              </w:rPr>
              <w:t>Tipo de riesgo</w:t>
            </w:r>
          </w:p>
        </w:tc>
        <w:tc>
          <w:tcPr>
            <w:tcW w:w="1436" w:type="dxa"/>
            <w:shd w:val="clear" w:color="auto" w:fill="5CC5DA"/>
            <w:noWrap/>
            <w:vAlign w:val="center"/>
            <w:hideMark/>
          </w:tcPr>
          <w:p w14:paraId="3E2739D0" w14:textId="77777777" w:rsidR="006A3DBC" w:rsidRPr="000E6D86" w:rsidRDefault="006A3DBC" w:rsidP="005F4A92">
            <w:pPr>
              <w:spacing w:after="0" w:line="240" w:lineRule="auto"/>
              <w:jc w:val="center"/>
              <w:rPr>
                <w:rFonts w:eastAsia="Times New Roman" w:cs="Arial"/>
                <w:b/>
                <w:bCs/>
                <w:sz w:val="18"/>
                <w:szCs w:val="18"/>
                <w:lang w:val="es-SV" w:eastAsia="es-SV"/>
              </w:rPr>
            </w:pPr>
            <w:r w:rsidRPr="000E6D86">
              <w:rPr>
                <w:rFonts w:eastAsia="Times New Roman" w:cs="Arial"/>
                <w:b/>
                <w:bCs/>
                <w:sz w:val="18"/>
                <w:szCs w:val="18"/>
                <w:lang w:val="es-SV" w:eastAsia="es-SV"/>
              </w:rPr>
              <w:t>Tipo de riesgo</w:t>
            </w:r>
          </w:p>
        </w:tc>
        <w:tc>
          <w:tcPr>
            <w:tcW w:w="4930" w:type="dxa"/>
            <w:shd w:val="clear" w:color="auto" w:fill="5CC5DA"/>
            <w:noWrap/>
            <w:vAlign w:val="center"/>
            <w:hideMark/>
          </w:tcPr>
          <w:p w14:paraId="01E1AFEA" w14:textId="77777777" w:rsidR="006A3DBC" w:rsidRPr="000E6D86" w:rsidRDefault="006A3DBC" w:rsidP="005F4A92">
            <w:pPr>
              <w:spacing w:after="0" w:line="240" w:lineRule="auto"/>
              <w:jc w:val="center"/>
              <w:rPr>
                <w:rFonts w:eastAsia="Times New Roman" w:cs="Arial"/>
                <w:b/>
                <w:bCs/>
                <w:sz w:val="18"/>
                <w:szCs w:val="18"/>
                <w:lang w:val="es-SV" w:eastAsia="es-SV"/>
              </w:rPr>
            </w:pPr>
            <w:r w:rsidRPr="000E6D86">
              <w:rPr>
                <w:rFonts w:eastAsia="Times New Roman" w:cs="Arial"/>
                <w:b/>
                <w:bCs/>
                <w:sz w:val="18"/>
                <w:szCs w:val="18"/>
                <w:lang w:val="es-SV" w:eastAsia="es-SV"/>
              </w:rPr>
              <w:t xml:space="preserve">Descripción del riesgo </w:t>
            </w:r>
          </w:p>
        </w:tc>
        <w:tc>
          <w:tcPr>
            <w:tcW w:w="1501" w:type="dxa"/>
            <w:shd w:val="clear" w:color="auto" w:fill="5CC5DA"/>
            <w:noWrap/>
            <w:vAlign w:val="center"/>
            <w:hideMark/>
          </w:tcPr>
          <w:p w14:paraId="4A266532" w14:textId="77777777" w:rsidR="006A3DBC" w:rsidRPr="000E6D86" w:rsidRDefault="006A3DBC" w:rsidP="005F4A92">
            <w:pPr>
              <w:spacing w:after="0" w:line="240" w:lineRule="auto"/>
              <w:jc w:val="center"/>
              <w:rPr>
                <w:rFonts w:eastAsia="Times New Roman" w:cs="Arial"/>
                <w:b/>
                <w:bCs/>
                <w:sz w:val="18"/>
                <w:szCs w:val="18"/>
                <w:lang w:val="es-SV" w:eastAsia="es-SV"/>
              </w:rPr>
            </w:pPr>
            <w:r w:rsidRPr="000E6D86">
              <w:rPr>
                <w:rFonts w:eastAsia="Times New Roman" w:cs="Arial"/>
                <w:b/>
                <w:bCs/>
                <w:sz w:val="18"/>
                <w:szCs w:val="18"/>
                <w:lang w:val="es-SV" w:eastAsia="es-SV"/>
              </w:rPr>
              <w:t xml:space="preserve">Departamento </w:t>
            </w:r>
          </w:p>
        </w:tc>
        <w:tc>
          <w:tcPr>
            <w:tcW w:w="3948" w:type="dxa"/>
            <w:shd w:val="clear" w:color="auto" w:fill="5CC5DA"/>
            <w:noWrap/>
            <w:vAlign w:val="center"/>
            <w:hideMark/>
          </w:tcPr>
          <w:p w14:paraId="3E050A0E" w14:textId="77777777" w:rsidR="006A3DBC" w:rsidRPr="000E6D86" w:rsidRDefault="006A3DBC" w:rsidP="005F4A92">
            <w:pPr>
              <w:spacing w:after="0" w:line="240" w:lineRule="auto"/>
              <w:jc w:val="center"/>
              <w:rPr>
                <w:rFonts w:eastAsia="Times New Roman" w:cs="Arial"/>
                <w:b/>
                <w:bCs/>
                <w:sz w:val="18"/>
                <w:szCs w:val="18"/>
                <w:lang w:val="es-SV" w:eastAsia="es-SV"/>
              </w:rPr>
            </w:pPr>
            <w:r w:rsidRPr="000E6D86">
              <w:rPr>
                <w:rFonts w:eastAsia="Times New Roman" w:cs="Arial"/>
                <w:b/>
                <w:bCs/>
                <w:sz w:val="18"/>
                <w:szCs w:val="18"/>
                <w:lang w:val="es-SV" w:eastAsia="es-SV"/>
              </w:rPr>
              <w:t>Medidas de mitigación</w:t>
            </w:r>
          </w:p>
        </w:tc>
      </w:tr>
      <w:tr w:rsidR="000E6D86" w:rsidRPr="000E6D86" w14:paraId="5C5F1DD4" w14:textId="77777777" w:rsidTr="0071059D">
        <w:trPr>
          <w:trHeight w:val="746"/>
          <w:jc w:val="center"/>
        </w:trPr>
        <w:tc>
          <w:tcPr>
            <w:tcW w:w="2507" w:type="dxa"/>
            <w:shd w:val="clear" w:color="000000" w:fill="FFFFFF"/>
            <w:hideMark/>
          </w:tcPr>
          <w:p w14:paraId="07799E6E"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 xml:space="preserve">Descarte del equipo del Proyecto por daño o por cumplimiento de su vida útil. </w:t>
            </w:r>
          </w:p>
        </w:tc>
        <w:tc>
          <w:tcPr>
            <w:tcW w:w="1436" w:type="dxa"/>
            <w:shd w:val="clear" w:color="000000" w:fill="FFFFFF"/>
            <w:noWrap/>
            <w:hideMark/>
          </w:tcPr>
          <w:p w14:paraId="5FBF8FE4" w14:textId="77777777"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Laborales</w:t>
            </w:r>
          </w:p>
        </w:tc>
        <w:tc>
          <w:tcPr>
            <w:tcW w:w="4930" w:type="dxa"/>
            <w:shd w:val="clear" w:color="000000" w:fill="FFFFFF"/>
            <w:hideMark/>
          </w:tcPr>
          <w:p w14:paraId="530004EE"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Riesgos a la salud de los trabajadores por el manejo inadecuado de los residuos de aparatos eléctricos y electrónicos (RAEE).</w:t>
            </w:r>
          </w:p>
        </w:tc>
        <w:tc>
          <w:tcPr>
            <w:tcW w:w="1501" w:type="dxa"/>
            <w:shd w:val="clear" w:color="000000" w:fill="FFFFFF"/>
            <w:noWrap/>
            <w:hideMark/>
          </w:tcPr>
          <w:p w14:paraId="42C9F5E7" w14:textId="77777777"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Todos</w:t>
            </w:r>
          </w:p>
        </w:tc>
        <w:tc>
          <w:tcPr>
            <w:tcW w:w="3948" w:type="dxa"/>
            <w:shd w:val="clear" w:color="000000" w:fill="FFFFFF"/>
            <w:hideMark/>
          </w:tcPr>
          <w:p w14:paraId="58EB77C8" w14:textId="77777777" w:rsidR="006A3DBC" w:rsidRPr="000E6D86" w:rsidRDefault="006A3DBC" w:rsidP="003D759B">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El Proyecto aplicará lo establecido en las GMASS del BM en relación con el descarte de aparatos adquiridos en el marco del Proyecto.</w:t>
            </w:r>
          </w:p>
        </w:tc>
      </w:tr>
      <w:tr w:rsidR="000E6D86" w:rsidRPr="000E6D86" w14:paraId="4F45FF1A" w14:textId="77777777" w:rsidTr="0071059D">
        <w:trPr>
          <w:trHeight w:val="978"/>
          <w:jc w:val="center"/>
        </w:trPr>
        <w:tc>
          <w:tcPr>
            <w:tcW w:w="2507" w:type="dxa"/>
            <w:shd w:val="clear" w:color="000000" w:fill="FFFFFF"/>
            <w:hideMark/>
          </w:tcPr>
          <w:p w14:paraId="4808369E"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 xml:space="preserve">Descarte del equipo del Proyecto por daño o por cumplimiento de su vida útil. </w:t>
            </w:r>
          </w:p>
        </w:tc>
        <w:tc>
          <w:tcPr>
            <w:tcW w:w="1436" w:type="dxa"/>
            <w:shd w:val="clear" w:color="000000" w:fill="FFFFFF"/>
            <w:noWrap/>
            <w:hideMark/>
          </w:tcPr>
          <w:p w14:paraId="7E2414C0" w14:textId="77777777"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Laborales</w:t>
            </w:r>
          </w:p>
        </w:tc>
        <w:tc>
          <w:tcPr>
            <w:tcW w:w="4930" w:type="dxa"/>
            <w:shd w:val="clear" w:color="000000" w:fill="FFFFFF"/>
            <w:hideMark/>
          </w:tcPr>
          <w:p w14:paraId="493D0349" w14:textId="627AB160"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 xml:space="preserve">Daño a la salud de los trabajadores por falta de capacitación sobre el uso del </w:t>
            </w:r>
            <w:r w:rsidR="00803454" w:rsidRPr="000E6D86">
              <w:rPr>
                <w:rFonts w:eastAsia="Times New Roman" w:cs="Arial"/>
                <w:sz w:val="18"/>
                <w:szCs w:val="18"/>
                <w:lang w:val="es-SV" w:eastAsia="es-SV"/>
              </w:rPr>
              <w:t>Equipo de Protección Personal (</w:t>
            </w:r>
            <w:r w:rsidRPr="000E6D86">
              <w:rPr>
                <w:rFonts w:eastAsia="Times New Roman" w:cs="Arial"/>
                <w:sz w:val="18"/>
                <w:szCs w:val="18"/>
                <w:lang w:val="es-SV" w:eastAsia="es-SV"/>
              </w:rPr>
              <w:t>EPP</w:t>
            </w:r>
            <w:r w:rsidR="00803454" w:rsidRPr="000E6D86">
              <w:rPr>
                <w:rFonts w:eastAsia="Times New Roman" w:cs="Arial"/>
                <w:sz w:val="18"/>
                <w:szCs w:val="18"/>
                <w:lang w:val="es-SV" w:eastAsia="es-SV"/>
              </w:rPr>
              <w:t>)</w:t>
            </w:r>
            <w:r w:rsidRPr="000E6D86">
              <w:rPr>
                <w:rFonts w:eastAsia="Times New Roman" w:cs="Arial"/>
                <w:sz w:val="18"/>
                <w:szCs w:val="18"/>
                <w:lang w:val="es-SV" w:eastAsia="es-SV"/>
              </w:rPr>
              <w:t>, durante el transporte o disposición final de los equipos que cumplen su vida útil.</w:t>
            </w:r>
          </w:p>
        </w:tc>
        <w:tc>
          <w:tcPr>
            <w:tcW w:w="1501" w:type="dxa"/>
            <w:shd w:val="clear" w:color="000000" w:fill="FFFFFF"/>
            <w:noWrap/>
            <w:hideMark/>
          </w:tcPr>
          <w:p w14:paraId="44B3D2F9" w14:textId="77777777"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Todos</w:t>
            </w:r>
          </w:p>
        </w:tc>
        <w:tc>
          <w:tcPr>
            <w:tcW w:w="3948" w:type="dxa"/>
            <w:shd w:val="clear" w:color="000000" w:fill="FFFFFF"/>
            <w:hideMark/>
          </w:tcPr>
          <w:p w14:paraId="41B170ED" w14:textId="77777777" w:rsidR="006A3DBC" w:rsidRPr="000E6D86" w:rsidRDefault="006A3DBC" w:rsidP="003D759B">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El Proyecto capacitará al personal a cargo del proceso de transporte y disposición final de aparatos que hayan cumplido su vida útil.</w:t>
            </w:r>
          </w:p>
        </w:tc>
      </w:tr>
      <w:tr w:rsidR="000E6D86" w:rsidRPr="000E6D86" w14:paraId="52DCA351" w14:textId="77777777" w:rsidTr="0071059D">
        <w:trPr>
          <w:trHeight w:val="2655"/>
          <w:jc w:val="center"/>
        </w:trPr>
        <w:tc>
          <w:tcPr>
            <w:tcW w:w="2507" w:type="dxa"/>
            <w:shd w:val="clear" w:color="000000" w:fill="FFFFFF"/>
            <w:hideMark/>
          </w:tcPr>
          <w:p w14:paraId="4B585B77"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lastRenderedPageBreak/>
              <w:t>Riesgo de desconfianza por incumplimiento de compromisos del Proyecto.</w:t>
            </w:r>
          </w:p>
        </w:tc>
        <w:tc>
          <w:tcPr>
            <w:tcW w:w="1436" w:type="dxa"/>
            <w:shd w:val="clear" w:color="000000" w:fill="FFFFFF"/>
            <w:noWrap/>
            <w:hideMark/>
          </w:tcPr>
          <w:p w14:paraId="17B9C7F6" w14:textId="6613B432"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Social</w:t>
            </w:r>
          </w:p>
        </w:tc>
        <w:tc>
          <w:tcPr>
            <w:tcW w:w="4930" w:type="dxa"/>
            <w:shd w:val="clear" w:color="000000" w:fill="FFFFFF"/>
            <w:hideMark/>
          </w:tcPr>
          <w:p w14:paraId="4D38F924" w14:textId="77777777" w:rsidR="006A3DBC" w:rsidRPr="000E6D86" w:rsidRDefault="006A3DBC" w:rsidP="005F4A92">
            <w:pPr>
              <w:spacing w:after="0" w:line="240" w:lineRule="auto"/>
              <w:jc w:val="both"/>
              <w:rPr>
                <w:rFonts w:eastAsia="Times New Roman" w:cs="Arial"/>
                <w:sz w:val="18"/>
                <w:szCs w:val="18"/>
                <w:lang w:val="es-SV" w:eastAsia="es-SV"/>
              </w:rPr>
            </w:pPr>
            <w:r w:rsidRPr="000E6D86">
              <w:rPr>
                <w:rFonts w:eastAsia="Times New Roman" w:cs="Arial"/>
                <w:sz w:val="18"/>
                <w:szCs w:val="18"/>
                <w:lang w:val="es-SV" w:eastAsia="es-SV"/>
              </w:rPr>
              <w:t>Objetivos previstos no se cumplen y benefician a la población.</w:t>
            </w:r>
          </w:p>
        </w:tc>
        <w:tc>
          <w:tcPr>
            <w:tcW w:w="1501" w:type="dxa"/>
            <w:shd w:val="clear" w:color="000000" w:fill="FFFFFF"/>
            <w:noWrap/>
            <w:hideMark/>
          </w:tcPr>
          <w:p w14:paraId="1DBAAC94" w14:textId="36E0F1B8" w:rsidR="006A3DBC" w:rsidRPr="000E6D86" w:rsidRDefault="006A3DBC" w:rsidP="00B53789">
            <w:pPr>
              <w:spacing w:after="0" w:line="240" w:lineRule="auto"/>
              <w:jc w:val="center"/>
              <w:rPr>
                <w:rFonts w:eastAsia="Times New Roman" w:cs="Arial"/>
                <w:sz w:val="18"/>
                <w:szCs w:val="18"/>
                <w:lang w:val="es-SV" w:eastAsia="es-SV"/>
              </w:rPr>
            </w:pPr>
            <w:r w:rsidRPr="000E6D86">
              <w:rPr>
                <w:rFonts w:eastAsia="Times New Roman" w:cs="Arial"/>
                <w:sz w:val="18"/>
                <w:szCs w:val="18"/>
                <w:lang w:val="es-SV" w:eastAsia="es-SV"/>
              </w:rPr>
              <w:t>Yoro</w:t>
            </w:r>
          </w:p>
        </w:tc>
        <w:tc>
          <w:tcPr>
            <w:tcW w:w="3948" w:type="dxa"/>
            <w:shd w:val="clear" w:color="000000" w:fill="FFFFFF"/>
            <w:hideMark/>
          </w:tcPr>
          <w:p w14:paraId="1D7B5CB8" w14:textId="43E3EEB7" w:rsidR="006A3DBC" w:rsidRPr="000E6D86" w:rsidRDefault="006A3DBC" w:rsidP="00B16ED1">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El Proyecto buscará mecanismos de participación y acercamiento con l</w:t>
            </w:r>
            <w:r w:rsidR="00E039B7" w:rsidRPr="000E6D86">
              <w:rPr>
                <w:rFonts w:eastAsia="Times New Roman" w:cs="Arial"/>
                <w:sz w:val="18"/>
                <w:szCs w:val="18"/>
                <w:lang w:val="es-SV" w:eastAsia="es-SV"/>
              </w:rPr>
              <w:t>í</w:t>
            </w:r>
            <w:r w:rsidRPr="000E6D86">
              <w:rPr>
                <w:rFonts w:eastAsia="Times New Roman" w:cs="Arial"/>
                <w:sz w:val="18"/>
                <w:szCs w:val="18"/>
                <w:lang w:val="es-SV" w:eastAsia="es-SV"/>
              </w:rPr>
              <w:t>deres (lideresas) comunitarios (as) para dar a conocer los componentes del Proyecto, requisitos y actividades de la lista de exclusiones, así mismo, informará sobre los avances en los objetivos.</w:t>
            </w:r>
          </w:p>
          <w:p w14:paraId="20A0C61A" w14:textId="225D1C27" w:rsidR="006A3DBC" w:rsidRPr="000E6D86" w:rsidRDefault="006A3DBC" w:rsidP="00B16ED1">
            <w:pPr>
              <w:numPr>
                <w:ilvl w:val="0"/>
                <w:numId w:val="17"/>
              </w:numPr>
              <w:spacing w:after="0" w:line="240" w:lineRule="auto"/>
              <w:contextualSpacing/>
              <w:jc w:val="both"/>
              <w:rPr>
                <w:rFonts w:eastAsia="Times New Roman" w:cs="Arial"/>
                <w:sz w:val="18"/>
                <w:szCs w:val="18"/>
                <w:lang w:val="es-SV" w:eastAsia="es-SV"/>
              </w:rPr>
            </w:pPr>
            <w:r w:rsidRPr="000E6D86">
              <w:rPr>
                <w:rFonts w:eastAsia="Times New Roman" w:cs="Arial"/>
                <w:sz w:val="18"/>
                <w:szCs w:val="18"/>
                <w:lang w:val="es-SV" w:eastAsia="es-SV"/>
              </w:rPr>
              <w:t xml:space="preserve">Participación de todas las partes involucradas en la ejecución de PdNs para presentación de informes finales y difusión los informes finales de cumplimiento alcanzado. </w:t>
            </w:r>
          </w:p>
        </w:tc>
      </w:tr>
    </w:tbl>
    <w:p w14:paraId="75724C64" w14:textId="77777777" w:rsidR="006A3DBC" w:rsidRPr="00FA4B2D" w:rsidRDefault="006A3DBC" w:rsidP="006A3DBC">
      <w:pPr>
        <w:spacing w:after="0" w:line="240" w:lineRule="auto"/>
        <w:rPr>
          <w:rFonts w:cs="Arial"/>
          <w:lang w:val="es-SV"/>
        </w:rPr>
      </w:pPr>
    </w:p>
    <w:p w14:paraId="3CE97CBC" w14:textId="77777777" w:rsidR="006A3DBC" w:rsidRPr="00FA4B2D" w:rsidRDefault="006A3DBC" w:rsidP="006A3DBC">
      <w:pPr>
        <w:spacing w:after="0" w:line="240" w:lineRule="auto"/>
        <w:rPr>
          <w:rFonts w:cs="Arial"/>
          <w:lang w:val="es-SV"/>
        </w:rPr>
      </w:pPr>
    </w:p>
    <w:p w14:paraId="630D3AB4" w14:textId="77777777" w:rsidR="006A3DBC" w:rsidRPr="00FA4B2D" w:rsidRDefault="006A3DBC" w:rsidP="006A3DBC">
      <w:pPr>
        <w:spacing w:after="0" w:line="240" w:lineRule="auto"/>
        <w:rPr>
          <w:rFonts w:cs="Arial"/>
          <w:lang w:val="es-SV"/>
        </w:rPr>
      </w:pPr>
    </w:p>
    <w:p w14:paraId="0D91F558" w14:textId="77777777" w:rsidR="006A3DBC" w:rsidRPr="00FA4B2D" w:rsidRDefault="006A3DBC" w:rsidP="006A3DBC">
      <w:pPr>
        <w:spacing w:after="0" w:line="240" w:lineRule="auto"/>
        <w:rPr>
          <w:rFonts w:cs="Arial"/>
          <w:lang w:val="es-SV"/>
        </w:rPr>
      </w:pPr>
    </w:p>
    <w:p w14:paraId="337DDE4D" w14:textId="77777777" w:rsidR="006A3DBC" w:rsidRPr="00FA4B2D" w:rsidRDefault="006A3DBC" w:rsidP="006A3DBC">
      <w:pPr>
        <w:spacing w:after="0" w:line="240" w:lineRule="auto"/>
        <w:rPr>
          <w:rFonts w:cs="Arial"/>
          <w:lang w:val="es-SV"/>
        </w:rPr>
        <w:sectPr w:rsidR="006A3DBC" w:rsidRPr="00FA4B2D" w:rsidSect="005F4A92">
          <w:headerReference w:type="even" r:id="rId75"/>
          <w:headerReference w:type="default" r:id="rId76"/>
          <w:headerReference w:type="first" r:id="rId77"/>
          <w:pgSz w:w="15840" w:h="12240" w:orient="landscape"/>
          <w:pgMar w:top="1701" w:right="1750" w:bottom="1560" w:left="1417" w:header="708" w:footer="708" w:gutter="0"/>
          <w:cols w:space="708"/>
          <w:docGrid w:linePitch="360"/>
        </w:sectPr>
      </w:pPr>
    </w:p>
    <w:p w14:paraId="7EC605B0" w14:textId="77777777" w:rsidR="006A3DBC" w:rsidRPr="00FA4B2D" w:rsidRDefault="006A3DBC" w:rsidP="006A3DBC">
      <w:pPr>
        <w:pStyle w:val="Prrafodelista"/>
        <w:keepNext/>
        <w:keepLines/>
        <w:numPr>
          <w:ilvl w:val="1"/>
          <w:numId w:val="33"/>
        </w:numPr>
        <w:spacing w:after="0" w:line="240" w:lineRule="auto"/>
        <w:contextualSpacing w:val="0"/>
        <w:jc w:val="both"/>
        <w:outlineLvl w:val="1"/>
        <w:rPr>
          <w:rFonts w:eastAsiaTheme="majorEastAsia" w:cs="Arial"/>
          <w:b/>
          <w:vanish/>
        </w:rPr>
      </w:pPr>
      <w:bookmarkStart w:id="905" w:name="_Toc65881371"/>
      <w:bookmarkStart w:id="906" w:name="_Toc65882245"/>
      <w:bookmarkStart w:id="907" w:name="_Toc65884201"/>
      <w:bookmarkStart w:id="908" w:name="_Toc66035479"/>
      <w:bookmarkStart w:id="909" w:name="_Toc66037101"/>
      <w:bookmarkStart w:id="910" w:name="_Toc66038485"/>
      <w:bookmarkStart w:id="911" w:name="_Toc66038604"/>
      <w:bookmarkStart w:id="912" w:name="_Toc66038766"/>
      <w:bookmarkStart w:id="913" w:name="_Toc66039222"/>
      <w:bookmarkStart w:id="914" w:name="_Toc66223568"/>
      <w:bookmarkStart w:id="915" w:name="_Toc67238101"/>
      <w:bookmarkStart w:id="916" w:name="_Toc67240540"/>
      <w:bookmarkStart w:id="917" w:name="_Toc67240780"/>
      <w:bookmarkStart w:id="918" w:name="_Toc67240979"/>
      <w:bookmarkStart w:id="919" w:name="_Toc67241174"/>
      <w:bookmarkStart w:id="920" w:name="_Toc67241365"/>
      <w:bookmarkStart w:id="921" w:name="_Toc67241550"/>
      <w:bookmarkStart w:id="922" w:name="_Toc67241746"/>
      <w:bookmarkStart w:id="923" w:name="_Toc67241854"/>
      <w:bookmarkStart w:id="924" w:name="_Toc67241928"/>
      <w:bookmarkStart w:id="925" w:name="_Toc67242042"/>
      <w:bookmarkStart w:id="926" w:name="_Toc67242113"/>
      <w:bookmarkStart w:id="927" w:name="_Toc67242762"/>
      <w:bookmarkStart w:id="928" w:name="_Toc67243156"/>
      <w:bookmarkStart w:id="929" w:name="_Toc67243817"/>
      <w:bookmarkStart w:id="930" w:name="_Toc67557010"/>
      <w:bookmarkStart w:id="931" w:name="_Toc67564427"/>
      <w:bookmarkStart w:id="932" w:name="_Toc67567157"/>
      <w:bookmarkStart w:id="933" w:name="_Toc67567446"/>
      <w:bookmarkStart w:id="934" w:name="_Toc67567542"/>
      <w:bookmarkStart w:id="935" w:name="_Toc67568535"/>
      <w:bookmarkStart w:id="936" w:name="_Toc67571804"/>
      <w:bookmarkStart w:id="937" w:name="_Toc67572826"/>
      <w:bookmarkStart w:id="938" w:name="_Toc67573416"/>
      <w:bookmarkStart w:id="939" w:name="_Toc69380784"/>
      <w:bookmarkStart w:id="940" w:name="_Toc69382023"/>
      <w:bookmarkStart w:id="941" w:name="_Toc69389900"/>
      <w:bookmarkStart w:id="942" w:name="_Toc69393573"/>
      <w:bookmarkStart w:id="943" w:name="_Toc69410739"/>
      <w:bookmarkStart w:id="944" w:name="_Toc69410977"/>
      <w:bookmarkStart w:id="945" w:name="_Toc69918749"/>
      <w:bookmarkStart w:id="946" w:name="_Toc69922979"/>
      <w:bookmarkStart w:id="947" w:name="_Toc160535991"/>
      <w:bookmarkStart w:id="948" w:name="_Toc160575614"/>
      <w:bookmarkStart w:id="949" w:name="_Toc160576823"/>
      <w:bookmarkStart w:id="950" w:name="_Toc164251525"/>
      <w:bookmarkStart w:id="951" w:name="_Toc168469294"/>
      <w:bookmarkStart w:id="952" w:name="_Toc168469481"/>
      <w:bookmarkStart w:id="953" w:name="_Toc202341269"/>
      <w:bookmarkStart w:id="954" w:name="_Toc202449720"/>
      <w:bookmarkStart w:id="955" w:name="_Toc202455367"/>
      <w:bookmarkStart w:id="956" w:name="_Toc20245694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p>
    <w:p w14:paraId="0DD5295A" w14:textId="498FDD9B" w:rsidR="006A3DBC" w:rsidRPr="00FA4B2D" w:rsidRDefault="00B13714" w:rsidP="00411720">
      <w:pPr>
        <w:pStyle w:val="Ttulo1"/>
        <w:numPr>
          <w:ilvl w:val="0"/>
          <w:numId w:val="100"/>
        </w:numPr>
        <w:spacing w:before="0" w:line="240" w:lineRule="auto"/>
        <w:ind w:left="567" w:firstLine="0"/>
        <w:rPr>
          <w:rFonts w:ascii="Arial" w:hAnsi="Arial" w:cs="Arial"/>
          <w:b/>
          <w:color w:val="767171" w:themeColor="background2" w:themeShade="80"/>
          <w:sz w:val="22"/>
          <w:szCs w:val="22"/>
        </w:rPr>
      </w:pPr>
      <w:bookmarkStart w:id="957" w:name="_Toc65884203"/>
      <w:bookmarkStart w:id="958" w:name="_Toc67573417"/>
      <w:bookmarkStart w:id="959" w:name="_Toc202456945"/>
      <w:r w:rsidRPr="00FA4B2D">
        <w:rPr>
          <w:rFonts w:ascii="Arial" w:hAnsi="Arial" w:cs="Arial"/>
          <w:b/>
          <w:color w:val="767171" w:themeColor="background2" w:themeShade="80"/>
          <w:sz w:val="22"/>
          <w:szCs w:val="22"/>
        </w:rPr>
        <w:t xml:space="preserve">. </w:t>
      </w:r>
      <w:r w:rsidR="006A3DBC" w:rsidRPr="00FA4B2D">
        <w:rPr>
          <w:rFonts w:ascii="Arial" w:hAnsi="Arial" w:cs="Arial"/>
          <w:b/>
          <w:color w:val="767171" w:themeColor="background2" w:themeShade="80"/>
          <w:sz w:val="22"/>
          <w:szCs w:val="22"/>
        </w:rPr>
        <w:t>Gestión Ambiental y Social</w:t>
      </w:r>
      <w:bookmarkEnd w:id="957"/>
      <w:bookmarkEnd w:id="958"/>
      <w:bookmarkEnd w:id="959"/>
    </w:p>
    <w:p w14:paraId="3BA1FC83" w14:textId="77777777" w:rsidR="002B7276" w:rsidRDefault="002B7276" w:rsidP="006A3DBC">
      <w:pPr>
        <w:jc w:val="both"/>
        <w:rPr>
          <w:rFonts w:eastAsia="Cambria" w:cs="Arial"/>
        </w:rPr>
      </w:pPr>
    </w:p>
    <w:p w14:paraId="28C39162" w14:textId="1423C750" w:rsidR="006A3DBC" w:rsidRPr="00FA4B2D" w:rsidRDefault="006A3DBC" w:rsidP="006A3DBC">
      <w:pPr>
        <w:jc w:val="both"/>
        <w:rPr>
          <w:rFonts w:eastAsia="Cambria" w:cs="Arial"/>
        </w:rPr>
      </w:pPr>
      <w:r w:rsidRPr="00FA4B2D">
        <w:rPr>
          <w:rFonts w:eastAsia="Cambria" w:cs="Arial"/>
        </w:rPr>
        <w:t xml:space="preserve">En el presente capítulo se establecen los procedimientos e instrumentos de gestión ambiental y social a ser observados en la implementación del COMRURAL III.  A través de estos instrumentos de gestión se dará cumplimiento a las medidas de mitigación identificadas para cada actividad, siguiendo los EASs relevantes del BM.  </w:t>
      </w:r>
    </w:p>
    <w:p w14:paraId="05474623" w14:textId="36D75C5D" w:rsidR="000E6D86" w:rsidRDefault="000E6D86" w:rsidP="000E6D86">
      <w:pPr>
        <w:pStyle w:val="Descripcin"/>
        <w:keepNext/>
      </w:pPr>
      <w:bookmarkStart w:id="960" w:name="_Toc202455484"/>
      <w:r>
        <w:t xml:space="preserve">Tabla </w:t>
      </w:r>
      <w:r>
        <w:fldChar w:fldCharType="begin"/>
      </w:r>
      <w:r>
        <w:instrText xml:space="preserve"> SEQ Tabla \* ARABIC </w:instrText>
      </w:r>
      <w:r>
        <w:fldChar w:fldCharType="separate"/>
      </w:r>
      <w:r>
        <w:rPr>
          <w:noProof/>
        </w:rPr>
        <w:t>58</w:t>
      </w:r>
      <w:r>
        <w:fldChar w:fldCharType="end"/>
      </w:r>
      <w:r>
        <w:t xml:space="preserve">: </w:t>
      </w:r>
      <w:r w:rsidRPr="009A70F0">
        <w:t>Instrumentos de gestión ambiental y social del COMRURAL III</w:t>
      </w:r>
      <w:bookmarkEnd w:id="9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1"/>
      </w:tblGrid>
      <w:tr w:rsidR="000E6D86" w:rsidRPr="000E6D86" w14:paraId="635E8C6E" w14:textId="77777777" w:rsidTr="00C24D0B">
        <w:trPr>
          <w:jc w:val="center"/>
        </w:trPr>
        <w:tc>
          <w:tcPr>
            <w:tcW w:w="5681" w:type="dxa"/>
            <w:shd w:val="clear" w:color="auto" w:fill="5CC5DA"/>
            <w:vAlign w:val="center"/>
          </w:tcPr>
          <w:p w14:paraId="1A9BBAEB" w14:textId="77777777" w:rsidR="006A3DBC" w:rsidRPr="000E6D86" w:rsidRDefault="006A3DBC" w:rsidP="005F4A92">
            <w:pPr>
              <w:spacing w:after="0"/>
              <w:jc w:val="center"/>
              <w:rPr>
                <w:rFonts w:eastAsia="Cambria" w:cs="Arial"/>
                <w:b/>
                <w:bCs/>
                <w:sz w:val="22"/>
                <w:szCs w:val="20"/>
              </w:rPr>
            </w:pPr>
            <w:r w:rsidRPr="000E6D86">
              <w:rPr>
                <w:rFonts w:eastAsia="Cambria" w:cs="Arial"/>
                <w:b/>
                <w:bCs/>
                <w:sz w:val="22"/>
                <w:szCs w:val="20"/>
              </w:rPr>
              <w:t>Instrumento</w:t>
            </w:r>
          </w:p>
        </w:tc>
      </w:tr>
      <w:tr w:rsidR="000E6D86" w:rsidRPr="000E6D86" w14:paraId="194DD183" w14:textId="77777777" w:rsidTr="005F4A92">
        <w:trPr>
          <w:jc w:val="center"/>
        </w:trPr>
        <w:tc>
          <w:tcPr>
            <w:tcW w:w="5681" w:type="dxa"/>
            <w:shd w:val="clear" w:color="auto" w:fill="auto"/>
            <w:vAlign w:val="center"/>
          </w:tcPr>
          <w:p w14:paraId="3D3E479B" w14:textId="77777777" w:rsidR="006A3DBC" w:rsidRPr="000E6D86" w:rsidRDefault="006A3DBC" w:rsidP="005F4A92">
            <w:pPr>
              <w:spacing w:after="0"/>
              <w:rPr>
                <w:rFonts w:eastAsia="Cambria" w:cs="Arial"/>
                <w:sz w:val="22"/>
                <w:szCs w:val="20"/>
              </w:rPr>
            </w:pPr>
            <w:r w:rsidRPr="000E6D86">
              <w:rPr>
                <w:rFonts w:eastAsia="Cambria" w:cs="Arial"/>
                <w:sz w:val="22"/>
                <w:szCs w:val="20"/>
              </w:rPr>
              <w:t>Marco de Gestión Ambiental y Social (MGAS)</w:t>
            </w:r>
          </w:p>
        </w:tc>
      </w:tr>
      <w:tr w:rsidR="000E6D86" w:rsidRPr="000E6D86" w14:paraId="6F16A990" w14:textId="77777777" w:rsidTr="005F4A92">
        <w:trPr>
          <w:jc w:val="center"/>
        </w:trPr>
        <w:tc>
          <w:tcPr>
            <w:tcW w:w="5681" w:type="dxa"/>
            <w:shd w:val="clear" w:color="auto" w:fill="auto"/>
            <w:vAlign w:val="center"/>
          </w:tcPr>
          <w:p w14:paraId="07194271" w14:textId="77777777" w:rsidR="006A3DBC" w:rsidRPr="000E6D86" w:rsidRDefault="006A3DBC" w:rsidP="005F4A92">
            <w:pPr>
              <w:spacing w:after="0"/>
              <w:rPr>
                <w:rFonts w:eastAsia="Cambria" w:cs="Arial"/>
                <w:sz w:val="22"/>
                <w:szCs w:val="20"/>
              </w:rPr>
            </w:pPr>
            <w:r w:rsidRPr="000E6D86">
              <w:rPr>
                <w:rFonts w:eastAsia="Cambria" w:cs="Arial"/>
                <w:sz w:val="22"/>
                <w:szCs w:val="20"/>
              </w:rPr>
              <w:t>Marco de Reasentamiento Involuntario (MRI) y Marco de Proceso (MP)</w:t>
            </w:r>
          </w:p>
        </w:tc>
      </w:tr>
      <w:tr w:rsidR="000E6D86" w:rsidRPr="000E6D86" w14:paraId="1FBA16D9" w14:textId="77777777" w:rsidTr="005F4A92">
        <w:trPr>
          <w:jc w:val="center"/>
        </w:trPr>
        <w:tc>
          <w:tcPr>
            <w:tcW w:w="5681" w:type="dxa"/>
            <w:shd w:val="clear" w:color="auto" w:fill="auto"/>
            <w:vAlign w:val="center"/>
          </w:tcPr>
          <w:p w14:paraId="5373E236" w14:textId="77777777" w:rsidR="006A3DBC" w:rsidRPr="000E6D86" w:rsidRDefault="006A3DBC" w:rsidP="005F4A92">
            <w:pPr>
              <w:spacing w:after="0"/>
              <w:rPr>
                <w:rFonts w:eastAsia="Cambria" w:cs="Arial"/>
                <w:sz w:val="22"/>
                <w:szCs w:val="20"/>
              </w:rPr>
            </w:pPr>
            <w:r w:rsidRPr="000E6D86">
              <w:rPr>
                <w:rFonts w:eastAsia="Cambria" w:cs="Arial"/>
                <w:sz w:val="22"/>
                <w:szCs w:val="20"/>
              </w:rPr>
              <w:t>Marco de Planificación de Pueblos Indígenas (MPPI)</w:t>
            </w:r>
          </w:p>
        </w:tc>
      </w:tr>
      <w:tr w:rsidR="000E6D86" w:rsidRPr="000E6D86" w14:paraId="6876CC1E" w14:textId="77777777" w:rsidTr="005F4A92">
        <w:trPr>
          <w:jc w:val="center"/>
        </w:trPr>
        <w:tc>
          <w:tcPr>
            <w:tcW w:w="5681" w:type="dxa"/>
            <w:shd w:val="clear" w:color="auto" w:fill="auto"/>
            <w:vAlign w:val="center"/>
          </w:tcPr>
          <w:p w14:paraId="410B4585" w14:textId="77777777" w:rsidR="006A3DBC" w:rsidRPr="000E6D86" w:rsidRDefault="006A3DBC" w:rsidP="005F4A92">
            <w:pPr>
              <w:spacing w:after="0"/>
              <w:rPr>
                <w:rFonts w:eastAsia="Cambria" w:cs="Arial"/>
                <w:sz w:val="22"/>
                <w:szCs w:val="20"/>
              </w:rPr>
            </w:pPr>
            <w:r w:rsidRPr="000E6D86">
              <w:rPr>
                <w:rFonts w:eastAsia="Cambria" w:cs="Arial"/>
                <w:sz w:val="22"/>
                <w:szCs w:val="20"/>
              </w:rPr>
              <w:t>Plan de Participación de Partes Interesadas (PPPI)</w:t>
            </w:r>
          </w:p>
        </w:tc>
      </w:tr>
      <w:tr w:rsidR="000E6D86" w:rsidRPr="000E6D86" w14:paraId="72739C4D" w14:textId="77777777" w:rsidTr="005F4A92">
        <w:trPr>
          <w:jc w:val="center"/>
        </w:trPr>
        <w:tc>
          <w:tcPr>
            <w:tcW w:w="5681" w:type="dxa"/>
            <w:shd w:val="clear" w:color="auto" w:fill="auto"/>
            <w:vAlign w:val="center"/>
          </w:tcPr>
          <w:p w14:paraId="30817BB5" w14:textId="77777777" w:rsidR="006A3DBC" w:rsidRPr="000E6D86" w:rsidRDefault="006A3DBC" w:rsidP="005F4A92">
            <w:pPr>
              <w:rPr>
                <w:rFonts w:eastAsia="Cambria" w:cs="Arial"/>
                <w:sz w:val="22"/>
                <w:szCs w:val="20"/>
              </w:rPr>
            </w:pPr>
            <w:r w:rsidRPr="000E6D86">
              <w:rPr>
                <w:rFonts w:eastAsia="Cambria" w:cs="Arial"/>
                <w:sz w:val="22"/>
                <w:szCs w:val="20"/>
              </w:rPr>
              <w:t>Procedimientos de Gestión de Mano de Obra (PGMO)</w:t>
            </w:r>
          </w:p>
        </w:tc>
      </w:tr>
    </w:tbl>
    <w:p w14:paraId="58403619" w14:textId="77777777" w:rsidR="006A3DBC" w:rsidRPr="00FA4B2D" w:rsidRDefault="006A3DBC" w:rsidP="006A3DBC">
      <w:pPr>
        <w:rPr>
          <w:rFonts w:eastAsia="Cambria" w:cs="Arial"/>
        </w:rPr>
      </w:pPr>
    </w:p>
    <w:p w14:paraId="32684E4D" w14:textId="77777777" w:rsidR="006A3DBC" w:rsidRPr="00FA4B2D" w:rsidRDefault="006A3DBC" w:rsidP="006A3DBC">
      <w:pPr>
        <w:pStyle w:val="Prrafodelista"/>
        <w:keepNext/>
        <w:keepLines/>
        <w:numPr>
          <w:ilvl w:val="0"/>
          <w:numId w:val="34"/>
        </w:numPr>
        <w:spacing w:after="0" w:line="240" w:lineRule="auto"/>
        <w:contextualSpacing w:val="0"/>
        <w:jc w:val="both"/>
        <w:outlineLvl w:val="1"/>
        <w:rPr>
          <w:rFonts w:eastAsiaTheme="majorEastAsia" w:cs="Arial"/>
          <w:b/>
          <w:bCs/>
          <w:vanish/>
        </w:rPr>
      </w:pPr>
      <w:bookmarkStart w:id="961" w:name="_Toc67238103"/>
      <w:bookmarkStart w:id="962" w:name="_Toc67240542"/>
      <w:bookmarkStart w:id="963" w:name="_Toc67240782"/>
      <w:bookmarkStart w:id="964" w:name="_Toc67240981"/>
      <w:bookmarkStart w:id="965" w:name="_Toc67241176"/>
      <w:bookmarkStart w:id="966" w:name="_Toc67241367"/>
      <w:bookmarkStart w:id="967" w:name="_Toc67241552"/>
      <w:bookmarkStart w:id="968" w:name="_Toc67241748"/>
      <w:bookmarkStart w:id="969" w:name="_Toc67241856"/>
      <w:bookmarkStart w:id="970" w:name="_Toc67241930"/>
      <w:bookmarkStart w:id="971" w:name="_Toc67242044"/>
      <w:bookmarkStart w:id="972" w:name="_Toc67242115"/>
      <w:bookmarkStart w:id="973" w:name="_Toc67242764"/>
      <w:bookmarkStart w:id="974" w:name="_Toc67243158"/>
      <w:bookmarkStart w:id="975" w:name="_Toc67243819"/>
      <w:bookmarkStart w:id="976" w:name="_Toc67557012"/>
      <w:bookmarkStart w:id="977" w:name="_Toc65857162"/>
      <w:bookmarkStart w:id="978" w:name="_Toc65857224"/>
      <w:bookmarkStart w:id="979" w:name="_Toc65857438"/>
      <w:bookmarkStart w:id="980" w:name="_Toc65866011"/>
      <w:bookmarkStart w:id="981" w:name="_Toc65877246"/>
      <w:bookmarkStart w:id="982" w:name="_Toc65877395"/>
      <w:bookmarkStart w:id="983" w:name="_Toc65881374"/>
      <w:bookmarkStart w:id="984" w:name="_Toc65882248"/>
      <w:bookmarkStart w:id="985" w:name="_Toc65884204"/>
      <w:bookmarkStart w:id="986" w:name="_Toc66035482"/>
      <w:bookmarkStart w:id="987" w:name="_Toc66037104"/>
      <w:bookmarkStart w:id="988" w:name="_Toc66038488"/>
      <w:bookmarkStart w:id="989" w:name="_Toc66038607"/>
      <w:bookmarkStart w:id="990" w:name="_Toc66038769"/>
      <w:bookmarkStart w:id="991" w:name="_Toc66039225"/>
      <w:bookmarkStart w:id="992" w:name="_Toc66223571"/>
      <w:bookmarkStart w:id="993" w:name="_Toc67564429"/>
      <w:bookmarkStart w:id="994" w:name="_Toc67567159"/>
      <w:bookmarkStart w:id="995" w:name="_Toc67567448"/>
      <w:bookmarkStart w:id="996" w:name="_Toc67567544"/>
      <w:bookmarkStart w:id="997" w:name="_Toc67568537"/>
      <w:bookmarkStart w:id="998" w:name="_Toc67571806"/>
      <w:bookmarkStart w:id="999" w:name="_Toc67572828"/>
      <w:bookmarkStart w:id="1000" w:name="_Toc67573418"/>
      <w:bookmarkStart w:id="1001" w:name="_Toc69380786"/>
      <w:bookmarkStart w:id="1002" w:name="_Toc69382025"/>
      <w:bookmarkStart w:id="1003" w:name="_Toc69389902"/>
      <w:bookmarkStart w:id="1004" w:name="_Toc69393575"/>
      <w:bookmarkStart w:id="1005" w:name="_Toc69410741"/>
      <w:bookmarkStart w:id="1006" w:name="_Toc69410979"/>
      <w:bookmarkStart w:id="1007" w:name="_Toc69918751"/>
      <w:bookmarkStart w:id="1008" w:name="_Toc69922981"/>
      <w:bookmarkStart w:id="1009" w:name="_Toc160535993"/>
      <w:bookmarkStart w:id="1010" w:name="_Toc160575616"/>
      <w:bookmarkStart w:id="1011" w:name="_Toc160576825"/>
      <w:bookmarkStart w:id="1012" w:name="_Toc164251527"/>
      <w:bookmarkStart w:id="1013" w:name="_Toc168469296"/>
      <w:bookmarkStart w:id="1014" w:name="_Toc168469483"/>
      <w:bookmarkStart w:id="1015" w:name="_Toc202341271"/>
      <w:bookmarkStart w:id="1016" w:name="_Toc202449722"/>
      <w:bookmarkStart w:id="1017" w:name="_Toc202455369"/>
      <w:bookmarkStart w:id="1018" w:name="_Toc202456946"/>
      <w:bookmarkStart w:id="1019" w:name="_Toc65884205"/>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p>
    <w:p w14:paraId="6690A50E" w14:textId="77777777" w:rsidR="006A3DBC" w:rsidRPr="00FA4B2D" w:rsidRDefault="006A3DBC" w:rsidP="006A3DBC">
      <w:pPr>
        <w:pStyle w:val="Prrafodelista"/>
        <w:keepNext/>
        <w:keepLines/>
        <w:numPr>
          <w:ilvl w:val="0"/>
          <w:numId w:val="34"/>
        </w:numPr>
        <w:spacing w:after="0" w:line="240" w:lineRule="auto"/>
        <w:contextualSpacing w:val="0"/>
        <w:jc w:val="both"/>
        <w:outlineLvl w:val="1"/>
        <w:rPr>
          <w:rFonts w:eastAsiaTheme="majorEastAsia" w:cs="Arial"/>
          <w:b/>
          <w:bCs/>
          <w:vanish/>
        </w:rPr>
      </w:pPr>
      <w:bookmarkStart w:id="1020" w:name="_Toc67564430"/>
      <w:bookmarkStart w:id="1021" w:name="_Toc67567160"/>
      <w:bookmarkStart w:id="1022" w:name="_Toc67567449"/>
      <w:bookmarkStart w:id="1023" w:name="_Toc67567545"/>
      <w:bookmarkStart w:id="1024" w:name="_Toc67568538"/>
      <w:bookmarkStart w:id="1025" w:name="_Toc67571807"/>
      <w:bookmarkStart w:id="1026" w:name="_Toc67572829"/>
      <w:bookmarkStart w:id="1027" w:name="_Toc67573419"/>
      <w:bookmarkStart w:id="1028" w:name="_Toc69380787"/>
      <w:bookmarkStart w:id="1029" w:name="_Toc69382026"/>
      <w:bookmarkStart w:id="1030" w:name="_Toc69389903"/>
      <w:bookmarkStart w:id="1031" w:name="_Toc69393576"/>
      <w:bookmarkStart w:id="1032" w:name="_Toc69410742"/>
      <w:bookmarkStart w:id="1033" w:name="_Toc69410980"/>
      <w:bookmarkStart w:id="1034" w:name="_Toc69918752"/>
      <w:bookmarkStart w:id="1035" w:name="_Toc69922982"/>
      <w:bookmarkStart w:id="1036" w:name="_Toc160535994"/>
      <w:bookmarkStart w:id="1037" w:name="_Toc160575617"/>
      <w:bookmarkStart w:id="1038" w:name="_Toc160576826"/>
      <w:bookmarkStart w:id="1039" w:name="_Toc164251528"/>
      <w:bookmarkStart w:id="1040" w:name="_Toc168469297"/>
      <w:bookmarkStart w:id="1041" w:name="_Toc168469484"/>
      <w:bookmarkStart w:id="1042" w:name="_Toc202341272"/>
      <w:bookmarkStart w:id="1043" w:name="_Toc202449723"/>
      <w:bookmarkStart w:id="1044" w:name="_Toc202455370"/>
      <w:bookmarkStart w:id="1045" w:name="_Toc202456947"/>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p>
    <w:p w14:paraId="5618F60E" w14:textId="77777777" w:rsidR="006A3DBC" w:rsidRPr="00FA4B2D" w:rsidRDefault="006A3DBC" w:rsidP="006A3DBC">
      <w:pPr>
        <w:pStyle w:val="Prrafodelista"/>
        <w:keepNext/>
        <w:keepLines/>
        <w:numPr>
          <w:ilvl w:val="0"/>
          <w:numId w:val="34"/>
        </w:numPr>
        <w:spacing w:after="0" w:line="240" w:lineRule="auto"/>
        <w:contextualSpacing w:val="0"/>
        <w:jc w:val="both"/>
        <w:outlineLvl w:val="1"/>
        <w:rPr>
          <w:rFonts w:eastAsiaTheme="majorEastAsia" w:cs="Arial"/>
          <w:b/>
          <w:bCs/>
          <w:vanish/>
        </w:rPr>
      </w:pPr>
      <w:bookmarkStart w:id="1046" w:name="_Toc67564431"/>
      <w:bookmarkStart w:id="1047" w:name="_Toc67567161"/>
      <w:bookmarkStart w:id="1048" w:name="_Toc67567450"/>
      <w:bookmarkStart w:id="1049" w:name="_Toc67567546"/>
      <w:bookmarkStart w:id="1050" w:name="_Toc67568539"/>
      <w:bookmarkStart w:id="1051" w:name="_Toc67571808"/>
      <w:bookmarkStart w:id="1052" w:name="_Toc67572830"/>
      <w:bookmarkStart w:id="1053" w:name="_Toc67573420"/>
      <w:bookmarkStart w:id="1054" w:name="_Toc69380788"/>
      <w:bookmarkStart w:id="1055" w:name="_Toc69382027"/>
      <w:bookmarkStart w:id="1056" w:name="_Toc69389904"/>
      <w:bookmarkStart w:id="1057" w:name="_Toc69393577"/>
      <w:bookmarkStart w:id="1058" w:name="_Toc69410743"/>
      <w:bookmarkStart w:id="1059" w:name="_Toc69410981"/>
      <w:bookmarkStart w:id="1060" w:name="_Toc69918753"/>
      <w:bookmarkStart w:id="1061" w:name="_Toc69922983"/>
      <w:bookmarkStart w:id="1062" w:name="_Toc160535995"/>
      <w:bookmarkStart w:id="1063" w:name="_Toc160575618"/>
      <w:bookmarkStart w:id="1064" w:name="_Toc160576827"/>
      <w:bookmarkStart w:id="1065" w:name="_Toc164251529"/>
      <w:bookmarkStart w:id="1066" w:name="_Toc168469298"/>
      <w:bookmarkStart w:id="1067" w:name="_Toc168469485"/>
      <w:bookmarkStart w:id="1068" w:name="_Toc202341273"/>
      <w:bookmarkStart w:id="1069" w:name="_Toc202449724"/>
      <w:bookmarkStart w:id="1070" w:name="_Toc202455371"/>
      <w:bookmarkStart w:id="1071" w:name="_Toc202456948"/>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p>
    <w:p w14:paraId="16A46D7A" w14:textId="77777777" w:rsidR="006A3DBC" w:rsidRPr="00FA4B2D" w:rsidRDefault="006A3DBC" w:rsidP="006A3DBC">
      <w:pPr>
        <w:pStyle w:val="Prrafodelista"/>
        <w:keepNext/>
        <w:keepLines/>
        <w:numPr>
          <w:ilvl w:val="0"/>
          <w:numId w:val="34"/>
        </w:numPr>
        <w:spacing w:after="0" w:line="240" w:lineRule="auto"/>
        <w:contextualSpacing w:val="0"/>
        <w:jc w:val="both"/>
        <w:outlineLvl w:val="1"/>
        <w:rPr>
          <w:rFonts w:eastAsiaTheme="majorEastAsia" w:cs="Arial"/>
          <w:b/>
          <w:bCs/>
          <w:vanish/>
        </w:rPr>
      </w:pPr>
      <w:bookmarkStart w:id="1072" w:name="_Toc67564432"/>
      <w:bookmarkStart w:id="1073" w:name="_Toc67567162"/>
      <w:bookmarkStart w:id="1074" w:name="_Toc67567451"/>
      <w:bookmarkStart w:id="1075" w:name="_Toc67567547"/>
      <w:bookmarkStart w:id="1076" w:name="_Toc67568540"/>
      <w:bookmarkStart w:id="1077" w:name="_Toc67571809"/>
      <w:bookmarkStart w:id="1078" w:name="_Toc67572831"/>
      <w:bookmarkStart w:id="1079" w:name="_Toc67573421"/>
      <w:bookmarkStart w:id="1080" w:name="_Toc69380789"/>
      <w:bookmarkStart w:id="1081" w:name="_Toc69382028"/>
      <w:bookmarkStart w:id="1082" w:name="_Toc69389905"/>
      <w:bookmarkStart w:id="1083" w:name="_Toc69393578"/>
      <w:bookmarkStart w:id="1084" w:name="_Toc69410744"/>
      <w:bookmarkStart w:id="1085" w:name="_Toc69410982"/>
      <w:bookmarkStart w:id="1086" w:name="_Toc69918754"/>
      <w:bookmarkStart w:id="1087" w:name="_Toc69922984"/>
      <w:bookmarkStart w:id="1088" w:name="_Toc160535996"/>
      <w:bookmarkStart w:id="1089" w:name="_Toc160575619"/>
      <w:bookmarkStart w:id="1090" w:name="_Toc160576828"/>
      <w:bookmarkStart w:id="1091" w:name="_Toc164251530"/>
      <w:bookmarkStart w:id="1092" w:name="_Toc168469299"/>
      <w:bookmarkStart w:id="1093" w:name="_Toc168469486"/>
      <w:bookmarkStart w:id="1094" w:name="_Toc202341274"/>
      <w:bookmarkStart w:id="1095" w:name="_Toc202449725"/>
      <w:bookmarkStart w:id="1096" w:name="_Toc202455372"/>
      <w:bookmarkStart w:id="1097" w:name="_Toc202456949"/>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p>
    <w:p w14:paraId="3D08947F" w14:textId="77777777" w:rsidR="006A3DBC" w:rsidRPr="00FA4B2D" w:rsidRDefault="006A3DBC" w:rsidP="006A3DBC">
      <w:pPr>
        <w:pStyle w:val="Prrafodelista"/>
        <w:keepNext/>
        <w:keepLines/>
        <w:numPr>
          <w:ilvl w:val="0"/>
          <w:numId w:val="34"/>
        </w:numPr>
        <w:spacing w:after="0" w:line="240" w:lineRule="auto"/>
        <w:contextualSpacing w:val="0"/>
        <w:jc w:val="both"/>
        <w:outlineLvl w:val="1"/>
        <w:rPr>
          <w:rFonts w:eastAsiaTheme="majorEastAsia" w:cs="Arial"/>
          <w:b/>
          <w:bCs/>
          <w:vanish/>
        </w:rPr>
      </w:pPr>
      <w:bookmarkStart w:id="1098" w:name="_Toc67564433"/>
      <w:bookmarkStart w:id="1099" w:name="_Toc67567163"/>
      <w:bookmarkStart w:id="1100" w:name="_Toc67567452"/>
      <w:bookmarkStart w:id="1101" w:name="_Toc67567548"/>
      <w:bookmarkStart w:id="1102" w:name="_Toc67568541"/>
      <w:bookmarkStart w:id="1103" w:name="_Toc67571810"/>
      <w:bookmarkStart w:id="1104" w:name="_Toc67572832"/>
      <w:bookmarkStart w:id="1105" w:name="_Toc67573422"/>
      <w:bookmarkStart w:id="1106" w:name="_Toc69380790"/>
      <w:bookmarkStart w:id="1107" w:name="_Toc69382029"/>
      <w:bookmarkStart w:id="1108" w:name="_Toc69389906"/>
      <w:bookmarkStart w:id="1109" w:name="_Toc69393579"/>
      <w:bookmarkStart w:id="1110" w:name="_Toc69410745"/>
      <w:bookmarkStart w:id="1111" w:name="_Toc69410983"/>
      <w:bookmarkStart w:id="1112" w:name="_Toc69918755"/>
      <w:bookmarkStart w:id="1113" w:name="_Toc69922985"/>
      <w:bookmarkStart w:id="1114" w:name="_Toc160535997"/>
      <w:bookmarkStart w:id="1115" w:name="_Toc160575620"/>
      <w:bookmarkStart w:id="1116" w:name="_Toc160576829"/>
      <w:bookmarkStart w:id="1117" w:name="_Toc164251531"/>
      <w:bookmarkStart w:id="1118" w:name="_Toc168469300"/>
      <w:bookmarkStart w:id="1119" w:name="_Toc168469487"/>
      <w:bookmarkStart w:id="1120" w:name="_Toc202341275"/>
      <w:bookmarkStart w:id="1121" w:name="_Toc202449726"/>
      <w:bookmarkStart w:id="1122" w:name="_Toc202455373"/>
      <w:bookmarkStart w:id="1123" w:name="_Toc202456950"/>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p>
    <w:p w14:paraId="0D35A84D" w14:textId="77777777" w:rsidR="006A3DBC" w:rsidRPr="00FA4B2D" w:rsidRDefault="006A3DBC" w:rsidP="006A3DBC">
      <w:pPr>
        <w:pStyle w:val="Prrafodelista"/>
        <w:keepNext/>
        <w:keepLines/>
        <w:numPr>
          <w:ilvl w:val="0"/>
          <w:numId w:val="34"/>
        </w:numPr>
        <w:spacing w:after="0" w:line="240" w:lineRule="auto"/>
        <w:contextualSpacing w:val="0"/>
        <w:jc w:val="both"/>
        <w:outlineLvl w:val="1"/>
        <w:rPr>
          <w:rFonts w:eastAsiaTheme="majorEastAsia" w:cs="Arial"/>
          <w:b/>
          <w:bCs/>
          <w:vanish/>
        </w:rPr>
      </w:pPr>
      <w:bookmarkStart w:id="1124" w:name="_Toc67564434"/>
      <w:bookmarkStart w:id="1125" w:name="_Toc67567164"/>
      <w:bookmarkStart w:id="1126" w:name="_Toc67567453"/>
      <w:bookmarkStart w:id="1127" w:name="_Toc67567549"/>
      <w:bookmarkStart w:id="1128" w:name="_Toc67568542"/>
      <w:bookmarkStart w:id="1129" w:name="_Toc67571811"/>
      <w:bookmarkStart w:id="1130" w:name="_Toc67572833"/>
      <w:bookmarkStart w:id="1131" w:name="_Toc67573423"/>
      <w:bookmarkStart w:id="1132" w:name="_Toc69380791"/>
      <w:bookmarkStart w:id="1133" w:name="_Toc69382030"/>
      <w:bookmarkStart w:id="1134" w:name="_Toc69389907"/>
      <w:bookmarkStart w:id="1135" w:name="_Toc69393580"/>
      <w:bookmarkStart w:id="1136" w:name="_Toc69410746"/>
      <w:bookmarkStart w:id="1137" w:name="_Toc69410984"/>
      <w:bookmarkStart w:id="1138" w:name="_Toc69918756"/>
      <w:bookmarkStart w:id="1139" w:name="_Toc69922986"/>
      <w:bookmarkStart w:id="1140" w:name="_Toc160535998"/>
      <w:bookmarkStart w:id="1141" w:name="_Toc160575621"/>
      <w:bookmarkStart w:id="1142" w:name="_Toc160576830"/>
      <w:bookmarkStart w:id="1143" w:name="_Toc164251532"/>
      <w:bookmarkStart w:id="1144" w:name="_Toc168469301"/>
      <w:bookmarkStart w:id="1145" w:name="_Toc168469488"/>
      <w:bookmarkStart w:id="1146" w:name="_Toc202341276"/>
      <w:bookmarkStart w:id="1147" w:name="_Toc202449727"/>
      <w:bookmarkStart w:id="1148" w:name="_Toc202455374"/>
      <w:bookmarkStart w:id="1149" w:name="_Toc202456951"/>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p>
    <w:p w14:paraId="5E86557B" w14:textId="77777777" w:rsidR="006A3DBC" w:rsidRPr="00FA4B2D" w:rsidRDefault="006A3DBC" w:rsidP="006A3DBC">
      <w:pPr>
        <w:pStyle w:val="Prrafodelista"/>
        <w:keepNext/>
        <w:keepLines/>
        <w:numPr>
          <w:ilvl w:val="0"/>
          <w:numId w:val="34"/>
        </w:numPr>
        <w:spacing w:after="0" w:line="240" w:lineRule="auto"/>
        <w:contextualSpacing w:val="0"/>
        <w:jc w:val="both"/>
        <w:outlineLvl w:val="1"/>
        <w:rPr>
          <w:rFonts w:eastAsiaTheme="majorEastAsia" w:cs="Arial"/>
          <w:b/>
          <w:bCs/>
          <w:vanish/>
        </w:rPr>
      </w:pPr>
      <w:bookmarkStart w:id="1150" w:name="_Toc67564435"/>
      <w:bookmarkStart w:id="1151" w:name="_Toc67567165"/>
      <w:bookmarkStart w:id="1152" w:name="_Toc67567454"/>
      <w:bookmarkStart w:id="1153" w:name="_Toc67567550"/>
      <w:bookmarkStart w:id="1154" w:name="_Toc67568543"/>
      <w:bookmarkStart w:id="1155" w:name="_Toc67571812"/>
      <w:bookmarkStart w:id="1156" w:name="_Toc67572834"/>
      <w:bookmarkStart w:id="1157" w:name="_Toc67573424"/>
      <w:bookmarkStart w:id="1158" w:name="_Toc69380792"/>
      <w:bookmarkStart w:id="1159" w:name="_Toc69382031"/>
      <w:bookmarkStart w:id="1160" w:name="_Toc69389908"/>
      <w:bookmarkStart w:id="1161" w:name="_Toc69393581"/>
      <w:bookmarkStart w:id="1162" w:name="_Toc69410747"/>
      <w:bookmarkStart w:id="1163" w:name="_Toc69410985"/>
      <w:bookmarkStart w:id="1164" w:name="_Toc69918757"/>
      <w:bookmarkStart w:id="1165" w:name="_Toc69922987"/>
      <w:bookmarkStart w:id="1166" w:name="_Toc160535999"/>
      <w:bookmarkStart w:id="1167" w:name="_Toc160575622"/>
      <w:bookmarkStart w:id="1168" w:name="_Toc160576831"/>
      <w:bookmarkStart w:id="1169" w:name="_Toc164251533"/>
      <w:bookmarkStart w:id="1170" w:name="_Toc168469302"/>
      <w:bookmarkStart w:id="1171" w:name="_Toc168469489"/>
      <w:bookmarkStart w:id="1172" w:name="_Toc202341277"/>
      <w:bookmarkStart w:id="1173" w:name="_Toc202449728"/>
      <w:bookmarkStart w:id="1174" w:name="_Toc202455375"/>
      <w:bookmarkStart w:id="1175" w:name="_Toc202456952"/>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p>
    <w:p w14:paraId="628A42C6" w14:textId="77777777" w:rsidR="006A3DBC" w:rsidRPr="00FA4B2D" w:rsidRDefault="006A3DBC" w:rsidP="006A3DBC">
      <w:pPr>
        <w:pStyle w:val="Prrafodelista"/>
        <w:keepNext/>
        <w:keepLines/>
        <w:numPr>
          <w:ilvl w:val="0"/>
          <w:numId w:val="34"/>
        </w:numPr>
        <w:spacing w:after="0" w:line="240" w:lineRule="auto"/>
        <w:contextualSpacing w:val="0"/>
        <w:jc w:val="both"/>
        <w:outlineLvl w:val="1"/>
        <w:rPr>
          <w:rFonts w:eastAsiaTheme="majorEastAsia" w:cs="Arial"/>
          <w:b/>
          <w:bCs/>
          <w:vanish/>
        </w:rPr>
      </w:pPr>
      <w:bookmarkStart w:id="1176" w:name="_Toc67564436"/>
      <w:bookmarkStart w:id="1177" w:name="_Toc67567166"/>
      <w:bookmarkStart w:id="1178" w:name="_Toc67567455"/>
      <w:bookmarkStart w:id="1179" w:name="_Toc67567551"/>
      <w:bookmarkStart w:id="1180" w:name="_Toc67568544"/>
      <w:bookmarkStart w:id="1181" w:name="_Toc67571813"/>
      <w:bookmarkStart w:id="1182" w:name="_Toc67572835"/>
      <w:bookmarkStart w:id="1183" w:name="_Toc67573425"/>
      <w:bookmarkStart w:id="1184" w:name="_Toc69380793"/>
      <w:bookmarkStart w:id="1185" w:name="_Toc69382032"/>
      <w:bookmarkStart w:id="1186" w:name="_Toc69389909"/>
      <w:bookmarkStart w:id="1187" w:name="_Toc69393582"/>
      <w:bookmarkStart w:id="1188" w:name="_Toc69410748"/>
      <w:bookmarkStart w:id="1189" w:name="_Toc69410986"/>
      <w:bookmarkStart w:id="1190" w:name="_Toc69918758"/>
      <w:bookmarkStart w:id="1191" w:name="_Toc69922988"/>
      <w:bookmarkStart w:id="1192" w:name="_Toc160536000"/>
      <w:bookmarkStart w:id="1193" w:name="_Toc160575623"/>
      <w:bookmarkStart w:id="1194" w:name="_Toc160576832"/>
      <w:bookmarkStart w:id="1195" w:name="_Toc164251534"/>
      <w:bookmarkStart w:id="1196" w:name="_Toc168469303"/>
      <w:bookmarkStart w:id="1197" w:name="_Toc168469490"/>
      <w:bookmarkStart w:id="1198" w:name="_Toc202341278"/>
      <w:bookmarkStart w:id="1199" w:name="_Toc202449729"/>
      <w:bookmarkStart w:id="1200" w:name="_Toc202455376"/>
      <w:bookmarkStart w:id="1201" w:name="_Toc202456953"/>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p>
    <w:p w14:paraId="6D307FC4" w14:textId="77777777" w:rsidR="006A3DBC" w:rsidRPr="00FA4B2D" w:rsidRDefault="006A3DBC" w:rsidP="006A3DBC">
      <w:pPr>
        <w:pStyle w:val="Ttulo2"/>
        <w:numPr>
          <w:ilvl w:val="1"/>
          <w:numId w:val="34"/>
        </w:numPr>
        <w:spacing w:before="0" w:line="240" w:lineRule="auto"/>
        <w:jc w:val="both"/>
        <w:rPr>
          <w:rFonts w:ascii="Arial" w:hAnsi="Arial" w:cs="Arial"/>
          <w:b/>
          <w:bCs/>
          <w:color w:val="767171" w:themeColor="background2" w:themeShade="80"/>
          <w:sz w:val="22"/>
          <w:szCs w:val="22"/>
        </w:rPr>
      </w:pPr>
      <w:bookmarkStart w:id="1202" w:name="_Toc67573426"/>
      <w:bookmarkStart w:id="1203" w:name="_Toc202456954"/>
      <w:r w:rsidRPr="00FA4B2D">
        <w:rPr>
          <w:rFonts w:ascii="Arial" w:hAnsi="Arial" w:cs="Arial"/>
          <w:b/>
          <w:bCs/>
          <w:color w:val="767171" w:themeColor="background2" w:themeShade="80"/>
          <w:sz w:val="22"/>
          <w:szCs w:val="22"/>
        </w:rPr>
        <w:t>Licenciamiento ambiental de subproyectos</w:t>
      </w:r>
      <w:bookmarkEnd w:id="1019"/>
      <w:bookmarkEnd w:id="1202"/>
      <w:r w:rsidRPr="00FA4B2D">
        <w:rPr>
          <w:rFonts w:ascii="Arial" w:hAnsi="Arial" w:cs="Arial"/>
          <w:b/>
          <w:bCs/>
          <w:color w:val="767171" w:themeColor="background2" w:themeShade="80"/>
          <w:sz w:val="22"/>
          <w:szCs w:val="22"/>
        </w:rPr>
        <w:t>, obras o actividades</w:t>
      </w:r>
      <w:bookmarkEnd w:id="1203"/>
    </w:p>
    <w:p w14:paraId="78A27A3C" w14:textId="77777777" w:rsidR="006A3DBC" w:rsidRPr="00FA4B2D" w:rsidRDefault="006A3DBC" w:rsidP="006A3DBC">
      <w:pPr>
        <w:spacing w:after="0" w:line="240" w:lineRule="auto"/>
        <w:jc w:val="both"/>
        <w:rPr>
          <w:rFonts w:cs="Arial"/>
        </w:rPr>
      </w:pPr>
    </w:p>
    <w:p w14:paraId="0C384FB4" w14:textId="296D7970" w:rsidR="006A3DBC" w:rsidRPr="00FA4B2D" w:rsidRDefault="006A3DBC" w:rsidP="006A3DBC">
      <w:pPr>
        <w:spacing w:after="0" w:line="240" w:lineRule="auto"/>
        <w:jc w:val="both"/>
        <w:rPr>
          <w:rFonts w:cs="Arial"/>
        </w:rPr>
      </w:pPr>
      <w:r w:rsidRPr="00FA4B2D">
        <w:rPr>
          <w:rFonts w:cs="Arial"/>
        </w:rPr>
        <w:t xml:space="preserve">De conformidad con las disposiciones del Reglamento del SINEIA y sus reformas, en Honduras, el requerimiento de gestionar Licencia Ambiental para un proyecto, obra o actividad depende de su categorización ambiental. La categorización es realizada oficialmente por la DECA en SERNA y por municipalidades autorizadas con facultad en el Decreto No. 181-2007. </w:t>
      </w:r>
    </w:p>
    <w:p w14:paraId="67566243" w14:textId="77777777" w:rsidR="006A3DBC" w:rsidRPr="00FA4B2D" w:rsidRDefault="006A3DBC" w:rsidP="006A3DBC">
      <w:pPr>
        <w:spacing w:after="0" w:line="240" w:lineRule="auto"/>
        <w:jc w:val="both"/>
        <w:rPr>
          <w:rFonts w:cs="Arial"/>
        </w:rPr>
      </w:pPr>
    </w:p>
    <w:p w14:paraId="7804952E" w14:textId="77777777" w:rsidR="006A3DBC" w:rsidRPr="00FA4B2D" w:rsidRDefault="006A3DBC" w:rsidP="006A3DBC">
      <w:pPr>
        <w:spacing w:after="0" w:line="240" w:lineRule="auto"/>
        <w:jc w:val="both"/>
        <w:rPr>
          <w:rFonts w:cs="Arial"/>
        </w:rPr>
      </w:pPr>
      <w:r w:rsidRPr="00FA4B2D">
        <w:rPr>
          <w:rFonts w:cs="Arial"/>
        </w:rPr>
        <w:t>Los proyectos, obras o actividades se ordenan de forma taxativa en una Tabla de Categorización Ambiental que toma como referencia, según su última revisión el Estándar Internacional del Sistema CIIU (Código Internacional Industrial Uniforme) de todas las actividades productivas. Conforme a la Tabla actual de Categorización Ambiental, los proyectos, obras o actividades son categorizados en cuatro categorías ambientales, 1, 2, 3 y 4, en orden creciente de potencial de impacto o riesgo ambiental (Categoría 1: Bajo impacto ambiental potencial o riesgo ambiental, Categoría 4: Muy Alto impacto ambiental potencial o riesgo ambiental). Además, se consideran obras o actividades con impactos y riesgos por debajo de la Categoría 1 (“Muy Bajo impacto ambiental potencial o de Muy Bajo riesgo ambiental”), pero no se las llegan a nombrar una categoría.</w:t>
      </w:r>
    </w:p>
    <w:p w14:paraId="62DBF4AE" w14:textId="77777777" w:rsidR="006A3DBC" w:rsidRPr="00FA4B2D" w:rsidRDefault="006A3DBC" w:rsidP="006A3DBC">
      <w:pPr>
        <w:spacing w:after="0" w:line="240" w:lineRule="auto"/>
        <w:jc w:val="both"/>
        <w:rPr>
          <w:rFonts w:cs="Arial"/>
        </w:rPr>
      </w:pPr>
    </w:p>
    <w:p w14:paraId="2B469180" w14:textId="77777777" w:rsidR="006A3DBC" w:rsidRPr="00FA4B2D" w:rsidRDefault="006A3DBC" w:rsidP="006A3DBC">
      <w:pPr>
        <w:spacing w:after="0" w:line="240" w:lineRule="auto"/>
        <w:jc w:val="both"/>
        <w:rPr>
          <w:rFonts w:cs="Arial"/>
        </w:rPr>
      </w:pPr>
    </w:p>
    <w:p w14:paraId="4D48B09E" w14:textId="77777777" w:rsidR="006A3DBC" w:rsidRPr="00FA4B2D" w:rsidRDefault="006A3DBC" w:rsidP="006A3DBC">
      <w:pPr>
        <w:spacing w:after="0" w:line="240" w:lineRule="auto"/>
        <w:jc w:val="both"/>
        <w:rPr>
          <w:rFonts w:cs="Arial"/>
        </w:rPr>
      </w:pPr>
    </w:p>
    <w:p w14:paraId="78AC846C" w14:textId="77777777" w:rsidR="006A3DBC" w:rsidRPr="00FA4B2D" w:rsidRDefault="006A3DBC" w:rsidP="006A3DBC">
      <w:pPr>
        <w:spacing w:after="0" w:line="240" w:lineRule="auto"/>
        <w:jc w:val="both"/>
        <w:rPr>
          <w:rFonts w:cs="Arial"/>
        </w:rPr>
      </w:pPr>
    </w:p>
    <w:p w14:paraId="0D611A13" w14:textId="77777777" w:rsidR="006A3DBC" w:rsidRPr="00FA4B2D" w:rsidRDefault="006A3DBC" w:rsidP="006A3DBC">
      <w:pPr>
        <w:spacing w:after="0" w:line="240" w:lineRule="auto"/>
        <w:jc w:val="both"/>
        <w:rPr>
          <w:rFonts w:cs="Arial"/>
        </w:rPr>
      </w:pPr>
    </w:p>
    <w:p w14:paraId="613201AC" w14:textId="77777777" w:rsidR="006A3DBC" w:rsidRPr="00FA4B2D" w:rsidRDefault="006A3DBC" w:rsidP="006A3DBC">
      <w:pPr>
        <w:spacing w:after="0" w:line="240" w:lineRule="auto"/>
        <w:jc w:val="both"/>
        <w:rPr>
          <w:rFonts w:cs="Arial"/>
        </w:rPr>
      </w:pPr>
    </w:p>
    <w:p w14:paraId="56771B38" w14:textId="77777777" w:rsidR="006A3DBC" w:rsidRPr="00FA4B2D" w:rsidRDefault="006A3DBC" w:rsidP="006A3DBC">
      <w:pPr>
        <w:spacing w:after="0" w:line="240" w:lineRule="auto"/>
        <w:jc w:val="both"/>
        <w:rPr>
          <w:rFonts w:cs="Arial"/>
        </w:rPr>
      </w:pPr>
    </w:p>
    <w:p w14:paraId="325C1739" w14:textId="77777777" w:rsidR="006A3DBC" w:rsidRPr="00FA4B2D" w:rsidRDefault="006A3DBC" w:rsidP="006A3DBC">
      <w:pPr>
        <w:spacing w:after="0" w:line="240" w:lineRule="auto"/>
        <w:jc w:val="both"/>
        <w:rPr>
          <w:rFonts w:cs="Arial"/>
        </w:rPr>
      </w:pPr>
    </w:p>
    <w:p w14:paraId="11F3C46B" w14:textId="77777777" w:rsidR="006A3DBC" w:rsidRPr="00FA4B2D" w:rsidRDefault="006A3DBC" w:rsidP="006A3DBC">
      <w:pPr>
        <w:spacing w:after="0" w:line="240" w:lineRule="auto"/>
        <w:jc w:val="both"/>
        <w:rPr>
          <w:rFonts w:cs="Arial"/>
        </w:rPr>
      </w:pPr>
    </w:p>
    <w:p w14:paraId="0023C7AB" w14:textId="4B9185D8" w:rsidR="000E6D86" w:rsidRDefault="000E6D86" w:rsidP="000E6D86">
      <w:pPr>
        <w:pStyle w:val="Descripcin"/>
        <w:keepNext/>
      </w:pPr>
      <w:bookmarkStart w:id="1204" w:name="_Toc202455485"/>
      <w:r>
        <w:lastRenderedPageBreak/>
        <w:t xml:space="preserve">Tabla </w:t>
      </w:r>
      <w:r>
        <w:fldChar w:fldCharType="begin"/>
      </w:r>
      <w:r>
        <w:instrText xml:space="preserve"> SEQ Tabla \* ARABIC </w:instrText>
      </w:r>
      <w:r>
        <w:fldChar w:fldCharType="separate"/>
      </w:r>
      <w:r>
        <w:rPr>
          <w:noProof/>
        </w:rPr>
        <w:t>59</w:t>
      </w:r>
      <w:r>
        <w:fldChar w:fldCharType="end"/>
      </w:r>
      <w:r>
        <w:t xml:space="preserve">: </w:t>
      </w:r>
      <w:r w:rsidRPr="00451DA1">
        <w:t>Categorización según Normativa Nacional</w:t>
      </w:r>
      <w:bookmarkEnd w:id="1204"/>
    </w:p>
    <w:tbl>
      <w:tblPr>
        <w:tblStyle w:val="Tablaconcuadrcula"/>
        <w:tblW w:w="9468" w:type="dxa"/>
        <w:tblLook w:val="04A0" w:firstRow="1" w:lastRow="0" w:firstColumn="1" w:lastColumn="0" w:noHBand="0" w:noVBand="1"/>
      </w:tblPr>
      <w:tblGrid>
        <w:gridCol w:w="2418"/>
        <w:gridCol w:w="3323"/>
        <w:gridCol w:w="3727"/>
      </w:tblGrid>
      <w:tr w:rsidR="000E6D86" w:rsidRPr="000E6D86" w14:paraId="2290AC3D" w14:textId="77777777" w:rsidTr="00C24D0B">
        <w:trPr>
          <w:trHeight w:val="408"/>
          <w:tblHeader/>
        </w:trPr>
        <w:tc>
          <w:tcPr>
            <w:tcW w:w="2418" w:type="dxa"/>
            <w:shd w:val="clear" w:color="auto" w:fill="5CC5DA"/>
            <w:vAlign w:val="center"/>
          </w:tcPr>
          <w:p w14:paraId="686AFC12" w14:textId="77777777" w:rsidR="00C24D0B" w:rsidRPr="000E6D86" w:rsidRDefault="00C24D0B" w:rsidP="00C24D0B">
            <w:pPr>
              <w:jc w:val="center"/>
              <w:rPr>
                <w:rFonts w:cs="Arial"/>
                <w:b/>
                <w:sz w:val="18"/>
              </w:rPr>
            </w:pPr>
            <w:r w:rsidRPr="000E6D86">
              <w:rPr>
                <w:rFonts w:cs="Arial"/>
                <w:b/>
                <w:sz w:val="18"/>
              </w:rPr>
              <w:t>Categorización Nacional</w:t>
            </w:r>
          </w:p>
        </w:tc>
        <w:tc>
          <w:tcPr>
            <w:tcW w:w="3323" w:type="dxa"/>
            <w:shd w:val="clear" w:color="auto" w:fill="5CC5DA"/>
            <w:vAlign w:val="center"/>
          </w:tcPr>
          <w:p w14:paraId="6B553EAA" w14:textId="77777777" w:rsidR="00C24D0B" w:rsidRPr="000E6D86" w:rsidRDefault="00C24D0B" w:rsidP="00C24D0B">
            <w:pPr>
              <w:jc w:val="center"/>
              <w:rPr>
                <w:rFonts w:cs="Arial"/>
                <w:b/>
                <w:sz w:val="18"/>
              </w:rPr>
            </w:pPr>
            <w:r w:rsidRPr="000E6D86">
              <w:rPr>
                <w:rFonts w:cs="Arial"/>
                <w:b/>
                <w:sz w:val="18"/>
              </w:rPr>
              <w:t>Contenido</w:t>
            </w:r>
          </w:p>
        </w:tc>
        <w:tc>
          <w:tcPr>
            <w:tcW w:w="3727" w:type="dxa"/>
            <w:shd w:val="clear" w:color="auto" w:fill="5CC5DA"/>
            <w:vAlign w:val="center"/>
          </w:tcPr>
          <w:p w14:paraId="4051F0D3" w14:textId="77777777" w:rsidR="00C24D0B" w:rsidRPr="000E6D86" w:rsidRDefault="00C24D0B" w:rsidP="00C24D0B">
            <w:pPr>
              <w:jc w:val="center"/>
              <w:rPr>
                <w:rFonts w:cs="Arial"/>
                <w:b/>
                <w:sz w:val="18"/>
              </w:rPr>
            </w:pPr>
            <w:r w:rsidRPr="000E6D86">
              <w:rPr>
                <w:rFonts w:cs="Arial"/>
                <w:b/>
                <w:sz w:val="18"/>
              </w:rPr>
              <w:t>Procedimiento</w:t>
            </w:r>
          </w:p>
        </w:tc>
      </w:tr>
      <w:tr w:rsidR="000E6D86" w:rsidRPr="000E6D86" w14:paraId="6CED17FF" w14:textId="77777777" w:rsidTr="00C24D0B">
        <w:trPr>
          <w:trHeight w:val="2243"/>
        </w:trPr>
        <w:tc>
          <w:tcPr>
            <w:tcW w:w="2418" w:type="dxa"/>
            <w:vAlign w:val="center"/>
          </w:tcPr>
          <w:p w14:paraId="232C74FB" w14:textId="77777777" w:rsidR="00C24D0B" w:rsidRPr="000E6D86" w:rsidRDefault="00C24D0B" w:rsidP="000A703C">
            <w:pPr>
              <w:jc w:val="center"/>
              <w:rPr>
                <w:rFonts w:cs="Arial"/>
                <w:b/>
                <w:sz w:val="18"/>
              </w:rPr>
            </w:pPr>
            <w:r w:rsidRPr="000E6D86">
              <w:rPr>
                <w:rFonts w:cs="Arial"/>
                <w:b/>
                <w:sz w:val="18"/>
              </w:rPr>
              <w:t>Categoría 1</w:t>
            </w:r>
          </w:p>
        </w:tc>
        <w:tc>
          <w:tcPr>
            <w:tcW w:w="3323" w:type="dxa"/>
            <w:vAlign w:val="center"/>
          </w:tcPr>
          <w:p w14:paraId="2808188F" w14:textId="07FA3179" w:rsidR="007148BC" w:rsidRPr="000E6D86" w:rsidRDefault="00C24D0B" w:rsidP="00C24D0B">
            <w:pPr>
              <w:jc w:val="both"/>
              <w:rPr>
                <w:rFonts w:cs="Arial"/>
                <w:sz w:val="18"/>
              </w:rPr>
            </w:pPr>
            <w:r w:rsidRPr="000E6D86">
              <w:rPr>
                <w:rFonts w:cs="Arial"/>
                <w:sz w:val="18"/>
              </w:rPr>
              <w:t xml:space="preserve">Corresponde a proyectos, obras o actividades consideradas de Bajo Impacto Ambiental Potencial o Bajo Riesgo Ambiental (y Social). </w:t>
            </w:r>
          </w:p>
          <w:p w14:paraId="394D0E54" w14:textId="77777777" w:rsidR="007148BC" w:rsidRPr="000E6D86" w:rsidRDefault="007148BC" w:rsidP="00C24D0B">
            <w:pPr>
              <w:jc w:val="both"/>
              <w:rPr>
                <w:rFonts w:cs="Arial"/>
                <w:sz w:val="18"/>
              </w:rPr>
            </w:pPr>
          </w:p>
          <w:p w14:paraId="7B908C55" w14:textId="707B1D54" w:rsidR="00C24D0B" w:rsidRPr="000E6D86" w:rsidRDefault="00C24D0B" w:rsidP="00C24D0B">
            <w:pPr>
              <w:jc w:val="both"/>
              <w:rPr>
                <w:rFonts w:cs="Arial"/>
                <w:sz w:val="18"/>
              </w:rPr>
            </w:pPr>
            <w:r w:rsidRPr="000E6D86">
              <w:rPr>
                <w:rFonts w:cs="Arial"/>
                <w:sz w:val="18"/>
              </w:rPr>
              <w:t>Las actividades, obras o proyectos cuyas dimensiones según el parámetro utilizado, se encuentren por debajo de la Categoría 1, corresponden a las actividades calificadas como de Muy Bajo Impacto Ambiental Potencial o de Muy Bajo Riesgo Ambiental</w:t>
            </w:r>
            <w:r w:rsidR="00B310BA" w:rsidRPr="000E6D86">
              <w:rPr>
                <w:rFonts w:cs="Arial"/>
                <w:sz w:val="18"/>
              </w:rPr>
              <w:t>.</w:t>
            </w:r>
          </w:p>
        </w:tc>
        <w:tc>
          <w:tcPr>
            <w:tcW w:w="3727" w:type="dxa"/>
            <w:vAlign w:val="center"/>
          </w:tcPr>
          <w:p w14:paraId="7662A029" w14:textId="22CC8194" w:rsidR="00C24D0B" w:rsidRPr="000E6D86" w:rsidRDefault="00A76FAA" w:rsidP="00C24D0B">
            <w:pPr>
              <w:jc w:val="both"/>
              <w:rPr>
                <w:rFonts w:cs="Arial"/>
                <w:sz w:val="18"/>
              </w:rPr>
            </w:pPr>
            <w:r w:rsidRPr="000E6D86">
              <w:rPr>
                <w:rFonts w:cs="Arial"/>
                <w:sz w:val="18"/>
              </w:rPr>
              <w:t>T</w:t>
            </w:r>
            <w:r w:rsidR="00C24D0B" w:rsidRPr="000E6D86">
              <w:rPr>
                <w:rFonts w:cs="Arial"/>
                <w:sz w:val="18"/>
              </w:rPr>
              <w:t xml:space="preserve">odos aquellos proyectos, obras o actividades que por su naturaleza estén por debajo de Categoría 1, </w:t>
            </w:r>
            <w:r w:rsidR="00CC48C1" w:rsidRPr="000E6D86">
              <w:rPr>
                <w:rFonts w:cs="Arial"/>
                <w:sz w:val="18"/>
              </w:rPr>
              <w:t xml:space="preserve">no </w:t>
            </w:r>
            <w:r w:rsidR="000D6ED2" w:rsidRPr="000E6D86">
              <w:rPr>
                <w:rFonts w:cs="Arial"/>
                <w:sz w:val="18"/>
              </w:rPr>
              <w:t>estarán sujetos</w:t>
            </w:r>
            <w:r w:rsidR="00CC48C1" w:rsidRPr="000E6D86">
              <w:rPr>
                <w:rFonts w:cs="Arial"/>
                <w:sz w:val="18"/>
              </w:rPr>
              <w:t xml:space="preserve"> </w:t>
            </w:r>
            <w:r w:rsidR="0062506D" w:rsidRPr="000E6D86">
              <w:rPr>
                <w:rFonts w:cs="Arial"/>
                <w:sz w:val="18"/>
              </w:rPr>
              <w:t xml:space="preserve">a cumplir </w:t>
            </w:r>
            <w:r w:rsidR="00CC48C1" w:rsidRPr="000E6D86">
              <w:rPr>
                <w:rFonts w:cs="Arial"/>
                <w:sz w:val="18"/>
              </w:rPr>
              <w:t>trámite</w:t>
            </w:r>
            <w:r w:rsidR="0062506D" w:rsidRPr="000E6D86">
              <w:rPr>
                <w:rFonts w:cs="Arial"/>
                <w:sz w:val="18"/>
              </w:rPr>
              <w:t>s</w:t>
            </w:r>
            <w:r w:rsidR="00CC48C1" w:rsidRPr="000E6D86">
              <w:rPr>
                <w:rFonts w:cs="Arial"/>
                <w:sz w:val="18"/>
              </w:rPr>
              <w:t xml:space="preserve"> de </w:t>
            </w:r>
            <w:r w:rsidR="0062506D" w:rsidRPr="000E6D86">
              <w:rPr>
                <w:rFonts w:cs="Arial"/>
                <w:sz w:val="18"/>
              </w:rPr>
              <w:t>Licencia</w:t>
            </w:r>
            <w:r w:rsidR="00CC48C1" w:rsidRPr="000E6D86">
              <w:rPr>
                <w:rFonts w:cs="Arial"/>
                <w:sz w:val="18"/>
              </w:rPr>
              <w:t xml:space="preserve"> Ambiental</w:t>
            </w:r>
            <w:r w:rsidR="000A5680" w:rsidRPr="000E6D86">
              <w:rPr>
                <w:rFonts w:cs="Arial"/>
                <w:sz w:val="18"/>
              </w:rPr>
              <w:t xml:space="preserve">; sin embargo, </w:t>
            </w:r>
            <w:r w:rsidR="00C24D0B" w:rsidRPr="000E6D86">
              <w:rPr>
                <w:rFonts w:cs="Arial"/>
                <w:sz w:val="18"/>
              </w:rPr>
              <w:t>a petición de la parte interesada, SERNA extenderá Constancia de No Requerir Licencia Ambiental</w:t>
            </w:r>
            <w:r w:rsidR="00F71D5D" w:rsidRPr="000E6D86">
              <w:rPr>
                <w:rFonts w:cs="Arial"/>
                <w:sz w:val="18"/>
              </w:rPr>
              <w:t>, s</w:t>
            </w:r>
            <w:r w:rsidR="00C24D0B" w:rsidRPr="000E6D86">
              <w:rPr>
                <w:rFonts w:cs="Arial"/>
                <w:sz w:val="18"/>
              </w:rPr>
              <w:t>alvo que se localicen dentro de un área ambientalmente frágil que implica un ascenso automático a la Categoría inmediata superior, debiendo aplicar por tanto los procedimientos de Evaluación de Impacto Ambiental que señala la reglamentación vigente.</w:t>
            </w:r>
          </w:p>
          <w:p w14:paraId="40A74ACB" w14:textId="77777777" w:rsidR="00C24D0B" w:rsidRPr="000E6D86" w:rsidRDefault="00C24D0B" w:rsidP="00C24D0B">
            <w:pPr>
              <w:jc w:val="both"/>
              <w:rPr>
                <w:rFonts w:cs="Arial"/>
                <w:sz w:val="18"/>
              </w:rPr>
            </w:pPr>
          </w:p>
        </w:tc>
      </w:tr>
      <w:tr w:rsidR="000E6D86" w:rsidRPr="000E6D86" w14:paraId="407CD130" w14:textId="77777777" w:rsidTr="00C24D0B">
        <w:trPr>
          <w:trHeight w:val="142"/>
        </w:trPr>
        <w:tc>
          <w:tcPr>
            <w:tcW w:w="2418" w:type="dxa"/>
            <w:vAlign w:val="center"/>
          </w:tcPr>
          <w:p w14:paraId="5EBE9210" w14:textId="77777777" w:rsidR="00C24D0B" w:rsidRPr="000E6D86" w:rsidRDefault="00C24D0B" w:rsidP="000A703C">
            <w:pPr>
              <w:jc w:val="center"/>
              <w:rPr>
                <w:rFonts w:cs="Arial"/>
                <w:b/>
                <w:sz w:val="18"/>
              </w:rPr>
            </w:pPr>
            <w:r w:rsidRPr="000E6D86">
              <w:rPr>
                <w:rFonts w:cs="Arial"/>
                <w:b/>
                <w:sz w:val="18"/>
              </w:rPr>
              <w:t>Categoría 2</w:t>
            </w:r>
          </w:p>
        </w:tc>
        <w:tc>
          <w:tcPr>
            <w:tcW w:w="3323" w:type="dxa"/>
            <w:vAlign w:val="center"/>
          </w:tcPr>
          <w:p w14:paraId="4FF6568A" w14:textId="25D551D2" w:rsidR="00C24D0B" w:rsidRPr="000E6D86" w:rsidRDefault="00C24D0B" w:rsidP="00C24D0B">
            <w:pPr>
              <w:jc w:val="both"/>
              <w:rPr>
                <w:rFonts w:cs="Arial"/>
                <w:sz w:val="18"/>
              </w:rPr>
            </w:pPr>
            <w:r w:rsidRPr="000E6D86">
              <w:rPr>
                <w:rFonts w:cs="Arial"/>
                <w:sz w:val="18"/>
              </w:rPr>
              <w:t>Corresponde a proyectos, obras o actividades consideradas de Moderado Impacto Ambiental Potencial o Moderado Riesgo Ambiental.</w:t>
            </w:r>
          </w:p>
        </w:tc>
        <w:tc>
          <w:tcPr>
            <w:tcW w:w="3727" w:type="dxa"/>
            <w:vAlign w:val="center"/>
          </w:tcPr>
          <w:p w14:paraId="3862C719" w14:textId="7C606BE3" w:rsidR="00C24D0B" w:rsidRPr="000E6D86" w:rsidRDefault="00C24D0B" w:rsidP="00C24D0B">
            <w:pPr>
              <w:jc w:val="both"/>
              <w:rPr>
                <w:rFonts w:cs="Arial"/>
                <w:sz w:val="18"/>
              </w:rPr>
            </w:pPr>
            <w:r w:rsidRPr="000E6D86">
              <w:rPr>
                <w:rFonts w:cs="Arial"/>
                <w:sz w:val="18"/>
              </w:rPr>
              <w:t>Proyectos que se localicen dentro de un área ambientalmente frágil que implica un ascenso automático a la Categoría inmediata superior, debiendo aplicar por tanto los procedimientos de Evaluación de Impacto Ambiental que señala la reglamentación vigente.</w:t>
            </w:r>
          </w:p>
        </w:tc>
      </w:tr>
      <w:tr w:rsidR="000E6D86" w:rsidRPr="000E6D86" w14:paraId="206C041F" w14:textId="77777777" w:rsidTr="00C24D0B">
        <w:trPr>
          <w:trHeight w:val="142"/>
        </w:trPr>
        <w:tc>
          <w:tcPr>
            <w:tcW w:w="2418" w:type="dxa"/>
            <w:vAlign w:val="center"/>
          </w:tcPr>
          <w:p w14:paraId="0F7206BE" w14:textId="77777777" w:rsidR="00C24D0B" w:rsidRPr="000E6D86" w:rsidRDefault="00C24D0B" w:rsidP="000A703C">
            <w:pPr>
              <w:jc w:val="center"/>
              <w:rPr>
                <w:rFonts w:cs="Arial"/>
                <w:b/>
                <w:sz w:val="18"/>
              </w:rPr>
            </w:pPr>
            <w:r w:rsidRPr="000E6D86">
              <w:rPr>
                <w:rFonts w:cs="Arial"/>
                <w:b/>
                <w:sz w:val="18"/>
              </w:rPr>
              <w:t>Categoría 3</w:t>
            </w:r>
          </w:p>
        </w:tc>
        <w:tc>
          <w:tcPr>
            <w:tcW w:w="3323" w:type="dxa"/>
            <w:vAlign w:val="center"/>
          </w:tcPr>
          <w:p w14:paraId="24795482" w14:textId="45BF2E9E" w:rsidR="00C24D0B" w:rsidRPr="000E6D86" w:rsidRDefault="00C24D0B" w:rsidP="00C24D0B">
            <w:pPr>
              <w:jc w:val="both"/>
              <w:rPr>
                <w:rFonts w:cs="Arial"/>
                <w:sz w:val="18"/>
              </w:rPr>
            </w:pPr>
            <w:r w:rsidRPr="000E6D86">
              <w:rPr>
                <w:rFonts w:cs="Arial"/>
                <w:sz w:val="18"/>
              </w:rPr>
              <w:t>Corresponde a proyectos, obras o actividades consideradas de Alto Impacto Ambiental Potencial o Alto Riesgo Ambiental.</w:t>
            </w:r>
          </w:p>
        </w:tc>
        <w:tc>
          <w:tcPr>
            <w:tcW w:w="3727" w:type="dxa"/>
            <w:vAlign w:val="center"/>
          </w:tcPr>
          <w:p w14:paraId="5DABBC84" w14:textId="6E57C06A" w:rsidR="00C24D0B" w:rsidRPr="000E6D86" w:rsidRDefault="00C24D0B" w:rsidP="00C24D0B">
            <w:pPr>
              <w:jc w:val="both"/>
              <w:rPr>
                <w:rFonts w:cs="Arial"/>
                <w:sz w:val="18"/>
              </w:rPr>
            </w:pPr>
            <w:r w:rsidRPr="000E6D86">
              <w:rPr>
                <w:rFonts w:cs="Arial"/>
                <w:sz w:val="18"/>
              </w:rPr>
              <w:t xml:space="preserve">COMRURAL </w:t>
            </w:r>
            <w:r w:rsidR="003B2664" w:rsidRPr="000E6D86">
              <w:rPr>
                <w:rFonts w:cs="Arial"/>
                <w:sz w:val="18"/>
              </w:rPr>
              <w:t xml:space="preserve">III </w:t>
            </w:r>
            <w:r w:rsidRPr="000E6D86">
              <w:rPr>
                <w:rFonts w:cs="Arial"/>
                <w:sz w:val="18"/>
              </w:rPr>
              <w:t>promoverá y financiará PdNs de esta Categoría.</w:t>
            </w:r>
          </w:p>
        </w:tc>
      </w:tr>
      <w:tr w:rsidR="000E6D86" w:rsidRPr="000E6D86" w14:paraId="633BB242" w14:textId="77777777" w:rsidTr="00C24D0B">
        <w:trPr>
          <w:trHeight w:val="1637"/>
        </w:trPr>
        <w:tc>
          <w:tcPr>
            <w:tcW w:w="2418" w:type="dxa"/>
            <w:vAlign w:val="center"/>
          </w:tcPr>
          <w:p w14:paraId="6AE6EFE0" w14:textId="77777777" w:rsidR="00C24D0B" w:rsidRPr="000E6D86" w:rsidRDefault="00C24D0B" w:rsidP="000A703C">
            <w:pPr>
              <w:jc w:val="center"/>
              <w:rPr>
                <w:rFonts w:cs="Arial"/>
                <w:b/>
                <w:sz w:val="18"/>
              </w:rPr>
            </w:pPr>
            <w:r w:rsidRPr="000E6D86">
              <w:rPr>
                <w:rFonts w:cs="Arial"/>
                <w:b/>
                <w:sz w:val="18"/>
              </w:rPr>
              <w:t>Categoría 4</w:t>
            </w:r>
          </w:p>
        </w:tc>
        <w:tc>
          <w:tcPr>
            <w:tcW w:w="3323" w:type="dxa"/>
            <w:vAlign w:val="center"/>
          </w:tcPr>
          <w:p w14:paraId="457EBD21" w14:textId="458DC8E3" w:rsidR="00A25F52" w:rsidRPr="000E6D86" w:rsidRDefault="00C24D0B" w:rsidP="00C24D0B">
            <w:pPr>
              <w:jc w:val="both"/>
              <w:rPr>
                <w:rFonts w:cs="Arial"/>
                <w:sz w:val="18"/>
              </w:rPr>
            </w:pPr>
            <w:r w:rsidRPr="000E6D86">
              <w:rPr>
                <w:rFonts w:cs="Arial"/>
                <w:sz w:val="18"/>
              </w:rPr>
              <w:t xml:space="preserve">Corresponde a proyectos, obras o actividades consideradas de Muy Alto Impacto Ambiental Potencial o Muy Alto Riesgo Ambiental. </w:t>
            </w:r>
          </w:p>
          <w:p w14:paraId="71B1CDF7" w14:textId="77777777" w:rsidR="00A25F52" w:rsidRPr="000E6D86" w:rsidRDefault="00A25F52" w:rsidP="00C24D0B">
            <w:pPr>
              <w:jc w:val="both"/>
              <w:rPr>
                <w:rFonts w:cs="Arial"/>
                <w:sz w:val="18"/>
              </w:rPr>
            </w:pPr>
          </w:p>
          <w:p w14:paraId="388D63AE" w14:textId="61040146" w:rsidR="00C24D0B" w:rsidRPr="000E6D86" w:rsidRDefault="00C24D0B" w:rsidP="00C24D0B">
            <w:pPr>
              <w:jc w:val="both"/>
              <w:rPr>
                <w:rFonts w:cs="Arial"/>
                <w:sz w:val="18"/>
              </w:rPr>
            </w:pPr>
            <w:r w:rsidRPr="000E6D86">
              <w:rPr>
                <w:rFonts w:cs="Arial"/>
                <w:sz w:val="18"/>
              </w:rPr>
              <w:t>Los megaproyectos de desarrollo se consideran como parte de esta Categoría.</w:t>
            </w:r>
          </w:p>
        </w:tc>
        <w:tc>
          <w:tcPr>
            <w:tcW w:w="3727" w:type="dxa"/>
            <w:vAlign w:val="center"/>
          </w:tcPr>
          <w:p w14:paraId="2335D511" w14:textId="45DA34F3" w:rsidR="00C24D0B" w:rsidRPr="000E6D86" w:rsidRDefault="00C24D0B" w:rsidP="00C24D0B">
            <w:pPr>
              <w:jc w:val="both"/>
              <w:rPr>
                <w:rFonts w:cs="Arial"/>
                <w:sz w:val="18"/>
              </w:rPr>
            </w:pPr>
            <w:r w:rsidRPr="000E6D86">
              <w:rPr>
                <w:rFonts w:cs="Arial"/>
                <w:sz w:val="18"/>
              </w:rPr>
              <w:t xml:space="preserve">COMRURAL </w:t>
            </w:r>
            <w:r w:rsidR="003B2664" w:rsidRPr="000E6D86">
              <w:rPr>
                <w:rFonts w:cs="Arial"/>
                <w:sz w:val="18"/>
              </w:rPr>
              <w:t xml:space="preserve">III </w:t>
            </w:r>
            <w:r w:rsidRPr="000E6D86">
              <w:rPr>
                <w:rFonts w:cs="Arial"/>
                <w:sz w:val="18"/>
              </w:rPr>
              <w:t>no promoverá ni financiará PdNs de esta Categoría.</w:t>
            </w:r>
          </w:p>
        </w:tc>
      </w:tr>
    </w:tbl>
    <w:p w14:paraId="76F403CE" w14:textId="77777777" w:rsidR="006A3DBC" w:rsidRPr="00FA4B2D" w:rsidRDefault="006A3DBC" w:rsidP="006A3DBC">
      <w:pPr>
        <w:spacing w:after="0" w:line="240" w:lineRule="auto"/>
        <w:jc w:val="both"/>
        <w:rPr>
          <w:rFonts w:cs="Arial"/>
        </w:rPr>
      </w:pPr>
    </w:p>
    <w:p w14:paraId="0A42DF90" w14:textId="77777777" w:rsidR="006A3DBC" w:rsidRPr="00FA4B2D" w:rsidRDefault="006A3DBC" w:rsidP="006A3DBC">
      <w:pPr>
        <w:spacing w:after="0" w:line="240" w:lineRule="auto"/>
        <w:jc w:val="both"/>
        <w:rPr>
          <w:rFonts w:cs="Arial"/>
        </w:rPr>
      </w:pPr>
      <w:r w:rsidRPr="00FA4B2D">
        <w:rPr>
          <w:rFonts w:cs="Arial"/>
        </w:rPr>
        <w:t xml:space="preserve">Los proyectos, obras o actividades clasificados como de Categorías 1, 2, 3 y 4 en la Tabla de Categorización Ambiental estarán sujetos a cumplir trámite de Licencia Ambiental. </w:t>
      </w:r>
    </w:p>
    <w:p w14:paraId="4287562D" w14:textId="77777777" w:rsidR="006A3DBC" w:rsidRPr="00FA4B2D" w:rsidRDefault="006A3DBC" w:rsidP="006A3DBC">
      <w:pPr>
        <w:spacing w:after="0" w:line="240" w:lineRule="auto"/>
        <w:jc w:val="both"/>
        <w:rPr>
          <w:rFonts w:cs="Arial"/>
        </w:rPr>
      </w:pPr>
    </w:p>
    <w:p w14:paraId="5D01E565" w14:textId="420D65D0" w:rsidR="006A3DBC" w:rsidRPr="00FA4B2D" w:rsidRDefault="006A3DBC" w:rsidP="006A3DBC">
      <w:pPr>
        <w:spacing w:after="0" w:line="240" w:lineRule="auto"/>
        <w:jc w:val="both"/>
        <w:rPr>
          <w:rFonts w:cs="Arial"/>
        </w:rPr>
      </w:pPr>
      <w:r w:rsidRPr="00FA4B2D">
        <w:rPr>
          <w:rFonts w:cs="Arial"/>
        </w:rPr>
        <w:t xml:space="preserve">De acuerdo con esta categorización, </w:t>
      </w:r>
      <w:r w:rsidRPr="00FA4B2D">
        <w:rPr>
          <w:rFonts w:cs="Arial"/>
          <w:b/>
        </w:rPr>
        <w:t xml:space="preserve">COMRURAL </w:t>
      </w:r>
      <w:r w:rsidR="003B2664" w:rsidRPr="00FA4B2D">
        <w:rPr>
          <w:rFonts w:cs="Arial"/>
          <w:b/>
        </w:rPr>
        <w:t xml:space="preserve">III </w:t>
      </w:r>
      <w:r w:rsidRPr="00FA4B2D">
        <w:rPr>
          <w:rFonts w:cs="Arial"/>
          <w:b/>
        </w:rPr>
        <w:t>no promoverá ni financiará PdNs de Categoría ambiental 4 (Muy Alto) de la Tabla de Categorización Ambiental Nacional vigente</w:t>
      </w:r>
      <w:r w:rsidRPr="00FA4B2D">
        <w:rPr>
          <w:rFonts w:cs="Arial"/>
        </w:rPr>
        <w:t xml:space="preserve">, lo cual incluye también los impactos y riesgos sociales, debido a las implicaciones de alto impacto o riesgo ambiental, y los estudios requeridos, incluyendo la complejidad de obtener su licenciamiento ambiental. </w:t>
      </w:r>
    </w:p>
    <w:p w14:paraId="2CCA46DC" w14:textId="77777777" w:rsidR="006A3DBC" w:rsidRPr="00FA4B2D" w:rsidRDefault="006A3DBC" w:rsidP="006A3DBC">
      <w:pPr>
        <w:spacing w:after="0" w:line="240" w:lineRule="auto"/>
        <w:jc w:val="both"/>
        <w:rPr>
          <w:rFonts w:cs="Arial"/>
        </w:rPr>
      </w:pPr>
    </w:p>
    <w:p w14:paraId="670D205D" w14:textId="0A6F65D6" w:rsidR="006A3DBC" w:rsidRPr="00FA4B2D" w:rsidRDefault="006A3DBC" w:rsidP="006A3DBC">
      <w:pPr>
        <w:spacing w:after="0" w:line="240" w:lineRule="auto"/>
        <w:jc w:val="both"/>
        <w:rPr>
          <w:rFonts w:cs="Arial"/>
        </w:rPr>
      </w:pPr>
      <w:r w:rsidRPr="00FA4B2D">
        <w:rPr>
          <w:rFonts w:cs="Arial"/>
        </w:rPr>
        <w:t xml:space="preserve">Todos aquellos PdNs que estén por debajo de la Categoría 1, calificados como de muy bajo impacto ambiental </w:t>
      </w:r>
      <w:r w:rsidR="000D0F55" w:rsidRPr="00FA4B2D">
        <w:rPr>
          <w:rFonts w:cs="Arial"/>
        </w:rPr>
        <w:t xml:space="preserve">potencial </w:t>
      </w:r>
      <w:r w:rsidRPr="00FA4B2D">
        <w:rPr>
          <w:rFonts w:cs="Arial"/>
        </w:rPr>
        <w:t>o riesgo ambiental, no estarán sujetos a cumplir trámite de Licencia Ambiental</w:t>
      </w:r>
      <w:r w:rsidR="004870A2" w:rsidRPr="00FA4B2D">
        <w:rPr>
          <w:rFonts w:cs="Arial"/>
        </w:rPr>
        <w:t xml:space="preserve"> y a petición de la parte interesada, SERNA extenderá Constancia de No Requerir Licencia Ambiental</w:t>
      </w:r>
      <w:r w:rsidRPr="00FA4B2D">
        <w:rPr>
          <w:rFonts w:cs="Arial"/>
        </w:rPr>
        <w:t>; no obstante, deberán cumplir con la legislación soci</w:t>
      </w:r>
      <w:r w:rsidR="00AB2D90" w:rsidRPr="00FA4B2D">
        <w:rPr>
          <w:rFonts w:cs="Arial"/>
        </w:rPr>
        <w:t>o</w:t>
      </w:r>
      <w:r w:rsidRPr="00FA4B2D">
        <w:rPr>
          <w:rFonts w:cs="Arial"/>
        </w:rPr>
        <w:t xml:space="preserve">ambiental nacional vigente aplicable y los requisitos de los EASs relevantes del BM, proporcionales al tipo y la magnitud de las obras y de sus potenciales </w:t>
      </w:r>
      <w:r w:rsidR="00A47D81" w:rsidRPr="00FA4B2D">
        <w:rPr>
          <w:rFonts w:cs="Arial"/>
        </w:rPr>
        <w:t xml:space="preserve">riesgos e </w:t>
      </w:r>
      <w:r w:rsidRPr="00FA4B2D">
        <w:rPr>
          <w:rFonts w:cs="Arial"/>
        </w:rPr>
        <w:t>impactos socioambientales, incluyendo la preparación de un PGAS, y consultas con la población del área de influencia de los subproyectos.</w:t>
      </w:r>
    </w:p>
    <w:p w14:paraId="6B8C43CA" w14:textId="4C7C61B4" w:rsidR="006A3DBC" w:rsidRPr="00FA4B2D" w:rsidRDefault="006A3DBC" w:rsidP="006A3DBC">
      <w:pPr>
        <w:spacing w:after="0" w:line="240" w:lineRule="auto"/>
        <w:jc w:val="both"/>
        <w:rPr>
          <w:rFonts w:cs="Arial"/>
        </w:rPr>
      </w:pPr>
      <w:r w:rsidRPr="00FA4B2D">
        <w:rPr>
          <w:rFonts w:cs="Arial"/>
        </w:rPr>
        <w:lastRenderedPageBreak/>
        <w:t>Para el caso de proyectos, obras o actividades que no aparezcan en la Tabla de Categorización</w:t>
      </w:r>
      <w:r w:rsidR="007C0C03" w:rsidRPr="00FA4B2D">
        <w:rPr>
          <w:rFonts w:cs="Arial"/>
        </w:rPr>
        <w:t xml:space="preserve"> Ambiental</w:t>
      </w:r>
      <w:r w:rsidRPr="00FA4B2D">
        <w:rPr>
          <w:rFonts w:cs="Arial"/>
        </w:rPr>
        <w:t xml:space="preserve">, la SERNA podrá decidir la Categoría a la cual debe pertenecer, a través de la DECA, previa consulta formal por parte del interesado. </w:t>
      </w:r>
    </w:p>
    <w:p w14:paraId="266D7D14" w14:textId="77777777" w:rsidR="00C24D0B" w:rsidRPr="00FA4B2D" w:rsidRDefault="00C24D0B" w:rsidP="006A3DBC">
      <w:pPr>
        <w:spacing w:after="0" w:line="240" w:lineRule="auto"/>
        <w:jc w:val="both"/>
        <w:rPr>
          <w:rFonts w:cs="Arial"/>
        </w:rPr>
      </w:pPr>
    </w:p>
    <w:p w14:paraId="4DF1F89E" w14:textId="2EBB11F6" w:rsidR="000E6D86" w:rsidRDefault="000E6D86" w:rsidP="000E6D86">
      <w:pPr>
        <w:pStyle w:val="Descripcin"/>
        <w:keepNext/>
      </w:pPr>
      <w:bookmarkStart w:id="1205" w:name="_Toc202455486"/>
      <w:r>
        <w:t xml:space="preserve">Tabla </w:t>
      </w:r>
      <w:r>
        <w:fldChar w:fldCharType="begin"/>
      </w:r>
      <w:r>
        <w:instrText xml:space="preserve"> SEQ Tabla \* ARABIC </w:instrText>
      </w:r>
      <w:r>
        <w:fldChar w:fldCharType="separate"/>
      </w:r>
      <w:r>
        <w:rPr>
          <w:noProof/>
        </w:rPr>
        <w:t>60</w:t>
      </w:r>
      <w:r>
        <w:fldChar w:fldCharType="end"/>
      </w:r>
      <w:r>
        <w:t xml:space="preserve">: </w:t>
      </w:r>
      <w:r w:rsidRPr="002B4BD4">
        <w:t>Tipo de instrumento técnico de evaluación por categoría ambiental</w:t>
      </w:r>
      <w:bookmarkEnd w:id="1205"/>
    </w:p>
    <w:tbl>
      <w:tblPr>
        <w:tblStyle w:val="Tablaconcuadrcula"/>
        <w:tblW w:w="0" w:type="auto"/>
        <w:tblLook w:val="04A0" w:firstRow="1" w:lastRow="0" w:firstColumn="1" w:lastColumn="0" w:noHBand="0" w:noVBand="1"/>
      </w:tblPr>
      <w:tblGrid>
        <w:gridCol w:w="1818"/>
        <w:gridCol w:w="3847"/>
        <w:gridCol w:w="3241"/>
      </w:tblGrid>
      <w:tr w:rsidR="000E6D86" w:rsidRPr="000E6D86" w14:paraId="14B16923" w14:textId="77777777" w:rsidTr="00C24D0B">
        <w:tc>
          <w:tcPr>
            <w:tcW w:w="1818" w:type="dxa"/>
            <w:shd w:val="clear" w:color="auto" w:fill="5CC5DA"/>
            <w:vAlign w:val="center"/>
          </w:tcPr>
          <w:p w14:paraId="63416E57" w14:textId="77777777" w:rsidR="00C24D0B" w:rsidRPr="000E6D86" w:rsidRDefault="00C24D0B" w:rsidP="00C24D0B">
            <w:pPr>
              <w:jc w:val="center"/>
              <w:rPr>
                <w:rFonts w:cs="Arial"/>
                <w:b/>
                <w:bCs/>
                <w:sz w:val="20"/>
                <w:szCs w:val="20"/>
              </w:rPr>
            </w:pPr>
            <w:r w:rsidRPr="000E6D86">
              <w:rPr>
                <w:rFonts w:cs="Arial"/>
                <w:b/>
                <w:bCs/>
                <w:sz w:val="20"/>
                <w:szCs w:val="20"/>
              </w:rPr>
              <w:t>Categoria de Licenciamiento</w:t>
            </w:r>
          </w:p>
        </w:tc>
        <w:tc>
          <w:tcPr>
            <w:tcW w:w="3847" w:type="dxa"/>
            <w:shd w:val="clear" w:color="auto" w:fill="5CC5DA"/>
            <w:vAlign w:val="center"/>
          </w:tcPr>
          <w:p w14:paraId="6032F923" w14:textId="77777777" w:rsidR="00C24D0B" w:rsidRPr="000E6D86" w:rsidRDefault="00C24D0B" w:rsidP="00C24D0B">
            <w:pPr>
              <w:jc w:val="center"/>
              <w:rPr>
                <w:rFonts w:cs="Arial"/>
                <w:b/>
                <w:bCs/>
                <w:sz w:val="20"/>
                <w:szCs w:val="20"/>
              </w:rPr>
            </w:pPr>
            <w:r w:rsidRPr="000E6D86">
              <w:rPr>
                <w:rFonts w:cs="Arial"/>
                <w:b/>
                <w:bCs/>
                <w:sz w:val="20"/>
                <w:szCs w:val="20"/>
              </w:rPr>
              <w:t>Instrumento de evaluación ambiental para solicitud de licencia</w:t>
            </w:r>
          </w:p>
        </w:tc>
        <w:tc>
          <w:tcPr>
            <w:tcW w:w="3241" w:type="dxa"/>
            <w:shd w:val="clear" w:color="auto" w:fill="5CC5DA"/>
            <w:vAlign w:val="center"/>
          </w:tcPr>
          <w:p w14:paraId="1E8CA562" w14:textId="77777777" w:rsidR="00C24D0B" w:rsidRPr="000E6D86" w:rsidRDefault="00C24D0B" w:rsidP="00C24D0B">
            <w:pPr>
              <w:jc w:val="center"/>
              <w:rPr>
                <w:rFonts w:cs="Arial"/>
                <w:b/>
                <w:bCs/>
                <w:sz w:val="20"/>
                <w:szCs w:val="20"/>
              </w:rPr>
            </w:pPr>
            <w:r w:rsidRPr="000E6D86">
              <w:rPr>
                <w:rFonts w:cs="Arial"/>
                <w:b/>
                <w:bCs/>
                <w:sz w:val="20"/>
                <w:szCs w:val="20"/>
              </w:rPr>
              <w:t>Instrumento de evaluación ambiental para seguimiento y control ambiental</w:t>
            </w:r>
          </w:p>
        </w:tc>
      </w:tr>
      <w:tr w:rsidR="000E6D86" w:rsidRPr="000E6D86" w14:paraId="063A4802" w14:textId="77777777" w:rsidTr="00C24D0B">
        <w:tc>
          <w:tcPr>
            <w:tcW w:w="1818" w:type="dxa"/>
            <w:vAlign w:val="center"/>
          </w:tcPr>
          <w:p w14:paraId="751B1098" w14:textId="77777777" w:rsidR="00C24D0B" w:rsidRPr="000E6D86" w:rsidRDefault="00C24D0B" w:rsidP="00C24D0B">
            <w:pPr>
              <w:jc w:val="center"/>
              <w:rPr>
                <w:rFonts w:cs="Arial"/>
                <w:sz w:val="20"/>
                <w:szCs w:val="20"/>
              </w:rPr>
            </w:pPr>
            <w:r w:rsidRPr="000E6D86">
              <w:rPr>
                <w:rFonts w:cs="Arial"/>
                <w:sz w:val="20"/>
                <w:szCs w:val="20"/>
              </w:rPr>
              <w:t>Categoria 1</w:t>
            </w:r>
          </w:p>
        </w:tc>
        <w:tc>
          <w:tcPr>
            <w:tcW w:w="3847" w:type="dxa"/>
          </w:tcPr>
          <w:p w14:paraId="2A588FDB" w14:textId="3F3D4AED" w:rsidR="00C24D0B" w:rsidRPr="000E6D86" w:rsidRDefault="00C24D0B" w:rsidP="00411720">
            <w:pPr>
              <w:pStyle w:val="Prrafodelista"/>
              <w:numPr>
                <w:ilvl w:val="0"/>
                <w:numId w:val="118"/>
              </w:numPr>
              <w:jc w:val="both"/>
              <w:rPr>
                <w:rFonts w:cs="Arial"/>
                <w:sz w:val="20"/>
                <w:szCs w:val="20"/>
              </w:rPr>
            </w:pPr>
            <w:r w:rsidRPr="000E6D86">
              <w:rPr>
                <w:rFonts w:cs="Arial"/>
                <w:sz w:val="20"/>
                <w:szCs w:val="20"/>
              </w:rPr>
              <w:t>Memoria Técnica Ambiental</w:t>
            </w:r>
            <w:r w:rsidR="002E10D3" w:rsidRPr="000E6D86">
              <w:rPr>
                <w:rFonts w:cs="Arial"/>
                <w:sz w:val="20"/>
                <w:szCs w:val="20"/>
              </w:rPr>
              <w:t>.</w:t>
            </w:r>
          </w:p>
          <w:p w14:paraId="2293891F" w14:textId="15CCC721" w:rsidR="00C24D0B" w:rsidRPr="000E6D86" w:rsidRDefault="00C24D0B" w:rsidP="00411720">
            <w:pPr>
              <w:pStyle w:val="Prrafodelista"/>
              <w:numPr>
                <w:ilvl w:val="0"/>
                <w:numId w:val="118"/>
              </w:numPr>
              <w:rPr>
                <w:rFonts w:cs="Arial"/>
                <w:sz w:val="20"/>
                <w:szCs w:val="20"/>
              </w:rPr>
            </w:pPr>
            <w:r w:rsidRPr="000E6D86">
              <w:rPr>
                <w:rFonts w:cs="Arial"/>
                <w:sz w:val="20"/>
                <w:szCs w:val="20"/>
              </w:rPr>
              <w:t>Memoria de Auditor</w:t>
            </w:r>
            <w:r w:rsidR="002E10D3" w:rsidRPr="000E6D86">
              <w:rPr>
                <w:rFonts w:cs="Arial"/>
                <w:sz w:val="20"/>
                <w:szCs w:val="20"/>
              </w:rPr>
              <w:t>í</w:t>
            </w:r>
            <w:r w:rsidRPr="000E6D86">
              <w:rPr>
                <w:rFonts w:cs="Arial"/>
                <w:sz w:val="20"/>
                <w:szCs w:val="20"/>
              </w:rPr>
              <w:t>a Ambiental</w:t>
            </w:r>
            <w:r w:rsidR="002E10D3" w:rsidRPr="000E6D86">
              <w:rPr>
                <w:rFonts w:cs="Arial"/>
                <w:sz w:val="20"/>
                <w:szCs w:val="20"/>
              </w:rPr>
              <w:t>.</w:t>
            </w:r>
          </w:p>
          <w:p w14:paraId="11002575" w14:textId="034A4355" w:rsidR="00C24D0B" w:rsidRPr="000E6D86" w:rsidRDefault="00C24D0B" w:rsidP="00411720">
            <w:pPr>
              <w:pStyle w:val="Prrafodelista"/>
              <w:numPr>
                <w:ilvl w:val="0"/>
                <w:numId w:val="118"/>
              </w:numPr>
              <w:rPr>
                <w:rFonts w:cs="Arial"/>
                <w:sz w:val="20"/>
                <w:szCs w:val="20"/>
              </w:rPr>
            </w:pPr>
            <w:r w:rsidRPr="000E6D86">
              <w:rPr>
                <w:rFonts w:cs="Arial"/>
                <w:sz w:val="20"/>
                <w:szCs w:val="20"/>
              </w:rPr>
              <w:t>Matriz de Impactos Ambientales</w:t>
            </w:r>
            <w:r w:rsidR="002E10D3" w:rsidRPr="000E6D86">
              <w:rPr>
                <w:rFonts w:cs="Arial"/>
                <w:sz w:val="20"/>
                <w:szCs w:val="20"/>
              </w:rPr>
              <w:t>.</w:t>
            </w:r>
          </w:p>
          <w:p w14:paraId="4DA9C003" w14:textId="4F414CBF" w:rsidR="00C24D0B" w:rsidRPr="000E6D86" w:rsidRDefault="00C24D0B" w:rsidP="00411720">
            <w:pPr>
              <w:pStyle w:val="Prrafodelista"/>
              <w:numPr>
                <w:ilvl w:val="0"/>
                <w:numId w:val="118"/>
              </w:numPr>
              <w:rPr>
                <w:rFonts w:cs="Arial"/>
                <w:sz w:val="20"/>
                <w:szCs w:val="20"/>
              </w:rPr>
            </w:pPr>
            <w:r w:rsidRPr="000E6D86">
              <w:rPr>
                <w:rFonts w:cs="Arial"/>
                <w:sz w:val="20"/>
                <w:szCs w:val="20"/>
              </w:rPr>
              <w:t>Cuadro Resumen Amb</w:t>
            </w:r>
            <w:r w:rsidR="002E10D3" w:rsidRPr="000E6D86">
              <w:rPr>
                <w:rFonts w:cs="Arial"/>
                <w:sz w:val="20"/>
                <w:szCs w:val="20"/>
              </w:rPr>
              <w:t>i</w:t>
            </w:r>
            <w:r w:rsidRPr="000E6D86">
              <w:rPr>
                <w:rFonts w:cs="Arial"/>
                <w:sz w:val="20"/>
                <w:szCs w:val="20"/>
              </w:rPr>
              <w:t>ental cuando aplique</w:t>
            </w:r>
            <w:r w:rsidR="002E10D3" w:rsidRPr="000E6D86">
              <w:rPr>
                <w:rFonts w:cs="Arial"/>
                <w:sz w:val="20"/>
                <w:szCs w:val="20"/>
              </w:rPr>
              <w:t>.</w:t>
            </w:r>
          </w:p>
          <w:p w14:paraId="04380A03" w14:textId="77777777" w:rsidR="00C24D0B" w:rsidRPr="000E6D86" w:rsidRDefault="00C24D0B" w:rsidP="00C24D0B">
            <w:pPr>
              <w:pStyle w:val="Prrafodelista"/>
              <w:jc w:val="both"/>
              <w:rPr>
                <w:rFonts w:cs="Arial"/>
                <w:sz w:val="20"/>
                <w:szCs w:val="20"/>
              </w:rPr>
            </w:pPr>
          </w:p>
        </w:tc>
        <w:tc>
          <w:tcPr>
            <w:tcW w:w="3241" w:type="dxa"/>
            <w:vMerge w:val="restart"/>
            <w:vAlign w:val="center"/>
          </w:tcPr>
          <w:p w14:paraId="74E4BD2C" w14:textId="6BFFF196" w:rsidR="00C24D0B" w:rsidRPr="000E6D86" w:rsidRDefault="00C24D0B" w:rsidP="000A703C">
            <w:pPr>
              <w:jc w:val="both"/>
              <w:rPr>
                <w:rFonts w:cs="Arial"/>
                <w:sz w:val="20"/>
                <w:szCs w:val="20"/>
              </w:rPr>
            </w:pPr>
            <w:r w:rsidRPr="000E6D86">
              <w:rPr>
                <w:rFonts w:cs="Arial"/>
                <w:sz w:val="20"/>
                <w:szCs w:val="20"/>
              </w:rPr>
              <w:t xml:space="preserve">Informe de Cumplimiento de Medidas </w:t>
            </w:r>
            <w:r w:rsidR="002E10D3" w:rsidRPr="000E6D86">
              <w:rPr>
                <w:rFonts w:cs="Arial"/>
                <w:sz w:val="20"/>
                <w:szCs w:val="20"/>
              </w:rPr>
              <w:t>A</w:t>
            </w:r>
            <w:r w:rsidRPr="000E6D86">
              <w:rPr>
                <w:rFonts w:cs="Arial"/>
                <w:sz w:val="20"/>
                <w:szCs w:val="20"/>
              </w:rPr>
              <w:t>mbiental</w:t>
            </w:r>
            <w:r w:rsidR="002E10D3" w:rsidRPr="000E6D86">
              <w:rPr>
                <w:rFonts w:cs="Arial"/>
                <w:sz w:val="20"/>
                <w:szCs w:val="20"/>
              </w:rPr>
              <w:t>es</w:t>
            </w:r>
            <w:r w:rsidRPr="000E6D86">
              <w:rPr>
                <w:rFonts w:cs="Arial"/>
                <w:sz w:val="20"/>
                <w:szCs w:val="20"/>
              </w:rPr>
              <w:t xml:space="preserve"> (ICMAs)</w:t>
            </w:r>
            <w:r w:rsidR="003B2664" w:rsidRPr="000E6D86">
              <w:rPr>
                <w:rFonts w:cs="Arial"/>
                <w:sz w:val="20"/>
                <w:szCs w:val="20"/>
              </w:rPr>
              <w:t xml:space="preserve"> elaborado por un PSA debidamente registrados en la SERNA.</w:t>
            </w:r>
          </w:p>
        </w:tc>
      </w:tr>
      <w:tr w:rsidR="000E6D86" w:rsidRPr="000E6D86" w14:paraId="1CF1B2CD" w14:textId="77777777" w:rsidTr="00C24D0B">
        <w:tc>
          <w:tcPr>
            <w:tcW w:w="1818" w:type="dxa"/>
            <w:vAlign w:val="center"/>
          </w:tcPr>
          <w:p w14:paraId="04E9347F" w14:textId="77777777" w:rsidR="00C24D0B" w:rsidRPr="000E6D86" w:rsidRDefault="00C24D0B" w:rsidP="00C24D0B">
            <w:pPr>
              <w:jc w:val="center"/>
              <w:rPr>
                <w:rFonts w:cs="Arial"/>
                <w:sz w:val="20"/>
                <w:szCs w:val="20"/>
              </w:rPr>
            </w:pPr>
            <w:r w:rsidRPr="000E6D86">
              <w:rPr>
                <w:rFonts w:cs="Arial"/>
                <w:sz w:val="20"/>
                <w:szCs w:val="20"/>
              </w:rPr>
              <w:t>Categoria 2</w:t>
            </w:r>
          </w:p>
        </w:tc>
        <w:tc>
          <w:tcPr>
            <w:tcW w:w="3847" w:type="dxa"/>
          </w:tcPr>
          <w:p w14:paraId="018F8F5B" w14:textId="5C36E977" w:rsidR="00C24D0B" w:rsidRPr="000E6D86" w:rsidRDefault="00C24D0B" w:rsidP="00411720">
            <w:pPr>
              <w:pStyle w:val="Prrafodelista"/>
              <w:numPr>
                <w:ilvl w:val="0"/>
                <w:numId w:val="119"/>
              </w:numPr>
              <w:jc w:val="both"/>
              <w:rPr>
                <w:rFonts w:cs="Arial"/>
                <w:sz w:val="20"/>
                <w:szCs w:val="20"/>
              </w:rPr>
            </w:pPr>
            <w:r w:rsidRPr="000E6D86">
              <w:rPr>
                <w:rFonts w:cs="Arial"/>
                <w:sz w:val="20"/>
                <w:szCs w:val="20"/>
              </w:rPr>
              <w:t>Memoria técnica</w:t>
            </w:r>
            <w:r w:rsidR="002E10D3" w:rsidRPr="000E6D86">
              <w:rPr>
                <w:rFonts w:cs="Arial"/>
                <w:sz w:val="20"/>
                <w:szCs w:val="20"/>
              </w:rPr>
              <w:t>.</w:t>
            </w:r>
          </w:p>
          <w:p w14:paraId="7B7B57C4" w14:textId="54E3F4F6" w:rsidR="00C24D0B" w:rsidRPr="000E6D86" w:rsidRDefault="00C24D0B" w:rsidP="00411720">
            <w:pPr>
              <w:pStyle w:val="Prrafodelista"/>
              <w:numPr>
                <w:ilvl w:val="0"/>
                <w:numId w:val="119"/>
              </w:numPr>
              <w:jc w:val="both"/>
              <w:rPr>
                <w:rFonts w:cs="Arial"/>
                <w:sz w:val="20"/>
                <w:szCs w:val="20"/>
              </w:rPr>
            </w:pPr>
            <w:r w:rsidRPr="000E6D86">
              <w:rPr>
                <w:rFonts w:cs="Arial"/>
                <w:sz w:val="20"/>
                <w:szCs w:val="20"/>
              </w:rPr>
              <w:t xml:space="preserve">Resumen de Plan de Gestión </w:t>
            </w:r>
            <w:r w:rsidR="002E10D3" w:rsidRPr="000E6D86">
              <w:rPr>
                <w:rFonts w:cs="Arial"/>
                <w:sz w:val="20"/>
                <w:szCs w:val="20"/>
              </w:rPr>
              <w:t>A</w:t>
            </w:r>
            <w:r w:rsidRPr="000E6D86">
              <w:rPr>
                <w:rFonts w:cs="Arial"/>
                <w:sz w:val="20"/>
                <w:szCs w:val="20"/>
              </w:rPr>
              <w:t>mbiental</w:t>
            </w:r>
            <w:r w:rsidR="002E10D3" w:rsidRPr="000E6D86">
              <w:rPr>
                <w:rFonts w:cs="Arial"/>
                <w:sz w:val="20"/>
                <w:szCs w:val="20"/>
              </w:rPr>
              <w:t>.</w:t>
            </w:r>
          </w:p>
          <w:p w14:paraId="45E305DF" w14:textId="13F4595F" w:rsidR="00C24D0B" w:rsidRPr="000E6D86" w:rsidRDefault="00C24D0B" w:rsidP="00411720">
            <w:pPr>
              <w:pStyle w:val="Prrafodelista"/>
              <w:numPr>
                <w:ilvl w:val="0"/>
                <w:numId w:val="119"/>
              </w:numPr>
              <w:jc w:val="both"/>
              <w:rPr>
                <w:rFonts w:cs="Arial"/>
                <w:sz w:val="20"/>
                <w:szCs w:val="20"/>
              </w:rPr>
            </w:pPr>
            <w:r w:rsidRPr="000E6D86">
              <w:rPr>
                <w:rFonts w:cs="Arial"/>
                <w:sz w:val="20"/>
                <w:szCs w:val="20"/>
              </w:rPr>
              <w:t>Resumen de Plan de Mejoramiento Ambiental</w:t>
            </w:r>
            <w:r w:rsidR="002E10D3" w:rsidRPr="000E6D86">
              <w:rPr>
                <w:rFonts w:cs="Arial"/>
                <w:sz w:val="20"/>
                <w:szCs w:val="20"/>
              </w:rPr>
              <w:t>.</w:t>
            </w:r>
          </w:p>
          <w:p w14:paraId="31651135" w14:textId="483969BE" w:rsidR="00C24D0B" w:rsidRPr="000E6D86" w:rsidRDefault="00C24D0B" w:rsidP="00411720">
            <w:pPr>
              <w:pStyle w:val="Prrafodelista"/>
              <w:numPr>
                <w:ilvl w:val="0"/>
                <w:numId w:val="119"/>
              </w:numPr>
              <w:jc w:val="both"/>
              <w:rPr>
                <w:rFonts w:cs="Arial"/>
                <w:sz w:val="20"/>
                <w:szCs w:val="20"/>
              </w:rPr>
            </w:pPr>
            <w:r w:rsidRPr="000E6D86">
              <w:rPr>
                <w:rFonts w:cs="Arial"/>
                <w:sz w:val="20"/>
                <w:szCs w:val="20"/>
              </w:rPr>
              <w:t>Memor</w:t>
            </w:r>
            <w:r w:rsidR="00F5372F" w:rsidRPr="000E6D86">
              <w:rPr>
                <w:rFonts w:cs="Arial"/>
                <w:sz w:val="20"/>
                <w:szCs w:val="20"/>
              </w:rPr>
              <w:t>i</w:t>
            </w:r>
            <w:r w:rsidRPr="000E6D86">
              <w:rPr>
                <w:rFonts w:cs="Arial"/>
                <w:sz w:val="20"/>
                <w:szCs w:val="20"/>
              </w:rPr>
              <w:t xml:space="preserve">a </w:t>
            </w:r>
            <w:r w:rsidR="00F5372F" w:rsidRPr="000E6D86">
              <w:rPr>
                <w:rFonts w:cs="Arial"/>
                <w:sz w:val="20"/>
                <w:szCs w:val="20"/>
              </w:rPr>
              <w:t xml:space="preserve">de </w:t>
            </w:r>
            <w:r w:rsidRPr="000E6D86">
              <w:rPr>
                <w:rFonts w:cs="Arial"/>
                <w:sz w:val="20"/>
                <w:szCs w:val="20"/>
              </w:rPr>
              <w:t>Auditoria Ambiental</w:t>
            </w:r>
            <w:r w:rsidR="002E10D3" w:rsidRPr="000E6D86">
              <w:rPr>
                <w:rFonts w:cs="Arial"/>
                <w:sz w:val="20"/>
                <w:szCs w:val="20"/>
              </w:rPr>
              <w:t>.</w:t>
            </w:r>
          </w:p>
          <w:p w14:paraId="0D51E5E4" w14:textId="691EE421" w:rsidR="00C24D0B" w:rsidRPr="000E6D86" w:rsidRDefault="00C24D0B" w:rsidP="00411720">
            <w:pPr>
              <w:pStyle w:val="Prrafodelista"/>
              <w:numPr>
                <w:ilvl w:val="0"/>
                <w:numId w:val="119"/>
              </w:numPr>
              <w:jc w:val="both"/>
              <w:rPr>
                <w:rFonts w:cs="Arial"/>
                <w:sz w:val="20"/>
                <w:szCs w:val="20"/>
              </w:rPr>
            </w:pPr>
            <w:r w:rsidRPr="000E6D86">
              <w:rPr>
                <w:rFonts w:cs="Arial"/>
                <w:sz w:val="20"/>
                <w:szCs w:val="20"/>
              </w:rPr>
              <w:t>Matriz de Impactos Ambientales</w:t>
            </w:r>
            <w:r w:rsidR="002E10D3" w:rsidRPr="000E6D86">
              <w:rPr>
                <w:rFonts w:cs="Arial"/>
                <w:sz w:val="20"/>
                <w:szCs w:val="20"/>
              </w:rPr>
              <w:t>.</w:t>
            </w:r>
          </w:p>
          <w:p w14:paraId="19ED01D2" w14:textId="77777777" w:rsidR="00C24D0B" w:rsidRPr="000E6D86" w:rsidRDefault="00C24D0B" w:rsidP="00C24D0B">
            <w:pPr>
              <w:jc w:val="both"/>
              <w:rPr>
                <w:rFonts w:cs="Arial"/>
                <w:sz w:val="20"/>
                <w:szCs w:val="20"/>
              </w:rPr>
            </w:pPr>
          </w:p>
        </w:tc>
        <w:tc>
          <w:tcPr>
            <w:tcW w:w="3241" w:type="dxa"/>
            <w:vMerge/>
          </w:tcPr>
          <w:p w14:paraId="346B8C4A" w14:textId="77777777" w:rsidR="00C24D0B" w:rsidRPr="000E6D86" w:rsidRDefault="00C24D0B" w:rsidP="00C24D0B">
            <w:pPr>
              <w:jc w:val="both"/>
              <w:rPr>
                <w:rFonts w:cs="Arial"/>
                <w:sz w:val="20"/>
                <w:szCs w:val="20"/>
              </w:rPr>
            </w:pPr>
          </w:p>
        </w:tc>
      </w:tr>
      <w:tr w:rsidR="000E6D86" w:rsidRPr="000E6D86" w14:paraId="5DA53E83" w14:textId="77777777" w:rsidTr="00C24D0B">
        <w:tc>
          <w:tcPr>
            <w:tcW w:w="1818" w:type="dxa"/>
            <w:vAlign w:val="center"/>
          </w:tcPr>
          <w:p w14:paraId="7F65139F" w14:textId="77777777" w:rsidR="00C24D0B" w:rsidRPr="000E6D86" w:rsidRDefault="00C24D0B" w:rsidP="00C24D0B">
            <w:pPr>
              <w:jc w:val="center"/>
              <w:rPr>
                <w:rFonts w:cs="Arial"/>
                <w:sz w:val="20"/>
                <w:szCs w:val="20"/>
              </w:rPr>
            </w:pPr>
            <w:r w:rsidRPr="000E6D86">
              <w:rPr>
                <w:rFonts w:cs="Arial"/>
                <w:sz w:val="20"/>
                <w:szCs w:val="20"/>
              </w:rPr>
              <w:t>Categoria 3</w:t>
            </w:r>
          </w:p>
        </w:tc>
        <w:tc>
          <w:tcPr>
            <w:tcW w:w="3847" w:type="dxa"/>
          </w:tcPr>
          <w:p w14:paraId="63AEC0F5" w14:textId="77777777" w:rsidR="00C24D0B" w:rsidRPr="000E6D86" w:rsidRDefault="00C24D0B" w:rsidP="00C24D0B">
            <w:pPr>
              <w:pStyle w:val="Prrafodelista"/>
              <w:jc w:val="both"/>
              <w:rPr>
                <w:rFonts w:cs="Arial"/>
                <w:sz w:val="20"/>
                <w:szCs w:val="20"/>
              </w:rPr>
            </w:pPr>
          </w:p>
          <w:p w14:paraId="422D5D22" w14:textId="647F2C71" w:rsidR="00C24D0B" w:rsidRPr="000E6D86" w:rsidRDefault="00C24D0B" w:rsidP="00411720">
            <w:pPr>
              <w:pStyle w:val="Prrafodelista"/>
              <w:numPr>
                <w:ilvl w:val="0"/>
                <w:numId w:val="120"/>
              </w:numPr>
              <w:jc w:val="both"/>
              <w:rPr>
                <w:rFonts w:cs="Arial"/>
                <w:sz w:val="20"/>
                <w:szCs w:val="20"/>
              </w:rPr>
            </w:pPr>
            <w:r w:rsidRPr="000E6D86">
              <w:rPr>
                <w:rFonts w:cs="Arial"/>
                <w:sz w:val="20"/>
                <w:szCs w:val="20"/>
              </w:rPr>
              <w:t>Plan de Gestión Ambiental</w:t>
            </w:r>
            <w:r w:rsidR="009402B4" w:rsidRPr="000E6D86">
              <w:rPr>
                <w:rFonts w:cs="Arial"/>
                <w:sz w:val="20"/>
                <w:szCs w:val="20"/>
              </w:rPr>
              <w:t>.</w:t>
            </w:r>
          </w:p>
          <w:p w14:paraId="615AAAEE" w14:textId="77777777" w:rsidR="00C24D0B" w:rsidRPr="000E6D86" w:rsidRDefault="00C24D0B" w:rsidP="00411720">
            <w:pPr>
              <w:pStyle w:val="Prrafodelista"/>
              <w:numPr>
                <w:ilvl w:val="0"/>
                <w:numId w:val="120"/>
              </w:numPr>
              <w:jc w:val="both"/>
              <w:rPr>
                <w:rFonts w:cs="Arial"/>
                <w:sz w:val="20"/>
                <w:szCs w:val="20"/>
              </w:rPr>
            </w:pPr>
            <w:r w:rsidRPr="000E6D86">
              <w:rPr>
                <w:rFonts w:cs="Arial"/>
                <w:sz w:val="20"/>
                <w:szCs w:val="20"/>
              </w:rPr>
              <w:t>Plan de Mejoramiento Ambiental</w:t>
            </w:r>
          </w:p>
          <w:p w14:paraId="6E5C5489" w14:textId="5D9A78D6" w:rsidR="00C24D0B" w:rsidRPr="000E6D86" w:rsidRDefault="00C24D0B" w:rsidP="00411720">
            <w:pPr>
              <w:pStyle w:val="Prrafodelista"/>
              <w:numPr>
                <w:ilvl w:val="0"/>
                <w:numId w:val="120"/>
              </w:numPr>
              <w:jc w:val="both"/>
              <w:rPr>
                <w:rFonts w:cs="Arial"/>
                <w:sz w:val="20"/>
                <w:szCs w:val="20"/>
              </w:rPr>
            </w:pPr>
            <w:r w:rsidRPr="000E6D86">
              <w:rPr>
                <w:rFonts w:cs="Arial"/>
                <w:sz w:val="20"/>
                <w:szCs w:val="20"/>
              </w:rPr>
              <w:t>Evaluaci</w:t>
            </w:r>
            <w:r w:rsidR="009402B4" w:rsidRPr="000E6D86">
              <w:rPr>
                <w:rFonts w:cs="Arial"/>
                <w:sz w:val="20"/>
                <w:szCs w:val="20"/>
              </w:rPr>
              <w:t>ó</w:t>
            </w:r>
            <w:r w:rsidRPr="000E6D86">
              <w:rPr>
                <w:rFonts w:cs="Arial"/>
                <w:sz w:val="20"/>
                <w:szCs w:val="20"/>
              </w:rPr>
              <w:t>n de Impacto Ambiental</w:t>
            </w:r>
            <w:r w:rsidR="009402B4" w:rsidRPr="000E6D86">
              <w:rPr>
                <w:rFonts w:cs="Arial"/>
                <w:sz w:val="20"/>
                <w:szCs w:val="20"/>
              </w:rPr>
              <w:t>.</w:t>
            </w:r>
          </w:p>
          <w:p w14:paraId="6723F112" w14:textId="371132F9" w:rsidR="00C24D0B" w:rsidRPr="000E6D86" w:rsidRDefault="00C24D0B" w:rsidP="00411720">
            <w:pPr>
              <w:pStyle w:val="Prrafodelista"/>
              <w:numPr>
                <w:ilvl w:val="0"/>
                <w:numId w:val="120"/>
              </w:numPr>
              <w:jc w:val="both"/>
              <w:rPr>
                <w:rFonts w:cs="Arial"/>
                <w:sz w:val="20"/>
                <w:szCs w:val="20"/>
              </w:rPr>
            </w:pPr>
            <w:r w:rsidRPr="000E6D86">
              <w:rPr>
                <w:rFonts w:cs="Arial"/>
                <w:sz w:val="20"/>
                <w:szCs w:val="20"/>
              </w:rPr>
              <w:t>Memor</w:t>
            </w:r>
            <w:r w:rsidR="009402B4" w:rsidRPr="000E6D86">
              <w:rPr>
                <w:rFonts w:cs="Arial"/>
                <w:sz w:val="20"/>
                <w:szCs w:val="20"/>
              </w:rPr>
              <w:t>i</w:t>
            </w:r>
            <w:r w:rsidRPr="000E6D86">
              <w:rPr>
                <w:rFonts w:cs="Arial"/>
                <w:sz w:val="20"/>
                <w:szCs w:val="20"/>
              </w:rPr>
              <w:t xml:space="preserve">a </w:t>
            </w:r>
            <w:r w:rsidR="00F11B53" w:rsidRPr="000E6D86">
              <w:rPr>
                <w:rFonts w:cs="Arial"/>
                <w:sz w:val="20"/>
                <w:szCs w:val="20"/>
              </w:rPr>
              <w:t xml:space="preserve">de </w:t>
            </w:r>
            <w:r w:rsidRPr="000E6D86">
              <w:rPr>
                <w:rFonts w:cs="Arial"/>
                <w:sz w:val="20"/>
                <w:szCs w:val="20"/>
              </w:rPr>
              <w:t>Auditor</w:t>
            </w:r>
            <w:r w:rsidR="00C2176D" w:rsidRPr="000E6D86">
              <w:rPr>
                <w:rFonts w:cs="Arial"/>
                <w:sz w:val="20"/>
                <w:szCs w:val="20"/>
              </w:rPr>
              <w:t>í</w:t>
            </w:r>
            <w:r w:rsidRPr="000E6D86">
              <w:rPr>
                <w:rFonts w:cs="Arial"/>
                <w:sz w:val="20"/>
                <w:szCs w:val="20"/>
              </w:rPr>
              <w:t>a Ambiental</w:t>
            </w:r>
            <w:r w:rsidR="009402B4" w:rsidRPr="000E6D86">
              <w:rPr>
                <w:rFonts w:cs="Arial"/>
                <w:sz w:val="20"/>
                <w:szCs w:val="20"/>
              </w:rPr>
              <w:t>.</w:t>
            </w:r>
          </w:p>
          <w:p w14:paraId="68E42F8E" w14:textId="5050E9F5" w:rsidR="00C24D0B" w:rsidRPr="000E6D86" w:rsidRDefault="00C24D0B" w:rsidP="00411720">
            <w:pPr>
              <w:pStyle w:val="Prrafodelista"/>
              <w:numPr>
                <w:ilvl w:val="0"/>
                <w:numId w:val="120"/>
              </w:numPr>
              <w:jc w:val="both"/>
              <w:rPr>
                <w:rFonts w:cs="Arial"/>
                <w:sz w:val="20"/>
                <w:szCs w:val="20"/>
              </w:rPr>
            </w:pPr>
            <w:r w:rsidRPr="000E6D86">
              <w:rPr>
                <w:rFonts w:cs="Arial"/>
                <w:sz w:val="20"/>
                <w:szCs w:val="20"/>
              </w:rPr>
              <w:t>Matriz de Impactos Ambientales</w:t>
            </w:r>
            <w:r w:rsidR="009402B4" w:rsidRPr="000E6D86">
              <w:rPr>
                <w:rFonts w:cs="Arial"/>
                <w:sz w:val="20"/>
                <w:szCs w:val="20"/>
              </w:rPr>
              <w:t>.</w:t>
            </w:r>
          </w:p>
          <w:p w14:paraId="150149A2" w14:textId="77777777" w:rsidR="00C24D0B" w:rsidRPr="000E6D86" w:rsidRDefault="00C24D0B" w:rsidP="00C24D0B">
            <w:pPr>
              <w:pStyle w:val="Prrafodelista"/>
              <w:jc w:val="both"/>
              <w:rPr>
                <w:rFonts w:cs="Arial"/>
                <w:sz w:val="20"/>
                <w:szCs w:val="20"/>
              </w:rPr>
            </w:pPr>
          </w:p>
        </w:tc>
        <w:tc>
          <w:tcPr>
            <w:tcW w:w="3241" w:type="dxa"/>
            <w:vMerge/>
          </w:tcPr>
          <w:p w14:paraId="6D7286AB" w14:textId="77777777" w:rsidR="00C24D0B" w:rsidRPr="000E6D86" w:rsidRDefault="00C24D0B" w:rsidP="00C24D0B">
            <w:pPr>
              <w:jc w:val="both"/>
              <w:rPr>
                <w:rFonts w:cs="Arial"/>
                <w:sz w:val="20"/>
                <w:szCs w:val="20"/>
              </w:rPr>
            </w:pPr>
          </w:p>
        </w:tc>
      </w:tr>
      <w:tr w:rsidR="000E6D86" w:rsidRPr="000E6D86" w14:paraId="12560C1D" w14:textId="77777777" w:rsidTr="00C24D0B">
        <w:tc>
          <w:tcPr>
            <w:tcW w:w="8906" w:type="dxa"/>
            <w:gridSpan w:val="3"/>
            <w:vAlign w:val="center"/>
          </w:tcPr>
          <w:p w14:paraId="275C131D" w14:textId="732B0ED5" w:rsidR="00C24D0B" w:rsidRPr="000E6D86" w:rsidRDefault="00C24D0B" w:rsidP="00C24D0B">
            <w:pPr>
              <w:jc w:val="both"/>
              <w:rPr>
                <w:rFonts w:cs="Arial"/>
                <w:sz w:val="20"/>
                <w:szCs w:val="20"/>
              </w:rPr>
            </w:pPr>
            <w:r w:rsidRPr="000E6D86">
              <w:rPr>
                <w:rFonts w:cs="Arial"/>
                <w:sz w:val="20"/>
                <w:szCs w:val="20"/>
              </w:rPr>
              <w:t>Observaci</w:t>
            </w:r>
            <w:r w:rsidR="00F11B53" w:rsidRPr="000E6D86">
              <w:rPr>
                <w:rFonts w:cs="Arial"/>
                <w:sz w:val="20"/>
                <w:szCs w:val="20"/>
              </w:rPr>
              <w:t>ó</w:t>
            </w:r>
            <w:r w:rsidRPr="000E6D86">
              <w:rPr>
                <w:rFonts w:cs="Arial"/>
                <w:sz w:val="20"/>
                <w:szCs w:val="20"/>
              </w:rPr>
              <w:t>n: los instrumentos de evaluación serán presentados según los T</w:t>
            </w:r>
            <w:r w:rsidR="00C2176D" w:rsidRPr="000E6D86">
              <w:rPr>
                <w:rFonts w:cs="Arial"/>
                <w:sz w:val="20"/>
                <w:szCs w:val="20"/>
              </w:rPr>
              <w:t>d</w:t>
            </w:r>
            <w:r w:rsidRPr="000E6D86">
              <w:rPr>
                <w:rFonts w:cs="Arial"/>
                <w:sz w:val="20"/>
                <w:szCs w:val="20"/>
              </w:rPr>
              <w:t>R seleccionados por sector productivo y lo que el SLAS genera, indistintamente de la categoría ambiental y/o cadena productiva.</w:t>
            </w:r>
          </w:p>
        </w:tc>
      </w:tr>
    </w:tbl>
    <w:p w14:paraId="4D5AD1B3" w14:textId="77777777" w:rsidR="00C24D0B" w:rsidRPr="00FA4B2D" w:rsidRDefault="00C24D0B" w:rsidP="006A3DBC">
      <w:pPr>
        <w:spacing w:after="0" w:line="240" w:lineRule="auto"/>
        <w:jc w:val="both"/>
        <w:rPr>
          <w:rFonts w:cs="Arial"/>
        </w:rPr>
      </w:pPr>
    </w:p>
    <w:p w14:paraId="2C7437CF" w14:textId="7EB1AA64" w:rsidR="00B742AE" w:rsidRDefault="00B742AE" w:rsidP="00B742AE">
      <w:pPr>
        <w:spacing w:after="0" w:line="240" w:lineRule="auto"/>
        <w:jc w:val="both"/>
        <w:rPr>
          <w:rFonts w:cs="Arial"/>
        </w:rPr>
      </w:pPr>
      <w:r w:rsidRPr="00FA4B2D">
        <w:rPr>
          <w:rFonts w:cs="Arial"/>
        </w:rPr>
        <w:t xml:space="preserve">Finalmente es oportuno mencionar que mediante gestiones institucionales se ha logrado la emisión del oficio SG 733-2024, por parte de Secretaría de Recursos Naturales y Ambiente, (SERNA) en donde se manifiesta que en aquellos proyectos de muy bajo impacto ambiental no existen riesgos de sanciones por haber iniciado la ejecución de sus inversiones, lo cual facilitar la agilización de las inversiones previstas en aquellos planes de negocio de bajo impacto ambiental. Este acuerdo vale aclarar aplica solo en los casos que según evaluaciones previas realizadas por el Prestador de Servicios Ambientales y equipo Ambiental del proyecto se coincide en categorizar las inversiones de bajo impacto, situación </w:t>
      </w:r>
      <w:r w:rsidR="000E6D86" w:rsidRPr="00FA4B2D">
        <w:rPr>
          <w:rFonts w:cs="Arial"/>
        </w:rPr>
        <w:t>que,</w:t>
      </w:r>
      <w:r w:rsidRPr="00FA4B2D">
        <w:rPr>
          <w:rFonts w:cs="Arial"/>
        </w:rPr>
        <w:t xml:space="preserve"> por otro lado, no evita seguir el tramite correspondiente ante las autoridades de SERNA para la optención de la constancia de no requerir licencia ambiental. (Ver Anexo 14.</w:t>
      </w:r>
      <w:r w:rsidR="000103E1" w:rsidRPr="00FA4B2D">
        <w:rPr>
          <w:rFonts w:cs="Arial"/>
        </w:rPr>
        <w:t>VII</w:t>
      </w:r>
      <w:r w:rsidRPr="00FA4B2D">
        <w:rPr>
          <w:rFonts w:cs="Arial"/>
        </w:rPr>
        <w:t>)</w:t>
      </w:r>
      <w:r w:rsidR="000E6D86">
        <w:rPr>
          <w:rFonts w:cs="Arial"/>
        </w:rPr>
        <w:t>.</w:t>
      </w:r>
    </w:p>
    <w:p w14:paraId="24BB5DF4" w14:textId="77777777" w:rsidR="000E6D86" w:rsidRDefault="000E6D86" w:rsidP="00B742AE">
      <w:pPr>
        <w:spacing w:after="0" w:line="240" w:lineRule="auto"/>
        <w:jc w:val="both"/>
        <w:rPr>
          <w:rFonts w:cs="Arial"/>
        </w:rPr>
      </w:pPr>
    </w:p>
    <w:p w14:paraId="16C26D00" w14:textId="77777777" w:rsidR="000E6D86" w:rsidRPr="00FA4B2D" w:rsidRDefault="000E6D86" w:rsidP="00B742AE">
      <w:pPr>
        <w:spacing w:after="0" w:line="240" w:lineRule="auto"/>
        <w:jc w:val="both"/>
        <w:rPr>
          <w:rFonts w:cs="Arial"/>
        </w:rPr>
      </w:pPr>
    </w:p>
    <w:p w14:paraId="5C0A1BF4" w14:textId="77777777" w:rsidR="006A3DBC" w:rsidRDefault="006A3DBC" w:rsidP="006A3DBC">
      <w:pPr>
        <w:spacing w:after="0" w:line="240" w:lineRule="auto"/>
        <w:jc w:val="both"/>
        <w:rPr>
          <w:rFonts w:cs="Arial"/>
        </w:rPr>
      </w:pPr>
    </w:p>
    <w:p w14:paraId="36414ECE" w14:textId="77777777" w:rsidR="002B7276" w:rsidRPr="00FA4B2D" w:rsidRDefault="002B7276" w:rsidP="006A3DBC">
      <w:pPr>
        <w:spacing w:after="0" w:line="240" w:lineRule="auto"/>
        <w:jc w:val="both"/>
        <w:rPr>
          <w:rFonts w:cs="Arial"/>
        </w:rPr>
      </w:pPr>
    </w:p>
    <w:p w14:paraId="0ADF3DC1" w14:textId="77777777" w:rsidR="006A3DBC" w:rsidRPr="00FA4B2D" w:rsidRDefault="006A3DBC" w:rsidP="006A3DBC">
      <w:pPr>
        <w:pStyle w:val="Ttulo2"/>
        <w:numPr>
          <w:ilvl w:val="1"/>
          <w:numId w:val="34"/>
        </w:numPr>
        <w:spacing w:before="0" w:line="240" w:lineRule="auto"/>
        <w:jc w:val="both"/>
        <w:rPr>
          <w:rFonts w:ascii="Arial" w:hAnsi="Arial" w:cs="Arial"/>
          <w:b/>
          <w:color w:val="767171" w:themeColor="background2" w:themeShade="80"/>
          <w:sz w:val="22"/>
          <w:szCs w:val="22"/>
        </w:rPr>
      </w:pPr>
      <w:bookmarkStart w:id="1206" w:name="_Toc65884206"/>
      <w:bookmarkStart w:id="1207" w:name="_Toc67573427"/>
      <w:bookmarkStart w:id="1208" w:name="_Toc202456955"/>
      <w:r w:rsidRPr="00FA4B2D">
        <w:rPr>
          <w:rFonts w:ascii="Arial" w:hAnsi="Arial" w:cs="Arial"/>
          <w:b/>
          <w:color w:val="767171" w:themeColor="background2" w:themeShade="80"/>
          <w:sz w:val="22"/>
          <w:szCs w:val="22"/>
        </w:rPr>
        <w:lastRenderedPageBreak/>
        <w:t>Lista de exclusión de subproyectos</w:t>
      </w:r>
      <w:bookmarkEnd w:id="1206"/>
      <w:bookmarkEnd w:id="1207"/>
      <w:bookmarkEnd w:id="1208"/>
    </w:p>
    <w:p w14:paraId="3150CDFC" w14:textId="77777777" w:rsidR="006A3DBC" w:rsidRPr="00FA4B2D" w:rsidRDefault="006A3DBC" w:rsidP="006A3DBC">
      <w:pPr>
        <w:spacing w:after="0" w:line="240" w:lineRule="auto"/>
        <w:jc w:val="both"/>
        <w:rPr>
          <w:rFonts w:cs="Arial"/>
        </w:rPr>
      </w:pPr>
    </w:p>
    <w:p w14:paraId="03FB1138" w14:textId="77777777" w:rsidR="006A3DBC" w:rsidRPr="00FA4B2D" w:rsidRDefault="006A3DBC" w:rsidP="006A3DBC">
      <w:pPr>
        <w:spacing w:line="240" w:lineRule="auto"/>
        <w:jc w:val="both"/>
        <w:rPr>
          <w:rFonts w:cs="Arial"/>
        </w:rPr>
      </w:pPr>
      <w:r w:rsidRPr="00FA4B2D">
        <w:rPr>
          <w:rFonts w:cs="Arial"/>
        </w:rPr>
        <w:t>En complemento a las disposiciones, normativas y políticas nacionales e internacionales, el MOP COMRURAL III establece un listado de actividades no financiables.</w:t>
      </w:r>
    </w:p>
    <w:p w14:paraId="51D04E8F" w14:textId="77777777" w:rsidR="006A3DBC" w:rsidRPr="00FA4B2D" w:rsidRDefault="006A3DBC" w:rsidP="006A3DBC">
      <w:pPr>
        <w:spacing w:line="240" w:lineRule="auto"/>
        <w:jc w:val="both"/>
        <w:rPr>
          <w:rFonts w:cs="Arial"/>
        </w:rPr>
      </w:pPr>
      <w:r w:rsidRPr="00FA4B2D">
        <w:rPr>
          <w:rFonts w:cs="Arial"/>
        </w:rPr>
        <w:t xml:space="preserve">No se financiará, por tanto, no se aprobará perfil de negocio y PdN que incluya propuestas como: </w:t>
      </w:r>
    </w:p>
    <w:p w14:paraId="3F62AD26" w14:textId="77777777" w:rsidR="006A3DBC" w:rsidRPr="00FA4B2D" w:rsidRDefault="006A3DBC" w:rsidP="00411720">
      <w:pPr>
        <w:pStyle w:val="Prrafodelista"/>
        <w:numPr>
          <w:ilvl w:val="1"/>
          <w:numId w:val="93"/>
        </w:numPr>
        <w:spacing w:after="0" w:line="240" w:lineRule="auto"/>
        <w:ind w:left="709" w:hanging="709"/>
        <w:jc w:val="both"/>
        <w:rPr>
          <w:rFonts w:cs="Arial"/>
        </w:rPr>
      </w:pPr>
      <w:r w:rsidRPr="00FA4B2D">
        <w:rPr>
          <w:rFonts w:cs="Arial"/>
        </w:rPr>
        <w:t>Compra de tierras.</w:t>
      </w:r>
    </w:p>
    <w:p w14:paraId="4799658B" w14:textId="77777777" w:rsidR="006A3DBC" w:rsidRPr="00FA4B2D" w:rsidRDefault="006A3DBC" w:rsidP="00411720">
      <w:pPr>
        <w:pStyle w:val="Prrafodelista"/>
        <w:numPr>
          <w:ilvl w:val="1"/>
          <w:numId w:val="93"/>
        </w:numPr>
        <w:spacing w:after="0" w:line="240" w:lineRule="auto"/>
        <w:ind w:left="709" w:hanging="709"/>
        <w:jc w:val="both"/>
        <w:rPr>
          <w:rFonts w:cs="Arial"/>
        </w:rPr>
      </w:pPr>
      <w:r w:rsidRPr="00FA4B2D">
        <w:rPr>
          <w:rFonts w:cs="Arial"/>
        </w:rPr>
        <w:t>Pago de deudas a particulares.</w:t>
      </w:r>
    </w:p>
    <w:p w14:paraId="62D95E0F" w14:textId="77777777" w:rsidR="006A3DBC" w:rsidRPr="00FA4B2D" w:rsidRDefault="006A3DBC" w:rsidP="00411720">
      <w:pPr>
        <w:pStyle w:val="Prrafodelista"/>
        <w:numPr>
          <w:ilvl w:val="1"/>
          <w:numId w:val="93"/>
        </w:numPr>
        <w:spacing w:after="0" w:line="240" w:lineRule="auto"/>
        <w:ind w:left="709" w:hanging="709"/>
        <w:jc w:val="both"/>
        <w:rPr>
          <w:rFonts w:cs="Arial"/>
        </w:rPr>
      </w:pPr>
      <w:r w:rsidRPr="00FA4B2D">
        <w:rPr>
          <w:rFonts w:cs="Arial"/>
        </w:rPr>
        <w:t>Refinanciamiento de préstamos vencidos y vigentes.</w:t>
      </w:r>
    </w:p>
    <w:p w14:paraId="47FA5A1D" w14:textId="77777777" w:rsidR="006A3DBC" w:rsidRPr="00FA4B2D" w:rsidRDefault="006A3DBC" w:rsidP="00411720">
      <w:pPr>
        <w:pStyle w:val="Prrafodelista"/>
        <w:numPr>
          <w:ilvl w:val="1"/>
          <w:numId w:val="93"/>
        </w:numPr>
        <w:spacing w:after="0" w:line="240" w:lineRule="auto"/>
        <w:ind w:left="709" w:hanging="709"/>
        <w:jc w:val="both"/>
        <w:rPr>
          <w:rFonts w:cs="Arial"/>
        </w:rPr>
      </w:pPr>
      <w:r w:rsidRPr="00FA4B2D">
        <w:rPr>
          <w:rFonts w:cs="Arial"/>
        </w:rPr>
        <w:t>Compra de acciones, bonos y otros títulos valores.</w:t>
      </w:r>
    </w:p>
    <w:p w14:paraId="6A5FDD41" w14:textId="77777777" w:rsidR="006A3DBC" w:rsidRPr="00FA4B2D" w:rsidRDefault="006A3DBC" w:rsidP="00411720">
      <w:pPr>
        <w:pStyle w:val="Prrafodelista"/>
        <w:numPr>
          <w:ilvl w:val="1"/>
          <w:numId w:val="93"/>
        </w:numPr>
        <w:spacing w:after="0" w:line="240" w:lineRule="auto"/>
        <w:ind w:left="709" w:hanging="709"/>
        <w:jc w:val="both"/>
        <w:rPr>
          <w:rFonts w:cs="Arial"/>
        </w:rPr>
      </w:pPr>
      <w:r w:rsidRPr="00FA4B2D">
        <w:rPr>
          <w:rFonts w:cs="Arial"/>
        </w:rPr>
        <w:t>Actividades no relacionadas a facilitar la implementación del PdN.</w:t>
      </w:r>
    </w:p>
    <w:p w14:paraId="7AB7F4D4" w14:textId="77777777" w:rsidR="006A3DBC" w:rsidRPr="00FA4B2D" w:rsidRDefault="006A3DBC" w:rsidP="00411720">
      <w:pPr>
        <w:pStyle w:val="Prrafodelista"/>
        <w:numPr>
          <w:ilvl w:val="1"/>
          <w:numId w:val="93"/>
        </w:numPr>
        <w:spacing w:after="0" w:line="240" w:lineRule="auto"/>
        <w:ind w:left="709" w:hanging="709"/>
        <w:jc w:val="both"/>
        <w:rPr>
          <w:rFonts w:cs="Arial"/>
        </w:rPr>
      </w:pPr>
      <w:r w:rsidRPr="00FA4B2D">
        <w:rPr>
          <w:rFonts w:cs="Arial"/>
        </w:rPr>
        <w:t>PdNs que causen reasentamiento involuntario.</w:t>
      </w:r>
    </w:p>
    <w:p w14:paraId="7E3870A2" w14:textId="77777777" w:rsidR="006A3DBC" w:rsidRPr="00FA4B2D" w:rsidRDefault="006A3DBC" w:rsidP="00411720">
      <w:pPr>
        <w:pStyle w:val="Prrafodelista"/>
        <w:numPr>
          <w:ilvl w:val="1"/>
          <w:numId w:val="93"/>
        </w:numPr>
        <w:spacing w:after="0" w:line="240" w:lineRule="auto"/>
        <w:ind w:left="709" w:hanging="709"/>
        <w:jc w:val="both"/>
        <w:rPr>
          <w:rFonts w:cs="Arial"/>
        </w:rPr>
      </w:pPr>
      <w:r w:rsidRPr="00FA4B2D">
        <w:rPr>
          <w:rFonts w:cs="Arial"/>
        </w:rPr>
        <w:t>Desarrollo de prácticas tecnológicas, actividades productivas que promuevan la degradación de los recursos naturales y la contaminación del ambiente rural.</w:t>
      </w:r>
    </w:p>
    <w:p w14:paraId="5645EE5C" w14:textId="77777777" w:rsidR="006A3DBC" w:rsidRPr="00FA4B2D" w:rsidRDefault="006A3DBC" w:rsidP="00411720">
      <w:pPr>
        <w:pStyle w:val="Prrafodelista"/>
        <w:numPr>
          <w:ilvl w:val="1"/>
          <w:numId w:val="93"/>
        </w:numPr>
        <w:spacing w:after="0" w:line="240" w:lineRule="auto"/>
        <w:ind w:left="709" w:hanging="709"/>
        <w:jc w:val="both"/>
        <w:rPr>
          <w:rFonts w:cs="Arial"/>
        </w:rPr>
      </w:pPr>
      <w:r w:rsidRPr="00FA4B2D">
        <w:rPr>
          <w:rFonts w:cs="Arial"/>
        </w:rPr>
        <w:t>PdNs en áreas protegidas, actuales o propuestas que no tienen plan de manejo, o en Hábitats Naturales o Críticos.</w:t>
      </w:r>
    </w:p>
    <w:p w14:paraId="53D634D5" w14:textId="77777777" w:rsidR="006A3DBC" w:rsidRPr="00FA4B2D" w:rsidRDefault="3A7FC69B" w:rsidP="00411720">
      <w:pPr>
        <w:pStyle w:val="Prrafodelista"/>
        <w:numPr>
          <w:ilvl w:val="1"/>
          <w:numId w:val="93"/>
        </w:numPr>
        <w:spacing w:after="0" w:line="240" w:lineRule="auto"/>
        <w:ind w:left="709" w:hanging="709"/>
        <w:jc w:val="both"/>
        <w:rPr>
          <w:rFonts w:cs="Arial"/>
        </w:rPr>
      </w:pPr>
      <w:r w:rsidRPr="00FA4B2D">
        <w:rPr>
          <w:rFonts w:cs="Arial"/>
        </w:rPr>
        <w:t>Construcción, reconstrucción o rehabilitación de represas</w:t>
      </w:r>
      <w:r w:rsidR="006A3DBC" w:rsidRPr="00FA4B2D">
        <w:rPr>
          <w:rStyle w:val="Refdenotaalpie"/>
          <w:rFonts w:cs="Arial"/>
        </w:rPr>
        <w:footnoteReference w:id="47"/>
      </w:r>
      <w:r w:rsidRPr="00FA4B2D">
        <w:rPr>
          <w:rFonts w:cs="Arial"/>
        </w:rPr>
        <w:t xml:space="preserve">. </w:t>
      </w:r>
    </w:p>
    <w:p w14:paraId="5BB5C16B" w14:textId="77777777" w:rsidR="006A3DBC" w:rsidRPr="00FA4B2D" w:rsidRDefault="006A3DBC" w:rsidP="00411720">
      <w:pPr>
        <w:pStyle w:val="Prrafodelista"/>
        <w:numPr>
          <w:ilvl w:val="1"/>
          <w:numId w:val="93"/>
        </w:numPr>
        <w:spacing w:after="0" w:line="240" w:lineRule="auto"/>
        <w:ind w:left="709" w:hanging="709"/>
        <w:jc w:val="both"/>
        <w:rPr>
          <w:rFonts w:cs="Arial"/>
        </w:rPr>
      </w:pPr>
      <w:r w:rsidRPr="00FA4B2D">
        <w:rPr>
          <w:rFonts w:cs="Arial"/>
        </w:rPr>
        <w:t>PdNs en áreas ambiental o socialmente frágiles o con conflictos, o donde no se garantice la salud e integridad física de los participantes.</w:t>
      </w:r>
    </w:p>
    <w:p w14:paraId="66CA113E" w14:textId="77777777" w:rsidR="006A3DBC" w:rsidRPr="00FA4B2D" w:rsidRDefault="006A3DBC" w:rsidP="00411720">
      <w:pPr>
        <w:pStyle w:val="Prrafodelista"/>
        <w:numPr>
          <w:ilvl w:val="1"/>
          <w:numId w:val="93"/>
        </w:numPr>
        <w:spacing w:after="0" w:line="240" w:lineRule="auto"/>
        <w:ind w:left="709" w:hanging="709"/>
        <w:jc w:val="both"/>
        <w:rPr>
          <w:rFonts w:cs="Arial"/>
        </w:rPr>
      </w:pPr>
      <w:r w:rsidRPr="00FA4B2D">
        <w:rPr>
          <w:rFonts w:cs="Arial"/>
        </w:rPr>
        <w:t>Actividades políticas o religiosas de cualquier índole.</w:t>
      </w:r>
    </w:p>
    <w:p w14:paraId="71045C86" w14:textId="77777777" w:rsidR="006A3DBC" w:rsidRPr="00FA4B2D" w:rsidRDefault="006A3DBC" w:rsidP="00411720">
      <w:pPr>
        <w:pStyle w:val="Prrafodelista"/>
        <w:numPr>
          <w:ilvl w:val="1"/>
          <w:numId w:val="93"/>
        </w:numPr>
        <w:spacing w:after="0" w:line="240" w:lineRule="auto"/>
        <w:ind w:left="709" w:hanging="709"/>
        <w:jc w:val="both"/>
        <w:rPr>
          <w:rFonts w:cs="Arial"/>
        </w:rPr>
      </w:pPr>
      <w:r w:rsidRPr="00FA4B2D">
        <w:rPr>
          <w:rFonts w:cs="Arial"/>
        </w:rPr>
        <w:t>Cualquier actividad ilícita.</w:t>
      </w:r>
    </w:p>
    <w:p w14:paraId="4F5E7B30" w14:textId="77777777" w:rsidR="006A3DBC" w:rsidRPr="00FA4B2D" w:rsidRDefault="006A3DBC" w:rsidP="00411720">
      <w:pPr>
        <w:pStyle w:val="Prrafodelista"/>
        <w:numPr>
          <w:ilvl w:val="1"/>
          <w:numId w:val="93"/>
        </w:numPr>
        <w:spacing w:after="0" w:line="240" w:lineRule="auto"/>
        <w:ind w:left="709" w:hanging="709"/>
        <w:jc w:val="both"/>
        <w:rPr>
          <w:rFonts w:cs="Arial"/>
        </w:rPr>
      </w:pPr>
      <w:r w:rsidRPr="00FA4B2D">
        <w:rPr>
          <w:rFonts w:cs="Arial"/>
        </w:rPr>
        <w:t>Compra de armas o drogas.</w:t>
      </w:r>
    </w:p>
    <w:p w14:paraId="76A8B9AD" w14:textId="77777777" w:rsidR="006A3DBC" w:rsidRPr="00FA4B2D" w:rsidRDefault="006A3DBC" w:rsidP="00411720">
      <w:pPr>
        <w:pStyle w:val="Prrafodelista"/>
        <w:numPr>
          <w:ilvl w:val="1"/>
          <w:numId w:val="93"/>
        </w:numPr>
        <w:spacing w:after="0" w:line="240" w:lineRule="auto"/>
        <w:ind w:left="709" w:hanging="709"/>
        <w:jc w:val="both"/>
        <w:rPr>
          <w:rFonts w:cs="Arial"/>
        </w:rPr>
      </w:pPr>
      <w:r w:rsidRPr="00FA4B2D">
        <w:rPr>
          <w:rFonts w:cs="Arial"/>
        </w:rPr>
        <w:t>Compra de vehículos u otros artículos para uso personal.</w:t>
      </w:r>
    </w:p>
    <w:p w14:paraId="41E80880" w14:textId="77777777" w:rsidR="006A3DBC" w:rsidRPr="00FA4B2D" w:rsidRDefault="006A3DBC" w:rsidP="00411720">
      <w:pPr>
        <w:pStyle w:val="Prrafodelista"/>
        <w:numPr>
          <w:ilvl w:val="1"/>
          <w:numId w:val="93"/>
        </w:numPr>
        <w:spacing w:after="0" w:line="240" w:lineRule="auto"/>
        <w:ind w:left="709" w:hanging="709"/>
        <w:jc w:val="both"/>
        <w:rPr>
          <w:rFonts w:cs="Arial"/>
        </w:rPr>
      </w:pPr>
      <w:r w:rsidRPr="00FA4B2D">
        <w:rPr>
          <w:rFonts w:cs="Arial"/>
        </w:rPr>
        <w:t>Bienes usados (infraestructura, maquinaria o equipo).</w:t>
      </w:r>
    </w:p>
    <w:p w14:paraId="7D9AEAA4" w14:textId="77777777" w:rsidR="006A3DBC" w:rsidRPr="00FA4B2D" w:rsidRDefault="006A3DBC" w:rsidP="00411720">
      <w:pPr>
        <w:pStyle w:val="Prrafodelista"/>
        <w:numPr>
          <w:ilvl w:val="1"/>
          <w:numId w:val="93"/>
        </w:numPr>
        <w:spacing w:after="0" w:line="240" w:lineRule="auto"/>
        <w:ind w:left="709" w:hanging="709"/>
        <w:jc w:val="both"/>
        <w:rPr>
          <w:rFonts w:cs="Arial"/>
        </w:rPr>
      </w:pPr>
      <w:r w:rsidRPr="00FA4B2D">
        <w:rPr>
          <w:rFonts w:cs="Arial"/>
        </w:rPr>
        <w:t>Adicionalmente, no se financiarán PdNs en tierras que presenten las siguientes condiciones:</w:t>
      </w:r>
    </w:p>
    <w:p w14:paraId="3B28951B" w14:textId="77777777" w:rsidR="006A3DBC" w:rsidRPr="00FA4B2D" w:rsidRDefault="006A3DBC" w:rsidP="006A3DBC">
      <w:pPr>
        <w:spacing w:after="0" w:line="240" w:lineRule="auto"/>
        <w:ind w:left="709" w:hanging="1"/>
        <w:jc w:val="both"/>
        <w:rPr>
          <w:rFonts w:cs="Arial"/>
        </w:rPr>
      </w:pPr>
      <w:r w:rsidRPr="00FA4B2D">
        <w:rPr>
          <w:rFonts w:cs="Arial"/>
        </w:rPr>
        <w:t>- predios que traslapen con áreas protegidas, bosque nacional o ejidal, u otra tierra    de dominio público no susceptible a la titulación;</w:t>
      </w:r>
    </w:p>
    <w:p w14:paraId="1EED0CA5" w14:textId="77777777" w:rsidR="006A3DBC" w:rsidRPr="00FA4B2D" w:rsidRDefault="006A3DBC" w:rsidP="006A3DBC">
      <w:pPr>
        <w:spacing w:after="0" w:line="240" w:lineRule="auto"/>
        <w:ind w:left="709" w:hanging="1"/>
        <w:jc w:val="both"/>
        <w:rPr>
          <w:rFonts w:cs="Arial"/>
        </w:rPr>
      </w:pPr>
      <w:r w:rsidRPr="00FA4B2D">
        <w:rPr>
          <w:rFonts w:cs="Arial"/>
        </w:rPr>
        <w:t>- tierras invadidas;</w:t>
      </w:r>
    </w:p>
    <w:p w14:paraId="070AD5A2" w14:textId="77777777" w:rsidR="006A3DBC" w:rsidRPr="00FA4B2D" w:rsidRDefault="006A3DBC" w:rsidP="006A3DBC">
      <w:pPr>
        <w:spacing w:after="0" w:line="240" w:lineRule="auto"/>
        <w:ind w:left="709" w:hanging="1"/>
        <w:jc w:val="both"/>
        <w:rPr>
          <w:rFonts w:cs="Arial"/>
        </w:rPr>
      </w:pPr>
      <w:r w:rsidRPr="00FA4B2D">
        <w:rPr>
          <w:rFonts w:cs="Arial"/>
        </w:rPr>
        <w:t>- tierras que presentan condición dolosa cualquiera;</w:t>
      </w:r>
    </w:p>
    <w:p w14:paraId="45B26A76" w14:textId="77777777" w:rsidR="006A3DBC" w:rsidRPr="00FA4B2D" w:rsidRDefault="006A3DBC" w:rsidP="006A3DBC">
      <w:pPr>
        <w:spacing w:after="0" w:line="240" w:lineRule="auto"/>
        <w:ind w:left="709" w:hanging="1"/>
        <w:jc w:val="both"/>
        <w:rPr>
          <w:rFonts w:cs="Arial"/>
        </w:rPr>
      </w:pPr>
      <w:r w:rsidRPr="00FA4B2D">
        <w:rPr>
          <w:rFonts w:cs="Arial"/>
        </w:rPr>
        <w:t xml:space="preserve">- tierras en las cuales se hayan iniciado trámites de afectación. </w:t>
      </w:r>
    </w:p>
    <w:p w14:paraId="68AB1D10" w14:textId="77777777" w:rsidR="006A3DBC" w:rsidRPr="00FA4B2D" w:rsidRDefault="006A3DBC" w:rsidP="00411720">
      <w:pPr>
        <w:pStyle w:val="Prrafodelista"/>
        <w:numPr>
          <w:ilvl w:val="1"/>
          <w:numId w:val="93"/>
        </w:numPr>
        <w:spacing w:after="0" w:line="240" w:lineRule="auto"/>
        <w:ind w:left="709" w:hanging="709"/>
        <w:jc w:val="both"/>
        <w:rPr>
          <w:rFonts w:cs="Arial"/>
        </w:rPr>
      </w:pPr>
      <w:r w:rsidRPr="00FA4B2D">
        <w:rPr>
          <w:rFonts w:cs="Arial"/>
        </w:rPr>
        <w:t>Actividades que puedan tener repercusiones adversas en la tierra y los recursos naturales en la propiedad tradicional o bajo uso u ocupación de poblaciones indígenas, afrodescendientes o vulnerables.</w:t>
      </w:r>
    </w:p>
    <w:p w14:paraId="0786D3BF" w14:textId="77777777" w:rsidR="006A3DBC" w:rsidRPr="00FA4B2D" w:rsidRDefault="006A3DBC" w:rsidP="00411720">
      <w:pPr>
        <w:pStyle w:val="Prrafodelista"/>
        <w:numPr>
          <w:ilvl w:val="1"/>
          <w:numId w:val="93"/>
        </w:numPr>
        <w:spacing w:after="0" w:line="240" w:lineRule="auto"/>
        <w:ind w:left="709" w:hanging="709"/>
        <w:jc w:val="both"/>
        <w:rPr>
          <w:rFonts w:cs="Arial"/>
        </w:rPr>
      </w:pPr>
      <w:r w:rsidRPr="00FA4B2D">
        <w:rPr>
          <w:rFonts w:cs="Arial"/>
        </w:rPr>
        <w:t xml:space="preserve">Actividades que pueden causar la reubicación de los pueblos indígenas de la tierra y los recursos naturales sujetos a la propiedad tradicional o bajo uso u ocupación consuetudinaria. </w:t>
      </w:r>
    </w:p>
    <w:p w14:paraId="5A75ED33" w14:textId="77777777" w:rsidR="006A3DBC" w:rsidRPr="00FA4B2D" w:rsidRDefault="006A3DBC" w:rsidP="00411720">
      <w:pPr>
        <w:pStyle w:val="Prrafodelista"/>
        <w:numPr>
          <w:ilvl w:val="1"/>
          <w:numId w:val="93"/>
        </w:numPr>
        <w:spacing w:after="0" w:line="240" w:lineRule="auto"/>
        <w:ind w:left="709" w:hanging="709"/>
        <w:jc w:val="both"/>
        <w:rPr>
          <w:rFonts w:cs="Arial"/>
        </w:rPr>
      </w:pPr>
      <w:r w:rsidRPr="00FA4B2D">
        <w:rPr>
          <w:rFonts w:cs="Arial"/>
        </w:rPr>
        <w:lastRenderedPageBreak/>
        <w:t xml:space="preserve">Actividades que tengan repercusiones significativas en el patrimonio cultural de los pueblos indígenas. Su patrimonio cultural, el cual es fundamental para la identificad y/o aspectos culturales, ceremoniales o espirituales en su vida. </w:t>
      </w:r>
    </w:p>
    <w:p w14:paraId="79199ACF" w14:textId="77777777" w:rsidR="006A3DBC" w:rsidRPr="00FA4B2D" w:rsidRDefault="006A3DBC" w:rsidP="00411720">
      <w:pPr>
        <w:pStyle w:val="Prrafodelista"/>
        <w:numPr>
          <w:ilvl w:val="1"/>
          <w:numId w:val="93"/>
        </w:numPr>
        <w:spacing w:after="0" w:line="240" w:lineRule="auto"/>
        <w:ind w:left="709" w:hanging="709"/>
        <w:jc w:val="both"/>
        <w:rPr>
          <w:rFonts w:cs="Arial"/>
        </w:rPr>
      </w:pPr>
      <w:r w:rsidRPr="00FA4B2D">
        <w:rPr>
          <w:rFonts w:cs="Arial"/>
        </w:rPr>
        <w:t>PdNs donde identifique la presencia de trabajo infantil entre los productores o postulantes a los fondos del Programa COMRURAL.</w:t>
      </w:r>
    </w:p>
    <w:p w14:paraId="6654FCDF" w14:textId="77777777" w:rsidR="006A3DBC" w:rsidRPr="00FA4B2D" w:rsidRDefault="006A3DBC" w:rsidP="00411720">
      <w:pPr>
        <w:pStyle w:val="Prrafodelista"/>
        <w:numPr>
          <w:ilvl w:val="1"/>
          <w:numId w:val="93"/>
        </w:numPr>
        <w:spacing w:after="0" w:line="240" w:lineRule="auto"/>
        <w:ind w:left="709" w:hanging="709"/>
        <w:jc w:val="both"/>
        <w:rPr>
          <w:rFonts w:cs="Arial"/>
        </w:rPr>
      </w:pPr>
      <w:r w:rsidRPr="00FA4B2D">
        <w:rPr>
          <w:rFonts w:cs="Arial"/>
        </w:rPr>
        <w:t>Proyectos con categoría ambiental 4 según la Tabla de Categorización Ambiental vigente o criterio de la DECA en SERNA.</w:t>
      </w:r>
    </w:p>
    <w:p w14:paraId="40732A18" w14:textId="77777777" w:rsidR="00AF0A0E" w:rsidRPr="00FA4B2D" w:rsidRDefault="00AF0A0E" w:rsidP="006A3DBC">
      <w:pPr>
        <w:spacing w:after="0" w:line="240" w:lineRule="auto"/>
        <w:ind w:left="709" w:hanging="1"/>
        <w:jc w:val="both"/>
        <w:rPr>
          <w:rFonts w:cs="Arial"/>
        </w:rPr>
      </w:pPr>
    </w:p>
    <w:p w14:paraId="65C66769" w14:textId="77777777" w:rsidR="006A3DBC" w:rsidRPr="00FA4B2D" w:rsidRDefault="3A7FC69B" w:rsidP="1AE1F893">
      <w:pPr>
        <w:pStyle w:val="Ttulo2"/>
        <w:numPr>
          <w:ilvl w:val="1"/>
          <w:numId w:val="34"/>
        </w:numPr>
        <w:spacing w:before="0" w:line="240" w:lineRule="auto"/>
        <w:jc w:val="both"/>
        <w:rPr>
          <w:rFonts w:ascii="Arial" w:hAnsi="Arial" w:cs="Arial"/>
          <w:b/>
          <w:bCs/>
          <w:color w:val="767171" w:themeColor="background2" w:themeShade="80"/>
          <w:sz w:val="22"/>
          <w:szCs w:val="22"/>
        </w:rPr>
      </w:pPr>
      <w:bookmarkStart w:id="1209" w:name="_Toc65884207"/>
      <w:bookmarkStart w:id="1210" w:name="_Toc67573428"/>
      <w:bookmarkStart w:id="1211" w:name="_Toc202456956"/>
      <w:r w:rsidRPr="00FA4B2D">
        <w:rPr>
          <w:rFonts w:ascii="Arial" w:hAnsi="Arial" w:cs="Arial"/>
          <w:b/>
          <w:bCs/>
          <w:color w:val="767171" w:themeColor="background2" w:themeShade="80"/>
          <w:sz w:val="22"/>
          <w:szCs w:val="22"/>
        </w:rPr>
        <w:t>Procedimientos de evaluación ambiental y social</w:t>
      </w:r>
      <w:bookmarkEnd w:id="1209"/>
      <w:bookmarkEnd w:id="1210"/>
      <w:bookmarkEnd w:id="1211"/>
      <w:r w:rsidRPr="00FA4B2D">
        <w:rPr>
          <w:rFonts w:ascii="Arial" w:hAnsi="Arial" w:cs="Arial"/>
          <w:b/>
          <w:bCs/>
          <w:color w:val="767171" w:themeColor="background2" w:themeShade="80"/>
          <w:sz w:val="22"/>
          <w:szCs w:val="22"/>
        </w:rPr>
        <w:t xml:space="preserve"> </w:t>
      </w:r>
    </w:p>
    <w:p w14:paraId="077A24CE" w14:textId="77777777" w:rsidR="006A3DBC" w:rsidRPr="00FA4B2D" w:rsidRDefault="006A3DBC" w:rsidP="006A3DBC">
      <w:pPr>
        <w:rPr>
          <w:rFonts w:cs="Arial"/>
          <w:sz w:val="6"/>
          <w:szCs w:val="6"/>
        </w:rPr>
      </w:pPr>
    </w:p>
    <w:p w14:paraId="73E29766" w14:textId="77777777" w:rsidR="006A3DBC" w:rsidRPr="00FA4B2D" w:rsidRDefault="006A3DBC" w:rsidP="006A3DBC">
      <w:pPr>
        <w:spacing w:after="0" w:line="240" w:lineRule="auto"/>
        <w:jc w:val="both"/>
        <w:rPr>
          <w:rFonts w:cs="Arial"/>
        </w:rPr>
      </w:pPr>
      <w:r w:rsidRPr="00FA4B2D">
        <w:rPr>
          <w:rFonts w:cs="Arial"/>
        </w:rPr>
        <w:t xml:space="preserve">El procedimiento de evaluación ambiental y social para el COMRURAL Fase III iniciará con la recepción de perfiles presentados por los interesados en participar según convocatorias públicas regulares y aquellas diferenciadas por criterios de inclusión social que se puedan desarrollar. </w:t>
      </w:r>
    </w:p>
    <w:p w14:paraId="56D71678" w14:textId="77777777" w:rsidR="006A3DBC" w:rsidRPr="00FA4B2D" w:rsidRDefault="006A3DBC" w:rsidP="006A3DBC">
      <w:pPr>
        <w:spacing w:after="0" w:line="240" w:lineRule="auto"/>
        <w:jc w:val="both"/>
        <w:rPr>
          <w:rFonts w:cs="Arial"/>
        </w:rPr>
      </w:pPr>
    </w:p>
    <w:p w14:paraId="1485E186" w14:textId="77777777" w:rsidR="006A3DBC" w:rsidRPr="00FA4B2D" w:rsidRDefault="006A3DBC" w:rsidP="006A3DBC">
      <w:pPr>
        <w:spacing w:after="0" w:line="240" w:lineRule="auto"/>
        <w:jc w:val="both"/>
        <w:rPr>
          <w:rFonts w:cs="Arial"/>
        </w:rPr>
      </w:pPr>
      <w:r w:rsidRPr="00FA4B2D">
        <w:rPr>
          <w:rFonts w:cs="Arial"/>
        </w:rPr>
        <w:t>Al recibir el perfil de negocios la coordinación del Comité de Evaluación (CE) del cual forman parte el especialista ambiental y social del COMRURAL, notificará la evaluación y calificación de perfiles recibidos según tiempos establecidos en el MOP.</w:t>
      </w:r>
    </w:p>
    <w:p w14:paraId="6F2982AE" w14:textId="77777777" w:rsidR="006A3DBC" w:rsidRPr="00FA4B2D" w:rsidRDefault="006A3DBC" w:rsidP="006A3DBC">
      <w:pPr>
        <w:spacing w:after="0" w:line="240" w:lineRule="auto"/>
        <w:jc w:val="both"/>
        <w:rPr>
          <w:rFonts w:cs="Arial"/>
        </w:rPr>
      </w:pPr>
    </w:p>
    <w:p w14:paraId="26874579" w14:textId="13ED0B8A" w:rsidR="006A3DBC" w:rsidRPr="00FA4B2D" w:rsidRDefault="006A3DBC" w:rsidP="006A3DBC">
      <w:pPr>
        <w:spacing w:after="0" w:line="240" w:lineRule="auto"/>
        <w:jc w:val="both"/>
        <w:rPr>
          <w:rFonts w:cs="Arial"/>
        </w:rPr>
      </w:pPr>
      <w:r w:rsidRPr="00FA4B2D">
        <w:rPr>
          <w:rFonts w:cs="Arial"/>
        </w:rPr>
        <w:t>En el caso específico de la propiedad de la tenencia de la tierra, en los sitios de inversiones en construcciones/ edificaciones, se exige expresamente a los Grupos de Productores /</w:t>
      </w:r>
      <w:r w:rsidR="00C2176D" w:rsidRPr="00FA4B2D">
        <w:rPr>
          <w:rFonts w:cs="Arial"/>
        </w:rPr>
        <w:t>OPRs</w:t>
      </w:r>
      <w:r w:rsidRPr="00FA4B2D">
        <w:rPr>
          <w:rFonts w:cs="Arial"/>
        </w:rPr>
        <w:t xml:space="preserve"> que sea de su propiedad, </w:t>
      </w:r>
      <w:r w:rsidR="4868A03D" w:rsidRPr="00FA4B2D">
        <w:rPr>
          <w:rFonts w:cs="Arial"/>
        </w:rPr>
        <w:t>respaldado</w:t>
      </w:r>
      <w:r w:rsidRPr="00FA4B2D">
        <w:rPr>
          <w:rFonts w:cs="Arial"/>
        </w:rPr>
        <w:t xml:space="preserve"> con un documento legal extendido</w:t>
      </w:r>
      <w:r w:rsidR="009971E1" w:rsidRPr="00FA4B2D">
        <w:rPr>
          <w:rFonts w:cs="Arial"/>
        </w:rPr>
        <w:t xml:space="preserve"> </w:t>
      </w:r>
      <w:r w:rsidRPr="00FA4B2D">
        <w:rPr>
          <w:rFonts w:cs="Arial"/>
        </w:rPr>
        <w:t>por organismo competente</w:t>
      </w:r>
      <w:r w:rsidR="3F8A98B8" w:rsidRPr="00FA4B2D">
        <w:rPr>
          <w:rFonts w:cs="Arial"/>
        </w:rPr>
        <w:t xml:space="preserve"> y debidamente registrado, conforme la legislación nacional.</w:t>
      </w:r>
      <w:r w:rsidRPr="00FA4B2D">
        <w:rPr>
          <w:rFonts w:cs="Arial"/>
        </w:rPr>
        <w:t xml:space="preserve"> (. En el caso de títulos colectivos, comunitarios, ancestrales de pueblos indígenas y/o afrodescendientes, será válido para el Proyecto, un documento autorizado por la estructura de gobernanza/ administración/ custodia del título para hacer usufructo por un periodo de tiempo razonable para los fines del plan de negocios y bajo los parámetros que los beneficiarios con la estructura de gobernanza de la tierra hayan </w:t>
      </w:r>
      <w:r w:rsidR="00AF0A0E" w:rsidRPr="00FA4B2D">
        <w:rPr>
          <w:rFonts w:cs="Arial"/>
        </w:rPr>
        <w:t>establecido.</w:t>
      </w:r>
      <w:r w:rsidRPr="00FA4B2D">
        <w:rPr>
          <w:rFonts w:cs="Arial"/>
        </w:rPr>
        <w:t xml:space="preserve"> </w:t>
      </w:r>
    </w:p>
    <w:p w14:paraId="2E80FAF7" w14:textId="77777777" w:rsidR="006A3DBC" w:rsidRPr="00FA4B2D" w:rsidRDefault="006A3DBC" w:rsidP="006A3DBC">
      <w:pPr>
        <w:spacing w:after="0" w:line="240" w:lineRule="auto"/>
        <w:ind w:left="360"/>
        <w:jc w:val="both"/>
        <w:rPr>
          <w:rFonts w:cs="Arial"/>
        </w:rPr>
      </w:pPr>
    </w:p>
    <w:p w14:paraId="25289E90" w14:textId="77777777" w:rsidR="006A3DBC" w:rsidRPr="00FA4B2D" w:rsidRDefault="006A3DBC" w:rsidP="006A3DBC">
      <w:pPr>
        <w:spacing w:after="0" w:line="240" w:lineRule="auto"/>
        <w:jc w:val="both"/>
        <w:rPr>
          <w:rFonts w:cs="Arial"/>
        </w:rPr>
      </w:pPr>
      <w:r w:rsidRPr="00FA4B2D">
        <w:rPr>
          <w:rFonts w:cs="Arial"/>
        </w:rPr>
        <w:t>Para desarrollar la actividad de calificación se hará uso de los instrumentos aprobados para tal objetivo en el MOP, pero agregando la tabla de determinación de la sensibilidad ambiental, como el primer momento especifico de la evaluación social y ambiental, su aplicación ocupará reconocimiento de campo y entrevista con los proponentes e interesados en participar como beneficiarios del Proyecto COMRURAL. La calificación del CE sumado a los resultados de la tabla de determinación de la sensibilidad permitirá disponer de un mejor criterio para el dictamen socioambiental de la propuesta de negocio recibida.</w:t>
      </w:r>
    </w:p>
    <w:p w14:paraId="2257C312" w14:textId="77777777" w:rsidR="006A3DBC" w:rsidRPr="00FA4B2D" w:rsidRDefault="006A3DBC" w:rsidP="006A3DBC">
      <w:pPr>
        <w:spacing w:after="0" w:line="240" w:lineRule="auto"/>
        <w:jc w:val="both"/>
        <w:rPr>
          <w:rFonts w:cs="Arial"/>
        </w:rPr>
      </w:pPr>
    </w:p>
    <w:p w14:paraId="1BE34B54" w14:textId="77777777" w:rsidR="006A3DBC" w:rsidRPr="00FA4B2D" w:rsidRDefault="006A3DBC" w:rsidP="006A3DBC">
      <w:pPr>
        <w:spacing w:after="0" w:line="240" w:lineRule="auto"/>
        <w:jc w:val="both"/>
        <w:rPr>
          <w:rFonts w:cs="Arial"/>
        </w:rPr>
      </w:pPr>
      <w:r w:rsidRPr="00FA4B2D">
        <w:rPr>
          <w:rFonts w:cs="Arial"/>
        </w:rPr>
        <w:t>Para la selección de los subproyectos a financiar, se aplicará la tabla para la determinación de la sensibilidad ambiental. Los subproyectos, de sensibilidad alta no serán aprobados por COMRURAL III y los subproyectos de sensibilidad moderada y baja, deberán desarrollar e implementar un PGAS en el cual se adopten medidas diferenciadas para que los impactos adversos no afecten en forma desproporcionada a los menos favorecidos y vulnerables, y para que estos no se encuentren en desventaja en la distribución de los beneficios de desarrollo y las oportunidades resultantes del subproyecto.</w:t>
      </w:r>
    </w:p>
    <w:p w14:paraId="09F265A8" w14:textId="48A2224B" w:rsidR="000E6D86" w:rsidRDefault="000E6D86" w:rsidP="000E6D86">
      <w:pPr>
        <w:pStyle w:val="Descripcin"/>
        <w:keepNext/>
      </w:pPr>
      <w:bookmarkStart w:id="1212" w:name="_Toc202455487"/>
      <w:r>
        <w:lastRenderedPageBreak/>
        <w:t xml:space="preserve">Tabla </w:t>
      </w:r>
      <w:r>
        <w:fldChar w:fldCharType="begin"/>
      </w:r>
      <w:r>
        <w:instrText xml:space="preserve"> SEQ Tabla \* ARABIC </w:instrText>
      </w:r>
      <w:r>
        <w:fldChar w:fldCharType="separate"/>
      </w:r>
      <w:r>
        <w:rPr>
          <w:noProof/>
        </w:rPr>
        <w:t>61</w:t>
      </w:r>
      <w:r>
        <w:fldChar w:fldCharType="end"/>
      </w:r>
      <w:r>
        <w:t xml:space="preserve">: </w:t>
      </w:r>
      <w:r w:rsidRPr="00854738">
        <w:t>Tabla para la determinación de la Sensibilidad Ambiental</w:t>
      </w:r>
      <w:bookmarkEnd w:id="1212"/>
    </w:p>
    <w:tbl>
      <w:tblPr>
        <w:tblW w:w="878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103"/>
        <w:gridCol w:w="1984"/>
      </w:tblGrid>
      <w:tr w:rsidR="007A1D1C" w:rsidRPr="00FA4B2D" w14:paraId="5E5E9C1D" w14:textId="77777777" w:rsidTr="00FF59A0">
        <w:trPr>
          <w:trHeight w:val="715"/>
          <w:tblHeader/>
        </w:trPr>
        <w:tc>
          <w:tcPr>
            <w:tcW w:w="1701" w:type="dxa"/>
            <w:shd w:val="clear" w:color="auto" w:fill="BDD6EE" w:themeFill="accent1" w:themeFillTint="66"/>
            <w:vAlign w:val="center"/>
          </w:tcPr>
          <w:p w14:paraId="06142763" w14:textId="77777777" w:rsidR="007A1D1C" w:rsidRPr="00FA4B2D" w:rsidRDefault="007A1D1C" w:rsidP="00FF59A0">
            <w:pPr>
              <w:widowControl w:val="0"/>
              <w:spacing w:after="0" w:line="240" w:lineRule="auto"/>
              <w:ind w:right="103"/>
              <w:contextualSpacing/>
              <w:jc w:val="center"/>
              <w:rPr>
                <w:rFonts w:eastAsia="Times New Roman" w:cs="Arial"/>
                <w:b/>
                <w:sz w:val="20"/>
                <w:szCs w:val="20"/>
                <w:lang w:val="es-ES_tradnl"/>
              </w:rPr>
            </w:pPr>
            <w:r w:rsidRPr="00FA4B2D">
              <w:rPr>
                <w:rFonts w:eastAsia="Times New Roman" w:cs="Arial"/>
                <w:b/>
                <w:sz w:val="20"/>
                <w:szCs w:val="20"/>
                <w:lang w:val="es-ES_tradnl"/>
              </w:rPr>
              <w:t>Sensibilidad al Medio</w:t>
            </w:r>
          </w:p>
        </w:tc>
        <w:tc>
          <w:tcPr>
            <w:tcW w:w="5103" w:type="dxa"/>
            <w:shd w:val="clear" w:color="auto" w:fill="BDD6EE" w:themeFill="accent1" w:themeFillTint="66"/>
            <w:vAlign w:val="center"/>
          </w:tcPr>
          <w:p w14:paraId="4E37B783" w14:textId="77777777" w:rsidR="007A1D1C" w:rsidRPr="00FA4B2D" w:rsidRDefault="007A1D1C" w:rsidP="00FF59A0">
            <w:pPr>
              <w:widowControl w:val="0"/>
              <w:spacing w:after="0" w:line="240" w:lineRule="auto"/>
              <w:ind w:right="103"/>
              <w:contextualSpacing/>
              <w:jc w:val="center"/>
              <w:rPr>
                <w:rFonts w:eastAsia="Times New Roman" w:cs="Arial"/>
                <w:b/>
                <w:sz w:val="20"/>
                <w:szCs w:val="20"/>
                <w:lang w:val="es-ES_tradnl"/>
              </w:rPr>
            </w:pPr>
            <w:r w:rsidRPr="00FA4B2D">
              <w:rPr>
                <w:rFonts w:eastAsia="Times New Roman" w:cs="Arial"/>
                <w:b/>
                <w:sz w:val="20"/>
                <w:szCs w:val="20"/>
                <w:lang w:val="es-ES_tradnl"/>
              </w:rPr>
              <w:t>Características del Área donde se tiene previsto Desarrollar el Plan de Negocio</w:t>
            </w:r>
          </w:p>
        </w:tc>
        <w:tc>
          <w:tcPr>
            <w:tcW w:w="1984" w:type="dxa"/>
            <w:shd w:val="clear" w:color="auto" w:fill="BDD6EE" w:themeFill="accent1" w:themeFillTint="66"/>
            <w:vAlign w:val="center"/>
          </w:tcPr>
          <w:p w14:paraId="4A87FF6C" w14:textId="77777777" w:rsidR="007A1D1C" w:rsidRPr="00FA4B2D" w:rsidRDefault="007A1D1C" w:rsidP="00FF59A0">
            <w:pPr>
              <w:widowControl w:val="0"/>
              <w:spacing w:after="0" w:line="240" w:lineRule="auto"/>
              <w:ind w:right="103"/>
              <w:contextualSpacing/>
              <w:jc w:val="center"/>
              <w:rPr>
                <w:rFonts w:eastAsia="Times New Roman" w:cs="Arial"/>
                <w:b/>
                <w:sz w:val="20"/>
                <w:szCs w:val="20"/>
                <w:lang w:val="es-ES_tradnl"/>
              </w:rPr>
            </w:pPr>
            <w:r w:rsidRPr="00FA4B2D">
              <w:rPr>
                <w:rFonts w:eastAsia="Times New Roman" w:cs="Arial"/>
                <w:b/>
                <w:sz w:val="20"/>
                <w:szCs w:val="20"/>
                <w:lang w:val="es-ES_tradnl"/>
              </w:rPr>
              <w:t>Requerimientos</w:t>
            </w:r>
          </w:p>
        </w:tc>
      </w:tr>
      <w:tr w:rsidR="007A1D1C" w:rsidRPr="00FA4B2D" w14:paraId="4C338B86" w14:textId="77777777" w:rsidTr="00FF59A0">
        <w:tc>
          <w:tcPr>
            <w:tcW w:w="1701" w:type="dxa"/>
            <w:vMerge w:val="restart"/>
            <w:shd w:val="clear" w:color="auto" w:fill="FF0000"/>
            <w:vAlign w:val="center"/>
          </w:tcPr>
          <w:p w14:paraId="6E97E21E" w14:textId="77777777" w:rsidR="007A1D1C" w:rsidRPr="00FA4B2D" w:rsidRDefault="007A1D1C" w:rsidP="00FF59A0">
            <w:pPr>
              <w:widowControl w:val="0"/>
              <w:spacing w:after="0" w:line="240" w:lineRule="auto"/>
              <w:ind w:right="103"/>
              <w:contextualSpacing/>
              <w:jc w:val="center"/>
              <w:rPr>
                <w:rFonts w:eastAsia="Times New Roman" w:cs="Arial"/>
                <w:b/>
                <w:sz w:val="20"/>
                <w:szCs w:val="20"/>
                <w:lang w:val="es-ES_tradnl"/>
              </w:rPr>
            </w:pPr>
            <w:r w:rsidRPr="00FA4B2D">
              <w:rPr>
                <w:rFonts w:eastAsia="Times New Roman" w:cs="Arial"/>
                <w:b/>
                <w:sz w:val="20"/>
                <w:szCs w:val="20"/>
                <w:lang w:val="es-ES_tradnl"/>
              </w:rPr>
              <w:t>ALTA</w:t>
            </w:r>
          </w:p>
          <w:p w14:paraId="53CA9414" w14:textId="77777777" w:rsidR="007A1D1C" w:rsidRPr="00FA4B2D" w:rsidRDefault="007A1D1C" w:rsidP="00FF59A0">
            <w:pPr>
              <w:widowControl w:val="0"/>
              <w:spacing w:after="0" w:line="240" w:lineRule="auto"/>
              <w:ind w:right="103"/>
              <w:contextualSpacing/>
              <w:jc w:val="center"/>
              <w:rPr>
                <w:rFonts w:eastAsia="Times New Roman" w:cs="Arial"/>
                <w:b/>
                <w:sz w:val="20"/>
                <w:szCs w:val="20"/>
                <w:lang w:val="es-ES_tradnl"/>
              </w:rPr>
            </w:pPr>
            <w:r w:rsidRPr="00FA4B2D">
              <w:rPr>
                <w:rFonts w:eastAsia="Times New Roman" w:cs="Arial"/>
                <w:b/>
                <w:sz w:val="20"/>
                <w:szCs w:val="20"/>
                <w:lang w:val="es-ES_tradnl"/>
              </w:rPr>
              <w:t>(A)</w:t>
            </w:r>
          </w:p>
        </w:tc>
        <w:tc>
          <w:tcPr>
            <w:tcW w:w="5103" w:type="dxa"/>
            <w:vAlign w:val="center"/>
          </w:tcPr>
          <w:p w14:paraId="1D9FB4C9" w14:textId="77777777" w:rsidR="007A1D1C" w:rsidRPr="00FA4B2D" w:rsidRDefault="007A1D1C" w:rsidP="00FF59A0">
            <w:pPr>
              <w:autoSpaceDE w:val="0"/>
              <w:autoSpaceDN w:val="0"/>
              <w:adjustRightInd w:val="0"/>
              <w:spacing w:after="0" w:line="240" w:lineRule="auto"/>
              <w:contextualSpacing/>
              <w:jc w:val="both"/>
              <w:rPr>
                <w:rFonts w:cs="Arial"/>
                <w:sz w:val="20"/>
                <w:szCs w:val="20"/>
                <w:lang w:val="es-ES_tradnl"/>
              </w:rPr>
            </w:pPr>
            <w:r w:rsidRPr="00FA4B2D">
              <w:rPr>
                <w:rFonts w:cs="Arial"/>
                <w:sz w:val="20"/>
                <w:szCs w:val="20"/>
                <w:lang w:val="es-ES_tradnl"/>
              </w:rPr>
              <w:t>Área del PdN propuesta, se encuentra en hábitats naturales</w:t>
            </w:r>
            <w:r w:rsidRPr="00FA4B2D">
              <w:rPr>
                <w:rFonts w:cs="Arial"/>
                <w:sz w:val="20"/>
                <w:szCs w:val="20"/>
                <w:vertAlign w:val="superscript"/>
                <w:lang w:val="es-ES_tradnl"/>
              </w:rPr>
              <w:footnoteReference w:id="48"/>
            </w:r>
            <w:r w:rsidRPr="00FA4B2D">
              <w:rPr>
                <w:rFonts w:cs="Arial"/>
                <w:sz w:val="20"/>
                <w:szCs w:val="20"/>
                <w:lang w:val="es-ES_tradnl"/>
              </w:rPr>
              <w:t xml:space="preserve"> o críticos</w:t>
            </w:r>
            <w:r w:rsidRPr="00FA4B2D">
              <w:rPr>
                <w:rFonts w:cs="Arial"/>
                <w:sz w:val="20"/>
                <w:szCs w:val="20"/>
                <w:vertAlign w:val="superscript"/>
                <w:lang w:val="es-ES_tradnl"/>
              </w:rPr>
              <w:footnoteReference w:id="49"/>
            </w:r>
            <w:r w:rsidRPr="00FA4B2D">
              <w:rPr>
                <w:rFonts w:cs="Arial"/>
                <w:sz w:val="20"/>
                <w:szCs w:val="20"/>
                <w:lang w:val="es-ES_tradnl"/>
              </w:rPr>
              <w:t xml:space="preserve"> (Presencia de especies endémicas o en peligro de extinción, en zonas de protección especial).</w:t>
            </w:r>
          </w:p>
        </w:tc>
        <w:tc>
          <w:tcPr>
            <w:tcW w:w="1984" w:type="dxa"/>
            <w:vMerge w:val="restart"/>
            <w:vAlign w:val="center"/>
          </w:tcPr>
          <w:p w14:paraId="12E73D9E" w14:textId="77777777" w:rsidR="007A1D1C" w:rsidRPr="00FA4B2D" w:rsidRDefault="007A1D1C" w:rsidP="00FF59A0">
            <w:pPr>
              <w:spacing w:after="0" w:line="240" w:lineRule="auto"/>
              <w:jc w:val="both"/>
              <w:rPr>
                <w:rFonts w:cs="Arial"/>
                <w:sz w:val="20"/>
                <w:szCs w:val="20"/>
              </w:rPr>
            </w:pPr>
            <w:r w:rsidRPr="00FA4B2D">
              <w:rPr>
                <w:rFonts w:cs="Arial"/>
                <w:sz w:val="20"/>
                <w:szCs w:val="20"/>
              </w:rPr>
              <w:t xml:space="preserve">PdN excluidos de financiamiento. </w:t>
            </w:r>
          </w:p>
        </w:tc>
      </w:tr>
      <w:tr w:rsidR="007A1D1C" w:rsidRPr="00FA4B2D" w14:paraId="50B660A3" w14:textId="77777777" w:rsidTr="00FF59A0">
        <w:trPr>
          <w:trHeight w:val="423"/>
        </w:trPr>
        <w:tc>
          <w:tcPr>
            <w:tcW w:w="1701" w:type="dxa"/>
            <w:vMerge/>
            <w:vAlign w:val="center"/>
          </w:tcPr>
          <w:p w14:paraId="707C6533" w14:textId="77777777" w:rsidR="007A1D1C" w:rsidRPr="00FA4B2D" w:rsidRDefault="007A1D1C" w:rsidP="00FF59A0">
            <w:pPr>
              <w:widowControl w:val="0"/>
              <w:spacing w:after="0" w:line="240" w:lineRule="auto"/>
              <w:ind w:right="103"/>
              <w:contextualSpacing/>
              <w:jc w:val="both"/>
              <w:rPr>
                <w:rFonts w:eastAsia="Times New Roman" w:cs="Arial"/>
                <w:sz w:val="20"/>
                <w:szCs w:val="20"/>
                <w:lang w:val="es-ES_tradnl"/>
              </w:rPr>
            </w:pPr>
          </w:p>
        </w:tc>
        <w:tc>
          <w:tcPr>
            <w:tcW w:w="5103" w:type="dxa"/>
            <w:vAlign w:val="center"/>
          </w:tcPr>
          <w:p w14:paraId="6F434757" w14:textId="77777777" w:rsidR="007A1D1C" w:rsidRPr="00FA4B2D" w:rsidRDefault="007A1D1C" w:rsidP="00FF59A0">
            <w:pPr>
              <w:autoSpaceDE w:val="0"/>
              <w:autoSpaceDN w:val="0"/>
              <w:adjustRightInd w:val="0"/>
              <w:spacing w:after="0" w:line="240" w:lineRule="auto"/>
              <w:contextualSpacing/>
              <w:jc w:val="both"/>
              <w:rPr>
                <w:rFonts w:cs="Arial"/>
                <w:sz w:val="20"/>
                <w:szCs w:val="20"/>
                <w:lang w:val="es-ES_tradnl"/>
              </w:rPr>
            </w:pPr>
            <w:r w:rsidRPr="00FA4B2D">
              <w:rPr>
                <w:rFonts w:cs="Arial"/>
                <w:sz w:val="20"/>
                <w:szCs w:val="20"/>
                <w:lang w:val="es-ES_tradnl"/>
              </w:rPr>
              <w:t>PdN prevé el uso intensivo de sustancias químicas NO autorizadas para el control de plagas.</w:t>
            </w:r>
          </w:p>
        </w:tc>
        <w:tc>
          <w:tcPr>
            <w:tcW w:w="1984" w:type="dxa"/>
            <w:vMerge/>
            <w:vAlign w:val="center"/>
          </w:tcPr>
          <w:p w14:paraId="0314D184" w14:textId="77777777" w:rsidR="007A1D1C" w:rsidRPr="00FA4B2D" w:rsidRDefault="007A1D1C" w:rsidP="00FF59A0">
            <w:pPr>
              <w:autoSpaceDE w:val="0"/>
              <w:autoSpaceDN w:val="0"/>
              <w:adjustRightInd w:val="0"/>
              <w:spacing w:after="0" w:line="240" w:lineRule="auto"/>
              <w:contextualSpacing/>
              <w:jc w:val="both"/>
              <w:rPr>
                <w:rFonts w:cs="Arial"/>
                <w:sz w:val="20"/>
                <w:szCs w:val="20"/>
                <w:lang w:val="es-ES_tradnl"/>
              </w:rPr>
            </w:pPr>
          </w:p>
        </w:tc>
      </w:tr>
      <w:tr w:rsidR="007A1D1C" w:rsidRPr="00FA4B2D" w14:paraId="0B1D5090" w14:textId="77777777" w:rsidTr="00FF59A0">
        <w:tc>
          <w:tcPr>
            <w:tcW w:w="1701" w:type="dxa"/>
            <w:vMerge/>
            <w:vAlign w:val="center"/>
          </w:tcPr>
          <w:p w14:paraId="7FA62315" w14:textId="77777777" w:rsidR="007A1D1C" w:rsidRPr="00FA4B2D" w:rsidRDefault="007A1D1C" w:rsidP="00FF59A0">
            <w:pPr>
              <w:widowControl w:val="0"/>
              <w:spacing w:after="0" w:line="240" w:lineRule="auto"/>
              <w:ind w:right="103"/>
              <w:contextualSpacing/>
              <w:jc w:val="both"/>
              <w:rPr>
                <w:rFonts w:eastAsia="Times New Roman" w:cs="Arial"/>
                <w:sz w:val="20"/>
                <w:szCs w:val="20"/>
                <w:lang w:val="es-ES_tradnl"/>
              </w:rPr>
            </w:pPr>
          </w:p>
        </w:tc>
        <w:tc>
          <w:tcPr>
            <w:tcW w:w="5103" w:type="dxa"/>
            <w:vAlign w:val="center"/>
          </w:tcPr>
          <w:p w14:paraId="239CD39E" w14:textId="77777777" w:rsidR="007A1D1C" w:rsidRPr="00FA4B2D" w:rsidRDefault="007A1D1C" w:rsidP="00FF59A0">
            <w:pPr>
              <w:autoSpaceDE w:val="0"/>
              <w:autoSpaceDN w:val="0"/>
              <w:adjustRightInd w:val="0"/>
              <w:spacing w:after="0" w:line="240" w:lineRule="auto"/>
              <w:contextualSpacing/>
              <w:jc w:val="both"/>
              <w:rPr>
                <w:rFonts w:cs="Arial"/>
                <w:sz w:val="20"/>
                <w:szCs w:val="20"/>
                <w:lang w:val="es-ES_tradnl"/>
              </w:rPr>
            </w:pPr>
            <w:r w:rsidRPr="00FA4B2D">
              <w:rPr>
                <w:rFonts w:cs="Arial"/>
                <w:sz w:val="20"/>
                <w:szCs w:val="20"/>
                <w:lang w:val="es-ES_tradnl"/>
              </w:rPr>
              <w:t>Área del PdN se encuentra en terrenos montañosos con relieve accidentado (&gt; 30% de pendiente). Alto grado de erosión.</w:t>
            </w:r>
          </w:p>
        </w:tc>
        <w:tc>
          <w:tcPr>
            <w:tcW w:w="1984" w:type="dxa"/>
            <w:vMerge/>
            <w:vAlign w:val="center"/>
          </w:tcPr>
          <w:p w14:paraId="526F18F5" w14:textId="77777777" w:rsidR="007A1D1C" w:rsidRPr="00FA4B2D" w:rsidRDefault="007A1D1C" w:rsidP="00FF59A0">
            <w:pPr>
              <w:autoSpaceDE w:val="0"/>
              <w:autoSpaceDN w:val="0"/>
              <w:adjustRightInd w:val="0"/>
              <w:spacing w:after="0" w:line="240" w:lineRule="auto"/>
              <w:contextualSpacing/>
              <w:jc w:val="both"/>
              <w:rPr>
                <w:rFonts w:cs="Arial"/>
                <w:sz w:val="20"/>
                <w:szCs w:val="20"/>
                <w:lang w:val="es-ES_tradnl"/>
              </w:rPr>
            </w:pPr>
          </w:p>
        </w:tc>
      </w:tr>
      <w:tr w:rsidR="007A1D1C" w:rsidRPr="00FA4B2D" w14:paraId="6D42560C" w14:textId="77777777" w:rsidTr="00FF59A0">
        <w:tc>
          <w:tcPr>
            <w:tcW w:w="1701" w:type="dxa"/>
            <w:vMerge/>
            <w:vAlign w:val="center"/>
          </w:tcPr>
          <w:p w14:paraId="7EA86AD1" w14:textId="77777777" w:rsidR="007A1D1C" w:rsidRPr="00FA4B2D" w:rsidRDefault="007A1D1C" w:rsidP="00FF59A0">
            <w:pPr>
              <w:widowControl w:val="0"/>
              <w:spacing w:after="0" w:line="240" w:lineRule="auto"/>
              <w:ind w:right="103"/>
              <w:contextualSpacing/>
              <w:jc w:val="both"/>
              <w:rPr>
                <w:rFonts w:eastAsia="Times New Roman" w:cs="Arial"/>
                <w:sz w:val="20"/>
                <w:szCs w:val="20"/>
                <w:lang w:val="es-ES_tradnl"/>
              </w:rPr>
            </w:pPr>
          </w:p>
        </w:tc>
        <w:tc>
          <w:tcPr>
            <w:tcW w:w="5103" w:type="dxa"/>
            <w:vAlign w:val="center"/>
          </w:tcPr>
          <w:p w14:paraId="1E16D135" w14:textId="77777777" w:rsidR="007A1D1C" w:rsidRPr="00FA4B2D" w:rsidRDefault="007A1D1C" w:rsidP="00FF59A0">
            <w:pPr>
              <w:autoSpaceDE w:val="0"/>
              <w:autoSpaceDN w:val="0"/>
              <w:adjustRightInd w:val="0"/>
              <w:spacing w:after="0" w:line="240" w:lineRule="auto"/>
              <w:rPr>
                <w:rFonts w:cs="Arial"/>
                <w:sz w:val="20"/>
                <w:szCs w:val="20"/>
                <w:lang w:val="es-ES_tradnl"/>
              </w:rPr>
            </w:pPr>
            <w:r w:rsidRPr="00FA4B2D">
              <w:rPr>
                <w:rFonts w:cs="Arial"/>
                <w:sz w:val="20"/>
                <w:szCs w:val="20"/>
                <w:lang w:val="es-ES_tradnl"/>
              </w:rPr>
              <w:t>Área del PdN está a menos de 150 metros de la ribera de ríos o quebradas</w:t>
            </w:r>
            <w:r w:rsidRPr="00FA4B2D">
              <w:rPr>
                <w:rFonts w:cs="Arial"/>
                <w:vertAlign w:val="superscript"/>
              </w:rPr>
              <w:footnoteReference w:id="50"/>
            </w:r>
            <w:r w:rsidRPr="00FA4B2D">
              <w:rPr>
                <w:rFonts w:cs="Arial"/>
                <w:sz w:val="20"/>
                <w:szCs w:val="20"/>
                <w:lang w:val="es-ES_tradnl"/>
              </w:rPr>
              <w:t>.</w:t>
            </w:r>
          </w:p>
        </w:tc>
        <w:tc>
          <w:tcPr>
            <w:tcW w:w="1984" w:type="dxa"/>
            <w:vMerge/>
            <w:vAlign w:val="center"/>
          </w:tcPr>
          <w:p w14:paraId="6C64ACB4" w14:textId="77777777" w:rsidR="007A1D1C" w:rsidRPr="00FA4B2D" w:rsidRDefault="007A1D1C" w:rsidP="00FF59A0">
            <w:pPr>
              <w:autoSpaceDE w:val="0"/>
              <w:autoSpaceDN w:val="0"/>
              <w:adjustRightInd w:val="0"/>
              <w:spacing w:after="0" w:line="240" w:lineRule="auto"/>
              <w:rPr>
                <w:rFonts w:cs="Arial"/>
                <w:sz w:val="20"/>
                <w:szCs w:val="20"/>
                <w:lang w:val="es-ES_tradnl"/>
              </w:rPr>
            </w:pPr>
          </w:p>
        </w:tc>
      </w:tr>
      <w:tr w:rsidR="007A1D1C" w:rsidRPr="00FA4B2D" w14:paraId="5E4353BD" w14:textId="77777777" w:rsidTr="00FF59A0">
        <w:tc>
          <w:tcPr>
            <w:tcW w:w="1701" w:type="dxa"/>
            <w:vMerge/>
            <w:vAlign w:val="center"/>
          </w:tcPr>
          <w:p w14:paraId="24EBF07D" w14:textId="77777777" w:rsidR="007A1D1C" w:rsidRPr="00FA4B2D" w:rsidRDefault="007A1D1C" w:rsidP="00FF59A0">
            <w:pPr>
              <w:widowControl w:val="0"/>
              <w:spacing w:after="0" w:line="240" w:lineRule="auto"/>
              <w:ind w:right="103"/>
              <w:contextualSpacing/>
              <w:jc w:val="both"/>
              <w:rPr>
                <w:rFonts w:eastAsia="Times New Roman" w:cs="Arial"/>
                <w:sz w:val="20"/>
                <w:szCs w:val="20"/>
                <w:lang w:val="es-ES_tradnl"/>
              </w:rPr>
            </w:pPr>
          </w:p>
        </w:tc>
        <w:tc>
          <w:tcPr>
            <w:tcW w:w="5103" w:type="dxa"/>
            <w:vAlign w:val="center"/>
          </w:tcPr>
          <w:p w14:paraId="0A75B511" w14:textId="77777777" w:rsidR="007A1D1C" w:rsidRPr="00FA4B2D" w:rsidRDefault="007A1D1C" w:rsidP="00FF59A0">
            <w:pPr>
              <w:autoSpaceDE w:val="0"/>
              <w:autoSpaceDN w:val="0"/>
              <w:adjustRightInd w:val="0"/>
              <w:spacing w:after="0" w:line="240" w:lineRule="auto"/>
              <w:jc w:val="both"/>
              <w:rPr>
                <w:rFonts w:cs="Arial"/>
                <w:sz w:val="20"/>
                <w:szCs w:val="20"/>
                <w:lang w:val="es-ES_tradnl"/>
              </w:rPr>
            </w:pPr>
            <w:r w:rsidRPr="00FA4B2D">
              <w:rPr>
                <w:rFonts w:cs="Arial"/>
                <w:sz w:val="20"/>
                <w:szCs w:val="20"/>
                <w:lang w:val="es-ES_tradnl"/>
              </w:rPr>
              <w:t>Hay nacimiento de agua o cuenca alta dentro de un área que no tenga declaratoria legal de zona abastecedora de agua en un radio menor de doscientos cincuenta metros (250 m) partiendo del centro del nacimiento o vertiente</w:t>
            </w:r>
            <w:r w:rsidRPr="00FA4B2D">
              <w:rPr>
                <w:rFonts w:cs="Arial"/>
              </w:rPr>
              <w:footnoteReference w:id="51"/>
            </w:r>
            <w:r w:rsidRPr="00FA4B2D">
              <w:rPr>
                <w:rFonts w:cs="Arial"/>
                <w:sz w:val="20"/>
                <w:szCs w:val="20"/>
                <w:vertAlign w:val="superscript"/>
                <w:lang w:val="es-ES_tradnl"/>
              </w:rPr>
              <w:t>.</w:t>
            </w:r>
          </w:p>
        </w:tc>
        <w:tc>
          <w:tcPr>
            <w:tcW w:w="1984" w:type="dxa"/>
            <w:vMerge/>
            <w:vAlign w:val="center"/>
          </w:tcPr>
          <w:p w14:paraId="60B015DB" w14:textId="77777777" w:rsidR="007A1D1C" w:rsidRPr="00FA4B2D" w:rsidRDefault="007A1D1C" w:rsidP="00FF59A0">
            <w:pPr>
              <w:autoSpaceDE w:val="0"/>
              <w:autoSpaceDN w:val="0"/>
              <w:adjustRightInd w:val="0"/>
              <w:spacing w:after="0" w:line="240" w:lineRule="auto"/>
              <w:jc w:val="both"/>
              <w:rPr>
                <w:rFonts w:cs="Arial"/>
                <w:sz w:val="20"/>
                <w:szCs w:val="20"/>
                <w:lang w:val="es-ES_tradnl"/>
              </w:rPr>
            </w:pPr>
          </w:p>
        </w:tc>
      </w:tr>
      <w:tr w:rsidR="007A1D1C" w:rsidRPr="00FA4B2D" w14:paraId="02552A23" w14:textId="77777777" w:rsidTr="00FF59A0">
        <w:tc>
          <w:tcPr>
            <w:tcW w:w="1701" w:type="dxa"/>
            <w:vMerge/>
            <w:vAlign w:val="center"/>
          </w:tcPr>
          <w:p w14:paraId="57F06A0D" w14:textId="77777777" w:rsidR="007A1D1C" w:rsidRPr="00FA4B2D" w:rsidRDefault="007A1D1C" w:rsidP="00FF59A0">
            <w:pPr>
              <w:widowControl w:val="0"/>
              <w:spacing w:after="0" w:line="240" w:lineRule="auto"/>
              <w:ind w:right="103"/>
              <w:contextualSpacing/>
              <w:jc w:val="both"/>
              <w:rPr>
                <w:rFonts w:eastAsia="Times New Roman" w:cs="Arial"/>
                <w:sz w:val="20"/>
                <w:szCs w:val="20"/>
                <w:lang w:val="es-ES_tradnl"/>
              </w:rPr>
            </w:pPr>
          </w:p>
        </w:tc>
        <w:tc>
          <w:tcPr>
            <w:tcW w:w="5103" w:type="dxa"/>
            <w:vAlign w:val="center"/>
          </w:tcPr>
          <w:p w14:paraId="3D21603F" w14:textId="77777777" w:rsidR="007A1D1C" w:rsidRPr="00FA4B2D" w:rsidRDefault="007A1D1C" w:rsidP="00FF59A0">
            <w:pPr>
              <w:autoSpaceDE w:val="0"/>
              <w:autoSpaceDN w:val="0"/>
              <w:adjustRightInd w:val="0"/>
              <w:spacing w:after="0" w:line="240" w:lineRule="auto"/>
              <w:contextualSpacing/>
              <w:jc w:val="both"/>
              <w:rPr>
                <w:rFonts w:cs="Arial"/>
                <w:sz w:val="20"/>
                <w:szCs w:val="20"/>
                <w:lang w:val="es-ES_tradnl"/>
              </w:rPr>
            </w:pPr>
            <w:r w:rsidRPr="00FA4B2D">
              <w:rPr>
                <w:rFonts w:cs="Arial"/>
                <w:sz w:val="20"/>
                <w:szCs w:val="20"/>
                <w:lang w:val="es-ES_tradnl"/>
              </w:rPr>
              <w:t>Área del PdN, se encuentra en zonas vulnerables a fenómenos naturales (inundación, sismos, otros).</w:t>
            </w:r>
          </w:p>
        </w:tc>
        <w:tc>
          <w:tcPr>
            <w:tcW w:w="1984" w:type="dxa"/>
            <w:vMerge/>
            <w:vAlign w:val="center"/>
          </w:tcPr>
          <w:p w14:paraId="44761D77" w14:textId="77777777" w:rsidR="007A1D1C" w:rsidRPr="00FA4B2D" w:rsidRDefault="007A1D1C" w:rsidP="00FF59A0">
            <w:pPr>
              <w:autoSpaceDE w:val="0"/>
              <w:autoSpaceDN w:val="0"/>
              <w:adjustRightInd w:val="0"/>
              <w:spacing w:after="0" w:line="240" w:lineRule="auto"/>
              <w:contextualSpacing/>
              <w:jc w:val="both"/>
              <w:rPr>
                <w:rFonts w:cs="Arial"/>
                <w:sz w:val="20"/>
                <w:szCs w:val="20"/>
                <w:lang w:val="es-ES_tradnl"/>
              </w:rPr>
            </w:pPr>
          </w:p>
        </w:tc>
      </w:tr>
      <w:tr w:rsidR="007A1D1C" w:rsidRPr="00FA4B2D" w14:paraId="3F4C510F" w14:textId="77777777" w:rsidTr="00FF59A0">
        <w:trPr>
          <w:trHeight w:val="576"/>
        </w:trPr>
        <w:tc>
          <w:tcPr>
            <w:tcW w:w="1701" w:type="dxa"/>
            <w:vMerge/>
            <w:vAlign w:val="center"/>
          </w:tcPr>
          <w:p w14:paraId="183E3445" w14:textId="77777777" w:rsidR="007A1D1C" w:rsidRPr="00FA4B2D" w:rsidRDefault="007A1D1C" w:rsidP="00FF59A0">
            <w:pPr>
              <w:widowControl w:val="0"/>
              <w:spacing w:after="0" w:line="240" w:lineRule="auto"/>
              <w:ind w:right="103"/>
              <w:contextualSpacing/>
              <w:jc w:val="both"/>
              <w:rPr>
                <w:rFonts w:eastAsia="Times New Roman" w:cs="Arial"/>
                <w:sz w:val="20"/>
                <w:szCs w:val="20"/>
                <w:lang w:val="es-ES_tradnl"/>
              </w:rPr>
            </w:pPr>
          </w:p>
        </w:tc>
        <w:tc>
          <w:tcPr>
            <w:tcW w:w="5103" w:type="dxa"/>
            <w:vAlign w:val="center"/>
          </w:tcPr>
          <w:p w14:paraId="2567ED59" w14:textId="77777777" w:rsidR="007A1D1C" w:rsidRPr="00FA4B2D" w:rsidRDefault="007A1D1C" w:rsidP="00FF59A0">
            <w:pPr>
              <w:autoSpaceDE w:val="0"/>
              <w:autoSpaceDN w:val="0"/>
              <w:adjustRightInd w:val="0"/>
              <w:spacing w:after="0" w:line="240" w:lineRule="auto"/>
              <w:contextualSpacing/>
              <w:jc w:val="both"/>
              <w:rPr>
                <w:rFonts w:cs="Arial"/>
                <w:sz w:val="20"/>
                <w:szCs w:val="20"/>
                <w:lang w:val="es-ES_tradnl"/>
              </w:rPr>
            </w:pPr>
            <w:r w:rsidRPr="00FA4B2D">
              <w:rPr>
                <w:rFonts w:cs="Arial"/>
                <w:sz w:val="20"/>
                <w:szCs w:val="20"/>
                <w:lang w:val="es-ES_tradnl"/>
              </w:rPr>
              <w:t>El PdN, no respalda los medios de subsistencia de las comunidades locales, incluidos los pueblos indígenas, y el desarrollo económico inclusivo a través de la adopción de prácticas que integran las necesidades de conservación y las prioridades de desarrollo.</w:t>
            </w:r>
          </w:p>
        </w:tc>
        <w:tc>
          <w:tcPr>
            <w:tcW w:w="1984" w:type="dxa"/>
            <w:vMerge/>
            <w:vAlign w:val="center"/>
          </w:tcPr>
          <w:p w14:paraId="1F09353E" w14:textId="77777777" w:rsidR="007A1D1C" w:rsidRPr="00FA4B2D" w:rsidDel="00DE59F1" w:rsidRDefault="007A1D1C" w:rsidP="00FF59A0">
            <w:pPr>
              <w:autoSpaceDE w:val="0"/>
              <w:autoSpaceDN w:val="0"/>
              <w:adjustRightInd w:val="0"/>
              <w:spacing w:after="0" w:line="240" w:lineRule="auto"/>
              <w:contextualSpacing/>
              <w:jc w:val="both"/>
              <w:rPr>
                <w:rFonts w:cs="Arial"/>
                <w:sz w:val="20"/>
                <w:szCs w:val="20"/>
                <w:lang w:val="es-ES_tradnl"/>
              </w:rPr>
            </w:pPr>
          </w:p>
        </w:tc>
      </w:tr>
      <w:tr w:rsidR="007A1D1C" w:rsidRPr="00FA4B2D" w14:paraId="185D3D5F" w14:textId="77777777" w:rsidTr="00FF59A0">
        <w:trPr>
          <w:trHeight w:val="576"/>
        </w:trPr>
        <w:tc>
          <w:tcPr>
            <w:tcW w:w="1701" w:type="dxa"/>
            <w:vMerge/>
            <w:vAlign w:val="center"/>
          </w:tcPr>
          <w:p w14:paraId="6DCE7580" w14:textId="77777777" w:rsidR="007A1D1C" w:rsidRPr="00FA4B2D" w:rsidRDefault="007A1D1C" w:rsidP="00FF59A0">
            <w:pPr>
              <w:widowControl w:val="0"/>
              <w:spacing w:after="0" w:line="240" w:lineRule="auto"/>
              <w:ind w:right="103"/>
              <w:contextualSpacing/>
              <w:jc w:val="both"/>
              <w:rPr>
                <w:rFonts w:eastAsia="Times New Roman" w:cs="Arial"/>
                <w:sz w:val="20"/>
                <w:szCs w:val="20"/>
                <w:lang w:val="es-ES_tradnl"/>
              </w:rPr>
            </w:pPr>
          </w:p>
        </w:tc>
        <w:tc>
          <w:tcPr>
            <w:tcW w:w="5103" w:type="dxa"/>
            <w:vAlign w:val="center"/>
          </w:tcPr>
          <w:p w14:paraId="247EB387" w14:textId="77777777" w:rsidR="007A1D1C" w:rsidRPr="00FA4B2D" w:rsidRDefault="007A1D1C" w:rsidP="00FF59A0">
            <w:pPr>
              <w:autoSpaceDE w:val="0"/>
              <w:autoSpaceDN w:val="0"/>
              <w:adjustRightInd w:val="0"/>
              <w:spacing w:after="0" w:line="240" w:lineRule="auto"/>
              <w:contextualSpacing/>
              <w:jc w:val="both"/>
              <w:rPr>
                <w:rFonts w:cs="Arial"/>
                <w:sz w:val="20"/>
                <w:szCs w:val="20"/>
                <w:lang w:val="es-ES_tradnl"/>
              </w:rPr>
            </w:pPr>
            <w:r w:rsidRPr="00FA4B2D">
              <w:rPr>
                <w:rFonts w:cs="Arial"/>
                <w:sz w:val="20"/>
                <w:szCs w:val="20"/>
                <w:lang w:val="es-ES_tradnl"/>
              </w:rPr>
              <w:t>Presencia prevalente de trabajo infantil en la práctica agrícola en la zona, o en ciertos cultivos propicios para dicha actividad en zonas con altos niveles de pobreza</w:t>
            </w:r>
          </w:p>
        </w:tc>
        <w:tc>
          <w:tcPr>
            <w:tcW w:w="1984" w:type="dxa"/>
            <w:vMerge/>
            <w:vAlign w:val="center"/>
          </w:tcPr>
          <w:p w14:paraId="2BB9F79E" w14:textId="77777777" w:rsidR="007A1D1C" w:rsidRPr="00FA4B2D" w:rsidDel="00DE59F1" w:rsidRDefault="007A1D1C" w:rsidP="00FF59A0">
            <w:pPr>
              <w:autoSpaceDE w:val="0"/>
              <w:autoSpaceDN w:val="0"/>
              <w:adjustRightInd w:val="0"/>
              <w:spacing w:after="0" w:line="240" w:lineRule="auto"/>
              <w:contextualSpacing/>
              <w:jc w:val="both"/>
              <w:rPr>
                <w:rFonts w:cs="Arial"/>
                <w:sz w:val="20"/>
                <w:szCs w:val="20"/>
                <w:lang w:val="es-ES_tradnl"/>
              </w:rPr>
            </w:pPr>
          </w:p>
        </w:tc>
      </w:tr>
      <w:tr w:rsidR="007A1D1C" w:rsidRPr="00FA4B2D" w14:paraId="79673E96" w14:textId="77777777" w:rsidTr="00FF59A0">
        <w:tc>
          <w:tcPr>
            <w:tcW w:w="1701" w:type="dxa"/>
            <w:vMerge/>
            <w:vAlign w:val="center"/>
          </w:tcPr>
          <w:p w14:paraId="4C08183D" w14:textId="77777777" w:rsidR="007A1D1C" w:rsidRPr="00FA4B2D" w:rsidRDefault="007A1D1C" w:rsidP="00FF59A0">
            <w:pPr>
              <w:widowControl w:val="0"/>
              <w:spacing w:after="0" w:line="240" w:lineRule="auto"/>
              <w:ind w:right="103"/>
              <w:contextualSpacing/>
              <w:jc w:val="both"/>
              <w:rPr>
                <w:rFonts w:eastAsia="Times New Roman" w:cs="Arial"/>
                <w:sz w:val="20"/>
                <w:szCs w:val="20"/>
                <w:lang w:val="es-ES_tradnl"/>
              </w:rPr>
            </w:pPr>
          </w:p>
        </w:tc>
        <w:tc>
          <w:tcPr>
            <w:tcW w:w="5103" w:type="dxa"/>
            <w:vAlign w:val="center"/>
          </w:tcPr>
          <w:p w14:paraId="6D96B4DF" w14:textId="77777777" w:rsidR="007A1D1C" w:rsidRPr="00FA4B2D" w:rsidRDefault="007A1D1C" w:rsidP="00FF59A0">
            <w:pPr>
              <w:autoSpaceDE w:val="0"/>
              <w:autoSpaceDN w:val="0"/>
              <w:adjustRightInd w:val="0"/>
              <w:spacing w:after="184" w:line="240" w:lineRule="auto"/>
              <w:contextualSpacing/>
              <w:jc w:val="both"/>
              <w:rPr>
                <w:rFonts w:cs="Arial"/>
                <w:sz w:val="20"/>
                <w:szCs w:val="20"/>
                <w:lang w:val="es-ES_tradnl"/>
              </w:rPr>
            </w:pPr>
            <w:r w:rsidRPr="00FA4B2D">
              <w:rPr>
                <w:rFonts w:cs="Arial"/>
                <w:sz w:val="20"/>
                <w:szCs w:val="20"/>
                <w:lang w:val="es-ES_tradnl"/>
              </w:rPr>
              <w:t>El área del PdN se encuentre en sitios de valor arqueológico y cultural identificados por instancias pertinentes.</w:t>
            </w:r>
          </w:p>
        </w:tc>
        <w:tc>
          <w:tcPr>
            <w:tcW w:w="1984" w:type="dxa"/>
            <w:vMerge/>
            <w:vAlign w:val="center"/>
          </w:tcPr>
          <w:p w14:paraId="49A5D19D" w14:textId="77777777" w:rsidR="007A1D1C" w:rsidRPr="00FA4B2D" w:rsidRDefault="007A1D1C" w:rsidP="00FF59A0">
            <w:pPr>
              <w:autoSpaceDE w:val="0"/>
              <w:autoSpaceDN w:val="0"/>
              <w:adjustRightInd w:val="0"/>
              <w:spacing w:after="184" w:line="240" w:lineRule="auto"/>
              <w:contextualSpacing/>
              <w:jc w:val="both"/>
              <w:rPr>
                <w:rFonts w:cs="Arial"/>
                <w:sz w:val="20"/>
                <w:szCs w:val="20"/>
                <w:lang w:val="es-ES_tradnl"/>
              </w:rPr>
            </w:pPr>
          </w:p>
        </w:tc>
      </w:tr>
      <w:tr w:rsidR="007A1D1C" w:rsidRPr="00FA4B2D" w14:paraId="0E613715" w14:textId="77777777" w:rsidTr="00FF59A0">
        <w:trPr>
          <w:trHeight w:val="114"/>
        </w:trPr>
        <w:tc>
          <w:tcPr>
            <w:tcW w:w="1701" w:type="dxa"/>
            <w:vMerge/>
            <w:vAlign w:val="center"/>
          </w:tcPr>
          <w:p w14:paraId="08D8F66F" w14:textId="77777777" w:rsidR="007A1D1C" w:rsidRPr="00FA4B2D" w:rsidRDefault="007A1D1C" w:rsidP="00FF59A0">
            <w:pPr>
              <w:widowControl w:val="0"/>
              <w:spacing w:after="0" w:line="240" w:lineRule="auto"/>
              <w:ind w:right="103"/>
              <w:contextualSpacing/>
              <w:jc w:val="both"/>
              <w:rPr>
                <w:rFonts w:eastAsia="Times New Roman" w:cs="Arial"/>
                <w:sz w:val="20"/>
                <w:szCs w:val="20"/>
                <w:lang w:val="es-ES_tradnl"/>
              </w:rPr>
            </w:pPr>
          </w:p>
        </w:tc>
        <w:tc>
          <w:tcPr>
            <w:tcW w:w="5103" w:type="dxa"/>
            <w:vAlign w:val="center"/>
          </w:tcPr>
          <w:p w14:paraId="0672B035" w14:textId="77777777" w:rsidR="007A1D1C" w:rsidRPr="00FA4B2D" w:rsidRDefault="007A1D1C" w:rsidP="00FF59A0">
            <w:pPr>
              <w:widowControl w:val="0"/>
              <w:spacing w:after="0" w:line="240" w:lineRule="auto"/>
              <w:ind w:right="103"/>
              <w:contextualSpacing/>
              <w:jc w:val="both"/>
              <w:rPr>
                <w:rFonts w:eastAsia="Times New Roman" w:cs="Arial"/>
                <w:sz w:val="20"/>
                <w:szCs w:val="20"/>
                <w:lang w:val="es-ES_tradnl"/>
              </w:rPr>
            </w:pPr>
            <w:r w:rsidRPr="00FA4B2D">
              <w:rPr>
                <w:rFonts w:eastAsia="Times New Roman" w:cs="Arial"/>
                <w:sz w:val="20"/>
                <w:szCs w:val="20"/>
                <w:lang w:val="es-ES_tradnl"/>
              </w:rPr>
              <w:t>Afectación de más de 200 predios o viviendas.</w:t>
            </w:r>
          </w:p>
        </w:tc>
        <w:tc>
          <w:tcPr>
            <w:tcW w:w="1984" w:type="dxa"/>
            <w:vMerge/>
            <w:vAlign w:val="center"/>
          </w:tcPr>
          <w:p w14:paraId="78DE9759" w14:textId="77777777" w:rsidR="007A1D1C" w:rsidRPr="00FA4B2D" w:rsidRDefault="007A1D1C" w:rsidP="00FF59A0">
            <w:pPr>
              <w:widowControl w:val="0"/>
              <w:spacing w:after="0" w:line="240" w:lineRule="auto"/>
              <w:ind w:right="103"/>
              <w:contextualSpacing/>
              <w:jc w:val="both"/>
              <w:rPr>
                <w:rFonts w:eastAsia="Times New Roman" w:cs="Arial"/>
                <w:sz w:val="20"/>
                <w:szCs w:val="20"/>
                <w:lang w:val="es-ES_tradnl"/>
              </w:rPr>
            </w:pPr>
          </w:p>
        </w:tc>
      </w:tr>
      <w:tr w:rsidR="007A1D1C" w:rsidRPr="00FA4B2D" w14:paraId="3406700E" w14:textId="77777777" w:rsidTr="00FF59A0">
        <w:trPr>
          <w:trHeight w:val="342"/>
        </w:trPr>
        <w:tc>
          <w:tcPr>
            <w:tcW w:w="1701" w:type="dxa"/>
            <w:vMerge/>
            <w:vAlign w:val="center"/>
          </w:tcPr>
          <w:p w14:paraId="428ADCF2" w14:textId="77777777" w:rsidR="007A1D1C" w:rsidRPr="00FA4B2D" w:rsidRDefault="007A1D1C" w:rsidP="00FF59A0">
            <w:pPr>
              <w:widowControl w:val="0"/>
              <w:spacing w:after="0" w:line="240" w:lineRule="auto"/>
              <w:ind w:right="103"/>
              <w:contextualSpacing/>
              <w:jc w:val="both"/>
              <w:rPr>
                <w:rFonts w:eastAsia="Times New Roman" w:cs="Arial"/>
                <w:sz w:val="20"/>
                <w:szCs w:val="20"/>
                <w:lang w:val="es-ES_tradnl"/>
              </w:rPr>
            </w:pPr>
          </w:p>
        </w:tc>
        <w:tc>
          <w:tcPr>
            <w:tcW w:w="5103" w:type="dxa"/>
            <w:vAlign w:val="center"/>
          </w:tcPr>
          <w:p w14:paraId="644B1238" w14:textId="77777777" w:rsidR="007A1D1C" w:rsidRPr="00FA4B2D" w:rsidRDefault="007A1D1C" w:rsidP="00FF59A0">
            <w:pPr>
              <w:widowControl w:val="0"/>
              <w:spacing w:after="0" w:line="240" w:lineRule="auto"/>
              <w:ind w:right="103"/>
              <w:contextualSpacing/>
              <w:jc w:val="both"/>
              <w:rPr>
                <w:rFonts w:eastAsia="Times New Roman" w:cs="Arial"/>
                <w:sz w:val="20"/>
                <w:szCs w:val="20"/>
                <w:lang w:val="es-ES_tradnl"/>
              </w:rPr>
            </w:pPr>
            <w:r w:rsidRPr="00FA4B2D">
              <w:rPr>
                <w:rFonts w:eastAsia="Times New Roman" w:cs="Arial"/>
                <w:sz w:val="20"/>
                <w:szCs w:val="20"/>
                <w:lang w:val="es-ES_tradnl"/>
              </w:rPr>
              <w:t xml:space="preserve">Áreas con conflictos sociales activos, aun si dichos conflictos no están relacionados con el proyecto pero que podrían intensificarse como resultado del proyecto o afectar las operaciones </w:t>
            </w:r>
            <w:proofErr w:type="gramStart"/>
            <w:r w:rsidRPr="00FA4B2D">
              <w:rPr>
                <w:rFonts w:eastAsia="Times New Roman" w:cs="Arial"/>
                <w:sz w:val="20"/>
                <w:szCs w:val="20"/>
                <w:lang w:val="es-ES_tradnl"/>
              </w:rPr>
              <w:t>del mismo</w:t>
            </w:r>
            <w:proofErr w:type="gramEnd"/>
          </w:p>
        </w:tc>
        <w:tc>
          <w:tcPr>
            <w:tcW w:w="1984" w:type="dxa"/>
            <w:vMerge/>
            <w:vAlign w:val="center"/>
          </w:tcPr>
          <w:p w14:paraId="2F06D42C" w14:textId="77777777" w:rsidR="007A1D1C" w:rsidRPr="00FA4B2D" w:rsidRDefault="007A1D1C" w:rsidP="00FF59A0">
            <w:pPr>
              <w:widowControl w:val="0"/>
              <w:spacing w:after="0" w:line="240" w:lineRule="auto"/>
              <w:ind w:right="103"/>
              <w:contextualSpacing/>
              <w:jc w:val="both"/>
              <w:rPr>
                <w:rFonts w:eastAsia="Times New Roman" w:cs="Arial"/>
                <w:sz w:val="20"/>
                <w:szCs w:val="20"/>
                <w:lang w:val="es-ES_tradnl"/>
              </w:rPr>
            </w:pPr>
          </w:p>
        </w:tc>
      </w:tr>
      <w:tr w:rsidR="007A1D1C" w:rsidRPr="00FA4B2D" w14:paraId="20819D8D" w14:textId="77777777" w:rsidTr="00FF59A0">
        <w:trPr>
          <w:trHeight w:val="342"/>
        </w:trPr>
        <w:tc>
          <w:tcPr>
            <w:tcW w:w="1701" w:type="dxa"/>
            <w:vMerge/>
            <w:vAlign w:val="center"/>
          </w:tcPr>
          <w:p w14:paraId="76059B48" w14:textId="77777777" w:rsidR="007A1D1C" w:rsidRPr="00FA4B2D" w:rsidRDefault="007A1D1C" w:rsidP="00FF59A0">
            <w:pPr>
              <w:widowControl w:val="0"/>
              <w:spacing w:after="0" w:line="240" w:lineRule="auto"/>
              <w:ind w:right="103"/>
              <w:contextualSpacing/>
              <w:jc w:val="both"/>
              <w:rPr>
                <w:rFonts w:eastAsia="Times New Roman" w:cs="Arial"/>
                <w:sz w:val="20"/>
                <w:szCs w:val="20"/>
                <w:lang w:val="es-ES_tradnl"/>
              </w:rPr>
            </w:pPr>
          </w:p>
        </w:tc>
        <w:tc>
          <w:tcPr>
            <w:tcW w:w="5103" w:type="dxa"/>
            <w:vAlign w:val="center"/>
          </w:tcPr>
          <w:p w14:paraId="5022FCF6" w14:textId="77777777" w:rsidR="007A1D1C" w:rsidRPr="00FA4B2D" w:rsidRDefault="007A1D1C" w:rsidP="00FF59A0">
            <w:pPr>
              <w:widowControl w:val="0"/>
              <w:spacing w:after="0" w:line="240" w:lineRule="auto"/>
              <w:ind w:right="103"/>
              <w:contextualSpacing/>
              <w:jc w:val="both"/>
              <w:rPr>
                <w:rFonts w:eastAsia="Times New Roman" w:cs="Arial"/>
                <w:sz w:val="20"/>
                <w:szCs w:val="20"/>
                <w:lang w:val="es-ES_tradnl"/>
              </w:rPr>
            </w:pPr>
            <w:r w:rsidRPr="00FA4B2D">
              <w:rPr>
                <w:rFonts w:eastAsia="Times New Roman" w:cs="Arial"/>
                <w:sz w:val="20"/>
                <w:szCs w:val="20"/>
                <w:lang w:val="es-ES_tradnl"/>
              </w:rPr>
              <w:t>Áreas donde prevalece la inseguridad ciudadana o que ponen significativamente en riesgo la salud y/o integridad de las personas asociadas con el proyecto</w:t>
            </w:r>
          </w:p>
        </w:tc>
        <w:tc>
          <w:tcPr>
            <w:tcW w:w="1984" w:type="dxa"/>
            <w:vMerge/>
            <w:vAlign w:val="center"/>
          </w:tcPr>
          <w:p w14:paraId="694F411B" w14:textId="77777777" w:rsidR="007A1D1C" w:rsidRPr="00FA4B2D" w:rsidRDefault="007A1D1C" w:rsidP="00FF59A0">
            <w:pPr>
              <w:widowControl w:val="0"/>
              <w:spacing w:after="0" w:line="240" w:lineRule="auto"/>
              <w:ind w:right="103"/>
              <w:contextualSpacing/>
              <w:jc w:val="both"/>
              <w:rPr>
                <w:rFonts w:eastAsia="Times New Roman" w:cs="Arial"/>
                <w:sz w:val="20"/>
                <w:szCs w:val="20"/>
                <w:lang w:val="es-ES_tradnl"/>
              </w:rPr>
            </w:pPr>
          </w:p>
        </w:tc>
      </w:tr>
      <w:tr w:rsidR="007A1D1C" w:rsidRPr="00FA4B2D" w14:paraId="2ADA5290" w14:textId="77777777" w:rsidTr="00FF59A0">
        <w:trPr>
          <w:trHeight w:val="961"/>
        </w:trPr>
        <w:tc>
          <w:tcPr>
            <w:tcW w:w="1701" w:type="dxa"/>
            <w:vMerge w:val="restart"/>
            <w:shd w:val="clear" w:color="auto" w:fill="FFFF00"/>
            <w:vAlign w:val="center"/>
          </w:tcPr>
          <w:p w14:paraId="2785DD8D" w14:textId="77777777" w:rsidR="007A1D1C" w:rsidRPr="00FA4B2D" w:rsidRDefault="007A1D1C" w:rsidP="00FF59A0">
            <w:pPr>
              <w:widowControl w:val="0"/>
              <w:spacing w:after="0" w:line="240" w:lineRule="auto"/>
              <w:ind w:right="103"/>
              <w:contextualSpacing/>
              <w:jc w:val="both"/>
              <w:rPr>
                <w:rFonts w:eastAsia="Times New Roman" w:cs="Arial"/>
                <w:b/>
                <w:sz w:val="20"/>
                <w:szCs w:val="20"/>
                <w:lang w:val="es-ES_tradnl"/>
              </w:rPr>
            </w:pPr>
            <w:r w:rsidRPr="00FA4B2D">
              <w:rPr>
                <w:rFonts w:eastAsia="Times New Roman" w:cs="Arial"/>
                <w:b/>
                <w:sz w:val="20"/>
                <w:szCs w:val="20"/>
                <w:lang w:val="es-ES_tradnl"/>
              </w:rPr>
              <w:lastRenderedPageBreak/>
              <w:t>MODERADO (B)</w:t>
            </w:r>
          </w:p>
        </w:tc>
        <w:tc>
          <w:tcPr>
            <w:tcW w:w="5103" w:type="dxa"/>
            <w:vAlign w:val="center"/>
          </w:tcPr>
          <w:p w14:paraId="55912DF5" w14:textId="77777777" w:rsidR="007A1D1C" w:rsidRPr="00FA4B2D" w:rsidRDefault="007A1D1C" w:rsidP="00FF59A0">
            <w:pPr>
              <w:autoSpaceDE w:val="0"/>
              <w:autoSpaceDN w:val="0"/>
              <w:adjustRightInd w:val="0"/>
              <w:spacing w:after="0" w:line="240" w:lineRule="auto"/>
              <w:contextualSpacing/>
              <w:jc w:val="both"/>
              <w:rPr>
                <w:rFonts w:cs="Arial"/>
                <w:sz w:val="20"/>
                <w:szCs w:val="20"/>
                <w:lang w:val="es-ES_tradnl"/>
              </w:rPr>
            </w:pPr>
            <w:r w:rsidRPr="00FA4B2D">
              <w:rPr>
                <w:rFonts w:cs="Arial"/>
                <w:sz w:val="20"/>
                <w:szCs w:val="20"/>
                <w:lang w:val="es-ES_tradnl"/>
              </w:rPr>
              <w:t>Área del PdN propuesto se encuentra, dentro de un Área de Amortiguamiento de un Área Protegida con Plan de Manejo y la actividad es compatible con las regulaciones y está permito en el Plan de Manejo y es un hábitat modificado</w:t>
            </w:r>
            <w:r w:rsidRPr="00FA4B2D">
              <w:rPr>
                <w:rFonts w:cs="Arial"/>
                <w:sz w:val="20"/>
                <w:szCs w:val="20"/>
                <w:vertAlign w:val="superscript"/>
                <w:lang w:val="es-ES_tradnl"/>
              </w:rPr>
              <w:footnoteReference w:id="52"/>
            </w:r>
            <w:r w:rsidRPr="00FA4B2D">
              <w:rPr>
                <w:rFonts w:cs="Arial"/>
                <w:sz w:val="20"/>
                <w:szCs w:val="20"/>
                <w:lang w:val="es-ES_tradnl"/>
              </w:rPr>
              <w:t xml:space="preserve"> con valores significativos de biodiversidad. </w:t>
            </w:r>
          </w:p>
        </w:tc>
        <w:tc>
          <w:tcPr>
            <w:tcW w:w="1984" w:type="dxa"/>
            <w:vMerge w:val="restart"/>
            <w:vAlign w:val="center"/>
          </w:tcPr>
          <w:p w14:paraId="3D9CF1A3" w14:textId="2B0C2E19" w:rsidR="007A1D1C" w:rsidRPr="00FA4B2D" w:rsidRDefault="007A1D1C" w:rsidP="00FF59A0">
            <w:pPr>
              <w:autoSpaceDE w:val="0"/>
              <w:autoSpaceDN w:val="0"/>
              <w:adjustRightInd w:val="0"/>
              <w:spacing w:after="0" w:line="240" w:lineRule="auto"/>
              <w:jc w:val="both"/>
              <w:rPr>
                <w:rFonts w:cs="Arial"/>
                <w:sz w:val="20"/>
                <w:szCs w:val="20"/>
                <w:lang w:val="es-ES_tradnl"/>
              </w:rPr>
            </w:pPr>
            <w:r w:rsidRPr="00FA4B2D">
              <w:rPr>
                <w:rFonts w:cs="Arial"/>
                <w:sz w:val="20"/>
                <w:szCs w:val="20"/>
                <w:lang w:val="es-ES_tradnl"/>
              </w:rPr>
              <w:t xml:space="preserve">Plan de Gestión Ambiental </w:t>
            </w:r>
            <w:r w:rsidR="00557C91" w:rsidRPr="00FA4B2D">
              <w:rPr>
                <w:rFonts w:cs="Arial"/>
                <w:sz w:val="20"/>
                <w:szCs w:val="20"/>
                <w:lang w:val="es-ES_tradnl"/>
              </w:rPr>
              <w:t>y Social PGAS</w:t>
            </w:r>
            <w:r w:rsidRPr="00FA4B2D">
              <w:rPr>
                <w:rFonts w:cs="Arial"/>
                <w:sz w:val="20"/>
                <w:szCs w:val="20"/>
                <w:lang w:val="es-ES_tradnl"/>
              </w:rPr>
              <w:t xml:space="preserve"> </w:t>
            </w:r>
          </w:p>
          <w:p w14:paraId="48EEC7B1" w14:textId="77777777" w:rsidR="007A1D1C" w:rsidRPr="00FA4B2D" w:rsidRDefault="007A1D1C" w:rsidP="00FF59A0">
            <w:pPr>
              <w:autoSpaceDE w:val="0"/>
              <w:autoSpaceDN w:val="0"/>
              <w:adjustRightInd w:val="0"/>
              <w:spacing w:after="0" w:line="240" w:lineRule="auto"/>
              <w:ind w:left="315"/>
              <w:contextualSpacing/>
              <w:jc w:val="both"/>
              <w:rPr>
                <w:rFonts w:cs="Arial"/>
                <w:sz w:val="20"/>
                <w:szCs w:val="20"/>
                <w:lang w:val="es-ES_tradnl"/>
              </w:rPr>
            </w:pPr>
          </w:p>
          <w:p w14:paraId="0B6FA41A" w14:textId="77777777" w:rsidR="007A1D1C" w:rsidRPr="00FA4B2D" w:rsidRDefault="007A1D1C" w:rsidP="007A1D1C">
            <w:pPr>
              <w:numPr>
                <w:ilvl w:val="0"/>
                <w:numId w:val="126"/>
              </w:numPr>
              <w:autoSpaceDE w:val="0"/>
              <w:autoSpaceDN w:val="0"/>
              <w:adjustRightInd w:val="0"/>
              <w:spacing w:after="0" w:line="240" w:lineRule="auto"/>
              <w:ind w:left="315" w:hanging="283"/>
              <w:contextualSpacing/>
              <w:jc w:val="both"/>
              <w:rPr>
                <w:rFonts w:cs="Arial"/>
                <w:sz w:val="20"/>
                <w:szCs w:val="20"/>
                <w:lang w:val="es-ES"/>
              </w:rPr>
            </w:pPr>
            <w:r w:rsidRPr="00FA4B2D">
              <w:rPr>
                <w:rFonts w:cs="Arial"/>
                <w:sz w:val="20"/>
                <w:szCs w:val="20"/>
                <w:lang w:val="es-ES"/>
              </w:rPr>
              <w:t>Plan de Gestión de la biodiversidad.</w:t>
            </w:r>
          </w:p>
          <w:p w14:paraId="54F721E8" w14:textId="77777777" w:rsidR="007A1D1C" w:rsidRPr="00FA4B2D" w:rsidRDefault="007A1D1C" w:rsidP="00FF59A0">
            <w:pPr>
              <w:autoSpaceDE w:val="0"/>
              <w:autoSpaceDN w:val="0"/>
              <w:adjustRightInd w:val="0"/>
              <w:spacing w:after="0" w:line="240" w:lineRule="auto"/>
              <w:ind w:left="315"/>
              <w:contextualSpacing/>
              <w:jc w:val="both"/>
              <w:rPr>
                <w:rFonts w:cs="Arial"/>
                <w:sz w:val="20"/>
                <w:szCs w:val="20"/>
                <w:lang w:val="es-ES_tradnl"/>
              </w:rPr>
            </w:pPr>
          </w:p>
          <w:p w14:paraId="27DC9E6B" w14:textId="77777777" w:rsidR="007A1D1C" w:rsidRPr="00FA4B2D" w:rsidRDefault="007A1D1C" w:rsidP="007A1D1C">
            <w:pPr>
              <w:numPr>
                <w:ilvl w:val="0"/>
                <w:numId w:val="126"/>
              </w:numPr>
              <w:autoSpaceDE w:val="0"/>
              <w:autoSpaceDN w:val="0"/>
              <w:adjustRightInd w:val="0"/>
              <w:spacing w:after="0" w:line="240" w:lineRule="auto"/>
              <w:ind w:left="315" w:hanging="283"/>
              <w:contextualSpacing/>
              <w:jc w:val="both"/>
              <w:rPr>
                <w:rFonts w:cs="Arial"/>
                <w:sz w:val="20"/>
                <w:szCs w:val="20"/>
                <w:lang w:val="es-ES_tradnl"/>
              </w:rPr>
            </w:pPr>
            <w:r w:rsidRPr="00FA4B2D">
              <w:rPr>
                <w:rFonts w:cs="Arial"/>
                <w:sz w:val="20"/>
                <w:szCs w:val="20"/>
                <w:lang w:val="es-ES_tradnl"/>
              </w:rPr>
              <w:t xml:space="preserve">Proyectos adicionales para mejorar la gestión eficaz de los planes de manejo del área protegida en el caso que se encuentren propuestos en una.  </w:t>
            </w:r>
          </w:p>
          <w:p w14:paraId="55B6403E" w14:textId="77777777" w:rsidR="007A1D1C" w:rsidRPr="00FA4B2D" w:rsidRDefault="007A1D1C" w:rsidP="00FF59A0">
            <w:pPr>
              <w:autoSpaceDE w:val="0"/>
              <w:autoSpaceDN w:val="0"/>
              <w:adjustRightInd w:val="0"/>
              <w:spacing w:after="0" w:line="240" w:lineRule="auto"/>
              <w:ind w:left="315"/>
              <w:contextualSpacing/>
              <w:jc w:val="both"/>
              <w:rPr>
                <w:rFonts w:cs="Arial"/>
                <w:sz w:val="20"/>
                <w:szCs w:val="20"/>
                <w:lang w:val="es-ES_tradnl"/>
              </w:rPr>
            </w:pPr>
          </w:p>
          <w:p w14:paraId="4BCB6E67" w14:textId="77777777" w:rsidR="007A1D1C" w:rsidRPr="00FA4B2D" w:rsidRDefault="007A1D1C" w:rsidP="007A1D1C">
            <w:pPr>
              <w:numPr>
                <w:ilvl w:val="0"/>
                <w:numId w:val="126"/>
              </w:numPr>
              <w:autoSpaceDE w:val="0"/>
              <w:autoSpaceDN w:val="0"/>
              <w:adjustRightInd w:val="0"/>
              <w:spacing w:after="0" w:line="240" w:lineRule="auto"/>
              <w:ind w:left="315" w:hanging="283"/>
              <w:contextualSpacing/>
              <w:jc w:val="both"/>
              <w:rPr>
                <w:rFonts w:cs="Arial"/>
                <w:sz w:val="20"/>
                <w:szCs w:val="20"/>
                <w:lang w:val="es-ES_tradnl"/>
              </w:rPr>
            </w:pPr>
            <w:r w:rsidRPr="00FA4B2D">
              <w:rPr>
                <w:rFonts w:cs="Arial"/>
                <w:sz w:val="20"/>
                <w:szCs w:val="20"/>
                <w:lang w:val="es-ES_tradnl"/>
              </w:rPr>
              <w:t xml:space="preserve">Plan de Manejo de Plagas (excepto las cadenas de turismo rural y productos culturales).   </w:t>
            </w:r>
          </w:p>
          <w:p w14:paraId="56574420" w14:textId="77777777" w:rsidR="007A1D1C" w:rsidRPr="00FA4B2D" w:rsidRDefault="007A1D1C" w:rsidP="007A1D1C">
            <w:pPr>
              <w:numPr>
                <w:ilvl w:val="0"/>
                <w:numId w:val="126"/>
              </w:numPr>
              <w:autoSpaceDE w:val="0"/>
              <w:autoSpaceDN w:val="0"/>
              <w:adjustRightInd w:val="0"/>
              <w:spacing w:after="0" w:line="240" w:lineRule="auto"/>
              <w:ind w:left="315" w:hanging="283"/>
              <w:contextualSpacing/>
              <w:jc w:val="both"/>
              <w:rPr>
                <w:rFonts w:cs="Arial"/>
                <w:sz w:val="20"/>
                <w:szCs w:val="20"/>
                <w:lang w:val="es-ES_tradnl"/>
              </w:rPr>
            </w:pPr>
            <w:r w:rsidRPr="00FA4B2D">
              <w:rPr>
                <w:rFonts w:cs="Arial"/>
                <w:sz w:val="20"/>
                <w:szCs w:val="20"/>
                <w:lang w:val="es-ES_tradnl"/>
              </w:rPr>
              <w:t>Implementación de BPII o guías de buenas prácticas ambientales o producción más limpia.</w:t>
            </w:r>
          </w:p>
          <w:p w14:paraId="6CDD703D" w14:textId="77777777" w:rsidR="007A1D1C" w:rsidRPr="00FA4B2D" w:rsidRDefault="007A1D1C" w:rsidP="00FF59A0">
            <w:pPr>
              <w:autoSpaceDE w:val="0"/>
              <w:autoSpaceDN w:val="0"/>
              <w:adjustRightInd w:val="0"/>
              <w:spacing w:after="0" w:line="240" w:lineRule="auto"/>
              <w:ind w:left="315"/>
              <w:contextualSpacing/>
              <w:jc w:val="both"/>
              <w:rPr>
                <w:rFonts w:cs="Arial"/>
                <w:sz w:val="20"/>
                <w:szCs w:val="20"/>
                <w:lang w:val="es-ES_tradnl"/>
              </w:rPr>
            </w:pPr>
          </w:p>
          <w:p w14:paraId="0627D497" w14:textId="77777777" w:rsidR="007A1D1C" w:rsidRPr="00FA4B2D" w:rsidRDefault="007A1D1C" w:rsidP="007A1D1C">
            <w:pPr>
              <w:numPr>
                <w:ilvl w:val="0"/>
                <w:numId w:val="126"/>
              </w:numPr>
              <w:autoSpaceDE w:val="0"/>
              <w:autoSpaceDN w:val="0"/>
              <w:adjustRightInd w:val="0"/>
              <w:spacing w:after="0" w:line="240" w:lineRule="auto"/>
              <w:ind w:left="315" w:hanging="283"/>
              <w:contextualSpacing/>
              <w:jc w:val="both"/>
              <w:rPr>
                <w:rFonts w:cs="Arial"/>
                <w:sz w:val="20"/>
                <w:szCs w:val="20"/>
                <w:lang w:val="es-ES_tradnl"/>
              </w:rPr>
            </w:pPr>
            <w:r w:rsidRPr="00FA4B2D">
              <w:rPr>
                <w:rFonts w:cs="Arial"/>
                <w:sz w:val="20"/>
                <w:szCs w:val="20"/>
                <w:lang w:val="es-ES_tradnl"/>
              </w:rPr>
              <w:lastRenderedPageBreak/>
              <w:t>Plan de Gestión de residuos sólidos comunes y peligrosos.</w:t>
            </w:r>
          </w:p>
          <w:p w14:paraId="41136538" w14:textId="77777777" w:rsidR="007A1D1C" w:rsidRPr="00FA4B2D" w:rsidRDefault="007A1D1C" w:rsidP="00FF59A0">
            <w:pPr>
              <w:autoSpaceDE w:val="0"/>
              <w:autoSpaceDN w:val="0"/>
              <w:adjustRightInd w:val="0"/>
              <w:spacing w:after="0" w:line="240" w:lineRule="auto"/>
              <w:ind w:left="315"/>
              <w:contextualSpacing/>
              <w:jc w:val="both"/>
              <w:rPr>
                <w:rFonts w:cs="Arial"/>
                <w:sz w:val="20"/>
                <w:szCs w:val="20"/>
                <w:lang w:val="es-ES_tradnl"/>
              </w:rPr>
            </w:pPr>
          </w:p>
          <w:p w14:paraId="201EF04F" w14:textId="77777777" w:rsidR="007A1D1C" w:rsidRPr="00FA4B2D" w:rsidRDefault="007A1D1C" w:rsidP="007A1D1C">
            <w:pPr>
              <w:numPr>
                <w:ilvl w:val="0"/>
                <w:numId w:val="126"/>
              </w:numPr>
              <w:autoSpaceDE w:val="0"/>
              <w:autoSpaceDN w:val="0"/>
              <w:adjustRightInd w:val="0"/>
              <w:spacing w:after="0" w:line="240" w:lineRule="auto"/>
              <w:ind w:left="315" w:hanging="283"/>
              <w:contextualSpacing/>
              <w:jc w:val="both"/>
              <w:rPr>
                <w:rFonts w:cs="Arial"/>
                <w:sz w:val="20"/>
                <w:szCs w:val="20"/>
                <w:lang w:val="es-ES_tradnl"/>
              </w:rPr>
            </w:pPr>
            <w:r w:rsidRPr="00FA4B2D">
              <w:rPr>
                <w:rFonts w:cs="Arial"/>
                <w:sz w:val="20"/>
                <w:szCs w:val="20"/>
                <w:lang w:val="es-ES_tradnl"/>
              </w:rPr>
              <w:t xml:space="preserve">Plan de manejo y conservación de suelos excepto las cadenas de turismo rural y productos culturales).   </w:t>
            </w:r>
          </w:p>
          <w:p w14:paraId="5DF5CDCE" w14:textId="77777777" w:rsidR="007A1D1C" w:rsidRPr="00FA4B2D" w:rsidRDefault="007A1D1C" w:rsidP="007A1D1C">
            <w:pPr>
              <w:numPr>
                <w:ilvl w:val="0"/>
                <w:numId w:val="126"/>
              </w:numPr>
              <w:autoSpaceDE w:val="0"/>
              <w:autoSpaceDN w:val="0"/>
              <w:adjustRightInd w:val="0"/>
              <w:spacing w:after="0" w:line="240" w:lineRule="auto"/>
              <w:ind w:left="315" w:hanging="283"/>
              <w:contextualSpacing/>
              <w:jc w:val="both"/>
              <w:rPr>
                <w:rFonts w:cs="Arial"/>
                <w:sz w:val="20"/>
                <w:szCs w:val="20"/>
                <w:lang w:val="es-ES_tradnl"/>
              </w:rPr>
            </w:pPr>
            <w:r w:rsidRPr="00FA4B2D">
              <w:rPr>
                <w:rFonts w:cs="Arial"/>
                <w:sz w:val="20"/>
                <w:szCs w:val="20"/>
                <w:lang w:val="es-ES_tradnl"/>
              </w:rPr>
              <w:t>Cumplimiento de Marco de Reasentamiento Involuntario/Marco de Proceso COMRURAL III</w:t>
            </w:r>
          </w:p>
          <w:p w14:paraId="39E54023" w14:textId="77777777" w:rsidR="007A1D1C" w:rsidRPr="00FA4B2D" w:rsidRDefault="007A1D1C" w:rsidP="00FF59A0">
            <w:pPr>
              <w:autoSpaceDE w:val="0"/>
              <w:autoSpaceDN w:val="0"/>
              <w:adjustRightInd w:val="0"/>
              <w:spacing w:after="0" w:line="240" w:lineRule="auto"/>
              <w:ind w:left="32"/>
              <w:jc w:val="both"/>
              <w:rPr>
                <w:rFonts w:cs="Arial"/>
                <w:sz w:val="20"/>
                <w:szCs w:val="20"/>
                <w:lang w:val="es-ES_tradnl"/>
              </w:rPr>
            </w:pPr>
          </w:p>
        </w:tc>
      </w:tr>
      <w:tr w:rsidR="007A1D1C" w:rsidRPr="00FA4B2D" w14:paraId="0CB46F1C" w14:textId="77777777" w:rsidTr="00FF59A0">
        <w:trPr>
          <w:trHeight w:val="593"/>
        </w:trPr>
        <w:tc>
          <w:tcPr>
            <w:tcW w:w="1701" w:type="dxa"/>
            <w:vMerge/>
            <w:vAlign w:val="center"/>
          </w:tcPr>
          <w:p w14:paraId="149E1B9B" w14:textId="77777777" w:rsidR="007A1D1C" w:rsidRPr="00FA4B2D" w:rsidRDefault="007A1D1C" w:rsidP="00FF59A0">
            <w:pPr>
              <w:widowControl w:val="0"/>
              <w:spacing w:after="0" w:line="240" w:lineRule="auto"/>
              <w:ind w:right="103"/>
              <w:contextualSpacing/>
              <w:jc w:val="both"/>
              <w:rPr>
                <w:rFonts w:eastAsia="Times New Roman" w:cs="Arial"/>
                <w:b/>
                <w:sz w:val="20"/>
                <w:szCs w:val="20"/>
                <w:lang w:val="es-ES_tradnl"/>
              </w:rPr>
            </w:pPr>
          </w:p>
        </w:tc>
        <w:tc>
          <w:tcPr>
            <w:tcW w:w="5103" w:type="dxa"/>
            <w:vAlign w:val="center"/>
          </w:tcPr>
          <w:p w14:paraId="1095D31E" w14:textId="77777777" w:rsidR="007A1D1C" w:rsidRPr="00FA4B2D" w:rsidRDefault="007A1D1C" w:rsidP="00FF59A0">
            <w:pPr>
              <w:autoSpaceDE w:val="0"/>
              <w:autoSpaceDN w:val="0"/>
              <w:adjustRightInd w:val="0"/>
              <w:spacing w:after="0" w:line="240" w:lineRule="auto"/>
              <w:contextualSpacing/>
              <w:jc w:val="both"/>
              <w:rPr>
                <w:rFonts w:cs="Arial"/>
                <w:sz w:val="20"/>
                <w:szCs w:val="20"/>
                <w:lang w:val="es-ES_tradnl"/>
              </w:rPr>
            </w:pPr>
            <w:r w:rsidRPr="00FA4B2D">
              <w:rPr>
                <w:rFonts w:cs="Arial"/>
                <w:sz w:val="20"/>
                <w:szCs w:val="20"/>
                <w:lang w:val="es-ES_tradnl"/>
              </w:rPr>
              <w:t>Riesgos e impactos adversos significativos a la biodiversidad en áreas naturales</w:t>
            </w:r>
            <w:r w:rsidRPr="00FA4B2D">
              <w:rPr>
                <w:rFonts w:cs="Arial"/>
                <w:sz w:val="20"/>
                <w:szCs w:val="20"/>
                <w:vertAlign w:val="superscript"/>
                <w:lang w:val="es-ES_tradnl"/>
              </w:rPr>
              <w:footnoteReference w:id="53"/>
            </w:r>
            <w:r w:rsidRPr="00FA4B2D">
              <w:rPr>
                <w:rFonts w:cs="Arial"/>
                <w:sz w:val="20"/>
                <w:szCs w:val="20"/>
                <w:lang w:val="es-ES_tradnl"/>
              </w:rPr>
              <w:t xml:space="preserve"> </w:t>
            </w:r>
            <w:r w:rsidRPr="00FA4B2D">
              <w:rPr>
                <w:rFonts w:cs="Arial"/>
                <w:sz w:val="20"/>
                <w:szCs w:val="20"/>
                <w:vertAlign w:val="superscript"/>
                <w:lang w:val="es-ES_tradnl"/>
              </w:rPr>
              <w:t>y</w:t>
            </w:r>
            <w:r w:rsidRPr="00FA4B2D">
              <w:rPr>
                <w:rFonts w:cs="Arial"/>
                <w:sz w:val="20"/>
                <w:szCs w:val="20"/>
                <w:lang w:val="es-ES_tradnl"/>
              </w:rPr>
              <w:t xml:space="preserve"> </w:t>
            </w:r>
            <w:r w:rsidRPr="00FA4B2D">
              <w:rPr>
                <w:rFonts w:cs="Arial"/>
                <w:sz w:val="20"/>
                <w:szCs w:val="20"/>
                <w:vertAlign w:val="superscript"/>
                <w:lang w:val="es-ES_tradnl"/>
              </w:rPr>
              <w:footnoteReference w:id="54"/>
            </w:r>
            <w:r w:rsidRPr="00FA4B2D">
              <w:rPr>
                <w:rFonts w:cs="Arial"/>
                <w:sz w:val="20"/>
                <w:szCs w:val="20"/>
                <w:lang w:val="es-ES_tradnl"/>
              </w:rPr>
              <w:t xml:space="preserve">. </w:t>
            </w:r>
          </w:p>
        </w:tc>
        <w:tc>
          <w:tcPr>
            <w:tcW w:w="1984" w:type="dxa"/>
            <w:vMerge/>
            <w:vAlign w:val="center"/>
          </w:tcPr>
          <w:p w14:paraId="5ED0D627" w14:textId="77777777" w:rsidR="007A1D1C" w:rsidRPr="00FA4B2D" w:rsidRDefault="007A1D1C" w:rsidP="00FF59A0">
            <w:pPr>
              <w:autoSpaceDE w:val="0"/>
              <w:autoSpaceDN w:val="0"/>
              <w:adjustRightInd w:val="0"/>
              <w:spacing w:after="0" w:line="240" w:lineRule="auto"/>
              <w:contextualSpacing/>
              <w:jc w:val="both"/>
              <w:rPr>
                <w:rFonts w:cs="Arial"/>
                <w:sz w:val="20"/>
                <w:szCs w:val="20"/>
                <w:lang w:val="es-ES_tradnl"/>
              </w:rPr>
            </w:pPr>
          </w:p>
        </w:tc>
      </w:tr>
      <w:tr w:rsidR="007A1D1C" w:rsidRPr="00FA4B2D" w14:paraId="7A6A8170" w14:textId="77777777" w:rsidTr="00FF59A0">
        <w:trPr>
          <w:trHeight w:val="510"/>
        </w:trPr>
        <w:tc>
          <w:tcPr>
            <w:tcW w:w="1701" w:type="dxa"/>
            <w:vMerge/>
            <w:vAlign w:val="center"/>
          </w:tcPr>
          <w:p w14:paraId="01174FF4" w14:textId="77777777" w:rsidR="007A1D1C" w:rsidRPr="00FA4B2D" w:rsidRDefault="007A1D1C" w:rsidP="00FF59A0">
            <w:pPr>
              <w:widowControl w:val="0"/>
              <w:spacing w:after="0" w:line="240" w:lineRule="auto"/>
              <w:ind w:right="103"/>
              <w:contextualSpacing/>
              <w:jc w:val="both"/>
              <w:rPr>
                <w:rFonts w:eastAsia="Times New Roman" w:cs="Arial"/>
                <w:b/>
                <w:sz w:val="20"/>
                <w:szCs w:val="20"/>
                <w:lang w:val="es-ES_tradnl"/>
              </w:rPr>
            </w:pPr>
          </w:p>
        </w:tc>
        <w:tc>
          <w:tcPr>
            <w:tcW w:w="5103" w:type="dxa"/>
            <w:vAlign w:val="center"/>
          </w:tcPr>
          <w:p w14:paraId="766301C1" w14:textId="77777777" w:rsidR="007A1D1C" w:rsidRPr="00FA4B2D" w:rsidRDefault="007A1D1C" w:rsidP="00FF59A0">
            <w:pPr>
              <w:autoSpaceDE w:val="0"/>
              <w:autoSpaceDN w:val="0"/>
              <w:adjustRightInd w:val="0"/>
              <w:spacing w:after="0" w:line="240" w:lineRule="auto"/>
              <w:contextualSpacing/>
              <w:jc w:val="both"/>
              <w:rPr>
                <w:rFonts w:cs="Arial"/>
                <w:sz w:val="20"/>
                <w:szCs w:val="20"/>
                <w:lang w:val="es-ES_tradnl"/>
              </w:rPr>
            </w:pPr>
            <w:r w:rsidRPr="00FA4B2D">
              <w:rPr>
                <w:rFonts w:cs="Arial"/>
                <w:sz w:val="20"/>
                <w:szCs w:val="20"/>
                <w:lang w:val="es-ES_tradnl"/>
              </w:rPr>
              <w:t xml:space="preserve">El PdN, NO propone implementar proyectos adicionales para promover y mejorar los objetivos de conservación y gestión eficaz del área de protegida. </w:t>
            </w:r>
          </w:p>
        </w:tc>
        <w:tc>
          <w:tcPr>
            <w:tcW w:w="1984" w:type="dxa"/>
            <w:vMerge/>
            <w:vAlign w:val="center"/>
          </w:tcPr>
          <w:p w14:paraId="4F473935" w14:textId="77777777" w:rsidR="007A1D1C" w:rsidRPr="00FA4B2D" w:rsidRDefault="007A1D1C" w:rsidP="00FF59A0">
            <w:pPr>
              <w:autoSpaceDE w:val="0"/>
              <w:autoSpaceDN w:val="0"/>
              <w:adjustRightInd w:val="0"/>
              <w:spacing w:after="0" w:line="240" w:lineRule="auto"/>
              <w:contextualSpacing/>
              <w:jc w:val="both"/>
              <w:rPr>
                <w:rFonts w:cs="Arial"/>
                <w:sz w:val="20"/>
                <w:szCs w:val="20"/>
                <w:lang w:val="es-ES_tradnl"/>
              </w:rPr>
            </w:pPr>
          </w:p>
        </w:tc>
      </w:tr>
      <w:tr w:rsidR="007A1D1C" w:rsidRPr="00FA4B2D" w14:paraId="311FAEEF" w14:textId="77777777" w:rsidTr="00FF59A0">
        <w:trPr>
          <w:trHeight w:val="427"/>
        </w:trPr>
        <w:tc>
          <w:tcPr>
            <w:tcW w:w="1701" w:type="dxa"/>
            <w:vMerge/>
            <w:vAlign w:val="center"/>
          </w:tcPr>
          <w:p w14:paraId="62F4A810" w14:textId="77777777" w:rsidR="007A1D1C" w:rsidRPr="00FA4B2D" w:rsidRDefault="007A1D1C" w:rsidP="00FF59A0">
            <w:pPr>
              <w:widowControl w:val="0"/>
              <w:spacing w:after="0" w:line="240" w:lineRule="auto"/>
              <w:ind w:right="103"/>
              <w:contextualSpacing/>
              <w:jc w:val="both"/>
              <w:rPr>
                <w:rFonts w:eastAsia="Times New Roman" w:cs="Arial"/>
                <w:sz w:val="20"/>
                <w:szCs w:val="20"/>
                <w:lang w:val="es-ES_tradnl"/>
              </w:rPr>
            </w:pPr>
          </w:p>
        </w:tc>
        <w:tc>
          <w:tcPr>
            <w:tcW w:w="5103" w:type="dxa"/>
            <w:vAlign w:val="center"/>
          </w:tcPr>
          <w:p w14:paraId="5EE049BF" w14:textId="77777777" w:rsidR="007A1D1C" w:rsidRPr="00FA4B2D" w:rsidRDefault="007A1D1C" w:rsidP="00FF59A0">
            <w:pPr>
              <w:autoSpaceDE w:val="0"/>
              <w:autoSpaceDN w:val="0"/>
              <w:adjustRightInd w:val="0"/>
              <w:spacing w:after="0" w:line="240" w:lineRule="auto"/>
              <w:contextualSpacing/>
              <w:jc w:val="both"/>
              <w:rPr>
                <w:rFonts w:cs="Arial"/>
                <w:sz w:val="20"/>
                <w:szCs w:val="20"/>
                <w:lang w:val="es-ES_tradnl"/>
              </w:rPr>
            </w:pPr>
            <w:r w:rsidRPr="00FA4B2D">
              <w:rPr>
                <w:rFonts w:cs="Arial"/>
                <w:sz w:val="20"/>
                <w:szCs w:val="20"/>
                <w:lang w:val="es-ES_tradnl"/>
              </w:rPr>
              <w:t>Las actividades del PdN, representan riesgo de deforestación, caza, etc.</w:t>
            </w:r>
          </w:p>
        </w:tc>
        <w:tc>
          <w:tcPr>
            <w:tcW w:w="1984" w:type="dxa"/>
            <w:vMerge/>
            <w:vAlign w:val="center"/>
          </w:tcPr>
          <w:p w14:paraId="5D7A1FB8" w14:textId="77777777" w:rsidR="007A1D1C" w:rsidRPr="00FA4B2D" w:rsidRDefault="007A1D1C" w:rsidP="00FF59A0">
            <w:pPr>
              <w:autoSpaceDE w:val="0"/>
              <w:autoSpaceDN w:val="0"/>
              <w:adjustRightInd w:val="0"/>
              <w:spacing w:after="0" w:line="240" w:lineRule="auto"/>
              <w:contextualSpacing/>
              <w:jc w:val="both"/>
              <w:rPr>
                <w:rFonts w:cs="Arial"/>
                <w:sz w:val="20"/>
                <w:szCs w:val="20"/>
                <w:lang w:val="es-ES_tradnl"/>
              </w:rPr>
            </w:pPr>
          </w:p>
        </w:tc>
      </w:tr>
      <w:tr w:rsidR="007A1D1C" w:rsidRPr="00FA4B2D" w14:paraId="6DF9BC07" w14:textId="77777777" w:rsidTr="00FF59A0">
        <w:tc>
          <w:tcPr>
            <w:tcW w:w="1701" w:type="dxa"/>
            <w:vMerge/>
            <w:vAlign w:val="center"/>
          </w:tcPr>
          <w:p w14:paraId="2786DF8B" w14:textId="77777777" w:rsidR="007A1D1C" w:rsidRPr="00FA4B2D" w:rsidRDefault="007A1D1C" w:rsidP="00FF59A0">
            <w:pPr>
              <w:widowControl w:val="0"/>
              <w:spacing w:after="0" w:line="240" w:lineRule="auto"/>
              <w:ind w:right="103"/>
              <w:contextualSpacing/>
              <w:jc w:val="both"/>
              <w:rPr>
                <w:rFonts w:eastAsia="Times New Roman" w:cs="Arial"/>
                <w:sz w:val="20"/>
                <w:szCs w:val="20"/>
                <w:lang w:val="es-ES_tradnl"/>
              </w:rPr>
            </w:pPr>
          </w:p>
        </w:tc>
        <w:tc>
          <w:tcPr>
            <w:tcW w:w="5103" w:type="dxa"/>
            <w:vAlign w:val="center"/>
          </w:tcPr>
          <w:p w14:paraId="7C3A8D5E" w14:textId="77777777" w:rsidR="007A1D1C" w:rsidRPr="00FA4B2D" w:rsidRDefault="007A1D1C" w:rsidP="00FF59A0">
            <w:pPr>
              <w:autoSpaceDE w:val="0"/>
              <w:autoSpaceDN w:val="0"/>
              <w:adjustRightInd w:val="0"/>
              <w:spacing w:after="0" w:line="240" w:lineRule="auto"/>
              <w:contextualSpacing/>
              <w:jc w:val="both"/>
              <w:rPr>
                <w:rFonts w:cs="Arial"/>
                <w:sz w:val="20"/>
                <w:szCs w:val="20"/>
                <w:lang w:val="es-ES_tradnl"/>
              </w:rPr>
            </w:pPr>
            <w:r w:rsidRPr="00FA4B2D">
              <w:rPr>
                <w:rFonts w:cs="Arial"/>
                <w:sz w:val="20"/>
                <w:szCs w:val="20"/>
                <w:lang w:val="es-ES_tradnl"/>
              </w:rPr>
              <w:t xml:space="preserve">El PdN NO incluye la implementación de BPII, de guías de buenas prácticas ambientales o producción más limpia de la cadena. </w:t>
            </w:r>
          </w:p>
        </w:tc>
        <w:tc>
          <w:tcPr>
            <w:tcW w:w="1984" w:type="dxa"/>
            <w:vMerge/>
            <w:vAlign w:val="center"/>
          </w:tcPr>
          <w:p w14:paraId="6D4E3FFD" w14:textId="77777777" w:rsidR="007A1D1C" w:rsidRPr="00FA4B2D" w:rsidRDefault="007A1D1C" w:rsidP="00FF59A0">
            <w:pPr>
              <w:autoSpaceDE w:val="0"/>
              <w:autoSpaceDN w:val="0"/>
              <w:adjustRightInd w:val="0"/>
              <w:spacing w:after="0" w:line="240" w:lineRule="auto"/>
              <w:contextualSpacing/>
              <w:jc w:val="both"/>
              <w:rPr>
                <w:rFonts w:cs="Arial"/>
                <w:sz w:val="20"/>
                <w:szCs w:val="20"/>
                <w:lang w:val="es-ES_tradnl"/>
              </w:rPr>
            </w:pPr>
          </w:p>
        </w:tc>
      </w:tr>
      <w:tr w:rsidR="007A1D1C" w:rsidRPr="00FA4B2D" w14:paraId="5F3E587C" w14:textId="77777777" w:rsidTr="00FF59A0">
        <w:trPr>
          <w:trHeight w:val="493"/>
        </w:trPr>
        <w:tc>
          <w:tcPr>
            <w:tcW w:w="1701" w:type="dxa"/>
            <w:vMerge/>
            <w:vAlign w:val="center"/>
          </w:tcPr>
          <w:p w14:paraId="20AF40C5" w14:textId="77777777" w:rsidR="007A1D1C" w:rsidRPr="00FA4B2D" w:rsidRDefault="007A1D1C" w:rsidP="00FF59A0">
            <w:pPr>
              <w:widowControl w:val="0"/>
              <w:spacing w:after="0" w:line="240" w:lineRule="auto"/>
              <w:ind w:right="103"/>
              <w:contextualSpacing/>
              <w:jc w:val="both"/>
              <w:rPr>
                <w:rFonts w:eastAsia="Times New Roman" w:cs="Arial"/>
                <w:sz w:val="20"/>
                <w:szCs w:val="20"/>
                <w:lang w:val="es-ES_tradnl"/>
              </w:rPr>
            </w:pPr>
          </w:p>
        </w:tc>
        <w:tc>
          <w:tcPr>
            <w:tcW w:w="5103" w:type="dxa"/>
            <w:vAlign w:val="center"/>
          </w:tcPr>
          <w:p w14:paraId="7E549284" w14:textId="77777777" w:rsidR="007A1D1C" w:rsidRPr="00FA4B2D" w:rsidRDefault="007A1D1C" w:rsidP="00FF59A0">
            <w:pPr>
              <w:autoSpaceDE w:val="0"/>
              <w:autoSpaceDN w:val="0"/>
              <w:adjustRightInd w:val="0"/>
              <w:spacing w:after="0" w:line="240" w:lineRule="auto"/>
              <w:contextualSpacing/>
              <w:jc w:val="both"/>
              <w:rPr>
                <w:rFonts w:cs="Arial"/>
                <w:sz w:val="20"/>
                <w:szCs w:val="20"/>
                <w:lang w:val="es-ES_tradnl"/>
              </w:rPr>
            </w:pPr>
            <w:r w:rsidRPr="00FA4B2D">
              <w:rPr>
                <w:rFonts w:cs="Arial"/>
                <w:sz w:val="20"/>
                <w:szCs w:val="20"/>
                <w:lang w:val="es-ES_tradnl"/>
              </w:rPr>
              <w:t>El PdN, propone el uso intensivo de sustancias químicas autorizadas para el control de plagas.</w:t>
            </w:r>
          </w:p>
        </w:tc>
        <w:tc>
          <w:tcPr>
            <w:tcW w:w="1984" w:type="dxa"/>
            <w:vMerge/>
            <w:vAlign w:val="center"/>
          </w:tcPr>
          <w:p w14:paraId="0D85C0B3" w14:textId="77777777" w:rsidR="007A1D1C" w:rsidRPr="00FA4B2D" w:rsidRDefault="007A1D1C" w:rsidP="00FF59A0">
            <w:pPr>
              <w:autoSpaceDE w:val="0"/>
              <w:autoSpaceDN w:val="0"/>
              <w:adjustRightInd w:val="0"/>
              <w:spacing w:after="0" w:line="240" w:lineRule="auto"/>
              <w:contextualSpacing/>
              <w:jc w:val="both"/>
              <w:rPr>
                <w:rFonts w:cs="Arial"/>
                <w:sz w:val="20"/>
                <w:szCs w:val="20"/>
                <w:lang w:val="es-ES_tradnl"/>
              </w:rPr>
            </w:pPr>
          </w:p>
        </w:tc>
      </w:tr>
      <w:tr w:rsidR="007A1D1C" w:rsidRPr="00FA4B2D" w14:paraId="4FF68D71" w14:textId="77777777" w:rsidTr="00FF59A0">
        <w:tc>
          <w:tcPr>
            <w:tcW w:w="1701" w:type="dxa"/>
            <w:vMerge/>
            <w:vAlign w:val="center"/>
          </w:tcPr>
          <w:p w14:paraId="75D5757E" w14:textId="77777777" w:rsidR="007A1D1C" w:rsidRPr="00FA4B2D" w:rsidRDefault="007A1D1C" w:rsidP="00FF59A0">
            <w:pPr>
              <w:widowControl w:val="0"/>
              <w:spacing w:after="0" w:line="240" w:lineRule="auto"/>
              <w:ind w:right="103"/>
              <w:contextualSpacing/>
              <w:jc w:val="both"/>
              <w:rPr>
                <w:rFonts w:eastAsia="Times New Roman" w:cs="Arial"/>
                <w:sz w:val="20"/>
                <w:szCs w:val="20"/>
                <w:lang w:val="es-ES_tradnl"/>
              </w:rPr>
            </w:pPr>
          </w:p>
        </w:tc>
        <w:tc>
          <w:tcPr>
            <w:tcW w:w="5103" w:type="dxa"/>
            <w:vAlign w:val="center"/>
          </w:tcPr>
          <w:p w14:paraId="19096AEC" w14:textId="77777777" w:rsidR="007A1D1C" w:rsidRPr="00FA4B2D" w:rsidRDefault="007A1D1C" w:rsidP="00FF59A0">
            <w:pPr>
              <w:autoSpaceDE w:val="0"/>
              <w:autoSpaceDN w:val="0"/>
              <w:adjustRightInd w:val="0"/>
              <w:spacing w:after="0" w:line="240" w:lineRule="auto"/>
              <w:contextualSpacing/>
              <w:jc w:val="both"/>
              <w:rPr>
                <w:rFonts w:cs="Arial"/>
                <w:sz w:val="20"/>
                <w:szCs w:val="20"/>
                <w:lang w:val="es-ES_tradnl"/>
              </w:rPr>
            </w:pPr>
            <w:r w:rsidRPr="00FA4B2D">
              <w:rPr>
                <w:rFonts w:cs="Arial"/>
                <w:sz w:val="20"/>
                <w:szCs w:val="20"/>
                <w:lang w:val="es-ES_tradnl"/>
              </w:rPr>
              <w:t>El área del PdN, se encuentra en terrenos ondulados (15 a 30% pendiente). Moderado grado de erosión.</w:t>
            </w:r>
          </w:p>
        </w:tc>
        <w:tc>
          <w:tcPr>
            <w:tcW w:w="1984" w:type="dxa"/>
            <w:vMerge/>
            <w:vAlign w:val="center"/>
          </w:tcPr>
          <w:p w14:paraId="195794DC" w14:textId="77777777" w:rsidR="007A1D1C" w:rsidRPr="00FA4B2D" w:rsidRDefault="007A1D1C" w:rsidP="00FF59A0">
            <w:pPr>
              <w:autoSpaceDE w:val="0"/>
              <w:autoSpaceDN w:val="0"/>
              <w:adjustRightInd w:val="0"/>
              <w:spacing w:after="0" w:line="240" w:lineRule="auto"/>
              <w:contextualSpacing/>
              <w:jc w:val="both"/>
              <w:rPr>
                <w:rFonts w:cs="Arial"/>
                <w:sz w:val="20"/>
                <w:szCs w:val="20"/>
                <w:lang w:val="es-ES_tradnl"/>
              </w:rPr>
            </w:pPr>
          </w:p>
        </w:tc>
      </w:tr>
      <w:tr w:rsidR="007A1D1C" w:rsidRPr="00FA4B2D" w14:paraId="2108A5F1" w14:textId="77777777" w:rsidTr="00FF59A0">
        <w:tc>
          <w:tcPr>
            <w:tcW w:w="1701" w:type="dxa"/>
            <w:vMerge/>
            <w:vAlign w:val="center"/>
          </w:tcPr>
          <w:p w14:paraId="409D19DE" w14:textId="77777777" w:rsidR="007A1D1C" w:rsidRPr="00FA4B2D" w:rsidRDefault="007A1D1C" w:rsidP="00FF59A0">
            <w:pPr>
              <w:widowControl w:val="0"/>
              <w:spacing w:after="0" w:line="240" w:lineRule="auto"/>
              <w:ind w:right="103"/>
              <w:contextualSpacing/>
              <w:jc w:val="both"/>
              <w:rPr>
                <w:rFonts w:eastAsia="Times New Roman" w:cs="Arial"/>
                <w:sz w:val="20"/>
                <w:szCs w:val="20"/>
                <w:lang w:val="es-ES_tradnl"/>
              </w:rPr>
            </w:pPr>
          </w:p>
        </w:tc>
        <w:tc>
          <w:tcPr>
            <w:tcW w:w="5103" w:type="dxa"/>
            <w:vAlign w:val="center"/>
          </w:tcPr>
          <w:p w14:paraId="65F6301D" w14:textId="77777777" w:rsidR="007A1D1C" w:rsidRPr="00FA4B2D" w:rsidRDefault="007A1D1C" w:rsidP="00FF59A0">
            <w:pPr>
              <w:autoSpaceDE w:val="0"/>
              <w:autoSpaceDN w:val="0"/>
              <w:adjustRightInd w:val="0"/>
              <w:spacing w:after="0" w:line="240" w:lineRule="auto"/>
              <w:contextualSpacing/>
              <w:jc w:val="both"/>
              <w:rPr>
                <w:rFonts w:cs="Arial"/>
                <w:sz w:val="20"/>
                <w:szCs w:val="20"/>
                <w:lang w:val="es-ES_tradnl"/>
              </w:rPr>
            </w:pPr>
            <w:r w:rsidRPr="00FA4B2D">
              <w:rPr>
                <w:rFonts w:cs="Arial"/>
                <w:sz w:val="20"/>
                <w:szCs w:val="20"/>
                <w:lang w:val="es-ES_tradnl"/>
              </w:rPr>
              <w:t>El área del PdN, se encuentra en zonas de moderado riesgo a fenómenos naturales como inundaciones, sismos, incendios, entre otros.</w:t>
            </w:r>
          </w:p>
        </w:tc>
        <w:tc>
          <w:tcPr>
            <w:tcW w:w="1984" w:type="dxa"/>
            <w:vMerge/>
            <w:vAlign w:val="center"/>
          </w:tcPr>
          <w:p w14:paraId="30A0B9E7" w14:textId="77777777" w:rsidR="007A1D1C" w:rsidRPr="00FA4B2D" w:rsidRDefault="007A1D1C" w:rsidP="00FF59A0">
            <w:pPr>
              <w:autoSpaceDE w:val="0"/>
              <w:autoSpaceDN w:val="0"/>
              <w:adjustRightInd w:val="0"/>
              <w:spacing w:after="0" w:line="240" w:lineRule="auto"/>
              <w:contextualSpacing/>
              <w:jc w:val="both"/>
              <w:rPr>
                <w:rFonts w:cs="Arial"/>
                <w:sz w:val="20"/>
                <w:szCs w:val="20"/>
                <w:lang w:val="es-ES_tradnl"/>
              </w:rPr>
            </w:pPr>
          </w:p>
        </w:tc>
      </w:tr>
      <w:tr w:rsidR="007A1D1C" w:rsidRPr="00FA4B2D" w14:paraId="63FED880" w14:textId="77777777" w:rsidTr="00FF59A0">
        <w:tc>
          <w:tcPr>
            <w:tcW w:w="1701" w:type="dxa"/>
            <w:vMerge/>
            <w:vAlign w:val="center"/>
          </w:tcPr>
          <w:p w14:paraId="63D2CBEA" w14:textId="77777777" w:rsidR="007A1D1C" w:rsidRPr="00FA4B2D" w:rsidRDefault="007A1D1C" w:rsidP="00FF59A0">
            <w:pPr>
              <w:widowControl w:val="0"/>
              <w:spacing w:after="0" w:line="240" w:lineRule="auto"/>
              <w:ind w:right="103"/>
              <w:contextualSpacing/>
              <w:jc w:val="both"/>
              <w:rPr>
                <w:rFonts w:eastAsia="Times New Roman" w:cs="Arial"/>
                <w:sz w:val="20"/>
                <w:szCs w:val="20"/>
                <w:lang w:val="es-ES_tradnl"/>
              </w:rPr>
            </w:pPr>
          </w:p>
        </w:tc>
        <w:tc>
          <w:tcPr>
            <w:tcW w:w="5103" w:type="dxa"/>
            <w:vAlign w:val="center"/>
          </w:tcPr>
          <w:p w14:paraId="28E5C725" w14:textId="77777777" w:rsidR="007A1D1C" w:rsidRPr="00FA4B2D" w:rsidRDefault="007A1D1C" w:rsidP="00FF59A0">
            <w:pPr>
              <w:autoSpaceDE w:val="0"/>
              <w:autoSpaceDN w:val="0"/>
              <w:adjustRightInd w:val="0"/>
              <w:spacing w:after="0" w:line="240" w:lineRule="auto"/>
              <w:contextualSpacing/>
              <w:jc w:val="both"/>
              <w:rPr>
                <w:rFonts w:cs="Arial"/>
                <w:sz w:val="20"/>
                <w:szCs w:val="20"/>
                <w:lang w:val="es-ES_tradnl"/>
              </w:rPr>
            </w:pPr>
            <w:r w:rsidRPr="00FA4B2D">
              <w:rPr>
                <w:rFonts w:cs="Arial"/>
                <w:sz w:val="20"/>
                <w:szCs w:val="20"/>
                <w:lang w:val="es-ES_tradnl"/>
              </w:rPr>
              <w:t>Afectación moderada de indígenas o poblaciones vulnerables en el área del proyecto.</w:t>
            </w:r>
          </w:p>
        </w:tc>
        <w:tc>
          <w:tcPr>
            <w:tcW w:w="1984" w:type="dxa"/>
            <w:vMerge/>
            <w:vAlign w:val="center"/>
          </w:tcPr>
          <w:p w14:paraId="1215A8F1" w14:textId="77777777" w:rsidR="007A1D1C" w:rsidRPr="00FA4B2D" w:rsidRDefault="007A1D1C" w:rsidP="00FF59A0">
            <w:pPr>
              <w:autoSpaceDE w:val="0"/>
              <w:autoSpaceDN w:val="0"/>
              <w:adjustRightInd w:val="0"/>
              <w:spacing w:after="0" w:line="240" w:lineRule="auto"/>
              <w:contextualSpacing/>
              <w:jc w:val="both"/>
              <w:rPr>
                <w:rFonts w:cs="Arial"/>
                <w:sz w:val="20"/>
                <w:szCs w:val="20"/>
                <w:lang w:val="es-ES_tradnl"/>
              </w:rPr>
            </w:pPr>
          </w:p>
        </w:tc>
      </w:tr>
      <w:tr w:rsidR="007A1D1C" w:rsidRPr="00FA4B2D" w14:paraId="6AAF6AD4" w14:textId="77777777" w:rsidTr="00FF59A0">
        <w:tc>
          <w:tcPr>
            <w:tcW w:w="1701" w:type="dxa"/>
            <w:vMerge/>
            <w:vAlign w:val="center"/>
          </w:tcPr>
          <w:p w14:paraId="42C4941F" w14:textId="77777777" w:rsidR="007A1D1C" w:rsidRPr="00FA4B2D" w:rsidRDefault="007A1D1C" w:rsidP="00FF59A0">
            <w:pPr>
              <w:widowControl w:val="0"/>
              <w:spacing w:after="0" w:line="240" w:lineRule="auto"/>
              <w:ind w:right="103"/>
              <w:contextualSpacing/>
              <w:jc w:val="both"/>
              <w:rPr>
                <w:rFonts w:eastAsia="Times New Roman" w:cs="Arial"/>
                <w:sz w:val="20"/>
                <w:szCs w:val="20"/>
                <w:lang w:val="es-ES_tradnl"/>
              </w:rPr>
            </w:pPr>
          </w:p>
        </w:tc>
        <w:tc>
          <w:tcPr>
            <w:tcW w:w="5103" w:type="dxa"/>
            <w:vAlign w:val="center"/>
          </w:tcPr>
          <w:p w14:paraId="0A733924" w14:textId="77777777" w:rsidR="007A1D1C" w:rsidRPr="00FA4B2D" w:rsidRDefault="007A1D1C" w:rsidP="00FF59A0">
            <w:pPr>
              <w:autoSpaceDE w:val="0"/>
              <w:autoSpaceDN w:val="0"/>
              <w:adjustRightInd w:val="0"/>
              <w:spacing w:after="0" w:line="240" w:lineRule="auto"/>
              <w:jc w:val="both"/>
              <w:rPr>
                <w:rFonts w:cs="Arial"/>
                <w:sz w:val="20"/>
                <w:szCs w:val="20"/>
                <w:lang w:val="es-ES_tradnl"/>
              </w:rPr>
            </w:pPr>
            <w:r w:rsidRPr="00FA4B2D">
              <w:rPr>
                <w:rFonts w:cs="Arial"/>
                <w:sz w:val="20"/>
                <w:szCs w:val="20"/>
                <w:lang w:val="es-ES_tradnl"/>
              </w:rPr>
              <w:t>La pendiente del área del PdN, es inferior al 30% de pendiente y se encuentra a 50 metros o más de la ribera del río</w:t>
            </w:r>
            <w:r w:rsidRPr="00FA4B2D">
              <w:rPr>
                <w:rFonts w:cs="Arial"/>
                <w:vertAlign w:val="superscript"/>
              </w:rPr>
              <w:footnoteReference w:id="55"/>
            </w:r>
            <w:r w:rsidRPr="00FA4B2D">
              <w:rPr>
                <w:rFonts w:cs="Arial"/>
                <w:sz w:val="20"/>
                <w:szCs w:val="20"/>
                <w:lang w:val="es-ES_tradnl"/>
              </w:rPr>
              <w:t xml:space="preserve">. </w:t>
            </w:r>
          </w:p>
        </w:tc>
        <w:tc>
          <w:tcPr>
            <w:tcW w:w="1984" w:type="dxa"/>
            <w:vMerge/>
            <w:vAlign w:val="center"/>
          </w:tcPr>
          <w:p w14:paraId="0163BF52" w14:textId="77777777" w:rsidR="007A1D1C" w:rsidRPr="00FA4B2D" w:rsidRDefault="007A1D1C" w:rsidP="00FF59A0">
            <w:pPr>
              <w:autoSpaceDE w:val="0"/>
              <w:autoSpaceDN w:val="0"/>
              <w:adjustRightInd w:val="0"/>
              <w:spacing w:after="0" w:line="240" w:lineRule="auto"/>
              <w:jc w:val="both"/>
              <w:rPr>
                <w:rFonts w:cs="Arial"/>
                <w:sz w:val="20"/>
                <w:szCs w:val="20"/>
                <w:lang w:val="es-ES_tradnl"/>
              </w:rPr>
            </w:pPr>
          </w:p>
        </w:tc>
      </w:tr>
      <w:tr w:rsidR="007A1D1C" w:rsidRPr="00FA4B2D" w14:paraId="62692AA9" w14:textId="77777777" w:rsidTr="00FF59A0">
        <w:trPr>
          <w:trHeight w:val="963"/>
        </w:trPr>
        <w:tc>
          <w:tcPr>
            <w:tcW w:w="1701" w:type="dxa"/>
            <w:vMerge/>
            <w:vAlign w:val="center"/>
          </w:tcPr>
          <w:p w14:paraId="66A23024" w14:textId="77777777" w:rsidR="007A1D1C" w:rsidRPr="00FA4B2D" w:rsidRDefault="007A1D1C" w:rsidP="00FF59A0">
            <w:pPr>
              <w:widowControl w:val="0"/>
              <w:spacing w:after="0" w:line="240" w:lineRule="auto"/>
              <w:ind w:right="103"/>
              <w:contextualSpacing/>
              <w:jc w:val="both"/>
              <w:rPr>
                <w:rFonts w:eastAsia="Times New Roman" w:cs="Arial"/>
                <w:sz w:val="20"/>
                <w:szCs w:val="20"/>
                <w:lang w:val="es-ES_tradnl"/>
              </w:rPr>
            </w:pPr>
          </w:p>
        </w:tc>
        <w:tc>
          <w:tcPr>
            <w:tcW w:w="5103" w:type="dxa"/>
            <w:vAlign w:val="center"/>
          </w:tcPr>
          <w:p w14:paraId="771DB44F" w14:textId="77777777" w:rsidR="007A1D1C" w:rsidRPr="00FA4B2D" w:rsidRDefault="007A1D1C" w:rsidP="00FF59A0">
            <w:pPr>
              <w:autoSpaceDE w:val="0"/>
              <w:autoSpaceDN w:val="0"/>
              <w:adjustRightInd w:val="0"/>
              <w:spacing w:after="0" w:line="240" w:lineRule="auto"/>
              <w:jc w:val="both"/>
              <w:rPr>
                <w:rFonts w:cs="Arial"/>
                <w:sz w:val="20"/>
                <w:szCs w:val="20"/>
                <w:lang w:val="es-ES_tradnl"/>
              </w:rPr>
            </w:pPr>
            <w:r w:rsidRPr="00FA4B2D">
              <w:rPr>
                <w:rFonts w:cs="Arial"/>
                <w:sz w:val="20"/>
                <w:szCs w:val="20"/>
                <w:lang w:val="es-ES_tradnl"/>
              </w:rPr>
              <w:t>El PdN, respalda los medios de subsistencia de las comunidades locales, incluidos los pueblos indígenas, y el desarrollo económico inclusivo a través de la adopción de prácticas que integran las necesidades de conservación y las prioridades de desarrollo.</w:t>
            </w:r>
          </w:p>
        </w:tc>
        <w:tc>
          <w:tcPr>
            <w:tcW w:w="1984" w:type="dxa"/>
            <w:vMerge/>
            <w:vAlign w:val="center"/>
          </w:tcPr>
          <w:p w14:paraId="499B35BB" w14:textId="77777777" w:rsidR="007A1D1C" w:rsidRPr="00FA4B2D" w:rsidRDefault="007A1D1C" w:rsidP="00FF59A0">
            <w:pPr>
              <w:autoSpaceDE w:val="0"/>
              <w:autoSpaceDN w:val="0"/>
              <w:adjustRightInd w:val="0"/>
              <w:spacing w:after="0" w:line="240" w:lineRule="auto"/>
              <w:jc w:val="both"/>
              <w:rPr>
                <w:rFonts w:cs="Arial"/>
                <w:sz w:val="20"/>
                <w:szCs w:val="20"/>
                <w:lang w:val="es-ES_tradnl"/>
              </w:rPr>
            </w:pPr>
          </w:p>
        </w:tc>
      </w:tr>
      <w:tr w:rsidR="007A1D1C" w:rsidRPr="00FA4B2D" w14:paraId="3B09A6ED" w14:textId="77777777" w:rsidTr="00FF59A0">
        <w:trPr>
          <w:trHeight w:val="516"/>
        </w:trPr>
        <w:tc>
          <w:tcPr>
            <w:tcW w:w="1701" w:type="dxa"/>
            <w:vMerge/>
            <w:vAlign w:val="center"/>
          </w:tcPr>
          <w:p w14:paraId="77968C87" w14:textId="77777777" w:rsidR="007A1D1C" w:rsidRPr="00FA4B2D" w:rsidRDefault="007A1D1C" w:rsidP="00FF59A0">
            <w:pPr>
              <w:widowControl w:val="0"/>
              <w:spacing w:after="0" w:line="240" w:lineRule="auto"/>
              <w:ind w:right="103"/>
              <w:contextualSpacing/>
              <w:jc w:val="both"/>
              <w:rPr>
                <w:rFonts w:eastAsia="Times New Roman" w:cs="Arial"/>
                <w:sz w:val="20"/>
                <w:szCs w:val="20"/>
                <w:lang w:val="es-ES_tradnl"/>
              </w:rPr>
            </w:pPr>
          </w:p>
        </w:tc>
        <w:tc>
          <w:tcPr>
            <w:tcW w:w="5103" w:type="dxa"/>
            <w:vAlign w:val="center"/>
          </w:tcPr>
          <w:p w14:paraId="659A0FE6" w14:textId="77777777" w:rsidR="007A1D1C" w:rsidRPr="00FA4B2D" w:rsidRDefault="007A1D1C" w:rsidP="00FF59A0">
            <w:pPr>
              <w:autoSpaceDE w:val="0"/>
              <w:autoSpaceDN w:val="0"/>
              <w:adjustRightInd w:val="0"/>
              <w:spacing w:after="0" w:line="240" w:lineRule="auto"/>
              <w:jc w:val="both"/>
              <w:rPr>
                <w:rFonts w:cs="Arial"/>
                <w:sz w:val="20"/>
                <w:szCs w:val="20"/>
                <w:lang w:val="es-ES_tradnl"/>
              </w:rPr>
            </w:pPr>
            <w:r w:rsidRPr="00FA4B2D">
              <w:rPr>
                <w:rFonts w:cs="Arial"/>
                <w:sz w:val="20"/>
                <w:szCs w:val="20"/>
                <w:lang w:val="es-ES_tradnl"/>
              </w:rPr>
              <w:t xml:space="preserve">El PdN ha sido consultado con los co-manejadores del área, comunidades y otras partes interesadas. </w:t>
            </w:r>
          </w:p>
        </w:tc>
        <w:tc>
          <w:tcPr>
            <w:tcW w:w="1984" w:type="dxa"/>
            <w:vMerge/>
            <w:vAlign w:val="center"/>
          </w:tcPr>
          <w:p w14:paraId="6260EA4E" w14:textId="77777777" w:rsidR="007A1D1C" w:rsidRPr="00FA4B2D" w:rsidRDefault="007A1D1C" w:rsidP="00FF59A0">
            <w:pPr>
              <w:autoSpaceDE w:val="0"/>
              <w:autoSpaceDN w:val="0"/>
              <w:adjustRightInd w:val="0"/>
              <w:spacing w:after="0" w:line="240" w:lineRule="auto"/>
              <w:jc w:val="both"/>
              <w:rPr>
                <w:rFonts w:cs="Arial"/>
                <w:sz w:val="20"/>
                <w:szCs w:val="20"/>
                <w:lang w:val="es-ES_tradnl"/>
              </w:rPr>
            </w:pPr>
          </w:p>
        </w:tc>
      </w:tr>
      <w:tr w:rsidR="007A1D1C" w:rsidRPr="00FA4B2D" w14:paraId="3CF7F0FC" w14:textId="77777777" w:rsidTr="00FF59A0">
        <w:trPr>
          <w:trHeight w:val="2346"/>
        </w:trPr>
        <w:tc>
          <w:tcPr>
            <w:tcW w:w="1701" w:type="dxa"/>
            <w:vMerge/>
            <w:vAlign w:val="center"/>
          </w:tcPr>
          <w:p w14:paraId="7C559DD9" w14:textId="77777777" w:rsidR="007A1D1C" w:rsidRPr="00FA4B2D" w:rsidRDefault="007A1D1C" w:rsidP="00FF59A0">
            <w:pPr>
              <w:widowControl w:val="0"/>
              <w:spacing w:after="0" w:line="240" w:lineRule="auto"/>
              <w:ind w:right="103"/>
              <w:contextualSpacing/>
              <w:jc w:val="both"/>
              <w:rPr>
                <w:rFonts w:eastAsia="Times New Roman" w:cs="Arial"/>
                <w:sz w:val="20"/>
                <w:szCs w:val="20"/>
                <w:lang w:val="es-ES_tradnl"/>
              </w:rPr>
            </w:pPr>
          </w:p>
        </w:tc>
        <w:tc>
          <w:tcPr>
            <w:tcW w:w="5103" w:type="dxa"/>
            <w:vAlign w:val="center"/>
          </w:tcPr>
          <w:p w14:paraId="7B95802B" w14:textId="77777777" w:rsidR="007A1D1C" w:rsidRPr="00FA4B2D" w:rsidRDefault="007A1D1C" w:rsidP="00FF59A0">
            <w:pPr>
              <w:autoSpaceDE w:val="0"/>
              <w:autoSpaceDN w:val="0"/>
              <w:adjustRightInd w:val="0"/>
              <w:spacing w:after="0" w:line="240" w:lineRule="auto"/>
              <w:jc w:val="both"/>
              <w:rPr>
                <w:rFonts w:cs="Arial"/>
                <w:sz w:val="20"/>
                <w:szCs w:val="20"/>
                <w:lang w:val="es-ES_tradnl"/>
              </w:rPr>
            </w:pPr>
            <w:r w:rsidRPr="00FA4B2D">
              <w:rPr>
                <w:rFonts w:cs="Arial"/>
                <w:sz w:val="20"/>
                <w:szCs w:val="20"/>
                <w:lang w:val="es-ES_tradnl"/>
              </w:rPr>
              <w:t>Afectación de más de 10 y menos de 200 predios o Viviendas.</w:t>
            </w:r>
          </w:p>
        </w:tc>
        <w:tc>
          <w:tcPr>
            <w:tcW w:w="1984" w:type="dxa"/>
            <w:vMerge/>
            <w:vAlign w:val="center"/>
          </w:tcPr>
          <w:p w14:paraId="3162F905" w14:textId="77777777" w:rsidR="007A1D1C" w:rsidRPr="00FA4B2D" w:rsidRDefault="007A1D1C" w:rsidP="00FF59A0">
            <w:pPr>
              <w:autoSpaceDE w:val="0"/>
              <w:autoSpaceDN w:val="0"/>
              <w:adjustRightInd w:val="0"/>
              <w:spacing w:after="0" w:line="240" w:lineRule="auto"/>
              <w:jc w:val="both"/>
              <w:rPr>
                <w:rFonts w:cs="Arial"/>
                <w:sz w:val="20"/>
                <w:szCs w:val="20"/>
                <w:lang w:val="es-ES_tradnl"/>
              </w:rPr>
            </w:pPr>
          </w:p>
        </w:tc>
      </w:tr>
      <w:tr w:rsidR="007A1D1C" w:rsidRPr="00FA4B2D" w14:paraId="5CF0B7BB" w14:textId="77777777" w:rsidTr="00FF59A0">
        <w:trPr>
          <w:trHeight w:val="2346"/>
        </w:trPr>
        <w:tc>
          <w:tcPr>
            <w:tcW w:w="1701" w:type="dxa"/>
            <w:vMerge/>
            <w:vAlign w:val="center"/>
          </w:tcPr>
          <w:p w14:paraId="0EE4C7EB" w14:textId="77777777" w:rsidR="007A1D1C" w:rsidRPr="00FA4B2D" w:rsidRDefault="007A1D1C" w:rsidP="00FF59A0">
            <w:pPr>
              <w:widowControl w:val="0"/>
              <w:spacing w:after="0" w:line="240" w:lineRule="auto"/>
              <w:ind w:right="103"/>
              <w:contextualSpacing/>
              <w:jc w:val="both"/>
              <w:rPr>
                <w:rFonts w:eastAsia="Times New Roman" w:cs="Arial"/>
                <w:sz w:val="20"/>
                <w:szCs w:val="20"/>
                <w:lang w:val="es-ES_tradnl"/>
              </w:rPr>
            </w:pPr>
          </w:p>
        </w:tc>
        <w:tc>
          <w:tcPr>
            <w:tcW w:w="5103" w:type="dxa"/>
            <w:vAlign w:val="center"/>
          </w:tcPr>
          <w:p w14:paraId="79D64A13" w14:textId="77777777" w:rsidR="007A1D1C" w:rsidRPr="00FA4B2D" w:rsidRDefault="007A1D1C" w:rsidP="00FF59A0">
            <w:pPr>
              <w:autoSpaceDE w:val="0"/>
              <w:autoSpaceDN w:val="0"/>
              <w:adjustRightInd w:val="0"/>
              <w:spacing w:after="0" w:line="240" w:lineRule="auto"/>
              <w:jc w:val="both"/>
              <w:rPr>
                <w:rFonts w:cs="Arial"/>
                <w:sz w:val="20"/>
                <w:szCs w:val="20"/>
                <w:lang w:val="es-ES_tradnl"/>
              </w:rPr>
            </w:pPr>
            <w:r w:rsidRPr="00FA4B2D">
              <w:rPr>
                <w:rFonts w:cs="Arial"/>
                <w:sz w:val="20"/>
                <w:szCs w:val="20"/>
                <w:lang w:val="es-ES_tradnl"/>
              </w:rPr>
              <w:t>Áreas con potencial latente de conflictos sociales que podrían extenderse a la actividad agrícola</w:t>
            </w:r>
          </w:p>
        </w:tc>
        <w:tc>
          <w:tcPr>
            <w:tcW w:w="1984" w:type="dxa"/>
            <w:vMerge/>
            <w:vAlign w:val="center"/>
          </w:tcPr>
          <w:p w14:paraId="2CE4B496" w14:textId="77777777" w:rsidR="007A1D1C" w:rsidRPr="00FA4B2D" w:rsidRDefault="007A1D1C" w:rsidP="00FF59A0">
            <w:pPr>
              <w:autoSpaceDE w:val="0"/>
              <w:autoSpaceDN w:val="0"/>
              <w:adjustRightInd w:val="0"/>
              <w:spacing w:after="0" w:line="240" w:lineRule="auto"/>
              <w:jc w:val="both"/>
              <w:rPr>
                <w:rFonts w:cs="Arial"/>
                <w:sz w:val="20"/>
                <w:szCs w:val="20"/>
                <w:lang w:val="es-ES_tradnl"/>
              </w:rPr>
            </w:pPr>
          </w:p>
        </w:tc>
      </w:tr>
      <w:tr w:rsidR="007A1D1C" w:rsidRPr="00FA4B2D" w14:paraId="76EED7D3" w14:textId="77777777" w:rsidTr="00FF59A0">
        <w:trPr>
          <w:trHeight w:val="724"/>
        </w:trPr>
        <w:tc>
          <w:tcPr>
            <w:tcW w:w="1701" w:type="dxa"/>
            <w:vMerge w:val="restart"/>
            <w:shd w:val="clear" w:color="auto" w:fill="A8D08D" w:themeFill="accent6" w:themeFillTint="99"/>
            <w:vAlign w:val="center"/>
          </w:tcPr>
          <w:p w14:paraId="19C56797" w14:textId="77777777" w:rsidR="007A1D1C" w:rsidRPr="00FA4B2D" w:rsidRDefault="007A1D1C" w:rsidP="00FF59A0">
            <w:pPr>
              <w:widowControl w:val="0"/>
              <w:spacing w:after="0" w:line="240" w:lineRule="auto"/>
              <w:ind w:right="103"/>
              <w:contextualSpacing/>
              <w:jc w:val="both"/>
              <w:rPr>
                <w:rFonts w:eastAsia="Times New Roman" w:cs="Arial"/>
                <w:b/>
                <w:sz w:val="20"/>
                <w:szCs w:val="20"/>
                <w:lang w:val="es-ES_tradnl"/>
              </w:rPr>
            </w:pPr>
            <w:r w:rsidRPr="00FA4B2D">
              <w:rPr>
                <w:rFonts w:eastAsia="Times New Roman" w:cs="Arial"/>
                <w:b/>
                <w:sz w:val="20"/>
                <w:szCs w:val="20"/>
                <w:lang w:val="es-ES_tradnl"/>
              </w:rPr>
              <w:t>BAJO (C)</w:t>
            </w:r>
          </w:p>
        </w:tc>
        <w:tc>
          <w:tcPr>
            <w:tcW w:w="5103" w:type="dxa"/>
            <w:vAlign w:val="center"/>
          </w:tcPr>
          <w:p w14:paraId="4523B97D" w14:textId="77777777" w:rsidR="007A1D1C" w:rsidRPr="00FA4B2D" w:rsidRDefault="007A1D1C" w:rsidP="00FF59A0">
            <w:pPr>
              <w:autoSpaceDE w:val="0"/>
              <w:autoSpaceDN w:val="0"/>
              <w:adjustRightInd w:val="0"/>
              <w:spacing w:after="0" w:line="240" w:lineRule="auto"/>
              <w:jc w:val="both"/>
              <w:rPr>
                <w:rFonts w:cs="Arial"/>
                <w:sz w:val="20"/>
                <w:szCs w:val="20"/>
                <w:lang w:val="es-ES_tradnl"/>
              </w:rPr>
            </w:pPr>
            <w:r w:rsidRPr="00FA4B2D">
              <w:rPr>
                <w:rFonts w:cs="Arial"/>
                <w:sz w:val="20"/>
                <w:szCs w:val="20"/>
                <w:lang w:val="es-ES_tradnl"/>
              </w:rPr>
              <w:t>Riesgos e impactos adversos bajos a la biodiversidad en áreas naturales</w:t>
            </w:r>
            <w:r w:rsidRPr="00FA4B2D">
              <w:rPr>
                <w:rFonts w:cs="Arial"/>
                <w:sz w:val="20"/>
                <w:szCs w:val="20"/>
                <w:vertAlign w:val="superscript"/>
                <w:lang w:val="es-ES_tradnl"/>
              </w:rPr>
              <w:footnoteReference w:id="56"/>
            </w:r>
            <w:r w:rsidRPr="00FA4B2D">
              <w:rPr>
                <w:rFonts w:cs="Arial"/>
                <w:sz w:val="20"/>
                <w:szCs w:val="20"/>
                <w:lang w:val="es-ES_tradnl"/>
              </w:rPr>
              <w:t xml:space="preserve"> </w:t>
            </w:r>
            <w:r w:rsidRPr="00FA4B2D">
              <w:rPr>
                <w:rFonts w:cs="Arial"/>
                <w:sz w:val="20"/>
                <w:szCs w:val="20"/>
                <w:vertAlign w:val="superscript"/>
                <w:lang w:val="es-ES_tradnl"/>
              </w:rPr>
              <w:t>y</w:t>
            </w:r>
            <w:r w:rsidRPr="00FA4B2D">
              <w:rPr>
                <w:rFonts w:cs="Arial"/>
                <w:sz w:val="20"/>
                <w:szCs w:val="20"/>
                <w:vertAlign w:val="superscript"/>
                <w:lang w:val="es-ES_tradnl"/>
              </w:rPr>
              <w:footnoteReference w:id="57"/>
            </w:r>
            <w:r w:rsidRPr="00FA4B2D">
              <w:rPr>
                <w:rFonts w:cs="Arial"/>
                <w:sz w:val="20"/>
                <w:szCs w:val="20"/>
                <w:lang w:val="es-ES_tradnl"/>
              </w:rPr>
              <w:t>.</w:t>
            </w:r>
          </w:p>
        </w:tc>
        <w:tc>
          <w:tcPr>
            <w:tcW w:w="1984" w:type="dxa"/>
            <w:vMerge w:val="restart"/>
            <w:vAlign w:val="center"/>
          </w:tcPr>
          <w:p w14:paraId="068FBBA4" w14:textId="01989911" w:rsidR="007A1D1C" w:rsidRPr="00FA4B2D" w:rsidRDefault="007A1D1C" w:rsidP="00FF59A0">
            <w:pPr>
              <w:autoSpaceDE w:val="0"/>
              <w:autoSpaceDN w:val="0"/>
              <w:adjustRightInd w:val="0"/>
              <w:spacing w:after="0" w:line="240" w:lineRule="auto"/>
              <w:contextualSpacing/>
              <w:jc w:val="both"/>
              <w:rPr>
                <w:rFonts w:cs="Arial"/>
                <w:sz w:val="20"/>
                <w:szCs w:val="20"/>
                <w:lang w:val="es-ES_tradnl"/>
              </w:rPr>
            </w:pPr>
            <w:r w:rsidRPr="00FA4B2D">
              <w:rPr>
                <w:rFonts w:cs="Arial"/>
                <w:sz w:val="20"/>
                <w:szCs w:val="20"/>
                <w:lang w:val="es-ES_tradnl"/>
              </w:rPr>
              <w:t xml:space="preserve">Plan de Gestión Ambiental </w:t>
            </w:r>
            <w:r w:rsidR="00270B08" w:rsidRPr="00FA4B2D">
              <w:rPr>
                <w:rFonts w:cs="Arial"/>
                <w:sz w:val="20"/>
                <w:szCs w:val="20"/>
                <w:lang w:val="es-ES_tradnl"/>
              </w:rPr>
              <w:t>y Social PGAS</w:t>
            </w:r>
            <w:r w:rsidR="001E6CFE" w:rsidRPr="00FA4B2D">
              <w:rPr>
                <w:rFonts w:cs="Arial"/>
                <w:sz w:val="20"/>
                <w:szCs w:val="20"/>
                <w:lang w:val="es-ES_tradnl"/>
              </w:rPr>
              <w:t xml:space="preserve"> anexo VI</w:t>
            </w:r>
            <w:r w:rsidRPr="00FA4B2D">
              <w:rPr>
                <w:rFonts w:cs="Arial"/>
                <w:sz w:val="20"/>
                <w:szCs w:val="20"/>
                <w:lang w:val="es-ES_tradnl"/>
              </w:rPr>
              <w:t>):</w:t>
            </w:r>
          </w:p>
          <w:p w14:paraId="531E4424" w14:textId="77777777" w:rsidR="007A1D1C" w:rsidRPr="00FA4B2D" w:rsidRDefault="007A1D1C" w:rsidP="00FF59A0">
            <w:pPr>
              <w:autoSpaceDE w:val="0"/>
              <w:autoSpaceDN w:val="0"/>
              <w:adjustRightInd w:val="0"/>
              <w:spacing w:after="0" w:line="240" w:lineRule="auto"/>
              <w:contextualSpacing/>
              <w:jc w:val="both"/>
              <w:rPr>
                <w:rFonts w:cs="Arial"/>
                <w:sz w:val="20"/>
                <w:szCs w:val="20"/>
                <w:lang w:val="es-ES_tradnl"/>
              </w:rPr>
            </w:pPr>
          </w:p>
          <w:p w14:paraId="4B28F072" w14:textId="77777777" w:rsidR="007A1D1C" w:rsidRPr="00FA4B2D" w:rsidRDefault="007A1D1C" w:rsidP="007A1D1C">
            <w:pPr>
              <w:numPr>
                <w:ilvl w:val="0"/>
                <w:numId w:val="126"/>
              </w:numPr>
              <w:autoSpaceDE w:val="0"/>
              <w:autoSpaceDN w:val="0"/>
              <w:adjustRightInd w:val="0"/>
              <w:spacing w:after="0" w:line="240" w:lineRule="auto"/>
              <w:ind w:left="315" w:hanging="283"/>
              <w:contextualSpacing/>
              <w:jc w:val="both"/>
              <w:rPr>
                <w:rFonts w:cs="Arial"/>
                <w:sz w:val="20"/>
                <w:szCs w:val="20"/>
                <w:lang w:val="es-ES_tradnl"/>
              </w:rPr>
            </w:pPr>
            <w:r w:rsidRPr="00FA4B2D">
              <w:rPr>
                <w:rFonts w:cs="Arial"/>
                <w:sz w:val="20"/>
                <w:szCs w:val="20"/>
                <w:lang w:val="es-ES_tradnl"/>
              </w:rPr>
              <w:t xml:space="preserve">Plan de Manejo de Plagas (excepto las cadenas de turismo rural y productos culturales).   </w:t>
            </w:r>
          </w:p>
          <w:p w14:paraId="7C9D174F" w14:textId="77777777" w:rsidR="007A1D1C" w:rsidRPr="00FA4B2D" w:rsidRDefault="007A1D1C" w:rsidP="00FF59A0">
            <w:pPr>
              <w:autoSpaceDE w:val="0"/>
              <w:autoSpaceDN w:val="0"/>
              <w:adjustRightInd w:val="0"/>
              <w:spacing w:after="0" w:line="240" w:lineRule="auto"/>
              <w:ind w:left="315"/>
              <w:contextualSpacing/>
              <w:jc w:val="both"/>
              <w:rPr>
                <w:rFonts w:cs="Arial"/>
                <w:sz w:val="20"/>
                <w:szCs w:val="20"/>
                <w:lang w:val="es-ES_tradnl"/>
              </w:rPr>
            </w:pPr>
          </w:p>
          <w:p w14:paraId="31941FFF" w14:textId="77777777" w:rsidR="007A1D1C" w:rsidRPr="00FA4B2D" w:rsidRDefault="007A1D1C" w:rsidP="007A1D1C">
            <w:pPr>
              <w:numPr>
                <w:ilvl w:val="0"/>
                <w:numId w:val="126"/>
              </w:numPr>
              <w:autoSpaceDE w:val="0"/>
              <w:autoSpaceDN w:val="0"/>
              <w:adjustRightInd w:val="0"/>
              <w:spacing w:after="0" w:line="240" w:lineRule="auto"/>
              <w:ind w:left="315" w:hanging="283"/>
              <w:contextualSpacing/>
              <w:jc w:val="both"/>
              <w:rPr>
                <w:rFonts w:cs="Arial"/>
                <w:sz w:val="20"/>
                <w:szCs w:val="20"/>
                <w:lang w:val="es-ES_tradnl"/>
              </w:rPr>
            </w:pPr>
            <w:r w:rsidRPr="00FA4B2D">
              <w:rPr>
                <w:rFonts w:cs="Arial"/>
                <w:sz w:val="20"/>
                <w:szCs w:val="20"/>
                <w:lang w:val="es-ES_tradnl"/>
              </w:rPr>
              <w:t>Implementación de BPII o guías de buenas prácticas ambientales o producción más limpia.</w:t>
            </w:r>
          </w:p>
          <w:p w14:paraId="1A9C3B80" w14:textId="77777777" w:rsidR="007A1D1C" w:rsidRPr="00FA4B2D" w:rsidRDefault="007A1D1C" w:rsidP="00FF59A0">
            <w:pPr>
              <w:autoSpaceDE w:val="0"/>
              <w:autoSpaceDN w:val="0"/>
              <w:adjustRightInd w:val="0"/>
              <w:spacing w:after="0" w:line="240" w:lineRule="auto"/>
              <w:ind w:left="315"/>
              <w:contextualSpacing/>
              <w:jc w:val="both"/>
              <w:rPr>
                <w:rFonts w:cs="Arial"/>
                <w:sz w:val="20"/>
                <w:szCs w:val="20"/>
                <w:lang w:val="es-ES_tradnl"/>
              </w:rPr>
            </w:pPr>
          </w:p>
          <w:p w14:paraId="76A36A60" w14:textId="77777777" w:rsidR="007A1D1C" w:rsidRPr="00FA4B2D" w:rsidRDefault="007A1D1C" w:rsidP="007A1D1C">
            <w:pPr>
              <w:numPr>
                <w:ilvl w:val="0"/>
                <w:numId w:val="126"/>
              </w:numPr>
              <w:autoSpaceDE w:val="0"/>
              <w:autoSpaceDN w:val="0"/>
              <w:adjustRightInd w:val="0"/>
              <w:spacing w:after="0" w:line="240" w:lineRule="auto"/>
              <w:ind w:left="315" w:hanging="283"/>
              <w:contextualSpacing/>
              <w:jc w:val="both"/>
              <w:rPr>
                <w:rFonts w:cs="Arial"/>
                <w:sz w:val="20"/>
                <w:szCs w:val="20"/>
                <w:lang w:val="es-ES_tradnl"/>
              </w:rPr>
            </w:pPr>
            <w:r w:rsidRPr="00FA4B2D">
              <w:rPr>
                <w:rFonts w:cs="Arial"/>
                <w:sz w:val="20"/>
                <w:szCs w:val="20"/>
                <w:lang w:val="es-ES_tradnl"/>
              </w:rPr>
              <w:lastRenderedPageBreak/>
              <w:t>Plan de Gestión de residuos sólidos comunes y peligrosos.</w:t>
            </w:r>
          </w:p>
          <w:p w14:paraId="7634CCA6" w14:textId="77777777" w:rsidR="007A1D1C" w:rsidRPr="00FA4B2D" w:rsidRDefault="007A1D1C" w:rsidP="00FF59A0">
            <w:pPr>
              <w:autoSpaceDE w:val="0"/>
              <w:autoSpaceDN w:val="0"/>
              <w:adjustRightInd w:val="0"/>
              <w:spacing w:after="0" w:line="240" w:lineRule="auto"/>
              <w:contextualSpacing/>
              <w:jc w:val="both"/>
              <w:rPr>
                <w:rFonts w:cs="Arial"/>
                <w:sz w:val="20"/>
                <w:szCs w:val="20"/>
                <w:lang w:val="es-ES_tradnl"/>
              </w:rPr>
            </w:pPr>
          </w:p>
          <w:p w14:paraId="629BEC2C" w14:textId="77777777" w:rsidR="007A1D1C" w:rsidRPr="00FA4B2D" w:rsidRDefault="007A1D1C" w:rsidP="007A1D1C">
            <w:pPr>
              <w:numPr>
                <w:ilvl w:val="0"/>
                <w:numId w:val="126"/>
              </w:numPr>
              <w:autoSpaceDE w:val="0"/>
              <w:autoSpaceDN w:val="0"/>
              <w:adjustRightInd w:val="0"/>
              <w:spacing w:after="0" w:line="240" w:lineRule="auto"/>
              <w:ind w:left="315" w:hanging="283"/>
              <w:contextualSpacing/>
              <w:jc w:val="both"/>
              <w:rPr>
                <w:rFonts w:cs="Arial"/>
                <w:sz w:val="20"/>
                <w:szCs w:val="20"/>
                <w:lang w:val="es-ES_tradnl"/>
              </w:rPr>
            </w:pPr>
            <w:r w:rsidRPr="00FA4B2D">
              <w:rPr>
                <w:rFonts w:cs="Arial"/>
                <w:sz w:val="20"/>
                <w:szCs w:val="20"/>
                <w:lang w:val="es-ES_tradnl"/>
              </w:rPr>
              <w:t xml:space="preserve">Plan de manejo y conservación de suelos excepto las cadenas de turismo rural y productos culturales).   </w:t>
            </w:r>
          </w:p>
          <w:p w14:paraId="12C0352B" w14:textId="77777777" w:rsidR="007A1D1C" w:rsidRPr="00FA4B2D" w:rsidRDefault="007A1D1C" w:rsidP="00FF59A0">
            <w:pPr>
              <w:autoSpaceDE w:val="0"/>
              <w:autoSpaceDN w:val="0"/>
              <w:adjustRightInd w:val="0"/>
              <w:spacing w:after="0" w:line="240" w:lineRule="auto"/>
              <w:contextualSpacing/>
              <w:jc w:val="both"/>
              <w:rPr>
                <w:rFonts w:cs="Arial"/>
                <w:sz w:val="20"/>
                <w:szCs w:val="20"/>
                <w:lang w:val="es-ES_tradnl"/>
              </w:rPr>
            </w:pPr>
          </w:p>
          <w:p w14:paraId="72C47CA6" w14:textId="77777777" w:rsidR="007A1D1C" w:rsidRPr="00FA4B2D" w:rsidRDefault="007A1D1C" w:rsidP="00FF59A0">
            <w:pPr>
              <w:autoSpaceDE w:val="0"/>
              <w:autoSpaceDN w:val="0"/>
              <w:adjustRightInd w:val="0"/>
              <w:spacing w:after="0" w:line="240" w:lineRule="auto"/>
              <w:jc w:val="both"/>
              <w:rPr>
                <w:rFonts w:cs="Arial"/>
                <w:sz w:val="20"/>
                <w:szCs w:val="20"/>
                <w:lang w:val="es-ES_tradnl"/>
              </w:rPr>
            </w:pPr>
          </w:p>
        </w:tc>
      </w:tr>
      <w:tr w:rsidR="007A1D1C" w:rsidRPr="00FA4B2D" w14:paraId="27F63B15" w14:textId="77777777" w:rsidTr="00FF59A0">
        <w:trPr>
          <w:trHeight w:val="512"/>
        </w:trPr>
        <w:tc>
          <w:tcPr>
            <w:tcW w:w="1701" w:type="dxa"/>
            <w:vMerge/>
            <w:vAlign w:val="center"/>
          </w:tcPr>
          <w:p w14:paraId="43DAACAB" w14:textId="77777777" w:rsidR="007A1D1C" w:rsidRPr="00FA4B2D" w:rsidRDefault="007A1D1C" w:rsidP="00FF59A0">
            <w:pPr>
              <w:widowControl w:val="0"/>
              <w:spacing w:after="0" w:line="240" w:lineRule="auto"/>
              <w:ind w:right="103"/>
              <w:contextualSpacing/>
              <w:jc w:val="both"/>
              <w:rPr>
                <w:rFonts w:eastAsia="Times New Roman" w:cs="Arial"/>
                <w:b/>
                <w:sz w:val="20"/>
                <w:szCs w:val="20"/>
                <w:lang w:val="es-ES_tradnl"/>
              </w:rPr>
            </w:pPr>
          </w:p>
        </w:tc>
        <w:tc>
          <w:tcPr>
            <w:tcW w:w="5103" w:type="dxa"/>
            <w:vAlign w:val="center"/>
          </w:tcPr>
          <w:p w14:paraId="371EEF11" w14:textId="77777777" w:rsidR="007A1D1C" w:rsidRPr="00FA4B2D" w:rsidRDefault="007A1D1C" w:rsidP="00FF59A0">
            <w:pPr>
              <w:autoSpaceDE w:val="0"/>
              <w:autoSpaceDN w:val="0"/>
              <w:adjustRightInd w:val="0"/>
              <w:spacing w:after="0" w:line="240" w:lineRule="auto"/>
              <w:jc w:val="both"/>
              <w:rPr>
                <w:rFonts w:cs="Arial"/>
                <w:sz w:val="20"/>
                <w:szCs w:val="20"/>
                <w:lang w:val="es-ES_tradnl"/>
              </w:rPr>
            </w:pPr>
            <w:r w:rsidRPr="00FA4B2D">
              <w:rPr>
                <w:rFonts w:cs="Arial"/>
                <w:sz w:val="20"/>
                <w:szCs w:val="20"/>
                <w:lang w:val="es-ES_tradnl"/>
              </w:rPr>
              <w:t xml:space="preserve">El PdN, propone implementar proyectos adicionales para una gestión eficaz del área de manejo. </w:t>
            </w:r>
          </w:p>
        </w:tc>
        <w:tc>
          <w:tcPr>
            <w:tcW w:w="1984" w:type="dxa"/>
            <w:vMerge/>
            <w:vAlign w:val="center"/>
          </w:tcPr>
          <w:p w14:paraId="38C63BF0" w14:textId="77777777" w:rsidR="007A1D1C" w:rsidRPr="00FA4B2D" w:rsidRDefault="007A1D1C" w:rsidP="00FF59A0">
            <w:pPr>
              <w:autoSpaceDE w:val="0"/>
              <w:autoSpaceDN w:val="0"/>
              <w:adjustRightInd w:val="0"/>
              <w:spacing w:after="0" w:line="240" w:lineRule="auto"/>
              <w:jc w:val="both"/>
              <w:rPr>
                <w:rFonts w:cs="Arial"/>
                <w:sz w:val="20"/>
                <w:szCs w:val="20"/>
                <w:lang w:val="es-ES_tradnl"/>
              </w:rPr>
            </w:pPr>
          </w:p>
        </w:tc>
      </w:tr>
      <w:tr w:rsidR="007A1D1C" w:rsidRPr="00FA4B2D" w14:paraId="4B09DF35" w14:textId="77777777" w:rsidTr="00FF59A0">
        <w:trPr>
          <w:trHeight w:val="292"/>
        </w:trPr>
        <w:tc>
          <w:tcPr>
            <w:tcW w:w="1701" w:type="dxa"/>
            <w:vMerge/>
            <w:vAlign w:val="center"/>
          </w:tcPr>
          <w:p w14:paraId="2C4566C0" w14:textId="77777777" w:rsidR="007A1D1C" w:rsidRPr="00FA4B2D" w:rsidRDefault="007A1D1C" w:rsidP="00FF59A0">
            <w:pPr>
              <w:widowControl w:val="0"/>
              <w:spacing w:after="0" w:line="240" w:lineRule="auto"/>
              <w:ind w:right="103"/>
              <w:contextualSpacing/>
              <w:jc w:val="both"/>
              <w:rPr>
                <w:rFonts w:eastAsia="Times New Roman" w:cs="Arial"/>
                <w:b/>
                <w:sz w:val="20"/>
                <w:szCs w:val="20"/>
                <w:lang w:val="es-ES_tradnl"/>
              </w:rPr>
            </w:pPr>
          </w:p>
        </w:tc>
        <w:tc>
          <w:tcPr>
            <w:tcW w:w="5103" w:type="dxa"/>
            <w:vAlign w:val="center"/>
          </w:tcPr>
          <w:p w14:paraId="7D83B095" w14:textId="77777777" w:rsidR="007A1D1C" w:rsidRPr="00FA4B2D" w:rsidRDefault="007A1D1C" w:rsidP="00FF59A0">
            <w:pPr>
              <w:autoSpaceDE w:val="0"/>
              <w:autoSpaceDN w:val="0"/>
              <w:adjustRightInd w:val="0"/>
              <w:spacing w:after="0" w:line="240" w:lineRule="auto"/>
              <w:rPr>
                <w:rFonts w:cs="Arial"/>
                <w:sz w:val="20"/>
                <w:szCs w:val="20"/>
                <w:lang w:val="es-ES_tradnl"/>
              </w:rPr>
            </w:pPr>
            <w:r w:rsidRPr="00FA4B2D">
              <w:rPr>
                <w:rFonts w:cs="Arial"/>
                <w:sz w:val="20"/>
                <w:szCs w:val="20"/>
                <w:lang w:val="es-ES_tradnl"/>
              </w:rPr>
              <w:t xml:space="preserve">El área del PdN se encuentra fuera de hábitats modificados y de acuerdo con el plan de ordenamiento territorial del municipio.  </w:t>
            </w:r>
          </w:p>
        </w:tc>
        <w:tc>
          <w:tcPr>
            <w:tcW w:w="1984" w:type="dxa"/>
            <w:vMerge/>
            <w:vAlign w:val="center"/>
          </w:tcPr>
          <w:p w14:paraId="401A465B" w14:textId="77777777" w:rsidR="007A1D1C" w:rsidRPr="00FA4B2D" w:rsidRDefault="007A1D1C" w:rsidP="00FF59A0">
            <w:pPr>
              <w:autoSpaceDE w:val="0"/>
              <w:autoSpaceDN w:val="0"/>
              <w:adjustRightInd w:val="0"/>
              <w:spacing w:after="0" w:line="240" w:lineRule="auto"/>
              <w:rPr>
                <w:rFonts w:cs="Arial"/>
                <w:sz w:val="20"/>
                <w:szCs w:val="20"/>
                <w:lang w:val="es-ES_tradnl"/>
              </w:rPr>
            </w:pPr>
          </w:p>
        </w:tc>
      </w:tr>
      <w:tr w:rsidR="007A1D1C" w:rsidRPr="00FA4B2D" w14:paraId="36AC60E9" w14:textId="77777777" w:rsidTr="00FF59A0">
        <w:trPr>
          <w:trHeight w:val="436"/>
        </w:trPr>
        <w:tc>
          <w:tcPr>
            <w:tcW w:w="1701" w:type="dxa"/>
            <w:vMerge/>
            <w:vAlign w:val="center"/>
          </w:tcPr>
          <w:p w14:paraId="54C4DF67" w14:textId="77777777" w:rsidR="007A1D1C" w:rsidRPr="00FA4B2D" w:rsidRDefault="007A1D1C" w:rsidP="00FF59A0">
            <w:pPr>
              <w:widowControl w:val="0"/>
              <w:spacing w:after="0" w:line="240" w:lineRule="auto"/>
              <w:ind w:right="103"/>
              <w:contextualSpacing/>
              <w:jc w:val="both"/>
              <w:rPr>
                <w:rFonts w:eastAsia="Times New Roman" w:cs="Arial"/>
                <w:sz w:val="20"/>
                <w:szCs w:val="20"/>
                <w:lang w:val="es-ES_tradnl"/>
              </w:rPr>
            </w:pPr>
          </w:p>
        </w:tc>
        <w:tc>
          <w:tcPr>
            <w:tcW w:w="5103" w:type="dxa"/>
            <w:vAlign w:val="center"/>
          </w:tcPr>
          <w:p w14:paraId="1FBB4285" w14:textId="77777777" w:rsidR="007A1D1C" w:rsidRPr="00FA4B2D" w:rsidRDefault="007A1D1C" w:rsidP="00FF59A0">
            <w:pPr>
              <w:autoSpaceDE w:val="0"/>
              <w:autoSpaceDN w:val="0"/>
              <w:adjustRightInd w:val="0"/>
              <w:spacing w:after="0" w:line="240" w:lineRule="auto"/>
              <w:contextualSpacing/>
              <w:jc w:val="both"/>
              <w:rPr>
                <w:rFonts w:cs="Arial"/>
                <w:sz w:val="20"/>
                <w:szCs w:val="20"/>
                <w:lang w:val="es-ES_tradnl"/>
              </w:rPr>
            </w:pPr>
            <w:r w:rsidRPr="00FA4B2D">
              <w:rPr>
                <w:rFonts w:cs="Arial"/>
                <w:sz w:val="20"/>
                <w:szCs w:val="20"/>
                <w:lang w:val="es-ES_tradnl"/>
              </w:rPr>
              <w:t>Las actividades del PdN, no representan amenazas de deforestación, caza, etc.</w:t>
            </w:r>
          </w:p>
        </w:tc>
        <w:tc>
          <w:tcPr>
            <w:tcW w:w="1984" w:type="dxa"/>
            <w:vMerge/>
            <w:vAlign w:val="center"/>
          </w:tcPr>
          <w:p w14:paraId="6DF3A275" w14:textId="77777777" w:rsidR="007A1D1C" w:rsidRPr="00FA4B2D" w:rsidRDefault="007A1D1C" w:rsidP="00FF59A0">
            <w:pPr>
              <w:autoSpaceDE w:val="0"/>
              <w:autoSpaceDN w:val="0"/>
              <w:adjustRightInd w:val="0"/>
              <w:spacing w:after="0" w:line="240" w:lineRule="auto"/>
              <w:contextualSpacing/>
              <w:jc w:val="both"/>
              <w:rPr>
                <w:rFonts w:cs="Arial"/>
                <w:sz w:val="20"/>
                <w:szCs w:val="20"/>
                <w:lang w:val="es-ES_tradnl"/>
              </w:rPr>
            </w:pPr>
          </w:p>
        </w:tc>
      </w:tr>
      <w:tr w:rsidR="007A1D1C" w:rsidRPr="00FA4B2D" w14:paraId="2C1FD6D1" w14:textId="77777777" w:rsidTr="00FF59A0">
        <w:tc>
          <w:tcPr>
            <w:tcW w:w="1701" w:type="dxa"/>
            <w:vMerge/>
            <w:vAlign w:val="center"/>
          </w:tcPr>
          <w:p w14:paraId="0E0E8E9C" w14:textId="77777777" w:rsidR="007A1D1C" w:rsidRPr="00FA4B2D" w:rsidRDefault="007A1D1C" w:rsidP="00FF59A0">
            <w:pPr>
              <w:widowControl w:val="0"/>
              <w:spacing w:after="0" w:line="240" w:lineRule="auto"/>
              <w:ind w:right="103"/>
              <w:contextualSpacing/>
              <w:jc w:val="both"/>
              <w:rPr>
                <w:rFonts w:eastAsia="Times New Roman" w:cs="Arial"/>
                <w:sz w:val="20"/>
                <w:szCs w:val="20"/>
                <w:lang w:val="es-ES_tradnl"/>
              </w:rPr>
            </w:pPr>
          </w:p>
        </w:tc>
        <w:tc>
          <w:tcPr>
            <w:tcW w:w="5103" w:type="dxa"/>
            <w:vAlign w:val="center"/>
          </w:tcPr>
          <w:p w14:paraId="5F81A07B" w14:textId="77777777" w:rsidR="007A1D1C" w:rsidRPr="00FA4B2D" w:rsidRDefault="007A1D1C" w:rsidP="00FF59A0">
            <w:pPr>
              <w:autoSpaceDE w:val="0"/>
              <w:autoSpaceDN w:val="0"/>
              <w:adjustRightInd w:val="0"/>
              <w:spacing w:after="0" w:line="240" w:lineRule="auto"/>
              <w:contextualSpacing/>
              <w:jc w:val="both"/>
              <w:rPr>
                <w:rFonts w:cs="Arial"/>
                <w:sz w:val="20"/>
                <w:szCs w:val="20"/>
                <w:lang w:val="es-ES_tradnl"/>
              </w:rPr>
            </w:pPr>
            <w:r w:rsidRPr="00FA4B2D">
              <w:rPr>
                <w:rFonts w:cs="Arial"/>
                <w:sz w:val="20"/>
                <w:szCs w:val="20"/>
                <w:lang w:val="es-ES_tradnl"/>
              </w:rPr>
              <w:t>El PdN incluye la implementación de BPII, de guías de buenas prácticas ambientales o producción más limpia de la cadena.</w:t>
            </w:r>
          </w:p>
        </w:tc>
        <w:tc>
          <w:tcPr>
            <w:tcW w:w="1984" w:type="dxa"/>
            <w:vMerge/>
            <w:vAlign w:val="center"/>
          </w:tcPr>
          <w:p w14:paraId="0AF6762A" w14:textId="77777777" w:rsidR="007A1D1C" w:rsidRPr="00FA4B2D" w:rsidRDefault="007A1D1C" w:rsidP="00FF59A0">
            <w:pPr>
              <w:autoSpaceDE w:val="0"/>
              <w:autoSpaceDN w:val="0"/>
              <w:adjustRightInd w:val="0"/>
              <w:spacing w:after="0" w:line="240" w:lineRule="auto"/>
              <w:contextualSpacing/>
              <w:jc w:val="both"/>
              <w:rPr>
                <w:rFonts w:cs="Arial"/>
                <w:sz w:val="20"/>
                <w:szCs w:val="20"/>
                <w:lang w:val="es-ES_tradnl"/>
              </w:rPr>
            </w:pPr>
          </w:p>
        </w:tc>
      </w:tr>
      <w:tr w:rsidR="007A1D1C" w:rsidRPr="00FA4B2D" w14:paraId="0204B209" w14:textId="77777777" w:rsidTr="00FF59A0">
        <w:trPr>
          <w:trHeight w:val="416"/>
        </w:trPr>
        <w:tc>
          <w:tcPr>
            <w:tcW w:w="1701" w:type="dxa"/>
            <w:vMerge/>
            <w:vAlign w:val="center"/>
          </w:tcPr>
          <w:p w14:paraId="5C80D42F" w14:textId="77777777" w:rsidR="007A1D1C" w:rsidRPr="00FA4B2D" w:rsidRDefault="007A1D1C" w:rsidP="00FF59A0">
            <w:pPr>
              <w:widowControl w:val="0"/>
              <w:spacing w:after="0" w:line="240" w:lineRule="auto"/>
              <w:ind w:right="103"/>
              <w:contextualSpacing/>
              <w:jc w:val="both"/>
              <w:rPr>
                <w:rFonts w:eastAsia="Times New Roman" w:cs="Arial"/>
                <w:sz w:val="20"/>
                <w:szCs w:val="20"/>
                <w:lang w:val="es-ES_tradnl"/>
              </w:rPr>
            </w:pPr>
          </w:p>
        </w:tc>
        <w:tc>
          <w:tcPr>
            <w:tcW w:w="5103" w:type="dxa"/>
            <w:vAlign w:val="center"/>
          </w:tcPr>
          <w:p w14:paraId="5558FB1F" w14:textId="77777777" w:rsidR="007A1D1C" w:rsidRPr="00FA4B2D" w:rsidRDefault="007A1D1C" w:rsidP="00FF59A0">
            <w:pPr>
              <w:autoSpaceDE w:val="0"/>
              <w:autoSpaceDN w:val="0"/>
              <w:adjustRightInd w:val="0"/>
              <w:spacing w:after="0" w:line="240" w:lineRule="auto"/>
              <w:contextualSpacing/>
              <w:jc w:val="both"/>
              <w:rPr>
                <w:rFonts w:cs="Arial"/>
                <w:sz w:val="20"/>
                <w:szCs w:val="20"/>
                <w:lang w:val="es-ES_tradnl"/>
              </w:rPr>
            </w:pPr>
            <w:r w:rsidRPr="00FA4B2D">
              <w:rPr>
                <w:rFonts w:cs="Arial"/>
                <w:sz w:val="20"/>
                <w:szCs w:val="20"/>
                <w:lang w:val="es-ES_tradnl"/>
              </w:rPr>
              <w:t>El PdN, propone el uso de sustancias químicas autorizadas y se cuenta con Plan para el Control de Plagas.</w:t>
            </w:r>
          </w:p>
        </w:tc>
        <w:tc>
          <w:tcPr>
            <w:tcW w:w="1984" w:type="dxa"/>
            <w:vMerge/>
            <w:vAlign w:val="center"/>
          </w:tcPr>
          <w:p w14:paraId="51A6AB41" w14:textId="77777777" w:rsidR="007A1D1C" w:rsidRPr="00FA4B2D" w:rsidRDefault="007A1D1C" w:rsidP="00FF59A0">
            <w:pPr>
              <w:autoSpaceDE w:val="0"/>
              <w:autoSpaceDN w:val="0"/>
              <w:adjustRightInd w:val="0"/>
              <w:spacing w:after="0" w:line="240" w:lineRule="auto"/>
              <w:contextualSpacing/>
              <w:jc w:val="both"/>
              <w:rPr>
                <w:rFonts w:cs="Arial"/>
                <w:sz w:val="20"/>
                <w:szCs w:val="20"/>
                <w:lang w:val="es-ES_tradnl"/>
              </w:rPr>
            </w:pPr>
          </w:p>
        </w:tc>
      </w:tr>
      <w:tr w:rsidR="007A1D1C" w:rsidRPr="00FA4B2D" w14:paraId="107668EB" w14:textId="77777777" w:rsidTr="00FF59A0">
        <w:tc>
          <w:tcPr>
            <w:tcW w:w="1701" w:type="dxa"/>
            <w:vMerge/>
            <w:vAlign w:val="center"/>
          </w:tcPr>
          <w:p w14:paraId="092EB972" w14:textId="77777777" w:rsidR="007A1D1C" w:rsidRPr="00FA4B2D" w:rsidRDefault="007A1D1C" w:rsidP="00FF59A0">
            <w:pPr>
              <w:widowControl w:val="0"/>
              <w:spacing w:after="0" w:line="240" w:lineRule="auto"/>
              <w:ind w:right="103"/>
              <w:contextualSpacing/>
              <w:jc w:val="both"/>
              <w:rPr>
                <w:rFonts w:eastAsia="Times New Roman" w:cs="Arial"/>
                <w:sz w:val="20"/>
                <w:szCs w:val="20"/>
                <w:lang w:val="es-ES_tradnl"/>
              </w:rPr>
            </w:pPr>
          </w:p>
        </w:tc>
        <w:tc>
          <w:tcPr>
            <w:tcW w:w="5103" w:type="dxa"/>
            <w:vAlign w:val="center"/>
          </w:tcPr>
          <w:p w14:paraId="608D0A67" w14:textId="77777777" w:rsidR="007A1D1C" w:rsidRPr="00FA4B2D" w:rsidRDefault="007A1D1C" w:rsidP="00FF59A0">
            <w:pPr>
              <w:autoSpaceDE w:val="0"/>
              <w:autoSpaceDN w:val="0"/>
              <w:adjustRightInd w:val="0"/>
              <w:spacing w:after="0" w:line="240" w:lineRule="auto"/>
              <w:contextualSpacing/>
              <w:jc w:val="both"/>
              <w:rPr>
                <w:rFonts w:cs="Arial"/>
                <w:sz w:val="20"/>
                <w:szCs w:val="20"/>
                <w:lang w:val="es-ES_tradnl"/>
              </w:rPr>
            </w:pPr>
            <w:r w:rsidRPr="00FA4B2D">
              <w:rPr>
                <w:rFonts w:cs="Arial"/>
                <w:sz w:val="20"/>
                <w:szCs w:val="20"/>
                <w:lang w:val="es-ES_tradnl"/>
              </w:rPr>
              <w:t>El área del PdN es plana (&lt;15% de pendiente). Bajo grado de erosión</w:t>
            </w:r>
          </w:p>
        </w:tc>
        <w:tc>
          <w:tcPr>
            <w:tcW w:w="1984" w:type="dxa"/>
            <w:vMerge/>
            <w:vAlign w:val="center"/>
          </w:tcPr>
          <w:p w14:paraId="1DD506E6" w14:textId="77777777" w:rsidR="007A1D1C" w:rsidRPr="00FA4B2D" w:rsidRDefault="007A1D1C" w:rsidP="00FF59A0">
            <w:pPr>
              <w:autoSpaceDE w:val="0"/>
              <w:autoSpaceDN w:val="0"/>
              <w:adjustRightInd w:val="0"/>
              <w:spacing w:after="0" w:line="240" w:lineRule="auto"/>
              <w:contextualSpacing/>
              <w:jc w:val="both"/>
              <w:rPr>
                <w:rFonts w:cs="Arial"/>
                <w:sz w:val="20"/>
                <w:szCs w:val="20"/>
                <w:lang w:val="es-ES_tradnl"/>
              </w:rPr>
            </w:pPr>
          </w:p>
        </w:tc>
      </w:tr>
      <w:tr w:rsidR="007A1D1C" w:rsidRPr="00FA4B2D" w14:paraId="10F79076" w14:textId="77777777" w:rsidTr="00FF59A0">
        <w:tc>
          <w:tcPr>
            <w:tcW w:w="1701" w:type="dxa"/>
            <w:vMerge/>
            <w:vAlign w:val="center"/>
          </w:tcPr>
          <w:p w14:paraId="29A3BE2A" w14:textId="77777777" w:rsidR="007A1D1C" w:rsidRPr="00FA4B2D" w:rsidRDefault="007A1D1C" w:rsidP="00FF59A0">
            <w:pPr>
              <w:widowControl w:val="0"/>
              <w:spacing w:after="0" w:line="240" w:lineRule="auto"/>
              <w:ind w:right="103"/>
              <w:contextualSpacing/>
              <w:jc w:val="both"/>
              <w:rPr>
                <w:rFonts w:eastAsia="Times New Roman" w:cs="Arial"/>
                <w:sz w:val="20"/>
                <w:szCs w:val="20"/>
                <w:lang w:val="es-ES_tradnl"/>
              </w:rPr>
            </w:pPr>
          </w:p>
        </w:tc>
        <w:tc>
          <w:tcPr>
            <w:tcW w:w="5103" w:type="dxa"/>
            <w:vAlign w:val="center"/>
          </w:tcPr>
          <w:p w14:paraId="09C30CFB" w14:textId="77777777" w:rsidR="007A1D1C" w:rsidRPr="00FA4B2D" w:rsidRDefault="007A1D1C" w:rsidP="00FF59A0">
            <w:pPr>
              <w:autoSpaceDE w:val="0"/>
              <w:autoSpaceDN w:val="0"/>
              <w:adjustRightInd w:val="0"/>
              <w:spacing w:after="0" w:line="240" w:lineRule="auto"/>
              <w:contextualSpacing/>
              <w:jc w:val="both"/>
              <w:rPr>
                <w:rFonts w:cs="Arial"/>
                <w:sz w:val="20"/>
                <w:szCs w:val="20"/>
                <w:lang w:val="es-ES_tradnl"/>
              </w:rPr>
            </w:pPr>
            <w:r w:rsidRPr="00FA4B2D">
              <w:rPr>
                <w:rFonts w:cs="Arial"/>
                <w:sz w:val="20"/>
                <w:szCs w:val="20"/>
                <w:lang w:val="es-ES_tradnl"/>
              </w:rPr>
              <w:t>La pendiente del área del PdN, es inferior al 30% y se encuentra a 50 metros o más de la ribera del río</w:t>
            </w:r>
            <w:r w:rsidRPr="00FA4B2D">
              <w:rPr>
                <w:rFonts w:cs="Arial"/>
                <w:vertAlign w:val="superscript"/>
              </w:rPr>
              <w:footnoteReference w:id="58"/>
            </w:r>
            <w:r w:rsidRPr="00FA4B2D">
              <w:rPr>
                <w:rFonts w:cs="Arial"/>
                <w:sz w:val="20"/>
                <w:szCs w:val="20"/>
                <w:lang w:val="es-ES_tradnl"/>
              </w:rPr>
              <w:t>.</w:t>
            </w:r>
          </w:p>
        </w:tc>
        <w:tc>
          <w:tcPr>
            <w:tcW w:w="1984" w:type="dxa"/>
            <w:vMerge/>
            <w:vAlign w:val="center"/>
          </w:tcPr>
          <w:p w14:paraId="1AD5A3BF" w14:textId="77777777" w:rsidR="007A1D1C" w:rsidRPr="00FA4B2D" w:rsidRDefault="007A1D1C" w:rsidP="00FF59A0">
            <w:pPr>
              <w:autoSpaceDE w:val="0"/>
              <w:autoSpaceDN w:val="0"/>
              <w:adjustRightInd w:val="0"/>
              <w:spacing w:after="0" w:line="240" w:lineRule="auto"/>
              <w:contextualSpacing/>
              <w:jc w:val="both"/>
              <w:rPr>
                <w:rFonts w:cs="Arial"/>
                <w:sz w:val="20"/>
                <w:szCs w:val="20"/>
                <w:lang w:val="es-ES_tradnl"/>
              </w:rPr>
            </w:pPr>
          </w:p>
        </w:tc>
      </w:tr>
      <w:tr w:rsidR="007A1D1C" w:rsidRPr="00FA4B2D" w14:paraId="3C4DCF99" w14:textId="77777777" w:rsidTr="00FF59A0">
        <w:tc>
          <w:tcPr>
            <w:tcW w:w="1701" w:type="dxa"/>
            <w:vMerge/>
            <w:vAlign w:val="center"/>
          </w:tcPr>
          <w:p w14:paraId="046DA995" w14:textId="77777777" w:rsidR="007A1D1C" w:rsidRPr="00FA4B2D" w:rsidRDefault="007A1D1C" w:rsidP="00FF59A0">
            <w:pPr>
              <w:widowControl w:val="0"/>
              <w:spacing w:after="0" w:line="240" w:lineRule="auto"/>
              <w:ind w:right="103"/>
              <w:contextualSpacing/>
              <w:jc w:val="both"/>
              <w:rPr>
                <w:rFonts w:eastAsia="Times New Roman" w:cs="Arial"/>
                <w:sz w:val="20"/>
                <w:szCs w:val="20"/>
                <w:lang w:val="es-ES_tradnl"/>
              </w:rPr>
            </w:pPr>
          </w:p>
        </w:tc>
        <w:tc>
          <w:tcPr>
            <w:tcW w:w="5103" w:type="dxa"/>
            <w:vAlign w:val="center"/>
          </w:tcPr>
          <w:p w14:paraId="7E0F5AC5" w14:textId="77777777" w:rsidR="007A1D1C" w:rsidRPr="00FA4B2D" w:rsidRDefault="007A1D1C" w:rsidP="00FF59A0">
            <w:pPr>
              <w:autoSpaceDE w:val="0"/>
              <w:autoSpaceDN w:val="0"/>
              <w:adjustRightInd w:val="0"/>
              <w:spacing w:after="0" w:line="240" w:lineRule="auto"/>
              <w:contextualSpacing/>
              <w:jc w:val="both"/>
              <w:rPr>
                <w:rFonts w:cs="Arial"/>
                <w:sz w:val="20"/>
                <w:szCs w:val="20"/>
                <w:lang w:val="es-ES_tradnl"/>
              </w:rPr>
            </w:pPr>
            <w:r w:rsidRPr="00FA4B2D">
              <w:rPr>
                <w:rFonts w:cs="Arial"/>
                <w:sz w:val="20"/>
                <w:szCs w:val="20"/>
                <w:lang w:val="es-ES_tradnl"/>
              </w:rPr>
              <w:t>El área del PdN, se encuentra en zonas de bajo riesgo a fenómenos naturales como inundaciones, sismos, incendios, entre otros.</w:t>
            </w:r>
          </w:p>
        </w:tc>
        <w:tc>
          <w:tcPr>
            <w:tcW w:w="1984" w:type="dxa"/>
            <w:vMerge/>
            <w:vAlign w:val="center"/>
          </w:tcPr>
          <w:p w14:paraId="2E1A26C3" w14:textId="77777777" w:rsidR="007A1D1C" w:rsidRPr="00FA4B2D" w:rsidRDefault="007A1D1C" w:rsidP="00FF59A0">
            <w:pPr>
              <w:autoSpaceDE w:val="0"/>
              <w:autoSpaceDN w:val="0"/>
              <w:adjustRightInd w:val="0"/>
              <w:spacing w:after="0" w:line="240" w:lineRule="auto"/>
              <w:contextualSpacing/>
              <w:jc w:val="both"/>
              <w:rPr>
                <w:rFonts w:cs="Arial"/>
                <w:sz w:val="20"/>
                <w:szCs w:val="20"/>
                <w:lang w:val="es-ES_tradnl"/>
              </w:rPr>
            </w:pPr>
          </w:p>
        </w:tc>
      </w:tr>
      <w:tr w:rsidR="007A1D1C" w:rsidRPr="00FA4B2D" w14:paraId="06CEEEA0" w14:textId="77777777" w:rsidTr="00FF59A0">
        <w:tc>
          <w:tcPr>
            <w:tcW w:w="1701" w:type="dxa"/>
            <w:vMerge/>
            <w:vAlign w:val="center"/>
          </w:tcPr>
          <w:p w14:paraId="1021E25F" w14:textId="77777777" w:rsidR="007A1D1C" w:rsidRPr="00FA4B2D" w:rsidRDefault="007A1D1C" w:rsidP="00FF59A0">
            <w:pPr>
              <w:widowControl w:val="0"/>
              <w:spacing w:after="0" w:line="240" w:lineRule="auto"/>
              <w:ind w:right="103"/>
              <w:contextualSpacing/>
              <w:jc w:val="both"/>
              <w:rPr>
                <w:rFonts w:eastAsia="Times New Roman" w:cs="Arial"/>
                <w:sz w:val="20"/>
                <w:szCs w:val="20"/>
                <w:lang w:val="es-ES_tradnl"/>
              </w:rPr>
            </w:pPr>
          </w:p>
        </w:tc>
        <w:tc>
          <w:tcPr>
            <w:tcW w:w="5103" w:type="dxa"/>
            <w:vAlign w:val="center"/>
          </w:tcPr>
          <w:p w14:paraId="7EF61C6B" w14:textId="77777777" w:rsidR="007A1D1C" w:rsidRPr="00FA4B2D" w:rsidRDefault="007A1D1C" w:rsidP="00FF59A0">
            <w:pPr>
              <w:autoSpaceDE w:val="0"/>
              <w:autoSpaceDN w:val="0"/>
              <w:adjustRightInd w:val="0"/>
              <w:spacing w:after="0" w:line="240" w:lineRule="auto"/>
              <w:contextualSpacing/>
              <w:jc w:val="both"/>
              <w:rPr>
                <w:rFonts w:cs="Arial"/>
                <w:sz w:val="20"/>
                <w:szCs w:val="20"/>
                <w:lang w:val="es-ES_tradnl"/>
              </w:rPr>
            </w:pPr>
            <w:r w:rsidRPr="00FA4B2D">
              <w:rPr>
                <w:rFonts w:cs="Arial"/>
                <w:sz w:val="20"/>
                <w:szCs w:val="20"/>
                <w:lang w:val="es-ES_tradnl"/>
              </w:rPr>
              <w:t>No hay presencia de grupos indígenas o poblaciones vulnerables.</w:t>
            </w:r>
          </w:p>
        </w:tc>
        <w:tc>
          <w:tcPr>
            <w:tcW w:w="1984" w:type="dxa"/>
            <w:vMerge/>
            <w:vAlign w:val="center"/>
          </w:tcPr>
          <w:p w14:paraId="42AD20C5" w14:textId="77777777" w:rsidR="007A1D1C" w:rsidRPr="00FA4B2D" w:rsidRDefault="007A1D1C" w:rsidP="00FF59A0">
            <w:pPr>
              <w:autoSpaceDE w:val="0"/>
              <w:autoSpaceDN w:val="0"/>
              <w:adjustRightInd w:val="0"/>
              <w:spacing w:after="0" w:line="240" w:lineRule="auto"/>
              <w:contextualSpacing/>
              <w:jc w:val="both"/>
              <w:rPr>
                <w:rFonts w:cs="Arial"/>
                <w:sz w:val="20"/>
                <w:szCs w:val="20"/>
                <w:lang w:val="es-ES_tradnl"/>
              </w:rPr>
            </w:pPr>
          </w:p>
        </w:tc>
      </w:tr>
      <w:tr w:rsidR="007A1D1C" w:rsidRPr="00FA4B2D" w14:paraId="0C5937F4" w14:textId="77777777" w:rsidTr="00FF59A0">
        <w:tc>
          <w:tcPr>
            <w:tcW w:w="1701" w:type="dxa"/>
            <w:vMerge/>
            <w:vAlign w:val="center"/>
          </w:tcPr>
          <w:p w14:paraId="4BA5276C" w14:textId="77777777" w:rsidR="007A1D1C" w:rsidRPr="00FA4B2D" w:rsidRDefault="007A1D1C" w:rsidP="00FF59A0">
            <w:pPr>
              <w:widowControl w:val="0"/>
              <w:spacing w:after="0" w:line="240" w:lineRule="auto"/>
              <w:ind w:right="103"/>
              <w:contextualSpacing/>
              <w:jc w:val="both"/>
              <w:rPr>
                <w:rFonts w:eastAsia="Times New Roman" w:cs="Arial"/>
                <w:sz w:val="20"/>
                <w:szCs w:val="20"/>
                <w:lang w:val="es-ES_tradnl"/>
              </w:rPr>
            </w:pPr>
          </w:p>
        </w:tc>
        <w:tc>
          <w:tcPr>
            <w:tcW w:w="5103" w:type="dxa"/>
            <w:vAlign w:val="center"/>
          </w:tcPr>
          <w:p w14:paraId="19E63606" w14:textId="77777777" w:rsidR="007A1D1C" w:rsidRPr="00FA4B2D" w:rsidRDefault="007A1D1C" w:rsidP="00FF59A0">
            <w:pPr>
              <w:widowControl w:val="0"/>
              <w:spacing w:after="0" w:line="240" w:lineRule="auto"/>
              <w:ind w:right="103"/>
              <w:contextualSpacing/>
              <w:jc w:val="both"/>
              <w:rPr>
                <w:rFonts w:eastAsia="Times New Roman" w:cs="Arial"/>
                <w:sz w:val="20"/>
                <w:szCs w:val="20"/>
                <w:lang w:val="es-ES_tradnl"/>
              </w:rPr>
            </w:pPr>
            <w:r w:rsidRPr="00FA4B2D">
              <w:rPr>
                <w:rFonts w:eastAsia="Times New Roman" w:cs="Arial"/>
                <w:sz w:val="20"/>
                <w:szCs w:val="20"/>
                <w:lang w:val="es-ES_tradnl"/>
              </w:rPr>
              <w:t>El PdN, respalda los medios de subsistencia de las comunidades locales, incluidos los pueblos indígenas, y el desarrollo económico inclusivo a través de la adopción de prácticas que integran las necesidades de conservación y las prioridades de desarrollo.</w:t>
            </w:r>
          </w:p>
        </w:tc>
        <w:tc>
          <w:tcPr>
            <w:tcW w:w="1984" w:type="dxa"/>
            <w:vMerge/>
            <w:vAlign w:val="center"/>
          </w:tcPr>
          <w:p w14:paraId="2FB34B37" w14:textId="77777777" w:rsidR="007A1D1C" w:rsidRPr="00FA4B2D" w:rsidRDefault="007A1D1C" w:rsidP="00FF59A0">
            <w:pPr>
              <w:widowControl w:val="0"/>
              <w:spacing w:after="0" w:line="240" w:lineRule="auto"/>
              <w:ind w:right="103"/>
              <w:contextualSpacing/>
              <w:jc w:val="both"/>
              <w:rPr>
                <w:rFonts w:eastAsia="Times New Roman" w:cs="Arial"/>
                <w:sz w:val="20"/>
                <w:szCs w:val="20"/>
                <w:lang w:val="es-ES_tradnl"/>
              </w:rPr>
            </w:pPr>
          </w:p>
        </w:tc>
      </w:tr>
      <w:tr w:rsidR="007A1D1C" w:rsidRPr="00FA4B2D" w14:paraId="6F98121D" w14:textId="77777777" w:rsidTr="00FF59A0">
        <w:tc>
          <w:tcPr>
            <w:tcW w:w="1701" w:type="dxa"/>
            <w:vMerge/>
            <w:vAlign w:val="center"/>
          </w:tcPr>
          <w:p w14:paraId="55C43D3E" w14:textId="77777777" w:rsidR="007A1D1C" w:rsidRPr="00FA4B2D" w:rsidRDefault="007A1D1C" w:rsidP="00FF59A0">
            <w:pPr>
              <w:widowControl w:val="0"/>
              <w:spacing w:after="0" w:line="240" w:lineRule="auto"/>
              <w:ind w:right="103"/>
              <w:contextualSpacing/>
              <w:jc w:val="both"/>
              <w:rPr>
                <w:rFonts w:eastAsia="Times New Roman" w:cs="Arial"/>
                <w:sz w:val="20"/>
                <w:szCs w:val="20"/>
                <w:lang w:val="es-ES_tradnl"/>
              </w:rPr>
            </w:pPr>
          </w:p>
        </w:tc>
        <w:tc>
          <w:tcPr>
            <w:tcW w:w="5103" w:type="dxa"/>
            <w:vAlign w:val="center"/>
          </w:tcPr>
          <w:p w14:paraId="646E56CD" w14:textId="77777777" w:rsidR="007A1D1C" w:rsidRPr="00FA4B2D" w:rsidRDefault="007A1D1C" w:rsidP="00FF59A0">
            <w:pPr>
              <w:autoSpaceDE w:val="0"/>
              <w:autoSpaceDN w:val="0"/>
              <w:adjustRightInd w:val="0"/>
              <w:spacing w:after="0" w:line="240" w:lineRule="auto"/>
              <w:contextualSpacing/>
              <w:jc w:val="both"/>
              <w:rPr>
                <w:rFonts w:cs="Arial"/>
                <w:sz w:val="20"/>
                <w:szCs w:val="20"/>
                <w:lang w:val="es-ES_tradnl"/>
              </w:rPr>
            </w:pPr>
            <w:r w:rsidRPr="00FA4B2D">
              <w:rPr>
                <w:rFonts w:cs="Arial"/>
                <w:sz w:val="20"/>
                <w:szCs w:val="20"/>
                <w:lang w:val="es-ES_tradnl"/>
              </w:rPr>
              <w:t>El área del PdN no se encuentra en sitios de valor histórico y cultural</w:t>
            </w:r>
            <w:r w:rsidRPr="00FA4B2D" w:rsidDel="00F751C8">
              <w:rPr>
                <w:rFonts w:cs="Arial"/>
                <w:sz w:val="20"/>
                <w:szCs w:val="20"/>
                <w:lang w:val="es-ES_tradnl"/>
              </w:rPr>
              <w:t xml:space="preserve"> </w:t>
            </w:r>
          </w:p>
        </w:tc>
        <w:tc>
          <w:tcPr>
            <w:tcW w:w="1984" w:type="dxa"/>
            <w:vMerge/>
            <w:vAlign w:val="center"/>
          </w:tcPr>
          <w:p w14:paraId="7804EA29" w14:textId="77777777" w:rsidR="007A1D1C" w:rsidRPr="00FA4B2D" w:rsidRDefault="007A1D1C" w:rsidP="00FF59A0">
            <w:pPr>
              <w:autoSpaceDE w:val="0"/>
              <w:autoSpaceDN w:val="0"/>
              <w:adjustRightInd w:val="0"/>
              <w:spacing w:after="0" w:line="240" w:lineRule="auto"/>
              <w:contextualSpacing/>
              <w:jc w:val="both"/>
              <w:rPr>
                <w:rFonts w:cs="Arial"/>
                <w:sz w:val="20"/>
                <w:szCs w:val="20"/>
                <w:lang w:val="es-ES_tradnl"/>
              </w:rPr>
            </w:pPr>
          </w:p>
        </w:tc>
      </w:tr>
      <w:tr w:rsidR="007A1D1C" w:rsidRPr="00FA4B2D" w14:paraId="6C8E73E1" w14:textId="77777777" w:rsidTr="00FF59A0">
        <w:tc>
          <w:tcPr>
            <w:tcW w:w="1701" w:type="dxa"/>
            <w:shd w:val="clear" w:color="auto" w:fill="A8D08D" w:themeFill="accent6" w:themeFillTint="99"/>
            <w:vAlign w:val="center"/>
          </w:tcPr>
          <w:p w14:paraId="37FBE00A" w14:textId="77777777" w:rsidR="007A1D1C" w:rsidRPr="00FA4B2D" w:rsidRDefault="007A1D1C" w:rsidP="00FF59A0">
            <w:pPr>
              <w:widowControl w:val="0"/>
              <w:spacing w:after="0" w:line="240" w:lineRule="auto"/>
              <w:ind w:right="103"/>
              <w:contextualSpacing/>
              <w:jc w:val="both"/>
              <w:rPr>
                <w:rFonts w:eastAsia="Times New Roman" w:cs="Arial"/>
                <w:sz w:val="20"/>
                <w:szCs w:val="20"/>
                <w:lang w:val="es-ES_tradnl"/>
              </w:rPr>
            </w:pPr>
          </w:p>
        </w:tc>
        <w:tc>
          <w:tcPr>
            <w:tcW w:w="5103" w:type="dxa"/>
            <w:vAlign w:val="center"/>
          </w:tcPr>
          <w:p w14:paraId="54CEC310" w14:textId="77777777" w:rsidR="007A1D1C" w:rsidRPr="00FA4B2D" w:rsidRDefault="007A1D1C" w:rsidP="00FF59A0">
            <w:pPr>
              <w:autoSpaceDE w:val="0"/>
              <w:autoSpaceDN w:val="0"/>
              <w:adjustRightInd w:val="0"/>
              <w:spacing w:after="0" w:line="240" w:lineRule="auto"/>
              <w:contextualSpacing/>
              <w:jc w:val="both"/>
              <w:rPr>
                <w:rFonts w:cs="Arial"/>
                <w:sz w:val="20"/>
                <w:szCs w:val="20"/>
                <w:lang w:val="es-ES_tradnl"/>
              </w:rPr>
            </w:pPr>
            <w:r w:rsidRPr="00FA4B2D">
              <w:rPr>
                <w:rFonts w:cs="Arial"/>
                <w:sz w:val="20"/>
                <w:szCs w:val="20"/>
                <w:lang w:val="es-ES_tradnl"/>
              </w:rPr>
              <w:t>No hay afectación de predios o viviendas por la ejecución de obras</w:t>
            </w:r>
          </w:p>
        </w:tc>
        <w:tc>
          <w:tcPr>
            <w:tcW w:w="1984" w:type="dxa"/>
            <w:vMerge/>
            <w:vAlign w:val="center"/>
          </w:tcPr>
          <w:p w14:paraId="1B1E1814" w14:textId="77777777" w:rsidR="007A1D1C" w:rsidRPr="00FA4B2D" w:rsidRDefault="007A1D1C" w:rsidP="00FF59A0">
            <w:pPr>
              <w:autoSpaceDE w:val="0"/>
              <w:autoSpaceDN w:val="0"/>
              <w:adjustRightInd w:val="0"/>
              <w:spacing w:after="0" w:line="240" w:lineRule="auto"/>
              <w:contextualSpacing/>
              <w:jc w:val="both"/>
              <w:rPr>
                <w:rFonts w:cs="Arial"/>
                <w:sz w:val="20"/>
                <w:szCs w:val="20"/>
                <w:lang w:val="es-ES_tradnl"/>
              </w:rPr>
            </w:pPr>
          </w:p>
        </w:tc>
      </w:tr>
    </w:tbl>
    <w:p w14:paraId="7A3C8EF1" w14:textId="77777777" w:rsidR="00124F61" w:rsidRPr="00FA4B2D" w:rsidRDefault="00124F61" w:rsidP="006A3DBC">
      <w:pPr>
        <w:spacing w:after="0" w:line="240" w:lineRule="auto"/>
        <w:jc w:val="both"/>
        <w:rPr>
          <w:rFonts w:cs="Arial"/>
        </w:rPr>
      </w:pPr>
    </w:p>
    <w:p w14:paraId="59846368" w14:textId="2EB8ED63" w:rsidR="006A3DBC" w:rsidRPr="00FA4B2D" w:rsidRDefault="006A3DBC" w:rsidP="006A3DBC">
      <w:pPr>
        <w:spacing w:after="0" w:line="240" w:lineRule="auto"/>
        <w:jc w:val="both"/>
        <w:rPr>
          <w:rFonts w:cs="Arial"/>
        </w:rPr>
      </w:pPr>
      <w:r w:rsidRPr="00FA4B2D">
        <w:rPr>
          <w:rFonts w:cs="Arial"/>
        </w:rPr>
        <w:t>El Proyecto COMRURAL III dispone del MOP, que constituye el documento soporte de cada una de las etapas y resultados esperados en el proceso de convocatoria y dicta las pautas para elaborar el contenido de los perfiles de negocio, calificación, aprobación y ejecución de los PdNs que es la principal figura operativa para lograr el funcionamiento del modelo de alianzas productivas e inversión público</w:t>
      </w:r>
      <w:r w:rsidR="0055560D" w:rsidRPr="00FA4B2D">
        <w:rPr>
          <w:rFonts w:cs="Arial"/>
        </w:rPr>
        <w:t xml:space="preserve"> </w:t>
      </w:r>
      <w:r w:rsidRPr="00FA4B2D">
        <w:rPr>
          <w:rFonts w:cs="Arial"/>
        </w:rPr>
        <w:t>- privadas promovidas. Los PdNs para la mayoría de las organizaciones de productores son sus planes estratégicos para 3 años, de cuyos resultados depende su consolidación empresarial y rentabilidad de su actividad productiva, se convierte en el principal instrumento de gestión del capital social.</w:t>
      </w:r>
    </w:p>
    <w:p w14:paraId="46E66A71" w14:textId="77777777" w:rsidR="006A3DBC" w:rsidRPr="00FA4B2D" w:rsidRDefault="006A3DBC" w:rsidP="006A3DBC">
      <w:pPr>
        <w:spacing w:after="0" w:line="240" w:lineRule="auto"/>
        <w:jc w:val="both"/>
        <w:rPr>
          <w:rFonts w:cs="Arial"/>
        </w:rPr>
      </w:pPr>
    </w:p>
    <w:p w14:paraId="108E4CD7" w14:textId="16975BDA" w:rsidR="006A3DBC" w:rsidRPr="00FA4B2D" w:rsidRDefault="006A3DBC" w:rsidP="006A3DBC">
      <w:pPr>
        <w:spacing w:after="0" w:line="240" w:lineRule="auto"/>
        <w:jc w:val="both"/>
        <w:rPr>
          <w:rFonts w:cs="Arial"/>
        </w:rPr>
      </w:pPr>
      <w:r w:rsidRPr="00FA4B2D">
        <w:rPr>
          <w:rFonts w:cs="Arial"/>
        </w:rPr>
        <w:t xml:space="preserve">En respuesta a los propósitos descritos en todas las actividades y decisiones que se llevan a cabo en el Proyecto COMRURAL III se tienen incluidos mecanismos de control y seguimiento para el cumplimiento de los estándares socioambiental activados y aplicables a los subproyectos que ejecutan las OPRs. En la práctica se identifican fácilmente </w:t>
      </w:r>
      <w:r w:rsidR="009971E1" w:rsidRPr="00FA4B2D">
        <w:rPr>
          <w:rFonts w:cs="Arial"/>
        </w:rPr>
        <w:t>cuatro</w:t>
      </w:r>
      <w:r w:rsidRPr="00FA4B2D">
        <w:rPr>
          <w:rFonts w:cs="Arial"/>
        </w:rPr>
        <w:t xml:space="preserve"> momentos claves para la intervención: </w:t>
      </w:r>
      <w:r w:rsidR="002B4A85" w:rsidRPr="00FA4B2D">
        <w:rPr>
          <w:rFonts w:cs="Arial"/>
        </w:rPr>
        <w:t>(i</w:t>
      </w:r>
      <w:r w:rsidR="009971E1" w:rsidRPr="00FA4B2D">
        <w:rPr>
          <w:rFonts w:cs="Arial"/>
        </w:rPr>
        <w:t xml:space="preserve">) </w:t>
      </w:r>
      <w:r w:rsidRPr="00FA4B2D">
        <w:rPr>
          <w:rFonts w:cs="Arial"/>
        </w:rPr>
        <w:t>Evaluación y calificación de los perfiles de negocio</w:t>
      </w:r>
      <w:r w:rsidR="009971E1" w:rsidRPr="00FA4B2D">
        <w:rPr>
          <w:rFonts w:cs="Arial"/>
        </w:rPr>
        <w:t>;</w:t>
      </w:r>
      <w:r w:rsidRPr="00FA4B2D">
        <w:rPr>
          <w:rFonts w:cs="Arial"/>
        </w:rPr>
        <w:t xml:space="preserve"> </w:t>
      </w:r>
      <w:r w:rsidR="002B4A85" w:rsidRPr="00FA4B2D">
        <w:rPr>
          <w:rFonts w:cs="Arial"/>
        </w:rPr>
        <w:t>(ii</w:t>
      </w:r>
      <w:r w:rsidR="009971E1" w:rsidRPr="00FA4B2D">
        <w:rPr>
          <w:rFonts w:cs="Arial"/>
        </w:rPr>
        <w:t xml:space="preserve">) </w:t>
      </w:r>
      <w:r w:rsidRPr="00FA4B2D">
        <w:rPr>
          <w:rFonts w:cs="Arial"/>
        </w:rPr>
        <w:t>Evaluación y calificación de los PdNs (incluirán para Fase II un mecanismo de consulta)</w:t>
      </w:r>
      <w:r w:rsidR="009971E1" w:rsidRPr="00FA4B2D">
        <w:rPr>
          <w:rFonts w:cs="Arial"/>
        </w:rPr>
        <w:t>;</w:t>
      </w:r>
      <w:r w:rsidRPr="00FA4B2D">
        <w:rPr>
          <w:rFonts w:cs="Arial"/>
        </w:rPr>
        <w:t xml:space="preserve"> </w:t>
      </w:r>
      <w:r w:rsidR="0055560D" w:rsidRPr="00FA4B2D">
        <w:rPr>
          <w:rFonts w:cs="Arial"/>
        </w:rPr>
        <w:t>(iii</w:t>
      </w:r>
      <w:r w:rsidR="009971E1" w:rsidRPr="00FA4B2D">
        <w:rPr>
          <w:rFonts w:cs="Arial"/>
        </w:rPr>
        <w:t xml:space="preserve">) </w:t>
      </w:r>
      <w:r w:rsidRPr="00FA4B2D">
        <w:rPr>
          <w:rFonts w:cs="Arial"/>
        </w:rPr>
        <w:t>Aprobación de los PdNs</w:t>
      </w:r>
      <w:r w:rsidR="007C78E6" w:rsidRPr="00FA4B2D">
        <w:rPr>
          <w:rFonts w:cs="Arial"/>
        </w:rPr>
        <w:t>;</w:t>
      </w:r>
      <w:r w:rsidRPr="00FA4B2D">
        <w:rPr>
          <w:rFonts w:cs="Arial"/>
        </w:rPr>
        <w:t xml:space="preserve"> y </w:t>
      </w:r>
      <w:r w:rsidR="0055560D" w:rsidRPr="00FA4B2D">
        <w:rPr>
          <w:rFonts w:cs="Arial"/>
        </w:rPr>
        <w:t>(iv</w:t>
      </w:r>
      <w:r w:rsidR="007C78E6" w:rsidRPr="00FA4B2D">
        <w:rPr>
          <w:rFonts w:cs="Arial"/>
        </w:rPr>
        <w:t xml:space="preserve">) </w:t>
      </w:r>
      <w:r w:rsidRPr="00FA4B2D">
        <w:rPr>
          <w:rFonts w:cs="Arial"/>
        </w:rPr>
        <w:t xml:space="preserve">Ejecución de los PdNs. A continuación, se presenta un resumen de cada momento o etapa del subproyecto que ejecutan las organizaciones participantes con las actividades de gestión de riesgos e impactos ambientales y sociales enumeras y ordenadas en pasos, según lo establece el MOP de COMRURAL III.     </w:t>
      </w:r>
    </w:p>
    <w:p w14:paraId="57903E9E" w14:textId="77777777" w:rsidR="009662E6" w:rsidRPr="00FA4B2D" w:rsidRDefault="009662E6" w:rsidP="006A3DBC">
      <w:pPr>
        <w:spacing w:after="0" w:line="240" w:lineRule="auto"/>
        <w:jc w:val="both"/>
        <w:rPr>
          <w:rFonts w:cs="Arial"/>
        </w:rPr>
      </w:pPr>
    </w:p>
    <w:p w14:paraId="638E6779" w14:textId="0B45A925" w:rsidR="007703ED" w:rsidRPr="00FA4B2D" w:rsidRDefault="009662E6" w:rsidP="006A3DBC">
      <w:pPr>
        <w:spacing w:after="0" w:line="240" w:lineRule="auto"/>
        <w:jc w:val="both"/>
        <w:rPr>
          <w:rFonts w:cs="Arial"/>
        </w:rPr>
      </w:pPr>
      <w:r w:rsidRPr="00FA4B2D">
        <w:rPr>
          <w:rFonts w:cs="Arial"/>
        </w:rPr>
        <w:t>Respecto a los procedimientos para calificar la legalidad de un terreno donde se invierten los fondos según plan de inversión de los planes de negocio, en primera instancia se asegura el registro en el instituto de la propiedad, organismo oficial que según la normativa nacional tiene las facultades para dicha función y sobre el cual recae cualquier responsabilidad de incumplimiento de sus deberes otorgados, p</w:t>
      </w:r>
      <w:r w:rsidR="00D64397" w:rsidRPr="00FA4B2D">
        <w:rPr>
          <w:rFonts w:cs="Arial"/>
        </w:rPr>
        <w:t xml:space="preserve">or tanto su funcionamiento es de índole </w:t>
      </w:r>
      <w:r w:rsidR="00093752" w:rsidRPr="00FA4B2D">
        <w:rPr>
          <w:rFonts w:cs="Arial"/>
        </w:rPr>
        <w:t>constitucional y nacional, por</w:t>
      </w:r>
      <w:r w:rsidR="00D64397" w:rsidRPr="00FA4B2D">
        <w:rPr>
          <w:rFonts w:cs="Arial"/>
        </w:rPr>
        <w:t xml:space="preserve"> tal razón la primera instancia de certificación oficial de legitimidad de </w:t>
      </w:r>
      <w:r w:rsidR="00277C93" w:rsidRPr="00FA4B2D">
        <w:rPr>
          <w:rFonts w:cs="Arial"/>
        </w:rPr>
        <w:t>las tierras</w:t>
      </w:r>
      <w:r w:rsidR="00D64397" w:rsidRPr="00FA4B2D">
        <w:rPr>
          <w:rFonts w:cs="Arial"/>
        </w:rPr>
        <w:t xml:space="preserve"> es del Estado</w:t>
      </w:r>
      <w:r w:rsidR="00277C93" w:rsidRPr="00FA4B2D">
        <w:rPr>
          <w:rFonts w:cs="Arial"/>
        </w:rPr>
        <w:t xml:space="preserve">, </w:t>
      </w:r>
      <w:r w:rsidR="00277C93" w:rsidRPr="00FA4B2D">
        <w:rPr>
          <w:rFonts w:cs="Arial"/>
        </w:rPr>
        <w:lastRenderedPageBreak/>
        <w:t>que mediante el</w:t>
      </w:r>
      <w:r w:rsidR="00093752" w:rsidRPr="00FA4B2D">
        <w:rPr>
          <w:rFonts w:cs="Arial"/>
        </w:rPr>
        <w:t xml:space="preserve"> registro en el</w:t>
      </w:r>
      <w:r w:rsidR="00277C93" w:rsidRPr="00FA4B2D">
        <w:rPr>
          <w:rFonts w:cs="Arial"/>
        </w:rPr>
        <w:t xml:space="preserve"> Instituto de la Propiedad entrega un documento de acreditación del estatus legal del terreno, el cual el proyecto ComRural</w:t>
      </w:r>
      <w:r w:rsidR="007703ED" w:rsidRPr="00FA4B2D">
        <w:rPr>
          <w:rFonts w:cs="Arial"/>
        </w:rPr>
        <w:t xml:space="preserve"> lo establece como su principal soporte</w:t>
      </w:r>
      <w:r w:rsidR="00093752" w:rsidRPr="00FA4B2D">
        <w:rPr>
          <w:rFonts w:cs="Arial"/>
        </w:rPr>
        <w:t>, este es</w:t>
      </w:r>
      <w:r w:rsidR="00277C93" w:rsidRPr="00FA4B2D">
        <w:rPr>
          <w:rFonts w:cs="Arial"/>
        </w:rPr>
        <w:t xml:space="preserve"> verifica</w:t>
      </w:r>
      <w:r w:rsidR="00093752" w:rsidRPr="00FA4B2D">
        <w:rPr>
          <w:rFonts w:cs="Arial"/>
        </w:rPr>
        <w:t>do y revisado</w:t>
      </w:r>
      <w:r w:rsidR="00277C93" w:rsidRPr="00FA4B2D">
        <w:rPr>
          <w:rFonts w:cs="Arial"/>
        </w:rPr>
        <w:t xml:space="preserve"> en el proceso de aprobación de un plan de negocio</w:t>
      </w:r>
      <w:r w:rsidR="00093752" w:rsidRPr="00FA4B2D">
        <w:rPr>
          <w:rFonts w:cs="Arial"/>
        </w:rPr>
        <w:t>, su cumplimiento es obligatorio y su in cumplimiento causa de no aprobación</w:t>
      </w:r>
      <w:r w:rsidR="00277C93" w:rsidRPr="00FA4B2D">
        <w:rPr>
          <w:rFonts w:cs="Arial"/>
        </w:rPr>
        <w:t>.</w:t>
      </w:r>
      <w:r w:rsidR="007703ED" w:rsidRPr="00FA4B2D">
        <w:rPr>
          <w:rFonts w:cs="Arial"/>
        </w:rPr>
        <w:t xml:space="preserve"> </w:t>
      </w:r>
    </w:p>
    <w:p w14:paraId="44D3881E" w14:textId="179273D1" w:rsidR="007703ED" w:rsidRPr="00FA4B2D" w:rsidRDefault="007703ED" w:rsidP="006A3DBC">
      <w:pPr>
        <w:spacing w:after="0" w:line="240" w:lineRule="auto"/>
        <w:jc w:val="both"/>
        <w:rPr>
          <w:rFonts w:cs="Arial"/>
        </w:rPr>
      </w:pPr>
      <w:r w:rsidRPr="00FA4B2D">
        <w:rPr>
          <w:rFonts w:cs="Arial"/>
        </w:rPr>
        <w:t>En los casos de terrenos bajo otras modalidades de tenencia</w:t>
      </w:r>
      <w:r w:rsidR="00093752" w:rsidRPr="00FA4B2D">
        <w:rPr>
          <w:rFonts w:cs="Arial"/>
        </w:rPr>
        <w:t xml:space="preserve"> diferenciada</w:t>
      </w:r>
      <w:r w:rsidRPr="00FA4B2D">
        <w:rPr>
          <w:rFonts w:cs="Arial"/>
        </w:rPr>
        <w:t>, sobre los cuales no hay experiencias a la fecha, se tienen definido las opciones de aceptar validos los mecanismos de autoridades locales que administran los predios que también deben ser parte de un</w:t>
      </w:r>
      <w:r w:rsidR="00093752" w:rsidRPr="00FA4B2D">
        <w:rPr>
          <w:rFonts w:cs="Arial"/>
        </w:rPr>
        <w:t>a decisión de otorgamiento del E</w:t>
      </w:r>
      <w:r w:rsidRPr="00FA4B2D">
        <w:rPr>
          <w:rFonts w:cs="Arial"/>
        </w:rPr>
        <w:t>stado de Honduras y sobre las cuales existen las evidencias y antecedentes verificables durante los procesos de evaluación de cumplimiento de requisitos de cumplimiento obligatorios.</w:t>
      </w:r>
      <w:r w:rsidR="00093752" w:rsidRPr="00FA4B2D">
        <w:rPr>
          <w:rFonts w:cs="Arial"/>
        </w:rPr>
        <w:t xml:space="preserve"> Especialmente en esta modalidad se incluyen los títulos otorgados a los pueblos indígenas o títulos comunitarios o de carácter ancestral, sobre los cuales, pese a mecanismos de control y regulación, existe pleno conocimiento social y comunitario. En el caso particular del Proyecto y para efectos de promover la inclusión y respeto de los derechos de los pueblos indígenas,</w:t>
      </w:r>
      <w:r w:rsidRPr="00FA4B2D">
        <w:rPr>
          <w:rFonts w:cs="Arial"/>
        </w:rPr>
        <w:t xml:space="preserve"> aplica la validez legal de las actas de concesión de los Comité de Desarrollo Comunitarios, Comité de Custodia de Titulo, Consejos Territoriales o cualquier autoridad reconocida por el pueblo indígena o afrodescendiente en sus territorios.</w:t>
      </w:r>
    </w:p>
    <w:p w14:paraId="3CAD909E" w14:textId="6D3D60F7" w:rsidR="00192B47" w:rsidRPr="00FA4B2D" w:rsidRDefault="3DABDCD2" w:rsidP="00192B47">
      <w:pPr>
        <w:spacing w:after="0" w:line="240" w:lineRule="auto"/>
        <w:jc w:val="both"/>
        <w:rPr>
          <w:rFonts w:cs="Arial"/>
        </w:rPr>
      </w:pPr>
      <w:r w:rsidRPr="00FA4B2D">
        <w:rPr>
          <w:rFonts w:cs="Arial"/>
        </w:rPr>
        <w:t xml:space="preserve">Vale de igual forma aclara que según la Ley de Propiedad, capitulo III, articulo 93, establece “El Estado, por la importancia especial que para las culturas y valores espirituales reviste su relación con las tierras, reconoce el derecho que los pueblos indígenas y afrohondureños tienen sobre las tierras que tradicionalmente poseen y que la ley no prohíbe.El proceso establecido en el presente Capítulo será aplicado por el Instituto de la Propiedad (IP) para garantizar a estos pueblos el pleno reconocimiento de los derechos de propiedad comunal, uso administración, manejo de las tierras y aprovechamiento sostenible de los recursos naturales, mediante la demarcación y titulación en dominio pleno de las mismas”. En el articulo 94 “- Los derechos de propiedad sobre las tierras de estos pueblos se titularán a su favor en forma colectiva. Los miembros de las comunidades tienen derecho de tenencia usufructo </w:t>
      </w:r>
      <w:r w:rsidR="000E6D86" w:rsidRPr="00FA4B2D">
        <w:rPr>
          <w:rFonts w:cs="Arial"/>
        </w:rPr>
        <w:t>de acuerdo con</w:t>
      </w:r>
      <w:r w:rsidRPr="00FA4B2D">
        <w:rPr>
          <w:rFonts w:cs="Arial"/>
        </w:rPr>
        <w:t xml:space="preserve"> las formas tradicionales de tenencia de la propiedad comunal.”</w:t>
      </w:r>
      <w:r w:rsidR="00192B47" w:rsidRPr="00FA4B2D">
        <w:rPr>
          <w:rStyle w:val="Refdenotaalpie"/>
          <w:rFonts w:cs="Arial"/>
        </w:rPr>
        <w:footnoteReference w:id="59"/>
      </w:r>
    </w:p>
    <w:p w14:paraId="4D4BA2AD" w14:textId="66AA5BF1" w:rsidR="007703ED" w:rsidRPr="00FA4B2D" w:rsidRDefault="007703ED" w:rsidP="006A3DBC">
      <w:pPr>
        <w:spacing w:after="0" w:line="240" w:lineRule="auto"/>
        <w:jc w:val="both"/>
        <w:rPr>
          <w:rFonts w:cs="Arial"/>
        </w:rPr>
      </w:pPr>
      <w:r w:rsidRPr="00FA4B2D">
        <w:rPr>
          <w:rFonts w:cs="Arial"/>
        </w:rPr>
        <w:t>Es por otra parte importante mencionar</w:t>
      </w:r>
      <w:r w:rsidR="00093752" w:rsidRPr="00FA4B2D">
        <w:rPr>
          <w:rFonts w:cs="Arial"/>
        </w:rPr>
        <w:t xml:space="preserve"> que las evaluaciones y controles del estatus legal de las inversiones también corresponde a los aliados</w:t>
      </w:r>
      <w:r w:rsidRPr="00FA4B2D">
        <w:rPr>
          <w:rFonts w:cs="Arial"/>
        </w:rPr>
        <w:t xml:space="preserve"> financieros privados, los cuales de igual forma aplican procedimientos para asegurar que sus garantías, los terrenos donde se realizan las inversiones colectivas estén exceptos de conflictividad por legitimidad de tenencia de tierra.</w:t>
      </w:r>
    </w:p>
    <w:p w14:paraId="23EE013E" w14:textId="77777777" w:rsidR="00EB000E" w:rsidRPr="00FA4B2D" w:rsidRDefault="00093752" w:rsidP="006A3DBC">
      <w:pPr>
        <w:spacing w:after="0" w:line="240" w:lineRule="auto"/>
        <w:jc w:val="both"/>
        <w:rPr>
          <w:rFonts w:cs="Arial"/>
        </w:rPr>
      </w:pPr>
      <w:r w:rsidRPr="00FA4B2D">
        <w:rPr>
          <w:rFonts w:cs="Arial"/>
        </w:rPr>
        <w:t xml:space="preserve">En todo caso y como medida preventiva para evitar cualquier riesgo sobre la tenencia de la tierra, se tienen estipulado en los casos donde no hay dominio pleno a nombre de las organizaciones beneficiarias, comprobable en documentación y campo, orientar las inversiones del TNR a bienes y no obras fijas, en este ámbito, cualquier opción </w:t>
      </w:r>
      <w:r w:rsidR="00EB000E" w:rsidRPr="00FA4B2D">
        <w:rPr>
          <w:rFonts w:cs="Arial"/>
        </w:rPr>
        <w:t xml:space="preserve">legal alternativa </w:t>
      </w:r>
      <w:r w:rsidRPr="00FA4B2D">
        <w:rPr>
          <w:rFonts w:cs="Arial"/>
        </w:rPr>
        <w:t>documentada</w:t>
      </w:r>
      <w:r w:rsidR="00EB000E" w:rsidRPr="00FA4B2D">
        <w:rPr>
          <w:rFonts w:cs="Arial"/>
        </w:rPr>
        <w:t xml:space="preserve"> y facultada</w:t>
      </w:r>
      <w:r w:rsidRPr="00FA4B2D">
        <w:rPr>
          <w:rFonts w:cs="Arial"/>
        </w:rPr>
        <w:t xml:space="preserve"> por las leyes nacionales según constitución de la república son </w:t>
      </w:r>
      <w:r w:rsidR="00EB000E" w:rsidRPr="00FA4B2D">
        <w:rPr>
          <w:rFonts w:cs="Arial"/>
        </w:rPr>
        <w:t>válidas</w:t>
      </w:r>
      <w:r w:rsidRPr="00FA4B2D">
        <w:rPr>
          <w:rFonts w:cs="Arial"/>
        </w:rPr>
        <w:t>,</w:t>
      </w:r>
      <w:r w:rsidR="00EB000E" w:rsidRPr="00FA4B2D">
        <w:rPr>
          <w:rFonts w:cs="Arial"/>
        </w:rPr>
        <w:t xml:space="preserve"> aquí entran entre otros los convenios o contratos de usufructo o alquiler por algún tiempo prudencial y en correspondencia con las actividades del negocio.</w:t>
      </w:r>
    </w:p>
    <w:p w14:paraId="7151B4F9" w14:textId="66BDD159" w:rsidR="00C24D0B" w:rsidRPr="00FA4B2D" w:rsidRDefault="00093752" w:rsidP="00C24D0B">
      <w:pPr>
        <w:spacing w:after="0" w:line="240" w:lineRule="auto"/>
        <w:jc w:val="both"/>
        <w:rPr>
          <w:rFonts w:cs="Arial"/>
        </w:rPr>
      </w:pPr>
      <w:r w:rsidRPr="00FA4B2D">
        <w:rPr>
          <w:rFonts w:cs="Arial"/>
        </w:rPr>
        <w:lastRenderedPageBreak/>
        <w:t xml:space="preserve">  </w:t>
      </w:r>
      <w:r w:rsidR="007703ED" w:rsidRPr="00FA4B2D">
        <w:rPr>
          <w:rFonts w:cs="Arial"/>
        </w:rPr>
        <w:t xml:space="preserve"> </w:t>
      </w:r>
    </w:p>
    <w:p w14:paraId="2F6FBBCF" w14:textId="12A2395D" w:rsidR="000E6D86" w:rsidRDefault="000E6D86" w:rsidP="000E6D86">
      <w:pPr>
        <w:pStyle w:val="Descripcin"/>
        <w:keepNext/>
      </w:pPr>
      <w:bookmarkStart w:id="1213" w:name="_Toc202455488"/>
      <w:r>
        <w:t xml:space="preserve">Tabla </w:t>
      </w:r>
      <w:r>
        <w:fldChar w:fldCharType="begin"/>
      </w:r>
      <w:r>
        <w:instrText xml:space="preserve"> SEQ Tabla \* ARABIC </w:instrText>
      </w:r>
      <w:r>
        <w:fldChar w:fldCharType="separate"/>
      </w:r>
      <w:r>
        <w:rPr>
          <w:noProof/>
        </w:rPr>
        <w:t>62</w:t>
      </w:r>
      <w:r>
        <w:fldChar w:fldCharType="end"/>
      </w:r>
      <w:r>
        <w:t xml:space="preserve">: </w:t>
      </w:r>
      <w:r w:rsidRPr="00317FF0">
        <w:t>Resumen de Procedimientos y Responsabilidades de Evaluación Ambiental según Etapa</w:t>
      </w:r>
      <w:bookmarkEnd w:id="1213"/>
    </w:p>
    <w:tbl>
      <w:tblPr>
        <w:tblStyle w:val="Tablaconcuadrcula"/>
        <w:tblW w:w="9000" w:type="dxa"/>
        <w:tblInd w:w="-5" w:type="dxa"/>
        <w:tblLook w:val="04A0" w:firstRow="1" w:lastRow="0" w:firstColumn="1" w:lastColumn="0" w:noHBand="0" w:noVBand="1"/>
      </w:tblPr>
      <w:tblGrid>
        <w:gridCol w:w="1701"/>
        <w:gridCol w:w="4509"/>
        <w:gridCol w:w="2790"/>
      </w:tblGrid>
      <w:tr w:rsidR="000E6D86" w:rsidRPr="000E6D86" w14:paraId="6A124345" w14:textId="77777777" w:rsidTr="37B44ACB">
        <w:trPr>
          <w:tblHeader/>
        </w:trPr>
        <w:tc>
          <w:tcPr>
            <w:tcW w:w="1701" w:type="dxa"/>
            <w:shd w:val="clear" w:color="auto" w:fill="5CC5DA"/>
            <w:vAlign w:val="center"/>
          </w:tcPr>
          <w:p w14:paraId="07CB3203" w14:textId="77777777" w:rsidR="00C24D0B" w:rsidRPr="000E6D86" w:rsidRDefault="00C24D0B" w:rsidP="00C24D0B">
            <w:pPr>
              <w:pStyle w:val="Textoindependiente"/>
              <w:ind w:left="0" w:right="112"/>
              <w:jc w:val="center"/>
              <w:rPr>
                <w:rFonts w:ascii="Arial" w:hAnsi="Arial" w:cs="Arial"/>
                <w:b/>
                <w:sz w:val="20"/>
                <w:szCs w:val="20"/>
                <w:lang w:val="es-HN"/>
              </w:rPr>
            </w:pPr>
            <w:r w:rsidRPr="000E6D86">
              <w:rPr>
                <w:rFonts w:ascii="Arial" w:hAnsi="Arial" w:cs="Arial"/>
                <w:b/>
                <w:sz w:val="20"/>
                <w:szCs w:val="20"/>
                <w:lang w:val="es-HN"/>
              </w:rPr>
              <w:t>Etapa de Subproyecto</w:t>
            </w:r>
          </w:p>
        </w:tc>
        <w:tc>
          <w:tcPr>
            <w:tcW w:w="4509" w:type="dxa"/>
            <w:shd w:val="clear" w:color="auto" w:fill="5CC5DA"/>
            <w:vAlign w:val="center"/>
          </w:tcPr>
          <w:p w14:paraId="194A54FD" w14:textId="77777777" w:rsidR="00C24D0B" w:rsidRPr="000E6D86" w:rsidRDefault="00C24D0B" w:rsidP="00C24D0B">
            <w:pPr>
              <w:pStyle w:val="Textoindependiente"/>
              <w:ind w:left="0" w:right="112"/>
              <w:jc w:val="center"/>
              <w:rPr>
                <w:rFonts w:ascii="Arial" w:hAnsi="Arial" w:cs="Arial"/>
                <w:b/>
                <w:sz w:val="20"/>
                <w:szCs w:val="20"/>
                <w:lang w:val="es-HN"/>
              </w:rPr>
            </w:pPr>
            <w:r w:rsidRPr="000E6D86">
              <w:rPr>
                <w:rFonts w:ascii="Arial" w:hAnsi="Arial" w:cs="Arial"/>
                <w:b/>
                <w:sz w:val="20"/>
                <w:szCs w:val="20"/>
                <w:lang w:val="es-HN"/>
              </w:rPr>
              <w:t>Resumen de Procedimientos y Responsabilidades</w:t>
            </w:r>
          </w:p>
        </w:tc>
        <w:tc>
          <w:tcPr>
            <w:tcW w:w="2790" w:type="dxa"/>
            <w:shd w:val="clear" w:color="auto" w:fill="5CC5DA"/>
            <w:vAlign w:val="center"/>
          </w:tcPr>
          <w:p w14:paraId="53AB34B7" w14:textId="77777777" w:rsidR="00C24D0B" w:rsidRPr="000E6D86" w:rsidRDefault="00C24D0B" w:rsidP="00C24D0B">
            <w:pPr>
              <w:pStyle w:val="Textoindependiente"/>
              <w:ind w:left="0" w:right="112"/>
              <w:jc w:val="center"/>
              <w:rPr>
                <w:rFonts w:ascii="Arial" w:hAnsi="Arial" w:cs="Arial"/>
                <w:b/>
                <w:sz w:val="20"/>
                <w:szCs w:val="20"/>
                <w:lang w:val="es-HN"/>
              </w:rPr>
            </w:pPr>
            <w:r w:rsidRPr="000E6D86">
              <w:rPr>
                <w:rFonts w:ascii="Arial" w:hAnsi="Arial" w:cs="Arial"/>
                <w:b/>
                <w:sz w:val="20"/>
                <w:szCs w:val="20"/>
                <w:lang w:val="es-HN"/>
              </w:rPr>
              <w:t xml:space="preserve">Instrumento Técnico </w:t>
            </w:r>
          </w:p>
        </w:tc>
      </w:tr>
      <w:tr w:rsidR="000E6D86" w:rsidRPr="000E6D86" w14:paraId="517AF1F6" w14:textId="77777777" w:rsidTr="37B44ACB">
        <w:tc>
          <w:tcPr>
            <w:tcW w:w="1701" w:type="dxa"/>
            <w:vAlign w:val="center"/>
          </w:tcPr>
          <w:p w14:paraId="59AB9265" w14:textId="67BB6DDB" w:rsidR="00C24D0B" w:rsidRPr="000E6D86" w:rsidRDefault="0055560D" w:rsidP="00C24D0B">
            <w:pPr>
              <w:jc w:val="both"/>
              <w:rPr>
                <w:rFonts w:cs="Arial"/>
                <w:b/>
                <w:sz w:val="20"/>
                <w:szCs w:val="20"/>
                <w:lang w:val="es-HN"/>
              </w:rPr>
            </w:pPr>
            <w:r w:rsidRPr="000E6D86">
              <w:rPr>
                <w:rFonts w:cs="Arial"/>
                <w:b/>
                <w:sz w:val="20"/>
                <w:szCs w:val="20"/>
                <w:lang w:val="es-HN"/>
              </w:rPr>
              <w:t>i</w:t>
            </w:r>
            <w:r w:rsidR="00E67573" w:rsidRPr="000E6D86">
              <w:rPr>
                <w:rFonts w:cs="Arial"/>
                <w:b/>
                <w:sz w:val="20"/>
                <w:szCs w:val="20"/>
                <w:lang w:val="es-HN"/>
              </w:rPr>
              <w:t xml:space="preserve">. </w:t>
            </w:r>
            <w:r w:rsidR="00C24D0B" w:rsidRPr="000E6D86">
              <w:rPr>
                <w:rFonts w:cs="Arial"/>
                <w:b/>
                <w:sz w:val="20"/>
                <w:szCs w:val="20"/>
                <w:lang w:val="es-HN"/>
              </w:rPr>
              <w:t>Evaluación y calificación de perfiles de negocio.</w:t>
            </w:r>
          </w:p>
        </w:tc>
        <w:tc>
          <w:tcPr>
            <w:tcW w:w="4509" w:type="dxa"/>
            <w:vAlign w:val="center"/>
          </w:tcPr>
          <w:p w14:paraId="261C0ED9" w14:textId="332A0EA3" w:rsidR="00C24D0B" w:rsidRPr="000E6D86" w:rsidRDefault="64DCFA99" w:rsidP="00C24D0B">
            <w:pPr>
              <w:jc w:val="both"/>
              <w:rPr>
                <w:rFonts w:cs="Arial"/>
                <w:sz w:val="20"/>
                <w:szCs w:val="20"/>
                <w:lang w:val="es-HN"/>
              </w:rPr>
            </w:pPr>
            <w:r w:rsidRPr="000E6D86">
              <w:rPr>
                <w:rFonts w:cs="Arial"/>
                <w:b/>
                <w:bCs/>
                <w:sz w:val="20"/>
                <w:szCs w:val="20"/>
                <w:lang w:val="es-HN"/>
              </w:rPr>
              <w:t>Paso 1</w:t>
            </w:r>
            <w:r w:rsidR="003A2FDE" w:rsidRPr="000E6D86">
              <w:rPr>
                <w:rFonts w:cs="Arial"/>
                <w:sz w:val="20"/>
                <w:szCs w:val="20"/>
                <w:lang w:val="es-HN"/>
              </w:rPr>
              <w:t xml:space="preserve">: </w:t>
            </w:r>
            <w:r w:rsidRPr="000E6D86">
              <w:rPr>
                <w:rFonts w:cs="Arial"/>
                <w:sz w:val="20"/>
                <w:szCs w:val="20"/>
                <w:lang w:val="es-HN"/>
              </w:rPr>
              <w:t>Los Especialistas Ambientales y Sociales del Proyecto implementarán la metodología de consulta y socialización del Proyecto COMRURAL</w:t>
            </w:r>
            <w:r w:rsidR="3B63EDF1" w:rsidRPr="000E6D86">
              <w:rPr>
                <w:rFonts w:cs="Arial"/>
                <w:sz w:val="20"/>
                <w:szCs w:val="20"/>
                <w:lang w:val="es-HN"/>
              </w:rPr>
              <w:t xml:space="preserve"> III</w:t>
            </w:r>
            <w:r w:rsidRPr="000E6D86">
              <w:rPr>
                <w:rFonts w:cs="Arial"/>
                <w:sz w:val="20"/>
                <w:szCs w:val="20"/>
                <w:lang w:val="es-HN"/>
              </w:rPr>
              <w:t xml:space="preserve">, previo a las convocatorias oficiales de concurso público. </w:t>
            </w:r>
          </w:p>
          <w:p w14:paraId="1D7272BA" w14:textId="3BC51C30" w:rsidR="00C24D0B" w:rsidRPr="000E6D86" w:rsidRDefault="003A2FDE" w:rsidP="00C24D0B">
            <w:pPr>
              <w:jc w:val="both"/>
              <w:rPr>
                <w:rFonts w:cs="Arial"/>
                <w:sz w:val="20"/>
                <w:szCs w:val="20"/>
                <w:lang w:val="es-HN"/>
              </w:rPr>
            </w:pPr>
            <w:r w:rsidRPr="000E6D86">
              <w:rPr>
                <w:rFonts w:cs="Arial"/>
                <w:b/>
                <w:bCs/>
                <w:sz w:val="20"/>
                <w:szCs w:val="20"/>
                <w:lang w:val="es-HN"/>
              </w:rPr>
              <w:t>Pasó</w:t>
            </w:r>
            <w:r w:rsidR="64DCFA99" w:rsidRPr="000E6D86">
              <w:rPr>
                <w:rFonts w:cs="Arial"/>
                <w:b/>
                <w:bCs/>
                <w:sz w:val="20"/>
                <w:szCs w:val="20"/>
                <w:lang w:val="es-HN"/>
              </w:rPr>
              <w:t xml:space="preserve"> 2</w:t>
            </w:r>
            <w:r w:rsidR="64DCFA99" w:rsidRPr="000E6D86">
              <w:rPr>
                <w:rFonts w:cs="Arial"/>
                <w:sz w:val="20"/>
                <w:szCs w:val="20"/>
                <w:lang w:val="es-HN"/>
              </w:rPr>
              <w:t>: Los Especialistas Ambiental y Social, con apoyo de técnicos de alianzas, aplicarán</w:t>
            </w:r>
            <w:r w:rsidR="0C0BC5A9" w:rsidRPr="000E6D86">
              <w:rPr>
                <w:rFonts w:cs="Arial"/>
                <w:sz w:val="20"/>
                <w:szCs w:val="20"/>
                <w:lang w:val="es-HN"/>
              </w:rPr>
              <w:t xml:space="preserve"> los</w:t>
            </w:r>
            <w:r w:rsidR="64DCFA99" w:rsidRPr="000E6D86">
              <w:rPr>
                <w:rFonts w:cs="Arial"/>
                <w:sz w:val="20"/>
                <w:szCs w:val="20"/>
                <w:lang w:val="es-HN"/>
              </w:rPr>
              <w:t xml:space="preserve">l </w:t>
            </w:r>
            <w:r w:rsidR="64DCFA99" w:rsidRPr="000E6D86">
              <w:rPr>
                <w:rFonts w:cs="Arial"/>
                <w:sz w:val="20"/>
                <w:szCs w:val="20"/>
              </w:rPr>
              <w:t>in</w:t>
            </w:r>
            <w:r w:rsidR="1A49C048" w:rsidRPr="000E6D86">
              <w:rPr>
                <w:rFonts w:cs="Arial"/>
                <w:sz w:val="20"/>
                <w:szCs w:val="20"/>
              </w:rPr>
              <w:t>s</w:t>
            </w:r>
            <w:r w:rsidR="64DCFA99" w:rsidRPr="000E6D86">
              <w:rPr>
                <w:rFonts w:cs="Arial"/>
                <w:sz w:val="20"/>
                <w:szCs w:val="20"/>
              </w:rPr>
              <w:t xml:space="preserve">trumentos ambientales y sociales </w:t>
            </w:r>
            <w:r w:rsidR="000E6D86" w:rsidRPr="000E6D86">
              <w:rPr>
                <w:rFonts w:cs="Arial"/>
                <w:sz w:val="20"/>
                <w:szCs w:val="20"/>
              </w:rPr>
              <w:t>de acuerdo con</w:t>
            </w:r>
            <w:r w:rsidR="64DCFA99" w:rsidRPr="000E6D86">
              <w:rPr>
                <w:rFonts w:cs="Arial"/>
                <w:sz w:val="20"/>
                <w:szCs w:val="20"/>
              </w:rPr>
              <w:t xml:space="preserve"> las evaluaciones y diagn</w:t>
            </w:r>
            <w:r w:rsidR="1A49C048" w:rsidRPr="000E6D86">
              <w:rPr>
                <w:rFonts w:cs="Arial"/>
                <w:sz w:val="20"/>
                <w:szCs w:val="20"/>
              </w:rPr>
              <w:t>ó</w:t>
            </w:r>
            <w:r w:rsidR="64DCFA99" w:rsidRPr="000E6D86">
              <w:rPr>
                <w:rFonts w:cs="Arial"/>
                <w:sz w:val="20"/>
                <w:szCs w:val="20"/>
              </w:rPr>
              <w:t>sticos hechos en campo en la zona de influencia.</w:t>
            </w:r>
            <w:r w:rsidR="64DCFA99" w:rsidRPr="000E6D86">
              <w:rPr>
                <w:rFonts w:cs="Arial"/>
                <w:sz w:val="20"/>
                <w:szCs w:val="20"/>
                <w:lang w:val="es-HN"/>
              </w:rPr>
              <w:t xml:space="preserve"> En este paso se deberá disponer de información documental de primera mano, propuestas productivas y se har</w:t>
            </w:r>
            <w:r w:rsidR="7DCC65E2" w:rsidRPr="000E6D86">
              <w:rPr>
                <w:rFonts w:cs="Arial"/>
                <w:sz w:val="20"/>
                <w:szCs w:val="20"/>
                <w:lang w:val="es-HN"/>
              </w:rPr>
              <w:t>á</w:t>
            </w:r>
            <w:r w:rsidR="64DCFA99" w:rsidRPr="000E6D86">
              <w:rPr>
                <w:rFonts w:cs="Arial"/>
                <w:sz w:val="20"/>
                <w:szCs w:val="20"/>
                <w:lang w:val="es-HN"/>
              </w:rPr>
              <w:t xml:space="preserve"> una visita de campo para establecer la elegibilidad del Perfil de Negocio.</w:t>
            </w:r>
          </w:p>
          <w:p w14:paraId="4AA7FF85" w14:textId="77777777" w:rsidR="00C24D0B" w:rsidRPr="000E6D86" w:rsidRDefault="00C24D0B" w:rsidP="00C24D0B">
            <w:pPr>
              <w:jc w:val="both"/>
              <w:rPr>
                <w:rFonts w:cs="Arial"/>
                <w:sz w:val="20"/>
                <w:szCs w:val="20"/>
                <w:lang w:val="es-HN"/>
              </w:rPr>
            </w:pPr>
            <w:r w:rsidRPr="000E6D86">
              <w:rPr>
                <w:rFonts w:cs="Arial"/>
                <w:b/>
                <w:sz w:val="20"/>
                <w:szCs w:val="20"/>
                <w:lang w:val="es-HN"/>
              </w:rPr>
              <w:t>Pasó 3</w:t>
            </w:r>
            <w:r w:rsidRPr="000E6D86">
              <w:rPr>
                <w:rFonts w:cs="Arial"/>
                <w:sz w:val="20"/>
                <w:szCs w:val="20"/>
                <w:lang w:val="es-HN"/>
              </w:rPr>
              <w:t>: Los Especialistas Ambiental y Social presentarán los resultados de la aplicación de los instrumentos referidos mediante dictamen al CE, del cual forman parte, según establecido en el MOP.</w:t>
            </w:r>
          </w:p>
          <w:p w14:paraId="2A0262C4" w14:textId="77777777" w:rsidR="00C24D0B" w:rsidRPr="000E6D86" w:rsidRDefault="64DCFA99" w:rsidP="00C24D0B">
            <w:pPr>
              <w:jc w:val="both"/>
              <w:rPr>
                <w:rFonts w:cs="Arial"/>
                <w:sz w:val="20"/>
                <w:szCs w:val="20"/>
                <w:lang w:val="es-HN"/>
              </w:rPr>
            </w:pPr>
            <w:r w:rsidRPr="000E6D86">
              <w:rPr>
                <w:rFonts w:cs="Arial"/>
                <w:b/>
                <w:bCs/>
                <w:sz w:val="20"/>
                <w:szCs w:val="20"/>
                <w:lang w:val="es-HN"/>
              </w:rPr>
              <w:t>Paso 4</w:t>
            </w:r>
            <w:r w:rsidRPr="000E6D86">
              <w:rPr>
                <w:rFonts w:cs="Arial"/>
                <w:sz w:val="20"/>
                <w:szCs w:val="20"/>
                <w:lang w:val="es-HN"/>
              </w:rPr>
              <w:t>: La Coordinación del Proyecto notificará por escrito mediante dictamen de factibilidad socioambiental los resultados de la evaluación y presentará las medidas de seguimiento a los Perfiles presentados por las OPRs y otros beneficiarios.</w:t>
            </w:r>
            <w:r w:rsidRPr="000E6D86">
              <w:rPr>
                <w:rFonts w:cs="Arial"/>
                <w:sz w:val="20"/>
                <w:szCs w:val="20"/>
              </w:rPr>
              <w:t xml:space="preserve"> </w:t>
            </w:r>
            <w:r w:rsidRPr="000E6D86">
              <w:rPr>
                <w:rFonts w:cs="Arial"/>
                <w:sz w:val="20"/>
                <w:szCs w:val="20"/>
                <w:lang w:val="es-HN"/>
              </w:rPr>
              <w:t>De forma especial se presentarán medidas de subsanación a perfiles presentados por OPRs de mayor vulnerabilidad por condición étnica y de género.</w:t>
            </w:r>
          </w:p>
        </w:tc>
        <w:tc>
          <w:tcPr>
            <w:tcW w:w="2790" w:type="dxa"/>
          </w:tcPr>
          <w:p w14:paraId="3893BDB0" w14:textId="77777777" w:rsidR="00C24D0B" w:rsidRPr="000E6D86" w:rsidRDefault="00C24D0B" w:rsidP="00C24D0B">
            <w:pPr>
              <w:jc w:val="both"/>
              <w:rPr>
                <w:rFonts w:cs="Arial"/>
                <w:sz w:val="20"/>
                <w:szCs w:val="20"/>
                <w:lang w:val="es-HN"/>
              </w:rPr>
            </w:pPr>
          </w:p>
          <w:p w14:paraId="16E0E387" w14:textId="77777777" w:rsidR="00C24D0B" w:rsidRPr="000E6D86" w:rsidRDefault="00C24D0B" w:rsidP="00C24D0B">
            <w:pPr>
              <w:pStyle w:val="Prrafodelista"/>
              <w:numPr>
                <w:ilvl w:val="1"/>
                <w:numId w:val="31"/>
              </w:numPr>
              <w:ind w:left="312" w:hanging="312"/>
              <w:jc w:val="both"/>
              <w:rPr>
                <w:rFonts w:cs="Arial"/>
                <w:bCs/>
                <w:sz w:val="20"/>
                <w:szCs w:val="20"/>
                <w:lang w:val="es-HN"/>
              </w:rPr>
            </w:pPr>
            <w:r w:rsidRPr="000E6D86">
              <w:rPr>
                <w:rFonts w:cs="Arial"/>
                <w:bCs/>
                <w:sz w:val="20"/>
                <w:szCs w:val="20"/>
                <w:lang w:val="es-HN"/>
              </w:rPr>
              <w:t>Guía de formulación de perfiles de negocio.</w:t>
            </w:r>
          </w:p>
          <w:p w14:paraId="4C857CAC" w14:textId="77777777" w:rsidR="00C24D0B" w:rsidRPr="000E6D86" w:rsidRDefault="00C24D0B" w:rsidP="00C24D0B">
            <w:pPr>
              <w:jc w:val="both"/>
              <w:rPr>
                <w:rFonts w:cs="Arial"/>
                <w:bCs/>
                <w:sz w:val="20"/>
                <w:szCs w:val="20"/>
                <w:lang w:val="es-HN"/>
              </w:rPr>
            </w:pPr>
          </w:p>
          <w:p w14:paraId="380CA907" w14:textId="77777777" w:rsidR="00C24D0B" w:rsidRPr="000E6D86" w:rsidRDefault="00C24D0B" w:rsidP="00C24D0B">
            <w:pPr>
              <w:pStyle w:val="Prrafodelista"/>
              <w:numPr>
                <w:ilvl w:val="1"/>
                <w:numId w:val="31"/>
              </w:numPr>
              <w:ind w:left="312" w:hanging="312"/>
              <w:jc w:val="both"/>
              <w:rPr>
                <w:rFonts w:cs="Arial"/>
                <w:bCs/>
                <w:sz w:val="20"/>
                <w:szCs w:val="20"/>
                <w:lang w:val="es-HN"/>
              </w:rPr>
            </w:pPr>
            <w:r w:rsidRPr="000E6D86">
              <w:rPr>
                <w:rFonts w:cs="Arial"/>
                <w:bCs/>
                <w:sz w:val="20"/>
                <w:szCs w:val="20"/>
                <w:lang w:val="es-HN"/>
              </w:rPr>
              <w:t xml:space="preserve">Listado de Actividades Excluidas por razones de Impacto Socioambiental Negativo. </w:t>
            </w:r>
          </w:p>
          <w:p w14:paraId="58BD4383" w14:textId="77777777" w:rsidR="00C24D0B" w:rsidRPr="000E6D86" w:rsidRDefault="00C24D0B" w:rsidP="00C24D0B">
            <w:pPr>
              <w:pStyle w:val="Prrafodelista"/>
              <w:ind w:left="312"/>
              <w:jc w:val="both"/>
              <w:rPr>
                <w:rFonts w:cs="Arial"/>
                <w:bCs/>
                <w:sz w:val="20"/>
                <w:szCs w:val="20"/>
                <w:lang w:val="es-HN"/>
              </w:rPr>
            </w:pPr>
          </w:p>
          <w:p w14:paraId="3058A84D" w14:textId="646A9A81" w:rsidR="00C24D0B" w:rsidRPr="000E6D86" w:rsidRDefault="64DCFA99" w:rsidP="00C24D0B">
            <w:pPr>
              <w:jc w:val="both"/>
              <w:rPr>
                <w:rFonts w:cs="Arial"/>
                <w:sz w:val="20"/>
                <w:szCs w:val="20"/>
              </w:rPr>
            </w:pPr>
            <w:r w:rsidRPr="000E6D86">
              <w:rPr>
                <w:rFonts w:cs="Arial"/>
                <w:sz w:val="20"/>
                <w:szCs w:val="20"/>
                <w:lang w:val="es-HN"/>
              </w:rPr>
              <w:t>Tabla de Determinación de la Sensibilidad Ambiental</w:t>
            </w:r>
            <w:r w:rsidR="5ED92B4D" w:rsidRPr="000E6D86">
              <w:rPr>
                <w:rFonts w:cs="Arial"/>
                <w:sz w:val="20"/>
                <w:szCs w:val="20"/>
                <w:lang w:val="es-HN"/>
              </w:rPr>
              <w:t>.</w:t>
            </w:r>
          </w:p>
          <w:p w14:paraId="543D5F39" w14:textId="77777777" w:rsidR="00C24D0B" w:rsidRPr="000E6D86" w:rsidRDefault="00C24D0B" w:rsidP="00C24D0B">
            <w:pPr>
              <w:pStyle w:val="Prrafodelista"/>
              <w:numPr>
                <w:ilvl w:val="1"/>
                <w:numId w:val="31"/>
              </w:numPr>
              <w:ind w:left="312" w:hanging="312"/>
              <w:jc w:val="both"/>
              <w:rPr>
                <w:rFonts w:cs="Arial"/>
                <w:bCs/>
                <w:sz w:val="20"/>
                <w:szCs w:val="20"/>
                <w:lang w:val="es-HN"/>
              </w:rPr>
            </w:pPr>
            <w:r w:rsidRPr="000E6D86">
              <w:rPr>
                <w:rFonts w:cs="Arial"/>
                <w:sz w:val="20"/>
                <w:szCs w:val="20"/>
                <w:lang w:val="es-HN"/>
              </w:rPr>
              <w:t xml:space="preserve">Metodología de consulta y </w:t>
            </w:r>
            <w:r w:rsidRPr="000E6D86">
              <w:rPr>
                <w:rFonts w:cs="Arial"/>
                <w:bCs/>
                <w:sz w:val="20"/>
                <w:szCs w:val="20"/>
                <w:lang w:val="es-HN"/>
              </w:rPr>
              <w:t>socialización del Proyecto COMRURAL III.</w:t>
            </w:r>
          </w:p>
        </w:tc>
      </w:tr>
      <w:tr w:rsidR="000E6D86" w:rsidRPr="000E6D86" w14:paraId="4B70B082" w14:textId="77777777" w:rsidTr="37B44ACB">
        <w:tc>
          <w:tcPr>
            <w:tcW w:w="1701" w:type="dxa"/>
            <w:vAlign w:val="center"/>
          </w:tcPr>
          <w:p w14:paraId="74A1458D" w14:textId="68B63561" w:rsidR="00C24D0B" w:rsidRPr="000E6D86" w:rsidRDefault="0055560D" w:rsidP="00C24D0B">
            <w:pPr>
              <w:jc w:val="both"/>
              <w:rPr>
                <w:rFonts w:cs="Arial"/>
                <w:b/>
                <w:sz w:val="20"/>
                <w:szCs w:val="20"/>
                <w:lang w:val="es-HN"/>
              </w:rPr>
            </w:pPr>
            <w:r w:rsidRPr="000E6D86">
              <w:rPr>
                <w:rFonts w:cs="Arial"/>
                <w:b/>
                <w:sz w:val="20"/>
                <w:szCs w:val="20"/>
                <w:lang w:val="es-HN"/>
              </w:rPr>
              <w:t>ii</w:t>
            </w:r>
            <w:r w:rsidR="00E67573" w:rsidRPr="000E6D86">
              <w:rPr>
                <w:rFonts w:cs="Arial"/>
                <w:b/>
                <w:sz w:val="20"/>
                <w:szCs w:val="20"/>
                <w:lang w:val="es-HN"/>
              </w:rPr>
              <w:t xml:space="preserve">. </w:t>
            </w:r>
            <w:r w:rsidR="00C24D0B" w:rsidRPr="000E6D86">
              <w:rPr>
                <w:rFonts w:cs="Arial"/>
                <w:b/>
                <w:sz w:val="20"/>
                <w:szCs w:val="20"/>
                <w:lang w:val="es-HN"/>
              </w:rPr>
              <w:t xml:space="preserve">Evaluación y calificación de </w:t>
            </w:r>
            <w:r w:rsidR="00E67573" w:rsidRPr="000E6D86">
              <w:rPr>
                <w:rFonts w:cs="Arial"/>
                <w:b/>
                <w:sz w:val="20"/>
                <w:szCs w:val="20"/>
                <w:lang w:val="es-HN"/>
              </w:rPr>
              <w:t>PdNs.</w:t>
            </w:r>
          </w:p>
        </w:tc>
        <w:tc>
          <w:tcPr>
            <w:tcW w:w="4509" w:type="dxa"/>
            <w:vAlign w:val="center"/>
          </w:tcPr>
          <w:p w14:paraId="69F63498" w14:textId="77777777" w:rsidR="00C24D0B" w:rsidRPr="000E6D86" w:rsidRDefault="00C24D0B" w:rsidP="00C24D0B">
            <w:pPr>
              <w:pStyle w:val="TableParagraph"/>
              <w:tabs>
                <w:tab w:val="left" w:pos="318"/>
              </w:tabs>
              <w:spacing w:before="13"/>
              <w:ind w:right="97"/>
              <w:jc w:val="both"/>
              <w:rPr>
                <w:rFonts w:ascii="Arial" w:eastAsia="Times New Roman" w:hAnsi="Arial" w:cs="Arial"/>
                <w:sz w:val="20"/>
                <w:szCs w:val="20"/>
                <w:lang w:val="es-HN"/>
              </w:rPr>
            </w:pPr>
            <w:r w:rsidRPr="000E6D86">
              <w:rPr>
                <w:rFonts w:ascii="Arial" w:eastAsia="Times New Roman" w:hAnsi="Arial" w:cs="Arial"/>
                <w:b/>
                <w:sz w:val="20"/>
                <w:szCs w:val="20"/>
                <w:lang w:val="es-HN"/>
              </w:rPr>
              <w:t>Paso 5</w:t>
            </w:r>
            <w:r w:rsidRPr="000E6D86">
              <w:rPr>
                <w:rFonts w:ascii="Arial" w:eastAsia="Times New Roman" w:hAnsi="Arial" w:cs="Arial"/>
                <w:sz w:val="20"/>
                <w:szCs w:val="20"/>
                <w:lang w:val="es-HN"/>
              </w:rPr>
              <w:t>: Con la aprobación del Perfil de Negocio, se pasa a la etapa de factibilidad en donde en primera instancia se verificará que los PdNs presentados cumplen los criterios de evaluación de PdN y los respectivos instrumentos.</w:t>
            </w:r>
          </w:p>
          <w:p w14:paraId="254CAD85" w14:textId="312AC75F" w:rsidR="00C24D0B" w:rsidRPr="000E6D86" w:rsidRDefault="003A2FDE" w:rsidP="00C24D0B">
            <w:pPr>
              <w:pStyle w:val="TableParagraph"/>
              <w:tabs>
                <w:tab w:val="left" w:pos="318"/>
              </w:tabs>
              <w:spacing w:before="13"/>
              <w:ind w:right="97"/>
              <w:jc w:val="both"/>
              <w:rPr>
                <w:rFonts w:ascii="Arial" w:eastAsia="Times New Roman" w:hAnsi="Arial" w:cs="Arial"/>
                <w:sz w:val="20"/>
                <w:szCs w:val="20"/>
                <w:lang w:val="es-HN"/>
              </w:rPr>
            </w:pPr>
            <w:r w:rsidRPr="000E6D86">
              <w:rPr>
                <w:rFonts w:ascii="Arial" w:eastAsia="Times New Roman" w:hAnsi="Arial" w:cs="Arial"/>
                <w:b/>
                <w:sz w:val="20"/>
                <w:szCs w:val="20"/>
                <w:lang w:val="es-HN"/>
              </w:rPr>
              <w:t>Pasó</w:t>
            </w:r>
            <w:r w:rsidR="00C24D0B" w:rsidRPr="000E6D86">
              <w:rPr>
                <w:rFonts w:ascii="Arial" w:eastAsia="Times New Roman" w:hAnsi="Arial" w:cs="Arial"/>
                <w:b/>
                <w:sz w:val="20"/>
                <w:szCs w:val="20"/>
                <w:lang w:val="es-HN"/>
              </w:rPr>
              <w:t xml:space="preserve"> 6</w:t>
            </w:r>
            <w:r w:rsidR="00C24D0B" w:rsidRPr="000E6D86">
              <w:rPr>
                <w:rFonts w:ascii="Arial" w:eastAsia="Times New Roman" w:hAnsi="Arial" w:cs="Arial"/>
                <w:sz w:val="20"/>
                <w:szCs w:val="20"/>
                <w:lang w:val="es-HN"/>
              </w:rPr>
              <w:t xml:space="preserve">: </w:t>
            </w:r>
            <w:r w:rsidR="00C24D0B" w:rsidRPr="000E6D86">
              <w:rPr>
                <w:rFonts w:ascii="Arial" w:hAnsi="Arial" w:cs="Arial"/>
                <w:sz w:val="20"/>
                <w:szCs w:val="20"/>
                <w:lang w:val="es-HN"/>
              </w:rPr>
              <w:t>Los Especialistas Ambiental y Social aplicarán el instrumento de Evaluación Ambiental y Social Preliminar (FEASP-VSA) que incluyera una línea de base ambiental y social.</w:t>
            </w:r>
          </w:p>
          <w:p w14:paraId="09A99C4A" w14:textId="43286830" w:rsidR="00C24D0B" w:rsidRPr="000E6D86" w:rsidRDefault="003A2FDE" w:rsidP="00C24D0B">
            <w:pPr>
              <w:pStyle w:val="TableParagraph"/>
              <w:tabs>
                <w:tab w:val="left" w:pos="318"/>
              </w:tabs>
              <w:spacing w:before="13"/>
              <w:ind w:right="97"/>
              <w:jc w:val="both"/>
              <w:rPr>
                <w:rFonts w:ascii="Arial" w:eastAsia="Times New Roman" w:hAnsi="Arial" w:cs="Arial"/>
                <w:i/>
                <w:sz w:val="20"/>
                <w:szCs w:val="20"/>
                <w:lang w:val="es-HN"/>
              </w:rPr>
            </w:pPr>
            <w:r w:rsidRPr="000E6D86">
              <w:rPr>
                <w:rFonts w:ascii="Arial" w:eastAsia="Times New Roman" w:hAnsi="Arial" w:cs="Arial"/>
                <w:b/>
                <w:sz w:val="20"/>
                <w:szCs w:val="20"/>
                <w:lang w:val="es-HN"/>
              </w:rPr>
              <w:t>Pasó</w:t>
            </w:r>
            <w:r w:rsidR="00C24D0B" w:rsidRPr="000E6D86">
              <w:rPr>
                <w:rFonts w:ascii="Arial" w:eastAsia="Times New Roman" w:hAnsi="Arial" w:cs="Arial"/>
                <w:b/>
                <w:sz w:val="20"/>
                <w:szCs w:val="20"/>
                <w:lang w:val="es-HN"/>
              </w:rPr>
              <w:t xml:space="preserve"> 7</w:t>
            </w:r>
            <w:r w:rsidR="00C24D0B" w:rsidRPr="000E6D86">
              <w:rPr>
                <w:rFonts w:ascii="Arial" w:eastAsia="Times New Roman" w:hAnsi="Arial" w:cs="Arial"/>
                <w:sz w:val="20"/>
                <w:szCs w:val="20"/>
                <w:lang w:val="es-HN"/>
              </w:rPr>
              <w:t xml:space="preserve">: El Especialista Ambiental y Social en coordinación con el PSDE programan y realizan una </w:t>
            </w:r>
            <w:r w:rsidR="000E6D86" w:rsidRPr="000E6D86">
              <w:rPr>
                <w:rFonts w:ascii="Arial" w:eastAsia="Times New Roman" w:hAnsi="Arial" w:cs="Arial"/>
                <w:sz w:val="20"/>
                <w:szCs w:val="20"/>
                <w:lang w:val="es-HN"/>
              </w:rPr>
              <w:t>consulta en</w:t>
            </w:r>
            <w:r w:rsidR="00C24D0B" w:rsidRPr="000E6D86">
              <w:rPr>
                <w:rFonts w:ascii="Arial" w:eastAsia="Times New Roman" w:hAnsi="Arial" w:cs="Arial"/>
                <w:sz w:val="20"/>
                <w:szCs w:val="20"/>
                <w:lang w:val="es-HN"/>
              </w:rPr>
              <w:t xml:space="preserve"> las comunidades donde se realizarán las inversiones del PdN.</w:t>
            </w:r>
          </w:p>
          <w:p w14:paraId="4ADD759C" w14:textId="4F45C5EF" w:rsidR="00C24D0B" w:rsidRPr="000E6D86" w:rsidRDefault="003A2FDE">
            <w:pPr>
              <w:pStyle w:val="TableParagraph"/>
              <w:tabs>
                <w:tab w:val="left" w:pos="318"/>
              </w:tabs>
              <w:spacing w:before="13"/>
              <w:ind w:right="97"/>
              <w:jc w:val="both"/>
              <w:rPr>
                <w:rFonts w:ascii="Arial" w:eastAsia="Times New Roman" w:hAnsi="Arial" w:cs="Arial"/>
                <w:sz w:val="20"/>
                <w:szCs w:val="20"/>
                <w:lang w:val="es-HN"/>
              </w:rPr>
            </w:pPr>
            <w:r w:rsidRPr="000E6D86">
              <w:rPr>
                <w:rFonts w:ascii="Arial" w:hAnsi="Arial" w:cs="Arial"/>
                <w:b/>
                <w:bCs/>
                <w:sz w:val="20"/>
                <w:szCs w:val="20"/>
                <w:lang w:val="es-HN"/>
              </w:rPr>
              <w:t>Pasó</w:t>
            </w:r>
            <w:r w:rsidR="64DCFA99" w:rsidRPr="000E6D86">
              <w:rPr>
                <w:rFonts w:ascii="Arial" w:hAnsi="Arial" w:cs="Arial"/>
                <w:b/>
                <w:bCs/>
                <w:sz w:val="20"/>
                <w:szCs w:val="20"/>
                <w:lang w:val="es-HN"/>
              </w:rPr>
              <w:t xml:space="preserve"> 8</w:t>
            </w:r>
            <w:r w:rsidR="64DCFA99" w:rsidRPr="000E6D86">
              <w:rPr>
                <w:rFonts w:ascii="Arial" w:hAnsi="Arial" w:cs="Arial"/>
                <w:sz w:val="20"/>
                <w:szCs w:val="20"/>
                <w:lang w:val="es-HN"/>
              </w:rPr>
              <w:t xml:space="preserve">: Los Especialistas Ambiental y Social apoyarán y facilitarán a los PSDEs (Consultores) y los beneficiarios en la preparación de los PGAS para cada PdN, según la evaluación realizada por cadena e impactos. Dichos planes serán elaborados incluyendo las buenas prácticas pertinentes y las medidas de mitigación y gestión </w:t>
            </w:r>
            <w:r w:rsidR="64DCFA99" w:rsidRPr="000E6D86">
              <w:rPr>
                <w:rFonts w:ascii="Arial" w:hAnsi="Arial" w:cs="Arial"/>
                <w:sz w:val="20"/>
                <w:szCs w:val="20"/>
                <w:lang w:val="es-HN"/>
              </w:rPr>
              <w:lastRenderedPageBreak/>
              <w:t xml:space="preserve">socioambientales propuestas en el presente MGAS, y consistentes con los requisitos de los EASs relevantes. </w:t>
            </w:r>
            <w:r w:rsidR="64DCFA99" w:rsidRPr="000E6D86">
              <w:rPr>
                <w:rFonts w:ascii="Arial" w:hAnsi="Arial" w:cs="Arial"/>
                <w:i/>
                <w:sz w:val="20"/>
                <w:szCs w:val="20"/>
                <w:shd w:val="clear" w:color="auto" w:fill="FFFFFF" w:themeFill="background1"/>
                <w:lang w:val="es-HN"/>
              </w:rPr>
              <w:t xml:space="preserve">La </w:t>
            </w:r>
            <w:r w:rsidR="253E45F0" w:rsidRPr="000E6D86">
              <w:rPr>
                <w:rFonts w:ascii="Arial" w:hAnsi="Arial" w:cs="Arial"/>
                <w:i/>
                <w:sz w:val="20"/>
                <w:szCs w:val="20"/>
                <w:shd w:val="clear" w:color="auto" w:fill="FFFFFF" w:themeFill="background1"/>
                <w:lang w:val="es-HN"/>
              </w:rPr>
              <w:t>p</w:t>
            </w:r>
            <w:r w:rsidR="64DCFA99" w:rsidRPr="000E6D86">
              <w:rPr>
                <w:rFonts w:ascii="Arial" w:hAnsi="Arial" w:cs="Arial"/>
                <w:i/>
                <w:sz w:val="20"/>
                <w:szCs w:val="20"/>
                <w:shd w:val="clear" w:color="auto" w:fill="FFFFFF" w:themeFill="background1"/>
                <w:lang w:val="es-HN"/>
              </w:rPr>
              <w:t>reparación</w:t>
            </w:r>
            <w:r w:rsidR="027894AC" w:rsidRPr="000E6D86">
              <w:rPr>
                <w:rFonts w:ascii="Arial" w:hAnsi="Arial" w:cs="Arial"/>
                <w:i/>
                <w:sz w:val="20"/>
                <w:szCs w:val="20"/>
                <w:shd w:val="clear" w:color="auto" w:fill="FFFFFF" w:themeFill="background1"/>
                <w:lang w:val="es-HN"/>
              </w:rPr>
              <w:t xml:space="preserve"> </w:t>
            </w:r>
            <w:r w:rsidR="4CAAF662" w:rsidRPr="000E6D86">
              <w:rPr>
                <w:rFonts w:ascii="Arial" w:hAnsi="Arial" w:cs="Arial"/>
                <w:i/>
                <w:sz w:val="20"/>
                <w:szCs w:val="20"/>
                <w:shd w:val="clear" w:color="auto" w:fill="FFFFFF" w:themeFill="background1"/>
                <w:lang w:val="es-HN"/>
              </w:rPr>
              <w:t>de</w:t>
            </w:r>
            <w:r w:rsidR="4C325379" w:rsidRPr="000E6D86">
              <w:rPr>
                <w:rFonts w:ascii="Arial" w:hAnsi="Arial" w:cs="Arial"/>
                <w:i/>
                <w:sz w:val="20"/>
                <w:szCs w:val="20"/>
                <w:shd w:val="clear" w:color="auto" w:fill="FFFFFF" w:themeFill="background1"/>
                <w:lang w:val="es-HN"/>
              </w:rPr>
              <w:t xml:space="preserve"> los </w:t>
            </w:r>
            <w:r w:rsidR="027894AC" w:rsidRPr="000E6D86">
              <w:rPr>
                <w:rFonts w:ascii="Arial" w:hAnsi="Arial" w:cs="Arial"/>
                <w:i/>
                <w:sz w:val="20"/>
                <w:szCs w:val="20"/>
                <w:shd w:val="clear" w:color="auto" w:fill="FFFFFF" w:themeFill="background1"/>
                <w:lang w:val="es-HN"/>
              </w:rPr>
              <w:t>PGAS</w:t>
            </w:r>
            <w:r w:rsidR="64DCFA99" w:rsidRPr="000E6D86">
              <w:rPr>
                <w:rFonts w:ascii="Arial" w:hAnsi="Arial" w:cs="Arial"/>
                <w:i/>
                <w:sz w:val="20"/>
                <w:szCs w:val="20"/>
                <w:shd w:val="clear" w:color="auto" w:fill="FFFFFF" w:themeFill="background1"/>
                <w:lang w:val="es-HN"/>
              </w:rPr>
              <w:t xml:space="preserve"> </w:t>
            </w:r>
            <w:r w:rsidR="027894AC" w:rsidRPr="000E6D86">
              <w:rPr>
                <w:rFonts w:ascii="Arial" w:hAnsi="Arial" w:cs="Arial"/>
                <w:i/>
                <w:sz w:val="20"/>
                <w:szCs w:val="20"/>
                <w:shd w:val="clear" w:color="auto" w:fill="FFFFFF" w:themeFill="background1"/>
                <w:lang w:val="es-HN"/>
              </w:rPr>
              <w:t xml:space="preserve">un requisito de aprobación </w:t>
            </w:r>
            <w:r w:rsidR="00383615" w:rsidRPr="000E6D86">
              <w:rPr>
                <w:rFonts w:ascii="Arial" w:hAnsi="Arial" w:cs="Arial"/>
                <w:i/>
                <w:sz w:val="20"/>
                <w:szCs w:val="20"/>
                <w:shd w:val="clear" w:color="auto" w:fill="FFFFFF" w:themeFill="background1"/>
                <w:lang w:val="es-HN"/>
              </w:rPr>
              <w:t>s</w:t>
            </w:r>
            <w:r w:rsidR="027894AC" w:rsidRPr="000E6D86">
              <w:rPr>
                <w:rFonts w:ascii="Arial" w:hAnsi="Arial" w:cs="Arial"/>
                <w:i/>
                <w:sz w:val="20"/>
                <w:szCs w:val="20"/>
                <w:shd w:val="clear" w:color="auto" w:fill="FFFFFF" w:themeFill="background1"/>
                <w:lang w:val="es-HN"/>
              </w:rPr>
              <w:t>on en este nivel</w:t>
            </w:r>
            <w:r w:rsidR="00AC6A26" w:rsidRPr="000E6D86">
              <w:rPr>
                <w:rFonts w:ascii="Arial" w:hAnsi="Arial" w:cs="Arial"/>
                <w:i/>
                <w:sz w:val="20"/>
                <w:szCs w:val="20"/>
                <w:shd w:val="clear" w:color="auto" w:fill="FFFFFF" w:themeFill="background1"/>
                <w:lang w:val="es-HN"/>
              </w:rPr>
              <w:t xml:space="preserve"> de planificación</w:t>
            </w:r>
            <w:r w:rsidR="00383615" w:rsidRPr="000E6D86">
              <w:rPr>
                <w:rFonts w:ascii="Arial" w:hAnsi="Arial" w:cs="Arial"/>
                <w:i/>
                <w:sz w:val="20"/>
                <w:szCs w:val="20"/>
                <w:shd w:val="clear" w:color="auto" w:fill="FFFFFF" w:themeFill="background1"/>
                <w:lang w:val="es-HN"/>
              </w:rPr>
              <w:t xml:space="preserve"> </w:t>
            </w:r>
            <w:r w:rsidR="027894AC" w:rsidRPr="000E6D86">
              <w:rPr>
                <w:rFonts w:ascii="Arial" w:hAnsi="Arial" w:cs="Arial"/>
                <w:i/>
                <w:sz w:val="20"/>
                <w:szCs w:val="20"/>
                <w:shd w:val="clear" w:color="auto" w:fill="FFFFFF" w:themeFill="background1"/>
                <w:lang w:val="es-HN"/>
              </w:rPr>
              <w:t>responsabilidad</w:t>
            </w:r>
            <w:r w:rsidR="00383615" w:rsidRPr="000E6D86">
              <w:rPr>
                <w:rFonts w:ascii="Arial" w:hAnsi="Arial" w:cs="Arial"/>
                <w:i/>
                <w:sz w:val="20"/>
                <w:szCs w:val="20"/>
                <w:shd w:val="clear" w:color="auto" w:fill="FFFFFF" w:themeFill="background1"/>
                <w:lang w:val="es-HN"/>
              </w:rPr>
              <w:t xml:space="preserve"> principal</w:t>
            </w:r>
            <w:r w:rsidR="027894AC" w:rsidRPr="000E6D86">
              <w:rPr>
                <w:rFonts w:ascii="Arial" w:hAnsi="Arial" w:cs="Arial"/>
                <w:i/>
                <w:sz w:val="20"/>
                <w:szCs w:val="20"/>
                <w:shd w:val="clear" w:color="auto" w:fill="FFFFFF" w:themeFill="background1"/>
                <w:lang w:val="es-HN"/>
              </w:rPr>
              <w:t xml:space="preserve"> del formulado</w:t>
            </w:r>
            <w:r w:rsidR="00AC6A26" w:rsidRPr="000E6D86">
              <w:rPr>
                <w:rFonts w:ascii="Arial" w:hAnsi="Arial" w:cs="Arial"/>
                <w:i/>
                <w:sz w:val="20"/>
                <w:szCs w:val="20"/>
                <w:shd w:val="clear" w:color="auto" w:fill="FFFFFF" w:themeFill="background1"/>
                <w:lang w:val="es-HN"/>
              </w:rPr>
              <w:t>r que puede ser un consultor individual o un PSDE, asi como de la</w:t>
            </w:r>
            <w:r w:rsidR="027894AC" w:rsidRPr="000E6D86">
              <w:rPr>
                <w:rFonts w:ascii="Arial" w:hAnsi="Arial" w:cs="Arial"/>
                <w:i/>
                <w:sz w:val="20"/>
                <w:szCs w:val="20"/>
                <w:shd w:val="clear" w:color="auto" w:fill="FFFFFF" w:themeFill="background1"/>
                <w:lang w:val="es-HN"/>
              </w:rPr>
              <w:t xml:space="preserve"> OPR</w:t>
            </w:r>
            <w:r w:rsidR="00AC6A26" w:rsidRPr="000E6D86">
              <w:rPr>
                <w:rFonts w:ascii="Arial" w:hAnsi="Arial" w:cs="Arial"/>
                <w:i/>
                <w:sz w:val="20"/>
                <w:szCs w:val="20"/>
                <w:shd w:val="clear" w:color="auto" w:fill="FFFFFF" w:themeFill="background1"/>
                <w:lang w:val="es-HN"/>
              </w:rPr>
              <w:t>,</w:t>
            </w:r>
            <w:r w:rsidR="027894AC" w:rsidRPr="000E6D86">
              <w:rPr>
                <w:rFonts w:ascii="Arial" w:hAnsi="Arial" w:cs="Arial"/>
                <w:i/>
                <w:sz w:val="20"/>
                <w:szCs w:val="20"/>
                <w:shd w:val="clear" w:color="auto" w:fill="FFFFFF" w:themeFill="background1"/>
                <w:lang w:val="es-HN"/>
              </w:rPr>
              <w:t xml:space="preserve"> pero con</w:t>
            </w:r>
            <w:r w:rsidR="00AC6A26" w:rsidRPr="000E6D86">
              <w:rPr>
                <w:rFonts w:ascii="Arial" w:hAnsi="Arial" w:cs="Arial"/>
                <w:i/>
                <w:sz w:val="20"/>
                <w:szCs w:val="20"/>
                <w:shd w:val="clear" w:color="auto" w:fill="FFFFFF" w:themeFill="background1"/>
                <w:lang w:val="es-HN"/>
              </w:rPr>
              <w:t xml:space="preserve"> la</w:t>
            </w:r>
            <w:r w:rsidR="027894AC" w:rsidRPr="000E6D86">
              <w:rPr>
                <w:rFonts w:ascii="Arial" w:hAnsi="Arial" w:cs="Arial"/>
                <w:i/>
                <w:sz w:val="20"/>
                <w:szCs w:val="20"/>
                <w:shd w:val="clear" w:color="auto" w:fill="FFFFFF" w:themeFill="background1"/>
                <w:lang w:val="es-HN"/>
              </w:rPr>
              <w:t xml:space="preserve"> orientación y asesoramiento del equipo socioambiental del </w:t>
            </w:r>
            <w:r w:rsidR="00383615" w:rsidRPr="000E6D86">
              <w:rPr>
                <w:rFonts w:ascii="Arial" w:hAnsi="Arial" w:cs="Arial"/>
                <w:i/>
                <w:sz w:val="20"/>
                <w:szCs w:val="20"/>
                <w:shd w:val="clear" w:color="auto" w:fill="FFFFFF" w:themeFill="background1"/>
                <w:lang w:val="es-HN"/>
              </w:rPr>
              <w:t>p</w:t>
            </w:r>
            <w:r w:rsidR="027894AC" w:rsidRPr="000E6D86">
              <w:rPr>
                <w:rFonts w:ascii="Arial" w:hAnsi="Arial" w:cs="Arial"/>
                <w:i/>
                <w:sz w:val="20"/>
                <w:szCs w:val="20"/>
                <w:shd w:val="clear" w:color="auto" w:fill="FFFFFF" w:themeFill="background1"/>
                <w:lang w:val="es-HN"/>
              </w:rPr>
              <w:t>royecto</w:t>
            </w:r>
            <w:r w:rsidR="00AC6A26" w:rsidRPr="000E6D86">
              <w:rPr>
                <w:rFonts w:ascii="Arial" w:hAnsi="Arial" w:cs="Arial"/>
                <w:i/>
                <w:sz w:val="20"/>
                <w:szCs w:val="20"/>
                <w:shd w:val="clear" w:color="auto" w:fill="FFFFFF" w:themeFill="background1"/>
                <w:lang w:val="es-HN"/>
              </w:rPr>
              <w:t>, quien capacita y explica sobre los contenidos de los formatos de PGAS,</w:t>
            </w:r>
            <w:r w:rsidR="00383615" w:rsidRPr="000E6D86">
              <w:rPr>
                <w:rFonts w:ascii="Arial" w:hAnsi="Arial" w:cs="Arial"/>
                <w:i/>
                <w:sz w:val="20"/>
                <w:szCs w:val="20"/>
                <w:shd w:val="clear" w:color="auto" w:fill="FFFFFF" w:themeFill="background1"/>
                <w:lang w:val="es-HN"/>
              </w:rPr>
              <w:t xml:space="preserve"> por otro lado,</w:t>
            </w:r>
            <w:r w:rsidR="00AC6A26" w:rsidRPr="000E6D86">
              <w:rPr>
                <w:rFonts w:ascii="Arial" w:hAnsi="Arial" w:cs="Arial"/>
                <w:i/>
                <w:sz w:val="20"/>
                <w:szCs w:val="20"/>
                <w:shd w:val="clear" w:color="auto" w:fill="FFFFFF" w:themeFill="background1"/>
                <w:lang w:val="es-HN"/>
              </w:rPr>
              <w:t xml:space="preserve"> las propuestas y contenido</w:t>
            </w:r>
            <w:r w:rsidR="00383615" w:rsidRPr="000E6D86">
              <w:rPr>
                <w:rFonts w:ascii="Arial" w:hAnsi="Arial" w:cs="Arial"/>
                <w:i/>
                <w:sz w:val="20"/>
                <w:szCs w:val="20"/>
                <w:shd w:val="clear" w:color="auto" w:fill="FFFFFF" w:themeFill="background1"/>
                <w:lang w:val="es-HN"/>
              </w:rPr>
              <w:t xml:space="preserve">s de los planes toman en cuenta los </w:t>
            </w:r>
            <w:r w:rsidR="00AC6A26" w:rsidRPr="000E6D86">
              <w:rPr>
                <w:rFonts w:ascii="Arial" w:hAnsi="Arial" w:cs="Arial"/>
                <w:i/>
                <w:sz w:val="20"/>
                <w:szCs w:val="20"/>
                <w:shd w:val="clear" w:color="auto" w:fill="FFFFFF" w:themeFill="background1"/>
                <w:lang w:val="es-HN"/>
              </w:rPr>
              <w:t>resultados de la evaluación socioambiental preliminar descrita en el paso 6</w:t>
            </w:r>
            <w:r w:rsidR="000E6D86">
              <w:rPr>
                <w:rFonts w:ascii="Arial" w:hAnsi="Arial" w:cs="Arial"/>
                <w:i/>
                <w:sz w:val="20"/>
                <w:szCs w:val="20"/>
                <w:shd w:val="clear" w:color="auto" w:fill="FFFFFF" w:themeFill="background1"/>
                <w:lang w:val="es-HN"/>
              </w:rPr>
              <w:t xml:space="preserve">. </w:t>
            </w:r>
            <w:r w:rsidR="64DCFA99" w:rsidRPr="000E6D86">
              <w:rPr>
                <w:rFonts w:ascii="Arial" w:hAnsi="Arial" w:cs="Arial"/>
                <w:sz w:val="20"/>
                <w:szCs w:val="20"/>
                <w:lang w:val="es-HN"/>
              </w:rPr>
              <w:t>Además, serán aplicados los instrumentos conexos al MGAS (MPPI, PPPI). El objetivo de estos nuevos instrumentos es fortalecer y sistematizar la gestión socioambiental de los PdNs. Igualmente, los</w:t>
            </w:r>
            <w:r w:rsidR="64DCFA99" w:rsidRPr="000E6D86">
              <w:rPr>
                <w:rFonts w:ascii="Arial" w:eastAsia="Times New Roman" w:hAnsi="Arial" w:cs="Arial"/>
                <w:sz w:val="20"/>
                <w:szCs w:val="20"/>
                <w:lang w:val="es-HN"/>
              </w:rPr>
              <w:t xml:space="preserve"> planes de gestión ambiental y social</w:t>
            </w:r>
            <w:r w:rsidR="64DCFA99" w:rsidRPr="000E6D86">
              <w:rPr>
                <w:rFonts w:ascii="Arial" w:hAnsi="Arial" w:cs="Arial"/>
                <w:sz w:val="20"/>
                <w:szCs w:val="20"/>
                <w:lang w:val="es-HN"/>
              </w:rPr>
              <w:t xml:space="preserve"> ofrecen una herramienta útil para las OPRs que se espera sigan implementándose más allá del periodo de ejecución de los PdNs.</w:t>
            </w:r>
          </w:p>
        </w:tc>
        <w:tc>
          <w:tcPr>
            <w:tcW w:w="2790" w:type="dxa"/>
            <w:vAlign w:val="center"/>
          </w:tcPr>
          <w:p w14:paraId="2CF5BA63" w14:textId="77777777" w:rsidR="00C24D0B" w:rsidRPr="000E6D86" w:rsidRDefault="00C24D0B" w:rsidP="00C24D0B">
            <w:pPr>
              <w:pStyle w:val="Prrafodelista"/>
              <w:numPr>
                <w:ilvl w:val="1"/>
                <w:numId w:val="31"/>
              </w:numPr>
              <w:ind w:left="312" w:hanging="312"/>
              <w:jc w:val="both"/>
              <w:rPr>
                <w:rFonts w:cs="Arial"/>
                <w:bCs/>
                <w:sz w:val="20"/>
                <w:szCs w:val="20"/>
                <w:lang w:val="es-HN"/>
              </w:rPr>
            </w:pPr>
            <w:r w:rsidRPr="000E6D86">
              <w:rPr>
                <w:rFonts w:cs="Arial"/>
                <w:bCs/>
                <w:sz w:val="20"/>
                <w:szCs w:val="20"/>
                <w:lang w:val="es-HN"/>
              </w:rPr>
              <w:lastRenderedPageBreak/>
              <w:t xml:space="preserve">Guía de Formulación de Planes de Negocios. </w:t>
            </w:r>
          </w:p>
          <w:p w14:paraId="69FC4433" w14:textId="77777777" w:rsidR="00C24D0B" w:rsidRPr="000E6D86" w:rsidRDefault="00C24D0B" w:rsidP="00C24D0B">
            <w:pPr>
              <w:pStyle w:val="TableParagraph"/>
              <w:tabs>
                <w:tab w:val="left" w:pos="318"/>
              </w:tabs>
              <w:spacing w:before="13"/>
              <w:ind w:right="97"/>
              <w:jc w:val="both"/>
              <w:rPr>
                <w:rFonts w:ascii="Arial" w:hAnsi="Arial" w:cs="Arial"/>
                <w:b/>
                <w:sz w:val="20"/>
                <w:szCs w:val="20"/>
                <w:lang w:val="es-HN"/>
              </w:rPr>
            </w:pPr>
          </w:p>
          <w:p w14:paraId="0DD1495F" w14:textId="77777777" w:rsidR="00C24D0B" w:rsidRPr="000E6D86" w:rsidRDefault="00C24D0B" w:rsidP="00C24D0B">
            <w:pPr>
              <w:pStyle w:val="Prrafodelista"/>
              <w:rPr>
                <w:rFonts w:cs="Arial"/>
                <w:bCs/>
                <w:sz w:val="20"/>
                <w:szCs w:val="20"/>
                <w:lang w:val="es-HN"/>
              </w:rPr>
            </w:pPr>
          </w:p>
          <w:p w14:paraId="30F88A1E" w14:textId="77777777" w:rsidR="00C24D0B" w:rsidRPr="000E6D86" w:rsidRDefault="00C24D0B" w:rsidP="00C24D0B">
            <w:pPr>
              <w:pStyle w:val="Prrafodelista"/>
              <w:numPr>
                <w:ilvl w:val="1"/>
                <w:numId w:val="31"/>
              </w:numPr>
              <w:ind w:left="312" w:hanging="312"/>
              <w:jc w:val="both"/>
              <w:rPr>
                <w:rFonts w:cs="Arial"/>
                <w:bCs/>
                <w:sz w:val="20"/>
                <w:szCs w:val="20"/>
                <w:lang w:val="es-HN"/>
              </w:rPr>
            </w:pPr>
            <w:r w:rsidRPr="000E6D86">
              <w:rPr>
                <w:rFonts w:cs="Arial"/>
                <w:bCs/>
                <w:sz w:val="20"/>
                <w:szCs w:val="20"/>
                <w:lang w:val="es-HN"/>
              </w:rPr>
              <w:t>PGAS.</w:t>
            </w:r>
          </w:p>
          <w:p w14:paraId="49D77B1D" w14:textId="77777777" w:rsidR="00C24D0B" w:rsidRPr="000E6D86" w:rsidRDefault="00C24D0B" w:rsidP="00C24D0B">
            <w:pPr>
              <w:pStyle w:val="Prrafodelista"/>
              <w:spacing w:before="13"/>
              <w:ind w:left="312" w:right="97"/>
              <w:jc w:val="both"/>
              <w:rPr>
                <w:rFonts w:cs="Arial"/>
                <w:b/>
                <w:sz w:val="20"/>
                <w:szCs w:val="20"/>
              </w:rPr>
            </w:pPr>
          </w:p>
          <w:p w14:paraId="6A9AD5AF" w14:textId="77777777" w:rsidR="00C24D0B" w:rsidRPr="000E6D86" w:rsidRDefault="00C24D0B" w:rsidP="00C24D0B">
            <w:pPr>
              <w:pStyle w:val="Prrafodelista"/>
              <w:numPr>
                <w:ilvl w:val="1"/>
                <w:numId w:val="31"/>
              </w:numPr>
              <w:spacing w:before="13"/>
              <w:ind w:left="312" w:right="97" w:hanging="312"/>
              <w:jc w:val="both"/>
              <w:rPr>
                <w:rFonts w:eastAsia="Times New Roman" w:cs="Arial"/>
                <w:bCs/>
                <w:sz w:val="20"/>
                <w:szCs w:val="20"/>
                <w:lang w:val="es-HN"/>
              </w:rPr>
            </w:pPr>
            <w:r w:rsidRPr="000E6D86">
              <w:rPr>
                <w:rFonts w:cs="Arial"/>
                <w:sz w:val="20"/>
                <w:szCs w:val="20"/>
                <w:lang w:val="es-HN"/>
              </w:rPr>
              <w:t xml:space="preserve">Ficha de Evaluación Ambiental y Social Preliminar para Determinar la Viabilidad Socioambiental de Planes de Negocios. </w:t>
            </w:r>
          </w:p>
          <w:p w14:paraId="510485B9" w14:textId="77777777" w:rsidR="00C24D0B" w:rsidRPr="000E6D86" w:rsidRDefault="00C24D0B" w:rsidP="00C24D0B">
            <w:pPr>
              <w:pStyle w:val="Prrafodelista"/>
              <w:rPr>
                <w:rFonts w:eastAsia="Times New Roman" w:cs="Arial"/>
                <w:bCs/>
                <w:sz w:val="20"/>
                <w:szCs w:val="20"/>
                <w:lang w:val="es-HN"/>
              </w:rPr>
            </w:pPr>
          </w:p>
          <w:p w14:paraId="358ADA4E" w14:textId="77777777" w:rsidR="00C24D0B" w:rsidRPr="000E6D86" w:rsidRDefault="00C24D0B" w:rsidP="00C24D0B">
            <w:pPr>
              <w:pStyle w:val="Prrafodelista"/>
              <w:spacing w:before="13"/>
              <w:ind w:left="312" w:right="97"/>
              <w:jc w:val="both"/>
              <w:rPr>
                <w:rFonts w:eastAsia="Times New Roman" w:cs="Arial"/>
                <w:bCs/>
                <w:sz w:val="20"/>
                <w:szCs w:val="20"/>
                <w:lang w:val="es-HN"/>
              </w:rPr>
            </w:pPr>
          </w:p>
          <w:p w14:paraId="2AE5C2D8" w14:textId="46DBD848" w:rsidR="00C24D0B" w:rsidRPr="000E6D86" w:rsidRDefault="52419ABD" w:rsidP="37B44ACB">
            <w:pPr>
              <w:rPr>
                <w:rFonts w:cs="Arial"/>
                <w:sz w:val="20"/>
                <w:szCs w:val="20"/>
                <w:lang w:val="es-HN"/>
              </w:rPr>
            </w:pPr>
            <w:r w:rsidRPr="000E6D86">
              <w:rPr>
                <w:rFonts w:cs="Arial"/>
                <w:sz w:val="20"/>
                <w:szCs w:val="20"/>
                <w:lang w:val="es-HN"/>
              </w:rPr>
              <w:t xml:space="preserve">Ver en anexos </w:t>
            </w:r>
            <w:r w:rsidR="000E6D86" w:rsidRPr="000E6D86">
              <w:rPr>
                <w:rFonts w:cs="Arial"/>
                <w:sz w:val="20"/>
                <w:szCs w:val="20"/>
                <w:lang w:val="es-HN"/>
              </w:rPr>
              <w:t>plantillas de</w:t>
            </w:r>
            <w:r w:rsidR="64DCFA99" w:rsidRPr="000E6D86">
              <w:rPr>
                <w:rFonts w:cs="Arial"/>
                <w:sz w:val="20"/>
                <w:szCs w:val="20"/>
                <w:lang w:val="es-HN"/>
              </w:rPr>
              <w:t xml:space="preserve"> Planes de Gestión</w:t>
            </w:r>
            <w:r w:rsidR="4817AC67" w:rsidRPr="000E6D86">
              <w:rPr>
                <w:rFonts w:cs="Arial"/>
                <w:sz w:val="20"/>
                <w:szCs w:val="20"/>
                <w:lang w:val="es-HN"/>
              </w:rPr>
              <w:t xml:space="preserve"> Ambiental y Social,</w:t>
            </w:r>
            <w:r w:rsidR="64DCFA99" w:rsidRPr="000E6D86">
              <w:rPr>
                <w:rFonts w:cs="Arial"/>
                <w:sz w:val="20"/>
                <w:szCs w:val="20"/>
                <w:lang w:val="es-HN"/>
              </w:rPr>
              <w:t xml:space="preserve"> y Ficha de Evaluación.</w:t>
            </w:r>
          </w:p>
        </w:tc>
      </w:tr>
      <w:tr w:rsidR="000E6D86" w:rsidRPr="000E6D86" w14:paraId="7FF0681E" w14:textId="77777777" w:rsidTr="37B44ACB">
        <w:tc>
          <w:tcPr>
            <w:tcW w:w="1701" w:type="dxa"/>
            <w:vAlign w:val="center"/>
          </w:tcPr>
          <w:p w14:paraId="3D30557A" w14:textId="5A3B8224" w:rsidR="00C24D0B" w:rsidRPr="000E6D86" w:rsidRDefault="0055560D" w:rsidP="00C24D0B">
            <w:pPr>
              <w:jc w:val="both"/>
              <w:rPr>
                <w:rFonts w:cs="Arial"/>
                <w:b/>
                <w:sz w:val="20"/>
                <w:szCs w:val="20"/>
                <w:lang w:val="es-HN"/>
              </w:rPr>
            </w:pPr>
            <w:r w:rsidRPr="000E6D86">
              <w:rPr>
                <w:rFonts w:cs="Arial"/>
                <w:b/>
                <w:sz w:val="20"/>
                <w:szCs w:val="20"/>
                <w:lang w:val="es-HN"/>
              </w:rPr>
              <w:t>iii</w:t>
            </w:r>
            <w:r w:rsidR="00E67573" w:rsidRPr="000E6D86">
              <w:rPr>
                <w:rFonts w:cs="Arial"/>
                <w:b/>
                <w:sz w:val="20"/>
                <w:szCs w:val="20"/>
                <w:lang w:val="es-HN"/>
              </w:rPr>
              <w:t xml:space="preserve">. </w:t>
            </w:r>
            <w:r w:rsidR="00C24D0B" w:rsidRPr="000E6D86">
              <w:rPr>
                <w:rFonts w:cs="Arial"/>
                <w:b/>
                <w:sz w:val="20"/>
                <w:szCs w:val="20"/>
                <w:lang w:val="es-HN"/>
              </w:rPr>
              <w:t xml:space="preserve">Aprobación del </w:t>
            </w:r>
            <w:r w:rsidR="00E67573" w:rsidRPr="000E6D86">
              <w:rPr>
                <w:rFonts w:cs="Arial"/>
                <w:b/>
                <w:sz w:val="20"/>
                <w:szCs w:val="20"/>
                <w:lang w:val="es-HN"/>
              </w:rPr>
              <w:t>PdN</w:t>
            </w:r>
            <w:r w:rsidR="00C24D0B" w:rsidRPr="000E6D86">
              <w:rPr>
                <w:rFonts w:cs="Arial"/>
                <w:b/>
                <w:sz w:val="20"/>
                <w:szCs w:val="20"/>
                <w:lang w:val="es-HN"/>
              </w:rPr>
              <w:t>.</w:t>
            </w:r>
          </w:p>
        </w:tc>
        <w:tc>
          <w:tcPr>
            <w:tcW w:w="4509" w:type="dxa"/>
            <w:vAlign w:val="center"/>
          </w:tcPr>
          <w:p w14:paraId="024BF288" w14:textId="23E4EF90" w:rsidR="00C24D0B" w:rsidRPr="000E6D86" w:rsidRDefault="64DCFA99" w:rsidP="37B44ACB">
            <w:pPr>
              <w:pStyle w:val="TableParagraph"/>
              <w:tabs>
                <w:tab w:val="left" w:pos="318"/>
              </w:tabs>
              <w:spacing w:before="13"/>
              <w:ind w:right="97"/>
              <w:jc w:val="both"/>
              <w:rPr>
                <w:rFonts w:ascii="Arial" w:eastAsia="Times New Roman" w:hAnsi="Arial" w:cs="Arial"/>
                <w:sz w:val="20"/>
                <w:szCs w:val="20"/>
                <w:highlight w:val="yellow"/>
                <w:lang w:val="es-HN"/>
              </w:rPr>
            </w:pPr>
            <w:r w:rsidRPr="000E6D86">
              <w:rPr>
                <w:rFonts w:ascii="Arial" w:eastAsia="Times New Roman" w:hAnsi="Arial" w:cs="Arial"/>
                <w:b/>
                <w:bCs/>
                <w:sz w:val="20"/>
                <w:szCs w:val="20"/>
                <w:lang w:val="es-HN"/>
              </w:rPr>
              <w:t>Paso 9</w:t>
            </w:r>
            <w:r w:rsidRPr="000E6D86">
              <w:rPr>
                <w:rFonts w:ascii="Arial" w:eastAsia="Times New Roman" w:hAnsi="Arial" w:cs="Arial"/>
                <w:sz w:val="20"/>
                <w:szCs w:val="20"/>
                <w:lang w:val="es-HN"/>
              </w:rPr>
              <w:t xml:space="preserve">: Los PGAS formarán parte de los anexos del PdN que se apruebe en cada OPR. </w:t>
            </w:r>
            <w:r w:rsidR="00383615" w:rsidRPr="000E6D86">
              <w:rPr>
                <w:rFonts w:ascii="Arial" w:eastAsia="Times New Roman" w:hAnsi="Arial" w:cs="Arial"/>
                <w:sz w:val="20"/>
                <w:szCs w:val="20"/>
                <w:lang w:val="es-HN"/>
              </w:rPr>
              <w:t>Los mismos (PdN y PGAS), d</w:t>
            </w:r>
            <w:r w:rsidRPr="000E6D86">
              <w:rPr>
                <w:rFonts w:ascii="Arial" w:eastAsia="Times New Roman" w:hAnsi="Arial" w:cs="Arial"/>
                <w:sz w:val="20"/>
                <w:szCs w:val="20"/>
                <w:lang w:val="es-HN"/>
              </w:rPr>
              <w:t>eberá proponer los ejes de acción e indicadores de resultados e impacto sobre la base de las evaluaciones realizadas</w:t>
            </w:r>
            <w:r w:rsidR="00383615" w:rsidRPr="000E6D86">
              <w:rPr>
                <w:rFonts w:ascii="Arial" w:eastAsia="Times New Roman" w:hAnsi="Arial" w:cs="Arial"/>
                <w:sz w:val="20"/>
                <w:szCs w:val="20"/>
                <w:lang w:val="es-HN"/>
              </w:rPr>
              <w:t xml:space="preserve"> por el equipo ambiental y social</w:t>
            </w:r>
            <w:r w:rsidRPr="000E6D86">
              <w:rPr>
                <w:rFonts w:ascii="Arial" w:eastAsia="Times New Roman" w:hAnsi="Arial" w:cs="Arial"/>
                <w:sz w:val="20"/>
                <w:szCs w:val="20"/>
                <w:lang w:val="es-HN"/>
              </w:rPr>
              <w:t>.</w:t>
            </w:r>
            <w:r w:rsidR="00431F08" w:rsidRPr="000E6D86">
              <w:rPr>
                <w:rFonts w:ascii="Arial" w:eastAsia="Times New Roman" w:hAnsi="Arial" w:cs="Arial"/>
                <w:sz w:val="20"/>
                <w:szCs w:val="20"/>
                <w:lang w:val="es-HN"/>
              </w:rPr>
              <w:t xml:space="preserve"> Los especialistas ambienteles y sociales forman parte del Comité de Evaluación, quien aprueba de los planes de negocio y revisa que el contenido social y ambiental estén conformes a la guía de formulación, e instrumentos aplicables según MGAS.</w:t>
            </w:r>
          </w:p>
          <w:p w14:paraId="36A3EA47" w14:textId="20C73444" w:rsidR="00C24D0B" w:rsidRPr="000E6D86" w:rsidRDefault="00C24D0B" w:rsidP="00C24D0B">
            <w:pPr>
              <w:pStyle w:val="TableParagraph"/>
              <w:tabs>
                <w:tab w:val="left" w:pos="318"/>
              </w:tabs>
              <w:spacing w:before="13"/>
              <w:ind w:right="97"/>
              <w:jc w:val="both"/>
              <w:rPr>
                <w:rFonts w:ascii="Arial" w:eastAsia="Times New Roman" w:hAnsi="Arial" w:cs="Arial"/>
                <w:sz w:val="20"/>
                <w:szCs w:val="20"/>
                <w:lang w:val="es-HN"/>
              </w:rPr>
            </w:pPr>
            <w:r w:rsidRPr="000E6D86">
              <w:rPr>
                <w:rFonts w:ascii="Arial" w:eastAsia="Times New Roman" w:hAnsi="Arial" w:cs="Arial"/>
                <w:b/>
                <w:sz w:val="20"/>
                <w:szCs w:val="20"/>
                <w:lang w:val="es-HN"/>
              </w:rPr>
              <w:t>Paso 10</w:t>
            </w:r>
            <w:r w:rsidRPr="000E6D86">
              <w:rPr>
                <w:rFonts w:ascii="Arial" w:eastAsia="Times New Roman" w:hAnsi="Arial" w:cs="Arial"/>
                <w:sz w:val="20"/>
                <w:szCs w:val="20"/>
                <w:lang w:val="es-HN"/>
              </w:rPr>
              <w:t xml:space="preserve">: Revisar y asegurar en el contenido de los </w:t>
            </w:r>
            <w:r w:rsidR="00803454" w:rsidRPr="000E6D86">
              <w:rPr>
                <w:rFonts w:ascii="Arial" w:eastAsia="Times New Roman" w:hAnsi="Arial" w:cs="Arial"/>
                <w:sz w:val="20"/>
                <w:szCs w:val="20"/>
                <w:lang w:val="es-HN"/>
              </w:rPr>
              <w:t>PGAS</w:t>
            </w:r>
            <w:r w:rsidRPr="000E6D86">
              <w:rPr>
                <w:rFonts w:ascii="Arial" w:eastAsia="Times New Roman" w:hAnsi="Arial" w:cs="Arial"/>
                <w:sz w:val="20"/>
                <w:szCs w:val="20"/>
                <w:lang w:val="es-HN"/>
              </w:rPr>
              <w:t xml:space="preserve"> el cumplimiento de la normativa ambiental y social prevista, de acuerdo con la categoría de los PdNs y EASs relevantes del BM  </w:t>
            </w:r>
          </w:p>
          <w:p w14:paraId="495F7957" w14:textId="77777777" w:rsidR="00C24D0B" w:rsidRPr="000E6D86" w:rsidRDefault="00C24D0B" w:rsidP="00C24D0B">
            <w:pPr>
              <w:pStyle w:val="TableParagraph"/>
              <w:tabs>
                <w:tab w:val="left" w:pos="318"/>
              </w:tabs>
              <w:spacing w:before="13"/>
              <w:ind w:right="97"/>
              <w:jc w:val="both"/>
              <w:rPr>
                <w:rFonts w:ascii="Arial" w:eastAsia="Times New Roman" w:hAnsi="Arial" w:cs="Arial"/>
                <w:sz w:val="20"/>
                <w:szCs w:val="20"/>
                <w:lang w:val="es-HN"/>
              </w:rPr>
            </w:pPr>
            <w:r w:rsidRPr="000E6D86">
              <w:rPr>
                <w:rFonts w:ascii="Arial" w:eastAsia="Times New Roman" w:hAnsi="Arial" w:cs="Arial"/>
                <w:b/>
                <w:sz w:val="20"/>
                <w:szCs w:val="20"/>
                <w:lang w:val="es-HN"/>
              </w:rPr>
              <w:t>Paso 11</w:t>
            </w:r>
            <w:r w:rsidRPr="000E6D86">
              <w:rPr>
                <w:rFonts w:ascii="Arial" w:eastAsia="Times New Roman" w:hAnsi="Arial" w:cs="Arial"/>
                <w:sz w:val="20"/>
                <w:szCs w:val="20"/>
                <w:lang w:val="es-HN"/>
              </w:rPr>
              <w:t>: Tomar en cuenta y orientar este proceso de planificación mediante consultas de experiencias exitosas y estudiando la Guía de Buenas Prácticas Agrícolas compiladas por la SAG y otras disponibles para la cadena.</w:t>
            </w:r>
          </w:p>
          <w:p w14:paraId="6EBEDD63" w14:textId="152CDD16" w:rsidR="00C24D0B" w:rsidRPr="000E6D86" w:rsidRDefault="003A2FDE" w:rsidP="00C24D0B">
            <w:pPr>
              <w:pStyle w:val="TableParagraph"/>
              <w:tabs>
                <w:tab w:val="left" w:pos="318"/>
              </w:tabs>
              <w:spacing w:before="13"/>
              <w:ind w:right="97"/>
              <w:jc w:val="both"/>
              <w:rPr>
                <w:rFonts w:ascii="Arial" w:eastAsia="Times New Roman" w:hAnsi="Arial" w:cs="Arial"/>
                <w:sz w:val="20"/>
                <w:szCs w:val="20"/>
                <w:lang w:val="es-HN"/>
              </w:rPr>
            </w:pPr>
            <w:r w:rsidRPr="000E6D86">
              <w:rPr>
                <w:rFonts w:ascii="Arial" w:eastAsia="Times New Roman" w:hAnsi="Arial" w:cs="Arial"/>
                <w:b/>
                <w:sz w:val="20"/>
                <w:szCs w:val="20"/>
                <w:lang w:val="es-HN"/>
              </w:rPr>
              <w:t>Pasó</w:t>
            </w:r>
            <w:r w:rsidR="00C24D0B" w:rsidRPr="000E6D86">
              <w:rPr>
                <w:rFonts w:ascii="Arial" w:eastAsia="Times New Roman" w:hAnsi="Arial" w:cs="Arial"/>
                <w:b/>
                <w:sz w:val="20"/>
                <w:szCs w:val="20"/>
                <w:lang w:val="es-HN"/>
              </w:rPr>
              <w:t xml:space="preserve"> 12</w:t>
            </w:r>
            <w:r w:rsidR="00C24D0B" w:rsidRPr="000E6D86">
              <w:rPr>
                <w:rFonts w:ascii="Arial" w:eastAsia="Times New Roman" w:hAnsi="Arial" w:cs="Arial"/>
                <w:sz w:val="20"/>
                <w:szCs w:val="20"/>
                <w:lang w:val="es-HN"/>
              </w:rPr>
              <w:t xml:space="preserve">: El Coordinador del Proyecto comunicará por escrito, mediante un dictamen, la viabilidad ambiental y social del PdN a la OPR proponente, sobre la base de los resultados obtenidos con la aplicación de los instrumentos por parte de los Especialistas Ambiental y Social. </w:t>
            </w:r>
          </w:p>
        </w:tc>
        <w:tc>
          <w:tcPr>
            <w:tcW w:w="2790" w:type="dxa"/>
            <w:vAlign w:val="center"/>
          </w:tcPr>
          <w:p w14:paraId="2B40168D" w14:textId="644E3BA1" w:rsidR="00C24D0B" w:rsidRPr="000E6D86" w:rsidRDefault="00C24D0B" w:rsidP="00C24D0B">
            <w:pPr>
              <w:pStyle w:val="TableParagraph"/>
              <w:tabs>
                <w:tab w:val="left" w:pos="318"/>
              </w:tabs>
              <w:spacing w:before="13"/>
              <w:ind w:right="97"/>
              <w:jc w:val="both"/>
              <w:rPr>
                <w:rFonts w:ascii="Arial" w:eastAsia="Times New Roman" w:hAnsi="Arial" w:cs="Arial"/>
                <w:sz w:val="20"/>
                <w:szCs w:val="20"/>
                <w:lang w:val="es-HN"/>
              </w:rPr>
            </w:pPr>
            <w:r w:rsidRPr="000E6D86">
              <w:rPr>
                <w:rFonts w:ascii="Arial" w:eastAsia="Times New Roman" w:hAnsi="Arial" w:cs="Arial"/>
                <w:sz w:val="20"/>
                <w:szCs w:val="20"/>
                <w:lang w:val="es-HN"/>
              </w:rPr>
              <w:t>PGAS</w:t>
            </w:r>
          </w:p>
          <w:p w14:paraId="54ADF52A" w14:textId="77777777" w:rsidR="00C24D0B" w:rsidRPr="000E6D86" w:rsidRDefault="00C24D0B" w:rsidP="00C24D0B">
            <w:pPr>
              <w:pStyle w:val="TableParagraph"/>
              <w:tabs>
                <w:tab w:val="left" w:pos="318"/>
              </w:tabs>
              <w:spacing w:before="13"/>
              <w:ind w:right="97"/>
              <w:jc w:val="both"/>
              <w:rPr>
                <w:rFonts w:ascii="Arial" w:eastAsia="Times New Roman" w:hAnsi="Arial" w:cs="Arial"/>
                <w:b/>
                <w:sz w:val="20"/>
                <w:szCs w:val="20"/>
                <w:lang w:val="es-HN"/>
              </w:rPr>
            </w:pPr>
          </w:p>
          <w:p w14:paraId="30A33336" w14:textId="77777777" w:rsidR="00C24D0B" w:rsidRPr="000E6D86" w:rsidRDefault="00C24D0B" w:rsidP="00C24D0B">
            <w:pPr>
              <w:rPr>
                <w:rFonts w:cs="Arial"/>
                <w:lang w:val="es-HN"/>
              </w:rPr>
            </w:pPr>
          </w:p>
        </w:tc>
      </w:tr>
      <w:tr w:rsidR="000E6D86" w:rsidRPr="000E6D86" w14:paraId="1951DC2D" w14:textId="77777777" w:rsidTr="37B44ACB">
        <w:tc>
          <w:tcPr>
            <w:tcW w:w="1701" w:type="dxa"/>
            <w:vAlign w:val="center"/>
          </w:tcPr>
          <w:p w14:paraId="44D74E5E" w14:textId="752A5A4C" w:rsidR="00C24D0B" w:rsidRPr="000E6D86" w:rsidRDefault="0055560D" w:rsidP="00C24D0B">
            <w:pPr>
              <w:jc w:val="both"/>
              <w:rPr>
                <w:rFonts w:cs="Arial"/>
                <w:b/>
                <w:sz w:val="20"/>
                <w:szCs w:val="20"/>
                <w:lang w:val="es-HN"/>
              </w:rPr>
            </w:pPr>
            <w:r w:rsidRPr="000E6D86">
              <w:rPr>
                <w:rFonts w:cs="Arial"/>
                <w:b/>
                <w:sz w:val="20"/>
                <w:szCs w:val="20"/>
                <w:lang w:val="es-HN"/>
              </w:rPr>
              <w:t>iv</w:t>
            </w:r>
            <w:r w:rsidR="00E67573" w:rsidRPr="000E6D86">
              <w:rPr>
                <w:rFonts w:cs="Arial"/>
                <w:b/>
                <w:sz w:val="20"/>
                <w:szCs w:val="20"/>
                <w:lang w:val="es-HN"/>
              </w:rPr>
              <w:t xml:space="preserve">. </w:t>
            </w:r>
            <w:r w:rsidR="00C24D0B" w:rsidRPr="000E6D86">
              <w:rPr>
                <w:rFonts w:cs="Arial"/>
                <w:b/>
                <w:sz w:val="20"/>
                <w:szCs w:val="20"/>
                <w:lang w:val="es-HN"/>
              </w:rPr>
              <w:t xml:space="preserve">Ejecución del </w:t>
            </w:r>
            <w:r w:rsidR="00E67573" w:rsidRPr="000E6D86">
              <w:rPr>
                <w:rFonts w:cs="Arial"/>
                <w:b/>
                <w:sz w:val="20"/>
                <w:szCs w:val="20"/>
                <w:lang w:val="es-HN"/>
              </w:rPr>
              <w:t>PdN.</w:t>
            </w:r>
            <w:r w:rsidR="00C24D0B" w:rsidRPr="000E6D86">
              <w:rPr>
                <w:rFonts w:cs="Arial"/>
                <w:b/>
                <w:sz w:val="20"/>
                <w:szCs w:val="20"/>
                <w:lang w:val="es-HN"/>
              </w:rPr>
              <w:t xml:space="preserve"> </w:t>
            </w:r>
          </w:p>
        </w:tc>
        <w:tc>
          <w:tcPr>
            <w:tcW w:w="4509" w:type="dxa"/>
            <w:vAlign w:val="center"/>
          </w:tcPr>
          <w:p w14:paraId="12E65593" w14:textId="74D7167C" w:rsidR="00C24D0B" w:rsidRPr="000E6D86" w:rsidRDefault="003A2FDE" w:rsidP="00C24D0B">
            <w:pPr>
              <w:pStyle w:val="TableParagraph"/>
              <w:tabs>
                <w:tab w:val="left" w:pos="318"/>
              </w:tabs>
              <w:ind w:right="97"/>
              <w:jc w:val="both"/>
              <w:rPr>
                <w:rFonts w:ascii="Arial" w:eastAsia="Times New Roman" w:hAnsi="Arial" w:cs="Arial"/>
                <w:sz w:val="20"/>
                <w:szCs w:val="20"/>
                <w:lang w:val="es-HN"/>
              </w:rPr>
            </w:pPr>
            <w:r w:rsidRPr="000E6D86">
              <w:rPr>
                <w:rFonts w:ascii="Arial" w:eastAsia="Times New Roman" w:hAnsi="Arial" w:cs="Arial"/>
                <w:b/>
                <w:sz w:val="20"/>
                <w:szCs w:val="20"/>
                <w:lang w:val="es-HN"/>
              </w:rPr>
              <w:t>Pasó</w:t>
            </w:r>
            <w:r w:rsidR="00C24D0B" w:rsidRPr="000E6D86">
              <w:rPr>
                <w:rFonts w:ascii="Arial" w:eastAsia="Times New Roman" w:hAnsi="Arial" w:cs="Arial"/>
                <w:b/>
                <w:sz w:val="20"/>
                <w:szCs w:val="20"/>
                <w:lang w:val="es-HN"/>
              </w:rPr>
              <w:t xml:space="preserve"> 13</w:t>
            </w:r>
            <w:r w:rsidR="00C24D0B" w:rsidRPr="000E6D86">
              <w:rPr>
                <w:rFonts w:ascii="Arial" w:eastAsia="Times New Roman" w:hAnsi="Arial" w:cs="Arial"/>
                <w:sz w:val="20"/>
                <w:szCs w:val="20"/>
                <w:lang w:val="es-HN"/>
              </w:rPr>
              <w:t xml:space="preserve">: Esta etapa es responsabilidad del equipo de técnicos multidisciplinario de COMRURAL, en coordinación con la Dirección </w:t>
            </w:r>
            <w:r w:rsidR="00C24D0B" w:rsidRPr="000E6D86">
              <w:rPr>
                <w:rFonts w:ascii="Arial" w:eastAsia="Times New Roman" w:hAnsi="Arial" w:cs="Arial"/>
                <w:sz w:val="20"/>
                <w:szCs w:val="20"/>
                <w:lang w:val="es-HN"/>
              </w:rPr>
              <w:lastRenderedPageBreak/>
              <w:t>del Proyecto y Unidades de Coordinación Regional (UCR), que brindan seguimiento y monitoreo a las acciones programadas en cada uno de los PdNs aprobados.</w:t>
            </w:r>
          </w:p>
          <w:p w14:paraId="296DB1AF" w14:textId="77777777" w:rsidR="00C24D0B" w:rsidRPr="000E6D86" w:rsidRDefault="00C24D0B" w:rsidP="00C24D0B">
            <w:pPr>
              <w:pStyle w:val="TableParagraph"/>
              <w:tabs>
                <w:tab w:val="left" w:pos="318"/>
              </w:tabs>
              <w:ind w:right="97"/>
              <w:jc w:val="both"/>
              <w:rPr>
                <w:rFonts w:ascii="Arial" w:eastAsia="Times New Roman" w:hAnsi="Arial" w:cs="Arial"/>
                <w:sz w:val="20"/>
                <w:szCs w:val="20"/>
                <w:lang w:val="es-HN"/>
              </w:rPr>
            </w:pPr>
            <w:r w:rsidRPr="000E6D86">
              <w:rPr>
                <w:rFonts w:ascii="Arial" w:hAnsi="Arial" w:cs="Arial"/>
                <w:b/>
                <w:bCs/>
                <w:sz w:val="20"/>
                <w:szCs w:val="20"/>
                <w:lang w:val="es-HN"/>
              </w:rPr>
              <w:t>Paso 14</w:t>
            </w:r>
            <w:r w:rsidRPr="000E6D86">
              <w:rPr>
                <w:rFonts w:ascii="Arial" w:hAnsi="Arial" w:cs="Arial"/>
                <w:sz w:val="20"/>
                <w:szCs w:val="20"/>
                <w:lang w:val="es-HN"/>
              </w:rPr>
              <w:t>: Los Especialistas Ambiental y Social apoyarán y facilitarán inducción y capacitarán a los PSDEs (Consultores) mediate las acciones formativas pertinentes que contribuyan a cerrar brechas de conocimiento y también a los beneficiarios en la ejecución de l</w:t>
            </w:r>
            <w:r w:rsidRPr="000E6D86">
              <w:rPr>
                <w:rFonts w:ascii="Arial" w:eastAsia="Times New Roman" w:hAnsi="Arial" w:cs="Arial"/>
                <w:sz w:val="20"/>
                <w:szCs w:val="20"/>
                <w:lang w:val="es-HN"/>
              </w:rPr>
              <w:t xml:space="preserve">os </w:t>
            </w:r>
            <w:r w:rsidRPr="000E6D86">
              <w:rPr>
                <w:rFonts w:ascii="Arial" w:hAnsi="Arial" w:cs="Arial"/>
                <w:sz w:val="20"/>
                <w:szCs w:val="20"/>
                <w:lang w:val="es-HN"/>
              </w:rPr>
              <w:t>PGAS para cada inversión. Dichos planes guiarán la implementación de las buenas prácticas pertinentes y las medidas de mitigación y gestión socioambiental propuesta en el presente MGAS.</w:t>
            </w:r>
          </w:p>
          <w:p w14:paraId="704652C6" w14:textId="77777777" w:rsidR="00C24D0B" w:rsidRPr="000E6D86" w:rsidRDefault="00C24D0B" w:rsidP="00C24D0B">
            <w:pPr>
              <w:pStyle w:val="TableParagraph"/>
              <w:tabs>
                <w:tab w:val="left" w:pos="318"/>
              </w:tabs>
              <w:ind w:right="97"/>
              <w:jc w:val="both"/>
              <w:rPr>
                <w:rFonts w:ascii="Arial" w:eastAsia="Times New Roman" w:hAnsi="Arial" w:cs="Arial"/>
                <w:sz w:val="20"/>
                <w:szCs w:val="20"/>
                <w:lang w:val="es-HN"/>
              </w:rPr>
            </w:pPr>
            <w:r w:rsidRPr="000E6D86">
              <w:rPr>
                <w:rFonts w:ascii="Arial" w:eastAsia="Times New Roman" w:hAnsi="Arial" w:cs="Arial"/>
                <w:b/>
                <w:sz w:val="20"/>
                <w:szCs w:val="20"/>
                <w:lang w:val="es-HN"/>
              </w:rPr>
              <w:t>Paso 15</w:t>
            </w:r>
            <w:r w:rsidRPr="000E6D86">
              <w:rPr>
                <w:rFonts w:ascii="Arial" w:eastAsia="Times New Roman" w:hAnsi="Arial" w:cs="Arial"/>
                <w:sz w:val="20"/>
                <w:szCs w:val="20"/>
                <w:lang w:val="es-HN"/>
              </w:rPr>
              <w:t>: Los PGAS formarán parte de los componentes de ejecución del PdN que se apruebe en cada OPR.</w:t>
            </w:r>
          </w:p>
          <w:p w14:paraId="54E26BB7" w14:textId="77777777" w:rsidR="00C24D0B" w:rsidRPr="000E6D86" w:rsidRDefault="00C24D0B" w:rsidP="00C24D0B">
            <w:pPr>
              <w:pStyle w:val="TableParagraph"/>
              <w:tabs>
                <w:tab w:val="left" w:pos="318"/>
              </w:tabs>
              <w:ind w:right="97"/>
              <w:jc w:val="both"/>
              <w:rPr>
                <w:rFonts w:ascii="Arial" w:eastAsia="Times New Roman" w:hAnsi="Arial" w:cs="Arial"/>
                <w:sz w:val="20"/>
                <w:szCs w:val="20"/>
                <w:lang w:val="es-HN"/>
              </w:rPr>
            </w:pPr>
            <w:r w:rsidRPr="000E6D86">
              <w:rPr>
                <w:rFonts w:ascii="Arial" w:eastAsia="Times New Roman" w:hAnsi="Arial" w:cs="Arial"/>
                <w:b/>
                <w:sz w:val="20"/>
                <w:szCs w:val="20"/>
                <w:lang w:val="es-HN"/>
              </w:rPr>
              <w:t>Paso 16</w:t>
            </w:r>
            <w:r w:rsidRPr="000E6D86">
              <w:rPr>
                <w:rFonts w:ascii="Arial" w:eastAsia="Times New Roman" w:hAnsi="Arial" w:cs="Arial"/>
                <w:sz w:val="20"/>
                <w:szCs w:val="20"/>
                <w:lang w:val="es-HN"/>
              </w:rPr>
              <w:t xml:space="preserve">: Cumplimiento de la normativa ambiental prevista de acuerdo con la categoría del PdN y los EASs relevantes del BM. </w:t>
            </w:r>
          </w:p>
          <w:p w14:paraId="0D4B3A01" w14:textId="77777777" w:rsidR="00C24D0B" w:rsidRPr="000E6D86" w:rsidRDefault="00C24D0B" w:rsidP="00C24D0B">
            <w:pPr>
              <w:pStyle w:val="TableParagraph"/>
              <w:tabs>
                <w:tab w:val="left" w:pos="318"/>
              </w:tabs>
              <w:ind w:right="97"/>
              <w:jc w:val="both"/>
              <w:rPr>
                <w:rFonts w:ascii="Arial" w:eastAsia="Times New Roman" w:hAnsi="Arial" w:cs="Arial"/>
                <w:sz w:val="20"/>
                <w:szCs w:val="20"/>
                <w:lang w:val="es-HN"/>
              </w:rPr>
            </w:pPr>
            <w:r w:rsidRPr="000E6D86">
              <w:rPr>
                <w:rFonts w:ascii="Arial" w:eastAsia="Times New Roman" w:hAnsi="Arial" w:cs="Arial"/>
                <w:b/>
                <w:sz w:val="20"/>
                <w:szCs w:val="20"/>
                <w:lang w:val="es-HN"/>
              </w:rPr>
              <w:t>Paso 17</w:t>
            </w:r>
            <w:r w:rsidRPr="000E6D86">
              <w:rPr>
                <w:rFonts w:ascii="Arial" w:eastAsia="Times New Roman" w:hAnsi="Arial" w:cs="Arial"/>
                <w:sz w:val="20"/>
                <w:szCs w:val="20"/>
                <w:lang w:val="es-HN"/>
              </w:rPr>
              <w:t>: El Especialista Ambiental y Social serán responsables de monitorear el cumplimiento de los compromisos ambientales y sociales que aparecen en los PGAS, con especial énfasis en inclusión social de indígenas/afro hondureños, mujeres y jóvenes y la responsabilidad social empresarial que incluye las restricciones del trabajo infantil y los incentivos sociales para los asociados, según normativa que rige la organización y su buen gobierno.</w:t>
            </w:r>
          </w:p>
          <w:p w14:paraId="19FCE8C5" w14:textId="77777777" w:rsidR="00C24D0B" w:rsidRPr="000E6D86" w:rsidRDefault="00C24D0B" w:rsidP="00C24D0B">
            <w:pPr>
              <w:pStyle w:val="TableParagraph"/>
              <w:tabs>
                <w:tab w:val="left" w:pos="318"/>
              </w:tabs>
              <w:ind w:right="97"/>
              <w:jc w:val="both"/>
              <w:rPr>
                <w:rFonts w:ascii="Arial" w:eastAsia="Times New Roman" w:hAnsi="Arial" w:cs="Arial"/>
                <w:sz w:val="20"/>
                <w:szCs w:val="20"/>
                <w:lang w:val="es-HN"/>
              </w:rPr>
            </w:pPr>
            <w:r w:rsidRPr="000E6D86">
              <w:rPr>
                <w:rFonts w:ascii="Arial" w:eastAsia="Times New Roman" w:hAnsi="Arial" w:cs="Arial"/>
                <w:b/>
                <w:sz w:val="20"/>
                <w:szCs w:val="20"/>
                <w:lang w:val="es-HN"/>
              </w:rPr>
              <w:t>Pasó 18</w:t>
            </w:r>
            <w:r w:rsidRPr="000E6D86">
              <w:rPr>
                <w:rFonts w:ascii="Arial" w:eastAsia="Times New Roman" w:hAnsi="Arial" w:cs="Arial"/>
                <w:sz w:val="20"/>
                <w:szCs w:val="20"/>
                <w:lang w:val="es-HN"/>
              </w:rPr>
              <w:t>: Los Especialistas Ambiental y Social realizarán visitas durante la etapa constructiva de inversiones financiadas por el Proyecto con el fin de verificar el cumplimiento de los PGAS específicos de cada PdN y el MGAS de COMRURAL III.</w:t>
            </w:r>
          </w:p>
          <w:p w14:paraId="167A8E15" w14:textId="1478F648" w:rsidR="00C24D0B" w:rsidRPr="000E6D86" w:rsidRDefault="003A2FDE" w:rsidP="00C24D0B">
            <w:pPr>
              <w:pStyle w:val="TableParagraph"/>
              <w:tabs>
                <w:tab w:val="left" w:pos="318"/>
              </w:tabs>
              <w:ind w:right="97"/>
              <w:jc w:val="both"/>
              <w:rPr>
                <w:rFonts w:ascii="Arial" w:eastAsia="Times New Roman" w:hAnsi="Arial" w:cs="Arial"/>
                <w:sz w:val="20"/>
                <w:szCs w:val="20"/>
                <w:lang w:val="es-HN"/>
              </w:rPr>
            </w:pPr>
            <w:r w:rsidRPr="000E6D86">
              <w:rPr>
                <w:rFonts w:ascii="Arial" w:eastAsia="Times New Roman" w:hAnsi="Arial" w:cs="Arial"/>
                <w:b/>
                <w:sz w:val="20"/>
                <w:szCs w:val="20"/>
                <w:lang w:val="es-HN"/>
              </w:rPr>
              <w:t>Pasó</w:t>
            </w:r>
            <w:r w:rsidR="00C24D0B" w:rsidRPr="000E6D86">
              <w:rPr>
                <w:rFonts w:ascii="Arial" w:eastAsia="Times New Roman" w:hAnsi="Arial" w:cs="Arial"/>
                <w:b/>
                <w:sz w:val="20"/>
                <w:szCs w:val="20"/>
                <w:lang w:val="es-HN"/>
              </w:rPr>
              <w:t xml:space="preserve"> 19</w:t>
            </w:r>
            <w:r w:rsidR="00C24D0B" w:rsidRPr="000E6D86">
              <w:rPr>
                <w:rFonts w:ascii="Arial" w:eastAsia="Times New Roman" w:hAnsi="Arial" w:cs="Arial"/>
                <w:sz w:val="20"/>
                <w:szCs w:val="20"/>
                <w:lang w:val="es-HN"/>
              </w:rPr>
              <w:t xml:space="preserve">: Los Especialistas Social y Ambiental, monitorearán la aplicación por parte de las OPRs sobre la implementación del </w:t>
            </w:r>
            <w:r w:rsidR="00803454" w:rsidRPr="000E6D86">
              <w:rPr>
                <w:rFonts w:ascii="Arial" w:eastAsia="Times New Roman" w:hAnsi="Arial" w:cs="Arial"/>
                <w:sz w:val="20"/>
                <w:szCs w:val="20"/>
                <w:lang w:val="es-HN"/>
              </w:rPr>
              <w:t>M</w:t>
            </w:r>
            <w:r w:rsidR="00163A7A" w:rsidRPr="000E6D86">
              <w:rPr>
                <w:rFonts w:ascii="Arial" w:eastAsia="Times New Roman" w:hAnsi="Arial" w:cs="Arial"/>
                <w:sz w:val="20"/>
                <w:szCs w:val="20"/>
                <w:lang w:val="es-HN"/>
              </w:rPr>
              <w:t>C</w:t>
            </w:r>
            <w:r w:rsidR="00803454" w:rsidRPr="000E6D86">
              <w:rPr>
                <w:rFonts w:ascii="Arial" w:eastAsia="Times New Roman" w:hAnsi="Arial" w:cs="Arial"/>
                <w:sz w:val="20"/>
                <w:szCs w:val="20"/>
                <w:lang w:val="es-HN"/>
              </w:rPr>
              <w:t>QRS</w:t>
            </w:r>
            <w:r w:rsidR="00C24D0B" w:rsidRPr="000E6D86">
              <w:rPr>
                <w:rFonts w:ascii="Arial" w:eastAsia="Times New Roman" w:hAnsi="Arial" w:cs="Arial"/>
                <w:sz w:val="20"/>
                <w:szCs w:val="20"/>
                <w:lang w:val="es-HN"/>
              </w:rPr>
              <w:t xml:space="preserve"> y del desarrollo de sus propios mecanismos.</w:t>
            </w:r>
          </w:p>
          <w:p w14:paraId="76A97E2A" w14:textId="7F8CDA6E" w:rsidR="00C24D0B" w:rsidRPr="000E6D86" w:rsidRDefault="003A2FDE" w:rsidP="00C24D0B">
            <w:pPr>
              <w:pStyle w:val="TableParagraph"/>
              <w:tabs>
                <w:tab w:val="left" w:pos="318"/>
              </w:tabs>
              <w:ind w:right="97"/>
              <w:jc w:val="both"/>
              <w:rPr>
                <w:rFonts w:ascii="Arial" w:eastAsia="Times New Roman" w:hAnsi="Arial" w:cs="Arial"/>
                <w:sz w:val="20"/>
                <w:szCs w:val="20"/>
                <w:lang w:val="es-HN"/>
              </w:rPr>
            </w:pPr>
            <w:r w:rsidRPr="000E6D86">
              <w:rPr>
                <w:rFonts w:ascii="Arial" w:eastAsia="Times New Roman" w:hAnsi="Arial" w:cs="Arial"/>
                <w:b/>
                <w:sz w:val="20"/>
                <w:szCs w:val="20"/>
                <w:lang w:val="es-HN"/>
              </w:rPr>
              <w:t>Pasó</w:t>
            </w:r>
            <w:r w:rsidR="00C24D0B" w:rsidRPr="000E6D86">
              <w:rPr>
                <w:rFonts w:ascii="Arial" w:eastAsia="Times New Roman" w:hAnsi="Arial" w:cs="Arial"/>
                <w:b/>
                <w:sz w:val="20"/>
                <w:szCs w:val="20"/>
                <w:lang w:val="es-HN"/>
              </w:rPr>
              <w:t xml:space="preserve"> 20</w:t>
            </w:r>
            <w:r w:rsidR="00C24D0B" w:rsidRPr="000E6D86">
              <w:rPr>
                <w:rFonts w:ascii="Arial" w:eastAsia="Times New Roman" w:hAnsi="Arial" w:cs="Arial"/>
                <w:sz w:val="20"/>
                <w:szCs w:val="20"/>
                <w:lang w:val="es-HN"/>
              </w:rPr>
              <w:t>: Los Especialistas Ambiental y Social realizarán visitas periódicas de verificación de cumplimiento de buenas prácticas y brindarán las recomendaciones a OPR y PSDE para cumplir los compromisos y objetivos de los PGAS.</w:t>
            </w:r>
          </w:p>
        </w:tc>
        <w:tc>
          <w:tcPr>
            <w:tcW w:w="2790" w:type="dxa"/>
            <w:vAlign w:val="center"/>
          </w:tcPr>
          <w:p w14:paraId="5F59F67C" w14:textId="77777777" w:rsidR="00C24D0B" w:rsidRPr="000E6D86" w:rsidRDefault="00C24D0B" w:rsidP="00C24D0B">
            <w:pPr>
              <w:rPr>
                <w:rFonts w:cs="Arial"/>
                <w:lang w:val="es-HN"/>
              </w:rPr>
            </w:pPr>
            <w:r w:rsidRPr="000E6D86">
              <w:rPr>
                <w:rFonts w:cs="Arial"/>
                <w:sz w:val="20"/>
                <w:szCs w:val="20"/>
                <w:lang w:val="es-HN"/>
              </w:rPr>
              <w:lastRenderedPageBreak/>
              <w:t xml:space="preserve">Informes de seguimiento semestral. </w:t>
            </w:r>
          </w:p>
        </w:tc>
      </w:tr>
    </w:tbl>
    <w:p w14:paraId="747857C0" w14:textId="77777777" w:rsidR="00C24D0B" w:rsidRPr="00FA4B2D" w:rsidRDefault="00C24D0B" w:rsidP="00C24D0B">
      <w:pPr>
        <w:spacing w:after="0" w:line="240" w:lineRule="auto"/>
        <w:jc w:val="both"/>
        <w:rPr>
          <w:rFonts w:cs="Arial"/>
        </w:rPr>
      </w:pPr>
    </w:p>
    <w:p w14:paraId="761D41AF" w14:textId="77777777" w:rsidR="006A3DBC" w:rsidRPr="00FA4B2D" w:rsidRDefault="006A3DBC" w:rsidP="006A3DBC">
      <w:pPr>
        <w:spacing w:after="0" w:line="240" w:lineRule="auto"/>
        <w:jc w:val="both"/>
        <w:rPr>
          <w:rFonts w:cs="Arial"/>
        </w:rPr>
      </w:pPr>
    </w:p>
    <w:p w14:paraId="5B6DCDB5" w14:textId="77777777" w:rsidR="006A3DBC" w:rsidRDefault="006A3DBC" w:rsidP="006A3DBC">
      <w:pPr>
        <w:spacing w:after="0" w:line="240" w:lineRule="auto"/>
        <w:jc w:val="both"/>
        <w:rPr>
          <w:rFonts w:cs="Arial"/>
        </w:rPr>
      </w:pPr>
    </w:p>
    <w:p w14:paraId="78322028" w14:textId="77777777" w:rsidR="002B7276" w:rsidRPr="00FA4B2D" w:rsidRDefault="002B7276" w:rsidP="006A3DBC">
      <w:pPr>
        <w:spacing w:after="0" w:line="240" w:lineRule="auto"/>
        <w:jc w:val="both"/>
        <w:rPr>
          <w:rFonts w:cs="Arial"/>
        </w:rPr>
      </w:pPr>
    </w:p>
    <w:p w14:paraId="1E7991C4" w14:textId="77777777" w:rsidR="006A3DBC" w:rsidRPr="00FA4B2D" w:rsidRDefault="006A3DBC" w:rsidP="006A3DBC">
      <w:pPr>
        <w:pStyle w:val="Ttulo2"/>
        <w:numPr>
          <w:ilvl w:val="1"/>
          <w:numId w:val="34"/>
        </w:numPr>
        <w:spacing w:before="0" w:line="240" w:lineRule="auto"/>
        <w:jc w:val="both"/>
        <w:rPr>
          <w:rFonts w:ascii="Arial" w:hAnsi="Arial" w:cs="Arial"/>
          <w:b/>
          <w:color w:val="767171" w:themeColor="background2" w:themeShade="80"/>
          <w:sz w:val="22"/>
          <w:szCs w:val="22"/>
        </w:rPr>
      </w:pPr>
      <w:bookmarkStart w:id="1214" w:name="_Toc65884208"/>
      <w:bookmarkStart w:id="1215" w:name="_Toc67573429"/>
      <w:bookmarkStart w:id="1216" w:name="_Toc202456957"/>
      <w:r w:rsidRPr="00FA4B2D">
        <w:rPr>
          <w:rFonts w:ascii="Arial" w:hAnsi="Arial" w:cs="Arial"/>
          <w:b/>
          <w:color w:val="767171" w:themeColor="background2" w:themeShade="80"/>
          <w:sz w:val="22"/>
          <w:szCs w:val="22"/>
        </w:rPr>
        <w:lastRenderedPageBreak/>
        <w:t>Protección del Patrimonio Cultural</w:t>
      </w:r>
      <w:bookmarkEnd w:id="1214"/>
      <w:bookmarkEnd w:id="1215"/>
      <w:bookmarkEnd w:id="1216"/>
    </w:p>
    <w:p w14:paraId="38D9CD17" w14:textId="77777777" w:rsidR="006A3DBC" w:rsidRPr="00FA4B2D" w:rsidRDefault="006A3DBC" w:rsidP="006A3DBC">
      <w:pPr>
        <w:spacing w:after="0" w:line="240" w:lineRule="auto"/>
        <w:jc w:val="both"/>
        <w:rPr>
          <w:rFonts w:cs="Arial"/>
        </w:rPr>
      </w:pPr>
    </w:p>
    <w:p w14:paraId="169DD0BC" w14:textId="77777777" w:rsidR="006A3DBC" w:rsidRPr="00FA4B2D" w:rsidRDefault="006A3DBC" w:rsidP="006A3DBC">
      <w:pPr>
        <w:spacing w:after="0" w:line="240" w:lineRule="auto"/>
        <w:jc w:val="both"/>
        <w:rPr>
          <w:rFonts w:cs="Arial"/>
          <w:bCs/>
          <w:u w:val="single"/>
          <w:lang w:val="es-PE"/>
        </w:rPr>
      </w:pPr>
      <w:r w:rsidRPr="00FA4B2D">
        <w:rPr>
          <w:rFonts w:cs="Arial"/>
          <w:bCs/>
          <w:u w:val="single"/>
          <w:lang w:val="es-PE"/>
        </w:rPr>
        <w:t>Procedimientos en la Etapa de Evaluación</w:t>
      </w:r>
    </w:p>
    <w:p w14:paraId="3F5D8CEC" w14:textId="77777777" w:rsidR="006A3DBC" w:rsidRPr="00FA4B2D" w:rsidRDefault="006A3DBC" w:rsidP="006A3DBC">
      <w:pPr>
        <w:numPr>
          <w:ilvl w:val="0"/>
          <w:numId w:val="35"/>
        </w:numPr>
        <w:spacing w:before="120" w:after="120" w:line="240" w:lineRule="auto"/>
        <w:jc w:val="both"/>
        <w:rPr>
          <w:rFonts w:cs="Arial"/>
          <w:lang w:val="es-PE"/>
        </w:rPr>
      </w:pPr>
      <w:r w:rsidRPr="00FA4B2D">
        <w:rPr>
          <w:rFonts w:cs="Arial"/>
          <w:lang w:val="es-PE"/>
        </w:rPr>
        <w:t>Antes de proceder con un PdN que implique riesgo o directamente daño al patrimonio cultural, por ejemplo, por un plan de desarrollo turístico relacionado con objetos de valor cultural conocidos, la SAG debe consultar el IHAH.</w:t>
      </w:r>
    </w:p>
    <w:p w14:paraId="02F3FE4C" w14:textId="59A4A997" w:rsidR="006A3DBC" w:rsidRPr="00FA4B2D" w:rsidRDefault="006A3DBC" w:rsidP="006A3DBC">
      <w:pPr>
        <w:numPr>
          <w:ilvl w:val="0"/>
          <w:numId w:val="35"/>
        </w:numPr>
        <w:spacing w:before="120" w:after="120" w:line="240" w:lineRule="auto"/>
        <w:jc w:val="both"/>
        <w:rPr>
          <w:rFonts w:cs="Arial"/>
          <w:lang w:val="es-PE"/>
        </w:rPr>
      </w:pPr>
      <w:r w:rsidRPr="00FA4B2D">
        <w:rPr>
          <w:rFonts w:cs="Arial"/>
          <w:lang w:val="es-PE"/>
        </w:rPr>
        <w:t xml:space="preserve">Asimismo, si un PdN implica excavaciones, movimiento de la tierra o cambios ambientales superficiales o demolición a mayor escala, la SAG debe determinar el conocimiento sobre los aspectos culturales del sitio propuesto de conformidad a los protocolos de Ley, habiendo de parte del Proyecto sujeción a dicho marco legal. El IHAH debe ser consultado, y si hay cualquier duda sobre el patrimonio cultural de un área, se debe aplicar una breve encuesta de reconocimiento de campo ejecutada por un especialista. Si dicha encuesta revela existencia de patrimonio cultural que pueda resultar dañado por el PdN, se debe obtener un informe y autorización de liberación del IHAH como una condición de aprobación y ejecución </w:t>
      </w:r>
      <w:proofErr w:type="gramStart"/>
      <w:r w:rsidRPr="00FA4B2D">
        <w:rPr>
          <w:rFonts w:cs="Arial"/>
          <w:lang w:val="es-PE"/>
        </w:rPr>
        <w:t>del mismo</w:t>
      </w:r>
      <w:proofErr w:type="gramEnd"/>
      <w:r w:rsidRPr="00FA4B2D">
        <w:rPr>
          <w:rFonts w:cs="Arial"/>
          <w:lang w:val="es-PE"/>
        </w:rPr>
        <w:t xml:space="preserve">. </w:t>
      </w:r>
    </w:p>
    <w:p w14:paraId="656F64CD" w14:textId="1D0AFAF9" w:rsidR="006A3DBC" w:rsidRPr="00FA4B2D" w:rsidRDefault="006A3DBC" w:rsidP="006A3DBC">
      <w:pPr>
        <w:numPr>
          <w:ilvl w:val="0"/>
          <w:numId w:val="35"/>
        </w:numPr>
        <w:spacing w:before="120" w:after="120" w:line="240" w:lineRule="auto"/>
        <w:jc w:val="both"/>
        <w:rPr>
          <w:rFonts w:cs="Arial"/>
          <w:lang w:val="es-PE"/>
        </w:rPr>
      </w:pPr>
      <w:r w:rsidRPr="00FA4B2D">
        <w:rPr>
          <w:rFonts w:cs="Arial"/>
          <w:lang w:val="es-PE"/>
        </w:rPr>
        <w:t>Como parte del proceso de evaluación de los PdNs de la OPR, COMRURAL establecerá que, si alguna propuesta presentada implique impactos sobre algún sitio cultural, esta propuesta no sería elegible para ser financiada por el programa a menos que cuente con el respaldo del IHAH y las medidas de gestión propuestas sean consistentes con el EAS 8 del BM. Este punto también se incluye en el MOP.</w:t>
      </w:r>
    </w:p>
    <w:p w14:paraId="7D7AF958" w14:textId="77777777" w:rsidR="006A3DBC" w:rsidRPr="00FA4B2D" w:rsidRDefault="006A3DBC" w:rsidP="006A3DBC">
      <w:pPr>
        <w:numPr>
          <w:ilvl w:val="0"/>
          <w:numId w:val="35"/>
        </w:numPr>
        <w:spacing w:before="120" w:after="120" w:line="240" w:lineRule="auto"/>
        <w:jc w:val="both"/>
        <w:rPr>
          <w:rFonts w:cs="Arial"/>
          <w:lang w:val="es-PE"/>
        </w:rPr>
      </w:pPr>
      <w:r w:rsidRPr="00FA4B2D">
        <w:rPr>
          <w:rFonts w:cs="Arial"/>
          <w:lang w:val="es-PE"/>
        </w:rPr>
        <w:t>Para facilitar el reconocimiento de posibles restos o sitios de interés cultural, la capacitación a las OPRs a cargo de la entidad prestadora de servicios incluirá el tema de la identificación de sitios de interés cultural.</w:t>
      </w:r>
    </w:p>
    <w:p w14:paraId="71BC92E3" w14:textId="77777777" w:rsidR="006A3DBC" w:rsidRPr="00FA4B2D" w:rsidRDefault="006A3DBC" w:rsidP="006A3DBC">
      <w:pPr>
        <w:numPr>
          <w:ilvl w:val="0"/>
          <w:numId w:val="35"/>
        </w:numPr>
        <w:spacing w:before="120" w:after="120" w:line="240" w:lineRule="auto"/>
        <w:jc w:val="both"/>
        <w:rPr>
          <w:rFonts w:cs="Arial"/>
          <w:lang w:val="es-PE"/>
        </w:rPr>
      </w:pPr>
      <w:r w:rsidRPr="00FA4B2D">
        <w:rPr>
          <w:rFonts w:cs="Arial"/>
          <w:lang w:val="es-PE"/>
        </w:rPr>
        <w:t>Los elementos clave del procedimiento de hallazgos culturales fortuitos que se detallan a continuación serán incluidos en los PGAS de las OPRs.</w:t>
      </w:r>
    </w:p>
    <w:p w14:paraId="6A5BFA49" w14:textId="77777777" w:rsidR="006A3DBC" w:rsidRPr="00FA4B2D" w:rsidRDefault="006A3DBC" w:rsidP="006A3DBC">
      <w:pPr>
        <w:spacing w:after="0" w:line="240" w:lineRule="auto"/>
        <w:jc w:val="both"/>
        <w:rPr>
          <w:rFonts w:cs="Arial"/>
          <w:b/>
          <w:lang w:val="es-PE"/>
        </w:rPr>
      </w:pPr>
    </w:p>
    <w:p w14:paraId="659DAB0B" w14:textId="77777777" w:rsidR="006A3DBC" w:rsidRPr="00FA4B2D" w:rsidRDefault="006A3DBC" w:rsidP="006A3DBC">
      <w:pPr>
        <w:spacing w:after="0" w:line="240" w:lineRule="auto"/>
        <w:jc w:val="both"/>
        <w:rPr>
          <w:rFonts w:cs="Arial"/>
          <w:bCs/>
          <w:u w:val="single"/>
          <w:lang w:val="es-PE"/>
        </w:rPr>
      </w:pPr>
      <w:r w:rsidRPr="00FA4B2D">
        <w:rPr>
          <w:rFonts w:cs="Arial"/>
          <w:bCs/>
          <w:u w:val="single"/>
          <w:lang w:val="es-PE"/>
        </w:rPr>
        <w:t>Procedimiento para Hallazgos Culturales Fortuitos:</w:t>
      </w:r>
    </w:p>
    <w:p w14:paraId="6CB7ADBE" w14:textId="77777777" w:rsidR="006A3DBC" w:rsidRPr="00FA4B2D" w:rsidRDefault="006A3DBC" w:rsidP="006A3DBC">
      <w:pPr>
        <w:spacing w:after="0" w:line="240" w:lineRule="auto"/>
        <w:jc w:val="both"/>
        <w:rPr>
          <w:rFonts w:cs="Arial"/>
          <w:bCs/>
          <w:u w:val="single"/>
          <w:lang w:val="es-PE"/>
        </w:rPr>
      </w:pPr>
    </w:p>
    <w:p w14:paraId="5D914FAD" w14:textId="77777777" w:rsidR="006A3DBC" w:rsidRPr="00FA4B2D" w:rsidRDefault="006A3DBC" w:rsidP="006A3DBC">
      <w:pPr>
        <w:spacing w:after="0" w:line="240" w:lineRule="auto"/>
        <w:jc w:val="both"/>
        <w:rPr>
          <w:rFonts w:cs="Arial"/>
          <w:lang w:val="es-PE"/>
        </w:rPr>
      </w:pPr>
      <w:r w:rsidRPr="00FA4B2D">
        <w:rPr>
          <w:rFonts w:cs="Arial"/>
          <w:lang w:val="es-PE"/>
        </w:rPr>
        <w:t>El objetivo de los procedimientos para hallazgos culturales fortuitos es proteger el patrimonio cultural físico de los impactos adversos de las actividades del proyecto y respaldar su preservación, abordando el patrimonio cultural como un aspecto integral del desarrollo sostenible.</w:t>
      </w:r>
    </w:p>
    <w:p w14:paraId="2AAA9137" w14:textId="77777777" w:rsidR="006A3DBC" w:rsidRPr="00FA4B2D" w:rsidRDefault="006A3DBC" w:rsidP="006A3DBC">
      <w:pPr>
        <w:spacing w:after="0" w:line="240" w:lineRule="auto"/>
        <w:jc w:val="both"/>
        <w:rPr>
          <w:rFonts w:cs="Arial"/>
          <w:lang w:val="es-PE"/>
        </w:rPr>
      </w:pPr>
    </w:p>
    <w:p w14:paraId="6C91BE00" w14:textId="77777777" w:rsidR="006A3DBC" w:rsidRPr="00FA4B2D" w:rsidRDefault="006A3DBC" w:rsidP="006A3DBC">
      <w:pPr>
        <w:pStyle w:val="Prrafodelista"/>
        <w:numPr>
          <w:ilvl w:val="0"/>
          <w:numId w:val="35"/>
        </w:numPr>
        <w:spacing w:after="0" w:line="240" w:lineRule="auto"/>
        <w:jc w:val="both"/>
        <w:rPr>
          <w:rFonts w:cs="Arial"/>
          <w:lang w:val="es-PE"/>
        </w:rPr>
      </w:pPr>
      <w:r w:rsidRPr="00FA4B2D">
        <w:rPr>
          <w:rFonts w:cs="Arial"/>
          <w:lang w:val="es-PE"/>
        </w:rPr>
        <w:t xml:space="preserve">Los PdNs incorporaran procedimientos para hallazgos fortuitos. Si durante la ejecución de un PdN se fuera a realizar un descubrimiento fortuito de patrimonio cultural, se debe detener la ejecución e informarle </w:t>
      </w:r>
      <w:r w:rsidRPr="00FA4B2D">
        <w:rPr>
          <w:rFonts w:cs="Arial"/>
          <w:lang w:val="es-PE"/>
        </w:rPr>
        <w:lastRenderedPageBreak/>
        <w:t>inmediatamente al Especialista Ambiental y Social del COMRURAL sobre el hallazgo.</w:t>
      </w:r>
    </w:p>
    <w:p w14:paraId="2E32E9BB" w14:textId="77777777" w:rsidR="006A3DBC" w:rsidRPr="00FA4B2D" w:rsidRDefault="006A3DBC" w:rsidP="006A3DBC">
      <w:pPr>
        <w:pStyle w:val="Prrafodelista"/>
        <w:numPr>
          <w:ilvl w:val="0"/>
          <w:numId w:val="35"/>
        </w:numPr>
        <w:spacing w:after="0" w:line="240" w:lineRule="auto"/>
        <w:jc w:val="both"/>
        <w:rPr>
          <w:rFonts w:cs="Arial"/>
          <w:lang w:val="es-PE"/>
        </w:rPr>
      </w:pPr>
      <w:r w:rsidRPr="00FA4B2D">
        <w:rPr>
          <w:rFonts w:cs="Arial"/>
          <w:lang w:val="es-PE"/>
        </w:rPr>
        <w:t>El Especialista informará de forma inmediata al IHAH sobre el hallazgo para recibir instrucciones sobre cómo proceder para asegurar un debido trato del descubrimiento.</w:t>
      </w:r>
    </w:p>
    <w:p w14:paraId="723D7BC7" w14:textId="77777777" w:rsidR="006A3DBC" w:rsidRPr="00FA4B2D" w:rsidRDefault="006A3DBC" w:rsidP="006A3DBC">
      <w:pPr>
        <w:pStyle w:val="Prrafodelista"/>
        <w:numPr>
          <w:ilvl w:val="0"/>
          <w:numId w:val="35"/>
        </w:numPr>
        <w:spacing w:after="0" w:line="240" w:lineRule="auto"/>
        <w:jc w:val="both"/>
        <w:rPr>
          <w:rFonts w:cs="Arial"/>
          <w:lang w:val="es-PE"/>
        </w:rPr>
      </w:pPr>
      <w:r w:rsidRPr="00FA4B2D">
        <w:rPr>
          <w:rFonts w:cs="Arial"/>
          <w:lang w:val="es-PE"/>
        </w:rPr>
        <w:t>Mientras duren las coordinaciones con el IHAH, y según sea el caso, las inversiones del PdN se suspenderán en espera de la resolución del IHAH, protegiendo el patrimonio cultural identificado de posibles saqueos y daños que podría crear la naturaleza, entre otras amenazas.</w:t>
      </w:r>
    </w:p>
    <w:p w14:paraId="3BC2811F" w14:textId="77777777" w:rsidR="006A3DBC" w:rsidRPr="00FA4B2D" w:rsidRDefault="006A3DBC" w:rsidP="006A3DBC">
      <w:pPr>
        <w:pStyle w:val="Prrafodelista"/>
        <w:numPr>
          <w:ilvl w:val="0"/>
          <w:numId w:val="35"/>
        </w:numPr>
        <w:spacing w:after="0" w:line="240" w:lineRule="auto"/>
        <w:jc w:val="both"/>
        <w:rPr>
          <w:rFonts w:cs="Arial"/>
          <w:lang w:val="es-PE"/>
        </w:rPr>
      </w:pPr>
      <w:r w:rsidRPr="00FA4B2D">
        <w:rPr>
          <w:rFonts w:cs="Arial"/>
          <w:lang w:val="es-PE"/>
        </w:rPr>
        <w:t>Una vez formulada la denuncia al IHAH, esta entidad definirá las medidas de gestión específica aplicable, según lo dispuesto en la ley y sus procedimientos internos. De la resolución del IHAH dependerá, por ejemplo, una reubicación de la intervención, manejo integrado del sitio que puede ser aprovechado por la OPR, o la posible expropiación por parte del estado de Honduras para fines de protección del patrimonio.</w:t>
      </w:r>
    </w:p>
    <w:p w14:paraId="2FE0579B" w14:textId="77777777" w:rsidR="006A3DBC" w:rsidRPr="00FA4B2D" w:rsidRDefault="006A3DBC" w:rsidP="006A3DBC">
      <w:pPr>
        <w:pStyle w:val="Prrafodelista"/>
        <w:numPr>
          <w:ilvl w:val="0"/>
          <w:numId w:val="35"/>
        </w:numPr>
        <w:spacing w:after="0" w:line="240" w:lineRule="auto"/>
        <w:jc w:val="both"/>
        <w:rPr>
          <w:rFonts w:cs="Arial"/>
          <w:lang w:val="es-PE"/>
        </w:rPr>
      </w:pPr>
      <w:r w:rsidRPr="00FA4B2D">
        <w:rPr>
          <w:rFonts w:cs="Arial"/>
          <w:lang w:val="es-PE"/>
        </w:rPr>
        <w:t>Por cuestiones de competencias legalmente atribuidas al IHAH, en casos de hallazgos fortuitos será de acompañamiento a la OPRs en sus gestiones ante el IHAH, y el acompañamiento y seguimiento a dichos casos para que las medidas de gestión recomendadas por el IHAH sean plenamente aplicadas.</w:t>
      </w:r>
    </w:p>
    <w:p w14:paraId="4C8DAAE0" w14:textId="77777777" w:rsidR="006A3DBC" w:rsidRPr="00FA4B2D" w:rsidRDefault="006A3DBC" w:rsidP="006A3DBC">
      <w:pPr>
        <w:pStyle w:val="Prrafodelista"/>
        <w:numPr>
          <w:ilvl w:val="0"/>
          <w:numId w:val="35"/>
        </w:numPr>
        <w:spacing w:after="0" w:line="240" w:lineRule="auto"/>
        <w:jc w:val="both"/>
        <w:rPr>
          <w:rFonts w:cs="Arial"/>
          <w:lang w:val="es-PE"/>
        </w:rPr>
      </w:pPr>
      <w:r w:rsidRPr="00FA4B2D">
        <w:rPr>
          <w:rFonts w:cs="Arial"/>
          <w:lang w:val="es-PE"/>
        </w:rPr>
        <w:t>En el caso que se presente hallazgos fortuitos, COMURAL comunicara dicha situación al BM, el cual podría requerir medidas de gestión adicionales a las establecidas por las leyes e instituciones nacionales, para salvaguardar el patrimonio cultural del país. Elementos adicionales que podrían considerarse incluyen promover una consulta significativa a las partes involucradas en relación con el patrimonio cultural, y acciones para promover la distribución equitativa de los beneficios que el uso del patrimonio cultural pudiera representar, de manera consistente con la legislación nacional.</w:t>
      </w:r>
    </w:p>
    <w:p w14:paraId="71E13DD8" w14:textId="77777777" w:rsidR="006A3DBC" w:rsidRPr="00FA4B2D" w:rsidRDefault="006A3DBC" w:rsidP="006A3DBC">
      <w:pPr>
        <w:pStyle w:val="Prrafodelista"/>
        <w:spacing w:after="0" w:line="240" w:lineRule="auto"/>
        <w:ind w:left="1425"/>
        <w:jc w:val="both"/>
        <w:rPr>
          <w:rFonts w:cs="Arial"/>
          <w:lang w:val="es-PE"/>
        </w:rPr>
      </w:pPr>
    </w:p>
    <w:p w14:paraId="6E1B7BC8" w14:textId="67807C08" w:rsidR="006A3DBC" w:rsidRPr="00FA4B2D" w:rsidRDefault="006A3DBC" w:rsidP="006A3DBC">
      <w:pPr>
        <w:pStyle w:val="Ttulo2"/>
        <w:numPr>
          <w:ilvl w:val="1"/>
          <w:numId w:val="34"/>
        </w:numPr>
        <w:spacing w:before="0" w:line="240" w:lineRule="auto"/>
        <w:jc w:val="both"/>
        <w:rPr>
          <w:rFonts w:ascii="Arial" w:hAnsi="Arial" w:cs="Arial"/>
          <w:b/>
          <w:color w:val="767171" w:themeColor="background2" w:themeShade="80"/>
          <w:sz w:val="22"/>
          <w:szCs w:val="22"/>
        </w:rPr>
      </w:pPr>
      <w:bookmarkStart w:id="1217" w:name="_Toc67573430"/>
      <w:bookmarkStart w:id="1218" w:name="_Toc202456958"/>
      <w:bookmarkStart w:id="1219" w:name="_Toc65884209"/>
      <w:r w:rsidRPr="00FA4B2D">
        <w:rPr>
          <w:rFonts w:ascii="Arial" w:hAnsi="Arial" w:cs="Arial"/>
          <w:b/>
          <w:color w:val="767171" w:themeColor="background2" w:themeShade="80"/>
          <w:sz w:val="22"/>
          <w:szCs w:val="22"/>
        </w:rPr>
        <w:t>Estrategia de Género</w:t>
      </w:r>
      <w:bookmarkEnd w:id="1217"/>
      <w:bookmarkEnd w:id="1218"/>
      <w:r w:rsidRPr="00FA4B2D">
        <w:rPr>
          <w:rFonts w:ascii="Arial" w:hAnsi="Arial" w:cs="Arial"/>
          <w:b/>
          <w:color w:val="767171" w:themeColor="background2" w:themeShade="80"/>
          <w:sz w:val="22"/>
          <w:szCs w:val="22"/>
        </w:rPr>
        <w:t xml:space="preserve"> </w:t>
      </w:r>
      <w:bookmarkEnd w:id="1219"/>
    </w:p>
    <w:p w14:paraId="2F68A2B1" w14:textId="77777777" w:rsidR="006A3DBC" w:rsidRPr="00FA4B2D" w:rsidRDefault="006A3DBC" w:rsidP="006A3DBC">
      <w:pPr>
        <w:jc w:val="both"/>
        <w:rPr>
          <w:rFonts w:cs="Arial"/>
        </w:rPr>
      </w:pPr>
      <w:r w:rsidRPr="00FA4B2D">
        <w:rPr>
          <w:rFonts w:cs="Arial"/>
        </w:rPr>
        <w:t>Como parte de la gestión socioambiental, el Proyecto COMRURAL III implementará una estrategia de género, con el apoyo de sus especialistas sociales y ambientales, basada en el análisis de las experiencias aprendidas en la primera fase del Proyecto, y como parte de la ejecución de dicha estrategia se desarrollará e implementará un Plan de Acción de Género el cual será incluido en los PGAS, para asegurarse que las mujeres reciban los beneficios en igualdad de condiciones que los hombres, para ir reduciendo la brecha de género. Algunos lineamientos para considerarse en la estrategia y plan de acción de género incluyen:</w:t>
      </w:r>
    </w:p>
    <w:p w14:paraId="5C361DAA" w14:textId="77777777" w:rsidR="006A3DBC" w:rsidRPr="00FA4B2D" w:rsidRDefault="006A3DBC" w:rsidP="006A3DBC">
      <w:pPr>
        <w:pStyle w:val="Prrafodelista"/>
        <w:numPr>
          <w:ilvl w:val="0"/>
          <w:numId w:val="12"/>
        </w:numPr>
        <w:ind w:left="709" w:hanging="283"/>
        <w:jc w:val="both"/>
        <w:rPr>
          <w:rFonts w:cs="Arial"/>
        </w:rPr>
      </w:pPr>
      <w:r w:rsidRPr="00FA4B2D">
        <w:rPr>
          <w:rFonts w:cs="Arial"/>
        </w:rPr>
        <w:t xml:space="preserve">Enfoque diferenciado por género: diferentes enfoques han orientado los esfuerzos de incorporación de las mujeres al desarrollo, en los últimos años. En Honduras, al igual que en la mayoría de los países, ha sido promovido el enfoque denominado Género y Desarrollo, que parte por reconocer como principal obstáculo para el avance de las mujeres la persistencia de relaciones </w:t>
      </w:r>
      <w:r w:rsidRPr="00FA4B2D">
        <w:rPr>
          <w:rFonts w:cs="Arial"/>
        </w:rPr>
        <w:lastRenderedPageBreak/>
        <w:t>de poder históricamente desiguales entre hombres y mujeres, como resultado de patrones culturales.</w:t>
      </w:r>
    </w:p>
    <w:p w14:paraId="231CF9E5" w14:textId="77777777" w:rsidR="006A3DBC" w:rsidRPr="00FA4B2D" w:rsidRDefault="006A3DBC" w:rsidP="006A3DBC">
      <w:pPr>
        <w:pStyle w:val="Prrafodelista"/>
        <w:numPr>
          <w:ilvl w:val="0"/>
          <w:numId w:val="12"/>
        </w:numPr>
        <w:ind w:left="709" w:hanging="283"/>
        <w:jc w:val="both"/>
        <w:rPr>
          <w:rFonts w:cs="Arial"/>
        </w:rPr>
      </w:pPr>
      <w:r w:rsidRPr="00FA4B2D">
        <w:rPr>
          <w:rFonts w:cs="Arial"/>
        </w:rPr>
        <w:t>Análisis de causas: Identificada la causa, el enfoque plantea que es preciso analizar sus manifestaciones, es decir las inequidades, a fin de cerrar esas brechas en todas las áreas. Como se trata de un proceso de largo plazo, desarrollado no de manera lineal o solo en espiral, presenta avances, retrocesos y estancamientos.</w:t>
      </w:r>
    </w:p>
    <w:p w14:paraId="29AB98B0" w14:textId="77777777" w:rsidR="006A3DBC" w:rsidRPr="00FA4B2D" w:rsidRDefault="006A3DBC" w:rsidP="006A3DBC">
      <w:pPr>
        <w:pStyle w:val="Prrafodelista"/>
        <w:numPr>
          <w:ilvl w:val="0"/>
          <w:numId w:val="12"/>
        </w:numPr>
        <w:ind w:left="709" w:hanging="283"/>
        <w:jc w:val="both"/>
        <w:rPr>
          <w:rFonts w:cs="Arial"/>
        </w:rPr>
      </w:pPr>
      <w:r w:rsidRPr="00FA4B2D">
        <w:rPr>
          <w:rFonts w:cs="Arial"/>
        </w:rPr>
        <w:t>Visión de equidad: La inclusión de los intereses de la mujer como base fundamental del desarrollo rural, representa un gran salto histórico para el país, reconociendo que es un proceso de largo alcance, está sirviendo de referente para buscar la democratización de las relaciones sociales en el campo, la participación ciudadana, lograr la equidad en el acceso a recursos, servicios, beneficios; intentando recuperar años de discriminación y alcanzar niveles de equidad en el ejercicio del poder. Hoy día, no es posible ni tolerable formular alternativas al desarrollo rural, sin que se otorgue a la mujer el papel que le corresponde como actora; en igualdad de derechos, condiciones y oportunidades, sin maltratos por hacer valer sus capacidades.</w:t>
      </w:r>
    </w:p>
    <w:p w14:paraId="370D7141" w14:textId="77777777" w:rsidR="006A3DBC" w:rsidRPr="00FA4B2D" w:rsidRDefault="006A3DBC" w:rsidP="006A3DBC">
      <w:pPr>
        <w:pStyle w:val="Prrafodelista"/>
        <w:numPr>
          <w:ilvl w:val="0"/>
          <w:numId w:val="12"/>
        </w:numPr>
        <w:ind w:left="709" w:hanging="283"/>
        <w:jc w:val="both"/>
        <w:rPr>
          <w:rFonts w:cs="Arial"/>
        </w:rPr>
      </w:pPr>
      <w:r w:rsidRPr="00FA4B2D">
        <w:rPr>
          <w:rFonts w:cs="Arial"/>
        </w:rPr>
        <w:t>Aplicación práctica: En el ámbito específico de los subproyectos a ser financiados por COMRURAL III, los PGAS a ser preparados por las organizaciones de productores deberán incluir una sección conteniendo un plan de acción de género, el cual identifique y defina las acciones específicas a implementarse en el contexto de cada subproyecto, en base a los lineamientos del presente MGAS y la legislación nacional pertinente sobre el tema de género. La presencia y participación de mujeres en el Proyecto será monitoreada por COMRURAL, y se reportará acerca de las acciones y estado de la presencia de mujeres en las actividades del proyecto en los reportes semestrales al BM.</w:t>
      </w:r>
    </w:p>
    <w:p w14:paraId="19BE91DF" w14:textId="77777777" w:rsidR="006A3DBC" w:rsidRPr="00FA4B2D" w:rsidRDefault="006A3DBC" w:rsidP="006A3DBC">
      <w:pPr>
        <w:pStyle w:val="Prrafodelista"/>
        <w:numPr>
          <w:ilvl w:val="0"/>
          <w:numId w:val="12"/>
        </w:numPr>
        <w:ind w:left="709" w:hanging="283"/>
        <w:jc w:val="both"/>
        <w:rPr>
          <w:rFonts w:cs="Arial"/>
        </w:rPr>
      </w:pPr>
      <w:r w:rsidRPr="00FA4B2D">
        <w:rPr>
          <w:rFonts w:cs="Arial"/>
        </w:rPr>
        <w:t>Monitoreo y uso de indicadores: La estrategia y el plan de acción de género incluirán indicadores de seguimiento y desempeño, los cuales permitan definir una línea base y servir de insumo para la sistematización de lecciones aprendidas en base a experiencias exitosas y los desafíos. La Estrategia de género permitirá profundizar en el análisis diferenciado por pueblo indígena y afrodescendientes, y el desarrollo de acciones adaptadas al contexto y su área geográfica.</w:t>
      </w:r>
    </w:p>
    <w:p w14:paraId="3EEEE7E3" w14:textId="77777777" w:rsidR="006A3DBC" w:rsidRPr="00FA4B2D" w:rsidRDefault="006A3DBC" w:rsidP="006A3DBC">
      <w:pPr>
        <w:spacing w:after="0" w:line="240" w:lineRule="auto"/>
        <w:jc w:val="both"/>
        <w:rPr>
          <w:rFonts w:eastAsia="Times New Roman" w:cs="Arial"/>
        </w:rPr>
      </w:pPr>
      <w:r w:rsidRPr="00FA4B2D">
        <w:rPr>
          <w:rFonts w:eastAsia="Times New Roman" w:cs="Arial"/>
        </w:rPr>
        <w:t xml:space="preserve">Los planes de acción de género incluirán, como mínimo, los siguientes elementos: (i) los roles diferenciados de hombres y mujeres en cada grupo en base a las cadenas de valor principales dentro de la cual participaran; (ii) los factores de producción y otros insumos que las mujeres dependen; (iii) la producción clave, mercado, comercialización, finanzas y otros obstáculos que enfrentan las mujeres; (iv) la dinámica social y familiar, incluyendo la carga de trabajo doméstico y abuso doméstico que influyen en la capacidad de las mujeres a participar en las actividades productivas; (v) las necesidades específicas de las mujeres en cuanto a formación, programas de apoyo, redes sociales y el acceso a financiamiento; y (vi) indicadores </w:t>
      </w:r>
      <w:r w:rsidRPr="00FA4B2D">
        <w:rPr>
          <w:rFonts w:eastAsia="Times New Roman" w:cs="Arial"/>
        </w:rPr>
        <w:lastRenderedPageBreak/>
        <w:t>de seguimiento diferenciados por género y sobre la participación de las mujeres en los subproyectos.</w:t>
      </w:r>
    </w:p>
    <w:p w14:paraId="6E42BB11" w14:textId="77777777" w:rsidR="006A3DBC" w:rsidRPr="00FA4B2D" w:rsidRDefault="006A3DBC" w:rsidP="006A3DBC">
      <w:pPr>
        <w:spacing w:after="0" w:line="240" w:lineRule="auto"/>
        <w:jc w:val="both"/>
        <w:rPr>
          <w:rFonts w:cs="Arial"/>
        </w:rPr>
      </w:pPr>
    </w:p>
    <w:p w14:paraId="110F5F95" w14:textId="77777777" w:rsidR="006A3DBC" w:rsidRPr="00FA4B2D" w:rsidRDefault="006A3DBC" w:rsidP="006A3DBC">
      <w:pPr>
        <w:spacing w:after="0" w:line="240" w:lineRule="auto"/>
        <w:jc w:val="both"/>
        <w:rPr>
          <w:rFonts w:cs="Arial"/>
          <w:lang w:val="es-ES"/>
        </w:rPr>
      </w:pPr>
      <w:r w:rsidRPr="00FA4B2D">
        <w:rPr>
          <w:rFonts w:cs="Arial"/>
          <w:lang w:val="es-ES"/>
        </w:rPr>
        <w:t>Los productos culturales cadena muy vinculada a las características de pueblos indígenas y en respuesta a las demandas de inclusión social, constituyen la primera opción de participación de las mujeres y jóvenes, un punto a ser tomado en cuenta frente a los retos de implementación del COMRURAL en su Fase III.</w:t>
      </w:r>
    </w:p>
    <w:p w14:paraId="15D299E5" w14:textId="77777777" w:rsidR="006A3DBC" w:rsidRPr="00FA4B2D" w:rsidRDefault="006A3DBC" w:rsidP="006A3DBC">
      <w:pPr>
        <w:spacing w:after="0" w:line="240" w:lineRule="auto"/>
        <w:jc w:val="both"/>
        <w:rPr>
          <w:rFonts w:cs="Arial"/>
          <w:lang w:val="es-ES"/>
        </w:rPr>
      </w:pPr>
    </w:p>
    <w:p w14:paraId="4B669399" w14:textId="77777777" w:rsidR="006A3DBC" w:rsidRPr="00FA4B2D" w:rsidRDefault="006A3DBC" w:rsidP="006A3DBC">
      <w:pPr>
        <w:spacing w:after="0" w:line="240" w:lineRule="auto"/>
        <w:jc w:val="both"/>
        <w:rPr>
          <w:rFonts w:cs="Arial"/>
          <w:lang w:val="es-ES"/>
        </w:rPr>
      </w:pPr>
      <w:r w:rsidRPr="00FA4B2D">
        <w:rPr>
          <w:rFonts w:cs="Arial"/>
          <w:lang w:val="es-ES"/>
        </w:rPr>
        <w:t>Respecto a la participación social general de los socios en los procesos de implementación de los PdNs, los datos recabados indican mayor relevancia en las actividades productivas y membresía, es una situación comprensible por la dinámica y orientación de las acciones programadas, cuya tendencia se inclina por las inversiones en insumos e infraestructura productiva. Es importante destacar que se registran datos satisfactorios en cuanto a la participación en eventos de capacitación y acceso a la información mediante las asambleas y reuniones periódicas practicadas por las OPRs.</w:t>
      </w:r>
    </w:p>
    <w:p w14:paraId="39393145" w14:textId="77777777" w:rsidR="006A3DBC" w:rsidRPr="00FA4B2D" w:rsidRDefault="006A3DBC" w:rsidP="006A3DBC">
      <w:pPr>
        <w:spacing w:after="0" w:line="240" w:lineRule="auto"/>
        <w:jc w:val="both"/>
        <w:rPr>
          <w:rFonts w:cs="Arial"/>
          <w:lang w:val="es-ES"/>
        </w:rPr>
      </w:pPr>
    </w:p>
    <w:p w14:paraId="6223F1FD" w14:textId="77777777" w:rsidR="006A3DBC" w:rsidRPr="00FA4B2D" w:rsidRDefault="006A3DBC" w:rsidP="006A3DBC">
      <w:pPr>
        <w:spacing w:after="0" w:line="240" w:lineRule="auto"/>
        <w:jc w:val="both"/>
        <w:rPr>
          <w:rFonts w:cs="Arial"/>
          <w:lang w:val="es-ES"/>
        </w:rPr>
      </w:pPr>
      <w:r w:rsidRPr="00FA4B2D">
        <w:rPr>
          <w:rFonts w:cs="Arial"/>
          <w:lang w:val="es-ES"/>
        </w:rPr>
        <w:t xml:space="preserve">Pese a las particularidades de avance registradas, como todo proceso social requiere de ajustes y mejoras considerando las lecciones aprendidas y los avances de contexto institucional de abordaje de los temas de participación social, en la medida el abanico de oportunidades de participación sea ampliado de igual forma existirá potencial de mejores resultados y alcances en la equidad e igualdad de género e inclusión de grupos de especial interés. </w:t>
      </w:r>
    </w:p>
    <w:p w14:paraId="18077385" w14:textId="77777777" w:rsidR="006A3DBC" w:rsidRPr="00FA4B2D" w:rsidRDefault="006A3DBC" w:rsidP="006A3DBC">
      <w:pPr>
        <w:spacing w:after="0" w:line="240" w:lineRule="auto"/>
        <w:jc w:val="both"/>
        <w:rPr>
          <w:rFonts w:cs="Arial"/>
          <w:lang w:val="es-ES"/>
        </w:rPr>
      </w:pPr>
    </w:p>
    <w:p w14:paraId="70E76B69" w14:textId="77777777" w:rsidR="006A3DBC" w:rsidRPr="00FA4B2D" w:rsidRDefault="006A3DBC" w:rsidP="006A3DBC">
      <w:pPr>
        <w:spacing w:after="0" w:line="240" w:lineRule="auto"/>
        <w:jc w:val="both"/>
        <w:rPr>
          <w:rFonts w:cs="Arial"/>
          <w:lang w:val="es-ES"/>
        </w:rPr>
      </w:pPr>
      <w:r w:rsidRPr="00FA4B2D">
        <w:rPr>
          <w:rFonts w:cs="Arial"/>
          <w:lang w:val="es-ES"/>
        </w:rPr>
        <w:t>COMRURAL III ha identificado umbrales mínimos para la participación de mujeres 30%. Estos umbrales representan el nivel mínimo de participación que se debe alcanzar y, al mismo tiempo se busca mantener la flexibilidad, dado que las actividades del Componente serán impulsadas por la demanda. Además, en la fase de aprobación de perfiles de negocio por el CE, se dan más puntos a aquellas propuestas que vienen de una OPR 100% de mujeres.</w:t>
      </w:r>
    </w:p>
    <w:p w14:paraId="7910A0E3" w14:textId="77777777" w:rsidR="006A3DBC" w:rsidRPr="00FA4B2D" w:rsidRDefault="006A3DBC" w:rsidP="006A3DBC">
      <w:pPr>
        <w:spacing w:after="0" w:line="240" w:lineRule="auto"/>
        <w:jc w:val="both"/>
        <w:rPr>
          <w:rFonts w:cs="Arial"/>
          <w:lang w:val="es-ES"/>
        </w:rPr>
      </w:pPr>
    </w:p>
    <w:p w14:paraId="5BE28D3B" w14:textId="0F100CBA" w:rsidR="000E6D86" w:rsidRDefault="000E6D86" w:rsidP="000E6D86">
      <w:pPr>
        <w:pStyle w:val="Descripcin"/>
        <w:keepNext/>
      </w:pPr>
      <w:bookmarkStart w:id="1220" w:name="_Toc202455489"/>
      <w:r>
        <w:t xml:space="preserve">Tabla </w:t>
      </w:r>
      <w:r>
        <w:fldChar w:fldCharType="begin"/>
      </w:r>
      <w:r>
        <w:instrText xml:space="preserve"> SEQ Tabla \* ARABIC </w:instrText>
      </w:r>
      <w:r>
        <w:fldChar w:fldCharType="separate"/>
      </w:r>
      <w:r>
        <w:rPr>
          <w:noProof/>
        </w:rPr>
        <w:t>63</w:t>
      </w:r>
      <w:r>
        <w:fldChar w:fldCharType="end"/>
      </w:r>
      <w:r>
        <w:t xml:space="preserve">: </w:t>
      </w:r>
      <w:r w:rsidRPr="00854AD7">
        <w:t>Resumen de Contenido de las Estrategias de Género y Relevo Generacional, sugerido a cada Organización participante:</w:t>
      </w:r>
      <w:bookmarkEnd w:id="1220"/>
    </w:p>
    <w:tbl>
      <w:tblPr>
        <w:tblStyle w:val="Tablaconcuadrcula"/>
        <w:tblW w:w="9351" w:type="dxa"/>
        <w:tblLayout w:type="fixed"/>
        <w:tblLook w:val="04A0" w:firstRow="1" w:lastRow="0" w:firstColumn="1" w:lastColumn="0" w:noHBand="0" w:noVBand="1"/>
      </w:tblPr>
      <w:tblGrid>
        <w:gridCol w:w="4106"/>
        <w:gridCol w:w="5245"/>
      </w:tblGrid>
      <w:tr w:rsidR="000E6D86" w:rsidRPr="000E6D86" w14:paraId="082C4DE2" w14:textId="77777777" w:rsidTr="00C24D0B">
        <w:tc>
          <w:tcPr>
            <w:tcW w:w="4106" w:type="dxa"/>
            <w:shd w:val="clear" w:color="auto" w:fill="5CC5DA"/>
          </w:tcPr>
          <w:p w14:paraId="71D78557" w14:textId="77777777" w:rsidR="00C24D0B" w:rsidRPr="000E6D86" w:rsidRDefault="00C24D0B" w:rsidP="00C24D0B">
            <w:pPr>
              <w:jc w:val="both"/>
              <w:rPr>
                <w:rFonts w:cs="Arial"/>
                <w:b/>
                <w:sz w:val="20"/>
                <w:szCs w:val="20"/>
                <w:lang w:val="es-ES"/>
              </w:rPr>
            </w:pPr>
            <w:r w:rsidRPr="000E6D86">
              <w:rPr>
                <w:rFonts w:cs="Arial"/>
                <w:b/>
                <w:sz w:val="20"/>
                <w:szCs w:val="20"/>
                <w:lang w:val="es-ES"/>
              </w:rPr>
              <w:t>Estrategia de Genero</w:t>
            </w:r>
          </w:p>
        </w:tc>
        <w:tc>
          <w:tcPr>
            <w:tcW w:w="5245" w:type="dxa"/>
            <w:shd w:val="clear" w:color="auto" w:fill="5CC5DA"/>
          </w:tcPr>
          <w:p w14:paraId="74234573" w14:textId="77777777" w:rsidR="00C24D0B" w:rsidRPr="000E6D86" w:rsidRDefault="00C24D0B" w:rsidP="00C24D0B">
            <w:pPr>
              <w:jc w:val="both"/>
              <w:rPr>
                <w:rFonts w:cs="Arial"/>
                <w:b/>
                <w:sz w:val="20"/>
                <w:szCs w:val="20"/>
                <w:lang w:val="es-ES"/>
              </w:rPr>
            </w:pPr>
            <w:r w:rsidRPr="000E6D86">
              <w:rPr>
                <w:rFonts w:cs="Arial"/>
                <w:b/>
                <w:sz w:val="20"/>
                <w:szCs w:val="20"/>
                <w:lang w:val="es-ES"/>
              </w:rPr>
              <w:t>Estrategia de Relevo Generacional</w:t>
            </w:r>
          </w:p>
        </w:tc>
      </w:tr>
      <w:tr w:rsidR="000E6D86" w:rsidRPr="000E6D86" w14:paraId="77072381" w14:textId="77777777" w:rsidTr="00C24D0B">
        <w:tc>
          <w:tcPr>
            <w:tcW w:w="9351" w:type="dxa"/>
            <w:gridSpan w:val="2"/>
          </w:tcPr>
          <w:p w14:paraId="26B48961" w14:textId="77777777" w:rsidR="00C24D0B" w:rsidRPr="000E6D86" w:rsidRDefault="00C24D0B" w:rsidP="00C24D0B">
            <w:pPr>
              <w:jc w:val="both"/>
              <w:rPr>
                <w:rFonts w:cs="Arial"/>
                <w:b/>
                <w:i/>
                <w:sz w:val="20"/>
                <w:szCs w:val="20"/>
                <w:lang w:val="es-ES"/>
              </w:rPr>
            </w:pPr>
            <w:r w:rsidRPr="000E6D86">
              <w:rPr>
                <w:rFonts w:cs="Arial"/>
                <w:b/>
                <w:i/>
                <w:sz w:val="20"/>
                <w:szCs w:val="20"/>
                <w:lang w:val="es-ES"/>
              </w:rPr>
              <w:t>Tablas de Contenido Sugeridas por la Gestión Social y validadas con los Prestadores de Servicio de Desarrollo Empresarial (PSDEs) y Organizaciones de Productores Rurales (OPRs):</w:t>
            </w:r>
          </w:p>
        </w:tc>
      </w:tr>
      <w:tr w:rsidR="000E6D86" w:rsidRPr="000E6D86" w14:paraId="6FF0677D" w14:textId="77777777" w:rsidTr="00C24D0B">
        <w:tc>
          <w:tcPr>
            <w:tcW w:w="9351" w:type="dxa"/>
            <w:gridSpan w:val="2"/>
            <w:shd w:val="clear" w:color="auto" w:fill="FBE4D5" w:themeFill="accent2" w:themeFillTint="33"/>
          </w:tcPr>
          <w:p w14:paraId="67EA00D3" w14:textId="77777777" w:rsidR="00C24D0B" w:rsidRPr="000E6D86" w:rsidRDefault="00C24D0B" w:rsidP="00C24D0B">
            <w:pPr>
              <w:shd w:val="clear" w:color="auto" w:fill="5CC5DA"/>
              <w:jc w:val="both"/>
              <w:rPr>
                <w:rFonts w:cs="Arial"/>
                <w:sz w:val="20"/>
                <w:szCs w:val="20"/>
                <w:lang w:val="es-ES"/>
              </w:rPr>
            </w:pPr>
            <w:r w:rsidRPr="000E6D86">
              <w:rPr>
                <w:rFonts w:cs="Arial"/>
                <w:sz w:val="20"/>
                <w:szCs w:val="20"/>
                <w:lang w:val="es-ES"/>
              </w:rPr>
              <w:t>Estimados técnicos de PSDEs y OPRs, con el objetivo de uniformar el esquema de estrategia de género y relevo generacional, se presenta el contenido básico de la propuesta a presentar.</w:t>
            </w:r>
          </w:p>
          <w:p w14:paraId="172E8D53" w14:textId="77777777" w:rsidR="00C24D0B" w:rsidRPr="000E6D86" w:rsidRDefault="00C24D0B" w:rsidP="00C24D0B">
            <w:pPr>
              <w:jc w:val="both"/>
              <w:rPr>
                <w:rFonts w:cs="Arial"/>
                <w:sz w:val="20"/>
                <w:szCs w:val="20"/>
                <w:lang w:val="es-ES"/>
              </w:rPr>
            </w:pPr>
            <w:r w:rsidRPr="000E6D86">
              <w:rPr>
                <w:rFonts w:cs="Arial"/>
                <w:sz w:val="20"/>
                <w:szCs w:val="20"/>
                <w:lang w:val="es-ES"/>
              </w:rPr>
              <w:t>Cada PSDE de acuerdo con su conocimiento y experiencia puede ajustar el modelo a la realidad, pero el sentido de la propuesta es redactar un documento que permita ubicar la situación actual en OPRs, el enfoque de los temas y las acciones a seguir con sus respectivos resultados.</w:t>
            </w:r>
          </w:p>
        </w:tc>
      </w:tr>
      <w:tr w:rsidR="000E6D86" w:rsidRPr="000E6D86" w14:paraId="61F81AE5" w14:textId="77777777" w:rsidTr="00C24D0B">
        <w:tc>
          <w:tcPr>
            <w:tcW w:w="9351" w:type="dxa"/>
            <w:gridSpan w:val="2"/>
          </w:tcPr>
          <w:p w14:paraId="74BF2B68" w14:textId="77777777" w:rsidR="00C24D0B" w:rsidRPr="000E6D86" w:rsidRDefault="00C24D0B" w:rsidP="00C24D0B">
            <w:pPr>
              <w:numPr>
                <w:ilvl w:val="0"/>
                <w:numId w:val="7"/>
              </w:numPr>
              <w:ind w:firstLine="0"/>
              <w:jc w:val="both"/>
              <w:rPr>
                <w:rFonts w:cs="Arial"/>
                <w:sz w:val="20"/>
                <w:szCs w:val="20"/>
                <w:lang w:val="es-HN"/>
              </w:rPr>
            </w:pPr>
            <w:r w:rsidRPr="000E6D86">
              <w:rPr>
                <w:rFonts w:cs="Arial"/>
                <w:sz w:val="20"/>
                <w:szCs w:val="20"/>
                <w:lang w:val="es-HN"/>
              </w:rPr>
              <w:t>Introducción (que es el documento, como se elabora, para que se elabora, como se ordena o estructura el documento).</w:t>
            </w:r>
          </w:p>
          <w:p w14:paraId="64F11E81" w14:textId="77777777" w:rsidR="00C24D0B" w:rsidRPr="000E6D86" w:rsidRDefault="00C24D0B" w:rsidP="00C24D0B">
            <w:pPr>
              <w:numPr>
                <w:ilvl w:val="0"/>
                <w:numId w:val="7"/>
              </w:numPr>
              <w:ind w:firstLine="0"/>
              <w:jc w:val="both"/>
              <w:rPr>
                <w:rFonts w:cs="Arial"/>
                <w:sz w:val="20"/>
                <w:szCs w:val="20"/>
                <w:lang w:val="es-HN"/>
              </w:rPr>
            </w:pPr>
            <w:r w:rsidRPr="000E6D86">
              <w:rPr>
                <w:rFonts w:cs="Arial"/>
                <w:sz w:val="20"/>
                <w:szCs w:val="20"/>
                <w:lang w:val="es-HN"/>
              </w:rPr>
              <w:t>Antecedentes (descripción general de Organización/empresa, sus características y situación pasada y actual de participación de mujer y jóvenes (diagnostico FODA).</w:t>
            </w:r>
          </w:p>
          <w:p w14:paraId="112C2018" w14:textId="77777777" w:rsidR="00C24D0B" w:rsidRPr="000E6D86" w:rsidRDefault="00C24D0B" w:rsidP="00C24D0B">
            <w:pPr>
              <w:numPr>
                <w:ilvl w:val="0"/>
                <w:numId w:val="7"/>
              </w:numPr>
              <w:ind w:firstLine="0"/>
              <w:jc w:val="both"/>
              <w:rPr>
                <w:rFonts w:cs="Arial"/>
                <w:sz w:val="20"/>
                <w:szCs w:val="20"/>
                <w:lang w:val="es-HN"/>
              </w:rPr>
            </w:pPr>
            <w:r w:rsidRPr="000E6D86">
              <w:rPr>
                <w:rFonts w:cs="Arial"/>
                <w:sz w:val="20"/>
                <w:szCs w:val="20"/>
                <w:lang w:val="es-HN"/>
              </w:rPr>
              <w:t>Justificación (debilidad encontrada en Organización participante a nivel de género; mujer y sus roles asignados y la situación de los jóvenes).</w:t>
            </w:r>
          </w:p>
          <w:p w14:paraId="64D7FB67" w14:textId="77777777" w:rsidR="00C24D0B" w:rsidRPr="000E6D86" w:rsidRDefault="00C24D0B" w:rsidP="00C24D0B">
            <w:pPr>
              <w:numPr>
                <w:ilvl w:val="0"/>
                <w:numId w:val="7"/>
              </w:numPr>
              <w:ind w:firstLine="0"/>
              <w:jc w:val="both"/>
              <w:rPr>
                <w:rFonts w:cs="Arial"/>
                <w:sz w:val="20"/>
                <w:szCs w:val="20"/>
                <w:lang w:val="es-HN"/>
              </w:rPr>
            </w:pPr>
            <w:r w:rsidRPr="000E6D86">
              <w:rPr>
                <w:rFonts w:cs="Arial"/>
                <w:sz w:val="20"/>
                <w:szCs w:val="20"/>
                <w:lang w:val="es-HN"/>
              </w:rPr>
              <w:t>Objetivo (general y específicos: se relacionan con las líneas de acción y resultados esperados).</w:t>
            </w:r>
          </w:p>
          <w:p w14:paraId="4CD49195" w14:textId="77777777" w:rsidR="00C24D0B" w:rsidRPr="000E6D86" w:rsidRDefault="00C24D0B" w:rsidP="00C24D0B">
            <w:pPr>
              <w:numPr>
                <w:ilvl w:val="0"/>
                <w:numId w:val="7"/>
              </w:numPr>
              <w:ind w:firstLine="0"/>
              <w:jc w:val="both"/>
              <w:rPr>
                <w:rFonts w:cs="Arial"/>
                <w:sz w:val="20"/>
                <w:szCs w:val="20"/>
                <w:lang w:val="es-HN"/>
              </w:rPr>
            </w:pPr>
            <w:r w:rsidRPr="000E6D86">
              <w:rPr>
                <w:rFonts w:cs="Arial"/>
                <w:sz w:val="20"/>
                <w:szCs w:val="20"/>
                <w:lang w:val="es-HN"/>
              </w:rPr>
              <w:lastRenderedPageBreak/>
              <w:t>Marco conceptual (que se entiende en la propuesta por género, igualdad y equidad, sus implicaciones locales y comunitarias / que es y por qué el relevo generacional).</w:t>
            </w:r>
          </w:p>
          <w:p w14:paraId="11E1E1F0" w14:textId="77777777" w:rsidR="00C24D0B" w:rsidRPr="000E6D86" w:rsidRDefault="00C24D0B" w:rsidP="00C24D0B">
            <w:pPr>
              <w:numPr>
                <w:ilvl w:val="0"/>
                <w:numId w:val="7"/>
              </w:numPr>
              <w:ind w:firstLine="0"/>
              <w:jc w:val="both"/>
              <w:rPr>
                <w:rFonts w:cs="Arial"/>
                <w:sz w:val="20"/>
                <w:szCs w:val="20"/>
                <w:lang w:val="es-HN"/>
              </w:rPr>
            </w:pPr>
            <w:r w:rsidRPr="000E6D86">
              <w:rPr>
                <w:rFonts w:cs="Arial"/>
                <w:sz w:val="20"/>
                <w:szCs w:val="20"/>
                <w:lang w:val="es-HN"/>
              </w:rPr>
              <w:t>Marco político y normativo (las leyes y normativa vigente a nivel municipal, territorial, sistemas de gobernanza ancestral y cultural).</w:t>
            </w:r>
          </w:p>
          <w:p w14:paraId="21A581BE" w14:textId="77777777" w:rsidR="00C24D0B" w:rsidRPr="000E6D86" w:rsidRDefault="00C24D0B" w:rsidP="00C24D0B">
            <w:pPr>
              <w:numPr>
                <w:ilvl w:val="0"/>
                <w:numId w:val="7"/>
              </w:numPr>
              <w:ind w:firstLine="0"/>
              <w:jc w:val="both"/>
              <w:rPr>
                <w:rFonts w:cs="Arial"/>
                <w:sz w:val="20"/>
                <w:szCs w:val="20"/>
                <w:lang w:val="es-HN"/>
              </w:rPr>
            </w:pPr>
            <w:r w:rsidRPr="000E6D86">
              <w:rPr>
                <w:rFonts w:cs="Arial"/>
                <w:sz w:val="20"/>
                <w:szCs w:val="20"/>
                <w:lang w:val="es-HN"/>
              </w:rPr>
              <w:t>Líneas de acción (sobre la base de los incisos 4,5 y 6 se establecen las acciones).</w:t>
            </w:r>
          </w:p>
          <w:p w14:paraId="656F096C" w14:textId="77777777" w:rsidR="00C24D0B" w:rsidRPr="000E6D86" w:rsidRDefault="00C24D0B" w:rsidP="00C24D0B">
            <w:pPr>
              <w:numPr>
                <w:ilvl w:val="0"/>
                <w:numId w:val="7"/>
              </w:numPr>
              <w:ind w:firstLine="0"/>
              <w:jc w:val="both"/>
              <w:rPr>
                <w:rFonts w:cs="Arial"/>
                <w:sz w:val="20"/>
                <w:szCs w:val="20"/>
                <w:lang w:val="es-HN"/>
              </w:rPr>
            </w:pPr>
            <w:r w:rsidRPr="000E6D86">
              <w:rPr>
                <w:rFonts w:cs="Arial"/>
                <w:sz w:val="20"/>
                <w:szCs w:val="20"/>
                <w:lang w:val="es-HN"/>
              </w:rPr>
              <w:t>Plan de acción (programación de resultados e indicadores) incorporado al Plan de Gestión Ambiental y Social (PGAS): (i) los roles diferenciados de hombres y mujeres en cada grupo en base a las cadenas de valor principales dentro de la cual participaran; (ii) los factores de producción y otros insumos que las mujeres dependen; (iii) la producción clave, mercado, comercialización, finanzas y otros obstáculos que enfrentan las mujeres; (iv) la dinámica social y familiar, incluyendo la carga de trabajo doméstico y abuso doméstico que influyen en la capacidad de las mujeres a participar en las actividades productivas; (v) las necesidades específicas de las mujeres en cuanto a formación, programas de apoyo, redes sociales y el acceso a financiamiento; y (vi) indicadores de seguimiento diferenciados por género y sobre la participación de las mujeres en los subproyectos.</w:t>
            </w:r>
          </w:p>
          <w:p w14:paraId="6FC9654C" w14:textId="77777777" w:rsidR="00C24D0B" w:rsidRPr="000E6D86" w:rsidRDefault="00C24D0B" w:rsidP="00C24D0B">
            <w:pPr>
              <w:numPr>
                <w:ilvl w:val="0"/>
                <w:numId w:val="7"/>
              </w:numPr>
              <w:ind w:firstLine="0"/>
              <w:jc w:val="both"/>
              <w:rPr>
                <w:rFonts w:cs="Arial"/>
                <w:sz w:val="20"/>
                <w:szCs w:val="20"/>
                <w:lang w:val="es-HN"/>
              </w:rPr>
            </w:pPr>
            <w:r w:rsidRPr="000E6D86">
              <w:rPr>
                <w:rFonts w:cs="Arial"/>
                <w:sz w:val="20"/>
                <w:szCs w:val="20"/>
                <w:lang w:val="es-HN"/>
              </w:rPr>
              <w:t>Viabilidad técnica y financiera (como se ejecutará, quien lo ejecutará, fuente de fondos requeridos).</w:t>
            </w:r>
          </w:p>
          <w:p w14:paraId="1C40187C" w14:textId="77777777" w:rsidR="00C24D0B" w:rsidRPr="000E6D86" w:rsidRDefault="00C24D0B" w:rsidP="00C24D0B">
            <w:pPr>
              <w:numPr>
                <w:ilvl w:val="0"/>
                <w:numId w:val="7"/>
              </w:numPr>
              <w:ind w:firstLine="0"/>
              <w:jc w:val="both"/>
              <w:rPr>
                <w:rFonts w:cs="Arial"/>
                <w:sz w:val="20"/>
                <w:szCs w:val="20"/>
                <w:lang w:val="es-HN"/>
              </w:rPr>
            </w:pPr>
            <w:r w:rsidRPr="000E6D86">
              <w:rPr>
                <w:rFonts w:cs="Arial"/>
                <w:sz w:val="20"/>
                <w:szCs w:val="20"/>
                <w:lang w:val="es-HN"/>
              </w:rPr>
              <w:t>Seguimiento y evaluación de plan (quien evaluara el cumplimiento de lo programado).</w:t>
            </w:r>
          </w:p>
        </w:tc>
      </w:tr>
      <w:tr w:rsidR="000E6D86" w:rsidRPr="000E6D86" w14:paraId="6AA068CC" w14:textId="77777777" w:rsidTr="00C24D0B">
        <w:tc>
          <w:tcPr>
            <w:tcW w:w="9351" w:type="dxa"/>
            <w:gridSpan w:val="2"/>
          </w:tcPr>
          <w:tbl>
            <w:tblPr>
              <w:tblStyle w:val="Tablaconcuadrcula"/>
              <w:tblW w:w="10277" w:type="dxa"/>
              <w:tblLayout w:type="fixed"/>
              <w:tblLook w:val="04A0" w:firstRow="1" w:lastRow="0" w:firstColumn="1" w:lastColumn="0" w:noHBand="0" w:noVBand="1"/>
            </w:tblPr>
            <w:tblGrid>
              <w:gridCol w:w="1593"/>
              <w:gridCol w:w="1833"/>
              <w:gridCol w:w="1832"/>
              <w:gridCol w:w="578"/>
              <w:gridCol w:w="425"/>
              <w:gridCol w:w="568"/>
              <w:gridCol w:w="566"/>
              <w:gridCol w:w="284"/>
              <w:gridCol w:w="425"/>
              <w:gridCol w:w="2173"/>
            </w:tblGrid>
            <w:tr w:rsidR="000E6D86" w:rsidRPr="000E6D86" w14:paraId="7CBB7D98" w14:textId="227369AB" w:rsidTr="00811897">
              <w:trPr>
                <w:trHeight w:val="236"/>
              </w:trPr>
              <w:tc>
                <w:tcPr>
                  <w:tcW w:w="8104" w:type="dxa"/>
                  <w:gridSpan w:val="9"/>
                  <w:shd w:val="clear" w:color="auto" w:fill="5CC5DA"/>
                </w:tcPr>
                <w:p w14:paraId="062CB8D5" w14:textId="77777777" w:rsidR="00D76555" w:rsidRPr="000E6D86" w:rsidRDefault="00D76555" w:rsidP="00C24D0B">
                  <w:pPr>
                    <w:rPr>
                      <w:rFonts w:cs="Arial"/>
                      <w:b/>
                      <w:sz w:val="20"/>
                      <w:szCs w:val="20"/>
                    </w:rPr>
                  </w:pPr>
                  <w:r w:rsidRPr="000E6D86">
                    <w:rPr>
                      <w:rFonts w:cs="Arial"/>
                      <w:b/>
                      <w:sz w:val="20"/>
                      <w:szCs w:val="20"/>
                    </w:rPr>
                    <w:lastRenderedPageBreak/>
                    <w:t>Plan de Acción Para Estrategia de Género</w:t>
                  </w:r>
                </w:p>
              </w:tc>
              <w:tc>
                <w:tcPr>
                  <w:tcW w:w="2173" w:type="dxa"/>
                  <w:shd w:val="clear" w:color="auto" w:fill="5CC5DA"/>
                </w:tcPr>
                <w:p w14:paraId="40A989AE" w14:textId="5C77557D" w:rsidR="00D76555" w:rsidRPr="000E6D86" w:rsidRDefault="00D76555" w:rsidP="00C24D0B">
                  <w:pPr>
                    <w:rPr>
                      <w:rFonts w:cs="Arial"/>
                      <w:b/>
                      <w:sz w:val="20"/>
                      <w:szCs w:val="20"/>
                    </w:rPr>
                  </w:pPr>
                  <w:r w:rsidRPr="000E6D86">
                    <w:rPr>
                      <w:rFonts w:cs="Arial"/>
                      <w:b/>
                      <w:sz w:val="20"/>
                      <w:szCs w:val="20"/>
                    </w:rPr>
                    <w:t>Presupuesto</w:t>
                  </w:r>
                </w:p>
              </w:tc>
            </w:tr>
            <w:tr w:rsidR="000E6D86" w:rsidRPr="000E6D86" w14:paraId="33C62189" w14:textId="4313B9C5" w:rsidTr="00811897">
              <w:trPr>
                <w:trHeight w:val="246"/>
              </w:trPr>
              <w:tc>
                <w:tcPr>
                  <w:tcW w:w="1593" w:type="dxa"/>
                  <w:vMerge w:val="restart"/>
                  <w:shd w:val="clear" w:color="auto" w:fill="5CC5DA"/>
                </w:tcPr>
                <w:p w14:paraId="3FCE3597" w14:textId="77777777" w:rsidR="00D76555" w:rsidRPr="000E6D86" w:rsidRDefault="00D76555" w:rsidP="00C24D0B">
                  <w:pPr>
                    <w:rPr>
                      <w:rFonts w:cs="Arial"/>
                      <w:b/>
                      <w:i/>
                      <w:sz w:val="20"/>
                      <w:szCs w:val="20"/>
                    </w:rPr>
                  </w:pPr>
                  <w:r w:rsidRPr="000E6D86">
                    <w:rPr>
                      <w:rFonts w:cs="Arial"/>
                      <w:b/>
                      <w:i/>
                      <w:sz w:val="20"/>
                      <w:szCs w:val="20"/>
                    </w:rPr>
                    <w:t>Línea de Acción o Estratégica</w:t>
                  </w:r>
                </w:p>
              </w:tc>
              <w:tc>
                <w:tcPr>
                  <w:tcW w:w="1833" w:type="dxa"/>
                  <w:vMerge w:val="restart"/>
                  <w:shd w:val="clear" w:color="auto" w:fill="5CC5DA"/>
                </w:tcPr>
                <w:p w14:paraId="64EAC7FB" w14:textId="77777777" w:rsidR="00D76555" w:rsidRPr="000E6D86" w:rsidRDefault="00D76555" w:rsidP="00C24D0B">
                  <w:pPr>
                    <w:rPr>
                      <w:rFonts w:cs="Arial"/>
                      <w:b/>
                      <w:i/>
                      <w:sz w:val="20"/>
                      <w:szCs w:val="20"/>
                    </w:rPr>
                  </w:pPr>
                  <w:r w:rsidRPr="000E6D86">
                    <w:rPr>
                      <w:rFonts w:cs="Arial"/>
                      <w:b/>
                      <w:i/>
                      <w:sz w:val="20"/>
                      <w:szCs w:val="20"/>
                    </w:rPr>
                    <w:t>Indicadores</w:t>
                  </w:r>
                </w:p>
              </w:tc>
              <w:tc>
                <w:tcPr>
                  <w:tcW w:w="1832" w:type="dxa"/>
                  <w:vMerge w:val="restart"/>
                  <w:shd w:val="clear" w:color="auto" w:fill="5CC5DA"/>
                </w:tcPr>
                <w:p w14:paraId="1E06D821" w14:textId="77777777" w:rsidR="00D76555" w:rsidRPr="000E6D86" w:rsidRDefault="00D76555" w:rsidP="00C24D0B">
                  <w:pPr>
                    <w:rPr>
                      <w:rFonts w:cs="Arial"/>
                      <w:b/>
                      <w:i/>
                      <w:sz w:val="20"/>
                      <w:szCs w:val="20"/>
                    </w:rPr>
                  </w:pPr>
                  <w:r w:rsidRPr="000E6D86">
                    <w:rPr>
                      <w:rFonts w:cs="Arial"/>
                      <w:b/>
                      <w:i/>
                      <w:sz w:val="20"/>
                      <w:szCs w:val="20"/>
                    </w:rPr>
                    <w:t>Medio de Verificación</w:t>
                  </w:r>
                </w:p>
              </w:tc>
              <w:tc>
                <w:tcPr>
                  <w:tcW w:w="1571" w:type="dxa"/>
                  <w:gridSpan w:val="3"/>
                  <w:shd w:val="clear" w:color="auto" w:fill="5CC5DA"/>
                </w:tcPr>
                <w:p w14:paraId="079E2BB4" w14:textId="77777777" w:rsidR="00D76555" w:rsidRPr="000E6D86" w:rsidRDefault="00D76555" w:rsidP="00C24D0B">
                  <w:pPr>
                    <w:rPr>
                      <w:rFonts w:cs="Arial"/>
                      <w:b/>
                      <w:i/>
                      <w:sz w:val="20"/>
                      <w:szCs w:val="20"/>
                    </w:rPr>
                  </w:pPr>
                  <w:r w:rsidRPr="000E6D86">
                    <w:rPr>
                      <w:rFonts w:cs="Arial"/>
                      <w:b/>
                      <w:i/>
                      <w:sz w:val="20"/>
                      <w:szCs w:val="20"/>
                    </w:rPr>
                    <w:t>Programado</w:t>
                  </w:r>
                </w:p>
              </w:tc>
              <w:tc>
                <w:tcPr>
                  <w:tcW w:w="1275" w:type="dxa"/>
                  <w:gridSpan w:val="3"/>
                  <w:shd w:val="clear" w:color="auto" w:fill="5CC5DA"/>
                </w:tcPr>
                <w:p w14:paraId="59FF5754" w14:textId="77777777" w:rsidR="00D76555" w:rsidRPr="000E6D86" w:rsidRDefault="00D76555" w:rsidP="00C24D0B">
                  <w:pPr>
                    <w:rPr>
                      <w:rFonts w:cs="Arial"/>
                      <w:b/>
                      <w:i/>
                      <w:sz w:val="20"/>
                      <w:szCs w:val="20"/>
                    </w:rPr>
                  </w:pPr>
                  <w:r w:rsidRPr="000E6D86">
                    <w:rPr>
                      <w:rFonts w:cs="Arial"/>
                      <w:b/>
                      <w:i/>
                      <w:sz w:val="20"/>
                      <w:szCs w:val="20"/>
                    </w:rPr>
                    <w:t>Ejecutado</w:t>
                  </w:r>
                </w:p>
              </w:tc>
              <w:tc>
                <w:tcPr>
                  <w:tcW w:w="2173" w:type="dxa"/>
                  <w:shd w:val="clear" w:color="auto" w:fill="5CC5DA"/>
                </w:tcPr>
                <w:p w14:paraId="66CA8112" w14:textId="77777777" w:rsidR="00D76555" w:rsidRPr="000E6D86" w:rsidRDefault="00D76555" w:rsidP="00C24D0B">
                  <w:pPr>
                    <w:rPr>
                      <w:rFonts w:cs="Arial"/>
                      <w:b/>
                      <w:i/>
                      <w:sz w:val="20"/>
                      <w:szCs w:val="20"/>
                    </w:rPr>
                  </w:pPr>
                </w:p>
              </w:tc>
            </w:tr>
            <w:tr w:rsidR="000E6D86" w:rsidRPr="000E6D86" w14:paraId="5DA958DA" w14:textId="01C68CD3" w:rsidTr="00811897">
              <w:trPr>
                <w:trHeight w:val="246"/>
              </w:trPr>
              <w:tc>
                <w:tcPr>
                  <w:tcW w:w="1593" w:type="dxa"/>
                  <w:vMerge/>
                  <w:shd w:val="clear" w:color="auto" w:fill="5CC5DA"/>
                </w:tcPr>
                <w:p w14:paraId="53014D73" w14:textId="77777777" w:rsidR="00D76555" w:rsidRPr="000E6D86" w:rsidRDefault="00D76555" w:rsidP="00C24D0B">
                  <w:pPr>
                    <w:rPr>
                      <w:rFonts w:cs="Arial"/>
                      <w:b/>
                      <w:i/>
                      <w:sz w:val="20"/>
                      <w:szCs w:val="20"/>
                    </w:rPr>
                  </w:pPr>
                </w:p>
              </w:tc>
              <w:tc>
                <w:tcPr>
                  <w:tcW w:w="1833" w:type="dxa"/>
                  <w:vMerge/>
                  <w:shd w:val="clear" w:color="auto" w:fill="5CC5DA"/>
                </w:tcPr>
                <w:p w14:paraId="740515F5" w14:textId="77777777" w:rsidR="00D76555" w:rsidRPr="000E6D86" w:rsidRDefault="00D76555" w:rsidP="00C24D0B">
                  <w:pPr>
                    <w:rPr>
                      <w:rFonts w:cs="Arial"/>
                      <w:b/>
                      <w:i/>
                      <w:sz w:val="20"/>
                      <w:szCs w:val="20"/>
                    </w:rPr>
                  </w:pPr>
                </w:p>
              </w:tc>
              <w:tc>
                <w:tcPr>
                  <w:tcW w:w="1832" w:type="dxa"/>
                  <w:vMerge/>
                  <w:shd w:val="clear" w:color="auto" w:fill="5CC5DA"/>
                </w:tcPr>
                <w:p w14:paraId="02284867" w14:textId="77777777" w:rsidR="00D76555" w:rsidRPr="000E6D86" w:rsidRDefault="00D76555" w:rsidP="00C24D0B">
                  <w:pPr>
                    <w:rPr>
                      <w:rFonts w:cs="Arial"/>
                      <w:b/>
                      <w:i/>
                      <w:sz w:val="20"/>
                      <w:szCs w:val="20"/>
                    </w:rPr>
                  </w:pPr>
                </w:p>
              </w:tc>
              <w:tc>
                <w:tcPr>
                  <w:tcW w:w="1571" w:type="dxa"/>
                  <w:gridSpan w:val="3"/>
                  <w:shd w:val="clear" w:color="auto" w:fill="5CC5DA"/>
                </w:tcPr>
                <w:p w14:paraId="5E6E3636" w14:textId="77777777" w:rsidR="00D76555" w:rsidRPr="000E6D86" w:rsidRDefault="00D76555" w:rsidP="00C24D0B">
                  <w:pPr>
                    <w:rPr>
                      <w:rFonts w:cs="Arial"/>
                      <w:b/>
                      <w:i/>
                      <w:sz w:val="20"/>
                      <w:szCs w:val="20"/>
                    </w:rPr>
                  </w:pPr>
                  <w:r w:rsidRPr="000E6D86">
                    <w:rPr>
                      <w:rFonts w:cs="Arial"/>
                      <w:b/>
                      <w:i/>
                      <w:sz w:val="20"/>
                      <w:szCs w:val="20"/>
                    </w:rPr>
                    <w:t>Año / mes</w:t>
                  </w:r>
                </w:p>
              </w:tc>
              <w:tc>
                <w:tcPr>
                  <w:tcW w:w="1275" w:type="dxa"/>
                  <w:gridSpan w:val="3"/>
                  <w:shd w:val="clear" w:color="auto" w:fill="5CC5DA"/>
                </w:tcPr>
                <w:p w14:paraId="4522A88F" w14:textId="77777777" w:rsidR="00D76555" w:rsidRPr="000E6D86" w:rsidRDefault="00D76555" w:rsidP="00C24D0B">
                  <w:pPr>
                    <w:rPr>
                      <w:rFonts w:cs="Arial"/>
                      <w:b/>
                      <w:i/>
                      <w:sz w:val="20"/>
                      <w:szCs w:val="20"/>
                    </w:rPr>
                  </w:pPr>
                  <w:r w:rsidRPr="000E6D86">
                    <w:rPr>
                      <w:rFonts w:cs="Arial"/>
                      <w:b/>
                      <w:i/>
                      <w:sz w:val="20"/>
                      <w:szCs w:val="20"/>
                    </w:rPr>
                    <w:t>Año / mes</w:t>
                  </w:r>
                </w:p>
              </w:tc>
              <w:tc>
                <w:tcPr>
                  <w:tcW w:w="2173" w:type="dxa"/>
                  <w:shd w:val="clear" w:color="auto" w:fill="5CC5DA"/>
                </w:tcPr>
                <w:p w14:paraId="391522BD" w14:textId="77777777" w:rsidR="00D76555" w:rsidRPr="000E6D86" w:rsidRDefault="00D76555" w:rsidP="00C24D0B">
                  <w:pPr>
                    <w:rPr>
                      <w:rFonts w:cs="Arial"/>
                      <w:b/>
                      <w:i/>
                      <w:sz w:val="20"/>
                      <w:szCs w:val="20"/>
                    </w:rPr>
                  </w:pPr>
                </w:p>
              </w:tc>
            </w:tr>
            <w:tr w:rsidR="000E6D86" w:rsidRPr="000E6D86" w14:paraId="24395998" w14:textId="7AE28D51" w:rsidTr="00811897">
              <w:trPr>
                <w:trHeight w:val="2699"/>
              </w:trPr>
              <w:tc>
                <w:tcPr>
                  <w:tcW w:w="1593" w:type="dxa"/>
                </w:tcPr>
                <w:p w14:paraId="44C29A68" w14:textId="61E7A929" w:rsidR="00D76555" w:rsidRPr="000E6D86" w:rsidRDefault="00D76555" w:rsidP="000A703C">
                  <w:pPr>
                    <w:jc w:val="both"/>
                    <w:rPr>
                      <w:rFonts w:cs="Arial"/>
                      <w:sz w:val="20"/>
                      <w:szCs w:val="20"/>
                    </w:rPr>
                  </w:pPr>
                  <w:r w:rsidRPr="000E6D86">
                    <w:rPr>
                      <w:rFonts w:cs="Arial"/>
                      <w:sz w:val="20"/>
                      <w:szCs w:val="20"/>
                    </w:rPr>
                    <w:t>Adoptar o aprobar un compromiso en la organización que brinde prioridad a la equidad de género.</w:t>
                  </w:r>
                </w:p>
              </w:tc>
              <w:tc>
                <w:tcPr>
                  <w:tcW w:w="1833" w:type="dxa"/>
                </w:tcPr>
                <w:p w14:paraId="78AA613E" w14:textId="77777777" w:rsidR="00D76555" w:rsidRPr="000E6D86" w:rsidRDefault="00D76555" w:rsidP="000A703C">
                  <w:pPr>
                    <w:jc w:val="both"/>
                    <w:rPr>
                      <w:rFonts w:cs="Arial"/>
                      <w:sz w:val="20"/>
                      <w:szCs w:val="20"/>
                    </w:rPr>
                  </w:pPr>
                  <w:r w:rsidRPr="000E6D86">
                    <w:rPr>
                      <w:rFonts w:cs="Arial"/>
                      <w:sz w:val="20"/>
                      <w:szCs w:val="20"/>
                    </w:rPr>
                    <w:t>Aprobado el plan de equidad de género.</w:t>
                  </w:r>
                </w:p>
                <w:p w14:paraId="3B618315" w14:textId="77777777" w:rsidR="00D76555" w:rsidRPr="000E6D86" w:rsidRDefault="00D76555" w:rsidP="000A703C">
                  <w:pPr>
                    <w:jc w:val="both"/>
                    <w:rPr>
                      <w:rFonts w:cs="Arial"/>
                      <w:sz w:val="20"/>
                      <w:szCs w:val="20"/>
                    </w:rPr>
                  </w:pPr>
                </w:p>
                <w:p w14:paraId="26EE8456" w14:textId="77777777" w:rsidR="00D76555" w:rsidRPr="000E6D86" w:rsidRDefault="00D76555" w:rsidP="000A703C">
                  <w:pPr>
                    <w:jc w:val="both"/>
                    <w:rPr>
                      <w:rFonts w:cs="Arial"/>
                      <w:sz w:val="20"/>
                      <w:szCs w:val="20"/>
                    </w:rPr>
                  </w:pPr>
                  <w:r w:rsidRPr="000E6D86">
                    <w:rPr>
                      <w:rFonts w:cs="Arial"/>
                      <w:sz w:val="20"/>
                      <w:szCs w:val="20"/>
                    </w:rPr>
                    <w:t>La OPR asigna un X% de presupuesto para ejecución de plan de equidad de género.</w:t>
                  </w:r>
                </w:p>
                <w:p w14:paraId="2757AA90" w14:textId="77777777" w:rsidR="00D76555" w:rsidRPr="000E6D86" w:rsidRDefault="00D76555" w:rsidP="000A703C">
                  <w:pPr>
                    <w:jc w:val="both"/>
                    <w:rPr>
                      <w:rFonts w:cs="Arial"/>
                      <w:sz w:val="20"/>
                      <w:szCs w:val="20"/>
                    </w:rPr>
                  </w:pPr>
                </w:p>
                <w:p w14:paraId="69372F8D" w14:textId="77777777" w:rsidR="00D76555" w:rsidRPr="000E6D86" w:rsidRDefault="00D76555" w:rsidP="000A703C">
                  <w:pPr>
                    <w:jc w:val="both"/>
                    <w:rPr>
                      <w:rFonts w:cs="Arial"/>
                      <w:sz w:val="20"/>
                      <w:szCs w:val="20"/>
                    </w:rPr>
                  </w:pPr>
                </w:p>
              </w:tc>
              <w:tc>
                <w:tcPr>
                  <w:tcW w:w="1832" w:type="dxa"/>
                </w:tcPr>
                <w:p w14:paraId="05281AE1" w14:textId="77777777" w:rsidR="00D76555" w:rsidRPr="000E6D86" w:rsidRDefault="00D76555" w:rsidP="000A703C">
                  <w:pPr>
                    <w:jc w:val="both"/>
                    <w:rPr>
                      <w:rFonts w:cs="Arial"/>
                      <w:sz w:val="20"/>
                      <w:szCs w:val="20"/>
                    </w:rPr>
                  </w:pPr>
                  <w:r w:rsidRPr="000E6D86">
                    <w:rPr>
                      <w:rFonts w:cs="Arial"/>
                      <w:sz w:val="20"/>
                      <w:szCs w:val="20"/>
                    </w:rPr>
                    <w:t>Punto o certificado de acta.</w:t>
                  </w:r>
                </w:p>
                <w:p w14:paraId="6E9BD75E" w14:textId="77777777" w:rsidR="00D76555" w:rsidRPr="000E6D86" w:rsidRDefault="00D76555" w:rsidP="000A703C">
                  <w:pPr>
                    <w:jc w:val="both"/>
                    <w:rPr>
                      <w:rFonts w:cs="Arial"/>
                      <w:sz w:val="20"/>
                      <w:szCs w:val="20"/>
                    </w:rPr>
                  </w:pPr>
                </w:p>
                <w:p w14:paraId="6BA222BD" w14:textId="77777777" w:rsidR="00D76555" w:rsidRPr="000E6D86" w:rsidRDefault="00D76555" w:rsidP="000A703C">
                  <w:pPr>
                    <w:jc w:val="both"/>
                    <w:rPr>
                      <w:rFonts w:cs="Arial"/>
                      <w:sz w:val="20"/>
                      <w:szCs w:val="20"/>
                    </w:rPr>
                  </w:pPr>
                </w:p>
                <w:p w14:paraId="461B9496" w14:textId="77777777" w:rsidR="00D76555" w:rsidRPr="000E6D86" w:rsidRDefault="00D76555" w:rsidP="000A703C">
                  <w:pPr>
                    <w:jc w:val="both"/>
                    <w:rPr>
                      <w:rFonts w:cs="Arial"/>
                      <w:sz w:val="20"/>
                      <w:szCs w:val="20"/>
                    </w:rPr>
                  </w:pPr>
                  <w:r w:rsidRPr="000E6D86">
                    <w:rPr>
                      <w:rFonts w:cs="Arial"/>
                      <w:sz w:val="20"/>
                      <w:szCs w:val="20"/>
                    </w:rPr>
                    <w:t>Presupuesto anual OPR.</w:t>
                  </w:r>
                </w:p>
              </w:tc>
              <w:tc>
                <w:tcPr>
                  <w:tcW w:w="578" w:type="dxa"/>
                </w:tcPr>
                <w:p w14:paraId="2B2015EF" w14:textId="77777777" w:rsidR="00D76555" w:rsidRPr="000E6D86" w:rsidRDefault="00D76555" w:rsidP="00C24D0B">
                  <w:pPr>
                    <w:rPr>
                      <w:rFonts w:cs="Arial"/>
                      <w:sz w:val="20"/>
                      <w:szCs w:val="20"/>
                    </w:rPr>
                  </w:pPr>
                  <w:r w:rsidRPr="000E6D86">
                    <w:rPr>
                      <w:rFonts w:cs="Arial"/>
                      <w:sz w:val="20"/>
                      <w:szCs w:val="20"/>
                    </w:rPr>
                    <w:t>1</w:t>
                  </w:r>
                </w:p>
                <w:p w14:paraId="08F64AB1" w14:textId="77777777" w:rsidR="00D76555" w:rsidRPr="000E6D86" w:rsidRDefault="00D76555" w:rsidP="00C24D0B">
                  <w:pPr>
                    <w:rPr>
                      <w:rFonts w:cs="Arial"/>
                      <w:sz w:val="20"/>
                      <w:szCs w:val="20"/>
                    </w:rPr>
                  </w:pPr>
                </w:p>
                <w:p w14:paraId="6B9C2C1C" w14:textId="77777777" w:rsidR="00D76555" w:rsidRPr="000E6D86" w:rsidRDefault="00D76555" w:rsidP="00C24D0B">
                  <w:pPr>
                    <w:rPr>
                      <w:rFonts w:cs="Arial"/>
                      <w:sz w:val="20"/>
                      <w:szCs w:val="20"/>
                    </w:rPr>
                  </w:pPr>
                </w:p>
                <w:p w14:paraId="615516C5" w14:textId="77777777" w:rsidR="00D76555" w:rsidRPr="000E6D86" w:rsidRDefault="00D76555" w:rsidP="00C24D0B">
                  <w:pPr>
                    <w:rPr>
                      <w:rFonts w:cs="Arial"/>
                      <w:sz w:val="20"/>
                      <w:szCs w:val="20"/>
                    </w:rPr>
                  </w:pPr>
                </w:p>
                <w:p w14:paraId="1857734A" w14:textId="77777777" w:rsidR="00D76555" w:rsidRPr="000E6D86" w:rsidRDefault="00D76555" w:rsidP="00C24D0B">
                  <w:pPr>
                    <w:rPr>
                      <w:rFonts w:cs="Arial"/>
                      <w:sz w:val="20"/>
                      <w:szCs w:val="20"/>
                    </w:rPr>
                  </w:pPr>
                </w:p>
                <w:p w14:paraId="6DEE8AB0" w14:textId="77777777" w:rsidR="00D76555" w:rsidRPr="000E6D86" w:rsidRDefault="00D76555" w:rsidP="00C24D0B">
                  <w:pPr>
                    <w:rPr>
                      <w:rFonts w:cs="Arial"/>
                      <w:sz w:val="20"/>
                      <w:szCs w:val="20"/>
                    </w:rPr>
                  </w:pPr>
                  <w:r w:rsidRPr="000E6D86">
                    <w:rPr>
                      <w:rFonts w:cs="Arial"/>
                      <w:sz w:val="20"/>
                      <w:szCs w:val="20"/>
                    </w:rPr>
                    <w:t>1</w:t>
                  </w:r>
                </w:p>
              </w:tc>
              <w:tc>
                <w:tcPr>
                  <w:tcW w:w="425" w:type="dxa"/>
                </w:tcPr>
                <w:p w14:paraId="734B739A" w14:textId="77777777" w:rsidR="00D76555" w:rsidRPr="000E6D86" w:rsidRDefault="00D76555" w:rsidP="00C24D0B">
                  <w:pPr>
                    <w:rPr>
                      <w:rFonts w:cs="Arial"/>
                      <w:sz w:val="20"/>
                      <w:szCs w:val="20"/>
                    </w:rPr>
                  </w:pPr>
                </w:p>
              </w:tc>
              <w:tc>
                <w:tcPr>
                  <w:tcW w:w="568" w:type="dxa"/>
                </w:tcPr>
                <w:p w14:paraId="309EC9EA" w14:textId="77777777" w:rsidR="00D76555" w:rsidRPr="000E6D86" w:rsidRDefault="00D76555" w:rsidP="00C24D0B">
                  <w:pPr>
                    <w:rPr>
                      <w:rFonts w:cs="Arial"/>
                      <w:sz w:val="20"/>
                      <w:szCs w:val="20"/>
                    </w:rPr>
                  </w:pPr>
                </w:p>
              </w:tc>
              <w:tc>
                <w:tcPr>
                  <w:tcW w:w="566" w:type="dxa"/>
                </w:tcPr>
                <w:p w14:paraId="56B4F04C" w14:textId="77777777" w:rsidR="00D76555" w:rsidRPr="000E6D86" w:rsidRDefault="00D76555" w:rsidP="00C24D0B">
                  <w:pPr>
                    <w:rPr>
                      <w:rFonts w:cs="Arial"/>
                      <w:sz w:val="20"/>
                      <w:szCs w:val="20"/>
                    </w:rPr>
                  </w:pPr>
                  <w:r w:rsidRPr="000E6D86">
                    <w:rPr>
                      <w:rFonts w:cs="Arial"/>
                      <w:sz w:val="20"/>
                      <w:szCs w:val="20"/>
                    </w:rPr>
                    <w:t>1</w:t>
                  </w:r>
                </w:p>
                <w:p w14:paraId="767368BA" w14:textId="77777777" w:rsidR="00D76555" w:rsidRPr="000E6D86" w:rsidRDefault="00D76555" w:rsidP="00C24D0B">
                  <w:pPr>
                    <w:rPr>
                      <w:rFonts w:cs="Arial"/>
                      <w:sz w:val="20"/>
                      <w:szCs w:val="20"/>
                    </w:rPr>
                  </w:pPr>
                </w:p>
                <w:p w14:paraId="44858E99" w14:textId="77777777" w:rsidR="00D76555" w:rsidRPr="000E6D86" w:rsidRDefault="00D76555" w:rsidP="00C24D0B">
                  <w:pPr>
                    <w:rPr>
                      <w:rFonts w:cs="Arial"/>
                      <w:sz w:val="20"/>
                      <w:szCs w:val="20"/>
                    </w:rPr>
                  </w:pPr>
                </w:p>
                <w:p w14:paraId="52BC5421" w14:textId="77777777" w:rsidR="00D76555" w:rsidRPr="000E6D86" w:rsidRDefault="00D76555" w:rsidP="00C24D0B">
                  <w:pPr>
                    <w:rPr>
                      <w:rFonts w:cs="Arial"/>
                      <w:sz w:val="20"/>
                      <w:szCs w:val="20"/>
                    </w:rPr>
                  </w:pPr>
                </w:p>
                <w:p w14:paraId="1DF459F2" w14:textId="77777777" w:rsidR="00D76555" w:rsidRPr="000E6D86" w:rsidRDefault="00D76555" w:rsidP="00C24D0B">
                  <w:pPr>
                    <w:rPr>
                      <w:rFonts w:cs="Arial"/>
                      <w:sz w:val="20"/>
                      <w:szCs w:val="20"/>
                    </w:rPr>
                  </w:pPr>
                </w:p>
                <w:p w14:paraId="422B583B" w14:textId="77777777" w:rsidR="00D76555" w:rsidRPr="000E6D86" w:rsidRDefault="00D76555" w:rsidP="00C24D0B">
                  <w:pPr>
                    <w:rPr>
                      <w:rFonts w:cs="Arial"/>
                      <w:sz w:val="20"/>
                      <w:szCs w:val="20"/>
                    </w:rPr>
                  </w:pPr>
                  <w:r w:rsidRPr="000E6D86">
                    <w:rPr>
                      <w:rFonts w:cs="Arial"/>
                      <w:sz w:val="20"/>
                      <w:szCs w:val="20"/>
                    </w:rPr>
                    <w:t>2</w:t>
                  </w:r>
                </w:p>
              </w:tc>
              <w:tc>
                <w:tcPr>
                  <w:tcW w:w="284" w:type="dxa"/>
                </w:tcPr>
                <w:p w14:paraId="13E49592" w14:textId="77777777" w:rsidR="00D76555" w:rsidRPr="000E6D86" w:rsidRDefault="00D76555" w:rsidP="00C24D0B">
                  <w:pPr>
                    <w:rPr>
                      <w:rFonts w:cs="Arial"/>
                      <w:sz w:val="20"/>
                      <w:szCs w:val="20"/>
                    </w:rPr>
                  </w:pPr>
                </w:p>
              </w:tc>
              <w:tc>
                <w:tcPr>
                  <w:tcW w:w="425" w:type="dxa"/>
                </w:tcPr>
                <w:p w14:paraId="434AB61D" w14:textId="77777777" w:rsidR="00D76555" w:rsidRPr="000E6D86" w:rsidRDefault="00D76555" w:rsidP="00C24D0B">
                  <w:pPr>
                    <w:rPr>
                      <w:rFonts w:cs="Arial"/>
                      <w:sz w:val="20"/>
                      <w:szCs w:val="20"/>
                    </w:rPr>
                  </w:pPr>
                </w:p>
              </w:tc>
              <w:tc>
                <w:tcPr>
                  <w:tcW w:w="2173" w:type="dxa"/>
                </w:tcPr>
                <w:p w14:paraId="60545968" w14:textId="77777777" w:rsidR="00D76555" w:rsidRPr="000E6D86" w:rsidRDefault="00D76555" w:rsidP="00C24D0B">
                  <w:pPr>
                    <w:rPr>
                      <w:rFonts w:cs="Arial"/>
                      <w:sz w:val="20"/>
                      <w:szCs w:val="20"/>
                    </w:rPr>
                  </w:pPr>
                </w:p>
              </w:tc>
            </w:tr>
          </w:tbl>
          <w:p w14:paraId="472ED4A4" w14:textId="77777777" w:rsidR="00C24D0B" w:rsidRPr="000E6D86" w:rsidRDefault="00C24D0B" w:rsidP="00C24D0B">
            <w:pPr>
              <w:jc w:val="both"/>
              <w:rPr>
                <w:rFonts w:cs="Arial"/>
                <w:sz w:val="20"/>
                <w:szCs w:val="20"/>
                <w:lang w:val="es-ES"/>
              </w:rPr>
            </w:pPr>
          </w:p>
        </w:tc>
      </w:tr>
      <w:tr w:rsidR="000E6D86" w:rsidRPr="000E6D86" w14:paraId="2DBD0776" w14:textId="77777777" w:rsidTr="00C24D0B">
        <w:tc>
          <w:tcPr>
            <w:tcW w:w="9351" w:type="dxa"/>
            <w:gridSpan w:val="2"/>
          </w:tcPr>
          <w:p w14:paraId="26E1566B" w14:textId="77777777" w:rsidR="00C24D0B" w:rsidRPr="000E6D86" w:rsidRDefault="00C24D0B" w:rsidP="00C24D0B">
            <w:pPr>
              <w:jc w:val="both"/>
              <w:rPr>
                <w:rFonts w:cs="Arial"/>
                <w:sz w:val="20"/>
                <w:szCs w:val="20"/>
                <w:lang w:val="es-ES"/>
              </w:rPr>
            </w:pPr>
          </w:p>
        </w:tc>
      </w:tr>
    </w:tbl>
    <w:p w14:paraId="23BF4BA3" w14:textId="77777777" w:rsidR="006A3DBC" w:rsidRPr="00FA4B2D" w:rsidRDefault="006A3DBC" w:rsidP="006A3DBC">
      <w:pPr>
        <w:spacing w:after="0" w:line="240" w:lineRule="auto"/>
        <w:jc w:val="both"/>
        <w:rPr>
          <w:rFonts w:cs="Arial"/>
        </w:rPr>
      </w:pPr>
    </w:p>
    <w:p w14:paraId="3BE92FFB" w14:textId="0F5185FB" w:rsidR="006A3DBC" w:rsidRPr="00FA4B2D" w:rsidRDefault="006A3DBC" w:rsidP="006A3DBC">
      <w:pPr>
        <w:pStyle w:val="Ttulo2"/>
        <w:numPr>
          <w:ilvl w:val="1"/>
          <w:numId w:val="34"/>
        </w:numPr>
        <w:spacing w:before="0" w:line="240" w:lineRule="auto"/>
        <w:jc w:val="both"/>
        <w:rPr>
          <w:rFonts w:ascii="Arial" w:hAnsi="Arial" w:cs="Arial"/>
          <w:b/>
          <w:bCs/>
          <w:color w:val="767171" w:themeColor="background2" w:themeShade="80"/>
          <w:sz w:val="22"/>
          <w:szCs w:val="22"/>
        </w:rPr>
      </w:pPr>
      <w:bookmarkStart w:id="1221" w:name="_Toc67573431"/>
      <w:bookmarkStart w:id="1222" w:name="_Toc202456959"/>
      <w:r w:rsidRPr="00FA4B2D">
        <w:rPr>
          <w:rFonts w:ascii="Arial" w:hAnsi="Arial" w:cs="Arial"/>
          <w:b/>
          <w:bCs/>
          <w:color w:val="767171" w:themeColor="background2" w:themeShade="80"/>
          <w:sz w:val="22"/>
          <w:szCs w:val="22"/>
        </w:rPr>
        <w:t xml:space="preserve">Gestión de riesgos para la prevención de la violencia </w:t>
      </w:r>
      <w:r w:rsidR="00803454" w:rsidRPr="00FA4B2D">
        <w:rPr>
          <w:rFonts w:ascii="Arial" w:hAnsi="Arial" w:cs="Arial"/>
          <w:b/>
          <w:bCs/>
          <w:color w:val="767171" w:themeColor="background2" w:themeShade="80"/>
          <w:sz w:val="22"/>
          <w:szCs w:val="22"/>
        </w:rPr>
        <w:t xml:space="preserve">basada en </w:t>
      </w:r>
      <w:r w:rsidRPr="00FA4B2D">
        <w:rPr>
          <w:rFonts w:ascii="Arial" w:hAnsi="Arial" w:cs="Arial"/>
          <w:b/>
          <w:bCs/>
          <w:color w:val="767171" w:themeColor="background2" w:themeShade="80"/>
          <w:sz w:val="22"/>
          <w:szCs w:val="22"/>
        </w:rPr>
        <w:t>género</w:t>
      </w:r>
      <w:bookmarkEnd w:id="1221"/>
      <w:bookmarkEnd w:id="1222"/>
    </w:p>
    <w:p w14:paraId="7BE284A0" w14:textId="75D3B331" w:rsidR="006A3DBC" w:rsidRPr="00FA4B2D" w:rsidRDefault="006A3DBC" w:rsidP="006A3DBC">
      <w:pPr>
        <w:spacing w:before="100" w:beforeAutospacing="1" w:after="100" w:afterAutospacing="1" w:line="240" w:lineRule="auto"/>
        <w:jc w:val="both"/>
        <w:rPr>
          <w:rFonts w:cs="Arial"/>
          <w:lang w:val="es-MX"/>
        </w:rPr>
      </w:pPr>
      <w:bookmarkStart w:id="1223" w:name="_Hlk38967916"/>
      <w:r w:rsidRPr="00FA4B2D">
        <w:rPr>
          <w:rFonts w:cs="Arial"/>
          <w:lang w:val="es-MX"/>
        </w:rPr>
        <w:t xml:space="preserve">El Proyecto COMRURAL III propone ciertas actividades a incorporarse en el marco del Proyecto, que pretendes incentivar la reducción de brechas de género. Entre las potenciales actividades a implementar bajo el Proyecto se encuentran las siguientes: (i) capacitaciones técnicas a la UEP del Proyecto COMRURAL III y la UAP de la SAG, los proveedores de servicios y las OPRs en una forma piramidal que incluye "capacitadores de capacitadores, en aspectos de barreras basadas en género, empoderamiento de la mujer, prevención y respuesta a la explotación /abuso sexual y acoso sexual y discutiendo sobre potenciales implicaciones del empoderamiento económico femenino en el marco del Proyecto, entre otros temas a considerarse; (ii) divulgación estratégica del Proyecto en cadenas productivas y territorios que tengan un alto potencial alto de incentivar y/o atraer mayor participación de mujeres, indígenas y afrodescendientes en el Proyecto; (iii) inclusión de mecanismo de denuncia dentro del ya establecido mecanismo de quejas y reclamos, a fin de brindar a las víctimas o testigos un canal adicional de denuncia; (iv) inclusión de medidas </w:t>
      </w:r>
      <w:r w:rsidRPr="00FA4B2D">
        <w:rPr>
          <w:rFonts w:cs="Arial"/>
          <w:lang w:val="es-MX"/>
        </w:rPr>
        <w:lastRenderedPageBreak/>
        <w:t xml:space="preserve">sencillas de prevención de </w:t>
      </w:r>
      <w:r w:rsidR="00803454" w:rsidRPr="00FA4B2D">
        <w:rPr>
          <w:rFonts w:cs="Arial"/>
          <w:lang w:val="es-MX"/>
        </w:rPr>
        <w:t>EyAS/ASx</w:t>
      </w:r>
      <w:r w:rsidRPr="00FA4B2D">
        <w:rPr>
          <w:rFonts w:cs="Arial"/>
          <w:lang w:val="es-MX"/>
        </w:rPr>
        <w:t xml:space="preserve"> en los PGAS de los PdNs que se preparen con las OPRs; (v) identificación de proveedores de servicios para responder a la VBG locales en los PGAS de los PdNs; (vi) inclusión de mecanismos para recolectar datos de los beneficiarios del Proyecto relativos a aspectos de género, empoderamiento de la mujer, entre otros. Finalmente, se acordó identificar cuáles serán los mecanismos mediante los cuales se financiarán dichas actividades en el marco del Proyecto. </w:t>
      </w:r>
    </w:p>
    <w:p w14:paraId="3C06E32A" w14:textId="558E4E71" w:rsidR="006A3DBC" w:rsidRPr="00FA4B2D" w:rsidRDefault="006A3DBC" w:rsidP="006A3DBC">
      <w:pPr>
        <w:spacing w:before="100" w:beforeAutospacing="1" w:after="100" w:afterAutospacing="1" w:line="240" w:lineRule="auto"/>
        <w:jc w:val="both"/>
        <w:rPr>
          <w:rFonts w:cs="Arial"/>
          <w:lang w:val="es-MX"/>
        </w:rPr>
      </w:pPr>
      <w:r w:rsidRPr="00FA4B2D">
        <w:rPr>
          <w:rFonts w:cs="Arial"/>
          <w:lang w:val="es-MX"/>
        </w:rPr>
        <w:t xml:space="preserve">Para el COMRURAL III, las preocupaciones principales en materia de riesgo de VBG se relacionan con la presencia de trabajadores en zonas de Proyecto pueden causar retos sociales ya que los trabajadores nuevos en el área pueden causar disturbios a nivel local, o causar molestias o VBG, </w:t>
      </w:r>
      <w:r w:rsidR="00803454" w:rsidRPr="00FA4B2D">
        <w:rPr>
          <w:rFonts w:cs="Arial"/>
          <w:lang w:val="es-MX"/>
        </w:rPr>
        <w:t>EyAS/ASx</w:t>
      </w:r>
      <w:r w:rsidRPr="00FA4B2D">
        <w:rPr>
          <w:rFonts w:cs="Arial"/>
          <w:lang w:val="es-MX"/>
        </w:rPr>
        <w:t>, y / o riesgos para la salud.</w:t>
      </w:r>
    </w:p>
    <w:p w14:paraId="0C08EC38" w14:textId="4945116A" w:rsidR="000E6D86" w:rsidRDefault="000E6D86" w:rsidP="000E6D86">
      <w:pPr>
        <w:pStyle w:val="Descripcin"/>
        <w:keepNext/>
      </w:pPr>
      <w:bookmarkStart w:id="1224" w:name="_Toc202455490"/>
      <w:r>
        <w:t xml:space="preserve">Tabla </w:t>
      </w:r>
      <w:r>
        <w:fldChar w:fldCharType="begin"/>
      </w:r>
      <w:r>
        <w:instrText xml:space="preserve"> SEQ Tabla \* ARABIC </w:instrText>
      </w:r>
      <w:r>
        <w:fldChar w:fldCharType="separate"/>
      </w:r>
      <w:r>
        <w:rPr>
          <w:noProof/>
        </w:rPr>
        <w:t>64</w:t>
      </w:r>
      <w:r>
        <w:fldChar w:fldCharType="end"/>
      </w:r>
      <w:r>
        <w:t xml:space="preserve">: </w:t>
      </w:r>
      <w:r w:rsidRPr="00785F1B">
        <w:t>La violencia basada en género</w:t>
      </w:r>
      <w:bookmarkEnd w:id="1224"/>
    </w:p>
    <w:tbl>
      <w:tblPr>
        <w:tblW w:w="5000" w:type="pct"/>
        <w:tblLook w:val="04A0" w:firstRow="1" w:lastRow="0" w:firstColumn="1" w:lastColumn="0" w:noHBand="0" w:noVBand="1"/>
      </w:tblPr>
      <w:tblGrid>
        <w:gridCol w:w="3179"/>
        <w:gridCol w:w="5741"/>
      </w:tblGrid>
      <w:tr w:rsidR="000E6D86" w:rsidRPr="000E6D86" w14:paraId="6B61B371" w14:textId="77777777" w:rsidTr="00C24D0B">
        <w:trPr>
          <w:tblHeader/>
        </w:trPr>
        <w:tc>
          <w:tcPr>
            <w:tcW w:w="1782" w:type="pct"/>
            <w:tcBorders>
              <w:top w:val="single" w:sz="4" w:space="0" w:color="auto"/>
              <w:left w:val="single" w:sz="4" w:space="0" w:color="auto"/>
              <w:bottom w:val="single" w:sz="4" w:space="0" w:color="auto"/>
              <w:right w:val="single" w:sz="4" w:space="0" w:color="auto"/>
            </w:tcBorders>
            <w:shd w:val="clear" w:color="auto" w:fill="5CC5DA"/>
            <w:vAlign w:val="center"/>
            <w:hideMark/>
          </w:tcPr>
          <w:p w14:paraId="5AEFCEDC" w14:textId="77777777" w:rsidR="006A3DBC" w:rsidRPr="000E6D86" w:rsidRDefault="006A3DBC" w:rsidP="005F4A92">
            <w:pPr>
              <w:ind w:left="22" w:hanging="22"/>
              <w:jc w:val="center"/>
              <w:rPr>
                <w:rFonts w:cs="Arial"/>
                <w:b/>
                <w:sz w:val="20"/>
                <w:szCs w:val="20"/>
              </w:rPr>
            </w:pPr>
            <w:r w:rsidRPr="000E6D86">
              <w:rPr>
                <w:rFonts w:cs="Arial"/>
                <w:b/>
                <w:sz w:val="20"/>
                <w:szCs w:val="20"/>
              </w:rPr>
              <w:t>Impactos</w:t>
            </w:r>
          </w:p>
        </w:tc>
        <w:tc>
          <w:tcPr>
            <w:tcW w:w="3218" w:type="pct"/>
            <w:tcBorders>
              <w:top w:val="single" w:sz="4" w:space="0" w:color="auto"/>
              <w:left w:val="single" w:sz="4" w:space="0" w:color="auto"/>
              <w:bottom w:val="single" w:sz="4" w:space="0" w:color="auto"/>
              <w:right w:val="single" w:sz="4" w:space="0" w:color="auto"/>
            </w:tcBorders>
            <w:shd w:val="clear" w:color="auto" w:fill="5CC5DA"/>
            <w:vAlign w:val="center"/>
            <w:hideMark/>
          </w:tcPr>
          <w:p w14:paraId="3CDFA8F6" w14:textId="77777777" w:rsidR="006A3DBC" w:rsidRPr="000E6D86" w:rsidRDefault="006A3DBC" w:rsidP="005F4A92">
            <w:pPr>
              <w:autoSpaceDE w:val="0"/>
              <w:autoSpaceDN w:val="0"/>
              <w:adjustRightInd w:val="0"/>
              <w:ind w:left="22" w:hanging="22"/>
              <w:jc w:val="center"/>
              <w:rPr>
                <w:rFonts w:cs="Arial"/>
                <w:b/>
                <w:sz w:val="20"/>
                <w:szCs w:val="20"/>
              </w:rPr>
            </w:pPr>
            <w:r w:rsidRPr="000E6D86">
              <w:rPr>
                <w:rFonts w:cs="Arial"/>
                <w:b/>
                <w:sz w:val="20"/>
                <w:szCs w:val="20"/>
              </w:rPr>
              <w:t>Mitigación</w:t>
            </w:r>
          </w:p>
        </w:tc>
      </w:tr>
      <w:tr w:rsidR="000E6D86" w:rsidRPr="000E6D86" w14:paraId="76DEBA66" w14:textId="77777777" w:rsidTr="005F4A92">
        <w:tc>
          <w:tcPr>
            <w:tcW w:w="1782" w:type="pct"/>
            <w:tcBorders>
              <w:top w:val="single" w:sz="4" w:space="0" w:color="auto"/>
              <w:left w:val="single" w:sz="4" w:space="0" w:color="auto"/>
              <w:bottom w:val="single" w:sz="4" w:space="0" w:color="auto"/>
              <w:right w:val="single" w:sz="4" w:space="0" w:color="auto"/>
            </w:tcBorders>
            <w:vAlign w:val="center"/>
            <w:hideMark/>
          </w:tcPr>
          <w:p w14:paraId="1E2DDA3B" w14:textId="77777777" w:rsidR="006A3DBC" w:rsidRPr="000E6D86" w:rsidRDefault="006A3DBC" w:rsidP="000A703C">
            <w:pPr>
              <w:ind w:left="22" w:hanging="22"/>
              <w:jc w:val="both"/>
              <w:rPr>
                <w:rFonts w:cs="Arial"/>
                <w:sz w:val="20"/>
                <w:szCs w:val="20"/>
                <w:lang w:val="es-MX"/>
              </w:rPr>
            </w:pPr>
            <w:r w:rsidRPr="000E6D86">
              <w:rPr>
                <w:rFonts w:cs="Arial"/>
                <w:sz w:val="20"/>
                <w:szCs w:val="20"/>
                <w:lang w:val="es-MX"/>
              </w:rPr>
              <w:t>La VBG tiene muchas consecuencias negativas para la salud y el bienestar de las mujeres. Las consecuencias de esta violencia pueden ser muerte, homicidio, miedo, suicidios o muertos relacionados con enfermedades contraídas, dolor, lesiones, perdida de autoestima, aislamiento, la capacidad de la víctima afectada de vivir positivamente u obtener acceso a atención médica, tratamiento y apoyo.</w:t>
            </w:r>
          </w:p>
        </w:tc>
        <w:tc>
          <w:tcPr>
            <w:tcW w:w="3218" w:type="pct"/>
            <w:tcBorders>
              <w:top w:val="single" w:sz="4" w:space="0" w:color="auto"/>
              <w:left w:val="single" w:sz="4" w:space="0" w:color="auto"/>
              <w:bottom w:val="single" w:sz="4" w:space="0" w:color="auto"/>
              <w:right w:val="single" w:sz="4" w:space="0" w:color="auto"/>
            </w:tcBorders>
            <w:vAlign w:val="center"/>
            <w:hideMark/>
          </w:tcPr>
          <w:p w14:paraId="6019DDBA" w14:textId="77777777" w:rsidR="006A3DBC" w:rsidRPr="000E6D86" w:rsidRDefault="006A3DBC" w:rsidP="000A703C">
            <w:pPr>
              <w:pStyle w:val="Prrafodelista"/>
              <w:numPr>
                <w:ilvl w:val="0"/>
                <w:numId w:val="36"/>
              </w:numPr>
              <w:autoSpaceDE w:val="0"/>
              <w:autoSpaceDN w:val="0"/>
              <w:adjustRightInd w:val="0"/>
              <w:ind w:left="22" w:hanging="22"/>
              <w:jc w:val="both"/>
              <w:rPr>
                <w:rFonts w:cs="Arial"/>
                <w:sz w:val="20"/>
                <w:szCs w:val="20"/>
                <w:lang w:val="es-MX"/>
              </w:rPr>
            </w:pPr>
            <w:r w:rsidRPr="000E6D86">
              <w:rPr>
                <w:rFonts w:cs="Arial"/>
                <w:sz w:val="20"/>
                <w:szCs w:val="20"/>
                <w:lang w:val="es-MX"/>
              </w:rPr>
              <w:t>Conciencia y comunicación sobre el cambio de comportamiento a nivel comunitario;</w:t>
            </w:r>
          </w:p>
          <w:p w14:paraId="5B5C0FAC" w14:textId="77777777" w:rsidR="006A3DBC" w:rsidRPr="000E6D86" w:rsidRDefault="006A3DBC" w:rsidP="000A703C">
            <w:pPr>
              <w:pStyle w:val="Prrafodelista"/>
              <w:numPr>
                <w:ilvl w:val="0"/>
                <w:numId w:val="36"/>
              </w:numPr>
              <w:autoSpaceDE w:val="0"/>
              <w:autoSpaceDN w:val="0"/>
              <w:adjustRightInd w:val="0"/>
              <w:ind w:left="22" w:hanging="22"/>
              <w:jc w:val="both"/>
              <w:rPr>
                <w:rFonts w:cs="Arial"/>
                <w:sz w:val="20"/>
                <w:szCs w:val="20"/>
                <w:lang w:val="es-MX"/>
              </w:rPr>
            </w:pPr>
            <w:r w:rsidRPr="000E6D86">
              <w:rPr>
                <w:rFonts w:cs="Arial"/>
                <w:sz w:val="20"/>
                <w:szCs w:val="20"/>
                <w:lang w:val="es-MX"/>
              </w:rPr>
              <w:t>Realización de actividades de empoderamiento económico de las mujeres;</w:t>
            </w:r>
          </w:p>
          <w:p w14:paraId="75D210EC" w14:textId="77777777" w:rsidR="006A3DBC" w:rsidRPr="000E6D86" w:rsidRDefault="006A3DBC" w:rsidP="000A703C">
            <w:pPr>
              <w:pStyle w:val="Prrafodelista"/>
              <w:numPr>
                <w:ilvl w:val="0"/>
                <w:numId w:val="36"/>
              </w:numPr>
              <w:autoSpaceDE w:val="0"/>
              <w:autoSpaceDN w:val="0"/>
              <w:adjustRightInd w:val="0"/>
              <w:ind w:left="22" w:hanging="22"/>
              <w:jc w:val="both"/>
              <w:rPr>
                <w:rFonts w:cs="Arial"/>
                <w:sz w:val="20"/>
                <w:szCs w:val="20"/>
                <w:lang w:val="es-MX"/>
              </w:rPr>
            </w:pPr>
            <w:r w:rsidRPr="000E6D86">
              <w:rPr>
                <w:rFonts w:cs="Arial"/>
                <w:sz w:val="20"/>
                <w:szCs w:val="20"/>
                <w:lang w:val="es-MX"/>
              </w:rPr>
              <w:t>Capacitación transformadora en género (habilidades de comunicación y manejo de conflictos, actividades de medios de vida);</w:t>
            </w:r>
          </w:p>
          <w:p w14:paraId="16E02CF7" w14:textId="77777777" w:rsidR="006A3DBC" w:rsidRPr="000E6D86" w:rsidRDefault="006A3DBC" w:rsidP="000A703C">
            <w:pPr>
              <w:pStyle w:val="Prrafodelista"/>
              <w:numPr>
                <w:ilvl w:val="0"/>
                <w:numId w:val="36"/>
              </w:numPr>
              <w:autoSpaceDE w:val="0"/>
              <w:autoSpaceDN w:val="0"/>
              <w:adjustRightInd w:val="0"/>
              <w:ind w:left="22" w:hanging="22"/>
              <w:jc w:val="both"/>
              <w:rPr>
                <w:rFonts w:cs="Arial"/>
                <w:sz w:val="20"/>
                <w:szCs w:val="20"/>
                <w:lang w:val="es-MX"/>
              </w:rPr>
            </w:pPr>
            <w:r w:rsidRPr="000E6D86">
              <w:rPr>
                <w:rFonts w:cs="Arial"/>
                <w:sz w:val="20"/>
                <w:szCs w:val="20"/>
                <w:lang w:val="es-MX"/>
              </w:rPr>
              <w:t>Capacitar a hombres y niños sobre masculinidad positiva;</w:t>
            </w:r>
          </w:p>
          <w:p w14:paraId="3129C3B1" w14:textId="77777777" w:rsidR="006A3DBC" w:rsidRPr="000E6D86" w:rsidRDefault="006A3DBC" w:rsidP="000A703C">
            <w:pPr>
              <w:pStyle w:val="Prrafodelista"/>
              <w:numPr>
                <w:ilvl w:val="0"/>
                <w:numId w:val="36"/>
              </w:numPr>
              <w:autoSpaceDE w:val="0"/>
              <w:autoSpaceDN w:val="0"/>
              <w:adjustRightInd w:val="0"/>
              <w:ind w:left="22" w:hanging="22"/>
              <w:jc w:val="both"/>
              <w:rPr>
                <w:rFonts w:cs="Arial"/>
                <w:sz w:val="20"/>
                <w:szCs w:val="20"/>
                <w:lang w:val="es-MX"/>
              </w:rPr>
            </w:pPr>
            <w:r w:rsidRPr="000E6D86">
              <w:rPr>
                <w:rFonts w:cs="Arial"/>
                <w:sz w:val="20"/>
                <w:szCs w:val="20"/>
                <w:lang w:val="es-MX"/>
              </w:rPr>
              <w:t>Implementación de un módulo de capacitación sobre la provisión de atención de salud mental a nivel comunitario;</w:t>
            </w:r>
          </w:p>
          <w:p w14:paraId="2A452D7A" w14:textId="77777777" w:rsidR="006A3DBC" w:rsidRPr="000E6D86" w:rsidRDefault="006A3DBC" w:rsidP="000A703C">
            <w:pPr>
              <w:pStyle w:val="Prrafodelista"/>
              <w:numPr>
                <w:ilvl w:val="0"/>
                <w:numId w:val="36"/>
              </w:numPr>
              <w:autoSpaceDE w:val="0"/>
              <w:autoSpaceDN w:val="0"/>
              <w:adjustRightInd w:val="0"/>
              <w:ind w:left="22" w:hanging="22"/>
              <w:jc w:val="both"/>
              <w:rPr>
                <w:rFonts w:cs="Arial"/>
                <w:sz w:val="20"/>
                <w:szCs w:val="20"/>
                <w:lang w:val="es-MX"/>
              </w:rPr>
            </w:pPr>
            <w:r w:rsidRPr="000E6D86">
              <w:rPr>
                <w:rFonts w:cs="Arial"/>
                <w:sz w:val="20"/>
                <w:szCs w:val="20"/>
                <w:lang w:val="es-MX"/>
              </w:rPr>
              <w:t>Implementación de mecanismos de comunicación y denuncia para fomentar una cultura de transparencia y atención a las posibles víctimas;</w:t>
            </w:r>
          </w:p>
          <w:p w14:paraId="3AEE626F" w14:textId="77777777" w:rsidR="006A3DBC" w:rsidRPr="000E6D86" w:rsidRDefault="006A3DBC" w:rsidP="000A703C">
            <w:pPr>
              <w:pStyle w:val="Prrafodelista"/>
              <w:numPr>
                <w:ilvl w:val="0"/>
                <w:numId w:val="36"/>
              </w:numPr>
              <w:autoSpaceDE w:val="0"/>
              <w:autoSpaceDN w:val="0"/>
              <w:adjustRightInd w:val="0"/>
              <w:ind w:left="22" w:hanging="22"/>
              <w:jc w:val="both"/>
              <w:rPr>
                <w:rFonts w:cs="Arial"/>
                <w:sz w:val="20"/>
                <w:szCs w:val="20"/>
                <w:lang w:val="es-MX"/>
              </w:rPr>
            </w:pPr>
            <w:r w:rsidRPr="000E6D86">
              <w:rPr>
                <w:rFonts w:cs="Arial"/>
                <w:sz w:val="20"/>
                <w:szCs w:val="20"/>
                <w:lang w:val="es-MX"/>
              </w:rPr>
              <w:t>Firma de códigos de conducta para trabajadores y trabajadores (los cuales cuentan con provisiones para prevenir la violencia de género y, el acoso, la explotación y abuso sexual), educación sobre VBG y estipulación de leyes y regulaciones;</w:t>
            </w:r>
          </w:p>
          <w:p w14:paraId="6643103E" w14:textId="00969159" w:rsidR="006A3DBC" w:rsidRPr="000E6D86" w:rsidRDefault="00803454" w:rsidP="000A703C">
            <w:pPr>
              <w:pStyle w:val="Prrafodelista"/>
              <w:numPr>
                <w:ilvl w:val="0"/>
                <w:numId w:val="36"/>
              </w:numPr>
              <w:autoSpaceDE w:val="0"/>
              <w:autoSpaceDN w:val="0"/>
              <w:adjustRightInd w:val="0"/>
              <w:ind w:left="22" w:hanging="22"/>
              <w:jc w:val="both"/>
              <w:rPr>
                <w:rFonts w:cs="Arial"/>
                <w:sz w:val="20"/>
                <w:szCs w:val="20"/>
                <w:lang w:val="es-MX"/>
              </w:rPr>
            </w:pPr>
            <w:r w:rsidRPr="000E6D86">
              <w:rPr>
                <w:rFonts w:cs="Arial"/>
                <w:sz w:val="20"/>
                <w:szCs w:val="20"/>
                <w:lang w:val="es-MX"/>
              </w:rPr>
              <w:t>E</w:t>
            </w:r>
            <w:r w:rsidR="006A3DBC" w:rsidRPr="000E6D86">
              <w:rPr>
                <w:rFonts w:cs="Arial"/>
                <w:sz w:val="20"/>
                <w:szCs w:val="20"/>
                <w:lang w:val="es-MX"/>
              </w:rPr>
              <w:t xml:space="preserve">l </w:t>
            </w:r>
            <w:r w:rsidRPr="000E6D86">
              <w:rPr>
                <w:rFonts w:cs="Arial"/>
                <w:sz w:val="20"/>
                <w:szCs w:val="20"/>
                <w:lang w:val="es-MX"/>
              </w:rPr>
              <w:t>M</w:t>
            </w:r>
            <w:r w:rsidR="00163A7A" w:rsidRPr="000E6D86">
              <w:rPr>
                <w:rFonts w:cs="Arial"/>
                <w:sz w:val="20"/>
                <w:szCs w:val="20"/>
                <w:lang w:val="es-MX"/>
              </w:rPr>
              <w:t>C</w:t>
            </w:r>
            <w:r w:rsidRPr="000E6D86">
              <w:rPr>
                <w:rFonts w:cs="Arial"/>
                <w:sz w:val="20"/>
                <w:szCs w:val="20"/>
                <w:lang w:val="es-MX"/>
              </w:rPr>
              <w:t>QRS</w:t>
            </w:r>
            <w:r w:rsidR="006A3DBC" w:rsidRPr="000E6D86">
              <w:rPr>
                <w:rFonts w:cs="Arial"/>
                <w:sz w:val="20"/>
                <w:szCs w:val="20"/>
                <w:lang w:val="es-MX"/>
              </w:rPr>
              <w:t xml:space="preserve"> del Proyecto les dará un tratamiento diferenciado a las quejas por violencia de género, derivándolas a los proveedores de servicios a los sobrevivientes de VBG.</w:t>
            </w:r>
          </w:p>
          <w:p w14:paraId="35D30526" w14:textId="2B52C306" w:rsidR="006A3DBC" w:rsidRPr="000E6D86" w:rsidRDefault="006A3DBC" w:rsidP="000A703C">
            <w:pPr>
              <w:pStyle w:val="Prrafodelista"/>
              <w:numPr>
                <w:ilvl w:val="0"/>
                <w:numId w:val="36"/>
              </w:numPr>
              <w:autoSpaceDE w:val="0"/>
              <w:autoSpaceDN w:val="0"/>
              <w:adjustRightInd w:val="0"/>
              <w:ind w:left="22" w:hanging="22"/>
              <w:jc w:val="both"/>
              <w:rPr>
                <w:rFonts w:cs="Arial"/>
                <w:sz w:val="20"/>
                <w:szCs w:val="20"/>
                <w:lang w:val="es-MX"/>
              </w:rPr>
            </w:pPr>
            <w:r w:rsidRPr="000E6D86">
              <w:rPr>
                <w:rFonts w:cs="Arial"/>
                <w:sz w:val="20"/>
                <w:szCs w:val="20"/>
                <w:lang w:val="es-MX"/>
              </w:rPr>
              <w:t>Se incorporará como parte de la información para las mujeres una lista de proveedores de servicios esenciales para atender a mujeres y niñas víctimas de VBG para derivación de casos, cuando así lo determine la víctima.</w:t>
            </w:r>
          </w:p>
          <w:p w14:paraId="7B79487C" w14:textId="660C0E39" w:rsidR="006A3DBC" w:rsidRPr="000E6D86" w:rsidRDefault="006A3DBC" w:rsidP="000A703C">
            <w:pPr>
              <w:pStyle w:val="Prrafodelista"/>
              <w:numPr>
                <w:ilvl w:val="0"/>
                <w:numId w:val="36"/>
              </w:numPr>
              <w:autoSpaceDE w:val="0"/>
              <w:autoSpaceDN w:val="0"/>
              <w:adjustRightInd w:val="0"/>
              <w:ind w:left="22" w:hanging="22"/>
              <w:jc w:val="both"/>
              <w:rPr>
                <w:rFonts w:cs="Arial"/>
                <w:sz w:val="20"/>
                <w:szCs w:val="20"/>
                <w:lang w:val="es-MX"/>
              </w:rPr>
            </w:pPr>
            <w:r w:rsidRPr="000E6D86">
              <w:rPr>
                <w:rFonts w:cs="Arial"/>
                <w:sz w:val="20"/>
                <w:szCs w:val="20"/>
                <w:lang w:val="es-MX"/>
              </w:rPr>
              <w:t>Incluir en los Acuerdos de Subvención la importancia de la equidad de género</w:t>
            </w:r>
            <w:r w:rsidR="00803454" w:rsidRPr="000E6D86">
              <w:rPr>
                <w:rFonts w:cs="Arial"/>
                <w:sz w:val="20"/>
                <w:szCs w:val="20"/>
                <w:lang w:val="es-MX"/>
              </w:rPr>
              <w:t>.</w:t>
            </w:r>
            <w:r w:rsidRPr="000E6D86">
              <w:rPr>
                <w:rFonts w:cs="Arial"/>
                <w:sz w:val="20"/>
                <w:szCs w:val="20"/>
                <w:lang w:val="es-MX"/>
              </w:rPr>
              <w:t xml:space="preserve">  </w:t>
            </w:r>
          </w:p>
        </w:tc>
      </w:tr>
      <w:bookmarkEnd w:id="1223"/>
    </w:tbl>
    <w:p w14:paraId="30734209" w14:textId="77777777" w:rsidR="000E6D86" w:rsidRDefault="000E6D86" w:rsidP="006A3DBC">
      <w:pPr>
        <w:spacing w:after="0" w:line="240" w:lineRule="auto"/>
        <w:jc w:val="both"/>
        <w:rPr>
          <w:rFonts w:cs="Arial"/>
        </w:rPr>
      </w:pPr>
    </w:p>
    <w:p w14:paraId="01C491BD" w14:textId="77777777" w:rsidR="002B7276" w:rsidRDefault="002B7276" w:rsidP="006A3DBC">
      <w:pPr>
        <w:spacing w:after="0" w:line="240" w:lineRule="auto"/>
        <w:jc w:val="both"/>
        <w:rPr>
          <w:rFonts w:cs="Arial"/>
        </w:rPr>
      </w:pPr>
    </w:p>
    <w:p w14:paraId="3F490E05" w14:textId="77777777" w:rsidR="002B7276" w:rsidRDefault="002B7276" w:rsidP="006A3DBC">
      <w:pPr>
        <w:spacing w:after="0" w:line="240" w:lineRule="auto"/>
        <w:jc w:val="both"/>
        <w:rPr>
          <w:rFonts w:cs="Arial"/>
        </w:rPr>
      </w:pPr>
    </w:p>
    <w:p w14:paraId="5F40F207" w14:textId="77777777" w:rsidR="002B7276" w:rsidRPr="00FA4B2D" w:rsidRDefault="002B7276" w:rsidP="006A3DBC">
      <w:pPr>
        <w:spacing w:after="0" w:line="240" w:lineRule="auto"/>
        <w:jc w:val="both"/>
        <w:rPr>
          <w:rFonts w:cs="Arial"/>
        </w:rPr>
      </w:pPr>
    </w:p>
    <w:p w14:paraId="19164FE9" w14:textId="77777777" w:rsidR="006A3DBC" w:rsidRPr="00FA4B2D" w:rsidRDefault="006A3DBC" w:rsidP="006A3DBC">
      <w:pPr>
        <w:pStyle w:val="Ttulo2"/>
        <w:numPr>
          <w:ilvl w:val="1"/>
          <w:numId w:val="34"/>
        </w:numPr>
        <w:spacing w:before="0" w:line="240" w:lineRule="auto"/>
        <w:jc w:val="both"/>
        <w:rPr>
          <w:rFonts w:ascii="Arial" w:hAnsi="Arial" w:cs="Arial"/>
          <w:b/>
          <w:color w:val="767171" w:themeColor="background2" w:themeShade="80"/>
          <w:sz w:val="22"/>
          <w:szCs w:val="22"/>
        </w:rPr>
      </w:pPr>
      <w:bookmarkStart w:id="1225" w:name="_Toc67573432"/>
      <w:bookmarkStart w:id="1226" w:name="_Toc202456960"/>
      <w:bookmarkStart w:id="1227" w:name="_Toc65884210"/>
      <w:r w:rsidRPr="00FA4B2D">
        <w:rPr>
          <w:rFonts w:ascii="Arial" w:hAnsi="Arial" w:cs="Arial"/>
          <w:b/>
          <w:color w:val="767171" w:themeColor="background2" w:themeShade="80"/>
          <w:sz w:val="22"/>
          <w:szCs w:val="22"/>
        </w:rPr>
        <w:lastRenderedPageBreak/>
        <w:t>Gestión de riesgos asociados al contexto de crimen y violencia</w:t>
      </w:r>
      <w:bookmarkEnd w:id="1225"/>
      <w:bookmarkEnd w:id="1226"/>
    </w:p>
    <w:p w14:paraId="28CB6262" w14:textId="77777777" w:rsidR="006A3DBC" w:rsidRPr="00FA4B2D" w:rsidRDefault="006A3DBC" w:rsidP="006A3DBC">
      <w:pPr>
        <w:spacing w:line="240" w:lineRule="auto"/>
        <w:jc w:val="both"/>
        <w:rPr>
          <w:rFonts w:cs="Arial"/>
        </w:rPr>
      </w:pPr>
      <w:r w:rsidRPr="00FA4B2D">
        <w:rPr>
          <w:rFonts w:cs="Arial"/>
        </w:rPr>
        <w:t xml:space="preserve">Para prevenir el escalamiento de posibles acciones de violencia en la integridad de las personas, en el ámbito de las acciones relacionadas con el programa COMRURAL y los subproyectos que financia, se han identificado acciones como: </w:t>
      </w:r>
    </w:p>
    <w:p w14:paraId="1D8A17E7" w14:textId="77777777" w:rsidR="006A3DBC" w:rsidRPr="00FA4B2D" w:rsidRDefault="006A3DBC" w:rsidP="002B7276">
      <w:pPr>
        <w:pStyle w:val="Prrafodelista"/>
        <w:numPr>
          <w:ilvl w:val="0"/>
          <w:numId w:val="13"/>
        </w:numPr>
        <w:spacing w:line="240" w:lineRule="auto"/>
        <w:ind w:left="426" w:hanging="426"/>
        <w:jc w:val="both"/>
        <w:rPr>
          <w:rFonts w:cs="Arial"/>
        </w:rPr>
      </w:pPr>
      <w:r w:rsidRPr="00FA4B2D">
        <w:rPr>
          <w:rFonts w:cs="Arial"/>
        </w:rPr>
        <w:t>Tener en cuenta los intereses de la población joven en todas las intervenciones.</w:t>
      </w:r>
    </w:p>
    <w:p w14:paraId="55C3CBA3" w14:textId="77777777" w:rsidR="006A3DBC" w:rsidRPr="00FA4B2D" w:rsidRDefault="006A3DBC" w:rsidP="002B7276">
      <w:pPr>
        <w:pStyle w:val="Prrafodelista"/>
        <w:numPr>
          <w:ilvl w:val="0"/>
          <w:numId w:val="13"/>
        </w:numPr>
        <w:spacing w:line="240" w:lineRule="auto"/>
        <w:ind w:left="426" w:hanging="426"/>
        <w:jc w:val="both"/>
        <w:rPr>
          <w:rFonts w:cs="Arial"/>
        </w:rPr>
      </w:pPr>
      <w:r w:rsidRPr="00FA4B2D">
        <w:rPr>
          <w:rFonts w:cs="Arial"/>
        </w:rPr>
        <w:t xml:space="preserve">Ayudar a los jóvenes a planificar su futuro a través del trabajo agrícola. </w:t>
      </w:r>
    </w:p>
    <w:p w14:paraId="53681A6F" w14:textId="77777777" w:rsidR="006A3DBC" w:rsidRPr="00FA4B2D" w:rsidRDefault="006A3DBC" w:rsidP="002B7276">
      <w:pPr>
        <w:pStyle w:val="Prrafodelista"/>
        <w:numPr>
          <w:ilvl w:val="0"/>
          <w:numId w:val="13"/>
        </w:numPr>
        <w:spacing w:line="240" w:lineRule="auto"/>
        <w:ind w:left="426" w:hanging="426"/>
        <w:jc w:val="both"/>
        <w:rPr>
          <w:rFonts w:cs="Arial"/>
        </w:rPr>
      </w:pPr>
      <w:r w:rsidRPr="00FA4B2D">
        <w:rPr>
          <w:rFonts w:cs="Arial"/>
        </w:rPr>
        <w:t>Dar empleo a jóvenes de comunidades y municipalidades objetivo.</w:t>
      </w:r>
    </w:p>
    <w:p w14:paraId="5BCAF594" w14:textId="77777777" w:rsidR="006A3DBC" w:rsidRPr="00FA4B2D" w:rsidRDefault="006A3DBC" w:rsidP="002B7276">
      <w:pPr>
        <w:pStyle w:val="Prrafodelista"/>
        <w:numPr>
          <w:ilvl w:val="0"/>
          <w:numId w:val="13"/>
        </w:numPr>
        <w:spacing w:line="240" w:lineRule="auto"/>
        <w:ind w:left="426" w:hanging="426"/>
        <w:jc w:val="both"/>
        <w:rPr>
          <w:rFonts w:cs="Arial"/>
        </w:rPr>
      </w:pPr>
      <w:r w:rsidRPr="00FA4B2D">
        <w:rPr>
          <w:rFonts w:cs="Arial"/>
        </w:rPr>
        <w:t>Usar la tecnología para atraer a los jóvenes y explotar su talento y potencial.</w:t>
      </w:r>
    </w:p>
    <w:p w14:paraId="143C2621" w14:textId="77777777" w:rsidR="006A3DBC" w:rsidRPr="00FA4B2D" w:rsidRDefault="006A3DBC" w:rsidP="002B7276">
      <w:pPr>
        <w:pStyle w:val="Prrafodelista"/>
        <w:numPr>
          <w:ilvl w:val="0"/>
          <w:numId w:val="13"/>
        </w:numPr>
        <w:spacing w:line="240" w:lineRule="auto"/>
        <w:ind w:left="426" w:hanging="426"/>
        <w:jc w:val="both"/>
        <w:rPr>
          <w:rFonts w:cs="Arial"/>
        </w:rPr>
      </w:pPr>
      <w:r w:rsidRPr="00FA4B2D">
        <w:rPr>
          <w:rFonts w:cs="Arial"/>
        </w:rPr>
        <w:t>Establecer alianzas con el sector privado para apoyar las ideas de jóvenes emprendedores y ofrecer trabajos en distintas áreas de la cadena de valor.</w:t>
      </w:r>
    </w:p>
    <w:p w14:paraId="628F8106" w14:textId="77777777" w:rsidR="006A3DBC" w:rsidRPr="00FA4B2D" w:rsidRDefault="006A3DBC" w:rsidP="002B7276">
      <w:pPr>
        <w:pStyle w:val="Prrafodelista"/>
        <w:numPr>
          <w:ilvl w:val="0"/>
          <w:numId w:val="13"/>
        </w:numPr>
        <w:spacing w:line="240" w:lineRule="auto"/>
        <w:ind w:left="426" w:hanging="426"/>
        <w:jc w:val="both"/>
        <w:rPr>
          <w:rFonts w:cs="Arial"/>
        </w:rPr>
      </w:pPr>
      <w:r w:rsidRPr="00FA4B2D">
        <w:rPr>
          <w:rFonts w:cs="Arial"/>
        </w:rPr>
        <w:t xml:space="preserve">Fortalecer el capital social en las comunidades mediante asociaciones y cooperativas agrícolas.  </w:t>
      </w:r>
    </w:p>
    <w:p w14:paraId="3655B67F" w14:textId="77777777" w:rsidR="006A3DBC" w:rsidRPr="00FA4B2D" w:rsidRDefault="006A3DBC" w:rsidP="002B7276">
      <w:pPr>
        <w:pStyle w:val="Prrafodelista"/>
        <w:numPr>
          <w:ilvl w:val="0"/>
          <w:numId w:val="13"/>
        </w:numPr>
        <w:spacing w:line="240" w:lineRule="auto"/>
        <w:ind w:left="426" w:hanging="426"/>
        <w:jc w:val="both"/>
        <w:rPr>
          <w:rFonts w:cs="Arial"/>
        </w:rPr>
      </w:pPr>
      <w:r w:rsidRPr="00FA4B2D">
        <w:rPr>
          <w:rFonts w:cs="Arial"/>
        </w:rPr>
        <w:t>Asegurarse que los representantes de las asociaciones o cooperativas se involucren en la prevención del delito y la violencia, de modo que sus voces sean escuchadas en este aspecto. Además, asegurarse que las personas que se dedican a la agricultura estén al tanto de los servicios que ofrecen sus municipalidades en apoyo de sus niños y jóvenes.</w:t>
      </w:r>
    </w:p>
    <w:p w14:paraId="1146EE85" w14:textId="77777777" w:rsidR="006A3DBC" w:rsidRPr="00FA4B2D" w:rsidRDefault="006A3DBC" w:rsidP="002B7276">
      <w:pPr>
        <w:pStyle w:val="Prrafodelista"/>
        <w:numPr>
          <w:ilvl w:val="0"/>
          <w:numId w:val="13"/>
        </w:numPr>
        <w:spacing w:line="240" w:lineRule="auto"/>
        <w:ind w:left="426" w:hanging="426"/>
        <w:jc w:val="both"/>
        <w:rPr>
          <w:rFonts w:cs="Arial"/>
        </w:rPr>
      </w:pPr>
      <w:r w:rsidRPr="00FA4B2D">
        <w:rPr>
          <w:rFonts w:cs="Arial"/>
        </w:rPr>
        <w:t xml:space="preserve">Promover las empresas familiares puede ayudar a construir relaciones entre los jóvenes y sus padres o tutores. </w:t>
      </w:r>
    </w:p>
    <w:p w14:paraId="6939299F" w14:textId="77777777" w:rsidR="006A3DBC" w:rsidRPr="00FA4B2D" w:rsidRDefault="006A3DBC" w:rsidP="002B7276">
      <w:pPr>
        <w:pStyle w:val="Prrafodelista"/>
        <w:numPr>
          <w:ilvl w:val="0"/>
          <w:numId w:val="13"/>
        </w:numPr>
        <w:spacing w:line="240" w:lineRule="auto"/>
        <w:ind w:left="426" w:hanging="426"/>
        <w:jc w:val="both"/>
        <w:rPr>
          <w:rFonts w:cs="Arial"/>
        </w:rPr>
      </w:pPr>
      <w:r w:rsidRPr="00FA4B2D">
        <w:rPr>
          <w:rFonts w:cs="Arial"/>
        </w:rPr>
        <w:t xml:space="preserve">La suspensión temporal o permanente de propuestas de PdNs en las comunidades o aquellas zonas de cobertura donde se registren acontecimientos que pongan en riesgo la vida del personal técnico del Proyecto, los beneficiarios directos e indirectos, contratistas y proveedores que participen en el modelo de alianzas. Este escalamiento puede tener como causales por ejemplo los altos índices de delincuencia común, conflicto de tierra que desencadena en enfrentamientos y derramamiento de sangre, pugna de grupos o asociaciones que realicen actividades ilícitas como el narcotráfico y extorción, control excesivo de territorio por organizaciones del crimen organizado y maras o pandillas. </w:t>
      </w:r>
    </w:p>
    <w:p w14:paraId="57248C3D" w14:textId="77777777" w:rsidR="006A3DBC" w:rsidRPr="00FA4B2D" w:rsidRDefault="006A3DBC" w:rsidP="006A3DBC">
      <w:pPr>
        <w:pStyle w:val="Ttulo2"/>
        <w:numPr>
          <w:ilvl w:val="1"/>
          <w:numId w:val="34"/>
        </w:numPr>
        <w:spacing w:before="0" w:line="240" w:lineRule="auto"/>
        <w:jc w:val="both"/>
        <w:rPr>
          <w:rFonts w:ascii="Arial" w:hAnsi="Arial" w:cs="Arial"/>
          <w:b/>
          <w:color w:val="767171" w:themeColor="background2" w:themeShade="80"/>
          <w:sz w:val="22"/>
          <w:szCs w:val="22"/>
        </w:rPr>
      </w:pPr>
      <w:bookmarkStart w:id="1228" w:name="_Toc65884211"/>
      <w:bookmarkStart w:id="1229" w:name="_Toc67573433"/>
      <w:bookmarkStart w:id="1230" w:name="_Toc202456961"/>
      <w:bookmarkEnd w:id="1227"/>
      <w:r w:rsidRPr="00FA4B2D">
        <w:rPr>
          <w:rFonts w:ascii="Arial" w:hAnsi="Arial" w:cs="Arial"/>
          <w:b/>
          <w:color w:val="767171" w:themeColor="background2" w:themeShade="80"/>
          <w:sz w:val="22"/>
          <w:szCs w:val="22"/>
        </w:rPr>
        <w:t>Consideraciones de Cambio Climático y Riesgo de Desastres</w:t>
      </w:r>
      <w:bookmarkEnd w:id="1228"/>
      <w:bookmarkEnd w:id="1229"/>
      <w:bookmarkEnd w:id="1230"/>
    </w:p>
    <w:p w14:paraId="3024DAD3" w14:textId="77777777" w:rsidR="006A3DBC" w:rsidRPr="00FA4B2D" w:rsidRDefault="006A3DBC" w:rsidP="006A3DBC">
      <w:pPr>
        <w:spacing w:after="0" w:line="240" w:lineRule="auto"/>
        <w:jc w:val="both"/>
        <w:rPr>
          <w:rFonts w:cs="Arial"/>
        </w:rPr>
      </w:pPr>
    </w:p>
    <w:p w14:paraId="10EBA241" w14:textId="77777777" w:rsidR="006A3DBC" w:rsidRPr="00FA4B2D" w:rsidRDefault="006A3DBC" w:rsidP="006A3DBC">
      <w:pPr>
        <w:spacing w:after="0" w:line="240" w:lineRule="auto"/>
        <w:jc w:val="both"/>
        <w:rPr>
          <w:rFonts w:cs="Arial"/>
        </w:rPr>
      </w:pPr>
      <w:r w:rsidRPr="00FA4B2D">
        <w:rPr>
          <w:rFonts w:cs="Arial"/>
        </w:rPr>
        <w:t xml:space="preserve">El cambio climático introduce nuevos riesgos y exacerba los eventos existentes. Estos fenómenos tienen un impacto directo sobre la disponibilidad del agua y otros servicios ambientales en los diversos ecosistemas para consumo humano, agrícola, industrial y de generación eléctrica.  </w:t>
      </w:r>
    </w:p>
    <w:p w14:paraId="3ABC43AC" w14:textId="77777777" w:rsidR="006A3DBC" w:rsidRPr="00FA4B2D" w:rsidRDefault="006A3DBC" w:rsidP="006A3DBC">
      <w:pPr>
        <w:spacing w:after="0" w:line="240" w:lineRule="auto"/>
        <w:jc w:val="both"/>
        <w:rPr>
          <w:rFonts w:cs="Arial"/>
        </w:rPr>
      </w:pPr>
    </w:p>
    <w:p w14:paraId="637CEFD4" w14:textId="77777777" w:rsidR="006A3DBC" w:rsidRPr="00FA4B2D" w:rsidRDefault="006A3DBC" w:rsidP="006A3DBC">
      <w:pPr>
        <w:spacing w:after="0" w:line="240" w:lineRule="auto"/>
        <w:jc w:val="both"/>
        <w:rPr>
          <w:rFonts w:cs="Arial"/>
        </w:rPr>
      </w:pPr>
      <w:r w:rsidRPr="00FA4B2D">
        <w:rPr>
          <w:rFonts w:cs="Arial"/>
        </w:rPr>
        <w:t>Entre las nuevas condiciones a las que los productores deben hacer frente, destaca la mayor incidencia de eventos climáticos catastróficos, como sequías, inundaciones, heladas, alteraciones en los regímenes de lluvias, huracanes, deslaves y nuevas plagas y enfermedades, las cuales ponen en peligro la productividad y hacen necesario el manejo integrado de riesgos, como instrumento para reducir la vulnerabilidad de las actividades agropecuarias.</w:t>
      </w:r>
    </w:p>
    <w:p w14:paraId="4B0989C2" w14:textId="77777777" w:rsidR="006A3DBC" w:rsidRPr="00FA4B2D" w:rsidRDefault="006A3DBC" w:rsidP="006A3DBC">
      <w:pPr>
        <w:spacing w:after="0" w:line="240" w:lineRule="auto"/>
        <w:jc w:val="both"/>
        <w:rPr>
          <w:rFonts w:cs="Arial"/>
        </w:rPr>
      </w:pPr>
    </w:p>
    <w:p w14:paraId="47F6A6FA" w14:textId="77777777" w:rsidR="006A3DBC" w:rsidRPr="00FA4B2D" w:rsidRDefault="006A3DBC" w:rsidP="006A3DBC">
      <w:pPr>
        <w:spacing w:after="0" w:line="240" w:lineRule="auto"/>
        <w:jc w:val="both"/>
        <w:rPr>
          <w:rFonts w:cs="Arial"/>
        </w:rPr>
      </w:pPr>
      <w:r w:rsidRPr="00FA4B2D">
        <w:rPr>
          <w:rFonts w:cs="Arial"/>
        </w:rPr>
        <w:t>En este sentido, la respuesta agrícola al cambio climático requerirá una estrecha coordinación con las políticas públicas para frenar la deforestación, proteger la biodiversidad y una mejor gestión de los recursos hídricos.</w:t>
      </w:r>
    </w:p>
    <w:p w14:paraId="65E87D8F" w14:textId="77777777" w:rsidR="006A3DBC" w:rsidRPr="00FA4B2D" w:rsidRDefault="006A3DBC" w:rsidP="006A3DBC">
      <w:pPr>
        <w:spacing w:after="0" w:line="240" w:lineRule="auto"/>
        <w:jc w:val="both"/>
        <w:rPr>
          <w:rFonts w:cs="Arial"/>
        </w:rPr>
      </w:pPr>
      <w:r w:rsidRPr="00FA4B2D">
        <w:rPr>
          <w:rFonts w:cs="Arial"/>
        </w:rPr>
        <w:lastRenderedPageBreak/>
        <w:t xml:space="preserve">Por otra parte, se prevé una mayor demanda de productos agrícolas, principalmente de alimentos de alto valor nutricional o calidad, en las décadas por venir; sin embargo, para responder plenamente y de manera sustentable a ese reto, se requiere el desarrollo de alternativas innovadoras a los modelos de producción vigentes. Honduras afronta el reto de adaptarse desde el punto de vista tecnológico y agrario para resistir los efectos del cambio climático, aumentar su productividad, y así garantizar la alimentación de su población. </w:t>
      </w:r>
    </w:p>
    <w:p w14:paraId="2325BE34" w14:textId="77777777" w:rsidR="006A3DBC" w:rsidRPr="00FA4B2D" w:rsidRDefault="006A3DBC" w:rsidP="006A3DBC">
      <w:pPr>
        <w:spacing w:after="0" w:line="240" w:lineRule="auto"/>
        <w:jc w:val="both"/>
        <w:rPr>
          <w:rFonts w:cs="Arial"/>
        </w:rPr>
      </w:pPr>
    </w:p>
    <w:p w14:paraId="79FE8FE7" w14:textId="77777777" w:rsidR="006A3DBC" w:rsidRPr="00FA4B2D" w:rsidRDefault="006A3DBC" w:rsidP="006A3DBC">
      <w:pPr>
        <w:spacing w:after="0" w:line="240" w:lineRule="auto"/>
        <w:jc w:val="both"/>
        <w:rPr>
          <w:rFonts w:cs="Arial"/>
        </w:rPr>
      </w:pPr>
      <w:r w:rsidRPr="00FA4B2D">
        <w:rPr>
          <w:rFonts w:cs="Arial"/>
        </w:rPr>
        <w:t>Los impactos del cambio climático, que en Honduras ya se evidencian en la actividad agropecuaria y disponibilidad de agua, solo se podrán afrontar con mayor inversión en investigación y desarrollo (I&amp;D).</w:t>
      </w:r>
    </w:p>
    <w:p w14:paraId="35E387E8" w14:textId="77777777" w:rsidR="006A3DBC" w:rsidRPr="00FA4B2D" w:rsidRDefault="006A3DBC" w:rsidP="006A3DBC">
      <w:pPr>
        <w:pStyle w:val="Prrafodelista"/>
        <w:numPr>
          <w:ilvl w:val="0"/>
          <w:numId w:val="36"/>
        </w:numPr>
        <w:spacing w:after="0" w:line="240" w:lineRule="auto"/>
        <w:jc w:val="both"/>
        <w:rPr>
          <w:rFonts w:cs="Arial"/>
        </w:rPr>
      </w:pPr>
      <w:r w:rsidRPr="00FA4B2D">
        <w:rPr>
          <w:rFonts w:cs="Arial"/>
        </w:rPr>
        <w:t>Poner en marcha políticas de adaptación al cambio climático, que les permitan a los agricultores tener acceso a tecnología y créditos para garantizar alimentos a la población.</w:t>
      </w:r>
    </w:p>
    <w:p w14:paraId="74E193D6" w14:textId="77777777" w:rsidR="006A3DBC" w:rsidRPr="00FA4B2D" w:rsidRDefault="006A3DBC" w:rsidP="006A3DBC">
      <w:pPr>
        <w:pStyle w:val="Prrafodelista"/>
        <w:numPr>
          <w:ilvl w:val="0"/>
          <w:numId w:val="36"/>
        </w:numPr>
        <w:spacing w:after="0" w:line="240" w:lineRule="auto"/>
        <w:jc w:val="both"/>
        <w:rPr>
          <w:rFonts w:cs="Arial"/>
        </w:rPr>
      </w:pPr>
      <w:r w:rsidRPr="00FA4B2D">
        <w:rPr>
          <w:rFonts w:cs="Arial"/>
        </w:rPr>
        <w:t>La tecnología es fundamental, pero se necesita mayor investigación, formación de recursos humanos y la transferencia de conocimiento que tiene que llegar a los productores. Esta tecnología debe ser apropiada para cada región dependiendo de las condiciones del clima, tipo de suelo, entre otros.</w:t>
      </w:r>
    </w:p>
    <w:p w14:paraId="0CF180AA" w14:textId="77777777" w:rsidR="006A3DBC" w:rsidRPr="00FA4B2D" w:rsidRDefault="006A3DBC" w:rsidP="006A3DBC">
      <w:pPr>
        <w:pStyle w:val="Prrafodelista"/>
        <w:numPr>
          <w:ilvl w:val="0"/>
          <w:numId w:val="36"/>
        </w:numPr>
        <w:spacing w:after="0" w:line="240" w:lineRule="auto"/>
        <w:jc w:val="both"/>
        <w:rPr>
          <w:rFonts w:cs="Arial"/>
        </w:rPr>
      </w:pPr>
      <w:r w:rsidRPr="00FA4B2D">
        <w:rPr>
          <w:rFonts w:cs="Arial"/>
        </w:rPr>
        <w:t>Promoción de semillas y material vegetativo local adaptado.</w:t>
      </w:r>
    </w:p>
    <w:p w14:paraId="7518C0FD" w14:textId="633C821F" w:rsidR="006A3DBC" w:rsidRPr="00FA4B2D" w:rsidRDefault="006A3DBC" w:rsidP="006A3DBC">
      <w:pPr>
        <w:rPr>
          <w:rFonts w:eastAsiaTheme="majorEastAsia" w:cs="Arial"/>
          <w:b/>
        </w:rPr>
      </w:pPr>
      <w:bookmarkStart w:id="1231" w:name="_Toc65884212"/>
      <w:bookmarkStart w:id="1232" w:name="_Toc67573434"/>
    </w:p>
    <w:p w14:paraId="51B0B1AE" w14:textId="77777777" w:rsidR="006A3DBC" w:rsidRPr="00FA4B2D" w:rsidRDefault="006A3DBC" w:rsidP="006A3DBC">
      <w:pPr>
        <w:pStyle w:val="Ttulo2"/>
        <w:numPr>
          <w:ilvl w:val="1"/>
          <w:numId w:val="34"/>
        </w:numPr>
        <w:spacing w:before="0" w:line="240" w:lineRule="auto"/>
        <w:jc w:val="both"/>
        <w:rPr>
          <w:rFonts w:ascii="Arial" w:hAnsi="Arial" w:cs="Arial"/>
          <w:b/>
          <w:color w:val="767171" w:themeColor="background2" w:themeShade="80"/>
          <w:sz w:val="22"/>
          <w:szCs w:val="22"/>
        </w:rPr>
      </w:pPr>
      <w:bookmarkStart w:id="1233" w:name="_Toc202456962"/>
      <w:r w:rsidRPr="00FA4B2D">
        <w:rPr>
          <w:rFonts w:ascii="Arial" w:hAnsi="Arial" w:cs="Arial"/>
          <w:b/>
          <w:color w:val="767171" w:themeColor="background2" w:themeShade="80"/>
          <w:sz w:val="22"/>
          <w:szCs w:val="22"/>
        </w:rPr>
        <w:t>Medidas de Seguridad y Salud, Laboral y Comunitaria</w:t>
      </w:r>
      <w:bookmarkEnd w:id="1231"/>
      <w:bookmarkEnd w:id="1232"/>
      <w:bookmarkEnd w:id="1233"/>
      <w:r w:rsidRPr="00FA4B2D">
        <w:rPr>
          <w:rFonts w:ascii="Arial" w:hAnsi="Arial" w:cs="Arial"/>
          <w:b/>
          <w:color w:val="767171" w:themeColor="background2" w:themeShade="80"/>
          <w:sz w:val="22"/>
          <w:szCs w:val="22"/>
        </w:rPr>
        <w:t xml:space="preserve"> </w:t>
      </w:r>
    </w:p>
    <w:p w14:paraId="658C4D99" w14:textId="77777777" w:rsidR="006A3DBC" w:rsidRPr="00FA4B2D" w:rsidRDefault="006A3DBC" w:rsidP="006A3DBC">
      <w:pPr>
        <w:tabs>
          <w:tab w:val="left" w:pos="0"/>
        </w:tabs>
        <w:spacing w:after="60"/>
        <w:jc w:val="both"/>
        <w:rPr>
          <w:rFonts w:cs="Arial"/>
          <w:lang w:val="es-ES"/>
        </w:rPr>
      </w:pPr>
      <w:r w:rsidRPr="00FA4B2D">
        <w:rPr>
          <w:rFonts w:cs="Arial"/>
          <w:lang w:val="es-ES"/>
        </w:rPr>
        <w:t xml:space="preserve">El Proyecto cuenta con un documento específico “Procedimientos de Gestión de Mano de Obra” (PGMO), donde se detalla la legislación laboral y su aplicación al Proyecto y que es una herramienta para COMRURAL III que defina los procesos laborales o contractuales que se aplicarán en la gestión de los distintos tipos de trabajadores del Proyecto, con el fin de asegurar un adecuado manejo de los riesgos e impactos que pudieran presentarse durante su implementación.  </w:t>
      </w:r>
    </w:p>
    <w:p w14:paraId="5289DAA6" w14:textId="77777777" w:rsidR="006A3DBC" w:rsidRPr="00FA4B2D" w:rsidRDefault="006A3DBC" w:rsidP="006A3DBC">
      <w:pPr>
        <w:spacing w:after="0"/>
        <w:ind w:left="360"/>
        <w:jc w:val="both"/>
        <w:rPr>
          <w:rFonts w:cs="Arial"/>
          <w:lang w:val="es-ES"/>
        </w:rPr>
      </w:pPr>
    </w:p>
    <w:p w14:paraId="0D95EAA6" w14:textId="77777777" w:rsidR="006A3DBC" w:rsidRPr="00FA4B2D" w:rsidRDefault="006A3DBC" w:rsidP="006A3DBC">
      <w:pPr>
        <w:pStyle w:val="Ttulo2"/>
        <w:numPr>
          <w:ilvl w:val="1"/>
          <w:numId w:val="34"/>
        </w:numPr>
        <w:spacing w:before="0" w:line="240" w:lineRule="auto"/>
        <w:jc w:val="both"/>
        <w:rPr>
          <w:rFonts w:ascii="Arial" w:hAnsi="Arial" w:cs="Arial"/>
          <w:b/>
          <w:color w:val="767171" w:themeColor="background2" w:themeShade="80"/>
          <w:sz w:val="22"/>
          <w:szCs w:val="22"/>
        </w:rPr>
      </w:pPr>
      <w:bookmarkStart w:id="1234" w:name="_Toc67573435"/>
      <w:bookmarkStart w:id="1235" w:name="_Toc202456963"/>
      <w:r w:rsidRPr="00FA4B2D">
        <w:rPr>
          <w:rFonts w:ascii="Arial" w:hAnsi="Arial" w:cs="Arial"/>
          <w:b/>
          <w:color w:val="767171" w:themeColor="background2" w:themeShade="80"/>
          <w:sz w:val="22"/>
          <w:szCs w:val="22"/>
        </w:rPr>
        <w:t xml:space="preserve">Medidas de Salud y seguridad en el trabajo asociadas </w:t>
      </w:r>
      <w:proofErr w:type="gramStart"/>
      <w:r w:rsidRPr="00FA4B2D">
        <w:rPr>
          <w:rFonts w:ascii="Arial" w:hAnsi="Arial" w:cs="Arial"/>
          <w:b/>
          <w:color w:val="767171" w:themeColor="background2" w:themeShade="80"/>
          <w:sz w:val="22"/>
          <w:szCs w:val="22"/>
        </w:rPr>
        <w:t>e</w:t>
      </w:r>
      <w:proofErr w:type="gramEnd"/>
      <w:r w:rsidRPr="00FA4B2D">
        <w:rPr>
          <w:rFonts w:ascii="Arial" w:hAnsi="Arial" w:cs="Arial"/>
          <w:b/>
          <w:color w:val="767171" w:themeColor="background2" w:themeShade="80"/>
          <w:sz w:val="22"/>
          <w:szCs w:val="22"/>
        </w:rPr>
        <w:t xml:space="preserve"> pandemias, otras enfermedades incidentes en la salud humana</w:t>
      </w:r>
      <w:bookmarkEnd w:id="1234"/>
      <w:r w:rsidRPr="00FA4B2D">
        <w:rPr>
          <w:rFonts w:ascii="Arial" w:hAnsi="Arial" w:cs="Arial"/>
          <w:b/>
          <w:color w:val="767171" w:themeColor="background2" w:themeShade="80"/>
          <w:sz w:val="22"/>
          <w:szCs w:val="22"/>
        </w:rPr>
        <w:t>.</w:t>
      </w:r>
      <w:bookmarkEnd w:id="1235"/>
    </w:p>
    <w:p w14:paraId="7AFD011C" w14:textId="77777777" w:rsidR="006A3DBC" w:rsidRPr="00FA4B2D" w:rsidRDefault="006A3DBC" w:rsidP="006A3DBC">
      <w:pPr>
        <w:spacing w:line="240" w:lineRule="auto"/>
        <w:ind w:left="102"/>
        <w:jc w:val="both"/>
        <w:rPr>
          <w:rFonts w:eastAsiaTheme="majorEastAsia" w:cs="Arial"/>
          <w:spacing w:val="1"/>
          <w:kern w:val="32"/>
          <w:lang w:val="es-HN"/>
        </w:rPr>
      </w:pPr>
      <w:r w:rsidRPr="00FA4B2D">
        <w:rPr>
          <w:rFonts w:eastAsiaTheme="majorEastAsia" w:cs="Arial"/>
          <w:spacing w:val="1"/>
          <w:kern w:val="32"/>
          <w:lang w:val="es-HN"/>
        </w:rPr>
        <w:t>Le corresponde a la STSS de Honduras la inspección y evaluación de los centros de trabajo, así como velar por el cumplimiento a la legislación y normativa laboral nacional en materia de prevención sobre seguridad y salud de los trabajadores; de manera especial, lo previsto en el Código de Trabajo, Reglamento General de Medidas Preventivas de Accidentes de Trabajo y Enfermedades Profesionales y la Ley de Inspección de Trabajo. De igual manera contemplar el cumplimiento de las normativas y recomendaciones de los organismos internacionales relacionados con la seguridad y la salud en el trabajo, como la OIT, la Organización Mundial de la Salud (OMS) y los Centros para el Control y la Prevención de Enfermedades (CDC).</w:t>
      </w:r>
    </w:p>
    <w:p w14:paraId="57207C44" w14:textId="77777777" w:rsidR="006A3DBC" w:rsidRPr="00FA4B2D" w:rsidRDefault="3A7FC69B" w:rsidP="006A3DBC">
      <w:pPr>
        <w:spacing w:line="240" w:lineRule="auto"/>
        <w:ind w:left="102"/>
        <w:jc w:val="both"/>
        <w:rPr>
          <w:rFonts w:cs="Arial"/>
        </w:rPr>
      </w:pPr>
      <w:r w:rsidRPr="00FA4B2D">
        <w:rPr>
          <w:rFonts w:eastAsiaTheme="majorEastAsia" w:cs="Arial"/>
          <w:spacing w:val="1"/>
          <w:kern w:val="32"/>
          <w:lang w:val="es-HN"/>
        </w:rPr>
        <w:t>En 2020, la STSS emitió el “</w:t>
      </w:r>
      <w:r w:rsidRPr="00FA4B2D">
        <w:rPr>
          <w:rFonts w:eastAsiaTheme="majorEastAsia" w:cs="Arial"/>
          <w:i/>
          <w:iCs/>
          <w:spacing w:val="1"/>
          <w:kern w:val="32"/>
          <w:lang w:val="es-HN"/>
        </w:rPr>
        <w:t>Protocolo de bioseguridad por motivo de la pandemia de COVID-19 para Oficinas Gubernamentales y Centros de atención al público</w:t>
      </w:r>
      <w:r w:rsidRPr="00FA4B2D">
        <w:rPr>
          <w:rFonts w:eastAsiaTheme="majorEastAsia" w:cs="Arial"/>
          <w:spacing w:val="1"/>
          <w:kern w:val="32"/>
          <w:lang w:val="es-HN"/>
        </w:rPr>
        <w:t>”</w:t>
      </w:r>
      <w:r w:rsidR="006A3DBC" w:rsidRPr="00FA4B2D">
        <w:rPr>
          <w:rStyle w:val="Refdenotaalpie"/>
          <w:rFonts w:eastAsiaTheme="majorEastAsia" w:cs="Arial"/>
          <w:spacing w:val="1"/>
          <w:kern w:val="32"/>
          <w:lang w:val="es-HN"/>
        </w:rPr>
        <w:footnoteReference w:id="60"/>
      </w:r>
      <w:r w:rsidRPr="00FA4B2D">
        <w:rPr>
          <w:rFonts w:eastAsiaTheme="majorEastAsia" w:cs="Arial"/>
          <w:spacing w:val="1"/>
          <w:kern w:val="32"/>
          <w:lang w:val="es-HN"/>
        </w:rPr>
        <w:t xml:space="preserve">. </w:t>
      </w:r>
      <w:r w:rsidRPr="00FA4B2D">
        <w:rPr>
          <w:rFonts w:eastAsiaTheme="majorEastAsia" w:cs="Arial"/>
          <w:spacing w:val="1"/>
          <w:kern w:val="32"/>
          <w:lang w:val="es-HN"/>
        </w:rPr>
        <w:lastRenderedPageBreak/>
        <w:t xml:space="preserve">Ese protocolo tuvo el propósito de evitar y disminuir las consecuencias de la propagación e infección por COVID-19 en la población trabajadora del país, mediante la implementación de un conjunto armonizado de medidas de prevención y control del virus. </w:t>
      </w:r>
    </w:p>
    <w:p w14:paraId="144C2887" w14:textId="77777777" w:rsidR="006A3DBC" w:rsidRPr="00FA4B2D" w:rsidRDefault="006A3DBC" w:rsidP="006A3DBC">
      <w:pPr>
        <w:spacing w:line="240" w:lineRule="auto"/>
        <w:ind w:left="102"/>
        <w:jc w:val="both"/>
        <w:rPr>
          <w:rFonts w:eastAsiaTheme="majorEastAsia" w:cs="Arial"/>
          <w:spacing w:val="1"/>
          <w:kern w:val="32"/>
          <w:lang w:val="es-HN"/>
        </w:rPr>
      </w:pPr>
      <w:r w:rsidRPr="00FA4B2D">
        <w:rPr>
          <w:rFonts w:eastAsiaTheme="majorEastAsia" w:cs="Arial"/>
          <w:spacing w:val="1"/>
          <w:kern w:val="32"/>
          <w:lang w:val="es-HN"/>
        </w:rPr>
        <w:t>El riesgo vinculado a la COVID-19 se gestionó mediante la implementación de un protocolo en línea con las directrices de la OMS, que incluyen: la provisión de equipo de protección personal y capacitación a trabajadores del proyecto, distancia social, uso de mascarillas, lavado de manos, entre otros, mismos que de haber recurrencia son válidos, para esta u otra pandemia que eventualmente se presente, que implique riesgos a la salud y seguridad ocupacional.</w:t>
      </w:r>
    </w:p>
    <w:p w14:paraId="48BB8521" w14:textId="77777777" w:rsidR="006A3DBC" w:rsidRPr="00FA4B2D" w:rsidRDefault="006A3DBC" w:rsidP="006A3DBC">
      <w:pPr>
        <w:spacing w:line="240" w:lineRule="auto"/>
        <w:ind w:left="102"/>
        <w:jc w:val="both"/>
        <w:rPr>
          <w:rFonts w:eastAsiaTheme="majorEastAsia" w:cs="Arial"/>
          <w:spacing w:val="1"/>
          <w:kern w:val="32"/>
          <w:lang w:val="es-HN"/>
        </w:rPr>
      </w:pPr>
      <w:r w:rsidRPr="00FA4B2D">
        <w:rPr>
          <w:rFonts w:eastAsiaTheme="majorEastAsia" w:cs="Arial"/>
          <w:spacing w:val="1"/>
          <w:kern w:val="32"/>
          <w:lang w:val="es-HN"/>
        </w:rPr>
        <w:t>En consecuencia, se toman como pertinente las recomendaciones establecidas por la STSS en el “</w:t>
      </w:r>
      <w:r w:rsidRPr="00FA4B2D">
        <w:rPr>
          <w:rFonts w:eastAsiaTheme="majorEastAsia" w:cs="Arial"/>
          <w:i/>
          <w:iCs/>
          <w:spacing w:val="1"/>
          <w:kern w:val="32"/>
          <w:lang w:val="es-HN"/>
        </w:rPr>
        <w:t>Protocolo de bioseguridad por motivo de la pandemia de COVID-19 para Oficinas Gubernamentales y Centros de atención al público</w:t>
      </w:r>
      <w:r w:rsidRPr="00FA4B2D">
        <w:rPr>
          <w:rFonts w:eastAsiaTheme="majorEastAsia" w:cs="Arial"/>
          <w:spacing w:val="1"/>
          <w:kern w:val="32"/>
          <w:lang w:val="es-HN"/>
        </w:rPr>
        <w:t>”, siendo estas aplicables de forma general.</w:t>
      </w:r>
    </w:p>
    <w:p w14:paraId="5CEF24C5" w14:textId="77777777" w:rsidR="006A3DBC" w:rsidRPr="00FA4B2D" w:rsidRDefault="006A3DBC" w:rsidP="006A3DBC">
      <w:pPr>
        <w:spacing w:line="240" w:lineRule="auto"/>
        <w:ind w:left="102"/>
        <w:jc w:val="both"/>
        <w:rPr>
          <w:rFonts w:eastAsiaTheme="majorEastAsia" w:cs="Arial"/>
          <w:spacing w:val="1"/>
          <w:kern w:val="32"/>
          <w:lang w:val="es-HN"/>
        </w:rPr>
      </w:pPr>
      <w:r w:rsidRPr="00FA4B2D">
        <w:rPr>
          <w:rFonts w:eastAsiaTheme="majorEastAsia" w:cs="Arial"/>
          <w:spacing w:val="1"/>
          <w:kern w:val="32"/>
          <w:lang w:val="es-HN"/>
        </w:rPr>
        <w:t>Entre ellas se incluyen las siguientes medidas:</w:t>
      </w:r>
    </w:p>
    <w:p w14:paraId="5D6274FA" w14:textId="77777777" w:rsidR="006A3DBC" w:rsidRPr="00FA4B2D" w:rsidRDefault="006A3DBC" w:rsidP="00411720">
      <w:pPr>
        <w:pStyle w:val="Prrafodelista"/>
        <w:numPr>
          <w:ilvl w:val="0"/>
          <w:numId w:val="77"/>
        </w:numPr>
        <w:spacing w:after="0" w:line="240" w:lineRule="auto"/>
        <w:jc w:val="both"/>
        <w:rPr>
          <w:rFonts w:eastAsiaTheme="majorEastAsia" w:cs="Arial"/>
          <w:spacing w:val="1"/>
          <w:kern w:val="32"/>
          <w:lang w:val="es-HN"/>
        </w:rPr>
      </w:pPr>
      <w:r w:rsidRPr="00FA4B2D">
        <w:rPr>
          <w:rFonts w:eastAsiaTheme="majorEastAsia" w:cs="Arial"/>
          <w:spacing w:val="1"/>
          <w:kern w:val="32"/>
          <w:lang w:val="es-HN"/>
        </w:rPr>
        <w:t>Fomentar previo a las capacitaciones o consultas el uso de mascarillas y demás medidas de bioseguridad;</w:t>
      </w:r>
    </w:p>
    <w:p w14:paraId="252E8BBD" w14:textId="77777777" w:rsidR="006A3DBC" w:rsidRPr="00FA4B2D" w:rsidRDefault="006A3DBC" w:rsidP="00411720">
      <w:pPr>
        <w:pStyle w:val="Prrafodelista"/>
        <w:numPr>
          <w:ilvl w:val="0"/>
          <w:numId w:val="77"/>
        </w:numPr>
        <w:spacing w:after="0" w:line="240" w:lineRule="auto"/>
        <w:jc w:val="both"/>
        <w:rPr>
          <w:rFonts w:cs="Arial"/>
          <w:spacing w:val="1"/>
          <w:lang w:val="es-HN"/>
        </w:rPr>
      </w:pPr>
      <w:r w:rsidRPr="00FA4B2D">
        <w:rPr>
          <w:rFonts w:cs="Arial"/>
          <w:spacing w:val="1"/>
          <w:lang w:val="es-HN"/>
        </w:rPr>
        <w:t xml:space="preserve">Realizar controles de salud antes de la contratación de trabajadores del Proyecto; </w:t>
      </w:r>
    </w:p>
    <w:p w14:paraId="05B3A13D" w14:textId="77777777" w:rsidR="006A3DBC" w:rsidRPr="00FA4B2D" w:rsidRDefault="006A3DBC" w:rsidP="00411720">
      <w:pPr>
        <w:pStyle w:val="Prrafodelista"/>
        <w:numPr>
          <w:ilvl w:val="0"/>
          <w:numId w:val="77"/>
        </w:numPr>
        <w:spacing w:after="0" w:line="240" w:lineRule="auto"/>
        <w:jc w:val="both"/>
        <w:rPr>
          <w:rFonts w:cs="Arial"/>
          <w:spacing w:val="1"/>
          <w:lang w:val="es-HN"/>
        </w:rPr>
      </w:pPr>
      <w:r w:rsidRPr="00FA4B2D">
        <w:rPr>
          <w:rFonts w:cs="Arial"/>
          <w:spacing w:val="1"/>
          <w:lang w:val="es-HN"/>
        </w:rPr>
        <w:t xml:space="preserve">Controlar la entrada y salida del emplazamiento del lugar de trabajo; </w:t>
      </w:r>
    </w:p>
    <w:p w14:paraId="573D50E3" w14:textId="77777777" w:rsidR="006A3DBC" w:rsidRPr="00FA4B2D" w:rsidRDefault="006A3DBC" w:rsidP="00411720">
      <w:pPr>
        <w:pStyle w:val="Prrafodelista"/>
        <w:numPr>
          <w:ilvl w:val="0"/>
          <w:numId w:val="77"/>
        </w:numPr>
        <w:spacing w:after="0" w:line="240" w:lineRule="auto"/>
        <w:jc w:val="both"/>
        <w:rPr>
          <w:rFonts w:cs="Arial"/>
          <w:spacing w:val="1"/>
          <w:lang w:val="es-HN"/>
        </w:rPr>
      </w:pPr>
      <w:r w:rsidRPr="00FA4B2D">
        <w:rPr>
          <w:rFonts w:cs="Arial"/>
          <w:spacing w:val="1"/>
          <w:lang w:val="es-HN"/>
        </w:rPr>
        <w:t xml:space="preserve">Examinar las instalaciones destinadas al lugar de desempeño de los trabajadores para verificar que sean adecuadas y estén diseñadas de modo tal de reducir el contacto con la comunidad; </w:t>
      </w:r>
    </w:p>
    <w:p w14:paraId="6655095A" w14:textId="77777777" w:rsidR="006A3DBC" w:rsidRPr="00FA4B2D" w:rsidRDefault="006A3DBC" w:rsidP="00411720">
      <w:pPr>
        <w:pStyle w:val="Prrafodelista"/>
        <w:numPr>
          <w:ilvl w:val="0"/>
          <w:numId w:val="77"/>
        </w:numPr>
        <w:spacing w:after="0" w:line="240" w:lineRule="auto"/>
        <w:jc w:val="both"/>
        <w:rPr>
          <w:rFonts w:cs="Arial"/>
          <w:spacing w:val="1"/>
          <w:lang w:val="es-HN"/>
        </w:rPr>
      </w:pPr>
      <w:r w:rsidRPr="00FA4B2D">
        <w:rPr>
          <w:rFonts w:cs="Arial"/>
          <w:spacing w:val="1"/>
          <w:lang w:val="es-HN"/>
        </w:rPr>
        <w:t xml:space="preserve">Reorganizar las tareas o reducir la cantidad de personas en el lugar de trabajo para Permitir el distanciamiento social/físico; </w:t>
      </w:r>
    </w:p>
    <w:p w14:paraId="6754A952" w14:textId="77777777" w:rsidR="006A3DBC" w:rsidRPr="00FA4B2D" w:rsidRDefault="006A3DBC" w:rsidP="00411720">
      <w:pPr>
        <w:pStyle w:val="Prrafodelista"/>
        <w:numPr>
          <w:ilvl w:val="0"/>
          <w:numId w:val="77"/>
        </w:numPr>
        <w:spacing w:after="0" w:line="240" w:lineRule="auto"/>
        <w:jc w:val="both"/>
        <w:rPr>
          <w:rFonts w:cs="Arial"/>
          <w:spacing w:val="1"/>
          <w:lang w:val="es-HN"/>
        </w:rPr>
      </w:pPr>
      <w:r w:rsidRPr="00FA4B2D">
        <w:rPr>
          <w:rFonts w:cs="Arial"/>
          <w:spacing w:val="1"/>
          <w:lang w:val="es-HN"/>
        </w:rPr>
        <w:t xml:space="preserve">Proporcionar EPP adecuado; </w:t>
      </w:r>
    </w:p>
    <w:p w14:paraId="35F090A5" w14:textId="77777777" w:rsidR="006A3DBC" w:rsidRPr="00FA4B2D" w:rsidRDefault="006A3DBC" w:rsidP="00411720">
      <w:pPr>
        <w:pStyle w:val="Prrafodelista"/>
        <w:numPr>
          <w:ilvl w:val="0"/>
          <w:numId w:val="77"/>
        </w:numPr>
        <w:spacing w:after="0" w:line="240" w:lineRule="auto"/>
        <w:jc w:val="both"/>
        <w:rPr>
          <w:rFonts w:cs="Arial"/>
          <w:spacing w:val="1"/>
          <w:lang w:val="es-HN"/>
        </w:rPr>
      </w:pPr>
      <w:r w:rsidRPr="00FA4B2D">
        <w:rPr>
          <w:rFonts w:cs="Arial"/>
          <w:spacing w:val="1"/>
          <w:lang w:val="es-HN"/>
        </w:rPr>
        <w:t xml:space="preserve">Establecer alternativas al contacto directo. </w:t>
      </w:r>
    </w:p>
    <w:p w14:paraId="68E9EC52" w14:textId="77777777" w:rsidR="006A3DBC" w:rsidRPr="00FA4B2D" w:rsidRDefault="006A3DBC" w:rsidP="006A3DBC">
      <w:pPr>
        <w:spacing w:line="240" w:lineRule="auto"/>
        <w:ind w:left="102"/>
        <w:jc w:val="both"/>
        <w:rPr>
          <w:rFonts w:eastAsiaTheme="majorEastAsia" w:cs="Arial"/>
          <w:b/>
          <w:bCs/>
          <w:spacing w:val="1"/>
          <w:kern w:val="32"/>
          <w:lang w:val="es-HN"/>
        </w:rPr>
      </w:pPr>
    </w:p>
    <w:p w14:paraId="711BF295" w14:textId="4CAD1CD4" w:rsidR="006A3DBC" w:rsidRPr="00FA4B2D" w:rsidRDefault="006A3DBC" w:rsidP="006A3DBC">
      <w:pPr>
        <w:spacing w:line="240" w:lineRule="auto"/>
        <w:ind w:left="102"/>
        <w:jc w:val="both"/>
        <w:rPr>
          <w:rFonts w:cs="Arial"/>
          <w:spacing w:val="1"/>
          <w:lang w:val="es-HN"/>
        </w:rPr>
      </w:pPr>
      <w:r w:rsidRPr="00FA4B2D">
        <w:rPr>
          <w:rFonts w:eastAsiaTheme="majorEastAsia" w:cs="Arial"/>
          <w:spacing w:val="1"/>
          <w:kern w:val="32"/>
          <w:lang w:val="es-HN"/>
        </w:rPr>
        <w:t xml:space="preserve">Se </w:t>
      </w:r>
      <w:r w:rsidRPr="00FA4B2D">
        <w:rPr>
          <w:rFonts w:cs="Arial"/>
          <w:spacing w:val="1"/>
          <w:lang w:val="es-HN"/>
        </w:rPr>
        <w:t xml:space="preserve">establecen a continuación algunas medidas de gestión que tienen como objetivo responder a los riesgos de salud ocupacional para los trabajadores del </w:t>
      </w:r>
      <w:r w:rsidR="00803454" w:rsidRPr="00FA4B2D">
        <w:rPr>
          <w:rFonts w:cs="Arial"/>
          <w:spacing w:val="1"/>
          <w:lang w:val="es-HN"/>
        </w:rPr>
        <w:t>P</w:t>
      </w:r>
      <w:r w:rsidRPr="00FA4B2D">
        <w:rPr>
          <w:rFonts w:cs="Arial"/>
          <w:spacing w:val="1"/>
          <w:lang w:val="es-HN"/>
        </w:rPr>
        <w:t>royecto. Todas las cuales están relacionadas con los protocolos de bioseguridad establecidos por las autoridades nacionales:</w:t>
      </w:r>
    </w:p>
    <w:p w14:paraId="58363471" w14:textId="77777777" w:rsidR="006A3DBC" w:rsidRPr="00FA4B2D" w:rsidRDefault="006A3DBC" w:rsidP="006A3DBC">
      <w:pPr>
        <w:spacing w:line="240" w:lineRule="auto"/>
        <w:ind w:left="102"/>
        <w:jc w:val="both"/>
        <w:rPr>
          <w:rFonts w:cs="Arial"/>
          <w:spacing w:val="1"/>
          <w:lang w:val="es-HN"/>
        </w:rPr>
      </w:pPr>
      <w:r w:rsidRPr="00FA4B2D">
        <w:rPr>
          <w:rFonts w:cs="Arial"/>
          <w:spacing w:val="1"/>
          <w:lang w:val="es-HN"/>
        </w:rPr>
        <w:t>Los riesgos detectados se tienen en cuenta para elaborar las medidas de mitigación entre las que figuran las siguientes:</w:t>
      </w:r>
    </w:p>
    <w:p w14:paraId="3286A5B3" w14:textId="77777777" w:rsidR="006A3DBC" w:rsidRPr="00FA4B2D" w:rsidRDefault="006A3DBC" w:rsidP="00411720">
      <w:pPr>
        <w:pStyle w:val="Prrafodelista"/>
        <w:numPr>
          <w:ilvl w:val="0"/>
          <w:numId w:val="73"/>
        </w:numPr>
        <w:spacing w:line="240" w:lineRule="auto"/>
        <w:jc w:val="both"/>
        <w:rPr>
          <w:rFonts w:cs="Arial"/>
          <w:bCs/>
          <w:lang w:val="es-HN"/>
        </w:rPr>
      </w:pPr>
      <w:r w:rsidRPr="00FA4B2D">
        <w:rPr>
          <w:rFonts w:cs="Arial"/>
          <w:bCs/>
          <w:lang w:val="es-HN"/>
        </w:rPr>
        <w:t>Evaluación y control de la presencia del virus.</w:t>
      </w:r>
    </w:p>
    <w:p w14:paraId="728F84EA" w14:textId="77777777" w:rsidR="006A3DBC" w:rsidRPr="00FA4B2D" w:rsidRDefault="006A3DBC" w:rsidP="00411720">
      <w:pPr>
        <w:pStyle w:val="Prrafodelista"/>
        <w:numPr>
          <w:ilvl w:val="1"/>
          <w:numId w:val="76"/>
        </w:numPr>
        <w:spacing w:line="240" w:lineRule="auto"/>
        <w:jc w:val="both"/>
        <w:rPr>
          <w:rFonts w:cs="Arial"/>
          <w:lang w:val="es-HN"/>
        </w:rPr>
      </w:pPr>
      <w:r w:rsidRPr="00FA4B2D">
        <w:rPr>
          <w:rFonts w:cs="Arial"/>
          <w:lang w:val="es-HN"/>
        </w:rPr>
        <w:t>Tomas de temperatura en la entrada de los edificios y oficinas.</w:t>
      </w:r>
    </w:p>
    <w:p w14:paraId="06EAEA64" w14:textId="77777777" w:rsidR="006A3DBC" w:rsidRPr="00FA4B2D" w:rsidRDefault="006A3DBC" w:rsidP="00411720">
      <w:pPr>
        <w:pStyle w:val="Prrafodelista"/>
        <w:numPr>
          <w:ilvl w:val="1"/>
          <w:numId w:val="76"/>
        </w:numPr>
        <w:spacing w:line="240" w:lineRule="auto"/>
        <w:jc w:val="both"/>
        <w:rPr>
          <w:rFonts w:cs="Arial"/>
          <w:lang w:val="es-HN"/>
        </w:rPr>
      </w:pPr>
      <w:r w:rsidRPr="00FA4B2D">
        <w:rPr>
          <w:rFonts w:cs="Arial"/>
          <w:lang w:val="es-HN"/>
        </w:rPr>
        <w:t>Uso de rociadores de amonio cuaternario con bombas o dispensadores.</w:t>
      </w:r>
    </w:p>
    <w:p w14:paraId="7D2EA8A9" w14:textId="77777777" w:rsidR="006A3DBC" w:rsidRPr="00FA4B2D" w:rsidRDefault="006A3DBC" w:rsidP="00411720">
      <w:pPr>
        <w:pStyle w:val="Prrafodelista"/>
        <w:numPr>
          <w:ilvl w:val="0"/>
          <w:numId w:val="73"/>
        </w:numPr>
        <w:spacing w:line="240" w:lineRule="auto"/>
        <w:jc w:val="both"/>
        <w:rPr>
          <w:rFonts w:cs="Arial"/>
          <w:bCs/>
        </w:rPr>
      </w:pPr>
      <w:r w:rsidRPr="00FA4B2D">
        <w:rPr>
          <w:rFonts w:cs="Arial"/>
          <w:bCs/>
        </w:rPr>
        <w:t>Sobre el ambiente.</w:t>
      </w:r>
    </w:p>
    <w:p w14:paraId="02094D4A" w14:textId="77777777" w:rsidR="006A3DBC" w:rsidRPr="00FA4B2D" w:rsidRDefault="006A3DBC" w:rsidP="00411720">
      <w:pPr>
        <w:pStyle w:val="Prrafodelista"/>
        <w:numPr>
          <w:ilvl w:val="1"/>
          <w:numId w:val="76"/>
        </w:numPr>
        <w:spacing w:line="240" w:lineRule="auto"/>
        <w:jc w:val="both"/>
        <w:rPr>
          <w:rFonts w:cs="Arial"/>
          <w:lang w:val="es-HN"/>
        </w:rPr>
      </w:pPr>
      <w:r w:rsidRPr="00FA4B2D">
        <w:rPr>
          <w:rFonts w:cs="Arial"/>
          <w:lang w:val="es-HN"/>
        </w:rPr>
        <w:t>Evitar el contacto entre personas.</w:t>
      </w:r>
    </w:p>
    <w:p w14:paraId="39E6C6F5" w14:textId="77777777" w:rsidR="006A3DBC" w:rsidRPr="00FA4B2D" w:rsidRDefault="006A3DBC" w:rsidP="00411720">
      <w:pPr>
        <w:pStyle w:val="Prrafodelista"/>
        <w:numPr>
          <w:ilvl w:val="1"/>
          <w:numId w:val="76"/>
        </w:numPr>
        <w:spacing w:line="240" w:lineRule="auto"/>
        <w:jc w:val="both"/>
        <w:rPr>
          <w:rFonts w:cs="Arial"/>
          <w:lang w:val="es-HN"/>
        </w:rPr>
      </w:pPr>
      <w:r w:rsidRPr="00FA4B2D">
        <w:rPr>
          <w:rFonts w:cs="Arial"/>
          <w:lang w:val="es-HN"/>
        </w:rPr>
        <w:t>Evitar contacto con objetos o superficies de forma innecesaria.</w:t>
      </w:r>
    </w:p>
    <w:p w14:paraId="656B6BE3" w14:textId="77777777" w:rsidR="006A3DBC" w:rsidRPr="00FA4B2D" w:rsidRDefault="006A3DBC" w:rsidP="00411720">
      <w:pPr>
        <w:pStyle w:val="Prrafodelista"/>
        <w:numPr>
          <w:ilvl w:val="1"/>
          <w:numId w:val="76"/>
        </w:numPr>
        <w:spacing w:line="240" w:lineRule="auto"/>
        <w:jc w:val="both"/>
        <w:rPr>
          <w:rFonts w:cs="Arial"/>
          <w:lang w:val="es-HN"/>
        </w:rPr>
      </w:pPr>
      <w:r w:rsidRPr="00FA4B2D">
        <w:rPr>
          <w:rFonts w:cs="Arial"/>
          <w:lang w:val="es-HN"/>
        </w:rPr>
        <w:t>Lavado y desinfectado de objetos o superficies de manera frecuente.</w:t>
      </w:r>
    </w:p>
    <w:p w14:paraId="6516CDDC" w14:textId="77777777" w:rsidR="006A3DBC" w:rsidRPr="00FA4B2D" w:rsidRDefault="006A3DBC" w:rsidP="00411720">
      <w:pPr>
        <w:pStyle w:val="Prrafodelista"/>
        <w:numPr>
          <w:ilvl w:val="1"/>
          <w:numId w:val="76"/>
        </w:numPr>
        <w:spacing w:line="240" w:lineRule="auto"/>
        <w:jc w:val="both"/>
        <w:rPr>
          <w:rFonts w:cs="Arial"/>
          <w:lang w:val="es-HN"/>
        </w:rPr>
      </w:pPr>
      <w:r w:rsidRPr="00FA4B2D">
        <w:rPr>
          <w:rFonts w:cs="Arial"/>
          <w:lang w:val="es-HN"/>
        </w:rPr>
        <w:lastRenderedPageBreak/>
        <w:t>Establecimiento de roles de trabajo y teletrabajo.</w:t>
      </w:r>
    </w:p>
    <w:p w14:paraId="36E46E6D" w14:textId="77777777" w:rsidR="006A3DBC" w:rsidRPr="00FA4B2D" w:rsidRDefault="006A3DBC" w:rsidP="00411720">
      <w:pPr>
        <w:pStyle w:val="Prrafodelista"/>
        <w:numPr>
          <w:ilvl w:val="0"/>
          <w:numId w:val="73"/>
        </w:numPr>
        <w:spacing w:line="240" w:lineRule="auto"/>
        <w:jc w:val="both"/>
        <w:rPr>
          <w:rFonts w:cs="Arial"/>
          <w:bCs/>
          <w:lang w:val="es-HN"/>
        </w:rPr>
      </w:pPr>
      <w:r w:rsidRPr="00FA4B2D">
        <w:rPr>
          <w:rFonts w:cs="Arial"/>
          <w:bCs/>
          <w:lang w:val="es-HN"/>
        </w:rPr>
        <w:t>Distanciamiento o aislamiento de personas.</w:t>
      </w:r>
    </w:p>
    <w:p w14:paraId="746D2EF3" w14:textId="77777777" w:rsidR="006A3DBC" w:rsidRPr="00FA4B2D" w:rsidRDefault="006A3DBC" w:rsidP="006A3DBC">
      <w:pPr>
        <w:spacing w:line="240" w:lineRule="auto"/>
        <w:ind w:left="360"/>
        <w:jc w:val="both"/>
        <w:rPr>
          <w:rFonts w:cs="Arial"/>
          <w:lang w:val="es-HN"/>
        </w:rPr>
      </w:pPr>
      <w:r w:rsidRPr="00FA4B2D">
        <w:rPr>
          <w:rFonts w:cs="Arial"/>
          <w:lang w:val="es-HN"/>
        </w:rPr>
        <w:t xml:space="preserve">Socialización sobre el manteniendo de las distancias de seguridad recomendadas entre personas (entre 1.5 metros). </w:t>
      </w:r>
    </w:p>
    <w:p w14:paraId="1BAF1AF0" w14:textId="77777777" w:rsidR="006A3DBC" w:rsidRPr="00FA4B2D" w:rsidRDefault="006A3DBC" w:rsidP="006A3DBC">
      <w:pPr>
        <w:spacing w:line="240" w:lineRule="auto"/>
        <w:ind w:left="360"/>
        <w:jc w:val="both"/>
        <w:rPr>
          <w:rFonts w:cs="Arial"/>
          <w:lang w:val="es-HN"/>
        </w:rPr>
      </w:pPr>
      <w:r w:rsidRPr="00FA4B2D">
        <w:rPr>
          <w:rFonts w:cs="Arial"/>
          <w:lang w:val="es-HN"/>
        </w:rPr>
        <w:t>Creación de estrategias para el uso de lugares o áreas comunes, de reunión o concentración de personas.</w:t>
      </w:r>
    </w:p>
    <w:p w14:paraId="27A92A01" w14:textId="77777777" w:rsidR="006A3DBC" w:rsidRPr="00FA4B2D" w:rsidRDefault="006A3DBC" w:rsidP="00411720">
      <w:pPr>
        <w:pStyle w:val="Prrafodelista"/>
        <w:numPr>
          <w:ilvl w:val="0"/>
          <w:numId w:val="73"/>
        </w:numPr>
        <w:spacing w:line="240" w:lineRule="auto"/>
        <w:jc w:val="both"/>
        <w:rPr>
          <w:rFonts w:cs="Arial"/>
          <w:bCs/>
        </w:rPr>
      </w:pPr>
      <w:r w:rsidRPr="00FA4B2D">
        <w:rPr>
          <w:rFonts w:cs="Arial"/>
          <w:bCs/>
        </w:rPr>
        <w:t>Normas de etiqueta respiratoria.</w:t>
      </w:r>
    </w:p>
    <w:p w14:paraId="1FBD2069" w14:textId="77777777" w:rsidR="006A3DBC" w:rsidRPr="00FA4B2D" w:rsidRDefault="006A3DBC" w:rsidP="006A3DBC">
      <w:pPr>
        <w:pStyle w:val="Prrafodelista"/>
        <w:spacing w:line="240" w:lineRule="auto"/>
        <w:ind w:left="360"/>
        <w:jc w:val="both"/>
        <w:rPr>
          <w:rFonts w:cs="Arial"/>
          <w:lang w:val="es-HN"/>
        </w:rPr>
      </w:pPr>
      <w:r w:rsidRPr="00FA4B2D">
        <w:rPr>
          <w:rFonts w:cs="Arial"/>
          <w:lang w:val="es-HN"/>
        </w:rPr>
        <w:t>Son un conjunto de medidas recomendadas para evitar trasmisiones respiratorias de agentes biológicos:</w:t>
      </w:r>
    </w:p>
    <w:p w14:paraId="359130E4" w14:textId="77777777" w:rsidR="006A3DBC" w:rsidRPr="00FA4B2D" w:rsidRDefault="006A3DBC" w:rsidP="00411720">
      <w:pPr>
        <w:pStyle w:val="Prrafodelista"/>
        <w:numPr>
          <w:ilvl w:val="0"/>
          <w:numId w:val="74"/>
        </w:numPr>
        <w:spacing w:line="240" w:lineRule="auto"/>
        <w:jc w:val="both"/>
        <w:rPr>
          <w:rFonts w:cs="Arial"/>
          <w:lang w:val="es-HN"/>
        </w:rPr>
      </w:pPr>
      <w:r w:rsidRPr="00FA4B2D">
        <w:rPr>
          <w:rFonts w:cs="Arial"/>
          <w:lang w:val="es-HN"/>
        </w:rPr>
        <w:t>Toser y estornudar cubriéndose la nariz y la boca con el ángulo interno del codo flexionado (fosa del codo o cubital).</w:t>
      </w:r>
    </w:p>
    <w:p w14:paraId="1E0D5F04" w14:textId="77777777" w:rsidR="006A3DBC" w:rsidRPr="00FA4B2D" w:rsidRDefault="006A3DBC" w:rsidP="00411720">
      <w:pPr>
        <w:pStyle w:val="Prrafodelista"/>
        <w:numPr>
          <w:ilvl w:val="0"/>
          <w:numId w:val="74"/>
        </w:numPr>
        <w:spacing w:line="240" w:lineRule="auto"/>
        <w:jc w:val="both"/>
        <w:rPr>
          <w:rFonts w:cs="Arial"/>
          <w:lang w:val="es-HN"/>
        </w:rPr>
      </w:pPr>
      <w:r w:rsidRPr="00FA4B2D">
        <w:rPr>
          <w:rFonts w:cs="Arial"/>
          <w:lang w:val="es-HN"/>
        </w:rPr>
        <w:t>Utilizar pañuelos o toallas desechables, y desecharlos tras su uso.</w:t>
      </w:r>
    </w:p>
    <w:p w14:paraId="0202DB2C" w14:textId="77777777" w:rsidR="006A3DBC" w:rsidRPr="00FA4B2D" w:rsidRDefault="006A3DBC" w:rsidP="00411720">
      <w:pPr>
        <w:pStyle w:val="Prrafodelista"/>
        <w:numPr>
          <w:ilvl w:val="1"/>
          <w:numId w:val="72"/>
        </w:numPr>
        <w:spacing w:line="240" w:lineRule="auto"/>
        <w:ind w:left="1134" w:hanging="425"/>
        <w:jc w:val="both"/>
        <w:rPr>
          <w:rFonts w:cs="Arial"/>
          <w:lang w:val="es-HN"/>
        </w:rPr>
      </w:pPr>
      <w:r w:rsidRPr="00FA4B2D">
        <w:rPr>
          <w:rFonts w:cs="Arial"/>
          <w:lang w:val="es-HN"/>
        </w:rPr>
        <w:t>Depositar los pañuelos o toallas desechables en recipientes con este fin, con tapas de pedal.</w:t>
      </w:r>
    </w:p>
    <w:p w14:paraId="429EDBBC" w14:textId="77777777" w:rsidR="006A3DBC" w:rsidRPr="00FA4B2D" w:rsidRDefault="006A3DBC" w:rsidP="00411720">
      <w:pPr>
        <w:pStyle w:val="Prrafodelista"/>
        <w:numPr>
          <w:ilvl w:val="1"/>
          <w:numId w:val="72"/>
        </w:numPr>
        <w:spacing w:line="240" w:lineRule="auto"/>
        <w:ind w:left="1134" w:hanging="425"/>
        <w:jc w:val="both"/>
        <w:rPr>
          <w:rFonts w:cs="Arial"/>
          <w:lang w:val="es-HN"/>
        </w:rPr>
      </w:pPr>
      <w:r w:rsidRPr="00FA4B2D">
        <w:rPr>
          <w:rFonts w:cs="Arial"/>
          <w:lang w:val="es-HN"/>
        </w:rPr>
        <w:t>Evitar tocarse la nariz, la boca y los ojos de manera innecesaria.</w:t>
      </w:r>
    </w:p>
    <w:p w14:paraId="63609057" w14:textId="77777777" w:rsidR="006A3DBC" w:rsidRPr="00FA4B2D" w:rsidRDefault="006A3DBC" w:rsidP="00411720">
      <w:pPr>
        <w:pStyle w:val="Prrafodelista"/>
        <w:numPr>
          <w:ilvl w:val="1"/>
          <w:numId w:val="72"/>
        </w:numPr>
        <w:spacing w:line="240" w:lineRule="auto"/>
        <w:ind w:left="1134" w:hanging="425"/>
        <w:jc w:val="both"/>
        <w:rPr>
          <w:rFonts w:cs="Arial"/>
          <w:lang w:val="es-HN"/>
        </w:rPr>
      </w:pPr>
      <w:r w:rsidRPr="00FA4B2D">
        <w:rPr>
          <w:rFonts w:cs="Arial"/>
          <w:lang w:val="es-HN"/>
        </w:rPr>
        <w:t>Lavarse las manos de manera frecuente, en especial cuando se han manipulado objetos o se ha tenido contacto con superficies.</w:t>
      </w:r>
    </w:p>
    <w:p w14:paraId="0A8E50AC" w14:textId="77777777" w:rsidR="006A3DBC" w:rsidRPr="00FA4B2D" w:rsidRDefault="006A3DBC" w:rsidP="00411720">
      <w:pPr>
        <w:pStyle w:val="Prrafodelista"/>
        <w:numPr>
          <w:ilvl w:val="1"/>
          <w:numId w:val="72"/>
        </w:numPr>
        <w:spacing w:line="240" w:lineRule="auto"/>
        <w:ind w:left="1134" w:hanging="425"/>
        <w:jc w:val="both"/>
        <w:rPr>
          <w:rFonts w:cs="Arial"/>
          <w:lang w:val="es-HN"/>
        </w:rPr>
      </w:pPr>
      <w:r w:rsidRPr="00FA4B2D">
        <w:rPr>
          <w:rFonts w:cs="Arial"/>
          <w:lang w:val="es-HN"/>
        </w:rPr>
        <w:t>Lavarse y desinfestarse las manos antes y después de tocarse la nariz, la boca y los ojos.</w:t>
      </w:r>
    </w:p>
    <w:p w14:paraId="10B97BA7" w14:textId="77777777" w:rsidR="006A3DBC" w:rsidRPr="00FA4B2D" w:rsidRDefault="006A3DBC" w:rsidP="00411720">
      <w:pPr>
        <w:pStyle w:val="Prrafodelista"/>
        <w:numPr>
          <w:ilvl w:val="1"/>
          <w:numId w:val="72"/>
        </w:numPr>
        <w:spacing w:line="240" w:lineRule="auto"/>
        <w:ind w:left="1134" w:hanging="425"/>
        <w:jc w:val="both"/>
        <w:rPr>
          <w:rFonts w:cs="Arial"/>
          <w:lang w:val="es-HN"/>
        </w:rPr>
      </w:pPr>
      <w:r w:rsidRPr="00FA4B2D">
        <w:rPr>
          <w:rFonts w:cs="Arial"/>
          <w:lang w:val="es-HN"/>
        </w:rPr>
        <w:t>Conversar manteniendo distancias de seguridad, en especial cuando se realice con personas con síntomas respiratorios.</w:t>
      </w:r>
    </w:p>
    <w:p w14:paraId="36C96CBE" w14:textId="77777777" w:rsidR="006A3DBC" w:rsidRPr="00FA4B2D" w:rsidRDefault="006A3DBC" w:rsidP="00411720">
      <w:pPr>
        <w:pStyle w:val="Prrafodelista"/>
        <w:numPr>
          <w:ilvl w:val="1"/>
          <w:numId w:val="72"/>
        </w:numPr>
        <w:spacing w:line="240" w:lineRule="auto"/>
        <w:ind w:left="1134" w:hanging="425"/>
        <w:jc w:val="both"/>
        <w:rPr>
          <w:rFonts w:cs="Arial"/>
          <w:lang w:val="es-HN"/>
        </w:rPr>
      </w:pPr>
      <w:r w:rsidRPr="00FA4B2D">
        <w:rPr>
          <w:rFonts w:cs="Arial"/>
          <w:lang w:val="es-HN"/>
        </w:rPr>
        <w:t>Evitar entrar en contacto con personas sospechosas o con síntomas y signos respiratorios.</w:t>
      </w:r>
    </w:p>
    <w:p w14:paraId="685D7BE7" w14:textId="77777777" w:rsidR="006A3DBC" w:rsidRPr="00FA4B2D" w:rsidRDefault="006A3DBC" w:rsidP="00411720">
      <w:pPr>
        <w:pStyle w:val="Prrafodelista"/>
        <w:numPr>
          <w:ilvl w:val="1"/>
          <w:numId w:val="72"/>
        </w:numPr>
        <w:spacing w:line="240" w:lineRule="auto"/>
        <w:ind w:left="1134" w:hanging="425"/>
        <w:jc w:val="both"/>
        <w:rPr>
          <w:rFonts w:cs="Arial"/>
          <w:lang w:val="es-HN"/>
        </w:rPr>
      </w:pPr>
      <w:r w:rsidRPr="00FA4B2D">
        <w:rPr>
          <w:rFonts w:cs="Arial"/>
          <w:lang w:val="es-HN"/>
        </w:rPr>
        <w:t>Evitar lugares o espacios con aglomeraciones de personas.</w:t>
      </w:r>
    </w:p>
    <w:p w14:paraId="656746AD" w14:textId="77777777" w:rsidR="006A3DBC" w:rsidRPr="00FA4B2D" w:rsidRDefault="006A3DBC" w:rsidP="00411720">
      <w:pPr>
        <w:pStyle w:val="Prrafodelista"/>
        <w:numPr>
          <w:ilvl w:val="1"/>
          <w:numId w:val="72"/>
        </w:numPr>
        <w:spacing w:line="240" w:lineRule="auto"/>
        <w:ind w:left="1134" w:hanging="425"/>
        <w:jc w:val="both"/>
        <w:rPr>
          <w:rFonts w:cs="Arial"/>
          <w:lang w:val="es-HN"/>
        </w:rPr>
      </w:pPr>
      <w:r w:rsidRPr="00FA4B2D">
        <w:rPr>
          <w:rFonts w:cs="Arial"/>
          <w:lang w:val="es-HN"/>
        </w:rPr>
        <w:t>Informar y buscar ayuda médica si se presentan síntomas o signos respiratorios o si se ha estado en contacto directo con personas sospechosas o con síntomas respiratorios.</w:t>
      </w:r>
    </w:p>
    <w:p w14:paraId="460F3B0E" w14:textId="77777777" w:rsidR="006A3DBC" w:rsidRPr="00FA4B2D" w:rsidRDefault="006A3DBC" w:rsidP="00411720">
      <w:pPr>
        <w:pStyle w:val="Prrafodelista"/>
        <w:numPr>
          <w:ilvl w:val="1"/>
          <w:numId w:val="72"/>
        </w:numPr>
        <w:spacing w:line="240" w:lineRule="auto"/>
        <w:ind w:left="1134" w:hanging="425"/>
        <w:jc w:val="both"/>
        <w:rPr>
          <w:rFonts w:cs="Arial"/>
          <w:lang w:val="es-HN"/>
        </w:rPr>
      </w:pPr>
      <w:r w:rsidRPr="00FA4B2D">
        <w:rPr>
          <w:rFonts w:cs="Arial"/>
          <w:lang w:val="es-HN"/>
        </w:rPr>
        <w:t>Informar sobre la presencia de personas sospechosas o con síntomas respiratorios, en especial en lugares y centros de trabajo.</w:t>
      </w:r>
    </w:p>
    <w:p w14:paraId="51596A9E" w14:textId="77777777" w:rsidR="006A3DBC" w:rsidRPr="00FA4B2D" w:rsidRDefault="006A3DBC" w:rsidP="006A3DBC">
      <w:pPr>
        <w:pStyle w:val="Prrafodelista"/>
        <w:spacing w:line="240" w:lineRule="auto"/>
        <w:ind w:left="360"/>
        <w:jc w:val="both"/>
        <w:rPr>
          <w:rFonts w:cs="Arial"/>
          <w:lang w:val="es-HN"/>
        </w:rPr>
      </w:pPr>
    </w:p>
    <w:p w14:paraId="6E5C03C4" w14:textId="77777777" w:rsidR="006A3DBC" w:rsidRPr="00FA4B2D" w:rsidRDefault="006A3DBC" w:rsidP="00411720">
      <w:pPr>
        <w:pStyle w:val="Prrafodelista"/>
        <w:numPr>
          <w:ilvl w:val="0"/>
          <w:numId w:val="73"/>
        </w:numPr>
        <w:spacing w:line="240" w:lineRule="auto"/>
        <w:jc w:val="both"/>
        <w:rPr>
          <w:rFonts w:cs="Arial"/>
          <w:bCs/>
          <w:lang w:val="es-HN"/>
        </w:rPr>
      </w:pPr>
      <w:r w:rsidRPr="00FA4B2D">
        <w:rPr>
          <w:rFonts w:cs="Arial"/>
          <w:bCs/>
          <w:lang w:val="es-HN"/>
        </w:rPr>
        <w:t>Recomendación de Lavado de Manos.</w:t>
      </w:r>
    </w:p>
    <w:p w14:paraId="5B096445" w14:textId="77777777" w:rsidR="006A3DBC" w:rsidRPr="00FA4B2D" w:rsidRDefault="006A3DBC" w:rsidP="006A3DBC">
      <w:pPr>
        <w:pStyle w:val="Prrafodelista"/>
        <w:spacing w:line="240" w:lineRule="auto"/>
        <w:ind w:left="360"/>
        <w:jc w:val="both"/>
        <w:rPr>
          <w:rFonts w:cs="Arial"/>
          <w:lang w:val="es-HN"/>
        </w:rPr>
      </w:pPr>
      <w:r w:rsidRPr="00FA4B2D">
        <w:rPr>
          <w:rFonts w:cs="Arial"/>
          <w:lang w:val="es-HN"/>
        </w:rPr>
        <w:t>Capacitación sobre la técnica adecuada para el lavado de las manos.</w:t>
      </w:r>
    </w:p>
    <w:p w14:paraId="1258A4D4" w14:textId="77777777" w:rsidR="006A3DBC" w:rsidRPr="00FA4B2D" w:rsidRDefault="006A3DBC" w:rsidP="006A3DBC">
      <w:pPr>
        <w:pStyle w:val="Prrafodelista"/>
        <w:spacing w:line="240" w:lineRule="auto"/>
        <w:ind w:left="360"/>
        <w:jc w:val="both"/>
        <w:rPr>
          <w:rFonts w:cs="Arial"/>
        </w:rPr>
      </w:pPr>
      <w:r w:rsidRPr="00FA4B2D">
        <w:rPr>
          <w:rFonts w:cs="Arial"/>
          <w:lang w:val="es-HN"/>
        </w:rPr>
        <w:t xml:space="preserve">Por lo general, se recomiendan la técnica establecida por la OMS. </w:t>
      </w:r>
      <w:r w:rsidRPr="00FA4B2D">
        <w:rPr>
          <w:rFonts w:cs="Arial"/>
        </w:rPr>
        <w:t>La duración mínima es de un (1) minuto:</w:t>
      </w:r>
    </w:p>
    <w:p w14:paraId="6DB812DC" w14:textId="77777777" w:rsidR="006A3DBC" w:rsidRPr="00FA4B2D" w:rsidRDefault="006A3DBC" w:rsidP="00411720">
      <w:pPr>
        <w:pStyle w:val="Prrafodelista"/>
        <w:numPr>
          <w:ilvl w:val="0"/>
          <w:numId w:val="75"/>
        </w:numPr>
        <w:spacing w:line="240" w:lineRule="auto"/>
        <w:jc w:val="both"/>
        <w:rPr>
          <w:rFonts w:cs="Arial"/>
          <w:lang w:val="es-HN"/>
        </w:rPr>
      </w:pPr>
      <w:r w:rsidRPr="00FA4B2D">
        <w:rPr>
          <w:rFonts w:cs="Arial"/>
          <w:lang w:val="es-HN"/>
        </w:rPr>
        <w:t>Mojar las manos con agua y jabón.</w:t>
      </w:r>
    </w:p>
    <w:p w14:paraId="49B86474" w14:textId="77777777" w:rsidR="006A3DBC" w:rsidRPr="00FA4B2D" w:rsidRDefault="006A3DBC" w:rsidP="00411720">
      <w:pPr>
        <w:pStyle w:val="Prrafodelista"/>
        <w:numPr>
          <w:ilvl w:val="0"/>
          <w:numId w:val="75"/>
        </w:numPr>
        <w:spacing w:line="240" w:lineRule="auto"/>
        <w:jc w:val="both"/>
        <w:rPr>
          <w:rFonts w:cs="Arial"/>
          <w:lang w:val="es-HN"/>
        </w:rPr>
      </w:pPr>
      <w:r w:rsidRPr="00FA4B2D">
        <w:rPr>
          <w:rFonts w:cs="Arial"/>
          <w:lang w:val="es-HN"/>
        </w:rPr>
        <w:t>Enjabonar muy bien la palma, el dorso, entre los dedos y las uñas.</w:t>
      </w:r>
    </w:p>
    <w:p w14:paraId="41F28A96" w14:textId="77777777" w:rsidR="006A3DBC" w:rsidRPr="00FA4B2D" w:rsidRDefault="006A3DBC" w:rsidP="00411720">
      <w:pPr>
        <w:pStyle w:val="Prrafodelista"/>
        <w:numPr>
          <w:ilvl w:val="0"/>
          <w:numId w:val="75"/>
        </w:numPr>
        <w:spacing w:line="240" w:lineRule="auto"/>
        <w:jc w:val="both"/>
        <w:rPr>
          <w:rFonts w:cs="Arial"/>
          <w:lang w:val="es-HN"/>
        </w:rPr>
      </w:pPr>
      <w:r w:rsidRPr="00FA4B2D">
        <w:rPr>
          <w:rFonts w:cs="Arial"/>
          <w:lang w:val="es-HN"/>
        </w:rPr>
        <w:t>Aclarar bien los restos de jabón y si es necesario, repetir el proceso.</w:t>
      </w:r>
    </w:p>
    <w:p w14:paraId="010B1FD3" w14:textId="10DD3155" w:rsidR="006A3DBC" w:rsidRPr="00FA4B2D" w:rsidRDefault="006A3DBC" w:rsidP="00411720">
      <w:pPr>
        <w:pStyle w:val="Prrafodelista"/>
        <w:numPr>
          <w:ilvl w:val="0"/>
          <w:numId w:val="75"/>
        </w:numPr>
        <w:spacing w:line="240" w:lineRule="auto"/>
        <w:jc w:val="both"/>
        <w:rPr>
          <w:rFonts w:cs="Arial"/>
          <w:lang w:val="es-HN"/>
        </w:rPr>
      </w:pPr>
      <w:r w:rsidRPr="00FA4B2D">
        <w:rPr>
          <w:rFonts w:cs="Arial"/>
          <w:lang w:val="es-HN"/>
        </w:rPr>
        <w:t>Secar adecuadamente las manos con una toalla de papel.</w:t>
      </w:r>
    </w:p>
    <w:p w14:paraId="10BA4C6B" w14:textId="77777777" w:rsidR="00C24D0B" w:rsidRDefault="00C24D0B" w:rsidP="00C24D0B">
      <w:pPr>
        <w:pStyle w:val="Prrafodelista"/>
        <w:spacing w:line="240" w:lineRule="auto"/>
        <w:ind w:left="1080"/>
        <w:jc w:val="both"/>
        <w:rPr>
          <w:rFonts w:cs="Arial"/>
          <w:lang w:val="es-HN"/>
        </w:rPr>
      </w:pPr>
    </w:p>
    <w:p w14:paraId="7F78E813" w14:textId="77777777" w:rsidR="002B7276" w:rsidRDefault="002B7276" w:rsidP="00C24D0B">
      <w:pPr>
        <w:pStyle w:val="Prrafodelista"/>
        <w:spacing w:line="240" w:lineRule="auto"/>
        <w:ind w:left="1080"/>
        <w:jc w:val="both"/>
        <w:rPr>
          <w:rFonts w:cs="Arial"/>
          <w:lang w:val="es-HN"/>
        </w:rPr>
      </w:pPr>
    </w:p>
    <w:p w14:paraId="392272DF" w14:textId="77777777" w:rsidR="002B7276" w:rsidRDefault="002B7276" w:rsidP="00C24D0B">
      <w:pPr>
        <w:pStyle w:val="Prrafodelista"/>
        <w:spacing w:line="240" w:lineRule="auto"/>
        <w:ind w:left="1080"/>
        <w:jc w:val="both"/>
        <w:rPr>
          <w:rFonts w:cs="Arial"/>
          <w:lang w:val="es-HN"/>
        </w:rPr>
      </w:pPr>
    </w:p>
    <w:p w14:paraId="0CAB03D5" w14:textId="77777777" w:rsidR="002B7276" w:rsidRPr="00FA4B2D" w:rsidRDefault="002B7276" w:rsidP="00C24D0B">
      <w:pPr>
        <w:pStyle w:val="Prrafodelista"/>
        <w:spacing w:line="240" w:lineRule="auto"/>
        <w:ind w:left="1080"/>
        <w:jc w:val="both"/>
        <w:rPr>
          <w:rFonts w:cs="Arial"/>
          <w:lang w:val="es-HN"/>
        </w:rPr>
      </w:pPr>
    </w:p>
    <w:p w14:paraId="22D094E8" w14:textId="20734A16" w:rsidR="006A3DBC" w:rsidRPr="00FA4B2D" w:rsidRDefault="006A3DBC" w:rsidP="6A9CA2EB">
      <w:pPr>
        <w:pStyle w:val="Ttulo2"/>
        <w:numPr>
          <w:ilvl w:val="1"/>
          <w:numId w:val="34"/>
        </w:numPr>
        <w:spacing w:before="0" w:line="240" w:lineRule="auto"/>
        <w:jc w:val="both"/>
        <w:rPr>
          <w:rFonts w:ascii="Arial" w:hAnsi="Arial" w:cs="Arial"/>
          <w:b/>
          <w:bCs/>
          <w:color w:val="767171" w:themeColor="background2" w:themeShade="80"/>
          <w:sz w:val="22"/>
          <w:szCs w:val="22"/>
        </w:rPr>
      </w:pPr>
      <w:bookmarkStart w:id="1236" w:name="_Toc65884213"/>
      <w:bookmarkStart w:id="1237" w:name="_Toc67573436"/>
      <w:bookmarkStart w:id="1238" w:name="_Toc202456964"/>
      <w:r w:rsidRPr="00FA4B2D">
        <w:rPr>
          <w:rFonts w:ascii="Arial" w:hAnsi="Arial" w:cs="Arial"/>
          <w:b/>
          <w:bCs/>
          <w:color w:val="767171" w:themeColor="background2" w:themeShade="80"/>
          <w:sz w:val="22"/>
          <w:szCs w:val="22"/>
        </w:rPr>
        <w:lastRenderedPageBreak/>
        <w:t>Mecanismo de Comunicación de Consul</w:t>
      </w:r>
      <w:r w:rsidR="00163A7A" w:rsidRPr="00FA4B2D">
        <w:rPr>
          <w:rFonts w:ascii="Arial" w:hAnsi="Arial" w:cs="Arial"/>
          <w:b/>
          <w:bCs/>
          <w:color w:val="767171" w:themeColor="background2" w:themeShade="80"/>
          <w:sz w:val="22"/>
          <w:szCs w:val="22"/>
        </w:rPr>
        <w:t>t</w:t>
      </w:r>
      <w:r w:rsidRPr="00FA4B2D">
        <w:rPr>
          <w:rFonts w:ascii="Arial" w:hAnsi="Arial" w:cs="Arial"/>
          <w:b/>
          <w:bCs/>
          <w:color w:val="767171" w:themeColor="background2" w:themeShade="80"/>
          <w:sz w:val="22"/>
          <w:szCs w:val="22"/>
        </w:rPr>
        <w:t>as, Quejas, Reclamos</w:t>
      </w:r>
      <w:bookmarkEnd w:id="1236"/>
      <w:bookmarkEnd w:id="1237"/>
      <w:r w:rsidRPr="00FA4B2D">
        <w:rPr>
          <w:rFonts w:ascii="Arial" w:hAnsi="Arial" w:cs="Arial"/>
          <w:b/>
          <w:bCs/>
          <w:color w:val="767171" w:themeColor="background2" w:themeShade="80"/>
          <w:sz w:val="22"/>
          <w:szCs w:val="22"/>
        </w:rPr>
        <w:t xml:space="preserve"> y Sugerencias (MCQRS)</w:t>
      </w:r>
      <w:bookmarkEnd w:id="1238"/>
    </w:p>
    <w:p w14:paraId="36ED450D" w14:textId="77777777" w:rsidR="006A3DBC" w:rsidRPr="00FA4B2D" w:rsidRDefault="006A3DBC" w:rsidP="006A3DBC">
      <w:pPr>
        <w:spacing w:after="0" w:line="240" w:lineRule="auto"/>
        <w:jc w:val="both"/>
        <w:rPr>
          <w:rFonts w:cs="Arial"/>
        </w:rPr>
      </w:pPr>
    </w:p>
    <w:p w14:paraId="477ECE9D" w14:textId="371E1BFC" w:rsidR="006A3DBC" w:rsidRPr="00FA4B2D" w:rsidRDefault="006A3DBC" w:rsidP="006A3DBC">
      <w:pPr>
        <w:spacing w:after="60" w:line="240" w:lineRule="auto"/>
        <w:jc w:val="both"/>
        <w:rPr>
          <w:rFonts w:cs="Arial"/>
        </w:rPr>
      </w:pPr>
      <w:r w:rsidRPr="00FA4B2D">
        <w:rPr>
          <w:rFonts w:cs="Arial"/>
        </w:rPr>
        <w:t xml:space="preserve">COMRURAL III utilizará un </w:t>
      </w:r>
      <w:bookmarkStart w:id="1239" w:name="_Hlk64893603"/>
      <w:r w:rsidRPr="00FA4B2D">
        <w:rPr>
          <w:rFonts w:cs="Arial"/>
        </w:rPr>
        <w:t xml:space="preserve">MCQRS </w:t>
      </w:r>
      <w:bookmarkEnd w:id="1239"/>
      <w:r w:rsidRPr="00FA4B2D">
        <w:rPr>
          <w:rFonts w:cs="Arial"/>
        </w:rPr>
        <w:t xml:space="preserve">ya elaborado. El MCQRS es un sistema accesible e inclusivo que se utiliza para recibir reclamos y sugerencias de mejoras y adoptar medidas oportunas al respecto, y para facilitar la solución de las inquietudes y quejas que surjan en relación con el </w:t>
      </w:r>
      <w:r w:rsidR="001E7B91" w:rsidRPr="00FA4B2D">
        <w:rPr>
          <w:rFonts w:cs="Arial"/>
        </w:rPr>
        <w:t>P</w:t>
      </w:r>
      <w:r w:rsidRPr="00FA4B2D">
        <w:rPr>
          <w:rFonts w:cs="Arial"/>
        </w:rPr>
        <w:t>royecto; esto incluye quejas y reclamos que surgen en el marco de la EAS</w:t>
      </w:r>
      <w:r w:rsidR="00163A7A" w:rsidRPr="00FA4B2D">
        <w:rPr>
          <w:rFonts w:cs="Arial"/>
        </w:rPr>
        <w:t xml:space="preserve"> </w:t>
      </w:r>
      <w:r w:rsidRPr="00FA4B2D">
        <w:rPr>
          <w:rFonts w:cs="Arial"/>
        </w:rPr>
        <w:t>5 y específicamente de la implementación del MRI y/o MP</w:t>
      </w:r>
      <w:r w:rsidR="00737D83" w:rsidRPr="00FA4B2D">
        <w:rPr>
          <w:rFonts w:cs="Arial"/>
        </w:rPr>
        <w:t>.</w:t>
      </w:r>
      <w:r w:rsidRPr="00FA4B2D">
        <w:rPr>
          <w:rFonts w:cs="Arial"/>
        </w:rPr>
        <w:t xml:space="preserve"> En el proceso de gestión y resolución y monitoreo de quejas y reclamos sobre temas cubiertos por ambos Marcos, COMRURAL III podrá solicitar el acompañamiento de las instituciones nacionales cuya competencia es atender estos temas específicos como la reubicación, compensación, restablecimiento de condiciones sociales entre otros. </w:t>
      </w:r>
    </w:p>
    <w:p w14:paraId="66C938BF" w14:textId="77777777" w:rsidR="006A3DBC" w:rsidRPr="00FA4B2D" w:rsidRDefault="006A3DBC" w:rsidP="006A3DBC">
      <w:pPr>
        <w:spacing w:after="60" w:line="240" w:lineRule="auto"/>
        <w:jc w:val="both"/>
        <w:rPr>
          <w:rFonts w:cs="Arial"/>
        </w:rPr>
      </w:pPr>
    </w:p>
    <w:p w14:paraId="5092DDD0" w14:textId="77777777" w:rsidR="006A3DBC" w:rsidRPr="00FA4B2D" w:rsidRDefault="006A3DBC" w:rsidP="006A3DBC">
      <w:pPr>
        <w:spacing w:after="60" w:line="240" w:lineRule="auto"/>
        <w:jc w:val="both"/>
        <w:rPr>
          <w:rFonts w:cs="Arial"/>
        </w:rPr>
      </w:pPr>
      <w:r w:rsidRPr="00FA4B2D">
        <w:rPr>
          <w:rFonts w:cs="Arial"/>
        </w:rPr>
        <w:t>Los canales para presentar quejas, reclamos o sugerencias son:</w:t>
      </w:r>
    </w:p>
    <w:p w14:paraId="2D545A04" w14:textId="77777777" w:rsidR="006A3DBC" w:rsidRPr="00FA4B2D" w:rsidRDefault="006A3DBC" w:rsidP="00411720">
      <w:pPr>
        <w:pStyle w:val="Prrafodelista"/>
        <w:numPr>
          <w:ilvl w:val="0"/>
          <w:numId w:val="57"/>
        </w:numPr>
        <w:spacing w:after="60" w:line="240" w:lineRule="auto"/>
        <w:contextualSpacing w:val="0"/>
        <w:rPr>
          <w:rFonts w:cs="Arial"/>
          <w:b/>
          <w:lang w:val="es-MX"/>
        </w:rPr>
      </w:pPr>
      <w:r w:rsidRPr="00FA4B2D">
        <w:rPr>
          <w:rFonts w:cs="Arial"/>
          <w:b/>
          <w:lang w:val="es-MX"/>
        </w:rPr>
        <w:t xml:space="preserve">Sistema de buzón de quejas </w:t>
      </w:r>
    </w:p>
    <w:p w14:paraId="180E230C" w14:textId="77777777" w:rsidR="006A3DBC" w:rsidRPr="00FA4B2D" w:rsidRDefault="006A3DBC" w:rsidP="006A3DBC">
      <w:pPr>
        <w:spacing w:after="60" w:line="240" w:lineRule="auto"/>
        <w:jc w:val="both"/>
        <w:rPr>
          <w:rFonts w:cs="Arial"/>
        </w:rPr>
      </w:pPr>
      <w:r w:rsidRPr="00FA4B2D">
        <w:rPr>
          <w:rFonts w:cs="Arial"/>
        </w:rPr>
        <w:t xml:space="preserve">En la página web del proyecto </w:t>
      </w:r>
      <w:hyperlink r:id="rId78" w:history="1">
        <w:r w:rsidRPr="00FA4B2D">
          <w:rPr>
            <w:rStyle w:val="Hipervnculo"/>
            <w:rFonts w:cs="Arial"/>
            <w:color w:val="767171" w:themeColor="background2" w:themeShade="80"/>
          </w:rPr>
          <w:t>www.comrural.hn</w:t>
        </w:r>
      </w:hyperlink>
      <w:r w:rsidRPr="00FA4B2D">
        <w:rPr>
          <w:rFonts w:cs="Arial"/>
        </w:rPr>
        <w:t xml:space="preserve"> hay una pestaña llamada buzón de quejas (</w:t>
      </w:r>
      <w:hyperlink r:id="rId79" w:history="1">
        <w:r w:rsidRPr="00FA4B2D">
          <w:rPr>
            <w:rStyle w:val="Hipervnculo"/>
            <w:rFonts w:cs="Arial"/>
            <w:color w:val="767171" w:themeColor="background2" w:themeShade="80"/>
            <w:lang w:val="es-ES"/>
          </w:rPr>
          <w:t>http://www.comrural.hn/buzon-de-quejas/</w:t>
        </w:r>
      </w:hyperlink>
      <w:r w:rsidRPr="00FA4B2D">
        <w:rPr>
          <w:rFonts w:cs="Arial"/>
          <w:lang w:val="es-ES"/>
        </w:rPr>
        <w:t xml:space="preserve"> ) </w:t>
      </w:r>
      <w:r w:rsidRPr="00FA4B2D">
        <w:rPr>
          <w:rFonts w:cs="Arial"/>
        </w:rPr>
        <w:t>esta contiene un formato donde se colocan:</w:t>
      </w:r>
    </w:p>
    <w:p w14:paraId="716343CC" w14:textId="77777777" w:rsidR="006A3DBC" w:rsidRPr="00FA4B2D" w:rsidRDefault="006A3DBC" w:rsidP="00411720">
      <w:pPr>
        <w:pStyle w:val="Prrafodelista"/>
        <w:numPr>
          <w:ilvl w:val="0"/>
          <w:numId w:val="58"/>
        </w:numPr>
        <w:spacing w:after="60" w:line="240" w:lineRule="auto"/>
        <w:contextualSpacing w:val="0"/>
        <w:jc w:val="both"/>
        <w:rPr>
          <w:rFonts w:cs="Arial"/>
          <w:lang w:val="es-MX"/>
        </w:rPr>
      </w:pPr>
      <w:r w:rsidRPr="00FA4B2D">
        <w:rPr>
          <w:rFonts w:cs="Arial"/>
          <w:lang w:val="es-MX"/>
        </w:rPr>
        <w:t>El asunto.</w:t>
      </w:r>
    </w:p>
    <w:p w14:paraId="082CCB0B" w14:textId="77777777" w:rsidR="006A3DBC" w:rsidRPr="00FA4B2D" w:rsidRDefault="006A3DBC" w:rsidP="00411720">
      <w:pPr>
        <w:pStyle w:val="Prrafodelista"/>
        <w:numPr>
          <w:ilvl w:val="0"/>
          <w:numId w:val="58"/>
        </w:numPr>
        <w:spacing w:after="60" w:line="240" w:lineRule="auto"/>
        <w:contextualSpacing w:val="0"/>
        <w:jc w:val="both"/>
        <w:rPr>
          <w:rFonts w:cs="Arial"/>
          <w:lang w:val="es-MX"/>
        </w:rPr>
      </w:pPr>
      <w:r w:rsidRPr="00FA4B2D">
        <w:rPr>
          <w:rFonts w:cs="Arial"/>
          <w:lang w:val="es-MX"/>
        </w:rPr>
        <w:t>El nombre.</w:t>
      </w:r>
    </w:p>
    <w:p w14:paraId="3976280F" w14:textId="77777777" w:rsidR="006A3DBC" w:rsidRPr="00FA4B2D" w:rsidRDefault="006A3DBC" w:rsidP="00411720">
      <w:pPr>
        <w:pStyle w:val="Prrafodelista"/>
        <w:numPr>
          <w:ilvl w:val="0"/>
          <w:numId w:val="58"/>
        </w:numPr>
        <w:spacing w:after="60" w:line="240" w:lineRule="auto"/>
        <w:contextualSpacing w:val="0"/>
        <w:jc w:val="both"/>
        <w:rPr>
          <w:rFonts w:cs="Arial"/>
          <w:lang w:val="es-MX"/>
        </w:rPr>
      </w:pPr>
      <w:r w:rsidRPr="00FA4B2D">
        <w:rPr>
          <w:rFonts w:cs="Arial"/>
          <w:lang w:val="es-MX"/>
        </w:rPr>
        <w:t>Número de identidad.</w:t>
      </w:r>
    </w:p>
    <w:p w14:paraId="04EB90BC" w14:textId="77777777" w:rsidR="006A3DBC" w:rsidRPr="00FA4B2D" w:rsidRDefault="006A3DBC" w:rsidP="00411720">
      <w:pPr>
        <w:pStyle w:val="Prrafodelista"/>
        <w:numPr>
          <w:ilvl w:val="0"/>
          <w:numId w:val="58"/>
        </w:numPr>
        <w:spacing w:after="60" w:line="240" w:lineRule="auto"/>
        <w:contextualSpacing w:val="0"/>
        <w:jc w:val="both"/>
        <w:rPr>
          <w:rFonts w:cs="Arial"/>
          <w:lang w:val="es-MX"/>
        </w:rPr>
      </w:pPr>
      <w:r w:rsidRPr="00FA4B2D">
        <w:rPr>
          <w:rFonts w:cs="Arial"/>
          <w:lang w:val="es-MX"/>
        </w:rPr>
        <w:t>Correo electrónico.</w:t>
      </w:r>
    </w:p>
    <w:p w14:paraId="5C1C2222" w14:textId="77777777" w:rsidR="006A3DBC" w:rsidRPr="00FA4B2D" w:rsidRDefault="006A3DBC" w:rsidP="00411720">
      <w:pPr>
        <w:pStyle w:val="Prrafodelista"/>
        <w:numPr>
          <w:ilvl w:val="0"/>
          <w:numId w:val="58"/>
        </w:numPr>
        <w:spacing w:after="60" w:line="240" w:lineRule="auto"/>
        <w:contextualSpacing w:val="0"/>
        <w:jc w:val="both"/>
        <w:rPr>
          <w:rFonts w:cs="Arial"/>
          <w:lang w:val="es-MX"/>
        </w:rPr>
      </w:pPr>
      <w:r w:rsidRPr="00FA4B2D">
        <w:rPr>
          <w:rFonts w:cs="Arial"/>
          <w:lang w:val="es-MX"/>
        </w:rPr>
        <w:t>Teléfono.</w:t>
      </w:r>
    </w:p>
    <w:p w14:paraId="3E566824" w14:textId="77777777" w:rsidR="006A3DBC" w:rsidRPr="00FA4B2D" w:rsidRDefault="006A3DBC" w:rsidP="00411720">
      <w:pPr>
        <w:pStyle w:val="Prrafodelista"/>
        <w:numPr>
          <w:ilvl w:val="0"/>
          <w:numId w:val="58"/>
        </w:numPr>
        <w:spacing w:after="60" w:line="240" w:lineRule="auto"/>
        <w:contextualSpacing w:val="0"/>
        <w:jc w:val="both"/>
        <w:rPr>
          <w:rFonts w:cs="Arial"/>
          <w:lang w:val="es-MX"/>
        </w:rPr>
      </w:pPr>
      <w:r w:rsidRPr="00FA4B2D">
        <w:rPr>
          <w:rFonts w:cs="Arial"/>
          <w:lang w:val="es-MX"/>
        </w:rPr>
        <w:t>Campo de texto para la consulta o queja.</w:t>
      </w:r>
    </w:p>
    <w:p w14:paraId="13E5F53D" w14:textId="77777777" w:rsidR="006A3DBC" w:rsidRPr="00FA4B2D" w:rsidRDefault="006A3DBC" w:rsidP="00411720">
      <w:pPr>
        <w:pStyle w:val="Prrafodelista"/>
        <w:numPr>
          <w:ilvl w:val="0"/>
          <w:numId w:val="58"/>
        </w:numPr>
        <w:spacing w:after="60" w:line="240" w:lineRule="auto"/>
        <w:contextualSpacing w:val="0"/>
        <w:jc w:val="both"/>
        <w:rPr>
          <w:rFonts w:cs="Arial"/>
          <w:lang w:val="es-MX"/>
        </w:rPr>
      </w:pPr>
      <w:r w:rsidRPr="00FA4B2D">
        <w:rPr>
          <w:rFonts w:cs="Arial"/>
          <w:lang w:val="es-MX"/>
        </w:rPr>
        <w:t>Envío.</w:t>
      </w:r>
    </w:p>
    <w:p w14:paraId="77FDD590" w14:textId="77777777" w:rsidR="006A3DBC" w:rsidRPr="00FA4B2D" w:rsidRDefault="006A3DBC" w:rsidP="006A3DBC">
      <w:pPr>
        <w:spacing w:after="60" w:line="240" w:lineRule="auto"/>
        <w:jc w:val="both"/>
        <w:rPr>
          <w:rFonts w:cs="Arial"/>
        </w:rPr>
      </w:pPr>
      <w:r w:rsidRPr="00FA4B2D">
        <w:rPr>
          <w:rFonts w:cs="Arial"/>
        </w:rPr>
        <w:t>Automáticamente se notifica el recibimiento de la queja al usuario. Una vez recibida es revisada por el web máster del Proyecto, quien asigna el responsable de brindar respuesta, de acuerdo con el contenido o tema de la queja, dicha información es recopilada por el web máster y se da respuesta al usuario. Para las quejas y reclamos existe un procedimiento de preparación de respuesta y seguimiento para evaluar el nivel de satisfacción de esta antes del cierre.</w:t>
      </w:r>
    </w:p>
    <w:p w14:paraId="5FF6DC30" w14:textId="77777777" w:rsidR="006A3DBC" w:rsidRPr="00FA4B2D" w:rsidRDefault="006A3DBC" w:rsidP="006A3DBC">
      <w:pPr>
        <w:spacing w:after="60" w:line="240" w:lineRule="auto"/>
        <w:jc w:val="both"/>
        <w:rPr>
          <w:rFonts w:cs="Arial"/>
        </w:rPr>
      </w:pPr>
    </w:p>
    <w:p w14:paraId="1C6A066A" w14:textId="77777777" w:rsidR="006A3DBC" w:rsidRPr="00FA4B2D" w:rsidRDefault="006A3DBC" w:rsidP="00411720">
      <w:pPr>
        <w:pStyle w:val="Prrafodelista"/>
        <w:numPr>
          <w:ilvl w:val="0"/>
          <w:numId w:val="57"/>
        </w:numPr>
        <w:spacing w:after="60" w:line="240" w:lineRule="auto"/>
        <w:contextualSpacing w:val="0"/>
        <w:jc w:val="both"/>
        <w:rPr>
          <w:rFonts w:cs="Arial"/>
          <w:b/>
          <w:lang w:val="es-MX"/>
        </w:rPr>
      </w:pPr>
      <w:r w:rsidRPr="00FA4B2D">
        <w:rPr>
          <w:rFonts w:cs="Arial"/>
          <w:b/>
          <w:lang w:val="es-MX"/>
        </w:rPr>
        <w:t>Sistema de chat en tiempo real</w:t>
      </w:r>
    </w:p>
    <w:p w14:paraId="2A84D658" w14:textId="77777777" w:rsidR="006A3DBC" w:rsidRPr="00FA4B2D" w:rsidRDefault="006A3DBC" w:rsidP="006A3DBC">
      <w:pPr>
        <w:spacing w:after="60" w:line="240" w:lineRule="auto"/>
        <w:jc w:val="both"/>
        <w:rPr>
          <w:rFonts w:cs="Arial"/>
        </w:rPr>
      </w:pPr>
      <w:r w:rsidRPr="00FA4B2D">
        <w:rPr>
          <w:rFonts w:cs="Arial"/>
        </w:rPr>
        <w:t>Este sistema funciona de la siguiente forma:</w:t>
      </w:r>
    </w:p>
    <w:p w14:paraId="451FAC89" w14:textId="77777777" w:rsidR="006A3DBC" w:rsidRPr="00FA4B2D" w:rsidRDefault="006A3DBC" w:rsidP="00411720">
      <w:pPr>
        <w:pStyle w:val="Prrafodelista"/>
        <w:numPr>
          <w:ilvl w:val="0"/>
          <w:numId w:val="59"/>
        </w:numPr>
        <w:spacing w:after="60" w:line="240" w:lineRule="auto"/>
        <w:contextualSpacing w:val="0"/>
        <w:jc w:val="both"/>
        <w:rPr>
          <w:rFonts w:cs="Arial"/>
          <w:lang w:val="es-MX"/>
        </w:rPr>
      </w:pPr>
      <w:r w:rsidRPr="00FA4B2D">
        <w:rPr>
          <w:rFonts w:cs="Arial"/>
          <w:lang w:val="es-MX"/>
        </w:rPr>
        <w:t>El usuario escribe su consulta.</w:t>
      </w:r>
    </w:p>
    <w:p w14:paraId="6B2AD0F2" w14:textId="77777777" w:rsidR="006A3DBC" w:rsidRPr="00FA4B2D" w:rsidRDefault="006A3DBC" w:rsidP="00411720">
      <w:pPr>
        <w:pStyle w:val="Prrafodelista"/>
        <w:numPr>
          <w:ilvl w:val="0"/>
          <w:numId w:val="59"/>
        </w:numPr>
        <w:spacing w:after="60" w:line="240" w:lineRule="auto"/>
        <w:contextualSpacing w:val="0"/>
        <w:jc w:val="both"/>
        <w:rPr>
          <w:rFonts w:cs="Arial"/>
          <w:lang w:val="es-MX"/>
        </w:rPr>
      </w:pPr>
      <w:r w:rsidRPr="00FA4B2D">
        <w:rPr>
          <w:rFonts w:cs="Arial"/>
          <w:lang w:val="es-MX"/>
        </w:rPr>
        <w:t>Su consulta se recibe en una plataforma y se le da respuesta en tiempo real.</w:t>
      </w:r>
    </w:p>
    <w:p w14:paraId="649EB133" w14:textId="77777777" w:rsidR="006A3DBC" w:rsidRPr="00FA4B2D" w:rsidRDefault="006A3DBC" w:rsidP="00411720">
      <w:pPr>
        <w:pStyle w:val="Prrafodelista"/>
        <w:numPr>
          <w:ilvl w:val="0"/>
          <w:numId w:val="59"/>
        </w:numPr>
        <w:spacing w:after="60" w:line="240" w:lineRule="auto"/>
        <w:contextualSpacing w:val="0"/>
        <w:jc w:val="both"/>
        <w:rPr>
          <w:rFonts w:cs="Arial"/>
          <w:lang w:val="es-MX"/>
        </w:rPr>
      </w:pPr>
      <w:r w:rsidRPr="00FA4B2D">
        <w:rPr>
          <w:rFonts w:cs="Arial"/>
          <w:lang w:val="es-MX"/>
        </w:rPr>
        <w:t>El responsable de recibir la consulta es el web máster del Proyecto, quien coordina con el responsable del área temática correspondiente para brindar la respuesta.</w:t>
      </w:r>
    </w:p>
    <w:p w14:paraId="3700D0E9" w14:textId="77777777" w:rsidR="006A3DBC" w:rsidRDefault="006A3DBC" w:rsidP="006A3DBC">
      <w:pPr>
        <w:spacing w:after="60" w:line="240" w:lineRule="auto"/>
        <w:jc w:val="both"/>
        <w:rPr>
          <w:rFonts w:cs="Arial"/>
        </w:rPr>
      </w:pPr>
    </w:p>
    <w:p w14:paraId="51548630" w14:textId="77777777" w:rsidR="002B7276" w:rsidRPr="00FA4B2D" w:rsidRDefault="002B7276" w:rsidP="006A3DBC">
      <w:pPr>
        <w:spacing w:after="60" w:line="240" w:lineRule="auto"/>
        <w:jc w:val="both"/>
        <w:rPr>
          <w:rFonts w:cs="Arial"/>
        </w:rPr>
      </w:pPr>
    </w:p>
    <w:p w14:paraId="355B5D40" w14:textId="77777777" w:rsidR="006A3DBC" w:rsidRPr="00FA4B2D" w:rsidRDefault="006A3DBC" w:rsidP="00411720">
      <w:pPr>
        <w:pStyle w:val="Prrafodelista"/>
        <w:numPr>
          <w:ilvl w:val="0"/>
          <w:numId w:val="57"/>
        </w:numPr>
        <w:spacing w:after="60" w:line="240" w:lineRule="auto"/>
        <w:contextualSpacing w:val="0"/>
        <w:jc w:val="both"/>
        <w:rPr>
          <w:rFonts w:cs="Arial"/>
          <w:b/>
          <w:lang w:val="es-MX"/>
        </w:rPr>
      </w:pPr>
      <w:r w:rsidRPr="00FA4B2D">
        <w:rPr>
          <w:rFonts w:cs="Arial"/>
          <w:b/>
          <w:lang w:val="es-MX"/>
        </w:rPr>
        <w:lastRenderedPageBreak/>
        <w:t>Sistema de consulta mediante redes sociales</w:t>
      </w:r>
    </w:p>
    <w:p w14:paraId="0D153B97" w14:textId="77777777" w:rsidR="006A3DBC" w:rsidRPr="00FA4B2D" w:rsidRDefault="006A3DBC" w:rsidP="006A3DBC">
      <w:pPr>
        <w:spacing w:after="60" w:line="240" w:lineRule="auto"/>
        <w:jc w:val="both"/>
        <w:rPr>
          <w:rFonts w:cs="Arial"/>
        </w:rPr>
      </w:pPr>
      <w:r w:rsidRPr="00FA4B2D">
        <w:rPr>
          <w:rFonts w:cs="Arial"/>
        </w:rPr>
        <w:t>El usuario puede realizar sus consultas a través de las redes sociales del Proyecto, a las cuales también les brinda seguimiento el web máster:</w:t>
      </w:r>
    </w:p>
    <w:p w14:paraId="029BD372" w14:textId="77777777" w:rsidR="006A3DBC" w:rsidRPr="00FA4B2D" w:rsidRDefault="006A3DBC" w:rsidP="006A3DBC">
      <w:pPr>
        <w:spacing w:after="60" w:line="240" w:lineRule="auto"/>
        <w:jc w:val="both"/>
        <w:rPr>
          <w:rFonts w:cs="Arial"/>
        </w:rPr>
      </w:pPr>
      <w:r w:rsidRPr="00FA4B2D">
        <w:rPr>
          <w:rFonts w:cs="Arial"/>
        </w:rPr>
        <w:t>El usuario puede realizar sus consultas a través de las redes sociales del Proyecto, a las cuales también les brinda seguimiento el web máster:</w:t>
      </w:r>
    </w:p>
    <w:p w14:paraId="2F0B69BF" w14:textId="77777777" w:rsidR="006A3DBC" w:rsidRPr="00FA4B2D" w:rsidRDefault="00000000" w:rsidP="00411720">
      <w:pPr>
        <w:numPr>
          <w:ilvl w:val="0"/>
          <w:numId w:val="60"/>
        </w:numPr>
        <w:rPr>
          <w:rFonts w:eastAsia="Times New Roman" w:cs="Arial"/>
        </w:rPr>
      </w:pPr>
      <w:hyperlink r:id="rId80" w:tgtFrame="_blank" w:history="1">
        <w:r w:rsidR="006A3DBC" w:rsidRPr="00FA4B2D">
          <w:rPr>
            <w:rStyle w:val="Hipervnculo"/>
            <w:rFonts w:eastAsia="Times New Roman" w:cs="Arial"/>
            <w:color w:val="767171" w:themeColor="background2" w:themeShade="80"/>
          </w:rPr>
          <w:t>https://www.facebook.com/comrural</w:t>
        </w:r>
      </w:hyperlink>
    </w:p>
    <w:p w14:paraId="63E49A1B" w14:textId="77777777" w:rsidR="006A3DBC" w:rsidRPr="00FA4B2D" w:rsidRDefault="00000000" w:rsidP="00411720">
      <w:pPr>
        <w:numPr>
          <w:ilvl w:val="0"/>
          <w:numId w:val="60"/>
        </w:numPr>
        <w:rPr>
          <w:rFonts w:eastAsia="Times New Roman" w:cs="Arial"/>
        </w:rPr>
      </w:pPr>
      <w:hyperlink r:id="rId81" w:tgtFrame="_blank" w:history="1">
        <w:r w:rsidR="006A3DBC" w:rsidRPr="00FA4B2D">
          <w:rPr>
            <w:rStyle w:val="Hipervnculo"/>
            <w:rFonts w:eastAsia="Times New Roman" w:cs="Arial"/>
            <w:color w:val="767171" w:themeColor="background2" w:themeShade="80"/>
          </w:rPr>
          <w:t>https://www.instagram.com/proyectocomrural/</w:t>
        </w:r>
      </w:hyperlink>
    </w:p>
    <w:p w14:paraId="53F8E6DB" w14:textId="77777777" w:rsidR="006A3DBC" w:rsidRPr="00FA4B2D" w:rsidRDefault="00000000" w:rsidP="00411720">
      <w:pPr>
        <w:numPr>
          <w:ilvl w:val="0"/>
          <w:numId w:val="60"/>
        </w:numPr>
        <w:rPr>
          <w:rStyle w:val="Hipervnculo"/>
          <w:rFonts w:eastAsia="Times New Roman" w:cs="Arial"/>
          <w:color w:val="767171" w:themeColor="background2" w:themeShade="80"/>
        </w:rPr>
      </w:pPr>
      <w:hyperlink r:id="rId82" w:history="1">
        <w:r w:rsidR="006A3DBC" w:rsidRPr="00FA4B2D">
          <w:rPr>
            <w:rStyle w:val="Hipervnculo"/>
            <w:rFonts w:eastAsia="Times New Roman" w:cs="Arial"/>
            <w:color w:val="767171" w:themeColor="background2" w:themeShade="80"/>
          </w:rPr>
          <w:t>https://twitter.com/ComRuralHN</w:t>
        </w:r>
      </w:hyperlink>
    </w:p>
    <w:p w14:paraId="0EBD52BA" w14:textId="77777777" w:rsidR="006A3DBC" w:rsidRPr="00FA4B2D" w:rsidRDefault="006A3DBC" w:rsidP="00411720">
      <w:pPr>
        <w:numPr>
          <w:ilvl w:val="0"/>
          <w:numId w:val="60"/>
        </w:numPr>
        <w:rPr>
          <w:rFonts w:eastAsia="Times New Roman" w:cs="Arial"/>
        </w:rPr>
      </w:pPr>
      <w:r w:rsidRPr="00FA4B2D">
        <w:rPr>
          <w:rFonts w:eastAsia="Times New Roman" w:cs="Arial"/>
        </w:rPr>
        <w:t>https://www.tiktok.com/@comrural</w:t>
      </w:r>
    </w:p>
    <w:p w14:paraId="101B6405" w14:textId="77777777" w:rsidR="006A3DBC" w:rsidRPr="00FA4B2D" w:rsidRDefault="006A3DBC" w:rsidP="006A3DBC">
      <w:pPr>
        <w:spacing w:after="60" w:line="240" w:lineRule="auto"/>
        <w:jc w:val="both"/>
        <w:rPr>
          <w:rFonts w:cs="Arial"/>
          <w:lang w:val="es-MX"/>
        </w:rPr>
      </w:pPr>
    </w:p>
    <w:p w14:paraId="05D8BB02" w14:textId="77777777" w:rsidR="006A3DBC" w:rsidRPr="00FA4B2D" w:rsidRDefault="006A3DBC" w:rsidP="00411720">
      <w:pPr>
        <w:pStyle w:val="Prrafodelista"/>
        <w:numPr>
          <w:ilvl w:val="0"/>
          <w:numId w:val="57"/>
        </w:numPr>
        <w:spacing w:after="60" w:line="240" w:lineRule="auto"/>
        <w:contextualSpacing w:val="0"/>
        <w:jc w:val="both"/>
        <w:rPr>
          <w:rFonts w:cs="Arial"/>
          <w:b/>
          <w:lang w:val="es-MX"/>
        </w:rPr>
      </w:pPr>
      <w:r w:rsidRPr="00FA4B2D">
        <w:rPr>
          <w:rFonts w:cs="Arial"/>
          <w:b/>
          <w:lang w:val="es-MX"/>
        </w:rPr>
        <w:t>Sistema de consulta mediante llamada</w:t>
      </w:r>
    </w:p>
    <w:p w14:paraId="668AEF20" w14:textId="77777777" w:rsidR="006A3DBC" w:rsidRPr="00FA4B2D" w:rsidRDefault="006A3DBC" w:rsidP="006A3DBC">
      <w:pPr>
        <w:spacing w:after="60" w:line="240" w:lineRule="auto"/>
        <w:jc w:val="both"/>
        <w:rPr>
          <w:rFonts w:cs="Arial"/>
        </w:rPr>
      </w:pPr>
      <w:r w:rsidRPr="00FA4B2D">
        <w:rPr>
          <w:rFonts w:cs="Arial"/>
        </w:rPr>
        <w:t>Adicionalmente, se implementa el mecanismo de consulta pública mediante llamada al número de teléfono 2221-1008, colocada en cada rotulación del Proyecto. La llamada es atendida por la persona encargada de recepción de la UEP o en su defecto la asistente administrativa, quien asigna a la persona responsable de la respuesta.</w:t>
      </w:r>
    </w:p>
    <w:p w14:paraId="7B048FB0" w14:textId="77777777" w:rsidR="006A3DBC" w:rsidRPr="00FA4B2D" w:rsidRDefault="006A3DBC" w:rsidP="006A3DBC">
      <w:pPr>
        <w:spacing w:after="60" w:line="240" w:lineRule="auto"/>
        <w:jc w:val="both"/>
        <w:rPr>
          <w:rFonts w:cs="Arial"/>
        </w:rPr>
      </w:pPr>
    </w:p>
    <w:p w14:paraId="790956CF" w14:textId="77777777" w:rsidR="006A3DBC" w:rsidRPr="00FA4B2D" w:rsidRDefault="006A3DBC" w:rsidP="00411720">
      <w:pPr>
        <w:pStyle w:val="Prrafodelista"/>
        <w:numPr>
          <w:ilvl w:val="0"/>
          <w:numId w:val="57"/>
        </w:numPr>
        <w:spacing w:after="60" w:line="240" w:lineRule="auto"/>
        <w:contextualSpacing w:val="0"/>
        <w:jc w:val="both"/>
        <w:rPr>
          <w:rFonts w:cs="Arial"/>
          <w:b/>
          <w:lang w:val="es-MX"/>
        </w:rPr>
      </w:pPr>
      <w:r w:rsidRPr="00FA4B2D">
        <w:rPr>
          <w:rFonts w:cs="Arial"/>
          <w:b/>
          <w:lang w:val="es-MX"/>
        </w:rPr>
        <w:t xml:space="preserve">Consulta presencial </w:t>
      </w:r>
    </w:p>
    <w:p w14:paraId="76543769" w14:textId="77777777" w:rsidR="006A3DBC" w:rsidRPr="00FA4B2D" w:rsidRDefault="006A3DBC" w:rsidP="006A3DBC">
      <w:pPr>
        <w:spacing w:after="60" w:line="240" w:lineRule="auto"/>
        <w:jc w:val="both"/>
        <w:rPr>
          <w:rFonts w:cs="Arial"/>
        </w:rPr>
      </w:pPr>
      <w:r w:rsidRPr="00FA4B2D">
        <w:rPr>
          <w:rFonts w:cs="Arial"/>
        </w:rPr>
        <w:t>El Proyecto cuenta con una oficina central y 3 oficinas regionales, que están abiertas a recibir cualquier tipo de sugerencia, reclamo o queja. Este procedimiento involucra la recepción de la asistente administrativa de cada oficina, quien asigna el responsable de brindar la respuesta en coordinación con el encargado de la oficina regional.</w:t>
      </w:r>
    </w:p>
    <w:p w14:paraId="17DEACDC" w14:textId="77777777" w:rsidR="006A3DBC" w:rsidRPr="00FA4B2D" w:rsidRDefault="006A3DBC" w:rsidP="006A3DBC">
      <w:pPr>
        <w:pStyle w:val="SCGTextodeinforme"/>
        <w:spacing w:after="60" w:line="240" w:lineRule="auto"/>
        <w:rPr>
          <w:rFonts w:ascii="Arial" w:eastAsiaTheme="minorHAnsi" w:hAnsi="Arial"/>
          <w:color w:val="767171" w:themeColor="background2" w:themeShade="80"/>
          <w:lang w:val="es-PA"/>
        </w:rPr>
      </w:pPr>
    </w:p>
    <w:p w14:paraId="549A352F" w14:textId="192462CC" w:rsidR="006A3DBC" w:rsidRPr="000E6D86" w:rsidRDefault="006A3DBC" w:rsidP="006A3DBC">
      <w:pPr>
        <w:pStyle w:val="SCGTextodeinforme"/>
        <w:spacing w:after="60" w:line="240" w:lineRule="auto"/>
        <w:rPr>
          <w:rFonts w:ascii="Arial" w:eastAsiaTheme="minorHAnsi" w:hAnsi="Arial"/>
          <w:color w:val="767171" w:themeColor="background2" w:themeShade="80"/>
          <w:sz w:val="24"/>
          <w:szCs w:val="24"/>
          <w:lang w:val="es-PA"/>
        </w:rPr>
      </w:pPr>
      <w:r w:rsidRPr="000E6D86">
        <w:rPr>
          <w:rFonts w:ascii="Arial" w:eastAsiaTheme="minorHAnsi" w:hAnsi="Arial"/>
          <w:color w:val="767171" w:themeColor="background2" w:themeShade="80"/>
          <w:sz w:val="24"/>
          <w:szCs w:val="24"/>
          <w:lang w:val="es-PA"/>
        </w:rPr>
        <w:t>Un resumen del MCQRS, direcciones y números de teléfono, se presenta a continuación</w:t>
      </w:r>
      <w:r w:rsidR="00163A7A" w:rsidRPr="000E6D86">
        <w:rPr>
          <w:rFonts w:ascii="Arial" w:eastAsiaTheme="minorHAnsi" w:hAnsi="Arial"/>
          <w:color w:val="767171" w:themeColor="background2" w:themeShade="80"/>
          <w:sz w:val="24"/>
          <w:szCs w:val="24"/>
          <w:lang w:val="es-PA"/>
        </w:rPr>
        <w:t>:</w:t>
      </w:r>
    </w:p>
    <w:p w14:paraId="3AF72DEE" w14:textId="77777777" w:rsidR="006A3DBC" w:rsidRPr="00FA4B2D" w:rsidRDefault="006A3DBC" w:rsidP="006A3DBC">
      <w:pPr>
        <w:rPr>
          <w:rFonts w:cs="Arial"/>
          <w:lang w:val="es-PA"/>
        </w:rPr>
      </w:pPr>
      <w:r w:rsidRPr="00FA4B2D">
        <w:rPr>
          <w:rFonts w:cs="Arial"/>
          <w:lang w:val="es-PA"/>
        </w:rPr>
        <w:br w:type="page"/>
      </w:r>
    </w:p>
    <w:tbl>
      <w:tblPr>
        <w:tblW w:w="885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421"/>
        <w:gridCol w:w="3870"/>
      </w:tblGrid>
      <w:tr w:rsidR="000E6D86" w:rsidRPr="000E6D86" w14:paraId="2B634EDE" w14:textId="77777777" w:rsidTr="37B44ACB">
        <w:trPr>
          <w:tblHeader/>
        </w:trPr>
        <w:tc>
          <w:tcPr>
            <w:tcW w:w="8858" w:type="dxa"/>
            <w:gridSpan w:val="3"/>
            <w:shd w:val="clear" w:color="auto" w:fill="5CC5DA"/>
            <w:vAlign w:val="center"/>
          </w:tcPr>
          <w:p w14:paraId="0BE355E8" w14:textId="77777777" w:rsidR="006A3DBC" w:rsidRPr="000E6D86" w:rsidRDefault="006A3DBC" w:rsidP="005F4A92">
            <w:pPr>
              <w:pStyle w:val="SCGTextodeinforme"/>
              <w:spacing w:after="60" w:line="240" w:lineRule="auto"/>
              <w:jc w:val="center"/>
              <w:rPr>
                <w:rFonts w:ascii="Arial" w:eastAsiaTheme="minorHAnsi" w:hAnsi="Arial"/>
                <w:b/>
                <w:color w:val="767171" w:themeColor="background2" w:themeShade="80"/>
                <w:sz w:val="18"/>
                <w:szCs w:val="18"/>
                <w:lang w:val="es-PA"/>
              </w:rPr>
            </w:pPr>
            <w:r w:rsidRPr="000E6D86">
              <w:rPr>
                <w:rFonts w:ascii="Arial" w:eastAsiaTheme="minorHAnsi" w:hAnsi="Arial"/>
                <w:b/>
                <w:color w:val="767171" w:themeColor="background2" w:themeShade="80"/>
                <w:sz w:val="18"/>
                <w:szCs w:val="18"/>
                <w:lang w:val="es-PA"/>
              </w:rPr>
              <w:lastRenderedPageBreak/>
              <w:t>Resumen del MCQRS</w:t>
            </w:r>
          </w:p>
        </w:tc>
      </w:tr>
      <w:tr w:rsidR="000E6D86" w:rsidRPr="000E6D86" w14:paraId="4376C660" w14:textId="77777777" w:rsidTr="37B44ACB">
        <w:trPr>
          <w:tblHeader/>
        </w:trPr>
        <w:tc>
          <w:tcPr>
            <w:tcW w:w="567" w:type="dxa"/>
            <w:shd w:val="clear" w:color="auto" w:fill="5CC5DA"/>
            <w:vAlign w:val="center"/>
          </w:tcPr>
          <w:p w14:paraId="1BD56D39" w14:textId="77777777" w:rsidR="006A3DBC" w:rsidRPr="000E6D86" w:rsidRDefault="006A3DBC" w:rsidP="005F4A92">
            <w:pPr>
              <w:spacing w:after="60"/>
              <w:rPr>
                <w:rFonts w:cs="Arial"/>
                <w:b/>
                <w:bCs/>
                <w:sz w:val="18"/>
                <w:szCs w:val="18"/>
              </w:rPr>
            </w:pPr>
            <w:r w:rsidRPr="000E6D86">
              <w:rPr>
                <w:rFonts w:cs="Arial"/>
                <w:b/>
                <w:sz w:val="18"/>
                <w:szCs w:val="18"/>
              </w:rPr>
              <w:t>#</w:t>
            </w:r>
          </w:p>
        </w:tc>
        <w:tc>
          <w:tcPr>
            <w:tcW w:w="4421" w:type="dxa"/>
            <w:shd w:val="clear" w:color="auto" w:fill="5CC5DA"/>
            <w:vAlign w:val="center"/>
          </w:tcPr>
          <w:p w14:paraId="65CBDDA0" w14:textId="77777777" w:rsidR="006A3DBC" w:rsidRPr="000E6D86" w:rsidRDefault="006A3DBC" w:rsidP="005F4A92">
            <w:pPr>
              <w:spacing w:after="60"/>
              <w:rPr>
                <w:rFonts w:cs="Arial"/>
                <w:b/>
                <w:bCs/>
                <w:sz w:val="18"/>
                <w:szCs w:val="18"/>
              </w:rPr>
            </w:pPr>
            <w:r w:rsidRPr="000E6D86">
              <w:rPr>
                <w:rFonts w:cs="Arial"/>
                <w:b/>
                <w:sz w:val="18"/>
                <w:szCs w:val="18"/>
              </w:rPr>
              <w:t>Acciones</w:t>
            </w:r>
          </w:p>
        </w:tc>
        <w:tc>
          <w:tcPr>
            <w:tcW w:w="3870" w:type="dxa"/>
            <w:shd w:val="clear" w:color="auto" w:fill="5CC5DA"/>
            <w:vAlign w:val="center"/>
          </w:tcPr>
          <w:p w14:paraId="59022C9F" w14:textId="77777777" w:rsidR="006A3DBC" w:rsidRPr="000E6D86" w:rsidRDefault="006A3DBC" w:rsidP="005F4A92">
            <w:pPr>
              <w:spacing w:after="60"/>
              <w:rPr>
                <w:rFonts w:cs="Arial"/>
                <w:b/>
                <w:bCs/>
                <w:sz w:val="18"/>
                <w:szCs w:val="18"/>
              </w:rPr>
            </w:pPr>
            <w:r w:rsidRPr="000E6D86">
              <w:rPr>
                <w:rFonts w:cs="Arial"/>
                <w:b/>
                <w:sz w:val="18"/>
                <w:szCs w:val="18"/>
              </w:rPr>
              <w:t>Responsables</w:t>
            </w:r>
          </w:p>
        </w:tc>
      </w:tr>
      <w:tr w:rsidR="000E6D86" w:rsidRPr="000E6D86" w14:paraId="5EBB3ECD" w14:textId="77777777" w:rsidTr="37B44ACB">
        <w:tc>
          <w:tcPr>
            <w:tcW w:w="8858" w:type="dxa"/>
            <w:gridSpan w:val="3"/>
            <w:vAlign w:val="center"/>
          </w:tcPr>
          <w:p w14:paraId="3EA518F5" w14:textId="77777777" w:rsidR="006A3DBC" w:rsidRPr="000E6D86" w:rsidRDefault="006A3DBC" w:rsidP="00411720">
            <w:pPr>
              <w:pStyle w:val="Prrafodelista"/>
              <w:numPr>
                <w:ilvl w:val="0"/>
                <w:numId w:val="65"/>
              </w:numPr>
              <w:spacing w:after="60"/>
              <w:contextualSpacing w:val="0"/>
              <w:rPr>
                <w:rFonts w:cs="Arial"/>
                <w:b/>
                <w:bCs/>
                <w:sz w:val="18"/>
                <w:szCs w:val="18"/>
              </w:rPr>
            </w:pPr>
            <w:r w:rsidRPr="000E6D86">
              <w:rPr>
                <w:rFonts w:cs="Arial"/>
                <w:b/>
                <w:bCs/>
                <w:i/>
                <w:iCs/>
                <w:sz w:val="18"/>
                <w:szCs w:val="18"/>
                <w:lang w:val="es-ES"/>
              </w:rPr>
              <w:t>Comunicación Pública</w:t>
            </w:r>
          </w:p>
        </w:tc>
      </w:tr>
      <w:tr w:rsidR="000E6D86" w:rsidRPr="000E6D86" w14:paraId="2058F399" w14:textId="77777777" w:rsidTr="37B44ACB">
        <w:tc>
          <w:tcPr>
            <w:tcW w:w="567" w:type="dxa"/>
            <w:vAlign w:val="center"/>
          </w:tcPr>
          <w:p w14:paraId="50652978" w14:textId="77777777" w:rsidR="006A3DBC" w:rsidRPr="000E6D86" w:rsidRDefault="006A3DBC" w:rsidP="005F4A92">
            <w:pPr>
              <w:spacing w:after="60"/>
              <w:rPr>
                <w:rFonts w:cs="Arial"/>
                <w:sz w:val="18"/>
                <w:szCs w:val="18"/>
              </w:rPr>
            </w:pPr>
            <w:r w:rsidRPr="000E6D86">
              <w:rPr>
                <w:rFonts w:cs="Arial"/>
                <w:sz w:val="18"/>
                <w:szCs w:val="18"/>
              </w:rPr>
              <w:t>1.1</w:t>
            </w:r>
          </w:p>
        </w:tc>
        <w:tc>
          <w:tcPr>
            <w:tcW w:w="4421" w:type="dxa"/>
            <w:vAlign w:val="center"/>
          </w:tcPr>
          <w:p w14:paraId="53F4C91E" w14:textId="77777777" w:rsidR="006A3DBC" w:rsidRPr="000E6D86" w:rsidRDefault="006A3DBC" w:rsidP="005F4A92">
            <w:pPr>
              <w:spacing w:after="60"/>
              <w:jc w:val="both"/>
              <w:rPr>
                <w:rFonts w:cs="Arial"/>
                <w:sz w:val="18"/>
                <w:szCs w:val="18"/>
              </w:rPr>
            </w:pPr>
            <w:r w:rsidRPr="000E6D86">
              <w:rPr>
                <w:rFonts w:cs="Arial"/>
                <w:sz w:val="18"/>
                <w:szCs w:val="18"/>
              </w:rPr>
              <w:t>Identificar los responsables del manejo del MCQRS en las OPRs y PSDEs para la socialización del MCQRS.</w:t>
            </w:r>
          </w:p>
        </w:tc>
        <w:tc>
          <w:tcPr>
            <w:tcW w:w="3870" w:type="dxa"/>
            <w:vAlign w:val="center"/>
          </w:tcPr>
          <w:p w14:paraId="70D46CA5" w14:textId="77777777" w:rsidR="006A3DBC" w:rsidRPr="000E6D86" w:rsidRDefault="006A3DBC" w:rsidP="005F4A92">
            <w:pPr>
              <w:spacing w:after="60"/>
              <w:jc w:val="both"/>
              <w:rPr>
                <w:rFonts w:cs="Arial"/>
                <w:sz w:val="18"/>
                <w:szCs w:val="18"/>
              </w:rPr>
            </w:pPr>
            <w:r w:rsidRPr="000E6D86">
              <w:rPr>
                <w:rFonts w:cs="Arial"/>
                <w:sz w:val="18"/>
                <w:szCs w:val="18"/>
                <w:lang w:val="es-ES"/>
              </w:rPr>
              <w:t>UEP, SIG, Equipo Ambiental y Social del Proyecto.</w:t>
            </w:r>
          </w:p>
        </w:tc>
      </w:tr>
      <w:tr w:rsidR="000E6D86" w:rsidRPr="000E6D86" w14:paraId="450DDB90" w14:textId="77777777" w:rsidTr="37B44ACB">
        <w:tc>
          <w:tcPr>
            <w:tcW w:w="567" w:type="dxa"/>
            <w:vAlign w:val="center"/>
          </w:tcPr>
          <w:p w14:paraId="0F85FF97" w14:textId="77777777" w:rsidR="006A3DBC" w:rsidRPr="000E6D86" w:rsidRDefault="006A3DBC" w:rsidP="005F4A92">
            <w:pPr>
              <w:spacing w:after="60"/>
              <w:rPr>
                <w:rFonts w:cs="Arial"/>
                <w:sz w:val="18"/>
                <w:szCs w:val="18"/>
              </w:rPr>
            </w:pPr>
            <w:r w:rsidRPr="000E6D86">
              <w:rPr>
                <w:rFonts w:cs="Arial"/>
                <w:sz w:val="18"/>
                <w:szCs w:val="18"/>
              </w:rPr>
              <w:t>1.2</w:t>
            </w:r>
          </w:p>
        </w:tc>
        <w:tc>
          <w:tcPr>
            <w:tcW w:w="4421" w:type="dxa"/>
            <w:vAlign w:val="center"/>
          </w:tcPr>
          <w:p w14:paraId="22AAF084" w14:textId="26DF83C1" w:rsidR="006A3DBC" w:rsidRPr="000E6D86" w:rsidRDefault="006A3DBC" w:rsidP="005F4A92">
            <w:pPr>
              <w:spacing w:after="60"/>
              <w:jc w:val="both"/>
              <w:rPr>
                <w:rFonts w:cs="Arial"/>
                <w:sz w:val="18"/>
                <w:szCs w:val="18"/>
              </w:rPr>
            </w:pPr>
            <w:r w:rsidRPr="000E6D86">
              <w:rPr>
                <w:rFonts w:cs="Arial"/>
                <w:sz w:val="18"/>
                <w:szCs w:val="18"/>
              </w:rPr>
              <w:t>Socialización y capacitación a los responsables del manejo del MCQRS del Proyecto ComRural III e implementación vinculando sus propios M</w:t>
            </w:r>
            <w:r w:rsidR="00163A7A" w:rsidRPr="000E6D86">
              <w:rPr>
                <w:rFonts w:cs="Arial"/>
                <w:sz w:val="18"/>
                <w:szCs w:val="18"/>
              </w:rPr>
              <w:t>C</w:t>
            </w:r>
            <w:r w:rsidRPr="000E6D86">
              <w:rPr>
                <w:rFonts w:cs="Arial"/>
                <w:sz w:val="18"/>
                <w:szCs w:val="18"/>
              </w:rPr>
              <w:t>QRS con el Proyecto.</w:t>
            </w:r>
          </w:p>
        </w:tc>
        <w:tc>
          <w:tcPr>
            <w:tcW w:w="3870" w:type="dxa"/>
            <w:vAlign w:val="center"/>
          </w:tcPr>
          <w:p w14:paraId="12D9B553" w14:textId="23EEF431" w:rsidR="006A3DBC" w:rsidRPr="000E6D86" w:rsidRDefault="006A3DBC" w:rsidP="00D76555">
            <w:pPr>
              <w:spacing w:after="60"/>
              <w:jc w:val="both"/>
              <w:rPr>
                <w:rFonts w:cs="Arial"/>
                <w:sz w:val="18"/>
                <w:szCs w:val="18"/>
              </w:rPr>
            </w:pPr>
            <w:r w:rsidRPr="000E6D86">
              <w:rPr>
                <w:rFonts w:cs="Arial"/>
                <w:sz w:val="18"/>
                <w:szCs w:val="18"/>
              </w:rPr>
              <w:t>Equipo</w:t>
            </w:r>
            <w:r w:rsidR="5AE65DAA" w:rsidRPr="000E6D86">
              <w:rPr>
                <w:rFonts w:cs="Arial"/>
                <w:sz w:val="18"/>
                <w:szCs w:val="18"/>
              </w:rPr>
              <w:t xml:space="preserve"> Ambiental y Social del Proyecto</w:t>
            </w:r>
            <w:r w:rsidR="00E674E6" w:rsidRPr="000E6D86">
              <w:rPr>
                <w:rFonts w:cs="Arial"/>
                <w:sz w:val="18"/>
                <w:szCs w:val="18"/>
              </w:rPr>
              <w:t>,</w:t>
            </w:r>
            <w:r w:rsidRPr="000E6D86">
              <w:rPr>
                <w:rFonts w:cs="Arial"/>
                <w:sz w:val="18"/>
                <w:szCs w:val="18"/>
              </w:rPr>
              <w:t xml:space="preserve"> SIG.</w:t>
            </w:r>
          </w:p>
        </w:tc>
      </w:tr>
      <w:tr w:rsidR="000E6D86" w:rsidRPr="000E6D86" w14:paraId="7242F17D" w14:textId="77777777" w:rsidTr="37B44ACB">
        <w:tc>
          <w:tcPr>
            <w:tcW w:w="567" w:type="dxa"/>
            <w:vAlign w:val="center"/>
          </w:tcPr>
          <w:p w14:paraId="3FACF5CF" w14:textId="77777777" w:rsidR="006A3DBC" w:rsidRPr="000E6D86" w:rsidRDefault="006A3DBC" w:rsidP="005F4A92">
            <w:pPr>
              <w:spacing w:after="60"/>
              <w:rPr>
                <w:rFonts w:cs="Arial"/>
                <w:sz w:val="18"/>
                <w:szCs w:val="18"/>
              </w:rPr>
            </w:pPr>
            <w:r w:rsidRPr="000E6D86">
              <w:rPr>
                <w:rFonts w:cs="Arial"/>
                <w:sz w:val="18"/>
                <w:szCs w:val="18"/>
              </w:rPr>
              <w:t>1.3</w:t>
            </w:r>
          </w:p>
        </w:tc>
        <w:tc>
          <w:tcPr>
            <w:tcW w:w="4421" w:type="dxa"/>
            <w:vAlign w:val="center"/>
          </w:tcPr>
          <w:p w14:paraId="695EDF83" w14:textId="77777777" w:rsidR="006A3DBC" w:rsidRPr="000E6D86" w:rsidRDefault="006A3DBC" w:rsidP="005F4A92">
            <w:pPr>
              <w:spacing w:after="60"/>
              <w:jc w:val="both"/>
              <w:rPr>
                <w:rFonts w:cs="Arial"/>
                <w:sz w:val="18"/>
                <w:szCs w:val="18"/>
              </w:rPr>
            </w:pPr>
            <w:r w:rsidRPr="000E6D86">
              <w:rPr>
                <w:rFonts w:cs="Arial"/>
                <w:sz w:val="18"/>
                <w:szCs w:val="18"/>
              </w:rPr>
              <w:t xml:space="preserve">Socialización del MCQRS a la población potencialmente afectada por el Proyecto, mediante la divulgación del mecanismo en rótulos, carteles informativos, página web del Proyecto, redes sociales. </w:t>
            </w:r>
          </w:p>
        </w:tc>
        <w:tc>
          <w:tcPr>
            <w:tcW w:w="3870" w:type="dxa"/>
            <w:vAlign w:val="center"/>
          </w:tcPr>
          <w:p w14:paraId="77B19235" w14:textId="211ACB9A" w:rsidR="006A3DBC" w:rsidRPr="000E6D86" w:rsidRDefault="006A3DBC" w:rsidP="00D76555">
            <w:pPr>
              <w:spacing w:after="60"/>
              <w:jc w:val="both"/>
              <w:rPr>
                <w:rFonts w:cs="Arial"/>
                <w:sz w:val="18"/>
                <w:szCs w:val="18"/>
              </w:rPr>
            </w:pPr>
            <w:r w:rsidRPr="000E6D86">
              <w:rPr>
                <w:rFonts w:cs="Arial"/>
                <w:sz w:val="18"/>
                <w:szCs w:val="18"/>
              </w:rPr>
              <w:t>UEP, SIG Oficinas Regionales, Equipo</w:t>
            </w:r>
            <w:r w:rsidR="5AE65DAA" w:rsidRPr="000E6D86">
              <w:rPr>
                <w:rFonts w:cs="Arial"/>
                <w:sz w:val="18"/>
                <w:szCs w:val="18"/>
              </w:rPr>
              <w:t xml:space="preserve"> Ambiental y Social del Proyecto</w:t>
            </w:r>
            <w:r w:rsidRPr="000E6D86">
              <w:rPr>
                <w:rFonts w:cs="Arial"/>
                <w:sz w:val="18"/>
                <w:szCs w:val="18"/>
              </w:rPr>
              <w:t xml:space="preserve"> </w:t>
            </w:r>
          </w:p>
        </w:tc>
      </w:tr>
      <w:tr w:rsidR="000E6D86" w:rsidRPr="000E6D86" w14:paraId="1ACD1919" w14:textId="77777777" w:rsidTr="37B44ACB">
        <w:tc>
          <w:tcPr>
            <w:tcW w:w="8858" w:type="dxa"/>
            <w:gridSpan w:val="3"/>
            <w:vAlign w:val="center"/>
          </w:tcPr>
          <w:p w14:paraId="0D373A88" w14:textId="77777777" w:rsidR="006A3DBC" w:rsidRPr="000E6D86" w:rsidRDefault="006A3DBC" w:rsidP="00411720">
            <w:pPr>
              <w:pStyle w:val="Prrafodelista"/>
              <w:numPr>
                <w:ilvl w:val="0"/>
                <w:numId w:val="65"/>
              </w:numPr>
              <w:spacing w:after="60"/>
              <w:contextualSpacing w:val="0"/>
              <w:rPr>
                <w:rFonts w:cs="Arial"/>
                <w:b/>
                <w:bCs/>
                <w:sz w:val="18"/>
                <w:szCs w:val="18"/>
              </w:rPr>
            </w:pPr>
            <w:r w:rsidRPr="000E6D86">
              <w:rPr>
                <w:rFonts w:cs="Arial"/>
                <w:b/>
                <w:bCs/>
                <w:i/>
                <w:iCs/>
                <w:sz w:val="18"/>
                <w:szCs w:val="18"/>
                <w:lang w:val="es-ES_tradnl"/>
              </w:rPr>
              <w:t xml:space="preserve">Recepción </w:t>
            </w:r>
          </w:p>
        </w:tc>
      </w:tr>
      <w:tr w:rsidR="000E6D86" w:rsidRPr="000E6D86" w14:paraId="1635A394" w14:textId="77777777" w:rsidTr="37B44ACB">
        <w:tc>
          <w:tcPr>
            <w:tcW w:w="567" w:type="dxa"/>
            <w:vAlign w:val="center"/>
          </w:tcPr>
          <w:p w14:paraId="49489592" w14:textId="77777777" w:rsidR="006A3DBC" w:rsidRPr="000E6D86" w:rsidRDefault="006A3DBC" w:rsidP="005F4A92">
            <w:pPr>
              <w:spacing w:after="60"/>
              <w:rPr>
                <w:rFonts w:cs="Arial"/>
                <w:sz w:val="18"/>
                <w:szCs w:val="18"/>
              </w:rPr>
            </w:pPr>
            <w:r w:rsidRPr="000E6D86">
              <w:rPr>
                <w:rFonts w:cs="Arial"/>
                <w:sz w:val="18"/>
                <w:szCs w:val="18"/>
              </w:rPr>
              <w:t>2.1</w:t>
            </w:r>
          </w:p>
        </w:tc>
        <w:tc>
          <w:tcPr>
            <w:tcW w:w="4421" w:type="dxa"/>
            <w:vAlign w:val="center"/>
          </w:tcPr>
          <w:p w14:paraId="009ED271" w14:textId="77777777" w:rsidR="006A3DBC" w:rsidRPr="000E6D86" w:rsidRDefault="006A3DBC" w:rsidP="005F4A92">
            <w:pPr>
              <w:spacing w:after="60"/>
              <w:jc w:val="both"/>
              <w:rPr>
                <w:rFonts w:cs="Arial"/>
                <w:sz w:val="18"/>
                <w:szCs w:val="18"/>
              </w:rPr>
            </w:pPr>
            <w:r w:rsidRPr="000E6D86">
              <w:rPr>
                <w:rFonts w:cs="Arial"/>
                <w:sz w:val="18"/>
                <w:szCs w:val="18"/>
              </w:rPr>
              <w:t>Recepción de Consultas, Quejas, Reclamos y Sugerencias:</w:t>
            </w:r>
          </w:p>
          <w:p w14:paraId="67FBE8B4" w14:textId="77777777" w:rsidR="006A3DBC" w:rsidRPr="000E6D86" w:rsidRDefault="006A3DBC" w:rsidP="005F4A92">
            <w:pPr>
              <w:spacing w:after="60"/>
              <w:jc w:val="both"/>
              <w:rPr>
                <w:rFonts w:cs="Arial"/>
                <w:sz w:val="18"/>
                <w:szCs w:val="18"/>
              </w:rPr>
            </w:pPr>
          </w:p>
          <w:p w14:paraId="461B2F50" w14:textId="77777777" w:rsidR="006A3DBC" w:rsidRPr="000E6D86" w:rsidRDefault="006A3DBC" w:rsidP="005F4A92">
            <w:pPr>
              <w:spacing w:after="60"/>
              <w:jc w:val="both"/>
              <w:rPr>
                <w:rFonts w:cs="Arial"/>
                <w:sz w:val="18"/>
                <w:szCs w:val="18"/>
              </w:rPr>
            </w:pPr>
            <w:r w:rsidRPr="000E6D86">
              <w:rPr>
                <w:rFonts w:cs="Arial"/>
                <w:sz w:val="18"/>
                <w:szCs w:val="18"/>
              </w:rPr>
              <w:t>Nivel Proyecto ComRural Oficina Central:</w:t>
            </w:r>
          </w:p>
          <w:p w14:paraId="1BF2E0EA" w14:textId="77777777" w:rsidR="006A3DBC" w:rsidRPr="000E6D86" w:rsidRDefault="006A3DBC" w:rsidP="00411720">
            <w:pPr>
              <w:widowControl w:val="0"/>
              <w:numPr>
                <w:ilvl w:val="0"/>
                <w:numId w:val="61"/>
              </w:numPr>
              <w:tabs>
                <w:tab w:val="left" w:pos="188"/>
              </w:tabs>
              <w:spacing w:after="60"/>
              <w:jc w:val="both"/>
              <w:rPr>
                <w:rFonts w:cs="Arial"/>
                <w:sz w:val="18"/>
                <w:szCs w:val="18"/>
                <w:lang w:val="es-ES_tradnl"/>
              </w:rPr>
            </w:pPr>
            <w:r w:rsidRPr="000E6D86">
              <w:rPr>
                <w:rFonts w:cs="Arial"/>
                <w:sz w:val="18"/>
                <w:szCs w:val="18"/>
                <w:lang w:val="es-ES_tradnl"/>
              </w:rPr>
              <w:t>Presenciales:</w:t>
            </w:r>
          </w:p>
          <w:p w14:paraId="4FAB241C" w14:textId="77777777" w:rsidR="006A3DBC" w:rsidRPr="000E6D86" w:rsidRDefault="006A3DBC" w:rsidP="005F4A92">
            <w:pPr>
              <w:widowControl w:val="0"/>
              <w:tabs>
                <w:tab w:val="left" w:pos="188"/>
              </w:tabs>
              <w:spacing w:after="60"/>
              <w:ind w:left="187"/>
              <w:jc w:val="both"/>
              <w:rPr>
                <w:rFonts w:cs="Arial"/>
                <w:sz w:val="18"/>
                <w:szCs w:val="18"/>
                <w:lang w:val="es-ES_tradnl"/>
              </w:rPr>
            </w:pPr>
            <w:r w:rsidRPr="000E6D86">
              <w:rPr>
                <w:rFonts w:cs="Arial"/>
                <w:sz w:val="18"/>
                <w:szCs w:val="18"/>
              </w:rPr>
              <w:t xml:space="preserve">Col. La Estancia, Ave. Galván, Tegucigalpa MDC. Tel. </w:t>
            </w:r>
            <w:r w:rsidRPr="000E6D86">
              <w:rPr>
                <w:rFonts w:cs="Arial"/>
                <w:sz w:val="18"/>
                <w:szCs w:val="18"/>
                <w:lang w:val="en-US"/>
              </w:rPr>
              <w:t>(+504) 2236-5597, 2236-8112</w:t>
            </w:r>
          </w:p>
          <w:p w14:paraId="73951B5D" w14:textId="77777777" w:rsidR="006A3DBC" w:rsidRPr="000E6D86" w:rsidRDefault="006A3DBC" w:rsidP="00411720">
            <w:pPr>
              <w:widowControl w:val="0"/>
              <w:numPr>
                <w:ilvl w:val="0"/>
                <w:numId w:val="61"/>
              </w:numPr>
              <w:tabs>
                <w:tab w:val="left" w:pos="188"/>
              </w:tabs>
              <w:spacing w:after="60"/>
              <w:jc w:val="both"/>
              <w:rPr>
                <w:rFonts w:cs="Arial"/>
                <w:sz w:val="18"/>
                <w:szCs w:val="18"/>
                <w:lang w:val="es-ES_tradnl"/>
              </w:rPr>
            </w:pPr>
            <w:r w:rsidRPr="000E6D86">
              <w:rPr>
                <w:rFonts w:cs="Arial"/>
                <w:sz w:val="18"/>
                <w:szCs w:val="18"/>
                <w:lang w:val="es-ES_tradnl"/>
              </w:rPr>
              <w:t>Correo</w:t>
            </w:r>
            <w:r w:rsidRPr="000E6D86">
              <w:rPr>
                <w:rFonts w:cs="Arial"/>
                <w:spacing w:val="-2"/>
                <w:sz w:val="18"/>
                <w:szCs w:val="18"/>
                <w:lang w:val="es-ES_tradnl"/>
              </w:rPr>
              <w:t xml:space="preserve"> </w:t>
            </w:r>
            <w:r w:rsidRPr="000E6D86">
              <w:rPr>
                <w:rFonts w:cs="Arial"/>
                <w:sz w:val="18"/>
                <w:szCs w:val="18"/>
                <w:lang w:val="es-ES_tradnl"/>
              </w:rPr>
              <w:t>electrónico: (</w:t>
            </w:r>
            <w:hyperlink r:id="rId83" w:history="1">
              <w:r w:rsidRPr="000E6D86">
                <w:rPr>
                  <w:rFonts w:cs="Arial"/>
                  <w:sz w:val="18"/>
                  <w:szCs w:val="18"/>
                  <w:u w:val="single"/>
                  <w:lang w:val="es-ES_tradnl"/>
                </w:rPr>
                <w:t>info@comrural.hn</w:t>
              </w:r>
            </w:hyperlink>
            <w:r w:rsidRPr="000E6D86">
              <w:rPr>
                <w:rFonts w:cs="Arial"/>
                <w:sz w:val="18"/>
                <w:szCs w:val="18"/>
                <w:lang w:val="es-ES_tradnl"/>
              </w:rPr>
              <w:t>)</w:t>
            </w:r>
          </w:p>
          <w:p w14:paraId="3A47ACC8" w14:textId="77777777" w:rsidR="006A3DBC" w:rsidRPr="000E6D86" w:rsidRDefault="006A3DBC" w:rsidP="00411720">
            <w:pPr>
              <w:widowControl w:val="0"/>
              <w:numPr>
                <w:ilvl w:val="0"/>
                <w:numId w:val="61"/>
              </w:numPr>
              <w:tabs>
                <w:tab w:val="left" w:pos="188"/>
              </w:tabs>
              <w:spacing w:after="60"/>
              <w:jc w:val="both"/>
              <w:rPr>
                <w:rFonts w:cs="Arial"/>
                <w:sz w:val="18"/>
                <w:szCs w:val="18"/>
                <w:lang w:val="es-ES_tradnl"/>
              </w:rPr>
            </w:pPr>
            <w:r w:rsidRPr="000E6D86">
              <w:rPr>
                <w:rFonts w:cs="Arial"/>
                <w:sz w:val="18"/>
                <w:szCs w:val="18"/>
                <w:lang w:val="es-ES_tradnl"/>
              </w:rPr>
              <w:t>Sistema de buzón de quejas:</w:t>
            </w:r>
          </w:p>
          <w:p w14:paraId="6ABC4102" w14:textId="77777777" w:rsidR="006A3DBC" w:rsidRPr="000E6D86" w:rsidRDefault="006A3DBC" w:rsidP="005F4A92">
            <w:pPr>
              <w:widowControl w:val="0"/>
              <w:tabs>
                <w:tab w:val="left" w:pos="188"/>
              </w:tabs>
              <w:spacing w:after="60"/>
              <w:ind w:left="187"/>
              <w:jc w:val="both"/>
              <w:rPr>
                <w:rFonts w:cs="Arial"/>
                <w:sz w:val="18"/>
                <w:szCs w:val="18"/>
                <w:lang w:val="es-ES_tradnl"/>
              </w:rPr>
            </w:pPr>
            <w:r w:rsidRPr="000E6D86">
              <w:rPr>
                <w:rFonts w:cs="Arial"/>
                <w:sz w:val="18"/>
                <w:szCs w:val="18"/>
                <w:lang w:val="es-ES_tradnl"/>
              </w:rPr>
              <w:t>(http://www.comrural.hn/buzon-de-quejas/)</w:t>
            </w:r>
          </w:p>
          <w:p w14:paraId="5316C716" w14:textId="77777777" w:rsidR="006A3DBC" w:rsidRPr="000E6D86" w:rsidRDefault="006A3DBC" w:rsidP="00411720">
            <w:pPr>
              <w:widowControl w:val="0"/>
              <w:numPr>
                <w:ilvl w:val="0"/>
                <w:numId w:val="61"/>
              </w:numPr>
              <w:tabs>
                <w:tab w:val="left" w:pos="188"/>
              </w:tabs>
              <w:spacing w:after="60"/>
              <w:jc w:val="both"/>
              <w:rPr>
                <w:rFonts w:cs="Arial"/>
                <w:sz w:val="18"/>
                <w:szCs w:val="18"/>
                <w:lang w:val="es-ES_tradnl"/>
              </w:rPr>
            </w:pPr>
            <w:r w:rsidRPr="000E6D86">
              <w:rPr>
                <w:rFonts w:cs="Arial"/>
                <w:sz w:val="18"/>
                <w:szCs w:val="18"/>
                <w:lang w:val="es-ES_tradnl"/>
              </w:rPr>
              <w:t>Redes sociales: Facebook</w:t>
            </w:r>
            <w:r w:rsidRPr="000E6D86">
              <w:rPr>
                <w:rFonts w:cs="Arial"/>
                <w:sz w:val="18"/>
                <w:szCs w:val="18"/>
                <w:lang w:val="es-MX"/>
              </w:rPr>
              <w:t>, Instagram</w:t>
            </w:r>
          </w:p>
          <w:p w14:paraId="2BE07D45" w14:textId="77777777" w:rsidR="006A3DBC" w:rsidRPr="000E6D86" w:rsidRDefault="006A3DBC" w:rsidP="00411720">
            <w:pPr>
              <w:numPr>
                <w:ilvl w:val="0"/>
                <w:numId w:val="61"/>
              </w:numPr>
              <w:spacing w:after="60"/>
              <w:jc w:val="both"/>
              <w:rPr>
                <w:rFonts w:cs="Arial"/>
                <w:sz w:val="18"/>
                <w:szCs w:val="18"/>
                <w:lang w:val="es-ES"/>
              </w:rPr>
            </w:pPr>
            <w:r w:rsidRPr="000E6D86">
              <w:rPr>
                <w:rFonts w:cs="Arial"/>
                <w:sz w:val="18"/>
                <w:szCs w:val="18"/>
                <w:lang w:val="es-ES"/>
              </w:rPr>
              <w:t>Teléfono de consulta 2221-1008.</w:t>
            </w:r>
          </w:p>
          <w:p w14:paraId="5E329795" w14:textId="77777777" w:rsidR="006A3DBC" w:rsidRPr="000E6D86" w:rsidRDefault="006A3DBC" w:rsidP="005F4A92">
            <w:pPr>
              <w:spacing w:after="60"/>
              <w:jc w:val="both"/>
              <w:rPr>
                <w:rFonts w:cs="Arial"/>
                <w:sz w:val="18"/>
                <w:szCs w:val="18"/>
              </w:rPr>
            </w:pPr>
            <w:r w:rsidRPr="000E6D86">
              <w:rPr>
                <w:rFonts w:cs="Arial"/>
                <w:sz w:val="18"/>
                <w:szCs w:val="18"/>
              </w:rPr>
              <w:t>Oficinas Regionales:</w:t>
            </w:r>
          </w:p>
          <w:p w14:paraId="55EE0EF6" w14:textId="77777777" w:rsidR="006A3DBC" w:rsidRPr="000E6D86" w:rsidRDefault="006A3DBC" w:rsidP="00411720">
            <w:pPr>
              <w:numPr>
                <w:ilvl w:val="0"/>
                <w:numId w:val="62"/>
              </w:numPr>
              <w:spacing w:after="60"/>
              <w:ind w:left="180" w:hanging="180"/>
              <w:jc w:val="both"/>
              <w:rPr>
                <w:rFonts w:cs="Arial"/>
                <w:sz w:val="18"/>
                <w:szCs w:val="18"/>
                <w:lang w:val="es-ES"/>
              </w:rPr>
            </w:pPr>
            <w:r w:rsidRPr="000E6D86">
              <w:rPr>
                <w:rFonts w:cs="Arial"/>
                <w:b/>
                <w:bCs/>
                <w:i/>
                <w:iCs/>
                <w:sz w:val="18"/>
                <w:szCs w:val="18"/>
                <w:u w:val="single"/>
                <w:lang w:val="es-ES"/>
              </w:rPr>
              <w:t>Presenciales</w:t>
            </w:r>
            <w:r w:rsidRPr="000E6D86">
              <w:rPr>
                <w:rFonts w:cs="Arial"/>
                <w:sz w:val="18"/>
                <w:szCs w:val="18"/>
                <w:lang w:val="es-ES"/>
              </w:rPr>
              <w:t>:</w:t>
            </w:r>
          </w:p>
          <w:p w14:paraId="28C0D96C" w14:textId="77777777" w:rsidR="006A3DBC" w:rsidRPr="000E6D86" w:rsidRDefault="006A3DBC" w:rsidP="00411720">
            <w:pPr>
              <w:numPr>
                <w:ilvl w:val="0"/>
                <w:numId w:val="63"/>
              </w:numPr>
              <w:spacing w:after="60"/>
              <w:ind w:left="322"/>
              <w:jc w:val="both"/>
              <w:rPr>
                <w:rFonts w:cs="Arial"/>
                <w:sz w:val="18"/>
                <w:szCs w:val="18"/>
                <w:lang w:val="es-ES"/>
              </w:rPr>
            </w:pPr>
            <w:r w:rsidRPr="000E6D86">
              <w:rPr>
                <w:rFonts w:cs="Arial"/>
                <w:sz w:val="18"/>
                <w:szCs w:val="18"/>
                <w:lang w:val="es-ES"/>
              </w:rPr>
              <w:t>Santa Rosa de Copán, Copán, Colonia Santa Fe, Salida a San Pedro Sula.</w:t>
            </w:r>
          </w:p>
          <w:p w14:paraId="0961C6D9" w14:textId="77777777" w:rsidR="006A3DBC" w:rsidRPr="000E6D86" w:rsidRDefault="006A3DBC" w:rsidP="00411720">
            <w:pPr>
              <w:numPr>
                <w:ilvl w:val="0"/>
                <w:numId w:val="63"/>
              </w:numPr>
              <w:spacing w:after="60"/>
              <w:ind w:left="322"/>
              <w:jc w:val="both"/>
              <w:rPr>
                <w:rFonts w:cs="Arial"/>
                <w:sz w:val="18"/>
                <w:szCs w:val="18"/>
                <w:lang w:val="es-ES"/>
              </w:rPr>
            </w:pPr>
            <w:r w:rsidRPr="000E6D86">
              <w:rPr>
                <w:rFonts w:cs="Arial"/>
                <w:sz w:val="18"/>
                <w:szCs w:val="18"/>
                <w:lang w:val="es-ES"/>
              </w:rPr>
              <w:t>La Ceiba, Atlántida, Barrio El Potrerito.</w:t>
            </w:r>
          </w:p>
          <w:p w14:paraId="071638AB" w14:textId="77777777" w:rsidR="006A3DBC" w:rsidRPr="000E6D86" w:rsidRDefault="006A3DBC" w:rsidP="00411720">
            <w:pPr>
              <w:numPr>
                <w:ilvl w:val="0"/>
                <w:numId w:val="63"/>
              </w:numPr>
              <w:spacing w:after="60"/>
              <w:ind w:left="322"/>
              <w:jc w:val="both"/>
              <w:rPr>
                <w:rFonts w:cs="Arial"/>
                <w:sz w:val="18"/>
                <w:szCs w:val="18"/>
                <w:lang w:val="es-ES"/>
              </w:rPr>
            </w:pPr>
            <w:r w:rsidRPr="000E6D86">
              <w:rPr>
                <w:rFonts w:cs="Arial"/>
                <w:sz w:val="18"/>
                <w:szCs w:val="18"/>
                <w:lang w:val="es-ES"/>
              </w:rPr>
              <w:t>Siguatepeque, Comayagua, Barrio San Miguel.</w:t>
            </w:r>
          </w:p>
          <w:p w14:paraId="7A88B6AF" w14:textId="77777777" w:rsidR="006A3DBC" w:rsidRPr="000E6D86" w:rsidRDefault="006A3DBC" w:rsidP="00411720">
            <w:pPr>
              <w:numPr>
                <w:ilvl w:val="0"/>
                <w:numId w:val="63"/>
              </w:numPr>
              <w:spacing w:after="60"/>
              <w:ind w:left="322"/>
              <w:jc w:val="both"/>
              <w:rPr>
                <w:rFonts w:cs="Arial"/>
                <w:sz w:val="18"/>
                <w:szCs w:val="18"/>
                <w:lang w:val="es-ES"/>
              </w:rPr>
            </w:pPr>
            <w:r w:rsidRPr="000E6D86">
              <w:rPr>
                <w:rFonts w:cs="Arial"/>
                <w:sz w:val="18"/>
                <w:szCs w:val="18"/>
                <w:lang w:val="es-ES"/>
              </w:rPr>
              <w:t>Danlí, El Paraíso, Colonia Residencial El Zarzal.</w:t>
            </w:r>
            <w:r w:rsidRPr="000E6D86">
              <w:rPr>
                <w:rFonts w:eastAsia="Times New Roman" w:cs="Arial"/>
                <w:sz w:val="18"/>
                <w:szCs w:val="18"/>
                <w:lang w:val="es-ES"/>
              </w:rPr>
              <w:t xml:space="preserve"> Sector 1, Carretera Panamericana, Atrás del Centro Comercial Uniplaza</w:t>
            </w:r>
          </w:p>
          <w:p w14:paraId="69D54B1D" w14:textId="77777777" w:rsidR="006A3DBC" w:rsidRPr="000E6D86" w:rsidRDefault="006A3DBC" w:rsidP="00411720">
            <w:pPr>
              <w:numPr>
                <w:ilvl w:val="0"/>
                <w:numId w:val="63"/>
              </w:numPr>
              <w:spacing w:after="60"/>
              <w:ind w:left="322"/>
              <w:jc w:val="both"/>
              <w:rPr>
                <w:rFonts w:cs="Arial"/>
                <w:sz w:val="18"/>
                <w:szCs w:val="18"/>
                <w:lang w:val="es-ES"/>
              </w:rPr>
            </w:pPr>
            <w:r w:rsidRPr="000E6D86">
              <w:rPr>
                <w:rFonts w:cs="Arial"/>
                <w:sz w:val="18"/>
                <w:szCs w:val="18"/>
                <w:lang w:val="es-ES"/>
              </w:rPr>
              <w:t>Olancho, en Juticalpa, oficina SAG</w:t>
            </w:r>
          </w:p>
          <w:p w14:paraId="36AF74F9" w14:textId="77777777" w:rsidR="006A3DBC" w:rsidRPr="000E6D86" w:rsidRDefault="006A3DBC" w:rsidP="00411720">
            <w:pPr>
              <w:numPr>
                <w:ilvl w:val="0"/>
                <w:numId w:val="63"/>
              </w:numPr>
              <w:spacing w:after="60"/>
              <w:ind w:left="322"/>
              <w:jc w:val="both"/>
              <w:rPr>
                <w:rFonts w:cs="Arial"/>
                <w:sz w:val="18"/>
                <w:szCs w:val="18"/>
                <w:lang w:val="es-ES"/>
              </w:rPr>
            </w:pPr>
            <w:r w:rsidRPr="000E6D86">
              <w:rPr>
                <w:rFonts w:cs="Arial"/>
                <w:sz w:val="18"/>
                <w:szCs w:val="18"/>
                <w:lang w:val="es-ES"/>
              </w:rPr>
              <w:t>Yoro, en Progreso</w:t>
            </w:r>
          </w:p>
          <w:p w14:paraId="04273B58" w14:textId="77777777" w:rsidR="006A3DBC" w:rsidRPr="000E6D86" w:rsidRDefault="006A3DBC" w:rsidP="00411720">
            <w:pPr>
              <w:numPr>
                <w:ilvl w:val="0"/>
                <w:numId w:val="63"/>
              </w:numPr>
              <w:spacing w:after="60"/>
              <w:ind w:left="322"/>
              <w:jc w:val="both"/>
              <w:rPr>
                <w:rFonts w:cs="Arial"/>
                <w:sz w:val="18"/>
                <w:szCs w:val="18"/>
                <w:lang w:val="es-ES"/>
              </w:rPr>
            </w:pPr>
            <w:r w:rsidRPr="000E6D86">
              <w:rPr>
                <w:rFonts w:cs="Arial"/>
                <w:sz w:val="18"/>
                <w:szCs w:val="18"/>
                <w:lang w:val="es-ES"/>
              </w:rPr>
              <w:t>Gracias a Dios en Puerto Lempira</w:t>
            </w:r>
          </w:p>
          <w:p w14:paraId="701C4C00" w14:textId="77777777" w:rsidR="006A3DBC" w:rsidRPr="000E6D86" w:rsidRDefault="006A3DBC" w:rsidP="00411720">
            <w:pPr>
              <w:numPr>
                <w:ilvl w:val="0"/>
                <w:numId w:val="62"/>
              </w:numPr>
              <w:spacing w:after="60"/>
              <w:ind w:left="180" w:hanging="142"/>
              <w:jc w:val="both"/>
              <w:rPr>
                <w:rFonts w:cs="Arial"/>
                <w:sz w:val="18"/>
                <w:szCs w:val="18"/>
                <w:lang w:val="es-ES"/>
              </w:rPr>
            </w:pPr>
            <w:r w:rsidRPr="000E6D86">
              <w:rPr>
                <w:rFonts w:cs="Arial"/>
                <w:b/>
                <w:bCs/>
                <w:i/>
                <w:iCs/>
                <w:sz w:val="18"/>
                <w:szCs w:val="18"/>
                <w:u w:val="single"/>
                <w:lang w:val="es-ES"/>
              </w:rPr>
              <w:t>Teléfono</w:t>
            </w:r>
            <w:r w:rsidRPr="000E6D86">
              <w:rPr>
                <w:rFonts w:cs="Arial"/>
                <w:sz w:val="18"/>
                <w:szCs w:val="18"/>
                <w:lang w:val="es-ES"/>
              </w:rPr>
              <w:t>:</w:t>
            </w:r>
          </w:p>
          <w:p w14:paraId="089C7C36" w14:textId="77777777" w:rsidR="006A3DBC" w:rsidRPr="000E6D86" w:rsidRDefault="006A3DBC" w:rsidP="00411720">
            <w:pPr>
              <w:numPr>
                <w:ilvl w:val="0"/>
                <w:numId w:val="64"/>
              </w:numPr>
              <w:spacing w:after="60"/>
              <w:ind w:left="180" w:hanging="142"/>
              <w:jc w:val="both"/>
              <w:rPr>
                <w:rFonts w:cs="Arial"/>
                <w:sz w:val="18"/>
                <w:szCs w:val="18"/>
                <w:lang w:val="es-ES"/>
              </w:rPr>
            </w:pPr>
            <w:r w:rsidRPr="000E6D86">
              <w:rPr>
                <w:rFonts w:cs="Arial"/>
                <w:sz w:val="18"/>
                <w:szCs w:val="18"/>
                <w:lang w:val="es-ES"/>
              </w:rPr>
              <w:t>Santa Rosa de Copán: 2662-6560</w:t>
            </w:r>
          </w:p>
          <w:p w14:paraId="7655DFC8" w14:textId="77777777" w:rsidR="006A3DBC" w:rsidRPr="000E6D86" w:rsidRDefault="006A3DBC" w:rsidP="00411720">
            <w:pPr>
              <w:numPr>
                <w:ilvl w:val="0"/>
                <w:numId w:val="64"/>
              </w:numPr>
              <w:spacing w:after="60"/>
              <w:ind w:left="180" w:hanging="142"/>
              <w:jc w:val="both"/>
              <w:rPr>
                <w:rFonts w:cs="Arial"/>
                <w:sz w:val="18"/>
                <w:szCs w:val="18"/>
                <w:lang w:val="es-ES"/>
              </w:rPr>
            </w:pPr>
            <w:r w:rsidRPr="000E6D86">
              <w:rPr>
                <w:rFonts w:cs="Arial"/>
                <w:sz w:val="18"/>
                <w:szCs w:val="18"/>
                <w:lang w:val="es-ES"/>
              </w:rPr>
              <w:t>La Ceiba: 2440-4040</w:t>
            </w:r>
          </w:p>
          <w:p w14:paraId="5776F663" w14:textId="77777777" w:rsidR="006A3DBC" w:rsidRPr="000E6D86" w:rsidRDefault="006A3DBC" w:rsidP="00411720">
            <w:pPr>
              <w:numPr>
                <w:ilvl w:val="0"/>
                <w:numId w:val="64"/>
              </w:numPr>
              <w:spacing w:after="60"/>
              <w:ind w:left="180" w:hanging="142"/>
              <w:jc w:val="both"/>
              <w:rPr>
                <w:rFonts w:cs="Arial"/>
                <w:sz w:val="18"/>
                <w:szCs w:val="18"/>
                <w:lang w:val="es-ES"/>
              </w:rPr>
            </w:pPr>
            <w:r w:rsidRPr="000E6D86">
              <w:rPr>
                <w:rFonts w:cs="Arial"/>
                <w:sz w:val="18"/>
                <w:szCs w:val="18"/>
                <w:lang w:val="es-ES"/>
              </w:rPr>
              <w:t>Siguatepeque: 2773-4931</w:t>
            </w:r>
          </w:p>
          <w:p w14:paraId="09D72230" w14:textId="77777777" w:rsidR="006A3DBC" w:rsidRPr="000E6D86" w:rsidRDefault="3A7FC69B" w:rsidP="00411720">
            <w:pPr>
              <w:numPr>
                <w:ilvl w:val="0"/>
                <w:numId w:val="64"/>
              </w:numPr>
              <w:spacing w:after="60"/>
              <w:ind w:left="180" w:hanging="142"/>
              <w:jc w:val="both"/>
              <w:rPr>
                <w:rFonts w:cs="Arial"/>
                <w:sz w:val="18"/>
                <w:szCs w:val="18"/>
                <w:lang w:val="es-ES"/>
              </w:rPr>
            </w:pPr>
            <w:r w:rsidRPr="000E6D86">
              <w:rPr>
                <w:rFonts w:cs="Arial"/>
                <w:sz w:val="18"/>
                <w:szCs w:val="18"/>
                <w:lang w:val="es-ES"/>
              </w:rPr>
              <w:t>Danlí: (504 8735-4620)</w:t>
            </w:r>
            <w:r w:rsidR="006A3DBC" w:rsidRPr="000E6D86">
              <w:rPr>
                <w:rStyle w:val="Refdenotaalpie"/>
                <w:rFonts w:cs="Arial"/>
                <w:sz w:val="18"/>
                <w:szCs w:val="18"/>
                <w:lang w:val="es-ES"/>
              </w:rPr>
              <w:footnoteReference w:id="61"/>
            </w:r>
          </w:p>
        </w:tc>
        <w:tc>
          <w:tcPr>
            <w:tcW w:w="3870" w:type="dxa"/>
            <w:vAlign w:val="center"/>
          </w:tcPr>
          <w:p w14:paraId="1D474655" w14:textId="77777777" w:rsidR="006A3DBC" w:rsidRPr="000E6D86" w:rsidRDefault="006A3DBC" w:rsidP="005F4A92">
            <w:pPr>
              <w:spacing w:after="60"/>
              <w:jc w:val="both"/>
              <w:rPr>
                <w:rFonts w:cs="Arial"/>
                <w:sz w:val="18"/>
                <w:szCs w:val="18"/>
              </w:rPr>
            </w:pPr>
            <w:r w:rsidRPr="000E6D86">
              <w:rPr>
                <w:rFonts w:cs="Arial"/>
                <w:sz w:val="18"/>
                <w:szCs w:val="18"/>
              </w:rPr>
              <w:t>Asistente Administrativa de la UEP.</w:t>
            </w:r>
          </w:p>
          <w:p w14:paraId="5261FBE0" w14:textId="77777777" w:rsidR="006A3DBC" w:rsidRPr="000E6D86" w:rsidRDefault="006A3DBC" w:rsidP="005F4A92">
            <w:pPr>
              <w:spacing w:after="60"/>
              <w:jc w:val="both"/>
              <w:rPr>
                <w:rFonts w:cs="Arial"/>
                <w:sz w:val="18"/>
                <w:szCs w:val="18"/>
              </w:rPr>
            </w:pPr>
          </w:p>
          <w:p w14:paraId="1408A7C7" w14:textId="77777777" w:rsidR="006A3DBC" w:rsidRPr="000E6D86" w:rsidRDefault="006A3DBC" w:rsidP="005F4A92">
            <w:pPr>
              <w:spacing w:after="60"/>
              <w:jc w:val="both"/>
              <w:rPr>
                <w:rFonts w:cs="Arial"/>
                <w:sz w:val="18"/>
                <w:szCs w:val="18"/>
              </w:rPr>
            </w:pPr>
            <w:r w:rsidRPr="000E6D86">
              <w:rPr>
                <w:rFonts w:cs="Arial"/>
                <w:i/>
                <w:iCs/>
                <w:sz w:val="18"/>
                <w:szCs w:val="18"/>
              </w:rPr>
              <w:t>Web Máster</w:t>
            </w:r>
            <w:r w:rsidRPr="000E6D86">
              <w:rPr>
                <w:rFonts w:cs="Arial"/>
                <w:sz w:val="18"/>
                <w:szCs w:val="18"/>
              </w:rPr>
              <w:t>.</w:t>
            </w:r>
          </w:p>
          <w:p w14:paraId="2B194A3F" w14:textId="77777777" w:rsidR="006A3DBC" w:rsidRPr="000E6D86" w:rsidRDefault="006A3DBC" w:rsidP="005F4A92">
            <w:pPr>
              <w:spacing w:after="60"/>
              <w:jc w:val="both"/>
              <w:rPr>
                <w:rFonts w:cs="Arial"/>
                <w:sz w:val="18"/>
                <w:szCs w:val="18"/>
              </w:rPr>
            </w:pPr>
            <w:r w:rsidRPr="000E6D86">
              <w:rPr>
                <w:rFonts w:cs="Arial"/>
                <w:sz w:val="18"/>
                <w:szCs w:val="18"/>
              </w:rPr>
              <w:t>Chat en tiempo real se registra de acuerdo con los requerimientos del formato (igual aplica a redes sociales)</w:t>
            </w:r>
          </w:p>
          <w:p w14:paraId="04421B45" w14:textId="77777777" w:rsidR="006A3DBC" w:rsidRPr="000E6D86" w:rsidRDefault="006A3DBC" w:rsidP="005F4A92">
            <w:pPr>
              <w:spacing w:after="60"/>
              <w:jc w:val="both"/>
              <w:rPr>
                <w:rFonts w:cs="Arial"/>
                <w:sz w:val="18"/>
                <w:szCs w:val="18"/>
              </w:rPr>
            </w:pPr>
          </w:p>
          <w:p w14:paraId="771CEB5F" w14:textId="77777777" w:rsidR="006A3DBC" w:rsidRPr="000E6D86" w:rsidRDefault="006A3DBC" w:rsidP="005F4A92">
            <w:pPr>
              <w:spacing w:after="60"/>
              <w:jc w:val="both"/>
              <w:rPr>
                <w:rFonts w:cs="Arial"/>
                <w:sz w:val="18"/>
                <w:szCs w:val="18"/>
              </w:rPr>
            </w:pPr>
            <w:r w:rsidRPr="000E6D86">
              <w:rPr>
                <w:rFonts w:cs="Arial"/>
                <w:sz w:val="18"/>
                <w:szCs w:val="18"/>
              </w:rPr>
              <w:t>Asistente Administrativa de Oficina Regional.</w:t>
            </w:r>
          </w:p>
          <w:p w14:paraId="2B7E9C64" w14:textId="77777777" w:rsidR="006A3DBC" w:rsidRPr="000E6D86" w:rsidRDefault="006A3DBC" w:rsidP="005F4A92">
            <w:pPr>
              <w:spacing w:after="60"/>
              <w:rPr>
                <w:rFonts w:cs="Arial"/>
                <w:sz w:val="18"/>
                <w:szCs w:val="18"/>
              </w:rPr>
            </w:pPr>
          </w:p>
          <w:p w14:paraId="33426BFD" w14:textId="77777777" w:rsidR="006A3DBC" w:rsidRPr="000E6D86" w:rsidRDefault="006A3DBC" w:rsidP="005F4A92">
            <w:pPr>
              <w:spacing w:after="60"/>
              <w:jc w:val="both"/>
              <w:rPr>
                <w:rFonts w:cs="Arial"/>
                <w:sz w:val="18"/>
                <w:szCs w:val="18"/>
              </w:rPr>
            </w:pPr>
            <w:r w:rsidRPr="000E6D86">
              <w:rPr>
                <w:rFonts w:cs="Arial"/>
                <w:sz w:val="18"/>
                <w:szCs w:val="18"/>
              </w:rPr>
              <w:t xml:space="preserve">Cuando los canales son presenciales, por teléfono y correo electrónico se facilitará y asistirá el complemento del que estará disponible en cada oficina del Proyecto. </w:t>
            </w:r>
          </w:p>
        </w:tc>
      </w:tr>
      <w:tr w:rsidR="000E6D86" w:rsidRPr="000E6D86" w14:paraId="5782AE81" w14:textId="77777777" w:rsidTr="00811897">
        <w:tc>
          <w:tcPr>
            <w:tcW w:w="567" w:type="dxa"/>
            <w:tcBorders>
              <w:top w:val="single" w:sz="4" w:space="0" w:color="auto"/>
              <w:left w:val="single" w:sz="4" w:space="0" w:color="auto"/>
              <w:bottom w:val="single" w:sz="4" w:space="0" w:color="auto"/>
              <w:right w:val="single" w:sz="4" w:space="0" w:color="auto"/>
            </w:tcBorders>
            <w:vAlign w:val="center"/>
          </w:tcPr>
          <w:p w14:paraId="22D11000" w14:textId="77777777" w:rsidR="006A3DBC" w:rsidRPr="000E6D86" w:rsidRDefault="006A3DBC" w:rsidP="005F4A92">
            <w:pPr>
              <w:spacing w:after="60"/>
              <w:rPr>
                <w:rFonts w:cs="Arial"/>
                <w:sz w:val="18"/>
                <w:szCs w:val="18"/>
              </w:rPr>
            </w:pPr>
          </w:p>
        </w:tc>
        <w:tc>
          <w:tcPr>
            <w:tcW w:w="4421" w:type="dxa"/>
            <w:tcBorders>
              <w:top w:val="single" w:sz="4" w:space="0" w:color="auto"/>
              <w:left w:val="single" w:sz="4" w:space="0" w:color="auto"/>
              <w:bottom w:val="single" w:sz="4" w:space="0" w:color="auto"/>
              <w:right w:val="single" w:sz="4" w:space="0" w:color="auto"/>
            </w:tcBorders>
            <w:shd w:val="clear" w:color="auto" w:fill="auto"/>
          </w:tcPr>
          <w:p w14:paraId="495FA26C" w14:textId="77777777" w:rsidR="006A3DBC" w:rsidRPr="000E6D86" w:rsidRDefault="006A3DBC" w:rsidP="005F4A92">
            <w:pPr>
              <w:spacing w:after="60"/>
              <w:jc w:val="both"/>
              <w:rPr>
                <w:rFonts w:cs="Arial"/>
                <w:sz w:val="18"/>
                <w:szCs w:val="18"/>
              </w:rPr>
            </w:pPr>
            <w:r w:rsidRPr="000E6D86">
              <w:rPr>
                <w:rFonts w:cs="Arial"/>
                <w:sz w:val="18"/>
                <w:szCs w:val="18"/>
              </w:rPr>
              <w:t>Oficina Regional Puerto Lempira, Gracias a Dios.</w:t>
            </w:r>
          </w:p>
        </w:tc>
        <w:tc>
          <w:tcPr>
            <w:tcW w:w="3870" w:type="dxa"/>
            <w:tcBorders>
              <w:top w:val="single" w:sz="4" w:space="0" w:color="auto"/>
              <w:left w:val="single" w:sz="4" w:space="0" w:color="auto"/>
              <w:bottom w:val="single" w:sz="4" w:space="0" w:color="auto"/>
              <w:right w:val="single" w:sz="4" w:space="0" w:color="auto"/>
            </w:tcBorders>
            <w:shd w:val="clear" w:color="auto" w:fill="auto"/>
          </w:tcPr>
          <w:p w14:paraId="74E6DB94" w14:textId="77777777" w:rsidR="006A3DBC" w:rsidRPr="000E6D86" w:rsidRDefault="006A3DBC" w:rsidP="005F4A92">
            <w:pPr>
              <w:spacing w:after="60"/>
              <w:jc w:val="both"/>
              <w:rPr>
                <w:rFonts w:cs="Arial"/>
                <w:sz w:val="18"/>
                <w:szCs w:val="18"/>
              </w:rPr>
            </w:pPr>
            <w:r w:rsidRPr="000E6D86">
              <w:rPr>
                <w:rFonts w:eastAsia="Times New Roman" w:cs="Arial"/>
                <w:sz w:val="18"/>
                <w:szCs w:val="18"/>
              </w:rPr>
              <w:t xml:space="preserve">La información de contacto de la oficina regional del Proyecto será actualizada en cuanto se establezca la oficina. </w:t>
            </w:r>
          </w:p>
        </w:tc>
      </w:tr>
      <w:tr w:rsidR="000E6D86" w:rsidRPr="000E6D86" w14:paraId="0E6E9F5C" w14:textId="77777777" w:rsidTr="00811897">
        <w:trPr>
          <w:trHeight w:val="850"/>
        </w:trPr>
        <w:tc>
          <w:tcPr>
            <w:tcW w:w="567" w:type="dxa"/>
            <w:tcBorders>
              <w:top w:val="single" w:sz="4" w:space="0" w:color="auto"/>
              <w:left w:val="single" w:sz="4" w:space="0" w:color="auto"/>
              <w:bottom w:val="single" w:sz="4" w:space="0" w:color="auto"/>
              <w:right w:val="single" w:sz="4" w:space="0" w:color="auto"/>
            </w:tcBorders>
            <w:vAlign w:val="center"/>
          </w:tcPr>
          <w:p w14:paraId="4B6D80E0" w14:textId="77777777" w:rsidR="006A3DBC" w:rsidRPr="000E6D86" w:rsidRDefault="006A3DBC" w:rsidP="005F4A92">
            <w:pPr>
              <w:spacing w:after="60"/>
              <w:rPr>
                <w:rFonts w:cs="Arial"/>
                <w:sz w:val="18"/>
                <w:szCs w:val="18"/>
              </w:rPr>
            </w:pPr>
            <w:r w:rsidRPr="000E6D86">
              <w:rPr>
                <w:rFonts w:cs="Arial"/>
                <w:sz w:val="18"/>
                <w:szCs w:val="18"/>
              </w:rPr>
              <w:t>2.2</w:t>
            </w:r>
          </w:p>
        </w:tc>
        <w:tc>
          <w:tcPr>
            <w:tcW w:w="4421" w:type="dxa"/>
            <w:tcBorders>
              <w:top w:val="single" w:sz="4" w:space="0" w:color="auto"/>
              <w:left w:val="single" w:sz="4" w:space="0" w:color="auto"/>
              <w:bottom w:val="single" w:sz="4" w:space="0" w:color="auto"/>
              <w:right w:val="single" w:sz="4" w:space="0" w:color="auto"/>
            </w:tcBorders>
            <w:shd w:val="clear" w:color="auto" w:fill="auto"/>
          </w:tcPr>
          <w:p w14:paraId="42F5EE70" w14:textId="77777777" w:rsidR="006A3DBC" w:rsidRPr="000E6D86" w:rsidRDefault="006A3DBC" w:rsidP="005F4A92">
            <w:pPr>
              <w:spacing w:after="60"/>
              <w:jc w:val="both"/>
              <w:rPr>
                <w:rFonts w:cs="Arial"/>
                <w:sz w:val="18"/>
                <w:szCs w:val="18"/>
                <w:lang w:val="es-ES"/>
              </w:rPr>
            </w:pPr>
            <w:r w:rsidRPr="000E6D86">
              <w:rPr>
                <w:rFonts w:cs="Arial"/>
                <w:sz w:val="18"/>
                <w:szCs w:val="18"/>
              </w:rPr>
              <w:t>Oficina Regional Olancho.</w:t>
            </w:r>
          </w:p>
        </w:tc>
        <w:tc>
          <w:tcPr>
            <w:tcW w:w="3870" w:type="dxa"/>
            <w:tcBorders>
              <w:top w:val="single" w:sz="4" w:space="0" w:color="auto"/>
              <w:left w:val="single" w:sz="4" w:space="0" w:color="auto"/>
              <w:bottom w:val="single" w:sz="4" w:space="0" w:color="auto"/>
              <w:right w:val="single" w:sz="4" w:space="0" w:color="auto"/>
            </w:tcBorders>
            <w:shd w:val="clear" w:color="auto" w:fill="auto"/>
          </w:tcPr>
          <w:p w14:paraId="6FC90917" w14:textId="77777777" w:rsidR="006A3DBC" w:rsidRPr="000E6D86" w:rsidRDefault="006A3DBC" w:rsidP="005F4A92">
            <w:pPr>
              <w:spacing w:after="60"/>
              <w:jc w:val="both"/>
              <w:rPr>
                <w:rFonts w:cs="Arial"/>
                <w:b/>
                <w:bCs/>
                <w:sz w:val="18"/>
                <w:szCs w:val="18"/>
              </w:rPr>
            </w:pPr>
            <w:r w:rsidRPr="000E6D86">
              <w:rPr>
                <w:rFonts w:eastAsia="Times New Roman" w:cs="Arial"/>
                <w:sz w:val="18"/>
                <w:szCs w:val="18"/>
              </w:rPr>
              <w:t xml:space="preserve">La información de contacto de la nueva oficina regional del Proyecto será actualizada en cuanto se establezca la oficina. </w:t>
            </w:r>
          </w:p>
        </w:tc>
      </w:tr>
      <w:tr w:rsidR="000E6D86" w:rsidRPr="000E6D86" w14:paraId="0420A479" w14:textId="77777777" w:rsidTr="37B44ACB">
        <w:tc>
          <w:tcPr>
            <w:tcW w:w="8858" w:type="dxa"/>
            <w:gridSpan w:val="3"/>
            <w:vAlign w:val="center"/>
          </w:tcPr>
          <w:p w14:paraId="44E44465" w14:textId="77777777" w:rsidR="006A3DBC" w:rsidRPr="000E6D86" w:rsidRDefault="006A3DBC" w:rsidP="00411720">
            <w:pPr>
              <w:pStyle w:val="Prrafodelista"/>
              <w:numPr>
                <w:ilvl w:val="0"/>
                <w:numId w:val="65"/>
              </w:numPr>
              <w:spacing w:after="60"/>
              <w:contextualSpacing w:val="0"/>
              <w:rPr>
                <w:rFonts w:cs="Arial"/>
                <w:b/>
                <w:bCs/>
                <w:i/>
                <w:iCs/>
                <w:sz w:val="18"/>
                <w:szCs w:val="18"/>
              </w:rPr>
            </w:pPr>
            <w:r w:rsidRPr="000E6D86">
              <w:rPr>
                <w:rFonts w:cs="Arial"/>
                <w:b/>
                <w:bCs/>
                <w:i/>
                <w:iCs/>
                <w:sz w:val="18"/>
                <w:szCs w:val="18"/>
              </w:rPr>
              <w:t>Registro</w:t>
            </w:r>
          </w:p>
        </w:tc>
      </w:tr>
      <w:tr w:rsidR="000E6D86" w:rsidRPr="000E6D86" w14:paraId="20680482" w14:textId="77777777" w:rsidTr="37B44ACB">
        <w:tc>
          <w:tcPr>
            <w:tcW w:w="567" w:type="dxa"/>
            <w:vMerge w:val="restart"/>
            <w:vAlign w:val="center"/>
          </w:tcPr>
          <w:p w14:paraId="735257E6" w14:textId="77777777" w:rsidR="006A3DBC" w:rsidRPr="000E6D86" w:rsidRDefault="006A3DBC" w:rsidP="005F4A92">
            <w:pPr>
              <w:spacing w:after="60"/>
              <w:rPr>
                <w:rFonts w:cs="Arial"/>
                <w:sz w:val="18"/>
                <w:szCs w:val="18"/>
              </w:rPr>
            </w:pPr>
            <w:r w:rsidRPr="000E6D86">
              <w:rPr>
                <w:rFonts w:cs="Arial"/>
                <w:sz w:val="18"/>
                <w:szCs w:val="18"/>
              </w:rPr>
              <w:t>3.1</w:t>
            </w:r>
          </w:p>
        </w:tc>
        <w:tc>
          <w:tcPr>
            <w:tcW w:w="4421" w:type="dxa"/>
            <w:vMerge w:val="restart"/>
            <w:vAlign w:val="center"/>
          </w:tcPr>
          <w:p w14:paraId="3902F742" w14:textId="5088B269" w:rsidR="006A3DBC" w:rsidRPr="000E6D86" w:rsidRDefault="006A3DBC" w:rsidP="005F4A92">
            <w:pPr>
              <w:spacing w:after="60"/>
              <w:jc w:val="both"/>
              <w:rPr>
                <w:rFonts w:cs="Arial"/>
                <w:sz w:val="18"/>
                <w:szCs w:val="18"/>
              </w:rPr>
            </w:pPr>
            <w:r w:rsidRPr="000E6D86">
              <w:rPr>
                <w:rFonts w:cs="Arial"/>
                <w:sz w:val="18"/>
                <w:szCs w:val="18"/>
                <w:lang w:val="es-ES_tradnl"/>
              </w:rPr>
              <w:t>Registro en el formato oficial disponible en cada nivel del M</w:t>
            </w:r>
            <w:r w:rsidR="00163A7A" w:rsidRPr="000E6D86">
              <w:rPr>
                <w:rFonts w:cs="Arial"/>
                <w:sz w:val="18"/>
                <w:szCs w:val="18"/>
                <w:lang w:val="es-ES_tradnl"/>
              </w:rPr>
              <w:t>C</w:t>
            </w:r>
            <w:r w:rsidRPr="000E6D86">
              <w:rPr>
                <w:rFonts w:cs="Arial"/>
                <w:sz w:val="18"/>
                <w:szCs w:val="18"/>
                <w:lang w:val="es-ES_tradnl"/>
              </w:rPr>
              <w:t xml:space="preserve">QRS (Proyecto ComRural Oficina Central y Regional, PSDE y OPR). Tiene como propósito dejar respaldado el registro de todas las consultas, quejas, reclamos y sugerencias que ingresen al sistema. </w:t>
            </w:r>
          </w:p>
        </w:tc>
        <w:tc>
          <w:tcPr>
            <w:tcW w:w="3870" w:type="dxa"/>
            <w:vAlign w:val="center"/>
          </w:tcPr>
          <w:p w14:paraId="41D47D9C" w14:textId="77777777" w:rsidR="006A3DBC" w:rsidRPr="000E6D86" w:rsidRDefault="006A3DBC" w:rsidP="005F4A92">
            <w:pPr>
              <w:spacing w:after="60"/>
              <w:rPr>
                <w:rFonts w:cs="Arial"/>
                <w:b/>
                <w:bCs/>
                <w:sz w:val="18"/>
                <w:szCs w:val="18"/>
              </w:rPr>
            </w:pPr>
            <w:r w:rsidRPr="000E6D86">
              <w:rPr>
                <w:rFonts w:cs="Arial"/>
                <w:b/>
                <w:bCs/>
                <w:sz w:val="18"/>
                <w:szCs w:val="18"/>
              </w:rPr>
              <w:t>Unidad Implementadora:</w:t>
            </w:r>
          </w:p>
          <w:p w14:paraId="0FE3B353" w14:textId="77777777" w:rsidR="006A3DBC" w:rsidRPr="000E6D86" w:rsidRDefault="006A3DBC" w:rsidP="005F4A92">
            <w:pPr>
              <w:spacing w:after="60"/>
              <w:rPr>
                <w:rFonts w:cs="Arial"/>
                <w:sz w:val="18"/>
                <w:szCs w:val="18"/>
              </w:rPr>
            </w:pPr>
            <w:r w:rsidRPr="000E6D86">
              <w:rPr>
                <w:rFonts w:cs="Arial"/>
                <w:sz w:val="18"/>
                <w:szCs w:val="18"/>
              </w:rPr>
              <w:t>Asistente Administrativa Oficina Central.</w:t>
            </w:r>
          </w:p>
          <w:p w14:paraId="2D632EFA" w14:textId="77777777" w:rsidR="006A3DBC" w:rsidRPr="000E6D86" w:rsidRDefault="006A3DBC" w:rsidP="005F4A92">
            <w:pPr>
              <w:spacing w:after="60"/>
              <w:rPr>
                <w:rFonts w:cs="Arial"/>
                <w:sz w:val="18"/>
                <w:szCs w:val="18"/>
              </w:rPr>
            </w:pPr>
            <w:r w:rsidRPr="000E6D86">
              <w:rPr>
                <w:rFonts w:cs="Arial"/>
                <w:sz w:val="18"/>
                <w:szCs w:val="18"/>
              </w:rPr>
              <w:t>Web Máster.</w:t>
            </w:r>
          </w:p>
          <w:p w14:paraId="510DECA9" w14:textId="77777777" w:rsidR="006A3DBC" w:rsidRPr="000E6D86" w:rsidRDefault="006A3DBC" w:rsidP="005F4A92">
            <w:pPr>
              <w:spacing w:after="60"/>
              <w:rPr>
                <w:rFonts w:cs="Arial"/>
                <w:b/>
                <w:bCs/>
                <w:sz w:val="18"/>
                <w:szCs w:val="18"/>
              </w:rPr>
            </w:pPr>
            <w:r w:rsidRPr="000E6D86">
              <w:rPr>
                <w:rFonts w:cs="Arial"/>
                <w:b/>
                <w:bCs/>
                <w:sz w:val="18"/>
                <w:szCs w:val="18"/>
              </w:rPr>
              <w:t>Oficina Regional:</w:t>
            </w:r>
          </w:p>
          <w:p w14:paraId="1E3CDFF2" w14:textId="77777777" w:rsidR="006A3DBC" w:rsidRPr="000E6D86" w:rsidRDefault="006A3DBC" w:rsidP="005F4A92">
            <w:pPr>
              <w:spacing w:after="60"/>
              <w:rPr>
                <w:rFonts w:cs="Arial"/>
                <w:sz w:val="18"/>
                <w:szCs w:val="18"/>
              </w:rPr>
            </w:pPr>
            <w:r w:rsidRPr="000E6D86">
              <w:rPr>
                <w:rFonts w:cs="Arial"/>
                <w:sz w:val="18"/>
                <w:szCs w:val="18"/>
              </w:rPr>
              <w:t>Asistente Administrativa.</w:t>
            </w:r>
          </w:p>
        </w:tc>
      </w:tr>
      <w:tr w:rsidR="000E6D86" w:rsidRPr="000E6D86" w14:paraId="7B685BD2" w14:textId="77777777" w:rsidTr="37B44ACB">
        <w:tc>
          <w:tcPr>
            <w:tcW w:w="567" w:type="dxa"/>
            <w:vMerge/>
            <w:vAlign w:val="center"/>
          </w:tcPr>
          <w:p w14:paraId="5181AE8A" w14:textId="77777777" w:rsidR="006A3DBC" w:rsidRPr="000E6D86" w:rsidRDefault="006A3DBC" w:rsidP="005F4A92">
            <w:pPr>
              <w:spacing w:after="60"/>
              <w:rPr>
                <w:rFonts w:cs="Arial"/>
                <w:sz w:val="18"/>
                <w:szCs w:val="18"/>
              </w:rPr>
            </w:pPr>
          </w:p>
        </w:tc>
        <w:tc>
          <w:tcPr>
            <w:tcW w:w="4421" w:type="dxa"/>
            <w:vMerge/>
            <w:vAlign w:val="center"/>
          </w:tcPr>
          <w:p w14:paraId="7711D0A0" w14:textId="77777777" w:rsidR="006A3DBC" w:rsidRPr="000E6D86" w:rsidRDefault="006A3DBC" w:rsidP="005F4A92">
            <w:pPr>
              <w:spacing w:after="60"/>
              <w:rPr>
                <w:rFonts w:cs="Arial"/>
                <w:sz w:val="18"/>
                <w:szCs w:val="18"/>
              </w:rPr>
            </w:pPr>
          </w:p>
        </w:tc>
        <w:tc>
          <w:tcPr>
            <w:tcW w:w="3870" w:type="dxa"/>
            <w:vAlign w:val="center"/>
          </w:tcPr>
          <w:p w14:paraId="017D8AEE" w14:textId="77777777" w:rsidR="006A3DBC" w:rsidRPr="000E6D86" w:rsidRDefault="006A3DBC" w:rsidP="005F4A92">
            <w:pPr>
              <w:spacing w:after="60"/>
              <w:jc w:val="both"/>
              <w:rPr>
                <w:rFonts w:cs="Arial"/>
                <w:sz w:val="18"/>
                <w:szCs w:val="18"/>
              </w:rPr>
            </w:pPr>
            <w:r w:rsidRPr="000E6D86">
              <w:rPr>
                <w:rFonts w:cs="Arial"/>
                <w:b/>
                <w:bCs/>
                <w:sz w:val="18"/>
                <w:szCs w:val="18"/>
              </w:rPr>
              <w:t>PSDE</w:t>
            </w:r>
            <w:r w:rsidRPr="000E6D86">
              <w:rPr>
                <w:rFonts w:cs="Arial"/>
                <w:sz w:val="18"/>
                <w:szCs w:val="18"/>
              </w:rPr>
              <w:t>:</w:t>
            </w:r>
          </w:p>
          <w:p w14:paraId="4847893A" w14:textId="77777777" w:rsidR="006A3DBC" w:rsidRPr="000E6D86" w:rsidRDefault="006A3DBC" w:rsidP="005F4A92">
            <w:pPr>
              <w:spacing w:after="60"/>
              <w:jc w:val="both"/>
              <w:rPr>
                <w:rFonts w:cs="Arial"/>
                <w:sz w:val="18"/>
                <w:szCs w:val="18"/>
              </w:rPr>
            </w:pPr>
            <w:r w:rsidRPr="000E6D86">
              <w:rPr>
                <w:rFonts w:cs="Arial"/>
                <w:sz w:val="18"/>
                <w:szCs w:val="18"/>
              </w:rPr>
              <w:t>Responsable nombrado como Enlace Institucional.</w:t>
            </w:r>
          </w:p>
        </w:tc>
      </w:tr>
      <w:tr w:rsidR="000E6D86" w:rsidRPr="000E6D86" w14:paraId="137E5BBE" w14:textId="77777777" w:rsidTr="37B44ACB">
        <w:tc>
          <w:tcPr>
            <w:tcW w:w="567" w:type="dxa"/>
            <w:vMerge/>
            <w:vAlign w:val="center"/>
          </w:tcPr>
          <w:p w14:paraId="6D978637" w14:textId="77777777" w:rsidR="006A3DBC" w:rsidRPr="000E6D86" w:rsidRDefault="006A3DBC" w:rsidP="005F4A92">
            <w:pPr>
              <w:spacing w:after="60"/>
              <w:rPr>
                <w:rFonts w:cs="Arial"/>
                <w:sz w:val="18"/>
                <w:szCs w:val="18"/>
              </w:rPr>
            </w:pPr>
          </w:p>
        </w:tc>
        <w:tc>
          <w:tcPr>
            <w:tcW w:w="4421" w:type="dxa"/>
            <w:vMerge/>
            <w:vAlign w:val="center"/>
          </w:tcPr>
          <w:p w14:paraId="6904E0CB" w14:textId="77777777" w:rsidR="006A3DBC" w:rsidRPr="000E6D86" w:rsidRDefault="006A3DBC" w:rsidP="005F4A92">
            <w:pPr>
              <w:spacing w:after="60"/>
              <w:rPr>
                <w:rFonts w:cs="Arial"/>
                <w:sz w:val="18"/>
                <w:szCs w:val="18"/>
              </w:rPr>
            </w:pPr>
          </w:p>
        </w:tc>
        <w:tc>
          <w:tcPr>
            <w:tcW w:w="3870" w:type="dxa"/>
            <w:vAlign w:val="center"/>
          </w:tcPr>
          <w:p w14:paraId="7B30AC7A" w14:textId="77777777" w:rsidR="006A3DBC" w:rsidRPr="000E6D86" w:rsidRDefault="006A3DBC" w:rsidP="005F4A92">
            <w:pPr>
              <w:spacing w:after="60"/>
              <w:jc w:val="both"/>
              <w:rPr>
                <w:rFonts w:cs="Arial"/>
                <w:b/>
                <w:bCs/>
                <w:sz w:val="18"/>
                <w:szCs w:val="18"/>
              </w:rPr>
            </w:pPr>
            <w:r w:rsidRPr="000E6D86">
              <w:rPr>
                <w:rFonts w:cs="Arial"/>
                <w:b/>
                <w:bCs/>
                <w:sz w:val="18"/>
                <w:szCs w:val="18"/>
              </w:rPr>
              <w:t>OPR:</w:t>
            </w:r>
          </w:p>
          <w:p w14:paraId="1555B145" w14:textId="77777777" w:rsidR="006A3DBC" w:rsidRPr="000E6D86" w:rsidRDefault="006A3DBC" w:rsidP="005F4A92">
            <w:pPr>
              <w:spacing w:after="60"/>
              <w:jc w:val="both"/>
              <w:rPr>
                <w:rFonts w:cs="Arial"/>
                <w:sz w:val="18"/>
                <w:szCs w:val="18"/>
              </w:rPr>
            </w:pPr>
            <w:r w:rsidRPr="000E6D86">
              <w:rPr>
                <w:rFonts w:cs="Arial"/>
                <w:sz w:val="18"/>
                <w:szCs w:val="18"/>
              </w:rPr>
              <w:t>Responsable nombrado en ventana de comunicación.</w:t>
            </w:r>
          </w:p>
        </w:tc>
      </w:tr>
      <w:tr w:rsidR="000E6D86" w:rsidRPr="000E6D86" w14:paraId="11C511E4" w14:textId="77777777" w:rsidTr="37B44ACB">
        <w:tc>
          <w:tcPr>
            <w:tcW w:w="8858" w:type="dxa"/>
            <w:gridSpan w:val="3"/>
            <w:vAlign w:val="center"/>
          </w:tcPr>
          <w:p w14:paraId="719239EC" w14:textId="77777777" w:rsidR="006A3DBC" w:rsidRPr="000E6D86" w:rsidRDefault="006A3DBC" w:rsidP="00411720">
            <w:pPr>
              <w:pStyle w:val="Prrafodelista"/>
              <w:numPr>
                <w:ilvl w:val="0"/>
                <w:numId w:val="65"/>
              </w:numPr>
              <w:spacing w:after="60"/>
              <w:contextualSpacing w:val="0"/>
              <w:rPr>
                <w:rFonts w:cs="Arial"/>
                <w:b/>
                <w:bCs/>
                <w:sz w:val="18"/>
                <w:szCs w:val="18"/>
              </w:rPr>
            </w:pPr>
            <w:r w:rsidRPr="000E6D86">
              <w:rPr>
                <w:rFonts w:cs="Arial"/>
                <w:b/>
                <w:bCs/>
                <w:sz w:val="18"/>
                <w:szCs w:val="18"/>
              </w:rPr>
              <w:t>Evaluación</w:t>
            </w:r>
          </w:p>
        </w:tc>
      </w:tr>
      <w:tr w:rsidR="000E6D86" w:rsidRPr="000E6D86" w14:paraId="682C1652" w14:textId="77777777" w:rsidTr="37B44ACB">
        <w:tc>
          <w:tcPr>
            <w:tcW w:w="567" w:type="dxa"/>
            <w:vAlign w:val="center"/>
          </w:tcPr>
          <w:p w14:paraId="504C14BF" w14:textId="77777777" w:rsidR="006A3DBC" w:rsidRPr="000E6D86" w:rsidRDefault="006A3DBC" w:rsidP="005F4A92">
            <w:pPr>
              <w:spacing w:after="60"/>
              <w:rPr>
                <w:rFonts w:cs="Arial"/>
                <w:sz w:val="18"/>
                <w:szCs w:val="18"/>
              </w:rPr>
            </w:pPr>
            <w:r w:rsidRPr="000E6D86">
              <w:rPr>
                <w:rFonts w:cs="Arial"/>
                <w:sz w:val="18"/>
                <w:szCs w:val="18"/>
              </w:rPr>
              <w:t>4.1</w:t>
            </w:r>
          </w:p>
        </w:tc>
        <w:tc>
          <w:tcPr>
            <w:tcW w:w="4421" w:type="dxa"/>
            <w:vAlign w:val="center"/>
          </w:tcPr>
          <w:p w14:paraId="11C4B0B7" w14:textId="77777777" w:rsidR="006A3DBC" w:rsidRPr="000E6D86" w:rsidRDefault="006A3DBC" w:rsidP="005F4A92">
            <w:pPr>
              <w:spacing w:after="60"/>
              <w:jc w:val="both"/>
              <w:rPr>
                <w:rFonts w:cs="Arial"/>
                <w:sz w:val="18"/>
                <w:szCs w:val="18"/>
              </w:rPr>
            </w:pPr>
            <w:r w:rsidRPr="000E6D86">
              <w:rPr>
                <w:rFonts w:cs="Arial"/>
                <w:sz w:val="18"/>
                <w:szCs w:val="18"/>
              </w:rPr>
              <w:t>El nivel de recepción evalúa el grado de sensibilidad y si procede la consulta, queja, reclamo o sugerencia.</w:t>
            </w:r>
          </w:p>
        </w:tc>
        <w:tc>
          <w:tcPr>
            <w:tcW w:w="3870" w:type="dxa"/>
            <w:vMerge w:val="restart"/>
            <w:vAlign w:val="center"/>
          </w:tcPr>
          <w:p w14:paraId="41BC2157" w14:textId="77777777" w:rsidR="006A3DBC" w:rsidRPr="000E6D86" w:rsidRDefault="006A3DBC" w:rsidP="005F4A92">
            <w:pPr>
              <w:spacing w:after="60"/>
              <w:jc w:val="both"/>
              <w:rPr>
                <w:rFonts w:cs="Arial"/>
                <w:sz w:val="18"/>
                <w:szCs w:val="18"/>
              </w:rPr>
            </w:pPr>
            <w:r w:rsidRPr="000E6D86">
              <w:rPr>
                <w:rFonts w:cs="Arial"/>
                <w:sz w:val="18"/>
                <w:szCs w:val="18"/>
              </w:rPr>
              <w:t>Asistente Administrativa Oficina Central y Regionales del Proyecto.</w:t>
            </w:r>
          </w:p>
          <w:p w14:paraId="6957DDAC" w14:textId="77777777" w:rsidR="006A3DBC" w:rsidRPr="000E6D86" w:rsidRDefault="006A3DBC" w:rsidP="005F4A92">
            <w:pPr>
              <w:spacing w:after="60"/>
              <w:jc w:val="both"/>
              <w:rPr>
                <w:rFonts w:cs="Arial"/>
                <w:sz w:val="18"/>
                <w:szCs w:val="18"/>
              </w:rPr>
            </w:pPr>
            <w:r w:rsidRPr="000E6D86">
              <w:rPr>
                <w:rFonts w:cs="Arial"/>
                <w:sz w:val="18"/>
                <w:szCs w:val="18"/>
              </w:rPr>
              <w:t>Web Máster.</w:t>
            </w:r>
          </w:p>
          <w:p w14:paraId="6ADFEBDE" w14:textId="77777777" w:rsidR="006A3DBC" w:rsidRPr="000E6D86" w:rsidRDefault="006A3DBC" w:rsidP="005F4A92">
            <w:pPr>
              <w:spacing w:after="60"/>
              <w:jc w:val="both"/>
              <w:rPr>
                <w:rFonts w:cs="Arial"/>
                <w:sz w:val="18"/>
                <w:szCs w:val="18"/>
              </w:rPr>
            </w:pPr>
            <w:r w:rsidRPr="000E6D86">
              <w:rPr>
                <w:rFonts w:cs="Arial"/>
                <w:sz w:val="18"/>
                <w:szCs w:val="18"/>
              </w:rPr>
              <w:t>Enlace institucional nombrado en los PSDEs.</w:t>
            </w:r>
          </w:p>
          <w:p w14:paraId="2B68A26E" w14:textId="77777777" w:rsidR="006A3DBC" w:rsidRPr="000E6D86" w:rsidRDefault="006A3DBC" w:rsidP="005F4A92">
            <w:pPr>
              <w:spacing w:after="60"/>
              <w:jc w:val="both"/>
              <w:rPr>
                <w:rFonts w:cs="Arial"/>
                <w:sz w:val="18"/>
                <w:szCs w:val="18"/>
              </w:rPr>
            </w:pPr>
            <w:r w:rsidRPr="000E6D86">
              <w:rPr>
                <w:rFonts w:cs="Arial"/>
                <w:sz w:val="18"/>
                <w:szCs w:val="18"/>
              </w:rPr>
              <w:t>Responsables de ventanas de comunicación nombrados en OPR.</w:t>
            </w:r>
          </w:p>
        </w:tc>
      </w:tr>
      <w:tr w:rsidR="000E6D86" w:rsidRPr="000E6D86" w14:paraId="3E27A68C" w14:textId="77777777" w:rsidTr="37B44ACB">
        <w:tc>
          <w:tcPr>
            <w:tcW w:w="567" w:type="dxa"/>
            <w:vAlign w:val="center"/>
          </w:tcPr>
          <w:p w14:paraId="7E61491D" w14:textId="77777777" w:rsidR="006A3DBC" w:rsidRPr="000E6D86" w:rsidRDefault="006A3DBC" w:rsidP="005F4A92">
            <w:pPr>
              <w:spacing w:after="60"/>
              <w:rPr>
                <w:rFonts w:cs="Arial"/>
                <w:sz w:val="18"/>
                <w:szCs w:val="18"/>
              </w:rPr>
            </w:pPr>
            <w:r w:rsidRPr="000E6D86">
              <w:rPr>
                <w:rFonts w:cs="Arial"/>
                <w:sz w:val="18"/>
                <w:szCs w:val="18"/>
              </w:rPr>
              <w:t>4.2</w:t>
            </w:r>
          </w:p>
        </w:tc>
        <w:tc>
          <w:tcPr>
            <w:tcW w:w="4421" w:type="dxa"/>
            <w:vAlign w:val="center"/>
          </w:tcPr>
          <w:p w14:paraId="753ECB01" w14:textId="77777777" w:rsidR="006A3DBC" w:rsidRPr="000E6D86" w:rsidRDefault="006A3DBC" w:rsidP="005F4A92">
            <w:pPr>
              <w:spacing w:after="60"/>
              <w:jc w:val="both"/>
              <w:rPr>
                <w:rFonts w:cs="Arial"/>
                <w:sz w:val="18"/>
                <w:szCs w:val="18"/>
              </w:rPr>
            </w:pPr>
            <w:r w:rsidRPr="000E6D86">
              <w:rPr>
                <w:rFonts w:cs="Arial"/>
                <w:sz w:val="18"/>
                <w:szCs w:val="18"/>
              </w:rPr>
              <w:t>Determinar el responsable de brindar respuesta de acuerdo con el grado de sensibilidad y nivel involucrado.</w:t>
            </w:r>
          </w:p>
        </w:tc>
        <w:tc>
          <w:tcPr>
            <w:tcW w:w="3870" w:type="dxa"/>
            <w:vMerge/>
            <w:vAlign w:val="center"/>
          </w:tcPr>
          <w:p w14:paraId="04FECDBE" w14:textId="77777777" w:rsidR="006A3DBC" w:rsidRPr="000E6D86" w:rsidRDefault="006A3DBC" w:rsidP="005F4A92">
            <w:pPr>
              <w:spacing w:after="60"/>
              <w:rPr>
                <w:rFonts w:cs="Arial"/>
                <w:sz w:val="18"/>
                <w:szCs w:val="18"/>
              </w:rPr>
            </w:pPr>
          </w:p>
        </w:tc>
      </w:tr>
      <w:tr w:rsidR="000E6D86" w:rsidRPr="000E6D86" w14:paraId="6A7EC8D7" w14:textId="77777777" w:rsidTr="37B44ACB">
        <w:tc>
          <w:tcPr>
            <w:tcW w:w="8858" w:type="dxa"/>
            <w:gridSpan w:val="3"/>
            <w:vAlign w:val="center"/>
          </w:tcPr>
          <w:p w14:paraId="122D2F5D" w14:textId="77777777" w:rsidR="006A3DBC" w:rsidRPr="000E6D86" w:rsidRDefault="006A3DBC" w:rsidP="00411720">
            <w:pPr>
              <w:pStyle w:val="Prrafodelista"/>
              <w:numPr>
                <w:ilvl w:val="0"/>
                <w:numId w:val="65"/>
              </w:numPr>
              <w:spacing w:after="60"/>
              <w:contextualSpacing w:val="0"/>
              <w:rPr>
                <w:rFonts w:cs="Arial"/>
                <w:b/>
                <w:bCs/>
                <w:i/>
                <w:iCs/>
                <w:sz w:val="18"/>
                <w:szCs w:val="18"/>
              </w:rPr>
            </w:pPr>
            <w:r w:rsidRPr="000E6D86">
              <w:rPr>
                <w:rFonts w:cs="Arial"/>
                <w:b/>
                <w:bCs/>
                <w:i/>
                <w:iCs/>
                <w:sz w:val="18"/>
                <w:szCs w:val="18"/>
              </w:rPr>
              <w:t>Análisis y Resolución</w:t>
            </w:r>
          </w:p>
        </w:tc>
      </w:tr>
      <w:tr w:rsidR="000E6D86" w:rsidRPr="000E6D86" w14:paraId="3289BCB9" w14:textId="77777777" w:rsidTr="37B44ACB">
        <w:tc>
          <w:tcPr>
            <w:tcW w:w="567" w:type="dxa"/>
            <w:vAlign w:val="center"/>
          </w:tcPr>
          <w:p w14:paraId="1CEBD9F1" w14:textId="77777777" w:rsidR="006A3DBC" w:rsidRPr="000E6D86" w:rsidRDefault="006A3DBC" w:rsidP="005F4A92">
            <w:pPr>
              <w:spacing w:after="60"/>
              <w:rPr>
                <w:rFonts w:cs="Arial"/>
                <w:sz w:val="18"/>
                <w:szCs w:val="18"/>
              </w:rPr>
            </w:pPr>
            <w:r w:rsidRPr="000E6D86">
              <w:rPr>
                <w:rFonts w:cs="Arial"/>
                <w:sz w:val="18"/>
                <w:szCs w:val="18"/>
              </w:rPr>
              <w:t>5.1</w:t>
            </w:r>
          </w:p>
        </w:tc>
        <w:tc>
          <w:tcPr>
            <w:tcW w:w="4421" w:type="dxa"/>
            <w:vAlign w:val="center"/>
          </w:tcPr>
          <w:p w14:paraId="1F14B35E" w14:textId="77777777" w:rsidR="006A3DBC" w:rsidRPr="000E6D86" w:rsidRDefault="006A3DBC" w:rsidP="005F4A92">
            <w:pPr>
              <w:spacing w:after="60"/>
              <w:jc w:val="both"/>
              <w:rPr>
                <w:rFonts w:cs="Arial"/>
                <w:sz w:val="18"/>
                <w:szCs w:val="18"/>
              </w:rPr>
            </w:pPr>
            <w:r w:rsidRPr="000E6D86">
              <w:rPr>
                <w:rFonts w:cs="Arial"/>
                <w:sz w:val="18"/>
                <w:szCs w:val="18"/>
              </w:rPr>
              <w:t>Responsable de ventanilla de comunicación o recepción del MCQRS, informa a su superior o responsable del componente involucrado sobre la queja o reclamo registrada para preparar investigación de hechos y respuesta.</w:t>
            </w:r>
          </w:p>
        </w:tc>
        <w:tc>
          <w:tcPr>
            <w:tcW w:w="3870" w:type="dxa"/>
            <w:vAlign w:val="center"/>
          </w:tcPr>
          <w:p w14:paraId="7831D531" w14:textId="77777777" w:rsidR="006A3DBC" w:rsidRPr="000E6D86" w:rsidRDefault="006A3DBC" w:rsidP="005F4A92">
            <w:pPr>
              <w:spacing w:after="60"/>
              <w:jc w:val="both"/>
              <w:rPr>
                <w:rFonts w:cs="Arial"/>
                <w:sz w:val="18"/>
                <w:szCs w:val="18"/>
              </w:rPr>
            </w:pPr>
            <w:r w:rsidRPr="000E6D86">
              <w:rPr>
                <w:rFonts w:cs="Arial"/>
                <w:sz w:val="18"/>
                <w:szCs w:val="18"/>
              </w:rPr>
              <w:t>Asistente Administrativa Oficina Central y Regionales del Proyecto.</w:t>
            </w:r>
          </w:p>
          <w:p w14:paraId="2ACCB3E9" w14:textId="77777777" w:rsidR="006A3DBC" w:rsidRPr="000E6D86" w:rsidRDefault="006A3DBC" w:rsidP="005F4A92">
            <w:pPr>
              <w:spacing w:after="60"/>
              <w:jc w:val="both"/>
              <w:rPr>
                <w:rFonts w:cs="Arial"/>
                <w:sz w:val="18"/>
                <w:szCs w:val="18"/>
              </w:rPr>
            </w:pPr>
            <w:r w:rsidRPr="000E6D86">
              <w:rPr>
                <w:rFonts w:cs="Arial"/>
                <w:sz w:val="18"/>
                <w:szCs w:val="18"/>
              </w:rPr>
              <w:t>Web Máster.</w:t>
            </w:r>
          </w:p>
          <w:p w14:paraId="0A1EB5E8" w14:textId="77777777" w:rsidR="006A3DBC" w:rsidRPr="000E6D86" w:rsidRDefault="006A3DBC" w:rsidP="005F4A92">
            <w:pPr>
              <w:spacing w:after="60"/>
              <w:jc w:val="both"/>
              <w:rPr>
                <w:rFonts w:cs="Arial"/>
                <w:sz w:val="18"/>
                <w:szCs w:val="18"/>
              </w:rPr>
            </w:pPr>
            <w:r w:rsidRPr="000E6D86">
              <w:rPr>
                <w:rFonts w:cs="Arial"/>
                <w:sz w:val="18"/>
                <w:szCs w:val="18"/>
              </w:rPr>
              <w:t>Enlace institucional nombrado en los PSDEs.</w:t>
            </w:r>
          </w:p>
          <w:p w14:paraId="57354AF7" w14:textId="77777777" w:rsidR="006A3DBC" w:rsidRPr="000E6D86" w:rsidRDefault="006A3DBC" w:rsidP="005F4A92">
            <w:pPr>
              <w:spacing w:after="60"/>
              <w:jc w:val="both"/>
              <w:rPr>
                <w:rFonts w:cs="Arial"/>
                <w:sz w:val="18"/>
                <w:szCs w:val="18"/>
              </w:rPr>
            </w:pPr>
            <w:r w:rsidRPr="000E6D86">
              <w:rPr>
                <w:rFonts w:cs="Arial"/>
                <w:sz w:val="18"/>
                <w:szCs w:val="18"/>
              </w:rPr>
              <w:t>Responsables de ventanas de comunicación nombrados en OPR.</w:t>
            </w:r>
          </w:p>
        </w:tc>
      </w:tr>
      <w:tr w:rsidR="000E6D86" w:rsidRPr="000E6D86" w14:paraId="698D0478" w14:textId="77777777" w:rsidTr="37B44ACB">
        <w:tc>
          <w:tcPr>
            <w:tcW w:w="567" w:type="dxa"/>
            <w:vAlign w:val="center"/>
          </w:tcPr>
          <w:p w14:paraId="6919DAA0" w14:textId="77777777" w:rsidR="006A3DBC" w:rsidRPr="000E6D86" w:rsidRDefault="006A3DBC" w:rsidP="005F4A92">
            <w:pPr>
              <w:spacing w:after="60"/>
              <w:rPr>
                <w:rFonts w:cs="Arial"/>
                <w:sz w:val="18"/>
                <w:szCs w:val="18"/>
              </w:rPr>
            </w:pPr>
            <w:r w:rsidRPr="000E6D86">
              <w:rPr>
                <w:rFonts w:cs="Arial"/>
                <w:sz w:val="18"/>
                <w:szCs w:val="18"/>
              </w:rPr>
              <w:t>5.2</w:t>
            </w:r>
          </w:p>
        </w:tc>
        <w:tc>
          <w:tcPr>
            <w:tcW w:w="4421" w:type="dxa"/>
            <w:vAlign w:val="center"/>
          </w:tcPr>
          <w:p w14:paraId="1FE508AA" w14:textId="77777777" w:rsidR="006A3DBC" w:rsidRPr="000E6D86" w:rsidRDefault="006A3DBC" w:rsidP="005F4A92">
            <w:pPr>
              <w:spacing w:after="60"/>
              <w:jc w:val="both"/>
              <w:rPr>
                <w:rFonts w:cs="Arial"/>
                <w:sz w:val="18"/>
                <w:szCs w:val="18"/>
              </w:rPr>
            </w:pPr>
            <w:r w:rsidRPr="000E6D86">
              <w:rPr>
                <w:rFonts w:cs="Arial"/>
                <w:sz w:val="18"/>
                <w:szCs w:val="18"/>
              </w:rPr>
              <w:t>Cada nivel según estructura organizativa y de autoridad jerárquica, informa o sigue los procedimientos de comunicación que corresponde para la investigación de hechos y preparar respuesta.</w:t>
            </w:r>
          </w:p>
        </w:tc>
        <w:tc>
          <w:tcPr>
            <w:tcW w:w="3870" w:type="dxa"/>
            <w:vMerge w:val="restart"/>
            <w:vAlign w:val="center"/>
          </w:tcPr>
          <w:p w14:paraId="308A21BF" w14:textId="77777777" w:rsidR="006A3DBC" w:rsidRPr="000E6D86" w:rsidRDefault="006A3DBC" w:rsidP="005F4A92">
            <w:pPr>
              <w:spacing w:after="60"/>
              <w:rPr>
                <w:rFonts w:cs="Arial"/>
                <w:b/>
                <w:bCs/>
                <w:i/>
                <w:iCs/>
                <w:sz w:val="18"/>
                <w:szCs w:val="18"/>
              </w:rPr>
            </w:pPr>
            <w:r w:rsidRPr="000E6D86">
              <w:rPr>
                <w:rFonts w:cs="Arial"/>
                <w:b/>
                <w:bCs/>
                <w:i/>
                <w:iCs/>
                <w:sz w:val="18"/>
                <w:szCs w:val="18"/>
              </w:rPr>
              <w:t>UEP:</w:t>
            </w:r>
          </w:p>
          <w:p w14:paraId="3E3D7ADF" w14:textId="77777777" w:rsidR="006A3DBC" w:rsidRPr="000E6D86" w:rsidRDefault="006A3DBC" w:rsidP="005F4A92">
            <w:pPr>
              <w:spacing w:after="60"/>
              <w:jc w:val="both"/>
              <w:rPr>
                <w:rFonts w:cs="Arial"/>
                <w:sz w:val="18"/>
                <w:szCs w:val="18"/>
              </w:rPr>
            </w:pPr>
            <w:r w:rsidRPr="000E6D86">
              <w:rPr>
                <w:rFonts w:cs="Arial"/>
                <w:sz w:val="18"/>
                <w:szCs w:val="18"/>
              </w:rPr>
              <w:t>Coordinador Nacional.</w:t>
            </w:r>
          </w:p>
          <w:p w14:paraId="579F98B9" w14:textId="77777777" w:rsidR="006A3DBC" w:rsidRPr="000E6D86" w:rsidRDefault="006A3DBC" w:rsidP="005F4A92">
            <w:pPr>
              <w:spacing w:after="60"/>
              <w:jc w:val="both"/>
              <w:rPr>
                <w:rFonts w:cs="Arial"/>
                <w:sz w:val="18"/>
                <w:szCs w:val="18"/>
              </w:rPr>
            </w:pPr>
            <w:r w:rsidRPr="000E6D86">
              <w:rPr>
                <w:rFonts w:cs="Arial"/>
                <w:sz w:val="18"/>
                <w:szCs w:val="18"/>
              </w:rPr>
              <w:t>Responsable de SIG.</w:t>
            </w:r>
          </w:p>
          <w:p w14:paraId="20B2D7A3" w14:textId="77777777" w:rsidR="006A3DBC" w:rsidRPr="000E6D86" w:rsidRDefault="006A3DBC" w:rsidP="005F4A92">
            <w:pPr>
              <w:spacing w:after="60"/>
              <w:jc w:val="both"/>
              <w:rPr>
                <w:rFonts w:cs="Arial"/>
                <w:sz w:val="18"/>
                <w:szCs w:val="18"/>
              </w:rPr>
            </w:pPr>
            <w:r w:rsidRPr="000E6D86">
              <w:rPr>
                <w:rFonts w:cs="Arial"/>
                <w:sz w:val="18"/>
                <w:szCs w:val="18"/>
              </w:rPr>
              <w:t>Responsable de Componente Involucrado.</w:t>
            </w:r>
          </w:p>
          <w:p w14:paraId="0807474F" w14:textId="77777777" w:rsidR="006A3DBC" w:rsidRPr="000E6D86" w:rsidRDefault="006A3DBC" w:rsidP="005F4A92">
            <w:pPr>
              <w:spacing w:after="60"/>
              <w:jc w:val="both"/>
              <w:rPr>
                <w:rFonts w:cs="Arial"/>
                <w:b/>
                <w:bCs/>
                <w:sz w:val="18"/>
                <w:szCs w:val="18"/>
              </w:rPr>
            </w:pPr>
            <w:r w:rsidRPr="000E6D86">
              <w:rPr>
                <w:rFonts w:cs="Arial"/>
                <w:b/>
                <w:bCs/>
                <w:sz w:val="18"/>
                <w:szCs w:val="18"/>
              </w:rPr>
              <w:t>Regional:</w:t>
            </w:r>
          </w:p>
          <w:p w14:paraId="1A4752EE" w14:textId="77777777" w:rsidR="006A3DBC" w:rsidRPr="000E6D86" w:rsidRDefault="006A3DBC" w:rsidP="005F4A92">
            <w:pPr>
              <w:spacing w:after="60"/>
              <w:jc w:val="both"/>
              <w:rPr>
                <w:rFonts w:cs="Arial"/>
                <w:sz w:val="18"/>
                <w:szCs w:val="18"/>
              </w:rPr>
            </w:pPr>
            <w:r w:rsidRPr="000E6D86">
              <w:rPr>
                <w:rFonts w:cs="Arial"/>
                <w:sz w:val="18"/>
                <w:szCs w:val="18"/>
              </w:rPr>
              <w:t>Coordinador Oficina Regional.</w:t>
            </w:r>
          </w:p>
          <w:p w14:paraId="3D4534E6" w14:textId="77777777" w:rsidR="006A3DBC" w:rsidRPr="000E6D86" w:rsidRDefault="006A3DBC" w:rsidP="005F4A92">
            <w:pPr>
              <w:spacing w:after="60"/>
              <w:jc w:val="both"/>
              <w:rPr>
                <w:rFonts w:cs="Arial"/>
                <w:b/>
                <w:bCs/>
                <w:i/>
                <w:iCs/>
                <w:sz w:val="18"/>
                <w:szCs w:val="18"/>
              </w:rPr>
            </w:pPr>
            <w:r w:rsidRPr="000E6D86">
              <w:rPr>
                <w:rFonts w:cs="Arial"/>
                <w:b/>
                <w:bCs/>
                <w:i/>
                <w:iCs/>
                <w:sz w:val="18"/>
                <w:szCs w:val="18"/>
              </w:rPr>
              <w:t>PSDE:</w:t>
            </w:r>
          </w:p>
          <w:p w14:paraId="230B3D7D" w14:textId="77777777" w:rsidR="006A3DBC" w:rsidRPr="000E6D86" w:rsidRDefault="006A3DBC" w:rsidP="005F4A92">
            <w:pPr>
              <w:spacing w:after="60"/>
              <w:jc w:val="both"/>
              <w:rPr>
                <w:rFonts w:cs="Arial"/>
                <w:sz w:val="18"/>
                <w:szCs w:val="18"/>
              </w:rPr>
            </w:pPr>
            <w:r w:rsidRPr="000E6D86">
              <w:rPr>
                <w:rFonts w:cs="Arial"/>
                <w:sz w:val="18"/>
                <w:szCs w:val="18"/>
              </w:rPr>
              <w:t>Gerencia o Representación Legal.</w:t>
            </w:r>
          </w:p>
          <w:p w14:paraId="0142A766" w14:textId="77777777" w:rsidR="006A3DBC" w:rsidRPr="000E6D86" w:rsidRDefault="006A3DBC" w:rsidP="005F4A92">
            <w:pPr>
              <w:spacing w:after="60"/>
              <w:jc w:val="both"/>
              <w:rPr>
                <w:rFonts w:cs="Arial"/>
                <w:sz w:val="18"/>
                <w:szCs w:val="18"/>
              </w:rPr>
            </w:pPr>
            <w:r w:rsidRPr="000E6D86">
              <w:rPr>
                <w:rFonts w:cs="Arial"/>
                <w:b/>
                <w:bCs/>
                <w:sz w:val="18"/>
                <w:szCs w:val="18"/>
              </w:rPr>
              <w:t>OPR</w:t>
            </w:r>
            <w:r w:rsidRPr="000E6D86">
              <w:rPr>
                <w:rFonts w:cs="Arial"/>
                <w:sz w:val="18"/>
                <w:szCs w:val="18"/>
              </w:rPr>
              <w:t>:</w:t>
            </w:r>
          </w:p>
          <w:p w14:paraId="751CB65D" w14:textId="77777777" w:rsidR="006A3DBC" w:rsidRPr="000E6D86" w:rsidRDefault="006A3DBC" w:rsidP="005F4A92">
            <w:pPr>
              <w:spacing w:after="60"/>
              <w:jc w:val="both"/>
              <w:rPr>
                <w:rFonts w:cs="Arial"/>
                <w:sz w:val="18"/>
                <w:szCs w:val="18"/>
              </w:rPr>
            </w:pPr>
            <w:r w:rsidRPr="000E6D86">
              <w:rPr>
                <w:rFonts w:cs="Arial"/>
                <w:sz w:val="18"/>
                <w:szCs w:val="18"/>
              </w:rPr>
              <w:t>Gerencia o Representación Legal.</w:t>
            </w:r>
          </w:p>
        </w:tc>
      </w:tr>
      <w:tr w:rsidR="000E6D86" w:rsidRPr="000E6D86" w14:paraId="355AEC9D" w14:textId="77777777" w:rsidTr="37B44ACB">
        <w:tc>
          <w:tcPr>
            <w:tcW w:w="567" w:type="dxa"/>
            <w:vAlign w:val="center"/>
          </w:tcPr>
          <w:p w14:paraId="61F1708B" w14:textId="77777777" w:rsidR="006A3DBC" w:rsidRPr="000E6D86" w:rsidRDefault="006A3DBC" w:rsidP="005F4A92">
            <w:pPr>
              <w:spacing w:after="60"/>
              <w:rPr>
                <w:rFonts w:cs="Arial"/>
                <w:sz w:val="18"/>
                <w:szCs w:val="18"/>
              </w:rPr>
            </w:pPr>
            <w:r w:rsidRPr="000E6D86">
              <w:rPr>
                <w:rFonts w:cs="Arial"/>
                <w:sz w:val="18"/>
                <w:szCs w:val="18"/>
              </w:rPr>
              <w:t>5.3</w:t>
            </w:r>
          </w:p>
        </w:tc>
        <w:tc>
          <w:tcPr>
            <w:tcW w:w="4421" w:type="dxa"/>
            <w:vAlign w:val="center"/>
          </w:tcPr>
          <w:p w14:paraId="0677757E" w14:textId="77777777" w:rsidR="006A3DBC" w:rsidRPr="000E6D86" w:rsidRDefault="006A3DBC" w:rsidP="005F4A92">
            <w:pPr>
              <w:spacing w:after="60"/>
              <w:jc w:val="both"/>
              <w:rPr>
                <w:rFonts w:cs="Arial"/>
                <w:sz w:val="18"/>
                <w:szCs w:val="18"/>
              </w:rPr>
            </w:pPr>
            <w:r w:rsidRPr="000E6D86">
              <w:rPr>
                <w:rFonts w:cs="Arial"/>
                <w:sz w:val="18"/>
                <w:szCs w:val="18"/>
              </w:rPr>
              <w:t>Reunida la información necesaria por parte de los responsables de la investigación y resolución, se procede a preparar la formalización de la respuesta.</w:t>
            </w:r>
          </w:p>
        </w:tc>
        <w:tc>
          <w:tcPr>
            <w:tcW w:w="3870" w:type="dxa"/>
            <w:vMerge/>
            <w:vAlign w:val="center"/>
          </w:tcPr>
          <w:p w14:paraId="2FE312F4" w14:textId="77777777" w:rsidR="006A3DBC" w:rsidRPr="000E6D86" w:rsidRDefault="006A3DBC" w:rsidP="005F4A92">
            <w:pPr>
              <w:spacing w:after="60"/>
              <w:rPr>
                <w:rFonts w:cs="Arial"/>
                <w:sz w:val="18"/>
                <w:szCs w:val="18"/>
              </w:rPr>
            </w:pPr>
          </w:p>
        </w:tc>
      </w:tr>
      <w:tr w:rsidR="000E6D86" w:rsidRPr="000E6D86" w14:paraId="74A0E1ED" w14:textId="77777777" w:rsidTr="37B44ACB">
        <w:tc>
          <w:tcPr>
            <w:tcW w:w="8858" w:type="dxa"/>
            <w:gridSpan w:val="3"/>
            <w:vAlign w:val="center"/>
          </w:tcPr>
          <w:p w14:paraId="7C3411EE" w14:textId="77777777" w:rsidR="006A3DBC" w:rsidRPr="000E6D86" w:rsidRDefault="006A3DBC" w:rsidP="00411720">
            <w:pPr>
              <w:pStyle w:val="Prrafodelista"/>
              <w:numPr>
                <w:ilvl w:val="0"/>
                <w:numId w:val="65"/>
              </w:numPr>
              <w:spacing w:after="60"/>
              <w:contextualSpacing w:val="0"/>
              <w:rPr>
                <w:rFonts w:cs="Arial"/>
                <w:b/>
                <w:bCs/>
                <w:i/>
                <w:iCs/>
                <w:sz w:val="18"/>
                <w:szCs w:val="18"/>
              </w:rPr>
            </w:pPr>
            <w:r w:rsidRPr="000E6D86">
              <w:rPr>
                <w:rFonts w:cs="Arial"/>
                <w:b/>
                <w:bCs/>
                <w:i/>
                <w:iCs/>
                <w:sz w:val="18"/>
                <w:szCs w:val="18"/>
              </w:rPr>
              <w:t>Formalización de Respuesta</w:t>
            </w:r>
          </w:p>
        </w:tc>
      </w:tr>
      <w:tr w:rsidR="000E6D86" w:rsidRPr="000E6D86" w14:paraId="46C87D55" w14:textId="77777777" w:rsidTr="37B44ACB">
        <w:tc>
          <w:tcPr>
            <w:tcW w:w="567" w:type="dxa"/>
            <w:vAlign w:val="center"/>
          </w:tcPr>
          <w:p w14:paraId="5B0834B6" w14:textId="77777777" w:rsidR="006A3DBC" w:rsidRPr="000E6D86" w:rsidRDefault="006A3DBC" w:rsidP="005F4A92">
            <w:pPr>
              <w:spacing w:after="60"/>
              <w:rPr>
                <w:rFonts w:cs="Arial"/>
                <w:sz w:val="18"/>
                <w:szCs w:val="18"/>
              </w:rPr>
            </w:pPr>
            <w:r w:rsidRPr="000E6D86">
              <w:rPr>
                <w:rFonts w:cs="Arial"/>
                <w:sz w:val="18"/>
                <w:szCs w:val="18"/>
              </w:rPr>
              <w:lastRenderedPageBreak/>
              <w:t>6.1</w:t>
            </w:r>
          </w:p>
        </w:tc>
        <w:tc>
          <w:tcPr>
            <w:tcW w:w="4421" w:type="dxa"/>
            <w:vAlign w:val="center"/>
          </w:tcPr>
          <w:p w14:paraId="64DB0E72" w14:textId="77777777" w:rsidR="006A3DBC" w:rsidRPr="000E6D86" w:rsidRDefault="006A3DBC" w:rsidP="005F4A92">
            <w:pPr>
              <w:spacing w:after="60"/>
              <w:jc w:val="both"/>
              <w:rPr>
                <w:rFonts w:cs="Arial"/>
                <w:sz w:val="18"/>
                <w:szCs w:val="18"/>
              </w:rPr>
            </w:pPr>
            <w:r w:rsidRPr="000E6D86">
              <w:rPr>
                <w:rFonts w:cs="Arial"/>
                <w:sz w:val="18"/>
                <w:szCs w:val="18"/>
              </w:rPr>
              <w:t xml:space="preserve">La respuesta se prepara utilizando el formato oficial de respuesta (excepción de chat en tiempo real y redes sociales). </w:t>
            </w:r>
          </w:p>
        </w:tc>
        <w:tc>
          <w:tcPr>
            <w:tcW w:w="3870" w:type="dxa"/>
            <w:vMerge w:val="restart"/>
            <w:vAlign w:val="center"/>
          </w:tcPr>
          <w:p w14:paraId="42C60D92" w14:textId="77777777" w:rsidR="006A3DBC" w:rsidRPr="000E6D86" w:rsidRDefault="006A3DBC" w:rsidP="005F4A92">
            <w:pPr>
              <w:spacing w:after="60"/>
              <w:rPr>
                <w:rFonts w:cs="Arial"/>
                <w:sz w:val="18"/>
                <w:szCs w:val="18"/>
              </w:rPr>
            </w:pPr>
            <w:r w:rsidRPr="000E6D86">
              <w:rPr>
                <w:rFonts w:cs="Arial"/>
                <w:b/>
                <w:bCs/>
                <w:i/>
                <w:iCs/>
                <w:sz w:val="18"/>
                <w:szCs w:val="18"/>
              </w:rPr>
              <w:t>UEP</w:t>
            </w:r>
            <w:r w:rsidRPr="000E6D86">
              <w:rPr>
                <w:rFonts w:cs="Arial"/>
                <w:sz w:val="18"/>
                <w:szCs w:val="18"/>
              </w:rPr>
              <w:t>:</w:t>
            </w:r>
          </w:p>
          <w:p w14:paraId="430371EE" w14:textId="77777777" w:rsidR="006A3DBC" w:rsidRPr="000E6D86" w:rsidRDefault="006A3DBC" w:rsidP="005F4A92">
            <w:pPr>
              <w:spacing w:after="60"/>
              <w:rPr>
                <w:rFonts w:cs="Arial"/>
                <w:sz w:val="18"/>
                <w:szCs w:val="18"/>
              </w:rPr>
            </w:pPr>
            <w:r w:rsidRPr="000E6D86">
              <w:rPr>
                <w:rFonts w:cs="Arial"/>
                <w:sz w:val="18"/>
                <w:szCs w:val="18"/>
              </w:rPr>
              <w:t>Coordinador Nacional.</w:t>
            </w:r>
          </w:p>
          <w:p w14:paraId="763693C5" w14:textId="77777777" w:rsidR="006A3DBC" w:rsidRPr="000E6D86" w:rsidRDefault="006A3DBC" w:rsidP="005F4A92">
            <w:pPr>
              <w:spacing w:after="60"/>
              <w:rPr>
                <w:rFonts w:cs="Arial"/>
                <w:sz w:val="18"/>
                <w:szCs w:val="18"/>
              </w:rPr>
            </w:pPr>
            <w:r w:rsidRPr="000E6D86">
              <w:rPr>
                <w:rFonts w:cs="Arial"/>
                <w:sz w:val="18"/>
                <w:szCs w:val="18"/>
              </w:rPr>
              <w:t>Responsable de SIG.</w:t>
            </w:r>
          </w:p>
          <w:p w14:paraId="26CFE461" w14:textId="77777777" w:rsidR="006A3DBC" w:rsidRPr="000E6D86" w:rsidRDefault="006A3DBC" w:rsidP="005F4A92">
            <w:pPr>
              <w:spacing w:after="60"/>
              <w:rPr>
                <w:rFonts w:cs="Arial"/>
                <w:sz w:val="18"/>
                <w:szCs w:val="18"/>
              </w:rPr>
            </w:pPr>
            <w:r w:rsidRPr="000E6D86">
              <w:rPr>
                <w:rFonts w:cs="Arial"/>
                <w:sz w:val="18"/>
                <w:szCs w:val="18"/>
              </w:rPr>
              <w:t>Responsable de Componente Involucrado.</w:t>
            </w:r>
          </w:p>
          <w:p w14:paraId="107921CD" w14:textId="77777777" w:rsidR="006A3DBC" w:rsidRPr="000E6D86" w:rsidRDefault="006A3DBC" w:rsidP="005F4A92">
            <w:pPr>
              <w:spacing w:after="60"/>
              <w:rPr>
                <w:rFonts w:cs="Arial"/>
                <w:b/>
                <w:bCs/>
                <w:sz w:val="18"/>
                <w:szCs w:val="18"/>
              </w:rPr>
            </w:pPr>
            <w:r w:rsidRPr="000E6D86">
              <w:rPr>
                <w:rFonts w:cs="Arial"/>
                <w:b/>
                <w:bCs/>
                <w:sz w:val="18"/>
                <w:szCs w:val="18"/>
              </w:rPr>
              <w:t>Regional:</w:t>
            </w:r>
          </w:p>
          <w:p w14:paraId="121270AB" w14:textId="77777777" w:rsidR="006A3DBC" w:rsidRPr="000E6D86" w:rsidRDefault="006A3DBC" w:rsidP="005F4A92">
            <w:pPr>
              <w:spacing w:after="60"/>
              <w:rPr>
                <w:rFonts w:cs="Arial"/>
                <w:sz w:val="18"/>
                <w:szCs w:val="18"/>
              </w:rPr>
            </w:pPr>
            <w:r w:rsidRPr="000E6D86">
              <w:rPr>
                <w:rFonts w:cs="Arial"/>
                <w:sz w:val="18"/>
                <w:szCs w:val="18"/>
              </w:rPr>
              <w:t>Coordinador Oficina Regional.</w:t>
            </w:r>
          </w:p>
          <w:p w14:paraId="687916A0" w14:textId="77777777" w:rsidR="006A3DBC" w:rsidRPr="000E6D86" w:rsidRDefault="006A3DBC" w:rsidP="005F4A92">
            <w:pPr>
              <w:spacing w:after="60"/>
              <w:rPr>
                <w:rFonts w:cs="Arial"/>
                <w:sz w:val="18"/>
                <w:szCs w:val="18"/>
              </w:rPr>
            </w:pPr>
            <w:r w:rsidRPr="000E6D86">
              <w:rPr>
                <w:rFonts w:cs="Arial"/>
                <w:b/>
                <w:bCs/>
                <w:i/>
                <w:iCs/>
                <w:sz w:val="18"/>
                <w:szCs w:val="18"/>
              </w:rPr>
              <w:t>PSDE</w:t>
            </w:r>
            <w:r w:rsidRPr="000E6D86">
              <w:rPr>
                <w:rFonts w:cs="Arial"/>
                <w:sz w:val="18"/>
                <w:szCs w:val="18"/>
              </w:rPr>
              <w:t>:</w:t>
            </w:r>
          </w:p>
          <w:p w14:paraId="0865F569" w14:textId="77777777" w:rsidR="006A3DBC" w:rsidRPr="000E6D86" w:rsidRDefault="006A3DBC" w:rsidP="005F4A92">
            <w:pPr>
              <w:spacing w:after="60"/>
              <w:rPr>
                <w:rFonts w:cs="Arial"/>
                <w:sz w:val="18"/>
                <w:szCs w:val="18"/>
              </w:rPr>
            </w:pPr>
            <w:r w:rsidRPr="000E6D86">
              <w:rPr>
                <w:rFonts w:cs="Arial"/>
                <w:sz w:val="18"/>
                <w:szCs w:val="18"/>
              </w:rPr>
              <w:t>Gerencia o Representación Legal.</w:t>
            </w:r>
          </w:p>
          <w:p w14:paraId="4A84653B" w14:textId="77777777" w:rsidR="006A3DBC" w:rsidRPr="000E6D86" w:rsidRDefault="006A3DBC" w:rsidP="005F4A92">
            <w:pPr>
              <w:spacing w:after="60"/>
              <w:rPr>
                <w:rFonts w:cs="Arial"/>
                <w:sz w:val="18"/>
                <w:szCs w:val="18"/>
              </w:rPr>
            </w:pPr>
            <w:r w:rsidRPr="000E6D86">
              <w:rPr>
                <w:rFonts w:cs="Arial"/>
                <w:b/>
                <w:bCs/>
                <w:i/>
                <w:iCs/>
                <w:sz w:val="18"/>
                <w:szCs w:val="18"/>
              </w:rPr>
              <w:t>OPR</w:t>
            </w:r>
            <w:r w:rsidRPr="000E6D86">
              <w:rPr>
                <w:rFonts w:cs="Arial"/>
                <w:sz w:val="18"/>
                <w:szCs w:val="18"/>
              </w:rPr>
              <w:t>:</w:t>
            </w:r>
          </w:p>
          <w:p w14:paraId="542C6917" w14:textId="77777777" w:rsidR="006A3DBC" w:rsidRPr="000E6D86" w:rsidRDefault="006A3DBC" w:rsidP="005F4A92">
            <w:pPr>
              <w:spacing w:after="60"/>
              <w:rPr>
                <w:rFonts w:cs="Arial"/>
                <w:sz w:val="18"/>
                <w:szCs w:val="18"/>
              </w:rPr>
            </w:pPr>
            <w:r w:rsidRPr="000E6D86">
              <w:rPr>
                <w:rFonts w:cs="Arial"/>
                <w:sz w:val="18"/>
                <w:szCs w:val="18"/>
              </w:rPr>
              <w:t>Gerencia o Representación Legal</w:t>
            </w:r>
          </w:p>
        </w:tc>
      </w:tr>
      <w:tr w:rsidR="000E6D86" w:rsidRPr="000E6D86" w14:paraId="0ABFCF24" w14:textId="77777777" w:rsidTr="37B44ACB">
        <w:tc>
          <w:tcPr>
            <w:tcW w:w="567" w:type="dxa"/>
            <w:vAlign w:val="center"/>
          </w:tcPr>
          <w:p w14:paraId="147D07E3" w14:textId="77777777" w:rsidR="006A3DBC" w:rsidRPr="000E6D86" w:rsidRDefault="006A3DBC" w:rsidP="005F4A92">
            <w:pPr>
              <w:spacing w:after="60"/>
              <w:rPr>
                <w:rFonts w:cs="Arial"/>
                <w:sz w:val="18"/>
                <w:szCs w:val="18"/>
              </w:rPr>
            </w:pPr>
            <w:r w:rsidRPr="000E6D86">
              <w:rPr>
                <w:rFonts w:cs="Arial"/>
                <w:sz w:val="18"/>
                <w:szCs w:val="18"/>
              </w:rPr>
              <w:t>6.2</w:t>
            </w:r>
          </w:p>
        </w:tc>
        <w:tc>
          <w:tcPr>
            <w:tcW w:w="4421" w:type="dxa"/>
            <w:vAlign w:val="center"/>
          </w:tcPr>
          <w:p w14:paraId="1BA4596C" w14:textId="77777777" w:rsidR="006A3DBC" w:rsidRPr="000E6D86" w:rsidRDefault="006A3DBC" w:rsidP="005F4A92">
            <w:pPr>
              <w:spacing w:after="60"/>
              <w:jc w:val="both"/>
              <w:rPr>
                <w:rFonts w:cs="Arial"/>
                <w:sz w:val="18"/>
                <w:szCs w:val="18"/>
              </w:rPr>
            </w:pPr>
            <w:r w:rsidRPr="000E6D86">
              <w:rPr>
                <w:rFonts w:cs="Arial"/>
                <w:sz w:val="18"/>
                <w:szCs w:val="18"/>
              </w:rPr>
              <w:t xml:space="preserve">Niveles del MCQRS, mediante Coordinadores o Representantes Legales, coordinan por escrito el resultado de la investigación y respuesta. </w:t>
            </w:r>
          </w:p>
          <w:p w14:paraId="0B07426E" w14:textId="77777777" w:rsidR="006A3DBC" w:rsidRPr="000E6D86" w:rsidRDefault="006A3DBC" w:rsidP="005F4A92">
            <w:pPr>
              <w:spacing w:after="60"/>
              <w:jc w:val="both"/>
              <w:rPr>
                <w:rFonts w:cs="Arial"/>
                <w:sz w:val="18"/>
                <w:szCs w:val="18"/>
              </w:rPr>
            </w:pPr>
            <w:r w:rsidRPr="000E6D86">
              <w:rPr>
                <w:rFonts w:cs="Arial"/>
                <w:sz w:val="18"/>
                <w:szCs w:val="18"/>
              </w:rPr>
              <w:t>También se incluye formalización de respuesta para los casos definidos como no procedentes.</w:t>
            </w:r>
          </w:p>
        </w:tc>
        <w:tc>
          <w:tcPr>
            <w:tcW w:w="3870" w:type="dxa"/>
            <w:vMerge/>
            <w:vAlign w:val="center"/>
          </w:tcPr>
          <w:p w14:paraId="308C204C" w14:textId="77777777" w:rsidR="006A3DBC" w:rsidRPr="000E6D86" w:rsidRDefault="006A3DBC" w:rsidP="005F4A92">
            <w:pPr>
              <w:spacing w:after="60"/>
              <w:rPr>
                <w:rFonts w:cs="Arial"/>
                <w:sz w:val="18"/>
                <w:szCs w:val="18"/>
              </w:rPr>
            </w:pPr>
          </w:p>
        </w:tc>
      </w:tr>
      <w:tr w:rsidR="000E6D86" w:rsidRPr="000E6D86" w14:paraId="22137F44" w14:textId="77777777" w:rsidTr="37B44ACB">
        <w:tc>
          <w:tcPr>
            <w:tcW w:w="567" w:type="dxa"/>
            <w:vAlign w:val="center"/>
          </w:tcPr>
          <w:p w14:paraId="7B7A4F26" w14:textId="77777777" w:rsidR="006A3DBC" w:rsidRPr="000E6D86" w:rsidRDefault="006A3DBC" w:rsidP="005F4A92">
            <w:pPr>
              <w:spacing w:after="60"/>
              <w:rPr>
                <w:rFonts w:cs="Arial"/>
                <w:sz w:val="18"/>
                <w:szCs w:val="18"/>
              </w:rPr>
            </w:pPr>
            <w:r w:rsidRPr="000E6D86">
              <w:rPr>
                <w:rFonts w:cs="Arial"/>
                <w:sz w:val="18"/>
                <w:szCs w:val="18"/>
              </w:rPr>
              <w:t>6.3</w:t>
            </w:r>
          </w:p>
        </w:tc>
        <w:tc>
          <w:tcPr>
            <w:tcW w:w="4421" w:type="dxa"/>
            <w:vAlign w:val="center"/>
          </w:tcPr>
          <w:p w14:paraId="1E3B520D" w14:textId="77777777" w:rsidR="006A3DBC" w:rsidRPr="000E6D86" w:rsidRDefault="006A3DBC" w:rsidP="005F4A92">
            <w:pPr>
              <w:spacing w:after="60"/>
              <w:jc w:val="both"/>
              <w:rPr>
                <w:rFonts w:cs="Arial"/>
                <w:sz w:val="18"/>
                <w:szCs w:val="18"/>
              </w:rPr>
            </w:pPr>
            <w:r w:rsidRPr="000E6D86">
              <w:rPr>
                <w:rFonts w:cs="Arial"/>
                <w:sz w:val="18"/>
                <w:szCs w:val="18"/>
              </w:rPr>
              <w:t>La respuesta se realizará utilizando el canal de presentación</w:t>
            </w:r>
          </w:p>
        </w:tc>
        <w:tc>
          <w:tcPr>
            <w:tcW w:w="3870" w:type="dxa"/>
            <w:vAlign w:val="center"/>
          </w:tcPr>
          <w:p w14:paraId="64C79044" w14:textId="77777777" w:rsidR="006A3DBC" w:rsidRPr="000E6D86" w:rsidRDefault="006A3DBC" w:rsidP="005F4A92">
            <w:pPr>
              <w:spacing w:after="60"/>
              <w:jc w:val="both"/>
              <w:rPr>
                <w:rFonts w:cs="Arial"/>
                <w:sz w:val="18"/>
                <w:szCs w:val="18"/>
              </w:rPr>
            </w:pPr>
            <w:r w:rsidRPr="000E6D86">
              <w:rPr>
                <w:rFonts w:cs="Arial"/>
                <w:sz w:val="18"/>
                <w:szCs w:val="18"/>
              </w:rPr>
              <w:t>Asistente Administrativa Oficina Central y Regionales del Proyecto.</w:t>
            </w:r>
          </w:p>
          <w:p w14:paraId="56F66ED9" w14:textId="77777777" w:rsidR="006A3DBC" w:rsidRPr="000E6D86" w:rsidRDefault="006A3DBC" w:rsidP="005F4A92">
            <w:pPr>
              <w:spacing w:after="60"/>
              <w:jc w:val="both"/>
              <w:rPr>
                <w:rFonts w:cs="Arial"/>
                <w:sz w:val="18"/>
                <w:szCs w:val="18"/>
              </w:rPr>
            </w:pPr>
            <w:r w:rsidRPr="000E6D86">
              <w:rPr>
                <w:rFonts w:cs="Arial"/>
                <w:sz w:val="18"/>
                <w:szCs w:val="18"/>
              </w:rPr>
              <w:t>Web Máster.</w:t>
            </w:r>
          </w:p>
          <w:p w14:paraId="4707551F" w14:textId="77777777" w:rsidR="006A3DBC" w:rsidRPr="000E6D86" w:rsidRDefault="006A3DBC" w:rsidP="005F4A92">
            <w:pPr>
              <w:spacing w:after="60"/>
              <w:jc w:val="both"/>
              <w:rPr>
                <w:rFonts w:cs="Arial"/>
                <w:sz w:val="18"/>
                <w:szCs w:val="18"/>
              </w:rPr>
            </w:pPr>
            <w:r w:rsidRPr="000E6D86">
              <w:rPr>
                <w:rFonts w:cs="Arial"/>
                <w:sz w:val="18"/>
                <w:szCs w:val="18"/>
              </w:rPr>
              <w:t>Enlace institucional nombrado en los PSDEs.</w:t>
            </w:r>
          </w:p>
          <w:p w14:paraId="7F595B60" w14:textId="77777777" w:rsidR="006A3DBC" w:rsidRPr="000E6D86" w:rsidRDefault="006A3DBC" w:rsidP="005F4A92">
            <w:pPr>
              <w:spacing w:after="60"/>
              <w:jc w:val="both"/>
              <w:rPr>
                <w:rFonts w:cs="Arial"/>
                <w:sz w:val="18"/>
                <w:szCs w:val="18"/>
              </w:rPr>
            </w:pPr>
            <w:r w:rsidRPr="000E6D86">
              <w:rPr>
                <w:rFonts w:cs="Arial"/>
                <w:sz w:val="18"/>
                <w:szCs w:val="18"/>
              </w:rPr>
              <w:t>Responsables de ventanas de comunicación nombrados en OPR.</w:t>
            </w:r>
          </w:p>
        </w:tc>
      </w:tr>
      <w:tr w:rsidR="000E6D86" w:rsidRPr="000E6D86" w14:paraId="43A98F34" w14:textId="77777777" w:rsidTr="37B44ACB">
        <w:tc>
          <w:tcPr>
            <w:tcW w:w="8858" w:type="dxa"/>
            <w:gridSpan w:val="3"/>
            <w:vAlign w:val="center"/>
          </w:tcPr>
          <w:p w14:paraId="61062440" w14:textId="77777777" w:rsidR="006A3DBC" w:rsidRPr="000E6D86" w:rsidRDefault="006A3DBC" w:rsidP="00411720">
            <w:pPr>
              <w:pStyle w:val="Prrafodelista"/>
              <w:numPr>
                <w:ilvl w:val="0"/>
                <w:numId w:val="65"/>
              </w:numPr>
              <w:spacing w:after="60"/>
              <w:contextualSpacing w:val="0"/>
              <w:rPr>
                <w:rFonts w:cs="Arial"/>
                <w:b/>
                <w:bCs/>
                <w:sz w:val="18"/>
                <w:szCs w:val="18"/>
              </w:rPr>
            </w:pPr>
            <w:r w:rsidRPr="000E6D86">
              <w:rPr>
                <w:rFonts w:cs="Arial"/>
                <w:b/>
                <w:bCs/>
                <w:sz w:val="18"/>
                <w:szCs w:val="18"/>
              </w:rPr>
              <w:t>Seguimiento, Apelación y Cierre</w:t>
            </w:r>
          </w:p>
        </w:tc>
      </w:tr>
      <w:tr w:rsidR="000E6D86" w:rsidRPr="000E6D86" w14:paraId="06AE61EA" w14:textId="77777777" w:rsidTr="37B44ACB">
        <w:tc>
          <w:tcPr>
            <w:tcW w:w="567" w:type="dxa"/>
            <w:vAlign w:val="center"/>
          </w:tcPr>
          <w:p w14:paraId="5AE7A391" w14:textId="77777777" w:rsidR="006A3DBC" w:rsidRPr="000E6D86" w:rsidRDefault="006A3DBC" w:rsidP="005F4A92">
            <w:pPr>
              <w:spacing w:after="60"/>
              <w:rPr>
                <w:rFonts w:cs="Arial"/>
                <w:sz w:val="18"/>
                <w:szCs w:val="18"/>
              </w:rPr>
            </w:pPr>
            <w:r w:rsidRPr="000E6D86">
              <w:rPr>
                <w:rFonts w:cs="Arial"/>
                <w:sz w:val="18"/>
                <w:szCs w:val="18"/>
              </w:rPr>
              <w:t>7.1</w:t>
            </w:r>
          </w:p>
        </w:tc>
        <w:tc>
          <w:tcPr>
            <w:tcW w:w="4421" w:type="dxa"/>
            <w:vAlign w:val="center"/>
          </w:tcPr>
          <w:p w14:paraId="037ADE2D" w14:textId="77777777" w:rsidR="006A3DBC" w:rsidRPr="000E6D86" w:rsidRDefault="006A3DBC" w:rsidP="005F4A92">
            <w:pPr>
              <w:spacing w:after="60"/>
              <w:jc w:val="both"/>
              <w:rPr>
                <w:rFonts w:cs="Arial"/>
                <w:sz w:val="18"/>
                <w:szCs w:val="18"/>
              </w:rPr>
            </w:pPr>
            <w:r w:rsidRPr="000E6D86">
              <w:rPr>
                <w:rFonts w:cs="Arial"/>
                <w:sz w:val="18"/>
                <w:szCs w:val="18"/>
              </w:rPr>
              <w:t>Seguimiento mediante contacto al usuario o reclamante 15 días después de brindar la respuesta para los casos de alta y mediana sensibilidad. En los casos de baja sensibilidad se establece de forma inmediata la satisfacción y se procede al cierre del proceso.</w:t>
            </w:r>
          </w:p>
        </w:tc>
        <w:tc>
          <w:tcPr>
            <w:tcW w:w="3870" w:type="dxa"/>
            <w:vAlign w:val="center"/>
          </w:tcPr>
          <w:p w14:paraId="1BAA186D" w14:textId="77777777" w:rsidR="006A3DBC" w:rsidRPr="000E6D86" w:rsidRDefault="006A3DBC" w:rsidP="005F4A92">
            <w:pPr>
              <w:spacing w:after="60"/>
              <w:jc w:val="both"/>
              <w:rPr>
                <w:rFonts w:cs="Arial"/>
                <w:sz w:val="18"/>
                <w:szCs w:val="18"/>
              </w:rPr>
            </w:pPr>
            <w:r w:rsidRPr="000E6D86">
              <w:rPr>
                <w:rFonts w:cs="Arial"/>
                <w:sz w:val="18"/>
                <w:szCs w:val="18"/>
              </w:rPr>
              <w:t>Asistente Administrativa Oficina Central y Regionales del Proyecto.</w:t>
            </w:r>
          </w:p>
          <w:p w14:paraId="6777CA4A" w14:textId="77777777" w:rsidR="006A3DBC" w:rsidRPr="000E6D86" w:rsidRDefault="006A3DBC" w:rsidP="005F4A92">
            <w:pPr>
              <w:spacing w:after="60"/>
              <w:jc w:val="both"/>
              <w:rPr>
                <w:rFonts w:cs="Arial"/>
                <w:sz w:val="18"/>
                <w:szCs w:val="18"/>
              </w:rPr>
            </w:pPr>
            <w:r w:rsidRPr="000E6D86">
              <w:rPr>
                <w:rFonts w:cs="Arial"/>
                <w:sz w:val="18"/>
                <w:szCs w:val="18"/>
              </w:rPr>
              <w:t>Web Máster.</w:t>
            </w:r>
          </w:p>
          <w:p w14:paraId="799857AA" w14:textId="77777777" w:rsidR="006A3DBC" w:rsidRPr="000E6D86" w:rsidRDefault="006A3DBC" w:rsidP="005F4A92">
            <w:pPr>
              <w:spacing w:after="60"/>
              <w:jc w:val="both"/>
              <w:rPr>
                <w:rFonts w:cs="Arial"/>
                <w:sz w:val="18"/>
                <w:szCs w:val="18"/>
              </w:rPr>
            </w:pPr>
            <w:r w:rsidRPr="000E6D86">
              <w:rPr>
                <w:rFonts w:cs="Arial"/>
                <w:sz w:val="18"/>
                <w:szCs w:val="18"/>
              </w:rPr>
              <w:t>Enlace institucional nombrado en los PSDEs.</w:t>
            </w:r>
          </w:p>
          <w:p w14:paraId="64680C57" w14:textId="77777777" w:rsidR="006A3DBC" w:rsidRPr="000E6D86" w:rsidRDefault="006A3DBC" w:rsidP="005F4A92">
            <w:pPr>
              <w:spacing w:after="60"/>
              <w:jc w:val="both"/>
              <w:rPr>
                <w:rFonts w:cs="Arial"/>
                <w:sz w:val="18"/>
                <w:szCs w:val="18"/>
              </w:rPr>
            </w:pPr>
            <w:r w:rsidRPr="000E6D86">
              <w:rPr>
                <w:rFonts w:cs="Arial"/>
                <w:sz w:val="18"/>
                <w:szCs w:val="18"/>
              </w:rPr>
              <w:t>Responsables de ventanas de comunicación nombrados en OPR.</w:t>
            </w:r>
          </w:p>
        </w:tc>
      </w:tr>
      <w:tr w:rsidR="000E6D86" w:rsidRPr="000E6D86" w14:paraId="1AC9EC45" w14:textId="77777777" w:rsidTr="37B44ACB">
        <w:tc>
          <w:tcPr>
            <w:tcW w:w="567" w:type="dxa"/>
            <w:vAlign w:val="center"/>
          </w:tcPr>
          <w:p w14:paraId="6AEF0E98" w14:textId="77777777" w:rsidR="006A3DBC" w:rsidRPr="000E6D86" w:rsidRDefault="006A3DBC" w:rsidP="005F4A92">
            <w:pPr>
              <w:spacing w:after="60"/>
              <w:rPr>
                <w:rFonts w:cs="Arial"/>
                <w:sz w:val="18"/>
                <w:szCs w:val="18"/>
              </w:rPr>
            </w:pPr>
            <w:r w:rsidRPr="000E6D86">
              <w:rPr>
                <w:rFonts w:cs="Arial"/>
                <w:sz w:val="18"/>
                <w:szCs w:val="18"/>
              </w:rPr>
              <w:t>7.2</w:t>
            </w:r>
          </w:p>
        </w:tc>
        <w:tc>
          <w:tcPr>
            <w:tcW w:w="4421" w:type="dxa"/>
            <w:vAlign w:val="center"/>
          </w:tcPr>
          <w:p w14:paraId="700FCD16" w14:textId="77777777" w:rsidR="006A3DBC" w:rsidRPr="000E6D86" w:rsidRDefault="006A3DBC" w:rsidP="005F4A92">
            <w:pPr>
              <w:spacing w:after="60"/>
              <w:jc w:val="both"/>
              <w:rPr>
                <w:rFonts w:cs="Arial"/>
                <w:sz w:val="18"/>
                <w:szCs w:val="18"/>
              </w:rPr>
            </w:pPr>
            <w:r w:rsidRPr="000E6D86">
              <w:rPr>
                <w:rFonts w:cs="Arial"/>
                <w:sz w:val="18"/>
                <w:szCs w:val="18"/>
              </w:rPr>
              <w:t xml:space="preserve">Existen posibilidades de presentar una apelación en este caso el usuario del MCQRS, puede a partir de la fecha de recibir la respuesta presentar una apelación por escrito (carta) ante el Coordinador Nacional del Proyecto. </w:t>
            </w:r>
          </w:p>
        </w:tc>
        <w:tc>
          <w:tcPr>
            <w:tcW w:w="3870" w:type="dxa"/>
            <w:vAlign w:val="center"/>
          </w:tcPr>
          <w:p w14:paraId="293BA62D" w14:textId="77777777" w:rsidR="006A3DBC" w:rsidRPr="000E6D86" w:rsidRDefault="006A3DBC" w:rsidP="005F4A92">
            <w:pPr>
              <w:spacing w:after="60"/>
              <w:jc w:val="both"/>
              <w:rPr>
                <w:rFonts w:cs="Arial"/>
                <w:sz w:val="18"/>
                <w:szCs w:val="18"/>
              </w:rPr>
            </w:pPr>
            <w:r w:rsidRPr="000E6D86">
              <w:rPr>
                <w:rFonts w:cs="Arial"/>
                <w:sz w:val="18"/>
                <w:szCs w:val="18"/>
              </w:rPr>
              <w:t>Usuario del MCQRS.</w:t>
            </w:r>
          </w:p>
          <w:p w14:paraId="7062D673" w14:textId="77777777" w:rsidR="006A3DBC" w:rsidRPr="000E6D86" w:rsidRDefault="006A3DBC" w:rsidP="005F4A92">
            <w:pPr>
              <w:spacing w:after="60"/>
              <w:jc w:val="both"/>
              <w:rPr>
                <w:rFonts w:cs="Arial"/>
                <w:sz w:val="18"/>
                <w:szCs w:val="18"/>
              </w:rPr>
            </w:pPr>
            <w:r w:rsidRPr="000E6D86">
              <w:rPr>
                <w:rFonts w:cs="Arial"/>
                <w:sz w:val="18"/>
                <w:szCs w:val="18"/>
              </w:rPr>
              <w:t>Coordinación Nacional.</w:t>
            </w:r>
          </w:p>
        </w:tc>
      </w:tr>
      <w:tr w:rsidR="000E6D86" w:rsidRPr="000E6D86" w14:paraId="4C3A057E" w14:textId="77777777" w:rsidTr="37B44ACB">
        <w:tc>
          <w:tcPr>
            <w:tcW w:w="8858" w:type="dxa"/>
            <w:gridSpan w:val="3"/>
            <w:vAlign w:val="center"/>
          </w:tcPr>
          <w:p w14:paraId="606CE27F" w14:textId="77777777" w:rsidR="006A3DBC" w:rsidRPr="000E6D86" w:rsidRDefault="006A3DBC" w:rsidP="00411720">
            <w:pPr>
              <w:pStyle w:val="Prrafodelista"/>
              <w:numPr>
                <w:ilvl w:val="0"/>
                <w:numId w:val="65"/>
              </w:numPr>
              <w:spacing w:after="60"/>
              <w:contextualSpacing w:val="0"/>
              <w:rPr>
                <w:rFonts w:cs="Arial"/>
                <w:b/>
                <w:bCs/>
                <w:i/>
                <w:iCs/>
                <w:sz w:val="18"/>
                <w:szCs w:val="18"/>
              </w:rPr>
            </w:pPr>
            <w:r w:rsidRPr="000E6D86">
              <w:rPr>
                <w:rFonts w:cs="Arial"/>
                <w:b/>
                <w:bCs/>
                <w:i/>
                <w:iCs/>
                <w:sz w:val="18"/>
                <w:szCs w:val="18"/>
              </w:rPr>
              <w:t>Informes y Reportes</w:t>
            </w:r>
          </w:p>
        </w:tc>
      </w:tr>
      <w:tr w:rsidR="000E6D86" w:rsidRPr="000E6D86" w14:paraId="433AC826" w14:textId="77777777" w:rsidTr="37B44ACB">
        <w:tc>
          <w:tcPr>
            <w:tcW w:w="567" w:type="dxa"/>
            <w:vAlign w:val="center"/>
          </w:tcPr>
          <w:p w14:paraId="68F18711" w14:textId="77777777" w:rsidR="006A3DBC" w:rsidRPr="000E6D86" w:rsidRDefault="006A3DBC" w:rsidP="005F4A92">
            <w:pPr>
              <w:spacing w:after="60"/>
              <w:rPr>
                <w:rFonts w:cs="Arial"/>
                <w:sz w:val="18"/>
                <w:szCs w:val="18"/>
              </w:rPr>
            </w:pPr>
            <w:r w:rsidRPr="000E6D86">
              <w:rPr>
                <w:rFonts w:cs="Arial"/>
                <w:sz w:val="18"/>
                <w:szCs w:val="18"/>
              </w:rPr>
              <w:t>8.1</w:t>
            </w:r>
          </w:p>
        </w:tc>
        <w:tc>
          <w:tcPr>
            <w:tcW w:w="4421" w:type="dxa"/>
            <w:vAlign w:val="center"/>
          </w:tcPr>
          <w:p w14:paraId="14D77E48" w14:textId="77777777" w:rsidR="006A3DBC" w:rsidRPr="000E6D86" w:rsidRDefault="006A3DBC" w:rsidP="005F4A92">
            <w:pPr>
              <w:spacing w:after="60"/>
              <w:jc w:val="both"/>
              <w:rPr>
                <w:rFonts w:cs="Arial"/>
                <w:sz w:val="18"/>
                <w:szCs w:val="18"/>
              </w:rPr>
            </w:pPr>
            <w:r w:rsidRPr="000E6D86">
              <w:rPr>
                <w:rFonts w:cs="Arial"/>
                <w:sz w:val="18"/>
                <w:szCs w:val="18"/>
              </w:rPr>
              <w:t>Reportes trimestrales por parte de los distintos canales sobre las consultas, quejas, reclamos y sugerencias recibidas.</w:t>
            </w:r>
          </w:p>
        </w:tc>
        <w:tc>
          <w:tcPr>
            <w:tcW w:w="3870" w:type="dxa"/>
            <w:vAlign w:val="center"/>
          </w:tcPr>
          <w:p w14:paraId="2A14413C" w14:textId="77777777" w:rsidR="006A3DBC" w:rsidRPr="000E6D86" w:rsidRDefault="006A3DBC" w:rsidP="005F4A92">
            <w:pPr>
              <w:spacing w:after="60"/>
              <w:rPr>
                <w:rFonts w:cs="Arial"/>
                <w:sz w:val="18"/>
                <w:szCs w:val="18"/>
              </w:rPr>
            </w:pPr>
            <w:r w:rsidRPr="000E6D86">
              <w:rPr>
                <w:rFonts w:cs="Arial"/>
                <w:sz w:val="18"/>
                <w:szCs w:val="18"/>
              </w:rPr>
              <w:t>Asistente Administrativa Oficina Central y Regionales del Proyecto.</w:t>
            </w:r>
          </w:p>
          <w:p w14:paraId="661773A9" w14:textId="77777777" w:rsidR="006A3DBC" w:rsidRPr="000E6D86" w:rsidRDefault="006A3DBC" w:rsidP="005F4A92">
            <w:pPr>
              <w:spacing w:after="60"/>
              <w:rPr>
                <w:rFonts w:cs="Arial"/>
                <w:sz w:val="18"/>
                <w:szCs w:val="18"/>
              </w:rPr>
            </w:pPr>
            <w:r w:rsidRPr="000E6D86">
              <w:rPr>
                <w:rFonts w:cs="Arial"/>
                <w:sz w:val="18"/>
                <w:szCs w:val="18"/>
              </w:rPr>
              <w:t>Web Máster.</w:t>
            </w:r>
          </w:p>
          <w:p w14:paraId="2CBD0492" w14:textId="77777777" w:rsidR="006A3DBC" w:rsidRPr="000E6D86" w:rsidRDefault="006A3DBC" w:rsidP="005F4A92">
            <w:pPr>
              <w:spacing w:after="60"/>
              <w:rPr>
                <w:rFonts w:cs="Arial"/>
                <w:sz w:val="18"/>
                <w:szCs w:val="18"/>
              </w:rPr>
            </w:pPr>
            <w:r w:rsidRPr="000E6D86">
              <w:rPr>
                <w:rFonts w:cs="Arial"/>
                <w:sz w:val="18"/>
                <w:szCs w:val="18"/>
              </w:rPr>
              <w:t>Enlace institucional nombrado en los PSDEs.</w:t>
            </w:r>
          </w:p>
          <w:p w14:paraId="6A651746" w14:textId="77777777" w:rsidR="006A3DBC" w:rsidRPr="000E6D86" w:rsidRDefault="006A3DBC" w:rsidP="005F4A92">
            <w:pPr>
              <w:spacing w:after="60"/>
              <w:rPr>
                <w:rFonts w:cs="Arial"/>
                <w:sz w:val="18"/>
                <w:szCs w:val="18"/>
              </w:rPr>
            </w:pPr>
            <w:r w:rsidRPr="000E6D86">
              <w:rPr>
                <w:rFonts w:cs="Arial"/>
                <w:sz w:val="18"/>
                <w:szCs w:val="18"/>
              </w:rPr>
              <w:t>Responsables de ventanas de comunicación nombrados en OPR.</w:t>
            </w:r>
          </w:p>
        </w:tc>
      </w:tr>
      <w:tr w:rsidR="000E6D86" w:rsidRPr="000E6D86" w14:paraId="6AED8DF4" w14:textId="77777777" w:rsidTr="37B44ACB">
        <w:tc>
          <w:tcPr>
            <w:tcW w:w="567" w:type="dxa"/>
            <w:vAlign w:val="center"/>
          </w:tcPr>
          <w:p w14:paraId="411D2CFA" w14:textId="77777777" w:rsidR="006A3DBC" w:rsidRPr="000E6D86" w:rsidRDefault="006A3DBC" w:rsidP="005F4A92">
            <w:pPr>
              <w:spacing w:after="60"/>
              <w:rPr>
                <w:rFonts w:cs="Arial"/>
                <w:sz w:val="18"/>
                <w:szCs w:val="18"/>
              </w:rPr>
            </w:pPr>
            <w:r w:rsidRPr="000E6D86">
              <w:rPr>
                <w:rFonts w:cs="Arial"/>
                <w:sz w:val="18"/>
                <w:szCs w:val="18"/>
              </w:rPr>
              <w:t>8.2</w:t>
            </w:r>
          </w:p>
        </w:tc>
        <w:tc>
          <w:tcPr>
            <w:tcW w:w="4421" w:type="dxa"/>
            <w:vAlign w:val="center"/>
          </w:tcPr>
          <w:p w14:paraId="17533E20" w14:textId="77777777" w:rsidR="006A3DBC" w:rsidRPr="000E6D86" w:rsidRDefault="006A3DBC" w:rsidP="005F4A92">
            <w:pPr>
              <w:spacing w:after="60"/>
              <w:jc w:val="both"/>
              <w:rPr>
                <w:rFonts w:cs="Arial"/>
                <w:sz w:val="18"/>
                <w:szCs w:val="18"/>
              </w:rPr>
            </w:pPr>
            <w:r w:rsidRPr="000E6D86">
              <w:rPr>
                <w:rFonts w:cs="Arial"/>
                <w:sz w:val="18"/>
                <w:szCs w:val="18"/>
              </w:rPr>
              <w:t>Recepción de reporte trimestral generados en cada nivel para consolidar la información.</w:t>
            </w:r>
          </w:p>
        </w:tc>
        <w:tc>
          <w:tcPr>
            <w:tcW w:w="3870" w:type="dxa"/>
            <w:vMerge w:val="restart"/>
            <w:vAlign w:val="center"/>
          </w:tcPr>
          <w:p w14:paraId="6F831A27" w14:textId="1C019795" w:rsidR="006A3DBC" w:rsidRPr="000E6D86" w:rsidRDefault="006A3DBC" w:rsidP="005F4A92">
            <w:pPr>
              <w:spacing w:after="60"/>
              <w:rPr>
                <w:rFonts w:cs="Arial"/>
                <w:sz w:val="18"/>
                <w:szCs w:val="18"/>
              </w:rPr>
            </w:pPr>
            <w:r w:rsidRPr="000E6D86">
              <w:rPr>
                <w:rFonts w:cs="Arial"/>
                <w:sz w:val="18"/>
                <w:szCs w:val="18"/>
              </w:rPr>
              <w:t xml:space="preserve">Equipo </w:t>
            </w:r>
            <w:r w:rsidR="00D76555" w:rsidRPr="000E6D86">
              <w:rPr>
                <w:rFonts w:cs="Arial"/>
                <w:sz w:val="18"/>
                <w:szCs w:val="18"/>
              </w:rPr>
              <w:t>Ambiental y Social del Proyecto</w:t>
            </w:r>
            <w:r w:rsidRPr="000E6D86">
              <w:rPr>
                <w:rFonts w:cs="Arial"/>
                <w:sz w:val="18"/>
                <w:szCs w:val="18"/>
              </w:rPr>
              <w:t>.</w:t>
            </w:r>
          </w:p>
          <w:p w14:paraId="138F43C8" w14:textId="77777777" w:rsidR="006A3DBC" w:rsidRPr="000E6D86" w:rsidRDefault="006A3DBC" w:rsidP="005F4A92">
            <w:pPr>
              <w:spacing w:after="60"/>
              <w:rPr>
                <w:rFonts w:cs="Arial"/>
                <w:sz w:val="18"/>
                <w:szCs w:val="18"/>
              </w:rPr>
            </w:pPr>
            <w:r w:rsidRPr="000E6D86">
              <w:rPr>
                <w:rFonts w:cs="Arial"/>
                <w:sz w:val="18"/>
                <w:szCs w:val="18"/>
              </w:rPr>
              <w:t>SIG (Encargada del Sistema de Información Gerencial).</w:t>
            </w:r>
          </w:p>
          <w:p w14:paraId="7A27FBA3" w14:textId="77777777" w:rsidR="006A3DBC" w:rsidRPr="000E6D86" w:rsidRDefault="006A3DBC" w:rsidP="005F4A92">
            <w:pPr>
              <w:spacing w:after="60"/>
              <w:rPr>
                <w:rFonts w:cs="Arial"/>
                <w:sz w:val="18"/>
                <w:szCs w:val="18"/>
              </w:rPr>
            </w:pPr>
          </w:p>
        </w:tc>
      </w:tr>
      <w:tr w:rsidR="000E6D86" w:rsidRPr="000E6D86" w14:paraId="46BCBB22" w14:textId="77777777" w:rsidTr="37B44ACB">
        <w:tc>
          <w:tcPr>
            <w:tcW w:w="567" w:type="dxa"/>
            <w:vAlign w:val="center"/>
          </w:tcPr>
          <w:p w14:paraId="366BBFA7" w14:textId="77777777" w:rsidR="006A3DBC" w:rsidRPr="000E6D86" w:rsidRDefault="006A3DBC" w:rsidP="005F4A92">
            <w:pPr>
              <w:spacing w:after="60"/>
              <w:rPr>
                <w:rFonts w:cs="Arial"/>
                <w:sz w:val="18"/>
                <w:szCs w:val="18"/>
              </w:rPr>
            </w:pPr>
            <w:r w:rsidRPr="000E6D86">
              <w:rPr>
                <w:rFonts w:cs="Arial"/>
                <w:sz w:val="18"/>
                <w:szCs w:val="18"/>
              </w:rPr>
              <w:t>8.3</w:t>
            </w:r>
          </w:p>
        </w:tc>
        <w:tc>
          <w:tcPr>
            <w:tcW w:w="4421" w:type="dxa"/>
            <w:vAlign w:val="center"/>
          </w:tcPr>
          <w:p w14:paraId="5EA446CD" w14:textId="77777777" w:rsidR="006A3DBC" w:rsidRPr="000E6D86" w:rsidRDefault="006A3DBC" w:rsidP="005F4A92">
            <w:pPr>
              <w:spacing w:after="60"/>
              <w:jc w:val="both"/>
              <w:rPr>
                <w:rFonts w:cs="Arial"/>
                <w:sz w:val="18"/>
                <w:szCs w:val="18"/>
              </w:rPr>
            </w:pPr>
            <w:r w:rsidRPr="000E6D86">
              <w:rPr>
                <w:rFonts w:cs="Arial"/>
                <w:sz w:val="18"/>
                <w:szCs w:val="18"/>
              </w:rPr>
              <w:t>Incluir el resultado del MCQRS en los informes semestrales que el proyecto presenta al BM.</w:t>
            </w:r>
          </w:p>
        </w:tc>
        <w:tc>
          <w:tcPr>
            <w:tcW w:w="3870" w:type="dxa"/>
            <w:vMerge/>
            <w:vAlign w:val="center"/>
          </w:tcPr>
          <w:p w14:paraId="5F3D1E35" w14:textId="77777777" w:rsidR="006A3DBC" w:rsidRPr="000E6D86" w:rsidRDefault="006A3DBC" w:rsidP="005F4A92">
            <w:pPr>
              <w:spacing w:after="60"/>
              <w:rPr>
                <w:rFonts w:cs="Arial"/>
                <w:sz w:val="18"/>
                <w:szCs w:val="18"/>
              </w:rPr>
            </w:pPr>
          </w:p>
        </w:tc>
      </w:tr>
    </w:tbl>
    <w:p w14:paraId="5163E60F" w14:textId="77777777" w:rsidR="006A3DBC" w:rsidRPr="00FA4B2D" w:rsidRDefault="006A3DBC" w:rsidP="006A3DBC">
      <w:pPr>
        <w:rPr>
          <w:rFonts w:cs="Arial"/>
        </w:rPr>
      </w:pPr>
    </w:p>
    <w:p w14:paraId="007DBE12" w14:textId="77777777" w:rsidR="006A3DBC" w:rsidRPr="00FA4B2D" w:rsidRDefault="006A3DBC" w:rsidP="006A3DBC">
      <w:pPr>
        <w:spacing w:after="60" w:line="240" w:lineRule="auto"/>
        <w:jc w:val="both"/>
        <w:rPr>
          <w:rFonts w:cs="Arial"/>
        </w:rPr>
      </w:pPr>
      <w:r w:rsidRPr="00FA4B2D">
        <w:rPr>
          <w:rFonts w:cs="Arial"/>
        </w:rPr>
        <w:t>El Mecanismo permitirá preservar la identidad de las personas que presenten quejas, toda vez que pueden presentarse de manera anónima si el canal de comunicación escogido lo permite.</w:t>
      </w:r>
    </w:p>
    <w:p w14:paraId="72F16C3D" w14:textId="77777777" w:rsidR="006A3DBC" w:rsidRPr="00FA4B2D" w:rsidRDefault="006A3DBC" w:rsidP="006A3DBC">
      <w:pPr>
        <w:spacing w:after="60" w:line="240" w:lineRule="auto"/>
        <w:jc w:val="both"/>
        <w:rPr>
          <w:rFonts w:cs="Arial"/>
        </w:rPr>
      </w:pPr>
    </w:p>
    <w:p w14:paraId="32D246BD" w14:textId="0420F14B" w:rsidR="006A3DBC" w:rsidRPr="00FA4B2D" w:rsidRDefault="006A3DBC" w:rsidP="006A3DBC">
      <w:pPr>
        <w:spacing w:after="60" w:line="240" w:lineRule="auto"/>
        <w:jc w:val="both"/>
        <w:rPr>
          <w:rFonts w:cs="Arial"/>
        </w:rPr>
      </w:pPr>
      <w:r w:rsidRPr="00FA4B2D">
        <w:rPr>
          <w:rFonts w:cs="Arial"/>
        </w:rPr>
        <w:lastRenderedPageBreak/>
        <w:t xml:space="preserve">Habrá un Mecanismo separado para recibir y procesar las quejas relacionadas con temas laborales para los trabajadores del </w:t>
      </w:r>
      <w:r w:rsidR="00E75284" w:rsidRPr="00FA4B2D">
        <w:rPr>
          <w:rFonts w:cs="Arial"/>
        </w:rPr>
        <w:t>P</w:t>
      </w:r>
      <w:r w:rsidRPr="00FA4B2D">
        <w:rPr>
          <w:rFonts w:cs="Arial"/>
        </w:rPr>
        <w:t>royecto.  Este mecanismo se detalla en los PGMO.</w:t>
      </w:r>
    </w:p>
    <w:p w14:paraId="47F0994D" w14:textId="77777777" w:rsidR="006A3DBC" w:rsidRPr="00FA4B2D" w:rsidRDefault="006A3DBC" w:rsidP="006A3DBC">
      <w:pPr>
        <w:spacing w:after="60" w:line="240" w:lineRule="auto"/>
        <w:jc w:val="both"/>
        <w:rPr>
          <w:rFonts w:cs="Arial"/>
        </w:rPr>
      </w:pPr>
    </w:p>
    <w:p w14:paraId="7435F43D" w14:textId="7ED58CA1" w:rsidR="006A3DBC" w:rsidRPr="00FA4B2D" w:rsidRDefault="006A3DBC" w:rsidP="006A3DBC">
      <w:pPr>
        <w:spacing w:after="60" w:line="240" w:lineRule="auto"/>
        <w:jc w:val="both"/>
        <w:rPr>
          <w:rFonts w:cs="Arial"/>
        </w:rPr>
      </w:pPr>
      <w:r w:rsidRPr="00FA4B2D">
        <w:rPr>
          <w:rFonts w:cs="Arial"/>
        </w:rPr>
        <w:t xml:space="preserve">El </w:t>
      </w:r>
      <w:r w:rsidR="00E75284" w:rsidRPr="00FA4B2D">
        <w:rPr>
          <w:rFonts w:cs="Arial"/>
        </w:rPr>
        <w:t>MCQRS</w:t>
      </w:r>
      <w:r w:rsidRPr="00FA4B2D">
        <w:rPr>
          <w:rFonts w:cs="Arial"/>
        </w:rPr>
        <w:t xml:space="preserve"> del Proyecto les dará un tratamiento diferenciado a las quejas por VBG, derivándolas a los proveedores de servicios a los sobrevivientes de VBG.  Las provisiones específicas para el abordaje de estas quejas se detallan en el PPPI.</w:t>
      </w:r>
    </w:p>
    <w:p w14:paraId="54E7BD1F" w14:textId="77777777" w:rsidR="006A3DBC" w:rsidRPr="00FA4B2D" w:rsidRDefault="006A3DBC" w:rsidP="006A3DBC">
      <w:pPr>
        <w:jc w:val="both"/>
        <w:rPr>
          <w:rFonts w:cs="Arial"/>
        </w:rPr>
      </w:pPr>
    </w:p>
    <w:p w14:paraId="594F3CEE" w14:textId="77777777" w:rsidR="006A3DBC" w:rsidRDefault="006A3DBC" w:rsidP="006A3DBC">
      <w:pPr>
        <w:jc w:val="both"/>
        <w:rPr>
          <w:rFonts w:cs="Arial"/>
        </w:rPr>
      </w:pPr>
      <w:r w:rsidRPr="00FA4B2D">
        <w:rPr>
          <w:rFonts w:cs="Arial"/>
        </w:rPr>
        <w:t xml:space="preserve">Mayor detalle sobre el funcionamiento del MCQRS se encuentra en el PPPI, divulgado en la página de COMRURAL III: </w:t>
      </w:r>
      <w:hyperlink r:id="rId84" w:history="1">
        <w:r w:rsidRPr="00FA4B2D">
          <w:rPr>
            <w:rStyle w:val="Hipervnculo"/>
            <w:rFonts w:cs="Arial"/>
            <w:color w:val="767171" w:themeColor="background2" w:themeShade="80"/>
          </w:rPr>
          <w:t>https://comrural.hn/comrural-iii/</w:t>
        </w:r>
      </w:hyperlink>
      <w:r w:rsidRPr="00FA4B2D">
        <w:rPr>
          <w:rFonts w:cs="Arial"/>
        </w:rPr>
        <w:t xml:space="preserve">  </w:t>
      </w:r>
    </w:p>
    <w:p w14:paraId="1A77F739" w14:textId="77777777" w:rsidR="002B7276" w:rsidRPr="00FA4B2D" w:rsidRDefault="002B7276" w:rsidP="006A3DBC">
      <w:pPr>
        <w:jc w:val="both"/>
        <w:rPr>
          <w:rFonts w:cs="Arial"/>
        </w:rPr>
      </w:pPr>
    </w:p>
    <w:p w14:paraId="137338E5" w14:textId="77777777" w:rsidR="006A3DBC" w:rsidRPr="00FA4B2D" w:rsidRDefault="006A3DBC" w:rsidP="006A3DBC">
      <w:pPr>
        <w:pStyle w:val="Ttulo2"/>
        <w:numPr>
          <w:ilvl w:val="1"/>
          <w:numId w:val="34"/>
        </w:numPr>
        <w:spacing w:before="0" w:line="240" w:lineRule="auto"/>
        <w:jc w:val="both"/>
        <w:rPr>
          <w:rFonts w:ascii="Arial" w:hAnsi="Arial" w:cs="Arial"/>
          <w:b/>
          <w:color w:val="767171" w:themeColor="background2" w:themeShade="80"/>
          <w:sz w:val="22"/>
          <w:szCs w:val="22"/>
        </w:rPr>
      </w:pPr>
      <w:bookmarkStart w:id="1240" w:name="_Toc65884214"/>
      <w:bookmarkStart w:id="1241" w:name="_Toc67573437"/>
      <w:bookmarkStart w:id="1242" w:name="_Toc202456965"/>
      <w:r w:rsidRPr="00FA4B2D">
        <w:rPr>
          <w:rFonts w:ascii="Arial" w:hAnsi="Arial" w:cs="Arial"/>
          <w:b/>
          <w:color w:val="767171" w:themeColor="background2" w:themeShade="80"/>
          <w:sz w:val="22"/>
          <w:szCs w:val="22"/>
        </w:rPr>
        <w:t>Lineamientos para la gestión de riesgos vinculados a la acción y empleo de fuerzas de seguridad</w:t>
      </w:r>
      <w:bookmarkEnd w:id="1240"/>
      <w:bookmarkEnd w:id="1241"/>
      <w:bookmarkEnd w:id="1242"/>
    </w:p>
    <w:p w14:paraId="16006282" w14:textId="77777777" w:rsidR="006A3DBC" w:rsidRPr="00FA4B2D" w:rsidRDefault="006A3DBC" w:rsidP="006A3DBC">
      <w:pPr>
        <w:jc w:val="both"/>
        <w:rPr>
          <w:rFonts w:cs="Arial"/>
        </w:rPr>
      </w:pPr>
      <w:r w:rsidRPr="00FA4B2D">
        <w:rPr>
          <w:rFonts w:cs="Arial"/>
        </w:rPr>
        <w:t xml:space="preserve">Instituciones públicas y empresas privadas habitualmente emplean o contratan personal de seguridad para proteger a sus empleados, instalaciones, activos y operaciones. Ese personal puede consistir en un único guardia nocturno o un grupo de guardias de seguridad privada, o incluso involucrar la utilización de fuerzas de seguridad pública. </w:t>
      </w:r>
    </w:p>
    <w:p w14:paraId="27CFD511" w14:textId="3B070FD0" w:rsidR="006A3DBC" w:rsidRPr="00FA4B2D" w:rsidRDefault="006A3DBC" w:rsidP="006A3DBC">
      <w:pPr>
        <w:jc w:val="both"/>
        <w:rPr>
          <w:rFonts w:cs="Arial"/>
          <w:lang w:val="es-HN"/>
        </w:rPr>
      </w:pPr>
      <w:r w:rsidRPr="00FA4B2D">
        <w:rPr>
          <w:rFonts w:cs="Arial"/>
          <w:lang w:val="es-HN"/>
        </w:rPr>
        <w:t xml:space="preserve">Aparece como necesario considerar los </w:t>
      </w:r>
      <w:r w:rsidR="00E75284" w:rsidRPr="00FA4B2D">
        <w:rPr>
          <w:rFonts w:cs="Arial"/>
          <w:lang w:val="es-HN"/>
        </w:rPr>
        <w:t xml:space="preserve">riesgos e </w:t>
      </w:r>
      <w:r w:rsidRPr="00FA4B2D">
        <w:rPr>
          <w:rFonts w:cs="Arial"/>
          <w:lang w:val="es-HN"/>
        </w:rPr>
        <w:t xml:space="preserve">impactos que los arreglos de seguridad podrían tener sobre la población en el área de influencia del Proyecto. </w:t>
      </w:r>
    </w:p>
    <w:p w14:paraId="6B2DBDB9" w14:textId="77777777" w:rsidR="006A3DBC" w:rsidRPr="00FA4B2D" w:rsidRDefault="006A3DBC" w:rsidP="006A3DBC">
      <w:pPr>
        <w:jc w:val="both"/>
        <w:rPr>
          <w:rFonts w:cs="Arial"/>
          <w:lang w:val="es-HN"/>
        </w:rPr>
      </w:pPr>
      <w:r w:rsidRPr="00FA4B2D">
        <w:rPr>
          <w:rFonts w:cs="Arial"/>
          <w:lang w:val="es-HN"/>
        </w:rPr>
        <w:t xml:space="preserve">Las buenas prácticas relativas al uso de fuerzas de seguridad se basan en el concepto que establece que la prestación de servicios de seguridad y el respeto por los derechos humanos deben ser congruentes. Esto se traduce en la aplicación de políticas y prácticas orientadas a garantizar que la prestación de seguridad se lleve a cabo de manera responsable. </w:t>
      </w:r>
    </w:p>
    <w:p w14:paraId="54D44629" w14:textId="77777777" w:rsidR="006A3DBC" w:rsidRPr="00FA4B2D" w:rsidRDefault="006A3DBC" w:rsidP="006A3DBC">
      <w:pPr>
        <w:jc w:val="both"/>
        <w:rPr>
          <w:rFonts w:cs="Arial"/>
          <w:lang w:val="es-HN"/>
        </w:rPr>
      </w:pPr>
      <w:r w:rsidRPr="00FA4B2D">
        <w:rPr>
          <w:rFonts w:cs="Arial"/>
          <w:lang w:val="es-HN"/>
        </w:rPr>
        <w:t xml:space="preserve">La comunicación proactiva, la participación de la comunidad y la atención de las quejas son fundamentales para este enfoque. También es importante tener en cuentas las cuestiones de género dado que las experiencias y la interacción de las mujeres con el personal de seguridad suelen ser diferentes. </w:t>
      </w:r>
    </w:p>
    <w:p w14:paraId="6E9478B8" w14:textId="77777777" w:rsidR="006A3DBC" w:rsidRPr="00FA4B2D" w:rsidRDefault="006A3DBC" w:rsidP="006A3DBC">
      <w:pPr>
        <w:jc w:val="both"/>
        <w:rPr>
          <w:rFonts w:cs="Arial"/>
          <w:lang w:val="es-HN"/>
        </w:rPr>
      </w:pPr>
      <w:r w:rsidRPr="00FA4B2D">
        <w:rPr>
          <w:rFonts w:cs="Arial"/>
          <w:lang w:val="es-HN"/>
        </w:rPr>
        <w:t>Las instituciones y organizaciones involucradas en el Proyecto que emplean o contraten personal de seguridad tienen la responsabilidad de velar por la correcta contratación, capacitación, normas de conducta y supervisión del personal de seguridad privada. Asimismo, deben instar a ese personal a actuar con la debida moderación al responder a situaciones relacionadas con el Proyecto.</w:t>
      </w:r>
    </w:p>
    <w:p w14:paraId="50E82547" w14:textId="6180FA24" w:rsidR="006A3DBC" w:rsidRPr="00FA4B2D" w:rsidRDefault="3A7FC69B" w:rsidP="006A3DBC">
      <w:pPr>
        <w:jc w:val="both"/>
        <w:rPr>
          <w:rFonts w:cs="Arial"/>
        </w:rPr>
      </w:pPr>
      <w:r w:rsidRPr="00FA4B2D">
        <w:rPr>
          <w:rFonts w:cs="Arial"/>
        </w:rPr>
        <w:lastRenderedPageBreak/>
        <w:t xml:space="preserve">En línea con lo establecido el EAS 4 del MAS del BM sobre Salud y Seguridad de la Comunidad, en forma previa a la efectividad del Programa, la UEP elaborará un </w:t>
      </w:r>
      <w:r w:rsidRPr="00FA4B2D">
        <w:rPr>
          <w:rFonts w:cs="Arial"/>
          <w:b/>
          <w:bCs/>
        </w:rPr>
        <w:t>Protocolo para el uso de fuerzas de Seguridad</w:t>
      </w:r>
      <w:r w:rsidR="00A95C18" w:rsidRPr="00FA4B2D">
        <w:rPr>
          <w:rStyle w:val="Refdenotaalpie"/>
          <w:rFonts w:cs="Arial"/>
        </w:rPr>
        <w:footnoteReference w:id="62"/>
      </w:r>
      <w:r w:rsidRPr="00FA4B2D">
        <w:rPr>
          <w:rFonts w:cs="Arial"/>
        </w:rPr>
        <w:t xml:space="preserve"> para asegurar que:</w:t>
      </w:r>
    </w:p>
    <w:p w14:paraId="74EAE723" w14:textId="77777777" w:rsidR="006A3DBC" w:rsidRPr="00FA4B2D" w:rsidRDefault="006A3DBC" w:rsidP="006A3DBC">
      <w:pPr>
        <w:pStyle w:val="Prrafodelista"/>
        <w:numPr>
          <w:ilvl w:val="0"/>
          <w:numId w:val="37"/>
        </w:numPr>
        <w:ind w:left="284" w:hanging="323"/>
        <w:jc w:val="both"/>
        <w:rPr>
          <w:rFonts w:cs="Arial"/>
        </w:rPr>
      </w:pPr>
      <w:r w:rsidRPr="00FA4B2D">
        <w:rPr>
          <w:rFonts w:cs="Arial"/>
        </w:rPr>
        <w:t>Cuando los subproyectos y actividades que conforman el COMRURAL III utilicen trabajadores directos o contratados para brindar seguridad y proteger a su personal y su propiedad, la entidad responsable del Proyecto o actividad involucrada evaluará los riesgos que estos arreglos de seguridad presenten para quienes estén dentro y fuera del Proyecto. Al establecer tales arreglos, la entidad responsable se guiará por los principios de proporcionalidad y por las leyes aplicables en relación con la contratación, las normas de conducta, la capacitación, la provisión de equipos y el seguimiento de tales trabajadores de seguridad. No se autorizará el uso de la fuerza por parte de los trabajadores directos o contratados para brindar seguridad excepto para fines de prevención y defensa y en proporción con la naturaleza y el alcance de la amenaza.</w:t>
      </w:r>
    </w:p>
    <w:p w14:paraId="72B21B74" w14:textId="77777777" w:rsidR="006A3DBC" w:rsidRPr="00FA4B2D" w:rsidRDefault="006A3DBC" w:rsidP="006A3DBC">
      <w:pPr>
        <w:pStyle w:val="Prrafodelista"/>
        <w:numPr>
          <w:ilvl w:val="0"/>
          <w:numId w:val="37"/>
        </w:numPr>
        <w:ind w:left="284" w:hanging="323"/>
        <w:jc w:val="both"/>
        <w:rPr>
          <w:rFonts w:cs="Arial"/>
        </w:rPr>
      </w:pPr>
      <w:r w:rsidRPr="00FA4B2D">
        <w:rPr>
          <w:rFonts w:cs="Arial"/>
        </w:rPr>
        <w:t>La entidad responsable del proyecto se asegurará que el personal que se utilice para brindar servicios de seguridad actúe de manera coherente con lo establecido en el párrafo anterior, y alentará a las autoridades pertinentes a difundir al público los arreglos de seguridad establecidos para sus instalaciones.</w:t>
      </w:r>
    </w:p>
    <w:p w14:paraId="35D42727" w14:textId="77777777" w:rsidR="006A3DBC" w:rsidRPr="00FA4B2D" w:rsidRDefault="006A3DBC" w:rsidP="006A3DBC">
      <w:pPr>
        <w:pStyle w:val="Prrafodelista"/>
        <w:numPr>
          <w:ilvl w:val="0"/>
          <w:numId w:val="37"/>
        </w:numPr>
        <w:ind w:left="284" w:hanging="323"/>
        <w:jc w:val="both"/>
        <w:rPr>
          <w:rFonts w:cs="Arial"/>
        </w:rPr>
      </w:pPr>
      <w:r w:rsidRPr="00FA4B2D">
        <w:rPr>
          <w:rFonts w:cs="Arial"/>
        </w:rPr>
        <w:t>La entidad responsable del Proyecto: i) hará averiguaciones razonables para verificar que los trabajadores directos o contratados para brindar seguridad no estén involucrados en abusos pasados; ii) los capacitará adecuadamente (o determinará que ya están adecuadamente capacitados) en las conductas apropiadas hacia los trabajadores y las comunidades involucradas; y iii) les exigirá que actúen conforme a las leyes aplicables y los requisitos estipulados en el PCAS.</w:t>
      </w:r>
    </w:p>
    <w:p w14:paraId="26EEE04E" w14:textId="77777777" w:rsidR="006A3DBC" w:rsidRPr="00FA4B2D" w:rsidRDefault="006A3DBC" w:rsidP="006A3DBC">
      <w:pPr>
        <w:pStyle w:val="Prrafodelista"/>
        <w:numPr>
          <w:ilvl w:val="0"/>
          <w:numId w:val="37"/>
        </w:numPr>
        <w:ind w:left="284" w:hanging="323"/>
        <w:jc w:val="both"/>
        <w:rPr>
          <w:rFonts w:cs="Arial"/>
        </w:rPr>
      </w:pPr>
      <w:r w:rsidRPr="00FA4B2D">
        <w:rPr>
          <w:rFonts w:cs="Arial"/>
        </w:rPr>
        <w:t>La entidad responsable del Proyecto revisará todas las acusaciones de actos ilegales o abusivos del personal de seguridad, tomará medidas (o instará a las partes adecuadas a que actúen) para evitar que tales actos se repitan y, cuando sea necesario, informará a las autoridades competentes sobre dichos actos ilegales o abusivos</w:t>
      </w:r>
    </w:p>
    <w:p w14:paraId="351FE1B6" w14:textId="77777777" w:rsidR="006A3DBC" w:rsidRPr="00FA4B2D" w:rsidRDefault="006A3DBC" w:rsidP="006A3DBC">
      <w:pPr>
        <w:pStyle w:val="Prrafodelista"/>
        <w:numPr>
          <w:ilvl w:val="0"/>
          <w:numId w:val="37"/>
        </w:numPr>
        <w:ind w:left="284" w:hanging="323"/>
        <w:jc w:val="both"/>
        <w:rPr>
          <w:rFonts w:cs="Arial"/>
        </w:rPr>
      </w:pPr>
      <w:r w:rsidRPr="00FA4B2D">
        <w:rPr>
          <w:rFonts w:cs="Arial"/>
        </w:rPr>
        <w:t xml:space="preserve">Se elaborará un </w:t>
      </w:r>
      <w:r w:rsidRPr="00FA4B2D">
        <w:rPr>
          <w:rFonts w:cs="Arial"/>
          <w:b/>
          <w:bCs/>
        </w:rPr>
        <w:t>Código de Conducta</w:t>
      </w:r>
      <w:r w:rsidRPr="00FA4B2D">
        <w:rPr>
          <w:rFonts w:cs="Arial"/>
        </w:rPr>
        <w:t xml:space="preserve"> que incluirá compromisos de comportamiento, un proceso disciplinario claro y accesible y un proceso de atención de quejas y reclamos relativos al uso de fuerzas de seguridad;</w:t>
      </w:r>
    </w:p>
    <w:p w14:paraId="2322C0A3" w14:textId="77777777" w:rsidR="006A3DBC" w:rsidRPr="00FA4B2D" w:rsidRDefault="006A3DBC" w:rsidP="006A3DBC">
      <w:pPr>
        <w:spacing w:before="120" w:after="120" w:line="240" w:lineRule="auto"/>
        <w:ind w:left="142"/>
        <w:jc w:val="both"/>
        <w:rPr>
          <w:rFonts w:cs="Arial"/>
          <w:spacing w:val="1"/>
        </w:rPr>
      </w:pPr>
      <w:r w:rsidRPr="00FA4B2D">
        <w:rPr>
          <w:rFonts w:cs="Arial"/>
          <w:spacing w:val="1"/>
          <w:lang w:val="es-HN"/>
        </w:rPr>
        <w:t xml:space="preserve">El Código de Conducta comprenderá instrucciones claras para las fuerzas de seguridad sobre los objetivos de su trabajo y las medidas permitidas, las que deben basarse en las buenas prácticas internacionales y la legislación aplicable. </w:t>
      </w:r>
    </w:p>
    <w:p w14:paraId="0744E591" w14:textId="77777777" w:rsidR="006A3DBC" w:rsidRPr="00FA4B2D" w:rsidRDefault="006A3DBC" w:rsidP="006A3DBC">
      <w:pPr>
        <w:spacing w:before="120" w:after="120" w:line="240" w:lineRule="auto"/>
        <w:ind w:left="102"/>
        <w:jc w:val="both"/>
        <w:rPr>
          <w:rFonts w:cs="Arial"/>
          <w:spacing w:val="1"/>
          <w:lang w:val="es-HN"/>
        </w:rPr>
      </w:pPr>
      <w:r w:rsidRPr="00FA4B2D">
        <w:rPr>
          <w:rFonts w:cs="Arial"/>
          <w:spacing w:val="1"/>
          <w:u w:val="single"/>
          <w:lang w:val="es-HN"/>
        </w:rPr>
        <w:lastRenderedPageBreak/>
        <w:t>Participación de la comunidad:</w:t>
      </w:r>
      <w:r w:rsidRPr="00FA4B2D">
        <w:rPr>
          <w:rFonts w:cs="Arial"/>
          <w:spacing w:val="1"/>
          <w:lang w:val="es-HN"/>
        </w:rPr>
        <w:t xml:space="preserve"> En la planificación, ejecución y supervisión de las actividades del Proyecto se prestará especial atención a la participación de las partes interesadas en lo que respecta al personal de seguridad. </w:t>
      </w:r>
    </w:p>
    <w:p w14:paraId="79278F90" w14:textId="77777777" w:rsidR="006A3DBC" w:rsidRPr="00FA4B2D" w:rsidRDefault="006A3DBC" w:rsidP="006A3DBC">
      <w:pPr>
        <w:spacing w:before="120" w:after="120" w:line="240" w:lineRule="auto"/>
        <w:ind w:left="102"/>
        <w:jc w:val="both"/>
        <w:rPr>
          <w:rFonts w:cs="Arial"/>
          <w:spacing w:val="1"/>
          <w:lang w:val="es-HN"/>
        </w:rPr>
      </w:pPr>
      <w:r w:rsidRPr="00FA4B2D">
        <w:rPr>
          <w:rFonts w:cs="Arial"/>
          <w:spacing w:val="1"/>
          <w:lang w:val="es-HN"/>
        </w:rPr>
        <w:t xml:space="preserve">La participación de la comunidad es un aspecto central de un buen programa de seguridad, y las buenas relaciones con los trabajadores y las comunidades locales pueden contribuir sustancialmente a la seguridad general en la zona del Proyecto. </w:t>
      </w:r>
    </w:p>
    <w:p w14:paraId="7DBB87BC" w14:textId="77777777" w:rsidR="006A3DBC" w:rsidRPr="00FA4B2D" w:rsidRDefault="006A3DBC" w:rsidP="006A3DBC">
      <w:pPr>
        <w:spacing w:before="120" w:after="120" w:line="240" w:lineRule="auto"/>
        <w:ind w:left="102"/>
        <w:jc w:val="both"/>
        <w:rPr>
          <w:rFonts w:cs="Arial"/>
          <w:spacing w:val="1"/>
          <w:lang w:val="es-HN"/>
        </w:rPr>
      </w:pPr>
      <w:r w:rsidRPr="00FA4B2D">
        <w:rPr>
          <w:rFonts w:cs="Arial"/>
          <w:spacing w:val="1"/>
          <w:lang w:val="es-HN"/>
        </w:rPr>
        <w:t xml:space="preserve">Se recomienda la contratación de mujeres como parte de los equipos de seguridad, ya que ello puede ayudar a reducir la tensión o los incidentes relacionados con las comunidades locales. </w:t>
      </w:r>
    </w:p>
    <w:p w14:paraId="1E534464" w14:textId="77777777" w:rsidR="006A3DBC" w:rsidRPr="00FA4B2D" w:rsidRDefault="006A3DBC" w:rsidP="006A3DBC">
      <w:pPr>
        <w:spacing w:before="120" w:after="120" w:line="240" w:lineRule="auto"/>
        <w:ind w:left="102"/>
        <w:jc w:val="both"/>
        <w:rPr>
          <w:rFonts w:cs="Arial"/>
          <w:spacing w:val="1"/>
          <w:lang w:val="es-HN"/>
        </w:rPr>
      </w:pPr>
      <w:r w:rsidRPr="00FA4B2D">
        <w:rPr>
          <w:rFonts w:cs="Arial"/>
          <w:spacing w:val="1"/>
          <w:lang w:val="es-HN"/>
        </w:rPr>
        <w:t xml:space="preserve">Los miembros de la comunidad deben saber que pueden presentar quejas sin temor a sufrir intimidación o represalias. </w:t>
      </w:r>
    </w:p>
    <w:p w14:paraId="7B736500" w14:textId="77777777" w:rsidR="006A3DBC" w:rsidRPr="00FA4B2D" w:rsidRDefault="006A3DBC" w:rsidP="006A3DBC">
      <w:pPr>
        <w:spacing w:before="120" w:after="120" w:line="240" w:lineRule="auto"/>
        <w:ind w:left="102"/>
        <w:jc w:val="both"/>
        <w:rPr>
          <w:rFonts w:cs="Arial"/>
          <w:spacing w:val="1"/>
          <w:lang w:val="es-HN"/>
        </w:rPr>
      </w:pPr>
      <w:r w:rsidRPr="00FA4B2D">
        <w:rPr>
          <w:rFonts w:cs="Arial"/>
          <w:spacing w:val="1"/>
          <w:lang w:val="es-HN"/>
        </w:rPr>
        <w:t xml:space="preserve">Debido a que los guardias con frecuencia son el primer punto de contacto con los miembros de la comunidad, también se les debe informar acerca de su función en las relaciones con la comunidad y sobre el mecanismo de atención de quejas y reclamos y las principales cuestiones que preocupan a las comunidades locales. </w:t>
      </w:r>
    </w:p>
    <w:p w14:paraId="14F6A571" w14:textId="77777777" w:rsidR="006A3DBC" w:rsidRPr="00FA4B2D" w:rsidRDefault="006A3DBC" w:rsidP="006A3DBC">
      <w:pPr>
        <w:spacing w:before="120" w:after="120" w:line="240" w:lineRule="auto"/>
        <w:ind w:left="102"/>
        <w:jc w:val="both"/>
        <w:rPr>
          <w:rFonts w:cs="Arial"/>
          <w:spacing w:val="1"/>
          <w:lang w:val="es-HN"/>
        </w:rPr>
      </w:pPr>
      <w:r w:rsidRPr="00FA4B2D">
        <w:rPr>
          <w:rFonts w:cs="Arial"/>
          <w:spacing w:val="1"/>
          <w:u w:val="single"/>
          <w:lang w:val="es-HN"/>
        </w:rPr>
        <w:t>Quejas e incidentes relacionados con el personal de seguridad:</w:t>
      </w:r>
      <w:r w:rsidRPr="00FA4B2D">
        <w:rPr>
          <w:rFonts w:cs="Arial"/>
          <w:spacing w:val="1"/>
          <w:lang w:val="es-HN"/>
        </w:rPr>
        <w:t xml:space="preserve"> Como parte de la supervisión del Proyecto, se revisarán los registros del mecanismo de atención de quejas y reclamos correspondientes a las quejas o denuncias que involucran al personal de seguridad relacionado con el Proyecto. Las denuncias o los incidentes relacionados con la seguridad pueden incluir cuestiones como robos, abuso de poder y represalias, acoso y explotación sexuales, violencia de género, sobornos y corrupción. El personal de la UEP solicitará más información acerca de los incidentes informados y las medidas adoptadas para abordar el problema y evitar que se repita, y reportar sobre las denuncias o los casos de violencia o abuso y las medidas correctivas aplicadas. Las denuncias o los incidentes relacionados con el personal de seguridad deben documentarse y evaluarse para determinar el cumplimiento o incumplimiento de las políticas y los procedimientos, y si se requieren acciones correctivas o preventivas. </w:t>
      </w:r>
    </w:p>
    <w:p w14:paraId="55359E04" w14:textId="2C092872" w:rsidR="006A3DBC" w:rsidRPr="00FA4B2D" w:rsidRDefault="006A3DBC" w:rsidP="006A3DBC">
      <w:pPr>
        <w:spacing w:before="120" w:after="120" w:line="240" w:lineRule="auto"/>
        <w:ind w:left="102"/>
        <w:jc w:val="both"/>
        <w:rPr>
          <w:rFonts w:cs="Arial"/>
          <w:spacing w:val="1"/>
          <w:lang w:val="es-HN"/>
        </w:rPr>
      </w:pPr>
      <w:r w:rsidRPr="00FA4B2D">
        <w:rPr>
          <w:rFonts w:cs="Arial"/>
          <w:spacing w:val="1"/>
          <w:lang w:val="es-HN"/>
        </w:rPr>
        <w:t xml:space="preserve">El personal del Proyecto responsable del PPPI y del </w:t>
      </w:r>
      <w:r w:rsidR="00A95C18" w:rsidRPr="00FA4B2D">
        <w:rPr>
          <w:rFonts w:cs="Arial"/>
          <w:spacing w:val="1"/>
          <w:lang w:val="es-HN"/>
        </w:rPr>
        <w:t>MCQRS</w:t>
      </w:r>
      <w:r w:rsidRPr="00FA4B2D">
        <w:rPr>
          <w:rFonts w:cs="Arial"/>
          <w:spacing w:val="1"/>
          <w:lang w:val="es-HN"/>
        </w:rPr>
        <w:t xml:space="preserve"> debe comunicar los resultados a los reclamantes y a otras partes pertinentes, teniendo en cuenta las disposiciones sobre confidencialidad y la necesidad de proteger a las víctimas contra nuevos incidentes o represalias. Cuando sea apropiado, también puede ser constructivo compartir con la comunidad las enseñanzas que sean pertinentes, así como todos los cambios adoptados para prevenir incidentes en el futuro.</w:t>
      </w:r>
    </w:p>
    <w:p w14:paraId="04FBE19D" w14:textId="77777777" w:rsidR="006A3DBC" w:rsidRPr="00FA4B2D" w:rsidRDefault="006A3DBC" w:rsidP="006A3DBC">
      <w:pPr>
        <w:spacing w:before="120" w:after="120" w:line="240" w:lineRule="auto"/>
        <w:ind w:left="102"/>
        <w:jc w:val="both"/>
        <w:rPr>
          <w:rFonts w:cs="Arial"/>
          <w:spacing w:val="1"/>
          <w:lang w:val="es-HN"/>
        </w:rPr>
      </w:pPr>
      <w:r w:rsidRPr="00FA4B2D">
        <w:rPr>
          <w:rFonts w:cs="Arial"/>
          <w:spacing w:val="1"/>
          <w:lang w:val="es-HN"/>
        </w:rPr>
        <w:t>Todas las acusaciones de conductas delictivas por parte del personal de seguridad, ya sea público o privado, empleados o contratistas, deben informarse a las autoridades pertinentes. Es importante que una parte neutral investigue las denuncias relacionadas con el personal de seguridad, y que cualquier denuncia de represalia se investigue inmediatamente. Se debe proteger la confidencialidad de los reclamantes.</w:t>
      </w:r>
    </w:p>
    <w:p w14:paraId="4E0AF590" w14:textId="77777777" w:rsidR="006A3DBC" w:rsidRPr="00FA4B2D" w:rsidRDefault="006A3DBC" w:rsidP="006A3DBC">
      <w:pPr>
        <w:jc w:val="both"/>
        <w:rPr>
          <w:rFonts w:cs="Arial"/>
        </w:rPr>
      </w:pPr>
    </w:p>
    <w:p w14:paraId="157B71A1" w14:textId="77777777" w:rsidR="006A3DBC" w:rsidRPr="00FA4B2D" w:rsidRDefault="006A3DBC" w:rsidP="00411720">
      <w:pPr>
        <w:pStyle w:val="Ttulo1"/>
        <w:numPr>
          <w:ilvl w:val="0"/>
          <w:numId w:val="100"/>
        </w:numPr>
        <w:ind w:left="0" w:firstLine="0"/>
        <w:rPr>
          <w:rFonts w:ascii="Arial" w:hAnsi="Arial" w:cs="Arial"/>
          <w:b/>
          <w:bCs/>
          <w:color w:val="767171" w:themeColor="background2" w:themeShade="80"/>
          <w:sz w:val="22"/>
          <w:szCs w:val="22"/>
        </w:rPr>
      </w:pPr>
      <w:bookmarkStart w:id="1243" w:name="_Toc67573438"/>
      <w:bookmarkStart w:id="1244" w:name="_Toc202456966"/>
      <w:bookmarkStart w:id="1245" w:name="_Toc65884215"/>
      <w:bookmarkStart w:id="1246" w:name="_Hlk65846975"/>
      <w:r w:rsidRPr="00FA4B2D">
        <w:rPr>
          <w:rFonts w:ascii="Arial" w:hAnsi="Arial" w:cs="Arial"/>
          <w:b/>
          <w:bCs/>
          <w:color w:val="767171" w:themeColor="background2" w:themeShade="80"/>
          <w:sz w:val="22"/>
          <w:szCs w:val="22"/>
        </w:rPr>
        <w:lastRenderedPageBreak/>
        <w:t>Información y consulta del MGAS</w:t>
      </w:r>
      <w:bookmarkEnd w:id="1243"/>
      <w:bookmarkEnd w:id="1244"/>
    </w:p>
    <w:p w14:paraId="3BC2D893" w14:textId="77777777" w:rsidR="006A3DBC" w:rsidRPr="00FA4B2D" w:rsidRDefault="006A3DBC" w:rsidP="006A3DBC">
      <w:pPr>
        <w:rPr>
          <w:rFonts w:cs="Arial"/>
        </w:rPr>
      </w:pPr>
    </w:p>
    <w:p w14:paraId="3CFB43E3" w14:textId="77777777" w:rsidR="006A3DBC" w:rsidRPr="00FA4B2D" w:rsidRDefault="3A7FC69B" w:rsidP="006A3DBC">
      <w:pPr>
        <w:spacing w:after="0" w:line="240" w:lineRule="auto"/>
        <w:jc w:val="both"/>
        <w:rPr>
          <w:rFonts w:cs="Arial"/>
        </w:rPr>
      </w:pPr>
      <w:r w:rsidRPr="00FA4B2D">
        <w:rPr>
          <w:rFonts w:cs="Arial"/>
        </w:rPr>
        <w:t>Como parte de la formulación del Proyecto COMRURAL III, se ha implementado un proceso de información y consulta el cual incluye la socialización y retroalimentación del MGAS y los otros instrumentos de gestión ambiental y social del Proyecto</w:t>
      </w:r>
      <w:r w:rsidR="006A3DBC" w:rsidRPr="00FA4B2D">
        <w:rPr>
          <w:rStyle w:val="Refdenotaalpie"/>
          <w:rFonts w:cs="Arial"/>
        </w:rPr>
        <w:footnoteReference w:id="63"/>
      </w:r>
      <w:r w:rsidRPr="00FA4B2D">
        <w:rPr>
          <w:rFonts w:cs="Arial"/>
        </w:rPr>
        <w:t>.</w:t>
      </w:r>
    </w:p>
    <w:p w14:paraId="0E68360E" w14:textId="77777777" w:rsidR="006A3DBC" w:rsidRPr="00FA4B2D" w:rsidRDefault="006A3DBC" w:rsidP="006A3DBC">
      <w:pPr>
        <w:spacing w:after="0" w:line="240" w:lineRule="auto"/>
        <w:jc w:val="both"/>
        <w:rPr>
          <w:rFonts w:cs="Arial"/>
        </w:rPr>
      </w:pPr>
    </w:p>
    <w:p w14:paraId="4EEE81B7" w14:textId="77777777" w:rsidR="006A3DBC" w:rsidRPr="00FA4B2D" w:rsidRDefault="006A3DBC" w:rsidP="006A3DBC">
      <w:pPr>
        <w:spacing w:after="0" w:line="240" w:lineRule="auto"/>
        <w:jc w:val="both"/>
        <w:rPr>
          <w:rFonts w:cs="Arial"/>
        </w:rPr>
      </w:pPr>
      <w:r w:rsidRPr="00FA4B2D">
        <w:rPr>
          <w:rFonts w:cs="Arial"/>
        </w:rPr>
        <w:t xml:space="preserve">Se toma en cuenta para esta consulta, que COMRURAL III está en fase de diseño y constituye una ampliación del enfoque y el área de intervención de COMRURAL II. </w:t>
      </w:r>
    </w:p>
    <w:p w14:paraId="40205827" w14:textId="77777777" w:rsidR="006A3DBC" w:rsidRPr="00FA4B2D" w:rsidRDefault="006A3DBC" w:rsidP="006A3DBC">
      <w:pPr>
        <w:rPr>
          <w:rFonts w:cs="Arial"/>
        </w:rPr>
      </w:pPr>
    </w:p>
    <w:p w14:paraId="33E29F12" w14:textId="77777777" w:rsidR="006A3DBC" w:rsidRPr="00FA4B2D" w:rsidRDefault="006A3DBC" w:rsidP="00411720">
      <w:pPr>
        <w:pStyle w:val="Prrafodelista"/>
        <w:keepNext/>
        <w:keepLines/>
        <w:numPr>
          <w:ilvl w:val="0"/>
          <w:numId w:val="71"/>
        </w:numPr>
        <w:spacing w:after="0" w:line="240" w:lineRule="auto"/>
        <w:contextualSpacing w:val="0"/>
        <w:jc w:val="both"/>
        <w:outlineLvl w:val="1"/>
        <w:rPr>
          <w:rFonts w:eastAsiaTheme="majorEastAsia" w:cs="Arial"/>
          <w:b/>
          <w:bCs/>
          <w:vanish/>
        </w:rPr>
      </w:pPr>
      <w:bookmarkStart w:id="1247" w:name="_Toc67567181"/>
      <w:bookmarkStart w:id="1248" w:name="_Toc67567469"/>
      <w:bookmarkStart w:id="1249" w:name="_Toc67567565"/>
      <w:bookmarkStart w:id="1250" w:name="_Toc67568558"/>
      <w:bookmarkStart w:id="1251" w:name="_Toc67571827"/>
      <w:bookmarkStart w:id="1252" w:name="_Toc67572849"/>
      <w:bookmarkStart w:id="1253" w:name="_Toc67573439"/>
      <w:bookmarkStart w:id="1254" w:name="_Toc69380807"/>
      <w:bookmarkStart w:id="1255" w:name="_Toc69382046"/>
      <w:bookmarkStart w:id="1256" w:name="_Toc69389923"/>
      <w:bookmarkStart w:id="1257" w:name="_Toc69393596"/>
      <w:bookmarkStart w:id="1258" w:name="_Toc69410762"/>
      <w:bookmarkStart w:id="1259" w:name="_Toc69411000"/>
      <w:bookmarkStart w:id="1260" w:name="_Toc69918772"/>
      <w:bookmarkStart w:id="1261" w:name="_Toc69923002"/>
      <w:bookmarkStart w:id="1262" w:name="_Toc160536014"/>
      <w:bookmarkStart w:id="1263" w:name="_Toc160575637"/>
      <w:bookmarkStart w:id="1264" w:name="_Toc160576846"/>
      <w:bookmarkStart w:id="1265" w:name="_Toc164251548"/>
      <w:bookmarkStart w:id="1266" w:name="_Toc168469317"/>
      <w:bookmarkStart w:id="1267" w:name="_Toc168469504"/>
      <w:bookmarkStart w:id="1268" w:name="_Toc202341292"/>
      <w:bookmarkStart w:id="1269" w:name="_Toc202449743"/>
      <w:bookmarkStart w:id="1270" w:name="_Toc202455390"/>
      <w:bookmarkStart w:id="1271" w:name="_Toc202456967"/>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p>
    <w:p w14:paraId="17FD3348" w14:textId="77777777" w:rsidR="006A3DBC" w:rsidRPr="00FA4B2D" w:rsidRDefault="006A3DBC" w:rsidP="00411720">
      <w:pPr>
        <w:pStyle w:val="Prrafodelista"/>
        <w:keepNext/>
        <w:keepLines/>
        <w:numPr>
          <w:ilvl w:val="0"/>
          <w:numId w:val="71"/>
        </w:numPr>
        <w:spacing w:after="0" w:line="240" w:lineRule="auto"/>
        <w:contextualSpacing w:val="0"/>
        <w:jc w:val="both"/>
        <w:outlineLvl w:val="1"/>
        <w:rPr>
          <w:rFonts w:eastAsiaTheme="majorEastAsia" w:cs="Arial"/>
          <w:b/>
          <w:bCs/>
          <w:vanish/>
        </w:rPr>
      </w:pPr>
      <w:bookmarkStart w:id="1272" w:name="_Toc67567566"/>
      <w:bookmarkStart w:id="1273" w:name="_Toc67568559"/>
      <w:bookmarkStart w:id="1274" w:name="_Toc67571828"/>
      <w:bookmarkStart w:id="1275" w:name="_Toc67572850"/>
      <w:bookmarkStart w:id="1276" w:name="_Toc67573440"/>
      <w:bookmarkStart w:id="1277" w:name="_Toc69380808"/>
      <w:bookmarkStart w:id="1278" w:name="_Toc69382047"/>
      <w:bookmarkStart w:id="1279" w:name="_Toc69389924"/>
      <w:bookmarkStart w:id="1280" w:name="_Toc69393597"/>
      <w:bookmarkStart w:id="1281" w:name="_Toc69410763"/>
      <w:bookmarkStart w:id="1282" w:name="_Toc69411001"/>
      <w:bookmarkStart w:id="1283" w:name="_Toc69918773"/>
      <w:bookmarkStart w:id="1284" w:name="_Toc69923003"/>
      <w:bookmarkStart w:id="1285" w:name="_Toc160536015"/>
      <w:bookmarkStart w:id="1286" w:name="_Toc160575638"/>
      <w:bookmarkStart w:id="1287" w:name="_Toc160576847"/>
      <w:bookmarkStart w:id="1288" w:name="_Toc164251549"/>
      <w:bookmarkStart w:id="1289" w:name="_Toc168469318"/>
      <w:bookmarkStart w:id="1290" w:name="_Toc168469505"/>
      <w:bookmarkStart w:id="1291" w:name="_Toc202341293"/>
      <w:bookmarkStart w:id="1292" w:name="_Toc202449744"/>
      <w:bookmarkStart w:id="1293" w:name="_Toc202455391"/>
      <w:bookmarkStart w:id="1294" w:name="_Toc202456968"/>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p>
    <w:p w14:paraId="67A51E68" w14:textId="77777777" w:rsidR="006A3DBC" w:rsidRPr="00FA4B2D" w:rsidRDefault="006A3DBC" w:rsidP="00411720">
      <w:pPr>
        <w:pStyle w:val="Prrafodelista"/>
        <w:keepNext/>
        <w:keepLines/>
        <w:numPr>
          <w:ilvl w:val="0"/>
          <w:numId w:val="71"/>
        </w:numPr>
        <w:spacing w:after="0" w:line="240" w:lineRule="auto"/>
        <w:contextualSpacing w:val="0"/>
        <w:jc w:val="both"/>
        <w:outlineLvl w:val="1"/>
        <w:rPr>
          <w:rFonts w:eastAsiaTheme="majorEastAsia" w:cs="Arial"/>
          <w:b/>
          <w:bCs/>
          <w:vanish/>
        </w:rPr>
      </w:pPr>
      <w:bookmarkStart w:id="1295" w:name="_Toc67567567"/>
      <w:bookmarkStart w:id="1296" w:name="_Toc67568560"/>
      <w:bookmarkStart w:id="1297" w:name="_Toc67571829"/>
      <w:bookmarkStart w:id="1298" w:name="_Toc67572851"/>
      <w:bookmarkStart w:id="1299" w:name="_Toc67573441"/>
      <w:bookmarkStart w:id="1300" w:name="_Toc69380809"/>
      <w:bookmarkStart w:id="1301" w:name="_Toc69382048"/>
      <w:bookmarkStart w:id="1302" w:name="_Toc69389925"/>
      <w:bookmarkStart w:id="1303" w:name="_Toc69393598"/>
      <w:bookmarkStart w:id="1304" w:name="_Toc69410764"/>
      <w:bookmarkStart w:id="1305" w:name="_Toc69411002"/>
      <w:bookmarkStart w:id="1306" w:name="_Toc69918774"/>
      <w:bookmarkStart w:id="1307" w:name="_Toc69923004"/>
      <w:bookmarkStart w:id="1308" w:name="_Toc160536016"/>
      <w:bookmarkStart w:id="1309" w:name="_Toc160575639"/>
      <w:bookmarkStart w:id="1310" w:name="_Toc160576848"/>
      <w:bookmarkStart w:id="1311" w:name="_Toc164251550"/>
      <w:bookmarkStart w:id="1312" w:name="_Toc168469319"/>
      <w:bookmarkStart w:id="1313" w:name="_Toc168469506"/>
      <w:bookmarkStart w:id="1314" w:name="_Toc202341294"/>
      <w:bookmarkStart w:id="1315" w:name="_Toc202449745"/>
      <w:bookmarkStart w:id="1316" w:name="_Toc202455392"/>
      <w:bookmarkStart w:id="1317" w:name="_Toc202456969"/>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p>
    <w:p w14:paraId="448C6009" w14:textId="77777777" w:rsidR="006A3DBC" w:rsidRPr="00FA4B2D" w:rsidRDefault="006A3DBC" w:rsidP="00411720">
      <w:pPr>
        <w:pStyle w:val="Prrafodelista"/>
        <w:keepNext/>
        <w:keepLines/>
        <w:numPr>
          <w:ilvl w:val="0"/>
          <w:numId w:val="71"/>
        </w:numPr>
        <w:spacing w:after="0" w:line="240" w:lineRule="auto"/>
        <w:contextualSpacing w:val="0"/>
        <w:jc w:val="both"/>
        <w:outlineLvl w:val="1"/>
        <w:rPr>
          <w:rFonts w:eastAsiaTheme="majorEastAsia" w:cs="Arial"/>
          <w:b/>
          <w:bCs/>
          <w:vanish/>
        </w:rPr>
      </w:pPr>
      <w:bookmarkStart w:id="1318" w:name="_Toc67567568"/>
      <w:bookmarkStart w:id="1319" w:name="_Toc67568561"/>
      <w:bookmarkStart w:id="1320" w:name="_Toc67571830"/>
      <w:bookmarkStart w:id="1321" w:name="_Toc67572852"/>
      <w:bookmarkStart w:id="1322" w:name="_Toc67573442"/>
      <w:bookmarkStart w:id="1323" w:name="_Toc69380810"/>
      <w:bookmarkStart w:id="1324" w:name="_Toc69382049"/>
      <w:bookmarkStart w:id="1325" w:name="_Toc69389926"/>
      <w:bookmarkStart w:id="1326" w:name="_Toc69393599"/>
      <w:bookmarkStart w:id="1327" w:name="_Toc69410765"/>
      <w:bookmarkStart w:id="1328" w:name="_Toc69411003"/>
      <w:bookmarkStart w:id="1329" w:name="_Toc69918775"/>
      <w:bookmarkStart w:id="1330" w:name="_Toc69923005"/>
      <w:bookmarkStart w:id="1331" w:name="_Toc160536017"/>
      <w:bookmarkStart w:id="1332" w:name="_Toc160575640"/>
      <w:bookmarkStart w:id="1333" w:name="_Toc160576849"/>
      <w:bookmarkStart w:id="1334" w:name="_Toc164251551"/>
      <w:bookmarkStart w:id="1335" w:name="_Toc168469320"/>
      <w:bookmarkStart w:id="1336" w:name="_Toc168469507"/>
      <w:bookmarkStart w:id="1337" w:name="_Toc202341295"/>
      <w:bookmarkStart w:id="1338" w:name="_Toc202449746"/>
      <w:bookmarkStart w:id="1339" w:name="_Toc202455393"/>
      <w:bookmarkStart w:id="1340" w:name="_Toc202456970"/>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p>
    <w:p w14:paraId="584D1475" w14:textId="77777777" w:rsidR="006A3DBC" w:rsidRPr="00FA4B2D" w:rsidRDefault="006A3DBC" w:rsidP="00411720">
      <w:pPr>
        <w:pStyle w:val="Prrafodelista"/>
        <w:keepNext/>
        <w:keepLines/>
        <w:numPr>
          <w:ilvl w:val="0"/>
          <w:numId w:val="71"/>
        </w:numPr>
        <w:spacing w:after="0" w:line="240" w:lineRule="auto"/>
        <w:contextualSpacing w:val="0"/>
        <w:jc w:val="both"/>
        <w:outlineLvl w:val="1"/>
        <w:rPr>
          <w:rFonts w:eastAsiaTheme="majorEastAsia" w:cs="Arial"/>
          <w:b/>
          <w:bCs/>
          <w:vanish/>
        </w:rPr>
      </w:pPr>
      <w:bookmarkStart w:id="1341" w:name="_Toc67567569"/>
      <w:bookmarkStart w:id="1342" w:name="_Toc67568562"/>
      <w:bookmarkStart w:id="1343" w:name="_Toc67571831"/>
      <w:bookmarkStart w:id="1344" w:name="_Toc67572853"/>
      <w:bookmarkStart w:id="1345" w:name="_Toc67573443"/>
      <w:bookmarkStart w:id="1346" w:name="_Toc69380811"/>
      <w:bookmarkStart w:id="1347" w:name="_Toc69382050"/>
      <w:bookmarkStart w:id="1348" w:name="_Toc69389927"/>
      <w:bookmarkStart w:id="1349" w:name="_Toc69393600"/>
      <w:bookmarkStart w:id="1350" w:name="_Toc69410766"/>
      <w:bookmarkStart w:id="1351" w:name="_Toc69411004"/>
      <w:bookmarkStart w:id="1352" w:name="_Toc69918776"/>
      <w:bookmarkStart w:id="1353" w:name="_Toc69923006"/>
      <w:bookmarkStart w:id="1354" w:name="_Toc160536018"/>
      <w:bookmarkStart w:id="1355" w:name="_Toc160575641"/>
      <w:bookmarkStart w:id="1356" w:name="_Toc160576850"/>
      <w:bookmarkStart w:id="1357" w:name="_Toc164251552"/>
      <w:bookmarkStart w:id="1358" w:name="_Toc168469321"/>
      <w:bookmarkStart w:id="1359" w:name="_Toc168469508"/>
      <w:bookmarkStart w:id="1360" w:name="_Toc202341296"/>
      <w:bookmarkStart w:id="1361" w:name="_Toc202449747"/>
      <w:bookmarkStart w:id="1362" w:name="_Toc202455394"/>
      <w:bookmarkStart w:id="1363" w:name="_Toc202456971"/>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p>
    <w:p w14:paraId="2016A885" w14:textId="77777777" w:rsidR="006A3DBC" w:rsidRPr="00FA4B2D" w:rsidRDefault="006A3DBC" w:rsidP="00411720">
      <w:pPr>
        <w:pStyle w:val="Prrafodelista"/>
        <w:keepNext/>
        <w:keepLines/>
        <w:numPr>
          <w:ilvl w:val="0"/>
          <w:numId w:val="71"/>
        </w:numPr>
        <w:spacing w:after="0" w:line="240" w:lineRule="auto"/>
        <w:contextualSpacing w:val="0"/>
        <w:jc w:val="both"/>
        <w:outlineLvl w:val="1"/>
        <w:rPr>
          <w:rFonts w:eastAsiaTheme="majorEastAsia" w:cs="Arial"/>
          <w:b/>
          <w:bCs/>
          <w:vanish/>
        </w:rPr>
      </w:pPr>
      <w:bookmarkStart w:id="1364" w:name="_Toc67567570"/>
      <w:bookmarkStart w:id="1365" w:name="_Toc67568563"/>
      <w:bookmarkStart w:id="1366" w:name="_Toc67571832"/>
      <w:bookmarkStart w:id="1367" w:name="_Toc67572854"/>
      <w:bookmarkStart w:id="1368" w:name="_Toc67573444"/>
      <w:bookmarkStart w:id="1369" w:name="_Toc69380812"/>
      <w:bookmarkStart w:id="1370" w:name="_Toc69382051"/>
      <w:bookmarkStart w:id="1371" w:name="_Toc69389928"/>
      <w:bookmarkStart w:id="1372" w:name="_Toc69393601"/>
      <w:bookmarkStart w:id="1373" w:name="_Toc69410767"/>
      <w:bookmarkStart w:id="1374" w:name="_Toc69411005"/>
      <w:bookmarkStart w:id="1375" w:name="_Toc69918777"/>
      <w:bookmarkStart w:id="1376" w:name="_Toc69923007"/>
      <w:bookmarkStart w:id="1377" w:name="_Toc160536019"/>
      <w:bookmarkStart w:id="1378" w:name="_Toc160575642"/>
      <w:bookmarkStart w:id="1379" w:name="_Toc160576851"/>
      <w:bookmarkStart w:id="1380" w:name="_Toc164251553"/>
      <w:bookmarkStart w:id="1381" w:name="_Toc168469322"/>
      <w:bookmarkStart w:id="1382" w:name="_Toc168469509"/>
      <w:bookmarkStart w:id="1383" w:name="_Toc202341297"/>
      <w:bookmarkStart w:id="1384" w:name="_Toc202449748"/>
      <w:bookmarkStart w:id="1385" w:name="_Toc202455395"/>
      <w:bookmarkStart w:id="1386" w:name="_Toc202456972"/>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p>
    <w:p w14:paraId="204BABE4" w14:textId="77777777" w:rsidR="006A3DBC" w:rsidRPr="00FA4B2D" w:rsidRDefault="006A3DBC" w:rsidP="00411720">
      <w:pPr>
        <w:pStyle w:val="Prrafodelista"/>
        <w:keepNext/>
        <w:keepLines/>
        <w:numPr>
          <w:ilvl w:val="0"/>
          <w:numId w:val="71"/>
        </w:numPr>
        <w:spacing w:after="0" w:line="240" w:lineRule="auto"/>
        <w:contextualSpacing w:val="0"/>
        <w:jc w:val="both"/>
        <w:outlineLvl w:val="1"/>
        <w:rPr>
          <w:rFonts w:eastAsiaTheme="majorEastAsia" w:cs="Arial"/>
          <w:b/>
          <w:bCs/>
          <w:vanish/>
        </w:rPr>
      </w:pPr>
      <w:bookmarkStart w:id="1387" w:name="_Toc67567571"/>
      <w:bookmarkStart w:id="1388" w:name="_Toc67568564"/>
      <w:bookmarkStart w:id="1389" w:name="_Toc67571833"/>
      <w:bookmarkStart w:id="1390" w:name="_Toc67572855"/>
      <w:bookmarkStart w:id="1391" w:name="_Toc67573445"/>
      <w:bookmarkStart w:id="1392" w:name="_Toc69380813"/>
      <w:bookmarkStart w:id="1393" w:name="_Toc69382052"/>
      <w:bookmarkStart w:id="1394" w:name="_Toc69389929"/>
      <w:bookmarkStart w:id="1395" w:name="_Toc69393602"/>
      <w:bookmarkStart w:id="1396" w:name="_Toc69410768"/>
      <w:bookmarkStart w:id="1397" w:name="_Toc69411006"/>
      <w:bookmarkStart w:id="1398" w:name="_Toc69918778"/>
      <w:bookmarkStart w:id="1399" w:name="_Toc69923008"/>
      <w:bookmarkStart w:id="1400" w:name="_Toc160536020"/>
      <w:bookmarkStart w:id="1401" w:name="_Toc160575643"/>
      <w:bookmarkStart w:id="1402" w:name="_Toc160576852"/>
      <w:bookmarkStart w:id="1403" w:name="_Toc164251554"/>
      <w:bookmarkStart w:id="1404" w:name="_Toc168469323"/>
      <w:bookmarkStart w:id="1405" w:name="_Toc168469510"/>
      <w:bookmarkStart w:id="1406" w:name="_Toc202341298"/>
      <w:bookmarkStart w:id="1407" w:name="_Toc202449749"/>
      <w:bookmarkStart w:id="1408" w:name="_Toc202455396"/>
      <w:bookmarkStart w:id="1409" w:name="_Toc202456973"/>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p>
    <w:p w14:paraId="120E1ECD" w14:textId="77777777" w:rsidR="006A3DBC" w:rsidRPr="00FA4B2D" w:rsidRDefault="006A3DBC" w:rsidP="00411720">
      <w:pPr>
        <w:pStyle w:val="Prrafodelista"/>
        <w:keepNext/>
        <w:keepLines/>
        <w:numPr>
          <w:ilvl w:val="0"/>
          <w:numId w:val="71"/>
        </w:numPr>
        <w:spacing w:after="0" w:line="240" w:lineRule="auto"/>
        <w:contextualSpacing w:val="0"/>
        <w:jc w:val="both"/>
        <w:outlineLvl w:val="1"/>
        <w:rPr>
          <w:rFonts w:eastAsiaTheme="majorEastAsia" w:cs="Arial"/>
          <w:b/>
          <w:bCs/>
          <w:vanish/>
        </w:rPr>
      </w:pPr>
      <w:bookmarkStart w:id="1410" w:name="_Toc67567572"/>
      <w:bookmarkStart w:id="1411" w:name="_Toc67568565"/>
      <w:bookmarkStart w:id="1412" w:name="_Toc67571834"/>
      <w:bookmarkStart w:id="1413" w:name="_Toc67572856"/>
      <w:bookmarkStart w:id="1414" w:name="_Toc67573446"/>
      <w:bookmarkStart w:id="1415" w:name="_Toc69380814"/>
      <w:bookmarkStart w:id="1416" w:name="_Toc69382053"/>
      <w:bookmarkStart w:id="1417" w:name="_Toc69389930"/>
      <w:bookmarkStart w:id="1418" w:name="_Toc69393603"/>
      <w:bookmarkStart w:id="1419" w:name="_Toc69410769"/>
      <w:bookmarkStart w:id="1420" w:name="_Toc69411007"/>
      <w:bookmarkStart w:id="1421" w:name="_Toc69918779"/>
      <w:bookmarkStart w:id="1422" w:name="_Toc69923009"/>
      <w:bookmarkStart w:id="1423" w:name="_Toc160536021"/>
      <w:bookmarkStart w:id="1424" w:name="_Toc160575644"/>
      <w:bookmarkStart w:id="1425" w:name="_Toc160576853"/>
      <w:bookmarkStart w:id="1426" w:name="_Toc164251555"/>
      <w:bookmarkStart w:id="1427" w:name="_Toc168469324"/>
      <w:bookmarkStart w:id="1428" w:name="_Toc168469511"/>
      <w:bookmarkStart w:id="1429" w:name="_Toc202341299"/>
      <w:bookmarkStart w:id="1430" w:name="_Toc202449750"/>
      <w:bookmarkStart w:id="1431" w:name="_Toc202455397"/>
      <w:bookmarkStart w:id="1432" w:name="_Toc202456974"/>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p>
    <w:p w14:paraId="42C05133" w14:textId="77777777" w:rsidR="006A3DBC" w:rsidRPr="00FA4B2D" w:rsidRDefault="006A3DBC" w:rsidP="00411720">
      <w:pPr>
        <w:pStyle w:val="Prrafodelista"/>
        <w:keepNext/>
        <w:keepLines/>
        <w:numPr>
          <w:ilvl w:val="0"/>
          <w:numId w:val="71"/>
        </w:numPr>
        <w:spacing w:after="0" w:line="240" w:lineRule="auto"/>
        <w:contextualSpacing w:val="0"/>
        <w:jc w:val="both"/>
        <w:outlineLvl w:val="1"/>
        <w:rPr>
          <w:rFonts w:eastAsiaTheme="majorEastAsia" w:cs="Arial"/>
          <w:b/>
          <w:bCs/>
          <w:vanish/>
        </w:rPr>
      </w:pPr>
      <w:bookmarkStart w:id="1433" w:name="_Toc67567573"/>
      <w:bookmarkStart w:id="1434" w:name="_Toc67568566"/>
      <w:bookmarkStart w:id="1435" w:name="_Toc67571835"/>
      <w:bookmarkStart w:id="1436" w:name="_Toc67572857"/>
      <w:bookmarkStart w:id="1437" w:name="_Toc67573447"/>
      <w:bookmarkStart w:id="1438" w:name="_Toc69380815"/>
      <w:bookmarkStart w:id="1439" w:name="_Toc69382054"/>
      <w:bookmarkStart w:id="1440" w:name="_Toc69389931"/>
      <w:bookmarkStart w:id="1441" w:name="_Toc69393604"/>
      <w:bookmarkStart w:id="1442" w:name="_Toc69410770"/>
      <w:bookmarkStart w:id="1443" w:name="_Toc69411008"/>
      <w:bookmarkStart w:id="1444" w:name="_Toc69918780"/>
      <w:bookmarkStart w:id="1445" w:name="_Toc69923010"/>
      <w:bookmarkStart w:id="1446" w:name="_Toc160536022"/>
      <w:bookmarkStart w:id="1447" w:name="_Toc160575645"/>
      <w:bookmarkStart w:id="1448" w:name="_Toc160576854"/>
      <w:bookmarkStart w:id="1449" w:name="_Toc164251556"/>
      <w:bookmarkStart w:id="1450" w:name="_Toc168469325"/>
      <w:bookmarkStart w:id="1451" w:name="_Toc168469512"/>
      <w:bookmarkStart w:id="1452" w:name="_Toc202341300"/>
      <w:bookmarkStart w:id="1453" w:name="_Toc202449751"/>
      <w:bookmarkStart w:id="1454" w:name="_Toc202455398"/>
      <w:bookmarkStart w:id="1455" w:name="_Toc202456975"/>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p>
    <w:p w14:paraId="66F7EA3E" w14:textId="77777777" w:rsidR="006A3DBC" w:rsidRPr="00FA4B2D" w:rsidRDefault="006A3DBC" w:rsidP="00411720">
      <w:pPr>
        <w:pStyle w:val="Ttulo2"/>
        <w:numPr>
          <w:ilvl w:val="1"/>
          <w:numId w:val="71"/>
        </w:numPr>
        <w:spacing w:before="0" w:line="240" w:lineRule="auto"/>
        <w:jc w:val="both"/>
        <w:rPr>
          <w:rFonts w:ascii="Arial" w:hAnsi="Arial" w:cs="Arial"/>
          <w:b/>
          <w:bCs/>
          <w:color w:val="767171" w:themeColor="background2" w:themeShade="80"/>
          <w:sz w:val="22"/>
          <w:szCs w:val="22"/>
        </w:rPr>
      </w:pPr>
      <w:bookmarkStart w:id="1456" w:name="_Toc67573448"/>
      <w:bookmarkStart w:id="1457" w:name="_Toc202456976"/>
      <w:r w:rsidRPr="00FA4B2D">
        <w:rPr>
          <w:rFonts w:ascii="Arial" w:hAnsi="Arial" w:cs="Arial"/>
          <w:b/>
          <w:bCs/>
          <w:color w:val="767171" w:themeColor="background2" w:themeShade="80"/>
          <w:sz w:val="22"/>
          <w:szCs w:val="22"/>
        </w:rPr>
        <w:t>Objetivos de la consulta</w:t>
      </w:r>
      <w:bookmarkEnd w:id="1456"/>
      <w:bookmarkEnd w:id="1457"/>
    </w:p>
    <w:p w14:paraId="4FE228C2" w14:textId="77777777" w:rsidR="006A3DBC" w:rsidRPr="00FA4B2D" w:rsidRDefault="006A3DBC" w:rsidP="006A3DBC">
      <w:pPr>
        <w:rPr>
          <w:rFonts w:cs="Arial"/>
        </w:rPr>
      </w:pPr>
    </w:p>
    <w:p w14:paraId="32428B52" w14:textId="77777777" w:rsidR="006A3DBC" w:rsidRPr="00FA4B2D" w:rsidRDefault="006A3DBC" w:rsidP="00411720">
      <w:pPr>
        <w:pStyle w:val="Prrafodelista"/>
        <w:numPr>
          <w:ilvl w:val="0"/>
          <w:numId w:val="78"/>
        </w:numPr>
        <w:spacing w:line="240" w:lineRule="auto"/>
        <w:ind w:left="709"/>
        <w:jc w:val="both"/>
        <w:rPr>
          <w:rFonts w:cs="Arial"/>
        </w:rPr>
      </w:pPr>
      <w:r w:rsidRPr="00FA4B2D">
        <w:rPr>
          <w:rFonts w:cs="Arial"/>
        </w:rPr>
        <w:t>Socializar y retroalimentar con los actores identificados, el Proyecto COMRURAL III, presentando las líneas de acción para facilitar la participación de diferentes agentes sociales que habitan en la zona de influencia del Proyecto COMRURAL III. Principalmente se busca consultar a organizaciones de productores rurales, así como también con los actores institucionales relacionados al Proyecto, tales como entidades públicas y organizaciones de la sociedad civil y el sector privado y financiero.</w:t>
      </w:r>
    </w:p>
    <w:p w14:paraId="3DE79165" w14:textId="77777777" w:rsidR="006A3DBC" w:rsidRPr="00FA4B2D" w:rsidRDefault="006A3DBC" w:rsidP="006A3DBC">
      <w:pPr>
        <w:pStyle w:val="Prrafodelista"/>
        <w:spacing w:line="240" w:lineRule="auto"/>
        <w:ind w:left="709"/>
        <w:jc w:val="both"/>
        <w:rPr>
          <w:rFonts w:cs="Arial"/>
        </w:rPr>
      </w:pPr>
    </w:p>
    <w:p w14:paraId="5B9FF76E" w14:textId="18235F4F" w:rsidR="006A3DBC" w:rsidRPr="00FA4B2D" w:rsidRDefault="006A3DBC" w:rsidP="006A3DBC">
      <w:pPr>
        <w:pStyle w:val="Prrafodelista"/>
        <w:numPr>
          <w:ilvl w:val="0"/>
          <w:numId w:val="78"/>
        </w:numPr>
        <w:spacing w:line="240" w:lineRule="auto"/>
        <w:ind w:left="709"/>
        <w:jc w:val="both"/>
        <w:rPr>
          <w:rFonts w:cs="Arial"/>
        </w:rPr>
      </w:pPr>
      <w:r w:rsidRPr="00FA4B2D">
        <w:rPr>
          <w:rFonts w:cs="Arial"/>
        </w:rPr>
        <w:t>Brindar oportunidades a las partes para extender sus opiniones sobre las actividades planificadas en el marco del Proyecto COMRURAL III e instrumentos de gestión de riesgos e impactos sociales y ambientales, lo que permitirá identificar aportes, recomendaciones, impacto, riesgos y posibles medidas de mitigación, que serán sistematizados en un Informe de Consulta; se presenta un resumen en el capítulo 9.5. Más información sobre el proceso de consulta se puede encontrar en el PPPI y sus anexos.</w:t>
      </w:r>
    </w:p>
    <w:p w14:paraId="25003C25" w14:textId="70CC3B82" w:rsidR="006A3DBC" w:rsidRPr="00FA4B2D" w:rsidRDefault="006A3DBC" w:rsidP="006A3DBC">
      <w:pPr>
        <w:pStyle w:val="Ttulo2"/>
        <w:numPr>
          <w:ilvl w:val="1"/>
          <w:numId w:val="71"/>
        </w:numPr>
        <w:spacing w:before="0" w:line="240" w:lineRule="auto"/>
        <w:jc w:val="both"/>
        <w:rPr>
          <w:rFonts w:ascii="Arial" w:hAnsi="Arial" w:cs="Arial"/>
          <w:b/>
          <w:bCs/>
          <w:color w:val="767171" w:themeColor="background2" w:themeShade="80"/>
          <w:sz w:val="22"/>
          <w:szCs w:val="22"/>
        </w:rPr>
      </w:pPr>
      <w:bookmarkStart w:id="1458" w:name="_Toc67573449"/>
      <w:bookmarkStart w:id="1459" w:name="_Toc202456977"/>
      <w:r w:rsidRPr="00FA4B2D">
        <w:rPr>
          <w:rFonts w:ascii="Arial" w:hAnsi="Arial" w:cs="Arial"/>
          <w:b/>
          <w:bCs/>
          <w:color w:val="767171" w:themeColor="background2" w:themeShade="80"/>
          <w:sz w:val="22"/>
          <w:szCs w:val="22"/>
        </w:rPr>
        <w:t>Metodología de la consulta</w:t>
      </w:r>
      <w:bookmarkEnd w:id="1458"/>
      <w:bookmarkEnd w:id="1459"/>
    </w:p>
    <w:p w14:paraId="21E214A5" w14:textId="77777777" w:rsidR="00DF301E" w:rsidRPr="00FA4B2D" w:rsidRDefault="00DF301E" w:rsidP="00DF301E">
      <w:pPr>
        <w:rPr>
          <w:rFonts w:cs="Arial"/>
        </w:rPr>
      </w:pPr>
    </w:p>
    <w:p w14:paraId="15100D78" w14:textId="77777777" w:rsidR="006A3DBC" w:rsidRPr="00FA4B2D" w:rsidRDefault="006A3DBC" w:rsidP="006A3DBC">
      <w:pPr>
        <w:spacing w:after="0" w:line="240" w:lineRule="auto"/>
        <w:jc w:val="both"/>
        <w:rPr>
          <w:rFonts w:cs="Arial"/>
        </w:rPr>
      </w:pPr>
      <w:r w:rsidRPr="00FA4B2D">
        <w:rPr>
          <w:rFonts w:cs="Arial"/>
        </w:rPr>
        <w:t xml:space="preserve">A nivel metodológico el proceso de consulta incluyó cuatro fases fundamentales: </w:t>
      </w:r>
    </w:p>
    <w:p w14:paraId="23E166A6" w14:textId="77777777" w:rsidR="006A3DBC" w:rsidRPr="00FA4B2D" w:rsidRDefault="006A3DBC" w:rsidP="006A3DBC">
      <w:pPr>
        <w:spacing w:after="0" w:line="240" w:lineRule="auto"/>
        <w:jc w:val="both"/>
        <w:rPr>
          <w:rFonts w:cs="Arial"/>
        </w:rPr>
      </w:pPr>
    </w:p>
    <w:p w14:paraId="192BAEAC" w14:textId="77777777" w:rsidR="006A3DBC" w:rsidRPr="00FA4B2D" w:rsidRDefault="006A3DBC" w:rsidP="00411720">
      <w:pPr>
        <w:pStyle w:val="Prrafodelista"/>
        <w:numPr>
          <w:ilvl w:val="0"/>
          <w:numId w:val="80"/>
        </w:numPr>
        <w:spacing w:line="240" w:lineRule="auto"/>
        <w:jc w:val="both"/>
        <w:rPr>
          <w:rFonts w:cs="Arial"/>
        </w:rPr>
      </w:pPr>
      <w:r w:rsidRPr="00FA4B2D">
        <w:rPr>
          <w:rFonts w:cs="Arial"/>
        </w:rPr>
        <w:t xml:space="preserve">Preparación del proceso: Inicia con la identificación de actores y partes interesadas en el Proyecto en la zona de cobertura, se proporciona a cada uno de ellos una valoración de su importancia respecto a los objetivos, alcances y afectación del proyecto y sus actividades, de acuerdo con su nivel de importancia se selecciona el procedimiento de consulta a ser aplicado, adicionalmente se prepara el directorio agrupado por parte interesada que incluye nombre del representante, cargo, número de teléfono y correo. </w:t>
      </w:r>
    </w:p>
    <w:p w14:paraId="3BD8B116" w14:textId="77777777" w:rsidR="006A3DBC" w:rsidRPr="00FA4B2D" w:rsidRDefault="006A3DBC" w:rsidP="00411720">
      <w:pPr>
        <w:pStyle w:val="Prrafodelista"/>
        <w:numPr>
          <w:ilvl w:val="0"/>
          <w:numId w:val="80"/>
        </w:numPr>
        <w:spacing w:line="240" w:lineRule="auto"/>
        <w:jc w:val="both"/>
        <w:rPr>
          <w:rFonts w:cs="Arial"/>
        </w:rPr>
      </w:pPr>
      <w:r w:rsidRPr="00FA4B2D">
        <w:rPr>
          <w:rFonts w:cs="Arial"/>
        </w:rPr>
        <w:t>Convocatoria y Socialización de información y resumen de los documentos.</w:t>
      </w:r>
    </w:p>
    <w:p w14:paraId="030E601A" w14:textId="77777777" w:rsidR="006A3DBC" w:rsidRPr="00FA4B2D" w:rsidRDefault="006A3DBC" w:rsidP="006A3DBC">
      <w:pPr>
        <w:pStyle w:val="Prrafodelista"/>
        <w:spacing w:line="240" w:lineRule="auto"/>
        <w:jc w:val="both"/>
        <w:rPr>
          <w:rFonts w:cs="Arial"/>
        </w:rPr>
      </w:pPr>
      <w:r w:rsidRPr="00FA4B2D">
        <w:rPr>
          <w:rFonts w:cs="Arial"/>
        </w:rPr>
        <w:t xml:space="preserve">Este proceso inicio con el diseño de la encuesta. Posteriormente se confirman el directorio de cada invitado y representantes de parte interesada. El Coordinador del Proyecto mediante nota por escrito hace la convocatoria al </w:t>
      </w:r>
      <w:r w:rsidRPr="00FA4B2D">
        <w:rPr>
          <w:rFonts w:cs="Arial"/>
        </w:rPr>
        <w:lastRenderedPageBreak/>
        <w:t>taller de consulta de los 4 grupos focales según las fechas programadas en el plan de consulta. En cada convocatoria se anexa el PowerPoint que presenta un resumen de los documentos que se consultaran y retroalimentación durante la actividad de consulta. El Equipo Ambiental y Social del Proyecto brinda seguimiento y confirma el recibimiento de la información y la respectiva convocatoria asegurando la participación en el evento.</w:t>
      </w:r>
    </w:p>
    <w:p w14:paraId="59898762" w14:textId="77777777" w:rsidR="006A3DBC" w:rsidRPr="00FA4B2D" w:rsidRDefault="006A3DBC" w:rsidP="00411720">
      <w:pPr>
        <w:pStyle w:val="Prrafodelista"/>
        <w:numPr>
          <w:ilvl w:val="0"/>
          <w:numId w:val="80"/>
        </w:numPr>
        <w:spacing w:line="240" w:lineRule="auto"/>
        <w:jc w:val="both"/>
        <w:rPr>
          <w:rFonts w:cs="Arial"/>
        </w:rPr>
      </w:pPr>
      <w:r w:rsidRPr="00FA4B2D">
        <w:rPr>
          <w:rFonts w:cs="Arial"/>
        </w:rPr>
        <w:t>Recolección de aportes y recomendaciones que retroalimentarán los documentos.</w:t>
      </w:r>
    </w:p>
    <w:p w14:paraId="0C1B8E74" w14:textId="77777777" w:rsidR="006A3DBC" w:rsidRPr="00FA4B2D" w:rsidRDefault="006A3DBC" w:rsidP="00411720">
      <w:pPr>
        <w:pStyle w:val="Prrafodelista"/>
        <w:numPr>
          <w:ilvl w:val="0"/>
          <w:numId w:val="79"/>
        </w:numPr>
        <w:spacing w:line="240" w:lineRule="auto"/>
        <w:jc w:val="both"/>
        <w:rPr>
          <w:rFonts w:cs="Arial"/>
        </w:rPr>
      </w:pPr>
      <w:r w:rsidRPr="00FA4B2D">
        <w:rPr>
          <w:rFonts w:cs="Arial"/>
        </w:rPr>
        <w:t>Grupos focales se elabora ayuda memoria que presenta un resumen de los aportes y comentarios recibidos sobre: Marco Conceptual, MGAS, MPPI, PPPI, MRI/MP.</w:t>
      </w:r>
    </w:p>
    <w:p w14:paraId="1834A613" w14:textId="77777777" w:rsidR="006A3DBC" w:rsidRPr="00FA4B2D" w:rsidRDefault="006A3DBC" w:rsidP="00411720">
      <w:pPr>
        <w:pStyle w:val="Prrafodelista"/>
        <w:numPr>
          <w:ilvl w:val="0"/>
          <w:numId w:val="79"/>
        </w:numPr>
        <w:spacing w:line="240" w:lineRule="auto"/>
        <w:jc w:val="both"/>
        <w:rPr>
          <w:rFonts w:cs="Arial"/>
        </w:rPr>
      </w:pPr>
      <w:r w:rsidRPr="00FA4B2D">
        <w:rPr>
          <w:rFonts w:cs="Arial"/>
        </w:rPr>
        <w:t>Encuestas se reciben mediante el correo del Proyecto COMRURAL III con copia al Equipo Ambiental y Social del Proyecto para elaboración de informe.</w:t>
      </w:r>
    </w:p>
    <w:p w14:paraId="36D3E7A4" w14:textId="77777777" w:rsidR="006A3DBC" w:rsidRPr="00FA4B2D" w:rsidRDefault="006A3DBC" w:rsidP="00411720">
      <w:pPr>
        <w:pStyle w:val="Prrafodelista"/>
        <w:numPr>
          <w:ilvl w:val="0"/>
          <w:numId w:val="79"/>
        </w:numPr>
        <w:spacing w:line="240" w:lineRule="auto"/>
        <w:jc w:val="both"/>
        <w:rPr>
          <w:rFonts w:cs="Arial"/>
        </w:rPr>
      </w:pPr>
      <w:r w:rsidRPr="00FA4B2D">
        <w:rPr>
          <w:rFonts w:cs="Arial"/>
        </w:rPr>
        <w:t>En los casos que una parte interesada no participa en uno de los procedimientos anteriores se procede a realizar una entrevista por teléfono.</w:t>
      </w:r>
    </w:p>
    <w:p w14:paraId="7A6A5604" w14:textId="77777777" w:rsidR="006A3DBC" w:rsidRPr="00FA4B2D" w:rsidRDefault="006A3DBC" w:rsidP="00411720">
      <w:pPr>
        <w:pStyle w:val="Prrafodelista"/>
        <w:numPr>
          <w:ilvl w:val="0"/>
          <w:numId w:val="80"/>
        </w:numPr>
        <w:spacing w:line="240" w:lineRule="auto"/>
        <w:jc w:val="both"/>
        <w:rPr>
          <w:rFonts w:cs="Arial"/>
        </w:rPr>
      </w:pPr>
      <w:r w:rsidRPr="00FA4B2D">
        <w:rPr>
          <w:rFonts w:cs="Arial"/>
        </w:rPr>
        <w:t>Sistematización de resultados (informe).</w:t>
      </w:r>
    </w:p>
    <w:p w14:paraId="3CA2BB89" w14:textId="0B35F19F" w:rsidR="006A3DBC" w:rsidRPr="00FA4B2D" w:rsidRDefault="006A3DBC" w:rsidP="006A3DBC">
      <w:pPr>
        <w:pStyle w:val="Prrafodelista"/>
        <w:numPr>
          <w:ilvl w:val="0"/>
          <w:numId w:val="81"/>
        </w:numPr>
        <w:spacing w:line="240" w:lineRule="auto"/>
        <w:jc w:val="both"/>
        <w:rPr>
          <w:rFonts w:cs="Arial"/>
        </w:rPr>
      </w:pPr>
      <w:r w:rsidRPr="00FA4B2D">
        <w:rPr>
          <w:rFonts w:cs="Arial"/>
        </w:rPr>
        <w:t>La información recibida como parte de la retroalimentación mediante grupos focales se clasifica y tabula según hallazgos de interés encontrados y se presentan en un cuadro resumen que hace referencia al tipo de actor, instrumentos en consulta que corresponde y comentario o retroalimentación bridada.</w:t>
      </w:r>
    </w:p>
    <w:p w14:paraId="4A0146F1" w14:textId="77777777" w:rsidR="006A3DBC" w:rsidRPr="00FA4B2D" w:rsidRDefault="006A3DBC" w:rsidP="00411720">
      <w:pPr>
        <w:pStyle w:val="Ttulo2"/>
        <w:numPr>
          <w:ilvl w:val="1"/>
          <w:numId w:val="71"/>
        </w:numPr>
        <w:spacing w:before="0" w:line="240" w:lineRule="auto"/>
        <w:jc w:val="both"/>
        <w:rPr>
          <w:rFonts w:ascii="Arial" w:hAnsi="Arial" w:cs="Arial"/>
          <w:b/>
          <w:bCs/>
          <w:color w:val="767171" w:themeColor="background2" w:themeShade="80"/>
          <w:sz w:val="22"/>
          <w:szCs w:val="22"/>
        </w:rPr>
      </w:pPr>
      <w:bookmarkStart w:id="1460" w:name="_Toc67573450"/>
      <w:bookmarkStart w:id="1461" w:name="_Toc202456978"/>
      <w:r w:rsidRPr="00FA4B2D">
        <w:rPr>
          <w:rFonts w:ascii="Arial" w:hAnsi="Arial" w:cs="Arial"/>
          <w:b/>
          <w:bCs/>
          <w:color w:val="767171" w:themeColor="background2" w:themeShade="80"/>
          <w:sz w:val="22"/>
          <w:szCs w:val="22"/>
        </w:rPr>
        <w:t>Información sobre aspectos ambientales y sociales relevados</w:t>
      </w:r>
      <w:bookmarkEnd w:id="1460"/>
      <w:bookmarkEnd w:id="1461"/>
      <w:r w:rsidRPr="00FA4B2D">
        <w:rPr>
          <w:rFonts w:ascii="Arial" w:hAnsi="Arial" w:cs="Arial"/>
          <w:b/>
          <w:bCs/>
          <w:color w:val="767171" w:themeColor="background2" w:themeShade="80"/>
          <w:sz w:val="22"/>
          <w:szCs w:val="22"/>
        </w:rPr>
        <w:t xml:space="preserve"> </w:t>
      </w:r>
    </w:p>
    <w:p w14:paraId="2E0B7307" w14:textId="77777777" w:rsidR="006A3DBC" w:rsidRPr="00FA4B2D" w:rsidRDefault="006A3DBC" w:rsidP="006A3DBC">
      <w:pPr>
        <w:spacing w:line="240" w:lineRule="auto"/>
        <w:ind w:left="360"/>
        <w:jc w:val="both"/>
        <w:rPr>
          <w:rFonts w:cs="Arial"/>
        </w:rPr>
      </w:pPr>
    </w:p>
    <w:p w14:paraId="0848A777" w14:textId="77777777" w:rsidR="006A3DBC" w:rsidRPr="00FA4B2D" w:rsidRDefault="006A3DBC" w:rsidP="006A3DBC">
      <w:pPr>
        <w:spacing w:line="240" w:lineRule="auto"/>
        <w:ind w:left="360"/>
        <w:jc w:val="both"/>
        <w:rPr>
          <w:rFonts w:cs="Arial"/>
        </w:rPr>
      </w:pPr>
      <w:r w:rsidRPr="00FA4B2D">
        <w:rPr>
          <w:rFonts w:cs="Arial"/>
        </w:rPr>
        <w:t>Los distintos formatos de encuestas incluyeron preguntas referidas a la gestión ambiental y social del Proyecto:</w:t>
      </w:r>
    </w:p>
    <w:p w14:paraId="664D447D" w14:textId="77777777" w:rsidR="006A3DBC" w:rsidRPr="00FA4B2D" w:rsidRDefault="006A3DBC" w:rsidP="00411720">
      <w:pPr>
        <w:pStyle w:val="Prrafodelista"/>
        <w:numPr>
          <w:ilvl w:val="0"/>
          <w:numId w:val="82"/>
        </w:numPr>
        <w:rPr>
          <w:rFonts w:cs="Arial"/>
        </w:rPr>
      </w:pPr>
      <w:r w:rsidRPr="00FA4B2D">
        <w:rPr>
          <w:rFonts w:cs="Arial"/>
        </w:rPr>
        <w:t>¿Qué impactos sociales tiene o podría tener en caso de ejecutar un PdN?</w:t>
      </w:r>
    </w:p>
    <w:p w14:paraId="3D495B75" w14:textId="77777777" w:rsidR="006A3DBC" w:rsidRPr="00FA4B2D" w:rsidRDefault="006A3DBC" w:rsidP="00411720">
      <w:pPr>
        <w:pStyle w:val="Prrafodelista"/>
        <w:numPr>
          <w:ilvl w:val="0"/>
          <w:numId w:val="83"/>
        </w:numPr>
        <w:ind w:left="1440"/>
        <w:jc w:val="both"/>
        <w:rPr>
          <w:rFonts w:cs="Arial"/>
        </w:rPr>
      </w:pPr>
      <w:r w:rsidRPr="00FA4B2D">
        <w:rPr>
          <w:rFonts w:cs="Arial"/>
        </w:rPr>
        <w:t>Riesgo de intensificación de conflictos sociales, particularmente debido a temas de tenencia de tierras asociados al sector agro productivo.</w:t>
      </w:r>
    </w:p>
    <w:p w14:paraId="42466E7F" w14:textId="77777777" w:rsidR="006A3DBC" w:rsidRPr="00FA4B2D" w:rsidRDefault="006A3DBC" w:rsidP="00411720">
      <w:pPr>
        <w:pStyle w:val="Prrafodelista"/>
        <w:numPr>
          <w:ilvl w:val="0"/>
          <w:numId w:val="83"/>
        </w:numPr>
        <w:ind w:left="1440"/>
        <w:jc w:val="both"/>
        <w:rPr>
          <w:rFonts w:cs="Arial"/>
        </w:rPr>
      </w:pPr>
      <w:r w:rsidRPr="00FA4B2D">
        <w:rPr>
          <w:rFonts w:cs="Arial"/>
        </w:rPr>
        <w:t>En la ejecución de los PdNs y actividades agrícolas programadas existe el riesgo que se puedan presentar situaciones de trabajo infantil fenómeno que presenta variadas implicaciones y complejidad en el medio rural.</w:t>
      </w:r>
    </w:p>
    <w:p w14:paraId="2309D38F" w14:textId="77777777" w:rsidR="006A3DBC" w:rsidRPr="00FA4B2D" w:rsidRDefault="006A3DBC" w:rsidP="00411720">
      <w:pPr>
        <w:pStyle w:val="Prrafodelista"/>
        <w:numPr>
          <w:ilvl w:val="0"/>
          <w:numId w:val="83"/>
        </w:numPr>
        <w:ind w:left="1440"/>
        <w:jc w:val="both"/>
        <w:rPr>
          <w:rFonts w:cs="Arial"/>
        </w:rPr>
      </w:pPr>
      <w:r w:rsidRPr="00FA4B2D">
        <w:rPr>
          <w:rFonts w:cs="Arial"/>
        </w:rPr>
        <w:t>Captación de agua para procesamiento agroindustrial que limita el abastecimiento de agua a las comunidades que provoque pérdida permanente de áreas productivas y de residencia.</w:t>
      </w:r>
    </w:p>
    <w:p w14:paraId="4B05CB1F" w14:textId="77777777" w:rsidR="006A3DBC" w:rsidRPr="00FA4B2D" w:rsidRDefault="006A3DBC" w:rsidP="00411720">
      <w:pPr>
        <w:pStyle w:val="Prrafodelista"/>
        <w:numPr>
          <w:ilvl w:val="0"/>
          <w:numId w:val="83"/>
        </w:numPr>
        <w:ind w:left="1440"/>
        <w:jc w:val="both"/>
        <w:rPr>
          <w:rFonts w:cs="Arial"/>
        </w:rPr>
      </w:pPr>
      <w:r w:rsidRPr="00FA4B2D">
        <w:rPr>
          <w:rFonts w:cs="Arial"/>
        </w:rPr>
        <w:t>Inversiones colectivas en plantas para procesamiento agroindustrial; principalmente café especial, hortalizas y frutales, potencialmente podrían generar pérdida permanente de la tierra residencial, provocando desplazamiento físico de lugar de residencia por parte de población participante y no participante en el Proyecto.</w:t>
      </w:r>
    </w:p>
    <w:p w14:paraId="384E4A9D" w14:textId="77777777" w:rsidR="006A3DBC" w:rsidRPr="00FA4B2D" w:rsidRDefault="006A3DBC" w:rsidP="00411720">
      <w:pPr>
        <w:pStyle w:val="Prrafodelista"/>
        <w:numPr>
          <w:ilvl w:val="0"/>
          <w:numId w:val="83"/>
        </w:numPr>
        <w:ind w:left="1440"/>
        <w:jc w:val="both"/>
        <w:rPr>
          <w:rFonts w:cs="Arial"/>
        </w:rPr>
      </w:pPr>
      <w:r w:rsidRPr="00FA4B2D">
        <w:rPr>
          <w:rFonts w:cs="Arial"/>
        </w:rPr>
        <w:lastRenderedPageBreak/>
        <w:t>Organizaciones de mujeres e indígenas presentan limitada asociatividad para lograr economías de escala, acceder a tecnologías y a nichos de mercado y por ende su capacidad organizativa no responde a convocatorias para presentación de perfiles de COMRURAL III.</w:t>
      </w:r>
    </w:p>
    <w:p w14:paraId="2E914785" w14:textId="77777777" w:rsidR="006A3DBC" w:rsidRPr="00FA4B2D" w:rsidRDefault="006A3DBC" w:rsidP="00411720">
      <w:pPr>
        <w:pStyle w:val="Prrafodelista"/>
        <w:numPr>
          <w:ilvl w:val="0"/>
          <w:numId w:val="83"/>
        </w:numPr>
        <w:ind w:left="1440"/>
        <w:jc w:val="both"/>
        <w:rPr>
          <w:rFonts w:cs="Arial"/>
        </w:rPr>
      </w:pPr>
      <w:r w:rsidRPr="00FA4B2D">
        <w:rPr>
          <w:rFonts w:cs="Arial"/>
        </w:rPr>
        <w:t xml:space="preserve">Otros. </w:t>
      </w:r>
    </w:p>
    <w:p w14:paraId="16719508" w14:textId="77777777" w:rsidR="006A3DBC" w:rsidRPr="00FA4B2D" w:rsidRDefault="006A3DBC" w:rsidP="00411720">
      <w:pPr>
        <w:pStyle w:val="Prrafodelista"/>
        <w:numPr>
          <w:ilvl w:val="0"/>
          <w:numId w:val="82"/>
        </w:numPr>
        <w:rPr>
          <w:rFonts w:cs="Arial"/>
        </w:rPr>
      </w:pPr>
      <w:r w:rsidRPr="00FA4B2D">
        <w:rPr>
          <w:rFonts w:cs="Arial"/>
        </w:rPr>
        <w:t>¿Cuáles son las medidas contra los impactos adversos que aplica o se pueden aplicar en caso de ejecutar un PdN?</w:t>
      </w:r>
    </w:p>
    <w:p w14:paraId="1E6F13F9" w14:textId="77777777" w:rsidR="006A3DBC" w:rsidRPr="00FA4B2D" w:rsidRDefault="006A3DBC" w:rsidP="006A3DBC">
      <w:pPr>
        <w:pStyle w:val="Prrafodelista"/>
        <w:ind w:left="1440"/>
        <w:rPr>
          <w:rFonts w:cs="Arial"/>
        </w:rPr>
      </w:pPr>
    </w:p>
    <w:p w14:paraId="265DF68C" w14:textId="77777777" w:rsidR="006A3DBC" w:rsidRPr="00FA4B2D" w:rsidRDefault="006A3DBC" w:rsidP="00411720">
      <w:pPr>
        <w:pStyle w:val="Prrafodelista"/>
        <w:numPr>
          <w:ilvl w:val="0"/>
          <w:numId w:val="82"/>
        </w:numPr>
        <w:rPr>
          <w:rFonts w:cs="Arial"/>
        </w:rPr>
      </w:pPr>
      <w:r w:rsidRPr="00FA4B2D">
        <w:rPr>
          <w:rFonts w:cs="Arial"/>
        </w:rPr>
        <w:t>¿Qué impactos ambientales tiene o podría tener en caso de ejecutar un PdN la actividad que realiza la Organización?</w:t>
      </w:r>
    </w:p>
    <w:p w14:paraId="7DC83072" w14:textId="77777777" w:rsidR="006A3DBC" w:rsidRPr="00FA4B2D" w:rsidRDefault="006A3DBC" w:rsidP="00411720">
      <w:pPr>
        <w:pStyle w:val="Prrafodelista"/>
        <w:numPr>
          <w:ilvl w:val="0"/>
          <w:numId w:val="84"/>
        </w:numPr>
        <w:ind w:left="1440"/>
        <w:rPr>
          <w:rFonts w:cs="Arial"/>
        </w:rPr>
      </w:pPr>
      <w:r w:rsidRPr="00FA4B2D">
        <w:rPr>
          <w:rFonts w:cs="Arial"/>
        </w:rPr>
        <w:t>Uso excesivo de pesticidas, herbicidas fertilizantes es medio de contaminación de cursos de agua y pérdida de fertilidad del suelo. ocasionando daños a la salud humana y pérdida de biodiversidad.</w:t>
      </w:r>
    </w:p>
    <w:p w14:paraId="03F79295" w14:textId="77777777" w:rsidR="006A3DBC" w:rsidRPr="00FA4B2D" w:rsidRDefault="006A3DBC" w:rsidP="00411720">
      <w:pPr>
        <w:pStyle w:val="Prrafodelista"/>
        <w:numPr>
          <w:ilvl w:val="0"/>
          <w:numId w:val="84"/>
        </w:numPr>
        <w:ind w:left="1440"/>
        <w:rPr>
          <w:rFonts w:cs="Arial"/>
        </w:rPr>
      </w:pPr>
      <w:r w:rsidRPr="00FA4B2D">
        <w:rPr>
          <w:rFonts w:cs="Arial"/>
        </w:rPr>
        <w:t>Cambio de uso del suelo si se amplía la frontera agrícola por cualquier tipo de producción, y sobre todo en áreas protegidas.</w:t>
      </w:r>
    </w:p>
    <w:p w14:paraId="4BBF19B2" w14:textId="77777777" w:rsidR="006A3DBC" w:rsidRPr="00FA4B2D" w:rsidRDefault="006A3DBC" w:rsidP="00411720">
      <w:pPr>
        <w:pStyle w:val="Prrafodelista"/>
        <w:numPr>
          <w:ilvl w:val="0"/>
          <w:numId w:val="84"/>
        </w:numPr>
        <w:ind w:left="1440"/>
        <w:rPr>
          <w:rFonts w:cs="Arial"/>
        </w:rPr>
      </w:pPr>
      <w:r w:rsidRPr="00FA4B2D">
        <w:rPr>
          <w:rFonts w:cs="Arial"/>
        </w:rPr>
        <w:t>Presión sobre los recursos hídricos y hábitat naturales por uso agrícola.</w:t>
      </w:r>
    </w:p>
    <w:p w14:paraId="7D49AB03" w14:textId="77777777" w:rsidR="006A3DBC" w:rsidRPr="00FA4B2D" w:rsidRDefault="006A3DBC" w:rsidP="00411720">
      <w:pPr>
        <w:pStyle w:val="Prrafodelista"/>
        <w:numPr>
          <w:ilvl w:val="0"/>
          <w:numId w:val="84"/>
        </w:numPr>
        <w:ind w:left="1440"/>
        <w:rPr>
          <w:rFonts w:cs="Arial"/>
        </w:rPr>
      </w:pPr>
      <w:r w:rsidRPr="00FA4B2D">
        <w:rPr>
          <w:rFonts w:cs="Arial"/>
        </w:rPr>
        <w:t>Degradación de ecosistemas frágiles en zonas de inversión.</w:t>
      </w:r>
    </w:p>
    <w:p w14:paraId="0E327AC5" w14:textId="77777777" w:rsidR="006A3DBC" w:rsidRPr="00FA4B2D" w:rsidRDefault="006A3DBC" w:rsidP="00411720">
      <w:pPr>
        <w:pStyle w:val="Prrafodelista"/>
        <w:numPr>
          <w:ilvl w:val="0"/>
          <w:numId w:val="84"/>
        </w:numPr>
        <w:ind w:left="1440"/>
        <w:rPr>
          <w:rFonts w:cs="Arial"/>
        </w:rPr>
      </w:pPr>
      <w:r w:rsidRPr="00FA4B2D">
        <w:rPr>
          <w:rFonts w:cs="Arial"/>
        </w:rPr>
        <w:t>Ampliación de frontera agrícola por incentivo y rentabilidad de cultivos.</w:t>
      </w:r>
    </w:p>
    <w:p w14:paraId="419C819A" w14:textId="77777777" w:rsidR="006A3DBC" w:rsidRPr="00FA4B2D" w:rsidRDefault="006A3DBC" w:rsidP="00411720">
      <w:pPr>
        <w:pStyle w:val="Prrafodelista"/>
        <w:numPr>
          <w:ilvl w:val="0"/>
          <w:numId w:val="84"/>
        </w:numPr>
        <w:ind w:left="1440"/>
        <w:rPr>
          <w:rFonts w:cs="Arial"/>
        </w:rPr>
      </w:pPr>
      <w:r w:rsidRPr="00FA4B2D">
        <w:rPr>
          <w:rFonts w:cs="Arial"/>
        </w:rPr>
        <w:t>Contaminación por residuos sólidos y líquidos en general.</w:t>
      </w:r>
    </w:p>
    <w:p w14:paraId="2C24C6F7" w14:textId="77777777" w:rsidR="006A3DBC" w:rsidRPr="00FA4B2D" w:rsidRDefault="006A3DBC" w:rsidP="00411720">
      <w:pPr>
        <w:pStyle w:val="Prrafodelista"/>
        <w:numPr>
          <w:ilvl w:val="0"/>
          <w:numId w:val="84"/>
        </w:numPr>
        <w:ind w:left="1440"/>
        <w:rPr>
          <w:rFonts w:cs="Arial"/>
        </w:rPr>
      </w:pPr>
      <w:r w:rsidRPr="00FA4B2D">
        <w:rPr>
          <w:rFonts w:cs="Arial"/>
        </w:rPr>
        <w:t>Otros.</w:t>
      </w:r>
    </w:p>
    <w:p w14:paraId="19F1B94A" w14:textId="77777777" w:rsidR="006A3DBC" w:rsidRPr="00FA4B2D" w:rsidRDefault="006A3DBC" w:rsidP="006A3DBC">
      <w:pPr>
        <w:spacing w:line="240" w:lineRule="auto"/>
        <w:ind w:left="360"/>
        <w:jc w:val="both"/>
        <w:rPr>
          <w:rFonts w:cs="Arial"/>
          <w:szCs w:val="24"/>
        </w:rPr>
      </w:pPr>
    </w:p>
    <w:p w14:paraId="695E1144" w14:textId="77777777" w:rsidR="006A3DBC" w:rsidRPr="00FA4B2D" w:rsidRDefault="006A3DBC" w:rsidP="00411720">
      <w:pPr>
        <w:pStyle w:val="Ttulo2"/>
        <w:numPr>
          <w:ilvl w:val="1"/>
          <w:numId w:val="71"/>
        </w:numPr>
        <w:spacing w:before="0" w:line="240" w:lineRule="auto"/>
        <w:jc w:val="both"/>
        <w:rPr>
          <w:rFonts w:ascii="Arial" w:hAnsi="Arial" w:cs="Arial"/>
          <w:b/>
          <w:bCs/>
          <w:color w:val="767171" w:themeColor="background2" w:themeShade="80"/>
          <w:sz w:val="22"/>
          <w:szCs w:val="22"/>
        </w:rPr>
      </w:pPr>
      <w:bookmarkStart w:id="1462" w:name="_Toc67573451"/>
      <w:bookmarkStart w:id="1463" w:name="_Toc202456979"/>
      <w:r w:rsidRPr="00FA4B2D">
        <w:rPr>
          <w:rFonts w:ascii="Arial" w:hAnsi="Arial" w:cs="Arial"/>
          <w:b/>
          <w:bCs/>
          <w:color w:val="767171" w:themeColor="background2" w:themeShade="80"/>
          <w:sz w:val="22"/>
          <w:szCs w:val="22"/>
        </w:rPr>
        <w:t>Implementación de la consulta</w:t>
      </w:r>
      <w:bookmarkEnd w:id="1462"/>
      <w:bookmarkEnd w:id="1463"/>
    </w:p>
    <w:p w14:paraId="74E963D0" w14:textId="6ABC7A11" w:rsidR="006A3DBC" w:rsidRDefault="006A3DBC" w:rsidP="003F2AF3">
      <w:pPr>
        <w:jc w:val="both"/>
        <w:rPr>
          <w:rFonts w:cs="Arial"/>
        </w:rPr>
      </w:pPr>
      <w:r w:rsidRPr="00FA4B2D">
        <w:rPr>
          <w:rFonts w:cs="Arial"/>
        </w:rPr>
        <w:t xml:space="preserve">Como estaba previsto se realizó mediante la aplicación básicamente de 3 técnicas de recopilación de datos, grupo focal, encuesta y entrevista, de acuerdo con las características de la parte interesada se aplicó diferente procedimiento para la consulta. Adicionalmente, es importante recordar que el contexto en el cual se desarrolló la consulta exige procedimientos que aseguren el cumplimiento de la normativa vigente debido a la pandemia del COVID-19, que, entre otras medidas, restringe las reuniones de más de 10 personas en lugares cerrados, exige mantener el distanciamiento social de al menos 1.5 metros entre persona, uso obligatorio de mascarilla y lavado constante de manos, aparte de restricciones de movilidad entre las 9:00 pm y 5:00 am.  </w:t>
      </w:r>
    </w:p>
    <w:p w14:paraId="3FDB2016" w14:textId="77777777" w:rsidR="002B7276" w:rsidRDefault="002B7276" w:rsidP="003F2AF3">
      <w:pPr>
        <w:jc w:val="both"/>
        <w:rPr>
          <w:rFonts w:cs="Arial"/>
        </w:rPr>
      </w:pPr>
    </w:p>
    <w:p w14:paraId="1DB31F62" w14:textId="77777777" w:rsidR="002B7276" w:rsidRDefault="002B7276" w:rsidP="003F2AF3">
      <w:pPr>
        <w:jc w:val="both"/>
        <w:rPr>
          <w:rFonts w:cs="Arial"/>
        </w:rPr>
      </w:pPr>
    </w:p>
    <w:p w14:paraId="13C2417A" w14:textId="77777777" w:rsidR="002B7276" w:rsidRPr="00FA4B2D" w:rsidRDefault="002B7276" w:rsidP="003F2AF3">
      <w:pPr>
        <w:jc w:val="both"/>
        <w:rPr>
          <w:rFonts w:cs="Arial"/>
        </w:rPr>
      </w:pPr>
    </w:p>
    <w:p w14:paraId="38A71D25" w14:textId="77777777" w:rsidR="006A3DBC" w:rsidRPr="00FA4B2D" w:rsidRDefault="006A3DBC" w:rsidP="00411720">
      <w:pPr>
        <w:pStyle w:val="Ttulo2"/>
        <w:numPr>
          <w:ilvl w:val="1"/>
          <w:numId w:val="71"/>
        </w:numPr>
        <w:spacing w:before="0" w:line="240" w:lineRule="auto"/>
        <w:jc w:val="both"/>
        <w:rPr>
          <w:rFonts w:ascii="Arial" w:hAnsi="Arial" w:cs="Arial"/>
          <w:b/>
          <w:bCs/>
          <w:color w:val="767171" w:themeColor="background2" w:themeShade="80"/>
          <w:sz w:val="22"/>
          <w:szCs w:val="22"/>
        </w:rPr>
      </w:pPr>
      <w:bookmarkStart w:id="1464" w:name="_Toc67573452"/>
      <w:bookmarkStart w:id="1465" w:name="_Toc202456980"/>
      <w:r w:rsidRPr="00FA4B2D">
        <w:rPr>
          <w:rFonts w:ascii="Arial" w:hAnsi="Arial" w:cs="Arial"/>
          <w:b/>
          <w:bCs/>
          <w:color w:val="767171" w:themeColor="background2" w:themeShade="80"/>
          <w:sz w:val="22"/>
          <w:szCs w:val="22"/>
        </w:rPr>
        <w:lastRenderedPageBreak/>
        <w:t>Resultados de consulta</w:t>
      </w:r>
      <w:bookmarkEnd w:id="1464"/>
      <w:bookmarkEnd w:id="1465"/>
    </w:p>
    <w:p w14:paraId="2B5486F7" w14:textId="77777777" w:rsidR="006A3DBC" w:rsidRPr="00FA4B2D" w:rsidRDefault="006A3DBC" w:rsidP="006A3DBC">
      <w:pPr>
        <w:spacing w:after="0" w:line="240" w:lineRule="auto"/>
        <w:jc w:val="both"/>
        <w:rPr>
          <w:rFonts w:cs="Arial"/>
        </w:rPr>
      </w:pPr>
      <w:r w:rsidRPr="00FA4B2D">
        <w:rPr>
          <w:rFonts w:cs="Arial"/>
        </w:rPr>
        <w:t>A continuación, se presenta los resultados de las consultas realizadas vinculadas al MGAS para cada uno de los grupos consultados.</w:t>
      </w:r>
    </w:p>
    <w:p w14:paraId="056CDBEC" w14:textId="77777777" w:rsidR="00C81834" w:rsidRPr="00FA4B2D" w:rsidRDefault="00C81834" w:rsidP="00C81834">
      <w:pPr>
        <w:spacing w:after="0" w:line="240" w:lineRule="auto"/>
        <w:jc w:val="both"/>
        <w:rPr>
          <w:rFonts w:cs="Arial"/>
          <w:sz w:val="20"/>
          <w:szCs w:val="20"/>
        </w:rPr>
      </w:pPr>
    </w:p>
    <w:tbl>
      <w:tblPr>
        <w:tblStyle w:val="Tablaconcuadrcula"/>
        <w:tblW w:w="8926" w:type="dxa"/>
        <w:tblLook w:val="04A0" w:firstRow="1" w:lastRow="0" w:firstColumn="1" w:lastColumn="0" w:noHBand="0" w:noVBand="1"/>
      </w:tblPr>
      <w:tblGrid>
        <w:gridCol w:w="1838"/>
        <w:gridCol w:w="7088"/>
      </w:tblGrid>
      <w:tr w:rsidR="00C81834" w:rsidRPr="00FA4B2D" w14:paraId="24ECF5A2" w14:textId="77777777" w:rsidTr="00C81834">
        <w:trPr>
          <w:tblHeader/>
        </w:trPr>
        <w:tc>
          <w:tcPr>
            <w:tcW w:w="8926" w:type="dxa"/>
            <w:gridSpan w:val="2"/>
            <w:shd w:val="clear" w:color="auto" w:fill="EDEDED" w:themeFill="accent3" w:themeFillTint="33"/>
            <w:vAlign w:val="center"/>
          </w:tcPr>
          <w:p w14:paraId="3C3DAB9A" w14:textId="77777777" w:rsidR="00C81834" w:rsidRPr="00FA4B2D" w:rsidRDefault="00C81834" w:rsidP="00C81834">
            <w:pPr>
              <w:jc w:val="center"/>
              <w:rPr>
                <w:rFonts w:cs="Arial"/>
                <w:sz w:val="20"/>
                <w:szCs w:val="20"/>
                <w:lang w:val="es-ES_tradnl"/>
              </w:rPr>
            </w:pPr>
            <w:r w:rsidRPr="00FA4B2D">
              <w:rPr>
                <w:rFonts w:cs="Arial"/>
                <w:b/>
                <w:bCs/>
                <w:sz w:val="20"/>
                <w:szCs w:val="20"/>
                <w:lang w:val="es-ES_tradnl"/>
              </w:rPr>
              <w:t>GRUPO FOCAL # 1 PUEBLOS INDIGENAS</w:t>
            </w:r>
          </w:p>
        </w:tc>
      </w:tr>
      <w:tr w:rsidR="00C81834" w:rsidRPr="00FA4B2D" w14:paraId="03EB679B" w14:textId="77777777" w:rsidTr="00C81834">
        <w:tc>
          <w:tcPr>
            <w:tcW w:w="1838" w:type="dxa"/>
            <w:shd w:val="clear" w:color="auto" w:fill="EDEDED" w:themeFill="accent3" w:themeFillTint="33"/>
            <w:vAlign w:val="center"/>
          </w:tcPr>
          <w:p w14:paraId="319814A7" w14:textId="77777777" w:rsidR="00C81834" w:rsidRPr="00FA4B2D" w:rsidRDefault="00C81834" w:rsidP="000A703C">
            <w:pPr>
              <w:jc w:val="both"/>
              <w:rPr>
                <w:rFonts w:cs="Arial"/>
                <w:sz w:val="20"/>
                <w:szCs w:val="20"/>
                <w:lang w:val="es-ES_tradnl"/>
              </w:rPr>
            </w:pPr>
            <w:r w:rsidRPr="00FA4B2D">
              <w:rPr>
                <w:rFonts w:cs="Arial"/>
                <w:sz w:val="20"/>
                <w:szCs w:val="20"/>
                <w:lang w:val="es-ES_tradnl"/>
              </w:rPr>
              <w:t>Marco de Gestión Ambiental y Social</w:t>
            </w:r>
          </w:p>
        </w:tc>
        <w:tc>
          <w:tcPr>
            <w:tcW w:w="7088" w:type="dxa"/>
            <w:shd w:val="clear" w:color="auto" w:fill="EDEDED" w:themeFill="accent3" w:themeFillTint="33"/>
            <w:vAlign w:val="center"/>
          </w:tcPr>
          <w:p w14:paraId="325D2B7A" w14:textId="77777777" w:rsidR="00C81834" w:rsidRPr="00FA4B2D" w:rsidRDefault="00C81834" w:rsidP="00411720">
            <w:pPr>
              <w:numPr>
                <w:ilvl w:val="0"/>
                <w:numId w:val="86"/>
              </w:numPr>
              <w:spacing w:before="240" w:after="240"/>
              <w:ind w:left="357" w:hanging="357"/>
              <w:jc w:val="both"/>
              <w:rPr>
                <w:rFonts w:cs="Arial"/>
                <w:sz w:val="20"/>
                <w:szCs w:val="20"/>
                <w:lang w:val="es-ES_tradnl"/>
              </w:rPr>
            </w:pPr>
            <w:r w:rsidRPr="00FA4B2D">
              <w:rPr>
                <w:rFonts w:cs="Arial"/>
                <w:sz w:val="20"/>
                <w:szCs w:val="20"/>
                <w:lang w:val="es-ES_tradnl"/>
              </w:rPr>
              <w:t>Atender y tomar en cuenta acciones específicas que permitan el acceso a la tierra a mujeres.</w:t>
            </w:r>
          </w:p>
          <w:p w14:paraId="3B59B4DF" w14:textId="77777777" w:rsidR="00C81834" w:rsidRPr="00FA4B2D" w:rsidRDefault="00C81834" w:rsidP="00411720">
            <w:pPr>
              <w:numPr>
                <w:ilvl w:val="0"/>
                <w:numId w:val="86"/>
              </w:numPr>
              <w:spacing w:before="240" w:after="240"/>
              <w:ind w:left="357" w:hanging="357"/>
              <w:jc w:val="both"/>
              <w:rPr>
                <w:rFonts w:cs="Arial"/>
                <w:sz w:val="20"/>
                <w:szCs w:val="20"/>
                <w:lang w:val="es-ES_tradnl"/>
              </w:rPr>
            </w:pPr>
            <w:r w:rsidRPr="00FA4B2D">
              <w:rPr>
                <w:rFonts w:cs="Arial"/>
                <w:sz w:val="20"/>
                <w:szCs w:val="20"/>
                <w:lang w:val="es-ES_tradnl"/>
              </w:rPr>
              <w:t>Evitar incentivar proyectos que atenten contra los recursos naturales principalmente sobre el uso del suelo, por ejemplo, con la plaga del gorgojo que afecto los bosques de pino hoy se pretende la siembra de café.</w:t>
            </w:r>
          </w:p>
          <w:p w14:paraId="7B7CA8C6" w14:textId="77777777" w:rsidR="00C81834" w:rsidRPr="00FA4B2D" w:rsidRDefault="00C81834" w:rsidP="00411720">
            <w:pPr>
              <w:numPr>
                <w:ilvl w:val="0"/>
                <w:numId w:val="86"/>
              </w:numPr>
              <w:spacing w:before="240" w:after="240"/>
              <w:ind w:left="357" w:hanging="357"/>
              <w:jc w:val="both"/>
              <w:rPr>
                <w:rFonts w:cs="Arial"/>
                <w:sz w:val="20"/>
                <w:szCs w:val="20"/>
                <w:lang w:val="es-ES_tradnl"/>
              </w:rPr>
            </w:pPr>
            <w:r w:rsidRPr="00FA4B2D">
              <w:rPr>
                <w:rFonts w:cs="Arial"/>
                <w:sz w:val="20"/>
                <w:szCs w:val="20"/>
                <w:lang w:val="es-ES_tradnl"/>
              </w:rPr>
              <w:t>Apoyar las actividades previas al cumplimiento de requisitos especialmente como por ejemplo el licenciamiento ambiental que es una limitante por el trámite y costo.</w:t>
            </w:r>
          </w:p>
          <w:p w14:paraId="7863A4FE" w14:textId="77777777" w:rsidR="00C81834" w:rsidRPr="00FA4B2D" w:rsidRDefault="00C81834" w:rsidP="00411720">
            <w:pPr>
              <w:numPr>
                <w:ilvl w:val="0"/>
                <w:numId w:val="86"/>
              </w:numPr>
              <w:spacing w:before="240" w:after="240"/>
              <w:ind w:left="357" w:hanging="357"/>
              <w:jc w:val="both"/>
              <w:rPr>
                <w:rFonts w:cs="Arial"/>
                <w:sz w:val="20"/>
                <w:szCs w:val="20"/>
                <w:lang w:val="es-ES_tradnl"/>
              </w:rPr>
            </w:pPr>
            <w:r w:rsidRPr="00FA4B2D">
              <w:rPr>
                <w:rFonts w:cs="Arial"/>
                <w:sz w:val="20"/>
                <w:szCs w:val="20"/>
                <w:lang w:val="es-ES_tradnl"/>
              </w:rPr>
              <w:t xml:space="preserve">Consideran que los riesgos e impactos sociales y ambientales están bien identificados y todos son tienen alta valoración para los pueblos indígenas. </w:t>
            </w:r>
          </w:p>
          <w:p w14:paraId="21BDA839" w14:textId="77777777" w:rsidR="00C81834" w:rsidRPr="00FA4B2D" w:rsidRDefault="00C81834" w:rsidP="00411720">
            <w:pPr>
              <w:numPr>
                <w:ilvl w:val="0"/>
                <w:numId w:val="86"/>
              </w:numPr>
              <w:spacing w:before="240" w:after="240"/>
              <w:ind w:left="357" w:hanging="357"/>
              <w:jc w:val="both"/>
              <w:rPr>
                <w:rFonts w:cs="Arial"/>
                <w:sz w:val="20"/>
                <w:szCs w:val="20"/>
                <w:lang w:val="es-ES_tradnl"/>
              </w:rPr>
            </w:pPr>
            <w:r w:rsidRPr="00FA4B2D">
              <w:rPr>
                <w:rFonts w:cs="Arial"/>
                <w:sz w:val="20"/>
                <w:szCs w:val="20"/>
                <w:lang w:val="es-ES_tradnl"/>
              </w:rPr>
              <w:t xml:space="preserve">Recomiendan establecer como medida una estrategia de atención especial para pueblos indígenas. </w:t>
            </w:r>
          </w:p>
        </w:tc>
      </w:tr>
    </w:tbl>
    <w:p w14:paraId="78F25110" w14:textId="77777777" w:rsidR="00C81834" w:rsidRPr="00FA4B2D" w:rsidRDefault="00C81834" w:rsidP="00C81834">
      <w:pPr>
        <w:spacing w:after="0" w:line="240" w:lineRule="auto"/>
        <w:jc w:val="both"/>
        <w:rPr>
          <w:rFonts w:cs="Arial"/>
          <w:sz w:val="20"/>
          <w:szCs w:val="20"/>
        </w:rPr>
      </w:pPr>
    </w:p>
    <w:p w14:paraId="031CD604" w14:textId="77777777" w:rsidR="00C81834" w:rsidRPr="00FA4B2D" w:rsidRDefault="00C81834" w:rsidP="00C81834">
      <w:pPr>
        <w:spacing w:after="0" w:line="240" w:lineRule="auto"/>
        <w:jc w:val="both"/>
        <w:rPr>
          <w:rFonts w:cs="Arial"/>
          <w:sz w:val="20"/>
          <w:szCs w:val="20"/>
        </w:rPr>
      </w:pPr>
    </w:p>
    <w:tbl>
      <w:tblPr>
        <w:tblStyle w:val="Tablaconcuadrcula"/>
        <w:tblW w:w="8926" w:type="dxa"/>
        <w:tblLook w:val="04A0" w:firstRow="1" w:lastRow="0" w:firstColumn="1" w:lastColumn="0" w:noHBand="0" w:noVBand="1"/>
      </w:tblPr>
      <w:tblGrid>
        <w:gridCol w:w="1838"/>
        <w:gridCol w:w="7088"/>
      </w:tblGrid>
      <w:tr w:rsidR="00C81834" w:rsidRPr="00FA4B2D" w14:paraId="4E3F9A83" w14:textId="77777777" w:rsidTr="4691D7B3">
        <w:trPr>
          <w:tblHeader/>
        </w:trPr>
        <w:tc>
          <w:tcPr>
            <w:tcW w:w="8926" w:type="dxa"/>
            <w:gridSpan w:val="2"/>
            <w:shd w:val="clear" w:color="auto" w:fill="EDEDED" w:themeFill="accent3" w:themeFillTint="33"/>
            <w:vAlign w:val="center"/>
          </w:tcPr>
          <w:p w14:paraId="044B0D08" w14:textId="77777777" w:rsidR="00C81834" w:rsidRPr="00FA4B2D" w:rsidRDefault="00C81834" w:rsidP="00C81834">
            <w:pPr>
              <w:jc w:val="center"/>
              <w:rPr>
                <w:rFonts w:cs="Arial"/>
                <w:sz w:val="20"/>
                <w:szCs w:val="20"/>
                <w:lang w:val="es-ES_tradnl"/>
              </w:rPr>
            </w:pPr>
            <w:r w:rsidRPr="00FA4B2D">
              <w:rPr>
                <w:rFonts w:cs="Arial"/>
                <w:b/>
                <w:bCs/>
                <w:sz w:val="20"/>
                <w:szCs w:val="20"/>
                <w:lang w:val="es-ES_tradnl"/>
              </w:rPr>
              <w:t>GRUPO FOCAL # 2 PROVEEDORES DE SERVICIO EMPRESARIAL Y PRODUCTIVO PSDE</w:t>
            </w:r>
          </w:p>
        </w:tc>
      </w:tr>
      <w:tr w:rsidR="00C81834" w:rsidRPr="00FA4B2D" w14:paraId="7004E7C5" w14:textId="77777777" w:rsidTr="4691D7B3">
        <w:tc>
          <w:tcPr>
            <w:tcW w:w="1838" w:type="dxa"/>
            <w:shd w:val="clear" w:color="auto" w:fill="EDEDED" w:themeFill="accent3" w:themeFillTint="33"/>
            <w:vAlign w:val="center"/>
          </w:tcPr>
          <w:p w14:paraId="791783AC" w14:textId="77777777" w:rsidR="00C81834" w:rsidRPr="00FA4B2D" w:rsidRDefault="00C81834" w:rsidP="000A703C">
            <w:pPr>
              <w:jc w:val="both"/>
              <w:rPr>
                <w:rFonts w:cs="Arial"/>
                <w:sz w:val="20"/>
                <w:szCs w:val="20"/>
                <w:lang w:val="es-ES_tradnl"/>
              </w:rPr>
            </w:pPr>
            <w:r w:rsidRPr="00FA4B2D">
              <w:rPr>
                <w:rFonts w:cs="Arial"/>
                <w:sz w:val="20"/>
                <w:szCs w:val="20"/>
                <w:lang w:val="es-ES_tradnl"/>
              </w:rPr>
              <w:t>Marco de Gestión Ambiental y Social</w:t>
            </w:r>
          </w:p>
        </w:tc>
        <w:tc>
          <w:tcPr>
            <w:tcW w:w="7088" w:type="dxa"/>
            <w:shd w:val="clear" w:color="auto" w:fill="EDEDED" w:themeFill="accent3" w:themeFillTint="33"/>
            <w:vAlign w:val="center"/>
          </w:tcPr>
          <w:p w14:paraId="16234437" w14:textId="77777777" w:rsidR="00C81834" w:rsidRPr="00FA4B2D" w:rsidRDefault="00C81834" w:rsidP="00411720">
            <w:pPr>
              <w:numPr>
                <w:ilvl w:val="0"/>
                <w:numId w:val="86"/>
              </w:numPr>
              <w:spacing w:before="240" w:after="240"/>
              <w:ind w:left="357" w:hanging="357"/>
              <w:jc w:val="both"/>
              <w:rPr>
                <w:rFonts w:cs="Arial"/>
                <w:sz w:val="20"/>
                <w:szCs w:val="20"/>
                <w:lang w:val="es-ES_tradnl"/>
              </w:rPr>
            </w:pPr>
            <w:r w:rsidRPr="00FA4B2D">
              <w:rPr>
                <w:rFonts w:cs="Arial"/>
                <w:sz w:val="20"/>
                <w:szCs w:val="20"/>
                <w:lang w:val="es-ES_tradnl"/>
              </w:rPr>
              <w:t>Incluir en los presupuestos de los planes de negocio un % de inversión obligatorio para la inclusión de mujeres y jóvenes, que permita articular iniciativas a las estrategias de género y relevo para que no se queden en requisitos de cumplimiento en el asesoramiento técnico.</w:t>
            </w:r>
          </w:p>
          <w:p w14:paraId="61FCA6A7" w14:textId="77777777" w:rsidR="00C81834" w:rsidRPr="00FA4B2D" w:rsidRDefault="00C81834" w:rsidP="4691D7B3">
            <w:pPr>
              <w:numPr>
                <w:ilvl w:val="0"/>
                <w:numId w:val="86"/>
              </w:numPr>
              <w:spacing w:before="240" w:after="240"/>
              <w:ind w:left="357" w:hanging="357"/>
              <w:rPr>
                <w:rFonts w:cs="Arial"/>
                <w:sz w:val="20"/>
                <w:szCs w:val="20"/>
                <w:lang w:val="es-ES"/>
              </w:rPr>
            </w:pPr>
            <w:r w:rsidRPr="00FA4B2D">
              <w:rPr>
                <w:rFonts w:cs="Arial"/>
                <w:sz w:val="20"/>
                <w:szCs w:val="20"/>
                <w:lang w:val="es-ES"/>
              </w:rPr>
              <w:t>Se recomienda tomar y reservar los fondos de inclusión social desde la formulación del PdN.</w:t>
            </w:r>
          </w:p>
          <w:p w14:paraId="3492491C" w14:textId="77777777" w:rsidR="00C81834" w:rsidRPr="00FA4B2D" w:rsidRDefault="00C81834" w:rsidP="00411720">
            <w:pPr>
              <w:numPr>
                <w:ilvl w:val="0"/>
                <w:numId w:val="86"/>
              </w:numPr>
              <w:spacing w:before="240" w:after="240"/>
              <w:ind w:left="357" w:hanging="357"/>
              <w:jc w:val="both"/>
              <w:rPr>
                <w:rFonts w:cs="Arial"/>
                <w:sz w:val="20"/>
                <w:szCs w:val="20"/>
                <w:lang w:val="es-ES_tradnl"/>
              </w:rPr>
            </w:pPr>
            <w:r w:rsidRPr="00FA4B2D">
              <w:rPr>
                <w:rFonts w:cs="Arial"/>
                <w:sz w:val="20"/>
                <w:szCs w:val="20"/>
                <w:lang w:val="es-ES_tradnl"/>
              </w:rPr>
              <w:t>Incluir mecanismos para evaluar las capacidades reales en las organizaciones para ejecutar las estrategias de inclusión social, de lo contrario estas se quedan a nivel de documentos.</w:t>
            </w:r>
          </w:p>
          <w:p w14:paraId="6B0B74FC" w14:textId="7661706E" w:rsidR="00C81834" w:rsidRPr="00FA4B2D" w:rsidRDefault="00C81834" w:rsidP="4691D7B3">
            <w:pPr>
              <w:numPr>
                <w:ilvl w:val="0"/>
                <w:numId w:val="86"/>
              </w:numPr>
              <w:spacing w:before="240" w:after="240"/>
              <w:ind w:left="357" w:hanging="357"/>
              <w:jc w:val="both"/>
              <w:rPr>
                <w:rFonts w:cs="Arial"/>
                <w:sz w:val="20"/>
                <w:szCs w:val="20"/>
                <w:lang w:val="es-ES"/>
              </w:rPr>
            </w:pPr>
            <w:r w:rsidRPr="00FA4B2D">
              <w:rPr>
                <w:rFonts w:cs="Arial"/>
                <w:sz w:val="20"/>
                <w:szCs w:val="20"/>
                <w:lang w:val="es-ES"/>
              </w:rPr>
              <w:t xml:space="preserve">Incluir como riesgo social los flujos migratorios de productores rurales que afectan sus membresías y tienen efectos adversos en la sostenibilidad de inversiones y desarrollo de </w:t>
            </w:r>
            <w:r w:rsidR="00E674E6" w:rsidRPr="00FA4B2D">
              <w:rPr>
                <w:rFonts w:cs="Arial"/>
                <w:sz w:val="20"/>
                <w:szCs w:val="20"/>
                <w:lang w:val="es-ES"/>
              </w:rPr>
              <w:t>acciones programadas</w:t>
            </w:r>
            <w:r w:rsidRPr="00FA4B2D">
              <w:rPr>
                <w:rFonts w:cs="Arial"/>
                <w:sz w:val="20"/>
                <w:szCs w:val="20"/>
                <w:lang w:val="es-ES"/>
              </w:rPr>
              <w:t xml:space="preserve"> en los PdNs.</w:t>
            </w:r>
          </w:p>
          <w:p w14:paraId="3193E221" w14:textId="77777777" w:rsidR="00C81834" w:rsidRPr="00FA4B2D" w:rsidRDefault="00C81834" w:rsidP="00411720">
            <w:pPr>
              <w:numPr>
                <w:ilvl w:val="0"/>
                <w:numId w:val="86"/>
              </w:numPr>
              <w:spacing w:before="240" w:after="240"/>
              <w:ind w:left="357" w:hanging="357"/>
              <w:jc w:val="both"/>
              <w:rPr>
                <w:rFonts w:cs="Arial"/>
                <w:sz w:val="20"/>
                <w:szCs w:val="20"/>
                <w:lang w:val="es-ES_tradnl"/>
              </w:rPr>
            </w:pPr>
            <w:r w:rsidRPr="00FA4B2D">
              <w:rPr>
                <w:rFonts w:cs="Arial"/>
                <w:sz w:val="20"/>
                <w:szCs w:val="20"/>
                <w:lang w:val="es-ES_tradnl"/>
              </w:rPr>
              <w:t>Recomiendan hacer una apuesta por la formación de liderazgos para desarrollar procesos efectivos de relevo que son muy necesarios y requieren de inversiones y asignación de fondos.</w:t>
            </w:r>
          </w:p>
          <w:p w14:paraId="1156EC20" w14:textId="77777777" w:rsidR="00C81834" w:rsidRPr="00FA4B2D" w:rsidRDefault="00C81834" w:rsidP="00411720">
            <w:pPr>
              <w:numPr>
                <w:ilvl w:val="0"/>
                <w:numId w:val="86"/>
              </w:numPr>
              <w:spacing w:before="240" w:after="240"/>
              <w:ind w:left="357" w:hanging="357"/>
              <w:jc w:val="both"/>
              <w:rPr>
                <w:rFonts w:cs="Arial"/>
                <w:sz w:val="20"/>
                <w:szCs w:val="20"/>
                <w:lang w:val="es-ES_tradnl"/>
              </w:rPr>
            </w:pPr>
            <w:r w:rsidRPr="00FA4B2D">
              <w:rPr>
                <w:rFonts w:cs="Arial"/>
                <w:sz w:val="20"/>
                <w:szCs w:val="20"/>
                <w:lang w:val="es-ES_tradnl"/>
              </w:rPr>
              <w:t>Incluir como parte de los procesos de capacitación y formación de jóvenes diplomados certificados vinculadas a cadenas de valor, los cual permitirá desarrollar sus competencias y tener una oportunidad en el mercado laboral como mano de obra calificada.</w:t>
            </w:r>
          </w:p>
          <w:p w14:paraId="4EAD3CD3" w14:textId="77777777" w:rsidR="00C81834" w:rsidRPr="00FA4B2D" w:rsidRDefault="00C81834" w:rsidP="00411720">
            <w:pPr>
              <w:numPr>
                <w:ilvl w:val="0"/>
                <w:numId w:val="86"/>
              </w:numPr>
              <w:spacing w:before="240" w:after="240"/>
              <w:ind w:left="357" w:hanging="357"/>
              <w:jc w:val="both"/>
              <w:rPr>
                <w:rFonts w:cs="Arial"/>
                <w:sz w:val="20"/>
                <w:szCs w:val="20"/>
                <w:lang w:val="es-ES_tradnl"/>
              </w:rPr>
            </w:pPr>
            <w:r w:rsidRPr="00FA4B2D">
              <w:rPr>
                <w:rFonts w:cs="Arial"/>
                <w:sz w:val="20"/>
                <w:szCs w:val="20"/>
                <w:lang w:val="es-ES_tradnl"/>
              </w:rPr>
              <w:lastRenderedPageBreak/>
              <w:t xml:space="preserve">Despertar mayor interés e incentivo en las organizaciones para invertir en temas de inclusión social con sostenibilidad y beneficios económicos. </w:t>
            </w:r>
          </w:p>
          <w:p w14:paraId="67034324" w14:textId="77777777" w:rsidR="00C81834" w:rsidRPr="00FA4B2D" w:rsidRDefault="00C81834" w:rsidP="00411720">
            <w:pPr>
              <w:numPr>
                <w:ilvl w:val="0"/>
                <w:numId w:val="86"/>
              </w:numPr>
              <w:spacing w:before="240" w:after="240"/>
              <w:ind w:left="357" w:hanging="357"/>
              <w:jc w:val="both"/>
              <w:rPr>
                <w:rFonts w:cs="Arial"/>
                <w:sz w:val="20"/>
                <w:szCs w:val="20"/>
                <w:lang w:val="es-ES"/>
              </w:rPr>
            </w:pPr>
            <w:r w:rsidRPr="00FA4B2D">
              <w:rPr>
                <w:rFonts w:cs="Arial"/>
                <w:sz w:val="20"/>
                <w:szCs w:val="20"/>
                <w:lang w:val="es-ES"/>
              </w:rPr>
              <w:t>El Proyecto se debe actualizar en la implicación de los sellos especialmente en lo que se refiere a los insumos agrícolas, tomando en cuenta las exigencias de marcas y mercados más avanzados a los cuales acceden las organizaciones de mayor desarrollo vinculadas particularmente a la cadena de café.</w:t>
            </w:r>
          </w:p>
          <w:p w14:paraId="0333A9C7" w14:textId="77777777" w:rsidR="00C81834" w:rsidRPr="00FA4B2D" w:rsidRDefault="00C81834" w:rsidP="00411720">
            <w:pPr>
              <w:numPr>
                <w:ilvl w:val="0"/>
                <w:numId w:val="86"/>
              </w:numPr>
              <w:spacing w:before="240" w:after="240"/>
              <w:ind w:left="357" w:hanging="357"/>
              <w:jc w:val="both"/>
              <w:rPr>
                <w:rFonts w:cs="Arial"/>
                <w:sz w:val="20"/>
                <w:szCs w:val="20"/>
                <w:lang w:val="es-ES_tradnl"/>
              </w:rPr>
            </w:pPr>
            <w:r w:rsidRPr="00FA4B2D">
              <w:rPr>
                <w:rFonts w:cs="Arial"/>
                <w:sz w:val="20"/>
                <w:szCs w:val="20"/>
                <w:lang w:val="es-ES_tradnl"/>
              </w:rPr>
              <w:t>Baja escolaridad de integrantes de organizaciones de productores rurales debilita los procesos de gobernanza interna y participación democrática al impedir la rotación de cargos directivos.</w:t>
            </w:r>
          </w:p>
        </w:tc>
      </w:tr>
    </w:tbl>
    <w:p w14:paraId="073C5E6B" w14:textId="77777777" w:rsidR="00C81834" w:rsidRPr="00FA4B2D" w:rsidRDefault="00C81834" w:rsidP="00C81834">
      <w:pPr>
        <w:spacing w:after="0" w:line="240" w:lineRule="auto"/>
        <w:jc w:val="both"/>
        <w:rPr>
          <w:rFonts w:cs="Arial"/>
          <w:sz w:val="20"/>
          <w:szCs w:val="20"/>
          <w:lang w:val="es-ES_tradnl"/>
        </w:rPr>
      </w:pPr>
    </w:p>
    <w:p w14:paraId="31FEDE01" w14:textId="77777777" w:rsidR="00C81834" w:rsidRPr="00FA4B2D" w:rsidRDefault="00C81834" w:rsidP="00C81834">
      <w:pPr>
        <w:spacing w:after="0" w:line="240" w:lineRule="auto"/>
        <w:jc w:val="both"/>
        <w:rPr>
          <w:rFonts w:cs="Arial"/>
          <w:sz w:val="20"/>
          <w:szCs w:val="20"/>
          <w:lang w:val="es-ES_tradnl"/>
        </w:rPr>
      </w:pPr>
    </w:p>
    <w:tbl>
      <w:tblPr>
        <w:tblStyle w:val="Tablaconcuadrcula"/>
        <w:tblW w:w="8926" w:type="dxa"/>
        <w:tblLook w:val="04A0" w:firstRow="1" w:lastRow="0" w:firstColumn="1" w:lastColumn="0" w:noHBand="0" w:noVBand="1"/>
      </w:tblPr>
      <w:tblGrid>
        <w:gridCol w:w="1838"/>
        <w:gridCol w:w="7088"/>
      </w:tblGrid>
      <w:tr w:rsidR="00C81834" w:rsidRPr="00FA4B2D" w14:paraId="6582FC18" w14:textId="77777777" w:rsidTr="00C81834">
        <w:trPr>
          <w:tblHeader/>
        </w:trPr>
        <w:tc>
          <w:tcPr>
            <w:tcW w:w="8926" w:type="dxa"/>
            <w:gridSpan w:val="2"/>
            <w:shd w:val="clear" w:color="auto" w:fill="EDEDED" w:themeFill="accent3" w:themeFillTint="33"/>
            <w:vAlign w:val="center"/>
          </w:tcPr>
          <w:p w14:paraId="19978982" w14:textId="77777777" w:rsidR="00C81834" w:rsidRPr="00FA4B2D" w:rsidRDefault="00C81834" w:rsidP="00C81834">
            <w:pPr>
              <w:jc w:val="center"/>
              <w:rPr>
                <w:rFonts w:cs="Arial"/>
                <w:sz w:val="20"/>
                <w:szCs w:val="20"/>
                <w:lang w:val="es-ES_tradnl"/>
              </w:rPr>
            </w:pPr>
            <w:r w:rsidRPr="00FA4B2D">
              <w:rPr>
                <w:rFonts w:cs="Arial"/>
                <w:b/>
                <w:bCs/>
                <w:sz w:val="20"/>
                <w:szCs w:val="20"/>
                <w:lang w:val="es-ES_tradnl"/>
              </w:rPr>
              <w:t>GRUPO FOCAL # 3: ASOCIACIONES QUE REPRESENTAN A PRODUCTORES RURALES</w:t>
            </w:r>
          </w:p>
        </w:tc>
      </w:tr>
      <w:tr w:rsidR="00C81834" w:rsidRPr="00FA4B2D" w14:paraId="64837653" w14:textId="77777777" w:rsidTr="00C81834">
        <w:tc>
          <w:tcPr>
            <w:tcW w:w="1838" w:type="dxa"/>
            <w:shd w:val="clear" w:color="auto" w:fill="EDEDED" w:themeFill="accent3" w:themeFillTint="33"/>
            <w:vAlign w:val="center"/>
          </w:tcPr>
          <w:p w14:paraId="6D0E0393" w14:textId="77777777" w:rsidR="00C81834" w:rsidRPr="00FA4B2D" w:rsidRDefault="00C81834" w:rsidP="000A703C">
            <w:pPr>
              <w:jc w:val="both"/>
              <w:rPr>
                <w:rFonts w:cs="Arial"/>
                <w:sz w:val="20"/>
                <w:szCs w:val="20"/>
                <w:lang w:val="es-ES_tradnl"/>
              </w:rPr>
            </w:pPr>
            <w:r w:rsidRPr="00FA4B2D">
              <w:rPr>
                <w:rFonts w:cs="Arial"/>
                <w:sz w:val="20"/>
                <w:szCs w:val="20"/>
                <w:lang w:val="es-ES_tradnl"/>
              </w:rPr>
              <w:t>Marco de Gestión Ambiental y Social</w:t>
            </w:r>
          </w:p>
        </w:tc>
        <w:tc>
          <w:tcPr>
            <w:tcW w:w="7088" w:type="dxa"/>
            <w:shd w:val="clear" w:color="auto" w:fill="EDEDED" w:themeFill="accent3" w:themeFillTint="33"/>
            <w:vAlign w:val="center"/>
          </w:tcPr>
          <w:p w14:paraId="4DAC1CF5" w14:textId="77777777" w:rsidR="00C81834" w:rsidRPr="00FA4B2D" w:rsidRDefault="00C81834" w:rsidP="00411720">
            <w:pPr>
              <w:numPr>
                <w:ilvl w:val="0"/>
                <w:numId w:val="86"/>
              </w:numPr>
              <w:spacing w:before="240" w:after="240"/>
              <w:ind w:left="357" w:hanging="357"/>
              <w:jc w:val="both"/>
              <w:rPr>
                <w:rFonts w:cs="Arial"/>
                <w:sz w:val="20"/>
                <w:szCs w:val="20"/>
                <w:lang w:val="es-ES"/>
              </w:rPr>
            </w:pPr>
            <w:r w:rsidRPr="00FA4B2D">
              <w:rPr>
                <w:rFonts w:cs="Arial"/>
                <w:sz w:val="20"/>
                <w:szCs w:val="20"/>
                <w:lang w:val="es-ES"/>
              </w:rPr>
              <w:t>Recomiendan incluir como un riesgo social la migración rural constante de la población especialmente joven de ambos sexos lo cual afecta la permanencia y funcionalidad de los grupos y organizaciones.</w:t>
            </w:r>
          </w:p>
          <w:p w14:paraId="5EDFB4E6" w14:textId="77777777" w:rsidR="00C81834" w:rsidRPr="00FA4B2D" w:rsidRDefault="00C81834" w:rsidP="00411720">
            <w:pPr>
              <w:numPr>
                <w:ilvl w:val="0"/>
                <w:numId w:val="86"/>
              </w:numPr>
              <w:spacing w:before="240" w:after="240"/>
              <w:ind w:left="357" w:hanging="357"/>
              <w:jc w:val="both"/>
              <w:rPr>
                <w:rFonts w:cs="Arial"/>
                <w:sz w:val="20"/>
                <w:szCs w:val="20"/>
                <w:lang w:val="es-ES_tradnl"/>
              </w:rPr>
            </w:pPr>
            <w:r w:rsidRPr="00FA4B2D">
              <w:rPr>
                <w:rFonts w:cs="Arial"/>
                <w:sz w:val="20"/>
                <w:szCs w:val="20"/>
                <w:lang w:val="es-ES_tradnl"/>
              </w:rPr>
              <w:t>Otro punto crítico es la duración, procedimiento tedioso y costo de la obtención de las licencias ambientales, una limitante que puede limitar la participación de grupos de productores.</w:t>
            </w:r>
          </w:p>
          <w:p w14:paraId="472BC9D9" w14:textId="77777777" w:rsidR="00C81834" w:rsidRPr="00FA4B2D" w:rsidRDefault="00C81834" w:rsidP="00411720">
            <w:pPr>
              <w:numPr>
                <w:ilvl w:val="0"/>
                <w:numId w:val="86"/>
              </w:numPr>
              <w:spacing w:before="240" w:after="240"/>
              <w:ind w:left="357" w:hanging="357"/>
              <w:jc w:val="both"/>
              <w:rPr>
                <w:rFonts w:cs="Arial"/>
                <w:sz w:val="20"/>
                <w:szCs w:val="20"/>
                <w:lang w:val="es-ES_tradnl"/>
              </w:rPr>
            </w:pPr>
            <w:r w:rsidRPr="00FA4B2D">
              <w:rPr>
                <w:rFonts w:cs="Arial"/>
                <w:sz w:val="20"/>
                <w:szCs w:val="20"/>
                <w:lang w:val="es-ES_tradnl"/>
              </w:rPr>
              <w:t>Es recomendable además de disponer de medidas e instrumentos de salvaguarda también de fondos destinados para incentivar programas de capacitación y oportunidades de empleo para jóvenes y mujeres.</w:t>
            </w:r>
          </w:p>
          <w:p w14:paraId="75EB720E" w14:textId="77777777" w:rsidR="00C81834" w:rsidRPr="00FA4B2D" w:rsidRDefault="00C81834" w:rsidP="00411720">
            <w:pPr>
              <w:numPr>
                <w:ilvl w:val="0"/>
                <w:numId w:val="85"/>
              </w:numPr>
              <w:spacing w:before="240" w:after="240"/>
              <w:ind w:left="357" w:hanging="357"/>
              <w:jc w:val="both"/>
              <w:rPr>
                <w:rFonts w:cs="Arial"/>
                <w:sz w:val="20"/>
                <w:szCs w:val="20"/>
                <w:lang w:val="es-ES_tradnl"/>
              </w:rPr>
            </w:pPr>
            <w:r w:rsidRPr="00FA4B2D">
              <w:rPr>
                <w:rFonts w:cs="Arial"/>
                <w:sz w:val="20"/>
                <w:szCs w:val="20"/>
                <w:lang w:val="es-ES_tradnl"/>
              </w:rPr>
              <w:t>Sistema bancario privado no aprueban fondos para iniciativas de mujeres y jóvenes, por falta de respaldo económico y desconfianza.</w:t>
            </w:r>
          </w:p>
        </w:tc>
      </w:tr>
    </w:tbl>
    <w:p w14:paraId="225F3614" w14:textId="77777777" w:rsidR="00C81834" w:rsidRPr="00FA4B2D" w:rsidRDefault="00C81834" w:rsidP="00C81834">
      <w:pPr>
        <w:spacing w:after="0" w:line="240" w:lineRule="auto"/>
        <w:jc w:val="both"/>
        <w:rPr>
          <w:rFonts w:cs="Arial"/>
          <w:sz w:val="20"/>
          <w:szCs w:val="20"/>
          <w:lang w:val="es-ES_tradnl"/>
        </w:rPr>
      </w:pPr>
    </w:p>
    <w:p w14:paraId="39AA74A2" w14:textId="77777777" w:rsidR="00C81834" w:rsidRPr="00FA4B2D" w:rsidRDefault="00C81834" w:rsidP="00C81834">
      <w:pPr>
        <w:spacing w:after="0" w:line="240" w:lineRule="auto"/>
        <w:jc w:val="both"/>
        <w:rPr>
          <w:rFonts w:cs="Arial"/>
          <w:sz w:val="20"/>
          <w:szCs w:val="20"/>
          <w:lang w:val="es-ES_tradnl"/>
        </w:rPr>
      </w:pPr>
    </w:p>
    <w:tbl>
      <w:tblPr>
        <w:tblStyle w:val="Tablaconcuadrcula"/>
        <w:tblW w:w="8926" w:type="dxa"/>
        <w:tblLook w:val="04A0" w:firstRow="1" w:lastRow="0" w:firstColumn="1" w:lastColumn="0" w:noHBand="0" w:noVBand="1"/>
      </w:tblPr>
      <w:tblGrid>
        <w:gridCol w:w="1838"/>
        <w:gridCol w:w="7088"/>
      </w:tblGrid>
      <w:tr w:rsidR="00C81834" w:rsidRPr="00FA4B2D" w14:paraId="23AC59AF" w14:textId="77777777" w:rsidTr="00C81834">
        <w:tc>
          <w:tcPr>
            <w:tcW w:w="8926" w:type="dxa"/>
            <w:gridSpan w:val="2"/>
            <w:shd w:val="clear" w:color="auto" w:fill="EDEDED" w:themeFill="accent3" w:themeFillTint="33"/>
          </w:tcPr>
          <w:p w14:paraId="5B493CBF" w14:textId="77777777" w:rsidR="00C81834" w:rsidRPr="00FA4B2D" w:rsidRDefault="00C81834" w:rsidP="00C81834">
            <w:pPr>
              <w:jc w:val="center"/>
              <w:rPr>
                <w:rFonts w:cs="Arial"/>
                <w:sz w:val="20"/>
                <w:szCs w:val="20"/>
                <w:lang w:val="es-ES_tradnl"/>
              </w:rPr>
            </w:pPr>
            <w:r w:rsidRPr="00FA4B2D">
              <w:rPr>
                <w:rFonts w:cs="Arial"/>
                <w:b/>
                <w:bCs/>
                <w:sz w:val="20"/>
                <w:szCs w:val="20"/>
                <w:lang w:val="es-ES_tradnl"/>
              </w:rPr>
              <w:t>GRUPO FOCAL # 4: ALIADOS FINANCIEROS Y COMERCIALES</w:t>
            </w:r>
          </w:p>
        </w:tc>
      </w:tr>
      <w:tr w:rsidR="00C81834" w:rsidRPr="00FA4B2D" w14:paraId="69CF6D16" w14:textId="77777777" w:rsidTr="00C81834">
        <w:tc>
          <w:tcPr>
            <w:tcW w:w="1838" w:type="dxa"/>
            <w:shd w:val="clear" w:color="auto" w:fill="EDEDED" w:themeFill="accent3" w:themeFillTint="33"/>
          </w:tcPr>
          <w:p w14:paraId="25F95070" w14:textId="77777777" w:rsidR="00C81834" w:rsidRPr="00FA4B2D" w:rsidRDefault="00C81834" w:rsidP="000A703C">
            <w:pPr>
              <w:jc w:val="both"/>
              <w:rPr>
                <w:rFonts w:cs="Arial"/>
                <w:sz w:val="20"/>
                <w:szCs w:val="20"/>
                <w:lang w:val="es-ES_tradnl"/>
              </w:rPr>
            </w:pPr>
            <w:r w:rsidRPr="00FA4B2D">
              <w:rPr>
                <w:rFonts w:cs="Arial"/>
                <w:sz w:val="20"/>
                <w:szCs w:val="20"/>
                <w:lang w:val="es-ES_tradnl"/>
              </w:rPr>
              <w:t>Marco de Gestión Ambiental y Social</w:t>
            </w:r>
          </w:p>
        </w:tc>
        <w:tc>
          <w:tcPr>
            <w:tcW w:w="7088" w:type="dxa"/>
            <w:shd w:val="clear" w:color="auto" w:fill="EDEDED" w:themeFill="accent3" w:themeFillTint="33"/>
          </w:tcPr>
          <w:p w14:paraId="688FA590" w14:textId="77777777" w:rsidR="00C81834" w:rsidRPr="00FA4B2D" w:rsidRDefault="00C81834" w:rsidP="00411720">
            <w:pPr>
              <w:numPr>
                <w:ilvl w:val="0"/>
                <w:numId w:val="85"/>
              </w:numPr>
              <w:jc w:val="both"/>
              <w:rPr>
                <w:rFonts w:cs="Arial"/>
                <w:sz w:val="20"/>
                <w:szCs w:val="20"/>
                <w:lang w:val="es-ES_tradnl"/>
              </w:rPr>
            </w:pPr>
            <w:r w:rsidRPr="00FA4B2D">
              <w:rPr>
                <w:rFonts w:cs="Arial"/>
                <w:sz w:val="20"/>
                <w:szCs w:val="20"/>
                <w:lang w:val="es-ES_tradnl"/>
              </w:rPr>
              <w:t>Sector de Olancho existe una inclinación de los Bancos Privados de preferir el otorgamiento de créditos individuales en comparación con solicitudes de financiamiento mediante iniciativas colectivas u organizativas, lo cual es una limitante de participación.</w:t>
            </w:r>
          </w:p>
        </w:tc>
      </w:tr>
    </w:tbl>
    <w:p w14:paraId="5598D4C9" w14:textId="77777777" w:rsidR="00C81834" w:rsidRPr="00FA4B2D" w:rsidRDefault="00C81834" w:rsidP="00C81834">
      <w:pPr>
        <w:spacing w:after="0" w:line="240" w:lineRule="auto"/>
        <w:jc w:val="both"/>
        <w:rPr>
          <w:rFonts w:cs="Arial"/>
          <w:lang w:val="es-ES_tradnl"/>
        </w:rPr>
      </w:pPr>
    </w:p>
    <w:p w14:paraId="6327FD28" w14:textId="77777777" w:rsidR="00C81834" w:rsidRPr="00FA4B2D" w:rsidRDefault="00C81834" w:rsidP="00C81834">
      <w:pPr>
        <w:spacing w:after="0" w:line="240" w:lineRule="auto"/>
        <w:jc w:val="both"/>
        <w:rPr>
          <w:rFonts w:cs="Arial"/>
          <w:lang w:val="es-ES_tradnl"/>
        </w:rPr>
      </w:pPr>
    </w:p>
    <w:p w14:paraId="1027D514" w14:textId="77777777" w:rsidR="00C81834" w:rsidRPr="00FA4B2D" w:rsidRDefault="00C81834" w:rsidP="00C81834">
      <w:pPr>
        <w:spacing w:after="0" w:line="240" w:lineRule="auto"/>
        <w:jc w:val="both"/>
        <w:rPr>
          <w:rFonts w:cs="Arial"/>
          <w:lang w:val="es-ES_tradnl"/>
        </w:rPr>
      </w:pPr>
      <w:r w:rsidRPr="00FA4B2D">
        <w:rPr>
          <w:rFonts w:cs="Arial"/>
          <w:lang w:val="es-ES_tradnl"/>
        </w:rPr>
        <w:t>La encuesta a Mancomunidades arrojó las siguientes respuestas referidas a impactos ambientales y sociales del Proyecto:</w:t>
      </w:r>
    </w:p>
    <w:p w14:paraId="6326292B" w14:textId="77777777" w:rsidR="00C81834" w:rsidRPr="00FA4B2D" w:rsidRDefault="00C81834" w:rsidP="00C81834">
      <w:pPr>
        <w:spacing w:after="0" w:line="240" w:lineRule="auto"/>
        <w:jc w:val="both"/>
        <w:rPr>
          <w:rFonts w:cs="Arial"/>
          <w:lang w:val="es-ES_tradnl"/>
        </w:rPr>
      </w:pPr>
    </w:p>
    <w:p w14:paraId="4A064CB5" w14:textId="77777777" w:rsidR="00C81834" w:rsidRPr="00FA4B2D" w:rsidRDefault="00C81834" w:rsidP="00C81834">
      <w:pPr>
        <w:spacing w:after="0" w:line="240" w:lineRule="auto"/>
        <w:jc w:val="both"/>
        <w:rPr>
          <w:rFonts w:cs="Arial"/>
          <w:lang w:val="es-ES_tradnl"/>
        </w:rPr>
      </w:pPr>
    </w:p>
    <w:tbl>
      <w:tblPr>
        <w:tblStyle w:val="Tablaconcuadrcula"/>
        <w:tblW w:w="8926" w:type="dxa"/>
        <w:tblLook w:val="04A0" w:firstRow="1" w:lastRow="0" w:firstColumn="1" w:lastColumn="0" w:noHBand="0" w:noVBand="1"/>
      </w:tblPr>
      <w:tblGrid>
        <w:gridCol w:w="3964"/>
        <w:gridCol w:w="4962"/>
      </w:tblGrid>
      <w:tr w:rsidR="00C81834" w:rsidRPr="00FA4B2D" w14:paraId="72CC7A7F" w14:textId="77777777" w:rsidTr="00C81834">
        <w:tc>
          <w:tcPr>
            <w:tcW w:w="8926" w:type="dxa"/>
            <w:gridSpan w:val="2"/>
            <w:shd w:val="clear" w:color="auto" w:fill="E7E6E6" w:themeFill="background2"/>
          </w:tcPr>
          <w:p w14:paraId="6EB99FC8" w14:textId="1323360F" w:rsidR="00C81834" w:rsidRPr="00FA4B2D" w:rsidRDefault="00C81834" w:rsidP="00411720">
            <w:pPr>
              <w:pStyle w:val="Prrafodelista"/>
              <w:numPr>
                <w:ilvl w:val="0"/>
                <w:numId w:val="87"/>
              </w:numPr>
              <w:spacing w:line="256" w:lineRule="auto"/>
              <w:rPr>
                <w:rFonts w:cs="Arial"/>
                <w:b/>
                <w:bCs/>
                <w:sz w:val="20"/>
                <w:szCs w:val="20"/>
                <w:lang w:val="es-HN"/>
              </w:rPr>
            </w:pPr>
            <w:r w:rsidRPr="00FA4B2D">
              <w:rPr>
                <w:rFonts w:cs="Arial"/>
                <w:b/>
                <w:bCs/>
                <w:sz w:val="20"/>
                <w:szCs w:val="20"/>
                <w:lang w:val="es-HN"/>
              </w:rPr>
              <w:t>¿Qué impactos sociales adversos considera debe tomar en cuenta el</w:t>
            </w:r>
            <w:r w:rsidR="00EE384B" w:rsidRPr="00FA4B2D">
              <w:rPr>
                <w:rFonts w:cs="Arial"/>
                <w:b/>
                <w:bCs/>
                <w:sz w:val="20"/>
                <w:szCs w:val="20"/>
                <w:lang w:val="es-HN"/>
              </w:rPr>
              <w:t xml:space="preserve"> </w:t>
            </w:r>
            <w:r w:rsidRPr="00FA4B2D">
              <w:rPr>
                <w:rFonts w:cs="Arial"/>
                <w:b/>
                <w:bCs/>
                <w:sz w:val="20"/>
                <w:szCs w:val="20"/>
                <w:lang w:val="es-HN"/>
              </w:rPr>
              <w:t>Proyecto?</w:t>
            </w:r>
          </w:p>
          <w:p w14:paraId="6233A84D" w14:textId="77777777" w:rsidR="00C81834" w:rsidRPr="00FA4B2D" w:rsidRDefault="00C81834" w:rsidP="00C81834">
            <w:pPr>
              <w:pStyle w:val="Prrafodelista"/>
              <w:spacing w:line="256" w:lineRule="auto"/>
              <w:rPr>
                <w:rFonts w:cs="Arial"/>
                <w:sz w:val="20"/>
                <w:szCs w:val="20"/>
                <w:lang w:val="es-HN"/>
              </w:rPr>
            </w:pPr>
          </w:p>
        </w:tc>
      </w:tr>
      <w:tr w:rsidR="00C81834" w:rsidRPr="00FA4B2D" w14:paraId="4E07B778" w14:textId="77777777" w:rsidTr="00C81834">
        <w:tc>
          <w:tcPr>
            <w:tcW w:w="3964" w:type="dxa"/>
          </w:tcPr>
          <w:p w14:paraId="298442E3" w14:textId="77777777" w:rsidR="00C81834" w:rsidRPr="00FA4B2D" w:rsidRDefault="00C81834" w:rsidP="00C81834">
            <w:pPr>
              <w:pStyle w:val="Prrafodelista"/>
              <w:rPr>
                <w:rFonts w:cs="Arial"/>
                <w:b/>
                <w:bCs/>
                <w:sz w:val="20"/>
                <w:szCs w:val="20"/>
                <w:lang w:val="es-HN"/>
              </w:rPr>
            </w:pPr>
            <w:r w:rsidRPr="00FA4B2D">
              <w:rPr>
                <w:rFonts w:cs="Arial"/>
                <w:b/>
                <w:bCs/>
                <w:sz w:val="20"/>
                <w:szCs w:val="20"/>
                <w:lang w:val="es-HN"/>
              </w:rPr>
              <w:t>Opciones de Respuesta:</w:t>
            </w:r>
          </w:p>
          <w:p w14:paraId="5206D5E8" w14:textId="77777777" w:rsidR="00C81834" w:rsidRPr="00FA4B2D" w:rsidRDefault="00C81834" w:rsidP="00C81834">
            <w:pPr>
              <w:pStyle w:val="Prrafodelista"/>
              <w:ind w:left="360"/>
              <w:rPr>
                <w:rFonts w:cs="Arial"/>
                <w:sz w:val="20"/>
                <w:szCs w:val="20"/>
              </w:rPr>
            </w:pPr>
          </w:p>
          <w:p w14:paraId="6B48FE25" w14:textId="77777777" w:rsidR="00C81834" w:rsidRPr="00FA4B2D" w:rsidRDefault="00C81834" w:rsidP="000A703C">
            <w:pPr>
              <w:pStyle w:val="Prrafodelista"/>
              <w:numPr>
                <w:ilvl w:val="0"/>
                <w:numId w:val="88"/>
              </w:numPr>
              <w:jc w:val="both"/>
              <w:rPr>
                <w:rFonts w:cs="Arial"/>
                <w:sz w:val="20"/>
                <w:szCs w:val="20"/>
                <w:lang w:val="es-HN"/>
              </w:rPr>
            </w:pPr>
            <w:r w:rsidRPr="00FA4B2D">
              <w:rPr>
                <w:rFonts w:cs="Arial"/>
                <w:sz w:val="20"/>
                <w:szCs w:val="20"/>
                <w:lang w:val="es-HN"/>
              </w:rPr>
              <w:t xml:space="preserve">Riesgo de intensificación de conflictos sociales, particularmente debido a </w:t>
            </w:r>
            <w:r w:rsidRPr="00FA4B2D">
              <w:rPr>
                <w:rFonts w:cs="Arial"/>
                <w:sz w:val="20"/>
                <w:szCs w:val="20"/>
                <w:lang w:val="es-HN"/>
              </w:rPr>
              <w:lastRenderedPageBreak/>
              <w:t>temas de tenencia de tierras colectivas y comunitarias.</w:t>
            </w:r>
          </w:p>
          <w:p w14:paraId="6A4ABB9D" w14:textId="77777777" w:rsidR="00C81834" w:rsidRPr="00FA4B2D" w:rsidRDefault="00C81834" w:rsidP="000A703C">
            <w:pPr>
              <w:pStyle w:val="Prrafodelista"/>
              <w:numPr>
                <w:ilvl w:val="0"/>
                <w:numId w:val="88"/>
              </w:numPr>
              <w:jc w:val="both"/>
              <w:rPr>
                <w:rFonts w:cs="Arial"/>
                <w:sz w:val="20"/>
                <w:szCs w:val="20"/>
                <w:lang w:val="es-HN"/>
              </w:rPr>
            </w:pPr>
            <w:r w:rsidRPr="00FA4B2D">
              <w:rPr>
                <w:rFonts w:cs="Arial"/>
                <w:sz w:val="20"/>
                <w:szCs w:val="20"/>
                <w:lang w:val="es-HN"/>
              </w:rPr>
              <w:t>Organizaciones presentan limitada asociatividad para lograr economías de escala, acceder a tecnologías y a nichos de mercado y por ende su capacidad organizativa no responde a convocatorias para presentación de perfiles de COMRURAL.</w:t>
            </w:r>
          </w:p>
          <w:p w14:paraId="500C5EB6" w14:textId="77777777" w:rsidR="00C81834" w:rsidRPr="00FA4B2D" w:rsidRDefault="00C81834" w:rsidP="000A703C">
            <w:pPr>
              <w:pStyle w:val="Prrafodelista"/>
              <w:numPr>
                <w:ilvl w:val="0"/>
                <w:numId w:val="88"/>
              </w:numPr>
              <w:jc w:val="both"/>
              <w:rPr>
                <w:rFonts w:cs="Arial"/>
                <w:sz w:val="20"/>
                <w:szCs w:val="20"/>
                <w:lang w:val="es-HN"/>
              </w:rPr>
            </w:pPr>
            <w:r w:rsidRPr="00FA4B2D">
              <w:rPr>
                <w:rFonts w:cs="Arial"/>
                <w:sz w:val="20"/>
                <w:szCs w:val="20"/>
              </w:rPr>
              <w:t>Organizaciones formadas por productores afrodescendientes tienen baja participación como resultado de un modelo de competitividad no compatible con su cultura y cosmovisión.</w:t>
            </w:r>
          </w:p>
          <w:p w14:paraId="059A3C72" w14:textId="77777777" w:rsidR="00C81834" w:rsidRPr="00FA4B2D" w:rsidRDefault="00C81834" w:rsidP="000A703C">
            <w:pPr>
              <w:pStyle w:val="Prrafodelista"/>
              <w:numPr>
                <w:ilvl w:val="0"/>
                <w:numId w:val="88"/>
              </w:numPr>
              <w:jc w:val="both"/>
              <w:rPr>
                <w:rFonts w:cs="Arial"/>
                <w:sz w:val="20"/>
                <w:szCs w:val="20"/>
                <w:lang w:val="es-HN"/>
              </w:rPr>
            </w:pPr>
            <w:r w:rsidRPr="00FA4B2D">
              <w:rPr>
                <w:rFonts w:cs="Arial"/>
                <w:sz w:val="20"/>
                <w:szCs w:val="20"/>
              </w:rPr>
              <w:t>El modelo de participación e inclusión no considere los bajos niveles educativos de la población para acceder a las ofertas de atención del Proyecto.</w:t>
            </w:r>
          </w:p>
          <w:p w14:paraId="090D8A1B" w14:textId="41F77044" w:rsidR="00C81834" w:rsidRPr="00FA4B2D" w:rsidRDefault="00C81834" w:rsidP="000A703C">
            <w:pPr>
              <w:pStyle w:val="Prrafodelista"/>
              <w:numPr>
                <w:ilvl w:val="0"/>
                <w:numId w:val="88"/>
              </w:numPr>
              <w:jc w:val="both"/>
              <w:rPr>
                <w:rFonts w:cs="Arial"/>
                <w:sz w:val="20"/>
                <w:szCs w:val="20"/>
              </w:rPr>
            </w:pPr>
            <w:r w:rsidRPr="00FA4B2D">
              <w:rPr>
                <w:rFonts w:cs="Arial"/>
                <w:sz w:val="20"/>
                <w:szCs w:val="20"/>
              </w:rPr>
              <w:t>Otras</w:t>
            </w:r>
            <w:r w:rsidR="00EE384B" w:rsidRPr="00FA4B2D">
              <w:rPr>
                <w:rFonts w:cs="Arial"/>
                <w:sz w:val="20"/>
                <w:szCs w:val="20"/>
              </w:rPr>
              <w:t>.</w:t>
            </w:r>
            <w:r w:rsidRPr="00FA4B2D">
              <w:rPr>
                <w:rFonts w:cs="Arial"/>
                <w:sz w:val="20"/>
                <w:szCs w:val="20"/>
              </w:rPr>
              <w:t xml:space="preserve"> </w:t>
            </w:r>
          </w:p>
          <w:p w14:paraId="6777D31F" w14:textId="77777777" w:rsidR="00C81834" w:rsidRPr="00FA4B2D" w:rsidRDefault="00C81834" w:rsidP="00C81834">
            <w:pPr>
              <w:pStyle w:val="Prrafodelista"/>
              <w:jc w:val="both"/>
              <w:rPr>
                <w:rFonts w:cs="Arial"/>
                <w:sz w:val="20"/>
                <w:szCs w:val="20"/>
                <w:lang w:val="es-MX"/>
              </w:rPr>
            </w:pPr>
          </w:p>
        </w:tc>
        <w:tc>
          <w:tcPr>
            <w:tcW w:w="4962" w:type="dxa"/>
          </w:tcPr>
          <w:p w14:paraId="7AEB37A1" w14:textId="77777777" w:rsidR="00C81834" w:rsidRPr="00FA4B2D" w:rsidRDefault="00C81834" w:rsidP="00C81834">
            <w:pPr>
              <w:pStyle w:val="Prrafodelista"/>
              <w:ind w:left="0"/>
              <w:jc w:val="both"/>
              <w:rPr>
                <w:rFonts w:cs="Arial"/>
                <w:b/>
                <w:bCs/>
                <w:sz w:val="20"/>
                <w:szCs w:val="20"/>
                <w:lang w:val="es-MX"/>
              </w:rPr>
            </w:pPr>
            <w:r w:rsidRPr="00FA4B2D">
              <w:rPr>
                <w:rFonts w:cs="Arial"/>
                <w:b/>
                <w:bCs/>
                <w:sz w:val="20"/>
                <w:szCs w:val="20"/>
                <w:lang w:val="es-MX"/>
              </w:rPr>
              <w:lastRenderedPageBreak/>
              <w:t>Respuesta:</w:t>
            </w:r>
          </w:p>
          <w:p w14:paraId="2CC226DB" w14:textId="77777777" w:rsidR="00C81834" w:rsidRPr="00FA4B2D" w:rsidRDefault="00C81834" w:rsidP="00C81834">
            <w:pPr>
              <w:pStyle w:val="Prrafodelista"/>
              <w:ind w:left="0"/>
              <w:jc w:val="both"/>
              <w:rPr>
                <w:rFonts w:cs="Arial"/>
                <w:b/>
                <w:bCs/>
                <w:sz w:val="20"/>
                <w:szCs w:val="20"/>
                <w:lang w:val="es-MX"/>
              </w:rPr>
            </w:pPr>
          </w:p>
          <w:p w14:paraId="2F5973B4" w14:textId="77777777" w:rsidR="00C81834" w:rsidRPr="00FA4B2D" w:rsidRDefault="00C81834" w:rsidP="00C81834">
            <w:pPr>
              <w:pStyle w:val="Prrafodelista"/>
              <w:ind w:left="0"/>
              <w:jc w:val="both"/>
              <w:rPr>
                <w:rFonts w:cs="Arial"/>
                <w:sz w:val="20"/>
                <w:szCs w:val="20"/>
                <w:lang w:val="es-MX"/>
              </w:rPr>
            </w:pPr>
            <w:r w:rsidRPr="00FA4B2D">
              <w:rPr>
                <w:rFonts w:cs="Arial"/>
                <w:sz w:val="20"/>
                <w:szCs w:val="20"/>
                <w:lang w:val="es-MX"/>
              </w:rPr>
              <w:t xml:space="preserve">Organizaciones presentan limitada asociatividad para lograr economías de escala, acceder a tecnologías y a nichos de mercado y por ende su capacidad </w:t>
            </w:r>
            <w:r w:rsidRPr="00FA4B2D">
              <w:rPr>
                <w:rFonts w:cs="Arial"/>
                <w:sz w:val="20"/>
                <w:szCs w:val="20"/>
                <w:lang w:val="es-MX"/>
              </w:rPr>
              <w:lastRenderedPageBreak/>
              <w:t>organizativa no responde a convocatorias para presentación de perfiles de COMRURAL.</w:t>
            </w:r>
          </w:p>
          <w:p w14:paraId="15B8998F" w14:textId="77777777" w:rsidR="00C81834" w:rsidRPr="00FA4B2D" w:rsidRDefault="00C81834" w:rsidP="00C81834">
            <w:pPr>
              <w:pStyle w:val="Prrafodelista"/>
              <w:ind w:left="0"/>
              <w:jc w:val="both"/>
              <w:rPr>
                <w:rFonts w:cs="Arial"/>
                <w:sz w:val="20"/>
                <w:szCs w:val="20"/>
                <w:lang w:val="es-MX"/>
              </w:rPr>
            </w:pPr>
          </w:p>
          <w:p w14:paraId="65E7BC44" w14:textId="77777777" w:rsidR="00C81834" w:rsidRPr="00FA4B2D" w:rsidRDefault="00C81834" w:rsidP="00C81834">
            <w:pPr>
              <w:pStyle w:val="Prrafodelista"/>
              <w:ind w:left="0"/>
              <w:jc w:val="both"/>
              <w:rPr>
                <w:rFonts w:cs="Arial"/>
                <w:sz w:val="20"/>
                <w:szCs w:val="20"/>
                <w:lang w:val="es-MX"/>
              </w:rPr>
            </w:pPr>
          </w:p>
          <w:p w14:paraId="062E7B30" w14:textId="77777777" w:rsidR="00C81834" w:rsidRPr="00FA4B2D" w:rsidRDefault="00C81834" w:rsidP="00C81834">
            <w:pPr>
              <w:pStyle w:val="Prrafodelista"/>
              <w:ind w:left="0"/>
              <w:jc w:val="both"/>
              <w:rPr>
                <w:rFonts w:cs="Arial"/>
                <w:sz w:val="20"/>
                <w:szCs w:val="20"/>
                <w:lang w:val="es-MX"/>
              </w:rPr>
            </w:pPr>
            <w:r w:rsidRPr="00FA4B2D">
              <w:rPr>
                <w:rFonts w:cs="Arial"/>
                <w:sz w:val="20"/>
                <w:szCs w:val="20"/>
                <w:lang w:val="es-MX"/>
              </w:rPr>
              <w:t>El modelo de participación e inclusión no considere los bajos niveles educativos de la población para acceder a las ofertas de atención del Proyecto.</w:t>
            </w:r>
          </w:p>
          <w:p w14:paraId="403884EE" w14:textId="77777777" w:rsidR="00C81834" w:rsidRPr="00FA4B2D" w:rsidRDefault="00C81834" w:rsidP="00C81834">
            <w:pPr>
              <w:pStyle w:val="Prrafodelista"/>
              <w:ind w:left="0"/>
              <w:jc w:val="both"/>
              <w:rPr>
                <w:rFonts w:cs="Arial"/>
                <w:sz w:val="20"/>
                <w:szCs w:val="20"/>
                <w:lang w:val="es-MX"/>
              </w:rPr>
            </w:pPr>
          </w:p>
          <w:p w14:paraId="5350638B" w14:textId="77777777" w:rsidR="00C81834" w:rsidRPr="00FA4B2D" w:rsidRDefault="00C81834" w:rsidP="00C81834">
            <w:pPr>
              <w:pStyle w:val="Prrafodelista"/>
              <w:ind w:left="0"/>
              <w:jc w:val="both"/>
              <w:rPr>
                <w:rFonts w:cs="Arial"/>
                <w:sz w:val="20"/>
                <w:szCs w:val="20"/>
                <w:lang w:val="es-MX"/>
              </w:rPr>
            </w:pPr>
          </w:p>
        </w:tc>
      </w:tr>
      <w:tr w:rsidR="00C81834" w:rsidRPr="00FA4B2D" w14:paraId="5EFA6CFB" w14:textId="77777777" w:rsidTr="00C81834">
        <w:tc>
          <w:tcPr>
            <w:tcW w:w="8926" w:type="dxa"/>
            <w:gridSpan w:val="2"/>
          </w:tcPr>
          <w:p w14:paraId="1916469F" w14:textId="77777777" w:rsidR="00C81834" w:rsidRPr="00FA4B2D" w:rsidRDefault="00C81834" w:rsidP="00C81834">
            <w:pPr>
              <w:rPr>
                <w:rFonts w:cs="Arial"/>
                <w:b/>
                <w:bCs/>
                <w:sz w:val="20"/>
                <w:szCs w:val="20"/>
                <w:lang w:val="es-MX"/>
              </w:rPr>
            </w:pPr>
            <w:r w:rsidRPr="00FA4B2D">
              <w:rPr>
                <w:rFonts w:cs="Arial"/>
                <w:b/>
                <w:bCs/>
                <w:sz w:val="20"/>
                <w:szCs w:val="20"/>
                <w:lang w:val="es-MX"/>
              </w:rPr>
              <w:lastRenderedPageBreak/>
              <w:t>Interpretación:</w:t>
            </w:r>
          </w:p>
          <w:p w14:paraId="069FF4F1" w14:textId="77777777" w:rsidR="00C81834" w:rsidRPr="00FA4B2D" w:rsidRDefault="00C81834" w:rsidP="00C81834">
            <w:pPr>
              <w:jc w:val="both"/>
              <w:rPr>
                <w:rFonts w:cs="Arial"/>
                <w:sz w:val="20"/>
                <w:szCs w:val="20"/>
                <w:lang w:val="es-MX"/>
              </w:rPr>
            </w:pPr>
            <w:r w:rsidRPr="00FA4B2D">
              <w:rPr>
                <w:rFonts w:cs="Arial"/>
                <w:sz w:val="20"/>
                <w:szCs w:val="20"/>
                <w:lang w:val="es-MX"/>
              </w:rPr>
              <w:t xml:space="preserve">La limitada capacidad de asociatividad y los bajos niveles educativos de los productores son las principales adversidades que pueden presentarse en la atención de la demanda del Proyecto. Por otro lado, el nivel educativo bajo limita la capacidad de gestión para la formulación y cumplimiento de requisitos en los PdNs. </w:t>
            </w:r>
          </w:p>
          <w:p w14:paraId="41847759" w14:textId="77777777" w:rsidR="00C81834" w:rsidRPr="00FA4B2D" w:rsidRDefault="00C81834" w:rsidP="00C81834">
            <w:pPr>
              <w:jc w:val="both"/>
              <w:rPr>
                <w:rFonts w:cs="Arial"/>
                <w:sz w:val="20"/>
                <w:szCs w:val="20"/>
                <w:lang w:val="es-MX"/>
              </w:rPr>
            </w:pPr>
            <w:r w:rsidRPr="00FA4B2D">
              <w:rPr>
                <w:rFonts w:cs="Arial"/>
                <w:b/>
                <w:bCs/>
                <w:sz w:val="20"/>
                <w:szCs w:val="20"/>
                <w:lang w:val="es-MX"/>
              </w:rPr>
              <w:t>Medida propuesta</w:t>
            </w:r>
            <w:r w:rsidRPr="00FA4B2D">
              <w:rPr>
                <w:rFonts w:cs="Arial"/>
                <w:sz w:val="20"/>
                <w:szCs w:val="20"/>
                <w:lang w:val="es-MX"/>
              </w:rPr>
              <w:t>: En este contexto, se debe buscar establecer convenios con aliados estratégicos de incidencia territorial como las mancomunidades y otras instancias institucionales para acercar los servicios educativos al sector rural.</w:t>
            </w:r>
          </w:p>
          <w:p w14:paraId="11E37B35" w14:textId="77777777" w:rsidR="00C81834" w:rsidRPr="00FA4B2D" w:rsidRDefault="00C81834" w:rsidP="00C81834">
            <w:pPr>
              <w:pStyle w:val="Prrafodelista"/>
              <w:jc w:val="both"/>
              <w:rPr>
                <w:rFonts w:cs="Arial"/>
                <w:sz w:val="20"/>
                <w:szCs w:val="20"/>
                <w:lang w:val="es-MX"/>
              </w:rPr>
            </w:pPr>
          </w:p>
        </w:tc>
      </w:tr>
      <w:tr w:rsidR="00C81834" w:rsidRPr="00FA4B2D" w14:paraId="0267BEDB" w14:textId="77777777" w:rsidTr="00C81834">
        <w:tc>
          <w:tcPr>
            <w:tcW w:w="8926" w:type="dxa"/>
            <w:gridSpan w:val="2"/>
            <w:shd w:val="clear" w:color="auto" w:fill="E7E6E6" w:themeFill="background2"/>
          </w:tcPr>
          <w:p w14:paraId="4833B306" w14:textId="48DD87EF" w:rsidR="00C81834" w:rsidRPr="00FA4B2D" w:rsidRDefault="00C81834" w:rsidP="00411720">
            <w:pPr>
              <w:pStyle w:val="Prrafodelista"/>
              <w:numPr>
                <w:ilvl w:val="0"/>
                <w:numId w:val="87"/>
              </w:numPr>
              <w:rPr>
                <w:rFonts w:cs="Arial"/>
                <w:b/>
                <w:bCs/>
                <w:sz w:val="20"/>
                <w:szCs w:val="20"/>
                <w:lang w:val="es-HN"/>
              </w:rPr>
            </w:pPr>
            <w:r w:rsidRPr="00FA4B2D">
              <w:rPr>
                <w:rFonts w:cs="Arial"/>
                <w:b/>
                <w:bCs/>
                <w:sz w:val="20"/>
                <w:szCs w:val="20"/>
                <w:lang w:val="es-HN"/>
              </w:rPr>
              <w:t xml:space="preserve">¿Qué impactos ambientales adversos debe tomar en cuenta el </w:t>
            </w:r>
            <w:r w:rsidR="00EE384B" w:rsidRPr="00FA4B2D">
              <w:rPr>
                <w:rFonts w:cs="Arial"/>
                <w:b/>
                <w:bCs/>
                <w:sz w:val="20"/>
                <w:szCs w:val="20"/>
                <w:lang w:val="es-HN"/>
              </w:rPr>
              <w:t>P</w:t>
            </w:r>
            <w:r w:rsidRPr="00FA4B2D">
              <w:rPr>
                <w:rFonts w:cs="Arial"/>
                <w:b/>
                <w:bCs/>
                <w:sz w:val="20"/>
                <w:szCs w:val="20"/>
                <w:lang w:val="es-HN"/>
              </w:rPr>
              <w:t>royecto?</w:t>
            </w:r>
          </w:p>
        </w:tc>
      </w:tr>
      <w:tr w:rsidR="00C81834" w:rsidRPr="00FA4B2D" w14:paraId="2CB958A1" w14:textId="77777777" w:rsidTr="00C81834">
        <w:tc>
          <w:tcPr>
            <w:tcW w:w="3964" w:type="dxa"/>
          </w:tcPr>
          <w:p w14:paraId="61118A95" w14:textId="77777777" w:rsidR="00C81834" w:rsidRPr="00FA4B2D" w:rsidRDefault="00C81834" w:rsidP="000A703C">
            <w:pPr>
              <w:ind w:left="360"/>
              <w:jc w:val="both"/>
              <w:rPr>
                <w:rFonts w:cs="Arial"/>
                <w:b/>
                <w:bCs/>
                <w:sz w:val="20"/>
                <w:szCs w:val="20"/>
                <w:lang w:val="es-HN"/>
              </w:rPr>
            </w:pPr>
            <w:r w:rsidRPr="00FA4B2D">
              <w:rPr>
                <w:rFonts w:cs="Arial"/>
                <w:b/>
                <w:bCs/>
                <w:sz w:val="20"/>
                <w:szCs w:val="20"/>
                <w:lang w:val="es-HN"/>
              </w:rPr>
              <w:t>Opciones de Respuesta:</w:t>
            </w:r>
          </w:p>
          <w:p w14:paraId="78FE6AB7" w14:textId="77777777" w:rsidR="00C81834" w:rsidRPr="00FA4B2D" w:rsidRDefault="00C81834" w:rsidP="000A703C">
            <w:pPr>
              <w:ind w:left="360"/>
              <w:jc w:val="both"/>
              <w:rPr>
                <w:rFonts w:cs="Arial"/>
                <w:sz w:val="20"/>
                <w:szCs w:val="20"/>
              </w:rPr>
            </w:pPr>
          </w:p>
          <w:p w14:paraId="5350F799" w14:textId="66E91CEE" w:rsidR="00C81834" w:rsidRPr="00FA4B2D" w:rsidRDefault="00C81834" w:rsidP="000A703C">
            <w:pPr>
              <w:numPr>
                <w:ilvl w:val="0"/>
                <w:numId w:val="89"/>
              </w:numPr>
              <w:jc w:val="both"/>
              <w:rPr>
                <w:rFonts w:cs="Arial"/>
                <w:sz w:val="20"/>
                <w:szCs w:val="20"/>
                <w:lang w:val="es-HN"/>
              </w:rPr>
            </w:pPr>
            <w:r w:rsidRPr="00FA4B2D">
              <w:rPr>
                <w:rFonts w:cs="Arial"/>
                <w:sz w:val="20"/>
                <w:szCs w:val="20"/>
                <w:lang w:val="es-HN"/>
              </w:rPr>
              <w:t>Uso excesivo de pesticidas, herbicidas fertilizantes es medio de contaminación de cursos de agua y pérdida de fertilidad del suelo ocasionando daños a la salud</w:t>
            </w:r>
            <w:r w:rsidR="00EE384B" w:rsidRPr="00FA4B2D">
              <w:rPr>
                <w:rFonts w:cs="Arial"/>
                <w:sz w:val="20"/>
                <w:szCs w:val="20"/>
                <w:lang w:val="es-HN"/>
              </w:rPr>
              <w:t>.</w:t>
            </w:r>
            <w:r w:rsidRPr="00FA4B2D">
              <w:rPr>
                <w:rFonts w:cs="Arial"/>
                <w:sz w:val="20"/>
                <w:szCs w:val="20"/>
                <w:lang w:val="es-HN"/>
              </w:rPr>
              <w:t xml:space="preserve"> humana y pérdida de biodiversidad.</w:t>
            </w:r>
          </w:p>
          <w:p w14:paraId="64379201" w14:textId="77777777" w:rsidR="00C81834" w:rsidRPr="00FA4B2D" w:rsidRDefault="00C81834" w:rsidP="000A703C">
            <w:pPr>
              <w:numPr>
                <w:ilvl w:val="0"/>
                <w:numId w:val="89"/>
              </w:numPr>
              <w:jc w:val="both"/>
              <w:rPr>
                <w:rFonts w:cs="Arial"/>
                <w:sz w:val="20"/>
                <w:szCs w:val="20"/>
                <w:lang w:val="es-HN"/>
              </w:rPr>
            </w:pPr>
            <w:r w:rsidRPr="00FA4B2D">
              <w:rPr>
                <w:rFonts w:cs="Arial"/>
                <w:sz w:val="20"/>
                <w:szCs w:val="20"/>
                <w:lang w:val="es-HN"/>
              </w:rPr>
              <w:t>Cambio de uso del suelo si se amplía la frontera agrícola por cualquier tipo de producción, y sobre todo en áreas protegidas.</w:t>
            </w:r>
          </w:p>
          <w:p w14:paraId="42E92002" w14:textId="77777777" w:rsidR="00C81834" w:rsidRPr="00FA4B2D" w:rsidRDefault="00C81834" w:rsidP="000A703C">
            <w:pPr>
              <w:numPr>
                <w:ilvl w:val="0"/>
                <w:numId w:val="89"/>
              </w:numPr>
              <w:jc w:val="both"/>
              <w:rPr>
                <w:rFonts w:cs="Arial"/>
                <w:sz w:val="20"/>
                <w:szCs w:val="20"/>
                <w:lang w:val="es-HN"/>
              </w:rPr>
            </w:pPr>
            <w:r w:rsidRPr="00FA4B2D">
              <w:rPr>
                <w:rFonts w:cs="Arial"/>
                <w:sz w:val="20"/>
                <w:szCs w:val="20"/>
                <w:lang w:val="es-HN"/>
              </w:rPr>
              <w:t>Presión sobre los recursos hídricos y hábitat naturales por uso agrícola.</w:t>
            </w:r>
          </w:p>
          <w:p w14:paraId="047DB8EF" w14:textId="77777777" w:rsidR="00C81834" w:rsidRPr="00FA4B2D" w:rsidRDefault="00C81834" w:rsidP="000A703C">
            <w:pPr>
              <w:numPr>
                <w:ilvl w:val="0"/>
                <w:numId w:val="89"/>
              </w:numPr>
              <w:jc w:val="both"/>
              <w:rPr>
                <w:rFonts w:cs="Arial"/>
                <w:sz w:val="20"/>
                <w:szCs w:val="20"/>
                <w:lang w:val="es-HN"/>
              </w:rPr>
            </w:pPr>
            <w:r w:rsidRPr="00FA4B2D">
              <w:rPr>
                <w:rFonts w:cs="Arial"/>
                <w:sz w:val="20"/>
                <w:szCs w:val="20"/>
                <w:lang w:val="es-HN"/>
              </w:rPr>
              <w:t>Degradación de ecosistemas frágiles en zonas de inversión.</w:t>
            </w:r>
          </w:p>
          <w:p w14:paraId="662C51E2" w14:textId="77777777" w:rsidR="00C81834" w:rsidRPr="00FA4B2D" w:rsidRDefault="00C81834" w:rsidP="000A703C">
            <w:pPr>
              <w:numPr>
                <w:ilvl w:val="0"/>
                <w:numId w:val="89"/>
              </w:numPr>
              <w:jc w:val="both"/>
              <w:rPr>
                <w:rFonts w:cs="Arial"/>
                <w:sz w:val="20"/>
                <w:szCs w:val="20"/>
                <w:lang w:val="es-HN"/>
              </w:rPr>
            </w:pPr>
            <w:r w:rsidRPr="00FA4B2D">
              <w:rPr>
                <w:rFonts w:cs="Arial"/>
                <w:sz w:val="20"/>
                <w:szCs w:val="20"/>
                <w:lang w:val="es-HN"/>
              </w:rPr>
              <w:t>Ampliación de frontera agrícola por incentivo y rentabilidad de cultivos.</w:t>
            </w:r>
          </w:p>
          <w:p w14:paraId="4D4E399F" w14:textId="77777777" w:rsidR="00C81834" w:rsidRPr="00FA4B2D" w:rsidRDefault="00C81834" w:rsidP="000A703C">
            <w:pPr>
              <w:numPr>
                <w:ilvl w:val="0"/>
                <w:numId w:val="89"/>
              </w:numPr>
              <w:jc w:val="both"/>
              <w:rPr>
                <w:rFonts w:cs="Arial"/>
                <w:sz w:val="20"/>
                <w:szCs w:val="20"/>
                <w:lang w:val="es-HN"/>
              </w:rPr>
            </w:pPr>
            <w:r w:rsidRPr="00FA4B2D">
              <w:rPr>
                <w:rFonts w:cs="Arial"/>
                <w:sz w:val="20"/>
                <w:szCs w:val="20"/>
                <w:lang w:val="es-HN"/>
              </w:rPr>
              <w:t>Contaminación por residuos sólidos y líquidos en general.</w:t>
            </w:r>
          </w:p>
          <w:p w14:paraId="4D055F87" w14:textId="77777777" w:rsidR="00C81834" w:rsidRPr="00FA4B2D" w:rsidRDefault="00C81834" w:rsidP="000A703C">
            <w:pPr>
              <w:numPr>
                <w:ilvl w:val="0"/>
                <w:numId w:val="89"/>
              </w:numPr>
              <w:jc w:val="both"/>
              <w:rPr>
                <w:rFonts w:cs="Arial"/>
                <w:sz w:val="20"/>
                <w:szCs w:val="20"/>
              </w:rPr>
            </w:pPr>
            <w:r w:rsidRPr="00FA4B2D">
              <w:rPr>
                <w:rFonts w:cs="Arial"/>
                <w:sz w:val="20"/>
                <w:szCs w:val="20"/>
              </w:rPr>
              <w:t>Otras.</w:t>
            </w:r>
          </w:p>
          <w:p w14:paraId="622EA4EB" w14:textId="77777777" w:rsidR="00C81834" w:rsidRPr="00FA4B2D" w:rsidRDefault="00C81834" w:rsidP="000A703C">
            <w:pPr>
              <w:jc w:val="both"/>
              <w:rPr>
                <w:rFonts w:cs="Arial"/>
                <w:sz w:val="20"/>
                <w:szCs w:val="20"/>
                <w:lang w:val="es-MX"/>
              </w:rPr>
            </w:pPr>
          </w:p>
        </w:tc>
        <w:tc>
          <w:tcPr>
            <w:tcW w:w="4962" w:type="dxa"/>
          </w:tcPr>
          <w:p w14:paraId="3279B446" w14:textId="77777777" w:rsidR="00C81834" w:rsidRPr="00FA4B2D" w:rsidRDefault="00C81834" w:rsidP="000A703C">
            <w:pPr>
              <w:jc w:val="both"/>
              <w:rPr>
                <w:rFonts w:cs="Arial"/>
                <w:b/>
                <w:bCs/>
                <w:sz w:val="20"/>
                <w:szCs w:val="20"/>
                <w:lang w:val="es-MX"/>
              </w:rPr>
            </w:pPr>
            <w:r w:rsidRPr="00FA4B2D">
              <w:rPr>
                <w:rFonts w:cs="Arial"/>
                <w:b/>
                <w:bCs/>
                <w:sz w:val="20"/>
                <w:szCs w:val="20"/>
                <w:lang w:val="es-MX"/>
              </w:rPr>
              <w:t>Respuesta:</w:t>
            </w:r>
          </w:p>
          <w:p w14:paraId="0205A04C" w14:textId="77777777" w:rsidR="00C81834" w:rsidRPr="00FA4B2D" w:rsidRDefault="00C81834" w:rsidP="000A703C">
            <w:pPr>
              <w:jc w:val="both"/>
              <w:rPr>
                <w:rFonts w:cs="Arial"/>
                <w:sz w:val="20"/>
                <w:szCs w:val="20"/>
                <w:lang w:val="es-MX"/>
              </w:rPr>
            </w:pPr>
          </w:p>
          <w:p w14:paraId="2CE3464C" w14:textId="77777777" w:rsidR="00C81834" w:rsidRPr="00FA4B2D" w:rsidRDefault="00C81834" w:rsidP="000A703C">
            <w:pPr>
              <w:jc w:val="both"/>
              <w:rPr>
                <w:rFonts w:cs="Arial"/>
                <w:sz w:val="20"/>
                <w:szCs w:val="20"/>
                <w:lang w:val="es-MX"/>
              </w:rPr>
            </w:pPr>
            <w:r w:rsidRPr="00FA4B2D">
              <w:rPr>
                <w:rFonts w:cs="Arial"/>
                <w:sz w:val="20"/>
                <w:szCs w:val="20"/>
                <w:lang w:val="es-MX"/>
              </w:rPr>
              <w:t>Uso excesivo de pesticidas, herbicidas fertilizantes es medio de contaminación de cursos de agua y pérdida de fertilidad del suelo ocasionando daños a la salud humana y pérdida de biodiversidad.</w:t>
            </w:r>
          </w:p>
          <w:p w14:paraId="260C9E6A" w14:textId="77777777" w:rsidR="00C81834" w:rsidRPr="00FA4B2D" w:rsidRDefault="00C81834" w:rsidP="000A703C">
            <w:pPr>
              <w:jc w:val="both"/>
              <w:rPr>
                <w:rFonts w:cs="Arial"/>
                <w:sz w:val="20"/>
                <w:szCs w:val="20"/>
                <w:lang w:val="es-MX"/>
              </w:rPr>
            </w:pPr>
          </w:p>
          <w:p w14:paraId="4D2619F4" w14:textId="77777777" w:rsidR="00C81834" w:rsidRPr="00FA4B2D" w:rsidRDefault="00C81834" w:rsidP="000A703C">
            <w:pPr>
              <w:jc w:val="both"/>
              <w:rPr>
                <w:rFonts w:cs="Arial"/>
                <w:sz w:val="20"/>
                <w:szCs w:val="20"/>
                <w:lang w:val="es-MX"/>
              </w:rPr>
            </w:pPr>
            <w:r w:rsidRPr="00FA4B2D">
              <w:rPr>
                <w:rFonts w:cs="Arial"/>
                <w:sz w:val="20"/>
                <w:szCs w:val="20"/>
                <w:lang w:val="es-MX"/>
              </w:rPr>
              <w:t>Cambio de uso del suelo si se amplía la frontera agrícola por cualquier tipo de producción, y sobre todo en áreas protegidas.</w:t>
            </w:r>
          </w:p>
          <w:p w14:paraId="49BE907D" w14:textId="77777777" w:rsidR="00C81834" w:rsidRPr="00FA4B2D" w:rsidRDefault="00C81834" w:rsidP="000A703C">
            <w:pPr>
              <w:jc w:val="both"/>
              <w:rPr>
                <w:rFonts w:cs="Arial"/>
                <w:sz w:val="20"/>
                <w:szCs w:val="20"/>
                <w:lang w:val="es-MX"/>
              </w:rPr>
            </w:pPr>
          </w:p>
          <w:p w14:paraId="2EB9E600" w14:textId="4BE772BF" w:rsidR="00C81834" w:rsidRPr="00FA4B2D" w:rsidRDefault="00C81834" w:rsidP="000A703C">
            <w:pPr>
              <w:jc w:val="both"/>
              <w:rPr>
                <w:rFonts w:cs="Arial"/>
                <w:sz w:val="20"/>
                <w:szCs w:val="20"/>
                <w:lang w:val="es-MX"/>
              </w:rPr>
            </w:pPr>
            <w:r w:rsidRPr="00FA4B2D">
              <w:rPr>
                <w:rFonts w:cs="Arial"/>
                <w:sz w:val="20"/>
                <w:szCs w:val="20"/>
                <w:lang w:val="es-MX"/>
              </w:rPr>
              <w:t>Ampliación de frontera agrícola por incentivo y rentabilidad de cultivos</w:t>
            </w:r>
            <w:r w:rsidR="00EE384B" w:rsidRPr="00FA4B2D">
              <w:rPr>
                <w:rFonts w:cs="Arial"/>
                <w:sz w:val="20"/>
                <w:szCs w:val="20"/>
                <w:lang w:val="es-MX"/>
              </w:rPr>
              <w:t>.</w:t>
            </w:r>
          </w:p>
        </w:tc>
      </w:tr>
      <w:tr w:rsidR="00C81834" w:rsidRPr="00FA4B2D" w14:paraId="094ECE53" w14:textId="77777777" w:rsidTr="00C81834">
        <w:tc>
          <w:tcPr>
            <w:tcW w:w="8926" w:type="dxa"/>
            <w:gridSpan w:val="2"/>
          </w:tcPr>
          <w:p w14:paraId="5D89EF07" w14:textId="77777777" w:rsidR="00C81834" w:rsidRPr="00FA4B2D" w:rsidRDefault="00C81834" w:rsidP="00C81834">
            <w:pPr>
              <w:rPr>
                <w:rFonts w:cs="Arial"/>
                <w:b/>
                <w:bCs/>
                <w:sz w:val="20"/>
                <w:szCs w:val="20"/>
                <w:lang w:val="es-MX"/>
              </w:rPr>
            </w:pPr>
            <w:r w:rsidRPr="00FA4B2D">
              <w:rPr>
                <w:rFonts w:cs="Arial"/>
                <w:b/>
                <w:bCs/>
                <w:sz w:val="20"/>
                <w:szCs w:val="20"/>
                <w:lang w:val="es-MX"/>
              </w:rPr>
              <w:t>Interpretación:</w:t>
            </w:r>
          </w:p>
          <w:p w14:paraId="0FA3D7E2" w14:textId="77777777" w:rsidR="00C81834" w:rsidRPr="00FA4B2D" w:rsidRDefault="00C81834" w:rsidP="00C81834">
            <w:pPr>
              <w:jc w:val="both"/>
              <w:rPr>
                <w:rFonts w:cs="Arial"/>
                <w:sz w:val="20"/>
                <w:szCs w:val="20"/>
                <w:lang w:val="es-MX"/>
              </w:rPr>
            </w:pPr>
            <w:r w:rsidRPr="00FA4B2D">
              <w:rPr>
                <w:rFonts w:cs="Arial"/>
                <w:sz w:val="20"/>
                <w:szCs w:val="20"/>
                <w:lang w:val="es-MX"/>
              </w:rPr>
              <w:lastRenderedPageBreak/>
              <w:t>Pese a los esfuerzos institucionales del sector agrícola para tecnificar e intensificar la agricultura aún persisten prácticas de manejo tradicional que implican el uso excesivo de agroquímicos y el avance de la frontera agrícola que provoca un cambio del uso del suelo.</w:t>
            </w:r>
          </w:p>
          <w:p w14:paraId="1B9DA1A4" w14:textId="77777777" w:rsidR="00C81834" w:rsidRPr="00FA4B2D" w:rsidRDefault="00C81834" w:rsidP="00C81834">
            <w:pPr>
              <w:jc w:val="both"/>
              <w:rPr>
                <w:rFonts w:cs="Arial"/>
                <w:sz w:val="20"/>
                <w:szCs w:val="20"/>
                <w:lang w:val="es-MX"/>
              </w:rPr>
            </w:pPr>
            <w:r w:rsidRPr="00FA4B2D">
              <w:rPr>
                <w:rFonts w:cs="Arial"/>
                <w:b/>
                <w:bCs/>
                <w:sz w:val="20"/>
                <w:szCs w:val="20"/>
                <w:lang w:val="es-MX"/>
              </w:rPr>
              <w:t>Medidas Recomendadas</w:t>
            </w:r>
            <w:r w:rsidRPr="00FA4B2D">
              <w:rPr>
                <w:rFonts w:cs="Arial"/>
                <w:sz w:val="20"/>
                <w:szCs w:val="20"/>
                <w:lang w:val="es-MX"/>
              </w:rPr>
              <w:t>: Diversificación de cultivos, capacitación a productores en uso adecuado de agroquímicos, implementación de prácticas agrícolas amigables con el ambiente como requisito del Proyecto y que estén alineadas al marco regulatorio ambiental nacional.</w:t>
            </w:r>
          </w:p>
        </w:tc>
      </w:tr>
    </w:tbl>
    <w:p w14:paraId="2F4DED0B" w14:textId="77777777" w:rsidR="00C81834" w:rsidRPr="00FA4B2D" w:rsidRDefault="00C81834" w:rsidP="00C81834">
      <w:pPr>
        <w:spacing w:after="0" w:line="240" w:lineRule="auto"/>
        <w:jc w:val="both"/>
        <w:rPr>
          <w:rFonts w:cs="Arial"/>
        </w:rPr>
      </w:pPr>
    </w:p>
    <w:p w14:paraId="5B8B7CE3" w14:textId="77777777" w:rsidR="00C81834" w:rsidRPr="00FA4B2D" w:rsidRDefault="00C81834" w:rsidP="00C81834">
      <w:pPr>
        <w:spacing w:after="0" w:line="240" w:lineRule="auto"/>
        <w:jc w:val="both"/>
        <w:rPr>
          <w:rFonts w:cs="Arial"/>
          <w:lang w:val="es-ES_tradnl"/>
        </w:rPr>
      </w:pPr>
    </w:p>
    <w:p w14:paraId="1142EBA8" w14:textId="77777777" w:rsidR="00C81834" w:rsidRPr="00FA4B2D" w:rsidRDefault="00C81834" w:rsidP="00C81834">
      <w:pPr>
        <w:spacing w:after="0" w:line="240" w:lineRule="auto"/>
        <w:jc w:val="both"/>
        <w:rPr>
          <w:rFonts w:cs="Arial"/>
          <w:lang w:val="es-ES_tradnl"/>
        </w:rPr>
      </w:pPr>
      <w:r w:rsidRPr="00FA4B2D">
        <w:rPr>
          <w:rFonts w:cs="Arial"/>
          <w:lang w:val="es-ES_tradnl"/>
        </w:rPr>
        <w:t>La encuesta a Representantes Garífunas arrojó las siguientes respuestas referidas a impactos ambientales y sociales del Proyecto:</w:t>
      </w:r>
    </w:p>
    <w:p w14:paraId="4F5741AE" w14:textId="77777777" w:rsidR="00C81834" w:rsidRPr="00FA4B2D" w:rsidRDefault="00C81834" w:rsidP="00C81834">
      <w:pPr>
        <w:spacing w:after="0" w:line="240" w:lineRule="auto"/>
        <w:jc w:val="both"/>
        <w:rPr>
          <w:rFonts w:cs="Arial"/>
          <w:lang w:val="es-ES_tradnl"/>
        </w:rPr>
      </w:pPr>
    </w:p>
    <w:p w14:paraId="617F8C25" w14:textId="77777777" w:rsidR="00C81834" w:rsidRPr="00FA4B2D" w:rsidRDefault="00C81834" w:rsidP="00C81834">
      <w:pPr>
        <w:spacing w:after="0" w:line="240" w:lineRule="auto"/>
        <w:jc w:val="both"/>
        <w:rPr>
          <w:rFonts w:cs="Arial"/>
          <w:lang w:val="es-ES_tradnl"/>
        </w:rPr>
      </w:pPr>
    </w:p>
    <w:tbl>
      <w:tblPr>
        <w:tblStyle w:val="Tablaconcuadrcula"/>
        <w:tblW w:w="8926" w:type="dxa"/>
        <w:tblLook w:val="04A0" w:firstRow="1" w:lastRow="0" w:firstColumn="1" w:lastColumn="0" w:noHBand="0" w:noVBand="1"/>
      </w:tblPr>
      <w:tblGrid>
        <w:gridCol w:w="3964"/>
        <w:gridCol w:w="283"/>
        <w:gridCol w:w="4679"/>
      </w:tblGrid>
      <w:tr w:rsidR="00C81834" w:rsidRPr="00FA4B2D" w14:paraId="2294DB9C" w14:textId="77777777" w:rsidTr="00C81834">
        <w:tc>
          <w:tcPr>
            <w:tcW w:w="8926" w:type="dxa"/>
            <w:gridSpan w:val="3"/>
            <w:shd w:val="clear" w:color="auto" w:fill="E7E6E6" w:themeFill="background2"/>
          </w:tcPr>
          <w:p w14:paraId="753062C5" w14:textId="77777777" w:rsidR="00C81834" w:rsidRPr="00FA4B2D" w:rsidRDefault="00C81834" w:rsidP="00411720">
            <w:pPr>
              <w:pStyle w:val="Prrafodelista"/>
              <w:numPr>
                <w:ilvl w:val="0"/>
                <w:numId w:val="90"/>
              </w:numPr>
              <w:jc w:val="both"/>
              <w:rPr>
                <w:rFonts w:cs="Arial"/>
                <w:b/>
                <w:bCs/>
                <w:sz w:val="20"/>
                <w:szCs w:val="20"/>
                <w:lang w:val="es-HN"/>
              </w:rPr>
            </w:pPr>
            <w:r w:rsidRPr="00FA4B2D">
              <w:rPr>
                <w:rFonts w:cs="Arial"/>
                <w:b/>
                <w:bCs/>
                <w:sz w:val="20"/>
                <w:szCs w:val="20"/>
                <w:lang w:val="es-HN"/>
              </w:rPr>
              <w:t>¿Qué impactos sociales adversos considera debe tomar en cuenta el Proyecto?</w:t>
            </w:r>
          </w:p>
          <w:p w14:paraId="5C4A1F05" w14:textId="77777777" w:rsidR="00C81834" w:rsidRPr="00FA4B2D" w:rsidRDefault="00C81834" w:rsidP="00C81834">
            <w:pPr>
              <w:pStyle w:val="Prrafodelista"/>
              <w:jc w:val="both"/>
              <w:rPr>
                <w:rFonts w:cs="Arial"/>
                <w:b/>
                <w:bCs/>
                <w:sz w:val="20"/>
                <w:szCs w:val="20"/>
                <w:lang w:val="es-HN"/>
              </w:rPr>
            </w:pPr>
          </w:p>
        </w:tc>
      </w:tr>
      <w:tr w:rsidR="00C81834" w:rsidRPr="00FA4B2D" w14:paraId="18C83861" w14:textId="77777777" w:rsidTr="00C81834">
        <w:tc>
          <w:tcPr>
            <w:tcW w:w="3964" w:type="dxa"/>
          </w:tcPr>
          <w:p w14:paraId="43B9AC84" w14:textId="77777777" w:rsidR="00C81834" w:rsidRPr="00FA4B2D" w:rsidRDefault="00C81834" w:rsidP="00C81834">
            <w:pPr>
              <w:pStyle w:val="Prrafodelista"/>
              <w:rPr>
                <w:rFonts w:cs="Arial"/>
                <w:b/>
                <w:bCs/>
                <w:sz w:val="20"/>
                <w:szCs w:val="20"/>
                <w:lang w:val="es-HN"/>
              </w:rPr>
            </w:pPr>
            <w:r w:rsidRPr="00FA4B2D">
              <w:rPr>
                <w:rFonts w:cs="Arial"/>
                <w:b/>
                <w:bCs/>
                <w:sz w:val="20"/>
                <w:szCs w:val="20"/>
                <w:lang w:val="es-HN"/>
              </w:rPr>
              <w:t>Opciones de Respuesta:</w:t>
            </w:r>
          </w:p>
          <w:p w14:paraId="451C0A50" w14:textId="77777777" w:rsidR="00C81834" w:rsidRPr="00FA4B2D" w:rsidRDefault="00C81834" w:rsidP="00C81834">
            <w:pPr>
              <w:pStyle w:val="Prrafodelista"/>
              <w:ind w:left="360"/>
              <w:jc w:val="both"/>
              <w:rPr>
                <w:rFonts w:cs="Arial"/>
                <w:sz w:val="20"/>
                <w:szCs w:val="20"/>
                <w:lang w:val="es-HN"/>
              </w:rPr>
            </w:pPr>
          </w:p>
          <w:p w14:paraId="5FC4680B" w14:textId="77777777" w:rsidR="00C81834" w:rsidRPr="00FA4B2D" w:rsidRDefault="00C81834" w:rsidP="00411720">
            <w:pPr>
              <w:pStyle w:val="Prrafodelista"/>
              <w:numPr>
                <w:ilvl w:val="0"/>
                <w:numId w:val="91"/>
              </w:numPr>
              <w:jc w:val="both"/>
              <w:rPr>
                <w:rFonts w:cs="Arial"/>
                <w:sz w:val="20"/>
                <w:szCs w:val="20"/>
                <w:lang w:val="es-HN"/>
              </w:rPr>
            </w:pPr>
            <w:r w:rsidRPr="00FA4B2D">
              <w:rPr>
                <w:rFonts w:cs="Arial"/>
                <w:sz w:val="20"/>
                <w:szCs w:val="20"/>
                <w:lang w:val="es-HN"/>
              </w:rPr>
              <w:t>Riesgo de intensificación de conflictos sociales, particularmente debido a temas de tenencia de tierras colectivas y comunitarias.</w:t>
            </w:r>
          </w:p>
          <w:p w14:paraId="0CD844B1" w14:textId="77777777" w:rsidR="00C81834" w:rsidRPr="00FA4B2D" w:rsidRDefault="00C81834" w:rsidP="00411720">
            <w:pPr>
              <w:pStyle w:val="Prrafodelista"/>
              <w:numPr>
                <w:ilvl w:val="0"/>
                <w:numId w:val="91"/>
              </w:numPr>
              <w:jc w:val="both"/>
              <w:rPr>
                <w:rFonts w:cs="Arial"/>
                <w:sz w:val="20"/>
                <w:szCs w:val="20"/>
                <w:lang w:val="es-HN"/>
              </w:rPr>
            </w:pPr>
            <w:r w:rsidRPr="00FA4B2D">
              <w:rPr>
                <w:rFonts w:cs="Arial"/>
                <w:sz w:val="20"/>
                <w:szCs w:val="20"/>
                <w:lang w:val="es-HN"/>
              </w:rPr>
              <w:t>Organizaciones presentan limitada asociatividad para lograr economías de escala, acceder a tecnologías y a nichos de mercado y por ende su capacidad organizativa no responde a convocatorias para presentación de perfiles de COMRURAL.</w:t>
            </w:r>
          </w:p>
          <w:p w14:paraId="5FCFF3D8" w14:textId="77777777" w:rsidR="00C81834" w:rsidRPr="00FA4B2D" w:rsidRDefault="00C81834" w:rsidP="00411720">
            <w:pPr>
              <w:pStyle w:val="Prrafodelista"/>
              <w:numPr>
                <w:ilvl w:val="0"/>
                <w:numId w:val="91"/>
              </w:numPr>
              <w:jc w:val="both"/>
              <w:rPr>
                <w:rFonts w:cs="Arial"/>
                <w:sz w:val="20"/>
                <w:szCs w:val="20"/>
                <w:lang w:val="es-HN"/>
              </w:rPr>
            </w:pPr>
            <w:r w:rsidRPr="00FA4B2D">
              <w:rPr>
                <w:rFonts w:cs="Arial"/>
                <w:sz w:val="20"/>
                <w:szCs w:val="20"/>
                <w:lang w:val="es-HN"/>
              </w:rPr>
              <w:t>Organizaciones formadas por productores afrodescendientes tienen baja participación como resultado de un modelo de competitividad no compatible con su cultura y cosmovisión.</w:t>
            </w:r>
          </w:p>
          <w:p w14:paraId="47CA927D" w14:textId="77777777" w:rsidR="00C81834" w:rsidRPr="00FA4B2D" w:rsidRDefault="00C81834" w:rsidP="00411720">
            <w:pPr>
              <w:pStyle w:val="Prrafodelista"/>
              <w:numPr>
                <w:ilvl w:val="0"/>
                <w:numId w:val="91"/>
              </w:numPr>
              <w:jc w:val="both"/>
              <w:rPr>
                <w:rFonts w:cs="Arial"/>
                <w:sz w:val="20"/>
                <w:szCs w:val="20"/>
                <w:lang w:val="es-HN"/>
              </w:rPr>
            </w:pPr>
            <w:r w:rsidRPr="00FA4B2D">
              <w:rPr>
                <w:rFonts w:cs="Arial"/>
                <w:sz w:val="20"/>
                <w:szCs w:val="20"/>
                <w:lang w:val="es-HN"/>
              </w:rPr>
              <w:t>El modelo de participación e inclusión no considere los bajos niveles educativos de la población para acceder a las ofertas de atención del proyecto.</w:t>
            </w:r>
          </w:p>
          <w:p w14:paraId="4162AA44" w14:textId="77777777" w:rsidR="00C81834" w:rsidRPr="00FA4B2D" w:rsidRDefault="00C81834" w:rsidP="00411720">
            <w:pPr>
              <w:pStyle w:val="Prrafodelista"/>
              <w:numPr>
                <w:ilvl w:val="0"/>
                <w:numId w:val="91"/>
              </w:numPr>
              <w:rPr>
                <w:rFonts w:cs="Arial"/>
                <w:sz w:val="20"/>
                <w:szCs w:val="20"/>
                <w:lang w:val="es-HN"/>
              </w:rPr>
            </w:pPr>
            <w:r w:rsidRPr="00FA4B2D">
              <w:rPr>
                <w:rFonts w:cs="Arial"/>
                <w:sz w:val="20"/>
                <w:szCs w:val="20"/>
                <w:lang w:val="es-HN"/>
              </w:rPr>
              <w:t>Otras:</w:t>
            </w:r>
          </w:p>
          <w:p w14:paraId="012AB8EA" w14:textId="77777777" w:rsidR="00C81834" w:rsidRPr="00FA4B2D" w:rsidRDefault="00C81834" w:rsidP="00C81834">
            <w:pPr>
              <w:pStyle w:val="Prrafodelista"/>
              <w:ind w:left="360"/>
              <w:rPr>
                <w:rFonts w:cs="Arial"/>
                <w:sz w:val="20"/>
                <w:szCs w:val="20"/>
                <w:lang w:val="es-HN"/>
              </w:rPr>
            </w:pPr>
          </w:p>
        </w:tc>
        <w:tc>
          <w:tcPr>
            <w:tcW w:w="4962" w:type="dxa"/>
            <w:gridSpan w:val="2"/>
          </w:tcPr>
          <w:p w14:paraId="5F04A40D" w14:textId="77777777" w:rsidR="00C81834" w:rsidRPr="00FA4B2D" w:rsidRDefault="00C81834" w:rsidP="00C81834">
            <w:pPr>
              <w:pStyle w:val="Prrafodelista"/>
              <w:jc w:val="both"/>
              <w:rPr>
                <w:rFonts w:cs="Arial"/>
                <w:b/>
                <w:bCs/>
                <w:sz w:val="20"/>
                <w:szCs w:val="20"/>
                <w:lang w:val="es-HN"/>
              </w:rPr>
            </w:pPr>
            <w:r w:rsidRPr="00FA4B2D">
              <w:rPr>
                <w:rFonts w:cs="Arial"/>
                <w:b/>
                <w:bCs/>
                <w:sz w:val="20"/>
                <w:szCs w:val="20"/>
                <w:lang w:val="es-HN"/>
              </w:rPr>
              <w:t>Resultados:</w:t>
            </w:r>
          </w:p>
          <w:p w14:paraId="501665A8" w14:textId="77777777" w:rsidR="00C81834" w:rsidRPr="00FA4B2D" w:rsidRDefault="00C81834" w:rsidP="00C81834">
            <w:pPr>
              <w:pStyle w:val="Prrafodelista"/>
              <w:jc w:val="both"/>
              <w:rPr>
                <w:rFonts w:cs="Arial"/>
                <w:b/>
                <w:bCs/>
                <w:sz w:val="20"/>
                <w:szCs w:val="20"/>
                <w:lang w:val="es-HN"/>
              </w:rPr>
            </w:pPr>
          </w:p>
          <w:p w14:paraId="0646C8A8" w14:textId="77777777" w:rsidR="00C81834" w:rsidRPr="00FA4B2D" w:rsidRDefault="00C81834" w:rsidP="00C81834">
            <w:pPr>
              <w:pStyle w:val="Prrafodelista"/>
              <w:jc w:val="both"/>
              <w:rPr>
                <w:rFonts w:cs="Arial"/>
                <w:sz w:val="20"/>
                <w:szCs w:val="20"/>
                <w:lang w:val="es-HN"/>
              </w:rPr>
            </w:pPr>
            <w:r w:rsidRPr="00FA4B2D">
              <w:rPr>
                <w:rFonts w:cs="Arial"/>
                <w:sz w:val="20"/>
                <w:szCs w:val="20"/>
                <w:lang w:val="es-HN"/>
              </w:rPr>
              <w:t>Riesgo de intensificación de conflictos sociales, particularmente debido a temas de tenencia de tierras colectivas y comunitarias.</w:t>
            </w:r>
          </w:p>
          <w:p w14:paraId="648C9AB6" w14:textId="77777777" w:rsidR="00C81834" w:rsidRPr="00FA4B2D" w:rsidRDefault="00C81834" w:rsidP="00C81834">
            <w:pPr>
              <w:pStyle w:val="Prrafodelista"/>
              <w:jc w:val="both"/>
              <w:rPr>
                <w:rFonts w:cs="Arial"/>
                <w:sz w:val="20"/>
                <w:szCs w:val="20"/>
                <w:lang w:val="es-HN"/>
              </w:rPr>
            </w:pPr>
            <w:r w:rsidRPr="00FA4B2D">
              <w:rPr>
                <w:rFonts w:cs="Arial"/>
                <w:sz w:val="20"/>
                <w:szCs w:val="20"/>
                <w:lang w:val="es-HN"/>
              </w:rPr>
              <w:t>Organizaciones presentan limitada asociatividad para lograr economías de escala, acceder a tecnologías y a nichos de mercado y por ende su capacidad organizativa no responde a convocatorias para presentación de perfiles de COMRURAL.</w:t>
            </w:r>
          </w:p>
          <w:p w14:paraId="0118357A" w14:textId="77777777" w:rsidR="00C81834" w:rsidRPr="00FA4B2D" w:rsidRDefault="00C81834" w:rsidP="00C81834">
            <w:pPr>
              <w:pStyle w:val="Prrafodelista"/>
              <w:jc w:val="both"/>
              <w:rPr>
                <w:rFonts w:cs="Arial"/>
                <w:b/>
                <w:bCs/>
                <w:sz w:val="20"/>
                <w:szCs w:val="20"/>
                <w:lang w:val="es-HN"/>
              </w:rPr>
            </w:pPr>
            <w:r w:rsidRPr="00FA4B2D">
              <w:rPr>
                <w:rFonts w:cs="Arial"/>
                <w:sz w:val="20"/>
                <w:szCs w:val="20"/>
                <w:lang w:val="es-HN"/>
              </w:rPr>
              <w:t>Organizaciones formadas por productores afrodescendientes tienen baja participación como resultado de un modelo de competitividad no compatible con su cultura y cosmovisión.</w:t>
            </w:r>
          </w:p>
        </w:tc>
      </w:tr>
      <w:tr w:rsidR="00C81834" w:rsidRPr="00FA4B2D" w14:paraId="23E970C2" w14:textId="77777777" w:rsidTr="00C81834">
        <w:tc>
          <w:tcPr>
            <w:tcW w:w="8926" w:type="dxa"/>
            <w:gridSpan w:val="3"/>
          </w:tcPr>
          <w:p w14:paraId="54279769" w14:textId="77777777" w:rsidR="00C81834" w:rsidRPr="00FA4B2D" w:rsidRDefault="00C81834" w:rsidP="00C81834">
            <w:pPr>
              <w:rPr>
                <w:rFonts w:cs="Arial"/>
                <w:b/>
                <w:bCs/>
                <w:sz w:val="20"/>
                <w:szCs w:val="20"/>
                <w:lang w:val="es-HN"/>
              </w:rPr>
            </w:pPr>
            <w:r w:rsidRPr="00FA4B2D">
              <w:rPr>
                <w:rFonts w:cs="Arial"/>
                <w:b/>
                <w:bCs/>
                <w:sz w:val="20"/>
                <w:szCs w:val="20"/>
                <w:lang w:val="es-HN"/>
              </w:rPr>
              <w:t>Interpretación y medidas:</w:t>
            </w:r>
          </w:p>
          <w:p w14:paraId="0DE88900" w14:textId="77777777" w:rsidR="00C81834" w:rsidRPr="00FA4B2D" w:rsidRDefault="00C81834" w:rsidP="00811897">
            <w:pPr>
              <w:jc w:val="both"/>
              <w:rPr>
                <w:rFonts w:cs="Arial"/>
                <w:sz w:val="20"/>
                <w:szCs w:val="20"/>
                <w:lang w:val="es-HN"/>
              </w:rPr>
            </w:pPr>
            <w:r w:rsidRPr="00FA4B2D">
              <w:rPr>
                <w:rFonts w:cs="Arial"/>
                <w:sz w:val="20"/>
                <w:szCs w:val="20"/>
                <w:lang w:val="es-HN"/>
              </w:rPr>
              <w:t>Las comunidades garífunas, identifican que, para tener opciones de participación, el Proyecto debe considerar las características particulares de cosmovisión y cultura. Como medidas adicionales se recomiendan, convocatorias específicas, acompañamiento en el proceso con asesoría legal y técnica, diagnósticos específicos y líneas de base para las comunidades garífunas.</w:t>
            </w:r>
          </w:p>
          <w:p w14:paraId="2CDC8BBC" w14:textId="77777777" w:rsidR="00C81834" w:rsidRPr="00FA4B2D" w:rsidRDefault="00C81834" w:rsidP="00C81834">
            <w:pPr>
              <w:jc w:val="both"/>
              <w:rPr>
                <w:rFonts w:cs="Arial"/>
                <w:sz w:val="20"/>
                <w:szCs w:val="20"/>
                <w:lang w:val="es-HN"/>
              </w:rPr>
            </w:pPr>
          </w:p>
        </w:tc>
      </w:tr>
      <w:tr w:rsidR="00C81834" w:rsidRPr="00FA4B2D" w14:paraId="5883F621" w14:textId="77777777" w:rsidTr="00C81834">
        <w:tc>
          <w:tcPr>
            <w:tcW w:w="8926" w:type="dxa"/>
            <w:gridSpan w:val="3"/>
            <w:shd w:val="clear" w:color="auto" w:fill="E7E6E6" w:themeFill="background2"/>
          </w:tcPr>
          <w:p w14:paraId="4D978490" w14:textId="77777777" w:rsidR="00C81834" w:rsidRPr="00FA4B2D" w:rsidRDefault="00C81834" w:rsidP="00411720">
            <w:pPr>
              <w:pStyle w:val="Prrafodelista"/>
              <w:numPr>
                <w:ilvl w:val="0"/>
                <w:numId w:val="90"/>
              </w:numPr>
              <w:rPr>
                <w:rFonts w:cs="Arial"/>
                <w:b/>
                <w:bCs/>
                <w:sz w:val="20"/>
                <w:szCs w:val="20"/>
                <w:lang w:val="es-HN"/>
              </w:rPr>
            </w:pPr>
            <w:r w:rsidRPr="00FA4B2D">
              <w:rPr>
                <w:rFonts w:cs="Arial"/>
                <w:b/>
                <w:bCs/>
                <w:sz w:val="20"/>
                <w:szCs w:val="20"/>
                <w:lang w:val="es-HN"/>
              </w:rPr>
              <w:t>¿Qué impactos ambientales adversos debe tomar en cuenta el Proyecto?</w:t>
            </w:r>
          </w:p>
          <w:p w14:paraId="48C56A18" w14:textId="77777777" w:rsidR="00C81834" w:rsidRPr="00FA4B2D" w:rsidRDefault="00C81834" w:rsidP="00C81834">
            <w:pPr>
              <w:pStyle w:val="Prrafodelista"/>
              <w:rPr>
                <w:rFonts w:cs="Arial"/>
                <w:b/>
                <w:bCs/>
                <w:sz w:val="20"/>
                <w:szCs w:val="20"/>
                <w:lang w:val="es-HN"/>
              </w:rPr>
            </w:pPr>
          </w:p>
        </w:tc>
      </w:tr>
      <w:tr w:rsidR="00C81834" w:rsidRPr="00FA4B2D" w14:paraId="7F71EC5F" w14:textId="77777777" w:rsidTr="00C81834">
        <w:tc>
          <w:tcPr>
            <w:tcW w:w="4247" w:type="dxa"/>
            <w:gridSpan w:val="2"/>
          </w:tcPr>
          <w:p w14:paraId="598640E7" w14:textId="77777777" w:rsidR="00C81834" w:rsidRPr="00FA4B2D" w:rsidRDefault="00C81834" w:rsidP="000A703C">
            <w:pPr>
              <w:ind w:left="360"/>
              <w:jc w:val="both"/>
              <w:rPr>
                <w:rFonts w:cs="Arial"/>
                <w:b/>
                <w:bCs/>
                <w:sz w:val="20"/>
                <w:szCs w:val="20"/>
                <w:lang w:val="es-HN"/>
              </w:rPr>
            </w:pPr>
            <w:r w:rsidRPr="00FA4B2D">
              <w:rPr>
                <w:rFonts w:cs="Arial"/>
                <w:b/>
                <w:bCs/>
                <w:sz w:val="20"/>
                <w:szCs w:val="20"/>
                <w:lang w:val="es-HN"/>
              </w:rPr>
              <w:t>Opciones de Respuesta:</w:t>
            </w:r>
          </w:p>
          <w:p w14:paraId="0E74D3DC" w14:textId="77777777" w:rsidR="00C81834" w:rsidRPr="00FA4B2D" w:rsidRDefault="00C81834" w:rsidP="000A703C">
            <w:pPr>
              <w:numPr>
                <w:ilvl w:val="0"/>
                <w:numId w:val="92"/>
              </w:numPr>
              <w:jc w:val="both"/>
              <w:rPr>
                <w:rFonts w:cs="Arial"/>
                <w:sz w:val="20"/>
                <w:szCs w:val="20"/>
                <w:lang w:val="es-HN"/>
              </w:rPr>
            </w:pPr>
            <w:r w:rsidRPr="00FA4B2D">
              <w:rPr>
                <w:rFonts w:cs="Arial"/>
                <w:sz w:val="20"/>
                <w:szCs w:val="20"/>
                <w:lang w:val="es-HN"/>
              </w:rPr>
              <w:t>Uso excesivo de pesticidas, herbicidas fertilizantes es medio de contaminación de cursos de agua y pérdida de fertilidad del suelo ocasionando daños a la salud humana y pérdida de biodiversidad.</w:t>
            </w:r>
          </w:p>
          <w:p w14:paraId="32F04EA7" w14:textId="77777777" w:rsidR="00C81834" w:rsidRPr="00FA4B2D" w:rsidRDefault="00C81834" w:rsidP="000A703C">
            <w:pPr>
              <w:numPr>
                <w:ilvl w:val="0"/>
                <w:numId w:val="92"/>
              </w:numPr>
              <w:jc w:val="both"/>
              <w:rPr>
                <w:rFonts w:cs="Arial"/>
                <w:sz w:val="20"/>
                <w:szCs w:val="20"/>
                <w:lang w:val="es-HN"/>
              </w:rPr>
            </w:pPr>
            <w:r w:rsidRPr="00FA4B2D">
              <w:rPr>
                <w:rFonts w:cs="Arial"/>
                <w:sz w:val="20"/>
                <w:szCs w:val="20"/>
                <w:lang w:val="es-HN"/>
              </w:rPr>
              <w:lastRenderedPageBreak/>
              <w:t>Cambio de uso del suelo si se amplía la frontera agrícola por cualquier tipo de producción, y sobre todo en áreas protegidas.</w:t>
            </w:r>
          </w:p>
          <w:p w14:paraId="48062B31" w14:textId="77777777" w:rsidR="00C81834" w:rsidRPr="00FA4B2D" w:rsidRDefault="00C81834" w:rsidP="000A703C">
            <w:pPr>
              <w:numPr>
                <w:ilvl w:val="0"/>
                <w:numId w:val="92"/>
              </w:numPr>
              <w:jc w:val="both"/>
              <w:rPr>
                <w:rFonts w:cs="Arial"/>
                <w:sz w:val="20"/>
                <w:szCs w:val="20"/>
                <w:lang w:val="es-HN"/>
              </w:rPr>
            </w:pPr>
            <w:r w:rsidRPr="00FA4B2D">
              <w:rPr>
                <w:rFonts w:cs="Arial"/>
                <w:sz w:val="20"/>
                <w:szCs w:val="20"/>
                <w:lang w:val="es-HN"/>
              </w:rPr>
              <w:t>Presión sobre los recursos hídricos y hábitat naturales por uso agrícola.</w:t>
            </w:r>
          </w:p>
          <w:p w14:paraId="2FB3DE6E" w14:textId="77777777" w:rsidR="00C81834" w:rsidRPr="00FA4B2D" w:rsidRDefault="00C81834" w:rsidP="000A703C">
            <w:pPr>
              <w:numPr>
                <w:ilvl w:val="0"/>
                <w:numId w:val="92"/>
              </w:numPr>
              <w:jc w:val="both"/>
              <w:rPr>
                <w:rFonts w:cs="Arial"/>
                <w:sz w:val="20"/>
                <w:szCs w:val="20"/>
                <w:lang w:val="es-HN"/>
              </w:rPr>
            </w:pPr>
            <w:r w:rsidRPr="00FA4B2D">
              <w:rPr>
                <w:rFonts w:cs="Arial"/>
                <w:sz w:val="20"/>
                <w:szCs w:val="20"/>
                <w:lang w:val="es-HN"/>
              </w:rPr>
              <w:t>Degradación de ecosistemas frágiles en zonas de inversión.</w:t>
            </w:r>
          </w:p>
          <w:p w14:paraId="2268DD75" w14:textId="77777777" w:rsidR="00C81834" w:rsidRPr="00FA4B2D" w:rsidRDefault="00C81834" w:rsidP="000A703C">
            <w:pPr>
              <w:numPr>
                <w:ilvl w:val="0"/>
                <w:numId w:val="92"/>
              </w:numPr>
              <w:jc w:val="both"/>
              <w:rPr>
                <w:rFonts w:cs="Arial"/>
                <w:sz w:val="20"/>
                <w:szCs w:val="20"/>
                <w:lang w:val="es-HN"/>
              </w:rPr>
            </w:pPr>
            <w:r w:rsidRPr="00FA4B2D">
              <w:rPr>
                <w:rFonts w:cs="Arial"/>
                <w:sz w:val="20"/>
                <w:szCs w:val="20"/>
                <w:lang w:val="es-HN"/>
              </w:rPr>
              <w:t>Ampliación de frontera agrícola por incentivo y rentabilidad de cultivos.</w:t>
            </w:r>
          </w:p>
          <w:p w14:paraId="2C048D86" w14:textId="77777777" w:rsidR="00C81834" w:rsidRPr="00FA4B2D" w:rsidRDefault="00C81834" w:rsidP="000A703C">
            <w:pPr>
              <w:numPr>
                <w:ilvl w:val="0"/>
                <w:numId w:val="92"/>
              </w:numPr>
              <w:jc w:val="both"/>
              <w:rPr>
                <w:rFonts w:cs="Arial"/>
                <w:sz w:val="20"/>
                <w:szCs w:val="20"/>
                <w:lang w:val="es-HN"/>
              </w:rPr>
            </w:pPr>
            <w:r w:rsidRPr="00FA4B2D">
              <w:rPr>
                <w:rFonts w:cs="Arial"/>
                <w:sz w:val="20"/>
                <w:szCs w:val="20"/>
                <w:lang w:val="es-HN"/>
              </w:rPr>
              <w:t>Contaminación por residuos sólidos y líquidos en general.</w:t>
            </w:r>
          </w:p>
          <w:p w14:paraId="45B6141D" w14:textId="621227B3" w:rsidR="00C81834" w:rsidRPr="00FA4B2D" w:rsidRDefault="00C81834" w:rsidP="000A703C">
            <w:pPr>
              <w:numPr>
                <w:ilvl w:val="0"/>
                <w:numId w:val="92"/>
              </w:numPr>
              <w:jc w:val="both"/>
              <w:rPr>
                <w:rFonts w:cs="Arial"/>
                <w:sz w:val="20"/>
                <w:szCs w:val="20"/>
                <w:lang w:val="es-HN"/>
              </w:rPr>
            </w:pPr>
            <w:r w:rsidRPr="00FA4B2D">
              <w:rPr>
                <w:rFonts w:cs="Arial"/>
                <w:sz w:val="20"/>
                <w:szCs w:val="20"/>
                <w:lang w:val="es-HN"/>
              </w:rPr>
              <w:t>Otros</w:t>
            </w:r>
            <w:r w:rsidR="00FD6F06" w:rsidRPr="00FA4B2D">
              <w:rPr>
                <w:rFonts w:cs="Arial"/>
                <w:sz w:val="20"/>
                <w:szCs w:val="20"/>
                <w:lang w:val="es-HN"/>
              </w:rPr>
              <w:t>.</w:t>
            </w:r>
          </w:p>
          <w:p w14:paraId="752E6C7B" w14:textId="77777777" w:rsidR="00C81834" w:rsidRPr="00FA4B2D" w:rsidRDefault="00C81834" w:rsidP="000A703C">
            <w:pPr>
              <w:jc w:val="both"/>
              <w:rPr>
                <w:rFonts w:cs="Arial"/>
                <w:sz w:val="20"/>
                <w:szCs w:val="20"/>
                <w:lang w:val="es-HN"/>
              </w:rPr>
            </w:pPr>
          </w:p>
        </w:tc>
        <w:tc>
          <w:tcPr>
            <w:tcW w:w="4679" w:type="dxa"/>
          </w:tcPr>
          <w:p w14:paraId="1104A39F" w14:textId="77777777" w:rsidR="00C81834" w:rsidRPr="00FA4B2D" w:rsidRDefault="00C81834" w:rsidP="000A703C">
            <w:pPr>
              <w:jc w:val="both"/>
              <w:rPr>
                <w:rFonts w:cs="Arial"/>
                <w:b/>
                <w:bCs/>
                <w:sz w:val="20"/>
                <w:szCs w:val="20"/>
                <w:lang w:val="es-HN"/>
              </w:rPr>
            </w:pPr>
            <w:r w:rsidRPr="00FA4B2D">
              <w:rPr>
                <w:rFonts w:cs="Arial"/>
                <w:b/>
                <w:bCs/>
                <w:sz w:val="20"/>
                <w:szCs w:val="20"/>
                <w:lang w:val="es-HN"/>
              </w:rPr>
              <w:lastRenderedPageBreak/>
              <w:t>Resultados:</w:t>
            </w:r>
          </w:p>
          <w:p w14:paraId="7A05C4D4" w14:textId="77777777" w:rsidR="00C81834" w:rsidRPr="00FA4B2D" w:rsidRDefault="00C81834" w:rsidP="000A703C">
            <w:pPr>
              <w:jc w:val="both"/>
              <w:rPr>
                <w:rFonts w:cs="Arial"/>
                <w:sz w:val="20"/>
                <w:szCs w:val="20"/>
                <w:lang w:val="es-HN"/>
              </w:rPr>
            </w:pPr>
            <w:r w:rsidRPr="00FA4B2D">
              <w:rPr>
                <w:rFonts w:cs="Arial"/>
                <w:sz w:val="20"/>
                <w:szCs w:val="20"/>
                <w:lang w:val="es-HN"/>
              </w:rPr>
              <w:t>Uso excesivo de pesticidas, herbicidas fertilizantes es medio de contaminación de cursos de agua y pérdida de fertilidad del suelo ocasionando daños a la salud humana y pérdida de biodiversidad.</w:t>
            </w:r>
          </w:p>
          <w:p w14:paraId="4A5CF073" w14:textId="77777777" w:rsidR="00C81834" w:rsidRPr="00FA4B2D" w:rsidRDefault="00C81834" w:rsidP="000A703C">
            <w:pPr>
              <w:jc w:val="both"/>
              <w:rPr>
                <w:rFonts w:cs="Arial"/>
                <w:sz w:val="20"/>
                <w:szCs w:val="20"/>
                <w:lang w:val="es-HN"/>
              </w:rPr>
            </w:pPr>
            <w:r w:rsidRPr="00FA4B2D">
              <w:rPr>
                <w:rFonts w:cs="Arial"/>
                <w:sz w:val="20"/>
                <w:szCs w:val="20"/>
                <w:lang w:val="es-HN"/>
              </w:rPr>
              <w:t>Presión sobre los recursos hídricos y hábitat naturales por uso agrícola.</w:t>
            </w:r>
          </w:p>
          <w:p w14:paraId="6A815A4B" w14:textId="77777777" w:rsidR="00C81834" w:rsidRPr="00FA4B2D" w:rsidRDefault="00C81834" w:rsidP="000A703C">
            <w:pPr>
              <w:jc w:val="both"/>
              <w:rPr>
                <w:rFonts w:cs="Arial"/>
                <w:b/>
                <w:bCs/>
                <w:sz w:val="20"/>
                <w:szCs w:val="20"/>
                <w:lang w:val="es-HN"/>
              </w:rPr>
            </w:pPr>
            <w:r w:rsidRPr="00FA4B2D">
              <w:rPr>
                <w:rFonts w:cs="Arial"/>
                <w:sz w:val="20"/>
                <w:szCs w:val="20"/>
                <w:lang w:val="es-HN"/>
              </w:rPr>
              <w:lastRenderedPageBreak/>
              <w:t>Contaminación por residuos sólidos y líquidos en general.</w:t>
            </w:r>
          </w:p>
        </w:tc>
      </w:tr>
      <w:tr w:rsidR="00C81834" w:rsidRPr="00FA4B2D" w14:paraId="5213FC58" w14:textId="77777777" w:rsidTr="00C81834">
        <w:tc>
          <w:tcPr>
            <w:tcW w:w="8926" w:type="dxa"/>
            <w:gridSpan w:val="3"/>
          </w:tcPr>
          <w:p w14:paraId="508605C0" w14:textId="77777777" w:rsidR="00C81834" w:rsidRPr="00FA4B2D" w:rsidRDefault="00C81834" w:rsidP="00C81834">
            <w:pPr>
              <w:rPr>
                <w:rFonts w:cs="Arial"/>
                <w:b/>
                <w:bCs/>
                <w:sz w:val="20"/>
                <w:szCs w:val="20"/>
                <w:lang w:val="es-HN"/>
              </w:rPr>
            </w:pPr>
            <w:r w:rsidRPr="00FA4B2D">
              <w:rPr>
                <w:rFonts w:cs="Arial"/>
                <w:b/>
                <w:bCs/>
                <w:sz w:val="20"/>
                <w:szCs w:val="20"/>
                <w:lang w:val="es-HN"/>
              </w:rPr>
              <w:lastRenderedPageBreak/>
              <w:t>Interpretación y medidas:</w:t>
            </w:r>
          </w:p>
          <w:p w14:paraId="40977FBA" w14:textId="77777777" w:rsidR="00C81834" w:rsidRPr="00FA4B2D" w:rsidRDefault="00C81834" w:rsidP="00811897">
            <w:pPr>
              <w:jc w:val="both"/>
              <w:rPr>
                <w:rFonts w:cs="Arial"/>
                <w:sz w:val="20"/>
                <w:szCs w:val="20"/>
                <w:lang w:val="es-HN"/>
              </w:rPr>
            </w:pPr>
            <w:r w:rsidRPr="00FA4B2D">
              <w:rPr>
                <w:rFonts w:cs="Arial"/>
                <w:sz w:val="20"/>
                <w:szCs w:val="20"/>
                <w:lang w:val="es-HN"/>
              </w:rPr>
              <w:t>La identificación de impactos adversos tiene estrecha vinculación con las actividades agrícolas de subsistencia tradicionales. Acompañamiento local y trabajo conjunto desde la formulación de los subproyectos, y construir mecanismos o modelos de intervención en correspondencia con realidad del pueblo garífuna.</w:t>
            </w:r>
          </w:p>
          <w:p w14:paraId="0F0BC868" w14:textId="77777777" w:rsidR="00C81834" w:rsidRPr="00FA4B2D" w:rsidRDefault="00C81834" w:rsidP="00C81834">
            <w:pPr>
              <w:rPr>
                <w:rFonts w:cs="Arial"/>
                <w:sz w:val="20"/>
                <w:szCs w:val="20"/>
                <w:lang w:val="es-HN"/>
              </w:rPr>
            </w:pPr>
          </w:p>
        </w:tc>
      </w:tr>
    </w:tbl>
    <w:p w14:paraId="63C4AF82" w14:textId="77777777" w:rsidR="00C81834" w:rsidRPr="00FA4B2D" w:rsidRDefault="00C81834" w:rsidP="00C81834">
      <w:pPr>
        <w:spacing w:after="0" w:line="240" w:lineRule="auto"/>
        <w:jc w:val="both"/>
        <w:rPr>
          <w:rFonts w:cs="Arial"/>
          <w:lang w:val="es-HN"/>
        </w:rPr>
      </w:pPr>
    </w:p>
    <w:p w14:paraId="0B8DEB84" w14:textId="77777777" w:rsidR="00C81834" w:rsidRPr="00FA4B2D" w:rsidRDefault="00C81834" w:rsidP="00C81834">
      <w:pPr>
        <w:spacing w:after="0" w:line="240" w:lineRule="auto"/>
        <w:jc w:val="both"/>
        <w:rPr>
          <w:rFonts w:cs="Arial"/>
          <w:b/>
          <w:bCs/>
          <w:lang w:val="es-ES_tradnl"/>
        </w:rPr>
      </w:pPr>
      <w:r w:rsidRPr="00FA4B2D">
        <w:rPr>
          <w:rFonts w:cs="Arial"/>
          <w:b/>
          <w:bCs/>
          <w:lang w:val="es-ES_tradnl"/>
        </w:rPr>
        <w:t>Resultados del Proceso de consulta durante la fase de efectividad del Proyecto COMRURAL III</w:t>
      </w:r>
    </w:p>
    <w:p w14:paraId="5E90DFE6" w14:textId="77777777" w:rsidR="00C81834" w:rsidRPr="00FA4B2D" w:rsidRDefault="00C81834" w:rsidP="00C81834">
      <w:pPr>
        <w:spacing w:after="0" w:line="240" w:lineRule="auto"/>
        <w:jc w:val="both"/>
        <w:rPr>
          <w:rFonts w:cs="Arial"/>
          <w:lang w:val="es-HN"/>
        </w:rPr>
      </w:pPr>
    </w:p>
    <w:p w14:paraId="76EA5630" w14:textId="77777777" w:rsidR="00C81834" w:rsidRPr="00FA4B2D" w:rsidRDefault="00C81834" w:rsidP="00C81834">
      <w:pPr>
        <w:jc w:val="both"/>
        <w:rPr>
          <w:rFonts w:cs="Arial"/>
          <w:lang w:val="es-ES_tradnl"/>
        </w:rPr>
      </w:pPr>
      <w:r w:rsidRPr="00FA4B2D">
        <w:rPr>
          <w:rFonts w:cs="Arial"/>
          <w:lang w:val="es-ES_tradnl"/>
        </w:rPr>
        <w:t xml:space="preserve">En la segunda parte del Proceso de Consulta, desarrollado en los Departamentos de Valle, Yoro y Olancho, desarrollada en el mes de diciembre de 2023, en los Departamentos de Valle, Yoro y Olancho, se han logrado identificar a partir de los aportes de un total de 205 participantes (41 mujeres y 164 hombres): </w:t>
      </w:r>
    </w:p>
    <w:p w14:paraId="7CAA5C3E" w14:textId="4DB85751" w:rsidR="000E6D86" w:rsidRDefault="000E6D86" w:rsidP="000E6D86">
      <w:pPr>
        <w:pStyle w:val="Descripcin"/>
        <w:keepNext/>
      </w:pPr>
      <w:bookmarkStart w:id="1466" w:name="_Toc202455491"/>
      <w:r>
        <w:t xml:space="preserve">Tabla </w:t>
      </w:r>
      <w:r>
        <w:fldChar w:fldCharType="begin"/>
      </w:r>
      <w:r>
        <w:instrText xml:space="preserve"> SEQ Tabla \* ARABIC </w:instrText>
      </w:r>
      <w:r>
        <w:fldChar w:fldCharType="separate"/>
      </w:r>
      <w:r>
        <w:rPr>
          <w:noProof/>
        </w:rPr>
        <w:t>65</w:t>
      </w:r>
      <w:r>
        <w:fldChar w:fldCharType="end"/>
      </w:r>
      <w:r>
        <w:t xml:space="preserve">: </w:t>
      </w:r>
      <w:r w:rsidRPr="005774D0">
        <w:t>Participantes consulta externa significativa. Valle, Yoro y Olancho</w:t>
      </w:r>
      <w:bookmarkEnd w:id="1466"/>
    </w:p>
    <w:tbl>
      <w:tblPr>
        <w:tblW w:w="7320" w:type="dxa"/>
        <w:jc w:val="center"/>
        <w:tblCellMar>
          <w:left w:w="70" w:type="dxa"/>
          <w:right w:w="70" w:type="dxa"/>
        </w:tblCellMar>
        <w:tblLook w:val="04A0" w:firstRow="1" w:lastRow="0" w:firstColumn="1" w:lastColumn="0" w:noHBand="0" w:noVBand="1"/>
      </w:tblPr>
      <w:tblGrid>
        <w:gridCol w:w="3600"/>
        <w:gridCol w:w="1240"/>
        <w:gridCol w:w="1240"/>
        <w:gridCol w:w="1240"/>
      </w:tblGrid>
      <w:tr w:rsidR="000E6D86" w:rsidRPr="000E6D86" w14:paraId="7580DC55" w14:textId="77777777" w:rsidTr="00C81834">
        <w:trPr>
          <w:trHeight w:val="288"/>
          <w:jc w:val="center"/>
        </w:trPr>
        <w:tc>
          <w:tcPr>
            <w:tcW w:w="3600" w:type="dxa"/>
            <w:tcBorders>
              <w:top w:val="single" w:sz="4" w:space="0" w:color="auto"/>
              <w:left w:val="single" w:sz="4" w:space="0" w:color="auto"/>
              <w:bottom w:val="single" w:sz="4" w:space="0" w:color="auto"/>
              <w:right w:val="single" w:sz="4" w:space="0" w:color="auto"/>
            </w:tcBorders>
            <w:shd w:val="clear" w:color="auto" w:fill="5CC5DA"/>
            <w:noWrap/>
            <w:vAlign w:val="bottom"/>
            <w:hideMark/>
          </w:tcPr>
          <w:p w14:paraId="7B144EB2" w14:textId="77777777" w:rsidR="00C81834" w:rsidRPr="000E6D86" w:rsidRDefault="00C81834" w:rsidP="00C81834">
            <w:pPr>
              <w:spacing w:after="0" w:line="240" w:lineRule="auto"/>
              <w:jc w:val="center"/>
              <w:rPr>
                <w:rFonts w:eastAsia="Times New Roman" w:cs="Arial"/>
                <w:b/>
                <w:bCs/>
                <w:sz w:val="22"/>
                <w:szCs w:val="20"/>
                <w:lang w:val="es-SV" w:eastAsia="es-SV"/>
              </w:rPr>
            </w:pPr>
            <w:r w:rsidRPr="000E6D86">
              <w:rPr>
                <w:rFonts w:eastAsia="Times New Roman" w:cs="Arial"/>
                <w:b/>
                <w:bCs/>
                <w:sz w:val="22"/>
                <w:szCs w:val="20"/>
                <w:lang w:val="es-SV" w:eastAsia="es-SV"/>
              </w:rPr>
              <w:t xml:space="preserve">Lugar </w:t>
            </w:r>
          </w:p>
        </w:tc>
        <w:tc>
          <w:tcPr>
            <w:tcW w:w="1240" w:type="dxa"/>
            <w:tcBorders>
              <w:top w:val="single" w:sz="4" w:space="0" w:color="auto"/>
              <w:left w:val="nil"/>
              <w:bottom w:val="single" w:sz="4" w:space="0" w:color="auto"/>
              <w:right w:val="single" w:sz="4" w:space="0" w:color="auto"/>
            </w:tcBorders>
            <w:shd w:val="clear" w:color="auto" w:fill="5CC5DA"/>
            <w:noWrap/>
            <w:vAlign w:val="bottom"/>
            <w:hideMark/>
          </w:tcPr>
          <w:p w14:paraId="551C0E2E" w14:textId="77777777" w:rsidR="00C81834" w:rsidRPr="000E6D86" w:rsidRDefault="00C81834" w:rsidP="00C81834">
            <w:pPr>
              <w:spacing w:after="0" w:line="240" w:lineRule="auto"/>
              <w:jc w:val="center"/>
              <w:rPr>
                <w:rFonts w:eastAsia="Times New Roman" w:cs="Arial"/>
                <w:b/>
                <w:bCs/>
                <w:sz w:val="22"/>
                <w:szCs w:val="20"/>
                <w:lang w:val="es-SV" w:eastAsia="es-SV"/>
              </w:rPr>
            </w:pPr>
            <w:r w:rsidRPr="000E6D86">
              <w:rPr>
                <w:rFonts w:eastAsia="Times New Roman" w:cs="Arial"/>
                <w:b/>
                <w:bCs/>
                <w:sz w:val="22"/>
                <w:szCs w:val="20"/>
                <w:lang w:val="es-SV" w:eastAsia="es-SV"/>
              </w:rPr>
              <w:t>Mujeres</w:t>
            </w:r>
          </w:p>
        </w:tc>
        <w:tc>
          <w:tcPr>
            <w:tcW w:w="1240" w:type="dxa"/>
            <w:tcBorders>
              <w:top w:val="single" w:sz="4" w:space="0" w:color="auto"/>
              <w:left w:val="nil"/>
              <w:bottom w:val="single" w:sz="4" w:space="0" w:color="auto"/>
              <w:right w:val="single" w:sz="4" w:space="0" w:color="auto"/>
            </w:tcBorders>
            <w:shd w:val="clear" w:color="auto" w:fill="5CC5DA"/>
            <w:noWrap/>
            <w:vAlign w:val="bottom"/>
            <w:hideMark/>
          </w:tcPr>
          <w:p w14:paraId="3058DCF1" w14:textId="77777777" w:rsidR="00C81834" w:rsidRPr="000E6D86" w:rsidRDefault="00C81834" w:rsidP="00C81834">
            <w:pPr>
              <w:spacing w:after="0" w:line="240" w:lineRule="auto"/>
              <w:jc w:val="center"/>
              <w:rPr>
                <w:rFonts w:eastAsia="Times New Roman" w:cs="Arial"/>
                <w:b/>
                <w:bCs/>
                <w:sz w:val="22"/>
                <w:szCs w:val="20"/>
                <w:lang w:val="es-SV" w:eastAsia="es-SV"/>
              </w:rPr>
            </w:pPr>
            <w:r w:rsidRPr="000E6D86">
              <w:rPr>
                <w:rFonts w:eastAsia="Times New Roman" w:cs="Arial"/>
                <w:b/>
                <w:bCs/>
                <w:sz w:val="22"/>
                <w:szCs w:val="20"/>
                <w:lang w:val="es-SV" w:eastAsia="es-SV"/>
              </w:rPr>
              <w:t>Hombres</w:t>
            </w:r>
          </w:p>
        </w:tc>
        <w:tc>
          <w:tcPr>
            <w:tcW w:w="1240" w:type="dxa"/>
            <w:tcBorders>
              <w:top w:val="single" w:sz="4" w:space="0" w:color="auto"/>
              <w:left w:val="nil"/>
              <w:bottom w:val="single" w:sz="4" w:space="0" w:color="auto"/>
              <w:right w:val="single" w:sz="4" w:space="0" w:color="auto"/>
            </w:tcBorders>
            <w:shd w:val="clear" w:color="auto" w:fill="5CC5DA"/>
            <w:noWrap/>
            <w:vAlign w:val="bottom"/>
            <w:hideMark/>
          </w:tcPr>
          <w:p w14:paraId="5C20E869" w14:textId="77777777" w:rsidR="00C81834" w:rsidRPr="000E6D86" w:rsidRDefault="00C81834" w:rsidP="00C81834">
            <w:pPr>
              <w:spacing w:after="0" w:line="240" w:lineRule="auto"/>
              <w:jc w:val="center"/>
              <w:rPr>
                <w:rFonts w:eastAsia="Times New Roman" w:cs="Arial"/>
                <w:b/>
                <w:bCs/>
                <w:sz w:val="22"/>
                <w:szCs w:val="20"/>
                <w:lang w:val="es-SV" w:eastAsia="es-SV"/>
              </w:rPr>
            </w:pPr>
            <w:r w:rsidRPr="000E6D86">
              <w:rPr>
                <w:rFonts w:eastAsia="Times New Roman" w:cs="Arial"/>
                <w:b/>
                <w:bCs/>
                <w:sz w:val="22"/>
                <w:szCs w:val="20"/>
                <w:lang w:val="es-SV" w:eastAsia="es-SV"/>
              </w:rPr>
              <w:t>Total</w:t>
            </w:r>
          </w:p>
        </w:tc>
      </w:tr>
      <w:tr w:rsidR="000E6D86" w:rsidRPr="000E6D86" w14:paraId="5B733140" w14:textId="77777777" w:rsidTr="00C81834">
        <w:trPr>
          <w:trHeight w:val="288"/>
          <w:jc w:val="center"/>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6B91A110" w14:textId="77777777" w:rsidR="00C81834" w:rsidRPr="000E6D86" w:rsidRDefault="00C81834" w:rsidP="00C81834">
            <w:pPr>
              <w:spacing w:after="0" w:line="240" w:lineRule="auto"/>
              <w:rPr>
                <w:rFonts w:eastAsia="Times New Roman" w:cs="Arial"/>
                <w:sz w:val="22"/>
                <w:szCs w:val="20"/>
                <w:lang w:val="es-SV" w:eastAsia="es-SV"/>
              </w:rPr>
            </w:pPr>
            <w:r w:rsidRPr="000E6D86">
              <w:rPr>
                <w:rFonts w:eastAsia="Times New Roman" w:cs="Arial"/>
                <w:sz w:val="22"/>
                <w:szCs w:val="20"/>
                <w:lang w:val="es-SV" w:eastAsia="es-SV"/>
              </w:rPr>
              <w:t>Olancho Catacamas</w:t>
            </w:r>
          </w:p>
        </w:tc>
        <w:tc>
          <w:tcPr>
            <w:tcW w:w="1240" w:type="dxa"/>
            <w:tcBorders>
              <w:top w:val="nil"/>
              <w:left w:val="nil"/>
              <w:bottom w:val="single" w:sz="4" w:space="0" w:color="auto"/>
              <w:right w:val="single" w:sz="4" w:space="0" w:color="auto"/>
            </w:tcBorders>
            <w:shd w:val="clear" w:color="auto" w:fill="auto"/>
            <w:noWrap/>
            <w:vAlign w:val="bottom"/>
            <w:hideMark/>
          </w:tcPr>
          <w:p w14:paraId="4CDCCA23" w14:textId="77777777" w:rsidR="00C81834" w:rsidRPr="000E6D86" w:rsidRDefault="00C81834" w:rsidP="000A703C">
            <w:pPr>
              <w:spacing w:after="0" w:line="240" w:lineRule="auto"/>
              <w:jc w:val="center"/>
              <w:rPr>
                <w:rFonts w:eastAsia="Times New Roman" w:cs="Arial"/>
                <w:sz w:val="22"/>
                <w:szCs w:val="20"/>
                <w:lang w:val="es-SV" w:eastAsia="es-SV"/>
              </w:rPr>
            </w:pPr>
            <w:r w:rsidRPr="000E6D86">
              <w:rPr>
                <w:rFonts w:eastAsia="Times New Roman" w:cs="Arial"/>
                <w:sz w:val="22"/>
                <w:szCs w:val="20"/>
                <w:lang w:val="es-SV" w:eastAsia="es-SV"/>
              </w:rPr>
              <w:t>8</w:t>
            </w:r>
          </w:p>
        </w:tc>
        <w:tc>
          <w:tcPr>
            <w:tcW w:w="1240" w:type="dxa"/>
            <w:tcBorders>
              <w:top w:val="nil"/>
              <w:left w:val="nil"/>
              <w:bottom w:val="single" w:sz="4" w:space="0" w:color="auto"/>
              <w:right w:val="single" w:sz="4" w:space="0" w:color="auto"/>
            </w:tcBorders>
            <w:shd w:val="clear" w:color="auto" w:fill="auto"/>
            <w:noWrap/>
            <w:vAlign w:val="bottom"/>
            <w:hideMark/>
          </w:tcPr>
          <w:p w14:paraId="4D438D23" w14:textId="77777777" w:rsidR="00C81834" w:rsidRPr="000E6D86" w:rsidRDefault="00C81834" w:rsidP="000A703C">
            <w:pPr>
              <w:spacing w:after="0" w:line="240" w:lineRule="auto"/>
              <w:jc w:val="center"/>
              <w:rPr>
                <w:rFonts w:eastAsia="Times New Roman" w:cs="Arial"/>
                <w:sz w:val="22"/>
                <w:szCs w:val="20"/>
                <w:lang w:val="es-SV" w:eastAsia="es-SV"/>
              </w:rPr>
            </w:pPr>
            <w:r w:rsidRPr="000E6D86">
              <w:rPr>
                <w:rFonts w:eastAsia="Times New Roman" w:cs="Arial"/>
                <w:sz w:val="22"/>
                <w:szCs w:val="20"/>
                <w:lang w:val="es-SV" w:eastAsia="es-SV"/>
              </w:rPr>
              <w:t>22</w:t>
            </w:r>
          </w:p>
        </w:tc>
        <w:tc>
          <w:tcPr>
            <w:tcW w:w="1240" w:type="dxa"/>
            <w:tcBorders>
              <w:top w:val="nil"/>
              <w:left w:val="nil"/>
              <w:bottom w:val="single" w:sz="4" w:space="0" w:color="auto"/>
              <w:right w:val="single" w:sz="4" w:space="0" w:color="auto"/>
            </w:tcBorders>
            <w:shd w:val="clear" w:color="auto" w:fill="auto"/>
            <w:noWrap/>
            <w:vAlign w:val="bottom"/>
            <w:hideMark/>
          </w:tcPr>
          <w:p w14:paraId="338A4B30" w14:textId="77777777" w:rsidR="00C81834" w:rsidRPr="000E6D86" w:rsidRDefault="00C81834" w:rsidP="000A703C">
            <w:pPr>
              <w:spacing w:after="0" w:line="240" w:lineRule="auto"/>
              <w:jc w:val="center"/>
              <w:rPr>
                <w:rFonts w:eastAsia="Times New Roman" w:cs="Arial"/>
                <w:sz w:val="22"/>
                <w:szCs w:val="20"/>
                <w:lang w:val="es-SV" w:eastAsia="es-SV"/>
              </w:rPr>
            </w:pPr>
            <w:r w:rsidRPr="000E6D86">
              <w:rPr>
                <w:rFonts w:eastAsia="Times New Roman" w:cs="Arial"/>
                <w:sz w:val="22"/>
                <w:szCs w:val="20"/>
                <w:lang w:val="es-SV" w:eastAsia="es-SV"/>
              </w:rPr>
              <w:t>30</w:t>
            </w:r>
          </w:p>
        </w:tc>
      </w:tr>
      <w:tr w:rsidR="000E6D86" w:rsidRPr="000E6D86" w14:paraId="2DC0FC07" w14:textId="77777777" w:rsidTr="00C81834">
        <w:trPr>
          <w:trHeight w:val="288"/>
          <w:jc w:val="center"/>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6D3542A8" w14:textId="77777777" w:rsidR="00C81834" w:rsidRPr="000E6D86" w:rsidRDefault="00C81834" w:rsidP="00C81834">
            <w:pPr>
              <w:spacing w:after="0" w:line="240" w:lineRule="auto"/>
              <w:rPr>
                <w:rFonts w:eastAsia="Times New Roman" w:cs="Arial"/>
                <w:sz w:val="22"/>
                <w:szCs w:val="20"/>
                <w:lang w:val="es-SV" w:eastAsia="es-SV"/>
              </w:rPr>
            </w:pPr>
            <w:r w:rsidRPr="000E6D86">
              <w:rPr>
                <w:rFonts w:eastAsia="Times New Roman" w:cs="Arial"/>
                <w:sz w:val="22"/>
                <w:szCs w:val="20"/>
                <w:lang w:val="es-SV" w:eastAsia="es-SV"/>
              </w:rPr>
              <w:t>Olancho Juticalpa</w:t>
            </w:r>
          </w:p>
        </w:tc>
        <w:tc>
          <w:tcPr>
            <w:tcW w:w="1240" w:type="dxa"/>
            <w:tcBorders>
              <w:top w:val="nil"/>
              <w:left w:val="nil"/>
              <w:bottom w:val="single" w:sz="4" w:space="0" w:color="auto"/>
              <w:right w:val="single" w:sz="4" w:space="0" w:color="auto"/>
            </w:tcBorders>
            <w:shd w:val="clear" w:color="auto" w:fill="auto"/>
            <w:noWrap/>
            <w:vAlign w:val="bottom"/>
            <w:hideMark/>
          </w:tcPr>
          <w:p w14:paraId="2F4B2224" w14:textId="77777777" w:rsidR="00C81834" w:rsidRPr="000E6D86" w:rsidRDefault="00C81834" w:rsidP="000A703C">
            <w:pPr>
              <w:spacing w:after="0" w:line="240" w:lineRule="auto"/>
              <w:jc w:val="center"/>
              <w:rPr>
                <w:rFonts w:eastAsia="Times New Roman" w:cs="Arial"/>
                <w:sz w:val="22"/>
                <w:szCs w:val="20"/>
                <w:lang w:val="es-SV" w:eastAsia="es-SV"/>
              </w:rPr>
            </w:pPr>
            <w:r w:rsidRPr="000E6D86">
              <w:rPr>
                <w:rFonts w:eastAsia="Times New Roman" w:cs="Arial"/>
                <w:sz w:val="22"/>
                <w:szCs w:val="20"/>
                <w:lang w:val="es-SV" w:eastAsia="es-SV"/>
              </w:rPr>
              <w:t>3</w:t>
            </w:r>
          </w:p>
        </w:tc>
        <w:tc>
          <w:tcPr>
            <w:tcW w:w="1240" w:type="dxa"/>
            <w:tcBorders>
              <w:top w:val="nil"/>
              <w:left w:val="nil"/>
              <w:bottom w:val="single" w:sz="4" w:space="0" w:color="auto"/>
              <w:right w:val="single" w:sz="4" w:space="0" w:color="auto"/>
            </w:tcBorders>
            <w:shd w:val="clear" w:color="auto" w:fill="auto"/>
            <w:noWrap/>
            <w:vAlign w:val="bottom"/>
            <w:hideMark/>
          </w:tcPr>
          <w:p w14:paraId="70698356" w14:textId="77777777" w:rsidR="00C81834" w:rsidRPr="000E6D86" w:rsidRDefault="00C81834" w:rsidP="000A703C">
            <w:pPr>
              <w:spacing w:after="0" w:line="240" w:lineRule="auto"/>
              <w:jc w:val="center"/>
              <w:rPr>
                <w:rFonts w:eastAsia="Times New Roman" w:cs="Arial"/>
                <w:sz w:val="22"/>
                <w:szCs w:val="20"/>
                <w:lang w:val="es-SV" w:eastAsia="es-SV"/>
              </w:rPr>
            </w:pPr>
            <w:r w:rsidRPr="000E6D86">
              <w:rPr>
                <w:rFonts w:eastAsia="Times New Roman" w:cs="Arial"/>
                <w:sz w:val="22"/>
                <w:szCs w:val="20"/>
                <w:lang w:val="es-SV" w:eastAsia="es-SV"/>
              </w:rPr>
              <w:t>30</w:t>
            </w:r>
          </w:p>
        </w:tc>
        <w:tc>
          <w:tcPr>
            <w:tcW w:w="1240" w:type="dxa"/>
            <w:tcBorders>
              <w:top w:val="nil"/>
              <w:left w:val="nil"/>
              <w:bottom w:val="single" w:sz="4" w:space="0" w:color="auto"/>
              <w:right w:val="single" w:sz="4" w:space="0" w:color="auto"/>
            </w:tcBorders>
            <w:shd w:val="clear" w:color="auto" w:fill="auto"/>
            <w:noWrap/>
            <w:vAlign w:val="bottom"/>
            <w:hideMark/>
          </w:tcPr>
          <w:p w14:paraId="1AE0664B" w14:textId="77777777" w:rsidR="00C81834" w:rsidRPr="000E6D86" w:rsidRDefault="00C81834" w:rsidP="000A703C">
            <w:pPr>
              <w:spacing w:after="0" w:line="240" w:lineRule="auto"/>
              <w:jc w:val="center"/>
              <w:rPr>
                <w:rFonts w:eastAsia="Times New Roman" w:cs="Arial"/>
                <w:sz w:val="22"/>
                <w:szCs w:val="20"/>
                <w:lang w:val="es-SV" w:eastAsia="es-SV"/>
              </w:rPr>
            </w:pPr>
            <w:r w:rsidRPr="000E6D86">
              <w:rPr>
                <w:rFonts w:eastAsia="Times New Roman" w:cs="Arial"/>
                <w:sz w:val="22"/>
                <w:szCs w:val="20"/>
                <w:lang w:val="es-SV" w:eastAsia="es-SV"/>
              </w:rPr>
              <w:t>33</w:t>
            </w:r>
          </w:p>
        </w:tc>
      </w:tr>
      <w:tr w:rsidR="000E6D86" w:rsidRPr="000E6D86" w14:paraId="607439A4" w14:textId="77777777" w:rsidTr="00C81834">
        <w:trPr>
          <w:trHeight w:val="288"/>
          <w:jc w:val="center"/>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5F915588" w14:textId="77777777" w:rsidR="00C81834" w:rsidRPr="000E6D86" w:rsidRDefault="00C81834" w:rsidP="00C81834">
            <w:pPr>
              <w:spacing w:after="0" w:line="240" w:lineRule="auto"/>
              <w:rPr>
                <w:rFonts w:eastAsia="Times New Roman" w:cs="Arial"/>
                <w:sz w:val="22"/>
                <w:szCs w:val="20"/>
                <w:lang w:val="es-SV" w:eastAsia="es-SV"/>
              </w:rPr>
            </w:pPr>
            <w:r w:rsidRPr="000E6D86">
              <w:rPr>
                <w:rFonts w:eastAsia="Times New Roman" w:cs="Arial"/>
                <w:sz w:val="22"/>
                <w:szCs w:val="20"/>
                <w:lang w:val="es-SV" w:eastAsia="es-SV"/>
              </w:rPr>
              <w:t xml:space="preserve">Olancho Salamá </w:t>
            </w:r>
          </w:p>
        </w:tc>
        <w:tc>
          <w:tcPr>
            <w:tcW w:w="1240" w:type="dxa"/>
            <w:tcBorders>
              <w:top w:val="nil"/>
              <w:left w:val="nil"/>
              <w:bottom w:val="single" w:sz="4" w:space="0" w:color="auto"/>
              <w:right w:val="single" w:sz="4" w:space="0" w:color="auto"/>
            </w:tcBorders>
            <w:shd w:val="clear" w:color="auto" w:fill="auto"/>
            <w:noWrap/>
            <w:vAlign w:val="bottom"/>
            <w:hideMark/>
          </w:tcPr>
          <w:p w14:paraId="658B3D10" w14:textId="77777777" w:rsidR="00C81834" w:rsidRPr="000E6D86" w:rsidRDefault="00C81834" w:rsidP="000A703C">
            <w:pPr>
              <w:spacing w:after="0" w:line="240" w:lineRule="auto"/>
              <w:jc w:val="center"/>
              <w:rPr>
                <w:rFonts w:eastAsia="Times New Roman" w:cs="Arial"/>
                <w:sz w:val="22"/>
                <w:szCs w:val="20"/>
                <w:lang w:val="es-SV" w:eastAsia="es-SV"/>
              </w:rPr>
            </w:pPr>
            <w:r w:rsidRPr="000E6D86">
              <w:rPr>
                <w:rFonts w:eastAsia="Times New Roman" w:cs="Arial"/>
                <w:sz w:val="22"/>
                <w:szCs w:val="20"/>
                <w:lang w:val="es-SV" w:eastAsia="es-SV"/>
              </w:rPr>
              <w:t>6</w:t>
            </w:r>
          </w:p>
        </w:tc>
        <w:tc>
          <w:tcPr>
            <w:tcW w:w="1240" w:type="dxa"/>
            <w:tcBorders>
              <w:top w:val="nil"/>
              <w:left w:val="nil"/>
              <w:bottom w:val="single" w:sz="4" w:space="0" w:color="auto"/>
              <w:right w:val="single" w:sz="4" w:space="0" w:color="auto"/>
            </w:tcBorders>
            <w:shd w:val="clear" w:color="auto" w:fill="auto"/>
            <w:noWrap/>
            <w:vAlign w:val="bottom"/>
            <w:hideMark/>
          </w:tcPr>
          <w:p w14:paraId="29B275EA" w14:textId="77777777" w:rsidR="00C81834" w:rsidRPr="000E6D86" w:rsidRDefault="00C81834" w:rsidP="000A703C">
            <w:pPr>
              <w:spacing w:after="0" w:line="240" w:lineRule="auto"/>
              <w:jc w:val="center"/>
              <w:rPr>
                <w:rFonts w:eastAsia="Times New Roman" w:cs="Arial"/>
                <w:sz w:val="22"/>
                <w:szCs w:val="20"/>
                <w:lang w:val="es-SV" w:eastAsia="es-SV"/>
              </w:rPr>
            </w:pPr>
            <w:r w:rsidRPr="000E6D86">
              <w:rPr>
                <w:rFonts w:eastAsia="Times New Roman" w:cs="Arial"/>
                <w:sz w:val="22"/>
                <w:szCs w:val="20"/>
                <w:lang w:val="es-SV" w:eastAsia="es-SV"/>
              </w:rPr>
              <w:t>24</w:t>
            </w:r>
          </w:p>
        </w:tc>
        <w:tc>
          <w:tcPr>
            <w:tcW w:w="1240" w:type="dxa"/>
            <w:tcBorders>
              <w:top w:val="nil"/>
              <w:left w:val="nil"/>
              <w:bottom w:val="single" w:sz="4" w:space="0" w:color="auto"/>
              <w:right w:val="single" w:sz="4" w:space="0" w:color="auto"/>
            </w:tcBorders>
            <w:shd w:val="clear" w:color="auto" w:fill="auto"/>
            <w:noWrap/>
            <w:vAlign w:val="bottom"/>
            <w:hideMark/>
          </w:tcPr>
          <w:p w14:paraId="3E626973" w14:textId="77777777" w:rsidR="00C81834" w:rsidRPr="000E6D86" w:rsidRDefault="00C81834" w:rsidP="000A703C">
            <w:pPr>
              <w:spacing w:after="0" w:line="240" w:lineRule="auto"/>
              <w:jc w:val="center"/>
              <w:rPr>
                <w:rFonts w:eastAsia="Times New Roman" w:cs="Arial"/>
                <w:sz w:val="22"/>
                <w:szCs w:val="20"/>
                <w:lang w:val="es-SV" w:eastAsia="es-SV"/>
              </w:rPr>
            </w:pPr>
            <w:r w:rsidRPr="000E6D86">
              <w:rPr>
                <w:rFonts w:eastAsia="Times New Roman" w:cs="Arial"/>
                <w:sz w:val="22"/>
                <w:szCs w:val="20"/>
                <w:lang w:val="es-SV" w:eastAsia="es-SV"/>
              </w:rPr>
              <w:t>30</w:t>
            </w:r>
          </w:p>
        </w:tc>
      </w:tr>
      <w:tr w:rsidR="000E6D86" w:rsidRPr="000E6D86" w14:paraId="4C34DB7E" w14:textId="77777777" w:rsidTr="00C81834">
        <w:trPr>
          <w:trHeight w:val="288"/>
          <w:jc w:val="center"/>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65D432C0" w14:textId="77777777" w:rsidR="00C81834" w:rsidRPr="000E6D86" w:rsidRDefault="00C81834" w:rsidP="00C81834">
            <w:pPr>
              <w:spacing w:after="0" w:line="240" w:lineRule="auto"/>
              <w:rPr>
                <w:rFonts w:eastAsia="Times New Roman" w:cs="Arial"/>
                <w:sz w:val="22"/>
                <w:szCs w:val="20"/>
                <w:lang w:val="es-SV" w:eastAsia="es-SV"/>
              </w:rPr>
            </w:pPr>
            <w:r w:rsidRPr="000E6D86">
              <w:rPr>
                <w:rFonts w:eastAsia="Times New Roman" w:cs="Arial"/>
                <w:sz w:val="22"/>
                <w:szCs w:val="20"/>
                <w:lang w:val="es-SV" w:eastAsia="es-SV"/>
              </w:rPr>
              <w:t xml:space="preserve">Valle Nacaome </w:t>
            </w:r>
          </w:p>
        </w:tc>
        <w:tc>
          <w:tcPr>
            <w:tcW w:w="1240" w:type="dxa"/>
            <w:tcBorders>
              <w:top w:val="nil"/>
              <w:left w:val="nil"/>
              <w:bottom w:val="single" w:sz="4" w:space="0" w:color="auto"/>
              <w:right w:val="single" w:sz="4" w:space="0" w:color="auto"/>
            </w:tcBorders>
            <w:shd w:val="clear" w:color="auto" w:fill="auto"/>
            <w:noWrap/>
            <w:vAlign w:val="bottom"/>
            <w:hideMark/>
          </w:tcPr>
          <w:p w14:paraId="18ABD85A" w14:textId="77777777" w:rsidR="00C81834" w:rsidRPr="000E6D86" w:rsidRDefault="00C81834" w:rsidP="000A703C">
            <w:pPr>
              <w:spacing w:after="0" w:line="240" w:lineRule="auto"/>
              <w:jc w:val="center"/>
              <w:rPr>
                <w:rFonts w:eastAsia="Times New Roman" w:cs="Arial"/>
                <w:sz w:val="22"/>
                <w:szCs w:val="20"/>
                <w:lang w:val="es-SV" w:eastAsia="es-SV"/>
              </w:rPr>
            </w:pPr>
            <w:r w:rsidRPr="000E6D86">
              <w:rPr>
                <w:rFonts w:eastAsia="Times New Roman" w:cs="Arial"/>
                <w:sz w:val="22"/>
                <w:szCs w:val="20"/>
                <w:lang w:val="es-SV" w:eastAsia="es-SV"/>
              </w:rPr>
              <w:t>12</w:t>
            </w:r>
          </w:p>
        </w:tc>
        <w:tc>
          <w:tcPr>
            <w:tcW w:w="1240" w:type="dxa"/>
            <w:tcBorders>
              <w:top w:val="nil"/>
              <w:left w:val="nil"/>
              <w:bottom w:val="single" w:sz="4" w:space="0" w:color="auto"/>
              <w:right w:val="single" w:sz="4" w:space="0" w:color="auto"/>
            </w:tcBorders>
            <w:shd w:val="clear" w:color="auto" w:fill="auto"/>
            <w:noWrap/>
            <w:vAlign w:val="bottom"/>
            <w:hideMark/>
          </w:tcPr>
          <w:p w14:paraId="1397BE0E" w14:textId="77777777" w:rsidR="00C81834" w:rsidRPr="000E6D86" w:rsidRDefault="00C81834" w:rsidP="000A703C">
            <w:pPr>
              <w:spacing w:after="0" w:line="240" w:lineRule="auto"/>
              <w:jc w:val="center"/>
              <w:rPr>
                <w:rFonts w:eastAsia="Times New Roman" w:cs="Arial"/>
                <w:sz w:val="22"/>
                <w:szCs w:val="20"/>
                <w:lang w:val="es-SV" w:eastAsia="es-SV"/>
              </w:rPr>
            </w:pPr>
            <w:r w:rsidRPr="000E6D86">
              <w:rPr>
                <w:rFonts w:eastAsia="Times New Roman" w:cs="Arial"/>
                <w:sz w:val="22"/>
                <w:szCs w:val="20"/>
                <w:lang w:val="es-SV" w:eastAsia="es-SV"/>
              </w:rPr>
              <w:t>41</w:t>
            </w:r>
          </w:p>
        </w:tc>
        <w:tc>
          <w:tcPr>
            <w:tcW w:w="1240" w:type="dxa"/>
            <w:tcBorders>
              <w:top w:val="nil"/>
              <w:left w:val="nil"/>
              <w:bottom w:val="single" w:sz="4" w:space="0" w:color="auto"/>
              <w:right w:val="single" w:sz="4" w:space="0" w:color="auto"/>
            </w:tcBorders>
            <w:shd w:val="clear" w:color="auto" w:fill="auto"/>
            <w:noWrap/>
            <w:vAlign w:val="bottom"/>
            <w:hideMark/>
          </w:tcPr>
          <w:p w14:paraId="3F62CBE5" w14:textId="77777777" w:rsidR="00C81834" w:rsidRPr="000E6D86" w:rsidRDefault="00C81834" w:rsidP="000A703C">
            <w:pPr>
              <w:spacing w:after="0" w:line="240" w:lineRule="auto"/>
              <w:jc w:val="center"/>
              <w:rPr>
                <w:rFonts w:eastAsia="Times New Roman" w:cs="Arial"/>
                <w:sz w:val="22"/>
                <w:szCs w:val="20"/>
                <w:lang w:val="es-SV" w:eastAsia="es-SV"/>
              </w:rPr>
            </w:pPr>
            <w:r w:rsidRPr="000E6D86">
              <w:rPr>
                <w:rFonts w:eastAsia="Times New Roman" w:cs="Arial"/>
                <w:sz w:val="22"/>
                <w:szCs w:val="20"/>
                <w:lang w:val="es-SV" w:eastAsia="es-SV"/>
              </w:rPr>
              <w:t>53</w:t>
            </w:r>
          </w:p>
        </w:tc>
      </w:tr>
      <w:tr w:rsidR="000E6D86" w:rsidRPr="000E6D86" w14:paraId="022D8A62" w14:textId="77777777" w:rsidTr="00C81834">
        <w:trPr>
          <w:trHeight w:val="288"/>
          <w:jc w:val="center"/>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22D55FAB" w14:textId="77777777" w:rsidR="00C81834" w:rsidRPr="000E6D86" w:rsidRDefault="00C81834" w:rsidP="00C81834">
            <w:pPr>
              <w:spacing w:after="0" w:line="240" w:lineRule="auto"/>
              <w:rPr>
                <w:rFonts w:eastAsia="Times New Roman" w:cs="Arial"/>
                <w:sz w:val="22"/>
                <w:szCs w:val="20"/>
                <w:lang w:val="es-SV" w:eastAsia="es-SV"/>
              </w:rPr>
            </w:pPr>
            <w:r w:rsidRPr="000E6D86">
              <w:rPr>
                <w:rFonts w:eastAsia="Times New Roman" w:cs="Arial"/>
                <w:sz w:val="22"/>
                <w:szCs w:val="20"/>
                <w:lang w:val="es-SV" w:eastAsia="es-SV"/>
              </w:rPr>
              <w:t>Yoro, Yoro</w:t>
            </w:r>
          </w:p>
        </w:tc>
        <w:tc>
          <w:tcPr>
            <w:tcW w:w="1240" w:type="dxa"/>
            <w:tcBorders>
              <w:top w:val="nil"/>
              <w:left w:val="nil"/>
              <w:bottom w:val="single" w:sz="4" w:space="0" w:color="auto"/>
              <w:right w:val="single" w:sz="4" w:space="0" w:color="auto"/>
            </w:tcBorders>
            <w:shd w:val="clear" w:color="auto" w:fill="auto"/>
            <w:noWrap/>
            <w:vAlign w:val="bottom"/>
            <w:hideMark/>
          </w:tcPr>
          <w:p w14:paraId="6EC3F65D" w14:textId="77777777" w:rsidR="00C81834" w:rsidRPr="000E6D86" w:rsidRDefault="00C81834" w:rsidP="000A703C">
            <w:pPr>
              <w:spacing w:after="0" w:line="240" w:lineRule="auto"/>
              <w:jc w:val="center"/>
              <w:rPr>
                <w:rFonts w:eastAsia="Times New Roman" w:cs="Arial"/>
                <w:sz w:val="22"/>
                <w:szCs w:val="20"/>
                <w:lang w:val="es-SV" w:eastAsia="es-SV"/>
              </w:rPr>
            </w:pPr>
            <w:r w:rsidRPr="000E6D86">
              <w:rPr>
                <w:rFonts w:eastAsia="Times New Roman" w:cs="Arial"/>
                <w:sz w:val="22"/>
                <w:szCs w:val="20"/>
                <w:lang w:val="es-SV" w:eastAsia="es-SV"/>
              </w:rPr>
              <w:t>7</w:t>
            </w:r>
          </w:p>
        </w:tc>
        <w:tc>
          <w:tcPr>
            <w:tcW w:w="1240" w:type="dxa"/>
            <w:tcBorders>
              <w:top w:val="nil"/>
              <w:left w:val="nil"/>
              <w:bottom w:val="single" w:sz="4" w:space="0" w:color="auto"/>
              <w:right w:val="single" w:sz="4" w:space="0" w:color="auto"/>
            </w:tcBorders>
            <w:shd w:val="clear" w:color="auto" w:fill="auto"/>
            <w:noWrap/>
            <w:vAlign w:val="bottom"/>
            <w:hideMark/>
          </w:tcPr>
          <w:p w14:paraId="6ECF466B" w14:textId="77777777" w:rsidR="00C81834" w:rsidRPr="000E6D86" w:rsidRDefault="00C81834" w:rsidP="000A703C">
            <w:pPr>
              <w:spacing w:after="0" w:line="240" w:lineRule="auto"/>
              <w:jc w:val="center"/>
              <w:rPr>
                <w:rFonts w:eastAsia="Times New Roman" w:cs="Arial"/>
                <w:sz w:val="22"/>
                <w:szCs w:val="20"/>
                <w:lang w:val="es-SV" w:eastAsia="es-SV"/>
              </w:rPr>
            </w:pPr>
            <w:r w:rsidRPr="000E6D86">
              <w:rPr>
                <w:rFonts w:eastAsia="Times New Roman" w:cs="Arial"/>
                <w:sz w:val="22"/>
                <w:szCs w:val="20"/>
                <w:lang w:val="es-SV" w:eastAsia="es-SV"/>
              </w:rPr>
              <w:t>38</w:t>
            </w:r>
          </w:p>
        </w:tc>
        <w:tc>
          <w:tcPr>
            <w:tcW w:w="1240" w:type="dxa"/>
            <w:tcBorders>
              <w:top w:val="nil"/>
              <w:left w:val="nil"/>
              <w:bottom w:val="single" w:sz="4" w:space="0" w:color="auto"/>
              <w:right w:val="single" w:sz="4" w:space="0" w:color="auto"/>
            </w:tcBorders>
            <w:shd w:val="clear" w:color="auto" w:fill="auto"/>
            <w:noWrap/>
            <w:vAlign w:val="bottom"/>
            <w:hideMark/>
          </w:tcPr>
          <w:p w14:paraId="20CD61CC" w14:textId="77777777" w:rsidR="00C81834" w:rsidRPr="000E6D86" w:rsidRDefault="00C81834" w:rsidP="000A703C">
            <w:pPr>
              <w:spacing w:after="0" w:line="240" w:lineRule="auto"/>
              <w:jc w:val="center"/>
              <w:rPr>
                <w:rFonts w:eastAsia="Times New Roman" w:cs="Arial"/>
                <w:sz w:val="22"/>
                <w:szCs w:val="20"/>
                <w:lang w:val="es-SV" w:eastAsia="es-SV"/>
              </w:rPr>
            </w:pPr>
            <w:r w:rsidRPr="000E6D86">
              <w:rPr>
                <w:rFonts w:eastAsia="Times New Roman" w:cs="Arial"/>
                <w:sz w:val="22"/>
                <w:szCs w:val="20"/>
                <w:lang w:val="es-SV" w:eastAsia="es-SV"/>
              </w:rPr>
              <w:t>45</w:t>
            </w:r>
          </w:p>
        </w:tc>
      </w:tr>
      <w:tr w:rsidR="000E6D86" w:rsidRPr="000E6D86" w14:paraId="4D542CBA" w14:textId="77777777" w:rsidTr="00C81834">
        <w:trPr>
          <w:trHeight w:val="288"/>
          <w:jc w:val="center"/>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282278B7" w14:textId="77777777" w:rsidR="00C81834" w:rsidRPr="000E6D86" w:rsidRDefault="00C81834" w:rsidP="00C81834">
            <w:pPr>
              <w:spacing w:after="0" w:line="240" w:lineRule="auto"/>
              <w:rPr>
                <w:rFonts w:eastAsia="Times New Roman" w:cs="Arial"/>
                <w:sz w:val="22"/>
                <w:szCs w:val="20"/>
                <w:lang w:val="es-SV" w:eastAsia="es-SV"/>
              </w:rPr>
            </w:pPr>
            <w:r w:rsidRPr="000E6D86">
              <w:rPr>
                <w:rFonts w:eastAsia="Times New Roman" w:cs="Arial"/>
                <w:sz w:val="22"/>
                <w:szCs w:val="20"/>
                <w:lang w:val="es-SV" w:eastAsia="es-SV"/>
              </w:rPr>
              <w:t>Yoro, Olanchito</w:t>
            </w:r>
          </w:p>
        </w:tc>
        <w:tc>
          <w:tcPr>
            <w:tcW w:w="1240" w:type="dxa"/>
            <w:tcBorders>
              <w:top w:val="nil"/>
              <w:left w:val="nil"/>
              <w:bottom w:val="single" w:sz="4" w:space="0" w:color="auto"/>
              <w:right w:val="single" w:sz="4" w:space="0" w:color="auto"/>
            </w:tcBorders>
            <w:shd w:val="clear" w:color="auto" w:fill="auto"/>
            <w:noWrap/>
            <w:vAlign w:val="bottom"/>
            <w:hideMark/>
          </w:tcPr>
          <w:p w14:paraId="4D7DD747" w14:textId="77777777" w:rsidR="00C81834" w:rsidRPr="000E6D86" w:rsidRDefault="00C81834" w:rsidP="000A703C">
            <w:pPr>
              <w:spacing w:after="0" w:line="240" w:lineRule="auto"/>
              <w:jc w:val="center"/>
              <w:rPr>
                <w:rFonts w:eastAsia="Times New Roman" w:cs="Arial"/>
                <w:sz w:val="22"/>
                <w:szCs w:val="20"/>
                <w:lang w:val="es-SV" w:eastAsia="es-SV"/>
              </w:rPr>
            </w:pPr>
            <w:r w:rsidRPr="000E6D86">
              <w:rPr>
                <w:rFonts w:eastAsia="Times New Roman" w:cs="Arial"/>
                <w:sz w:val="22"/>
                <w:szCs w:val="20"/>
                <w:lang w:val="es-SV" w:eastAsia="es-SV"/>
              </w:rPr>
              <w:t>5</w:t>
            </w:r>
          </w:p>
        </w:tc>
        <w:tc>
          <w:tcPr>
            <w:tcW w:w="1240" w:type="dxa"/>
            <w:tcBorders>
              <w:top w:val="nil"/>
              <w:left w:val="nil"/>
              <w:bottom w:val="single" w:sz="4" w:space="0" w:color="auto"/>
              <w:right w:val="single" w:sz="4" w:space="0" w:color="auto"/>
            </w:tcBorders>
            <w:shd w:val="clear" w:color="auto" w:fill="auto"/>
            <w:noWrap/>
            <w:vAlign w:val="bottom"/>
            <w:hideMark/>
          </w:tcPr>
          <w:p w14:paraId="6FB8A49E" w14:textId="77777777" w:rsidR="00C81834" w:rsidRPr="000E6D86" w:rsidRDefault="00C81834" w:rsidP="000A703C">
            <w:pPr>
              <w:spacing w:after="0" w:line="240" w:lineRule="auto"/>
              <w:jc w:val="center"/>
              <w:rPr>
                <w:rFonts w:eastAsia="Times New Roman" w:cs="Arial"/>
                <w:sz w:val="22"/>
                <w:szCs w:val="20"/>
                <w:lang w:val="es-SV" w:eastAsia="es-SV"/>
              </w:rPr>
            </w:pPr>
            <w:r w:rsidRPr="000E6D86">
              <w:rPr>
                <w:rFonts w:eastAsia="Times New Roman" w:cs="Arial"/>
                <w:sz w:val="22"/>
                <w:szCs w:val="20"/>
                <w:lang w:val="es-SV" w:eastAsia="es-SV"/>
              </w:rPr>
              <w:t>9</w:t>
            </w:r>
          </w:p>
        </w:tc>
        <w:tc>
          <w:tcPr>
            <w:tcW w:w="1240" w:type="dxa"/>
            <w:tcBorders>
              <w:top w:val="nil"/>
              <w:left w:val="nil"/>
              <w:bottom w:val="single" w:sz="4" w:space="0" w:color="auto"/>
              <w:right w:val="single" w:sz="4" w:space="0" w:color="auto"/>
            </w:tcBorders>
            <w:shd w:val="clear" w:color="auto" w:fill="auto"/>
            <w:noWrap/>
            <w:vAlign w:val="bottom"/>
            <w:hideMark/>
          </w:tcPr>
          <w:p w14:paraId="19903BD5" w14:textId="77777777" w:rsidR="00C81834" w:rsidRPr="000E6D86" w:rsidRDefault="00C81834" w:rsidP="000A703C">
            <w:pPr>
              <w:spacing w:after="0" w:line="240" w:lineRule="auto"/>
              <w:jc w:val="center"/>
              <w:rPr>
                <w:rFonts w:eastAsia="Times New Roman" w:cs="Arial"/>
                <w:sz w:val="22"/>
                <w:szCs w:val="20"/>
                <w:lang w:val="es-SV" w:eastAsia="es-SV"/>
              </w:rPr>
            </w:pPr>
            <w:r w:rsidRPr="000E6D86">
              <w:rPr>
                <w:rFonts w:eastAsia="Times New Roman" w:cs="Arial"/>
                <w:sz w:val="22"/>
                <w:szCs w:val="20"/>
                <w:lang w:val="es-SV" w:eastAsia="es-SV"/>
              </w:rPr>
              <w:t>14</w:t>
            </w:r>
          </w:p>
        </w:tc>
      </w:tr>
      <w:tr w:rsidR="000E6D86" w:rsidRPr="000E6D86" w14:paraId="38C74A35" w14:textId="77777777" w:rsidTr="00C81834">
        <w:trPr>
          <w:trHeight w:val="288"/>
          <w:jc w:val="center"/>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3144A6F3" w14:textId="77777777" w:rsidR="00C81834" w:rsidRPr="000E6D86" w:rsidRDefault="00C81834" w:rsidP="00B348AC">
            <w:pPr>
              <w:spacing w:after="0" w:line="240" w:lineRule="auto"/>
              <w:jc w:val="center"/>
              <w:rPr>
                <w:rFonts w:eastAsia="Times New Roman" w:cs="Arial"/>
                <w:b/>
                <w:bCs/>
                <w:sz w:val="22"/>
                <w:szCs w:val="20"/>
                <w:lang w:val="es-SV" w:eastAsia="es-SV"/>
              </w:rPr>
            </w:pPr>
            <w:r w:rsidRPr="000E6D86">
              <w:rPr>
                <w:rFonts w:eastAsia="Times New Roman" w:cs="Arial"/>
                <w:b/>
                <w:bCs/>
                <w:sz w:val="22"/>
                <w:szCs w:val="20"/>
                <w:lang w:val="es-SV" w:eastAsia="es-SV"/>
              </w:rPr>
              <w:t>Participantes</w:t>
            </w:r>
          </w:p>
        </w:tc>
        <w:tc>
          <w:tcPr>
            <w:tcW w:w="1240" w:type="dxa"/>
            <w:tcBorders>
              <w:top w:val="nil"/>
              <w:left w:val="nil"/>
              <w:bottom w:val="single" w:sz="4" w:space="0" w:color="auto"/>
              <w:right w:val="single" w:sz="4" w:space="0" w:color="auto"/>
            </w:tcBorders>
            <w:shd w:val="clear" w:color="auto" w:fill="auto"/>
            <w:noWrap/>
            <w:vAlign w:val="bottom"/>
            <w:hideMark/>
          </w:tcPr>
          <w:p w14:paraId="31C587C7" w14:textId="77777777" w:rsidR="00C81834" w:rsidRPr="000E6D86" w:rsidRDefault="00C81834" w:rsidP="00B348AC">
            <w:pPr>
              <w:spacing w:after="0" w:line="240" w:lineRule="auto"/>
              <w:jc w:val="center"/>
              <w:rPr>
                <w:rFonts w:eastAsia="Times New Roman" w:cs="Arial"/>
                <w:b/>
                <w:bCs/>
                <w:sz w:val="22"/>
                <w:szCs w:val="20"/>
                <w:lang w:val="es-SV" w:eastAsia="es-SV"/>
              </w:rPr>
            </w:pPr>
            <w:r w:rsidRPr="000E6D86">
              <w:rPr>
                <w:rFonts w:eastAsia="Times New Roman" w:cs="Arial"/>
                <w:b/>
                <w:bCs/>
                <w:sz w:val="22"/>
                <w:szCs w:val="20"/>
                <w:lang w:val="es-SV" w:eastAsia="es-SV"/>
              </w:rPr>
              <w:t>41</w:t>
            </w:r>
          </w:p>
        </w:tc>
        <w:tc>
          <w:tcPr>
            <w:tcW w:w="1240" w:type="dxa"/>
            <w:tcBorders>
              <w:top w:val="nil"/>
              <w:left w:val="nil"/>
              <w:bottom w:val="single" w:sz="4" w:space="0" w:color="auto"/>
              <w:right w:val="single" w:sz="4" w:space="0" w:color="auto"/>
            </w:tcBorders>
            <w:shd w:val="clear" w:color="auto" w:fill="auto"/>
            <w:noWrap/>
            <w:vAlign w:val="bottom"/>
            <w:hideMark/>
          </w:tcPr>
          <w:p w14:paraId="01F6AC6C" w14:textId="77777777" w:rsidR="00C81834" w:rsidRPr="000E6D86" w:rsidRDefault="00C81834" w:rsidP="00B348AC">
            <w:pPr>
              <w:spacing w:after="0" w:line="240" w:lineRule="auto"/>
              <w:jc w:val="center"/>
              <w:rPr>
                <w:rFonts w:eastAsia="Times New Roman" w:cs="Arial"/>
                <w:b/>
                <w:bCs/>
                <w:sz w:val="22"/>
                <w:szCs w:val="20"/>
                <w:lang w:val="es-SV" w:eastAsia="es-SV"/>
              </w:rPr>
            </w:pPr>
            <w:r w:rsidRPr="000E6D86">
              <w:rPr>
                <w:rFonts w:eastAsia="Times New Roman" w:cs="Arial"/>
                <w:b/>
                <w:bCs/>
                <w:sz w:val="22"/>
                <w:szCs w:val="20"/>
                <w:lang w:val="es-SV" w:eastAsia="es-SV"/>
              </w:rPr>
              <w:t>164</w:t>
            </w:r>
          </w:p>
        </w:tc>
        <w:tc>
          <w:tcPr>
            <w:tcW w:w="1240" w:type="dxa"/>
            <w:tcBorders>
              <w:top w:val="nil"/>
              <w:left w:val="nil"/>
              <w:bottom w:val="single" w:sz="4" w:space="0" w:color="auto"/>
              <w:right w:val="single" w:sz="4" w:space="0" w:color="auto"/>
            </w:tcBorders>
            <w:shd w:val="clear" w:color="auto" w:fill="auto"/>
            <w:noWrap/>
            <w:vAlign w:val="bottom"/>
            <w:hideMark/>
          </w:tcPr>
          <w:p w14:paraId="6F415784" w14:textId="77777777" w:rsidR="00C81834" w:rsidRPr="000E6D86" w:rsidRDefault="00C81834" w:rsidP="00B348AC">
            <w:pPr>
              <w:spacing w:after="0" w:line="240" w:lineRule="auto"/>
              <w:jc w:val="center"/>
              <w:rPr>
                <w:rFonts w:eastAsia="Times New Roman" w:cs="Arial"/>
                <w:b/>
                <w:bCs/>
                <w:sz w:val="22"/>
                <w:szCs w:val="20"/>
                <w:lang w:val="es-SV" w:eastAsia="es-SV"/>
              </w:rPr>
            </w:pPr>
            <w:r w:rsidRPr="000E6D86">
              <w:rPr>
                <w:rFonts w:eastAsia="Times New Roman" w:cs="Arial"/>
                <w:b/>
                <w:bCs/>
                <w:sz w:val="22"/>
                <w:szCs w:val="20"/>
                <w:lang w:val="es-SV" w:eastAsia="es-SV"/>
              </w:rPr>
              <w:t>205</w:t>
            </w:r>
          </w:p>
        </w:tc>
      </w:tr>
    </w:tbl>
    <w:p w14:paraId="1B3B976C" w14:textId="77777777" w:rsidR="006A3DBC" w:rsidRPr="00FA4B2D" w:rsidRDefault="006A3DBC" w:rsidP="006A3DBC">
      <w:pPr>
        <w:spacing w:after="60" w:line="240" w:lineRule="auto"/>
        <w:jc w:val="both"/>
        <w:rPr>
          <w:rFonts w:cs="Arial"/>
          <w:lang w:val="es-ES_tradnl"/>
        </w:rPr>
      </w:pPr>
    </w:p>
    <w:p w14:paraId="582CCB6C" w14:textId="53B908A8" w:rsidR="006A3DBC" w:rsidRPr="00FA4B2D" w:rsidRDefault="006A3DBC" w:rsidP="006A3DBC">
      <w:pPr>
        <w:spacing w:after="60" w:line="240" w:lineRule="auto"/>
        <w:jc w:val="both"/>
        <w:rPr>
          <w:rFonts w:cs="Arial"/>
          <w:lang w:val="es-ES_tradnl"/>
        </w:rPr>
      </w:pPr>
      <w:r w:rsidRPr="00FA4B2D">
        <w:rPr>
          <w:rFonts w:cs="Arial"/>
          <w:lang w:val="es-ES_tradnl"/>
        </w:rPr>
        <w:t>Como ya se indicó</w:t>
      </w:r>
      <w:r w:rsidR="00FD6F06" w:rsidRPr="00FA4B2D">
        <w:rPr>
          <w:rFonts w:cs="Arial"/>
          <w:lang w:val="es-ES_tradnl"/>
        </w:rPr>
        <w:t>,</w:t>
      </w:r>
      <w:r w:rsidRPr="00FA4B2D">
        <w:rPr>
          <w:rFonts w:cs="Arial"/>
          <w:lang w:val="es-ES_tradnl"/>
        </w:rPr>
        <w:t xml:space="preserve"> en dichos talleres participaron múltiples actores que desde distintas perspectivas identificaron algunos de los siguientes aspectos, relacionados con el diseño del Proyecto y a los potenciales riesgos sociales y mitigaciones y mecanismos efectivos de participación, entre otras consideraciones señaladas al diseño del Proyecto:</w:t>
      </w:r>
    </w:p>
    <w:p w14:paraId="4984C91F" w14:textId="77777777" w:rsidR="006A3DBC" w:rsidRPr="00FA4B2D" w:rsidRDefault="006A3DBC" w:rsidP="006A3DBC">
      <w:pPr>
        <w:spacing w:after="60" w:line="240" w:lineRule="auto"/>
        <w:jc w:val="both"/>
        <w:rPr>
          <w:rFonts w:cs="Arial"/>
          <w:lang w:val="es-ES_tradnl"/>
        </w:rPr>
      </w:pPr>
    </w:p>
    <w:p w14:paraId="062490C4" w14:textId="77777777" w:rsidR="006A3DBC" w:rsidRPr="00FA4B2D" w:rsidRDefault="006A3DBC" w:rsidP="006A3DBC">
      <w:pPr>
        <w:spacing w:after="60" w:line="240" w:lineRule="auto"/>
        <w:jc w:val="both"/>
        <w:rPr>
          <w:rFonts w:cs="Arial"/>
          <w:lang w:val="es-ES_tradnl"/>
        </w:rPr>
      </w:pPr>
      <w:r w:rsidRPr="00FA4B2D">
        <w:rPr>
          <w:rFonts w:cs="Arial"/>
          <w:lang w:val="es-ES_tradnl"/>
        </w:rPr>
        <w:t xml:space="preserve">Se identifican factores externos y limitaciones que se deben tomar en cuenta en la implementación del Proyecto, dentro de estas: factores económicos como la pobreza, migración de la población joven, inseguridad ciudadana, problemas de débil </w:t>
      </w:r>
      <w:r w:rsidRPr="00FA4B2D">
        <w:rPr>
          <w:rFonts w:cs="Arial"/>
          <w:lang w:val="es-ES_tradnl"/>
        </w:rPr>
        <w:lastRenderedPageBreak/>
        <w:t xml:space="preserve">o nulo acceso a mercados, dificultades de acceso a caminos por las malas condiciones de acceso vial y distancias, falta de acceso a recursos financieros por incumplimiento de requisitos crediticios y garantías, la desinformación sobre los requisitos que deben cumplir las organizaciones se visualizan como un riesgo para poder aplicar a las ventanillas, por ejemplo la falta de terrenos propios. </w:t>
      </w:r>
    </w:p>
    <w:p w14:paraId="43D27543" w14:textId="77777777" w:rsidR="006A3DBC" w:rsidRPr="00FA4B2D" w:rsidRDefault="006A3DBC" w:rsidP="006A3DBC">
      <w:pPr>
        <w:spacing w:after="60" w:line="240" w:lineRule="auto"/>
        <w:jc w:val="both"/>
        <w:rPr>
          <w:rFonts w:cs="Arial"/>
          <w:lang w:val="es-ES_tradnl"/>
        </w:rPr>
      </w:pPr>
    </w:p>
    <w:p w14:paraId="7BE95ECE" w14:textId="77777777" w:rsidR="006A3DBC" w:rsidRPr="00FA4B2D" w:rsidRDefault="006A3DBC" w:rsidP="006A3DBC">
      <w:pPr>
        <w:spacing w:after="60" w:line="240" w:lineRule="auto"/>
        <w:jc w:val="both"/>
        <w:rPr>
          <w:rFonts w:cs="Arial"/>
          <w:lang w:val="es-ES_tradnl"/>
        </w:rPr>
      </w:pPr>
      <w:r w:rsidRPr="00FA4B2D">
        <w:rPr>
          <w:rFonts w:cs="Arial"/>
          <w:lang w:val="es-ES_tradnl"/>
        </w:rPr>
        <w:t xml:space="preserve">Con respecto al Proyecto, se identifican aspectos positivos, en relación con el diseño dentro de estos: actividades importantes para logran un desarrollo acelerado de la zona, generación de empleo en la zona, competencias para producir y transformar productos, oportunidades de empleo para reducir la migración, crecimiento económico y comercial en la zona. </w:t>
      </w:r>
    </w:p>
    <w:p w14:paraId="42E71260" w14:textId="77777777" w:rsidR="006A3DBC" w:rsidRPr="00FA4B2D" w:rsidRDefault="006A3DBC" w:rsidP="006A3DBC">
      <w:pPr>
        <w:spacing w:after="60" w:line="240" w:lineRule="auto"/>
        <w:jc w:val="both"/>
        <w:rPr>
          <w:rFonts w:cs="Arial"/>
          <w:lang w:val="es-ES_tradnl"/>
        </w:rPr>
      </w:pPr>
    </w:p>
    <w:p w14:paraId="35B8CB5C" w14:textId="77777777" w:rsidR="006A3DBC" w:rsidRPr="00FA4B2D" w:rsidRDefault="006A3DBC" w:rsidP="006A3DBC">
      <w:pPr>
        <w:spacing w:after="60" w:line="240" w:lineRule="auto"/>
        <w:jc w:val="both"/>
        <w:rPr>
          <w:rFonts w:cs="Arial"/>
          <w:lang w:val="es-ES_tradnl"/>
        </w:rPr>
      </w:pPr>
      <w:r w:rsidRPr="00FA4B2D">
        <w:rPr>
          <w:rFonts w:cs="Arial"/>
          <w:lang w:val="es-ES_tradnl"/>
        </w:rPr>
        <w:t xml:space="preserve">En relación con los riesgos sociales e impactos estos se han profundizado a nivel del MGAS, sin embargo, algunos de los principales riesgos se asocian a: cumplir las expectativas que dejan en la comunidad, dado que han llegado proyectos a la zona y únicamente les han censado sin obtener respuesta (falsas expectativas) lo que demanda fomentar la transparencia, el seguimiento y la rendición de cuentas, débil organización lo que demanda fortalecer capacidades de los productores (as). Falta de participación y motivación de mujeres a participar en las organizaciones productivas, </w:t>
      </w:r>
    </w:p>
    <w:p w14:paraId="0D5E6423" w14:textId="77777777" w:rsidR="006A3DBC" w:rsidRPr="00FA4B2D" w:rsidRDefault="006A3DBC" w:rsidP="006A3DBC">
      <w:pPr>
        <w:spacing w:after="60" w:line="240" w:lineRule="auto"/>
        <w:jc w:val="both"/>
        <w:rPr>
          <w:rFonts w:cs="Arial"/>
          <w:lang w:val="es-ES_tradnl"/>
        </w:rPr>
      </w:pPr>
    </w:p>
    <w:p w14:paraId="793452C6" w14:textId="77777777" w:rsidR="006A3DBC" w:rsidRPr="00FA4B2D" w:rsidRDefault="006A3DBC" w:rsidP="006A3DBC">
      <w:pPr>
        <w:spacing w:after="60" w:line="240" w:lineRule="auto"/>
        <w:jc w:val="both"/>
        <w:rPr>
          <w:rFonts w:cs="Arial"/>
          <w:lang w:val="es-ES_tradnl"/>
        </w:rPr>
      </w:pPr>
      <w:r w:rsidRPr="00FA4B2D">
        <w:rPr>
          <w:rFonts w:cs="Arial"/>
          <w:lang w:val="es-ES_tradnl"/>
        </w:rPr>
        <w:t>La presencia de organizaciones que trabajan en la zona se identifica como algo positivo a potenciarse en el proyecto, recurso humano (mano de obra calificada), buena ubicación geográfica de algunos de los Municipios, presencia de aliados técnicos en los territorios (HEIFER, Visión Mundial y otros en las zonas). Desarrollar alianzas con escuelas especializadas de agricultura y otras como INFOP y SAG se ve como una medida para fortalecer las capacidades de todas las personas productoras, incluyendo a jóvenes para prevenir que migren</w:t>
      </w:r>
    </w:p>
    <w:p w14:paraId="675881BE" w14:textId="77777777" w:rsidR="006A3DBC" w:rsidRPr="00FA4B2D" w:rsidRDefault="006A3DBC" w:rsidP="006A3DBC">
      <w:pPr>
        <w:spacing w:after="60" w:line="240" w:lineRule="auto"/>
        <w:jc w:val="both"/>
        <w:rPr>
          <w:rFonts w:cs="Arial"/>
          <w:lang w:val="es-ES_tradnl"/>
        </w:rPr>
      </w:pPr>
    </w:p>
    <w:p w14:paraId="49765421" w14:textId="77777777" w:rsidR="006A3DBC" w:rsidRPr="00FA4B2D" w:rsidRDefault="006A3DBC" w:rsidP="006A3DBC">
      <w:pPr>
        <w:spacing w:after="60" w:line="240" w:lineRule="auto"/>
        <w:jc w:val="both"/>
        <w:rPr>
          <w:rFonts w:cs="Arial"/>
          <w:lang w:val="es-ES_tradnl"/>
        </w:rPr>
      </w:pPr>
      <w:r w:rsidRPr="00FA4B2D">
        <w:rPr>
          <w:rFonts w:cs="Arial"/>
          <w:lang w:val="es-ES_tradnl"/>
        </w:rPr>
        <w:t xml:space="preserve">Con respecto a la participación, la posibilidad de buscar inclusión de mujeres en las organizaciones a través del Proyecto, desarrollar capacitaciones para mejorar las capacidades de los miembros de organizaciones de productores, incluyendo personas indígenas y mujeres. Asegurar la participación de al menos 30% de mujeres, se ve como una medida de mitigación y una acción afirmativa para promover la participación en las iniciativas productivas. </w:t>
      </w:r>
    </w:p>
    <w:p w14:paraId="5B86445D" w14:textId="77777777" w:rsidR="006A3DBC" w:rsidRPr="00FA4B2D" w:rsidRDefault="006A3DBC" w:rsidP="006A3DBC">
      <w:pPr>
        <w:spacing w:after="60" w:line="240" w:lineRule="auto"/>
        <w:jc w:val="both"/>
        <w:rPr>
          <w:rFonts w:cs="Arial"/>
          <w:lang w:val="es-ES_tradnl"/>
        </w:rPr>
      </w:pPr>
    </w:p>
    <w:p w14:paraId="48F97D79" w14:textId="77777777" w:rsidR="006A3DBC" w:rsidRPr="00FA4B2D" w:rsidRDefault="006A3DBC" w:rsidP="006A3DBC">
      <w:pPr>
        <w:spacing w:after="60" w:line="240" w:lineRule="auto"/>
        <w:jc w:val="both"/>
        <w:rPr>
          <w:rFonts w:cs="Arial"/>
          <w:lang w:val="es-ES_tradnl"/>
        </w:rPr>
      </w:pPr>
      <w:r w:rsidRPr="00FA4B2D">
        <w:rPr>
          <w:rFonts w:cs="Arial"/>
          <w:lang w:val="es-ES_tradnl"/>
        </w:rPr>
        <w:t>Apoyar a los pueblos indígenas que tienen pequeñas agrupaciones de productores y no solo a personas mestizas se valora como buena práctica para el Proyecto. La capacitación es necesaria para el desarrollo de las personas. Incentivar la participación de los jóvenes en las actividades del Proyecto, se ve como una oportunidad positiva. Son esenciales los controles para cada una de las etapas del proyecto e informar adecuadamente sobre lo que se puede estar haciendo mal, entre otros aspectos que se consideran parte de las medidas de mitigación sugeridas en el MGAS.</w:t>
      </w:r>
    </w:p>
    <w:p w14:paraId="264F750F" w14:textId="77777777" w:rsidR="006A3DBC" w:rsidRPr="00FA4B2D" w:rsidRDefault="006A3DBC" w:rsidP="006A3DBC">
      <w:pPr>
        <w:pStyle w:val="Prrafodelista"/>
        <w:rPr>
          <w:rFonts w:cs="Arial"/>
          <w:lang w:val="es-ES_tradnl"/>
        </w:rPr>
      </w:pPr>
    </w:p>
    <w:p w14:paraId="514A7BB7" w14:textId="77777777" w:rsidR="006A3DBC" w:rsidRPr="00FA4B2D" w:rsidRDefault="006A3DBC" w:rsidP="006A3DBC">
      <w:pPr>
        <w:spacing w:after="60" w:line="240" w:lineRule="auto"/>
        <w:jc w:val="both"/>
        <w:rPr>
          <w:rFonts w:cs="Arial"/>
          <w:lang w:val="es-ES"/>
        </w:rPr>
      </w:pPr>
      <w:r w:rsidRPr="00FA4B2D">
        <w:rPr>
          <w:rFonts w:cs="Arial"/>
          <w:lang w:val="es-ES"/>
        </w:rPr>
        <w:t xml:space="preserve">Los insumos recabados en el proceso de consulta han sido incorporados en el Apartado 8, del presente documento. </w:t>
      </w:r>
    </w:p>
    <w:p w14:paraId="5038CC90" w14:textId="77777777" w:rsidR="006A3DBC" w:rsidRPr="00FA4B2D" w:rsidRDefault="006A3DBC" w:rsidP="00411720">
      <w:pPr>
        <w:pStyle w:val="Ttulo1"/>
        <w:numPr>
          <w:ilvl w:val="0"/>
          <w:numId w:val="100"/>
        </w:numPr>
        <w:ind w:left="0" w:firstLine="0"/>
        <w:rPr>
          <w:rFonts w:ascii="Arial" w:hAnsi="Arial" w:cs="Arial"/>
          <w:b/>
          <w:bCs/>
          <w:color w:val="767171" w:themeColor="background2" w:themeShade="80"/>
          <w:sz w:val="22"/>
          <w:szCs w:val="22"/>
        </w:rPr>
      </w:pPr>
      <w:bookmarkStart w:id="1467" w:name="_Toc67573453"/>
      <w:bookmarkStart w:id="1468" w:name="_Toc202456981"/>
      <w:r w:rsidRPr="00FA4B2D">
        <w:rPr>
          <w:rFonts w:ascii="Arial" w:hAnsi="Arial" w:cs="Arial"/>
          <w:b/>
          <w:bCs/>
          <w:color w:val="767171" w:themeColor="background2" w:themeShade="80"/>
          <w:sz w:val="22"/>
          <w:szCs w:val="22"/>
        </w:rPr>
        <w:t>Arreglos institucionales para la implementación del MGAS</w:t>
      </w:r>
      <w:bookmarkEnd w:id="1245"/>
      <w:bookmarkEnd w:id="1467"/>
      <w:bookmarkEnd w:id="1468"/>
      <w:r w:rsidRPr="00FA4B2D">
        <w:rPr>
          <w:rFonts w:ascii="Arial" w:hAnsi="Arial" w:cs="Arial"/>
          <w:b/>
          <w:bCs/>
          <w:color w:val="767171" w:themeColor="background2" w:themeShade="80"/>
          <w:sz w:val="22"/>
          <w:szCs w:val="22"/>
        </w:rPr>
        <w:t xml:space="preserve"> </w:t>
      </w:r>
    </w:p>
    <w:p w14:paraId="2E0C81B0" w14:textId="77777777" w:rsidR="006A3DBC" w:rsidRPr="00FA4B2D" w:rsidRDefault="006A3DBC" w:rsidP="006A3DBC">
      <w:pPr>
        <w:spacing w:after="0" w:line="240" w:lineRule="auto"/>
        <w:jc w:val="both"/>
        <w:rPr>
          <w:rFonts w:cs="Arial"/>
          <w:b/>
        </w:rPr>
      </w:pPr>
    </w:p>
    <w:p w14:paraId="30D7FA74" w14:textId="77777777" w:rsidR="006A3DBC" w:rsidRPr="00FA4B2D" w:rsidRDefault="006A3DBC" w:rsidP="00411720">
      <w:pPr>
        <w:pStyle w:val="Prrafodelista"/>
        <w:keepNext/>
        <w:keepLines/>
        <w:numPr>
          <w:ilvl w:val="0"/>
          <w:numId w:val="71"/>
        </w:numPr>
        <w:spacing w:after="0" w:line="240" w:lineRule="auto"/>
        <w:contextualSpacing w:val="0"/>
        <w:jc w:val="both"/>
        <w:outlineLvl w:val="1"/>
        <w:rPr>
          <w:rFonts w:eastAsiaTheme="majorEastAsia" w:cs="Arial"/>
          <w:b/>
          <w:bCs/>
          <w:vanish/>
        </w:rPr>
      </w:pPr>
      <w:bookmarkStart w:id="1469" w:name="_Toc65855522"/>
      <w:bookmarkStart w:id="1470" w:name="_Toc65855593"/>
      <w:bookmarkStart w:id="1471" w:name="_Toc65857075"/>
      <w:bookmarkStart w:id="1472" w:name="_Toc65857171"/>
      <w:bookmarkStart w:id="1473" w:name="_Toc65857232"/>
      <w:bookmarkStart w:id="1474" w:name="_Toc65857446"/>
      <w:bookmarkStart w:id="1475" w:name="_Toc65866019"/>
      <w:bookmarkStart w:id="1476" w:name="_Toc65877254"/>
      <w:bookmarkStart w:id="1477" w:name="_Toc65877403"/>
      <w:bookmarkStart w:id="1478" w:name="_Toc65881384"/>
      <w:bookmarkStart w:id="1479" w:name="_Toc65882260"/>
      <w:bookmarkStart w:id="1480" w:name="_Toc65884216"/>
      <w:bookmarkStart w:id="1481" w:name="_Toc66035494"/>
      <w:bookmarkStart w:id="1482" w:name="_Toc66037116"/>
      <w:bookmarkStart w:id="1483" w:name="_Toc66038500"/>
      <w:bookmarkStart w:id="1484" w:name="_Toc66038619"/>
      <w:bookmarkStart w:id="1485" w:name="_Toc66038781"/>
      <w:bookmarkStart w:id="1486" w:name="_Toc66039237"/>
      <w:bookmarkStart w:id="1487" w:name="_Toc66223583"/>
      <w:bookmarkStart w:id="1488" w:name="_Toc67238116"/>
      <w:bookmarkStart w:id="1489" w:name="_Toc67240556"/>
      <w:bookmarkStart w:id="1490" w:name="_Toc67240796"/>
      <w:bookmarkStart w:id="1491" w:name="_Toc67240995"/>
      <w:bookmarkStart w:id="1492" w:name="_Toc67241190"/>
      <w:bookmarkStart w:id="1493" w:name="_Toc67241381"/>
      <w:bookmarkStart w:id="1494" w:name="_Toc67241566"/>
      <w:bookmarkStart w:id="1495" w:name="_Toc67241762"/>
      <w:bookmarkStart w:id="1496" w:name="_Toc67241870"/>
      <w:bookmarkStart w:id="1497" w:name="_Toc67241944"/>
      <w:bookmarkStart w:id="1498" w:name="_Toc67242058"/>
      <w:bookmarkStart w:id="1499" w:name="_Toc67242129"/>
      <w:bookmarkStart w:id="1500" w:name="_Toc67242777"/>
      <w:bookmarkStart w:id="1501" w:name="_Toc67243171"/>
      <w:bookmarkStart w:id="1502" w:name="_Toc67243832"/>
      <w:bookmarkStart w:id="1503" w:name="_Toc67557025"/>
      <w:bookmarkStart w:id="1504" w:name="_Toc67564450"/>
      <w:bookmarkStart w:id="1505" w:name="_Toc67567197"/>
      <w:bookmarkStart w:id="1506" w:name="_Toc67567485"/>
      <w:bookmarkStart w:id="1507" w:name="_Toc67567580"/>
      <w:bookmarkStart w:id="1508" w:name="_Toc67568573"/>
      <w:bookmarkStart w:id="1509" w:name="_Toc67571842"/>
      <w:bookmarkStart w:id="1510" w:name="_Toc67572864"/>
      <w:bookmarkStart w:id="1511" w:name="_Toc67573454"/>
      <w:bookmarkStart w:id="1512" w:name="_Toc69380822"/>
      <w:bookmarkStart w:id="1513" w:name="_Toc69382061"/>
      <w:bookmarkStart w:id="1514" w:name="_Toc69389938"/>
      <w:bookmarkStart w:id="1515" w:name="_Toc69393611"/>
      <w:bookmarkStart w:id="1516" w:name="_Toc69410777"/>
      <w:bookmarkStart w:id="1517" w:name="_Toc69411015"/>
      <w:bookmarkStart w:id="1518" w:name="_Toc69918787"/>
      <w:bookmarkStart w:id="1519" w:name="_Toc69923017"/>
      <w:bookmarkStart w:id="1520" w:name="_Toc160536029"/>
      <w:bookmarkStart w:id="1521" w:name="_Toc160575652"/>
      <w:bookmarkStart w:id="1522" w:name="_Toc160576861"/>
      <w:bookmarkStart w:id="1523" w:name="_Toc164251563"/>
      <w:bookmarkStart w:id="1524" w:name="_Toc168469332"/>
      <w:bookmarkStart w:id="1525" w:name="_Toc168469519"/>
      <w:bookmarkStart w:id="1526" w:name="_Toc202341307"/>
      <w:bookmarkStart w:id="1527" w:name="_Toc202449758"/>
      <w:bookmarkStart w:id="1528" w:name="_Toc202455405"/>
      <w:bookmarkStart w:id="1529" w:name="_Toc202456982"/>
      <w:bookmarkStart w:id="1530" w:name="_Toc65884217"/>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p>
    <w:p w14:paraId="68B012D9" w14:textId="77777777" w:rsidR="006A3DBC" w:rsidRPr="00FA4B2D" w:rsidRDefault="006A3DBC" w:rsidP="00411720">
      <w:pPr>
        <w:pStyle w:val="Ttulo2"/>
        <w:numPr>
          <w:ilvl w:val="1"/>
          <w:numId w:val="71"/>
        </w:numPr>
        <w:spacing w:before="0" w:line="240" w:lineRule="auto"/>
        <w:jc w:val="both"/>
        <w:rPr>
          <w:rFonts w:ascii="Arial" w:hAnsi="Arial" w:cs="Arial"/>
          <w:b/>
          <w:bCs/>
          <w:color w:val="767171" w:themeColor="background2" w:themeShade="80"/>
          <w:sz w:val="22"/>
          <w:szCs w:val="22"/>
        </w:rPr>
      </w:pPr>
      <w:bookmarkStart w:id="1531" w:name="_Toc67573455"/>
      <w:bookmarkStart w:id="1532" w:name="_Toc202456983"/>
      <w:r w:rsidRPr="00FA4B2D">
        <w:rPr>
          <w:rFonts w:ascii="Arial" w:hAnsi="Arial" w:cs="Arial"/>
          <w:b/>
          <w:bCs/>
          <w:color w:val="767171" w:themeColor="background2" w:themeShade="80"/>
          <w:sz w:val="22"/>
          <w:szCs w:val="22"/>
        </w:rPr>
        <w:t>Responsabilidades para la Gestión Ambiental y Social</w:t>
      </w:r>
      <w:bookmarkEnd w:id="1530"/>
      <w:bookmarkEnd w:id="1531"/>
      <w:bookmarkEnd w:id="1532"/>
    </w:p>
    <w:p w14:paraId="5787B8D7" w14:textId="1DC7C6CF" w:rsidR="006A3DBC" w:rsidRPr="00FA4B2D" w:rsidRDefault="001B4B03" w:rsidP="006A3DBC">
      <w:pPr>
        <w:spacing w:after="0" w:line="240" w:lineRule="auto"/>
        <w:jc w:val="both"/>
        <w:rPr>
          <w:rFonts w:cs="Arial"/>
        </w:rPr>
      </w:pPr>
      <w:r w:rsidRPr="00FA4B2D">
        <w:rPr>
          <w:rFonts w:cs="Arial"/>
        </w:rPr>
        <w:t>En la actualidad, e</w:t>
      </w:r>
      <w:r w:rsidR="006A3DBC" w:rsidRPr="00FA4B2D">
        <w:rPr>
          <w:rFonts w:cs="Arial"/>
        </w:rPr>
        <w:t xml:space="preserve">l equipo </w:t>
      </w:r>
      <w:r w:rsidR="00FD6F06" w:rsidRPr="00FA4B2D">
        <w:rPr>
          <w:rFonts w:cs="Arial"/>
        </w:rPr>
        <w:t>respo</w:t>
      </w:r>
      <w:r w:rsidR="00D836EA" w:rsidRPr="00FA4B2D">
        <w:rPr>
          <w:rFonts w:cs="Arial"/>
        </w:rPr>
        <w:t xml:space="preserve">nsable </w:t>
      </w:r>
      <w:r w:rsidR="00384068" w:rsidRPr="00FA4B2D">
        <w:rPr>
          <w:rFonts w:cs="Arial"/>
        </w:rPr>
        <w:t xml:space="preserve">de </w:t>
      </w:r>
      <w:r w:rsidR="008F47CC" w:rsidRPr="00FA4B2D">
        <w:rPr>
          <w:rFonts w:cs="Arial"/>
        </w:rPr>
        <w:t xml:space="preserve">la gestión ambiental y social </w:t>
      </w:r>
      <w:r w:rsidR="00E15D71" w:rsidRPr="00FA4B2D">
        <w:rPr>
          <w:rFonts w:cs="Arial"/>
        </w:rPr>
        <w:t xml:space="preserve">del Proyecto </w:t>
      </w:r>
      <w:r w:rsidR="006A3DBC" w:rsidRPr="00FA4B2D">
        <w:rPr>
          <w:rFonts w:cs="Arial"/>
        </w:rPr>
        <w:t xml:space="preserve">está </w:t>
      </w:r>
      <w:r w:rsidR="00384068" w:rsidRPr="00FA4B2D">
        <w:rPr>
          <w:rFonts w:cs="Arial"/>
        </w:rPr>
        <w:t>con</w:t>
      </w:r>
      <w:r w:rsidR="006A3DBC" w:rsidRPr="00FA4B2D">
        <w:rPr>
          <w:rFonts w:cs="Arial"/>
        </w:rPr>
        <w:t xml:space="preserve">formado por un </w:t>
      </w:r>
      <w:r w:rsidR="00BC368F" w:rsidRPr="00FA4B2D">
        <w:rPr>
          <w:rFonts w:cs="Arial"/>
        </w:rPr>
        <w:t xml:space="preserve">(1) </w:t>
      </w:r>
      <w:r w:rsidR="006A3DBC" w:rsidRPr="00FA4B2D">
        <w:rPr>
          <w:rFonts w:cs="Arial"/>
        </w:rPr>
        <w:t xml:space="preserve">especialista ambiental y dos </w:t>
      </w:r>
      <w:r w:rsidR="00BC368F" w:rsidRPr="00FA4B2D">
        <w:rPr>
          <w:rFonts w:cs="Arial"/>
        </w:rPr>
        <w:t>(2)</w:t>
      </w:r>
      <w:r w:rsidR="006A3DBC" w:rsidRPr="00FA4B2D">
        <w:rPr>
          <w:rFonts w:cs="Arial"/>
        </w:rPr>
        <w:t xml:space="preserve"> especialistas sociales, dos </w:t>
      </w:r>
      <w:r w:rsidR="00BC368F" w:rsidRPr="00FA4B2D">
        <w:rPr>
          <w:rFonts w:cs="Arial"/>
        </w:rPr>
        <w:t xml:space="preserve">(2) </w:t>
      </w:r>
      <w:r w:rsidR="006A3DBC" w:rsidRPr="00FA4B2D">
        <w:rPr>
          <w:rFonts w:cs="Arial"/>
        </w:rPr>
        <w:t>Técnicos en Gestió</w:t>
      </w:r>
      <w:r w:rsidRPr="00FA4B2D">
        <w:rPr>
          <w:rFonts w:cs="Arial"/>
        </w:rPr>
        <w:t>n</w:t>
      </w:r>
      <w:r w:rsidR="006A3DBC" w:rsidRPr="00FA4B2D">
        <w:rPr>
          <w:rFonts w:cs="Arial"/>
        </w:rPr>
        <w:t xml:space="preserve"> Ambiental y un </w:t>
      </w:r>
      <w:r w:rsidR="00BC368F" w:rsidRPr="00FA4B2D">
        <w:rPr>
          <w:rFonts w:cs="Arial"/>
        </w:rPr>
        <w:t xml:space="preserve">(1) </w:t>
      </w:r>
      <w:r w:rsidR="006A3DBC" w:rsidRPr="00FA4B2D">
        <w:rPr>
          <w:rFonts w:cs="Arial"/>
        </w:rPr>
        <w:t>Técnico en Gestión Social</w:t>
      </w:r>
      <w:r w:rsidR="00515C17" w:rsidRPr="00FA4B2D">
        <w:rPr>
          <w:rFonts w:cs="Arial"/>
        </w:rPr>
        <w:t>, también asignados al Proyecto C</w:t>
      </w:r>
      <w:r w:rsidR="00DB1CDB" w:rsidRPr="00FA4B2D">
        <w:rPr>
          <w:rFonts w:cs="Arial"/>
        </w:rPr>
        <w:t>om</w:t>
      </w:r>
      <w:r w:rsidR="00515C17" w:rsidRPr="00FA4B2D">
        <w:rPr>
          <w:rFonts w:cs="Arial"/>
        </w:rPr>
        <w:t>R</w:t>
      </w:r>
      <w:r w:rsidR="00DB1CDB" w:rsidRPr="00FA4B2D">
        <w:rPr>
          <w:rFonts w:cs="Arial"/>
        </w:rPr>
        <w:t>ural</w:t>
      </w:r>
      <w:r w:rsidR="00515C17" w:rsidRPr="00FA4B2D">
        <w:rPr>
          <w:rFonts w:cs="Arial"/>
        </w:rPr>
        <w:t xml:space="preserve"> II</w:t>
      </w:r>
      <w:r w:rsidR="00E90037" w:rsidRPr="00FA4B2D">
        <w:rPr>
          <w:rFonts w:cs="Arial"/>
        </w:rPr>
        <w:t>.</w:t>
      </w:r>
      <w:r w:rsidRPr="00FA4B2D">
        <w:rPr>
          <w:rFonts w:cs="Arial"/>
        </w:rPr>
        <w:t xml:space="preserve"> </w:t>
      </w:r>
      <w:r w:rsidR="006A3DBC" w:rsidRPr="00FA4B2D">
        <w:rPr>
          <w:rFonts w:cs="Arial"/>
        </w:rPr>
        <w:t xml:space="preserve"> </w:t>
      </w:r>
      <w:r w:rsidR="00E90037" w:rsidRPr="00FA4B2D">
        <w:rPr>
          <w:rFonts w:cs="Arial"/>
        </w:rPr>
        <w:t xml:space="preserve"> </w:t>
      </w:r>
      <w:r w:rsidR="003232AE" w:rsidRPr="00FA4B2D">
        <w:rPr>
          <w:rFonts w:cs="Arial"/>
        </w:rPr>
        <w:t>Para</w:t>
      </w:r>
      <w:r w:rsidR="0053513D" w:rsidRPr="00FA4B2D">
        <w:rPr>
          <w:rFonts w:cs="Arial"/>
        </w:rPr>
        <w:t xml:space="preserve"> la implementación del Proyecto COMRURAL III </w:t>
      </w:r>
      <w:r w:rsidR="006A3DBC" w:rsidRPr="00FA4B2D">
        <w:rPr>
          <w:rFonts w:cs="Arial"/>
        </w:rPr>
        <w:t xml:space="preserve">se tienen previsto la incorporación de </w:t>
      </w:r>
      <w:r w:rsidR="001C6A5F" w:rsidRPr="00FA4B2D">
        <w:rPr>
          <w:rFonts w:cs="Arial"/>
        </w:rPr>
        <w:t>tres (</w:t>
      </w:r>
      <w:r w:rsidR="006A3DBC" w:rsidRPr="00FA4B2D">
        <w:rPr>
          <w:rFonts w:cs="Arial"/>
        </w:rPr>
        <w:t>3</w:t>
      </w:r>
      <w:r w:rsidR="001C6A5F" w:rsidRPr="00FA4B2D">
        <w:rPr>
          <w:rFonts w:cs="Arial"/>
        </w:rPr>
        <w:t>)</w:t>
      </w:r>
      <w:r w:rsidR="006A3DBC" w:rsidRPr="00FA4B2D">
        <w:rPr>
          <w:rFonts w:cs="Arial"/>
        </w:rPr>
        <w:t xml:space="preserve"> profesionales adicionales sumando al menos seis </w:t>
      </w:r>
      <w:r w:rsidR="001C6A5F" w:rsidRPr="00FA4B2D">
        <w:rPr>
          <w:rFonts w:cs="Arial"/>
        </w:rPr>
        <w:t xml:space="preserve">(6) </w:t>
      </w:r>
      <w:r w:rsidR="006A3DBC" w:rsidRPr="00FA4B2D">
        <w:rPr>
          <w:rFonts w:cs="Arial"/>
        </w:rPr>
        <w:t>especialistas socioambientales (</w:t>
      </w:r>
      <w:r w:rsidR="001C6A5F" w:rsidRPr="00FA4B2D">
        <w:rPr>
          <w:rFonts w:cs="Arial"/>
        </w:rPr>
        <w:t>tres [</w:t>
      </w:r>
      <w:r w:rsidR="006A3DBC" w:rsidRPr="00FA4B2D">
        <w:rPr>
          <w:rFonts w:cs="Arial"/>
        </w:rPr>
        <w:t>3</w:t>
      </w:r>
      <w:r w:rsidR="001C6A5F" w:rsidRPr="00FA4B2D">
        <w:rPr>
          <w:rFonts w:cs="Arial"/>
        </w:rPr>
        <w:t>]</w:t>
      </w:r>
      <w:r w:rsidR="006A3DBC" w:rsidRPr="00FA4B2D">
        <w:rPr>
          <w:rFonts w:cs="Arial"/>
        </w:rPr>
        <w:t xml:space="preserve"> ambientales y </w:t>
      </w:r>
      <w:r w:rsidR="001C6A5F" w:rsidRPr="00FA4B2D">
        <w:rPr>
          <w:rFonts w:cs="Arial"/>
        </w:rPr>
        <w:t>tres [</w:t>
      </w:r>
      <w:r w:rsidR="006A3DBC" w:rsidRPr="00FA4B2D">
        <w:rPr>
          <w:rFonts w:cs="Arial"/>
        </w:rPr>
        <w:t>3</w:t>
      </w:r>
      <w:r w:rsidR="001C6A5F" w:rsidRPr="00FA4B2D">
        <w:rPr>
          <w:rFonts w:cs="Arial"/>
        </w:rPr>
        <w:t>]</w:t>
      </w:r>
      <w:r w:rsidR="006A3DBC" w:rsidRPr="00FA4B2D">
        <w:rPr>
          <w:rFonts w:cs="Arial"/>
        </w:rPr>
        <w:t xml:space="preserve"> sociales), asimismo </w:t>
      </w:r>
      <w:r w:rsidR="0076708A" w:rsidRPr="00FA4B2D">
        <w:rPr>
          <w:rFonts w:cs="Arial"/>
        </w:rPr>
        <w:t xml:space="preserve">tres </w:t>
      </w:r>
      <w:r w:rsidR="001C6A5F" w:rsidRPr="00FA4B2D">
        <w:rPr>
          <w:rFonts w:cs="Arial"/>
        </w:rPr>
        <w:t>(</w:t>
      </w:r>
      <w:r w:rsidR="006A3DBC" w:rsidRPr="00FA4B2D">
        <w:rPr>
          <w:rFonts w:cs="Arial"/>
        </w:rPr>
        <w:t>3</w:t>
      </w:r>
      <w:r w:rsidR="001C6A5F" w:rsidRPr="00FA4B2D">
        <w:rPr>
          <w:rFonts w:cs="Arial"/>
        </w:rPr>
        <w:t>)</w:t>
      </w:r>
      <w:r w:rsidR="006A3DBC" w:rsidRPr="00FA4B2D">
        <w:rPr>
          <w:rFonts w:cs="Arial"/>
        </w:rPr>
        <w:t xml:space="preserve"> nuevos Técnicos (</w:t>
      </w:r>
      <w:r w:rsidR="001C6A5F" w:rsidRPr="00FA4B2D">
        <w:rPr>
          <w:rFonts w:cs="Arial"/>
        </w:rPr>
        <w:t>dos [</w:t>
      </w:r>
      <w:r w:rsidR="006A3DBC" w:rsidRPr="00FA4B2D">
        <w:rPr>
          <w:rFonts w:cs="Arial"/>
        </w:rPr>
        <w:t>2</w:t>
      </w:r>
      <w:r w:rsidR="001C6A5F" w:rsidRPr="00FA4B2D">
        <w:rPr>
          <w:rFonts w:cs="Arial"/>
        </w:rPr>
        <w:t>]</w:t>
      </w:r>
      <w:r w:rsidR="006A3DBC" w:rsidRPr="00FA4B2D">
        <w:rPr>
          <w:rFonts w:cs="Arial"/>
        </w:rPr>
        <w:t xml:space="preserve"> en Gestión S</w:t>
      </w:r>
      <w:r w:rsidR="0076708A" w:rsidRPr="00FA4B2D">
        <w:rPr>
          <w:rFonts w:cs="Arial"/>
        </w:rPr>
        <w:t>o</w:t>
      </w:r>
      <w:r w:rsidR="006A3DBC" w:rsidRPr="00FA4B2D">
        <w:rPr>
          <w:rFonts w:cs="Arial"/>
        </w:rPr>
        <w:t xml:space="preserve">cial y </w:t>
      </w:r>
      <w:r w:rsidR="001C6A5F" w:rsidRPr="00FA4B2D">
        <w:rPr>
          <w:rFonts w:cs="Arial"/>
        </w:rPr>
        <w:t>uno [</w:t>
      </w:r>
      <w:r w:rsidR="006A3DBC" w:rsidRPr="00FA4B2D">
        <w:rPr>
          <w:rFonts w:cs="Arial"/>
        </w:rPr>
        <w:t>1</w:t>
      </w:r>
      <w:r w:rsidR="001C6A5F" w:rsidRPr="00FA4B2D">
        <w:rPr>
          <w:rFonts w:cs="Arial"/>
        </w:rPr>
        <w:t>]</w:t>
      </w:r>
      <w:r w:rsidR="006A3DBC" w:rsidRPr="00FA4B2D">
        <w:rPr>
          <w:rFonts w:cs="Arial"/>
        </w:rPr>
        <w:t xml:space="preserve"> en </w:t>
      </w:r>
      <w:r w:rsidR="0076708A" w:rsidRPr="00FA4B2D">
        <w:rPr>
          <w:rFonts w:cs="Arial"/>
        </w:rPr>
        <w:t>G</w:t>
      </w:r>
      <w:r w:rsidR="006A3DBC" w:rsidRPr="00FA4B2D">
        <w:rPr>
          <w:rFonts w:cs="Arial"/>
        </w:rPr>
        <w:t xml:space="preserve">estión Ambiental), tomando en cuenta la ampliación de cobertura y cadenas productivas que presentan además del distanciamiento geográfico una diferenciación socioeconómica que requiere de mayor nivel de coordinación entre los actores involucrados y seguimiento oportuno para evaluar el cumplimiento de los </w:t>
      </w:r>
      <w:r w:rsidR="004B310B" w:rsidRPr="00FA4B2D">
        <w:rPr>
          <w:rFonts w:cs="Arial"/>
        </w:rPr>
        <w:t>PGAS</w:t>
      </w:r>
      <w:r w:rsidR="006A3DBC" w:rsidRPr="00FA4B2D">
        <w:rPr>
          <w:rFonts w:cs="Arial"/>
        </w:rPr>
        <w:t xml:space="preserve"> que formaran para de los PdNs. Adicionalmente un Especi</w:t>
      </w:r>
      <w:r w:rsidR="00DB1CDB" w:rsidRPr="00FA4B2D">
        <w:rPr>
          <w:rFonts w:cs="Arial"/>
        </w:rPr>
        <w:t>a</w:t>
      </w:r>
      <w:r w:rsidR="006A3DBC" w:rsidRPr="00FA4B2D">
        <w:rPr>
          <w:rFonts w:cs="Arial"/>
        </w:rPr>
        <w:t>lista Social y un Especialista Ambiental</w:t>
      </w:r>
      <w:r w:rsidR="00DB1CDB" w:rsidRPr="00FA4B2D">
        <w:rPr>
          <w:rFonts w:cs="Arial"/>
        </w:rPr>
        <w:t>,</w:t>
      </w:r>
      <w:r w:rsidR="006A3DBC" w:rsidRPr="00FA4B2D">
        <w:rPr>
          <w:rFonts w:cs="Arial"/>
        </w:rPr>
        <w:t xml:space="preserve"> una vez se inicie la operación del Componente 5 de ComRural III en la M</w:t>
      </w:r>
      <w:r w:rsidR="00DB1CDB" w:rsidRPr="00FA4B2D">
        <w:rPr>
          <w:rFonts w:cs="Arial"/>
        </w:rPr>
        <w:t>o</w:t>
      </w:r>
      <w:r w:rsidR="006A3DBC" w:rsidRPr="00FA4B2D">
        <w:rPr>
          <w:rFonts w:cs="Arial"/>
        </w:rPr>
        <w:t>skitia.</w:t>
      </w:r>
      <w:r w:rsidR="00DB1CDB" w:rsidRPr="00FA4B2D">
        <w:rPr>
          <w:rFonts w:cs="Arial"/>
        </w:rPr>
        <w:t xml:space="preserve"> </w:t>
      </w:r>
      <w:r w:rsidR="006A3DBC" w:rsidRPr="00FA4B2D">
        <w:rPr>
          <w:rFonts w:cs="Arial"/>
        </w:rPr>
        <w:t xml:space="preserve">Una vez que los nuevos especialistas y técnicos (social y ambiental) se incorporen, será necesario capacitarlos en los procedimientos ambientales y sociales del Proyecto. El Proyecto COMRURAL III financiará los costos de capacitación que esto incurra, incluyendo la capacitación que sea necesaria para el personal actualmente existente, particularmente en áreas como la gestión de proyectos y procesos de consulta con comunidades indígenas y afrodescendientes, reasentamiento involuntario, impactos económicos y restricciones de acceso, la gestión de recursos de agua y manejo de pesticidas y agentes contaminantes, salud y seguridad </w:t>
      </w:r>
      <w:r w:rsidR="003232AE" w:rsidRPr="00FA4B2D">
        <w:rPr>
          <w:rFonts w:cs="Arial"/>
        </w:rPr>
        <w:t xml:space="preserve">ocupacional y </w:t>
      </w:r>
      <w:r w:rsidR="006A3DBC" w:rsidRPr="00FA4B2D">
        <w:rPr>
          <w:rFonts w:cs="Arial"/>
        </w:rPr>
        <w:t>comunitaria, entre otros. También se tiene previsto realizar un taller de capacitación en EASs conforme al nuevo MAS del BM para el personal de COMRURAL al inicio del Proyecto, posiblemente como parte del taller de arranque del Proyecto.</w:t>
      </w:r>
    </w:p>
    <w:p w14:paraId="0CCAF6B0" w14:textId="77777777" w:rsidR="006A3DBC" w:rsidRPr="00FA4B2D" w:rsidRDefault="006A3DBC" w:rsidP="006A3DBC">
      <w:pPr>
        <w:pStyle w:val="Prrafodelista"/>
        <w:spacing w:after="0" w:line="240" w:lineRule="auto"/>
        <w:jc w:val="both"/>
        <w:rPr>
          <w:rFonts w:cs="Arial"/>
        </w:rPr>
      </w:pPr>
    </w:p>
    <w:p w14:paraId="26D36A63" w14:textId="06789016" w:rsidR="000E6D86" w:rsidRDefault="000E6D86" w:rsidP="000E6D86">
      <w:pPr>
        <w:pStyle w:val="Descripcin"/>
        <w:keepNext/>
      </w:pPr>
      <w:bookmarkStart w:id="1533" w:name="_Toc202455492"/>
      <w:r>
        <w:t xml:space="preserve">Tabla </w:t>
      </w:r>
      <w:r>
        <w:fldChar w:fldCharType="begin"/>
      </w:r>
      <w:r>
        <w:instrText xml:space="preserve"> SEQ Tabla \* ARABIC </w:instrText>
      </w:r>
      <w:r>
        <w:fldChar w:fldCharType="separate"/>
      </w:r>
      <w:r>
        <w:rPr>
          <w:noProof/>
        </w:rPr>
        <w:t>66</w:t>
      </w:r>
      <w:r>
        <w:fldChar w:fldCharType="end"/>
      </w:r>
      <w:r>
        <w:t xml:space="preserve">: </w:t>
      </w:r>
      <w:r w:rsidRPr="00471607">
        <w:t>Principales funciones de los especialistas social y ambiental</w:t>
      </w:r>
      <w:bookmarkEnd w:id="1533"/>
    </w:p>
    <w:tbl>
      <w:tblPr>
        <w:tblStyle w:val="Tablaconcuadrcula"/>
        <w:tblW w:w="9923" w:type="dxa"/>
        <w:tblInd w:w="-147" w:type="dxa"/>
        <w:tblLook w:val="04A0" w:firstRow="1" w:lastRow="0" w:firstColumn="1" w:lastColumn="0" w:noHBand="0" w:noVBand="1"/>
      </w:tblPr>
      <w:tblGrid>
        <w:gridCol w:w="5062"/>
        <w:gridCol w:w="4861"/>
      </w:tblGrid>
      <w:tr w:rsidR="00C81834" w:rsidRPr="00FA4B2D" w14:paraId="511E6F7B" w14:textId="77777777" w:rsidTr="37B44ACB">
        <w:trPr>
          <w:tblHeader/>
        </w:trPr>
        <w:tc>
          <w:tcPr>
            <w:tcW w:w="5062" w:type="dxa"/>
            <w:shd w:val="clear" w:color="auto" w:fill="5CC5DA"/>
          </w:tcPr>
          <w:p w14:paraId="2E3B17F1" w14:textId="77777777" w:rsidR="00C81834" w:rsidRPr="000E6D86" w:rsidRDefault="00C81834" w:rsidP="00C81834">
            <w:pPr>
              <w:pStyle w:val="Prrafodelista"/>
              <w:ind w:left="0"/>
              <w:jc w:val="center"/>
              <w:rPr>
                <w:rFonts w:cs="Arial"/>
                <w:b/>
                <w:sz w:val="20"/>
                <w:szCs w:val="20"/>
              </w:rPr>
            </w:pPr>
            <w:bookmarkStart w:id="1534" w:name="_Toc65884218"/>
            <w:bookmarkStart w:id="1535" w:name="_Toc67573456"/>
            <w:r w:rsidRPr="000E6D86">
              <w:rPr>
                <w:rFonts w:cs="Arial"/>
                <w:b/>
                <w:sz w:val="20"/>
                <w:szCs w:val="20"/>
              </w:rPr>
              <w:t>Especialista Ambiental</w:t>
            </w:r>
          </w:p>
        </w:tc>
        <w:tc>
          <w:tcPr>
            <w:tcW w:w="4861" w:type="dxa"/>
            <w:shd w:val="clear" w:color="auto" w:fill="5CC5DA"/>
          </w:tcPr>
          <w:p w14:paraId="2C12323F" w14:textId="77777777" w:rsidR="00C81834" w:rsidRPr="000E6D86" w:rsidRDefault="00C81834" w:rsidP="00C81834">
            <w:pPr>
              <w:pStyle w:val="Prrafodelista"/>
              <w:ind w:left="0"/>
              <w:jc w:val="center"/>
              <w:rPr>
                <w:rFonts w:cs="Arial"/>
                <w:b/>
                <w:sz w:val="20"/>
                <w:szCs w:val="20"/>
              </w:rPr>
            </w:pPr>
            <w:r w:rsidRPr="000E6D86">
              <w:rPr>
                <w:rFonts w:cs="Arial"/>
                <w:b/>
                <w:sz w:val="20"/>
                <w:szCs w:val="20"/>
              </w:rPr>
              <w:t>Especialista Social</w:t>
            </w:r>
          </w:p>
        </w:tc>
      </w:tr>
      <w:tr w:rsidR="00C81834" w:rsidRPr="00FA4B2D" w14:paraId="716EBD14" w14:textId="77777777" w:rsidTr="37B44ACB">
        <w:tc>
          <w:tcPr>
            <w:tcW w:w="5062" w:type="dxa"/>
          </w:tcPr>
          <w:p w14:paraId="17A79E4C" w14:textId="77777777" w:rsidR="00C81834" w:rsidRPr="000E6D86" w:rsidRDefault="00C81834" w:rsidP="00C81834">
            <w:pPr>
              <w:pStyle w:val="Default"/>
              <w:jc w:val="both"/>
              <w:rPr>
                <w:rFonts w:ascii="Arial" w:hAnsi="Arial" w:cs="Arial"/>
                <w:color w:val="767171" w:themeColor="background2" w:themeShade="80"/>
                <w:sz w:val="22"/>
                <w:szCs w:val="22"/>
              </w:rPr>
            </w:pPr>
          </w:p>
          <w:p w14:paraId="14709092" w14:textId="77777777" w:rsidR="00C81834" w:rsidRPr="000E6D86" w:rsidRDefault="00C81834" w:rsidP="00411720">
            <w:pPr>
              <w:pStyle w:val="Default"/>
              <w:numPr>
                <w:ilvl w:val="0"/>
                <w:numId w:val="106"/>
              </w:numPr>
              <w:jc w:val="both"/>
              <w:rPr>
                <w:rFonts w:ascii="Arial" w:hAnsi="Arial" w:cs="Arial"/>
                <w:color w:val="767171" w:themeColor="background2" w:themeShade="80"/>
                <w:sz w:val="22"/>
                <w:szCs w:val="22"/>
                <w:lang w:val="es-AR"/>
              </w:rPr>
            </w:pPr>
            <w:r w:rsidRPr="000E6D86">
              <w:rPr>
                <w:rFonts w:ascii="Arial" w:hAnsi="Arial" w:cs="Arial"/>
                <w:color w:val="767171" w:themeColor="background2" w:themeShade="80"/>
                <w:sz w:val="22"/>
                <w:szCs w:val="22"/>
                <w:lang w:val="es-AR"/>
              </w:rPr>
              <w:t xml:space="preserve">Facilitar y apoyar en la inclusión y la implementación de los aspectos ambientales en la formulación y ejecución de los PdNs respectivamente. </w:t>
            </w:r>
          </w:p>
          <w:p w14:paraId="3D66E50A" w14:textId="77777777" w:rsidR="00C81834" w:rsidRPr="000E6D86" w:rsidRDefault="00C81834" w:rsidP="00411720">
            <w:pPr>
              <w:pStyle w:val="Default"/>
              <w:numPr>
                <w:ilvl w:val="0"/>
                <w:numId w:val="106"/>
              </w:numPr>
              <w:jc w:val="both"/>
              <w:rPr>
                <w:rFonts w:ascii="Arial" w:hAnsi="Arial" w:cs="Arial"/>
                <w:color w:val="767171" w:themeColor="background2" w:themeShade="80"/>
                <w:sz w:val="22"/>
                <w:szCs w:val="22"/>
                <w:lang w:val="es-AR"/>
              </w:rPr>
            </w:pPr>
            <w:r w:rsidRPr="000E6D86">
              <w:rPr>
                <w:rFonts w:ascii="Arial" w:hAnsi="Arial" w:cs="Arial"/>
                <w:color w:val="767171" w:themeColor="background2" w:themeShade="80"/>
                <w:sz w:val="22"/>
                <w:szCs w:val="22"/>
                <w:lang w:val="es-AR"/>
              </w:rPr>
              <w:t xml:space="preserve">Apoyar a las OPRs y PSDEs en aspectos de la gestión ambiental durante la formulación de los perfiles y PdNs de acuerdo con el cumplimiento del marco regulatorio nacional y MAS del BM. </w:t>
            </w:r>
          </w:p>
          <w:p w14:paraId="2F6D8CB9" w14:textId="77777777" w:rsidR="00C81834" w:rsidRPr="000E6D86" w:rsidRDefault="00C81834" w:rsidP="00411720">
            <w:pPr>
              <w:pStyle w:val="Default"/>
              <w:numPr>
                <w:ilvl w:val="0"/>
                <w:numId w:val="106"/>
              </w:numPr>
              <w:jc w:val="both"/>
              <w:rPr>
                <w:rFonts w:ascii="Arial" w:hAnsi="Arial" w:cs="Arial"/>
                <w:color w:val="767171" w:themeColor="background2" w:themeShade="80"/>
                <w:sz w:val="22"/>
                <w:szCs w:val="22"/>
                <w:lang w:val="es-AR"/>
              </w:rPr>
            </w:pPr>
            <w:r w:rsidRPr="000E6D86">
              <w:rPr>
                <w:rFonts w:ascii="Arial" w:hAnsi="Arial" w:cs="Arial"/>
                <w:color w:val="767171" w:themeColor="background2" w:themeShade="80"/>
                <w:sz w:val="22"/>
                <w:szCs w:val="22"/>
                <w:lang w:val="es-AR"/>
              </w:rPr>
              <w:t xml:space="preserve">En el marco de la legislación ambiental vigente en el país, realizar una pre-categorización </w:t>
            </w:r>
            <w:r w:rsidRPr="000E6D86">
              <w:rPr>
                <w:rFonts w:ascii="Arial" w:hAnsi="Arial" w:cs="Arial"/>
                <w:color w:val="767171" w:themeColor="background2" w:themeShade="80"/>
                <w:sz w:val="22"/>
                <w:szCs w:val="22"/>
                <w:lang w:val="es-AR"/>
              </w:rPr>
              <w:lastRenderedPageBreak/>
              <w:t xml:space="preserve">de los perfiles y PdNs y asegurarse que estos contengan un adecuado PGAS y su respectivo presupuesto. </w:t>
            </w:r>
          </w:p>
          <w:p w14:paraId="18BC51C0" w14:textId="77777777" w:rsidR="00C81834" w:rsidRPr="000E6D86" w:rsidRDefault="00C81834" w:rsidP="00411720">
            <w:pPr>
              <w:pStyle w:val="Default"/>
              <w:numPr>
                <w:ilvl w:val="0"/>
                <w:numId w:val="106"/>
              </w:numPr>
              <w:jc w:val="both"/>
              <w:rPr>
                <w:rFonts w:ascii="Arial" w:hAnsi="Arial" w:cs="Arial"/>
                <w:color w:val="767171" w:themeColor="background2" w:themeShade="80"/>
                <w:sz w:val="22"/>
                <w:szCs w:val="22"/>
                <w:lang w:val="es-AR"/>
              </w:rPr>
            </w:pPr>
            <w:r w:rsidRPr="000E6D86">
              <w:rPr>
                <w:rFonts w:ascii="Arial" w:hAnsi="Arial" w:cs="Arial"/>
                <w:color w:val="767171" w:themeColor="background2" w:themeShade="80"/>
                <w:sz w:val="22"/>
                <w:szCs w:val="22"/>
                <w:lang w:val="es-AR"/>
              </w:rPr>
              <w:t xml:space="preserve">Integrar el CE de COMRURAL para la revisión y calificación, desde la perspectiva ambiental, de perfiles y PdNs. </w:t>
            </w:r>
          </w:p>
          <w:p w14:paraId="0B99039A" w14:textId="3F85C01C" w:rsidR="00C81834" w:rsidRPr="000E6D86" w:rsidRDefault="00C81834" w:rsidP="00411720">
            <w:pPr>
              <w:pStyle w:val="Default"/>
              <w:numPr>
                <w:ilvl w:val="0"/>
                <w:numId w:val="106"/>
              </w:numPr>
              <w:jc w:val="both"/>
              <w:rPr>
                <w:rFonts w:ascii="Arial" w:hAnsi="Arial" w:cs="Arial"/>
                <w:color w:val="767171" w:themeColor="background2" w:themeShade="80"/>
                <w:sz w:val="22"/>
                <w:szCs w:val="22"/>
                <w:lang w:val="es-AR"/>
              </w:rPr>
            </w:pPr>
            <w:r w:rsidRPr="000E6D86">
              <w:rPr>
                <w:rFonts w:ascii="Arial" w:hAnsi="Arial" w:cs="Arial"/>
                <w:color w:val="767171" w:themeColor="background2" w:themeShade="80"/>
                <w:sz w:val="22"/>
                <w:szCs w:val="22"/>
                <w:lang w:val="es-AR"/>
              </w:rPr>
              <w:t>Apoyar a las OPRs en la complementación de la información para cumplir con el proceso de obtención de licenciamiento ambiental, y asesoría en la implementación y cumplimiento de las medidas de control ambiental para la preparaci</w:t>
            </w:r>
            <w:r w:rsidR="005B0063" w:rsidRPr="000E6D86">
              <w:rPr>
                <w:rFonts w:ascii="Arial" w:hAnsi="Arial" w:cs="Arial"/>
                <w:color w:val="767171" w:themeColor="background2" w:themeShade="80"/>
                <w:sz w:val="22"/>
                <w:szCs w:val="22"/>
                <w:lang w:val="es-AR"/>
              </w:rPr>
              <w:t>ó</w:t>
            </w:r>
            <w:r w:rsidRPr="000E6D86">
              <w:rPr>
                <w:rFonts w:ascii="Arial" w:hAnsi="Arial" w:cs="Arial"/>
                <w:color w:val="767171" w:themeColor="background2" w:themeShade="80"/>
                <w:sz w:val="22"/>
                <w:szCs w:val="22"/>
                <w:lang w:val="es-AR"/>
              </w:rPr>
              <w:t>n de los ICMAs.</w:t>
            </w:r>
            <w:r w:rsidRPr="000E6D86" w:rsidDel="00B61141">
              <w:rPr>
                <w:rFonts w:ascii="Arial" w:hAnsi="Arial" w:cs="Arial"/>
                <w:color w:val="767171" w:themeColor="background2" w:themeShade="80"/>
                <w:sz w:val="22"/>
                <w:szCs w:val="22"/>
                <w:lang w:val="es-AR"/>
              </w:rPr>
              <w:t xml:space="preserve"> </w:t>
            </w:r>
          </w:p>
          <w:p w14:paraId="15F2478E" w14:textId="25C57F97" w:rsidR="00C81834" w:rsidRPr="000E6D86" w:rsidRDefault="00C81834" w:rsidP="00411720">
            <w:pPr>
              <w:pStyle w:val="Default"/>
              <w:numPr>
                <w:ilvl w:val="0"/>
                <w:numId w:val="106"/>
              </w:numPr>
              <w:jc w:val="both"/>
              <w:rPr>
                <w:rFonts w:ascii="Arial" w:hAnsi="Arial" w:cs="Arial"/>
                <w:color w:val="767171" w:themeColor="background2" w:themeShade="80"/>
                <w:sz w:val="22"/>
                <w:szCs w:val="22"/>
                <w:lang w:val="es-AR"/>
              </w:rPr>
            </w:pPr>
            <w:r w:rsidRPr="000E6D86">
              <w:rPr>
                <w:rFonts w:ascii="Arial" w:hAnsi="Arial" w:cs="Arial"/>
                <w:color w:val="767171" w:themeColor="background2" w:themeShade="80"/>
                <w:sz w:val="22"/>
                <w:szCs w:val="22"/>
                <w:lang w:val="es-AR"/>
              </w:rPr>
              <w:t xml:space="preserve">Facilitar la coordinación de las OPRs con la institucionalidad presente en la zona (gobierno central, municipalidades, mancomunidades, Unidades Municipales Ambientales (UMAs), otros), que permita la gestión ambiental en la implementación de los PdNs y de sistemas de producción. </w:t>
            </w:r>
          </w:p>
          <w:p w14:paraId="0AAFDA39" w14:textId="77777777" w:rsidR="00C81834" w:rsidRPr="000E6D86" w:rsidRDefault="00C81834" w:rsidP="00411720">
            <w:pPr>
              <w:pStyle w:val="Default"/>
              <w:numPr>
                <w:ilvl w:val="0"/>
                <w:numId w:val="106"/>
              </w:numPr>
              <w:jc w:val="both"/>
              <w:rPr>
                <w:rFonts w:ascii="Arial" w:hAnsi="Arial" w:cs="Arial"/>
                <w:color w:val="767171" w:themeColor="background2" w:themeShade="80"/>
                <w:sz w:val="22"/>
                <w:szCs w:val="22"/>
                <w:lang w:val="es-AR"/>
              </w:rPr>
            </w:pPr>
            <w:r w:rsidRPr="000E6D86">
              <w:rPr>
                <w:rFonts w:ascii="Arial" w:hAnsi="Arial" w:cs="Arial"/>
                <w:color w:val="767171" w:themeColor="background2" w:themeShade="80"/>
                <w:sz w:val="22"/>
                <w:szCs w:val="22"/>
                <w:lang w:val="es-AR"/>
              </w:rPr>
              <w:t xml:space="preserve">En coordinación con el especialista social del proyecto contribuir con diseñar y facilitar la implementación de las herramientas metodológicas para el monitoreo y seguimiento a la gestión socioambiental en la ejecución de los PdNs de acuerdo los establecido en el MGAS. </w:t>
            </w:r>
          </w:p>
          <w:p w14:paraId="175362B3" w14:textId="77777777" w:rsidR="00C81834" w:rsidRPr="000E6D86" w:rsidRDefault="00C81834" w:rsidP="00411720">
            <w:pPr>
              <w:pStyle w:val="Default"/>
              <w:numPr>
                <w:ilvl w:val="0"/>
                <w:numId w:val="106"/>
              </w:numPr>
              <w:jc w:val="both"/>
              <w:rPr>
                <w:rFonts w:ascii="Arial" w:hAnsi="Arial" w:cs="Arial"/>
                <w:color w:val="767171" w:themeColor="background2" w:themeShade="80"/>
                <w:sz w:val="22"/>
                <w:szCs w:val="22"/>
                <w:lang w:val="es-AR"/>
              </w:rPr>
            </w:pPr>
            <w:r w:rsidRPr="000E6D86">
              <w:rPr>
                <w:rFonts w:ascii="Arial" w:hAnsi="Arial" w:cs="Arial"/>
                <w:color w:val="767171" w:themeColor="background2" w:themeShade="80"/>
                <w:sz w:val="22"/>
                <w:szCs w:val="22"/>
                <w:lang w:val="es-AR"/>
              </w:rPr>
              <w:t xml:space="preserve">En conjunto con las OPRs y PSDEs realizar análisis de alternativas ambientales presentadas cuando los PdNs lo requieran, de acuerdo con el paquete tecnológico propuesto. </w:t>
            </w:r>
          </w:p>
          <w:p w14:paraId="74FE2406" w14:textId="77777777" w:rsidR="00C81834" w:rsidRPr="000E6D86" w:rsidRDefault="00C81834" w:rsidP="00411720">
            <w:pPr>
              <w:pStyle w:val="Default"/>
              <w:numPr>
                <w:ilvl w:val="0"/>
                <w:numId w:val="106"/>
              </w:numPr>
              <w:jc w:val="both"/>
              <w:rPr>
                <w:rFonts w:ascii="Arial" w:hAnsi="Arial" w:cs="Arial"/>
                <w:color w:val="767171" w:themeColor="background2" w:themeShade="80"/>
                <w:sz w:val="22"/>
                <w:szCs w:val="22"/>
                <w:lang w:val="es-AR"/>
              </w:rPr>
            </w:pPr>
            <w:r w:rsidRPr="000E6D86">
              <w:rPr>
                <w:rFonts w:ascii="Arial" w:hAnsi="Arial" w:cs="Arial"/>
                <w:color w:val="767171" w:themeColor="background2" w:themeShade="80"/>
                <w:sz w:val="22"/>
                <w:szCs w:val="22"/>
                <w:lang w:val="es-AR"/>
              </w:rPr>
              <w:t xml:space="preserve">Verificar la implementación de los planes de gestión ambiental en cada PdN. </w:t>
            </w:r>
          </w:p>
          <w:p w14:paraId="54B8E075" w14:textId="77777777" w:rsidR="00C81834" w:rsidRPr="000E6D86" w:rsidRDefault="00C81834" w:rsidP="00411720">
            <w:pPr>
              <w:pStyle w:val="Default"/>
              <w:numPr>
                <w:ilvl w:val="0"/>
                <w:numId w:val="106"/>
              </w:numPr>
              <w:jc w:val="both"/>
              <w:rPr>
                <w:rFonts w:ascii="Arial" w:hAnsi="Arial" w:cs="Arial"/>
                <w:color w:val="767171" w:themeColor="background2" w:themeShade="80"/>
                <w:sz w:val="22"/>
                <w:szCs w:val="22"/>
                <w:lang w:val="es-AR"/>
              </w:rPr>
            </w:pPr>
            <w:r w:rsidRPr="000E6D86">
              <w:rPr>
                <w:rFonts w:ascii="Arial" w:hAnsi="Arial" w:cs="Arial"/>
                <w:color w:val="767171" w:themeColor="background2" w:themeShade="80"/>
                <w:sz w:val="22"/>
                <w:szCs w:val="22"/>
                <w:lang w:val="es-AR"/>
              </w:rPr>
              <w:t xml:space="preserve">Revisar los informes de seguimiento y evaluación ambiental que sean presentados a la UEP por parte de las OPRs y PSDEs, así como los informes generados por otros actores vinculados a la ejecución de los PdNs y alimentar el Sistema de Información Gerencial (SIG) del Proyecto en los temas referentes a la gestión ambiental. </w:t>
            </w:r>
          </w:p>
          <w:p w14:paraId="5387C018" w14:textId="77777777" w:rsidR="00C81834" w:rsidRPr="000E6D86" w:rsidRDefault="00C81834" w:rsidP="00411720">
            <w:pPr>
              <w:pStyle w:val="Default"/>
              <w:numPr>
                <w:ilvl w:val="0"/>
                <w:numId w:val="106"/>
              </w:numPr>
              <w:jc w:val="both"/>
              <w:rPr>
                <w:rFonts w:ascii="Arial" w:hAnsi="Arial" w:cs="Arial"/>
                <w:color w:val="767171" w:themeColor="background2" w:themeShade="80"/>
                <w:sz w:val="22"/>
                <w:szCs w:val="22"/>
                <w:lang w:val="es-AR"/>
              </w:rPr>
            </w:pPr>
            <w:r w:rsidRPr="000E6D86">
              <w:rPr>
                <w:rFonts w:ascii="Arial" w:hAnsi="Arial" w:cs="Arial"/>
                <w:color w:val="767171" w:themeColor="background2" w:themeShade="80"/>
                <w:sz w:val="22"/>
                <w:szCs w:val="22"/>
                <w:lang w:val="es-AR"/>
              </w:rPr>
              <w:t xml:space="preserve">Diseñar y ejecutar procesos de formación y capacitación sobre la temática ambiental dirigida a los actores de las alianzas productivas (productores/as, PSDE, IFP, socios comerciales, otros), generando las herramientas metodológicas y técnicas necesarias. </w:t>
            </w:r>
          </w:p>
          <w:p w14:paraId="19E13F86" w14:textId="77777777" w:rsidR="00C81834" w:rsidRPr="000E6D86" w:rsidRDefault="00C81834" w:rsidP="00411720">
            <w:pPr>
              <w:pStyle w:val="Default"/>
              <w:numPr>
                <w:ilvl w:val="0"/>
                <w:numId w:val="106"/>
              </w:numPr>
              <w:jc w:val="both"/>
              <w:rPr>
                <w:rFonts w:ascii="Arial" w:hAnsi="Arial" w:cs="Arial"/>
                <w:color w:val="767171" w:themeColor="background2" w:themeShade="80"/>
                <w:sz w:val="22"/>
                <w:szCs w:val="22"/>
              </w:rPr>
            </w:pPr>
            <w:r w:rsidRPr="000E6D86">
              <w:rPr>
                <w:rFonts w:ascii="Arial" w:hAnsi="Arial" w:cs="Arial"/>
                <w:color w:val="767171" w:themeColor="background2" w:themeShade="80"/>
                <w:sz w:val="22"/>
                <w:szCs w:val="22"/>
              </w:rPr>
              <w:t xml:space="preserve">Asesorar y apoyar a OPRs en los procesos de certificación que incluyen elementos ambientales. </w:t>
            </w:r>
          </w:p>
          <w:p w14:paraId="714EB33F" w14:textId="77777777" w:rsidR="00C81834" w:rsidRPr="000E6D86" w:rsidRDefault="00C81834" w:rsidP="00411720">
            <w:pPr>
              <w:pStyle w:val="Default"/>
              <w:numPr>
                <w:ilvl w:val="0"/>
                <w:numId w:val="106"/>
              </w:numPr>
              <w:jc w:val="both"/>
              <w:rPr>
                <w:rFonts w:ascii="Arial" w:hAnsi="Arial" w:cs="Arial"/>
                <w:color w:val="767171" w:themeColor="background2" w:themeShade="80"/>
                <w:sz w:val="22"/>
                <w:szCs w:val="22"/>
              </w:rPr>
            </w:pPr>
            <w:r w:rsidRPr="000E6D86">
              <w:rPr>
                <w:rFonts w:ascii="Arial" w:hAnsi="Arial" w:cs="Arial"/>
                <w:color w:val="767171" w:themeColor="background2" w:themeShade="80"/>
                <w:sz w:val="22"/>
                <w:szCs w:val="22"/>
              </w:rPr>
              <w:t xml:space="preserve">Promover, facilitar y brindar seguimiento a los procesos de auditoría ambiental realizadas por </w:t>
            </w:r>
            <w:r w:rsidRPr="000E6D86">
              <w:rPr>
                <w:rFonts w:ascii="Arial" w:hAnsi="Arial" w:cs="Arial"/>
                <w:color w:val="767171" w:themeColor="background2" w:themeShade="80"/>
                <w:sz w:val="22"/>
                <w:szCs w:val="22"/>
              </w:rPr>
              <w:lastRenderedPageBreak/>
              <w:t xml:space="preserve">las instituciones públicas y privadas correspondientes. </w:t>
            </w:r>
          </w:p>
          <w:p w14:paraId="733F613C" w14:textId="77777777" w:rsidR="00C81834" w:rsidRPr="000E6D86" w:rsidRDefault="00C81834" w:rsidP="00411720">
            <w:pPr>
              <w:pStyle w:val="Default"/>
              <w:numPr>
                <w:ilvl w:val="0"/>
                <w:numId w:val="106"/>
              </w:numPr>
              <w:jc w:val="both"/>
              <w:rPr>
                <w:rFonts w:ascii="Arial" w:hAnsi="Arial" w:cs="Arial"/>
                <w:color w:val="767171" w:themeColor="background2" w:themeShade="80"/>
                <w:sz w:val="22"/>
                <w:szCs w:val="22"/>
              </w:rPr>
            </w:pPr>
            <w:r w:rsidRPr="000E6D86">
              <w:rPr>
                <w:rFonts w:ascii="Arial" w:hAnsi="Arial" w:cs="Arial"/>
                <w:color w:val="767171" w:themeColor="background2" w:themeShade="80"/>
                <w:sz w:val="22"/>
                <w:szCs w:val="22"/>
              </w:rPr>
              <w:t xml:space="preserve">Revisar guías y manuales de buenas prácticas agrícolas, ambientales y de manufactura existentes. </w:t>
            </w:r>
          </w:p>
          <w:p w14:paraId="6182239F" w14:textId="77777777" w:rsidR="00C81834" w:rsidRPr="000E6D86" w:rsidRDefault="00C81834" w:rsidP="00411720">
            <w:pPr>
              <w:pStyle w:val="Default"/>
              <w:numPr>
                <w:ilvl w:val="0"/>
                <w:numId w:val="106"/>
              </w:numPr>
              <w:jc w:val="both"/>
              <w:rPr>
                <w:rFonts w:ascii="Arial" w:hAnsi="Arial" w:cs="Arial"/>
                <w:color w:val="767171" w:themeColor="background2" w:themeShade="80"/>
                <w:sz w:val="22"/>
                <w:szCs w:val="22"/>
              </w:rPr>
            </w:pPr>
            <w:r w:rsidRPr="000E6D86">
              <w:rPr>
                <w:rFonts w:ascii="Arial" w:hAnsi="Arial" w:cs="Arial"/>
                <w:color w:val="767171" w:themeColor="background2" w:themeShade="80"/>
                <w:sz w:val="22"/>
                <w:szCs w:val="22"/>
              </w:rPr>
              <w:t xml:space="preserve">Diseño, implementación, seguimiento y evaluación de indicadores ambientales, buenas prácticas agrícolas y de manufactura en la implementación de los PdNs y contribución relacionada al SIG. </w:t>
            </w:r>
          </w:p>
          <w:p w14:paraId="589D6918" w14:textId="77777777" w:rsidR="00C81834" w:rsidRPr="000E6D86" w:rsidRDefault="00C81834" w:rsidP="00411720">
            <w:pPr>
              <w:pStyle w:val="Default"/>
              <w:numPr>
                <w:ilvl w:val="0"/>
                <w:numId w:val="106"/>
              </w:numPr>
              <w:jc w:val="both"/>
              <w:rPr>
                <w:rFonts w:ascii="Arial" w:hAnsi="Arial" w:cs="Arial"/>
                <w:color w:val="767171" w:themeColor="background2" w:themeShade="80"/>
                <w:sz w:val="22"/>
                <w:szCs w:val="22"/>
              </w:rPr>
            </w:pPr>
            <w:r w:rsidRPr="000E6D86">
              <w:rPr>
                <w:rFonts w:ascii="Arial" w:hAnsi="Arial" w:cs="Arial"/>
                <w:color w:val="767171" w:themeColor="background2" w:themeShade="80"/>
                <w:sz w:val="22"/>
                <w:szCs w:val="22"/>
              </w:rPr>
              <w:t xml:space="preserve">Coordinar el proceso de gestión del conocimiento y difusión en el tema de buenas prácticas ambientales, agrícolas y de manufactura aplicada en el marco de los PdNs, para promover su réplica o ampliación de escala. </w:t>
            </w:r>
          </w:p>
          <w:p w14:paraId="29D5B1DC" w14:textId="77777777" w:rsidR="00C81834" w:rsidRPr="000E6D86" w:rsidRDefault="00C81834" w:rsidP="00411720">
            <w:pPr>
              <w:pStyle w:val="Default"/>
              <w:numPr>
                <w:ilvl w:val="0"/>
                <w:numId w:val="106"/>
              </w:numPr>
              <w:jc w:val="both"/>
              <w:rPr>
                <w:rFonts w:ascii="Arial" w:hAnsi="Arial" w:cs="Arial"/>
                <w:color w:val="767171" w:themeColor="background2" w:themeShade="80"/>
                <w:sz w:val="22"/>
                <w:szCs w:val="22"/>
              </w:rPr>
            </w:pPr>
            <w:r w:rsidRPr="000E6D86">
              <w:rPr>
                <w:rFonts w:ascii="Arial" w:hAnsi="Arial" w:cs="Arial"/>
                <w:color w:val="767171" w:themeColor="background2" w:themeShade="80"/>
                <w:sz w:val="22"/>
                <w:szCs w:val="22"/>
              </w:rPr>
              <w:t xml:space="preserve">Monitorear y dar seguimiento a la implementación de los PGAS. </w:t>
            </w:r>
          </w:p>
          <w:p w14:paraId="06150D3B" w14:textId="77777777" w:rsidR="00C81834" w:rsidRPr="000E6D86" w:rsidRDefault="00C81834" w:rsidP="00C81834">
            <w:pPr>
              <w:jc w:val="both"/>
              <w:rPr>
                <w:rFonts w:cs="Arial"/>
                <w:lang w:val="es-ES"/>
              </w:rPr>
            </w:pPr>
          </w:p>
        </w:tc>
        <w:tc>
          <w:tcPr>
            <w:tcW w:w="4861" w:type="dxa"/>
          </w:tcPr>
          <w:p w14:paraId="70A94EC5" w14:textId="77777777" w:rsidR="00C81834" w:rsidRPr="000E6D86" w:rsidRDefault="00C81834" w:rsidP="00C81834">
            <w:pPr>
              <w:jc w:val="both"/>
              <w:rPr>
                <w:rFonts w:cs="Arial"/>
              </w:rPr>
            </w:pPr>
            <w:r w:rsidRPr="000E6D86">
              <w:rPr>
                <w:rFonts w:cs="Arial"/>
              </w:rPr>
              <w:lastRenderedPageBreak/>
              <w:t>Realizar, en conjunto con los actores participantes en las alianzas productivas, la caracterización de las OPRs participantes en COMRURAL III.</w:t>
            </w:r>
          </w:p>
          <w:p w14:paraId="2A3FE091" w14:textId="77777777" w:rsidR="00C81834" w:rsidRPr="000E6D86" w:rsidRDefault="00C81834" w:rsidP="00C81834">
            <w:pPr>
              <w:jc w:val="both"/>
              <w:rPr>
                <w:rFonts w:cs="Arial"/>
              </w:rPr>
            </w:pPr>
            <w:r w:rsidRPr="000E6D86">
              <w:rPr>
                <w:rFonts w:cs="Arial"/>
              </w:rPr>
              <w:t>ii. Facilitar procesos de capacitación a los PSDEs y OPRs en temas organizacionales y gerenciales, así como en la implementación de la gestión socio ambiental para mejorar la cohesión y gestión en las OPRs)</w:t>
            </w:r>
          </w:p>
          <w:p w14:paraId="6F96DE09" w14:textId="6F5A111B" w:rsidR="00C81834" w:rsidRPr="000E6D86" w:rsidRDefault="6D75848D" w:rsidP="00C81834">
            <w:pPr>
              <w:jc w:val="both"/>
              <w:rPr>
                <w:rFonts w:cs="Arial"/>
              </w:rPr>
            </w:pPr>
            <w:r w:rsidRPr="000E6D86">
              <w:rPr>
                <w:rFonts w:cs="Arial"/>
              </w:rPr>
              <w:lastRenderedPageBreak/>
              <w:t xml:space="preserve">iii. Desarrollar los instrumentos operativos para la implementación del </w:t>
            </w:r>
            <w:r w:rsidR="3AA8BA98" w:rsidRPr="000E6D86">
              <w:rPr>
                <w:rFonts w:cs="Arial"/>
              </w:rPr>
              <w:t>PPPI</w:t>
            </w:r>
            <w:r w:rsidRPr="000E6D86">
              <w:rPr>
                <w:rFonts w:cs="Arial"/>
              </w:rPr>
              <w:t xml:space="preserve"> y el </w:t>
            </w:r>
            <w:r w:rsidR="3AA8BA98" w:rsidRPr="000E6D86">
              <w:rPr>
                <w:rFonts w:cs="Arial"/>
              </w:rPr>
              <w:t>MPPI</w:t>
            </w:r>
            <w:r w:rsidRPr="000E6D86">
              <w:rPr>
                <w:rFonts w:cs="Arial"/>
              </w:rPr>
              <w:t>.</w:t>
            </w:r>
          </w:p>
          <w:p w14:paraId="09D0E46D" w14:textId="77777777" w:rsidR="00C81834" w:rsidRPr="000E6D86" w:rsidRDefault="00C81834" w:rsidP="00C81834">
            <w:pPr>
              <w:jc w:val="both"/>
              <w:rPr>
                <w:rFonts w:cs="Arial"/>
              </w:rPr>
            </w:pPr>
            <w:r w:rsidRPr="000E6D86">
              <w:rPr>
                <w:rFonts w:cs="Arial"/>
              </w:rPr>
              <w:t>iv. Trabajar con el especialista en comunicación para asegurarse que los planes de comunicación y el Sistema de Información y Respuesta tomen en cuenta las particularidades de los pueblos indígenas, jóvenes y mujeres.</w:t>
            </w:r>
          </w:p>
          <w:p w14:paraId="2DD7E578" w14:textId="117C2EBC" w:rsidR="00C81834" w:rsidRPr="000E6D86" w:rsidRDefault="00C81834" w:rsidP="00C81834">
            <w:pPr>
              <w:jc w:val="both"/>
              <w:rPr>
                <w:rFonts w:cs="Arial"/>
              </w:rPr>
            </w:pPr>
            <w:r w:rsidRPr="000E6D86">
              <w:rPr>
                <w:rFonts w:cs="Arial"/>
              </w:rPr>
              <w:t xml:space="preserve">iv. Diseñar la estrategia para transversalizar las acciones y el enfoque de equidad de género en los perfiles y PdNs financiados por el Proyecto mediante la elaboración de un diagnóstico participativo (siguiendo los procedimientos de la guía de análisis de brechas) y, sobre su base, establecer una estrategia de género que responda a las necesidades y particularidades de los Grupos de Productores y </w:t>
            </w:r>
            <w:r w:rsidR="005B0063" w:rsidRPr="000E6D86">
              <w:rPr>
                <w:rFonts w:cs="Arial"/>
              </w:rPr>
              <w:t>OPRs</w:t>
            </w:r>
            <w:r w:rsidRPr="000E6D86">
              <w:rPr>
                <w:rFonts w:cs="Arial"/>
              </w:rPr>
              <w:t>. Establecer la coordinación y complementariedad con la institucionalidad presentes en la zona trabajando en el tema social (gobierno central, municipalidades, mancomunidades, mesas regionales de auditoria social y otros).</w:t>
            </w:r>
          </w:p>
          <w:p w14:paraId="4E8AE517" w14:textId="77777777" w:rsidR="00C81834" w:rsidRPr="000E6D86" w:rsidRDefault="00C81834" w:rsidP="00C81834">
            <w:pPr>
              <w:jc w:val="both"/>
              <w:rPr>
                <w:rFonts w:cs="Arial"/>
              </w:rPr>
            </w:pPr>
            <w:r w:rsidRPr="000E6D86">
              <w:rPr>
                <w:rFonts w:cs="Arial"/>
              </w:rPr>
              <w:t>vi. Participar en el consejo de evaluación de perfiles y PdNs del Proyecto desarrollando instrumentos que evalúen la viabilidad de los elementos sociales propuestos en cada caso.</w:t>
            </w:r>
          </w:p>
          <w:p w14:paraId="41837B8C" w14:textId="77777777" w:rsidR="00C81834" w:rsidRPr="000E6D86" w:rsidRDefault="00C81834" w:rsidP="00C81834">
            <w:pPr>
              <w:jc w:val="both"/>
              <w:rPr>
                <w:rFonts w:cs="Arial"/>
              </w:rPr>
            </w:pPr>
            <w:r w:rsidRPr="000E6D86">
              <w:rPr>
                <w:rFonts w:cs="Arial"/>
              </w:rPr>
              <w:t>vii. Facilitar la implementación del MPPI del COMRURAL III y desarrollar una guía con los instrumentos para el seguimiento y evaluación de impacto.</w:t>
            </w:r>
          </w:p>
          <w:p w14:paraId="6C277BAE" w14:textId="77777777" w:rsidR="00C81834" w:rsidRPr="000E6D86" w:rsidRDefault="00C81834" w:rsidP="00C81834">
            <w:pPr>
              <w:jc w:val="both"/>
              <w:rPr>
                <w:rFonts w:cs="Arial"/>
              </w:rPr>
            </w:pPr>
            <w:r w:rsidRPr="000E6D86">
              <w:rPr>
                <w:rFonts w:cs="Arial"/>
              </w:rPr>
              <w:t>viii. En coordinación con el equipo técnico de la UEP, diseñar los indicadores para el monitoreo y evaluación de los impactos sociales de la implementación de los PdNs.</w:t>
            </w:r>
          </w:p>
          <w:p w14:paraId="41C0A98A" w14:textId="77777777" w:rsidR="00C81834" w:rsidRPr="000E6D86" w:rsidRDefault="00C81834" w:rsidP="00C81834">
            <w:pPr>
              <w:jc w:val="both"/>
              <w:rPr>
                <w:rFonts w:cs="Arial"/>
              </w:rPr>
            </w:pPr>
            <w:r w:rsidRPr="000E6D86">
              <w:rPr>
                <w:rFonts w:cs="Arial"/>
              </w:rPr>
              <w:t>ix. Identificar aliados con valor agregado en el tema de responsabilidad social empresarial y facilitar los vínculos para concretar alianzas con las OPRs participantes en COMRURAL III. Promover la responsabilidad social empresarial a lo interno de los Grupos de Productores y las OPRs.</w:t>
            </w:r>
          </w:p>
          <w:p w14:paraId="1734D932" w14:textId="77777777" w:rsidR="00C81834" w:rsidRPr="000E6D86" w:rsidRDefault="00C81834" w:rsidP="00C81834">
            <w:pPr>
              <w:jc w:val="both"/>
              <w:rPr>
                <w:rFonts w:cs="Arial"/>
              </w:rPr>
            </w:pPr>
            <w:r w:rsidRPr="000E6D86">
              <w:rPr>
                <w:rFonts w:cs="Arial"/>
              </w:rPr>
              <w:lastRenderedPageBreak/>
              <w:t>x. Facilitar la gestión del conocimiento sobre implementación de los procesos de certificación que incluyen elementos sociales.</w:t>
            </w:r>
          </w:p>
          <w:p w14:paraId="617D0045" w14:textId="77777777" w:rsidR="00C81834" w:rsidRPr="000E6D86" w:rsidRDefault="00C81834" w:rsidP="00C81834">
            <w:pPr>
              <w:jc w:val="both"/>
              <w:rPr>
                <w:rFonts w:cs="Arial"/>
              </w:rPr>
            </w:pPr>
            <w:r w:rsidRPr="000E6D86">
              <w:rPr>
                <w:rFonts w:cs="Arial"/>
              </w:rPr>
              <w:t>xi. Trabajar en coordinación con el especialista de seguimiento y evaluación participativa para la inclusión de los indicadores sociales en el sistema de seguimiento y evaluación participativa del Proyecto.</w:t>
            </w:r>
          </w:p>
          <w:p w14:paraId="13803E3F" w14:textId="77777777" w:rsidR="00C81834" w:rsidRPr="000E6D86" w:rsidRDefault="00C81834" w:rsidP="00C81834">
            <w:pPr>
              <w:jc w:val="both"/>
              <w:rPr>
                <w:rFonts w:cs="Arial"/>
              </w:rPr>
            </w:pPr>
            <w:r w:rsidRPr="000E6D86">
              <w:rPr>
                <w:rFonts w:cs="Arial"/>
              </w:rPr>
              <w:t>xii. Asegurar y desarrollar instrumentos para que el Proyecto facilite y promueva el respeto a la dignidad, derechos humanos e identidad cultural de los Pueblos Indígenas.</w:t>
            </w:r>
          </w:p>
          <w:p w14:paraId="39E0AEEF" w14:textId="77777777" w:rsidR="00C81834" w:rsidRPr="000E6D86" w:rsidRDefault="00C81834" w:rsidP="00C81834">
            <w:pPr>
              <w:jc w:val="both"/>
              <w:rPr>
                <w:rFonts w:cs="Arial"/>
              </w:rPr>
            </w:pPr>
            <w:r w:rsidRPr="000E6D86">
              <w:rPr>
                <w:rFonts w:cs="Arial"/>
              </w:rPr>
              <w:t>xiii. Definir mecanismos e instrumentos para implementación, seguimiento y evaluación de las estrategias de género y de relevo generacional en las OPRs.</w:t>
            </w:r>
          </w:p>
          <w:p w14:paraId="7BA3DB91" w14:textId="77777777" w:rsidR="00C81834" w:rsidRPr="000E6D86" w:rsidRDefault="00C81834" w:rsidP="00C81834">
            <w:pPr>
              <w:jc w:val="both"/>
              <w:rPr>
                <w:rFonts w:cs="Arial"/>
              </w:rPr>
            </w:pPr>
            <w:r w:rsidRPr="000E6D86">
              <w:rPr>
                <w:rFonts w:cs="Arial"/>
              </w:rPr>
              <w:t>xiv. Liderar y realizar la sistematización de lecciones aprendidas y buenas prácticas en la implementación del MPPI del Proyecto.</w:t>
            </w:r>
          </w:p>
          <w:p w14:paraId="582B3439" w14:textId="77777777" w:rsidR="00C81834" w:rsidRPr="000E6D86" w:rsidRDefault="00C81834" w:rsidP="00C81834">
            <w:pPr>
              <w:jc w:val="both"/>
              <w:rPr>
                <w:rFonts w:cs="Arial"/>
              </w:rPr>
            </w:pPr>
            <w:r w:rsidRPr="000E6D86">
              <w:rPr>
                <w:rFonts w:cs="Arial"/>
              </w:rPr>
              <w:t>xv. En coordinación con los especialistas de la UEP, desarrollar y consolidar experiencias piloto orientadas a facilitar los procesos de auditoría social y rendición de cuentas y posteriormente facilitar su réplica en todas las regiones del COMRURAL III.</w:t>
            </w:r>
          </w:p>
          <w:p w14:paraId="0C7F53F0" w14:textId="77777777" w:rsidR="00C81834" w:rsidRPr="000E6D86" w:rsidRDefault="00C81834" w:rsidP="00C81834">
            <w:pPr>
              <w:jc w:val="both"/>
              <w:rPr>
                <w:rFonts w:cs="Arial"/>
              </w:rPr>
            </w:pPr>
            <w:r w:rsidRPr="000E6D86">
              <w:rPr>
                <w:rFonts w:cs="Arial"/>
              </w:rPr>
              <w:t>xvi. Apoyar las instancias institucionales y actores en la compilación de la información relacionada con: a) obstáculos que confrontan las organizaciones de productores participantes; b) riesgos actuales y potenciales del Proyecto relacionados con la participación de los pueblos indígenas, mujeres y jóvenes en el mismo; c) cumplimiento de auditorías sociales planificadas; y d) funcionamiento de las instancias de coordinación vigentes.</w:t>
            </w:r>
          </w:p>
          <w:p w14:paraId="0BC3E0E1" w14:textId="77777777" w:rsidR="00C81834" w:rsidRPr="000E6D86" w:rsidRDefault="00C81834" w:rsidP="00C81834">
            <w:pPr>
              <w:jc w:val="both"/>
              <w:rPr>
                <w:rFonts w:cs="Arial"/>
              </w:rPr>
            </w:pPr>
            <w:r w:rsidRPr="000E6D86">
              <w:rPr>
                <w:rFonts w:cs="Arial"/>
              </w:rPr>
              <w:t>xvii. Monitorear y dar seguimiento a la implementación de los PGAS.</w:t>
            </w:r>
          </w:p>
          <w:p w14:paraId="560AA527" w14:textId="77777777" w:rsidR="00C81834" w:rsidRPr="000E6D86" w:rsidRDefault="00C81834" w:rsidP="00C81834">
            <w:pPr>
              <w:jc w:val="both"/>
              <w:rPr>
                <w:rFonts w:cs="Arial"/>
              </w:rPr>
            </w:pPr>
          </w:p>
        </w:tc>
      </w:tr>
    </w:tbl>
    <w:p w14:paraId="0E85ABEB" w14:textId="5BA3DE4D" w:rsidR="006A3DBC" w:rsidRDefault="006A3DBC" w:rsidP="6A9CA2EB">
      <w:pPr>
        <w:rPr>
          <w:rFonts w:cs="Arial"/>
          <w:b/>
          <w:bCs/>
          <w:lang w:val="es-419"/>
        </w:rPr>
      </w:pPr>
    </w:p>
    <w:p w14:paraId="00FB67A3" w14:textId="77777777" w:rsidR="002B7276" w:rsidRPr="00FA4B2D" w:rsidRDefault="002B7276" w:rsidP="6A9CA2EB">
      <w:pPr>
        <w:rPr>
          <w:rFonts w:cs="Arial"/>
          <w:b/>
          <w:bCs/>
          <w:lang w:val="es-419"/>
        </w:rPr>
      </w:pPr>
    </w:p>
    <w:p w14:paraId="39211CCE" w14:textId="77777777" w:rsidR="006A3DBC" w:rsidRPr="00FA4B2D" w:rsidRDefault="006A3DBC" w:rsidP="00411720">
      <w:pPr>
        <w:pStyle w:val="Ttulo2"/>
        <w:numPr>
          <w:ilvl w:val="1"/>
          <w:numId w:val="71"/>
        </w:numPr>
        <w:spacing w:before="0" w:line="240" w:lineRule="auto"/>
        <w:jc w:val="both"/>
        <w:rPr>
          <w:rFonts w:ascii="Arial" w:hAnsi="Arial" w:cs="Arial"/>
          <w:b/>
          <w:color w:val="767171" w:themeColor="background2" w:themeShade="80"/>
          <w:sz w:val="22"/>
          <w:szCs w:val="22"/>
        </w:rPr>
      </w:pPr>
      <w:bookmarkStart w:id="1536" w:name="_Toc202456984"/>
      <w:r w:rsidRPr="00FA4B2D">
        <w:rPr>
          <w:rFonts w:ascii="Arial" w:hAnsi="Arial" w:cs="Arial"/>
          <w:b/>
          <w:color w:val="767171" w:themeColor="background2" w:themeShade="80"/>
          <w:sz w:val="22"/>
          <w:szCs w:val="22"/>
        </w:rPr>
        <w:lastRenderedPageBreak/>
        <w:t>Seguimiento y Monitoreo</w:t>
      </w:r>
      <w:bookmarkEnd w:id="1534"/>
      <w:bookmarkEnd w:id="1535"/>
      <w:bookmarkEnd w:id="1536"/>
    </w:p>
    <w:p w14:paraId="465ADAC9" w14:textId="77777777" w:rsidR="006A3DBC" w:rsidRPr="00FA4B2D" w:rsidRDefault="006A3DBC" w:rsidP="006A3DBC">
      <w:pPr>
        <w:spacing w:after="0" w:line="240" w:lineRule="auto"/>
        <w:jc w:val="both"/>
        <w:rPr>
          <w:rFonts w:cs="Arial"/>
          <w:lang w:val="es-CL"/>
        </w:rPr>
      </w:pPr>
    </w:p>
    <w:p w14:paraId="26882398" w14:textId="484DF3AA" w:rsidR="006A3DBC" w:rsidRPr="00FA4B2D" w:rsidRDefault="3A7FC69B" w:rsidP="006A3DBC">
      <w:pPr>
        <w:spacing w:after="0" w:line="240" w:lineRule="auto"/>
        <w:jc w:val="both"/>
        <w:rPr>
          <w:rFonts w:cs="Arial"/>
          <w:lang w:val="es-CL"/>
        </w:rPr>
      </w:pPr>
      <w:r w:rsidRPr="00FA4B2D">
        <w:rPr>
          <w:rFonts w:cs="Arial"/>
          <w:lang w:val="es-CL"/>
        </w:rPr>
        <w:t xml:space="preserve">Para el Equipo Ambiental y Social del Proyecto en el PCAS se tiene previsto elaborar un plan de capacitación para el personal del Proyecto, de forma aceptable para el BM, para fortalecer los conocimientos y manejo de los instrumentos en materia ambiental y social (MGAS, PPPI, PGMO, MPPI y </w:t>
      </w:r>
      <w:r w:rsidR="6E1FC1D6" w:rsidRPr="00FA4B2D">
        <w:rPr>
          <w:rFonts w:cs="Arial"/>
          <w:lang w:val="es-CL"/>
        </w:rPr>
        <w:t>MRI</w:t>
      </w:r>
      <w:r w:rsidRPr="00FA4B2D">
        <w:rPr>
          <w:rFonts w:cs="Arial"/>
          <w:lang w:val="es-CL"/>
        </w:rPr>
        <w:t>), los requisitos del PCAS, el seguimiento de los requisitos y Estándares Ambientales y Sociales del Proyecto.</w:t>
      </w:r>
    </w:p>
    <w:p w14:paraId="4FCA3823" w14:textId="77777777" w:rsidR="006A3DBC" w:rsidRPr="00FA4B2D" w:rsidRDefault="006A3DBC" w:rsidP="006A3DBC">
      <w:pPr>
        <w:spacing w:after="0" w:line="240" w:lineRule="auto"/>
        <w:jc w:val="both"/>
        <w:rPr>
          <w:rFonts w:cs="Arial"/>
          <w:lang w:val="es-CL"/>
        </w:rPr>
      </w:pPr>
    </w:p>
    <w:p w14:paraId="1BD88037" w14:textId="48D9DBC9" w:rsidR="006A3DBC" w:rsidRPr="00FA4B2D" w:rsidRDefault="006A3DBC" w:rsidP="006A3DBC">
      <w:pPr>
        <w:spacing w:after="0" w:line="240" w:lineRule="auto"/>
        <w:jc w:val="both"/>
        <w:rPr>
          <w:rFonts w:cs="Arial"/>
          <w:lang w:val="es-CL"/>
        </w:rPr>
      </w:pPr>
      <w:r w:rsidRPr="00FA4B2D">
        <w:rPr>
          <w:rFonts w:cs="Arial"/>
          <w:lang w:val="es-CL"/>
        </w:rPr>
        <w:t xml:space="preserve">Se tiene previsto </w:t>
      </w:r>
      <w:r w:rsidR="00DA7209" w:rsidRPr="00FA4B2D">
        <w:rPr>
          <w:rFonts w:cs="Arial"/>
          <w:lang w:val="es-CL"/>
        </w:rPr>
        <w:t xml:space="preserve">su </w:t>
      </w:r>
      <w:r w:rsidRPr="00FA4B2D">
        <w:rPr>
          <w:rFonts w:cs="Arial"/>
          <w:lang w:val="es-CL"/>
        </w:rPr>
        <w:t>desarrollo con los PSDEs y otro personal técnico vinculante durante la fase de formulación por el cambio de concepto de salvaguardas que pasan a estándares y durante la fase de ejecución del ComRural III, considerando recomendable hacer este tipo de eventos semestralmente, tomando en cuenta que los estándares establecen las medidas a ejecutar como procesos continuos durante las diferentes fases del proyecto.</w:t>
      </w:r>
    </w:p>
    <w:p w14:paraId="5BBB8E3A" w14:textId="77777777" w:rsidR="006A3DBC" w:rsidRPr="00FA4B2D" w:rsidRDefault="006A3DBC" w:rsidP="006A3DBC">
      <w:pPr>
        <w:spacing w:after="0" w:line="240" w:lineRule="auto"/>
        <w:jc w:val="both"/>
        <w:rPr>
          <w:rFonts w:cs="Arial"/>
          <w:lang w:val="es-CL"/>
        </w:rPr>
      </w:pPr>
    </w:p>
    <w:p w14:paraId="454C3584" w14:textId="77777777" w:rsidR="006A3DBC" w:rsidRPr="00FA4B2D" w:rsidRDefault="006A3DBC" w:rsidP="006A3DBC">
      <w:pPr>
        <w:spacing w:after="0" w:line="240" w:lineRule="auto"/>
        <w:jc w:val="both"/>
        <w:rPr>
          <w:rFonts w:cs="Arial"/>
          <w:lang w:val="es-CL"/>
        </w:rPr>
      </w:pPr>
      <w:r w:rsidRPr="00FA4B2D">
        <w:rPr>
          <w:rFonts w:cs="Arial"/>
          <w:lang w:val="es-CL"/>
        </w:rPr>
        <w:t>Básicamente, se propone la utilización de procedimientos participativos con los siguientes propósitos:</w:t>
      </w:r>
    </w:p>
    <w:p w14:paraId="17ADD8C1" w14:textId="77777777" w:rsidR="006A3DBC" w:rsidRPr="00FA4B2D" w:rsidRDefault="006A3DBC" w:rsidP="006A3DBC">
      <w:pPr>
        <w:pStyle w:val="Prrafodelista"/>
        <w:numPr>
          <w:ilvl w:val="0"/>
          <w:numId w:val="6"/>
        </w:numPr>
        <w:spacing w:after="0" w:line="240" w:lineRule="auto"/>
        <w:jc w:val="both"/>
        <w:rPr>
          <w:rFonts w:cs="Arial"/>
          <w:lang w:val="es-CL"/>
        </w:rPr>
      </w:pPr>
      <w:r w:rsidRPr="00FA4B2D">
        <w:rPr>
          <w:rFonts w:cs="Arial"/>
          <w:lang w:val="es-CL"/>
        </w:rPr>
        <w:t>Establecer el progreso, que será descrito regularmente en los informes semestrales del Proyecto y reportados al BM.</w:t>
      </w:r>
    </w:p>
    <w:p w14:paraId="036128C0" w14:textId="77777777" w:rsidR="006A3DBC" w:rsidRPr="00FA4B2D" w:rsidRDefault="006A3DBC" w:rsidP="006A3DBC">
      <w:pPr>
        <w:pStyle w:val="Prrafodelista"/>
        <w:numPr>
          <w:ilvl w:val="0"/>
          <w:numId w:val="6"/>
        </w:numPr>
        <w:spacing w:after="0" w:line="240" w:lineRule="auto"/>
        <w:jc w:val="both"/>
        <w:rPr>
          <w:rFonts w:cs="Arial"/>
          <w:lang w:val="es-CL"/>
        </w:rPr>
      </w:pPr>
      <w:r w:rsidRPr="00FA4B2D">
        <w:rPr>
          <w:rFonts w:cs="Arial"/>
          <w:lang w:val="es-CL"/>
        </w:rPr>
        <w:t>Implantar procedimiento de cumplimiento de indicadores y compromisos socio ambiental establecidos en los PdNs mediante los informes trimestrales que presentan los PSDEs.</w:t>
      </w:r>
    </w:p>
    <w:p w14:paraId="41650FE9" w14:textId="32E04A08" w:rsidR="006A3DBC" w:rsidRPr="00FA4B2D" w:rsidRDefault="006A3DBC" w:rsidP="006A3DBC">
      <w:pPr>
        <w:pStyle w:val="Prrafodelista"/>
        <w:numPr>
          <w:ilvl w:val="0"/>
          <w:numId w:val="6"/>
        </w:numPr>
        <w:spacing w:after="0" w:line="240" w:lineRule="auto"/>
        <w:jc w:val="both"/>
        <w:rPr>
          <w:rFonts w:cs="Arial"/>
          <w:lang w:val="es-CL"/>
        </w:rPr>
      </w:pPr>
      <w:r w:rsidRPr="00FA4B2D">
        <w:rPr>
          <w:rFonts w:cs="Arial"/>
          <w:lang w:val="es-CL"/>
        </w:rPr>
        <w:t>Cada Informe Trimestral de avance por subproyecto, tendrá como anexo el Informe Trimestral Ambiental (ITA) e Informe Trimestral de Avance Social (ITAS)</w:t>
      </w:r>
      <w:r w:rsidR="00720C2A" w:rsidRPr="00FA4B2D">
        <w:rPr>
          <w:rFonts w:cs="Arial"/>
          <w:lang w:val="es-CL"/>
        </w:rPr>
        <w:t>.</w:t>
      </w:r>
      <w:r w:rsidRPr="00FA4B2D">
        <w:rPr>
          <w:rFonts w:cs="Arial"/>
          <w:lang w:val="es-CL"/>
        </w:rPr>
        <w:t xml:space="preserve">  </w:t>
      </w:r>
    </w:p>
    <w:p w14:paraId="5D204665" w14:textId="77777777" w:rsidR="006A3DBC" w:rsidRPr="00FA4B2D" w:rsidRDefault="006A3DBC" w:rsidP="006A3DBC">
      <w:pPr>
        <w:pStyle w:val="Prrafodelista"/>
        <w:numPr>
          <w:ilvl w:val="0"/>
          <w:numId w:val="6"/>
        </w:numPr>
        <w:spacing w:after="0" w:line="240" w:lineRule="auto"/>
        <w:jc w:val="both"/>
        <w:rPr>
          <w:rFonts w:cs="Arial"/>
          <w:lang w:val="es-CL"/>
        </w:rPr>
      </w:pPr>
      <w:r w:rsidRPr="00FA4B2D">
        <w:rPr>
          <w:rFonts w:cs="Arial"/>
          <w:lang w:val="es-CL"/>
        </w:rPr>
        <w:t>Las Oficinas Regionales brindaran un informe trimestral de los avances y cumplimiento de los acuerdos institucionales para implementación del MGAS y los logros o limitantes encontradas en la ejecución de los subproyectos.</w:t>
      </w:r>
    </w:p>
    <w:p w14:paraId="3A3967FC" w14:textId="77777777" w:rsidR="006A3DBC" w:rsidRPr="00FA4B2D" w:rsidRDefault="006A3DBC" w:rsidP="006A3DBC">
      <w:pPr>
        <w:pStyle w:val="Prrafodelista"/>
        <w:numPr>
          <w:ilvl w:val="0"/>
          <w:numId w:val="6"/>
        </w:numPr>
        <w:spacing w:after="0" w:line="240" w:lineRule="auto"/>
        <w:jc w:val="both"/>
        <w:rPr>
          <w:rFonts w:cs="Arial"/>
          <w:lang w:val="es-CL"/>
        </w:rPr>
      </w:pPr>
      <w:r w:rsidRPr="00FA4B2D">
        <w:rPr>
          <w:rFonts w:cs="Arial"/>
          <w:lang w:val="es-CL"/>
        </w:rPr>
        <w:t>El equipo de especialistas ambientales y sociales del Proyecto COMRURAL III realizarán monitoreo de campo mensualmente para verificar los avances y cumplimiento de requisitos de los EASs relevantes.</w:t>
      </w:r>
    </w:p>
    <w:p w14:paraId="4756F97A" w14:textId="77777777" w:rsidR="006A3DBC" w:rsidRPr="00FA4B2D" w:rsidRDefault="006A3DBC" w:rsidP="006A3DBC">
      <w:pPr>
        <w:pStyle w:val="Prrafodelista"/>
        <w:numPr>
          <w:ilvl w:val="0"/>
          <w:numId w:val="6"/>
        </w:numPr>
        <w:spacing w:after="0" w:line="240" w:lineRule="auto"/>
        <w:jc w:val="both"/>
        <w:rPr>
          <w:rFonts w:cs="Arial"/>
          <w:lang w:val="es-CL"/>
        </w:rPr>
      </w:pPr>
      <w:r w:rsidRPr="00FA4B2D">
        <w:rPr>
          <w:rFonts w:cs="Arial"/>
          <w:lang w:val="es-CL"/>
        </w:rPr>
        <w:t xml:space="preserve">Sobre la base de los informes trimestrales de reporte nacional y semestral de reporte externo se realizarán actividades de evaluación en aquellos subproyectos que presenten mayores inconvenientes para cumplir con los requisitos de los EASs relevantes. </w:t>
      </w:r>
    </w:p>
    <w:p w14:paraId="6EAD895F" w14:textId="77777777" w:rsidR="006A3DBC" w:rsidRPr="00FA4B2D" w:rsidRDefault="006A3DBC" w:rsidP="006A3DBC">
      <w:pPr>
        <w:pStyle w:val="Prrafodelista"/>
        <w:numPr>
          <w:ilvl w:val="0"/>
          <w:numId w:val="6"/>
        </w:numPr>
        <w:spacing w:after="0" w:line="240" w:lineRule="auto"/>
        <w:jc w:val="both"/>
        <w:rPr>
          <w:rFonts w:cs="Arial"/>
          <w:lang w:val="es-CL"/>
        </w:rPr>
      </w:pPr>
      <w:r w:rsidRPr="00FA4B2D">
        <w:rPr>
          <w:rFonts w:cs="Arial"/>
          <w:lang w:val="es-CL"/>
        </w:rPr>
        <w:t>Establecer las necesidades para adaptar los planes, modificar las actividades que se están llevando a cabo y/o incluir actividades adicionales.</w:t>
      </w:r>
    </w:p>
    <w:p w14:paraId="127BE95E" w14:textId="77777777" w:rsidR="006A3DBC" w:rsidRPr="00FA4B2D" w:rsidRDefault="006A3DBC" w:rsidP="006A3DBC">
      <w:pPr>
        <w:pStyle w:val="Prrafodelista"/>
        <w:numPr>
          <w:ilvl w:val="0"/>
          <w:numId w:val="6"/>
        </w:numPr>
        <w:spacing w:after="0" w:line="240" w:lineRule="auto"/>
        <w:jc w:val="both"/>
        <w:rPr>
          <w:rFonts w:cs="Arial"/>
          <w:lang w:val="es-CL"/>
        </w:rPr>
      </w:pPr>
      <w:r w:rsidRPr="00FA4B2D">
        <w:rPr>
          <w:rFonts w:cs="Arial"/>
          <w:lang w:val="es-CL"/>
        </w:rPr>
        <w:t xml:space="preserve">Identificar los problemas y restricciones que obstruyen la implementación. </w:t>
      </w:r>
    </w:p>
    <w:p w14:paraId="36B46555" w14:textId="77777777" w:rsidR="006A3DBC" w:rsidRPr="00FA4B2D" w:rsidRDefault="006A3DBC" w:rsidP="006A3DBC">
      <w:pPr>
        <w:pStyle w:val="Prrafodelista"/>
        <w:numPr>
          <w:ilvl w:val="0"/>
          <w:numId w:val="6"/>
        </w:numPr>
        <w:spacing w:after="0" w:line="240" w:lineRule="auto"/>
        <w:jc w:val="both"/>
        <w:rPr>
          <w:rFonts w:cs="Arial"/>
          <w:lang w:val="es-CL"/>
        </w:rPr>
      </w:pPr>
      <w:r w:rsidRPr="00FA4B2D">
        <w:rPr>
          <w:rFonts w:cs="Arial"/>
          <w:lang w:val="es-CL"/>
        </w:rPr>
        <w:t>Promover contabilidad y transparencia (rendición de cuentas).</w:t>
      </w:r>
    </w:p>
    <w:p w14:paraId="41A051D5" w14:textId="77777777" w:rsidR="006A3DBC" w:rsidRPr="00FA4B2D" w:rsidRDefault="006A3DBC" w:rsidP="006A3DBC">
      <w:pPr>
        <w:pStyle w:val="Prrafodelista"/>
        <w:numPr>
          <w:ilvl w:val="0"/>
          <w:numId w:val="6"/>
        </w:numPr>
        <w:spacing w:after="0" w:line="240" w:lineRule="auto"/>
        <w:jc w:val="both"/>
        <w:rPr>
          <w:rFonts w:cs="Arial"/>
          <w:lang w:val="es-CL"/>
        </w:rPr>
      </w:pPr>
      <w:r w:rsidRPr="00FA4B2D">
        <w:rPr>
          <w:rFonts w:cs="Arial"/>
          <w:lang w:val="es-CL"/>
        </w:rPr>
        <w:t>Promover medidas de consulta pública, sugerencias y reclamos a nivel de Organizaciones y población participante (beneficiara directa o indirectamente) y del Proyecto.</w:t>
      </w:r>
    </w:p>
    <w:p w14:paraId="3E703E0F" w14:textId="77777777" w:rsidR="006A3DBC" w:rsidRPr="00FA4B2D" w:rsidRDefault="006A3DBC" w:rsidP="006A3DBC">
      <w:pPr>
        <w:spacing w:after="0" w:line="240" w:lineRule="auto"/>
        <w:jc w:val="both"/>
        <w:rPr>
          <w:rFonts w:cs="Arial"/>
          <w:lang w:val="es-CL"/>
        </w:rPr>
      </w:pPr>
    </w:p>
    <w:p w14:paraId="73098B94" w14:textId="77777777" w:rsidR="006A3DBC" w:rsidRPr="00FA4B2D" w:rsidRDefault="006A3DBC" w:rsidP="006A3DBC">
      <w:pPr>
        <w:spacing w:after="0" w:line="240" w:lineRule="auto"/>
        <w:jc w:val="both"/>
        <w:rPr>
          <w:rFonts w:cs="Arial"/>
          <w:lang w:val="es-CL"/>
        </w:rPr>
      </w:pPr>
      <w:r w:rsidRPr="00FA4B2D">
        <w:rPr>
          <w:rFonts w:cs="Arial"/>
          <w:lang w:val="es-CL"/>
        </w:rPr>
        <w:t xml:space="preserve">Un adecuado monitoreo y evaluación requiere de una clara información concerniente a la situación existente al inicio de las actividades de cada PdN, a fin de evaluar los </w:t>
      </w:r>
      <w:r w:rsidRPr="00FA4B2D">
        <w:rPr>
          <w:rFonts w:cs="Arial"/>
          <w:lang w:val="es-CL"/>
        </w:rPr>
        <w:lastRenderedPageBreak/>
        <w:t xml:space="preserve">cambios cuando estos ocurren. Por lo tanto, es esencial llevar a cabo un levantamiento de línea base al inicio de la implementación de los PdNs.   </w:t>
      </w:r>
    </w:p>
    <w:p w14:paraId="503CAD91" w14:textId="77777777" w:rsidR="006A3DBC" w:rsidRPr="00FA4B2D" w:rsidRDefault="006A3DBC" w:rsidP="006A3DBC">
      <w:pPr>
        <w:spacing w:after="0" w:line="240" w:lineRule="auto"/>
        <w:jc w:val="both"/>
        <w:rPr>
          <w:rFonts w:cs="Arial"/>
          <w:lang w:val="es-CL"/>
        </w:rPr>
      </w:pPr>
    </w:p>
    <w:p w14:paraId="42DB76CE" w14:textId="77777777" w:rsidR="006A3DBC" w:rsidRPr="00FA4B2D" w:rsidRDefault="006A3DBC" w:rsidP="006A3DBC">
      <w:pPr>
        <w:spacing w:after="0" w:line="240" w:lineRule="auto"/>
        <w:jc w:val="both"/>
        <w:rPr>
          <w:rFonts w:cs="Arial"/>
          <w:lang w:val="es-CL"/>
        </w:rPr>
      </w:pPr>
      <w:r w:rsidRPr="00FA4B2D">
        <w:rPr>
          <w:rFonts w:cs="Arial"/>
          <w:lang w:val="es-CL"/>
        </w:rPr>
        <w:t>El monitoreo se hace separando datos de la participación de mujeres y hombres (jóvenes) e indígenas y afrodescendientes, con el propósito de evaluar el logro de los objetivos y metas establecidas o programadas en cada PdN. También para evaluar el impacto de las actividades en sus vidas a fin de establecer la necesidad de adaptar los planes y actividades adicionales o para modificar las actividades que se están llevando a cabo.</w:t>
      </w:r>
    </w:p>
    <w:p w14:paraId="7869A296" w14:textId="77777777" w:rsidR="006A3DBC" w:rsidRPr="00FA4B2D" w:rsidRDefault="006A3DBC" w:rsidP="006A3DBC">
      <w:pPr>
        <w:spacing w:after="0" w:line="240" w:lineRule="auto"/>
        <w:jc w:val="both"/>
        <w:rPr>
          <w:rFonts w:cs="Arial"/>
          <w:lang w:val="es-CL"/>
        </w:rPr>
      </w:pPr>
    </w:p>
    <w:p w14:paraId="078F47F6" w14:textId="4E483126" w:rsidR="006A3DBC" w:rsidRPr="00FA4B2D" w:rsidRDefault="006A3DBC" w:rsidP="006A3DBC">
      <w:pPr>
        <w:spacing w:after="0" w:line="240" w:lineRule="auto"/>
        <w:jc w:val="both"/>
        <w:rPr>
          <w:rFonts w:cs="Arial"/>
          <w:lang w:val="es-CL"/>
        </w:rPr>
      </w:pPr>
      <w:r w:rsidRPr="00FA4B2D">
        <w:rPr>
          <w:rFonts w:cs="Arial"/>
          <w:lang w:val="es-CL"/>
        </w:rPr>
        <w:t xml:space="preserve">Los Especialistas Ambiental y Social del Proyecto coordinarán la preparación de la </w:t>
      </w:r>
      <w:r w:rsidR="00CF0F96" w:rsidRPr="00FA4B2D">
        <w:rPr>
          <w:rFonts w:cs="Arial"/>
          <w:lang w:val="es-CL"/>
        </w:rPr>
        <w:t>sección ambiental</w:t>
      </w:r>
      <w:r w:rsidRPr="00FA4B2D">
        <w:rPr>
          <w:rFonts w:cs="Arial"/>
          <w:lang w:val="es-CL"/>
        </w:rPr>
        <w:t xml:space="preserve"> y social de los Informes Semestrales </w:t>
      </w:r>
      <w:r w:rsidR="0076421E" w:rsidRPr="00FA4B2D">
        <w:rPr>
          <w:rFonts w:cs="Arial"/>
          <w:lang w:val="es-CL"/>
        </w:rPr>
        <w:t>del Proyecto</w:t>
      </w:r>
      <w:r w:rsidRPr="00FA4B2D">
        <w:rPr>
          <w:rFonts w:cs="Arial"/>
          <w:lang w:val="es-CL"/>
        </w:rPr>
        <w:t xml:space="preserve"> con insumos generados por sus respectivas contrapartes, los PSDEs. Dicha </w:t>
      </w:r>
      <w:r w:rsidR="34D000C2" w:rsidRPr="00FA4B2D">
        <w:rPr>
          <w:rFonts w:cs="Arial"/>
          <w:lang w:val="es-CL"/>
        </w:rPr>
        <w:t>sección</w:t>
      </w:r>
      <w:r w:rsidRPr="00FA4B2D">
        <w:rPr>
          <w:rFonts w:cs="Arial"/>
          <w:lang w:val="es-CL"/>
        </w:rPr>
        <w:t>consistirá de una descripción narrativa sobre los aspectos claves de seguimiento en los temas ambientales y sociales, incluyendo los estándares incluidas en el  portafolio de inversiones del subproyecto, resultados del monitoreo ambiental y social que se realizará una vez al año, los avances en el POA, las actividades de capacitación realizadas, apropiación de los procesos planificados y ejecutados por parte de los beneficiarios y desafíos enfrentados para mejorar el mismo, solicitudes y reclamos recibidos, la cooperación generada a nivel interinstitucional y con demás actores clave, ejemplos de resultados alcanzados a nivel de campo, etc. Para propósitos del monitoreo ambiental y social, los Especialistas del Proyecto harán visitas de campo previo a la elaboración de cada informe.</w:t>
      </w:r>
    </w:p>
    <w:p w14:paraId="1EC85866" w14:textId="083B0A6C" w:rsidR="006A3DBC" w:rsidRPr="00FA4B2D" w:rsidRDefault="006A3DBC" w:rsidP="006A3DBC">
      <w:pPr>
        <w:spacing w:after="0" w:line="240" w:lineRule="auto"/>
        <w:jc w:val="both"/>
        <w:rPr>
          <w:rFonts w:cs="Arial"/>
          <w:lang w:val="es-CL"/>
        </w:rPr>
      </w:pPr>
      <w:r w:rsidRPr="00FA4B2D">
        <w:rPr>
          <w:rFonts w:cs="Arial"/>
          <w:lang w:val="es-CL"/>
        </w:rPr>
        <w:t xml:space="preserve">Los reportes del sistema de monitoreo y seguimiento en el </w:t>
      </w:r>
      <w:r w:rsidR="00E62A62" w:rsidRPr="00FA4B2D">
        <w:rPr>
          <w:rFonts w:cs="Arial"/>
          <w:lang w:val="es-CL"/>
        </w:rPr>
        <w:t>Proyecto</w:t>
      </w:r>
      <w:r w:rsidRPr="00FA4B2D">
        <w:rPr>
          <w:rFonts w:cs="Arial"/>
          <w:lang w:val="es-CL"/>
        </w:rPr>
        <w:t xml:space="preserve"> se fundamentarán en los avances para el cumplimiento de los indicadores generales establecidos:</w:t>
      </w:r>
    </w:p>
    <w:p w14:paraId="06F40518" w14:textId="77777777" w:rsidR="006A3DBC" w:rsidRPr="00FA4B2D" w:rsidRDefault="006A3DBC" w:rsidP="006A3DBC">
      <w:pPr>
        <w:pStyle w:val="Prrafodelista"/>
        <w:numPr>
          <w:ilvl w:val="0"/>
          <w:numId w:val="10"/>
        </w:numPr>
        <w:spacing w:after="0" w:line="240" w:lineRule="auto"/>
        <w:jc w:val="both"/>
        <w:rPr>
          <w:rFonts w:cs="Arial"/>
          <w:lang w:val="es-CL"/>
        </w:rPr>
      </w:pPr>
      <w:r w:rsidRPr="00FA4B2D">
        <w:rPr>
          <w:rFonts w:cs="Arial"/>
          <w:lang w:val="es-CL"/>
        </w:rPr>
        <w:t>Número de beneficiarios (agricultores y empresarios agrícolas) que adoptan prácticas resistentes al clima promovidas por el Proyecto, desglosadas por género, jóvenes, indígenas, afrodescendientes.</w:t>
      </w:r>
    </w:p>
    <w:p w14:paraId="5A741A7F" w14:textId="77777777" w:rsidR="006A3DBC" w:rsidRPr="00FA4B2D" w:rsidRDefault="006A3DBC" w:rsidP="006A3DBC">
      <w:pPr>
        <w:pStyle w:val="Prrafodelista"/>
        <w:numPr>
          <w:ilvl w:val="0"/>
          <w:numId w:val="10"/>
        </w:numPr>
        <w:spacing w:after="0" w:line="240" w:lineRule="auto"/>
        <w:jc w:val="both"/>
        <w:rPr>
          <w:rFonts w:cs="Arial"/>
          <w:lang w:val="es-CL"/>
        </w:rPr>
      </w:pPr>
      <w:r w:rsidRPr="00FA4B2D">
        <w:rPr>
          <w:rFonts w:cs="Arial"/>
          <w:lang w:val="es-CL"/>
        </w:rPr>
        <w:t>Porcentaje de OPRs que trabajan bajo un enfoque de alianza productiva 24 meses después del primer desembolso.</w:t>
      </w:r>
    </w:p>
    <w:p w14:paraId="33295D7E" w14:textId="77777777" w:rsidR="006A3DBC" w:rsidRPr="00FA4B2D" w:rsidRDefault="006A3DBC" w:rsidP="006A3DBC">
      <w:pPr>
        <w:pStyle w:val="Prrafodelista"/>
        <w:numPr>
          <w:ilvl w:val="0"/>
          <w:numId w:val="10"/>
        </w:numPr>
        <w:spacing w:after="0" w:line="240" w:lineRule="auto"/>
        <w:jc w:val="both"/>
        <w:rPr>
          <w:rFonts w:cs="Arial"/>
          <w:lang w:val="es-CL"/>
        </w:rPr>
      </w:pPr>
      <w:r w:rsidRPr="00FA4B2D">
        <w:rPr>
          <w:rFonts w:cs="Arial"/>
          <w:lang w:val="es-CL"/>
        </w:rPr>
        <w:t>Nuevos empleos creados en subproyectos financiados por el Proyecto.</w:t>
      </w:r>
    </w:p>
    <w:p w14:paraId="54F47F11" w14:textId="77777777" w:rsidR="006A3DBC" w:rsidRPr="00FA4B2D" w:rsidRDefault="006A3DBC" w:rsidP="006A3DBC">
      <w:pPr>
        <w:pStyle w:val="Prrafodelista"/>
        <w:numPr>
          <w:ilvl w:val="0"/>
          <w:numId w:val="10"/>
        </w:numPr>
        <w:spacing w:after="0" w:line="240" w:lineRule="auto"/>
        <w:jc w:val="both"/>
        <w:rPr>
          <w:rFonts w:cs="Arial"/>
          <w:lang w:val="es-CL"/>
        </w:rPr>
      </w:pPr>
      <w:r w:rsidRPr="00FA4B2D">
        <w:rPr>
          <w:rFonts w:cs="Arial"/>
          <w:lang w:val="es-CL"/>
        </w:rPr>
        <w:t>Incremento porcentual en el valor de las ventas brutas de las empresas agrícolas en función de la implementación de los planes de negocios aprobados en los primeros 3.5 años de implementación del Proyecto (acceso a los mercados).</w:t>
      </w:r>
    </w:p>
    <w:p w14:paraId="42BB9647" w14:textId="77777777" w:rsidR="006A3DBC" w:rsidRPr="00FA4B2D" w:rsidRDefault="006A3DBC" w:rsidP="006A3DBC">
      <w:pPr>
        <w:spacing w:after="0" w:line="240" w:lineRule="auto"/>
        <w:jc w:val="both"/>
        <w:rPr>
          <w:rFonts w:cs="Arial"/>
          <w:lang w:val="es-CL"/>
        </w:rPr>
      </w:pPr>
    </w:p>
    <w:p w14:paraId="3180F93C" w14:textId="77777777" w:rsidR="006A3DBC" w:rsidRPr="00FA4B2D" w:rsidRDefault="006A3DBC" w:rsidP="006A3DBC">
      <w:pPr>
        <w:spacing w:after="0" w:line="240" w:lineRule="auto"/>
        <w:jc w:val="both"/>
        <w:rPr>
          <w:rFonts w:cs="Arial"/>
          <w:lang w:val="es-CL"/>
        </w:rPr>
      </w:pPr>
      <w:r w:rsidRPr="00FA4B2D">
        <w:rPr>
          <w:rFonts w:cs="Arial"/>
          <w:lang w:val="es-CL"/>
        </w:rPr>
        <w:t>La Evaluación de Impacto, se hará un análisis general de la implementación del presente MGAS; los instrumentos utilizados, su pertinencia y mejoras realizadas durante el desarrollo del Proyecto; la gestión socioambiental de las obras financiadas y demás actividades realizadas; los beneficios ambientales y sociales promovidos y obtenidos; y los desafíos y brechas de gestión socioambiental enfrentados. Una parte importante del Informe Final de Cierre Socioambiental son las lecciones aprendidas que permitirán mejorar la gestión socioambiental en futuros proyectos similares en el país y/o que el BM pueda apoyar.</w:t>
      </w:r>
    </w:p>
    <w:p w14:paraId="3BE64BAA" w14:textId="77777777" w:rsidR="006A3DBC" w:rsidRPr="00FA4B2D" w:rsidRDefault="006A3DBC" w:rsidP="006A3DBC">
      <w:pPr>
        <w:spacing w:after="0" w:line="240" w:lineRule="auto"/>
        <w:jc w:val="both"/>
        <w:rPr>
          <w:rFonts w:cs="Arial"/>
          <w:lang w:val="es-CL"/>
        </w:rPr>
      </w:pPr>
    </w:p>
    <w:p w14:paraId="1D86382A" w14:textId="33A07C42" w:rsidR="00816354" w:rsidRPr="00FA4B2D" w:rsidRDefault="006A3DBC" w:rsidP="006A3DBC">
      <w:pPr>
        <w:spacing w:after="0" w:line="240" w:lineRule="auto"/>
        <w:jc w:val="both"/>
        <w:rPr>
          <w:rFonts w:cs="Arial"/>
          <w:lang w:val="es-CL"/>
        </w:rPr>
      </w:pPr>
      <w:r w:rsidRPr="00FA4B2D">
        <w:rPr>
          <w:rFonts w:cs="Arial"/>
          <w:lang w:val="es-CL"/>
        </w:rPr>
        <w:lastRenderedPageBreak/>
        <w:t xml:space="preserve">Finalmente, es oportuno en este capítulo mencionar brevemente </w:t>
      </w:r>
      <w:r w:rsidR="281E69A0" w:rsidRPr="00FA4B2D">
        <w:rPr>
          <w:rFonts w:cs="Arial"/>
          <w:lang w:val="es-CL"/>
        </w:rPr>
        <w:t>que,</w:t>
      </w:r>
      <w:r w:rsidRPr="00FA4B2D">
        <w:rPr>
          <w:rFonts w:cs="Arial"/>
          <w:lang w:val="es-CL"/>
        </w:rPr>
        <w:t xml:space="preserve"> a partir del FA, el Proyecto COMRURAL III implementa</w:t>
      </w:r>
      <w:r w:rsidR="00816354" w:rsidRPr="00FA4B2D">
        <w:rPr>
          <w:rFonts w:cs="Arial"/>
          <w:lang w:val="es-CL"/>
        </w:rPr>
        <w:t>rá</w:t>
      </w:r>
      <w:r w:rsidRPr="00FA4B2D">
        <w:rPr>
          <w:rFonts w:cs="Arial"/>
          <w:lang w:val="es-CL"/>
        </w:rPr>
        <w:t xml:space="preserve"> </w:t>
      </w:r>
      <w:r w:rsidR="00816354" w:rsidRPr="00FA4B2D">
        <w:rPr>
          <w:rFonts w:cs="Arial"/>
          <w:lang w:val="es-CL"/>
        </w:rPr>
        <w:t xml:space="preserve">nuevos módulos y reportes que se generen en el Sistema de Información Gerencial (SIG) vinculado al </w:t>
      </w:r>
      <w:r w:rsidR="2E1A3761" w:rsidRPr="00FA4B2D">
        <w:rPr>
          <w:rFonts w:cs="Arial"/>
          <w:lang w:val="es-CL"/>
        </w:rPr>
        <w:t xml:space="preserve">software </w:t>
      </w:r>
      <w:r w:rsidR="00816354" w:rsidRPr="00FA4B2D">
        <w:rPr>
          <w:rFonts w:cs="Arial"/>
          <w:lang w:val="es-CL"/>
        </w:rPr>
        <w:t xml:space="preserve">Power BI, así </w:t>
      </w:r>
      <w:r w:rsidR="00D51D6E" w:rsidRPr="00FA4B2D">
        <w:rPr>
          <w:rFonts w:cs="Arial"/>
          <w:lang w:val="es-CL"/>
        </w:rPr>
        <w:t xml:space="preserve">como </w:t>
      </w:r>
      <w:r w:rsidR="00816354" w:rsidRPr="00FA4B2D">
        <w:rPr>
          <w:rFonts w:cs="Arial"/>
          <w:lang w:val="es-CL"/>
        </w:rPr>
        <w:t>KoboToolbox</w:t>
      </w:r>
      <w:r w:rsidR="13B66F10" w:rsidRPr="00FA4B2D">
        <w:rPr>
          <w:rFonts w:cs="Arial"/>
          <w:lang w:val="es-CL"/>
        </w:rPr>
        <w:t xml:space="preserve">. </w:t>
      </w:r>
      <w:r w:rsidR="00816354" w:rsidRPr="00FA4B2D">
        <w:rPr>
          <w:rFonts w:cs="Arial"/>
          <w:lang w:val="es-CL"/>
        </w:rPr>
        <w:t xml:space="preserve"> </w:t>
      </w:r>
      <w:r w:rsidR="03ABB018" w:rsidRPr="00FA4B2D">
        <w:rPr>
          <w:rFonts w:cs="Arial"/>
          <w:lang w:val="es-CL"/>
        </w:rPr>
        <w:t>A</w:t>
      </w:r>
      <w:r w:rsidR="5F373851" w:rsidRPr="00FA4B2D">
        <w:rPr>
          <w:rFonts w:cs="Arial"/>
          <w:lang w:val="es-CL"/>
        </w:rPr>
        <w:t>mbas</w:t>
      </w:r>
      <w:r w:rsidR="00816354" w:rsidRPr="00FA4B2D">
        <w:rPr>
          <w:rFonts w:cs="Arial"/>
          <w:lang w:val="es-CL"/>
        </w:rPr>
        <w:t xml:space="preserve"> </w:t>
      </w:r>
      <w:r w:rsidRPr="00FA4B2D">
        <w:rPr>
          <w:rFonts w:cs="Arial"/>
          <w:lang w:val="es-CL"/>
        </w:rPr>
        <w:t xml:space="preserve">herramientas de monitoreo y manejo de datos </w:t>
      </w:r>
      <w:r w:rsidR="001E7261" w:rsidRPr="00FA4B2D">
        <w:rPr>
          <w:rFonts w:cs="Arial"/>
          <w:lang w:val="es-CL"/>
        </w:rPr>
        <w:t>brindan</w:t>
      </w:r>
      <w:r w:rsidR="37D54D4E" w:rsidRPr="00FA4B2D">
        <w:rPr>
          <w:rFonts w:cs="Arial"/>
          <w:lang w:val="es-CL"/>
        </w:rPr>
        <w:t xml:space="preserve"> de forma </w:t>
      </w:r>
      <w:r w:rsidR="00816354" w:rsidRPr="00FA4B2D">
        <w:rPr>
          <w:rFonts w:cs="Arial"/>
          <w:color w:val="000000" w:themeColor="text1"/>
        </w:rPr>
        <w:t xml:space="preserve">oportuna </w:t>
      </w:r>
      <w:r w:rsidR="290DC865" w:rsidRPr="00FA4B2D">
        <w:rPr>
          <w:rFonts w:cs="Arial"/>
          <w:color w:val="000000" w:themeColor="text1"/>
        </w:rPr>
        <w:t>información</w:t>
      </w:r>
      <w:r w:rsidR="00816354" w:rsidRPr="00FA4B2D">
        <w:rPr>
          <w:rFonts w:cs="Arial"/>
          <w:color w:val="000000" w:themeColor="text1"/>
        </w:rPr>
        <w:t xml:space="preserve"> para el análisis y toma de </w:t>
      </w:r>
      <w:r w:rsidR="00505A7E" w:rsidRPr="00FA4B2D">
        <w:rPr>
          <w:rFonts w:cs="Arial"/>
          <w:color w:val="000000" w:themeColor="text1"/>
        </w:rPr>
        <w:t>decisiones</w:t>
      </w:r>
      <w:r w:rsidR="00505A7E" w:rsidRPr="00FA4B2D" w:rsidDel="00816354">
        <w:rPr>
          <w:rFonts w:cs="Arial"/>
          <w:lang w:val="es-CL"/>
        </w:rPr>
        <w:t xml:space="preserve"> </w:t>
      </w:r>
      <w:r w:rsidR="00505A7E" w:rsidRPr="00FA4B2D">
        <w:rPr>
          <w:rFonts w:cs="Arial"/>
          <w:lang w:val="es-CL"/>
        </w:rPr>
        <w:t>esto</w:t>
      </w:r>
      <w:r w:rsidRPr="00FA4B2D">
        <w:rPr>
          <w:rFonts w:cs="Arial"/>
          <w:lang w:val="es-CL"/>
        </w:rPr>
        <w:t xml:space="preserve"> significará disponer de mejores elementos operativos de implementación para el seguimiento a la gestión socioambiental, </w:t>
      </w:r>
      <w:r w:rsidR="750DF2E2" w:rsidRPr="00FA4B2D">
        <w:rPr>
          <w:rFonts w:cs="Arial"/>
          <w:lang w:val="es-CL"/>
        </w:rPr>
        <w:t xml:space="preserve">facilitando </w:t>
      </w:r>
      <w:r w:rsidR="00CF0F96" w:rsidRPr="00FA4B2D">
        <w:rPr>
          <w:rFonts w:cs="Arial"/>
          <w:lang w:val="es-CL"/>
        </w:rPr>
        <w:t xml:space="preserve">la </w:t>
      </w:r>
      <w:r w:rsidR="00CF0F96" w:rsidRPr="00FA4B2D">
        <w:rPr>
          <w:rFonts w:cs="Arial"/>
        </w:rPr>
        <w:t>creación</w:t>
      </w:r>
      <w:r w:rsidR="00D51D6E" w:rsidRPr="00FA4B2D">
        <w:rPr>
          <w:rFonts w:cs="Arial"/>
        </w:rPr>
        <w:t xml:space="preserve"> de informes dinámicos y la carga de </w:t>
      </w:r>
      <w:r w:rsidR="002B7276" w:rsidRPr="00FA4B2D">
        <w:rPr>
          <w:rFonts w:cs="Arial"/>
        </w:rPr>
        <w:t>información lo</w:t>
      </w:r>
      <w:r w:rsidR="00D51D6E" w:rsidRPr="00FA4B2D">
        <w:rPr>
          <w:rFonts w:cs="Arial"/>
        </w:rPr>
        <w:t xml:space="preserve"> que contribuye al aprendizaje tanto a nivel institucional y a la difusión de los resultados</w:t>
      </w:r>
      <w:r w:rsidR="21952CAD" w:rsidRPr="00FA4B2D">
        <w:rPr>
          <w:rFonts w:cs="Arial"/>
        </w:rPr>
        <w:t xml:space="preserve">. Entre sus funcionalidades ofrecen </w:t>
      </w:r>
      <w:r w:rsidRPr="00FA4B2D">
        <w:rPr>
          <w:rFonts w:cs="Arial"/>
          <w:lang w:val="es-CL"/>
        </w:rPr>
        <w:t xml:space="preserve">a facilidad de acceder a los datos del Proyecto de </w:t>
      </w:r>
      <w:r w:rsidR="001FA0FE" w:rsidRPr="00FA4B2D">
        <w:rPr>
          <w:rFonts w:cs="Arial"/>
          <w:lang w:val="es-CL"/>
        </w:rPr>
        <w:t>forma remota</w:t>
      </w:r>
      <w:r w:rsidRPr="00FA4B2D">
        <w:rPr>
          <w:rFonts w:cs="Arial"/>
          <w:lang w:val="es-CL"/>
        </w:rPr>
        <w:t>, permitiendo la utilización de diferentes medios como el internet, información en nube, ordenadores, móviles, entre otros, para el personal responsable en diferente escala.</w:t>
      </w:r>
    </w:p>
    <w:p w14:paraId="4A796AD1" w14:textId="77777777" w:rsidR="00D51D6E" w:rsidRPr="00FA4B2D" w:rsidRDefault="00D51D6E" w:rsidP="006A3DBC">
      <w:pPr>
        <w:spacing w:after="0" w:line="240" w:lineRule="auto"/>
        <w:jc w:val="both"/>
        <w:rPr>
          <w:rFonts w:cs="Arial"/>
          <w:lang w:val="es-CL"/>
        </w:rPr>
      </w:pPr>
    </w:p>
    <w:p w14:paraId="0CF17C92" w14:textId="050FB47B" w:rsidR="006A3DBC" w:rsidRPr="00FA4B2D" w:rsidRDefault="006A3DBC" w:rsidP="006A3DBC">
      <w:pPr>
        <w:spacing w:after="0" w:line="240" w:lineRule="auto"/>
        <w:jc w:val="both"/>
        <w:rPr>
          <w:rFonts w:cs="Arial"/>
          <w:lang w:val="es-CL"/>
        </w:rPr>
      </w:pPr>
      <w:r w:rsidRPr="00FA4B2D">
        <w:rPr>
          <w:rFonts w:cs="Arial"/>
          <w:lang w:val="es-CL"/>
        </w:rPr>
        <w:t>Precisamente parte de las medidas y políticas adoptadas es integrar nuevas herramientas de medición de resultados sobre los componentes del Proyecto, incluyendo la parte ejecutoria a nivel de las inversiones realizadas por las OPRs o población beneficiaria en este nuevo enfoque conceptual, en tal sentido se incluyen en el monitoreo y seguimiento los indicadores y procedimientos de la gestión socioambiental, que evidentemente contribuirán en la valoración de avances e impactos para la toma de decisiones y correcciones en la estructura institucional y operativa del Proyecto.</w:t>
      </w:r>
    </w:p>
    <w:p w14:paraId="2744AF47" w14:textId="77777777" w:rsidR="006A3DBC" w:rsidRPr="00FA4B2D" w:rsidRDefault="006A3DBC" w:rsidP="006A3DBC">
      <w:pPr>
        <w:rPr>
          <w:rFonts w:cs="Arial"/>
          <w:lang w:val="es-CL"/>
        </w:rPr>
      </w:pPr>
    </w:p>
    <w:p w14:paraId="11050027" w14:textId="77777777" w:rsidR="006A3DBC" w:rsidRPr="00FA4B2D" w:rsidRDefault="006A3DBC" w:rsidP="00411720">
      <w:pPr>
        <w:pStyle w:val="Ttulo2"/>
        <w:numPr>
          <w:ilvl w:val="1"/>
          <w:numId w:val="71"/>
        </w:numPr>
        <w:spacing w:before="0" w:line="240" w:lineRule="auto"/>
        <w:jc w:val="both"/>
        <w:rPr>
          <w:rFonts w:ascii="Arial" w:hAnsi="Arial" w:cs="Arial"/>
          <w:b/>
          <w:color w:val="767171" w:themeColor="background2" w:themeShade="80"/>
        </w:rPr>
      </w:pPr>
      <w:bookmarkStart w:id="1537" w:name="_Toc65884219"/>
      <w:bookmarkStart w:id="1538" w:name="_Toc67573457"/>
      <w:bookmarkStart w:id="1539" w:name="_Toc202456985"/>
      <w:r w:rsidRPr="00FA4B2D">
        <w:rPr>
          <w:rFonts w:ascii="Arial" w:hAnsi="Arial" w:cs="Arial"/>
          <w:b/>
          <w:color w:val="767171" w:themeColor="background2" w:themeShade="80"/>
          <w:sz w:val="22"/>
          <w:szCs w:val="22"/>
        </w:rPr>
        <w:t>Mecanismos de Respuesta a Emergencias de Contingencia (CERC)</w:t>
      </w:r>
      <w:bookmarkEnd w:id="1537"/>
      <w:bookmarkEnd w:id="1538"/>
      <w:bookmarkEnd w:id="1539"/>
    </w:p>
    <w:p w14:paraId="07E384FB" w14:textId="77777777" w:rsidR="006A3DBC" w:rsidRPr="00FA4B2D" w:rsidRDefault="006A3DBC" w:rsidP="006A3DBC">
      <w:pPr>
        <w:spacing w:after="0" w:line="240" w:lineRule="auto"/>
        <w:jc w:val="both"/>
        <w:rPr>
          <w:rFonts w:cs="Arial"/>
          <w:b/>
        </w:rPr>
      </w:pPr>
    </w:p>
    <w:bookmarkEnd w:id="1246"/>
    <w:p w14:paraId="3E713620" w14:textId="77777777" w:rsidR="006A3DBC" w:rsidRPr="00FA4B2D" w:rsidRDefault="006A3DBC" w:rsidP="006A3DBC">
      <w:pPr>
        <w:spacing w:after="0" w:line="240" w:lineRule="auto"/>
        <w:jc w:val="both"/>
        <w:rPr>
          <w:rFonts w:cs="Arial"/>
        </w:rPr>
      </w:pPr>
      <w:r w:rsidRPr="00FA4B2D">
        <w:rPr>
          <w:rFonts w:cs="Arial"/>
        </w:rPr>
        <w:t xml:space="preserve">En el eventual caso de activarse este componente ante una declaratoria de emergencia, es importante resaltar que todas las actividades financiadas a través del CERC están sujetas a los EASs del MAS del BM. Los detalles de aplicabilidad se definen en el Manual Operativo del CERC, donde se definen los gastos elegibles. </w:t>
      </w:r>
    </w:p>
    <w:p w14:paraId="18363229" w14:textId="77777777" w:rsidR="006A3DBC" w:rsidRPr="00FA4B2D" w:rsidRDefault="006A3DBC" w:rsidP="006A3DBC">
      <w:pPr>
        <w:spacing w:after="0" w:line="240" w:lineRule="auto"/>
        <w:jc w:val="both"/>
        <w:rPr>
          <w:rFonts w:cs="Arial"/>
        </w:rPr>
      </w:pPr>
    </w:p>
    <w:p w14:paraId="722EFBC6" w14:textId="77777777" w:rsidR="006A3DBC" w:rsidRPr="00FA4B2D" w:rsidRDefault="006A3DBC" w:rsidP="006A3DBC">
      <w:pPr>
        <w:spacing w:after="0" w:line="240" w:lineRule="auto"/>
        <w:jc w:val="both"/>
        <w:rPr>
          <w:rFonts w:cs="Arial"/>
        </w:rPr>
      </w:pPr>
      <w:r w:rsidRPr="00FA4B2D">
        <w:rPr>
          <w:rFonts w:cs="Arial"/>
        </w:rPr>
        <w:t>En el caso particular de Honduras, con fecha 8 de enero de 2016 la Secretaría de Finanzas (SEFIN) dispone de un Manual Operativo en caso de presentarse una activación del (CERC) el cual tiene la no objeción del BM.</w:t>
      </w:r>
    </w:p>
    <w:p w14:paraId="0F7DD391" w14:textId="77777777" w:rsidR="006A3DBC" w:rsidRPr="00FA4B2D" w:rsidRDefault="006A3DBC" w:rsidP="006A3DBC">
      <w:pPr>
        <w:spacing w:after="0" w:line="240" w:lineRule="auto"/>
        <w:jc w:val="both"/>
        <w:rPr>
          <w:rFonts w:cs="Arial"/>
        </w:rPr>
      </w:pPr>
    </w:p>
    <w:p w14:paraId="692A263C" w14:textId="77777777" w:rsidR="006A3DBC" w:rsidRPr="00FA4B2D" w:rsidRDefault="006A3DBC" w:rsidP="006A3DBC">
      <w:pPr>
        <w:spacing w:after="0" w:line="240" w:lineRule="auto"/>
        <w:jc w:val="both"/>
        <w:rPr>
          <w:rFonts w:cs="Arial"/>
        </w:rPr>
      </w:pPr>
      <w:r w:rsidRPr="00FA4B2D">
        <w:rPr>
          <w:rFonts w:cs="Arial"/>
        </w:rPr>
        <w:t>El Manual Operativo no incluye un MGAS como tal, pero si incluye en el capítulo IX los aspectos de Ambientales y Sociales que entre otros lineamientos propone:</w:t>
      </w:r>
    </w:p>
    <w:p w14:paraId="1109AD5B" w14:textId="77777777" w:rsidR="006A3DBC" w:rsidRPr="00FA4B2D" w:rsidRDefault="006A3DBC" w:rsidP="006A3DBC">
      <w:pPr>
        <w:spacing w:after="0" w:line="240" w:lineRule="auto"/>
        <w:jc w:val="both"/>
        <w:rPr>
          <w:rFonts w:cs="Arial"/>
        </w:rPr>
      </w:pPr>
    </w:p>
    <w:p w14:paraId="3B4C4291" w14:textId="763954E5" w:rsidR="006A3DBC" w:rsidRPr="00FA4B2D" w:rsidRDefault="006A3DBC" w:rsidP="006A3DBC">
      <w:pPr>
        <w:spacing w:after="0" w:line="240" w:lineRule="auto"/>
        <w:jc w:val="both"/>
        <w:rPr>
          <w:rFonts w:cs="Arial"/>
        </w:rPr>
      </w:pPr>
      <w:r w:rsidRPr="00FA4B2D">
        <w:rPr>
          <w:rFonts w:cs="Arial"/>
        </w:rPr>
        <w:t xml:space="preserve">“En caso de que se active el CCRE (Componente Contingente de Respuesta a Emergencias. /MRI (Mecanismo de Respuesta Inmediata), las actividades a financiar pueden causar riesgos y potenciales impactos socioambientales, por los cuales el CCRE/MRI ha sido clasificado como Categoría B en términos de la Política Operacional 4.01 sobre la salvaguarda de Evaluación Ambiental del Banco. En cuanto a las obras de emergencia, estas serían generalmente de menor escala y de carácter temporal. Para cumplir con los requerimientos del Banco, y de acuerdo con los requerimientos para el CCRE/MRI, el Gobierno de Honduras ha desarrollado un Marco de Evaluación y Cribado Ambiental y Social. </w:t>
      </w:r>
    </w:p>
    <w:p w14:paraId="77A28B97" w14:textId="77777777" w:rsidR="006A3DBC" w:rsidRPr="00FA4B2D" w:rsidRDefault="006A3DBC" w:rsidP="006A3DBC">
      <w:pPr>
        <w:spacing w:after="0" w:line="240" w:lineRule="auto"/>
        <w:jc w:val="both"/>
        <w:rPr>
          <w:rFonts w:cs="Arial"/>
        </w:rPr>
      </w:pPr>
    </w:p>
    <w:p w14:paraId="31D214AB" w14:textId="77777777" w:rsidR="006A3DBC" w:rsidRPr="00FA4B2D" w:rsidRDefault="006A3DBC" w:rsidP="006A3DBC">
      <w:pPr>
        <w:spacing w:after="0" w:line="240" w:lineRule="auto"/>
        <w:jc w:val="both"/>
        <w:rPr>
          <w:rFonts w:cs="Arial"/>
        </w:rPr>
      </w:pPr>
      <w:r w:rsidRPr="00FA4B2D">
        <w:rPr>
          <w:rFonts w:cs="Arial"/>
        </w:rPr>
        <w:lastRenderedPageBreak/>
        <w:t xml:space="preserve">El ESSAF forma parte integral del presente Manual de Operaciones del CCRE/MRI para Honduras, y podrá ser revisado/actualizado en común acuerdo entre el GdH y el Banco. El ESSAF será publicado en el país, a través de la página web de la UAP de SEFIN y de COPECO, y en el Infoshop del Banco. Es recomendable además que se publique en las páginas web de las agencias ejecutoras de cada proyecto que forma parte del CCRE/MRI.  </w:t>
      </w:r>
    </w:p>
    <w:p w14:paraId="636FC4DA" w14:textId="77777777" w:rsidR="006A3DBC" w:rsidRPr="00FA4B2D" w:rsidRDefault="006A3DBC" w:rsidP="006A3DBC">
      <w:pPr>
        <w:spacing w:after="0" w:line="240" w:lineRule="auto"/>
        <w:jc w:val="both"/>
        <w:rPr>
          <w:rFonts w:cs="Arial"/>
        </w:rPr>
      </w:pPr>
    </w:p>
    <w:p w14:paraId="51DFCC24" w14:textId="31CD0AF1" w:rsidR="006A3DBC" w:rsidRPr="00FA4B2D" w:rsidRDefault="3A7FC69B" w:rsidP="006A3DBC">
      <w:pPr>
        <w:spacing w:after="0" w:line="240" w:lineRule="auto"/>
        <w:jc w:val="both"/>
        <w:rPr>
          <w:rFonts w:cs="Arial"/>
        </w:rPr>
      </w:pPr>
      <w:r w:rsidRPr="00FA4B2D">
        <w:rPr>
          <w:rFonts w:cs="Arial"/>
        </w:rPr>
        <w:t xml:space="preserve">Una vez realizada la declaratoria de emergencia/desastre, con forme a la </w:t>
      </w:r>
      <w:r w:rsidR="4E0CDDE5" w:rsidRPr="00FA4B2D">
        <w:rPr>
          <w:rFonts w:cs="Arial"/>
        </w:rPr>
        <w:t>L</w:t>
      </w:r>
      <w:r w:rsidRPr="00FA4B2D">
        <w:rPr>
          <w:rFonts w:cs="Arial"/>
        </w:rPr>
        <w:t>ey del SINAGER, la gestión socioambiental del CCRE/MRI iniciará su ejecución. La responsabilidad de asegurar la aplicación del ESSAF es en primera instancia de la SEFIN, pero su implementación recaerá directamente en las agencias ejecutoras que desarrollarán las actividades financiadas bajo el CCRE/MRI, en coordinación con COPECO, conforme a la Ley de SINAGER. La responsabilidad de monitorear la implementación del ESSAF será de los especialistas sociales y ambientales de las agencias ejecutoras del CCRE/MRI, estando la SERNA debidamente informada. También será crítico asegurar la coordinación con las instituciones relevantes en el área afectada por la emergencia, por ejemplo, con autoridades locales, regionales, y/o de mancomunidades, según sea el caso. Los arreglos operacionales específicos podrán cambiar en función del tipo de desastre que se presente y las actividades a ser financiadas…”</w:t>
      </w:r>
      <w:r w:rsidR="006A3DBC" w:rsidRPr="00FA4B2D">
        <w:rPr>
          <w:rStyle w:val="Refdenotaalpie"/>
          <w:rFonts w:cs="Arial"/>
        </w:rPr>
        <w:footnoteReference w:id="64"/>
      </w:r>
    </w:p>
    <w:p w14:paraId="11A75EF7" w14:textId="77777777" w:rsidR="006A3DBC" w:rsidRPr="00FA4B2D" w:rsidRDefault="006A3DBC" w:rsidP="006A3DBC">
      <w:pPr>
        <w:spacing w:after="0" w:line="240" w:lineRule="auto"/>
        <w:jc w:val="both"/>
        <w:rPr>
          <w:rFonts w:cs="Arial"/>
        </w:rPr>
      </w:pPr>
    </w:p>
    <w:p w14:paraId="5CF2F40F" w14:textId="22297BB8" w:rsidR="006A3DBC" w:rsidRPr="00FA4B2D" w:rsidRDefault="76975174" w:rsidP="006A3DBC">
      <w:pPr>
        <w:spacing w:after="0" w:line="240" w:lineRule="auto"/>
        <w:jc w:val="both"/>
        <w:rPr>
          <w:rFonts w:cs="Arial"/>
        </w:rPr>
      </w:pPr>
      <w:r w:rsidRPr="00FA4B2D">
        <w:rPr>
          <w:rFonts w:cs="Arial"/>
        </w:rPr>
        <w:t>En caso de</w:t>
      </w:r>
      <w:r w:rsidR="006A3DBC" w:rsidRPr="00FA4B2D">
        <w:rPr>
          <w:rFonts w:cs="Arial"/>
        </w:rPr>
        <w:t xml:space="preserve"> que se requieran implementar acciones en el marco del CERC, se deberán tomar en cuenta los siguientes lineamientos para asegurar que dichas acciones, y los recursos asignados para dichas actividades, sean consistentes con los EASs del BM, pero reconociendo la naturaleza de las situaciones de emergencia que requerirían la activación de recursos de dicho componente:</w:t>
      </w:r>
    </w:p>
    <w:p w14:paraId="6F89C47B" w14:textId="77777777" w:rsidR="006A3DBC" w:rsidRPr="00FA4B2D" w:rsidRDefault="006A3DBC" w:rsidP="006A3DBC">
      <w:pPr>
        <w:spacing w:after="0" w:line="240" w:lineRule="auto"/>
        <w:jc w:val="both"/>
        <w:rPr>
          <w:rFonts w:cs="Arial"/>
        </w:rPr>
      </w:pPr>
    </w:p>
    <w:p w14:paraId="13438524" w14:textId="7B7742DE" w:rsidR="006A3DBC" w:rsidRPr="00FA4B2D" w:rsidRDefault="006A3DBC" w:rsidP="006A3DBC">
      <w:pPr>
        <w:pStyle w:val="Prrafodelista"/>
        <w:numPr>
          <w:ilvl w:val="0"/>
          <w:numId w:val="2"/>
        </w:numPr>
        <w:spacing w:after="0" w:line="240" w:lineRule="auto"/>
        <w:jc w:val="both"/>
        <w:rPr>
          <w:rFonts w:cs="Arial"/>
          <w:lang w:val="es-CL"/>
        </w:rPr>
      </w:pPr>
      <w:r w:rsidRPr="00FA4B2D">
        <w:rPr>
          <w:rFonts w:cs="Arial"/>
          <w:lang w:val="es-CL"/>
        </w:rPr>
        <w:t>Antes de emplear los fondos CERC o Mecanismo de Respuesta Inmediata, se debe preparar el Plan de Atención a Emergencias/Desastres (PAE) para reglamentar el uso de los recursos. El PAE será desarrollado por SEFIN con el apoyo de COPECO en el formato indicado.</w:t>
      </w:r>
    </w:p>
    <w:p w14:paraId="205783A2" w14:textId="77777777" w:rsidR="006A3DBC" w:rsidRPr="00FA4B2D" w:rsidRDefault="006A3DBC" w:rsidP="006A3DBC">
      <w:pPr>
        <w:pStyle w:val="Prrafodelista"/>
        <w:numPr>
          <w:ilvl w:val="0"/>
          <w:numId w:val="2"/>
        </w:numPr>
        <w:spacing w:after="0" w:line="240" w:lineRule="auto"/>
        <w:jc w:val="both"/>
        <w:rPr>
          <w:rFonts w:cs="Arial"/>
          <w:lang w:val="es-CL"/>
        </w:rPr>
      </w:pPr>
      <w:r w:rsidRPr="00FA4B2D">
        <w:rPr>
          <w:rFonts w:cs="Arial"/>
          <w:lang w:val="es-HN"/>
        </w:rPr>
        <w:t>Contar con un programa preventivo y de atención de emergencias por incendios, que incluye el entrenamiento del personal y la realización periódica de simulacros, dentro de un marco de mejoramiento continuo.</w:t>
      </w:r>
    </w:p>
    <w:p w14:paraId="58619140" w14:textId="77777777" w:rsidR="006A3DBC" w:rsidRPr="00FA4B2D" w:rsidRDefault="006A3DBC" w:rsidP="006A3DBC">
      <w:pPr>
        <w:pStyle w:val="Prrafodelista"/>
        <w:numPr>
          <w:ilvl w:val="0"/>
          <w:numId w:val="2"/>
        </w:numPr>
        <w:spacing w:after="0" w:line="240" w:lineRule="auto"/>
        <w:jc w:val="both"/>
        <w:rPr>
          <w:rFonts w:cs="Arial"/>
          <w:lang w:val="es-CL"/>
        </w:rPr>
      </w:pPr>
      <w:r w:rsidRPr="00FA4B2D">
        <w:rPr>
          <w:rFonts w:eastAsia="Times New Roman" w:cs="Arial"/>
          <w:lang w:val="es-CL"/>
        </w:rPr>
        <w:t>Realizar reuniones periódicas con</w:t>
      </w:r>
      <w:r w:rsidRPr="00FA4B2D">
        <w:rPr>
          <w:rFonts w:eastAsia="Times New Roman" w:cs="Arial"/>
          <w:lang w:val="es-ES"/>
        </w:rPr>
        <w:t xml:space="preserve"> las instituciones y organizaciones para la prevención de riesgos a fenómenos naturales y atención de emergencias por fenómenos naturales, para identificar los desafíos de salvaguardias y las medidas preventivas que se podrían adoptar según el tipo de emergencia.</w:t>
      </w:r>
    </w:p>
    <w:p w14:paraId="7E8E6209" w14:textId="1CD88F62" w:rsidR="006A3DBC" w:rsidRPr="00CF0F96" w:rsidRDefault="006A3DBC" w:rsidP="006A3DBC">
      <w:pPr>
        <w:pStyle w:val="Prrafodelista"/>
        <w:numPr>
          <w:ilvl w:val="0"/>
          <w:numId w:val="2"/>
        </w:numPr>
        <w:spacing w:after="0" w:line="240" w:lineRule="auto"/>
        <w:jc w:val="both"/>
        <w:rPr>
          <w:rFonts w:cs="Arial"/>
          <w:lang w:val="es-CL"/>
        </w:rPr>
      </w:pPr>
      <w:r w:rsidRPr="00FA4B2D">
        <w:rPr>
          <w:rFonts w:eastAsia="Times New Roman" w:cs="Arial"/>
          <w:lang w:val="es-CL"/>
        </w:rPr>
        <w:t>Identificar las zonas de riesgo de desastres.</w:t>
      </w:r>
      <w:r w:rsidRPr="00FA4B2D">
        <w:rPr>
          <w:rFonts w:eastAsia="Times New Roman" w:cs="Arial"/>
          <w:lang w:val="es-ES"/>
        </w:rPr>
        <w:t xml:space="preserve"> COPECO y los Consejos Municipales, conocen las zonas de riesgos y manejan información sobre los efectos de fenómenos naturales en las comunidades, y coordinan con representaciones de base social.</w:t>
      </w:r>
    </w:p>
    <w:p w14:paraId="7F62497B" w14:textId="77777777" w:rsidR="00CF0F96" w:rsidRDefault="00CF0F96" w:rsidP="00CF0F96">
      <w:pPr>
        <w:spacing w:after="0" w:line="240" w:lineRule="auto"/>
        <w:jc w:val="both"/>
        <w:rPr>
          <w:rFonts w:cs="Arial"/>
          <w:lang w:val="es-CL"/>
        </w:rPr>
      </w:pPr>
    </w:p>
    <w:p w14:paraId="4BD57D05" w14:textId="77777777" w:rsidR="00CF0F96" w:rsidRDefault="00CF0F96" w:rsidP="00CF0F96">
      <w:pPr>
        <w:spacing w:after="0" w:line="240" w:lineRule="auto"/>
        <w:jc w:val="both"/>
        <w:rPr>
          <w:rFonts w:cs="Arial"/>
          <w:lang w:val="es-CL"/>
        </w:rPr>
      </w:pPr>
    </w:p>
    <w:p w14:paraId="3753E8E8" w14:textId="58AD45FC" w:rsidR="006A3DBC" w:rsidRPr="00FA4B2D" w:rsidRDefault="006A3DBC" w:rsidP="6A9CA2EB">
      <w:pPr>
        <w:pStyle w:val="Ttulo1"/>
        <w:numPr>
          <w:ilvl w:val="0"/>
          <w:numId w:val="71"/>
        </w:numPr>
        <w:rPr>
          <w:rFonts w:ascii="Arial" w:hAnsi="Arial" w:cs="Arial"/>
          <w:b/>
          <w:bCs/>
          <w:color w:val="767171" w:themeColor="background2" w:themeShade="80"/>
          <w:sz w:val="22"/>
          <w:szCs w:val="22"/>
        </w:rPr>
      </w:pPr>
      <w:bookmarkStart w:id="1540" w:name="_Toc67573458"/>
      <w:bookmarkStart w:id="1541" w:name="_Toc202456986"/>
      <w:bookmarkStart w:id="1542" w:name="_Toc65884220"/>
      <w:r w:rsidRPr="00FA4B2D">
        <w:rPr>
          <w:rFonts w:ascii="Arial" w:hAnsi="Arial" w:cs="Arial"/>
          <w:b/>
          <w:bCs/>
          <w:color w:val="767171" w:themeColor="background2" w:themeShade="80"/>
          <w:sz w:val="22"/>
          <w:szCs w:val="22"/>
        </w:rPr>
        <w:lastRenderedPageBreak/>
        <w:t>Presupuesto</w:t>
      </w:r>
      <w:bookmarkEnd w:id="1540"/>
      <w:bookmarkEnd w:id="1541"/>
    </w:p>
    <w:tbl>
      <w:tblPr>
        <w:tblW w:w="9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5"/>
        <w:gridCol w:w="2908"/>
        <w:gridCol w:w="2142"/>
        <w:gridCol w:w="2582"/>
      </w:tblGrid>
      <w:tr w:rsidR="006A3DBC" w:rsidRPr="00FA4B2D" w14:paraId="65472C27" w14:textId="77777777" w:rsidTr="7EEF1472">
        <w:trPr>
          <w:trHeight w:val="297"/>
          <w:tblHeader/>
        </w:trPr>
        <w:tc>
          <w:tcPr>
            <w:tcW w:w="9617" w:type="dxa"/>
            <w:gridSpan w:val="4"/>
            <w:shd w:val="clear" w:color="auto" w:fill="5CC5DA"/>
            <w:noWrap/>
            <w:vAlign w:val="center"/>
            <w:hideMark/>
          </w:tcPr>
          <w:p w14:paraId="0903790A" w14:textId="77777777" w:rsidR="006A3DBC" w:rsidRPr="00CF0F96" w:rsidRDefault="006A3DBC" w:rsidP="005F4A92">
            <w:pPr>
              <w:spacing w:after="0" w:line="240" w:lineRule="auto"/>
              <w:jc w:val="center"/>
              <w:rPr>
                <w:rFonts w:eastAsia="Times New Roman" w:cs="Arial"/>
                <w:sz w:val="18"/>
                <w:szCs w:val="18"/>
                <w:lang w:eastAsia="es-AR"/>
              </w:rPr>
            </w:pPr>
            <w:bookmarkStart w:id="1543" w:name="_Hlk69740372"/>
            <w:r w:rsidRPr="00CF0F96">
              <w:rPr>
                <w:rFonts w:eastAsia="Times New Roman" w:cs="Arial"/>
                <w:b/>
                <w:bCs/>
                <w:sz w:val="18"/>
                <w:szCs w:val="18"/>
                <w:lang w:eastAsia="es-AR"/>
              </w:rPr>
              <w:t>PRESUPUESTO MGAS COMRURAL III</w:t>
            </w:r>
          </w:p>
        </w:tc>
      </w:tr>
      <w:tr w:rsidR="006A3DBC" w:rsidRPr="00FA4B2D" w14:paraId="74912DE9" w14:textId="77777777" w:rsidTr="002B7276">
        <w:trPr>
          <w:trHeight w:val="594"/>
          <w:tblHeader/>
        </w:trPr>
        <w:tc>
          <w:tcPr>
            <w:tcW w:w="1985" w:type="dxa"/>
            <w:shd w:val="clear" w:color="auto" w:fill="5CC5DA"/>
            <w:noWrap/>
            <w:vAlign w:val="center"/>
            <w:hideMark/>
          </w:tcPr>
          <w:p w14:paraId="7675C4DB" w14:textId="77777777" w:rsidR="006A3DBC" w:rsidRPr="00CF0F96" w:rsidRDefault="006A3DBC" w:rsidP="005F4A92">
            <w:pPr>
              <w:spacing w:after="0" w:line="240" w:lineRule="auto"/>
              <w:jc w:val="center"/>
              <w:rPr>
                <w:rFonts w:eastAsia="Times New Roman" w:cs="Arial"/>
                <w:b/>
                <w:bCs/>
                <w:sz w:val="18"/>
                <w:szCs w:val="18"/>
                <w:lang w:eastAsia="es-AR"/>
              </w:rPr>
            </w:pPr>
            <w:r w:rsidRPr="00CF0F96">
              <w:rPr>
                <w:rFonts w:eastAsia="Times New Roman" w:cs="Arial"/>
                <w:b/>
                <w:bCs/>
                <w:sz w:val="18"/>
                <w:szCs w:val="18"/>
                <w:lang w:eastAsia="es-AR"/>
              </w:rPr>
              <w:t>Objetivo</w:t>
            </w:r>
          </w:p>
        </w:tc>
        <w:tc>
          <w:tcPr>
            <w:tcW w:w="2908" w:type="dxa"/>
            <w:shd w:val="clear" w:color="auto" w:fill="5CC5DA"/>
            <w:noWrap/>
            <w:vAlign w:val="center"/>
            <w:hideMark/>
          </w:tcPr>
          <w:p w14:paraId="1F0E0CF5" w14:textId="77777777" w:rsidR="006A3DBC" w:rsidRPr="00CF0F96" w:rsidRDefault="006A3DBC" w:rsidP="005F4A92">
            <w:pPr>
              <w:spacing w:after="0" w:line="240" w:lineRule="auto"/>
              <w:jc w:val="center"/>
              <w:rPr>
                <w:rFonts w:eastAsia="Times New Roman" w:cs="Arial"/>
                <w:b/>
                <w:bCs/>
                <w:sz w:val="18"/>
                <w:szCs w:val="18"/>
                <w:lang w:eastAsia="es-AR"/>
              </w:rPr>
            </w:pPr>
            <w:r w:rsidRPr="00CF0F96">
              <w:rPr>
                <w:rFonts w:eastAsia="Times New Roman" w:cs="Arial"/>
                <w:b/>
                <w:bCs/>
                <w:sz w:val="18"/>
                <w:szCs w:val="18"/>
                <w:lang w:eastAsia="es-AR"/>
              </w:rPr>
              <w:t>Conceptos</w:t>
            </w:r>
          </w:p>
        </w:tc>
        <w:tc>
          <w:tcPr>
            <w:tcW w:w="2142" w:type="dxa"/>
            <w:shd w:val="clear" w:color="auto" w:fill="5CC5DA"/>
            <w:vAlign w:val="center"/>
            <w:hideMark/>
          </w:tcPr>
          <w:p w14:paraId="7913CF2B" w14:textId="77777777" w:rsidR="006A3DBC" w:rsidRPr="00CF0F96" w:rsidRDefault="006A3DBC" w:rsidP="005F4A92">
            <w:pPr>
              <w:spacing w:after="0" w:line="240" w:lineRule="auto"/>
              <w:jc w:val="center"/>
              <w:rPr>
                <w:rFonts w:eastAsia="Times New Roman" w:cs="Arial"/>
                <w:b/>
                <w:bCs/>
                <w:sz w:val="18"/>
                <w:szCs w:val="18"/>
                <w:lang w:eastAsia="es-AR"/>
              </w:rPr>
            </w:pPr>
            <w:r w:rsidRPr="00CF0F96">
              <w:rPr>
                <w:rFonts w:eastAsia="Times New Roman" w:cs="Arial"/>
                <w:b/>
                <w:bCs/>
                <w:sz w:val="18"/>
                <w:szCs w:val="18"/>
                <w:lang w:eastAsia="es-AR"/>
              </w:rPr>
              <w:t>Valor en US dólares</w:t>
            </w:r>
          </w:p>
        </w:tc>
        <w:tc>
          <w:tcPr>
            <w:tcW w:w="2582" w:type="dxa"/>
            <w:shd w:val="clear" w:color="auto" w:fill="5CC5DA"/>
            <w:noWrap/>
            <w:vAlign w:val="center"/>
            <w:hideMark/>
          </w:tcPr>
          <w:p w14:paraId="07FF9F5B" w14:textId="77777777" w:rsidR="006A3DBC" w:rsidRPr="00CF0F96" w:rsidRDefault="006A3DBC" w:rsidP="005F4A92">
            <w:pPr>
              <w:spacing w:after="0" w:line="240" w:lineRule="auto"/>
              <w:jc w:val="center"/>
              <w:rPr>
                <w:rFonts w:eastAsia="Times New Roman" w:cs="Arial"/>
                <w:b/>
                <w:bCs/>
                <w:sz w:val="18"/>
                <w:szCs w:val="18"/>
                <w:lang w:eastAsia="es-AR"/>
              </w:rPr>
            </w:pPr>
            <w:r w:rsidRPr="00CF0F96">
              <w:rPr>
                <w:rFonts w:eastAsia="Times New Roman" w:cs="Arial"/>
                <w:b/>
                <w:bCs/>
                <w:sz w:val="18"/>
                <w:szCs w:val="18"/>
                <w:lang w:eastAsia="es-AR"/>
              </w:rPr>
              <w:t>Observaciones</w:t>
            </w:r>
          </w:p>
        </w:tc>
      </w:tr>
      <w:tr w:rsidR="006A3DBC" w:rsidRPr="00FA4B2D" w14:paraId="6F86B828" w14:textId="77777777" w:rsidTr="002B7276">
        <w:trPr>
          <w:trHeight w:val="672"/>
        </w:trPr>
        <w:tc>
          <w:tcPr>
            <w:tcW w:w="1985" w:type="dxa"/>
            <w:vMerge w:val="restart"/>
            <w:shd w:val="clear" w:color="auto" w:fill="auto"/>
            <w:vAlign w:val="center"/>
            <w:hideMark/>
          </w:tcPr>
          <w:p w14:paraId="009B4B45"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Medidas de mitigación social y ambiental de los distintos instrumentos de gestión.</w:t>
            </w:r>
          </w:p>
        </w:tc>
        <w:tc>
          <w:tcPr>
            <w:tcW w:w="2908" w:type="dxa"/>
            <w:shd w:val="clear" w:color="auto" w:fill="auto"/>
            <w:vAlign w:val="center"/>
            <w:hideMark/>
          </w:tcPr>
          <w:p w14:paraId="60A340D9"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Capacitación en EASs del MAS del BM para los especialistas del Proyecto.</w:t>
            </w:r>
          </w:p>
        </w:tc>
        <w:tc>
          <w:tcPr>
            <w:tcW w:w="2142" w:type="dxa"/>
            <w:shd w:val="clear" w:color="auto" w:fill="auto"/>
            <w:noWrap/>
            <w:vAlign w:val="center"/>
            <w:hideMark/>
          </w:tcPr>
          <w:p w14:paraId="71FBBA2B" w14:textId="77777777" w:rsidR="006A3DBC" w:rsidRPr="00CF0F96" w:rsidRDefault="006A3DBC" w:rsidP="00E62A62">
            <w:pPr>
              <w:spacing w:after="0" w:line="240" w:lineRule="auto"/>
              <w:jc w:val="center"/>
              <w:rPr>
                <w:rFonts w:eastAsia="Times New Roman" w:cs="Arial"/>
                <w:sz w:val="18"/>
                <w:szCs w:val="18"/>
                <w:lang w:eastAsia="es-AR"/>
              </w:rPr>
            </w:pPr>
            <w:r w:rsidRPr="00CF0F96">
              <w:rPr>
                <w:rFonts w:eastAsia="Times New Roman" w:cs="Arial"/>
                <w:sz w:val="18"/>
                <w:szCs w:val="18"/>
                <w:lang w:eastAsia="es-AR"/>
              </w:rPr>
              <w:t>30.000,00</w:t>
            </w:r>
          </w:p>
        </w:tc>
        <w:tc>
          <w:tcPr>
            <w:tcW w:w="2582" w:type="dxa"/>
            <w:shd w:val="clear" w:color="auto" w:fill="auto"/>
            <w:vAlign w:val="center"/>
            <w:hideMark/>
          </w:tcPr>
          <w:p w14:paraId="6121FA28"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Personal del Proyecto y PSDEs.</w:t>
            </w:r>
          </w:p>
        </w:tc>
      </w:tr>
      <w:tr w:rsidR="006A3DBC" w:rsidRPr="00FA4B2D" w14:paraId="7DD02A37" w14:textId="77777777" w:rsidTr="002B7276">
        <w:trPr>
          <w:trHeight w:val="594"/>
        </w:trPr>
        <w:tc>
          <w:tcPr>
            <w:tcW w:w="1985" w:type="dxa"/>
            <w:vMerge/>
            <w:vAlign w:val="center"/>
            <w:hideMark/>
          </w:tcPr>
          <w:p w14:paraId="1E53B864" w14:textId="77777777" w:rsidR="006A3DBC" w:rsidRPr="00CF0F96" w:rsidRDefault="006A3DBC" w:rsidP="005F4A92">
            <w:pPr>
              <w:spacing w:after="0" w:line="240" w:lineRule="auto"/>
              <w:jc w:val="both"/>
              <w:rPr>
                <w:rFonts w:eastAsia="Times New Roman" w:cs="Arial"/>
                <w:sz w:val="18"/>
                <w:szCs w:val="18"/>
                <w:lang w:eastAsia="es-AR"/>
              </w:rPr>
            </w:pPr>
          </w:p>
        </w:tc>
        <w:tc>
          <w:tcPr>
            <w:tcW w:w="2908" w:type="dxa"/>
            <w:shd w:val="clear" w:color="auto" w:fill="auto"/>
            <w:vAlign w:val="center"/>
            <w:hideMark/>
          </w:tcPr>
          <w:p w14:paraId="0CD59080"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Talleres de socialización de instrumentos de gestión socioambiental.</w:t>
            </w:r>
          </w:p>
        </w:tc>
        <w:tc>
          <w:tcPr>
            <w:tcW w:w="2142" w:type="dxa"/>
            <w:shd w:val="clear" w:color="auto" w:fill="auto"/>
            <w:noWrap/>
            <w:vAlign w:val="center"/>
            <w:hideMark/>
          </w:tcPr>
          <w:p w14:paraId="78152C81" w14:textId="77777777" w:rsidR="006A3DBC" w:rsidRPr="00CF0F96" w:rsidRDefault="006A3DBC" w:rsidP="00E62A62">
            <w:pPr>
              <w:spacing w:after="0" w:line="240" w:lineRule="auto"/>
              <w:jc w:val="center"/>
              <w:rPr>
                <w:rFonts w:eastAsia="Times New Roman" w:cs="Arial"/>
                <w:sz w:val="18"/>
                <w:szCs w:val="18"/>
                <w:lang w:eastAsia="es-AR"/>
              </w:rPr>
            </w:pPr>
            <w:r w:rsidRPr="00CF0F96">
              <w:rPr>
                <w:rFonts w:eastAsia="Times New Roman" w:cs="Arial"/>
                <w:sz w:val="18"/>
                <w:szCs w:val="18"/>
                <w:lang w:eastAsia="es-AR"/>
              </w:rPr>
              <w:t>10.000,00</w:t>
            </w:r>
          </w:p>
        </w:tc>
        <w:tc>
          <w:tcPr>
            <w:tcW w:w="2582" w:type="dxa"/>
            <w:shd w:val="clear" w:color="auto" w:fill="auto"/>
            <w:vAlign w:val="center"/>
            <w:hideMark/>
          </w:tcPr>
          <w:p w14:paraId="5F593EEE"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OPRs y PSDEs participando en el Proyecto.</w:t>
            </w:r>
          </w:p>
        </w:tc>
      </w:tr>
      <w:tr w:rsidR="006A3DBC" w:rsidRPr="00FA4B2D" w14:paraId="2607606F" w14:textId="77777777" w:rsidTr="002B7276">
        <w:trPr>
          <w:trHeight w:val="594"/>
        </w:trPr>
        <w:tc>
          <w:tcPr>
            <w:tcW w:w="1985" w:type="dxa"/>
            <w:vMerge/>
            <w:vAlign w:val="center"/>
          </w:tcPr>
          <w:p w14:paraId="35F0868D" w14:textId="77777777" w:rsidR="006A3DBC" w:rsidRPr="00CF0F96" w:rsidRDefault="006A3DBC" w:rsidP="005F4A92">
            <w:pPr>
              <w:spacing w:after="0" w:line="240" w:lineRule="auto"/>
              <w:jc w:val="both"/>
              <w:rPr>
                <w:rFonts w:eastAsia="Times New Roman" w:cs="Arial"/>
                <w:sz w:val="18"/>
                <w:szCs w:val="18"/>
                <w:lang w:eastAsia="es-AR"/>
              </w:rPr>
            </w:pPr>
          </w:p>
        </w:tc>
        <w:tc>
          <w:tcPr>
            <w:tcW w:w="2908" w:type="dxa"/>
            <w:shd w:val="clear" w:color="auto" w:fill="auto"/>
            <w:vAlign w:val="center"/>
          </w:tcPr>
          <w:p w14:paraId="6766B1C0"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PPPI.</w:t>
            </w:r>
          </w:p>
        </w:tc>
        <w:tc>
          <w:tcPr>
            <w:tcW w:w="2142" w:type="dxa"/>
            <w:shd w:val="clear" w:color="auto" w:fill="auto"/>
            <w:noWrap/>
            <w:vAlign w:val="center"/>
          </w:tcPr>
          <w:p w14:paraId="69BE0D7B" w14:textId="77777777" w:rsidR="006A3DBC" w:rsidRPr="00CF0F96" w:rsidRDefault="006A3DBC" w:rsidP="00E62A62">
            <w:pPr>
              <w:spacing w:after="0" w:line="240" w:lineRule="auto"/>
              <w:jc w:val="center"/>
              <w:rPr>
                <w:rFonts w:eastAsia="Times New Roman" w:cs="Arial"/>
                <w:sz w:val="18"/>
                <w:szCs w:val="18"/>
                <w:lang w:eastAsia="es-AR"/>
              </w:rPr>
            </w:pPr>
            <w:r w:rsidRPr="00CF0F96">
              <w:rPr>
                <w:rFonts w:eastAsia="Times New Roman" w:cs="Arial"/>
                <w:sz w:val="18"/>
                <w:szCs w:val="18"/>
                <w:lang w:eastAsia="es-AR"/>
              </w:rPr>
              <w:t>175,000.00</w:t>
            </w:r>
          </w:p>
        </w:tc>
        <w:tc>
          <w:tcPr>
            <w:tcW w:w="2582" w:type="dxa"/>
            <w:shd w:val="clear" w:color="auto" w:fill="auto"/>
            <w:vAlign w:val="center"/>
          </w:tcPr>
          <w:p w14:paraId="3B1815C1"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Detalles se pueden observar en el PPPI.</w:t>
            </w:r>
          </w:p>
        </w:tc>
      </w:tr>
      <w:tr w:rsidR="006A3DBC" w:rsidRPr="00FA4B2D" w14:paraId="54E8B809" w14:textId="77777777" w:rsidTr="002B7276">
        <w:trPr>
          <w:trHeight w:val="594"/>
        </w:trPr>
        <w:tc>
          <w:tcPr>
            <w:tcW w:w="1985" w:type="dxa"/>
            <w:vMerge/>
            <w:vAlign w:val="center"/>
          </w:tcPr>
          <w:p w14:paraId="040B5B91" w14:textId="77777777" w:rsidR="006A3DBC" w:rsidRPr="00CF0F96" w:rsidRDefault="006A3DBC" w:rsidP="005F4A92">
            <w:pPr>
              <w:spacing w:after="0" w:line="240" w:lineRule="auto"/>
              <w:jc w:val="both"/>
              <w:rPr>
                <w:rFonts w:eastAsia="Times New Roman" w:cs="Arial"/>
                <w:sz w:val="18"/>
                <w:szCs w:val="18"/>
                <w:lang w:eastAsia="es-AR"/>
              </w:rPr>
            </w:pPr>
          </w:p>
        </w:tc>
        <w:tc>
          <w:tcPr>
            <w:tcW w:w="2908" w:type="dxa"/>
            <w:shd w:val="clear" w:color="auto" w:fill="auto"/>
            <w:vAlign w:val="center"/>
          </w:tcPr>
          <w:p w14:paraId="42C489F7"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MPPI.</w:t>
            </w:r>
          </w:p>
        </w:tc>
        <w:tc>
          <w:tcPr>
            <w:tcW w:w="2142" w:type="dxa"/>
            <w:shd w:val="clear" w:color="auto" w:fill="auto"/>
            <w:noWrap/>
            <w:vAlign w:val="center"/>
          </w:tcPr>
          <w:p w14:paraId="08ED9CBB" w14:textId="77777777" w:rsidR="006A3DBC" w:rsidRPr="00CF0F96" w:rsidRDefault="006A3DBC" w:rsidP="00E62A62">
            <w:pPr>
              <w:spacing w:after="0" w:line="240" w:lineRule="auto"/>
              <w:jc w:val="center"/>
              <w:rPr>
                <w:rFonts w:eastAsia="Times New Roman" w:cs="Arial"/>
                <w:sz w:val="18"/>
                <w:szCs w:val="18"/>
                <w:lang w:eastAsia="es-AR"/>
              </w:rPr>
            </w:pPr>
            <w:r w:rsidRPr="00CF0F96">
              <w:rPr>
                <w:rFonts w:eastAsia="Times New Roman" w:cs="Arial"/>
                <w:sz w:val="18"/>
                <w:szCs w:val="18"/>
                <w:lang w:eastAsia="es-AR"/>
              </w:rPr>
              <w:t>330,000.00</w:t>
            </w:r>
          </w:p>
        </w:tc>
        <w:tc>
          <w:tcPr>
            <w:tcW w:w="2582" w:type="dxa"/>
            <w:shd w:val="clear" w:color="auto" w:fill="auto"/>
            <w:vAlign w:val="center"/>
          </w:tcPr>
          <w:p w14:paraId="1EA256CD"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Detalles se pueden observar en el MPPI.</w:t>
            </w:r>
          </w:p>
        </w:tc>
      </w:tr>
      <w:tr w:rsidR="006A3DBC" w:rsidRPr="00FA4B2D" w14:paraId="25194B46" w14:textId="77777777" w:rsidTr="002B7276">
        <w:trPr>
          <w:trHeight w:val="297"/>
        </w:trPr>
        <w:tc>
          <w:tcPr>
            <w:tcW w:w="1985" w:type="dxa"/>
            <w:shd w:val="clear" w:color="auto" w:fill="auto"/>
            <w:noWrap/>
            <w:vAlign w:val="center"/>
            <w:hideMark/>
          </w:tcPr>
          <w:p w14:paraId="7EE908A2" w14:textId="7C60FFA3" w:rsidR="006A3DBC" w:rsidRPr="00CF0F96" w:rsidRDefault="00E62A62" w:rsidP="00E62A62">
            <w:pPr>
              <w:spacing w:after="0" w:line="240" w:lineRule="auto"/>
              <w:jc w:val="center"/>
              <w:rPr>
                <w:rFonts w:eastAsia="Times New Roman" w:cs="Arial"/>
                <w:b/>
                <w:bCs/>
                <w:sz w:val="18"/>
                <w:szCs w:val="18"/>
                <w:lang w:eastAsia="es-AR"/>
              </w:rPr>
            </w:pPr>
            <w:r w:rsidRPr="00CF0F96">
              <w:rPr>
                <w:rFonts w:eastAsia="Times New Roman" w:cs="Arial"/>
                <w:b/>
                <w:bCs/>
                <w:sz w:val="18"/>
                <w:szCs w:val="18"/>
                <w:lang w:eastAsia="es-AR"/>
              </w:rPr>
              <w:t>Subtotal</w:t>
            </w:r>
          </w:p>
        </w:tc>
        <w:tc>
          <w:tcPr>
            <w:tcW w:w="2908" w:type="dxa"/>
            <w:shd w:val="clear" w:color="auto" w:fill="auto"/>
            <w:noWrap/>
            <w:vAlign w:val="center"/>
            <w:hideMark/>
          </w:tcPr>
          <w:p w14:paraId="4CFD271C"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 </w:t>
            </w:r>
          </w:p>
        </w:tc>
        <w:tc>
          <w:tcPr>
            <w:tcW w:w="2142" w:type="dxa"/>
            <w:shd w:val="clear" w:color="auto" w:fill="auto"/>
            <w:noWrap/>
            <w:vAlign w:val="center"/>
            <w:hideMark/>
          </w:tcPr>
          <w:p w14:paraId="26D24B8B" w14:textId="77777777" w:rsidR="006A3DBC" w:rsidRPr="00CF0F96" w:rsidRDefault="006A3DBC" w:rsidP="00E62A62">
            <w:pPr>
              <w:spacing w:after="0" w:line="240" w:lineRule="auto"/>
              <w:jc w:val="center"/>
              <w:rPr>
                <w:rFonts w:eastAsia="Times New Roman" w:cs="Arial"/>
                <w:b/>
                <w:bCs/>
                <w:sz w:val="18"/>
                <w:szCs w:val="18"/>
                <w:lang w:eastAsia="es-AR"/>
              </w:rPr>
            </w:pPr>
            <w:r w:rsidRPr="00CF0F96">
              <w:rPr>
                <w:rFonts w:eastAsia="Times New Roman" w:cs="Arial"/>
                <w:b/>
                <w:bCs/>
                <w:sz w:val="18"/>
                <w:szCs w:val="18"/>
                <w:lang w:eastAsia="es-AR"/>
              </w:rPr>
              <w:t>545.000,00</w:t>
            </w:r>
          </w:p>
        </w:tc>
        <w:tc>
          <w:tcPr>
            <w:tcW w:w="2582" w:type="dxa"/>
            <w:shd w:val="clear" w:color="auto" w:fill="auto"/>
            <w:noWrap/>
            <w:vAlign w:val="center"/>
            <w:hideMark/>
          </w:tcPr>
          <w:p w14:paraId="6CA8DC53"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 </w:t>
            </w:r>
          </w:p>
        </w:tc>
      </w:tr>
      <w:tr w:rsidR="006A3DBC" w:rsidRPr="00FA4B2D" w14:paraId="421089F4" w14:textId="77777777" w:rsidTr="002B7276">
        <w:trPr>
          <w:trHeight w:val="761"/>
        </w:trPr>
        <w:tc>
          <w:tcPr>
            <w:tcW w:w="1985" w:type="dxa"/>
            <w:vMerge w:val="restart"/>
            <w:shd w:val="clear" w:color="auto" w:fill="auto"/>
            <w:vAlign w:val="center"/>
            <w:hideMark/>
          </w:tcPr>
          <w:p w14:paraId="56697E4A"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Fortalecimiento de OPRs en gestión ambiental</w:t>
            </w:r>
          </w:p>
        </w:tc>
        <w:tc>
          <w:tcPr>
            <w:tcW w:w="2908" w:type="dxa"/>
            <w:shd w:val="clear" w:color="auto" w:fill="auto"/>
            <w:vAlign w:val="center"/>
            <w:hideMark/>
          </w:tcPr>
          <w:p w14:paraId="281ED020"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a.       Talleres de socialización y evaluación periódica de implementación del PGAS.</w:t>
            </w:r>
          </w:p>
        </w:tc>
        <w:tc>
          <w:tcPr>
            <w:tcW w:w="2142" w:type="dxa"/>
            <w:shd w:val="clear" w:color="auto" w:fill="auto"/>
            <w:noWrap/>
            <w:vAlign w:val="center"/>
            <w:hideMark/>
          </w:tcPr>
          <w:p w14:paraId="41231D0A"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 </w:t>
            </w:r>
          </w:p>
        </w:tc>
        <w:tc>
          <w:tcPr>
            <w:tcW w:w="2582" w:type="dxa"/>
            <w:vMerge w:val="restart"/>
            <w:shd w:val="clear" w:color="auto" w:fill="auto"/>
            <w:vAlign w:val="center"/>
            <w:hideMark/>
          </w:tcPr>
          <w:p w14:paraId="7B1DD20F"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 xml:space="preserve">Estos talleres y capacitaciones se incluirán en el presupuesto de cada </w:t>
            </w:r>
            <w:r w:rsidRPr="00CF0F96">
              <w:rPr>
                <w:rFonts w:eastAsia="Times New Roman" w:cs="Arial"/>
                <w:sz w:val="20"/>
                <w:szCs w:val="20"/>
                <w:lang w:val="es-HN"/>
              </w:rPr>
              <w:t>PdN</w:t>
            </w:r>
            <w:r w:rsidRPr="00CF0F96">
              <w:rPr>
                <w:rFonts w:eastAsia="Times New Roman" w:cs="Arial"/>
                <w:sz w:val="18"/>
                <w:szCs w:val="18"/>
                <w:lang w:eastAsia="es-AR"/>
              </w:rPr>
              <w:t xml:space="preserve"> para ser realizado durante la ejecución de estos.</w:t>
            </w:r>
          </w:p>
        </w:tc>
      </w:tr>
      <w:tr w:rsidR="006A3DBC" w:rsidRPr="00FA4B2D" w14:paraId="4A7DEB9B" w14:textId="77777777" w:rsidTr="002B7276">
        <w:trPr>
          <w:trHeight w:val="297"/>
        </w:trPr>
        <w:tc>
          <w:tcPr>
            <w:tcW w:w="1985" w:type="dxa"/>
            <w:vMerge/>
            <w:vAlign w:val="center"/>
            <w:hideMark/>
          </w:tcPr>
          <w:p w14:paraId="0F891CE7" w14:textId="77777777" w:rsidR="006A3DBC" w:rsidRPr="00CF0F96" w:rsidRDefault="006A3DBC" w:rsidP="005F4A92">
            <w:pPr>
              <w:spacing w:after="0" w:line="240" w:lineRule="auto"/>
              <w:jc w:val="both"/>
              <w:rPr>
                <w:rFonts w:eastAsia="Times New Roman" w:cs="Arial"/>
                <w:sz w:val="18"/>
                <w:szCs w:val="18"/>
                <w:lang w:eastAsia="es-AR"/>
              </w:rPr>
            </w:pPr>
          </w:p>
        </w:tc>
        <w:tc>
          <w:tcPr>
            <w:tcW w:w="2908" w:type="dxa"/>
            <w:shd w:val="clear" w:color="auto" w:fill="auto"/>
            <w:vAlign w:val="center"/>
            <w:hideMark/>
          </w:tcPr>
          <w:p w14:paraId="1A26736E"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b.       Capacitación en MIP.</w:t>
            </w:r>
          </w:p>
        </w:tc>
        <w:tc>
          <w:tcPr>
            <w:tcW w:w="2142" w:type="dxa"/>
            <w:shd w:val="clear" w:color="auto" w:fill="auto"/>
            <w:noWrap/>
            <w:vAlign w:val="center"/>
            <w:hideMark/>
          </w:tcPr>
          <w:p w14:paraId="50270E90"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 </w:t>
            </w:r>
          </w:p>
        </w:tc>
        <w:tc>
          <w:tcPr>
            <w:tcW w:w="2582" w:type="dxa"/>
            <w:vMerge/>
            <w:vAlign w:val="center"/>
            <w:hideMark/>
          </w:tcPr>
          <w:p w14:paraId="05668EB8" w14:textId="77777777" w:rsidR="006A3DBC" w:rsidRPr="00CF0F96" w:rsidRDefault="006A3DBC" w:rsidP="005F4A92">
            <w:pPr>
              <w:spacing w:after="0" w:line="240" w:lineRule="auto"/>
              <w:jc w:val="both"/>
              <w:rPr>
                <w:rFonts w:eastAsia="Times New Roman" w:cs="Arial"/>
                <w:sz w:val="18"/>
                <w:szCs w:val="18"/>
                <w:lang w:eastAsia="es-AR"/>
              </w:rPr>
            </w:pPr>
          </w:p>
        </w:tc>
      </w:tr>
      <w:tr w:rsidR="006A3DBC" w:rsidRPr="00FA4B2D" w14:paraId="04E675D6" w14:textId="77777777" w:rsidTr="002B7276">
        <w:trPr>
          <w:trHeight w:val="594"/>
        </w:trPr>
        <w:tc>
          <w:tcPr>
            <w:tcW w:w="1985" w:type="dxa"/>
            <w:vMerge/>
            <w:vAlign w:val="center"/>
            <w:hideMark/>
          </w:tcPr>
          <w:p w14:paraId="5BC46D14" w14:textId="77777777" w:rsidR="006A3DBC" w:rsidRPr="00CF0F96" w:rsidRDefault="006A3DBC" w:rsidP="005F4A92">
            <w:pPr>
              <w:spacing w:after="0" w:line="240" w:lineRule="auto"/>
              <w:jc w:val="both"/>
              <w:rPr>
                <w:rFonts w:eastAsia="Times New Roman" w:cs="Arial"/>
                <w:sz w:val="18"/>
                <w:szCs w:val="18"/>
                <w:lang w:eastAsia="es-AR"/>
              </w:rPr>
            </w:pPr>
          </w:p>
        </w:tc>
        <w:tc>
          <w:tcPr>
            <w:tcW w:w="2908" w:type="dxa"/>
            <w:shd w:val="clear" w:color="auto" w:fill="auto"/>
            <w:vAlign w:val="center"/>
            <w:hideMark/>
          </w:tcPr>
          <w:p w14:paraId="199974F4"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c.       Fortalecimiento de competencias organizativas y empresariales con grupos vulnerables.</w:t>
            </w:r>
          </w:p>
        </w:tc>
        <w:tc>
          <w:tcPr>
            <w:tcW w:w="2142" w:type="dxa"/>
            <w:shd w:val="clear" w:color="auto" w:fill="auto"/>
            <w:noWrap/>
            <w:vAlign w:val="center"/>
            <w:hideMark/>
          </w:tcPr>
          <w:p w14:paraId="2F288291"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 </w:t>
            </w:r>
          </w:p>
        </w:tc>
        <w:tc>
          <w:tcPr>
            <w:tcW w:w="2582" w:type="dxa"/>
            <w:vMerge/>
            <w:vAlign w:val="center"/>
            <w:hideMark/>
          </w:tcPr>
          <w:p w14:paraId="4025CAEB" w14:textId="77777777" w:rsidR="006A3DBC" w:rsidRPr="00CF0F96" w:rsidRDefault="006A3DBC" w:rsidP="005F4A92">
            <w:pPr>
              <w:spacing w:after="0" w:line="240" w:lineRule="auto"/>
              <w:jc w:val="both"/>
              <w:rPr>
                <w:rFonts w:eastAsia="Times New Roman" w:cs="Arial"/>
                <w:sz w:val="18"/>
                <w:szCs w:val="18"/>
                <w:lang w:eastAsia="es-AR"/>
              </w:rPr>
            </w:pPr>
          </w:p>
        </w:tc>
      </w:tr>
      <w:tr w:rsidR="006A3DBC" w:rsidRPr="00FA4B2D" w14:paraId="0DFF6BBA" w14:textId="77777777" w:rsidTr="002B7276">
        <w:trPr>
          <w:trHeight w:val="594"/>
        </w:trPr>
        <w:tc>
          <w:tcPr>
            <w:tcW w:w="1985" w:type="dxa"/>
            <w:vMerge/>
            <w:vAlign w:val="center"/>
            <w:hideMark/>
          </w:tcPr>
          <w:p w14:paraId="18434BC4" w14:textId="77777777" w:rsidR="006A3DBC" w:rsidRPr="00CF0F96" w:rsidRDefault="006A3DBC" w:rsidP="005F4A92">
            <w:pPr>
              <w:spacing w:after="0" w:line="240" w:lineRule="auto"/>
              <w:jc w:val="both"/>
              <w:rPr>
                <w:rFonts w:eastAsia="Times New Roman" w:cs="Arial"/>
                <w:sz w:val="18"/>
                <w:szCs w:val="18"/>
                <w:lang w:eastAsia="es-AR"/>
              </w:rPr>
            </w:pPr>
          </w:p>
        </w:tc>
        <w:tc>
          <w:tcPr>
            <w:tcW w:w="2908" w:type="dxa"/>
            <w:shd w:val="clear" w:color="auto" w:fill="auto"/>
            <w:vAlign w:val="center"/>
            <w:hideMark/>
          </w:tcPr>
          <w:p w14:paraId="68BE5A71"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d.       Talleres de intercambio de experiencias ambientales y sociales entre OPRs.</w:t>
            </w:r>
          </w:p>
        </w:tc>
        <w:tc>
          <w:tcPr>
            <w:tcW w:w="2142" w:type="dxa"/>
            <w:shd w:val="clear" w:color="auto" w:fill="auto"/>
            <w:noWrap/>
            <w:vAlign w:val="center"/>
            <w:hideMark/>
          </w:tcPr>
          <w:p w14:paraId="69A0A2C0"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 </w:t>
            </w:r>
          </w:p>
        </w:tc>
        <w:tc>
          <w:tcPr>
            <w:tcW w:w="2582" w:type="dxa"/>
            <w:vMerge/>
            <w:vAlign w:val="center"/>
            <w:hideMark/>
          </w:tcPr>
          <w:p w14:paraId="529089B3" w14:textId="77777777" w:rsidR="006A3DBC" w:rsidRPr="00CF0F96" w:rsidRDefault="006A3DBC" w:rsidP="005F4A92">
            <w:pPr>
              <w:spacing w:after="0" w:line="240" w:lineRule="auto"/>
              <w:jc w:val="both"/>
              <w:rPr>
                <w:rFonts w:eastAsia="Times New Roman" w:cs="Arial"/>
                <w:sz w:val="18"/>
                <w:szCs w:val="18"/>
                <w:lang w:eastAsia="es-AR"/>
              </w:rPr>
            </w:pPr>
          </w:p>
        </w:tc>
      </w:tr>
      <w:tr w:rsidR="006A3DBC" w:rsidRPr="00FA4B2D" w14:paraId="7C99F932" w14:textId="77777777" w:rsidTr="002B7276">
        <w:trPr>
          <w:trHeight w:val="297"/>
        </w:trPr>
        <w:tc>
          <w:tcPr>
            <w:tcW w:w="1985" w:type="dxa"/>
            <w:vMerge/>
            <w:vAlign w:val="center"/>
            <w:hideMark/>
          </w:tcPr>
          <w:p w14:paraId="1AD46DED" w14:textId="77777777" w:rsidR="006A3DBC" w:rsidRPr="00CF0F96" w:rsidRDefault="006A3DBC" w:rsidP="005F4A92">
            <w:pPr>
              <w:spacing w:after="0" w:line="240" w:lineRule="auto"/>
              <w:jc w:val="both"/>
              <w:rPr>
                <w:rFonts w:eastAsia="Times New Roman" w:cs="Arial"/>
                <w:sz w:val="18"/>
                <w:szCs w:val="18"/>
                <w:lang w:eastAsia="es-AR"/>
              </w:rPr>
            </w:pPr>
          </w:p>
        </w:tc>
        <w:tc>
          <w:tcPr>
            <w:tcW w:w="2908" w:type="dxa"/>
            <w:shd w:val="clear" w:color="auto" w:fill="auto"/>
            <w:vAlign w:val="center"/>
            <w:hideMark/>
          </w:tcPr>
          <w:p w14:paraId="6289EF24"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e.       Talleres sobre cambio climático.</w:t>
            </w:r>
          </w:p>
        </w:tc>
        <w:tc>
          <w:tcPr>
            <w:tcW w:w="2142" w:type="dxa"/>
            <w:shd w:val="clear" w:color="auto" w:fill="auto"/>
            <w:noWrap/>
            <w:vAlign w:val="center"/>
            <w:hideMark/>
          </w:tcPr>
          <w:p w14:paraId="60A8344F"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 </w:t>
            </w:r>
          </w:p>
        </w:tc>
        <w:tc>
          <w:tcPr>
            <w:tcW w:w="2582" w:type="dxa"/>
            <w:vMerge/>
            <w:vAlign w:val="center"/>
            <w:hideMark/>
          </w:tcPr>
          <w:p w14:paraId="2FEB9AAF" w14:textId="77777777" w:rsidR="006A3DBC" w:rsidRPr="00CF0F96" w:rsidRDefault="006A3DBC" w:rsidP="005F4A92">
            <w:pPr>
              <w:spacing w:after="0" w:line="240" w:lineRule="auto"/>
              <w:jc w:val="both"/>
              <w:rPr>
                <w:rFonts w:eastAsia="Times New Roman" w:cs="Arial"/>
                <w:sz w:val="18"/>
                <w:szCs w:val="18"/>
                <w:lang w:eastAsia="es-AR"/>
              </w:rPr>
            </w:pPr>
          </w:p>
        </w:tc>
      </w:tr>
      <w:tr w:rsidR="006A3DBC" w:rsidRPr="00FA4B2D" w14:paraId="562886AA" w14:textId="77777777" w:rsidTr="002B7276">
        <w:trPr>
          <w:trHeight w:val="297"/>
        </w:trPr>
        <w:tc>
          <w:tcPr>
            <w:tcW w:w="1985" w:type="dxa"/>
            <w:vMerge/>
            <w:vAlign w:val="center"/>
            <w:hideMark/>
          </w:tcPr>
          <w:p w14:paraId="39F9FA43" w14:textId="77777777" w:rsidR="006A3DBC" w:rsidRPr="00CF0F96" w:rsidRDefault="006A3DBC" w:rsidP="005F4A92">
            <w:pPr>
              <w:spacing w:after="0" w:line="240" w:lineRule="auto"/>
              <w:jc w:val="both"/>
              <w:rPr>
                <w:rFonts w:eastAsia="Times New Roman" w:cs="Arial"/>
                <w:sz w:val="18"/>
                <w:szCs w:val="18"/>
                <w:lang w:eastAsia="es-AR"/>
              </w:rPr>
            </w:pPr>
          </w:p>
        </w:tc>
        <w:tc>
          <w:tcPr>
            <w:tcW w:w="2908" w:type="dxa"/>
            <w:shd w:val="clear" w:color="auto" w:fill="auto"/>
            <w:vAlign w:val="center"/>
            <w:hideMark/>
          </w:tcPr>
          <w:p w14:paraId="4602A2FF"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f.        Capacitación en economía circular.</w:t>
            </w:r>
          </w:p>
        </w:tc>
        <w:tc>
          <w:tcPr>
            <w:tcW w:w="2142" w:type="dxa"/>
            <w:shd w:val="clear" w:color="auto" w:fill="auto"/>
            <w:noWrap/>
            <w:vAlign w:val="center"/>
            <w:hideMark/>
          </w:tcPr>
          <w:p w14:paraId="6E33F57D"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 </w:t>
            </w:r>
          </w:p>
        </w:tc>
        <w:tc>
          <w:tcPr>
            <w:tcW w:w="2582" w:type="dxa"/>
            <w:vMerge/>
            <w:vAlign w:val="center"/>
            <w:hideMark/>
          </w:tcPr>
          <w:p w14:paraId="5A5DA8FB" w14:textId="77777777" w:rsidR="006A3DBC" w:rsidRPr="00CF0F96" w:rsidRDefault="006A3DBC" w:rsidP="005F4A92">
            <w:pPr>
              <w:spacing w:after="0" w:line="240" w:lineRule="auto"/>
              <w:jc w:val="both"/>
              <w:rPr>
                <w:rFonts w:eastAsia="Times New Roman" w:cs="Arial"/>
                <w:sz w:val="18"/>
                <w:szCs w:val="18"/>
                <w:lang w:eastAsia="es-AR"/>
              </w:rPr>
            </w:pPr>
          </w:p>
        </w:tc>
      </w:tr>
      <w:tr w:rsidR="006A3DBC" w:rsidRPr="00FA4B2D" w14:paraId="013B0810" w14:textId="77777777" w:rsidTr="002B7276">
        <w:trPr>
          <w:trHeight w:val="297"/>
        </w:trPr>
        <w:tc>
          <w:tcPr>
            <w:tcW w:w="1985" w:type="dxa"/>
            <w:vMerge/>
            <w:vAlign w:val="center"/>
            <w:hideMark/>
          </w:tcPr>
          <w:p w14:paraId="6BC30DA8" w14:textId="77777777" w:rsidR="006A3DBC" w:rsidRPr="00CF0F96" w:rsidRDefault="006A3DBC" w:rsidP="005F4A92">
            <w:pPr>
              <w:spacing w:after="0" w:line="240" w:lineRule="auto"/>
              <w:jc w:val="both"/>
              <w:rPr>
                <w:rFonts w:eastAsia="Times New Roman" w:cs="Arial"/>
                <w:sz w:val="18"/>
                <w:szCs w:val="18"/>
                <w:lang w:eastAsia="es-AR"/>
              </w:rPr>
            </w:pPr>
          </w:p>
        </w:tc>
        <w:tc>
          <w:tcPr>
            <w:tcW w:w="2908" w:type="dxa"/>
            <w:shd w:val="clear" w:color="auto" w:fill="auto"/>
            <w:vAlign w:val="center"/>
            <w:hideMark/>
          </w:tcPr>
          <w:p w14:paraId="34EFE76F"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g.       Capacitación en negocios verdes.</w:t>
            </w:r>
          </w:p>
        </w:tc>
        <w:tc>
          <w:tcPr>
            <w:tcW w:w="2142" w:type="dxa"/>
            <w:shd w:val="clear" w:color="auto" w:fill="auto"/>
            <w:noWrap/>
            <w:vAlign w:val="center"/>
            <w:hideMark/>
          </w:tcPr>
          <w:p w14:paraId="728E5B79"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 </w:t>
            </w:r>
          </w:p>
        </w:tc>
        <w:tc>
          <w:tcPr>
            <w:tcW w:w="2582" w:type="dxa"/>
            <w:vMerge/>
            <w:vAlign w:val="center"/>
            <w:hideMark/>
          </w:tcPr>
          <w:p w14:paraId="5A581C1A" w14:textId="77777777" w:rsidR="006A3DBC" w:rsidRPr="00CF0F96" w:rsidRDefault="006A3DBC" w:rsidP="005F4A92">
            <w:pPr>
              <w:spacing w:after="0" w:line="240" w:lineRule="auto"/>
              <w:jc w:val="both"/>
              <w:rPr>
                <w:rFonts w:eastAsia="Times New Roman" w:cs="Arial"/>
                <w:sz w:val="18"/>
                <w:szCs w:val="18"/>
                <w:lang w:eastAsia="es-AR"/>
              </w:rPr>
            </w:pPr>
          </w:p>
        </w:tc>
      </w:tr>
      <w:tr w:rsidR="006A3DBC" w:rsidRPr="00FA4B2D" w14:paraId="3BC908EF" w14:textId="77777777" w:rsidTr="002B7276">
        <w:trPr>
          <w:trHeight w:val="297"/>
        </w:trPr>
        <w:tc>
          <w:tcPr>
            <w:tcW w:w="1985" w:type="dxa"/>
            <w:vMerge/>
            <w:vAlign w:val="center"/>
            <w:hideMark/>
          </w:tcPr>
          <w:p w14:paraId="50B0EF88" w14:textId="77777777" w:rsidR="006A3DBC" w:rsidRPr="00CF0F96" w:rsidRDefault="006A3DBC" w:rsidP="005F4A92">
            <w:pPr>
              <w:spacing w:after="0" w:line="240" w:lineRule="auto"/>
              <w:jc w:val="both"/>
              <w:rPr>
                <w:rFonts w:eastAsia="Times New Roman" w:cs="Arial"/>
                <w:sz w:val="18"/>
                <w:szCs w:val="18"/>
                <w:lang w:eastAsia="es-AR"/>
              </w:rPr>
            </w:pPr>
          </w:p>
        </w:tc>
        <w:tc>
          <w:tcPr>
            <w:tcW w:w="2908" w:type="dxa"/>
            <w:shd w:val="clear" w:color="auto" w:fill="auto"/>
            <w:vAlign w:val="center"/>
            <w:hideMark/>
          </w:tcPr>
          <w:p w14:paraId="2EE20435"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h.       Producción orgánica.</w:t>
            </w:r>
          </w:p>
        </w:tc>
        <w:tc>
          <w:tcPr>
            <w:tcW w:w="2142" w:type="dxa"/>
            <w:shd w:val="clear" w:color="auto" w:fill="auto"/>
            <w:noWrap/>
            <w:vAlign w:val="center"/>
            <w:hideMark/>
          </w:tcPr>
          <w:p w14:paraId="2FC8355B"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 </w:t>
            </w:r>
          </w:p>
        </w:tc>
        <w:tc>
          <w:tcPr>
            <w:tcW w:w="2582" w:type="dxa"/>
            <w:vMerge/>
            <w:vAlign w:val="center"/>
            <w:hideMark/>
          </w:tcPr>
          <w:p w14:paraId="2EB39E34" w14:textId="77777777" w:rsidR="006A3DBC" w:rsidRPr="00CF0F96" w:rsidRDefault="006A3DBC" w:rsidP="005F4A92">
            <w:pPr>
              <w:spacing w:after="0" w:line="240" w:lineRule="auto"/>
              <w:jc w:val="both"/>
              <w:rPr>
                <w:rFonts w:eastAsia="Times New Roman" w:cs="Arial"/>
                <w:sz w:val="18"/>
                <w:szCs w:val="18"/>
                <w:lang w:eastAsia="es-AR"/>
              </w:rPr>
            </w:pPr>
          </w:p>
        </w:tc>
      </w:tr>
      <w:tr w:rsidR="006A3DBC" w:rsidRPr="00FA4B2D" w14:paraId="56DFF25F" w14:textId="77777777" w:rsidTr="002B7276">
        <w:trPr>
          <w:trHeight w:val="297"/>
        </w:trPr>
        <w:tc>
          <w:tcPr>
            <w:tcW w:w="1985" w:type="dxa"/>
            <w:vMerge/>
            <w:vAlign w:val="center"/>
            <w:hideMark/>
          </w:tcPr>
          <w:p w14:paraId="2A687CB6" w14:textId="77777777" w:rsidR="006A3DBC" w:rsidRPr="00CF0F96" w:rsidRDefault="006A3DBC" w:rsidP="005F4A92">
            <w:pPr>
              <w:spacing w:after="0" w:line="240" w:lineRule="auto"/>
              <w:jc w:val="both"/>
              <w:rPr>
                <w:rFonts w:eastAsia="Times New Roman" w:cs="Arial"/>
                <w:sz w:val="18"/>
                <w:szCs w:val="18"/>
                <w:lang w:eastAsia="es-AR"/>
              </w:rPr>
            </w:pPr>
          </w:p>
        </w:tc>
        <w:tc>
          <w:tcPr>
            <w:tcW w:w="2908" w:type="dxa"/>
            <w:shd w:val="clear" w:color="auto" w:fill="auto"/>
            <w:vAlign w:val="center"/>
            <w:hideMark/>
          </w:tcPr>
          <w:p w14:paraId="05851B53"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i.         Certificaciones ambientales.</w:t>
            </w:r>
          </w:p>
        </w:tc>
        <w:tc>
          <w:tcPr>
            <w:tcW w:w="2142" w:type="dxa"/>
            <w:shd w:val="clear" w:color="auto" w:fill="auto"/>
            <w:noWrap/>
            <w:vAlign w:val="center"/>
            <w:hideMark/>
          </w:tcPr>
          <w:p w14:paraId="5E760462"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 </w:t>
            </w:r>
          </w:p>
        </w:tc>
        <w:tc>
          <w:tcPr>
            <w:tcW w:w="2582" w:type="dxa"/>
            <w:vMerge/>
            <w:vAlign w:val="center"/>
            <w:hideMark/>
          </w:tcPr>
          <w:p w14:paraId="70931D82" w14:textId="77777777" w:rsidR="006A3DBC" w:rsidRPr="00CF0F96" w:rsidRDefault="006A3DBC" w:rsidP="005F4A92">
            <w:pPr>
              <w:spacing w:after="0" w:line="240" w:lineRule="auto"/>
              <w:jc w:val="both"/>
              <w:rPr>
                <w:rFonts w:eastAsia="Times New Roman" w:cs="Arial"/>
                <w:sz w:val="18"/>
                <w:szCs w:val="18"/>
                <w:lang w:eastAsia="es-AR"/>
              </w:rPr>
            </w:pPr>
          </w:p>
        </w:tc>
      </w:tr>
      <w:tr w:rsidR="006A3DBC" w:rsidRPr="00FA4B2D" w14:paraId="23C18921" w14:textId="77777777" w:rsidTr="002B7276">
        <w:trPr>
          <w:trHeight w:val="297"/>
        </w:trPr>
        <w:tc>
          <w:tcPr>
            <w:tcW w:w="1985" w:type="dxa"/>
            <w:shd w:val="clear" w:color="auto" w:fill="auto"/>
            <w:noWrap/>
            <w:vAlign w:val="center"/>
            <w:hideMark/>
          </w:tcPr>
          <w:p w14:paraId="686200F3" w14:textId="5950FA6B" w:rsidR="006A3DBC" w:rsidRPr="00CF0F96" w:rsidRDefault="00E62A62" w:rsidP="00E62A62">
            <w:pPr>
              <w:spacing w:after="0" w:line="240" w:lineRule="auto"/>
              <w:jc w:val="center"/>
              <w:rPr>
                <w:rFonts w:eastAsia="Times New Roman" w:cs="Arial"/>
                <w:b/>
                <w:bCs/>
                <w:sz w:val="18"/>
                <w:szCs w:val="18"/>
                <w:lang w:eastAsia="es-AR"/>
              </w:rPr>
            </w:pPr>
            <w:r w:rsidRPr="00CF0F96">
              <w:rPr>
                <w:rFonts w:eastAsia="Times New Roman" w:cs="Arial"/>
                <w:b/>
                <w:bCs/>
                <w:sz w:val="18"/>
                <w:szCs w:val="18"/>
                <w:lang w:eastAsia="es-AR"/>
              </w:rPr>
              <w:t>Subtotal</w:t>
            </w:r>
          </w:p>
        </w:tc>
        <w:tc>
          <w:tcPr>
            <w:tcW w:w="2908" w:type="dxa"/>
            <w:shd w:val="clear" w:color="auto" w:fill="auto"/>
            <w:noWrap/>
            <w:vAlign w:val="center"/>
            <w:hideMark/>
          </w:tcPr>
          <w:p w14:paraId="12CB4D56"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 </w:t>
            </w:r>
          </w:p>
        </w:tc>
        <w:tc>
          <w:tcPr>
            <w:tcW w:w="2142" w:type="dxa"/>
            <w:shd w:val="clear" w:color="auto" w:fill="auto"/>
            <w:noWrap/>
            <w:vAlign w:val="center"/>
            <w:hideMark/>
          </w:tcPr>
          <w:p w14:paraId="1C6294AA"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 </w:t>
            </w:r>
          </w:p>
        </w:tc>
        <w:tc>
          <w:tcPr>
            <w:tcW w:w="2582" w:type="dxa"/>
            <w:shd w:val="clear" w:color="auto" w:fill="auto"/>
            <w:noWrap/>
            <w:vAlign w:val="center"/>
            <w:hideMark/>
          </w:tcPr>
          <w:p w14:paraId="0CEE0EFC"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 </w:t>
            </w:r>
          </w:p>
        </w:tc>
      </w:tr>
      <w:tr w:rsidR="006A3DBC" w:rsidRPr="00FA4B2D" w14:paraId="466A546D" w14:textId="77777777" w:rsidTr="002B7276">
        <w:trPr>
          <w:trHeight w:val="891"/>
        </w:trPr>
        <w:tc>
          <w:tcPr>
            <w:tcW w:w="1985" w:type="dxa"/>
            <w:vMerge w:val="restart"/>
            <w:shd w:val="clear" w:color="auto" w:fill="auto"/>
            <w:vAlign w:val="center"/>
            <w:hideMark/>
          </w:tcPr>
          <w:p w14:paraId="52B67793"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Consultorías para realización de estudios específicos y/o de sistematización de experiencias.</w:t>
            </w:r>
          </w:p>
        </w:tc>
        <w:tc>
          <w:tcPr>
            <w:tcW w:w="2908" w:type="dxa"/>
            <w:shd w:val="clear" w:color="auto" w:fill="auto"/>
            <w:vAlign w:val="center"/>
            <w:hideMark/>
          </w:tcPr>
          <w:p w14:paraId="3D163245"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j.         Consultoría para el diseño de infraestructura ambiental: tratamiento de aguas residuales y manejo de desechos sólidos.</w:t>
            </w:r>
          </w:p>
        </w:tc>
        <w:tc>
          <w:tcPr>
            <w:tcW w:w="2142" w:type="dxa"/>
            <w:shd w:val="clear" w:color="auto" w:fill="auto"/>
            <w:noWrap/>
            <w:vAlign w:val="center"/>
            <w:hideMark/>
          </w:tcPr>
          <w:p w14:paraId="1793622D" w14:textId="77777777" w:rsidR="006A3DBC" w:rsidRPr="00CF0F96" w:rsidRDefault="006A3DBC" w:rsidP="003F2AF3">
            <w:pPr>
              <w:spacing w:after="0" w:line="240" w:lineRule="auto"/>
              <w:jc w:val="center"/>
              <w:rPr>
                <w:rFonts w:eastAsia="Times New Roman" w:cs="Arial"/>
                <w:sz w:val="18"/>
                <w:szCs w:val="18"/>
                <w:lang w:eastAsia="es-AR"/>
              </w:rPr>
            </w:pPr>
            <w:r w:rsidRPr="00CF0F96">
              <w:rPr>
                <w:rFonts w:eastAsia="Times New Roman" w:cs="Arial"/>
                <w:sz w:val="18"/>
                <w:szCs w:val="18"/>
                <w:lang w:eastAsia="es-AR"/>
              </w:rPr>
              <w:t>40.000,00</w:t>
            </w:r>
          </w:p>
        </w:tc>
        <w:tc>
          <w:tcPr>
            <w:tcW w:w="2582" w:type="dxa"/>
            <w:shd w:val="clear" w:color="auto" w:fill="auto"/>
            <w:noWrap/>
            <w:vAlign w:val="center"/>
            <w:hideMark/>
          </w:tcPr>
          <w:p w14:paraId="0C2A1B69"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 </w:t>
            </w:r>
          </w:p>
        </w:tc>
      </w:tr>
      <w:tr w:rsidR="006A3DBC" w:rsidRPr="00FA4B2D" w14:paraId="4F04BFFA" w14:textId="77777777" w:rsidTr="002B7276">
        <w:trPr>
          <w:trHeight w:val="594"/>
        </w:trPr>
        <w:tc>
          <w:tcPr>
            <w:tcW w:w="1985" w:type="dxa"/>
            <w:vMerge/>
            <w:vAlign w:val="center"/>
            <w:hideMark/>
          </w:tcPr>
          <w:p w14:paraId="7835A5CC" w14:textId="77777777" w:rsidR="006A3DBC" w:rsidRPr="00CF0F96" w:rsidRDefault="006A3DBC" w:rsidP="005F4A92">
            <w:pPr>
              <w:spacing w:after="0" w:line="240" w:lineRule="auto"/>
              <w:jc w:val="both"/>
              <w:rPr>
                <w:rFonts w:eastAsia="Times New Roman" w:cs="Arial"/>
                <w:sz w:val="18"/>
                <w:szCs w:val="18"/>
                <w:lang w:eastAsia="es-AR"/>
              </w:rPr>
            </w:pPr>
          </w:p>
        </w:tc>
        <w:tc>
          <w:tcPr>
            <w:tcW w:w="2908" w:type="dxa"/>
            <w:shd w:val="clear" w:color="auto" w:fill="auto"/>
            <w:vAlign w:val="center"/>
            <w:hideMark/>
          </w:tcPr>
          <w:p w14:paraId="3D2678E6"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k.       Sistematización de BPA por cadena productiva y la identificación de oportunidades de negocios verdes.</w:t>
            </w:r>
          </w:p>
        </w:tc>
        <w:tc>
          <w:tcPr>
            <w:tcW w:w="2142" w:type="dxa"/>
            <w:shd w:val="clear" w:color="auto" w:fill="auto"/>
            <w:noWrap/>
            <w:vAlign w:val="center"/>
            <w:hideMark/>
          </w:tcPr>
          <w:p w14:paraId="07F8D7B7" w14:textId="3B016118" w:rsidR="006A3DBC" w:rsidRPr="00CF0F96" w:rsidRDefault="006A3DBC" w:rsidP="003F2AF3">
            <w:pPr>
              <w:spacing w:after="0" w:line="240" w:lineRule="auto"/>
              <w:jc w:val="center"/>
              <w:rPr>
                <w:rFonts w:eastAsia="Times New Roman" w:cs="Arial"/>
                <w:sz w:val="18"/>
                <w:szCs w:val="18"/>
                <w:lang w:eastAsia="es-AR"/>
              </w:rPr>
            </w:pPr>
            <w:r w:rsidRPr="00CF0F96">
              <w:rPr>
                <w:rFonts w:eastAsia="Times New Roman" w:cs="Arial"/>
                <w:sz w:val="18"/>
                <w:szCs w:val="18"/>
                <w:lang w:eastAsia="es-AR"/>
              </w:rPr>
              <w:t>10.000,00</w:t>
            </w:r>
          </w:p>
        </w:tc>
        <w:tc>
          <w:tcPr>
            <w:tcW w:w="2582" w:type="dxa"/>
            <w:shd w:val="clear" w:color="auto" w:fill="auto"/>
            <w:noWrap/>
            <w:vAlign w:val="center"/>
            <w:hideMark/>
          </w:tcPr>
          <w:p w14:paraId="707837E2"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 </w:t>
            </w:r>
          </w:p>
        </w:tc>
      </w:tr>
      <w:tr w:rsidR="006A3DBC" w:rsidRPr="00FA4B2D" w14:paraId="050F0236" w14:textId="77777777" w:rsidTr="002B7276">
        <w:trPr>
          <w:trHeight w:val="594"/>
        </w:trPr>
        <w:tc>
          <w:tcPr>
            <w:tcW w:w="1985" w:type="dxa"/>
            <w:vMerge/>
            <w:vAlign w:val="center"/>
            <w:hideMark/>
          </w:tcPr>
          <w:p w14:paraId="0445C2CC" w14:textId="77777777" w:rsidR="006A3DBC" w:rsidRPr="00CF0F96" w:rsidRDefault="006A3DBC" w:rsidP="005F4A92">
            <w:pPr>
              <w:spacing w:after="0" w:line="240" w:lineRule="auto"/>
              <w:jc w:val="both"/>
              <w:rPr>
                <w:rFonts w:eastAsia="Times New Roman" w:cs="Arial"/>
                <w:sz w:val="18"/>
                <w:szCs w:val="18"/>
                <w:lang w:eastAsia="es-AR"/>
              </w:rPr>
            </w:pPr>
          </w:p>
        </w:tc>
        <w:tc>
          <w:tcPr>
            <w:tcW w:w="2908" w:type="dxa"/>
            <w:shd w:val="clear" w:color="auto" w:fill="auto"/>
            <w:vAlign w:val="center"/>
            <w:hideMark/>
          </w:tcPr>
          <w:p w14:paraId="034ED1F2"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l.         Diseño de fichas de buenas prácticas ambientales para las principales cadenas productivas.</w:t>
            </w:r>
          </w:p>
        </w:tc>
        <w:tc>
          <w:tcPr>
            <w:tcW w:w="2142" w:type="dxa"/>
            <w:shd w:val="clear" w:color="auto" w:fill="auto"/>
            <w:noWrap/>
            <w:vAlign w:val="center"/>
            <w:hideMark/>
          </w:tcPr>
          <w:p w14:paraId="01D8EF7C" w14:textId="77777777" w:rsidR="006A3DBC" w:rsidRPr="00CF0F96" w:rsidRDefault="006A3DBC" w:rsidP="00E62A62">
            <w:pPr>
              <w:spacing w:after="0" w:line="240" w:lineRule="auto"/>
              <w:jc w:val="center"/>
              <w:rPr>
                <w:rFonts w:eastAsia="Times New Roman" w:cs="Arial"/>
                <w:sz w:val="18"/>
                <w:szCs w:val="18"/>
                <w:lang w:eastAsia="es-AR"/>
              </w:rPr>
            </w:pPr>
            <w:r w:rsidRPr="00CF0F96">
              <w:rPr>
                <w:rFonts w:eastAsia="Times New Roman" w:cs="Arial"/>
                <w:sz w:val="18"/>
                <w:szCs w:val="18"/>
                <w:lang w:eastAsia="es-AR"/>
              </w:rPr>
              <w:t>30.000,00</w:t>
            </w:r>
          </w:p>
        </w:tc>
        <w:tc>
          <w:tcPr>
            <w:tcW w:w="2582" w:type="dxa"/>
            <w:shd w:val="clear" w:color="auto" w:fill="auto"/>
            <w:noWrap/>
            <w:vAlign w:val="center"/>
            <w:hideMark/>
          </w:tcPr>
          <w:p w14:paraId="7A680EDC"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 </w:t>
            </w:r>
          </w:p>
        </w:tc>
      </w:tr>
      <w:tr w:rsidR="006A3DBC" w:rsidRPr="00FA4B2D" w14:paraId="04651CAF" w14:textId="77777777" w:rsidTr="002B7276">
        <w:trPr>
          <w:trHeight w:val="594"/>
        </w:trPr>
        <w:tc>
          <w:tcPr>
            <w:tcW w:w="1985" w:type="dxa"/>
            <w:vMerge/>
            <w:vAlign w:val="center"/>
            <w:hideMark/>
          </w:tcPr>
          <w:p w14:paraId="2BD47A01" w14:textId="77777777" w:rsidR="006A3DBC" w:rsidRPr="00CF0F96" w:rsidRDefault="006A3DBC" w:rsidP="005F4A92">
            <w:pPr>
              <w:spacing w:after="0" w:line="240" w:lineRule="auto"/>
              <w:jc w:val="both"/>
              <w:rPr>
                <w:rFonts w:eastAsia="Times New Roman" w:cs="Arial"/>
                <w:sz w:val="18"/>
                <w:szCs w:val="18"/>
                <w:lang w:eastAsia="es-AR"/>
              </w:rPr>
            </w:pPr>
          </w:p>
        </w:tc>
        <w:tc>
          <w:tcPr>
            <w:tcW w:w="2908" w:type="dxa"/>
            <w:shd w:val="clear" w:color="auto" w:fill="auto"/>
            <w:vAlign w:val="center"/>
            <w:hideMark/>
          </w:tcPr>
          <w:p w14:paraId="11594E89"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m.     Medios y medidas de divulgación e información de resultados de gestión socioambiental.</w:t>
            </w:r>
          </w:p>
        </w:tc>
        <w:tc>
          <w:tcPr>
            <w:tcW w:w="2142" w:type="dxa"/>
            <w:shd w:val="clear" w:color="auto" w:fill="auto"/>
            <w:noWrap/>
            <w:vAlign w:val="center"/>
            <w:hideMark/>
          </w:tcPr>
          <w:p w14:paraId="2A268CE7"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 </w:t>
            </w:r>
          </w:p>
        </w:tc>
        <w:tc>
          <w:tcPr>
            <w:tcW w:w="2582" w:type="dxa"/>
            <w:shd w:val="clear" w:color="auto" w:fill="auto"/>
            <w:noWrap/>
            <w:vAlign w:val="center"/>
            <w:hideMark/>
          </w:tcPr>
          <w:p w14:paraId="23F83710"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Sitio web de ComRural y OPRs.</w:t>
            </w:r>
          </w:p>
        </w:tc>
      </w:tr>
      <w:tr w:rsidR="006A3DBC" w:rsidRPr="00FA4B2D" w14:paraId="6ADF5B08" w14:textId="77777777" w:rsidTr="002B7276">
        <w:trPr>
          <w:trHeight w:val="594"/>
        </w:trPr>
        <w:tc>
          <w:tcPr>
            <w:tcW w:w="1985" w:type="dxa"/>
            <w:vMerge/>
            <w:vAlign w:val="center"/>
            <w:hideMark/>
          </w:tcPr>
          <w:p w14:paraId="360A1E12" w14:textId="77777777" w:rsidR="006A3DBC" w:rsidRPr="00CF0F96" w:rsidRDefault="006A3DBC" w:rsidP="005F4A92">
            <w:pPr>
              <w:spacing w:after="0" w:line="240" w:lineRule="auto"/>
              <w:rPr>
                <w:rFonts w:eastAsia="Times New Roman" w:cs="Arial"/>
                <w:sz w:val="18"/>
                <w:szCs w:val="18"/>
                <w:lang w:eastAsia="es-AR"/>
              </w:rPr>
            </w:pPr>
          </w:p>
        </w:tc>
        <w:tc>
          <w:tcPr>
            <w:tcW w:w="2908" w:type="dxa"/>
            <w:shd w:val="clear" w:color="auto" w:fill="FFFFFF" w:themeFill="background1"/>
            <w:vAlign w:val="center"/>
            <w:hideMark/>
          </w:tcPr>
          <w:p w14:paraId="3D3070BB" w14:textId="77777777" w:rsidR="006A3DBC" w:rsidRPr="00CF0F96" w:rsidRDefault="006A3DBC" w:rsidP="005F4A92">
            <w:pPr>
              <w:spacing w:after="0" w:line="240" w:lineRule="auto"/>
              <w:rPr>
                <w:rFonts w:eastAsia="Times New Roman" w:cs="Arial"/>
                <w:sz w:val="18"/>
                <w:szCs w:val="18"/>
                <w:lang w:eastAsia="es-AR"/>
              </w:rPr>
            </w:pPr>
            <w:r w:rsidRPr="00CF0F96">
              <w:rPr>
                <w:rFonts w:eastAsia="Times New Roman" w:cs="Arial"/>
                <w:sz w:val="18"/>
                <w:szCs w:val="18"/>
                <w:lang w:eastAsia="es-AR"/>
              </w:rPr>
              <w:t>o.       Diseño de Estrategia de participación de jóvenes y mujeres en las organizaciones.</w:t>
            </w:r>
          </w:p>
        </w:tc>
        <w:tc>
          <w:tcPr>
            <w:tcW w:w="2142" w:type="dxa"/>
            <w:shd w:val="clear" w:color="auto" w:fill="auto"/>
            <w:noWrap/>
            <w:vAlign w:val="center"/>
            <w:hideMark/>
          </w:tcPr>
          <w:p w14:paraId="066187C2" w14:textId="77777777" w:rsidR="006A3DBC" w:rsidRPr="00CF0F96" w:rsidRDefault="006A3DBC" w:rsidP="005F4A92">
            <w:pPr>
              <w:spacing w:after="0" w:line="240" w:lineRule="auto"/>
              <w:rPr>
                <w:rFonts w:eastAsia="Times New Roman" w:cs="Arial"/>
                <w:sz w:val="18"/>
                <w:szCs w:val="18"/>
                <w:lang w:eastAsia="es-AR"/>
              </w:rPr>
            </w:pPr>
            <w:r w:rsidRPr="00CF0F96">
              <w:rPr>
                <w:rFonts w:eastAsia="Times New Roman" w:cs="Arial"/>
                <w:sz w:val="18"/>
                <w:szCs w:val="18"/>
                <w:lang w:eastAsia="es-AR"/>
              </w:rPr>
              <w:t> </w:t>
            </w:r>
          </w:p>
        </w:tc>
        <w:tc>
          <w:tcPr>
            <w:tcW w:w="2582" w:type="dxa"/>
            <w:vMerge w:val="restart"/>
            <w:shd w:val="clear" w:color="auto" w:fill="auto"/>
            <w:vAlign w:val="center"/>
            <w:hideMark/>
          </w:tcPr>
          <w:p w14:paraId="66A1DE70"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 xml:space="preserve">Se demanda como parte de la asesoría técnica que brindan </w:t>
            </w:r>
            <w:r w:rsidRPr="00CF0F96">
              <w:rPr>
                <w:rFonts w:eastAsia="Times New Roman" w:cs="Arial"/>
                <w:sz w:val="18"/>
                <w:szCs w:val="18"/>
                <w:lang w:eastAsia="es-AR"/>
              </w:rPr>
              <w:lastRenderedPageBreak/>
              <w:t xml:space="preserve">los PSDEs para la ejecución de </w:t>
            </w:r>
            <w:r w:rsidRPr="00CF0F96">
              <w:rPr>
                <w:rFonts w:eastAsia="Times New Roman" w:cs="Arial"/>
                <w:sz w:val="20"/>
                <w:szCs w:val="20"/>
                <w:lang w:val="es-HN"/>
              </w:rPr>
              <w:t>PdNs.</w:t>
            </w:r>
          </w:p>
        </w:tc>
      </w:tr>
      <w:tr w:rsidR="006A3DBC" w:rsidRPr="00FA4B2D" w14:paraId="380E1C14" w14:textId="77777777" w:rsidTr="002B7276">
        <w:trPr>
          <w:trHeight w:val="524"/>
        </w:trPr>
        <w:tc>
          <w:tcPr>
            <w:tcW w:w="1985" w:type="dxa"/>
            <w:vMerge/>
            <w:vAlign w:val="center"/>
            <w:hideMark/>
          </w:tcPr>
          <w:p w14:paraId="15B434C6" w14:textId="77777777" w:rsidR="006A3DBC" w:rsidRPr="00CF0F96" w:rsidRDefault="006A3DBC" w:rsidP="005F4A92">
            <w:pPr>
              <w:spacing w:after="0" w:line="240" w:lineRule="auto"/>
              <w:rPr>
                <w:rFonts w:eastAsia="Times New Roman" w:cs="Arial"/>
                <w:sz w:val="18"/>
                <w:szCs w:val="18"/>
                <w:lang w:eastAsia="es-AR"/>
              </w:rPr>
            </w:pPr>
          </w:p>
        </w:tc>
        <w:tc>
          <w:tcPr>
            <w:tcW w:w="2908" w:type="dxa"/>
            <w:shd w:val="clear" w:color="auto" w:fill="FFFFFF" w:themeFill="background1"/>
            <w:vAlign w:val="center"/>
            <w:hideMark/>
          </w:tcPr>
          <w:p w14:paraId="3D5954F0" w14:textId="77777777" w:rsidR="006A3DBC" w:rsidRPr="00CF0F96" w:rsidRDefault="006A3DBC" w:rsidP="005F4A92">
            <w:pPr>
              <w:spacing w:after="0" w:line="240" w:lineRule="auto"/>
              <w:rPr>
                <w:rFonts w:eastAsia="Times New Roman" w:cs="Arial"/>
                <w:sz w:val="18"/>
                <w:szCs w:val="18"/>
                <w:lang w:eastAsia="es-AR"/>
              </w:rPr>
            </w:pPr>
            <w:r w:rsidRPr="00CF0F96">
              <w:rPr>
                <w:rFonts w:eastAsia="Times New Roman" w:cs="Arial"/>
                <w:sz w:val="18"/>
                <w:szCs w:val="18"/>
                <w:lang w:eastAsia="es-AR"/>
              </w:rPr>
              <w:t>p.       Formación de jóvenes y mujeres en agronegocios.</w:t>
            </w:r>
          </w:p>
        </w:tc>
        <w:tc>
          <w:tcPr>
            <w:tcW w:w="2142" w:type="dxa"/>
            <w:shd w:val="clear" w:color="auto" w:fill="auto"/>
            <w:noWrap/>
            <w:vAlign w:val="center"/>
            <w:hideMark/>
          </w:tcPr>
          <w:p w14:paraId="271C6031" w14:textId="77777777" w:rsidR="006A3DBC" w:rsidRPr="00CF0F96" w:rsidRDefault="006A3DBC" w:rsidP="005F4A92">
            <w:pPr>
              <w:spacing w:after="0" w:line="240" w:lineRule="auto"/>
              <w:rPr>
                <w:rFonts w:eastAsia="Times New Roman" w:cs="Arial"/>
                <w:sz w:val="18"/>
                <w:szCs w:val="18"/>
                <w:lang w:eastAsia="es-AR"/>
              </w:rPr>
            </w:pPr>
            <w:r w:rsidRPr="00CF0F96">
              <w:rPr>
                <w:rFonts w:eastAsia="Times New Roman" w:cs="Arial"/>
                <w:sz w:val="18"/>
                <w:szCs w:val="18"/>
                <w:lang w:eastAsia="es-AR"/>
              </w:rPr>
              <w:t> </w:t>
            </w:r>
          </w:p>
        </w:tc>
        <w:tc>
          <w:tcPr>
            <w:tcW w:w="2582" w:type="dxa"/>
            <w:vMerge/>
            <w:vAlign w:val="center"/>
            <w:hideMark/>
          </w:tcPr>
          <w:p w14:paraId="06A30BF3" w14:textId="77777777" w:rsidR="006A3DBC" w:rsidRPr="00CF0F96" w:rsidRDefault="006A3DBC" w:rsidP="005F4A92">
            <w:pPr>
              <w:spacing w:after="0" w:line="240" w:lineRule="auto"/>
              <w:rPr>
                <w:rFonts w:eastAsia="Times New Roman" w:cs="Arial"/>
                <w:sz w:val="18"/>
                <w:szCs w:val="18"/>
                <w:lang w:eastAsia="es-AR"/>
              </w:rPr>
            </w:pPr>
          </w:p>
        </w:tc>
      </w:tr>
      <w:tr w:rsidR="006A3DBC" w:rsidRPr="00FA4B2D" w14:paraId="6663DCF1" w14:textId="77777777" w:rsidTr="002B7276">
        <w:trPr>
          <w:trHeight w:val="316"/>
        </w:trPr>
        <w:tc>
          <w:tcPr>
            <w:tcW w:w="4893" w:type="dxa"/>
            <w:gridSpan w:val="2"/>
            <w:shd w:val="clear" w:color="auto" w:fill="auto"/>
            <w:noWrap/>
            <w:vAlign w:val="center"/>
            <w:hideMark/>
          </w:tcPr>
          <w:p w14:paraId="10580AF4" w14:textId="77777777" w:rsidR="006A3DBC" w:rsidRPr="00CF0F96" w:rsidRDefault="006A3DBC" w:rsidP="005F4A92">
            <w:pPr>
              <w:spacing w:after="0" w:line="240" w:lineRule="auto"/>
              <w:jc w:val="center"/>
              <w:rPr>
                <w:rFonts w:eastAsia="Times New Roman" w:cs="Arial"/>
                <w:b/>
                <w:bCs/>
                <w:sz w:val="18"/>
                <w:szCs w:val="18"/>
                <w:lang w:eastAsia="es-AR"/>
              </w:rPr>
            </w:pPr>
            <w:r w:rsidRPr="00CF0F96">
              <w:rPr>
                <w:rFonts w:eastAsia="Times New Roman" w:cs="Arial"/>
                <w:b/>
                <w:bCs/>
                <w:sz w:val="18"/>
                <w:szCs w:val="18"/>
                <w:lang w:eastAsia="es-AR"/>
              </w:rPr>
              <w:t xml:space="preserve">Sub Total fortalecimiento OPRs </w:t>
            </w:r>
          </w:p>
        </w:tc>
        <w:tc>
          <w:tcPr>
            <w:tcW w:w="2142" w:type="dxa"/>
            <w:shd w:val="clear" w:color="auto" w:fill="auto"/>
            <w:noWrap/>
            <w:vAlign w:val="center"/>
            <w:hideMark/>
          </w:tcPr>
          <w:p w14:paraId="1CA8E465" w14:textId="77777777" w:rsidR="006A3DBC" w:rsidRPr="00CF0F96" w:rsidRDefault="006A3DBC" w:rsidP="00E62A62">
            <w:pPr>
              <w:spacing w:after="0" w:line="240" w:lineRule="auto"/>
              <w:jc w:val="center"/>
              <w:rPr>
                <w:rFonts w:eastAsia="Times New Roman" w:cs="Arial"/>
                <w:b/>
                <w:bCs/>
                <w:sz w:val="18"/>
                <w:szCs w:val="18"/>
                <w:lang w:eastAsia="es-AR"/>
              </w:rPr>
            </w:pPr>
            <w:r w:rsidRPr="00CF0F96">
              <w:rPr>
                <w:rFonts w:eastAsia="Times New Roman" w:cs="Arial"/>
                <w:b/>
                <w:bCs/>
                <w:sz w:val="18"/>
                <w:szCs w:val="18"/>
                <w:lang w:eastAsia="es-AR"/>
              </w:rPr>
              <w:t>80.000,00</w:t>
            </w:r>
          </w:p>
        </w:tc>
        <w:tc>
          <w:tcPr>
            <w:tcW w:w="2582" w:type="dxa"/>
            <w:shd w:val="clear" w:color="auto" w:fill="auto"/>
            <w:noWrap/>
            <w:vAlign w:val="center"/>
            <w:hideMark/>
          </w:tcPr>
          <w:p w14:paraId="164EC18C" w14:textId="77777777" w:rsidR="006A3DBC" w:rsidRPr="00CF0F96" w:rsidRDefault="006A3DBC" w:rsidP="005F4A92">
            <w:pPr>
              <w:spacing w:after="0" w:line="240" w:lineRule="auto"/>
              <w:rPr>
                <w:rFonts w:eastAsia="Times New Roman" w:cs="Arial"/>
                <w:sz w:val="18"/>
                <w:szCs w:val="18"/>
                <w:lang w:eastAsia="es-AR"/>
              </w:rPr>
            </w:pPr>
            <w:r w:rsidRPr="00CF0F96">
              <w:rPr>
                <w:rFonts w:eastAsia="Times New Roman" w:cs="Arial"/>
                <w:sz w:val="18"/>
                <w:szCs w:val="18"/>
                <w:lang w:eastAsia="es-AR"/>
              </w:rPr>
              <w:t> </w:t>
            </w:r>
          </w:p>
        </w:tc>
      </w:tr>
      <w:tr w:rsidR="006A3DBC" w:rsidRPr="00FA4B2D" w14:paraId="7165C6C8" w14:textId="77777777" w:rsidTr="002B7276">
        <w:trPr>
          <w:trHeight w:val="643"/>
        </w:trPr>
        <w:tc>
          <w:tcPr>
            <w:tcW w:w="1985" w:type="dxa"/>
            <w:vMerge w:val="restart"/>
            <w:shd w:val="clear" w:color="auto" w:fill="auto"/>
            <w:vAlign w:val="center"/>
            <w:hideMark/>
          </w:tcPr>
          <w:p w14:paraId="201FF586"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Equipos e insumos para funcionamiento del Equipo Ambiental y Social del Proyecto.</w:t>
            </w:r>
          </w:p>
        </w:tc>
        <w:tc>
          <w:tcPr>
            <w:tcW w:w="2908" w:type="dxa"/>
            <w:shd w:val="clear" w:color="auto" w:fill="auto"/>
            <w:noWrap/>
            <w:vAlign w:val="center"/>
            <w:hideMark/>
          </w:tcPr>
          <w:p w14:paraId="051AE5B5"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 xml:space="preserve">a.       Vehículos para Equipo Ambiental y Social del Proyecto. </w:t>
            </w:r>
          </w:p>
        </w:tc>
        <w:tc>
          <w:tcPr>
            <w:tcW w:w="2142" w:type="dxa"/>
            <w:shd w:val="clear" w:color="auto" w:fill="auto"/>
            <w:noWrap/>
            <w:vAlign w:val="center"/>
            <w:hideMark/>
          </w:tcPr>
          <w:p w14:paraId="73EB03ED" w14:textId="77777777" w:rsidR="006A3DBC" w:rsidRPr="00CF0F96" w:rsidRDefault="006A3DBC" w:rsidP="00E62A62">
            <w:pPr>
              <w:spacing w:after="0" w:line="240" w:lineRule="auto"/>
              <w:jc w:val="center"/>
              <w:rPr>
                <w:rFonts w:eastAsia="Times New Roman" w:cs="Arial"/>
                <w:sz w:val="18"/>
                <w:szCs w:val="18"/>
                <w:lang w:eastAsia="es-AR"/>
              </w:rPr>
            </w:pPr>
            <w:r w:rsidRPr="00CF0F96">
              <w:rPr>
                <w:rFonts w:eastAsia="Times New Roman" w:cs="Arial"/>
                <w:sz w:val="18"/>
                <w:szCs w:val="18"/>
                <w:lang w:eastAsia="es-AR"/>
              </w:rPr>
              <w:t>74.000,00</w:t>
            </w:r>
          </w:p>
        </w:tc>
        <w:tc>
          <w:tcPr>
            <w:tcW w:w="2582" w:type="dxa"/>
            <w:shd w:val="clear" w:color="auto" w:fill="auto"/>
            <w:noWrap/>
            <w:vAlign w:val="center"/>
            <w:hideMark/>
          </w:tcPr>
          <w:p w14:paraId="1A029DA0"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37,000.00 por vehículo.</w:t>
            </w:r>
          </w:p>
        </w:tc>
      </w:tr>
      <w:tr w:rsidR="006A3DBC" w:rsidRPr="00FA4B2D" w14:paraId="5E2C2DC5" w14:textId="77777777" w:rsidTr="002B7276">
        <w:trPr>
          <w:trHeight w:val="624"/>
        </w:trPr>
        <w:tc>
          <w:tcPr>
            <w:tcW w:w="1985" w:type="dxa"/>
            <w:vMerge/>
            <w:vAlign w:val="center"/>
            <w:hideMark/>
          </w:tcPr>
          <w:p w14:paraId="6887E7AE" w14:textId="77777777" w:rsidR="006A3DBC" w:rsidRPr="00CF0F96" w:rsidRDefault="006A3DBC" w:rsidP="005F4A92">
            <w:pPr>
              <w:spacing w:after="0" w:line="240" w:lineRule="auto"/>
              <w:jc w:val="both"/>
              <w:rPr>
                <w:rFonts w:eastAsia="Times New Roman" w:cs="Arial"/>
                <w:sz w:val="18"/>
                <w:szCs w:val="18"/>
                <w:lang w:eastAsia="es-AR"/>
              </w:rPr>
            </w:pPr>
          </w:p>
        </w:tc>
        <w:tc>
          <w:tcPr>
            <w:tcW w:w="2908" w:type="dxa"/>
            <w:shd w:val="clear" w:color="auto" w:fill="auto"/>
            <w:vAlign w:val="center"/>
            <w:hideMark/>
          </w:tcPr>
          <w:p w14:paraId="40CFF652"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b.       Equipo de oficina: laptops, GPS, Cámara, escritorios, impresora, proyector portátil.</w:t>
            </w:r>
          </w:p>
        </w:tc>
        <w:tc>
          <w:tcPr>
            <w:tcW w:w="2142" w:type="dxa"/>
            <w:shd w:val="clear" w:color="auto" w:fill="auto"/>
            <w:noWrap/>
            <w:vAlign w:val="center"/>
            <w:hideMark/>
          </w:tcPr>
          <w:p w14:paraId="05298827" w14:textId="77777777" w:rsidR="006A3DBC" w:rsidRPr="00CF0F96" w:rsidRDefault="006A3DBC" w:rsidP="00E62A62">
            <w:pPr>
              <w:spacing w:after="0" w:line="240" w:lineRule="auto"/>
              <w:jc w:val="center"/>
              <w:rPr>
                <w:rFonts w:eastAsia="Times New Roman" w:cs="Arial"/>
                <w:sz w:val="18"/>
                <w:szCs w:val="18"/>
                <w:lang w:eastAsia="es-AR"/>
              </w:rPr>
            </w:pPr>
            <w:r w:rsidRPr="00CF0F96">
              <w:rPr>
                <w:rFonts w:eastAsia="Times New Roman" w:cs="Arial"/>
                <w:sz w:val="18"/>
                <w:szCs w:val="18"/>
                <w:lang w:eastAsia="es-AR"/>
              </w:rPr>
              <w:t>26.000,00</w:t>
            </w:r>
          </w:p>
        </w:tc>
        <w:tc>
          <w:tcPr>
            <w:tcW w:w="2582" w:type="dxa"/>
            <w:shd w:val="clear" w:color="auto" w:fill="auto"/>
            <w:vAlign w:val="center"/>
            <w:hideMark/>
          </w:tcPr>
          <w:p w14:paraId="2558E3E9"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 xml:space="preserve">Equipo de cómputo y de oficina para el Equipo Ambiental y Social del Proyecto. </w:t>
            </w:r>
          </w:p>
        </w:tc>
      </w:tr>
      <w:tr w:rsidR="006A3DBC" w:rsidRPr="00FA4B2D" w14:paraId="312C42ED" w14:textId="77777777" w:rsidTr="002B7276">
        <w:trPr>
          <w:trHeight w:val="495"/>
        </w:trPr>
        <w:tc>
          <w:tcPr>
            <w:tcW w:w="1985" w:type="dxa"/>
            <w:shd w:val="clear" w:color="auto" w:fill="auto"/>
            <w:noWrap/>
            <w:vAlign w:val="center"/>
            <w:hideMark/>
          </w:tcPr>
          <w:p w14:paraId="5FE4CD62" w14:textId="6BF042C1" w:rsidR="006A3DBC" w:rsidRPr="00CF0F96" w:rsidRDefault="00E62A62" w:rsidP="00E62A62">
            <w:pPr>
              <w:spacing w:after="0" w:line="240" w:lineRule="auto"/>
              <w:jc w:val="center"/>
              <w:rPr>
                <w:rFonts w:eastAsia="Times New Roman" w:cs="Arial"/>
                <w:b/>
                <w:bCs/>
                <w:sz w:val="18"/>
                <w:szCs w:val="18"/>
                <w:lang w:eastAsia="es-AR"/>
              </w:rPr>
            </w:pPr>
            <w:r w:rsidRPr="00CF0F96">
              <w:rPr>
                <w:rFonts w:eastAsia="Times New Roman" w:cs="Arial"/>
                <w:b/>
                <w:bCs/>
                <w:sz w:val="18"/>
                <w:szCs w:val="18"/>
                <w:lang w:eastAsia="es-AR"/>
              </w:rPr>
              <w:t>Subtotal</w:t>
            </w:r>
          </w:p>
        </w:tc>
        <w:tc>
          <w:tcPr>
            <w:tcW w:w="2908" w:type="dxa"/>
            <w:shd w:val="clear" w:color="auto" w:fill="auto"/>
            <w:noWrap/>
            <w:vAlign w:val="center"/>
            <w:hideMark/>
          </w:tcPr>
          <w:p w14:paraId="67A81B3D"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 </w:t>
            </w:r>
          </w:p>
        </w:tc>
        <w:tc>
          <w:tcPr>
            <w:tcW w:w="2142" w:type="dxa"/>
            <w:shd w:val="clear" w:color="auto" w:fill="auto"/>
            <w:noWrap/>
            <w:vAlign w:val="center"/>
            <w:hideMark/>
          </w:tcPr>
          <w:p w14:paraId="3729EFEB" w14:textId="77777777" w:rsidR="006A3DBC" w:rsidRPr="00CF0F96" w:rsidRDefault="006A3DBC" w:rsidP="00E62A62">
            <w:pPr>
              <w:spacing w:after="0" w:line="240" w:lineRule="auto"/>
              <w:jc w:val="center"/>
              <w:rPr>
                <w:rFonts w:eastAsia="Times New Roman" w:cs="Arial"/>
                <w:b/>
                <w:bCs/>
                <w:sz w:val="18"/>
                <w:szCs w:val="18"/>
                <w:lang w:eastAsia="es-AR"/>
              </w:rPr>
            </w:pPr>
            <w:r w:rsidRPr="00CF0F96">
              <w:rPr>
                <w:rFonts w:eastAsia="Times New Roman" w:cs="Arial"/>
                <w:b/>
                <w:bCs/>
                <w:sz w:val="18"/>
                <w:szCs w:val="18"/>
                <w:lang w:eastAsia="es-AR"/>
              </w:rPr>
              <w:t>100.000,00</w:t>
            </w:r>
          </w:p>
        </w:tc>
        <w:tc>
          <w:tcPr>
            <w:tcW w:w="2582" w:type="dxa"/>
            <w:shd w:val="clear" w:color="auto" w:fill="auto"/>
            <w:noWrap/>
            <w:vAlign w:val="center"/>
            <w:hideMark/>
          </w:tcPr>
          <w:p w14:paraId="5EE5CE68"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 </w:t>
            </w:r>
          </w:p>
        </w:tc>
      </w:tr>
      <w:tr w:rsidR="006A3DBC" w:rsidRPr="00FA4B2D" w14:paraId="6929C492" w14:textId="77777777" w:rsidTr="002B7276">
        <w:trPr>
          <w:trHeight w:val="594"/>
        </w:trPr>
        <w:tc>
          <w:tcPr>
            <w:tcW w:w="1985" w:type="dxa"/>
            <w:shd w:val="clear" w:color="auto" w:fill="auto"/>
            <w:noWrap/>
            <w:vAlign w:val="center"/>
            <w:hideMark/>
          </w:tcPr>
          <w:p w14:paraId="0A103B18"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Gastos operativos.</w:t>
            </w:r>
          </w:p>
        </w:tc>
        <w:tc>
          <w:tcPr>
            <w:tcW w:w="2908" w:type="dxa"/>
            <w:shd w:val="clear" w:color="auto" w:fill="auto"/>
            <w:vAlign w:val="center"/>
            <w:hideMark/>
          </w:tcPr>
          <w:p w14:paraId="2BB7B5A7"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c.       Gestión de RRHH: 1 especialistas ambientales y 1especialistas social.</w:t>
            </w:r>
          </w:p>
        </w:tc>
        <w:tc>
          <w:tcPr>
            <w:tcW w:w="2142" w:type="dxa"/>
            <w:shd w:val="clear" w:color="auto" w:fill="auto"/>
            <w:noWrap/>
            <w:vAlign w:val="center"/>
            <w:hideMark/>
          </w:tcPr>
          <w:p w14:paraId="41C08868" w14:textId="77777777" w:rsidR="006A3DBC" w:rsidRPr="00CF0F96" w:rsidRDefault="006A3DBC" w:rsidP="00E62A62">
            <w:pPr>
              <w:spacing w:after="0" w:line="240" w:lineRule="auto"/>
              <w:jc w:val="center"/>
              <w:rPr>
                <w:rFonts w:eastAsia="Times New Roman" w:cs="Arial"/>
                <w:sz w:val="18"/>
                <w:szCs w:val="18"/>
                <w:lang w:eastAsia="es-AR"/>
              </w:rPr>
            </w:pPr>
            <w:r w:rsidRPr="00CF0F96">
              <w:rPr>
                <w:rFonts w:eastAsia="Times New Roman" w:cs="Arial"/>
                <w:sz w:val="18"/>
                <w:szCs w:val="18"/>
                <w:lang w:eastAsia="es-AR"/>
              </w:rPr>
              <w:t>336,000.00</w:t>
            </w:r>
          </w:p>
        </w:tc>
        <w:tc>
          <w:tcPr>
            <w:tcW w:w="2582" w:type="dxa"/>
            <w:vMerge w:val="restart"/>
            <w:shd w:val="clear" w:color="auto" w:fill="auto"/>
            <w:noWrap/>
            <w:vAlign w:val="center"/>
            <w:hideMark/>
          </w:tcPr>
          <w:p w14:paraId="123DD53A"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Salarios</w:t>
            </w:r>
          </w:p>
        </w:tc>
      </w:tr>
      <w:tr w:rsidR="006A3DBC" w:rsidRPr="00FA4B2D" w14:paraId="0D83BA21" w14:textId="77777777" w:rsidTr="002B7276">
        <w:trPr>
          <w:trHeight w:val="594"/>
        </w:trPr>
        <w:tc>
          <w:tcPr>
            <w:tcW w:w="1985" w:type="dxa"/>
            <w:shd w:val="clear" w:color="auto" w:fill="auto"/>
            <w:noWrap/>
            <w:vAlign w:val="center"/>
          </w:tcPr>
          <w:p w14:paraId="0266FF37" w14:textId="77777777" w:rsidR="006A3DBC" w:rsidRPr="00CF0F96" w:rsidRDefault="006A3DBC" w:rsidP="005F4A92">
            <w:pPr>
              <w:spacing w:after="0" w:line="240" w:lineRule="auto"/>
              <w:jc w:val="both"/>
              <w:rPr>
                <w:rFonts w:eastAsia="Times New Roman" w:cs="Arial"/>
                <w:sz w:val="18"/>
                <w:szCs w:val="18"/>
                <w:lang w:eastAsia="es-AR"/>
              </w:rPr>
            </w:pPr>
          </w:p>
        </w:tc>
        <w:tc>
          <w:tcPr>
            <w:tcW w:w="2908" w:type="dxa"/>
            <w:shd w:val="clear" w:color="auto" w:fill="auto"/>
            <w:vAlign w:val="center"/>
          </w:tcPr>
          <w:p w14:paraId="4459A338"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6 oficiales: 3 sociales y 3 ambientales.</w:t>
            </w:r>
          </w:p>
        </w:tc>
        <w:tc>
          <w:tcPr>
            <w:tcW w:w="2142" w:type="dxa"/>
            <w:shd w:val="clear" w:color="auto" w:fill="auto"/>
            <w:noWrap/>
            <w:vAlign w:val="center"/>
          </w:tcPr>
          <w:p w14:paraId="3DD764B4" w14:textId="77777777" w:rsidR="006A3DBC" w:rsidRPr="00CF0F96" w:rsidDel="00761447" w:rsidRDefault="006A3DBC" w:rsidP="00E62A62">
            <w:pPr>
              <w:spacing w:after="0" w:line="240" w:lineRule="auto"/>
              <w:jc w:val="center"/>
              <w:rPr>
                <w:rFonts w:eastAsia="Times New Roman" w:cs="Arial"/>
                <w:sz w:val="18"/>
                <w:szCs w:val="18"/>
                <w:lang w:eastAsia="es-AR"/>
              </w:rPr>
            </w:pPr>
            <w:r w:rsidRPr="00CF0F96">
              <w:rPr>
                <w:rFonts w:eastAsia="Times New Roman" w:cs="Arial"/>
                <w:sz w:val="18"/>
                <w:szCs w:val="18"/>
                <w:lang w:eastAsia="es-AR"/>
              </w:rPr>
              <w:t>720,000.00</w:t>
            </w:r>
          </w:p>
        </w:tc>
        <w:tc>
          <w:tcPr>
            <w:tcW w:w="2582" w:type="dxa"/>
            <w:vMerge/>
            <w:noWrap/>
            <w:vAlign w:val="center"/>
          </w:tcPr>
          <w:p w14:paraId="0B3F1134" w14:textId="77777777" w:rsidR="006A3DBC" w:rsidRPr="00CF0F96" w:rsidRDefault="006A3DBC" w:rsidP="005F4A92">
            <w:pPr>
              <w:spacing w:after="0" w:line="240" w:lineRule="auto"/>
              <w:jc w:val="both"/>
              <w:rPr>
                <w:rFonts w:eastAsia="Times New Roman" w:cs="Arial"/>
                <w:sz w:val="18"/>
                <w:szCs w:val="18"/>
                <w:lang w:eastAsia="es-AR"/>
              </w:rPr>
            </w:pPr>
          </w:p>
        </w:tc>
      </w:tr>
      <w:tr w:rsidR="006A3DBC" w:rsidRPr="00FA4B2D" w14:paraId="20B01F99" w14:textId="77777777" w:rsidTr="002B7276">
        <w:trPr>
          <w:trHeight w:val="297"/>
        </w:trPr>
        <w:tc>
          <w:tcPr>
            <w:tcW w:w="1985" w:type="dxa"/>
            <w:shd w:val="clear" w:color="auto" w:fill="auto"/>
            <w:noWrap/>
            <w:vAlign w:val="center"/>
            <w:hideMark/>
          </w:tcPr>
          <w:p w14:paraId="11884D59"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 </w:t>
            </w:r>
          </w:p>
        </w:tc>
        <w:tc>
          <w:tcPr>
            <w:tcW w:w="2908" w:type="dxa"/>
            <w:shd w:val="clear" w:color="auto" w:fill="auto"/>
            <w:noWrap/>
            <w:vAlign w:val="center"/>
            <w:hideMark/>
          </w:tcPr>
          <w:p w14:paraId="350BFC24"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d.       Monitoreo y evaluación.</w:t>
            </w:r>
          </w:p>
        </w:tc>
        <w:tc>
          <w:tcPr>
            <w:tcW w:w="2142" w:type="dxa"/>
            <w:shd w:val="clear" w:color="auto" w:fill="auto"/>
            <w:noWrap/>
            <w:vAlign w:val="center"/>
            <w:hideMark/>
          </w:tcPr>
          <w:p w14:paraId="27D4BC62" w14:textId="77777777" w:rsidR="006A3DBC" w:rsidRPr="00CF0F96" w:rsidRDefault="006A3DBC" w:rsidP="00E62A62">
            <w:pPr>
              <w:spacing w:after="0" w:line="240" w:lineRule="auto"/>
              <w:jc w:val="center"/>
              <w:rPr>
                <w:rFonts w:eastAsia="Times New Roman" w:cs="Arial"/>
                <w:sz w:val="18"/>
                <w:szCs w:val="18"/>
                <w:lang w:eastAsia="es-AR"/>
              </w:rPr>
            </w:pPr>
            <w:r w:rsidRPr="00CF0F96">
              <w:rPr>
                <w:rFonts w:eastAsia="Times New Roman" w:cs="Arial"/>
                <w:sz w:val="18"/>
                <w:szCs w:val="18"/>
                <w:lang w:eastAsia="es-AR"/>
              </w:rPr>
              <w:t>48.000,00</w:t>
            </w:r>
          </w:p>
        </w:tc>
        <w:tc>
          <w:tcPr>
            <w:tcW w:w="2582" w:type="dxa"/>
            <w:shd w:val="clear" w:color="auto" w:fill="auto"/>
            <w:noWrap/>
            <w:vAlign w:val="center"/>
            <w:hideMark/>
          </w:tcPr>
          <w:p w14:paraId="274BC422"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viáticos y gastos de viaje</w:t>
            </w:r>
          </w:p>
        </w:tc>
      </w:tr>
      <w:tr w:rsidR="006A3DBC" w:rsidRPr="00FA4B2D" w14:paraId="7FA24C99" w14:textId="77777777" w:rsidTr="002B7276">
        <w:trPr>
          <w:trHeight w:val="921"/>
        </w:trPr>
        <w:tc>
          <w:tcPr>
            <w:tcW w:w="1985" w:type="dxa"/>
            <w:shd w:val="clear" w:color="auto" w:fill="auto"/>
            <w:noWrap/>
            <w:vAlign w:val="center"/>
            <w:hideMark/>
          </w:tcPr>
          <w:p w14:paraId="1FB902DB"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 </w:t>
            </w:r>
          </w:p>
        </w:tc>
        <w:tc>
          <w:tcPr>
            <w:tcW w:w="2908" w:type="dxa"/>
            <w:shd w:val="clear" w:color="auto" w:fill="auto"/>
            <w:noWrap/>
            <w:vAlign w:val="center"/>
            <w:hideMark/>
          </w:tcPr>
          <w:p w14:paraId="17AF4FF9"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e.       Auditorías.</w:t>
            </w:r>
          </w:p>
        </w:tc>
        <w:tc>
          <w:tcPr>
            <w:tcW w:w="2142" w:type="dxa"/>
            <w:shd w:val="clear" w:color="auto" w:fill="auto"/>
            <w:noWrap/>
            <w:vAlign w:val="center"/>
            <w:hideMark/>
          </w:tcPr>
          <w:p w14:paraId="3B9BB0B7" w14:textId="68F79DB5" w:rsidR="006A3DBC" w:rsidRPr="00CF0F96" w:rsidRDefault="006A3DBC" w:rsidP="00E62A62">
            <w:pPr>
              <w:spacing w:after="0" w:line="240" w:lineRule="auto"/>
              <w:jc w:val="center"/>
              <w:rPr>
                <w:rFonts w:eastAsia="Times New Roman" w:cs="Arial"/>
                <w:sz w:val="18"/>
                <w:szCs w:val="18"/>
                <w:lang w:eastAsia="es-AR"/>
              </w:rPr>
            </w:pPr>
          </w:p>
        </w:tc>
        <w:tc>
          <w:tcPr>
            <w:tcW w:w="2582" w:type="dxa"/>
            <w:shd w:val="clear" w:color="auto" w:fill="auto"/>
            <w:vAlign w:val="center"/>
            <w:hideMark/>
          </w:tcPr>
          <w:p w14:paraId="5ED72B3B" w14:textId="77777777" w:rsidR="006A3DBC" w:rsidRPr="00CF0F96" w:rsidRDefault="006A3DBC" w:rsidP="005F4A92">
            <w:pPr>
              <w:spacing w:after="0" w:line="240" w:lineRule="auto"/>
              <w:jc w:val="both"/>
              <w:rPr>
                <w:rFonts w:eastAsia="Times New Roman" w:cs="Arial"/>
                <w:sz w:val="18"/>
                <w:szCs w:val="18"/>
                <w:lang w:eastAsia="es-AR"/>
              </w:rPr>
            </w:pPr>
            <w:r w:rsidRPr="00CF0F96">
              <w:rPr>
                <w:rFonts w:eastAsia="Times New Roman" w:cs="Arial"/>
                <w:sz w:val="18"/>
                <w:szCs w:val="18"/>
                <w:lang w:eastAsia="es-AR"/>
              </w:rPr>
              <w:t>Como parte de las auditorías de procesos del Proyecto se incluye la verificación del cumplimiento de requisitos legales ambientales y sociales.</w:t>
            </w:r>
          </w:p>
        </w:tc>
      </w:tr>
      <w:tr w:rsidR="006A3DBC" w:rsidRPr="00FA4B2D" w14:paraId="36E12FAC" w14:textId="77777777" w:rsidTr="002B7276">
        <w:trPr>
          <w:trHeight w:val="297"/>
        </w:trPr>
        <w:tc>
          <w:tcPr>
            <w:tcW w:w="1985" w:type="dxa"/>
            <w:shd w:val="clear" w:color="auto" w:fill="auto"/>
            <w:noWrap/>
            <w:vAlign w:val="center"/>
            <w:hideMark/>
          </w:tcPr>
          <w:p w14:paraId="10618571" w14:textId="6426B999" w:rsidR="006A3DBC" w:rsidRPr="00CF0F96" w:rsidRDefault="00E62A62" w:rsidP="00E62A62">
            <w:pPr>
              <w:spacing w:after="0" w:line="240" w:lineRule="auto"/>
              <w:jc w:val="center"/>
              <w:rPr>
                <w:rFonts w:eastAsia="Times New Roman" w:cs="Arial"/>
                <w:b/>
                <w:bCs/>
                <w:sz w:val="18"/>
                <w:szCs w:val="18"/>
                <w:lang w:eastAsia="es-AR"/>
              </w:rPr>
            </w:pPr>
            <w:r w:rsidRPr="00CF0F96">
              <w:rPr>
                <w:rFonts w:eastAsia="Times New Roman" w:cs="Arial"/>
                <w:b/>
                <w:bCs/>
                <w:sz w:val="18"/>
                <w:szCs w:val="18"/>
                <w:lang w:eastAsia="es-AR"/>
              </w:rPr>
              <w:t>Subtotal</w:t>
            </w:r>
          </w:p>
        </w:tc>
        <w:tc>
          <w:tcPr>
            <w:tcW w:w="2908" w:type="dxa"/>
            <w:shd w:val="clear" w:color="auto" w:fill="auto"/>
            <w:noWrap/>
            <w:vAlign w:val="center"/>
            <w:hideMark/>
          </w:tcPr>
          <w:p w14:paraId="0848FD45" w14:textId="77777777" w:rsidR="006A3DBC" w:rsidRPr="00CF0F96" w:rsidRDefault="006A3DBC" w:rsidP="005F4A92">
            <w:pPr>
              <w:spacing w:after="0" w:line="240" w:lineRule="auto"/>
              <w:rPr>
                <w:rFonts w:eastAsia="Times New Roman" w:cs="Arial"/>
                <w:sz w:val="18"/>
                <w:szCs w:val="18"/>
                <w:lang w:eastAsia="es-AR"/>
              </w:rPr>
            </w:pPr>
            <w:r w:rsidRPr="00CF0F96">
              <w:rPr>
                <w:rFonts w:eastAsia="Times New Roman" w:cs="Arial"/>
                <w:sz w:val="18"/>
                <w:szCs w:val="18"/>
                <w:lang w:eastAsia="es-AR"/>
              </w:rPr>
              <w:t> </w:t>
            </w:r>
          </w:p>
        </w:tc>
        <w:tc>
          <w:tcPr>
            <w:tcW w:w="2142" w:type="dxa"/>
            <w:shd w:val="clear" w:color="auto" w:fill="auto"/>
            <w:noWrap/>
            <w:vAlign w:val="center"/>
            <w:hideMark/>
          </w:tcPr>
          <w:p w14:paraId="732902E6" w14:textId="77777777" w:rsidR="006A3DBC" w:rsidRPr="00CF0F96" w:rsidRDefault="006A3DBC" w:rsidP="00E62A62">
            <w:pPr>
              <w:spacing w:after="0" w:line="240" w:lineRule="auto"/>
              <w:jc w:val="center"/>
              <w:rPr>
                <w:rFonts w:eastAsia="Times New Roman" w:cs="Arial"/>
                <w:b/>
                <w:bCs/>
                <w:sz w:val="18"/>
                <w:szCs w:val="18"/>
                <w:lang w:eastAsia="es-AR"/>
              </w:rPr>
            </w:pPr>
            <w:r w:rsidRPr="00CF0F96">
              <w:rPr>
                <w:rFonts w:eastAsia="Times New Roman" w:cs="Arial"/>
                <w:b/>
                <w:bCs/>
                <w:sz w:val="18"/>
                <w:szCs w:val="18"/>
                <w:lang w:eastAsia="es-AR"/>
              </w:rPr>
              <w:t>1.104.000,00</w:t>
            </w:r>
          </w:p>
        </w:tc>
        <w:tc>
          <w:tcPr>
            <w:tcW w:w="2582" w:type="dxa"/>
            <w:shd w:val="clear" w:color="auto" w:fill="auto"/>
            <w:noWrap/>
            <w:vAlign w:val="center"/>
            <w:hideMark/>
          </w:tcPr>
          <w:p w14:paraId="076132A9" w14:textId="77777777" w:rsidR="006A3DBC" w:rsidRPr="00CF0F96" w:rsidRDefault="006A3DBC" w:rsidP="005F4A92">
            <w:pPr>
              <w:spacing w:after="0" w:line="240" w:lineRule="auto"/>
              <w:rPr>
                <w:rFonts w:eastAsia="Times New Roman" w:cs="Arial"/>
                <w:sz w:val="18"/>
                <w:szCs w:val="18"/>
                <w:lang w:eastAsia="es-AR"/>
              </w:rPr>
            </w:pPr>
            <w:r w:rsidRPr="00CF0F96">
              <w:rPr>
                <w:rFonts w:eastAsia="Times New Roman" w:cs="Arial"/>
                <w:sz w:val="18"/>
                <w:szCs w:val="18"/>
                <w:lang w:eastAsia="es-AR"/>
              </w:rPr>
              <w:t> </w:t>
            </w:r>
          </w:p>
        </w:tc>
      </w:tr>
      <w:tr w:rsidR="006A3DBC" w:rsidRPr="00FA4B2D" w14:paraId="4A2E32D7" w14:textId="77777777" w:rsidTr="002B7276">
        <w:trPr>
          <w:trHeight w:val="312"/>
        </w:trPr>
        <w:tc>
          <w:tcPr>
            <w:tcW w:w="1985" w:type="dxa"/>
            <w:shd w:val="clear" w:color="auto" w:fill="auto"/>
            <w:noWrap/>
            <w:vAlign w:val="center"/>
            <w:hideMark/>
          </w:tcPr>
          <w:p w14:paraId="77EEAEC0" w14:textId="77777777" w:rsidR="006A3DBC" w:rsidRPr="00CF0F96" w:rsidRDefault="006A3DBC" w:rsidP="00E62A62">
            <w:pPr>
              <w:spacing w:after="0" w:line="240" w:lineRule="auto"/>
              <w:jc w:val="center"/>
              <w:rPr>
                <w:rFonts w:eastAsia="Times New Roman" w:cs="Arial"/>
                <w:b/>
                <w:bCs/>
                <w:sz w:val="18"/>
                <w:szCs w:val="18"/>
                <w:lang w:eastAsia="es-AR"/>
              </w:rPr>
            </w:pPr>
            <w:r w:rsidRPr="00CF0F96">
              <w:rPr>
                <w:rFonts w:eastAsia="Times New Roman" w:cs="Arial"/>
                <w:b/>
                <w:bCs/>
                <w:sz w:val="18"/>
                <w:szCs w:val="18"/>
                <w:lang w:eastAsia="es-AR"/>
              </w:rPr>
              <w:t>Total</w:t>
            </w:r>
          </w:p>
        </w:tc>
        <w:tc>
          <w:tcPr>
            <w:tcW w:w="2908" w:type="dxa"/>
            <w:shd w:val="clear" w:color="auto" w:fill="auto"/>
            <w:noWrap/>
            <w:vAlign w:val="center"/>
            <w:hideMark/>
          </w:tcPr>
          <w:p w14:paraId="1AB2F0B7" w14:textId="77777777" w:rsidR="006A3DBC" w:rsidRPr="00CF0F96" w:rsidRDefault="006A3DBC" w:rsidP="005F4A92">
            <w:pPr>
              <w:spacing w:after="0" w:line="240" w:lineRule="auto"/>
              <w:rPr>
                <w:rFonts w:eastAsia="Times New Roman" w:cs="Arial"/>
                <w:sz w:val="18"/>
                <w:szCs w:val="18"/>
                <w:lang w:eastAsia="es-AR"/>
              </w:rPr>
            </w:pPr>
            <w:r w:rsidRPr="00CF0F96">
              <w:rPr>
                <w:rFonts w:eastAsia="Times New Roman" w:cs="Arial"/>
                <w:sz w:val="18"/>
                <w:szCs w:val="18"/>
                <w:lang w:eastAsia="es-AR"/>
              </w:rPr>
              <w:t> </w:t>
            </w:r>
          </w:p>
        </w:tc>
        <w:tc>
          <w:tcPr>
            <w:tcW w:w="2142" w:type="dxa"/>
            <w:shd w:val="clear" w:color="auto" w:fill="auto"/>
            <w:noWrap/>
            <w:vAlign w:val="center"/>
            <w:hideMark/>
          </w:tcPr>
          <w:p w14:paraId="5DC964C9" w14:textId="77777777" w:rsidR="006A3DBC" w:rsidRPr="00CF0F96" w:rsidRDefault="006A3DBC" w:rsidP="00E62A62">
            <w:pPr>
              <w:spacing w:after="0" w:line="240" w:lineRule="auto"/>
              <w:jc w:val="center"/>
              <w:rPr>
                <w:rFonts w:eastAsia="Times New Roman" w:cs="Arial"/>
                <w:b/>
                <w:bCs/>
                <w:sz w:val="18"/>
                <w:szCs w:val="18"/>
                <w:lang w:eastAsia="es-AR"/>
              </w:rPr>
            </w:pPr>
            <w:r w:rsidRPr="00CF0F96">
              <w:rPr>
                <w:rFonts w:eastAsia="Times New Roman" w:cs="Arial"/>
                <w:b/>
                <w:bCs/>
                <w:sz w:val="18"/>
                <w:szCs w:val="18"/>
                <w:lang w:eastAsia="es-AR"/>
              </w:rPr>
              <w:t>1.829.000,00</w:t>
            </w:r>
          </w:p>
        </w:tc>
        <w:tc>
          <w:tcPr>
            <w:tcW w:w="2582" w:type="dxa"/>
            <w:shd w:val="clear" w:color="auto" w:fill="auto"/>
            <w:noWrap/>
            <w:vAlign w:val="center"/>
            <w:hideMark/>
          </w:tcPr>
          <w:p w14:paraId="122C57BA" w14:textId="77777777" w:rsidR="006A3DBC" w:rsidRPr="00CF0F96" w:rsidRDefault="006A3DBC" w:rsidP="005F4A92">
            <w:pPr>
              <w:spacing w:after="0" w:line="240" w:lineRule="auto"/>
              <w:rPr>
                <w:rFonts w:eastAsia="Times New Roman" w:cs="Arial"/>
                <w:sz w:val="18"/>
                <w:szCs w:val="18"/>
                <w:lang w:eastAsia="es-AR"/>
              </w:rPr>
            </w:pPr>
            <w:r w:rsidRPr="00CF0F96">
              <w:rPr>
                <w:rFonts w:eastAsia="Times New Roman" w:cs="Arial"/>
                <w:sz w:val="18"/>
                <w:szCs w:val="18"/>
                <w:lang w:eastAsia="es-AR"/>
              </w:rPr>
              <w:t> </w:t>
            </w:r>
          </w:p>
        </w:tc>
      </w:tr>
    </w:tbl>
    <w:p w14:paraId="69614BC1" w14:textId="77777777" w:rsidR="006A3DBC" w:rsidRPr="00FA4B2D" w:rsidRDefault="006A3DBC" w:rsidP="006A3DBC">
      <w:pPr>
        <w:ind w:hanging="6"/>
        <w:jc w:val="both"/>
        <w:rPr>
          <w:rFonts w:eastAsia="Cambria" w:cs="Arial"/>
          <w:bCs/>
          <w:lang w:val="es-GT"/>
        </w:rPr>
      </w:pPr>
    </w:p>
    <w:p w14:paraId="54A4094C" w14:textId="77777777" w:rsidR="006A3DBC" w:rsidRPr="00FA4B2D" w:rsidRDefault="006A3DBC" w:rsidP="006A3DBC">
      <w:pPr>
        <w:rPr>
          <w:rFonts w:cs="Arial"/>
          <w:b/>
        </w:rPr>
      </w:pPr>
      <w:bookmarkStart w:id="1544" w:name="_Toc67573459"/>
      <w:bookmarkEnd w:id="1543"/>
      <w:r w:rsidRPr="00FA4B2D">
        <w:rPr>
          <w:rFonts w:cs="Arial"/>
          <w:b/>
        </w:rPr>
        <w:br w:type="page"/>
      </w:r>
    </w:p>
    <w:p w14:paraId="6A574312" w14:textId="1FE4E361" w:rsidR="00756FFB" w:rsidRPr="00FA4B2D" w:rsidRDefault="3EBEDD20" w:rsidP="37B44ACB">
      <w:pPr>
        <w:pStyle w:val="Ttulo1"/>
        <w:numPr>
          <w:ilvl w:val="0"/>
          <w:numId w:val="71"/>
        </w:numPr>
        <w:rPr>
          <w:rFonts w:ascii="Arial" w:hAnsi="Arial" w:cs="Arial"/>
          <w:b/>
          <w:bCs/>
          <w:color w:val="767171" w:themeColor="background2" w:themeShade="80"/>
          <w:sz w:val="22"/>
          <w:szCs w:val="22"/>
        </w:rPr>
      </w:pPr>
      <w:bookmarkStart w:id="1545" w:name="_Toc202456987"/>
      <w:r w:rsidRPr="00FA4B2D">
        <w:rPr>
          <w:rFonts w:ascii="Arial" w:hAnsi="Arial" w:cs="Arial"/>
          <w:b/>
          <w:bCs/>
          <w:color w:val="767171" w:themeColor="background2" w:themeShade="80"/>
          <w:sz w:val="22"/>
          <w:szCs w:val="22"/>
        </w:rPr>
        <w:lastRenderedPageBreak/>
        <w:t>Formulario de Pre-evaluación Ambiental y Social</w:t>
      </w:r>
      <w:bookmarkEnd w:id="1545"/>
      <w:r w:rsidR="65C7FAD0" w:rsidRPr="00FA4B2D">
        <w:rPr>
          <w:rFonts w:ascii="Arial" w:hAnsi="Arial" w:cs="Arial"/>
          <w:b/>
          <w:bCs/>
          <w:color w:val="767171" w:themeColor="background2" w:themeShade="80"/>
          <w:sz w:val="22"/>
          <w:szCs w:val="22"/>
        </w:rPr>
        <w:t xml:space="preserve"> </w:t>
      </w:r>
    </w:p>
    <w:p w14:paraId="76822414" w14:textId="77777777" w:rsidR="00756FFB" w:rsidRPr="00FA4B2D" w:rsidRDefault="00756FFB" w:rsidP="006A3DBC">
      <w:pPr>
        <w:rPr>
          <w:rFonts w:cs="Arial"/>
          <w:b/>
        </w:rPr>
      </w:pPr>
    </w:p>
    <w:p w14:paraId="1F2F1597" w14:textId="483F726B" w:rsidR="005F0DEC" w:rsidRPr="00FA4B2D" w:rsidRDefault="7F54CDBB" w:rsidP="00811897">
      <w:pPr>
        <w:jc w:val="both"/>
        <w:rPr>
          <w:rFonts w:cs="Arial"/>
        </w:rPr>
      </w:pPr>
      <w:r w:rsidRPr="00FA4B2D">
        <w:rPr>
          <w:rFonts w:cs="Arial"/>
        </w:rPr>
        <w:t xml:space="preserve">En </w:t>
      </w:r>
      <w:r w:rsidR="6C49AEBB" w:rsidRPr="00FA4B2D">
        <w:rPr>
          <w:rFonts w:cs="Arial"/>
        </w:rPr>
        <w:t>correspondencia</w:t>
      </w:r>
      <w:r w:rsidRPr="00FA4B2D">
        <w:rPr>
          <w:rFonts w:cs="Arial"/>
        </w:rPr>
        <w:t xml:space="preserve"> con los estándares ambientales y sociales aplicables para el ComRural III</w:t>
      </w:r>
      <w:r w:rsidR="7E74CA94" w:rsidRPr="00FA4B2D">
        <w:rPr>
          <w:rFonts w:cs="Arial"/>
        </w:rPr>
        <w:t xml:space="preserve">. Y en este nuevo formato se agregar preguntas que.... </w:t>
      </w:r>
      <w:r w:rsidR="0026205E" w:rsidRPr="00FA4B2D">
        <w:rPr>
          <w:rFonts w:cs="Arial"/>
        </w:rPr>
        <w:t>Adicionalmente en este nuevo formato se agregan consultas específicas sobre la condición de tenencia de tierra y cada elemento</w:t>
      </w:r>
      <w:r w:rsidR="005958CF" w:rsidRPr="00FA4B2D">
        <w:rPr>
          <w:rFonts w:cs="Arial"/>
        </w:rPr>
        <w:t xml:space="preserve"> clave que incluye cada </w:t>
      </w:r>
      <w:r w:rsidR="645A05BA" w:rsidRPr="00FA4B2D">
        <w:rPr>
          <w:rFonts w:cs="Arial"/>
        </w:rPr>
        <w:t>estándar</w:t>
      </w:r>
      <w:r w:rsidR="0026205E" w:rsidRPr="00FA4B2D">
        <w:rPr>
          <w:rFonts w:cs="Arial"/>
        </w:rPr>
        <w:t>.</w:t>
      </w:r>
    </w:p>
    <w:p w14:paraId="283258F0" w14:textId="6B2C3D79" w:rsidR="005958CF" w:rsidRPr="00FA4B2D" w:rsidRDefault="005958CF" w:rsidP="00811897">
      <w:pPr>
        <w:jc w:val="both"/>
        <w:rPr>
          <w:rFonts w:cs="Arial"/>
        </w:rPr>
      </w:pPr>
      <w:r w:rsidRPr="00FA4B2D">
        <w:rPr>
          <w:rFonts w:cs="Arial"/>
        </w:rPr>
        <w:t xml:space="preserve">En el proceso de aprobación según MOP del Proyecto y MGAS, se </w:t>
      </w:r>
      <w:r w:rsidR="0BF7D677" w:rsidRPr="00FA4B2D">
        <w:rPr>
          <w:rFonts w:cs="Arial"/>
        </w:rPr>
        <w:t>aplicará</w:t>
      </w:r>
      <w:r w:rsidRPr="00FA4B2D">
        <w:rPr>
          <w:rFonts w:cs="Arial"/>
        </w:rPr>
        <w:t xml:space="preserve"> y levantara la información durante los 60 </w:t>
      </w:r>
      <w:r w:rsidR="088CDFBA" w:rsidRPr="00FA4B2D">
        <w:rPr>
          <w:rFonts w:cs="Arial"/>
        </w:rPr>
        <w:t>días</w:t>
      </w:r>
      <w:r w:rsidRPr="00FA4B2D">
        <w:rPr>
          <w:rFonts w:cs="Arial"/>
        </w:rPr>
        <w:t xml:space="preserve"> previstos para la formulación del plan de negocio, sus conclusiones serán sugeridas e incluidas en la formulación del plan de negocio y particularmente serán insumos para la preparación del PGAS, documento vinculante a la aprobación </w:t>
      </w:r>
      <w:r w:rsidR="00CF0F96" w:rsidRPr="00FA4B2D">
        <w:rPr>
          <w:rFonts w:cs="Arial"/>
        </w:rPr>
        <w:t>de este</w:t>
      </w:r>
      <w:r w:rsidRPr="00FA4B2D">
        <w:rPr>
          <w:rFonts w:cs="Arial"/>
        </w:rPr>
        <w:t>.</w:t>
      </w:r>
    </w:p>
    <w:tbl>
      <w:tblPr>
        <w:tblStyle w:val="Tablaconcuadrcula"/>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1879"/>
        <w:gridCol w:w="2730"/>
        <w:gridCol w:w="1568"/>
        <w:gridCol w:w="3165"/>
      </w:tblGrid>
      <w:tr w:rsidR="007A1D1C" w:rsidRPr="00CF0F96" w14:paraId="123EA6DB" w14:textId="77777777" w:rsidTr="00FF59A0">
        <w:trPr>
          <w:trHeight w:val="300"/>
        </w:trPr>
        <w:tc>
          <w:tcPr>
            <w:tcW w:w="4609" w:type="dxa"/>
            <w:gridSpan w:val="2"/>
            <w:tcBorders>
              <w:top w:val="single" w:sz="4" w:space="0" w:color="auto"/>
              <w:left w:val="single" w:sz="4" w:space="0" w:color="auto"/>
              <w:bottom w:val="single" w:sz="4" w:space="0" w:color="auto"/>
              <w:right w:val="single" w:sz="4" w:space="0" w:color="auto"/>
            </w:tcBorders>
            <w:tcMar>
              <w:left w:w="105" w:type="dxa"/>
              <w:right w:w="105" w:type="dxa"/>
            </w:tcMar>
          </w:tcPr>
          <w:p w14:paraId="0FFC21C6" w14:textId="77777777" w:rsidR="007A1D1C" w:rsidRPr="00CF0F96" w:rsidRDefault="007A1D1C" w:rsidP="00FF59A0">
            <w:pPr>
              <w:spacing w:after="160" w:line="259" w:lineRule="auto"/>
              <w:jc w:val="both"/>
              <w:rPr>
                <w:rFonts w:eastAsia="Arial" w:cs="Arial"/>
                <w:sz w:val="22"/>
                <w:szCs w:val="20"/>
              </w:rPr>
            </w:pPr>
            <w:r w:rsidRPr="00CF0F96">
              <w:rPr>
                <w:rFonts w:eastAsia="Arial" w:cs="Arial"/>
                <w:b/>
                <w:bCs/>
                <w:sz w:val="22"/>
                <w:szCs w:val="20"/>
              </w:rPr>
              <w:t>Datos Generales:</w:t>
            </w:r>
          </w:p>
        </w:tc>
        <w:tc>
          <w:tcPr>
            <w:tcW w:w="4733" w:type="dxa"/>
            <w:gridSpan w:val="2"/>
            <w:tcBorders>
              <w:top w:val="single" w:sz="4" w:space="0" w:color="auto"/>
              <w:left w:val="single" w:sz="4" w:space="0" w:color="auto"/>
              <w:bottom w:val="single" w:sz="4" w:space="0" w:color="auto"/>
              <w:right w:val="single" w:sz="4" w:space="0" w:color="auto"/>
            </w:tcBorders>
            <w:tcMar>
              <w:left w:w="105" w:type="dxa"/>
              <w:right w:w="105" w:type="dxa"/>
            </w:tcMar>
          </w:tcPr>
          <w:p w14:paraId="56A8512A" w14:textId="77777777" w:rsidR="007A1D1C" w:rsidRPr="00CF0F96" w:rsidRDefault="007A1D1C" w:rsidP="00FF59A0">
            <w:pPr>
              <w:spacing w:after="160" w:line="259" w:lineRule="auto"/>
              <w:jc w:val="both"/>
              <w:rPr>
                <w:rFonts w:eastAsia="Arial" w:cs="Arial"/>
                <w:sz w:val="22"/>
                <w:szCs w:val="20"/>
              </w:rPr>
            </w:pPr>
          </w:p>
        </w:tc>
      </w:tr>
      <w:tr w:rsidR="007A1D1C" w:rsidRPr="00CF0F96" w14:paraId="3137F73C" w14:textId="77777777" w:rsidTr="00FF59A0">
        <w:trPr>
          <w:trHeight w:val="300"/>
        </w:trPr>
        <w:tc>
          <w:tcPr>
            <w:tcW w:w="4609" w:type="dxa"/>
            <w:gridSpan w:val="2"/>
            <w:tcBorders>
              <w:top w:val="single" w:sz="4" w:space="0" w:color="auto"/>
              <w:left w:val="single" w:sz="4" w:space="0" w:color="auto"/>
              <w:bottom w:val="single" w:sz="4" w:space="0" w:color="auto"/>
              <w:right w:val="single" w:sz="4" w:space="0" w:color="auto"/>
            </w:tcBorders>
            <w:tcMar>
              <w:left w:w="105" w:type="dxa"/>
              <w:right w:w="105" w:type="dxa"/>
            </w:tcMar>
          </w:tcPr>
          <w:p w14:paraId="0893D6EF" w14:textId="77777777" w:rsidR="007A1D1C" w:rsidRPr="00CF0F96" w:rsidRDefault="007A1D1C" w:rsidP="00FF59A0">
            <w:pPr>
              <w:jc w:val="both"/>
              <w:rPr>
                <w:rFonts w:eastAsia="Arial" w:cs="Arial"/>
                <w:sz w:val="22"/>
                <w:szCs w:val="20"/>
              </w:rPr>
            </w:pPr>
            <w:r w:rsidRPr="00CF0F96">
              <w:rPr>
                <w:rFonts w:eastAsia="Arial" w:cs="Arial"/>
                <w:sz w:val="22"/>
                <w:szCs w:val="20"/>
              </w:rPr>
              <w:t>Nombre del Plan de Negocio (PdN)</w:t>
            </w:r>
          </w:p>
          <w:p w14:paraId="2AA94B38" w14:textId="77777777" w:rsidR="007A1D1C" w:rsidRPr="00CF0F96" w:rsidRDefault="007A1D1C" w:rsidP="00FF59A0">
            <w:pPr>
              <w:jc w:val="both"/>
              <w:rPr>
                <w:rFonts w:eastAsia="Arial" w:cs="Arial"/>
                <w:sz w:val="22"/>
                <w:szCs w:val="20"/>
                <w:lang w:val="es-HN"/>
              </w:rPr>
            </w:pPr>
          </w:p>
          <w:p w14:paraId="3BB76641" w14:textId="77777777" w:rsidR="007A1D1C" w:rsidRPr="00CF0F96" w:rsidRDefault="007A1D1C" w:rsidP="00FF59A0">
            <w:pPr>
              <w:jc w:val="both"/>
              <w:rPr>
                <w:rFonts w:eastAsia="Arial" w:cs="Arial"/>
                <w:sz w:val="22"/>
                <w:szCs w:val="20"/>
                <w:lang w:val="es-HN"/>
              </w:rPr>
            </w:pPr>
          </w:p>
        </w:tc>
        <w:tc>
          <w:tcPr>
            <w:tcW w:w="4733" w:type="dxa"/>
            <w:gridSpan w:val="2"/>
            <w:tcBorders>
              <w:top w:val="single" w:sz="4" w:space="0" w:color="auto"/>
              <w:left w:val="single" w:sz="4" w:space="0" w:color="auto"/>
              <w:bottom w:val="single" w:sz="4" w:space="0" w:color="auto"/>
              <w:right w:val="single" w:sz="4" w:space="0" w:color="auto"/>
            </w:tcBorders>
            <w:tcMar>
              <w:left w:w="105" w:type="dxa"/>
              <w:right w:w="105" w:type="dxa"/>
            </w:tcMar>
          </w:tcPr>
          <w:p w14:paraId="05DAAD53" w14:textId="77777777" w:rsidR="007A1D1C" w:rsidRPr="00CF0F96" w:rsidRDefault="007A1D1C" w:rsidP="00FF59A0">
            <w:pPr>
              <w:jc w:val="both"/>
              <w:rPr>
                <w:rFonts w:eastAsia="Arial" w:cs="Arial"/>
                <w:sz w:val="22"/>
                <w:szCs w:val="20"/>
                <w:lang w:val="es-HN"/>
              </w:rPr>
            </w:pPr>
          </w:p>
        </w:tc>
      </w:tr>
      <w:tr w:rsidR="007A1D1C" w:rsidRPr="00CF0F96" w14:paraId="60DF6425" w14:textId="77777777" w:rsidTr="00FF59A0">
        <w:trPr>
          <w:trHeight w:val="300"/>
        </w:trPr>
        <w:tc>
          <w:tcPr>
            <w:tcW w:w="4609" w:type="dxa"/>
            <w:gridSpan w:val="2"/>
            <w:tcBorders>
              <w:top w:val="single" w:sz="4" w:space="0" w:color="auto"/>
              <w:left w:val="single" w:sz="4" w:space="0" w:color="auto"/>
              <w:bottom w:val="single" w:sz="4" w:space="0" w:color="auto"/>
              <w:right w:val="single" w:sz="4" w:space="0" w:color="auto"/>
            </w:tcBorders>
            <w:tcMar>
              <w:left w:w="105" w:type="dxa"/>
              <w:right w:w="105" w:type="dxa"/>
            </w:tcMar>
          </w:tcPr>
          <w:p w14:paraId="4B148779" w14:textId="77777777" w:rsidR="007A1D1C" w:rsidRPr="00CF0F96" w:rsidRDefault="007A1D1C" w:rsidP="00FF59A0">
            <w:pPr>
              <w:spacing w:after="160" w:line="259" w:lineRule="auto"/>
              <w:jc w:val="both"/>
              <w:rPr>
                <w:rFonts w:eastAsia="Arial" w:cs="Arial"/>
                <w:sz w:val="22"/>
                <w:szCs w:val="20"/>
              </w:rPr>
            </w:pPr>
            <w:r w:rsidRPr="00CF0F96">
              <w:rPr>
                <w:rFonts w:eastAsia="Arial" w:cs="Arial"/>
                <w:sz w:val="22"/>
                <w:szCs w:val="20"/>
              </w:rPr>
              <w:t>Fecha Presentación</w:t>
            </w:r>
          </w:p>
        </w:tc>
        <w:tc>
          <w:tcPr>
            <w:tcW w:w="4733" w:type="dxa"/>
            <w:gridSpan w:val="2"/>
            <w:tcBorders>
              <w:top w:val="single" w:sz="4" w:space="0" w:color="auto"/>
              <w:left w:val="single" w:sz="4" w:space="0" w:color="auto"/>
              <w:bottom w:val="single" w:sz="4" w:space="0" w:color="auto"/>
              <w:right w:val="single" w:sz="4" w:space="0" w:color="auto"/>
            </w:tcBorders>
            <w:tcMar>
              <w:left w:w="105" w:type="dxa"/>
              <w:right w:w="105" w:type="dxa"/>
            </w:tcMar>
          </w:tcPr>
          <w:p w14:paraId="6D9DFC27" w14:textId="77777777" w:rsidR="007A1D1C" w:rsidRPr="00CF0F96" w:rsidRDefault="007A1D1C" w:rsidP="00FF59A0">
            <w:pPr>
              <w:spacing w:after="160" w:line="259" w:lineRule="auto"/>
              <w:jc w:val="both"/>
              <w:rPr>
                <w:rFonts w:eastAsia="Arial" w:cs="Arial"/>
                <w:sz w:val="22"/>
                <w:szCs w:val="20"/>
              </w:rPr>
            </w:pPr>
          </w:p>
        </w:tc>
      </w:tr>
      <w:tr w:rsidR="007A1D1C" w:rsidRPr="00CF0F96" w14:paraId="655C78FF" w14:textId="77777777" w:rsidTr="00FF59A0">
        <w:trPr>
          <w:trHeight w:val="300"/>
        </w:trPr>
        <w:tc>
          <w:tcPr>
            <w:tcW w:w="4609" w:type="dxa"/>
            <w:gridSpan w:val="2"/>
            <w:tcBorders>
              <w:top w:val="single" w:sz="4" w:space="0" w:color="auto"/>
              <w:left w:val="single" w:sz="4" w:space="0" w:color="auto"/>
              <w:bottom w:val="single" w:sz="4" w:space="0" w:color="auto"/>
              <w:right w:val="single" w:sz="4" w:space="0" w:color="auto"/>
            </w:tcBorders>
            <w:tcMar>
              <w:left w:w="105" w:type="dxa"/>
              <w:right w:w="105" w:type="dxa"/>
            </w:tcMar>
          </w:tcPr>
          <w:p w14:paraId="7511C292" w14:textId="77777777" w:rsidR="007A1D1C" w:rsidRPr="00CF0F96" w:rsidRDefault="007A1D1C" w:rsidP="007A1D1C">
            <w:pPr>
              <w:pStyle w:val="Prrafodelista"/>
              <w:numPr>
                <w:ilvl w:val="0"/>
                <w:numId w:val="127"/>
              </w:numPr>
              <w:spacing w:after="160" w:line="259" w:lineRule="auto"/>
              <w:jc w:val="both"/>
              <w:rPr>
                <w:rFonts w:eastAsia="Arial" w:cs="Arial"/>
                <w:sz w:val="22"/>
                <w:szCs w:val="20"/>
              </w:rPr>
            </w:pPr>
            <w:r w:rsidRPr="00CF0F96">
              <w:rPr>
                <w:rFonts w:eastAsia="Arial" w:cs="Arial"/>
                <w:sz w:val="22"/>
                <w:szCs w:val="20"/>
              </w:rPr>
              <w:t>Nombre de la Organización</w:t>
            </w:r>
          </w:p>
        </w:tc>
        <w:tc>
          <w:tcPr>
            <w:tcW w:w="4733" w:type="dxa"/>
            <w:gridSpan w:val="2"/>
            <w:tcBorders>
              <w:top w:val="single" w:sz="4" w:space="0" w:color="auto"/>
              <w:left w:val="single" w:sz="4" w:space="0" w:color="auto"/>
              <w:bottom w:val="single" w:sz="4" w:space="0" w:color="auto"/>
              <w:right w:val="single" w:sz="4" w:space="0" w:color="auto"/>
            </w:tcBorders>
            <w:tcMar>
              <w:left w:w="105" w:type="dxa"/>
              <w:right w:w="105" w:type="dxa"/>
            </w:tcMar>
          </w:tcPr>
          <w:p w14:paraId="456240CB" w14:textId="77777777" w:rsidR="007A1D1C" w:rsidRPr="00CF0F96" w:rsidRDefault="007A1D1C" w:rsidP="00FF59A0">
            <w:pPr>
              <w:spacing w:after="160" w:line="259" w:lineRule="auto"/>
              <w:jc w:val="both"/>
              <w:rPr>
                <w:rFonts w:eastAsia="Arial" w:cs="Arial"/>
                <w:sz w:val="22"/>
                <w:szCs w:val="20"/>
              </w:rPr>
            </w:pPr>
          </w:p>
        </w:tc>
      </w:tr>
      <w:tr w:rsidR="007A1D1C" w:rsidRPr="00CF0F96" w14:paraId="11E66578" w14:textId="77777777" w:rsidTr="00FF59A0">
        <w:trPr>
          <w:trHeight w:val="300"/>
        </w:trPr>
        <w:tc>
          <w:tcPr>
            <w:tcW w:w="4609" w:type="dxa"/>
            <w:gridSpan w:val="2"/>
            <w:tcBorders>
              <w:top w:val="single" w:sz="4" w:space="0" w:color="auto"/>
              <w:left w:val="single" w:sz="4" w:space="0" w:color="auto"/>
              <w:bottom w:val="single" w:sz="4" w:space="0" w:color="auto"/>
              <w:right w:val="single" w:sz="4" w:space="0" w:color="auto"/>
            </w:tcBorders>
            <w:tcMar>
              <w:left w:w="105" w:type="dxa"/>
              <w:right w:w="105" w:type="dxa"/>
            </w:tcMar>
          </w:tcPr>
          <w:p w14:paraId="279AB2E5" w14:textId="77777777" w:rsidR="007A1D1C" w:rsidRPr="00CF0F96" w:rsidRDefault="007A1D1C" w:rsidP="007A1D1C">
            <w:pPr>
              <w:pStyle w:val="Prrafodelista"/>
              <w:numPr>
                <w:ilvl w:val="0"/>
                <w:numId w:val="127"/>
              </w:numPr>
              <w:spacing w:after="160" w:line="259" w:lineRule="auto"/>
              <w:jc w:val="both"/>
              <w:rPr>
                <w:rFonts w:eastAsia="Arial" w:cs="Arial"/>
                <w:sz w:val="22"/>
                <w:szCs w:val="20"/>
              </w:rPr>
            </w:pPr>
            <w:r w:rsidRPr="00CF0F96">
              <w:rPr>
                <w:rFonts w:eastAsia="Arial" w:cs="Arial"/>
                <w:sz w:val="22"/>
                <w:szCs w:val="20"/>
              </w:rPr>
              <w:t>Representante Legal</w:t>
            </w:r>
          </w:p>
        </w:tc>
        <w:tc>
          <w:tcPr>
            <w:tcW w:w="4733" w:type="dxa"/>
            <w:gridSpan w:val="2"/>
            <w:tcBorders>
              <w:top w:val="single" w:sz="4" w:space="0" w:color="auto"/>
              <w:left w:val="single" w:sz="4" w:space="0" w:color="auto"/>
              <w:bottom w:val="single" w:sz="4" w:space="0" w:color="auto"/>
              <w:right w:val="single" w:sz="4" w:space="0" w:color="auto"/>
            </w:tcBorders>
            <w:tcMar>
              <w:left w:w="105" w:type="dxa"/>
              <w:right w:w="105" w:type="dxa"/>
            </w:tcMar>
          </w:tcPr>
          <w:p w14:paraId="74CDB003" w14:textId="77777777" w:rsidR="007A1D1C" w:rsidRPr="00CF0F96" w:rsidRDefault="007A1D1C" w:rsidP="00FF59A0">
            <w:pPr>
              <w:spacing w:after="160" w:line="259" w:lineRule="auto"/>
              <w:jc w:val="both"/>
              <w:rPr>
                <w:rFonts w:eastAsia="Arial" w:cs="Arial"/>
                <w:sz w:val="22"/>
                <w:szCs w:val="20"/>
              </w:rPr>
            </w:pPr>
          </w:p>
        </w:tc>
      </w:tr>
      <w:tr w:rsidR="007A1D1C" w:rsidRPr="00CF0F96" w14:paraId="4676F1A1" w14:textId="77777777" w:rsidTr="00FF59A0">
        <w:trPr>
          <w:trHeight w:val="300"/>
        </w:trPr>
        <w:tc>
          <w:tcPr>
            <w:tcW w:w="1879" w:type="dxa"/>
            <w:vMerge w:val="restart"/>
            <w:tcBorders>
              <w:top w:val="single" w:sz="4" w:space="0" w:color="auto"/>
              <w:left w:val="single" w:sz="4" w:space="0" w:color="auto"/>
              <w:bottom w:val="single" w:sz="4" w:space="0" w:color="auto"/>
              <w:right w:val="single" w:sz="4" w:space="0" w:color="auto"/>
            </w:tcBorders>
            <w:tcMar>
              <w:left w:w="105" w:type="dxa"/>
              <w:right w:w="105" w:type="dxa"/>
            </w:tcMar>
          </w:tcPr>
          <w:p w14:paraId="4ECF622B" w14:textId="77777777" w:rsidR="007A1D1C" w:rsidRPr="00CF0F96" w:rsidRDefault="007A1D1C" w:rsidP="007A1D1C">
            <w:pPr>
              <w:pStyle w:val="Prrafodelista"/>
              <w:numPr>
                <w:ilvl w:val="0"/>
                <w:numId w:val="127"/>
              </w:numPr>
              <w:spacing w:after="160" w:line="259" w:lineRule="auto"/>
              <w:jc w:val="both"/>
              <w:rPr>
                <w:rFonts w:eastAsia="Arial" w:cs="Arial"/>
                <w:sz w:val="22"/>
                <w:szCs w:val="20"/>
              </w:rPr>
            </w:pPr>
            <w:r w:rsidRPr="00CF0F96">
              <w:rPr>
                <w:rFonts w:eastAsia="Arial" w:cs="Arial"/>
                <w:sz w:val="22"/>
                <w:szCs w:val="20"/>
              </w:rPr>
              <w:t>Ubicación</w:t>
            </w:r>
          </w:p>
        </w:tc>
        <w:tc>
          <w:tcPr>
            <w:tcW w:w="2730" w:type="dxa"/>
            <w:tcBorders>
              <w:top w:val="single" w:sz="4" w:space="0" w:color="auto"/>
              <w:left w:val="single" w:sz="4" w:space="0" w:color="auto"/>
              <w:bottom w:val="single" w:sz="4" w:space="0" w:color="auto"/>
              <w:right w:val="single" w:sz="4" w:space="0" w:color="auto"/>
            </w:tcBorders>
            <w:tcMar>
              <w:left w:w="105" w:type="dxa"/>
              <w:right w:w="105" w:type="dxa"/>
            </w:tcMar>
          </w:tcPr>
          <w:p w14:paraId="04F5E098" w14:textId="77777777" w:rsidR="007A1D1C" w:rsidRPr="00CF0F96" w:rsidRDefault="007A1D1C" w:rsidP="00FF59A0">
            <w:pPr>
              <w:spacing w:after="160" w:line="259" w:lineRule="auto"/>
              <w:jc w:val="both"/>
              <w:rPr>
                <w:rFonts w:eastAsia="Arial" w:cs="Arial"/>
                <w:sz w:val="22"/>
                <w:szCs w:val="20"/>
              </w:rPr>
            </w:pPr>
            <w:r w:rsidRPr="00CF0F96">
              <w:rPr>
                <w:rFonts w:eastAsia="Arial" w:cs="Arial"/>
                <w:sz w:val="22"/>
                <w:szCs w:val="20"/>
              </w:rPr>
              <w:t>Aldea/Comunidad</w:t>
            </w:r>
          </w:p>
        </w:tc>
        <w:tc>
          <w:tcPr>
            <w:tcW w:w="4733" w:type="dxa"/>
            <w:gridSpan w:val="2"/>
            <w:tcBorders>
              <w:top w:val="single" w:sz="4" w:space="0" w:color="auto"/>
              <w:left w:val="single" w:sz="4" w:space="0" w:color="auto"/>
              <w:bottom w:val="single" w:sz="4" w:space="0" w:color="auto"/>
              <w:right w:val="single" w:sz="4" w:space="0" w:color="auto"/>
            </w:tcBorders>
            <w:tcMar>
              <w:left w:w="105" w:type="dxa"/>
              <w:right w:w="105" w:type="dxa"/>
            </w:tcMar>
          </w:tcPr>
          <w:p w14:paraId="67B5D9F1" w14:textId="77777777" w:rsidR="007A1D1C" w:rsidRPr="00CF0F96" w:rsidRDefault="007A1D1C" w:rsidP="00FF59A0">
            <w:pPr>
              <w:spacing w:after="160" w:line="259" w:lineRule="auto"/>
              <w:jc w:val="both"/>
              <w:rPr>
                <w:rFonts w:eastAsia="Arial" w:cs="Arial"/>
                <w:sz w:val="22"/>
                <w:szCs w:val="20"/>
              </w:rPr>
            </w:pPr>
          </w:p>
        </w:tc>
      </w:tr>
      <w:tr w:rsidR="007A1D1C" w:rsidRPr="00CF0F96" w14:paraId="704F86BA" w14:textId="77777777" w:rsidTr="00FF59A0">
        <w:trPr>
          <w:trHeight w:val="300"/>
        </w:trPr>
        <w:tc>
          <w:tcPr>
            <w:tcW w:w="1879" w:type="dxa"/>
            <w:vMerge/>
            <w:tcBorders>
              <w:top w:val="single" w:sz="4" w:space="0" w:color="auto"/>
              <w:left w:val="single" w:sz="4" w:space="0" w:color="auto"/>
              <w:bottom w:val="single" w:sz="4" w:space="0" w:color="auto"/>
              <w:right w:val="single" w:sz="4" w:space="0" w:color="auto"/>
            </w:tcBorders>
            <w:vAlign w:val="center"/>
          </w:tcPr>
          <w:p w14:paraId="5C2089B9" w14:textId="77777777" w:rsidR="007A1D1C" w:rsidRPr="00CF0F96" w:rsidRDefault="007A1D1C" w:rsidP="00FF59A0">
            <w:pPr>
              <w:rPr>
                <w:rFonts w:cs="Arial"/>
                <w:sz w:val="22"/>
                <w:szCs w:val="20"/>
              </w:rPr>
            </w:pPr>
          </w:p>
        </w:tc>
        <w:tc>
          <w:tcPr>
            <w:tcW w:w="2730" w:type="dxa"/>
            <w:tcBorders>
              <w:top w:val="single" w:sz="4" w:space="0" w:color="auto"/>
              <w:left w:val="single" w:sz="4" w:space="0" w:color="auto"/>
              <w:bottom w:val="single" w:sz="4" w:space="0" w:color="auto"/>
              <w:right w:val="single" w:sz="4" w:space="0" w:color="auto"/>
            </w:tcBorders>
            <w:tcMar>
              <w:left w:w="105" w:type="dxa"/>
              <w:right w:w="105" w:type="dxa"/>
            </w:tcMar>
          </w:tcPr>
          <w:p w14:paraId="67506F0C" w14:textId="77777777" w:rsidR="007A1D1C" w:rsidRPr="00CF0F96" w:rsidRDefault="007A1D1C" w:rsidP="00FF59A0">
            <w:pPr>
              <w:spacing w:after="160" w:line="259" w:lineRule="auto"/>
              <w:jc w:val="both"/>
              <w:rPr>
                <w:rFonts w:eastAsia="Arial" w:cs="Arial"/>
                <w:sz w:val="22"/>
                <w:szCs w:val="20"/>
              </w:rPr>
            </w:pPr>
            <w:r w:rsidRPr="00CF0F96">
              <w:rPr>
                <w:rFonts w:eastAsia="Arial" w:cs="Arial"/>
                <w:sz w:val="22"/>
                <w:szCs w:val="20"/>
              </w:rPr>
              <w:t>Municipio</w:t>
            </w:r>
          </w:p>
        </w:tc>
        <w:tc>
          <w:tcPr>
            <w:tcW w:w="4733" w:type="dxa"/>
            <w:gridSpan w:val="2"/>
            <w:tcBorders>
              <w:top w:val="single" w:sz="4" w:space="0" w:color="auto"/>
              <w:left w:val="single" w:sz="4" w:space="0" w:color="auto"/>
              <w:bottom w:val="single" w:sz="4" w:space="0" w:color="auto"/>
              <w:right w:val="single" w:sz="4" w:space="0" w:color="auto"/>
            </w:tcBorders>
            <w:tcMar>
              <w:left w:w="105" w:type="dxa"/>
              <w:right w:w="105" w:type="dxa"/>
            </w:tcMar>
          </w:tcPr>
          <w:p w14:paraId="13C10E55" w14:textId="77777777" w:rsidR="007A1D1C" w:rsidRPr="00CF0F96" w:rsidRDefault="007A1D1C" w:rsidP="00FF59A0">
            <w:pPr>
              <w:spacing w:after="160" w:line="259" w:lineRule="auto"/>
              <w:jc w:val="both"/>
              <w:rPr>
                <w:rFonts w:eastAsia="Arial" w:cs="Arial"/>
                <w:sz w:val="22"/>
                <w:szCs w:val="20"/>
              </w:rPr>
            </w:pPr>
          </w:p>
        </w:tc>
      </w:tr>
      <w:tr w:rsidR="007A1D1C" w:rsidRPr="00CF0F96" w14:paraId="609A3ABA" w14:textId="77777777" w:rsidTr="00FF59A0">
        <w:trPr>
          <w:trHeight w:val="300"/>
        </w:trPr>
        <w:tc>
          <w:tcPr>
            <w:tcW w:w="1879" w:type="dxa"/>
            <w:vMerge/>
            <w:tcBorders>
              <w:top w:val="single" w:sz="4" w:space="0" w:color="auto"/>
              <w:left w:val="single" w:sz="4" w:space="0" w:color="auto"/>
              <w:bottom w:val="single" w:sz="4" w:space="0" w:color="auto"/>
              <w:right w:val="single" w:sz="4" w:space="0" w:color="auto"/>
            </w:tcBorders>
            <w:vAlign w:val="center"/>
          </w:tcPr>
          <w:p w14:paraId="35F08216" w14:textId="77777777" w:rsidR="007A1D1C" w:rsidRPr="00CF0F96" w:rsidRDefault="007A1D1C" w:rsidP="00FF59A0">
            <w:pPr>
              <w:rPr>
                <w:rFonts w:cs="Arial"/>
                <w:sz w:val="22"/>
                <w:szCs w:val="20"/>
              </w:rPr>
            </w:pPr>
          </w:p>
        </w:tc>
        <w:tc>
          <w:tcPr>
            <w:tcW w:w="2730" w:type="dxa"/>
            <w:tcBorders>
              <w:top w:val="single" w:sz="4" w:space="0" w:color="auto"/>
              <w:left w:val="single" w:sz="4" w:space="0" w:color="auto"/>
              <w:bottom w:val="single" w:sz="4" w:space="0" w:color="auto"/>
              <w:right w:val="single" w:sz="4" w:space="0" w:color="auto"/>
            </w:tcBorders>
            <w:tcMar>
              <w:left w:w="105" w:type="dxa"/>
              <w:right w:w="105" w:type="dxa"/>
            </w:tcMar>
          </w:tcPr>
          <w:p w14:paraId="66BB4AD9" w14:textId="77777777" w:rsidR="007A1D1C" w:rsidRPr="00CF0F96" w:rsidRDefault="007A1D1C" w:rsidP="00FF59A0">
            <w:pPr>
              <w:spacing w:after="160" w:line="259" w:lineRule="auto"/>
              <w:jc w:val="both"/>
              <w:rPr>
                <w:rFonts w:eastAsia="Arial" w:cs="Arial"/>
                <w:sz w:val="22"/>
                <w:szCs w:val="20"/>
              </w:rPr>
            </w:pPr>
            <w:r w:rsidRPr="00CF0F96">
              <w:rPr>
                <w:rFonts w:eastAsia="Arial" w:cs="Arial"/>
                <w:sz w:val="22"/>
                <w:szCs w:val="20"/>
              </w:rPr>
              <w:t>Departamento</w:t>
            </w:r>
          </w:p>
        </w:tc>
        <w:tc>
          <w:tcPr>
            <w:tcW w:w="4733" w:type="dxa"/>
            <w:gridSpan w:val="2"/>
            <w:tcBorders>
              <w:top w:val="single" w:sz="4" w:space="0" w:color="auto"/>
              <w:left w:val="single" w:sz="4" w:space="0" w:color="auto"/>
              <w:bottom w:val="single" w:sz="4" w:space="0" w:color="auto"/>
              <w:right w:val="single" w:sz="4" w:space="0" w:color="auto"/>
            </w:tcBorders>
            <w:tcMar>
              <w:left w:w="105" w:type="dxa"/>
              <w:right w:w="105" w:type="dxa"/>
            </w:tcMar>
          </w:tcPr>
          <w:p w14:paraId="3A336443" w14:textId="77777777" w:rsidR="007A1D1C" w:rsidRPr="00CF0F96" w:rsidRDefault="007A1D1C" w:rsidP="00FF59A0">
            <w:pPr>
              <w:spacing w:after="160" w:line="259" w:lineRule="auto"/>
              <w:jc w:val="both"/>
              <w:rPr>
                <w:rFonts w:eastAsia="Arial" w:cs="Arial"/>
                <w:sz w:val="22"/>
                <w:szCs w:val="20"/>
              </w:rPr>
            </w:pPr>
          </w:p>
        </w:tc>
      </w:tr>
      <w:tr w:rsidR="007A1D1C" w:rsidRPr="00CF0F96" w14:paraId="58F348CC" w14:textId="77777777" w:rsidTr="00FF59A0">
        <w:trPr>
          <w:trHeight w:val="300"/>
        </w:trPr>
        <w:tc>
          <w:tcPr>
            <w:tcW w:w="4609" w:type="dxa"/>
            <w:gridSpan w:val="2"/>
            <w:vMerge w:val="restart"/>
            <w:tcBorders>
              <w:top w:val="single" w:sz="4" w:space="0" w:color="auto"/>
              <w:left w:val="single" w:sz="4" w:space="0" w:color="auto"/>
              <w:bottom w:val="single" w:sz="4" w:space="0" w:color="auto"/>
              <w:right w:val="single" w:sz="4" w:space="0" w:color="auto"/>
            </w:tcBorders>
            <w:tcMar>
              <w:left w:w="105" w:type="dxa"/>
              <w:right w:w="105" w:type="dxa"/>
            </w:tcMar>
          </w:tcPr>
          <w:p w14:paraId="17CBC9FD" w14:textId="77777777" w:rsidR="007A1D1C" w:rsidRPr="00CF0F96" w:rsidRDefault="007A1D1C" w:rsidP="007A1D1C">
            <w:pPr>
              <w:pStyle w:val="Prrafodelista"/>
              <w:numPr>
                <w:ilvl w:val="0"/>
                <w:numId w:val="127"/>
              </w:numPr>
              <w:spacing w:after="160" w:line="259" w:lineRule="auto"/>
              <w:jc w:val="both"/>
              <w:rPr>
                <w:rFonts w:eastAsia="Arial" w:cs="Arial"/>
                <w:sz w:val="22"/>
                <w:szCs w:val="20"/>
              </w:rPr>
            </w:pPr>
            <w:r w:rsidRPr="00CF0F96">
              <w:rPr>
                <w:rFonts w:eastAsia="Arial" w:cs="Arial"/>
                <w:sz w:val="22"/>
                <w:szCs w:val="20"/>
              </w:rPr>
              <w:t>Ubicación Geográfica</w:t>
            </w:r>
          </w:p>
        </w:tc>
        <w:tc>
          <w:tcPr>
            <w:tcW w:w="1568" w:type="dxa"/>
            <w:tcBorders>
              <w:top w:val="single" w:sz="4" w:space="0" w:color="auto"/>
              <w:left w:val="single" w:sz="4" w:space="0" w:color="auto"/>
              <w:bottom w:val="single" w:sz="4" w:space="0" w:color="auto"/>
              <w:right w:val="single" w:sz="4" w:space="0" w:color="auto"/>
            </w:tcBorders>
            <w:tcMar>
              <w:left w:w="105" w:type="dxa"/>
              <w:right w:w="105" w:type="dxa"/>
            </w:tcMar>
          </w:tcPr>
          <w:p w14:paraId="0010AF47" w14:textId="77777777" w:rsidR="007A1D1C" w:rsidRPr="00CF0F96" w:rsidRDefault="007A1D1C" w:rsidP="00FF59A0">
            <w:pPr>
              <w:spacing w:after="160" w:line="259" w:lineRule="auto"/>
              <w:jc w:val="both"/>
              <w:rPr>
                <w:rFonts w:eastAsia="Arial" w:cs="Arial"/>
                <w:sz w:val="22"/>
                <w:szCs w:val="20"/>
              </w:rPr>
            </w:pPr>
            <w:r w:rsidRPr="00CF0F96">
              <w:rPr>
                <w:rFonts w:eastAsia="Arial" w:cs="Arial"/>
                <w:sz w:val="22"/>
                <w:szCs w:val="20"/>
              </w:rPr>
              <w:t>Coordenadas</w:t>
            </w:r>
          </w:p>
        </w:tc>
        <w:tc>
          <w:tcPr>
            <w:tcW w:w="3165" w:type="dxa"/>
            <w:tcBorders>
              <w:top w:val="single" w:sz="4" w:space="0" w:color="auto"/>
              <w:left w:val="single" w:sz="4" w:space="0" w:color="auto"/>
              <w:bottom w:val="single" w:sz="4" w:space="0" w:color="auto"/>
              <w:right w:val="single" w:sz="4" w:space="0" w:color="auto"/>
            </w:tcBorders>
            <w:tcMar>
              <w:left w:w="105" w:type="dxa"/>
              <w:right w:w="105" w:type="dxa"/>
            </w:tcMar>
          </w:tcPr>
          <w:p w14:paraId="1B20EB65" w14:textId="77777777" w:rsidR="007A1D1C" w:rsidRPr="00CF0F96" w:rsidRDefault="007A1D1C" w:rsidP="00FF59A0">
            <w:pPr>
              <w:spacing w:after="160" w:line="259" w:lineRule="auto"/>
              <w:jc w:val="both"/>
              <w:rPr>
                <w:rFonts w:eastAsia="Arial" w:cs="Arial"/>
                <w:sz w:val="22"/>
                <w:szCs w:val="20"/>
              </w:rPr>
            </w:pPr>
          </w:p>
        </w:tc>
      </w:tr>
      <w:tr w:rsidR="007A1D1C" w:rsidRPr="00CF0F96" w14:paraId="7D047361" w14:textId="77777777" w:rsidTr="00FF59A0">
        <w:trPr>
          <w:trHeight w:val="300"/>
        </w:trPr>
        <w:tc>
          <w:tcPr>
            <w:tcW w:w="4609" w:type="dxa"/>
            <w:gridSpan w:val="2"/>
            <w:vMerge/>
            <w:tcBorders>
              <w:top w:val="single" w:sz="4" w:space="0" w:color="auto"/>
              <w:left w:val="single" w:sz="4" w:space="0" w:color="auto"/>
              <w:bottom w:val="single" w:sz="4" w:space="0" w:color="auto"/>
              <w:right w:val="single" w:sz="4" w:space="0" w:color="auto"/>
            </w:tcBorders>
            <w:vAlign w:val="center"/>
          </w:tcPr>
          <w:p w14:paraId="083CB00D" w14:textId="77777777" w:rsidR="007A1D1C" w:rsidRPr="00CF0F96" w:rsidRDefault="007A1D1C" w:rsidP="00FF59A0">
            <w:pPr>
              <w:rPr>
                <w:rFonts w:cs="Arial"/>
                <w:sz w:val="22"/>
                <w:szCs w:val="20"/>
              </w:rPr>
            </w:pPr>
          </w:p>
        </w:tc>
        <w:tc>
          <w:tcPr>
            <w:tcW w:w="1568" w:type="dxa"/>
            <w:tcBorders>
              <w:top w:val="single" w:sz="4" w:space="0" w:color="auto"/>
              <w:left w:val="single" w:sz="4" w:space="0" w:color="auto"/>
              <w:bottom w:val="single" w:sz="4" w:space="0" w:color="auto"/>
              <w:right w:val="single" w:sz="4" w:space="0" w:color="auto"/>
            </w:tcBorders>
            <w:tcMar>
              <w:left w:w="105" w:type="dxa"/>
              <w:right w:w="105" w:type="dxa"/>
            </w:tcMar>
          </w:tcPr>
          <w:p w14:paraId="1B3A9274" w14:textId="77777777" w:rsidR="007A1D1C" w:rsidRPr="00CF0F96" w:rsidRDefault="007A1D1C" w:rsidP="00FF59A0">
            <w:pPr>
              <w:spacing w:after="160" w:line="259" w:lineRule="auto"/>
              <w:jc w:val="both"/>
              <w:rPr>
                <w:rFonts w:eastAsia="Arial" w:cs="Arial"/>
                <w:sz w:val="22"/>
                <w:szCs w:val="20"/>
              </w:rPr>
            </w:pPr>
            <w:r w:rsidRPr="00CF0F96">
              <w:rPr>
                <w:rFonts w:eastAsia="Arial" w:cs="Arial"/>
                <w:sz w:val="22"/>
                <w:szCs w:val="20"/>
              </w:rPr>
              <w:t>Coordenadas</w:t>
            </w:r>
          </w:p>
        </w:tc>
        <w:tc>
          <w:tcPr>
            <w:tcW w:w="3165" w:type="dxa"/>
            <w:tcBorders>
              <w:top w:val="single" w:sz="4" w:space="0" w:color="auto"/>
              <w:left w:val="single" w:sz="4" w:space="0" w:color="auto"/>
              <w:bottom w:val="single" w:sz="4" w:space="0" w:color="auto"/>
              <w:right w:val="single" w:sz="4" w:space="0" w:color="auto"/>
            </w:tcBorders>
            <w:tcMar>
              <w:left w:w="105" w:type="dxa"/>
              <w:right w:w="105" w:type="dxa"/>
            </w:tcMar>
          </w:tcPr>
          <w:p w14:paraId="31113AAB" w14:textId="77777777" w:rsidR="007A1D1C" w:rsidRPr="00CF0F96" w:rsidRDefault="007A1D1C" w:rsidP="00FF59A0">
            <w:pPr>
              <w:spacing w:after="160" w:line="259" w:lineRule="auto"/>
              <w:jc w:val="both"/>
              <w:rPr>
                <w:rFonts w:eastAsia="Arial" w:cs="Arial"/>
                <w:sz w:val="22"/>
                <w:szCs w:val="20"/>
              </w:rPr>
            </w:pPr>
          </w:p>
        </w:tc>
      </w:tr>
      <w:tr w:rsidR="007A1D1C" w:rsidRPr="00CF0F96" w14:paraId="4A0D6309" w14:textId="77777777" w:rsidTr="00FF59A0">
        <w:trPr>
          <w:trHeight w:val="300"/>
        </w:trPr>
        <w:tc>
          <w:tcPr>
            <w:tcW w:w="9342" w:type="dxa"/>
            <w:gridSpan w:val="4"/>
            <w:tcBorders>
              <w:top w:val="single" w:sz="4" w:space="0" w:color="auto"/>
              <w:left w:val="single" w:sz="4" w:space="0" w:color="auto"/>
              <w:bottom w:val="single" w:sz="4" w:space="0" w:color="auto"/>
              <w:right w:val="single" w:sz="4" w:space="0" w:color="auto"/>
            </w:tcBorders>
            <w:tcMar>
              <w:left w:w="105" w:type="dxa"/>
              <w:right w:w="105" w:type="dxa"/>
            </w:tcMar>
          </w:tcPr>
          <w:p w14:paraId="2ECB5876" w14:textId="77777777" w:rsidR="007A1D1C" w:rsidRPr="00CF0F96" w:rsidRDefault="007A1D1C" w:rsidP="007A1D1C">
            <w:pPr>
              <w:pStyle w:val="Prrafodelista"/>
              <w:numPr>
                <w:ilvl w:val="0"/>
                <w:numId w:val="127"/>
              </w:numPr>
              <w:spacing w:after="160" w:line="259" w:lineRule="auto"/>
              <w:jc w:val="both"/>
              <w:rPr>
                <w:rFonts w:eastAsia="Arial" w:cs="Arial"/>
                <w:sz w:val="22"/>
                <w:szCs w:val="20"/>
                <w:lang w:val="es-HN"/>
              </w:rPr>
            </w:pPr>
            <w:r w:rsidRPr="00CF0F96">
              <w:rPr>
                <w:rFonts w:eastAsia="Arial" w:cs="Arial"/>
                <w:sz w:val="22"/>
                <w:szCs w:val="20"/>
              </w:rPr>
              <w:t>Ubicación del área del PdN</w:t>
            </w:r>
          </w:p>
        </w:tc>
      </w:tr>
    </w:tbl>
    <w:p w14:paraId="37A29E95" w14:textId="77777777" w:rsidR="005958CF" w:rsidRPr="00FA4B2D" w:rsidRDefault="005958CF">
      <w:pPr>
        <w:jc w:val="both"/>
        <w:rPr>
          <w:rFonts w:cs="Arial"/>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5"/>
        <w:gridCol w:w="3310"/>
        <w:gridCol w:w="3206"/>
        <w:gridCol w:w="1929"/>
      </w:tblGrid>
      <w:tr w:rsidR="007A1D1C" w:rsidRPr="00CF0F96" w14:paraId="4D944849" w14:textId="77777777" w:rsidTr="00CF0F96">
        <w:trPr>
          <w:trHeight w:val="300"/>
        </w:trPr>
        <w:tc>
          <w:tcPr>
            <w:tcW w:w="915" w:type="dxa"/>
            <w:vMerge w:val="restart"/>
            <w:shd w:val="clear" w:color="auto" w:fill="FFFFFF" w:themeFill="background1"/>
            <w:tcMar>
              <w:left w:w="105" w:type="dxa"/>
              <w:right w:w="105" w:type="dxa"/>
            </w:tcMar>
          </w:tcPr>
          <w:p w14:paraId="15BE79D5" w14:textId="77777777" w:rsidR="007A1D1C" w:rsidRPr="00CF0F96" w:rsidRDefault="007A1D1C" w:rsidP="00FF59A0">
            <w:pPr>
              <w:spacing w:after="0"/>
              <w:ind w:left="-30" w:right="-30"/>
              <w:rPr>
                <w:rFonts w:eastAsia="Arial" w:cs="Arial"/>
                <w:sz w:val="22"/>
              </w:rPr>
            </w:pPr>
            <w:r w:rsidRPr="00CF0F96">
              <w:rPr>
                <w:rFonts w:eastAsia="Arial" w:cs="Arial"/>
                <w:b/>
                <w:bCs/>
                <w:sz w:val="22"/>
              </w:rPr>
              <w:t xml:space="preserve">  N°</w:t>
            </w:r>
          </w:p>
        </w:tc>
        <w:tc>
          <w:tcPr>
            <w:tcW w:w="3310" w:type="dxa"/>
            <w:vMerge w:val="restart"/>
            <w:shd w:val="clear" w:color="auto" w:fill="FFFFFF" w:themeFill="background1"/>
            <w:tcMar>
              <w:left w:w="105" w:type="dxa"/>
              <w:right w:w="105" w:type="dxa"/>
            </w:tcMar>
          </w:tcPr>
          <w:p w14:paraId="4754A769" w14:textId="77777777" w:rsidR="007A1D1C" w:rsidRPr="00CF0F96" w:rsidRDefault="007A1D1C" w:rsidP="00FF59A0">
            <w:pPr>
              <w:spacing w:after="0"/>
              <w:ind w:left="-30" w:right="-30"/>
              <w:jc w:val="center"/>
              <w:rPr>
                <w:rFonts w:eastAsia="Arial" w:cs="Arial"/>
                <w:sz w:val="22"/>
              </w:rPr>
            </w:pPr>
            <w:r w:rsidRPr="00CF0F96">
              <w:rPr>
                <w:rFonts w:eastAsia="Arial" w:cs="Arial"/>
                <w:b/>
                <w:bCs/>
                <w:sz w:val="22"/>
              </w:rPr>
              <w:t>Preguntas</w:t>
            </w:r>
            <w:r w:rsidRPr="00CF0F96">
              <w:rPr>
                <w:rFonts w:eastAsia="Arial" w:cs="Arial"/>
                <w:sz w:val="22"/>
              </w:rPr>
              <w:t xml:space="preserve">  </w:t>
            </w:r>
          </w:p>
        </w:tc>
        <w:tc>
          <w:tcPr>
            <w:tcW w:w="5135" w:type="dxa"/>
            <w:gridSpan w:val="2"/>
            <w:shd w:val="clear" w:color="auto" w:fill="FFFFFF" w:themeFill="background1"/>
            <w:tcMar>
              <w:left w:w="105" w:type="dxa"/>
              <w:right w:w="105" w:type="dxa"/>
            </w:tcMar>
          </w:tcPr>
          <w:p w14:paraId="15A7487B" w14:textId="77777777" w:rsidR="007A1D1C" w:rsidRPr="00CF0F96" w:rsidRDefault="007A1D1C" w:rsidP="00FF59A0">
            <w:pPr>
              <w:spacing w:after="0"/>
              <w:ind w:left="-30" w:right="-30"/>
              <w:jc w:val="center"/>
              <w:rPr>
                <w:rFonts w:eastAsia="Arial" w:cs="Arial"/>
                <w:sz w:val="22"/>
                <w:u w:val="single"/>
              </w:rPr>
            </w:pPr>
            <w:r w:rsidRPr="00CF0F96">
              <w:rPr>
                <w:rFonts w:eastAsia="Arial" w:cs="Arial"/>
                <w:b/>
                <w:bCs/>
                <w:sz w:val="22"/>
                <w:u w:val="single"/>
              </w:rPr>
              <w:t>Respuestas</w:t>
            </w:r>
            <w:r w:rsidRPr="00CF0F96">
              <w:rPr>
                <w:rFonts w:eastAsia="Arial" w:cs="Arial"/>
                <w:sz w:val="22"/>
                <w:u w:val="single"/>
              </w:rPr>
              <w:t xml:space="preserve">  </w:t>
            </w:r>
          </w:p>
        </w:tc>
      </w:tr>
      <w:tr w:rsidR="007A1D1C" w:rsidRPr="00CF0F96" w14:paraId="54FC3073" w14:textId="77777777" w:rsidTr="00CF0F96">
        <w:trPr>
          <w:trHeight w:val="300"/>
        </w:trPr>
        <w:tc>
          <w:tcPr>
            <w:tcW w:w="915" w:type="dxa"/>
            <w:vMerge/>
            <w:vAlign w:val="center"/>
          </w:tcPr>
          <w:p w14:paraId="4CA5FBCD" w14:textId="77777777" w:rsidR="007A1D1C" w:rsidRPr="00CF0F96" w:rsidRDefault="007A1D1C" w:rsidP="00FF59A0">
            <w:pPr>
              <w:rPr>
                <w:rFonts w:cs="Arial"/>
                <w:sz w:val="22"/>
              </w:rPr>
            </w:pPr>
          </w:p>
        </w:tc>
        <w:tc>
          <w:tcPr>
            <w:tcW w:w="3310" w:type="dxa"/>
            <w:vMerge/>
            <w:vAlign w:val="center"/>
          </w:tcPr>
          <w:p w14:paraId="16B9B4CD" w14:textId="77777777" w:rsidR="007A1D1C" w:rsidRPr="00CF0F96" w:rsidRDefault="007A1D1C" w:rsidP="00FF59A0">
            <w:pPr>
              <w:rPr>
                <w:rFonts w:cs="Arial"/>
                <w:sz w:val="22"/>
              </w:rPr>
            </w:pPr>
          </w:p>
        </w:tc>
        <w:tc>
          <w:tcPr>
            <w:tcW w:w="3206" w:type="dxa"/>
            <w:shd w:val="clear" w:color="auto" w:fill="FFFFFF" w:themeFill="background1"/>
            <w:tcMar>
              <w:left w:w="105" w:type="dxa"/>
              <w:right w:w="105" w:type="dxa"/>
            </w:tcMar>
          </w:tcPr>
          <w:p w14:paraId="6D59E154" w14:textId="77777777" w:rsidR="007A1D1C" w:rsidRPr="00CF0F96" w:rsidRDefault="007A1D1C" w:rsidP="00E62A62">
            <w:pPr>
              <w:spacing w:after="0"/>
              <w:ind w:left="-30" w:right="-30"/>
              <w:jc w:val="both"/>
              <w:rPr>
                <w:rFonts w:eastAsia="Arial" w:cs="Arial"/>
                <w:sz w:val="22"/>
                <w:lang w:val="es-HN"/>
              </w:rPr>
            </w:pPr>
            <w:r w:rsidRPr="00CF0F96">
              <w:rPr>
                <w:rFonts w:eastAsia="Arial" w:cs="Arial"/>
                <w:sz w:val="22"/>
              </w:rPr>
              <w:t xml:space="preserve">Evaluación del subproyecto con relación a la pregunta </w:t>
            </w:r>
          </w:p>
        </w:tc>
        <w:tc>
          <w:tcPr>
            <w:tcW w:w="1929" w:type="dxa"/>
            <w:shd w:val="clear" w:color="auto" w:fill="FFFFFF" w:themeFill="background1"/>
            <w:tcMar>
              <w:left w:w="105" w:type="dxa"/>
              <w:right w:w="105" w:type="dxa"/>
            </w:tcMar>
          </w:tcPr>
          <w:p w14:paraId="2C2650F2" w14:textId="77777777" w:rsidR="007A1D1C" w:rsidRPr="00CF0F96" w:rsidRDefault="007A1D1C" w:rsidP="00E62A62">
            <w:pPr>
              <w:spacing w:after="0"/>
              <w:ind w:left="-30" w:right="-30"/>
              <w:jc w:val="both"/>
              <w:rPr>
                <w:rFonts w:eastAsia="Arial" w:cs="Arial"/>
                <w:sz w:val="22"/>
                <w:lang w:val="es-HN"/>
              </w:rPr>
            </w:pPr>
            <w:r w:rsidRPr="00CF0F96">
              <w:rPr>
                <w:rFonts w:eastAsia="Arial" w:cs="Arial"/>
                <w:sz w:val="22"/>
              </w:rPr>
              <w:t xml:space="preserve">Descripción de los posibles riesgos o impactos a considerar en el PGAS  </w:t>
            </w:r>
          </w:p>
        </w:tc>
      </w:tr>
      <w:tr w:rsidR="007A1D1C" w:rsidRPr="00CF0F96" w14:paraId="17DC998D" w14:textId="77777777" w:rsidTr="00CF0F96">
        <w:trPr>
          <w:trHeight w:val="300"/>
        </w:trPr>
        <w:tc>
          <w:tcPr>
            <w:tcW w:w="915" w:type="dxa"/>
            <w:shd w:val="clear" w:color="auto" w:fill="FFFFFF" w:themeFill="background1"/>
            <w:tcMar>
              <w:left w:w="105" w:type="dxa"/>
              <w:right w:w="105" w:type="dxa"/>
            </w:tcMar>
          </w:tcPr>
          <w:p w14:paraId="69DB9221" w14:textId="04DA9628" w:rsidR="007A1D1C" w:rsidRPr="00CF0F96" w:rsidRDefault="007A1D1C" w:rsidP="00E62A62">
            <w:pPr>
              <w:spacing w:after="0"/>
              <w:ind w:left="-30" w:right="-30"/>
              <w:jc w:val="center"/>
              <w:rPr>
                <w:rFonts w:eastAsia="Arial" w:cs="Arial"/>
                <w:sz w:val="22"/>
              </w:rPr>
            </w:pPr>
            <w:r w:rsidRPr="00CF0F96">
              <w:rPr>
                <w:rFonts w:eastAsia="Arial" w:cs="Arial"/>
                <w:b/>
                <w:bCs/>
                <w:sz w:val="22"/>
              </w:rPr>
              <w:t>1.</w:t>
            </w:r>
          </w:p>
        </w:tc>
        <w:tc>
          <w:tcPr>
            <w:tcW w:w="8445" w:type="dxa"/>
            <w:gridSpan w:val="3"/>
            <w:shd w:val="clear" w:color="auto" w:fill="FFFFFF" w:themeFill="background1"/>
            <w:tcMar>
              <w:left w:w="105" w:type="dxa"/>
              <w:right w:w="105" w:type="dxa"/>
            </w:tcMar>
          </w:tcPr>
          <w:p w14:paraId="2781DA7A" w14:textId="77777777" w:rsidR="007A1D1C" w:rsidRPr="00CF0F96" w:rsidRDefault="007A1D1C" w:rsidP="00FF59A0">
            <w:pPr>
              <w:spacing w:after="0"/>
              <w:ind w:left="-30" w:right="-30"/>
              <w:rPr>
                <w:rFonts w:eastAsia="Arial" w:cs="Arial"/>
                <w:sz w:val="22"/>
                <w:lang w:val="es-HN"/>
              </w:rPr>
            </w:pPr>
            <w:r w:rsidRPr="00CF0F96">
              <w:rPr>
                <w:rFonts w:eastAsia="Arial" w:cs="Arial"/>
                <w:b/>
                <w:bCs/>
                <w:sz w:val="22"/>
              </w:rPr>
              <w:t>EAS 1 - Evaluación y Gestión de Riesgos e Impactos Ambientales y Sociales</w:t>
            </w:r>
            <w:r w:rsidRPr="00CF0F96">
              <w:rPr>
                <w:rFonts w:eastAsia="Arial" w:cs="Arial"/>
                <w:sz w:val="22"/>
              </w:rPr>
              <w:t xml:space="preserve">  </w:t>
            </w:r>
          </w:p>
          <w:p w14:paraId="3BA72FAB" w14:textId="77777777" w:rsidR="007A1D1C" w:rsidRPr="00CF0F96" w:rsidRDefault="007A1D1C" w:rsidP="00FF59A0">
            <w:pPr>
              <w:spacing w:after="0"/>
              <w:ind w:left="-30" w:right="-30"/>
              <w:rPr>
                <w:rFonts w:eastAsia="Arial" w:cs="Arial"/>
                <w:sz w:val="22"/>
                <w:lang w:val="es-HN"/>
              </w:rPr>
            </w:pPr>
            <w:r w:rsidRPr="00CF0F96">
              <w:rPr>
                <w:rFonts w:eastAsia="Arial" w:cs="Arial"/>
                <w:sz w:val="22"/>
              </w:rPr>
              <w:t xml:space="preserve">  </w:t>
            </w:r>
          </w:p>
        </w:tc>
      </w:tr>
      <w:tr w:rsidR="007A1D1C" w:rsidRPr="00CF0F96" w14:paraId="7C72CE77" w14:textId="77777777" w:rsidTr="00CF0F96">
        <w:trPr>
          <w:trHeight w:val="300"/>
        </w:trPr>
        <w:tc>
          <w:tcPr>
            <w:tcW w:w="915" w:type="dxa"/>
            <w:shd w:val="clear" w:color="auto" w:fill="FFFFFF" w:themeFill="background1"/>
            <w:tcMar>
              <w:left w:w="105" w:type="dxa"/>
              <w:right w:w="105" w:type="dxa"/>
            </w:tcMar>
          </w:tcPr>
          <w:p w14:paraId="04FB7551" w14:textId="77777777" w:rsidR="007A1D1C" w:rsidRPr="00CF0F96" w:rsidRDefault="007A1D1C" w:rsidP="00E62A62">
            <w:pPr>
              <w:spacing w:after="0"/>
              <w:ind w:left="-30" w:right="-30"/>
              <w:jc w:val="center"/>
              <w:rPr>
                <w:rFonts w:eastAsia="Arial" w:cs="Arial"/>
                <w:sz w:val="22"/>
              </w:rPr>
            </w:pPr>
            <w:r w:rsidRPr="00CF0F96">
              <w:rPr>
                <w:rFonts w:eastAsia="Arial" w:cs="Arial"/>
                <w:b/>
                <w:bCs/>
                <w:sz w:val="22"/>
              </w:rPr>
              <w:t>1.1</w:t>
            </w:r>
          </w:p>
        </w:tc>
        <w:tc>
          <w:tcPr>
            <w:tcW w:w="8445" w:type="dxa"/>
            <w:gridSpan w:val="3"/>
            <w:shd w:val="clear" w:color="auto" w:fill="FFFFFF" w:themeFill="background1"/>
            <w:tcMar>
              <w:left w:w="105" w:type="dxa"/>
              <w:right w:w="105" w:type="dxa"/>
            </w:tcMar>
          </w:tcPr>
          <w:p w14:paraId="3DD055A7" w14:textId="77777777" w:rsidR="007A1D1C" w:rsidRPr="00CF0F96" w:rsidRDefault="007A1D1C" w:rsidP="00FF59A0">
            <w:pPr>
              <w:spacing w:after="0"/>
              <w:ind w:left="-30" w:right="-30"/>
              <w:rPr>
                <w:rFonts w:eastAsia="Arial" w:cs="Arial"/>
                <w:sz w:val="22"/>
              </w:rPr>
            </w:pPr>
            <w:r w:rsidRPr="00CF0F96">
              <w:rPr>
                <w:rFonts w:eastAsia="Arial" w:cs="Arial"/>
                <w:b/>
                <w:bCs/>
                <w:sz w:val="22"/>
              </w:rPr>
              <w:t>Evaluación Ambiental y Social</w:t>
            </w:r>
          </w:p>
        </w:tc>
      </w:tr>
      <w:tr w:rsidR="007A1D1C" w:rsidRPr="00CF0F96" w14:paraId="0E0F49AD" w14:textId="77777777" w:rsidTr="00CF0F96">
        <w:trPr>
          <w:trHeight w:val="300"/>
        </w:trPr>
        <w:tc>
          <w:tcPr>
            <w:tcW w:w="915" w:type="dxa"/>
            <w:shd w:val="clear" w:color="auto" w:fill="FFFFFF" w:themeFill="background1"/>
            <w:tcMar>
              <w:left w:w="105" w:type="dxa"/>
              <w:right w:w="105" w:type="dxa"/>
            </w:tcMar>
          </w:tcPr>
          <w:p w14:paraId="5B67B386" w14:textId="50BF2BA9" w:rsidR="007A1D1C" w:rsidRPr="00CF0F96" w:rsidRDefault="007A1D1C" w:rsidP="00E62A62">
            <w:pPr>
              <w:spacing w:after="0"/>
              <w:ind w:left="-30" w:right="-30"/>
              <w:jc w:val="center"/>
              <w:rPr>
                <w:rFonts w:eastAsia="Arial" w:cs="Arial"/>
                <w:sz w:val="22"/>
              </w:rPr>
            </w:pPr>
            <w:r w:rsidRPr="00CF0F96">
              <w:rPr>
                <w:rFonts w:eastAsia="Arial" w:cs="Arial"/>
                <w:sz w:val="22"/>
              </w:rPr>
              <w:t>1.1.1</w:t>
            </w:r>
          </w:p>
        </w:tc>
        <w:tc>
          <w:tcPr>
            <w:tcW w:w="3310" w:type="dxa"/>
            <w:shd w:val="clear" w:color="auto" w:fill="FFFFFF" w:themeFill="background1"/>
            <w:tcMar>
              <w:left w:w="105" w:type="dxa"/>
              <w:right w:w="105" w:type="dxa"/>
            </w:tcMar>
          </w:tcPr>
          <w:p w14:paraId="345F051B" w14:textId="77777777" w:rsidR="007A1D1C" w:rsidRPr="00CF0F96" w:rsidRDefault="007A1D1C" w:rsidP="00E62A62">
            <w:pPr>
              <w:spacing w:after="0"/>
              <w:ind w:left="-30" w:right="-30"/>
              <w:jc w:val="both"/>
              <w:rPr>
                <w:rFonts w:eastAsia="Arial" w:cs="Arial"/>
                <w:sz w:val="22"/>
                <w:lang w:val="es-HN"/>
              </w:rPr>
            </w:pPr>
            <w:r w:rsidRPr="00CF0F96">
              <w:rPr>
                <w:rFonts w:eastAsia="Arial" w:cs="Arial"/>
                <w:sz w:val="22"/>
              </w:rPr>
              <w:t xml:space="preserve">Debido a la naturaleza del subproyecto y su localización, ¿se requiere algún tipo de </w:t>
            </w:r>
            <w:r w:rsidRPr="00CF0F96">
              <w:rPr>
                <w:rFonts w:eastAsia="Arial" w:cs="Arial"/>
                <w:sz w:val="22"/>
              </w:rPr>
              <w:lastRenderedPageBreak/>
              <w:t xml:space="preserve">permiso ambiental y/o social (si necesita un aval de una organización comunitaria) antes de empezar las obras?  </w:t>
            </w:r>
          </w:p>
        </w:tc>
        <w:tc>
          <w:tcPr>
            <w:tcW w:w="3206" w:type="dxa"/>
            <w:shd w:val="clear" w:color="auto" w:fill="FFFFFF" w:themeFill="background1"/>
            <w:tcMar>
              <w:left w:w="105" w:type="dxa"/>
              <w:right w:w="105" w:type="dxa"/>
            </w:tcMar>
          </w:tcPr>
          <w:p w14:paraId="3C53A617" w14:textId="77777777" w:rsidR="007A1D1C" w:rsidRPr="00CF0F96" w:rsidRDefault="007A1D1C" w:rsidP="00FF59A0">
            <w:pPr>
              <w:spacing w:after="0"/>
              <w:ind w:left="-30" w:right="-30"/>
              <w:rPr>
                <w:rFonts w:eastAsia="Arial" w:cs="Arial"/>
                <w:sz w:val="22"/>
                <w:u w:val="single"/>
                <w:lang w:val="es-HN"/>
              </w:rPr>
            </w:pPr>
            <w:r w:rsidRPr="00CF0F96">
              <w:rPr>
                <w:rFonts w:eastAsia="Arial" w:cs="Arial"/>
                <w:b/>
                <w:bCs/>
                <w:sz w:val="22"/>
                <w:u w:val="single"/>
              </w:rPr>
              <w:lastRenderedPageBreak/>
              <w:t xml:space="preserve"> </w:t>
            </w:r>
            <w:r w:rsidRPr="00CF0F96">
              <w:rPr>
                <w:rFonts w:eastAsia="Arial" w:cs="Arial"/>
                <w:sz w:val="22"/>
                <w:u w:val="single"/>
              </w:rPr>
              <w:t xml:space="preserve">  </w:t>
            </w:r>
          </w:p>
          <w:p w14:paraId="70178C8E" w14:textId="77777777" w:rsidR="007A1D1C" w:rsidRPr="00CF0F96" w:rsidRDefault="007A1D1C" w:rsidP="00FF59A0">
            <w:pPr>
              <w:spacing w:after="0"/>
              <w:ind w:left="-30" w:right="-30"/>
              <w:rPr>
                <w:rFonts w:eastAsia="Arial" w:cs="Arial"/>
                <w:sz w:val="22"/>
                <w:u w:val="single"/>
                <w:lang w:val="es-HN"/>
              </w:rPr>
            </w:pPr>
            <w:r w:rsidRPr="00CF0F96">
              <w:rPr>
                <w:rFonts w:eastAsia="Arial" w:cs="Arial"/>
                <w:b/>
                <w:bCs/>
                <w:sz w:val="22"/>
                <w:u w:val="single"/>
              </w:rPr>
              <w:t xml:space="preserve"> </w:t>
            </w:r>
            <w:r w:rsidRPr="00CF0F96">
              <w:rPr>
                <w:rFonts w:eastAsia="Arial" w:cs="Arial"/>
                <w:sz w:val="22"/>
                <w:u w:val="single"/>
              </w:rPr>
              <w:t xml:space="preserve">  </w:t>
            </w:r>
          </w:p>
          <w:p w14:paraId="5278195F" w14:textId="77777777" w:rsidR="007A1D1C" w:rsidRPr="00CF0F96" w:rsidRDefault="007A1D1C" w:rsidP="00FF59A0">
            <w:pPr>
              <w:spacing w:after="0"/>
              <w:ind w:left="-30" w:right="-30"/>
              <w:rPr>
                <w:rFonts w:eastAsia="Arial" w:cs="Arial"/>
                <w:sz w:val="22"/>
                <w:u w:val="single"/>
                <w:lang w:val="es-HN"/>
              </w:rPr>
            </w:pPr>
            <w:r w:rsidRPr="00CF0F96">
              <w:rPr>
                <w:rFonts w:eastAsia="Arial" w:cs="Arial"/>
                <w:b/>
                <w:bCs/>
                <w:sz w:val="22"/>
                <w:u w:val="single"/>
              </w:rPr>
              <w:t xml:space="preserve"> </w:t>
            </w:r>
            <w:r w:rsidRPr="00CF0F96">
              <w:rPr>
                <w:rFonts w:eastAsia="Arial" w:cs="Arial"/>
                <w:sz w:val="22"/>
                <w:u w:val="single"/>
              </w:rPr>
              <w:t xml:space="preserve">  </w:t>
            </w:r>
          </w:p>
        </w:tc>
        <w:tc>
          <w:tcPr>
            <w:tcW w:w="1929" w:type="dxa"/>
            <w:shd w:val="clear" w:color="auto" w:fill="FFFFFF" w:themeFill="background1"/>
            <w:tcMar>
              <w:left w:w="105" w:type="dxa"/>
              <w:right w:w="105" w:type="dxa"/>
            </w:tcMar>
          </w:tcPr>
          <w:p w14:paraId="64724007" w14:textId="77777777" w:rsidR="007A1D1C" w:rsidRPr="00CF0F96" w:rsidRDefault="007A1D1C" w:rsidP="00FF59A0">
            <w:pPr>
              <w:spacing w:after="0"/>
              <w:ind w:left="-30" w:right="-30"/>
              <w:rPr>
                <w:rFonts w:eastAsia="Arial" w:cs="Arial"/>
                <w:sz w:val="22"/>
                <w:u w:val="single"/>
                <w:lang w:val="es-HN"/>
              </w:rPr>
            </w:pPr>
            <w:r w:rsidRPr="00CF0F96">
              <w:rPr>
                <w:rFonts w:eastAsia="Arial" w:cs="Arial"/>
                <w:sz w:val="22"/>
                <w:u w:val="single"/>
              </w:rPr>
              <w:t xml:space="preserve">  </w:t>
            </w:r>
          </w:p>
        </w:tc>
      </w:tr>
      <w:tr w:rsidR="007A1D1C" w:rsidRPr="00CF0F96" w14:paraId="2E566E89" w14:textId="77777777" w:rsidTr="00CF0F96">
        <w:trPr>
          <w:trHeight w:val="300"/>
        </w:trPr>
        <w:tc>
          <w:tcPr>
            <w:tcW w:w="915" w:type="dxa"/>
            <w:shd w:val="clear" w:color="auto" w:fill="FFFFFF" w:themeFill="background1"/>
            <w:tcMar>
              <w:left w:w="105" w:type="dxa"/>
              <w:right w:w="105" w:type="dxa"/>
            </w:tcMar>
          </w:tcPr>
          <w:p w14:paraId="7B8A325C" w14:textId="50FAD5E6" w:rsidR="007A1D1C" w:rsidRPr="00CF0F96" w:rsidRDefault="007A1D1C" w:rsidP="00E62A62">
            <w:pPr>
              <w:spacing w:after="0"/>
              <w:ind w:left="-30" w:right="-30"/>
              <w:jc w:val="center"/>
              <w:rPr>
                <w:rFonts w:eastAsia="Arial" w:cs="Arial"/>
                <w:sz w:val="22"/>
              </w:rPr>
            </w:pPr>
            <w:r w:rsidRPr="00CF0F96">
              <w:rPr>
                <w:rFonts w:eastAsia="Arial" w:cs="Arial"/>
                <w:sz w:val="22"/>
              </w:rPr>
              <w:t>1.1.2</w:t>
            </w:r>
          </w:p>
        </w:tc>
        <w:tc>
          <w:tcPr>
            <w:tcW w:w="3310" w:type="dxa"/>
            <w:shd w:val="clear" w:color="auto" w:fill="FFFFFF" w:themeFill="background1"/>
            <w:tcMar>
              <w:left w:w="105" w:type="dxa"/>
              <w:right w:w="105" w:type="dxa"/>
            </w:tcMar>
          </w:tcPr>
          <w:p w14:paraId="7FBADC51" w14:textId="77777777" w:rsidR="007A1D1C" w:rsidRPr="00CF0F96" w:rsidRDefault="007A1D1C" w:rsidP="00E62A62">
            <w:pPr>
              <w:spacing w:after="0"/>
              <w:ind w:left="-30" w:right="-30"/>
              <w:jc w:val="both"/>
              <w:rPr>
                <w:rFonts w:eastAsia="Arial" w:cs="Arial"/>
                <w:sz w:val="22"/>
                <w:lang w:val="es-HN"/>
              </w:rPr>
            </w:pPr>
            <w:r w:rsidRPr="00CF0F96">
              <w:rPr>
                <w:rFonts w:eastAsia="Arial" w:cs="Arial"/>
                <w:sz w:val="22"/>
              </w:rPr>
              <w:t xml:space="preserve">Se requerirá algún permiso antes de la operación de obras de infraestructura financiadas por el Proyecto. Por ejemplo, permiso de operación, y licencias sanitarias ¿entre otros?  </w:t>
            </w:r>
          </w:p>
        </w:tc>
        <w:tc>
          <w:tcPr>
            <w:tcW w:w="3206" w:type="dxa"/>
            <w:shd w:val="clear" w:color="auto" w:fill="FFFFFF" w:themeFill="background1"/>
            <w:tcMar>
              <w:left w:w="105" w:type="dxa"/>
              <w:right w:w="105" w:type="dxa"/>
            </w:tcMar>
          </w:tcPr>
          <w:p w14:paraId="3EA31B05" w14:textId="77777777" w:rsidR="007A1D1C" w:rsidRPr="00CF0F96" w:rsidRDefault="007A1D1C" w:rsidP="00FF59A0">
            <w:pPr>
              <w:spacing w:after="0"/>
              <w:ind w:left="-30" w:right="-30"/>
              <w:rPr>
                <w:rFonts w:eastAsia="Arial" w:cs="Arial"/>
                <w:sz w:val="22"/>
                <w:u w:val="single"/>
                <w:lang w:val="es-HN"/>
              </w:rPr>
            </w:pPr>
            <w:r w:rsidRPr="00CF0F96">
              <w:rPr>
                <w:rFonts w:eastAsia="Arial" w:cs="Arial"/>
                <w:sz w:val="22"/>
                <w:u w:val="single"/>
              </w:rPr>
              <w:t xml:space="preserve">  </w:t>
            </w:r>
          </w:p>
        </w:tc>
        <w:tc>
          <w:tcPr>
            <w:tcW w:w="1929" w:type="dxa"/>
            <w:shd w:val="clear" w:color="auto" w:fill="FFFFFF" w:themeFill="background1"/>
            <w:tcMar>
              <w:left w:w="105" w:type="dxa"/>
              <w:right w:w="105" w:type="dxa"/>
            </w:tcMar>
          </w:tcPr>
          <w:p w14:paraId="12505195" w14:textId="77777777" w:rsidR="007A1D1C" w:rsidRPr="00CF0F96" w:rsidRDefault="007A1D1C" w:rsidP="00FF59A0">
            <w:pPr>
              <w:spacing w:after="0"/>
              <w:ind w:left="-30" w:right="-30"/>
              <w:rPr>
                <w:rFonts w:eastAsia="Arial" w:cs="Arial"/>
                <w:sz w:val="22"/>
                <w:u w:val="single"/>
                <w:lang w:val="es-HN"/>
              </w:rPr>
            </w:pPr>
            <w:r w:rsidRPr="00CF0F96">
              <w:rPr>
                <w:rFonts w:eastAsia="Arial" w:cs="Arial"/>
                <w:sz w:val="22"/>
                <w:u w:val="single"/>
              </w:rPr>
              <w:t xml:space="preserve">  </w:t>
            </w:r>
          </w:p>
        </w:tc>
      </w:tr>
      <w:tr w:rsidR="007A1D1C" w:rsidRPr="00CF0F96" w14:paraId="358DDC5A" w14:textId="77777777" w:rsidTr="00CF0F96">
        <w:trPr>
          <w:trHeight w:val="300"/>
        </w:trPr>
        <w:tc>
          <w:tcPr>
            <w:tcW w:w="915" w:type="dxa"/>
            <w:shd w:val="clear" w:color="auto" w:fill="FFFFFF" w:themeFill="background1"/>
            <w:tcMar>
              <w:left w:w="105" w:type="dxa"/>
              <w:right w:w="105" w:type="dxa"/>
            </w:tcMar>
          </w:tcPr>
          <w:p w14:paraId="44DB5A75" w14:textId="41ECBAC9" w:rsidR="007A1D1C" w:rsidRPr="00CF0F96" w:rsidRDefault="007A1D1C" w:rsidP="00E62A62">
            <w:pPr>
              <w:spacing w:after="0"/>
              <w:ind w:left="-30" w:right="-30"/>
              <w:jc w:val="center"/>
              <w:rPr>
                <w:rFonts w:eastAsia="Arial" w:cs="Arial"/>
                <w:sz w:val="22"/>
              </w:rPr>
            </w:pPr>
            <w:r w:rsidRPr="00CF0F96">
              <w:rPr>
                <w:rFonts w:eastAsia="Arial" w:cs="Arial"/>
                <w:sz w:val="22"/>
              </w:rPr>
              <w:t>1.1.3</w:t>
            </w:r>
          </w:p>
        </w:tc>
        <w:tc>
          <w:tcPr>
            <w:tcW w:w="3310" w:type="dxa"/>
            <w:shd w:val="clear" w:color="auto" w:fill="FFFFFF" w:themeFill="background1"/>
            <w:tcMar>
              <w:left w:w="105" w:type="dxa"/>
              <w:right w:w="105" w:type="dxa"/>
            </w:tcMar>
          </w:tcPr>
          <w:p w14:paraId="2E2A086E" w14:textId="77777777" w:rsidR="007A1D1C" w:rsidRPr="00CF0F96" w:rsidRDefault="007A1D1C" w:rsidP="00E62A62">
            <w:pPr>
              <w:spacing w:after="0"/>
              <w:ind w:left="-30" w:right="-30"/>
              <w:jc w:val="both"/>
              <w:rPr>
                <w:rFonts w:eastAsia="Arial" w:cs="Arial"/>
                <w:sz w:val="22"/>
                <w:lang w:val="es-HN"/>
              </w:rPr>
            </w:pPr>
            <w:r w:rsidRPr="00CF0F96">
              <w:rPr>
                <w:rFonts w:eastAsia="Arial" w:cs="Arial"/>
                <w:sz w:val="22"/>
              </w:rPr>
              <w:t xml:space="preserve">¿Han realizado algún tipo de evaluación, diagnostico análisis ambiental y social del subproyecto? En caso de ser afirmativo, ¿qué han incluido en esta evaluación?   </w:t>
            </w:r>
          </w:p>
        </w:tc>
        <w:tc>
          <w:tcPr>
            <w:tcW w:w="3206" w:type="dxa"/>
            <w:shd w:val="clear" w:color="auto" w:fill="FFFFFF" w:themeFill="background1"/>
            <w:tcMar>
              <w:left w:w="105" w:type="dxa"/>
              <w:right w:w="105" w:type="dxa"/>
            </w:tcMar>
          </w:tcPr>
          <w:p w14:paraId="1D923A35" w14:textId="77777777" w:rsidR="007A1D1C" w:rsidRPr="00CF0F96" w:rsidRDefault="007A1D1C" w:rsidP="00FF59A0">
            <w:pPr>
              <w:spacing w:after="0"/>
              <w:ind w:left="-30" w:right="-30"/>
              <w:rPr>
                <w:rFonts w:eastAsia="Arial" w:cs="Arial"/>
                <w:sz w:val="22"/>
                <w:u w:val="single"/>
                <w:lang w:val="es-HN"/>
              </w:rPr>
            </w:pPr>
            <w:r w:rsidRPr="00CF0F96">
              <w:rPr>
                <w:rFonts w:eastAsia="Arial" w:cs="Arial"/>
                <w:b/>
                <w:bCs/>
                <w:sz w:val="22"/>
                <w:u w:val="single"/>
              </w:rPr>
              <w:t xml:space="preserve"> </w:t>
            </w:r>
            <w:r w:rsidRPr="00CF0F96">
              <w:rPr>
                <w:rFonts w:eastAsia="Arial" w:cs="Arial"/>
                <w:sz w:val="22"/>
                <w:u w:val="single"/>
              </w:rPr>
              <w:t xml:space="preserve">  </w:t>
            </w:r>
          </w:p>
          <w:p w14:paraId="0DCFB95B" w14:textId="77777777" w:rsidR="007A1D1C" w:rsidRPr="00CF0F96" w:rsidRDefault="007A1D1C" w:rsidP="00FF59A0">
            <w:pPr>
              <w:spacing w:after="0"/>
              <w:ind w:left="-30" w:right="-30"/>
              <w:rPr>
                <w:rFonts w:eastAsia="Arial" w:cs="Arial"/>
                <w:sz w:val="22"/>
                <w:u w:val="single"/>
                <w:lang w:val="es-HN"/>
              </w:rPr>
            </w:pPr>
            <w:r w:rsidRPr="00CF0F96">
              <w:rPr>
                <w:rFonts w:eastAsia="Arial" w:cs="Arial"/>
                <w:b/>
                <w:bCs/>
                <w:sz w:val="22"/>
                <w:u w:val="single"/>
              </w:rPr>
              <w:t xml:space="preserve"> </w:t>
            </w:r>
            <w:r w:rsidRPr="00CF0F96">
              <w:rPr>
                <w:rFonts w:eastAsia="Arial" w:cs="Arial"/>
                <w:sz w:val="22"/>
                <w:u w:val="single"/>
              </w:rPr>
              <w:t xml:space="preserve">  </w:t>
            </w:r>
          </w:p>
          <w:p w14:paraId="75069113" w14:textId="77777777" w:rsidR="007A1D1C" w:rsidRPr="00CF0F96" w:rsidRDefault="007A1D1C" w:rsidP="00FF59A0">
            <w:pPr>
              <w:spacing w:after="0"/>
              <w:ind w:left="-30" w:right="-30"/>
              <w:rPr>
                <w:rFonts w:eastAsia="Arial" w:cs="Arial"/>
                <w:sz w:val="22"/>
                <w:u w:val="single"/>
                <w:lang w:val="es-HN"/>
              </w:rPr>
            </w:pPr>
            <w:r w:rsidRPr="00CF0F96">
              <w:rPr>
                <w:rFonts w:eastAsia="Arial" w:cs="Arial"/>
                <w:b/>
                <w:bCs/>
                <w:sz w:val="22"/>
                <w:u w:val="single"/>
              </w:rPr>
              <w:t xml:space="preserve"> </w:t>
            </w:r>
            <w:r w:rsidRPr="00CF0F96">
              <w:rPr>
                <w:rFonts w:eastAsia="Arial" w:cs="Arial"/>
                <w:sz w:val="22"/>
                <w:u w:val="single"/>
              </w:rPr>
              <w:t xml:space="preserve">  </w:t>
            </w:r>
          </w:p>
        </w:tc>
        <w:tc>
          <w:tcPr>
            <w:tcW w:w="1929" w:type="dxa"/>
            <w:shd w:val="clear" w:color="auto" w:fill="FFFFFF" w:themeFill="background1"/>
            <w:tcMar>
              <w:left w:w="105" w:type="dxa"/>
              <w:right w:w="105" w:type="dxa"/>
            </w:tcMar>
          </w:tcPr>
          <w:p w14:paraId="17F88EE0" w14:textId="77777777" w:rsidR="007A1D1C" w:rsidRPr="00CF0F96" w:rsidRDefault="007A1D1C" w:rsidP="00FF59A0">
            <w:pPr>
              <w:spacing w:after="0"/>
              <w:ind w:left="-30" w:right="-30"/>
              <w:rPr>
                <w:rFonts w:eastAsia="Arial" w:cs="Arial"/>
                <w:sz w:val="22"/>
                <w:u w:val="single"/>
                <w:lang w:val="es-HN"/>
              </w:rPr>
            </w:pPr>
            <w:r w:rsidRPr="00CF0F96">
              <w:rPr>
                <w:rFonts w:eastAsia="Arial" w:cs="Arial"/>
                <w:sz w:val="22"/>
                <w:u w:val="single"/>
              </w:rPr>
              <w:t xml:space="preserve">  </w:t>
            </w:r>
          </w:p>
        </w:tc>
      </w:tr>
      <w:tr w:rsidR="007A1D1C" w:rsidRPr="00CF0F96" w14:paraId="2902840E" w14:textId="77777777" w:rsidTr="00CF0F96">
        <w:trPr>
          <w:trHeight w:val="300"/>
        </w:trPr>
        <w:tc>
          <w:tcPr>
            <w:tcW w:w="915" w:type="dxa"/>
            <w:shd w:val="clear" w:color="auto" w:fill="FFFFFF" w:themeFill="background1"/>
            <w:tcMar>
              <w:left w:w="105" w:type="dxa"/>
              <w:right w:w="105" w:type="dxa"/>
            </w:tcMar>
          </w:tcPr>
          <w:p w14:paraId="1E4B2C48" w14:textId="31C68FE1" w:rsidR="007A1D1C" w:rsidRPr="00CF0F96" w:rsidRDefault="007A1D1C" w:rsidP="00E62A62">
            <w:pPr>
              <w:spacing w:after="0"/>
              <w:ind w:left="-30" w:right="-30"/>
              <w:jc w:val="center"/>
              <w:rPr>
                <w:rFonts w:eastAsia="Arial" w:cs="Arial"/>
                <w:sz w:val="22"/>
              </w:rPr>
            </w:pPr>
            <w:r w:rsidRPr="00CF0F96">
              <w:rPr>
                <w:rFonts w:eastAsia="Arial" w:cs="Arial"/>
                <w:b/>
                <w:bCs/>
                <w:sz w:val="22"/>
              </w:rPr>
              <w:t>1.2.</w:t>
            </w:r>
          </w:p>
        </w:tc>
        <w:tc>
          <w:tcPr>
            <w:tcW w:w="8445" w:type="dxa"/>
            <w:gridSpan w:val="3"/>
            <w:shd w:val="clear" w:color="auto" w:fill="FFFFFF" w:themeFill="background1"/>
            <w:tcMar>
              <w:left w:w="105" w:type="dxa"/>
              <w:right w:w="105" w:type="dxa"/>
            </w:tcMar>
          </w:tcPr>
          <w:p w14:paraId="44EE99DA" w14:textId="77777777" w:rsidR="007A1D1C" w:rsidRPr="00CF0F96" w:rsidRDefault="007A1D1C" w:rsidP="00FF59A0">
            <w:pPr>
              <w:spacing w:after="0"/>
              <w:ind w:left="-30" w:right="-30"/>
              <w:rPr>
                <w:rFonts w:eastAsia="Arial" w:cs="Arial"/>
                <w:sz w:val="22"/>
              </w:rPr>
            </w:pPr>
            <w:r w:rsidRPr="00CF0F96">
              <w:rPr>
                <w:rFonts w:eastAsia="Arial" w:cs="Arial"/>
                <w:b/>
                <w:bCs/>
                <w:sz w:val="22"/>
              </w:rPr>
              <w:t>EAS 1 – Grupos vulnerables</w:t>
            </w:r>
            <w:r w:rsidRPr="00CF0F96">
              <w:rPr>
                <w:rFonts w:eastAsia="Arial" w:cs="Arial"/>
                <w:sz w:val="22"/>
              </w:rPr>
              <w:t xml:space="preserve"> </w:t>
            </w:r>
          </w:p>
          <w:p w14:paraId="109115EB" w14:textId="77777777" w:rsidR="007A1D1C" w:rsidRPr="00CF0F96" w:rsidRDefault="007A1D1C" w:rsidP="00FF59A0">
            <w:pPr>
              <w:spacing w:after="0"/>
              <w:ind w:left="-30" w:right="-30"/>
              <w:rPr>
                <w:rFonts w:eastAsia="Arial" w:cs="Arial"/>
                <w:sz w:val="22"/>
              </w:rPr>
            </w:pPr>
            <w:r w:rsidRPr="00CF0F96">
              <w:rPr>
                <w:rFonts w:eastAsia="Arial" w:cs="Arial"/>
                <w:sz w:val="22"/>
              </w:rPr>
              <w:t xml:space="preserve">  </w:t>
            </w:r>
          </w:p>
        </w:tc>
      </w:tr>
      <w:tr w:rsidR="007A1D1C" w:rsidRPr="00CF0F96" w14:paraId="705D9AA0" w14:textId="77777777" w:rsidTr="00CF0F96">
        <w:trPr>
          <w:trHeight w:val="300"/>
        </w:trPr>
        <w:tc>
          <w:tcPr>
            <w:tcW w:w="915" w:type="dxa"/>
            <w:shd w:val="clear" w:color="auto" w:fill="FFFFFF" w:themeFill="background1"/>
            <w:tcMar>
              <w:left w:w="105" w:type="dxa"/>
              <w:right w:w="105" w:type="dxa"/>
            </w:tcMar>
          </w:tcPr>
          <w:p w14:paraId="6090E2F4" w14:textId="41CDB648" w:rsidR="007A1D1C" w:rsidRPr="00CF0F96" w:rsidRDefault="007A1D1C" w:rsidP="00E62A62">
            <w:pPr>
              <w:spacing w:after="0"/>
              <w:ind w:left="-30" w:right="-30"/>
              <w:jc w:val="center"/>
              <w:rPr>
                <w:rFonts w:eastAsia="Arial" w:cs="Arial"/>
                <w:sz w:val="22"/>
              </w:rPr>
            </w:pPr>
            <w:r w:rsidRPr="00CF0F96">
              <w:rPr>
                <w:rFonts w:eastAsia="Arial" w:cs="Arial"/>
                <w:sz w:val="22"/>
              </w:rPr>
              <w:t>1.2.1</w:t>
            </w:r>
          </w:p>
        </w:tc>
        <w:tc>
          <w:tcPr>
            <w:tcW w:w="3310" w:type="dxa"/>
            <w:shd w:val="clear" w:color="auto" w:fill="FFFFFF" w:themeFill="background1"/>
            <w:tcMar>
              <w:left w:w="105" w:type="dxa"/>
              <w:right w:w="105" w:type="dxa"/>
            </w:tcMar>
          </w:tcPr>
          <w:p w14:paraId="315F8AA0" w14:textId="77777777" w:rsidR="007A1D1C" w:rsidRPr="00CF0F96" w:rsidRDefault="007A1D1C" w:rsidP="00E62A62">
            <w:pPr>
              <w:spacing w:after="0"/>
              <w:ind w:left="-30" w:right="-30"/>
              <w:jc w:val="both"/>
              <w:rPr>
                <w:rFonts w:eastAsia="Arial" w:cs="Arial"/>
                <w:sz w:val="22"/>
                <w:lang w:val="es-HN"/>
              </w:rPr>
            </w:pPr>
            <w:r w:rsidRPr="00CF0F96">
              <w:rPr>
                <w:rFonts w:eastAsia="Arial" w:cs="Arial"/>
                <w:sz w:val="22"/>
              </w:rPr>
              <w:t xml:space="preserve">¿Qué grupos vulnerables conforme el MGAS y PPPI del Proyecto se han identificado como posibles beneficiarios o partes afectadas por el subproyecto?  </w:t>
            </w:r>
          </w:p>
        </w:tc>
        <w:tc>
          <w:tcPr>
            <w:tcW w:w="3206" w:type="dxa"/>
            <w:shd w:val="clear" w:color="auto" w:fill="FFFFFF" w:themeFill="background1"/>
            <w:tcMar>
              <w:left w:w="105" w:type="dxa"/>
              <w:right w:w="105" w:type="dxa"/>
            </w:tcMar>
          </w:tcPr>
          <w:p w14:paraId="3955E9C0" w14:textId="77777777" w:rsidR="007A1D1C" w:rsidRPr="00CF0F96" w:rsidRDefault="007A1D1C" w:rsidP="00FF59A0">
            <w:pPr>
              <w:spacing w:after="0"/>
              <w:ind w:left="-30" w:right="-30"/>
              <w:rPr>
                <w:rFonts w:eastAsia="Arial" w:cs="Arial"/>
                <w:sz w:val="22"/>
                <w:u w:val="single"/>
                <w:lang w:val="es-HN"/>
              </w:rPr>
            </w:pPr>
            <w:r w:rsidRPr="00CF0F96">
              <w:rPr>
                <w:rFonts w:eastAsia="Arial" w:cs="Arial"/>
                <w:sz w:val="22"/>
                <w:u w:val="single"/>
              </w:rPr>
              <w:t xml:space="preserve">  </w:t>
            </w:r>
          </w:p>
        </w:tc>
        <w:tc>
          <w:tcPr>
            <w:tcW w:w="1929" w:type="dxa"/>
            <w:shd w:val="clear" w:color="auto" w:fill="FFFFFF" w:themeFill="background1"/>
            <w:tcMar>
              <w:left w:w="105" w:type="dxa"/>
              <w:right w:w="105" w:type="dxa"/>
            </w:tcMar>
          </w:tcPr>
          <w:p w14:paraId="2FF54B7C" w14:textId="77777777" w:rsidR="007A1D1C" w:rsidRPr="00CF0F96" w:rsidRDefault="007A1D1C" w:rsidP="00FF59A0">
            <w:pPr>
              <w:spacing w:after="0"/>
              <w:ind w:left="-30" w:right="-30"/>
              <w:rPr>
                <w:rFonts w:eastAsia="Arial" w:cs="Arial"/>
                <w:sz w:val="22"/>
                <w:u w:val="single"/>
                <w:lang w:val="es-HN"/>
              </w:rPr>
            </w:pPr>
            <w:r w:rsidRPr="00CF0F96">
              <w:rPr>
                <w:rFonts w:eastAsia="Arial" w:cs="Arial"/>
                <w:sz w:val="22"/>
                <w:u w:val="single"/>
              </w:rPr>
              <w:t xml:space="preserve">  </w:t>
            </w:r>
          </w:p>
        </w:tc>
      </w:tr>
      <w:tr w:rsidR="007A1D1C" w:rsidRPr="00CF0F96" w14:paraId="57B5C967" w14:textId="77777777" w:rsidTr="00CF0F96">
        <w:trPr>
          <w:trHeight w:val="300"/>
        </w:trPr>
        <w:tc>
          <w:tcPr>
            <w:tcW w:w="915" w:type="dxa"/>
            <w:shd w:val="clear" w:color="auto" w:fill="FFFFFF" w:themeFill="background1"/>
            <w:tcMar>
              <w:left w:w="105" w:type="dxa"/>
              <w:right w:w="105" w:type="dxa"/>
            </w:tcMar>
          </w:tcPr>
          <w:p w14:paraId="5201F05F" w14:textId="4AE28E08" w:rsidR="007A1D1C" w:rsidRPr="00CF0F96" w:rsidRDefault="007A1D1C" w:rsidP="00E62A62">
            <w:pPr>
              <w:spacing w:after="0"/>
              <w:ind w:left="-30" w:right="-30"/>
              <w:jc w:val="center"/>
              <w:rPr>
                <w:rFonts w:eastAsia="Arial" w:cs="Arial"/>
                <w:sz w:val="22"/>
              </w:rPr>
            </w:pPr>
            <w:r w:rsidRPr="00CF0F96">
              <w:rPr>
                <w:rFonts w:eastAsia="Arial" w:cs="Arial"/>
                <w:sz w:val="22"/>
              </w:rPr>
              <w:t>1.2.2</w:t>
            </w:r>
          </w:p>
        </w:tc>
        <w:tc>
          <w:tcPr>
            <w:tcW w:w="3310" w:type="dxa"/>
            <w:shd w:val="clear" w:color="auto" w:fill="FFFFFF" w:themeFill="background1"/>
            <w:tcMar>
              <w:left w:w="105" w:type="dxa"/>
              <w:right w:w="105" w:type="dxa"/>
            </w:tcMar>
          </w:tcPr>
          <w:p w14:paraId="2F6F5D48" w14:textId="77777777" w:rsidR="007A1D1C" w:rsidRPr="00CF0F96" w:rsidRDefault="007A1D1C" w:rsidP="00E62A62">
            <w:pPr>
              <w:spacing w:after="0"/>
              <w:ind w:left="-30" w:right="-30"/>
              <w:jc w:val="both"/>
              <w:rPr>
                <w:rFonts w:eastAsia="Arial" w:cs="Arial"/>
                <w:sz w:val="22"/>
                <w:lang w:val="es-HN"/>
              </w:rPr>
            </w:pPr>
            <w:r w:rsidRPr="00CF0F96">
              <w:rPr>
                <w:rFonts w:eastAsia="Arial" w:cs="Arial"/>
                <w:sz w:val="22"/>
              </w:rPr>
              <w:t xml:space="preserve">¿Se consideran medidas específicas para garantizar la participación y el acceso de los individuos o grupos vulnerables a los beneficios del proyecto, o para evitar o minimizar sus impactos negativos?  </w:t>
            </w:r>
          </w:p>
        </w:tc>
        <w:tc>
          <w:tcPr>
            <w:tcW w:w="3206" w:type="dxa"/>
            <w:shd w:val="clear" w:color="auto" w:fill="FFFFFF" w:themeFill="background1"/>
            <w:tcMar>
              <w:left w:w="105" w:type="dxa"/>
              <w:right w:w="105" w:type="dxa"/>
            </w:tcMar>
          </w:tcPr>
          <w:p w14:paraId="5E5A54CB" w14:textId="77777777" w:rsidR="007A1D1C" w:rsidRPr="00CF0F96" w:rsidRDefault="007A1D1C" w:rsidP="00FF59A0">
            <w:pPr>
              <w:spacing w:after="0"/>
              <w:ind w:left="-30" w:right="-30"/>
              <w:rPr>
                <w:rFonts w:eastAsia="Arial" w:cs="Arial"/>
                <w:sz w:val="22"/>
                <w:u w:val="single"/>
                <w:lang w:val="es-HN"/>
              </w:rPr>
            </w:pPr>
            <w:r w:rsidRPr="00CF0F96">
              <w:rPr>
                <w:rFonts w:eastAsia="Arial" w:cs="Arial"/>
                <w:sz w:val="22"/>
                <w:u w:val="single"/>
              </w:rPr>
              <w:t xml:space="preserve">  </w:t>
            </w:r>
          </w:p>
        </w:tc>
        <w:tc>
          <w:tcPr>
            <w:tcW w:w="1929" w:type="dxa"/>
            <w:shd w:val="clear" w:color="auto" w:fill="FFFFFF" w:themeFill="background1"/>
            <w:tcMar>
              <w:left w:w="105" w:type="dxa"/>
              <w:right w:w="105" w:type="dxa"/>
            </w:tcMar>
          </w:tcPr>
          <w:p w14:paraId="4A73CE15" w14:textId="77777777" w:rsidR="007A1D1C" w:rsidRPr="00CF0F96" w:rsidRDefault="007A1D1C" w:rsidP="00FF59A0">
            <w:pPr>
              <w:spacing w:after="0"/>
              <w:ind w:left="-30" w:right="-30"/>
              <w:rPr>
                <w:rFonts w:eastAsia="Arial" w:cs="Arial"/>
                <w:sz w:val="22"/>
                <w:u w:val="single"/>
                <w:lang w:val="es-HN"/>
              </w:rPr>
            </w:pPr>
            <w:r w:rsidRPr="00CF0F96">
              <w:rPr>
                <w:rFonts w:eastAsia="Arial" w:cs="Arial"/>
                <w:sz w:val="22"/>
                <w:u w:val="single"/>
              </w:rPr>
              <w:t xml:space="preserve">  </w:t>
            </w:r>
          </w:p>
        </w:tc>
      </w:tr>
      <w:tr w:rsidR="007A1D1C" w:rsidRPr="00CF0F96" w14:paraId="20B6A12A" w14:textId="77777777" w:rsidTr="00CF0F96">
        <w:trPr>
          <w:trHeight w:val="300"/>
        </w:trPr>
        <w:tc>
          <w:tcPr>
            <w:tcW w:w="915" w:type="dxa"/>
            <w:shd w:val="clear" w:color="auto" w:fill="FFFFFF" w:themeFill="background1"/>
            <w:tcMar>
              <w:left w:w="105" w:type="dxa"/>
              <w:right w:w="105" w:type="dxa"/>
            </w:tcMar>
          </w:tcPr>
          <w:p w14:paraId="73FC6316" w14:textId="77777777" w:rsidR="007A1D1C" w:rsidRPr="00CF0F96" w:rsidRDefault="007A1D1C" w:rsidP="00E62A62">
            <w:pPr>
              <w:spacing w:after="0"/>
              <w:ind w:left="-30" w:right="-30"/>
              <w:jc w:val="center"/>
              <w:rPr>
                <w:rFonts w:eastAsia="Arial" w:cs="Arial"/>
                <w:sz w:val="22"/>
              </w:rPr>
            </w:pPr>
            <w:r w:rsidRPr="00CF0F96">
              <w:rPr>
                <w:rFonts w:eastAsia="Arial" w:cs="Arial"/>
                <w:sz w:val="22"/>
              </w:rPr>
              <w:t>1.2.3</w:t>
            </w:r>
          </w:p>
        </w:tc>
        <w:tc>
          <w:tcPr>
            <w:tcW w:w="3310" w:type="dxa"/>
            <w:shd w:val="clear" w:color="auto" w:fill="FFFFFF" w:themeFill="background1"/>
            <w:tcMar>
              <w:left w:w="105" w:type="dxa"/>
              <w:right w:w="105" w:type="dxa"/>
            </w:tcMar>
          </w:tcPr>
          <w:p w14:paraId="347227B2" w14:textId="77777777" w:rsidR="007A1D1C" w:rsidRPr="00CF0F96" w:rsidRDefault="007A1D1C" w:rsidP="00E62A62">
            <w:pPr>
              <w:spacing w:after="0"/>
              <w:ind w:left="-30" w:right="-30"/>
              <w:jc w:val="both"/>
              <w:rPr>
                <w:rFonts w:eastAsia="Arial" w:cs="Arial"/>
                <w:sz w:val="22"/>
                <w:lang w:val="es-HN"/>
              </w:rPr>
            </w:pPr>
            <w:r w:rsidRPr="00CF0F96">
              <w:rPr>
                <w:rFonts w:eastAsia="Arial" w:cs="Arial"/>
                <w:sz w:val="22"/>
              </w:rPr>
              <w:t xml:space="preserve">¿Existen prácticas culturales que el subproyecto podría tomar en cuenta o promover?  </w:t>
            </w:r>
          </w:p>
        </w:tc>
        <w:tc>
          <w:tcPr>
            <w:tcW w:w="3206" w:type="dxa"/>
            <w:shd w:val="clear" w:color="auto" w:fill="FFFFFF" w:themeFill="background1"/>
            <w:tcMar>
              <w:left w:w="105" w:type="dxa"/>
              <w:right w:w="105" w:type="dxa"/>
            </w:tcMar>
          </w:tcPr>
          <w:p w14:paraId="1A69B64D" w14:textId="77777777" w:rsidR="007A1D1C" w:rsidRPr="00CF0F96" w:rsidRDefault="007A1D1C" w:rsidP="00FF59A0">
            <w:pPr>
              <w:spacing w:after="0"/>
              <w:ind w:left="-30" w:right="-30"/>
              <w:rPr>
                <w:rFonts w:eastAsia="Arial" w:cs="Arial"/>
                <w:sz w:val="22"/>
                <w:u w:val="single"/>
                <w:lang w:val="es-HN"/>
              </w:rPr>
            </w:pPr>
            <w:r w:rsidRPr="00CF0F96">
              <w:rPr>
                <w:rFonts w:eastAsia="Arial" w:cs="Arial"/>
                <w:sz w:val="22"/>
                <w:u w:val="single"/>
              </w:rPr>
              <w:t xml:space="preserve">  </w:t>
            </w:r>
          </w:p>
        </w:tc>
        <w:tc>
          <w:tcPr>
            <w:tcW w:w="1929" w:type="dxa"/>
            <w:shd w:val="clear" w:color="auto" w:fill="FFFFFF" w:themeFill="background1"/>
            <w:tcMar>
              <w:left w:w="105" w:type="dxa"/>
              <w:right w:w="105" w:type="dxa"/>
            </w:tcMar>
          </w:tcPr>
          <w:p w14:paraId="64836B42" w14:textId="77777777" w:rsidR="007A1D1C" w:rsidRPr="00CF0F96" w:rsidRDefault="007A1D1C" w:rsidP="00FF59A0">
            <w:pPr>
              <w:spacing w:after="0"/>
              <w:ind w:left="-30" w:right="-30"/>
              <w:rPr>
                <w:rFonts w:eastAsia="Arial" w:cs="Arial"/>
                <w:sz w:val="22"/>
                <w:u w:val="single"/>
                <w:lang w:val="es-HN"/>
              </w:rPr>
            </w:pPr>
            <w:r w:rsidRPr="00CF0F96">
              <w:rPr>
                <w:rFonts w:eastAsia="Arial" w:cs="Arial"/>
                <w:sz w:val="22"/>
                <w:u w:val="single"/>
              </w:rPr>
              <w:t xml:space="preserve">  </w:t>
            </w:r>
          </w:p>
        </w:tc>
      </w:tr>
      <w:tr w:rsidR="007A1D1C" w:rsidRPr="00CF0F96" w14:paraId="699337BA" w14:textId="77777777" w:rsidTr="00CF0F96">
        <w:trPr>
          <w:trHeight w:val="300"/>
        </w:trPr>
        <w:tc>
          <w:tcPr>
            <w:tcW w:w="915" w:type="dxa"/>
            <w:shd w:val="clear" w:color="auto" w:fill="FFFFFF" w:themeFill="background1"/>
            <w:tcMar>
              <w:left w:w="105" w:type="dxa"/>
              <w:right w:w="105" w:type="dxa"/>
            </w:tcMar>
          </w:tcPr>
          <w:p w14:paraId="19518819" w14:textId="77213BA7" w:rsidR="007A1D1C" w:rsidRPr="00CF0F96" w:rsidRDefault="007A1D1C" w:rsidP="00E62A62">
            <w:pPr>
              <w:spacing w:after="0"/>
              <w:ind w:left="-30" w:right="-30"/>
              <w:jc w:val="center"/>
              <w:rPr>
                <w:rFonts w:eastAsia="Arial" w:cs="Arial"/>
                <w:sz w:val="22"/>
              </w:rPr>
            </w:pPr>
            <w:r w:rsidRPr="00CF0F96">
              <w:rPr>
                <w:rFonts w:eastAsia="Arial" w:cs="Arial"/>
                <w:b/>
                <w:bCs/>
                <w:sz w:val="22"/>
              </w:rPr>
              <w:t>1.3.</w:t>
            </w:r>
          </w:p>
        </w:tc>
        <w:tc>
          <w:tcPr>
            <w:tcW w:w="8445" w:type="dxa"/>
            <w:gridSpan w:val="3"/>
            <w:shd w:val="clear" w:color="auto" w:fill="FFFFFF" w:themeFill="background1"/>
            <w:tcMar>
              <w:left w:w="105" w:type="dxa"/>
              <w:right w:w="105" w:type="dxa"/>
            </w:tcMar>
          </w:tcPr>
          <w:p w14:paraId="67DEF7A1" w14:textId="77777777" w:rsidR="007A1D1C" w:rsidRPr="00CF0F96" w:rsidRDefault="007A1D1C" w:rsidP="00FF59A0">
            <w:pPr>
              <w:spacing w:after="0"/>
              <w:ind w:left="-30" w:right="-30"/>
              <w:rPr>
                <w:rFonts w:eastAsia="Arial" w:cs="Arial"/>
                <w:sz w:val="22"/>
                <w:lang w:val="es-HN"/>
              </w:rPr>
            </w:pPr>
            <w:r w:rsidRPr="00CF0F96">
              <w:rPr>
                <w:rFonts w:eastAsia="Arial" w:cs="Arial"/>
                <w:b/>
                <w:bCs/>
                <w:sz w:val="22"/>
              </w:rPr>
              <w:t>EAS 1 - Tenencia de la tierra y derechos de propiedad</w:t>
            </w:r>
            <w:r w:rsidRPr="00CF0F96">
              <w:rPr>
                <w:rFonts w:eastAsia="Arial" w:cs="Arial"/>
                <w:sz w:val="22"/>
              </w:rPr>
              <w:t xml:space="preserve"> </w:t>
            </w:r>
          </w:p>
          <w:p w14:paraId="6FCEBF71" w14:textId="77777777" w:rsidR="007A1D1C" w:rsidRPr="00CF0F96" w:rsidRDefault="007A1D1C" w:rsidP="00FF59A0">
            <w:pPr>
              <w:spacing w:after="0"/>
              <w:ind w:left="-30" w:right="-30"/>
              <w:rPr>
                <w:rFonts w:eastAsia="Arial" w:cs="Arial"/>
                <w:sz w:val="22"/>
                <w:lang w:val="es-HN"/>
              </w:rPr>
            </w:pPr>
            <w:r w:rsidRPr="00CF0F96">
              <w:rPr>
                <w:rFonts w:eastAsia="Arial" w:cs="Arial"/>
                <w:sz w:val="22"/>
              </w:rPr>
              <w:t xml:space="preserve">  </w:t>
            </w:r>
          </w:p>
        </w:tc>
      </w:tr>
      <w:tr w:rsidR="007A1D1C" w:rsidRPr="00CF0F96" w14:paraId="1D8D29AC" w14:textId="77777777" w:rsidTr="00CF0F96">
        <w:trPr>
          <w:trHeight w:val="300"/>
        </w:trPr>
        <w:tc>
          <w:tcPr>
            <w:tcW w:w="915" w:type="dxa"/>
            <w:shd w:val="clear" w:color="auto" w:fill="FFFFFF" w:themeFill="background1"/>
            <w:tcMar>
              <w:left w:w="105" w:type="dxa"/>
              <w:right w:w="105" w:type="dxa"/>
            </w:tcMar>
          </w:tcPr>
          <w:p w14:paraId="4FCDC724" w14:textId="33943D3E" w:rsidR="007A1D1C" w:rsidRPr="00CF0F96" w:rsidRDefault="007A1D1C" w:rsidP="00E62A62">
            <w:pPr>
              <w:spacing w:after="0"/>
              <w:ind w:left="-30" w:right="-30"/>
              <w:jc w:val="center"/>
              <w:rPr>
                <w:rFonts w:eastAsia="Arial" w:cs="Arial"/>
                <w:sz w:val="22"/>
              </w:rPr>
            </w:pPr>
            <w:r w:rsidRPr="00CF0F96">
              <w:rPr>
                <w:rFonts w:eastAsia="Arial" w:cs="Arial"/>
                <w:sz w:val="22"/>
              </w:rPr>
              <w:t>1.3.1</w:t>
            </w:r>
          </w:p>
        </w:tc>
        <w:tc>
          <w:tcPr>
            <w:tcW w:w="3310" w:type="dxa"/>
            <w:shd w:val="clear" w:color="auto" w:fill="FFFFFF" w:themeFill="background1"/>
            <w:tcMar>
              <w:left w:w="105" w:type="dxa"/>
              <w:right w:w="105" w:type="dxa"/>
            </w:tcMar>
          </w:tcPr>
          <w:p w14:paraId="245D917D" w14:textId="77777777" w:rsidR="007A1D1C" w:rsidRPr="00CF0F96" w:rsidRDefault="007A1D1C" w:rsidP="00E62A62">
            <w:pPr>
              <w:spacing w:after="0"/>
              <w:ind w:left="-30" w:right="-30"/>
              <w:jc w:val="both"/>
              <w:rPr>
                <w:rFonts w:eastAsia="Arial" w:cs="Arial"/>
                <w:sz w:val="22"/>
                <w:lang w:val="es-HN"/>
              </w:rPr>
            </w:pPr>
            <w:r w:rsidRPr="00CF0F96">
              <w:rPr>
                <w:rFonts w:eastAsia="Arial" w:cs="Arial"/>
                <w:sz w:val="22"/>
              </w:rPr>
              <w:t xml:space="preserve">¿Podría el subproyecto se causa de conflictos o tensiones sobre tierras o recursos naturales?  </w:t>
            </w:r>
          </w:p>
        </w:tc>
        <w:tc>
          <w:tcPr>
            <w:tcW w:w="3206" w:type="dxa"/>
            <w:shd w:val="clear" w:color="auto" w:fill="FFFFFF" w:themeFill="background1"/>
            <w:tcMar>
              <w:left w:w="105" w:type="dxa"/>
              <w:right w:w="105" w:type="dxa"/>
            </w:tcMar>
          </w:tcPr>
          <w:p w14:paraId="34A320FB" w14:textId="77777777" w:rsidR="007A1D1C" w:rsidRPr="00CF0F96" w:rsidRDefault="007A1D1C" w:rsidP="00E62A62">
            <w:pPr>
              <w:spacing w:after="0"/>
              <w:ind w:left="-30" w:right="-30"/>
              <w:jc w:val="both"/>
              <w:rPr>
                <w:rFonts w:eastAsia="Arial" w:cs="Arial"/>
                <w:sz w:val="22"/>
                <w:u w:val="single"/>
                <w:lang w:val="es-HN"/>
              </w:rPr>
            </w:pPr>
            <w:r w:rsidRPr="00CF0F96">
              <w:rPr>
                <w:rFonts w:eastAsia="Arial" w:cs="Arial"/>
                <w:sz w:val="22"/>
                <w:u w:val="single"/>
              </w:rPr>
              <w:t xml:space="preserve">  </w:t>
            </w:r>
          </w:p>
        </w:tc>
        <w:tc>
          <w:tcPr>
            <w:tcW w:w="1929" w:type="dxa"/>
            <w:shd w:val="clear" w:color="auto" w:fill="FFFFFF" w:themeFill="background1"/>
            <w:tcMar>
              <w:left w:w="105" w:type="dxa"/>
              <w:right w:w="105" w:type="dxa"/>
            </w:tcMar>
          </w:tcPr>
          <w:p w14:paraId="71351C57" w14:textId="77777777" w:rsidR="007A1D1C" w:rsidRPr="00CF0F96" w:rsidRDefault="007A1D1C" w:rsidP="00FF59A0">
            <w:pPr>
              <w:spacing w:after="0"/>
              <w:ind w:left="-30" w:right="-30"/>
              <w:rPr>
                <w:rFonts w:eastAsia="Arial" w:cs="Arial"/>
                <w:sz w:val="22"/>
                <w:u w:val="single"/>
                <w:lang w:val="es-HN"/>
              </w:rPr>
            </w:pPr>
            <w:r w:rsidRPr="00CF0F96">
              <w:rPr>
                <w:rFonts w:eastAsia="Arial" w:cs="Arial"/>
                <w:sz w:val="22"/>
                <w:u w:val="single"/>
              </w:rPr>
              <w:t xml:space="preserve">  </w:t>
            </w:r>
          </w:p>
        </w:tc>
      </w:tr>
      <w:tr w:rsidR="007A1D1C" w:rsidRPr="00CF0F96" w14:paraId="44374A2B" w14:textId="77777777" w:rsidTr="00CF0F96">
        <w:trPr>
          <w:trHeight w:val="300"/>
        </w:trPr>
        <w:tc>
          <w:tcPr>
            <w:tcW w:w="915" w:type="dxa"/>
            <w:shd w:val="clear" w:color="auto" w:fill="FFFFFF" w:themeFill="background1"/>
            <w:tcMar>
              <w:left w:w="105" w:type="dxa"/>
              <w:right w:w="105" w:type="dxa"/>
            </w:tcMar>
          </w:tcPr>
          <w:p w14:paraId="4B846CE5" w14:textId="2D6C6BA9" w:rsidR="007A1D1C" w:rsidRPr="00CF0F96" w:rsidRDefault="007A1D1C" w:rsidP="00E62A62">
            <w:pPr>
              <w:spacing w:after="0"/>
              <w:ind w:left="-30" w:right="-30"/>
              <w:jc w:val="center"/>
              <w:rPr>
                <w:rFonts w:eastAsia="Arial" w:cs="Arial"/>
                <w:sz w:val="22"/>
              </w:rPr>
            </w:pPr>
            <w:r w:rsidRPr="00CF0F96">
              <w:rPr>
                <w:rFonts w:eastAsia="Arial" w:cs="Arial"/>
                <w:sz w:val="22"/>
              </w:rPr>
              <w:t>1.3.2</w:t>
            </w:r>
          </w:p>
        </w:tc>
        <w:tc>
          <w:tcPr>
            <w:tcW w:w="3310" w:type="dxa"/>
            <w:shd w:val="clear" w:color="auto" w:fill="FFFFFF" w:themeFill="background1"/>
            <w:tcMar>
              <w:left w:w="105" w:type="dxa"/>
              <w:right w:w="105" w:type="dxa"/>
            </w:tcMar>
          </w:tcPr>
          <w:p w14:paraId="32527CFC" w14:textId="77777777" w:rsidR="007A1D1C" w:rsidRPr="00CF0F96" w:rsidRDefault="007A1D1C" w:rsidP="00E62A62">
            <w:pPr>
              <w:spacing w:after="0"/>
              <w:ind w:left="-30" w:right="-30"/>
              <w:jc w:val="both"/>
              <w:rPr>
                <w:rFonts w:eastAsia="Arial" w:cs="Arial"/>
                <w:sz w:val="22"/>
                <w:lang w:val="es-HN"/>
              </w:rPr>
            </w:pPr>
            <w:r w:rsidRPr="00CF0F96">
              <w:rPr>
                <w:rFonts w:eastAsia="Arial" w:cs="Arial"/>
                <w:sz w:val="22"/>
              </w:rPr>
              <w:t xml:space="preserve">¿El subproyecto necesitaría la compra donación, contratos de arrendamiento, usufructo o cesión de terrenos para realizar actividades previstas en el plan de negocio?   </w:t>
            </w:r>
          </w:p>
        </w:tc>
        <w:tc>
          <w:tcPr>
            <w:tcW w:w="3206" w:type="dxa"/>
            <w:shd w:val="clear" w:color="auto" w:fill="FFFFFF" w:themeFill="background1"/>
            <w:tcMar>
              <w:left w:w="105" w:type="dxa"/>
              <w:right w:w="105" w:type="dxa"/>
            </w:tcMar>
          </w:tcPr>
          <w:p w14:paraId="2191A9B0" w14:textId="77777777" w:rsidR="007A1D1C" w:rsidRPr="00CF0F96" w:rsidRDefault="007A1D1C" w:rsidP="00E62A62">
            <w:pPr>
              <w:spacing w:after="0"/>
              <w:ind w:left="-30" w:right="-30"/>
              <w:jc w:val="both"/>
              <w:rPr>
                <w:rFonts w:eastAsia="Arial" w:cs="Arial"/>
                <w:sz w:val="22"/>
              </w:rPr>
            </w:pPr>
            <w:r w:rsidRPr="00CF0F96">
              <w:rPr>
                <w:rFonts w:eastAsia="Arial" w:cs="Arial"/>
                <w:sz w:val="22"/>
              </w:rPr>
              <w:t xml:space="preserve">  Documentar todo proceso del derecho de tenencia de tierra. </w:t>
            </w:r>
          </w:p>
        </w:tc>
        <w:tc>
          <w:tcPr>
            <w:tcW w:w="1929" w:type="dxa"/>
            <w:shd w:val="clear" w:color="auto" w:fill="FFFFFF" w:themeFill="background1"/>
            <w:tcMar>
              <w:left w:w="105" w:type="dxa"/>
              <w:right w:w="105" w:type="dxa"/>
            </w:tcMar>
          </w:tcPr>
          <w:p w14:paraId="6C278C1E" w14:textId="77777777" w:rsidR="007A1D1C" w:rsidRPr="00CF0F96" w:rsidRDefault="007A1D1C" w:rsidP="00FF59A0">
            <w:pPr>
              <w:spacing w:after="0"/>
              <w:ind w:left="-30" w:right="-30"/>
              <w:rPr>
                <w:rFonts w:eastAsia="Arial" w:cs="Arial"/>
                <w:sz w:val="22"/>
                <w:u w:val="single"/>
                <w:lang w:val="es-HN"/>
              </w:rPr>
            </w:pPr>
            <w:r w:rsidRPr="00CF0F96">
              <w:rPr>
                <w:rFonts w:eastAsia="Arial" w:cs="Arial"/>
                <w:sz w:val="22"/>
                <w:u w:val="single"/>
              </w:rPr>
              <w:t xml:space="preserve">  </w:t>
            </w:r>
          </w:p>
        </w:tc>
      </w:tr>
      <w:tr w:rsidR="007A1D1C" w:rsidRPr="00CF0F96" w14:paraId="4D882A96" w14:textId="77777777" w:rsidTr="00CF0F96">
        <w:trPr>
          <w:trHeight w:val="300"/>
        </w:trPr>
        <w:tc>
          <w:tcPr>
            <w:tcW w:w="915" w:type="dxa"/>
            <w:shd w:val="clear" w:color="auto" w:fill="FFFFFF" w:themeFill="background1"/>
            <w:tcMar>
              <w:left w:w="105" w:type="dxa"/>
              <w:right w:w="105" w:type="dxa"/>
            </w:tcMar>
          </w:tcPr>
          <w:p w14:paraId="1825236C" w14:textId="336AF070" w:rsidR="007A1D1C" w:rsidRPr="00CF0F96" w:rsidRDefault="007A1D1C" w:rsidP="00E62A62">
            <w:pPr>
              <w:spacing w:after="0"/>
              <w:ind w:left="-30" w:right="-30"/>
              <w:jc w:val="center"/>
              <w:rPr>
                <w:rFonts w:eastAsia="Calibri" w:cs="Arial"/>
                <w:sz w:val="22"/>
              </w:rPr>
            </w:pPr>
            <w:r w:rsidRPr="00CF0F96">
              <w:rPr>
                <w:rFonts w:eastAsia="Calibri" w:cs="Arial"/>
                <w:sz w:val="22"/>
              </w:rPr>
              <w:lastRenderedPageBreak/>
              <w:t>1.3.3</w:t>
            </w:r>
          </w:p>
        </w:tc>
        <w:tc>
          <w:tcPr>
            <w:tcW w:w="3310" w:type="dxa"/>
            <w:shd w:val="clear" w:color="auto" w:fill="FFFFFF" w:themeFill="background1"/>
            <w:tcMar>
              <w:left w:w="105" w:type="dxa"/>
              <w:right w:w="105" w:type="dxa"/>
            </w:tcMar>
          </w:tcPr>
          <w:p w14:paraId="63CCAADE" w14:textId="77777777" w:rsidR="007A1D1C" w:rsidRPr="00CF0F96" w:rsidRDefault="007A1D1C" w:rsidP="00E62A62">
            <w:pPr>
              <w:spacing w:after="0"/>
              <w:ind w:left="-30" w:right="-30"/>
              <w:jc w:val="both"/>
              <w:rPr>
                <w:rFonts w:eastAsia="Arial" w:cs="Arial"/>
                <w:sz w:val="22"/>
                <w:lang w:val="es-HN"/>
              </w:rPr>
            </w:pPr>
            <w:r w:rsidRPr="00CF0F96">
              <w:rPr>
                <w:rFonts w:eastAsia="Arial" w:cs="Arial"/>
                <w:sz w:val="22"/>
              </w:rPr>
              <w:t xml:space="preserve">¿Cuál es la situación de tenencia de tierra en las zonas de intervención y de los beneficiarios del subproyecto?  </w:t>
            </w:r>
          </w:p>
        </w:tc>
        <w:tc>
          <w:tcPr>
            <w:tcW w:w="3206" w:type="dxa"/>
            <w:shd w:val="clear" w:color="auto" w:fill="FFFFFF" w:themeFill="background1"/>
            <w:tcMar>
              <w:left w:w="105" w:type="dxa"/>
              <w:right w:w="105" w:type="dxa"/>
            </w:tcMar>
          </w:tcPr>
          <w:p w14:paraId="3DC3EF2D" w14:textId="77777777" w:rsidR="007A1D1C" w:rsidRPr="00CF0F96" w:rsidRDefault="007A1D1C" w:rsidP="00E62A62">
            <w:pPr>
              <w:spacing w:after="0"/>
              <w:ind w:left="-30" w:right="-30"/>
              <w:jc w:val="both"/>
              <w:rPr>
                <w:rFonts w:eastAsia="Arial" w:cs="Arial"/>
                <w:sz w:val="22"/>
                <w:u w:val="single"/>
                <w:lang w:val="es-HN"/>
              </w:rPr>
            </w:pPr>
            <w:r w:rsidRPr="00CF0F96">
              <w:rPr>
                <w:rFonts w:eastAsia="Arial" w:cs="Arial"/>
                <w:sz w:val="22"/>
                <w:u w:val="single"/>
              </w:rPr>
              <w:t xml:space="preserve">  </w:t>
            </w:r>
          </w:p>
        </w:tc>
        <w:tc>
          <w:tcPr>
            <w:tcW w:w="1929" w:type="dxa"/>
            <w:shd w:val="clear" w:color="auto" w:fill="FFFFFF" w:themeFill="background1"/>
            <w:tcMar>
              <w:left w:w="105" w:type="dxa"/>
              <w:right w:w="105" w:type="dxa"/>
            </w:tcMar>
          </w:tcPr>
          <w:p w14:paraId="20BB53BD" w14:textId="77777777" w:rsidR="007A1D1C" w:rsidRPr="00CF0F96" w:rsidRDefault="007A1D1C" w:rsidP="00FF59A0">
            <w:pPr>
              <w:spacing w:after="0"/>
              <w:ind w:left="-30" w:right="-30"/>
              <w:rPr>
                <w:rFonts w:eastAsia="Arial" w:cs="Arial"/>
                <w:sz w:val="22"/>
                <w:u w:val="single"/>
                <w:lang w:val="es-HN"/>
              </w:rPr>
            </w:pPr>
            <w:r w:rsidRPr="00CF0F96">
              <w:rPr>
                <w:rFonts w:eastAsia="Arial" w:cs="Arial"/>
                <w:sz w:val="22"/>
                <w:u w:val="single"/>
              </w:rPr>
              <w:t xml:space="preserve">  </w:t>
            </w:r>
          </w:p>
        </w:tc>
      </w:tr>
      <w:tr w:rsidR="007A1D1C" w:rsidRPr="00CF0F96" w14:paraId="52CC1581" w14:textId="77777777" w:rsidTr="00CF0F96">
        <w:trPr>
          <w:trHeight w:val="300"/>
        </w:trPr>
        <w:tc>
          <w:tcPr>
            <w:tcW w:w="915" w:type="dxa"/>
            <w:shd w:val="clear" w:color="auto" w:fill="FFFFFF" w:themeFill="background1"/>
            <w:tcMar>
              <w:left w:w="105" w:type="dxa"/>
              <w:right w:w="105" w:type="dxa"/>
            </w:tcMar>
          </w:tcPr>
          <w:p w14:paraId="7BD6ADC8" w14:textId="77777777" w:rsidR="007A1D1C" w:rsidRPr="00CF0F96" w:rsidRDefault="007A1D1C" w:rsidP="00E62A62">
            <w:pPr>
              <w:spacing w:after="0"/>
              <w:ind w:left="-30" w:right="-30"/>
              <w:jc w:val="center"/>
              <w:rPr>
                <w:rFonts w:eastAsia="Calibri" w:cs="Arial"/>
                <w:sz w:val="22"/>
              </w:rPr>
            </w:pPr>
            <w:r w:rsidRPr="00CF0F96">
              <w:rPr>
                <w:rFonts w:eastAsia="Calibri" w:cs="Arial"/>
                <w:sz w:val="22"/>
              </w:rPr>
              <w:t>1.3.4</w:t>
            </w:r>
          </w:p>
        </w:tc>
        <w:tc>
          <w:tcPr>
            <w:tcW w:w="3310" w:type="dxa"/>
            <w:shd w:val="clear" w:color="auto" w:fill="FFFFFF" w:themeFill="background1"/>
            <w:tcMar>
              <w:left w:w="105" w:type="dxa"/>
              <w:right w:w="105" w:type="dxa"/>
            </w:tcMar>
          </w:tcPr>
          <w:p w14:paraId="75D5C412" w14:textId="77777777" w:rsidR="007A1D1C" w:rsidRPr="00CF0F96" w:rsidRDefault="007A1D1C" w:rsidP="00E62A62">
            <w:pPr>
              <w:spacing w:after="0"/>
              <w:ind w:left="-30" w:right="-30"/>
              <w:jc w:val="both"/>
              <w:rPr>
                <w:rFonts w:eastAsia="Arial" w:cs="Arial"/>
                <w:sz w:val="22"/>
                <w:lang w:val="es-HN"/>
              </w:rPr>
            </w:pPr>
            <w:r w:rsidRPr="00CF0F96">
              <w:rPr>
                <w:rFonts w:eastAsia="Arial" w:cs="Arial"/>
                <w:sz w:val="22"/>
              </w:rPr>
              <w:t>¿Según los antecedentes del terreno cuál es su naturaleza jurídica?</w:t>
            </w:r>
          </w:p>
          <w:p w14:paraId="24CFCE77" w14:textId="77777777" w:rsidR="007A1D1C" w:rsidRPr="00CF0F96" w:rsidRDefault="007A1D1C" w:rsidP="00E62A62">
            <w:pPr>
              <w:spacing w:after="0"/>
              <w:ind w:left="-30" w:right="-30"/>
              <w:jc w:val="both"/>
              <w:rPr>
                <w:rFonts w:eastAsia="Arial" w:cs="Arial"/>
                <w:sz w:val="22"/>
              </w:rPr>
            </w:pPr>
            <w:r w:rsidRPr="00CF0F96">
              <w:rPr>
                <w:rFonts w:eastAsia="Arial" w:cs="Arial"/>
                <w:sz w:val="22"/>
              </w:rPr>
              <w:t>Nacional, Ejidal, Ancestral, Comunitario, Privado en Dominio Pleno o Útil, Otras</w:t>
            </w:r>
            <w:r w:rsidRPr="00CF0F96">
              <w:rPr>
                <w:rStyle w:val="Refdenotaalpie"/>
                <w:rFonts w:eastAsia="Arial" w:cs="Arial"/>
                <w:sz w:val="22"/>
              </w:rPr>
              <w:footnoteReference w:id="65"/>
            </w:r>
          </w:p>
        </w:tc>
        <w:tc>
          <w:tcPr>
            <w:tcW w:w="3206" w:type="dxa"/>
            <w:shd w:val="clear" w:color="auto" w:fill="FFFFFF" w:themeFill="background1"/>
            <w:tcMar>
              <w:left w:w="105" w:type="dxa"/>
              <w:right w:w="105" w:type="dxa"/>
            </w:tcMar>
          </w:tcPr>
          <w:p w14:paraId="533082AC" w14:textId="77777777" w:rsidR="007A1D1C" w:rsidRPr="00CF0F96" w:rsidRDefault="007A1D1C" w:rsidP="00E62A62">
            <w:pPr>
              <w:spacing w:after="0"/>
              <w:ind w:left="-30" w:right="-30"/>
              <w:jc w:val="both"/>
              <w:rPr>
                <w:rFonts w:eastAsia="Arial" w:cs="Arial"/>
                <w:sz w:val="22"/>
                <w:u w:val="single"/>
                <w:lang w:val="es-HN"/>
              </w:rPr>
            </w:pPr>
          </w:p>
        </w:tc>
        <w:tc>
          <w:tcPr>
            <w:tcW w:w="1929" w:type="dxa"/>
            <w:shd w:val="clear" w:color="auto" w:fill="FFFFFF" w:themeFill="background1"/>
            <w:tcMar>
              <w:left w:w="105" w:type="dxa"/>
              <w:right w:w="105" w:type="dxa"/>
            </w:tcMar>
          </w:tcPr>
          <w:p w14:paraId="0711D95A" w14:textId="77777777" w:rsidR="007A1D1C" w:rsidRPr="00CF0F96" w:rsidRDefault="007A1D1C" w:rsidP="00FF59A0">
            <w:pPr>
              <w:spacing w:after="0"/>
              <w:ind w:left="-30" w:right="-30"/>
              <w:rPr>
                <w:rFonts w:eastAsia="Arial" w:cs="Arial"/>
                <w:sz w:val="22"/>
                <w:u w:val="single"/>
                <w:lang w:val="es-HN"/>
              </w:rPr>
            </w:pPr>
          </w:p>
        </w:tc>
      </w:tr>
      <w:tr w:rsidR="007A1D1C" w:rsidRPr="00CF0F96" w14:paraId="1D4C7263" w14:textId="77777777" w:rsidTr="00CF0F96">
        <w:trPr>
          <w:trHeight w:val="300"/>
        </w:trPr>
        <w:tc>
          <w:tcPr>
            <w:tcW w:w="915" w:type="dxa"/>
            <w:shd w:val="clear" w:color="auto" w:fill="FFFFFF" w:themeFill="background1"/>
            <w:tcMar>
              <w:left w:w="105" w:type="dxa"/>
              <w:right w:w="105" w:type="dxa"/>
            </w:tcMar>
          </w:tcPr>
          <w:p w14:paraId="7A61DE76" w14:textId="7C7F7CEE" w:rsidR="007A1D1C" w:rsidRPr="00CF0F96" w:rsidRDefault="007A1D1C" w:rsidP="00E62A62">
            <w:pPr>
              <w:spacing w:after="0"/>
              <w:ind w:left="-30" w:right="-30"/>
              <w:jc w:val="center"/>
              <w:rPr>
                <w:rFonts w:eastAsia="Calibri" w:cs="Arial"/>
                <w:sz w:val="22"/>
              </w:rPr>
            </w:pPr>
            <w:r w:rsidRPr="00CF0F96">
              <w:rPr>
                <w:rFonts w:eastAsia="Calibri" w:cs="Arial"/>
                <w:sz w:val="22"/>
              </w:rPr>
              <w:t>1.3.5</w:t>
            </w:r>
          </w:p>
        </w:tc>
        <w:tc>
          <w:tcPr>
            <w:tcW w:w="3310" w:type="dxa"/>
            <w:shd w:val="clear" w:color="auto" w:fill="FFFFFF" w:themeFill="background1"/>
            <w:tcMar>
              <w:left w:w="105" w:type="dxa"/>
              <w:right w:w="105" w:type="dxa"/>
            </w:tcMar>
          </w:tcPr>
          <w:p w14:paraId="17A04497" w14:textId="77777777" w:rsidR="007A1D1C" w:rsidRPr="00CF0F96" w:rsidRDefault="007A1D1C" w:rsidP="00E62A62">
            <w:pPr>
              <w:spacing w:after="0"/>
              <w:ind w:left="-30" w:right="-30"/>
              <w:jc w:val="both"/>
              <w:rPr>
                <w:rFonts w:eastAsia="Arial" w:cs="Arial"/>
                <w:sz w:val="22"/>
                <w:lang w:val="es-HN"/>
              </w:rPr>
            </w:pPr>
            <w:r w:rsidRPr="00CF0F96">
              <w:rPr>
                <w:rFonts w:eastAsia="Arial" w:cs="Arial"/>
                <w:sz w:val="22"/>
              </w:rPr>
              <w:t xml:space="preserve">¿En caso de ser un subproyecto relacionado con suministro o uso de agua, se ha evaluado la gobernanza del agua en la comunidad o la autoridad competente?  </w:t>
            </w:r>
          </w:p>
        </w:tc>
        <w:tc>
          <w:tcPr>
            <w:tcW w:w="3206" w:type="dxa"/>
            <w:shd w:val="clear" w:color="auto" w:fill="FFFFFF" w:themeFill="background1"/>
            <w:tcMar>
              <w:left w:w="105" w:type="dxa"/>
              <w:right w:w="105" w:type="dxa"/>
            </w:tcMar>
          </w:tcPr>
          <w:p w14:paraId="7A7401BC" w14:textId="77777777" w:rsidR="007A1D1C" w:rsidRPr="00CF0F96" w:rsidRDefault="007A1D1C" w:rsidP="00FF59A0">
            <w:pPr>
              <w:spacing w:after="0"/>
              <w:ind w:left="-30" w:right="-30"/>
              <w:rPr>
                <w:rFonts w:eastAsia="Arial" w:cs="Arial"/>
                <w:sz w:val="22"/>
                <w:u w:val="single"/>
                <w:lang w:val="es-HN"/>
              </w:rPr>
            </w:pPr>
            <w:r w:rsidRPr="00CF0F96">
              <w:rPr>
                <w:rFonts w:eastAsia="Arial" w:cs="Arial"/>
                <w:sz w:val="22"/>
                <w:u w:val="single"/>
              </w:rPr>
              <w:t xml:space="preserve">  </w:t>
            </w:r>
          </w:p>
        </w:tc>
        <w:tc>
          <w:tcPr>
            <w:tcW w:w="1929" w:type="dxa"/>
            <w:shd w:val="clear" w:color="auto" w:fill="FFFFFF" w:themeFill="background1"/>
            <w:tcMar>
              <w:left w:w="105" w:type="dxa"/>
              <w:right w:w="105" w:type="dxa"/>
            </w:tcMar>
          </w:tcPr>
          <w:p w14:paraId="4F7381EE" w14:textId="77777777" w:rsidR="007A1D1C" w:rsidRPr="00CF0F96" w:rsidRDefault="007A1D1C" w:rsidP="00FF59A0">
            <w:pPr>
              <w:spacing w:after="0"/>
              <w:ind w:left="-30" w:right="-30"/>
              <w:rPr>
                <w:rFonts w:eastAsia="Arial" w:cs="Arial"/>
                <w:sz w:val="22"/>
                <w:u w:val="single"/>
                <w:lang w:val="es-HN"/>
              </w:rPr>
            </w:pPr>
            <w:r w:rsidRPr="00CF0F96">
              <w:rPr>
                <w:rFonts w:eastAsia="Arial" w:cs="Arial"/>
                <w:sz w:val="22"/>
                <w:u w:val="single"/>
              </w:rPr>
              <w:t xml:space="preserve">  </w:t>
            </w:r>
          </w:p>
        </w:tc>
      </w:tr>
      <w:tr w:rsidR="007A1D1C" w:rsidRPr="00CF0F96" w14:paraId="363589B1" w14:textId="77777777" w:rsidTr="00CF0F96">
        <w:trPr>
          <w:trHeight w:val="300"/>
        </w:trPr>
        <w:tc>
          <w:tcPr>
            <w:tcW w:w="915" w:type="dxa"/>
            <w:shd w:val="clear" w:color="auto" w:fill="FFFFFF" w:themeFill="background1"/>
            <w:tcMar>
              <w:left w:w="105" w:type="dxa"/>
              <w:right w:w="105" w:type="dxa"/>
            </w:tcMar>
          </w:tcPr>
          <w:p w14:paraId="18CCFB29" w14:textId="18B71DDE" w:rsidR="007A1D1C" w:rsidRPr="00CF0F96" w:rsidRDefault="007A1D1C" w:rsidP="00E62A62">
            <w:pPr>
              <w:spacing w:after="0"/>
              <w:ind w:left="-30" w:right="-30"/>
              <w:jc w:val="center"/>
              <w:rPr>
                <w:rFonts w:eastAsia="Calibri" w:cs="Arial"/>
                <w:sz w:val="22"/>
              </w:rPr>
            </w:pPr>
            <w:r w:rsidRPr="00CF0F96">
              <w:rPr>
                <w:rFonts w:eastAsia="Calibri" w:cs="Arial"/>
                <w:sz w:val="22"/>
              </w:rPr>
              <w:t>2.</w:t>
            </w:r>
          </w:p>
        </w:tc>
        <w:tc>
          <w:tcPr>
            <w:tcW w:w="8445" w:type="dxa"/>
            <w:gridSpan w:val="3"/>
            <w:shd w:val="clear" w:color="auto" w:fill="FFFFFF" w:themeFill="background1"/>
            <w:tcMar>
              <w:left w:w="105" w:type="dxa"/>
              <w:right w:w="105" w:type="dxa"/>
            </w:tcMar>
          </w:tcPr>
          <w:p w14:paraId="0ACC1A68" w14:textId="77777777" w:rsidR="007A1D1C" w:rsidRPr="00CF0F96" w:rsidRDefault="007A1D1C" w:rsidP="00FF59A0">
            <w:pPr>
              <w:spacing w:after="0"/>
              <w:ind w:left="-30" w:right="-30"/>
              <w:rPr>
                <w:rFonts w:eastAsia="Arial" w:cs="Arial"/>
                <w:b/>
                <w:bCs/>
                <w:sz w:val="22"/>
              </w:rPr>
            </w:pPr>
            <w:r w:rsidRPr="00CF0F96">
              <w:rPr>
                <w:rFonts w:eastAsia="Arial" w:cs="Arial"/>
                <w:b/>
                <w:bCs/>
                <w:sz w:val="22"/>
              </w:rPr>
              <w:t xml:space="preserve">EAS 2 - Trabajo y Condiciones Laborales  </w:t>
            </w:r>
          </w:p>
          <w:p w14:paraId="531DB855" w14:textId="77777777" w:rsidR="007A1D1C" w:rsidRPr="00CF0F96" w:rsidRDefault="007A1D1C" w:rsidP="00FF59A0">
            <w:pPr>
              <w:spacing w:after="0"/>
              <w:ind w:left="-30" w:right="-30"/>
              <w:rPr>
                <w:rFonts w:eastAsia="Arial" w:cs="Arial"/>
                <w:sz w:val="22"/>
              </w:rPr>
            </w:pPr>
            <w:r w:rsidRPr="00CF0F96">
              <w:rPr>
                <w:rFonts w:eastAsia="Arial" w:cs="Arial"/>
                <w:sz w:val="22"/>
              </w:rPr>
              <w:t xml:space="preserve">  </w:t>
            </w:r>
          </w:p>
        </w:tc>
      </w:tr>
      <w:tr w:rsidR="007A1D1C" w:rsidRPr="00CF0F96" w14:paraId="2B8836D1" w14:textId="77777777" w:rsidTr="00CF0F96">
        <w:trPr>
          <w:trHeight w:val="300"/>
        </w:trPr>
        <w:tc>
          <w:tcPr>
            <w:tcW w:w="915" w:type="dxa"/>
            <w:shd w:val="clear" w:color="auto" w:fill="FFFFFF" w:themeFill="background1"/>
            <w:tcMar>
              <w:left w:w="105" w:type="dxa"/>
              <w:right w:w="105" w:type="dxa"/>
            </w:tcMar>
          </w:tcPr>
          <w:p w14:paraId="3EF02BF5" w14:textId="0BA63910" w:rsidR="007A1D1C" w:rsidRPr="00CF0F96" w:rsidRDefault="007A1D1C" w:rsidP="00E62A62">
            <w:pPr>
              <w:spacing w:after="0"/>
              <w:ind w:left="-30" w:right="-30"/>
              <w:jc w:val="center"/>
              <w:rPr>
                <w:rFonts w:eastAsia="Arial" w:cs="Arial"/>
                <w:sz w:val="22"/>
              </w:rPr>
            </w:pPr>
            <w:r w:rsidRPr="00CF0F96">
              <w:rPr>
                <w:rFonts w:eastAsia="Arial" w:cs="Arial"/>
                <w:sz w:val="22"/>
              </w:rPr>
              <w:t>2.1</w:t>
            </w:r>
          </w:p>
        </w:tc>
        <w:tc>
          <w:tcPr>
            <w:tcW w:w="3310" w:type="dxa"/>
            <w:shd w:val="clear" w:color="auto" w:fill="FFFFFF" w:themeFill="background1"/>
            <w:tcMar>
              <w:left w:w="105" w:type="dxa"/>
              <w:right w:w="105" w:type="dxa"/>
            </w:tcMar>
            <w:vAlign w:val="center"/>
          </w:tcPr>
          <w:p w14:paraId="1ED33BFC" w14:textId="77777777" w:rsidR="007A1D1C" w:rsidRPr="00CF0F96" w:rsidRDefault="007A1D1C" w:rsidP="00E62A62">
            <w:pPr>
              <w:spacing w:after="0"/>
              <w:ind w:left="-30" w:right="-30"/>
              <w:jc w:val="both"/>
              <w:rPr>
                <w:rFonts w:eastAsia="Arial" w:cs="Arial"/>
                <w:sz w:val="22"/>
                <w:lang w:val="es-HN"/>
              </w:rPr>
            </w:pPr>
            <w:r w:rsidRPr="00CF0F96">
              <w:rPr>
                <w:rFonts w:eastAsia="Arial" w:cs="Arial"/>
                <w:sz w:val="22"/>
              </w:rPr>
              <w:t xml:space="preserve">¿El subproyecto incluye la participación de mano de obra voluntaria, por ejemplo, por parte de la comunidad?  </w:t>
            </w:r>
          </w:p>
        </w:tc>
        <w:tc>
          <w:tcPr>
            <w:tcW w:w="3206" w:type="dxa"/>
            <w:shd w:val="clear" w:color="auto" w:fill="FFFFFF" w:themeFill="background1"/>
            <w:tcMar>
              <w:left w:w="105" w:type="dxa"/>
              <w:right w:w="105" w:type="dxa"/>
            </w:tcMar>
            <w:vAlign w:val="center"/>
          </w:tcPr>
          <w:p w14:paraId="28B0EE31"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p w14:paraId="26AE97C2" w14:textId="77777777" w:rsidR="007A1D1C" w:rsidRPr="00CF0F96" w:rsidRDefault="007A1D1C" w:rsidP="00FF59A0">
            <w:pPr>
              <w:spacing w:after="0"/>
              <w:ind w:left="-30" w:right="-30"/>
              <w:rPr>
                <w:rFonts w:eastAsia="Arial" w:cs="Arial"/>
                <w:sz w:val="22"/>
                <w:u w:val="single"/>
                <w:lang w:val="es-HN"/>
              </w:rPr>
            </w:pPr>
            <w:r w:rsidRPr="00CF0F96">
              <w:rPr>
                <w:rFonts w:eastAsia="Arial" w:cs="Arial"/>
                <w:sz w:val="22"/>
                <w:u w:val="single"/>
              </w:rPr>
              <w:t xml:space="preserve">   </w:t>
            </w:r>
          </w:p>
          <w:p w14:paraId="1300ABAC" w14:textId="77777777" w:rsidR="007A1D1C" w:rsidRPr="00CF0F96" w:rsidRDefault="007A1D1C" w:rsidP="00FF59A0">
            <w:pPr>
              <w:spacing w:after="0"/>
              <w:ind w:left="-30" w:right="-30"/>
              <w:rPr>
                <w:rFonts w:eastAsia="Arial" w:cs="Arial"/>
                <w:sz w:val="22"/>
                <w:u w:val="single"/>
                <w:lang w:val="es-HN"/>
              </w:rPr>
            </w:pPr>
            <w:r w:rsidRPr="00CF0F96">
              <w:rPr>
                <w:rFonts w:eastAsia="Arial" w:cs="Arial"/>
                <w:sz w:val="22"/>
                <w:u w:val="single"/>
              </w:rPr>
              <w:t xml:space="preserve">   </w:t>
            </w:r>
          </w:p>
        </w:tc>
        <w:tc>
          <w:tcPr>
            <w:tcW w:w="1929" w:type="dxa"/>
            <w:shd w:val="clear" w:color="auto" w:fill="FFFFFF" w:themeFill="background1"/>
            <w:tcMar>
              <w:left w:w="105" w:type="dxa"/>
              <w:right w:w="105" w:type="dxa"/>
            </w:tcMar>
          </w:tcPr>
          <w:p w14:paraId="1BC68FD2" w14:textId="77777777" w:rsidR="007A1D1C" w:rsidRPr="00CF0F96" w:rsidRDefault="007A1D1C" w:rsidP="00FF59A0">
            <w:pPr>
              <w:spacing w:after="0"/>
              <w:ind w:left="-30" w:right="-30"/>
              <w:rPr>
                <w:rFonts w:eastAsia="Arial" w:cs="Arial"/>
                <w:sz w:val="22"/>
                <w:u w:val="single"/>
                <w:lang w:val="es-HN"/>
              </w:rPr>
            </w:pPr>
            <w:r w:rsidRPr="00CF0F96">
              <w:rPr>
                <w:rFonts w:eastAsia="Arial" w:cs="Arial"/>
                <w:sz w:val="22"/>
                <w:u w:val="single"/>
              </w:rPr>
              <w:t xml:space="preserve">  </w:t>
            </w:r>
          </w:p>
        </w:tc>
      </w:tr>
      <w:tr w:rsidR="007A1D1C" w:rsidRPr="00CF0F96" w14:paraId="524103CD" w14:textId="77777777" w:rsidTr="00CF0F96">
        <w:trPr>
          <w:trHeight w:val="300"/>
        </w:trPr>
        <w:tc>
          <w:tcPr>
            <w:tcW w:w="915" w:type="dxa"/>
            <w:shd w:val="clear" w:color="auto" w:fill="FFFFFF" w:themeFill="background1"/>
            <w:tcMar>
              <w:left w:w="105" w:type="dxa"/>
              <w:right w:w="105" w:type="dxa"/>
            </w:tcMar>
          </w:tcPr>
          <w:p w14:paraId="23ABCD5D" w14:textId="14124557" w:rsidR="007A1D1C" w:rsidRPr="00CF0F96" w:rsidRDefault="007A1D1C" w:rsidP="00E62A62">
            <w:pPr>
              <w:spacing w:after="0"/>
              <w:ind w:left="-30" w:right="-30"/>
              <w:jc w:val="center"/>
              <w:rPr>
                <w:rFonts w:eastAsia="Arial" w:cs="Arial"/>
                <w:sz w:val="22"/>
              </w:rPr>
            </w:pPr>
            <w:r w:rsidRPr="00CF0F96">
              <w:rPr>
                <w:rFonts w:eastAsia="Arial" w:cs="Arial"/>
                <w:sz w:val="22"/>
              </w:rPr>
              <w:t>2.2</w:t>
            </w:r>
          </w:p>
        </w:tc>
        <w:tc>
          <w:tcPr>
            <w:tcW w:w="3310" w:type="dxa"/>
            <w:shd w:val="clear" w:color="auto" w:fill="FFFFFF" w:themeFill="background1"/>
            <w:tcMar>
              <w:left w:w="105" w:type="dxa"/>
              <w:right w:w="105" w:type="dxa"/>
            </w:tcMar>
          </w:tcPr>
          <w:p w14:paraId="10F22FAC" w14:textId="77777777" w:rsidR="007A1D1C" w:rsidRPr="00CF0F96" w:rsidRDefault="007A1D1C" w:rsidP="00E62A62">
            <w:pPr>
              <w:spacing w:after="0"/>
              <w:ind w:left="-30" w:right="-30"/>
              <w:jc w:val="both"/>
              <w:rPr>
                <w:rFonts w:eastAsia="Arial" w:cs="Arial"/>
                <w:sz w:val="22"/>
                <w:lang w:val="es-HN"/>
              </w:rPr>
            </w:pPr>
            <w:r w:rsidRPr="00CF0F96">
              <w:rPr>
                <w:rFonts w:eastAsia="Arial" w:cs="Arial"/>
                <w:sz w:val="22"/>
              </w:rPr>
              <w:t xml:space="preserve">¿Se anticipa el uso de trabajadores contratados por ejemplo jornaleros, mano de obra de construcción, u otros similares?  </w:t>
            </w:r>
          </w:p>
        </w:tc>
        <w:tc>
          <w:tcPr>
            <w:tcW w:w="3206" w:type="dxa"/>
            <w:shd w:val="clear" w:color="auto" w:fill="FFFFFF" w:themeFill="background1"/>
            <w:tcMar>
              <w:left w:w="105" w:type="dxa"/>
              <w:right w:w="105" w:type="dxa"/>
            </w:tcMar>
            <w:vAlign w:val="center"/>
          </w:tcPr>
          <w:p w14:paraId="361B8684"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p w14:paraId="59045629"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p w14:paraId="166A456E"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tc>
        <w:tc>
          <w:tcPr>
            <w:tcW w:w="1929" w:type="dxa"/>
            <w:shd w:val="clear" w:color="auto" w:fill="FFFFFF" w:themeFill="background1"/>
            <w:tcMar>
              <w:left w:w="105" w:type="dxa"/>
              <w:right w:w="105" w:type="dxa"/>
            </w:tcMar>
          </w:tcPr>
          <w:p w14:paraId="05F63AF9"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tc>
      </w:tr>
      <w:tr w:rsidR="007A1D1C" w:rsidRPr="00CF0F96" w14:paraId="767F87FB" w14:textId="77777777" w:rsidTr="00CF0F96">
        <w:trPr>
          <w:trHeight w:val="300"/>
        </w:trPr>
        <w:tc>
          <w:tcPr>
            <w:tcW w:w="915" w:type="dxa"/>
            <w:shd w:val="clear" w:color="auto" w:fill="FFFFFF" w:themeFill="background1"/>
            <w:tcMar>
              <w:left w:w="105" w:type="dxa"/>
              <w:right w:w="105" w:type="dxa"/>
            </w:tcMar>
          </w:tcPr>
          <w:p w14:paraId="233BA2CC" w14:textId="7FFD4196" w:rsidR="007A1D1C" w:rsidRPr="00CF0F96" w:rsidRDefault="007A1D1C" w:rsidP="00E62A62">
            <w:pPr>
              <w:spacing w:after="0"/>
              <w:ind w:left="-30" w:right="-30"/>
              <w:jc w:val="center"/>
              <w:rPr>
                <w:rFonts w:eastAsia="Arial" w:cs="Arial"/>
                <w:sz w:val="22"/>
              </w:rPr>
            </w:pPr>
            <w:r w:rsidRPr="00CF0F96">
              <w:rPr>
                <w:rFonts w:eastAsia="Arial" w:cs="Arial"/>
                <w:sz w:val="22"/>
              </w:rPr>
              <w:t>2.3</w:t>
            </w:r>
          </w:p>
        </w:tc>
        <w:tc>
          <w:tcPr>
            <w:tcW w:w="3310" w:type="dxa"/>
            <w:shd w:val="clear" w:color="auto" w:fill="FFFFFF" w:themeFill="background1"/>
            <w:tcMar>
              <w:left w:w="105" w:type="dxa"/>
              <w:right w:w="105" w:type="dxa"/>
            </w:tcMar>
          </w:tcPr>
          <w:p w14:paraId="41E11EFC" w14:textId="77777777" w:rsidR="007A1D1C" w:rsidRPr="00CF0F96" w:rsidRDefault="007A1D1C" w:rsidP="00E62A62">
            <w:pPr>
              <w:spacing w:after="0"/>
              <w:ind w:left="-30" w:right="-30"/>
              <w:jc w:val="both"/>
              <w:rPr>
                <w:rFonts w:eastAsia="Arial" w:cs="Arial"/>
                <w:sz w:val="22"/>
                <w:lang w:val="es-HN"/>
              </w:rPr>
            </w:pPr>
            <w:r w:rsidRPr="00CF0F96">
              <w:rPr>
                <w:rFonts w:eastAsia="Arial" w:cs="Arial"/>
                <w:sz w:val="22"/>
              </w:rPr>
              <w:t xml:space="preserve">¿Las actividades del subproyecto requieren del uso de equipo de protección personal como gafas, guantes, botas, protección contra el sol, etc.?  </w:t>
            </w:r>
          </w:p>
        </w:tc>
        <w:tc>
          <w:tcPr>
            <w:tcW w:w="3206" w:type="dxa"/>
            <w:shd w:val="clear" w:color="auto" w:fill="FFFFFF" w:themeFill="background1"/>
            <w:tcMar>
              <w:left w:w="105" w:type="dxa"/>
              <w:right w:w="105" w:type="dxa"/>
            </w:tcMar>
            <w:vAlign w:val="center"/>
          </w:tcPr>
          <w:p w14:paraId="746E9032"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tc>
        <w:tc>
          <w:tcPr>
            <w:tcW w:w="1929" w:type="dxa"/>
            <w:shd w:val="clear" w:color="auto" w:fill="FFFFFF" w:themeFill="background1"/>
            <w:tcMar>
              <w:left w:w="105" w:type="dxa"/>
              <w:right w:w="105" w:type="dxa"/>
            </w:tcMar>
          </w:tcPr>
          <w:p w14:paraId="509EC885"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tc>
      </w:tr>
      <w:tr w:rsidR="007A1D1C" w:rsidRPr="00CF0F96" w14:paraId="1F798650" w14:textId="77777777" w:rsidTr="00CF0F96">
        <w:trPr>
          <w:trHeight w:val="300"/>
        </w:trPr>
        <w:tc>
          <w:tcPr>
            <w:tcW w:w="915" w:type="dxa"/>
            <w:shd w:val="clear" w:color="auto" w:fill="FFFFFF" w:themeFill="background1"/>
            <w:tcMar>
              <w:left w:w="105" w:type="dxa"/>
              <w:right w:w="105" w:type="dxa"/>
            </w:tcMar>
          </w:tcPr>
          <w:p w14:paraId="15909715" w14:textId="2E163AC7" w:rsidR="007A1D1C" w:rsidRPr="00CF0F96" w:rsidRDefault="007A1D1C" w:rsidP="00E62A62">
            <w:pPr>
              <w:spacing w:after="0"/>
              <w:ind w:left="-30" w:right="-30"/>
              <w:jc w:val="center"/>
              <w:rPr>
                <w:rFonts w:eastAsia="Arial" w:cs="Arial"/>
                <w:sz w:val="22"/>
              </w:rPr>
            </w:pPr>
            <w:r w:rsidRPr="00CF0F96">
              <w:rPr>
                <w:rFonts w:eastAsia="Arial" w:cs="Arial"/>
                <w:sz w:val="22"/>
              </w:rPr>
              <w:t>2.4</w:t>
            </w:r>
          </w:p>
        </w:tc>
        <w:tc>
          <w:tcPr>
            <w:tcW w:w="3310" w:type="dxa"/>
            <w:shd w:val="clear" w:color="auto" w:fill="FFFFFF" w:themeFill="background1"/>
            <w:tcMar>
              <w:left w:w="105" w:type="dxa"/>
              <w:right w:w="105" w:type="dxa"/>
            </w:tcMar>
          </w:tcPr>
          <w:p w14:paraId="6700AD82" w14:textId="77777777" w:rsidR="007A1D1C" w:rsidRPr="00CF0F96" w:rsidRDefault="007A1D1C" w:rsidP="00E62A62">
            <w:pPr>
              <w:spacing w:after="0"/>
              <w:ind w:left="-30" w:right="-30"/>
              <w:jc w:val="both"/>
              <w:rPr>
                <w:rFonts w:eastAsia="Arial" w:cs="Arial"/>
                <w:sz w:val="22"/>
              </w:rPr>
            </w:pPr>
            <w:r w:rsidRPr="00CF0F96">
              <w:rPr>
                <w:rFonts w:eastAsia="Arial" w:cs="Arial"/>
                <w:sz w:val="22"/>
              </w:rPr>
              <w:t>¿El subproyecto podría generar directa o indirectamente empleos en condición de riesgo considerado peligroso?</w:t>
            </w:r>
            <w:hyperlink r:id="rId85">
              <w:r w:rsidRPr="00CF0F96">
                <w:rPr>
                  <w:rStyle w:val="Hipervnculo"/>
                  <w:rFonts w:eastAsia="Arial" w:cs="Arial"/>
                  <w:sz w:val="22"/>
                  <w:vertAlign w:val="superscript"/>
                </w:rPr>
                <w:t>[2]</w:t>
              </w:r>
            </w:hyperlink>
            <w:r w:rsidRPr="00CF0F96">
              <w:rPr>
                <w:rFonts w:eastAsia="Arial" w:cs="Arial"/>
                <w:sz w:val="22"/>
              </w:rPr>
              <w:t xml:space="preserve">  </w:t>
            </w:r>
          </w:p>
        </w:tc>
        <w:tc>
          <w:tcPr>
            <w:tcW w:w="3206" w:type="dxa"/>
            <w:shd w:val="clear" w:color="auto" w:fill="FFFFFF" w:themeFill="background1"/>
            <w:tcMar>
              <w:left w:w="105" w:type="dxa"/>
              <w:right w:w="105" w:type="dxa"/>
            </w:tcMar>
            <w:vAlign w:val="center"/>
          </w:tcPr>
          <w:p w14:paraId="200D4CDD" w14:textId="77777777" w:rsidR="007A1D1C" w:rsidRPr="00CF0F96" w:rsidRDefault="007A1D1C" w:rsidP="00FF59A0">
            <w:pPr>
              <w:spacing w:after="0"/>
              <w:ind w:left="-30" w:right="-30"/>
              <w:jc w:val="center"/>
              <w:rPr>
                <w:rFonts w:eastAsia="Arial" w:cs="Arial"/>
                <w:sz w:val="22"/>
                <w:u w:val="single"/>
              </w:rPr>
            </w:pPr>
            <w:r w:rsidRPr="00CF0F96">
              <w:rPr>
                <w:rFonts w:eastAsia="Arial" w:cs="Arial"/>
                <w:sz w:val="22"/>
                <w:u w:val="single"/>
              </w:rPr>
              <w:t xml:space="preserve">   </w:t>
            </w:r>
          </w:p>
          <w:p w14:paraId="394A7EB2" w14:textId="77777777" w:rsidR="007A1D1C" w:rsidRPr="00CF0F96" w:rsidRDefault="007A1D1C" w:rsidP="00FF59A0">
            <w:pPr>
              <w:spacing w:after="0"/>
              <w:ind w:left="-30" w:right="-30"/>
              <w:jc w:val="center"/>
              <w:rPr>
                <w:rFonts w:eastAsia="Arial" w:cs="Arial"/>
                <w:sz w:val="22"/>
                <w:u w:val="single"/>
              </w:rPr>
            </w:pPr>
            <w:r w:rsidRPr="00CF0F96">
              <w:rPr>
                <w:rFonts w:eastAsia="Arial" w:cs="Arial"/>
                <w:sz w:val="22"/>
                <w:u w:val="single"/>
              </w:rPr>
              <w:t xml:space="preserve">   </w:t>
            </w:r>
          </w:p>
          <w:p w14:paraId="79EB4648" w14:textId="77777777" w:rsidR="007A1D1C" w:rsidRPr="00CF0F96" w:rsidRDefault="007A1D1C" w:rsidP="00FF59A0">
            <w:pPr>
              <w:spacing w:after="0"/>
              <w:ind w:left="-30" w:right="-30"/>
              <w:jc w:val="center"/>
              <w:rPr>
                <w:rFonts w:eastAsia="Arial" w:cs="Arial"/>
                <w:sz w:val="22"/>
                <w:u w:val="single"/>
              </w:rPr>
            </w:pPr>
            <w:r w:rsidRPr="00CF0F96">
              <w:rPr>
                <w:rFonts w:eastAsia="Arial" w:cs="Arial"/>
                <w:sz w:val="22"/>
                <w:u w:val="single"/>
              </w:rPr>
              <w:t xml:space="preserve">   </w:t>
            </w:r>
          </w:p>
        </w:tc>
        <w:tc>
          <w:tcPr>
            <w:tcW w:w="1929" w:type="dxa"/>
            <w:shd w:val="clear" w:color="auto" w:fill="FFFFFF" w:themeFill="background1"/>
            <w:tcMar>
              <w:left w:w="105" w:type="dxa"/>
              <w:right w:w="105" w:type="dxa"/>
            </w:tcMar>
          </w:tcPr>
          <w:p w14:paraId="51F42D45" w14:textId="77777777" w:rsidR="007A1D1C" w:rsidRPr="00CF0F96" w:rsidRDefault="007A1D1C" w:rsidP="00FF59A0">
            <w:pPr>
              <w:spacing w:after="0"/>
              <w:ind w:left="-30" w:right="-30"/>
              <w:jc w:val="center"/>
              <w:rPr>
                <w:rFonts w:eastAsia="Arial" w:cs="Arial"/>
                <w:sz w:val="22"/>
                <w:u w:val="single"/>
              </w:rPr>
            </w:pPr>
            <w:r w:rsidRPr="00CF0F96">
              <w:rPr>
                <w:rFonts w:eastAsia="Arial" w:cs="Arial"/>
                <w:sz w:val="22"/>
                <w:u w:val="single"/>
              </w:rPr>
              <w:t xml:space="preserve">  </w:t>
            </w:r>
          </w:p>
        </w:tc>
      </w:tr>
      <w:tr w:rsidR="007A1D1C" w:rsidRPr="00CF0F96" w14:paraId="798C68DE" w14:textId="77777777" w:rsidTr="00CF0F96">
        <w:trPr>
          <w:trHeight w:val="300"/>
        </w:trPr>
        <w:tc>
          <w:tcPr>
            <w:tcW w:w="915" w:type="dxa"/>
            <w:shd w:val="clear" w:color="auto" w:fill="FFFFFF" w:themeFill="background1"/>
            <w:tcMar>
              <w:left w:w="105" w:type="dxa"/>
              <w:right w:w="105" w:type="dxa"/>
            </w:tcMar>
          </w:tcPr>
          <w:p w14:paraId="1422612A" w14:textId="2CB657A8" w:rsidR="007A1D1C" w:rsidRPr="00CF0F96" w:rsidRDefault="007A1D1C" w:rsidP="00E62A62">
            <w:pPr>
              <w:spacing w:after="0"/>
              <w:ind w:left="-30" w:right="-30"/>
              <w:jc w:val="center"/>
              <w:rPr>
                <w:rFonts w:eastAsia="Arial" w:cs="Arial"/>
                <w:sz w:val="22"/>
              </w:rPr>
            </w:pPr>
            <w:r w:rsidRPr="00CF0F96">
              <w:rPr>
                <w:rFonts w:eastAsia="Arial" w:cs="Arial"/>
                <w:sz w:val="22"/>
              </w:rPr>
              <w:t>2.5</w:t>
            </w:r>
          </w:p>
        </w:tc>
        <w:tc>
          <w:tcPr>
            <w:tcW w:w="3310" w:type="dxa"/>
            <w:shd w:val="clear" w:color="auto" w:fill="FFFFFF" w:themeFill="background1"/>
            <w:tcMar>
              <w:left w:w="105" w:type="dxa"/>
              <w:right w:w="105" w:type="dxa"/>
            </w:tcMar>
          </w:tcPr>
          <w:p w14:paraId="05F64148" w14:textId="77777777" w:rsidR="007A1D1C" w:rsidRPr="00CF0F96" w:rsidRDefault="007A1D1C" w:rsidP="00E62A62">
            <w:pPr>
              <w:spacing w:after="0"/>
              <w:ind w:left="-30" w:right="-30"/>
              <w:jc w:val="both"/>
              <w:rPr>
                <w:rFonts w:eastAsia="Arial" w:cs="Arial"/>
                <w:sz w:val="22"/>
                <w:lang w:val="es-HN"/>
              </w:rPr>
            </w:pPr>
            <w:r w:rsidRPr="00CF0F96">
              <w:rPr>
                <w:rFonts w:eastAsia="Arial" w:cs="Arial"/>
                <w:sz w:val="22"/>
              </w:rPr>
              <w:t xml:space="preserve">¿El subproyecto podría generar trabajo infantil de forma indirecta o directa?    </w:t>
            </w:r>
          </w:p>
        </w:tc>
        <w:tc>
          <w:tcPr>
            <w:tcW w:w="3206" w:type="dxa"/>
            <w:shd w:val="clear" w:color="auto" w:fill="FFFFFF" w:themeFill="background1"/>
            <w:tcMar>
              <w:left w:w="105" w:type="dxa"/>
              <w:right w:w="105" w:type="dxa"/>
            </w:tcMar>
            <w:vAlign w:val="center"/>
          </w:tcPr>
          <w:p w14:paraId="53332366"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p w14:paraId="6BE1DB64"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p w14:paraId="52AA7547"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tc>
        <w:tc>
          <w:tcPr>
            <w:tcW w:w="1929" w:type="dxa"/>
            <w:shd w:val="clear" w:color="auto" w:fill="FFFFFF" w:themeFill="background1"/>
            <w:tcMar>
              <w:left w:w="105" w:type="dxa"/>
              <w:right w:w="105" w:type="dxa"/>
            </w:tcMar>
          </w:tcPr>
          <w:p w14:paraId="7061F8A3"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tc>
      </w:tr>
      <w:tr w:rsidR="007A1D1C" w:rsidRPr="00CF0F96" w14:paraId="7EA4F595" w14:textId="77777777" w:rsidTr="00CF0F96">
        <w:trPr>
          <w:trHeight w:val="300"/>
        </w:trPr>
        <w:tc>
          <w:tcPr>
            <w:tcW w:w="915" w:type="dxa"/>
            <w:shd w:val="clear" w:color="auto" w:fill="FFFFFF" w:themeFill="background1"/>
            <w:tcMar>
              <w:left w:w="105" w:type="dxa"/>
              <w:right w:w="105" w:type="dxa"/>
            </w:tcMar>
          </w:tcPr>
          <w:p w14:paraId="1A9FFCF8" w14:textId="3B68064D" w:rsidR="007A1D1C" w:rsidRPr="00CF0F96" w:rsidRDefault="007A1D1C" w:rsidP="00E62A62">
            <w:pPr>
              <w:spacing w:after="0"/>
              <w:ind w:left="-30" w:right="-30"/>
              <w:jc w:val="center"/>
              <w:rPr>
                <w:rFonts w:eastAsia="Arial" w:cs="Arial"/>
                <w:sz w:val="22"/>
              </w:rPr>
            </w:pPr>
            <w:r w:rsidRPr="00CF0F96">
              <w:rPr>
                <w:rFonts w:eastAsia="Arial" w:cs="Arial"/>
                <w:sz w:val="22"/>
              </w:rPr>
              <w:t>2.6</w:t>
            </w:r>
          </w:p>
        </w:tc>
        <w:tc>
          <w:tcPr>
            <w:tcW w:w="3310" w:type="dxa"/>
            <w:shd w:val="clear" w:color="auto" w:fill="FFFFFF" w:themeFill="background1"/>
            <w:tcMar>
              <w:left w:w="105" w:type="dxa"/>
              <w:right w:w="105" w:type="dxa"/>
            </w:tcMar>
          </w:tcPr>
          <w:p w14:paraId="06B8745D" w14:textId="77777777" w:rsidR="007A1D1C" w:rsidRPr="00CF0F96" w:rsidRDefault="007A1D1C" w:rsidP="00E62A62">
            <w:pPr>
              <w:spacing w:after="0"/>
              <w:ind w:left="-30" w:right="-30"/>
              <w:jc w:val="both"/>
              <w:rPr>
                <w:rFonts w:eastAsia="Arial" w:cs="Arial"/>
                <w:sz w:val="22"/>
                <w:lang w:val="es-HN"/>
              </w:rPr>
            </w:pPr>
            <w:r w:rsidRPr="00CF0F96">
              <w:rPr>
                <w:rFonts w:eastAsia="Arial" w:cs="Arial"/>
                <w:sz w:val="22"/>
              </w:rPr>
              <w:t xml:space="preserve">¿Hay niños o adolescentes apoyando a sus padres o </w:t>
            </w:r>
            <w:r w:rsidRPr="00CF0F96">
              <w:rPr>
                <w:rFonts w:eastAsia="Arial" w:cs="Arial"/>
                <w:sz w:val="22"/>
              </w:rPr>
              <w:lastRenderedPageBreak/>
              <w:t xml:space="preserve">familiares con labores diarias / productivas?    </w:t>
            </w:r>
          </w:p>
        </w:tc>
        <w:tc>
          <w:tcPr>
            <w:tcW w:w="3206" w:type="dxa"/>
            <w:shd w:val="clear" w:color="auto" w:fill="FFFFFF" w:themeFill="background1"/>
            <w:tcMar>
              <w:left w:w="105" w:type="dxa"/>
              <w:right w:w="105" w:type="dxa"/>
            </w:tcMar>
            <w:vAlign w:val="center"/>
          </w:tcPr>
          <w:p w14:paraId="6D54C516"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lastRenderedPageBreak/>
              <w:t xml:space="preserve">   </w:t>
            </w:r>
          </w:p>
          <w:p w14:paraId="6819CAC3"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p w14:paraId="408478BA"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tc>
        <w:tc>
          <w:tcPr>
            <w:tcW w:w="1929" w:type="dxa"/>
            <w:shd w:val="clear" w:color="auto" w:fill="FFFFFF" w:themeFill="background1"/>
            <w:tcMar>
              <w:left w:w="105" w:type="dxa"/>
              <w:right w:w="105" w:type="dxa"/>
            </w:tcMar>
          </w:tcPr>
          <w:p w14:paraId="351841E6"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tc>
      </w:tr>
      <w:tr w:rsidR="007A1D1C" w:rsidRPr="00CF0F96" w14:paraId="3936451F" w14:textId="77777777" w:rsidTr="00CF0F96">
        <w:trPr>
          <w:trHeight w:val="300"/>
        </w:trPr>
        <w:tc>
          <w:tcPr>
            <w:tcW w:w="915" w:type="dxa"/>
            <w:shd w:val="clear" w:color="auto" w:fill="FFFFFF" w:themeFill="background1"/>
            <w:tcMar>
              <w:left w:w="105" w:type="dxa"/>
              <w:right w:w="105" w:type="dxa"/>
            </w:tcMar>
          </w:tcPr>
          <w:p w14:paraId="196E5DF3" w14:textId="46B1C21C" w:rsidR="007A1D1C" w:rsidRPr="00CF0F96" w:rsidRDefault="007A1D1C" w:rsidP="00E62A62">
            <w:pPr>
              <w:spacing w:after="0"/>
              <w:ind w:left="-30" w:right="-30"/>
              <w:jc w:val="center"/>
              <w:rPr>
                <w:rFonts w:eastAsia="Arial" w:cs="Arial"/>
                <w:sz w:val="22"/>
              </w:rPr>
            </w:pPr>
            <w:r w:rsidRPr="00CF0F96">
              <w:rPr>
                <w:rFonts w:eastAsia="Arial" w:cs="Arial"/>
                <w:sz w:val="22"/>
              </w:rPr>
              <w:t>2.7</w:t>
            </w:r>
          </w:p>
        </w:tc>
        <w:tc>
          <w:tcPr>
            <w:tcW w:w="3310" w:type="dxa"/>
            <w:shd w:val="clear" w:color="auto" w:fill="FFFFFF" w:themeFill="background1"/>
            <w:tcMar>
              <w:left w:w="105" w:type="dxa"/>
              <w:right w:w="105" w:type="dxa"/>
            </w:tcMar>
          </w:tcPr>
          <w:p w14:paraId="3A1700D4" w14:textId="77777777" w:rsidR="007A1D1C" w:rsidRPr="00CF0F96" w:rsidRDefault="007A1D1C" w:rsidP="00E62A62">
            <w:pPr>
              <w:spacing w:after="0"/>
              <w:ind w:left="-30" w:right="-30"/>
              <w:jc w:val="both"/>
              <w:rPr>
                <w:rFonts w:eastAsia="Arial" w:cs="Arial"/>
                <w:sz w:val="22"/>
                <w:lang w:val="es-HN"/>
              </w:rPr>
            </w:pPr>
            <w:r w:rsidRPr="00CF0F96">
              <w:rPr>
                <w:rFonts w:eastAsia="Arial" w:cs="Arial"/>
                <w:sz w:val="22"/>
              </w:rPr>
              <w:t xml:space="preserve">¿Hay un mecanismo establecido para reportar irregularidades por parte de los contratistas?   </w:t>
            </w:r>
          </w:p>
        </w:tc>
        <w:tc>
          <w:tcPr>
            <w:tcW w:w="3206" w:type="dxa"/>
            <w:shd w:val="clear" w:color="auto" w:fill="FFFFFF" w:themeFill="background1"/>
            <w:tcMar>
              <w:left w:w="105" w:type="dxa"/>
              <w:right w:w="105" w:type="dxa"/>
            </w:tcMar>
            <w:vAlign w:val="center"/>
          </w:tcPr>
          <w:p w14:paraId="1F879EC8"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p w14:paraId="30E3295C"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p w14:paraId="15B68BEF"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tc>
        <w:tc>
          <w:tcPr>
            <w:tcW w:w="1929" w:type="dxa"/>
            <w:shd w:val="clear" w:color="auto" w:fill="FFFFFF" w:themeFill="background1"/>
            <w:tcMar>
              <w:left w:w="105" w:type="dxa"/>
              <w:right w:w="105" w:type="dxa"/>
            </w:tcMar>
          </w:tcPr>
          <w:p w14:paraId="17231DAD"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tc>
      </w:tr>
      <w:tr w:rsidR="007A1D1C" w:rsidRPr="00CF0F96" w14:paraId="2B112F03" w14:textId="77777777" w:rsidTr="00CF0F96">
        <w:trPr>
          <w:trHeight w:val="300"/>
        </w:trPr>
        <w:tc>
          <w:tcPr>
            <w:tcW w:w="915" w:type="dxa"/>
            <w:shd w:val="clear" w:color="auto" w:fill="FFFFFF" w:themeFill="background1"/>
            <w:tcMar>
              <w:left w:w="105" w:type="dxa"/>
              <w:right w:w="105" w:type="dxa"/>
            </w:tcMar>
          </w:tcPr>
          <w:p w14:paraId="720696D7" w14:textId="7167EE90" w:rsidR="007A1D1C" w:rsidRPr="00CF0F96" w:rsidRDefault="007A1D1C" w:rsidP="00E62A62">
            <w:pPr>
              <w:spacing w:after="0"/>
              <w:ind w:left="-30" w:right="-30"/>
              <w:jc w:val="center"/>
              <w:rPr>
                <w:rFonts w:eastAsia="Arial" w:cs="Arial"/>
                <w:sz w:val="22"/>
              </w:rPr>
            </w:pPr>
            <w:r w:rsidRPr="00CF0F96">
              <w:rPr>
                <w:rFonts w:eastAsia="Arial" w:cs="Arial"/>
                <w:sz w:val="22"/>
              </w:rPr>
              <w:t>2.8</w:t>
            </w:r>
          </w:p>
        </w:tc>
        <w:tc>
          <w:tcPr>
            <w:tcW w:w="3310" w:type="dxa"/>
            <w:shd w:val="clear" w:color="auto" w:fill="FFFFFF" w:themeFill="background1"/>
            <w:tcMar>
              <w:left w:w="105" w:type="dxa"/>
              <w:right w:w="105" w:type="dxa"/>
            </w:tcMar>
          </w:tcPr>
          <w:p w14:paraId="01D5BB7B" w14:textId="77777777" w:rsidR="007A1D1C" w:rsidRPr="00CF0F96" w:rsidRDefault="007A1D1C" w:rsidP="00E62A62">
            <w:pPr>
              <w:spacing w:after="0"/>
              <w:ind w:left="-30" w:right="-30"/>
              <w:jc w:val="both"/>
              <w:rPr>
                <w:rFonts w:eastAsia="Arial" w:cs="Arial"/>
                <w:sz w:val="22"/>
                <w:lang w:val="es-HN"/>
              </w:rPr>
            </w:pPr>
            <w:r w:rsidRPr="00CF0F96">
              <w:rPr>
                <w:rFonts w:eastAsia="Arial" w:cs="Arial"/>
                <w:sz w:val="22"/>
              </w:rPr>
              <w:t>¿La organización o el grupo de productores cuenta con un mecanismo de quejas para trabajadores, los beneficiarios y comunidad?</w:t>
            </w:r>
          </w:p>
        </w:tc>
        <w:tc>
          <w:tcPr>
            <w:tcW w:w="3206" w:type="dxa"/>
            <w:shd w:val="clear" w:color="auto" w:fill="FFFFFF" w:themeFill="background1"/>
            <w:tcMar>
              <w:left w:w="105" w:type="dxa"/>
              <w:right w:w="105" w:type="dxa"/>
            </w:tcMar>
            <w:vAlign w:val="center"/>
          </w:tcPr>
          <w:p w14:paraId="7F861D72"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p w14:paraId="57248E5C"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p w14:paraId="30763837"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tc>
        <w:tc>
          <w:tcPr>
            <w:tcW w:w="1929" w:type="dxa"/>
            <w:shd w:val="clear" w:color="auto" w:fill="FFFFFF" w:themeFill="background1"/>
            <w:tcMar>
              <w:left w:w="105" w:type="dxa"/>
              <w:right w:w="105" w:type="dxa"/>
            </w:tcMar>
          </w:tcPr>
          <w:p w14:paraId="425752D3"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tc>
      </w:tr>
      <w:tr w:rsidR="007A1D1C" w:rsidRPr="00CF0F96" w14:paraId="10F317FB" w14:textId="77777777" w:rsidTr="00CF0F96">
        <w:trPr>
          <w:trHeight w:val="300"/>
        </w:trPr>
        <w:tc>
          <w:tcPr>
            <w:tcW w:w="915" w:type="dxa"/>
            <w:shd w:val="clear" w:color="auto" w:fill="FFFFFF" w:themeFill="background1"/>
            <w:tcMar>
              <w:left w:w="105" w:type="dxa"/>
              <w:right w:w="105" w:type="dxa"/>
            </w:tcMar>
          </w:tcPr>
          <w:p w14:paraId="4D454F12" w14:textId="7073D636" w:rsidR="007A1D1C" w:rsidRPr="00CF0F96" w:rsidRDefault="007A1D1C" w:rsidP="00E62A62">
            <w:pPr>
              <w:spacing w:after="0"/>
              <w:ind w:left="-30" w:right="-30"/>
              <w:jc w:val="center"/>
              <w:rPr>
                <w:rFonts w:eastAsia="Arial" w:cs="Arial"/>
                <w:sz w:val="22"/>
              </w:rPr>
            </w:pPr>
            <w:r w:rsidRPr="00CF0F96">
              <w:rPr>
                <w:rFonts w:eastAsia="Arial" w:cs="Arial"/>
                <w:sz w:val="22"/>
              </w:rPr>
              <w:t>2.9</w:t>
            </w:r>
          </w:p>
        </w:tc>
        <w:tc>
          <w:tcPr>
            <w:tcW w:w="3310" w:type="dxa"/>
            <w:shd w:val="clear" w:color="auto" w:fill="FFFFFF" w:themeFill="background1"/>
            <w:tcMar>
              <w:left w:w="105" w:type="dxa"/>
              <w:right w:w="105" w:type="dxa"/>
            </w:tcMar>
          </w:tcPr>
          <w:p w14:paraId="76F73C3A" w14:textId="77777777" w:rsidR="007A1D1C" w:rsidRPr="00CF0F96" w:rsidRDefault="007A1D1C" w:rsidP="00E62A62">
            <w:pPr>
              <w:spacing w:after="0"/>
              <w:ind w:left="-30" w:right="-30"/>
              <w:jc w:val="both"/>
              <w:rPr>
                <w:rFonts w:eastAsia="Arial" w:cs="Arial"/>
                <w:sz w:val="22"/>
                <w:lang w:val="es-HN"/>
              </w:rPr>
            </w:pPr>
            <w:r w:rsidRPr="00CF0F96">
              <w:rPr>
                <w:rFonts w:eastAsia="Arial" w:cs="Arial"/>
                <w:sz w:val="22"/>
              </w:rPr>
              <w:t xml:space="preserve">¿la organización tiene un mecanismo de respuesta y notificación de incidentes y accidentes?  </w:t>
            </w:r>
          </w:p>
        </w:tc>
        <w:tc>
          <w:tcPr>
            <w:tcW w:w="3206" w:type="dxa"/>
            <w:shd w:val="clear" w:color="auto" w:fill="FFFFFF" w:themeFill="background1"/>
            <w:tcMar>
              <w:left w:w="105" w:type="dxa"/>
              <w:right w:w="105" w:type="dxa"/>
            </w:tcMar>
            <w:vAlign w:val="center"/>
          </w:tcPr>
          <w:p w14:paraId="05CE8358" w14:textId="77777777" w:rsidR="007A1D1C" w:rsidRPr="00CF0F96" w:rsidRDefault="007A1D1C" w:rsidP="00FF59A0">
            <w:pPr>
              <w:spacing w:after="0"/>
              <w:ind w:left="-30" w:right="-30"/>
              <w:jc w:val="center"/>
              <w:rPr>
                <w:rFonts w:eastAsia="Arial" w:cs="Arial"/>
                <w:sz w:val="22"/>
                <w:u w:val="single"/>
              </w:rPr>
            </w:pPr>
          </w:p>
        </w:tc>
        <w:tc>
          <w:tcPr>
            <w:tcW w:w="1929" w:type="dxa"/>
            <w:shd w:val="clear" w:color="auto" w:fill="FFFFFF" w:themeFill="background1"/>
            <w:tcMar>
              <w:left w:w="105" w:type="dxa"/>
              <w:right w:w="105" w:type="dxa"/>
            </w:tcMar>
          </w:tcPr>
          <w:p w14:paraId="5E918DA0" w14:textId="77777777" w:rsidR="007A1D1C" w:rsidRPr="00CF0F96" w:rsidRDefault="007A1D1C" w:rsidP="00FF59A0">
            <w:pPr>
              <w:spacing w:after="0"/>
              <w:ind w:left="-30" w:right="-30"/>
              <w:jc w:val="center"/>
              <w:rPr>
                <w:rFonts w:eastAsia="Arial" w:cs="Arial"/>
                <w:sz w:val="22"/>
                <w:u w:val="single"/>
              </w:rPr>
            </w:pPr>
          </w:p>
        </w:tc>
      </w:tr>
      <w:tr w:rsidR="007A1D1C" w:rsidRPr="00CF0F96" w14:paraId="51B4F097" w14:textId="77777777" w:rsidTr="00CF0F96">
        <w:trPr>
          <w:trHeight w:val="300"/>
        </w:trPr>
        <w:tc>
          <w:tcPr>
            <w:tcW w:w="915" w:type="dxa"/>
            <w:shd w:val="clear" w:color="auto" w:fill="FFFFFF" w:themeFill="background1"/>
            <w:tcMar>
              <w:left w:w="105" w:type="dxa"/>
              <w:right w:w="105" w:type="dxa"/>
            </w:tcMar>
          </w:tcPr>
          <w:p w14:paraId="58EBBE64" w14:textId="0C1397DE" w:rsidR="007A1D1C" w:rsidRPr="00CF0F96" w:rsidRDefault="007A1D1C" w:rsidP="00BB0D25">
            <w:pPr>
              <w:spacing w:after="0"/>
              <w:ind w:left="-30" w:right="-30"/>
              <w:jc w:val="center"/>
              <w:rPr>
                <w:rFonts w:eastAsia="Arial" w:cs="Arial"/>
                <w:sz w:val="22"/>
              </w:rPr>
            </w:pPr>
            <w:r w:rsidRPr="00CF0F96">
              <w:rPr>
                <w:rFonts w:eastAsia="Arial" w:cs="Arial"/>
                <w:sz w:val="22"/>
              </w:rPr>
              <w:t>3.</w:t>
            </w:r>
          </w:p>
        </w:tc>
        <w:tc>
          <w:tcPr>
            <w:tcW w:w="8445" w:type="dxa"/>
            <w:gridSpan w:val="3"/>
            <w:shd w:val="clear" w:color="auto" w:fill="FFFFFF" w:themeFill="background1"/>
            <w:tcMar>
              <w:left w:w="105" w:type="dxa"/>
              <w:right w:w="105" w:type="dxa"/>
            </w:tcMar>
          </w:tcPr>
          <w:p w14:paraId="66F3E3BC" w14:textId="77777777" w:rsidR="007A1D1C" w:rsidRPr="00CF0F96" w:rsidRDefault="007A1D1C" w:rsidP="00BB0D25">
            <w:pPr>
              <w:spacing w:after="0"/>
              <w:ind w:left="-30" w:right="-30"/>
              <w:jc w:val="both"/>
              <w:rPr>
                <w:rFonts w:eastAsia="Arial" w:cs="Arial"/>
                <w:sz w:val="22"/>
                <w:lang w:val="es-HN"/>
              </w:rPr>
            </w:pPr>
            <w:r w:rsidRPr="00CF0F96">
              <w:rPr>
                <w:rFonts w:eastAsia="Arial" w:cs="Arial"/>
                <w:b/>
                <w:bCs/>
                <w:sz w:val="22"/>
              </w:rPr>
              <w:t>EAS 3 - Eficiencia en el Uso de los Recursos y Prevención y Gestión de la Contaminación</w:t>
            </w:r>
            <w:r w:rsidRPr="00CF0F96">
              <w:rPr>
                <w:rFonts w:eastAsia="Arial" w:cs="Arial"/>
                <w:sz w:val="22"/>
              </w:rPr>
              <w:t xml:space="preserve">    </w:t>
            </w:r>
          </w:p>
          <w:p w14:paraId="3574823B" w14:textId="77777777" w:rsidR="007A1D1C" w:rsidRPr="00CF0F96" w:rsidRDefault="007A1D1C" w:rsidP="00FF59A0">
            <w:pPr>
              <w:spacing w:after="0"/>
              <w:ind w:left="-30" w:right="-30"/>
              <w:jc w:val="center"/>
              <w:rPr>
                <w:rFonts w:eastAsia="Arial" w:cs="Arial"/>
                <w:sz w:val="22"/>
                <w:lang w:val="es-HN"/>
              </w:rPr>
            </w:pPr>
            <w:r w:rsidRPr="00CF0F96">
              <w:rPr>
                <w:rFonts w:eastAsia="Arial" w:cs="Arial"/>
                <w:sz w:val="22"/>
              </w:rPr>
              <w:t xml:space="preserve">  </w:t>
            </w:r>
          </w:p>
        </w:tc>
      </w:tr>
      <w:tr w:rsidR="007A1D1C" w:rsidRPr="00CF0F96" w14:paraId="0CBB09B1" w14:textId="77777777" w:rsidTr="00CF0F96">
        <w:trPr>
          <w:trHeight w:val="300"/>
        </w:trPr>
        <w:tc>
          <w:tcPr>
            <w:tcW w:w="915" w:type="dxa"/>
            <w:shd w:val="clear" w:color="auto" w:fill="FFFFFF" w:themeFill="background1"/>
            <w:tcMar>
              <w:left w:w="105" w:type="dxa"/>
              <w:right w:w="105" w:type="dxa"/>
            </w:tcMar>
          </w:tcPr>
          <w:p w14:paraId="257EC4EC" w14:textId="45BC685A" w:rsidR="007A1D1C" w:rsidRPr="00CF0F96" w:rsidRDefault="007A1D1C" w:rsidP="00BB0D25">
            <w:pPr>
              <w:spacing w:after="0"/>
              <w:ind w:left="-30" w:right="-30"/>
              <w:jc w:val="center"/>
              <w:rPr>
                <w:rFonts w:eastAsia="Arial" w:cs="Arial"/>
                <w:sz w:val="22"/>
              </w:rPr>
            </w:pPr>
            <w:r w:rsidRPr="00CF0F96">
              <w:rPr>
                <w:rFonts w:eastAsia="Arial" w:cs="Arial"/>
                <w:sz w:val="22"/>
              </w:rPr>
              <w:t>3.1</w:t>
            </w:r>
          </w:p>
        </w:tc>
        <w:tc>
          <w:tcPr>
            <w:tcW w:w="3310" w:type="dxa"/>
            <w:shd w:val="clear" w:color="auto" w:fill="FFFFFF" w:themeFill="background1"/>
            <w:tcMar>
              <w:left w:w="105" w:type="dxa"/>
              <w:right w:w="105" w:type="dxa"/>
            </w:tcMar>
          </w:tcPr>
          <w:p w14:paraId="0B555313" w14:textId="77777777" w:rsidR="007A1D1C" w:rsidRPr="00CF0F96" w:rsidRDefault="007A1D1C" w:rsidP="00BB0D25">
            <w:pPr>
              <w:spacing w:after="0"/>
              <w:ind w:left="-30" w:right="-30"/>
              <w:jc w:val="both"/>
              <w:rPr>
                <w:rFonts w:eastAsia="Arial" w:cs="Arial"/>
                <w:sz w:val="22"/>
                <w:lang w:val="es-HN"/>
              </w:rPr>
            </w:pPr>
            <w:r w:rsidRPr="00CF0F96">
              <w:rPr>
                <w:rFonts w:eastAsia="Arial" w:cs="Arial"/>
                <w:sz w:val="22"/>
              </w:rPr>
              <w:t xml:space="preserve">¿El subproyecto incluye el uso de agroquímicos?  </w:t>
            </w:r>
          </w:p>
        </w:tc>
        <w:tc>
          <w:tcPr>
            <w:tcW w:w="3206" w:type="dxa"/>
            <w:shd w:val="clear" w:color="auto" w:fill="FFFFFF" w:themeFill="background1"/>
            <w:tcMar>
              <w:left w:w="105" w:type="dxa"/>
              <w:right w:w="105" w:type="dxa"/>
            </w:tcMar>
            <w:vAlign w:val="center"/>
          </w:tcPr>
          <w:p w14:paraId="6360C25D"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p w14:paraId="120D480C"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p w14:paraId="2291BB2B"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tc>
        <w:tc>
          <w:tcPr>
            <w:tcW w:w="1929" w:type="dxa"/>
            <w:shd w:val="clear" w:color="auto" w:fill="FFFFFF" w:themeFill="background1"/>
            <w:tcMar>
              <w:left w:w="105" w:type="dxa"/>
              <w:right w:w="105" w:type="dxa"/>
            </w:tcMar>
          </w:tcPr>
          <w:p w14:paraId="4BC62D0C"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tc>
      </w:tr>
      <w:tr w:rsidR="007A1D1C" w:rsidRPr="00CF0F96" w14:paraId="71BB4231" w14:textId="77777777" w:rsidTr="00CF0F96">
        <w:trPr>
          <w:trHeight w:val="300"/>
        </w:trPr>
        <w:tc>
          <w:tcPr>
            <w:tcW w:w="915" w:type="dxa"/>
            <w:shd w:val="clear" w:color="auto" w:fill="FFFFFF" w:themeFill="background1"/>
            <w:tcMar>
              <w:left w:w="105" w:type="dxa"/>
              <w:right w:w="105" w:type="dxa"/>
            </w:tcMar>
          </w:tcPr>
          <w:p w14:paraId="7E6F8717" w14:textId="4C15977F" w:rsidR="007A1D1C" w:rsidRPr="00CF0F96" w:rsidRDefault="007A1D1C" w:rsidP="00BB0D25">
            <w:pPr>
              <w:spacing w:after="0"/>
              <w:ind w:left="-30" w:right="-30"/>
              <w:jc w:val="center"/>
              <w:rPr>
                <w:rFonts w:eastAsia="Arial" w:cs="Arial"/>
                <w:sz w:val="22"/>
              </w:rPr>
            </w:pPr>
            <w:r w:rsidRPr="00CF0F96">
              <w:rPr>
                <w:rFonts w:eastAsia="Arial" w:cs="Arial"/>
                <w:sz w:val="22"/>
              </w:rPr>
              <w:t>3.2</w:t>
            </w:r>
          </w:p>
        </w:tc>
        <w:tc>
          <w:tcPr>
            <w:tcW w:w="3310" w:type="dxa"/>
            <w:shd w:val="clear" w:color="auto" w:fill="FFFFFF" w:themeFill="background1"/>
            <w:tcMar>
              <w:left w:w="105" w:type="dxa"/>
              <w:right w:w="105" w:type="dxa"/>
            </w:tcMar>
          </w:tcPr>
          <w:p w14:paraId="179E7B9D" w14:textId="77777777" w:rsidR="007A1D1C" w:rsidRPr="00CF0F96" w:rsidRDefault="007A1D1C" w:rsidP="00BB0D25">
            <w:pPr>
              <w:spacing w:after="0"/>
              <w:ind w:left="-30" w:right="-30"/>
              <w:jc w:val="both"/>
              <w:rPr>
                <w:rFonts w:eastAsia="Arial" w:cs="Arial"/>
                <w:sz w:val="22"/>
              </w:rPr>
            </w:pPr>
            <w:r w:rsidRPr="00CF0F96">
              <w:rPr>
                <w:rFonts w:eastAsia="Arial" w:cs="Arial"/>
                <w:sz w:val="22"/>
              </w:rPr>
              <w:t xml:space="preserve">¿Se requiere un mayor uso de combustible por la ejecución del subproyecto?  (Tipo de combustible) En relacion a la situación de actual. </w:t>
            </w:r>
          </w:p>
        </w:tc>
        <w:tc>
          <w:tcPr>
            <w:tcW w:w="3206" w:type="dxa"/>
            <w:shd w:val="clear" w:color="auto" w:fill="FFFFFF" w:themeFill="background1"/>
            <w:tcMar>
              <w:left w:w="105" w:type="dxa"/>
              <w:right w:w="105" w:type="dxa"/>
            </w:tcMar>
            <w:vAlign w:val="center"/>
          </w:tcPr>
          <w:p w14:paraId="35F8EC0F"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p w14:paraId="2984D3DE"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p w14:paraId="67C0AC02"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tc>
        <w:tc>
          <w:tcPr>
            <w:tcW w:w="1929" w:type="dxa"/>
            <w:shd w:val="clear" w:color="auto" w:fill="FFFFFF" w:themeFill="background1"/>
            <w:tcMar>
              <w:left w:w="105" w:type="dxa"/>
              <w:right w:w="105" w:type="dxa"/>
            </w:tcMar>
          </w:tcPr>
          <w:p w14:paraId="6593CA0D"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tc>
      </w:tr>
      <w:tr w:rsidR="007A1D1C" w:rsidRPr="00CF0F96" w14:paraId="1BB46926" w14:textId="77777777" w:rsidTr="00CF0F96">
        <w:trPr>
          <w:trHeight w:val="300"/>
        </w:trPr>
        <w:tc>
          <w:tcPr>
            <w:tcW w:w="915" w:type="dxa"/>
            <w:shd w:val="clear" w:color="auto" w:fill="FFFFFF" w:themeFill="background1"/>
            <w:tcMar>
              <w:left w:w="105" w:type="dxa"/>
              <w:right w:w="105" w:type="dxa"/>
            </w:tcMar>
          </w:tcPr>
          <w:p w14:paraId="37E73A1A" w14:textId="076D9691" w:rsidR="007A1D1C" w:rsidRPr="00CF0F96" w:rsidRDefault="007A1D1C" w:rsidP="00BB0D25">
            <w:pPr>
              <w:spacing w:after="0"/>
              <w:ind w:left="-30" w:right="-30"/>
              <w:jc w:val="center"/>
              <w:rPr>
                <w:rFonts w:eastAsia="Arial" w:cs="Arial"/>
                <w:sz w:val="22"/>
              </w:rPr>
            </w:pPr>
            <w:r w:rsidRPr="00CF0F96">
              <w:rPr>
                <w:rFonts w:eastAsia="Arial" w:cs="Arial"/>
                <w:sz w:val="22"/>
              </w:rPr>
              <w:t>3.3</w:t>
            </w:r>
          </w:p>
        </w:tc>
        <w:tc>
          <w:tcPr>
            <w:tcW w:w="3310" w:type="dxa"/>
            <w:shd w:val="clear" w:color="auto" w:fill="FFFFFF" w:themeFill="background1"/>
            <w:tcMar>
              <w:left w:w="105" w:type="dxa"/>
              <w:right w:w="105" w:type="dxa"/>
            </w:tcMar>
          </w:tcPr>
          <w:p w14:paraId="3CACCB4A" w14:textId="77777777" w:rsidR="007A1D1C" w:rsidRPr="00CF0F96" w:rsidRDefault="007A1D1C" w:rsidP="00BB0D25">
            <w:pPr>
              <w:spacing w:after="0"/>
              <w:ind w:left="-30" w:right="-30"/>
              <w:jc w:val="both"/>
              <w:rPr>
                <w:rFonts w:eastAsia="Arial" w:cs="Arial"/>
                <w:sz w:val="22"/>
              </w:rPr>
            </w:pPr>
            <w:r w:rsidRPr="00CF0F96">
              <w:rPr>
                <w:rFonts w:eastAsia="Arial" w:cs="Arial"/>
                <w:sz w:val="22"/>
              </w:rPr>
              <w:t xml:space="preserve">¿Se requiere un aumento en el uso de agua por la ejecución del Subproyecto?  </w:t>
            </w:r>
            <w:proofErr w:type="gramStart"/>
            <w:r w:rsidRPr="00CF0F96">
              <w:rPr>
                <w:rFonts w:eastAsia="Arial" w:cs="Arial"/>
                <w:sz w:val="22"/>
              </w:rPr>
              <w:t>En relación a</w:t>
            </w:r>
            <w:proofErr w:type="gramEnd"/>
            <w:r w:rsidRPr="00CF0F96">
              <w:rPr>
                <w:rFonts w:eastAsia="Arial" w:cs="Arial"/>
                <w:sz w:val="22"/>
              </w:rPr>
              <w:t xml:space="preserve"> la situación de actual.</w:t>
            </w:r>
          </w:p>
        </w:tc>
        <w:tc>
          <w:tcPr>
            <w:tcW w:w="3206" w:type="dxa"/>
            <w:shd w:val="clear" w:color="auto" w:fill="FFFFFF" w:themeFill="background1"/>
            <w:tcMar>
              <w:left w:w="105" w:type="dxa"/>
              <w:right w:w="105" w:type="dxa"/>
            </w:tcMar>
            <w:vAlign w:val="center"/>
          </w:tcPr>
          <w:p w14:paraId="4BFFB989" w14:textId="77777777" w:rsidR="007A1D1C" w:rsidRPr="00CF0F96" w:rsidRDefault="007A1D1C" w:rsidP="00FF59A0">
            <w:pPr>
              <w:spacing w:after="0"/>
              <w:ind w:left="-30" w:right="-30"/>
              <w:jc w:val="center"/>
              <w:rPr>
                <w:rFonts w:eastAsia="Arial" w:cs="Arial"/>
                <w:sz w:val="22"/>
                <w:u w:val="single"/>
              </w:rPr>
            </w:pPr>
            <w:r w:rsidRPr="00CF0F96">
              <w:rPr>
                <w:rFonts w:eastAsia="Arial" w:cs="Arial"/>
                <w:strike/>
                <w:sz w:val="22"/>
                <w:u w:val="single"/>
              </w:rPr>
              <w:t xml:space="preserve"> </w:t>
            </w:r>
            <w:r w:rsidRPr="00CF0F96">
              <w:rPr>
                <w:rFonts w:eastAsia="Arial" w:cs="Arial"/>
                <w:sz w:val="22"/>
                <w:u w:val="single"/>
              </w:rPr>
              <w:t xml:space="preserve">  </w:t>
            </w:r>
          </w:p>
          <w:p w14:paraId="2C7DACF0" w14:textId="77777777" w:rsidR="007A1D1C" w:rsidRPr="00CF0F96" w:rsidRDefault="007A1D1C" w:rsidP="00FF59A0">
            <w:pPr>
              <w:spacing w:after="0"/>
              <w:ind w:left="-30" w:right="-30"/>
              <w:jc w:val="center"/>
              <w:rPr>
                <w:rFonts w:eastAsia="Arial" w:cs="Arial"/>
                <w:sz w:val="22"/>
                <w:u w:val="single"/>
              </w:rPr>
            </w:pPr>
            <w:r w:rsidRPr="00CF0F96">
              <w:rPr>
                <w:rFonts w:eastAsia="Arial" w:cs="Arial"/>
                <w:sz w:val="22"/>
                <w:u w:val="single"/>
              </w:rPr>
              <w:t xml:space="preserve">   </w:t>
            </w:r>
          </w:p>
          <w:p w14:paraId="6C6049CD" w14:textId="77777777" w:rsidR="007A1D1C" w:rsidRPr="00CF0F96" w:rsidRDefault="007A1D1C" w:rsidP="00FF59A0">
            <w:pPr>
              <w:spacing w:after="0"/>
              <w:ind w:left="-30" w:right="-30"/>
              <w:jc w:val="center"/>
              <w:rPr>
                <w:rFonts w:eastAsia="Arial" w:cs="Arial"/>
                <w:sz w:val="22"/>
                <w:u w:val="single"/>
              </w:rPr>
            </w:pPr>
            <w:r w:rsidRPr="00CF0F96">
              <w:rPr>
                <w:rFonts w:eastAsia="Arial" w:cs="Arial"/>
                <w:sz w:val="22"/>
                <w:u w:val="single"/>
              </w:rPr>
              <w:t xml:space="preserve">   </w:t>
            </w:r>
          </w:p>
        </w:tc>
        <w:tc>
          <w:tcPr>
            <w:tcW w:w="1929" w:type="dxa"/>
            <w:shd w:val="clear" w:color="auto" w:fill="FFFFFF" w:themeFill="background1"/>
            <w:tcMar>
              <w:left w:w="105" w:type="dxa"/>
              <w:right w:w="105" w:type="dxa"/>
            </w:tcMar>
          </w:tcPr>
          <w:p w14:paraId="44FC3CC7" w14:textId="77777777" w:rsidR="007A1D1C" w:rsidRPr="00CF0F96" w:rsidRDefault="007A1D1C" w:rsidP="00FF59A0">
            <w:pPr>
              <w:spacing w:after="0"/>
              <w:ind w:left="-30" w:right="-30"/>
              <w:jc w:val="center"/>
              <w:rPr>
                <w:rFonts w:eastAsia="Arial" w:cs="Arial"/>
                <w:sz w:val="22"/>
                <w:u w:val="single"/>
              </w:rPr>
            </w:pPr>
            <w:r w:rsidRPr="00CF0F96">
              <w:rPr>
                <w:rFonts w:eastAsia="Arial" w:cs="Arial"/>
                <w:sz w:val="22"/>
                <w:u w:val="single"/>
              </w:rPr>
              <w:t xml:space="preserve">  </w:t>
            </w:r>
          </w:p>
        </w:tc>
      </w:tr>
      <w:tr w:rsidR="007A1D1C" w:rsidRPr="00CF0F96" w14:paraId="397E9526" w14:textId="77777777" w:rsidTr="00CF0F96">
        <w:trPr>
          <w:trHeight w:val="300"/>
        </w:trPr>
        <w:tc>
          <w:tcPr>
            <w:tcW w:w="915" w:type="dxa"/>
            <w:shd w:val="clear" w:color="auto" w:fill="FFFFFF" w:themeFill="background1"/>
            <w:tcMar>
              <w:left w:w="105" w:type="dxa"/>
              <w:right w:w="105" w:type="dxa"/>
            </w:tcMar>
          </w:tcPr>
          <w:p w14:paraId="73329BE3" w14:textId="3807F8FB" w:rsidR="007A1D1C" w:rsidRPr="00CF0F96" w:rsidRDefault="007A1D1C" w:rsidP="00BB0D25">
            <w:pPr>
              <w:spacing w:after="0"/>
              <w:ind w:left="-30" w:right="-30"/>
              <w:jc w:val="center"/>
              <w:rPr>
                <w:rFonts w:eastAsia="Arial" w:cs="Arial"/>
                <w:sz w:val="22"/>
              </w:rPr>
            </w:pPr>
            <w:r w:rsidRPr="00CF0F96">
              <w:rPr>
                <w:rFonts w:eastAsia="Arial" w:cs="Arial"/>
                <w:sz w:val="22"/>
              </w:rPr>
              <w:t>3.4</w:t>
            </w:r>
          </w:p>
        </w:tc>
        <w:tc>
          <w:tcPr>
            <w:tcW w:w="3310" w:type="dxa"/>
            <w:shd w:val="clear" w:color="auto" w:fill="FFFFFF" w:themeFill="background1"/>
            <w:tcMar>
              <w:left w:w="105" w:type="dxa"/>
              <w:right w:w="105" w:type="dxa"/>
            </w:tcMar>
          </w:tcPr>
          <w:p w14:paraId="77933F6F" w14:textId="77777777" w:rsidR="007A1D1C" w:rsidRPr="00CF0F96" w:rsidRDefault="007A1D1C" w:rsidP="00BB0D25">
            <w:pPr>
              <w:spacing w:after="0"/>
              <w:ind w:left="-30" w:right="-30"/>
              <w:jc w:val="both"/>
              <w:rPr>
                <w:rFonts w:eastAsia="Arial" w:cs="Arial"/>
                <w:sz w:val="22"/>
              </w:rPr>
            </w:pPr>
            <w:r w:rsidRPr="00CF0F96">
              <w:rPr>
                <w:rFonts w:eastAsia="Arial" w:cs="Arial"/>
                <w:sz w:val="22"/>
              </w:rPr>
              <w:t xml:space="preserve">¿Se requiere permiso de uso del agua para el subproyecto? Detallar el tipo de acuerdo </w:t>
            </w:r>
          </w:p>
        </w:tc>
        <w:tc>
          <w:tcPr>
            <w:tcW w:w="3206" w:type="dxa"/>
            <w:shd w:val="clear" w:color="auto" w:fill="FFFFFF" w:themeFill="background1"/>
            <w:tcMar>
              <w:left w:w="105" w:type="dxa"/>
              <w:right w:w="105" w:type="dxa"/>
            </w:tcMar>
            <w:vAlign w:val="center"/>
          </w:tcPr>
          <w:p w14:paraId="66F57BC9"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p w14:paraId="729AAE99"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p w14:paraId="332928F5"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tc>
        <w:tc>
          <w:tcPr>
            <w:tcW w:w="1929" w:type="dxa"/>
            <w:shd w:val="clear" w:color="auto" w:fill="FFFFFF" w:themeFill="background1"/>
            <w:tcMar>
              <w:left w:w="105" w:type="dxa"/>
              <w:right w:w="105" w:type="dxa"/>
            </w:tcMar>
          </w:tcPr>
          <w:p w14:paraId="4D14FEC4"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tc>
      </w:tr>
      <w:tr w:rsidR="007A1D1C" w:rsidRPr="00CF0F96" w14:paraId="656192D3" w14:textId="77777777" w:rsidTr="00CF0F96">
        <w:trPr>
          <w:trHeight w:val="300"/>
        </w:trPr>
        <w:tc>
          <w:tcPr>
            <w:tcW w:w="915" w:type="dxa"/>
            <w:shd w:val="clear" w:color="auto" w:fill="FFFFFF" w:themeFill="background1"/>
            <w:tcMar>
              <w:left w:w="105" w:type="dxa"/>
              <w:right w:w="105" w:type="dxa"/>
            </w:tcMar>
          </w:tcPr>
          <w:p w14:paraId="482C9484" w14:textId="61BFF25A" w:rsidR="007A1D1C" w:rsidRPr="00CF0F96" w:rsidRDefault="007A1D1C" w:rsidP="00BB0D25">
            <w:pPr>
              <w:spacing w:after="0"/>
              <w:ind w:left="-30" w:right="-30"/>
              <w:jc w:val="center"/>
              <w:rPr>
                <w:rFonts w:eastAsia="Arial" w:cs="Arial"/>
                <w:sz w:val="22"/>
              </w:rPr>
            </w:pPr>
            <w:r w:rsidRPr="00CF0F96">
              <w:rPr>
                <w:rFonts w:eastAsia="Arial" w:cs="Arial"/>
                <w:sz w:val="22"/>
              </w:rPr>
              <w:t>3.5</w:t>
            </w:r>
          </w:p>
        </w:tc>
        <w:tc>
          <w:tcPr>
            <w:tcW w:w="3310" w:type="dxa"/>
            <w:shd w:val="clear" w:color="auto" w:fill="FFFFFF" w:themeFill="background1"/>
            <w:tcMar>
              <w:left w:w="105" w:type="dxa"/>
              <w:right w:w="105" w:type="dxa"/>
            </w:tcMar>
          </w:tcPr>
          <w:p w14:paraId="714A7141" w14:textId="77777777" w:rsidR="007A1D1C" w:rsidRPr="00CF0F96" w:rsidRDefault="007A1D1C" w:rsidP="00BB0D25">
            <w:pPr>
              <w:spacing w:after="0"/>
              <w:ind w:left="-30" w:right="-30"/>
              <w:jc w:val="both"/>
              <w:rPr>
                <w:rFonts w:eastAsia="Arial" w:cs="Arial"/>
                <w:sz w:val="22"/>
                <w:lang w:val="es-HN"/>
              </w:rPr>
            </w:pPr>
            <w:r w:rsidRPr="00CF0F96">
              <w:rPr>
                <w:rFonts w:eastAsia="Arial" w:cs="Arial"/>
                <w:sz w:val="22"/>
              </w:rPr>
              <w:t xml:space="preserve">¿Se generará desechos sólidos y/o líquidos?  </w:t>
            </w:r>
          </w:p>
        </w:tc>
        <w:tc>
          <w:tcPr>
            <w:tcW w:w="3206" w:type="dxa"/>
            <w:shd w:val="clear" w:color="auto" w:fill="FFFFFF" w:themeFill="background1"/>
            <w:tcMar>
              <w:left w:w="105" w:type="dxa"/>
              <w:right w:w="105" w:type="dxa"/>
            </w:tcMar>
            <w:vAlign w:val="center"/>
          </w:tcPr>
          <w:p w14:paraId="4FE7BAA1"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p w14:paraId="07EFA19C"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p w14:paraId="0F179F76"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tc>
        <w:tc>
          <w:tcPr>
            <w:tcW w:w="1929" w:type="dxa"/>
            <w:shd w:val="clear" w:color="auto" w:fill="FFFFFF" w:themeFill="background1"/>
            <w:tcMar>
              <w:left w:w="105" w:type="dxa"/>
              <w:right w:w="105" w:type="dxa"/>
            </w:tcMar>
          </w:tcPr>
          <w:p w14:paraId="184D37C7"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tc>
      </w:tr>
      <w:tr w:rsidR="007A1D1C" w:rsidRPr="00CF0F96" w14:paraId="44BCD58E" w14:textId="77777777" w:rsidTr="00CF0F96">
        <w:trPr>
          <w:trHeight w:val="300"/>
        </w:trPr>
        <w:tc>
          <w:tcPr>
            <w:tcW w:w="915" w:type="dxa"/>
            <w:shd w:val="clear" w:color="auto" w:fill="FFFFFF" w:themeFill="background1"/>
            <w:tcMar>
              <w:left w:w="105" w:type="dxa"/>
              <w:right w:w="105" w:type="dxa"/>
            </w:tcMar>
          </w:tcPr>
          <w:p w14:paraId="6B4A9812" w14:textId="61178AF5" w:rsidR="007A1D1C" w:rsidRPr="00CF0F96" w:rsidRDefault="007A1D1C" w:rsidP="00BB0D25">
            <w:pPr>
              <w:spacing w:after="0"/>
              <w:ind w:left="-30" w:right="-30"/>
              <w:jc w:val="center"/>
              <w:rPr>
                <w:rFonts w:eastAsia="Arial" w:cs="Arial"/>
                <w:sz w:val="22"/>
              </w:rPr>
            </w:pPr>
            <w:r w:rsidRPr="00CF0F96">
              <w:rPr>
                <w:rFonts w:eastAsia="Arial" w:cs="Arial"/>
                <w:sz w:val="22"/>
              </w:rPr>
              <w:t>3.6</w:t>
            </w:r>
          </w:p>
        </w:tc>
        <w:tc>
          <w:tcPr>
            <w:tcW w:w="3310" w:type="dxa"/>
            <w:shd w:val="clear" w:color="auto" w:fill="FFFFFF" w:themeFill="background1"/>
            <w:tcMar>
              <w:left w:w="105" w:type="dxa"/>
              <w:right w:w="105" w:type="dxa"/>
            </w:tcMar>
          </w:tcPr>
          <w:p w14:paraId="27B8C834" w14:textId="77777777" w:rsidR="007A1D1C" w:rsidRPr="00CF0F96" w:rsidRDefault="007A1D1C" w:rsidP="00BB0D25">
            <w:pPr>
              <w:spacing w:after="0"/>
              <w:ind w:left="-30" w:right="-30"/>
              <w:jc w:val="both"/>
              <w:rPr>
                <w:rFonts w:eastAsia="Arial" w:cs="Arial"/>
                <w:sz w:val="22"/>
              </w:rPr>
            </w:pPr>
            <w:r w:rsidRPr="00CF0F96">
              <w:rPr>
                <w:rFonts w:eastAsia="Arial" w:cs="Arial"/>
                <w:sz w:val="22"/>
                <w:lang w:val="es-HN"/>
              </w:rPr>
              <w:t>¿Se utilizará un banco de material</w:t>
            </w:r>
            <w:r w:rsidRPr="00CF0F96">
              <w:rPr>
                <w:rFonts w:eastAsia="Arial" w:cs="Arial"/>
                <w:strike/>
                <w:sz w:val="22"/>
                <w:lang w:val="es-HN"/>
              </w:rPr>
              <w:t xml:space="preserve"> </w:t>
            </w:r>
            <w:r w:rsidRPr="00CF0F96">
              <w:rPr>
                <w:rFonts w:eastAsia="Arial" w:cs="Arial"/>
                <w:sz w:val="22"/>
                <w:lang w:val="es-HN"/>
              </w:rPr>
              <w:t xml:space="preserve">debidamente concesionados por la autoridad competente?   </w:t>
            </w:r>
            <w:r w:rsidRPr="00CF0F96">
              <w:rPr>
                <w:rFonts w:eastAsia="Arial" w:cs="Arial"/>
                <w:sz w:val="22"/>
              </w:rPr>
              <w:t>Medios de verificación: Facturación CAI y/o permiso municipal</w:t>
            </w:r>
          </w:p>
        </w:tc>
        <w:tc>
          <w:tcPr>
            <w:tcW w:w="3206" w:type="dxa"/>
            <w:shd w:val="clear" w:color="auto" w:fill="FFFFFF" w:themeFill="background1"/>
            <w:tcMar>
              <w:left w:w="105" w:type="dxa"/>
              <w:right w:w="105" w:type="dxa"/>
            </w:tcMar>
            <w:vAlign w:val="center"/>
          </w:tcPr>
          <w:p w14:paraId="76E52876" w14:textId="77777777" w:rsidR="007A1D1C" w:rsidRPr="00CF0F96" w:rsidRDefault="007A1D1C" w:rsidP="00FF59A0">
            <w:pPr>
              <w:spacing w:after="0"/>
              <w:ind w:left="-30" w:right="-30"/>
              <w:jc w:val="center"/>
              <w:rPr>
                <w:rFonts w:eastAsia="Arial" w:cs="Arial"/>
                <w:sz w:val="22"/>
                <w:u w:val="single"/>
              </w:rPr>
            </w:pPr>
            <w:r w:rsidRPr="00CF0F96">
              <w:rPr>
                <w:rFonts w:eastAsia="Arial" w:cs="Arial"/>
                <w:sz w:val="22"/>
                <w:u w:val="single"/>
              </w:rPr>
              <w:t xml:space="preserve">   </w:t>
            </w:r>
          </w:p>
          <w:p w14:paraId="504E3233" w14:textId="77777777" w:rsidR="007A1D1C" w:rsidRPr="00CF0F96" w:rsidRDefault="007A1D1C" w:rsidP="00FF59A0">
            <w:pPr>
              <w:spacing w:after="0"/>
              <w:ind w:left="-30" w:right="-30"/>
              <w:jc w:val="center"/>
              <w:rPr>
                <w:rFonts w:eastAsia="Arial" w:cs="Arial"/>
                <w:sz w:val="22"/>
                <w:u w:val="single"/>
              </w:rPr>
            </w:pPr>
            <w:r w:rsidRPr="00CF0F96">
              <w:rPr>
                <w:rFonts w:eastAsia="Arial" w:cs="Arial"/>
                <w:sz w:val="22"/>
                <w:u w:val="single"/>
              </w:rPr>
              <w:t xml:space="preserve">   </w:t>
            </w:r>
          </w:p>
          <w:p w14:paraId="62E8A7C4" w14:textId="77777777" w:rsidR="007A1D1C" w:rsidRPr="00CF0F96" w:rsidRDefault="007A1D1C" w:rsidP="00FF59A0">
            <w:pPr>
              <w:spacing w:after="0"/>
              <w:ind w:left="-30" w:right="-30"/>
              <w:jc w:val="center"/>
              <w:rPr>
                <w:rFonts w:eastAsia="Arial" w:cs="Arial"/>
                <w:sz w:val="22"/>
                <w:u w:val="single"/>
              </w:rPr>
            </w:pPr>
            <w:r w:rsidRPr="00CF0F96">
              <w:rPr>
                <w:rFonts w:eastAsia="Arial" w:cs="Arial"/>
                <w:sz w:val="22"/>
                <w:u w:val="single"/>
              </w:rPr>
              <w:t xml:space="preserve">   </w:t>
            </w:r>
          </w:p>
        </w:tc>
        <w:tc>
          <w:tcPr>
            <w:tcW w:w="1929" w:type="dxa"/>
            <w:shd w:val="clear" w:color="auto" w:fill="FFFFFF" w:themeFill="background1"/>
            <w:tcMar>
              <w:left w:w="105" w:type="dxa"/>
              <w:right w:w="105" w:type="dxa"/>
            </w:tcMar>
          </w:tcPr>
          <w:p w14:paraId="1278F0DC" w14:textId="77777777" w:rsidR="007A1D1C" w:rsidRPr="00CF0F96" w:rsidRDefault="007A1D1C" w:rsidP="00FF59A0">
            <w:pPr>
              <w:spacing w:after="0"/>
              <w:ind w:left="-30" w:right="-30"/>
              <w:jc w:val="center"/>
              <w:rPr>
                <w:rFonts w:eastAsia="Arial" w:cs="Arial"/>
                <w:sz w:val="22"/>
                <w:u w:val="single"/>
              </w:rPr>
            </w:pPr>
            <w:r w:rsidRPr="00CF0F96">
              <w:rPr>
                <w:rFonts w:eastAsia="Arial" w:cs="Arial"/>
                <w:sz w:val="22"/>
                <w:u w:val="single"/>
              </w:rPr>
              <w:t xml:space="preserve">  </w:t>
            </w:r>
          </w:p>
        </w:tc>
      </w:tr>
      <w:tr w:rsidR="007A1D1C" w:rsidRPr="00CF0F96" w14:paraId="6F5BF6C5" w14:textId="77777777" w:rsidTr="00CF0F96">
        <w:trPr>
          <w:trHeight w:val="300"/>
        </w:trPr>
        <w:tc>
          <w:tcPr>
            <w:tcW w:w="915" w:type="dxa"/>
            <w:shd w:val="clear" w:color="auto" w:fill="FFFFFF" w:themeFill="background1"/>
            <w:tcMar>
              <w:left w:w="105" w:type="dxa"/>
              <w:right w:w="105" w:type="dxa"/>
            </w:tcMar>
          </w:tcPr>
          <w:p w14:paraId="1B5973D1" w14:textId="69AC9CFC" w:rsidR="007A1D1C" w:rsidRPr="00CF0F96" w:rsidRDefault="007A1D1C" w:rsidP="00BB0D25">
            <w:pPr>
              <w:spacing w:after="0"/>
              <w:ind w:left="-30" w:right="-30"/>
              <w:jc w:val="center"/>
              <w:rPr>
                <w:rFonts w:eastAsia="Arial" w:cs="Arial"/>
                <w:sz w:val="22"/>
              </w:rPr>
            </w:pPr>
            <w:r w:rsidRPr="00CF0F96">
              <w:rPr>
                <w:rFonts w:eastAsia="Arial" w:cs="Arial"/>
                <w:sz w:val="22"/>
              </w:rPr>
              <w:t>3.7</w:t>
            </w:r>
          </w:p>
        </w:tc>
        <w:tc>
          <w:tcPr>
            <w:tcW w:w="3310" w:type="dxa"/>
            <w:shd w:val="clear" w:color="auto" w:fill="FFFFFF" w:themeFill="background1"/>
            <w:tcMar>
              <w:left w:w="105" w:type="dxa"/>
              <w:right w:w="105" w:type="dxa"/>
            </w:tcMar>
          </w:tcPr>
          <w:p w14:paraId="51BCDA7D" w14:textId="77777777" w:rsidR="007A1D1C" w:rsidRPr="00CF0F96" w:rsidRDefault="007A1D1C" w:rsidP="00BB0D25">
            <w:pPr>
              <w:spacing w:after="0"/>
              <w:ind w:left="-30" w:right="-30"/>
              <w:jc w:val="both"/>
              <w:rPr>
                <w:rFonts w:eastAsia="Arial" w:cs="Arial"/>
                <w:sz w:val="22"/>
              </w:rPr>
            </w:pPr>
            <w:r w:rsidRPr="00CF0F96">
              <w:rPr>
                <w:rFonts w:eastAsia="Arial" w:cs="Arial"/>
                <w:sz w:val="22"/>
              </w:rPr>
              <w:t xml:space="preserve">¿Se utilizará fertilizantes químicos?  </w:t>
            </w:r>
          </w:p>
        </w:tc>
        <w:tc>
          <w:tcPr>
            <w:tcW w:w="3206" w:type="dxa"/>
            <w:shd w:val="clear" w:color="auto" w:fill="FFFFFF" w:themeFill="background1"/>
            <w:tcMar>
              <w:left w:w="105" w:type="dxa"/>
              <w:right w:w="105" w:type="dxa"/>
            </w:tcMar>
            <w:vAlign w:val="center"/>
          </w:tcPr>
          <w:p w14:paraId="5516C4C7" w14:textId="77777777" w:rsidR="007A1D1C" w:rsidRPr="00CF0F96" w:rsidRDefault="007A1D1C" w:rsidP="00FF59A0">
            <w:pPr>
              <w:spacing w:after="0"/>
              <w:ind w:left="-30" w:right="-30"/>
              <w:jc w:val="center"/>
              <w:rPr>
                <w:rFonts w:eastAsia="Arial" w:cs="Arial"/>
                <w:sz w:val="22"/>
                <w:u w:val="single"/>
              </w:rPr>
            </w:pPr>
            <w:r w:rsidRPr="00CF0F96">
              <w:rPr>
                <w:rFonts w:eastAsia="Arial" w:cs="Arial"/>
                <w:sz w:val="22"/>
                <w:u w:val="single"/>
              </w:rPr>
              <w:t xml:space="preserve">   </w:t>
            </w:r>
          </w:p>
          <w:p w14:paraId="6587D830" w14:textId="77777777" w:rsidR="007A1D1C" w:rsidRPr="00CF0F96" w:rsidRDefault="007A1D1C" w:rsidP="00FF59A0">
            <w:pPr>
              <w:spacing w:after="0"/>
              <w:ind w:left="-30" w:right="-30"/>
              <w:jc w:val="center"/>
              <w:rPr>
                <w:rFonts w:eastAsia="Arial" w:cs="Arial"/>
                <w:sz w:val="22"/>
                <w:u w:val="single"/>
              </w:rPr>
            </w:pPr>
            <w:r w:rsidRPr="00CF0F96">
              <w:rPr>
                <w:rFonts w:eastAsia="Arial" w:cs="Arial"/>
                <w:sz w:val="22"/>
                <w:u w:val="single"/>
              </w:rPr>
              <w:t xml:space="preserve">   </w:t>
            </w:r>
          </w:p>
          <w:p w14:paraId="277D97BC" w14:textId="77777777" w:rsidR="007A1D1C" w:rsidRPr="00CF0F96" w:rsidRDefault="007A1D1C" w:rsidP="00FF59A0">
            <w:pPr>
              <w:spacing w:after="0"/>
              <w:ind w:left="-30" w:right="-30"/>
              <w:jc w:val="center"/>
              <w:rPr>
                <w:rFonts w:eastAsia="Arial" w:cs="Arial"/>
                <w:sz w:val="22"/>
                <w:u w:val="single"/>
              </w:rPr>
            </w:pPr>
            <w:r w:rsidRPr="00CF0F96">
              <w:rPr>
                <w:rFonts w:eastAsia="Arial" w:cs="Arial"/>
                <w:sz w:val="22"/>
                <w:u w:val="single"/>
              </w:rPr>
              <w:t xml:space="preserve">   </w:t>
            </w:r>
          </w:p>
        </w:tc>
        <w:tc>
          <w:tcPr>
            <w:tcW w:w="1929" w:type="dxa"/>
            <w:shd w:val="clear" w:color="auto" w:fill="FFFFFF" w:themeFill="background1"/>
            <w:tcMar>
              <w:left w:w="105" w:type="dxa"/>
              <w:right w:w="105" w:type="dxa"/>
            </w:tcMar>
          </w:tcPr>
          <w:p w14:paraId="1832C929" w14:textId="77777777" w:rsidR="007A1D1C" w:rsidRPr="00CF0F96" w:rsidRDefault="007A1D1C" w:rsidP="00FF59A0">
            <w:pPr>
              <w:spacing w:after="0"/>
              <w:ind w:left="-30" w:right="-30"/>
              <w:jc w:val="center"/>
              <w:rPr>
                <w:rFonts w:eastAsia="Arial" w:cs="Arial"/>
                <w:sz w:val="22"/>
                <w:u w:val="single"/>
              </w:rPr>
            </w:pPr>
            <w:r w:rsidRPr="00CF0F96">
              <w:rPr>
                <w:rFonts w:eastAsia="Arial" w:cs="Arial"/>
                <w:sz w:val="22"/>
                <w:u w:val="single"/>
              </w:rPr>
              <w:t xml:space="preserve">  </w:t>
            </w:r>
          </w:p>
        </w:tc>
      </w:tr>
      <w:tr w:rsidR="007A1D1C" w:rsidRPr="00CF0F96" w14:paraId="7908DE3C" w14:textId="77777777" w:rsidTr="00CF0F96">
        <w:trPr>
          <w:trHeight w:val="300"/>
        </w:trPr>
        <w:tc>
          <w:tcPr>
            <w:tcW w:w="915" w:type="dxa"/>
            <w:shd w:val="clear" w:color="auto" w:fill="FFFFFF" w:themeFill="background1"/>
            <w:tcMar>
              <w:left w:w="105" w:type="dxa"/>
              <w:right w:w="105" w:type="dxa"/>
            </w:tcMar>
          </w:tcPr>
          <w:p w14:paraId="3616CB58" w14:textId="4D84955C" w:rsidR="007A1D1C" w:rsidRPr="00CF0F96" w:rsidRDefault="007A1D1C" w:rsidP="00BB0D25">
            <w:pPr>
              <w:spacing w:after="0"/>
              <w:ind w:left="-30" w:right="-30"/>
              <w:jc w:val="center"/>
              <w:rPr>
                <w:rFonts w:eastAsia="Arial" w:cs="Arial"/>
                <w:sz w:val="22"/>
              </w:rPr>
            </w:pPr>
            <w:r w:rsidRPr="00CF0F96">
              <w:rPr>
                <w:rFonts w:eastAsia="Arial" w:cs="Arial"/>
                <w:sz w:val="22"/>
              </w:rPr>
              <w:t>4.</w:t>
            </w:r>
          </w:p>
        </w:tc>
        <w:tc>
          <w:tcPr>
            <w:tcW w:w="8445" w:type="dxa"/>
            <w:gridSpan w:val="3"/>
            <w:shd w:val="clear" w:color="auto" w:fill="FFFFFF" w:themeFill="background1"/>
            <w:tcMar>
              <w:left w:w="105" w:type="dxa"/>
              <w:right w:w="105" w:type="dxa"/>
            </w:tcMar>
          </w:tcPr>
          <w:p w14:paraId="2383B87A" w14:textId="77777777" w:rsidR="007A1D1C" w:rsidRPr="00CF0F96" w:rsidRDefault="007A1D1C" w:rsidP="00FF59A0">
            <w:pPr>
              <w:spacing w:after="0"/>
              <w:ind w:left="-30" w:right="-30"/>
              <w:rPr>
                <w:rFonts w:eastAsia="Arial" w:cs="Arial"/>
                <w:sz w:val="22"/>
              </w:rPr>
            </w:pPr>
            <w:r w:rsidRPr="00CF0F96">
              <w:rPr>
                <w:rFonts w:eastAsia="Arial" w:cs="Arial"/>
                <w:b/>
                <w:bCs/>
                <w:sz w:val="22"/>
              </w:rPr>
              <w:t>EAS 4 - Salud y Seguridad Comunitaria</w:t>
            </w:r>
            <w:r w:rsidRPr="00CF0F96">
              <w:rPr>
                <w:rFonts w:eastAsia="Arial" w:cs="Arial"/>
                <w:sz w:val="22"/>
              </w:rPr>
              <w:t xml:space="preserve">    </w:t>
            </w:r>
          </w:p>
          <w:p w14:paraId="0F48DB11" w14:textId="77777777" w:rsidR="007A1D1C" w:rsidRPr="00CF0F96" w:rsidRDefault="007A1D1C" w:rsidP="00FF59A0">
            <w:pPr>
              <w:spacing w:after="0"/>
              <w:ind w:left="-30" w:right="-30"/>
              <w:jc w:val="center"/>
              <w:rPr>
                <w:rFonts w:eastAsia="Arial" w:cs="Arial"/>
                <w:sz w:val="22"/>
              </w:rPr>
            </w:pPr>
            <w:r w:rsidRPr="00CF0F96">
              <w:rPr>
                <w:rFonts w:eastAsia="Arial" w:cs="Arial"/>
                <w:sz w:val="22"/>
              </w:rPr>
              <w:t xml:space="preserve">  </w:t>
            </w:r>
          </w:p>
        </w:tc>
      </w:tr>
      <w:tr w:rsidR="007A1D1C" w:rsidRPr="00CF0F96" w14:paraId="1F77AFED" w14:textId="77777777" w:rsidTr="00CF0F96">
        <w:trPr>
          <w:trHeight w:val="300"/>
        </w:trPr>
        <w:tc>
          <w:tcPr>
            <w:tcW w:w="915" w:type="dxa"/>
            <w:shd w:val="clear" w:color="auto" w:fill="FFFFFF" w:themeFill="background1"/>
            <w:tcMar>
              <w:left w:w="105" w:type="dxa"/>
              <w:right w:w="105" w:type="dxa"/>
            </w:tcMar>
          </w:tcPr>
          <w:p w14:paraId="64429370" w14:textId="7262B6EC" w:rsidR="007A1D1C" w:rsidRPr="00CF0F96" w:rsidRDefault="007A1D1C" w:rsidP="00BB0D25">
            <w:pPr>
              <w:spacing w:after="0"/>
              <w:ind w:left="-30" w:right="-30"/>
              <w:jc w:val="center"/>
              <w:rPr>
                <w:rFonts w:eastAsia="Arial" w:cs="Arial"/>
                <w:sz w:val="22"/>
              </w:rPr>
            </w:pPr>
            <w:r w:rsidRPr="00CF0F96">
              <w:rPr>
                <w:rFonts w:eastAsia="Arial" w:cs="Arial"/>
                <w:sz w:val="22"/>
              </w:rPr>
              <w:lastRenderedPageBreak/>
              <w:t>4.1</w:t>
            </w:r>
          </w:p>
        </w:tc>
        <w:tc>
          <w:tcPr>
            <w:tcW w:w="3310" w:type="dxa"/>
            <w:shd w:val="clear" w:color="auto" w:fill="FFFFFF" w:themeFill="background1"/>
            <w:tcMar>
              <w:left w:w="105" w:type="dxa"/>
              <w:right w:w="105" w:type="dxa"/>
            </w:tcMar>
          </w:tcPr>
          <w:p w14:paraId="691F2267" w14:textId="77777777" w:rsidR="007A1D1C" w:rsidRPr="00CF0F96" w:rsidRDefault="007A1D1C" w:rsidP="00BB0D25">
            <w:pPr>
              <w:spacing w:after="0"/>
              <w:ind w:left="-30" w:right="-30"/>
              <w:jc w:val="both"/>
              <w:rPr>
                <w:rFonts w:eastAsia="Arial" w:cs="Arial"/>
                <w:sz w:val="22"/>
                <w:lang w:val="es-HN"/>
              </w:rPr>
            </w:pPr>
            <w:r w:rsidRPr="00CF0F96">
              <w:rPr>
                <w:rFonts w:eastAsia="Arial" w:cs="Arial"/>
                <w:sz w:val="22"/>
              </w:rPr>
              <w:t xml:space="preserve">¿Puede el subproyecto causar riesgos para la salud de las poblaciones locales?  </w:t>
            </w:r>
          </w:p>
        </w:tc>
        <w:tc>
          <w:tcPr>
            <w:tcW w:w="3206" w:type="dxa"/>
            <w:shd w:val="clear" w:color="auto" w:fill="FFFFFF" w:themeFill="background1"/>
            <w:tcMar>
              <w:left w:w="105" w:type="dxa"/>
              <w:right w:w="105" w:type="dxa"/>
            </w:tcMar>
            <w:vAlign w:val="center"/>
          </w:tcPr>
          <w:p w14:paraId="6A77A6C7"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trike/>
                <w:sz w:val="22"/>
                <w:u w:val="single"/>
              </w:rPr>
              <w:t xml:space="preserve"> </w:t>
            </w:r>
            <w:r w:rsidRPr="00CF0F96">
              <w:rPr>
                <w:rFonts w:eastAsia="Arial" w:cs="Arial"/>
                <w:sz w:val="22"/>
                <w:u w:val="single"/>
              </w:rPr>
              <w:t xml:space="preserve">  </w:t>
            </w:r>
          </w:p>
          <w:p w14:paraId="0B460693"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p w14:paraId="1876E68F"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tc>
        <w:tc>
          <w:tcPr>
            <w:tcW w:w="1929" w:type="dxa"/>
            <w:shd w:val="clear" w:color="auto" w:fill="FFFFFF" w:themeFill="background1"/>
            <w:tcMar>
              <w:left w:w="105" w:type="dxa"/>
              <w:right w:w="105" w:type="dxa"/>
            </w:tcMar>
          </w:tcPr>
          <w:p w14:paraId="2477B56C"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tc>
      </w:tr>
      <w:tr w:rsidR="007A1D1C" w:rsidRPr="00CF0F96" w14:paraId="7028C665" w14:textId="77777777" w:rsidTr="00CF0F96">
        <w:trPr>
          <w:trHeight w:val="300"/>
        </w:trPr>
        <w:tc>
          <w:tcPr>
            <w:tcW w:w="915" w:type="dxa"/>
            <w:shd w:val="clear" w:color="auto" w:fill="FFFFFF" w:themeFill="background1"/>
            <w:tcMar>
              <w:left w:w="105" w:type="dxa"/>
              <w:right w:w="105" w:type="dxa"/>
            </w:tcMar>
          </w:tcPr>
          <w:p w14:paraId="4DA4D9B5" w14:textId="66726D9D" w:rsidR="007A1D1C" w:rsidRPr="00CF0F96" w:rsidRDefault="007A1D1C" w:rsidP="00BB0D25">
            <w:pPr>
              <w:spacing w:after="0"/>
              <w:ind w:left="-30" w:right="-30"/>
              <w:jc w:val="center"/>
              <w:rPr>
                <w:rFonts w:eastAsia="Arial" w:cs="Arial"/>
                <w:sz w:val="22"/>
              </w:rPr>
            </w:pPr>
            <w:r w:rsidRPr="00CF0F96">
              <w:rPr>
                <w:rFonts w:eastAsia="Arial" w:cs="Arial"/>
                <w:sz w:val="22"/>
              </w:rPr>
              <w:t>4.2</w:t>
            </w:r>
          </w:p>
        </w:tc>
        <w:tc>
          <w:tcPr>
            <w:tcW w:w="3310" w:type="dxa"/>
            <w:shd w:val="clear" w:color="auto" w:fill="FFFFFF" w:themeFill="background1"/>
            <w:tcMar>
              <w:left w:w="105" w:type="dxa"/>
              <w:right w:w="105" w:type="dxa"/>
            </w:tcMar>
          </w:tcPr>
          <w:p w14:paraId="4840E0F3" w14:textId="42843A6F" w:rsidR="007A1D1C" w:rsidRPr="00CF0F96" w:rsidRDefault="007A1D1C" w:rsidP="00BB0D25">
            <w:pPr>
              <w:spacing w:after="0"/>
              <w:ind w:left="-30" w:right="-30"/>
              <w:jc w:val="both"/>
              <w:rPr>
                <w:rFonts w:eastAsia="Arial" w:cs="Arial"/>
                <w:sz w:val="22"/>
              </w:rPr>
            </w:pPr>
            <w:r w:rsidRPr="00CF0F96">
              <w:rPr>
                <w:rFonts w:eastAsia="Arial" w:cs="Arial"/>
                <w:sz w:val="22"/>
              </w:rPr>
              <w:t xml:space="preserve">¿El subproyecto incluye la construcción de infraestructura de la </w:t>
            </w:r>
            <w:r w:rsidR="00CF0F96" w:rsidRPr="00CF0F96">
              <w:rPr>
                <w:rFonts w:eastAsia="Arial" w:cs="Arial"/>
                <w:sz w:val="22"/>
              </w:rPr>
              <w:t>organización que</w:t>
            </w:r>
            <w:r w:rsidRPr="00CF0F96">
              <w:rPr>
                <w:rFonts w:eastAsia="Arial" w:cs="Arial"/>
                <w:sz w:val="22"/>
              </w:rPr>
              <w:t xml:space="preserve"> puede provocar efectos adversos en la comunidad?</w:t>
            </w:r>
          </w:p>
        </w:tc>
        <w:tc>
          <w:tcPr>
            <w:tcW w:w="3206" w:type="dxa"/>
            <w:shd w:val="clear" w:color="auto" w:fill="FFFFFF" w:themeFill="background1"/>
            <w:tcMar>
              <w:left w:w="105" w:type="dxa"/>
              <w:right w:w="105" w:type="dxa"/>
            </w:tcMar>
            <w:vAlign w:val="center"/>
          </w:tcPr>
          <w:p w14:paraId="7C02AF34"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tc>
        <w:tc>
          <w:tcPr>
            <w:tcW w:w="1929" w:type="dxa"/>
            <w:shd w:val="clear" w:color="auto" w:fill="FFFFFF" w:themeFill="background1"/>
            <w:tcMar>
              <w:left w:w="105" w:type="dxa"/>
              <w:right w:w="105" w:type="dxa"/>
            </w:tcMar>
          </w:tcPr>
          <w:p w14:paraId="0E08516F"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tc>
      </w:tr>
      <w:tr w:rsidR="007A1D1C" w:rsidRPr="00CF0F96" w14:paraId="30421BB5" w14:textId="77777777" w:rsidTr="00CF0F96">
        <w:trPr>
          <w:trHeight w:val="300"/>
        </w:trPr>
        <w:tc>
          <w:tcPr>
            <w:tcW w:w="915" w:type="dxa"/>
            <w:shd w:val="clear" w:color="auto" w:fill="FFFFFF" w:themeFill="background1"/>
            <w:tcMar>
              <w:left w:w="105" w:type="dxa"/>
              <w:right w:w="105" w:type="dxa"/>
            </w:tcMar>
          </w:tcPr>
          <w:p w14:paraId="674FFDEF" w14:textId="1EA1CDC2" w:rsidR="007A1D1C" w:rsidRPr="00CF0F96" w:rsidRDefault="007A1D1C" w:rsidP="00BB0D25">
            <w:pPr>
              <w:spacing w:after="0"/>
              <w:ind w:left="-30" w:right="-30"/>
              <w:jc w:val="center"/>
              <w:rPr>
                <w:rFonts w:eastAsia="Arial" w:cs="Arial"/>
                <w:sz w:val="22"/>
              </w:rPr>
            </w:pPr>
            <w:r w:rsidRPr="00CF0F96">
              <w:rPr>
                <w:rFonts w:eastAsia="Arial" w:cs="Arial"/>
                <w:sz w:val="22"/>
              </w:rPr>
              <w:t>4.3</w:t>
            </w:r>
          </w:p>
        </w:tc>
        <w:tc>
          <w:tcPr>
            <w:tcW w:w="3310" w:type="dxa"/>
            <w:shd w:val="clear" w:color="auto" w:fill="FFFFFF" w:themeFill="background1"/>
            <w:tcMar>
              <w:left w:w="105" w:type="dxa"/>
              <w:right w:w="105" w:type="dxa"/>
            </w:tcMar>
          </w:tcPr>
          <w:p w14:paraId="02CDB3BD" w14:textId="77777777" w:rsidR="007A1D1C" w:rsidRPr="00CF0F96" w:rsidRDefault="007A1D1C" w:rsidP="00BB0D25">
            <w:pPr>
              <w:spacing w:after="0"/>
              <w:ind w:left="-30" w:right="-30"/>
              <w:jc w:val="both"/>
              <w:rPr>
                <w:rFonts w:eastAsia="Arial" w:cs="Arial"/>
                <w:sz w:val="22"/>
                <w:lang w:val="es-HN"/>
              </w:rPr>
            </w:pPr>
            <w:r w:rsidRPr="00CF0F96">
              <w:rPr>
                <w:rFonts w:eastAsia="Arial" w:cs="Arial"/>
                <w:sz w:val="22"/>
              </w:rPr>
              <w:t xml:space="preserve">¿El subproyecto incluye la construcción o rehabilitación de infraestructura de aseo personal o saneamiento que requiera de provisión de agua?  </w:t>
            </w:r>
          </w:p>
        </w:tc>
        <w:tc>
          <w:tcPr>
            <w:tcW w:w="3206" w:type="dxa"/>
            <w:shd w:val="clear" w:color="auto" w:fill="FFFFFF" w:themeFill="background1"/>
            <w:tcMar>
              <w:left w:w="105" w:type="dxa"/>
              <w:right w:w="105" w:type="dxa"/>
            </w:tcMar>
            <w:vAlign w:val="center"/>
          </w:tcPr>
          <w:p w14:paraId="2874FB14"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tc>
        <w:tc>
          <w:tcPr>
            <w:tcW w:w="1929" w:type="dxa"/>
            <w:shd w:val="clear" w:color="auto" w:fill="FFFFFF" w:themeFill="background1"/>
            <w:tcMar>
              <w:left w:w="105" w:type="dxa"/>
              <w:right w:w="105" w:type="dxa"/>
            </w:tcMar>
          </w:tcPr>
          <w:p w14:paraId="2AD1088F"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tc>
      </w:tr>
      <w:tr w:rsidR="007A1D1C" w:rsidRPr="00CF0F96" w14:paraId="0E3EE9FB" w14:textId="77777777" w:rsidTr="00CF0F96">
        <w:trPr>
          <w:trHeight w:val="300"/>
        </w:trPr>
        <w:tc>
          <w:tcPr>
            <w:tcW w:w="915" w:type="dxa"/>
            <w:shd w:val="clear" w:color="auto" w:fill="FFFFFF" w:themeFill="background1"/>
            <w:tcMar>
              <w:left w:w="105" w:type="dxa"/>
              <w:right w:w="105" w:type="dxa"/>
            </w:tcMar>
          </w:tcPr>
          <w:p w14:paraId="732DCCB6" w14:textId="405F5FFF" w:rsidR="007A1D1C" w:rsidRPr="00CF0F96" w:rsidRDefault="007A1D1C" w:rsidP="00BB0D25">
            <w:pPr>
              <w:spacing w:after="0"/>
              <w:ind w:left="-30" w:right="-30"/>
              <w:jc w:val="center"/>
              <w:rPr>
                <w:rFonts w:eastAsia="Arial" w:cs="Arial"/>
                <w:sz w:val="22"/>
              </w:rPr>
            </w:pPr>
            <w:r w:rsidRPr="00CF0F96">
              <w:rPr>
                <w:rFonts w:eastAsia="Arial" w:cs="Arial"/>
                <w:sz w:val="22"/>
              </w:rPr>
              <w:t>4.4</w:t>
            </w:r>
          </w:p>
        </w:tc>
        <w:tc>
          <w:tcPr>
            <w:tcW w:w="3310" w:type="dxa"/>
            <w:shd w:val="clear" w:color="auto" w:fill="FFFFFF" w:themeFill="background1"/>
            <w:tcMar>
              <w:left w:w="105" w:type="dxa"/>
              <w:right w:w="105" w:type="dxa"/>
            </w:tcMar>
          </w:tcPr>
          <w:p w14:paraId="3F1359C7" w14:textId="77777777" w:rsidR="007A1D1C" w:rsidRPr="00CF0F96" w:rsidRDefault="007A1D1C" w:rsidP="00BB0D25">
            <w:pPr>
              <w:spacing w:after="0"/>
              <w:ind w:left="-30" w:right="-30"/>
              <w:jc w:val="both"/>
              <w:rPr>
                <w:rFonts w:eastAsia="Arial" w:cs="Arial"/>
                <w:sz w:val="22"/>
                <w:lang w:val="es-HN"/>
              </w:rPr>
            </w:pPr>
            <w:r w:rsidRPr="00CF0F96">
              <w:rPr>
                <w:rFonts w:eastAsia="Arial" w:cs="Arial"/>
                <w:sz w:val="22"/>
              </w:rPr>
              <w:t xml:space="preserve">¿El subproyecto incluye la construcción o rehabilitación de pozos para la obtención de agua para consumo humano o procesamiento de alimentos u otra actividad productiva?  </w:t>
            </w:r>
          </w:p>
        </w:tc>
        <w:tc>
          <w:tcPr>
            <w:tcW w:w="3206" w:type="dxa"/>
            <w:shd w:val="clear" w:color="auto" w:fill="FFFFFF" w:themeFill="background1"/>
            <w:tcMar>
              <w:left w:w="105" w:type="dxa"/>
              <w:right w:w="105" w:type="dxa"/>
            </w:tcMar>
            <w:vAlign w:val="center"/>
          </w:tcPr>
          <w:p w14:paraId="64680447"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tc>
        <w:tc>
          <w:tcPr>
            <w:tcW w:w="1929" w:type="dxa"/>
            <w:shd w:val="clear" w:color="auto" w:fill="FFFFFF" w:themeFill="background1"/>
            <w:tcMar>
              <w:left w:w="105" w:type="dxa"/>
              <w:right w:w="105" w:type="dxa"/>
            </w:tcMar>
          </w:tcPr>
          <w:p w14:paraId="05790198"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tc>
      </w:tr>
      <w:tr w:rsidR="007A1D1C" w:rsidRPr="00CF0F96" w14:paraId="0264220B" w14:textId="77777777" w:rsidTr="00CF0F96">
        <w:trPr>
          <w:trHeight w:val="300"/>
        </w:trPr>
        <w:tc>
          <w:tcPr>
            <w:tcW w:w="915" w:type="dxa"/>
            <w:shd w:val="clear" w:color="auto" w:fill="FFFFFF" w:themeFill="background1"/>
            <w:tcMar>
              <w:left w:w="105" w:type="dxa"/>
              <w:right w:w="105" w:type="dxa"/>
            </w:tcMar>
          </w:tcPr>
          <w:p w14:paraId="1EA2F9C8" w14:textId="656F883C" w:rsidR="007A1D1C" w:rsidRPr="00CF0F96" w:rsidRDefault="007A1D1C" w:rsidP="00BB0D25">
            <w:pPr>
              <w:spacing w:after="0"/>
              <w:ind w:left="-30" w:right="-30"/>
              <w:jc w:val="center"/>
              <w:rPr>
                <w:rFonts w:eastAsia="Arial" w:cs="Arial"/>
                <w:sz w:val="22"/>
              </w:rPr>
            </w:pPr>
            <w:r w:rsidRPr="00CF0F96">
              <w:rPr>
                <w:rFonts w:eastAsia="Arial" w:cs="Arial"/>
                <w:sz w:val="22"/>
              </w:rPr>
              <w:t>4.5</w:t>
            </w:r>
          </w:p>
        </w:tc>
        <w:tc>
          <w:tcPr>
            <w:tcW w:w="3310" w:type="dxa"/>
            <w:shd w:val="clear" w:color="auto" w:fill="FFFFFF" w:themeFill="background1"/>
            <w:tcMar>
              <w:left w:w="105" w:type="dxa"/>
              <w:right w:w="105" w:type="dxa"/>
            </w:tcMar>
          </w:tcPr>
          <w:p w14:paraId="6D553EF3" w14:textId="77777777" w:rsidR="007A1D1C" w:rsidRPr="00CF0F96" w:rsidRDefault="007A1D1C" w:rsidP="00BB0D25">
            <w:pPr>
              <w:spacing w:after="0"/>
              <w:ind w:left="-30" w:right="-30"/>
              <w:jc w:val="both"/>
              <w:rPr>
                <w:rFonts w:eastAsia="Arial" w:cs="Arial"/>
                <w:sz w:val="22"/>
                <w:lang w:val="es-HN"/>
              </w:rPr>
            </w:pPr>
            <w:r w:rsidRPr="00CF0F96">
              <w:rPr>
                <w:rFonts w:eastAsia="Arial" w:cs="Arial"/>
                <w:sz w:val="22"/>
              </w:rPr>
              <w:t xml:space="preserve">¿El subproyecto incluye la construcción o rehabilitación de líneas de conducción de agua o tuberías?  </w:t>
            </w:r>
          </w:p>
        </w:tc>
        <w:tc>
          <w:tcPr>
            <w:tcW w:w="3206" w:type="dxa"/>
            <w:shd w:val="clear" w:color="auto" w:fill="FFFFFF" w:themeFill="background1"/>
            <w:tcMar>
              <w:left w:w="105" w:type="dxa"/>
              <w:right w:w="105" w:type="dxa"/>
            </w:tcMar>
            <w:vAlign w:val="center"/>
          </w:tcPr>
          <w:p w14:paraId="7A5CF38C"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tc>
        <w:tc>
          <w:tcPr>
            <w:tcW w:w="1929" w:type="dxa"/>
            <w:shd w:val="clear" w:color="auto" w:fill="FFFFFF" w:themeFill="background1"/>
            <w:tcMar>
              <w:left w:w="105" w:type="dxa"/>
              <w:right w:w="105" w:type="dxa"/>
            </w:tcMar>
          </w:tcPr>
          <w:p w14:paraId="5AF84B0D"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tc>
      </w:tr>
      <w:tr w:rsidR="007A1D1C" w:rsidRPr="00CF0F96" w14:paraId="0E9FCDB0" w14:textId="77777777" w:rsidTr="00CF0F96">
        <w:trPr>
          <w:trHeight w:val="300"/>
        </w:trPr>
        <w:tc>
          <w:tcPr>
            <w:tcW w:w="915" w:type="dxa"/>
            <w:shd w:val="clear" w:color="auto" w:fill="FFFFFF" w:themeFill="background1"/>
            <w:tcMar>
              <w:left w:w="105" w:type="dxa"/>
              <w:right w:w="105" w:type="dxa"/>
            </w:tcMar>
          </w:tcPr>
          <w:p w14:paraId="567ABE2F" w14:textId="6ADFCD23" w:rsidR="007A1D1C" w:rsidRPr="00CF0F96" w:rsidRDefault="007A1D1C" w:rsidP="00BB0D25">
            <w:pPr>
              <w:spacing w:after="0"/>
              <w:ind w:left="-30" w:right="-30"/>
              <w:jc w:val="center"/>
              <w:rPr>
                <w:rFonts w:eastAsia="Arial" w:cs="Arial"/>
                <w:sz w:val="22"/>
              </w:rPr>
            </w:pPr>
            <w:r w:rsidRPr="00CF0F96">
              <w:rPr>
                <w:rFonts w:eastAsia="Arial" w:cs="Arial"/>
                <w:sz w:val="22"/>
              </w:rPr>
              <w:t>4.7</w:t>
            </w:r>
          </w:p>
        </w:tc>
        <w:tc>
          <w:tcPr>
            <w:tcW w:w="3310" w:type="dxa"/>
            <w:shd w:val="clear" w:color="auto" w:fill="FFFFFF" w:themeFill="background1"/>
            <w:tcMar>
              <w:left w:w="105" w:type="dxa"/>
              <w:right w:w="105" w:type="dxa"/>
            </w:tcMar>
          </w:tcPr>
          <w:p w14:paraId="3DDF0823" w14:textId="77777777" w:rsidR="007A1D1C" w:rsidRPr="00CF0F96" w:rsidRDefault="007A1D1C" w:rsidP="00BB0D25">
            <w:pPr>
              <w:spacing w:after="0"/>
              <w:ind w:left="-30" w:right="-30"/>
              <w:jc w:val="both"/>
              <w:rPr>
                <w:rFonts w:eastAsia="Arial" w:cs="Arial"/>
                <w:sz w:val="22"/>
                <w:lang w:val="es-HN"/>
              </w:rPr>
            </w:pPr>
            <w:r w:rsidRPr="00CF0F96">
              <w:rPr>
                <w:rFonts w:eastAsia="Arial" w:cs="Arial"/>
                <w:sz w:val="22"/>
              </w:rPr>
              <w:t xml:space="preserve">¿Las actividades del subproyecto incluyen la construcción de obras civiles que puedan causar ruido, polvo, o vibraciones?  </w:t>
            </w:r>
          </w:p>
        </w:tc>
        <w:tc>
          <w:tcPr>
            <w:tcW w:w="3206" w:type="dxa"/>
            <w:shd w:val="clear" w:color="auto" w:fill="FFFFFF" w:themeFill="background1"/>
            <w:tcMar>
              <w:left w:w="105" w:type="dxa"/>
              <w:right w:w="105" w:type="dxa"/>
            </w:tcMar>
            <w:vAlign w:val="center"/>
          </w:tcPr>
          <w:p w14:paraId="3048093F"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tc>
        <w:tc>
          <w:tcPr>
            <w:tcW w:w="1929" w:type="dxa"/>
            <w:shd w:val="clear" w:color="auto" w:fill="FFFFFF" w:themeFill="background1"/>
            <w:tcMar>
              <w:left w:w="105" w:type="dxa"/>
              <w:right w:w="105" w:type="dxa"/>
            </w:tcMar>
          </w:tcPr>
          <w:p w14:paraId="56978A41"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tc>
      </w:tr>
      <w:tr w:rsidR="007A1D1C" w:rsidRPr="00CF0F96" w14:paraId="101E6623" w14:textId="77777777" w:rsidTr="00CF0F96">
        <w:trPr>
          <w:trHeight w:val="300"/>
        </w:trPr>
        <w:tc>
          <w:tcPr>
            <w:tcW w:w="915" w:type="dxa"/>
            <w:shd w:val="clear" w:color="auto" w:fill="FFFFFF" w:themeFill="background1"/>
            <w:tcMar>
              <w:left w:w="105" w:type="dxa"/>
              <w:right w:w="105" w:type="dxa"/>
            </w:tcMar>
          </w:tcPr>
          <w:p w14:paraId="23A285E6" w14:textId="3B917581" w:rsidR="007A1D1C" w:rsidRPr="00CF0F96" w:rsidRDefault="007A1D1C" w:rsidP="00BB0D25">
            <w:pPr>
              <w:spacing w:after="0"/>
              <w:ind w:left="-30" w:right="-30"/>
              <w:jc w:val="center"/>
              <w:rPr>
                <w:rFonts w:eastAsia="Arial" w:cs="Arial"/>
                <w:sz w:val="22"/>
              </w:rPr>
            </w:pPr>
            <w:r w:rsidRPr="00CF0F96">
              <w:rPr>
                <w:rFonts w:eastAsia="Arial" w:cs="Arial"/>
                <w:sz w:val="22"/>
              </w:rPr>
              <w:t>4.8</w:t>
            </w:r>
          </w:p>
        </w:tc>
        <w:tc>
          <w:tcPr>
            <w:tcW w:w="3310" w:type="dxa"/>
            <w:shd w:val="clear" w:color="auto" w:fill="FFFFFF" w:themeFill="background1"/>
            <w:tcMar>
              <w:left w:w="105" w:type="dxa"/>
              <w:right w:w="105" w:type="dxa"/>
            </w:tcMar>
          </w:tcPr>
          <w:p w14:paraId="2CF77B6F" w14:textId="77777777" w:rsidR="007A1D1C" w:rsidRPr="00CF0F96" w:rsidRDefault="007A1D1C" w:rsidP="00BB0D25">
            <w:pPr>
              <w:spacing w:after="0"/>
              <w:ind w:left="-30" w:right="-30"/>
              <w:jc w:val="both"/>
              <w:rPr>
                <w:rFonts w:eastAsia="Arial" w:cs="Arial"/>
                <w:sz w:val="22"/>
                <w:lang w:val="es-HN"/>
              </w:rPr>
            </w:pPr>
            <w:r w:rsidRPr="00CF0F96">
              <w:rPr>
                <w:rFonts w:eastAsia="Arial" w:cs="Arial"/>
                <w:sz w:val="22"/>
              </w:rPr>
              <w:t xml:space="preserve">¿Los trabajos podrían causar inseguridad o violencia en la comunidad?   </w:t>
            </w:r>
          </w:p>
        </w:tc>
        <w:tc>
          <w:tcPr>
            <w:tcW w:w="3206" w:type="dxa"/>
            <w:shd w:val="clear" w:color="auto" w:fill="FFFFFF" w:themeFill="background1"/>
            <w:tcMar>
              <w:left w:w="105" w:type="dxa"/>
              <w:right w:w="105" w:type="dxa"/>
            </w:tcMar>
            <w:vAlign w:val="center"/>
          </w:tcPr>
          <w:p w14:paraId="2D47119D"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tc>
        <w:tc>
          <w:tcPr>
            <w:tcW w:w="1929" w:type="dxa"/>
            <w:shd w:val="clear" w:color="auto" w:fill="FFFFFF" w:themeFill="background1"/>
            <w:tcMar>
              <w:left w:w="105" w:type="dxa"/>
              <w:right w:w="105" w:type="dxa"/>
            </w:tcMar>
          </w:tcPr>
          <w:p w14:paraId="1A7B8808" w14:textId="77777777" w:rsidR="007A1D1C" w:rsidRPr="00CF0F96" w:rsidRDefault="007A1D1C" w:rsidP="00FF59A0">
            <w:pPr>
              <w:spacing w:after="0"/>
              <w:ind w:left="-30" w:right="-30"/>
              <w:rPr>
                <w:rFonts w:eastAsia="Arial" w:cs="Arial"/>
                <w:sz w:val="22"/>
                <w:u w:val="single"/>
                <w:lang w:val="es-HN"/>
              </w:rPr>
            </w:pPr>
            <w:r w:rsidRPr="00CF0F96">
              <w:rPr>
                <w:rFonts w:eastAsia="Arial" w:cs="Arial"/>
                <w:sz w:val="22"/>
                <w:u w:val="single"/>
              </w:rPr>
              <w:t xml:space="preserve">  </w:t>
            </w:r>
          </w:p>
        </w:tc>
      </w:tr>
      <w:tr w:rsidR="007A1D1C" w:rsidRPr="00CF0F96" w14:paraId="36C42ADB" w14:textId="77777777" w:rsidTr="00CF0F96">
        <w:trPr>
          <w:trHeight w:val="300"/>
        </w:trPr>
        <w:tc>
          <w:tcPr>
            <w:tcW w:w="915" w:type="dxa"/>
            <w:shd w:val="clear" w:color="auto" w:fill="FFFFFF" w:themeFill="background1"/>
            <w:tcMar>
              <w:left w:w="105" w:type="dxa"/>
              <w:right w:w="105" w:type="dxa"/>
            </w:tcMar>
          </w:tcPr>
          <w:p w14:paraId="79410E46" w14:textId="2D541FD1" w:rsidR="007A1D1C" w:rsidRPr="00CF0F96" w:rsidRDefault="007A1D1C" w:rsidP="00BB0D25">
            <w:pPr>
              <w:spacing w:after="0"/>
              <w:ind w:left="-30" w:right="-30"/>
              <w:jc w:val="center"/>
              <w:rPr>
                <w:rFonts w:eastAsia="Arial" w:cs="Arial"/>
                <w:sz w:val="22"/>
              </w:rPr>
            </w:pPr>
            <w:r w:rsidRPr="00CF0F96">
              <w:rPr>
                <w:rFonts w:eastAsia="Arial" w:cs="Arial"/>
                <w:sz w:val="22"/>
              </w:rPr>
              <w:t>4.9</w:t>
            </w:r>
          </w:p>
        </w:tc>
        <w:tc>
          <w:tcPr>
            <w:tcW w:w="3310" w:type="dxa"/>
            <w:shd w:val="clear" w:color="auto" w:fill="FFFFFF" w:themeFill="background1"/>
            <w:tcMar>
              <w:left w:w="105" w:type="dxa"/>
              <w:right w:w="105" w:type="dxa"/>
            </w:tcMar>
          </w:tcPr>
          <w:p w14:paraId="4FCD9129" w14:textId="77777777" w:rsidR="007A1D1C" w:rsidRPr="00CF0F96" w:rsidRDefault="007A1D1C" w:rsidP="00BB0D25">
            <w:pPr>
              <w:spacing w:after="0"/>
              <w:ind w:left="-30" w:right="-30"/>
              <w:jc w:val="both"/>
              <w:rPr>
                <w:rFonts w:eastAsia="Arial" w:cs="Arial"/>
                <w:sz w:val="22"/>
                <w:lang w:val="es-HN"/>
              </w:rPr>
            </w:pPr>
            <w:r w:rsidRPr="00CF0F96">
              <w:rPr>
                <w:rFonts w:eastAsia="Arial" w:cs="Arial"/>
                <w:sz w:val="22"/>
              </w:rPr>
              <w:t xml:space="preserve">¿La presencia de trabajadores o personal del proyecto podría incrementar los riesgos de abuso, acoso, o explotación sexual en la zona del subproyecto?  </w:t>
            </w:r>
          </w:p>
        </w:tc>
        <w:tc>
          <w:tcPr>
            <w:tcW w:w="3206" w:type="dxa"/>
            <w:shd w:val="clear" w:color="auto" w:fill="FFFFFF" w:themeFill="background1"/>
            <w:tcMar>
              <w:left w:w="105" w:type="dxa"/>
              <w:right w:w="105" w:type="dxa"/>
            </w:tcMar>
            <w:vAlign w:val="center"/>
          </w:tcPr>
          <w:p w14:paraId="1C46A3F2" w14:textId="77777777" w:rsidR="007A1D1C" w:rsidRPr="00CF0F96" w:rsidRDefault="007A1D1C" w:rsidP="00FF59A0">
            <w:pPr>
              <w:spacing w:after="0"/>
              <w:ind w:left="-30" w:right="-30"/>
              <w:rPr>
                <w:rFonts w:eastAsia="Arial" w:cs="Arial"/>
                <w:sz w:val="22"/>
                <w:u w:val="single"/>
                <w:lang w:val="es-HN"/>
              </w:rPr>
            </w:pPr>
            <w:r w:rsidRPr="00CF0F96">
              <w:rPr>
                <w:rFonts w:eastAsia="Arial" w:cs="Arial"/>
                <w:sz w:val="22"/>
                <w:u w:val="single"/>
              </w:rPr>
              <w:t xml:space="preserve">  </w:t>
            </w:r>
          </w:p>
        </w:tc>
        <w:tc>
          <w:tcPr>
            <w:tcW w:w="1929" w:type="dxa"/>
            <w:shd w:val="clear" w:color="auto" w:fill="FFFFFF" w:themeFill="background1"/>
            <w:tcMar>
              <w:left w:w="105" w:type="dxa"/>
              <w:right w:w="105" w:type="dxa"/>
            </w:tcMar>
          </w:tcPr>
          <w:p w14:paraId="5D0C2A6B" w14:textId="77777777" w:rsidR="007A1D1C" w:rsidRPr="00CF0F96" w:rsidRDefault="007A1D1C" w:rsidP="00FF59A0">
            <w:pPr>
              <w:spacing w:after="0"/>
              <w:ind w:left="-30" w:right="-30"/>
              <w:rPr>
                <w:rFonts w:eastAsia="Arial" w:cs="Arial"/>
                <w:sz w:val="22"/>
                <w:u w:val="single"/>
                <w:lang w:val="es-HN"/>
              </w:rPr>
            </w:pPr>
            <w:r w:rsidRPr="00CF0F96">
              <w:rPr>
                <w:rFonts w:eastAsia="Arial" w:cs="Arial"/>
                <w:sz w:val="22"/>
                <w:u w:val="single"/>
              </w:rPr>
              <w:t xml:space="preserve">  </w:t>
            </w:r>
          </w:p>
        </w:tc>
      </w:tr>
      <w:tr w:rsidR="007A1D1C" w:rsidRPr="00CF0F96" w14:paraId="765D07E6" w14:textId="77777777" w:rsidTr="00CF0F96">
        <w:trPr>
          <w:trHeight w:val="300"/>
        </w:trPr>
        <w:tc>
          <w:tcPr>
            <w:tcW w:w="915" w:type="dxa"/>
            <w:shd w:val="clear" w:color="auto" w:fill="FFFFFF" w:themeFill="background1"/>
            <w:tcMar>
              <w:left w:w="105" w:type="dxa"/>
              <w:right w:w="105" w:type="dxa"/>
            </w:tcMar>
          </w:tcPr>
          <w:p w14:paraId="1EACE130" w14:textId="5BAC8531" w:rsidR="007A1D1C" w:rsidRPr="00CF0F96" w:rsidRDefault="007A1D1C" w:rsidP="00BB0D25">
            <w:pPr>
              <w:spacing w:after="0"/>
              <w:ind w:left="-30" w:right="-30"/>
              <w:jc w:val="center"/>
              <w:rPr>
                <w:rFonts w:eastAsia="Arial" w:cs="Arial"/>
                <w:sz w:val="22"/>
              </w:rPr>
            </w:pPr>
            <w:r w:rsidRPr="00CF0F96">
              <w:rPr>
                <w:rFonts w:eastAsia="Arial" w:cs="Arial"/>
                <w:sz w:val="22"/>
              </w:rPr>
              <w:t>4.10</w:t>
            </w:r>
          </w:p>
        </w:tc>
        <w:tc>
          <w:tcPr>
            <w:tcW w:w="3310" w:type="dxa"/>
            <w:shd w:val="clear" w:color="auto" w:fill="FFFFFF" w:themeFill="background1"/>
            <w:tcMar>
              <w:left w:w="105" w:type="dxa"/>
              <w:right w:w="105" w:type="dxa"/>
            </w:tcMar>
          </w:tcPr>
          <w:p w14:paraId="6947A8CE" w14:textId="77777777" w:rsidR="007A1D1C" w:rsidRPr="00CF0F96" w:rsidRDefault="007A1D1C" w:rsidP="00BB0D25">
            <w:pPr>
              <w:spacing w:after="0"/>
              <w:ind w:left="-30" w:right="-30"/>
              <w:jc w:val="both"/>
              <w:rPr>
                <w:rFonts w:eastAsia="Arial" w:cs="Arial"/>
                <w:sz w:val="22"/>
                <w:lang w:val="es-HN"/>
              </w:rPr>
            </w:pPr>
            <w:r w:rsidRPr="00CF0F96">
              <w:rPr>
                <w:rFonts w:eastAsia="Arial" w:cs="Arial"/>
                <w:sz w:val="22"/>
              </w:rPr>
              <w:t xml:space="preserve">¿Hay un mecanismo establecido para reportar casos potenciales de abuso, acoso y explotación sexual?  </w:t>
            </w:r>
          </w:p>
        </w:tc>
        <w:tc>
          <w:tcPr>
            <w:tcW w:w="3206" w:type="dxa"/>
            <w:shd w:val="clear" w:color="auto" w:fill="FFFFFF" w:themeFill="background1"/>
            <w:tcMar>
              <w:left w:w="105" w:type="dxa"/>
              <w:right w:w="105" w:type="dxa"/>
            </w:tcMar>
            <w:vAlign w:val="center"/>
          </w:tcPr>
          <w:p w14:paraId="7D23D3C7" w14:textId="77777777" w:rsidR="007A1D1C" w:rsidRPr="00CF0F96" w:rsidRDefault="007A1D1C" w:rsidP="00FF59A0">
            <w:pPr>
              <w:spacing w:after="0"/>
              <w:ind w:left="-30" w:right="-30"/>
              <w:rPr>
                <w:rFonts w:eastAsia="Arial" w:cs="Arial"/>
                <w:sz w:val="22"/>
                <w:u w:val="single"/>
                <w:lang w:val="es-HN"/>
              </w:rPr>
            </w:pPr>
            <w:r w:rsidRPr="00CF0F96">
              <w:rPr>
                <w:rFonts w:eastAsia="Arial" w:cs="Arial"/>
                <w:sz w:val="22"/>
                <w:u w:val="single"/>
              </w:rPr>
              <w:t xml:space="preserve">  </w:t>
            </w:r>
          </w:p>
        </w:tc>
        <w:tc>
          <w:tcPr>
            <w:tcW w:w="1929" w:type="dxa"/>
            <w:shd w:val="clear" w:color="auto" w:fill="FFFFFF" w:themeFill="background1"/>
            <w:tcMar>
              <w:left w:w="105" w:type="dxa"/>
              <w:right w:w="105" w:type="dxa"/>
            </w:tcMar>
          </w:tcPr>
          <w:p w14:paraId="62807D8A" w14:textId="77777777" w:rsidR="007A1D1C" w:rsidRPr="00CF0F96" w:rsidRDefault="007A1D1C" w:rsidP="00FF59A0">
            <w:pPr>
              <w:spacing w:after="0"/>
              <w:ind w:left="-30" w:right="-30"/>
              <w:rPr>
                <w:rFonts w:eastAsia="Arial" w:cs="Arial"/>
                <w:sz w:val="22"/>
                <w:u w:val="single"/>
                <w:lang w:val="es-HN"/>
              </w:rPr>
            </w:pPr>
            <w:r w:rsidRPr="00CF0F96">
              <w:rPr>
                <w:rFonts w:eastAsia="Arial" w:cs="Arial"/>
                <w:sz w:val="22"/>
                <w:u w:val="single"/>
              </w:rPr>
              <w:t xml:space="preserve">  </w:t>
            </w:r>
          </w:p>
        </w:tc>
      </w:tr>
      <w:tr w:rsidR="007A1D1C" w:rsidRPr="00CF0F96" w14:paraId="070AA7E6" w14:textId="77777777" w:rsidTr="00CF0F96">
        <w:trPr>
          <w:trHeight w:val="300"/>
        </w:trPr>
        <w:tc>
          <w:tcPr>
            <w:tcW w:w="915" w:type="dxa"/>
            <w:shd w:val="clear" w:color="auto" w:fill="FFFFFF" w:themeFill="background1"/>
            <w:tcMar>
              <w:left w:w="105" w:type="dxa"/>
              <w:right w:w="105" w:type="dxa"/>
            </w:tcMar>
          </w:tcPr>
          <w:p w14:paraId="6A04EA8E" w14:textId="07CD9811" w:rsidR="007A1D1C" w:rsidRPr="00CF0F96" w:rsidRDefault="007A1D1C" w:rsidP="00BB0D25">
            <w:pPr>
              <w:spacing w:after="0"/>
              <w:ind w:left="-30" w:right="-30"/>
              <w:jc w:val="center"/>
              <w:rPr>
                <w:rFonts w:eastAsia="Arial" w:cs="Arial"/>
                <w:sz w:val="22"/>
              </w:rPr>
            </w:pPr>
            <w:r w:rsidRPr="00CF0F96">
              <w:rPr>
                <w:rFonts w:eastAsia="Arial" w:cs="Arial"/>
                <w:sz w:val="22"/>
              </w:rPr>
              <w:t>5.</w:t>
            </w:r>
          </w:p>
        </w:tc>
        <w:tc>
          <w:tcPr>
            <w:tcW w:w="8445" w:type="dxa"/>
            <w:gridSpan w:val="3"/>
            <w:shd w:val="clear" w:color="auto" w:fill="FFFFFF" w:themeFill="background1"/>
            <w:tcMar>
              <w:left w:w="105" w:type="dxa"/>
              <w:right w:w="105" w:type="dxa"/>
            </w:tcMar>
          </w:tcPr>
          <w:p w14:paraId="59A727EB" w14:textId="77777777" w:rsidR="007A1D1C" w:rsidRPr="00CF0F96" w:rsidRDefault="007A1D1C" w:rsidP="00BB0D25">
            <w:pPr>
              <w:spacing w:after="0"/>
              <w:ind w:left="-30" w:right="-30"/>
              <w:jc w:val="both"/>
              <w:rPr>
                <w:rFonts w:eastAsia="Arial" w:cs="Arial"/>
                <w:sz w:val="22"/>
                <w:lang w:val="es-HN"/>
              </w:rPr>
            </w:pPr>
            <w:r w:rsidRPr="00CF0F96">
              <w:rPr>
                <w:rFonts w:eastAsia="Arial" w:cs="Arial"/>
                <w:b/>
                <w:bCs/>
                <w:sz w:val="22"/>
              </w:rPr>
              <w:t>EAS 5 - Adquisición de Tierras, Restricciones sobre el Uso de la Tierra y</w:t>
            </w:r>
            <w:r w:rsidRPr="00CF0F96">
              <w:rPr>
                <w:rFonts w:eastAsia="Arial" w:cs="Arial"/>
                <w:sz w:val="22"/>
              </w:rPr>
              <w:t xml:space="preserve"> Reasentamiento</w:t>
            </w:r>
            <w:r w:rsidRPr="00CF0F96">
              <w:rPr>
                <w:rFonts w:eastAsia="Arial" w:cs="Arial"/>
                <w:b/>
                <w:bCs/>
                <w:sz w:val="22"/>
              </w:rPr>
              <w:t xml:space="preserve"> Involuntario</w:t>
            </w:r>
            <w:r w:rsidRPr="00CF0F96">
              <w:rPr>
                <w:rFonts w:eastAsia="Arial" w:cs="Arial"/>
                <w:sz w:val="22"/>
              </w:rPr>
              <w:t xml:space="preserve">   </w:t>
            </w:r>
          </w:p>
          <w:p w14:paraId="7CB35682" w14:textId="77777777" w:rsidR="007A1D1C" w:rsidRPr="00CF0F96" w:rsidRDefault="007A1D1C" w:rsidP="00FF59A0">
            <w:pPr>
              <w:spacing w:after="0"/>
              <w:ind w:left="-30" w:right="-30"/>
              <w:jc w:val="center"/>
              <w:rPr>
                <w:rFonts w:eastAsia="Arial" w:cs="Arial"/>
                <w:sz w:val="22"/>
                <w:lang w:val="es-HN"/>
              </w:rPr>
            </w:pPr>
            <w:r w:rsidRPr="00CF0F96">
              <w:rPr>
                <w:rFonts w:eastAsia="Arial" w:cs="Arial"/>
                <w:sz w:val="22"/>
              </w:rPr>
              <w:t xml:space="preserve">  </w:t>
            </w:r>
          </w:p>
        </w:tc>
      </w:tr>
      <w:tr w:rsidR="007A1D1C" w:rsidRPr="00CF0F96" w14:paraId="1264F6FA" w14:textId="77777777" w:rsidTr="00CF0F96">
        <w:trPr>
          <w:trHeight w:val="300"/>
        </w:trPr>
        <w:tc>
          <w:tcPr>
            <w:tcW w:w="915" w:type="dxa"/>
            <w:shd w:val="clear" w:color="auto" w:fill="FFFFFF" w:themeFill="background1"/>
            <w:tcMar>
              <w:left w:w="105" w:type="dxa"/>
              <w:right w:w="105" w:type="dxa"/>
            </w:tcMar>
          </w:tcPr>
          <w:p w14:paraId="3ED7E0F8" w14:textId="0734D63F" w:rsidR="007A1D1C" w:rsidRPr="00CF0F96" w:rsidRDefault="007A1D1C" w:rsidP="00BB0D25">
            <w:pPr>
              <w:spacing w:after="0"/>
              <w:ind w:left="-30" w:right="-30"/>
              <w:jc w:val="center"/>
              <w:rPr>
                <w:rFonts w:eastAsia="Arial" w:cs="Arial"/>
                <w:sz w:val="22"/>
              </w:rPr>
            </w:pPr>
            <w:r w:rsidRPr="00CF0F96">
              <w:rPr>
                <w:rFonts w:eastAsia="Arial" w:cs="Arial"/>
                <w:sz w:val="22"/>
              </w:rPr>
              <w:t>5.1</w:t>
            </w:r>
          </w:p>
        </w:tc>
        <w:tc>
          <w:tcPr>
            <w:tcW w:w="3310" w:type="dxa"/>
            <w:shd w:val="clear" w:color="auto" w:fill="FFFFFF" w:themeFill="background1"/>
            <w:tcMar>
              <w:left w:w="105" w:type="dxa"/>
              <w:right w:w="105" w:type="dxa"/>
            </w:tcMar>
          </w:tcPr>
          <w:p w14:paraId="7ADE6FB1" w14:textId="77777777" w:rsidR="007A1D1C" w:rsidRPr="00CF0F96" w:rsidRDefault="007A1D1C" w:rsidP="00BB0D25">
            <w:pPr>
              <w:spacing w:after="0"/>
              <w:ind w:left="-30" w:right="-30"/>
              <w:jc w:val="both"/>
              <w:rPr>
                <w:rFonts w:eastAsia="Arial" w:cs="Arial"/>
                <w:sz w:val="22"/>
                <w:lang w:val="es-HN"/>
              </w:rPr>
            </w:pPr>
            <w:r w:rsidRPr="00CF0F96">
              <w:rPr>
                <w:rFonts w:eastAsia="Arial" w:cs="Arial"/>
                <w:sz w:val="22"/>
              </w:rPr>
              <w:t xml:space="preserve">¿Cómo parte del subproyecto es necesaria la adquisición o transferencia de tierras a favor </w:t>
            </w:r>
            <w:r w:rsidRPr="00CF0F96">
              <w:rPr>
                <w:rFonts w:eastAsia="Arial" w:cs="Arial"/>
                <w:sz w:val="22"/>
              </w:rPr>
              <w:lastRenderedPageBreak/>
              <w:t xml:space="preserve">del estado, o la realización de obras en terrenos de propiedad estatal?  </w:t>
            </w:r>
          </w:p>
        </w:tc>
        <w:tc>
          <w:tcPr>
            <w:tcW w:w="3206" w:type="dxa"/>
            <w:shd w:val="clear" w:color="auto" w:fill="FFFFFF" w:themeFill="background1"/>
            <w:tcMar>
              <w:left w:w="105" w:type="dxa"/>
              <w:right w:w="105" w:type="dxa"/>
            </w:tcMar>
            <w:vAlign w:val="center"/>
          </w:tcPr>
          <w:p w14:paraId="426FE531" w14:textId="77777777" w:rsidR="007A1D1C" w:rsidRPr="00CF0F96" w:rsidRDefault="007A1D1C" w:rsidP="00BB0D25">
            <w:pPr>
              <w:spacing w:after="0"/>
              <w:ind w:left="-30" w:right="-30"/>
              <w:jc w:val="both"/>
              <w:rPr>
                <w:rFonts w:eastAsia="Arial" w:cs="Arial"/>
                <w:sz w:val="22"/>
                <w:u w:val="single"/>
                <w:lang w:val="es-HN"/>
              </w:rPr>
            </w:pPr>
            <w:r w:rsidRPr="00CF0F96">
              <w:rPr>
                <w:rFonts w:eastAsia="Arial" w:cs="Arial"/>
                <w:sz w:val="22"/>
                <w:u w:val="single"/>
              </w:rPr>
              <w:lastRenderedPageBreak/>
              <w:t xml:space="preserve">  </w:t>
            </w:r>
          </w:p>
        </w:tc>
        <w:tc>
          <w:tcPr>
            <w:tcW w:w="1929" w:type="dxa"/>
            <w:shd w:val="clear" w:color="auto" w:fill="FFFFFF" w:themeFill="background1"/>
            <w:tcMar>
              <w:left w:w="105" w:type="dxa"/>
              <w:right w:w="105" w:type="dxa"/>
            </w:tcMar>
          </w:tcPr>
          <w:p w14:paraId="59B8676F"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tc>
      </w:tr>
      <w:tr w:rsidR="007A1D1C" w:rsidRPr="00CF0F96" w14:paraId="2FC4F0E8" w14:textId="77777777" w:rsidTr="00CF0F96">
        <w:trPr>
          <w:trHeight w:val="300"/>
        </w:trPr>
        <w:tc>
          <w:tcPr>
            <w:tcW w:w="915" w:type="dxa"/>
            <w:shd w:val="clear" w:color="auto" w:fill="FFFFFF" w:themeFill="background1"/>
            <w:tcMar>
              <w:left w:w="105" w:type="dxa"/>
              <w:right w:w="105" w:type="dxa"/>
            </w:tcMar>
          </w:tcPr>
          <w:p w14:paraId="46638CA4" w14:textId="0EEF675C" w:rsidR="007A1D1C" w:rsidRPr="00CF0F96" w:rsidRDefault="007A1D1C" w:rsidP="00BB0D25">
            <w:pPr>
              <w:spacing w:after="0"/>
              <w:ind w:left="-30" w:right="-30"/>
              <w:jc w:val="center"/>
              <w:rPr>
                <w:rFonts w:eastAsia="Arial" w:cs="Arial"/>
                <w:sz w:val="22"/>
              </w:rPr>
            </w:pPr>
            <w:r w:rsidRPr="00CF0F96">
              <w:rPr>
                <w:rFonts w:eastAsia="Arial" w:cs="Arial"/>
                <w:sz w:val="22"/>
              </w:rPr>
              <w:t>5.3</w:t>
            </w:r>
          </w:p>
        </w:tc>
        <w:tc>
          <w:tcPr>
            <w:tcW w:w="3310" w:type="dxa"/>
            <w:shd w:val="clear" w:color="auto" w:fill="FFFFFF" w:themeFill="background1"/>
            <w:tcMar>
              <w:left w:w="105" w:type="dxa"/>
              <w:right w:w="105" w:type="dxa"/>
            </w:tcMar>
          </w:tcPr>
          <w:p w14:paraId="741755C7" w14:textId="77777777" w:rsidR="007A1D1C" w:rsidRPr="00CF0F96" w:rsidRDefault="007A1D1C" w:rsidP="00BB0D25">
            <w:pPr>
              <w:spacing w:after="0"/>
              <w:ind w:left="-30" w:right="-30"/>
              <w:jc w:val="both"/>
              <w:rPr>
                <w:rFonts w:eastAsia="Arial" w:cs="Arial"/>
                <w:sz w:val="22"/>
                <w:lang w:val="es-HN"/>
              </w:rPr>
            </w:pPr>
            <w:r w:rsidRPr="00CF0F96">
              <w:rPr>
                <w:rFonts w:eastAsia="Arial" w:cs="Arial"/>
                <w:sz w:val="22"/>
              </w:rPr>
              <w:t xml:space="preserve">¿El subproyecto implica la restricción de acceso a recursos naturales en áreas protegidas? </w:t>
            </w:r>
          </w:p>
        </w:tc>
        <w:tc>
          <w:tcPr>
            <w:tcW w:w="3206" w:type="dxa"/>
            <w:shd w:val="clear" w:color="auto" w:fill="FFFFFF" w:themeFill="background1"/>
            <w:tcMar>
              <w:left w:w="105" w:type="dxa"/>
              <w:right w:w="105" w:type="dxa"/>
            </w:tcMar>
            <w:vAlign w:val="center"/>
          </w:tcPr>
          <w:p w14:paraId="3E42AA34" w14:textId="77777777" w:rsidR="007A1D1C" w:rsidRPr="00CF0F96" w:rsidRDefault="007A1D1C" w:rsidP="00BB0D25">
            <w:pPr>
              <w:spacing w:after="0"/>
              <w:ind w:left="-30" w:right="-30"/>
              <w:jc w:val="both"/>
              <w:rPr>
                <w:rFonts w:eastAsia="Arial" w:cs="Arial"/>
                <w:sz w:val="22"/>
                <w:u w:val="single"/>
                <w:lang w:val="es-HN"/>
              </w:rPr>
            </w:pPr>
            <w:r w:rsidRPr="00CF0F96">
              <w:rPr>
                <w:rFonts w:eastAsia="Arial" w:cs="Arial"/>
                <w:sz w:val="22"/>
                <w:u w:val="single"/>
              </w:rPr>
              <w:t xml:space="preserve">   </w:t>
            </w:r>
          </w:p>
          <w:p w14:paraId="1E8870EC" w14:textId="77777777" w:rsidR="007A1D1C" w:rsidRPr="00CF0F96" w:rsidRDefault="007A1D1C" w:rsidP="00BB0D25">
            <w:pPr>
              <w:spacing w:after="0"/>
              <w:ind w:left="-30" w:right="-30"/>
              <w:jc w:val="both"/>
              <w:rPr>
                <w:rFonts w:eastAsia="Arial" w:cs="Arial"/>
                <w:sz w:val="22"/>
                <w:u w:val="single"/>
                <w:lang w:val="es-HN"/>
              </w:rPr>
            </w:pPr>
            <w:r w:rsidRPr="00CF0F96">
              <w:rPr>
                <w:rFonts w:eastAsia="Arial" w:cs="Arial"/>
                <w:sz w:val="22"/>
                <w:u w:val="single"/>
              </w:rPr>
              <w:t xml:space="preserve">   </w:t>
            </w:r>
          </w:p>
          <w:p w14:paraId="7360D404" w14:textId="77777777" w:rsidR="007A1D1C" w:rsidRPr="00CF0F96" w:rsidRDefault="007A1D1C" w:rsidP="00BB0D25">
            <w:pPr>
              <w:spacing w:after="0"/>
              <w:ind w:left="-30" w:right="-30"/>
              <w:jc w:val="both"/>
              <w:rPr>
                <w:rFonts w:eastAsia="Arial" w:cs="Arial"/>
                <w:sz w:val="22"/>
                <w:u w:val="single"/>
                <w:lang w:val="es-HN"/>
              </w:rPr>
            </w:pPr>
            <w:r w:rsidRPr="00CF0F96">
              <w:rPr>
                <w:rFonts w:eastAsia="Arial" w:cs="Arial"/>
                <w:sz w:val="22"/>
                <w:u w:val="single"/>
              </w:rPr>
              <w:t xml:space="preserve">   </w:t>
            </w:r>
          </w:p>
        </w:tc>
        <w:tc>
          <w:tcPr>
            <w:tcW w:w="1929" w:type="dxa"/>
            <w:shd w:val="clear" w:color="auto" w:fill="FFFFFF" w:themeFill="background1"/>
            <w:tcMar>
              <w:left w:w="105" w:type="dxa"/>
              <w:right w:w="105" w:type="dxa"/>
            </w:tcMar>
          </w:tcPr>
          <w:p w14:paraId="64B285D4"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tc>
      </w:tr>
      <w:tr w:rsidR="007A1D1C" w:rsidRPr="00CF0F96" w14:paraId="2A4904CF" w14:textId="77777777" w:rsidTr="00CF0F96">
        <w:trPr>
          <w:trHeight w:val="300"/>
        </w:trPr>
        <w:tc>
          <w:tcPr>
            <w:tcW w:w="915" w:type="dxa"/>
            <w:shd w:val="clear" w:color="auto" w:fill="FFFFFF" w:themeFill="background1"/>
            <w:tcMar>
              <w:left w:w="105" w:type="dxa"/>
              <w:right w:w="105" w:type="dxa"/>
            </w:tcMar>
          </w:tcPr>
          <w:p w14:paraId="315AB46C" w14:textId="6743B364" w:rsidR="007A1D1C" w:rsidRPr="00CF0F96" w:rsidRDefault="007A1D1C" w:rsidP="00BB0D25">
            <w:pPr>
              <w:spacing w:after="0"/>
              <w:ind w:left="-30" w:right="-30"/>
              <w:jc w:val="center"/>
              <w:rPr>
                <w:rFonts w:eastAsia="Arial" w:cs="Arial"/>
                <w:sz w:val="22"/>
              </w:rPr>
            </w:pPr>
            <w:r w:rsidRPr="00CF0F96">
              <w:rPr>
                <w:rFonts w:eastAsia="Arial" w:cs="Arial"/>
                <w:sz w:val="22"/>
              </w:rPr>
              <w:t>6.</w:t>
            </w:r>
          </w:p>
        </w:tc>
        <w:tc>
          <w:tcPr>
            <w:tcW w:w="8445" w:type="dxa"/>
            <w:gridSpan w:val="3"/>
            <w:shd w:val="clear" w:color="auto" w:fill="FFFFFF" w:themeFill="background1"/>
            <w:tcMar>
              <w:left w:w="105" w:type="dxa"/>
              <w:right w:w="105" w:type="dxa"/>
            </w:tcMar>
          </w:tcPr>
          <w:p w14:paraId="7FC8594A" w14:textId="77777777" w:rsidR="007A1D1C" w:rsidRPr="00CF0F96" w:rsidRDefault="007A1D1C" w:rsidP="00BB0D25">
            <w:pPr>
              <w:spacing w:after="0"/>
              <w:ind w:left="-30" w:right="-30"/>
              <w:jc w:val="both"/>
              <w:rPr>
                <w:rFonts w:eastAsia="Arial" w:cs="Arial"/>
                <w:sz w:val="22"/>
                <w:lang w:val="es-HN"/>
              </w:rPr>
            </w:pPr>
            <w:r w:rsidRPr="00CF0F96">
              <w:rPr>
                <w:rFonts w:eastAsia="Arial" w:cs="Arial"/>
                <w:b/>
                <w:bCs/>
                <w:sz w:val="22"/>
              </w:rPr>
              <w:t>EAS 6 - Conservación de la Biodiversidad y Gestión Sostenible de los Recursos Naturales Vivos</w:t>
            </w:r>
            <w:r w:rsidRPr="00CF0F96">
              <w:rPr>
                <w:rFonts w:eastAsia="Arial" w:cs="Arial"/>
                <w:sz w:val="22"/>
              </w:rPr>
              <w:t xml:space="preserve">   </w:t>
            </w:r>
          </w:p>
          <w:p w14:paraId="441665B7" w14:textId="77777777" w:rsidR="007A1D1C" w:rsidRPr="00CF0F96" w:rsidRDefault="007A1D1C" w:rsidP="00BB0D25">
            <w:pPr>
              <w:spacing w:after="0"/>
              <w:ind w:left="-30" w:right="-30"/>
              <w:jc w:val="both"/>
              <w:rPr>
                <w:rFonts w:eastAsia="Arial" w:cs="Arial"/>
                <w:sz w:val="22"/>
                <w:lang w:val="es-HN"/>
              </w:rPr>
            </w:pPr>
            <w:r w:rsidRPr="00CF0F96">
              <w:rPr>
                <w:rFonts w:eastAsia="Arial" w:cs="Arial"/>
                <w:sz w:val="22"/>
              </w:rPr>
              <w:t xml:space="preserve">  </w:t>
            </w:r>
          </w:p>
        </w:tc>
      </w:tr>
      <w:tr w:rsidR="007A1D1C" w:rsidRPr="00CF0F96" w14:paraId="684A1B1B" w14:textId="77777777" w:rsidTr="00CF0F96">
        <w:trPr>
          <w:trHeight w:val="300"/>
        </w:trPr>
        <w:tc>
          <w:tcPr>
            <w:tcW w:w="915" w:type="dxa"/>
            <w:shd w:val="clear" w:color="auto" w:fill="FFFFFF" w:themeFill="background1"/>
            <w:tcMar>
              <w:left w:w="105" w:type="dxa"/>
              <w:right w:w="105" w:type="dxa"/>
            </w:tcMar>
          </w:tcPr>
          <w:p w14:paraId="4E4A3F2F" w14:textId="3689BB05" w:rsidR="007A1D1C" w:rsidRPr="00CF0F96" w:rsidRDefault="007A1D1C" w:rsidP="00BB0D25">
            <w:pPr>
              <w:spacing w:after="0"/>
              <w:ind w:left="-30" w:right="-30"/>
              <w:jc w:val="center"/>
              <w:rPr>
                <w:rFonts w:eastAsia="Arial" w:cs="Arial"/>
                <w:sz w:val="22"/>
              </w:rPr>
            </w:pPr>
            <w:r w:rsidRPr="00CF0F96">
              <w:rPr>
                <w:rFonts w:eastAsia="Arial" w:cs="Arial"/>
                <w:sz w:val="22"/>
              </w:rPr>
              <w:t>6.2</w:t>
            </w:r>
          </w:p>
        </w:tc>
        <w:tc>
          <w:tcPr>
            <w:tcW w:w="3310" w:type="dxa"/>
            <w:shd w:val="clear" w:color="auto" w:fill="FFFFFF" w:themeFill="background1"/>
            <w:tcMar>
              <w:left w:w="105" w:type="dxa"/>
              <w:right w:w="105" w:type="dxa"/>
            </w:tcMar>
          </w:tcPr>
          <w:p w14:paraId="1166BA94" w14:textId="77777777" w:rsidR="007A1D1C" w:rsidRPr="00CF0F96" w:rsidRDefault="007A1D1C" w:rsidP="00BB0D25">
            <w:pPr>
              <w:spacing w:after="0"/>
              <w:ind w:left="-30" w:right="-30"/>
              <w:jc w:val="both"/>
              <w:rPr>
                <w:rFonts w:eastAsia="Arial" w:cs="Arial"/>
                <w:sz w:val="22"/>
              </w:rPr>
            </w:pPr>
            <w:r w:rsidRPr="00CF0F96">
              <w:rPr>
                <w:rFonts w:eastAsia="Arial" w:cs="Arial"/>
                <w:sz w:val="22"/>
              </w:rPr>
              <w:t>¿El subproyecto se ubica dentro o cerca de un área protegida</w:t>
            </w:r>
            <w:hyperlink r:id="rId86">
              <w:r w:rsidRPr="00CF0F96">
                <w:rPr>
                  <w:rStyle w:val="Hipervnculo"/>
                  <w:rFonts w:eastAsia="Arial" w:cs="Arial"/>
                  <w:sz w:val="22"/>
                  <w:vertAlign w:val="superscript"/>
                </w:rPr>
                <w:t>[3]</w:t>
              </w:r>
            </w:hyperlink>
            <w:r w:rsidRPr="00CF0F96">
              <w:rPr>
                <w:rFonts w:eastAsia="Arial" w:cs="Arial"/>
                <w:sz w:val="22"/>
              </w:rPr>
              <w:t xml:space="preserve"> o un área conocida por su valor de biodiversidad (terrestre o acuático)? </w:t>
            </w:r>
            <w:r w:rsidRPr="00CF0F96">
              <w:rPr>
                <w:rFonts w:eastAsia="Arial" w:cs="Arial"/>
                <w:i/>
                <w:iCs/>
                <w:sz w:val="22"/>
              </w:rPr>
              <w:t>Indicar nombre e incluir en el Mapa del proyecto</w:t>
            </w:r>
            <w:r w:rsidRPr="00CF0F96">
              <w:rPr>
                <w:rFonts w:eastAsia="Arial" w:cs="Arial"/>
                <w:sz w:val="22"/>
              </w:rPr>
              <w:t xml:space="preserve">.  </w:t>
            </w:r>
          </w:p>
        </w:tc>
        <w:tc>
          <w:tcPr>
            <w:tcW w:w="3206" w:type="dxa"/>
            <w:shd w:val="clear" w:color="auto" w:fill="FFFFFF" w:themeFill="background1"/>
            <w:tcMar>
              <w:left w:w="105" w:type="dxa"/>
              <w:right w:w="105" w:type="dxa"/>
            </w:tcMar>
            <w:vAlign w:val="center"/>
          </w:tcPr>
          <w:p w14:paraId="2D1084B3" w14:textId="77777777" w:rsidR="007A1D1C" w:rsidRPr="00CF0F96" w:rsidRDefault="007A1D1C" w:rsidP="00BB0D25">
            <w:pPr>
              <w:spacing w:after="0"/>
              <w:ind w:left="-30" w:right="-30"/>
              <w:jc w:val="both"/>
              <w:rPr>
                <w:rFonts w:eastAsia="Arial" w:cs="Arial"/>
                <w:sz w:val="22"/>
                <w:u w:val="single"/>
              </w:rPr>
            </w:pPr>
            <w:r w:rsidRPr="00CF0F96">
              <w:rPr>
                <w:rFonts w:eastAsia="Arial" w:cs="Arial"/>
                <w:sz w:val="22"/>
                <w:u w:val="single"/>
              </w:rPr>
              <w:t xml:space="preserve">   </w:t>
            </w:r>
          </w:p>
          <w:p w14:paraId="6DBFA50F" w14:textId="77777777" w:rsidR="007A1D1C" w:rsidRPr="00CF0F96" w:rsidRDefault="007A1D1C" w:rsidP="00BB0D25">
            <w:pPr>
              <w:spacing w:after="0"/>
              <w:ind w:left="-30" w:right="-30"/>
              <w:jc w:val="both"/>
              <w:rPr>
                <w:rFonts w:eastAsia="Arial" w:cs="Arial"/>
                <w:sz w:val="22"/>
                <w:u w:val="single"/>
              </w:rPr>
            </w:pPr>
            <w:r w:rsidRPr="00CF0F96">
              <w:rPr>
                <w:rFonts w:eastAsia="Arial" w:cs="Arial"/>
                <w:sz w:val="22"/>
                <w:u w:val="single"/>
              </w:rPr>
              <w:t xml:space="preserve">   </w:t>
            </w:r>
          </w:p>
          <w:p w14:paraId="6C2C2F13" w14:textId="77777777" w:rsidR="007A1D1C" w:rsidRPr="00CF0F96" w:rsidRDefault="007A1D1C" w:rsidP="00BB0D25">
            <w:pPr>
              <w:spacing w:after="0"/>
              <w:ind w:left="-30" w:right="-30"/>
              <w:jc w:val="both"/>
              <w:rPr>
                <w:rFonts w:eastAsia="Arial" w:cs="Arial"/>
                <w:sz w:val="22"/>
                <w:u w:val="single"/>
              </w:rPr>
            </w:pPr>
            <w:r w:rsidRPr="00CF0F96">
              <w:rPr>
                <w:rFonts w:eastAsia="Arial" w:cs="Arial"/>
                <w:sz w:val="22"/>
                <w:u w:val="single"/>
              </w:rPr>
              <w:t xml:space="preserve">   </w:t>
            </w:r>
          </w:p>
        </w:tc>
        <w:tc>
          <w:tcPr>
            <w:tcW w:w="1929" w:type="dxa"/>
            <w:shd w:val="clear" w:color="auto" w:fill="FFFFFF" w:themeFill="background1"/>
            <w:tcMar>
              <w:left w:w="105" w:type="dxa"/>
              <w:right w:w="105" w:type="dxa"/>
            </w:tcMar>
          </w:tcPr>
          <w:p w14:paraId="7616EB34" w14:textId="77777777" w:rsidR="007A1D1C" w:rsidRPr="00CF0F96" w:rsidRDefault="007A1D1C" w:rsidP="00FF59A0">
            <w:pPr>
              <w:spacing w:after="0"/>
              <w:ind w:left="-30" w:right="-30"/>
              <w:jc w:val="center"/>
              <w:rPr>
                <w:rFonts w:eastAsia="Arial" w:cs="Arial"/>
                <w:sz w:val="22"/>
                <w:u w:val="single"/>
              </w:rPr>
            </w:pPr>
            <w:r w:rsidRPr="00CF0F96">
              <w:rPr>
                <w:rFonts w:eastAsia="Arial" w:cs="Arial"/>
                <w:sz w:val="22"/>
                <w:u w:val="single"/>
              </w:rPr>
              <w:t xml:space="preserve">  </w:t>
            </w:r>
          </w:p>
        </w:tc>
      </w:tr>
      <w:tr w:rsidR="007A1D1C" w:rsidRPr="00CF0F96" w14:paraId="6FA73EE4" w14:textId="77777777" w:rsidTr="00CF0F96">
        <w:trPr>
          <w:trHeight w:val="300"/>
        </w:trPr>
        <w:tc>
          <w:tcPr>
            <w:tcW w:w="915" w:type="dxa"/>
            <w:shd w:val="clear" w:color="auto" w:fill="FFFFFF" w:themeFill="background1"/>
            <w:tcMar>
              <w:left w:w="105" w:type="dxa"/>
              <w:right w:w="105" w:type="dxa"/>
            </w:tcMar>
          </w:tcPr>
          <w:p w14:paraId="7DFEC654" w14:textId="7A5882B1" w:rsidR="007A1D1C" w:rsidRPr="00CF0F96" w:rsidRDefault="007A1D1C" w:rsidP="00BB0D25">
            <w:pPr>
              <w:spacing w:after="0"/>
              <w:ind w:left="-30" w:right="-30"/>
              <w:jc w:val="center"/>
              <w:rPr>
                <w:rFonts w:eastAsia="Arial" w:cs="Arial"/>
                <w:sz w:val="22"/>
              </w:rPr>
            </w:pPr>
            <w:r w:rsidRPr="00CF0F96">
              <w:rPr>
                <w:rFonts w:eastAsia="Arial" w:cs="Arial"/>
                <w:sz w:val="22"/>
              </w:rPr>
              <w:t>6.3</w:t>
            </w:r>
          </w:p>
        </w:tc>
        <w:tc>
          <w:tcPr>
            <w:tcW w:w="3310" w:type="dxa"/>
            <w:shd w:val="clear" w:color="auto" w:fill="FFFFFF" w:themeFill="background1"/>
            <w:tcMar>
              <w:left w:w="105" w:type="dxa"/>
              <w:right w:w="105" w:type="dxa"/>
            </w:tcMar>
          </w:tcPr>
          <w:p w14:paraId="320B7775" w14:textId="77777777" w:rsidR="007A1D1C" w:rsidRPr="00CF0F96" w:rsidRDefault="007A1D1C" w:rsidP="00BB0D25">
            <w:pPr>
              <w:spacing w:after="0"/>
              <w:ind w:left="-30" w:right="-30"/>
              <w:jc w:val="both"/>
              <w:rPr>
                <w:rFonts w:eastAsia="Arial" w:cs="Arial"/>
                <w:sz w:val="22"/>
                <w:lang w:val="es-HN"/>
              </w:rPr>
            </w:pPr>
            <w:r w:rsidRPr="00CF0F96">
              <w:rPr>
                <w:rFonts w:eastAsia="Arial" w:cs="Arial"/>
                <w:sz w:val="22"/>
              </w:rPr>
              <w:t xml:space="preserve">¿En el sitio de la inversión del subproyecto hay presencia de especies de flora o fauna endémica o en peligro de extinción?  </w:t>
            </w:r>
          </w:p>
        </w:tc>
        <w:tc>
          <w:tcPr>
            <w:tcW w:w="3206" w:type="dxa"/>
            <w:shd w:val="clear" w:color="auto" w:fill="FFFFFF" w:themeFill="background1"/>
            <w:tcMar>
              <w:left w:w="105" w:type="dxa"/>
              <w:right w:w="105" w:type="dxa"/>
            </w:tcMar>
            <w:vAlign w:val="center"/>
          </w:tcPr>
          <w:p w14:paraId="7CF28F8D" w14:textId="77777777" w:rsidR="007A1D1C" w:rsidRPr="00CF0F96" w:rsidRDefault="007A1D1C" w:rsidP="00BB0D25">
            <w:pPr>
              <w:spacing w:after="0"/>
              <w:ind w:left="-30" w:right="-30"/>
              <w:jc w:val="both"/>
              <w:rPr>
                <w:rFonts w:eastAsia="Arial" w:cs="Arial"/>
                <w:sz w:val="22"/>
                <w:u w:val="single"/>
                <w:lang w:val="es-HN"/>
              </w:rPr>
            </w:pPr>
            <w:r w:rsidRPr="00CF0F96">
              <w:rPr>
                <w:rFonts w:eastAsia="Arial" w:cs="Arial"/>
                <w:sz w:val="22"/>
                <w:u w:val="single"/>
              </w:rPr>
              <w:t xml:space="preserve">   </w:t>
            </w:r>
          </w:p>
          <w:p w14:paraId="007A2271" w14:textId="77777777" w:rsidR="007A1D1C" w:rsidRPr="00CF0F96" w:rsidRDefault="007A1D1C" w:rsidP="00BB0D25">
            <w:pPr>
              <w:spacing w:after="0"/>
              <w:ind w:left="-30" w:right="-30"/>
              <w:jc w:val="both"/>
              <w:rPr>
                <w:rFonts w:eastAsia="Arial" w:cs="Arial"/>
                <w:sz w:val="22"/>
                <w:u w:val="single"/>
                <w:lang w:val="es-HN"/>
              </w:rPr>
            </w:pPr>
            <w:r w:rsidRPr="00CF0F96">
              <w:rPr>
                <w:rFonts w:eastAsia="Arial" w:cs="Arial"/>
                <w:sz w:val="22"/>
                <w:u w:val="single"/>
              </w:rPr>
              <w:t xml:space="preserve">   </w:t>
            </w:r>
          </w:p>
          <w:p w14:paraId="6887F33C" w14:textId="77777777" w:rsidR="007A1D1C" w:rsidRPr="00CF0F96" w:rsidRDefault="007A1D1C" w:rsidP="00BB0D25">
            <w:pPr>
              <w:spacing w:after="0"/>
              <w:ind w:left="-30" w:right="-30"/>
              <w:jc w:val="both"/>
              <w:rPr>
                <w:rFonts w:eastAsia="Arial" w:cs="Arial"/>
                <w:sz w:val="22"/>
                <w:u w:val="single"/>
                <w:lang w:val="es-HN"/>
              </w:rPr>
            </w:pPr>
            <w:r w:rsidRPr="00CF0F96">
              <w:rPr>
                <w:rFonts w:eastAsia="Arial" w:cs="Arial"/>
                <w:sz w:val="22"/>
                <w:u w:val="single"/>
              </w:rPr>
              <w:t xml:space="preserve">   </w:t>
            </w:r>
          </w:p>
        </w:tc>
        <w:tc>
          <w:tcPr>
            <w:tcW w:w="1929" w:type="dxa"/>
            <w:shd w:val="clear" w:color="auto" w:fill="FFFFFF" w:themeFill="background1"/>
            <w:tcMar>
              <w:left w:w="105" w:type="dxa"/>
              <w:right w:w="105" w:type="dxa"/>
            </w:tcMar>
          </w:tcPr>
          <w:p w14:paraId="428B28C1"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tc>
      </w:tr>
      <w:tr w:rsidR="007A1D1C" w:rsidRPr="00CF0F96" w14:paraId="11731307" w14:textId="77777777" w:rsidTr="00CF0F96">
        <w:trPr>
          <w:trHeight w:val="300"/>
        </w:trPr>
        <w:tc>
          <w:tcPr>
            <w:tcW w:w="915" w:type="dxa"/>
            <w:shd w:val="clear" w:color="auto" w:fill="FFFFFF" w:themeFill="background1"/>
            <w:tcMar>
              <w:left w:w="105" w:type="dxa"/>
              <w:right w:w="105" w:type="dxa"/>
            </w:tcMar>
          </w:tcPr>
          <w:p w14:paraId="7E24954E" w14:textId="39E0DD2B" w:rsidR="007A1D1C" w:rsidRPr="00CF0F96" w:rsidRDefault="007A1D1C" w:rsidP="00BB0D25">
            <w:pPr>
              <w:spacing w:after="0"/>
              <w:ind w:left="-30" w:right="-30"/>
              <w:jc w:val="center"/>
              <w:rPr>
                <w:rFonts w:eastAsia="Arial" w:cs="Arial"/>
                <w:sz w:val="22"/>
              </w:rPr>
            </w:pPr>
            <w:r w:rsidRPr="00CF0F96">
              <w:rPr>
                <w:rFonts w:eastAsia="Arial" w:cs="Arial"/>
                <w:sz w:val="22"/>
              </w:rPr>
              <w:t>6.4</w:t>
            </w:r>
          </w:p>
        </w:tc>
        <w:tc>
          <w:tcPr>
            <w:tcW w:w="3310" w:type="dxa"/>
            <w:shd w:val="clear" w:color="auto" w:fill="FFFFFF" w:themeFill="background1"/>
            <w:tcMar>
              <w:left w:w="105" w:type="dxa"/>
              <w:right w:w="105" w:type="dxa"/>
            </w:tcMar>
          </w:tcPr>
          <w:p w14:paraId="5C80C181" w14:textId="77777777" w:rsidR="007A1D1C" w:rsidRPr="00CF0F96" w:rsidRDefault="007A1D1C" w:rsidP="00BB0D25">
            <w:pPr>
              <w:spacing w:after="0"/>
              <w:ind w:left="-30" w:right="-30"/>
              <w:jc w:val="both"/>
              <w:rPr>
                <w:rFonts w:eastAsia="Arial" w:cs="Arial"/>
                <w:sz w:val="22"/>
                <w:lang w:val="es-HN"/>
              </w:rPr>
            </w:pPr>
            <w:r w:rsidRPr="00CF0F96">
              <w:rPr>
                <w:rFonts w:eastAsia="Arial" w:cs="Arial"/>
                <w:sz w:val="22"/>
              </w:rPr>
              <w:t xml:space="preserve">¿Se contempla el uso de especies no-nativas o invasivas?  </w:t>
            </w:r>
          </w:p>
        </w:tc>
        <w:tc>
          <w:tcPr>
            <w:tcW w:w="3206" w:type="dxa"/>
            <w:shd w:val="clear" w:color="auto" w:fill="FFFFFF" w:themeFill="background1"/>
            <w:tcMar>
              <w:left w:w="105" w:type="dxa"/>
              <w:right w:w="105" w:type="dxa"/>
            </w:tcMar>
            <w:vAlign w:val="center"/>
          </w:tcPr>
          <w:p w14:paraId="528C488E" w14:textId="77777777" w:rsidR="007A1D1C" w:rsidRPr="00CF0F96" w:rsidRDefault="007A1D1C" w:rsidP="00BB0D25">
            <w:pPr>
              <w:spacing w:after="0"/>
              <w:ind w:left="-30" w:right="-30"/>
              <w:jc w:val="both"/>
              <w:rPr>
                <w:rFonts w:eastAsia="Arial" w:cs="Arial"/>
                <w:sz w:val="22"/>
                <w:u w:val="single"/>
                <w:lang w:val="es-HN"/>
              </w:rPr>
            </w:pPr>
            <w:r w:rsidRPr="00CF0F96">
              <w:rPr>
                <w:rFonts w:eastAsia="Arial" w:cs="Arial"/>
                <w:sz w:val="22"/>
                <w:u w:val="single"/>
              </w:rPr>
              <w:t xml:space="preserve">   </w:t>
            </w:r>
          </w:p>
          <w:p w14:paraId="6AC84F7E" w14:textId="77777777" w:rsidR="007A1D1C" w:rsidRPr="00CF0F96" w:rsidRDefault="007A1D1C" w:rsidP="00BB0D25">
            <w:pPr>
              <w:spacing w:after="0"/>
              <w:ind w:left="-30" w:right="-30"/>
              <w:jc w:val="both"/>
              <w:rPr>
                <w:rFonts w:eastAsia="Arial" w:cs="Arial"/>
                <w:sz w:val="22"/>
                <w:u w:val="single"/>
                <w:lang w:val="es-HN"/>
              </w:rPr>
            </w:pPr>
            <w:r w:rsidRPr="00CF0F96">
              <w:rPr>
                <w:rFonts w:eastAsia="Arial" w:cs="Arial"/>
                <w:sz w:val="22"/>
                <w:u w:val="single"/>
              </w:rPr>
              <w:t xml:space="preserve">   </w:t>
            </w:r>
          </w:p>
          <w:p w14:paraId="219E81CC" w14:textId="77777777" w:rsidR="007A1D1C" w:rsidRPr="00CF0F96" w:rsidRDefault="007A1D1C" w:rsidP="00BB0D25">
            <w:pPr>
              <w:spacing w:after="0"/>
              <w:ind w:left="-30" w:right="-30"/>
              <w:jc w:val="both"/>
              <w:rPr>
                <w:rFonts w:eastAsia="Arial" w:cs="Arial"/>
                <w:sz w:val="22"/>
                <w:u w:val="single"/>
                <w:lang w:val="es-HN"/>
              </w:rPr>
            </w:pPr>
            <w:r w:rsidRPr="00CF0F96">
              <w:rPr>
                <w:rFonts w:eastAsia="Arial" w:cs="Arial"/>
                <w:sz w:val="22"/>
                <w:u w:val="single"/>
              </w:rPr>
              <w:t xml:space="preserve">   </w:t>
            </w:r>
          </w:p>
        </w:tc>
        <w:tc>
          <w:tcPr>
            <w:tcW w:w="1929" w:type="dxa"/>
            <w:shd w:val="clear" w:color="auto" w:fill="FFFFFF" w:themeFill="background1"/>
            <w:tcMar>
              <w:left w:w="105" w:type="dxa"/>
              <w:right w:w="105" w:type="dxa"/>
            </w:tcMar>
          </w:tcPr>
          <w:p w14:paraId="58E62DAC"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tc>
      </w:tr>
      <w:tr w:rsidR="007A1D1C" w:rsidRPr="00CF0F96" w14:paraId="1EE2D007" w14:textId="77777777" w:rsidTr="00CF0F96">
        <w:trPr>
          <w:trHeight w:val="300"/>
        </w:trPr>
        <w:tc>
          <w:tcPr>
            <w:tcW w:w="915" w:type="dxa"/>
            <w:shd w:val="clear" w:color="auto" w:fill="FFFFFF" w:themeFill="background1"/>
            <w:tcMar>
              <w:left w:w="105" w:type="dxa"/>
              <w:right w:w="105" w:type="dxa"/>
            </w:tcMar>
          </w:tcPr>
          <w:p w14:paraId="06ADAA78" w14:textId="24BFF2A3" w:rsidR="007A1D1C" w:rsidRPr="00CF0F96" w:rsidRDefault="007A1D1C" w:rsidP="00BB0D25">
            <w:pPr>
              <w:spacing w:after="0"/>
              <w:ind w:left="-30" w:right="-30"/>
              <w:jc w:val="center"/>
              <w:rPr>
                <w:rFonts w:eastAsia="Arial" w:cs="Arial"/>
                <w:sz w:val="22"/>
              </w:rPr>
            </w:pPr>
            <w:r w:rsidRPr="00CF0F96">
              <w:rPr>
                <w:rFonts w:eastAsia="Arial" w:cs="Arial"/>
                <w:sz w:val="22"/>
              </w:rPr>
              <w:t>7.</w:t>
            </w:r>
          </w:p>
        </w:tc>
        <w:tc>
          <w:tcPr>
            <w:tcW w:w="8445" w:type="dxa"/>
            <w:gridSpan w:val="3"/>
            <w:shd w:val="clear" w:color="auto" w:fill="FFFFFF" w:themeFill="background1"/>
            <w:tcMar>
              <w:left w:w="105" w:type="dxa"/>
              <w:right w:w="105" w:type="dxa"/>
            </w:tcMar>
          </w:tcPr>
          <w:p w14:paraId="4F71768A" w14:textId="77777777" w:rsidR="007A1D1C" w:rsidRPr="00CF0F96" w:rsidRDefault="007A1D1C" w:rsidP="00BB0D25">
            <w:pPr>
              <w:spacing w:after="0"/>
              <w:ind w:left="-30" w:right="-30"/>
              <w:jc w:val="both"/>
              <w:rPr>
                <w:rFonts w:eastAsia="Arial" w:cs="Arial"/>
                <w:sz w:val="22"/>
                <w:lang w:val="es-HN"/>
              </w:rPr>
            </w:pPr>
            <w:r w:rsidRPr="00CF0F96">
              <w:rPr>
                <w:rFonts w:eastAsia="Arial" w:cs="Arial"/>
                <w:b/>
                <w:bCs/>
                <w:sz w:val="22"/>
              </w:rPr>
              <w:t>EAS 7 - Pueblos Indígenas/Comunidades Locales Tradicionales</w:t>
            </w:r>
            <w:r w:rsidRPr="00CF0F96">
              <w:rPr>
                <w:rFonts w:eastAsia="Arial" w:cs="Arial"/>
                <w:sz w:val="22"/>
              </w:rPr>
              <w:t xml:space="preserve">  </w:t>
            </w:r>
          </w:p>
          <w:p w14:paraId="4EDD67C5" w14:textId="77777777" w:rsidR="007A1D1C" w:rsidRPr="00CF0F96" w:rsidRDefault="007A1D1C" w:rsidP="00FF59A0">
            <w:pPr>
              <w:spacing w:after="0"/>
              <w:ind w:left="-30" w:right="-30"/>
              <w:jc w:val="center"/>
              <w:rPr>
                <w:rFonts w:eastAsia="Arial" w:cs="Arial"/>
                <w:sz w:val="22"/>
                <w:lang w:val="es-HN"/>
              </w:rPr>
            </w:pPr>
            <w:r w:rsidRPr="00CF0F96">
              <w:rPr>
                <w:rFonts w:eastAsia="Arial" w:cs="Arial"/>
                <w:sz w:val="22"/>
              </w:rPr>
              <w:t xml:space="preserve">  </w:t>
            </w:r>
          </w:p>
        </w:tc>
      </w:tr>
      <w:tr w:rsidR="007A1D1C" w:rsidRPr="00CF0F96" w14:paraId="3898892C" w14:textId="77777777" w:rsidTr="00CF0F96">
        <w:trPr>
          <w:trHeight w:val="300"/>
        </w:trPr>
        <w:tc>
          <w:tcPr>
            <w:tcW w:w="915" w:type="dxa"/>
            <w:shd w:val="clear" w:color="auto" w:fill="FFFFFF" w:themeFill="background1"/>
            <w:tcMar>
              <w:left w:w="105" w:type="dxa"/>
              <w:right w:w="105" w:type="dxa"/>
            </w:tcMar>
          </w:tcPr>
          <w:p w14:paraId="7E535FC0" w14:textId="1CC542CF" w:rsidR="007A1D1C" w:rsidRPr="00CF0F96" w:rsidRDefault="007A1D1C" w:rsidP="00BB0D25">
            <w:pPr>
              <w:spacing w:after="0"/>
              <w:ind w:left="-30" w:right="-30"/>
              <w:jc w:val="center"/>
              <w:rPr>
                <w:rFonts w:eastAsia="Arial" w:cs="Arial"/>
                <w:sz w:val="22"/>
              </w:rPr>
            </w:pPr>
            <w:r w:rsidRPr="00CF0F96">
              <w:rPr>
                <w:rFonts w:eastAsia="Arial" w:cs="Arial"/>
                <w:sz w:val="22"/>
              </w:rPr>
              <w:t>7.1</w:t>
            </w:r>
          </w:p>
        </w:tc>
        <w:tc>
          <w:tcPr>
            <w:tcW w:w="3310" w:type="dxa"/>
            <w:shd w:val="clear" w:color="auto" w:fill="FFFFFF" w:themeFill="background1"/>
            <w:tcMar>
              <w:left w:w="105" w:type="dxa"/>
              <w:right w:w="105" w:type="dxa"/>
            </w:tcMar>
          </w:tcPr>
          <w:p w14:paraId="5F8D4654" w14:textId="77777777" w:rsidR="007A1D1C" w:rsidRPr="00CF0F96" w:rsidRDefault="007A1D1C" w:rsidP="00BB0D25">
            <w:pPr>
              <w:spacing w:after="0"/>
              <w:ind w:left="-30" w:right="-30"/>
              <w:jc w:val="both"/>
              <w:rPr>
                <w:rFonts w:eastAsia="Arial" w:cs="Arial"/>
                <w:sz w:val="22"/>
                <w:lang w:val="es-HN"/>
              </w:rPr>
            </w:pPr>
            <w:r w:rsidRPr="00CF0F96">
              <w:rPr>
                <w:rFonts w:eastAsia="Arial" w:cs="Arial"/>
                <w:sz w:val="22"/>
              </w:rPr>
              <w:t xml:space="preserve">¿En el subproyecto o sus colindantes se han identificado </w:t>
            </w:r>
            <w:r w:rsidRPr="00CF0F96">
              <w:rPr>
                <w:rFonts w:eastAsia="Arial" w:cs="Arial"/>
                <w:strike/>
                <w:sz w:val="22"/>
              </w:rPr>
              <w:t>y</w:t>
            </w:r>
            <w:r w:rsidRPr="00CF0F96">
              <w:rPr>
                <w:rFonts w:eastAsia="Arial" w:cs="Arial"/>
                <w:sz w:val="22"/>
              </w:rPr>
              <w:t xml:space="preserve"> comunidades indígenas que cumplan con los criterios de identificación del EAS7?</w:t>
            </w:r>
          </w:p>
        </w:tc>
        <w:tc>
          <w:tcPr>
            <w:tcW w:w="3206" w:type="dxa"/>
            <w:shd w:val="clear" w:color="auto" w:fill="FFFFFF" w:themeFill="background1"/>
            <w:tcMar>
              <w:left w:w="105" w:type="dxa"/>
              <w:right w:w="105" w:type="dxa"/>
            </w:tcMar>
            <w:vAlign w:val="center"/>
          </w:tcPr>
          <w:p w14:paraId="49CFEED7"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p w14:paraId="490A7E47"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p w14:paraId="329B5145"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tc>
        <w:tc>
          <w:tcPr>
            <w:tcW w:w="1929" w:type="dxa"/>
            <w:shd w:val="clear" w:color="auto" w:fill="FFFFFF" w:themeFill="background1"/>
            <w:tcMar>
              <w:left w:w="105" w:type="dxa"/>
              <w:right w:w="105" w:type="dxa"/>
            </w:tcMar>
          </w:tcPr>
          <w:p w14:paraId="0B8997FD"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tc>
      </w:tr>
      <w:tr w:rsidR="007A1D1C" w:rsidRPr="00CF0F96" w14:paraId="7FDADF2C" w14:textId="77777777" w:rsidTr="00CF0F96">
        <w:trPr>
          <w:trHeight w:val="300"/>
        </w:trPr>
        <w:tc>
          <w:tcPr>
            <w:tcW w:w="915" w:type="dxa"/>
            <w:shd w:val="clear" w:color="auto" w:fill="FFFFFF" w:themeFill="background1"/>
            <w:tcMar>
              <w:left w:w="105" w:type="dxa"/>
              <w:right w:w="105" w:type="dxa"/>
            </w:tcMar>
          </w:tcPr>
          <w:p w14:paraId="4ED322AB" w14:textId="75DE218D" w:rsidR="007A1D1C" w:rsidRPr="00CF0F96" w:rsidRDefault="007A1D1C" w:rsidP="00BB0D25">
            <w:pPr>
              <w:spacing w:after="0"/>
              <w:ind w:left="-30" w:right="-30"/>
              <w:jc w:val="center"/>
              <w:rPr>
                <w:rFonts w:eastAsia="Arial" w:cs="Arial"/>
                <w:sz w:val="22"/>
              </w:rPr>
            </w:pPr>
            <w:r w:rsidRPr="00CF0F96">
              <w:rPr>
                <w:rFonts w:eastAsia="Arial" w:cs="Arial"/>
                <w:sz w:val="22"/>
              </w:rPr>
              <w:t>8.</w:t>
            </w:r>
          </w:p>
        </w:tc>
        <w:tc>
          <w:tcPr>
            <w:tcW w:w="8445" w:type="dxa"/>
            <w:gridSpan w:val="3"/>
            <w:shd w:val="clear" w:color="auto" w:fill="FFFFFF" w:themeFill="background1"/>
            <w:tcMar>
              <w:left w:w="105" w:type="dxa"/>
              <w:right w:w="105" w:type="dxa"/>
            </w:tcMar>
          </w:tcPr>
          <w:p w14:paraId="14E5D11E" w14:textId="77777777" w:rsidR="007A1D1C" w:rsidRPr="00CF0F96" w:rsidRDefault="007A1D1C" w:rsidP="00BB0D25">
            <w:pPr>
              <w:spacing w:after="0"/>
              <w:ind w:left="-30" w:right="-30"/>
              <w:jc w:val="both"/>
              <w:rPr>
                <w:rFonts w:eastAsia="Arial" w:cs="Arial"/>
                <w:sz w:val="22"/>
              </w:rPr>
            </w:pPr>
            <w:r w:rsidRPr="00CF0F96">
              <w:rPr>
                <w:rFonts w:eastAsia="Arial" w:cs="Arial"/>
                <w:b/>
                <w:bCs/>
                <w:sz w:val="22"/>
              </w:rPr>
              <w:t>EAS 8 - Patrimonio Cultural</w:t>
            </w:r>
            <w:r w:rsidRPr="00CF0F96">
              <w:rPr>
                <w:rFonts w:eastAsia="Arial" w:cs="Arial"/>
                <w:sz w:val="22"/>
              </w:rPr>
              <w:t xml:space="preserve">  </w:t>
            </w:r>
          </w:p>
          <w:p w14:paraId="4F941AF4" w14:textId="77777777" w:rsidR="007A1D1C" w:rsidRPr="00CF0F96" w:rsidRDefault="007A1D1C" w:rsidP="00BB0D25">
            <w:pPr>
              <w:spacing w:after="0"/>
              <w:ind w:left="-30" w:right="-30"/>
              <w:jc w:val="both"/>
              <w:rPr>
                <w:rFonts w:eastAsia="Arial" w:cs="Arial"/>
                <w:sz w:val="22"/>
              </w:rPr>
            </w:pPr>
            <w:r w:rsidRPr="00CF0F96">
              <w:rPr>
                <w:rFonts w:eastAsia="Arial" w:cs="Arial"/>
                <w:sz w:val="22"/>
              </w:rPr>
              <w:t xml:space="preserve">  </w:t>
            </w:r>
          </w:p>
        </w:tc>
      </w:tr>
      <w:tr w:rsidR="007A1D1C" w:rsidRPr="00CF0F96" w14:paraId="706F0F8A" w14:textId="77777777" w:rsidTr="00CF0F96">
        <w:trPr>
          <w:trHeight w:val="300"/>
        </w:trPr>
        <w:tc>
          <w:tcPr>
            <w:tcW w:w="915" w:type="dxa"/>
            <w:shd w:val="clear" w:color="auto" w:fill="FFFFFF" w:themeFill="background1"/>
            <w:tcMar>
              <w:left w:w="105" w:type="dxa"/>
              <w:right w:w="105" w:type="dxa"/>
            </w:tcMar>
          </w:tcPr>
          <w:p w14:paraId="0AB0A7B4" w14:textId="2E2004F0" w:rsidR="007A1D1C" w:rsidRPr="00CF0F96" w:rsidRDefault="007A1D1C" w:rsidP="00BB0D25">
            <w:pPr>
              <w:spacing w:after="0"/>
              <w:ind w:left="-30" w:right="-30"/>
              <w:jc w:val="center"/>
              <w:rPr>
                <w:rFonts w:eastAsia="Arial" w:cs="Arial"/>
                <w:sz w:val="22"/>
              </w:rPr>
            </w:pPr>
            <w:r w:rsidRPr="00CF0F96">
              <w:rPr>
                <w:rFonts w:eastAsia="Arial" w:cs="Arial"/>
                <w:sz w:val="22"/>
              </w:rPr>
              <w:t>8.1</w:t>
            </w:r>
          </w:p>
        </w:tc>
        <w:tc>
          <w:tcPr>
            <w:tcW w:w="3310" w:type="dxa"/>
            <w:shd w:val="clear" w:color="auto" w:fill="FFFFFF" w:themeFill="background1"/>
            <w:tcMar>
              <w:left w:w="105" w:type="dxa"/>
              <w:right w:w="105" w:type="dxa"/>
            </w:tcMar>
          </w:tcPr>
          <w:p w14:paraId="361E5CAA" w14:textId="77777777" w:rsidR="007A1D1C" w:rsidRPr="00CF0F96" w:rsidRDefault="007A1D1C" w:rsidP="00BB0D25">
            <w:pPr>
              <w:spacing w:after="0"/>
              <w:ind w:left="-30" w:right="-30"/>
              <w:jc w:val="both"/>
              <w:rPr>
                <w:rFonts w:eastAsia="Arial" w:cs="Arial"/>
                <w:sz w:val="22"/>
                <w:lang w:val="es-HN"/>
              </w:rPr>
            </w:pPr>
            <w:r w:rsidRPr="00CF0F96">
              <w:rPr>
                <w:rFonts w:eastAsia="Arial" w:cs="Arial"/>
                <w:sz w:val="22"/>
              </w:rPr>
              <w:t xml:space="preserve">Con base en las fuentes disponibles, las consultas con las autoridades locales, el conocimiento y/o las observaciones locales, ¿podría el subproyecto alterar sitios de patrimonio histórico, arqueológico o cultural o sería necesario realizar excavaciones en las cercanías?  </w:t>
            </w:r>
          </w:p>
        </w:tc>
        <w:tc>
          <w:tcPr>
            <w:tcW w:w="3206" w:type="dxa"/>
            <w:shd w:val="clear" w:color="auto" w:fill="FFFFFF" w:themeFill="background1"/>
            <w:tcMar>
              <w:left w:w="105" w:type="dxa"/>
              <w:right w:w="105" w:type="dxa"/>
            </w:tcMar>
            <w:vAlign w:val="center"/>
          </w:tcPr>
          <w:p w14:paraId="45D5A90B"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p w14:paraId="30C2E92F"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p w14:paraId="40786FEA"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tc>
        <w:tc>
          <w:tcPr>
            <w:tcW w:w="1929" w:type="dxa"/>
            <w:shd w:val="clear" w:color="auto" w:fill="FFFFFF" w:themeFill="background1"/>
            <w:tcMar>
              <w:left w:w="105" w:type="dxa"/>
              <w:right w:w="105" w:type="dxa"/>
            </w:tcMar>
          </w:tcPr>
          <w:p w14:paraId="676A348E"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tc>
      </w:tr>
      <w:tr w:rsidR="007A1D1C" w:rsidRPr="00CF0F96" w14:paraId="78B60960" w14:textId="77777777" w:rsidTr="00CF0F96">
        <w:trPr>
          <w:trHeight w:val="300"/>
        </w:trPr>
        <w:tc>
          <w:tcPr>
            <w:tcW w:w="915" w:type="dxa"/>
            <w:shd w:val="clear" w:color="auto" w:fill="FFFFFF" w:themeFill="background1"/>
            <w:tcMar>
              <w:left w:w="105" w:type="dxa"/>
              <w:right w:w="105" w:type="dxa"/>
            </w:tcMar>
          </w:tcPr>
          <w:p w14:paraId="6FB406CF" w14:textId="0EDEA6A0" w:rsidR="007A1D1C" w:rsidRPr="00CF0F96" w:rsidRDefault="007A1D1C" w:rsidP="00BB0D25">
            <w:pPr>
              <w:spacing w:after="0"/>
              <w:ind w:left="-30" w:right="-30"/>
              <w:jc w:val="center"/>
              <w:rPr>
                <w:rFonts w:eastAsia="Arial" w:cs="Arial"/>
                <w:sz w:val="22"/>
              </w:rPr>
            </w:pPr>
            <w:r w:rsidRPr="00CF0F96">
              <w:rPr>
                <w:rFonts w:eastAsia="Arial" w:cs="Arial"/>
                <w:sz w:val="22"/>
              </w:rPr>
              <w:t>8.2</w:t>
            </w:r>
          </w:p>
        </w:tc>
        <w:tc>
          <w:tcPr>
            <w:tcW w:w="3310" w:type="dxa"/>
            <w:shd w:val="clear" w:color="auto" w:fill="FFFFFF" w:themeFill="background1"/>
            <w:tcMar>
              <w:left w:w="105" w:type="dxa"/>
              <w:right w:w="105" w:type="dxa"/>
            </w:tcMar>
          </w:tcPr>
          <w:p w14:paraId="68761FC5" w14:textId="77777777" w:rsidR="007A1D1C" w:rsidRPr="00CF0F96" w:rsidRDefault="007A1D1C" w:rsidP="00BB0D25">
            <w:pPr>
              <w:spacing w:after="0"/>
              <w:ind w:left="-30" w:right="-30"/>
              <w:jc w:val="both"/>
              <w:rPr>
                <w:rFonts w:eastAsia="Arial" w:cs="Arial"/>
                <w:sz w:val="22"/>
              </w:rPr>
            </w:pPr>
            <w:r w:rsidRPr="00CF0F96">
              <w:rPr>
                <w:rFonts w:eastAsia="Arial" w:cs="Arial"/>
                <w:sz w:val="22"/>
              </w:rPr>
              <w:t xml:space="preserve">¿El subproyecto requiere excavaciones?  </w:t>
            </w:r>
          </w:p>
        </w:tc>
        <w:tc>
          <w:tcPr>
            <w:tcW w:w="3206" w:type="dxa"/>
            <w:shd w:val="clear" w:color="auto" w:fill="FFFFFF" w:themeFill="background1"/>
            <w:tcMar>
              <w:left w:w="105" w:type="dxa"/>
              <w:right w:w="105" w:type="dxa"/>
            </w:tcMar>
            <w:vAlign w:val="center"/>
          </w:tcPr>
          <w:p w14:paraId="16ADAA0D" w14:textId="77777777" w:rsidR="007A1D1C" w:rsidRPr="00CF0F96" w:rsidRDefault="007A1D1C" w:rsidP="00FF59A0">
            <w:pPr>
              <w:spacing w:after="0"/>
              <w:ind w:left="-30" w:right="-30"/>
              <w:jc w:val="center"/>
              <w:rPr>
                <w:rFonts w:eastAsia="Arial" w:cs="Arial"/>
                <w:sz w:val="22"/>
                <w:u w:val="single"/>
              </w:rPr>
            </w:pPr>
            <w:r w:rsidRPr="00CF0F96">
              <w:rPr>
                <w:rFonts w:eastAsia="Arial" w:cs="Arial"/>
                <w:sz w:val="22"/>
                <w:u w:val="single"/>
              </w:rPr>
              <w:t xml:space="preserve">  </w:t>
            </w:r>
          </w:p>
        </w:tc>
        <w:tc>
          <w:tcPr>
            <w:tcW w:w="1929" w:type="dxa"/>
            <w:shd w:val="clear" w:color="auto" w:fill="FFFFFF" w:themeFill="background1"/>
            <w:tcMar>
              <w:left w:w="105" w:type="dxa"/>
              <w:right w:w="105" w:type="dxa"/>
            </w:tcMar>
          </w:tcPr>
          <w:p w14:paraId="1F617444" w14:textId="77777777" w:rsidR="007A1D1C" w:rsidRPr="00CF0F96" w:rsidRDefault="007A1D1C" w:rsidP="00FF59A0">
            <w:pPr>
              <w:spacing w:after="0"/>
              <w:ind w:left="-30" w:right="-30"/>
              <w:jc w:val="center"/>
              <w:rPr>
                <w:rFonts w:eastAsia="Arial" w:cs="Arial"/>
                <w:sz w:val="22"/>
                <w:u w:val="single"/>
              </w:rPr>
            </w:pPr>
            <w:r w:rsidRPr="00CF0F96">
              <w:rPr>
                <w:rFonts w:eastAsia="Arial" w:cs="Arial"/>
                <w:sz w:val="22"/>
                <w:u w:val="single"/>
              </w:rPr>
              <w:t xml:space="preserve">  </w:t>
            </w:r>
          </w:p>
        </w:tc>
      </w:tr>
      <w:tr w:rsidR="007A1D1C" w:rsidRPr="00CF0F96" w14:paraId="2E3FAF6E" w14:textId="77777777" w:rsidTr="00CF0F96">
        <w:trPr>
          <w:trHeight w:val="300"/>
        </w:trPr>
        <w:tc>
          <w:tcPr>
            <w:tcW w:w="915" w:type="dxa"/>
            <w:shd w:val="clear" w:color="auto" w:fill="FFFFFF" w:themeFill="background1"/>
            <w:tcMar>
              <w:left w:w="105" w:type="dxa"/>
              <w:right w:w="105" w:type="dxa"/>
            </w:tcMar>
          </w:tcPr>
          <w:p w14:paraId="7A929C4F" w14:textId="52FE5809" w:rsidR="007A1D1C" w:rsidRPr="00CF0F96" w:rsidRDefault="007A1D1C" w:rsidP="00BB0D25">
            <w:pPr>
              <w:spacing w:after="0"/>
              <w:ind w:left="-30" w:right="-30"/>
              <w:jc w:val="center"/>
              <w:rPr>
                <w:rFonts w:eastAsia="Arial" w:cs="Arial"/>
                <w:sz w:val="22"/>
              </w:rPr>
            </w:pPr>
            <w:r w:rsidRPr="00CF0F96">
              <w:rPr>
                <w:rFonts w:eastAsia="Arial" w:cs="Arial"/>
                <w:sz w:val="22"/>
              </w:rPr>
              <w:t>8.3</w:t>
            </w:r>
          </w:p>
        </w:tc>
        <w:tc>
          <w:tcPr>
            <w:tcW w:w="3310" w:type="dxa"/>
            <w:shd w:val="clear" w:color="auto" w:fill="FFFFFF" w:themeFill="background1"/>
            <w:tcMar>
              <w:left w:w="105" w:type="dxa"/>
              <w:right w:w="105" w:type="dxa"/>
            </w:tcMar>
          </w:tcPr>
          <w:p w14:paraId="65838D64" w14:textId="77777777" w:rsidR="007A1D1C" w:rsidRPr="00CF0F96" w:rsidRDefault="007A1D1C" w:rsidP="00BB0D25">
            <w:pPr>
              <w:spacing w:after="0"/>
              <w:ind w:left="-30" w:right="-30"/>
              <w:jc w:val="both"/>
              <w:rPr>
                <w:rFonts w:eastAsia="Arial" w:cs="Arial"/>
                <w:sz w:val="22"/>
              </w:rPr>
            </w:pPr>
            <w:r w:rsidRPr="00CF0F96">
              <w:rPr>
                <w:rFonts w:eastAsia="Arial" w:cs="Arial"/>
                <w:sz w:val="22"/>
              </w:rPr>
              <w:t xml:space="preserve">¿El subproyecto incluye actividades relacionadas con la comercialización o el uso de sus </w:t>
            </w:r>
            <w:r w:rsidRPr="00CF0F96">
              <w:rPr>
                <w:rFonts w:eastAsia="Arial" w:cs="Arial"/>
                <w:sz w:val="22"/>
              </w:rPr>
              <w:lastRenderedPageBreak/>
              <w:t xml:space="preserve">conocimientos y prácticas tradicionales?  </w:t>
            </w:r>
          </w:p>
        </w:tc>
        <w:tc>
          <w:tcPr>
            <w:tcW w:w="3206" w:type="dxa"/>
            <w:shd w:val="clear" w:color="auto" w:fill="FFFFFF" w:themeFill="background1"/>
            <w:tcMar>
              <w:left w:w="105" w:type="dxa"/>
              <w:right w:w="105" w:type="dxa"/>
            </w:tcMar>
            <w:vAlign w:val="center"/>
          </w:tcPr>
          <w:p w14:paraId="02D41790"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lastRenderedPageBreak/>
              <w:t xml:space="preserve">   </w:t>
            </w:r>
          </w:p>
          <w:p w14:paraId="1D98A7D0"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p w14:paraId="046A8865"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tc>
        <w:tc>
          <w:tcPr>
            <w:tcW w:w="1929" w:type="dxa"/>
            <w:shd w:val="clear" w:color="auto" w:fill="FFFFFF" w:themeFill="background1"/>
            <w:tcMar>
              <w:left w:w="105" w:type="dxa"/>
              <w:right w:w="105" w:type="dxa"/>
            </w:tcMar>
          </w:tcPr>
          <w:p w14:paraId="05FF4D28"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tc>
      </w:tr>
      <w:tr w:rsidR="007A1D1C" w:rsidRPr="00CF0F96" w14:paraId="186E5C1B" w14:textId="77777777" w:rsidTr="00CF0F96">
        <w:trPr>
          <w:trHeight w:val="300"/>
        </w:trPr>
        <w:tc>
          <w:tcPr>
            <w:tcW w:w="915" w:type="dxa"/>
            <w:shd w:val="clear" w:color="auto" w:fill="FFFFFF" w:themeFill="background1"/>
            <w:tcMar>
              <w:left w:w="105" w:type="dxa"/>
              <w:right w:w="105" w:type="dxa"/>
            </w:tcMar>
          </w:tcPr>
          <w:p w14:paraId="5C39D5C4" w14:textId="028434A1" w:rsidR="007A1D1C" w:rsidRPr="00CF0F96" w:rsidRDefault="007A1D1C" w:rsidP="00BB0D25">
            <w:pPr>
              <w:spacing w:after="0"/>
              <w:ind w:left="-30" w:right="-30"/>
              <w:jc w:val="center"/>
              <w:rPr>
                <w:rFonts w:eastAsia="Arial" w:cs="Arial"/>
                <w:sz w:val="22"/>
              </w:rPr>
            </w:pPr>
            <w:r w:rsidRPr="00CF0F96">
              <w:rPr>
                <w:rFonts w:eastAsia="Arial" w:cs="Arial"/>
                <w:sz w:val="22"/>
              </w:rPr>
              <w:t>10.</w:t>
            </w:r>
          </w:p>
        </w:tc>
        <w:tc>
          <w:tcPr>
            <w:tcW w:w="8445" w:type="dxa"/>
            <w:gridSpan w:val="3"/>
            <w:shd w:val="clear" w:color="auto" w:fill="FFFFFF" w:themeFill="background1"/>
            <w:tcMar>
              <w:left w:w="105" w:type="dxa"/>
              <w:right w:w="105" w:type="dxa"/>
            </w:tcMar>
          </w:tcPr>
          <w:p w14:paraId="31CAB2FF" w14:textId="77777777" w:rsidR="007A1D1C" w:rsidRPr="00CF0F96" w:rsidRDefault="007A1D1C" w:rsidP="00FF59A0">
            <w:pPr>
              <w:spacing w:after="0"/>
              <w:ind w:left="-30" w:right="-30"/>
              <w:rPr>
                <w:rFonts w:eastAsia="Arial" w:cs="Arial"/>
                <w:sz w:val="22"/>
                <w:lang w:val="es-HN"/>
              </w:rPr>
            </w:pPr>
            <w:r w:rsidRPr="00CF0F96">
              <w:rPr>
                <w:rFonts w:eastAsia="Arial" w:cs="Arial"/>
                <w:b/>
                <w:bCs/>
                <w:sz w:val="22"/>
              </w:rPr>
              <w:t xml:space="preserve">EAS 10 - Participación y Acceso a la Información </w:t>
            </w:r>
            <w:r w:rsidRPr="00CF0F96">
              <w:rPr>
                <w:rFonts w:eastAsia="Arial" w:cs="Arial"/>
                <w:sz w:val="22"/>
              </w:rPr>
              <w:t xml:space="preserve">  </w:t>
            </w:r>
          </w:p>
          <w:p w14:paraId="48419E9A" w14:textId="77777777" w:rsidR="007A1D1C" w:rsidRPr="00CF0F96" w:rsidRDefault="007A1D1C" w:rsidP="00FF59A0">
            <w:pPr>
              <w:spacing w:after="0"/>
              <w:ind w:left="-30" w:right="-30"/>
              <w:jc w:val="center"/>
              <w:rPr>
                <w:rFonts w:eastAsia="Arial" w:cs="Arial"/>
                <w:sz w:val="22"/>
                <w:lang w:val="es-HN"/>
              </w:rPr>
            </w:pPr>
            <w:r w:rsidRPr="00CF0F96">
              <w:rPr>
                <w:rFonts w:eastAsia="Arial" w:cs="Arial"/>
                <w:sz w:val="22"/>
              </w:rPr>
              <w:t xml:space="preserve">  </w:t>
            </w:r>
          </w:p>
        </w:tc>
      </w:tr>
      <w:tr w:rsidR="007A1D1C" w:rsidRPr="00CF0F96" w14:paraId="08240E5D" w14:textId="77777777" w:rsidTr="00CF0F96">
        <w:trPr>
          <w:trHeight w:val="300"/>
        </w:trPr>
        <w:tc>
          <w:tcPr>
            <w:tcW w:w="915" w:type="dxa"/>
            <w:shd w:val="clear" w:color="auto" w:fill="FFFFFF" w:themeFill="background1"/>
            <w:tcMar>
              <w:left w:w="105" w:type="dxa"/>
              <w:right w:w="105" w:type="dxa"/>
            </w:tcMar>
          </w:tcPr>
          <w:p w14:paraId="5CD02956" w14:textId="4E4099F9" w:rsidR="007A1D1C" w:rsidRPr="00CF0F96" w:rsidRDefault="007A1D1C" w:rsidP="00BB0D25">
            <w:pPr>
              <w:spacing w:after="0"/>
              <w:ind w:left="-30" w:right="-30"/>
              <w:jc w:val="center"/>
              <w:rPr>
                <w:rFonts w:eastAsia="Arial" w:cs="Arial"/>
                <w:sz w:val="22"/>
              </w:rPr>
            </w:pPr>
            <w:r w:rsidRPr="00CF0F96">
              <w:rPr>
                <w:rFonts w:eastAsia="Arial" w:cs="Arial"/>
                <w:sz w:val="22"/>
              </w:rPr>
              <w:t>10.1</w:t>
            </w:r>
          </w:p>
        </w:tc>
        <w:tc>
          <w:tcPr>
            <w:tcW w:w="3310" w:type="dxa"/>
            <w:shd w:val="clear" w:color="auto" w:fill="FFFFFF" w:themeFill="background1"/>
            <w:tcMar>
              <w:left w:w="105" w:type="dxa"/>
              <w:right w:w="105" w:type="dxa"/>
            </w:tcMar>
          </w:tcPr>
          <w:p w14:paraId="38CEA48E" w14:textId="77777777" w:rsidR="007A1D1C" w:rsidRPr="00CF0F96" w:rsidRDefault="007A1D1C" w:rsidP="00BB0D25">
            <w:pPr>
              <w:spacing w:after="0"/>
              <w:ind w:left="-30" w:right="-30"/>
              <w:jc w:val="both"/>
              <w:rPr>
                <w:rFonts w:eastAsia="Arial" w:cs="Arial"/>
                <w:sz w:val="22"/>
              </w:rPr>
            </w:pPr>
            <w:r w:rsidRPr="00CF0F96">
              <w:rPr>
                <w:rFonts w:eastAsia="Arial" w:cs="Arial"/>
                <w:sz w:val="22"/>
              </w:rPr>
              <w:t xml:space="preserve">¿El subproyecto cuenta con el aval de las personas afectadas o que puedan verse afectados por el subproyecto? ¿o personas que pueden tener interés en el subproyecto?  </w:t>
            </w:r>
          </w:p>
        </w:tc>
        <w:tc>
          <w:tcPr>
            <w:tcW w:w="3206" w:type="dxa"/>
            <w:shd w:val="clear" w:color="auto" w:fill="FFFFFF" w:themeFill="background1"/>
            <w:tcMar>
              <w:left w:w="105" w:type="dxa"/>
              <w:right w:w="105" w:type="dxa"/>
            </w:tcMar>
            <w:vAlign w:val="center"/>
          </w:tcPr>
          <w:p w14:paraId="6A8BAD08" w14:textId="77777777" w:rsidR="007A1D1C" w:rsidRPr="00CF0F96" w:rsidRDefault="007A1D1C" w:rsidP="00FF59A0">
            <w:pPr>
              <w:spacing w:after="0"/>
              <w:ind w:left="-30" w:right="-30"/>
              <w:jc w:val="center"/>
              <w:rPr>
                <w:rFonts w:eastAsia="Arial" w:cs="Arial"/>
                <w:sz w:val="22"/>
                <w:u w:val="single"/>
              </w:rPr>
            </w:pPr>
            <w:r w:rsidRPr="00CF0F96">
              <w:rPr>
                <w:rFonts w:eastAsia="Arial" w:cs="Arial"/>
                <w:b/>
                <w:bCs/>
                <w:sz w:val="22"/>
                <w:u w:val="single"/>
              </w:rPr>
              <w:t xml:space="preserve"> </w:t>
            </w:r>
            <w:r w:rsidRPr="00CF0F96">
              <w:rPr>
                <w:rFonts w:eastAsia="Arial" w:cs="Arial"/>
                <w:sz w:val="22"/>
                <w:u w:val="single"/>
              </w:rPr>
              <w:t xml:space="preserve">  </w:t>
            </w:r>
          </w:p>
          <w:p w14:paraId="0B79F6C2" w14:textId="77777777" w:rsidR="007A1D1C" w:rsidRPr="00CF0F96" w:rsidRDefault="007A1D1C" w:rsidP="00FF59A0">
            <w:pPr>
              <w:spacing w:after="0"/>
              <w:ind w:left="-30" w:right="-30"/>
              <w:jc w:val="center"/>
              <w:rPr>
                <w:rFonts w:eastAsia="Arial" w:cs="Arial"/>
                <w:sz w:val="22"/>
                <w:u w:val="single"/>
              </w:rPr>
            </w:pPr>
            <w:r w:rsidRPr="00CF0F96">
              <w:rPr>
                <w:rFonts w:eastAsia="Arial" w:cs="Arial"/>
                <w:b/>
                <w:bCs/>
                <w:sz w:val="22"/>
                <w:u w:val="single"/>
              </w:rPr>
              <w:t xml:space="preserve"> </w:t>
            </w:r>
            <w:r w:rsidRPr="00CF0F96">
              <w:rPr>
                <w:rFonts w:eastAsia="Arial" w:cs="Arial"/>
                <w:sz w:val="22"/>
                <w:u w:val="single"/>
              </w:rPr>
              <w:t xml:space="preserve">  </w:t>
            </w:r>
          </w:p>
          <w:p w14:paraId="60FC24B3" w14:textId="77777777" w:rsidR="007A1D1C" w:rsidRPr="00CF0F96" w:rsidRDefault="007A1D1C" w:rsidP="00FF59A0">
            <w:pPr>
              <w:spacing w:after="0"/>
              <w:ind w:left="-30" w:right="-30"/>
              <w:jc w:val="center"/>
              <w:rPr>
                <w:rFonts w:eastAsia="Arial" w:cs="Arial"/>
                <w:sz w:val="22"/>
                <w:u w:val="single"/>
              </w:rPr>
            </w:pPr>
            <w:r w:rsidRPr="00CF0F96">
              <w:rPr>
                <w:rFonts w:eastAsia="Arial" w:cs="Arial"/>
                <w:b/>
                <w:bCs/>
                <w:sz w:val="22"/>
                <w:u w:val="single"/>
              </w:rPr>
              <w:t xml:space="preserve"> </w:t>
            </w:r>
            <w:r w:rsidRPr="00CF0F96">
              <w:rPr>
                <w:rFonts w:eastAsia="Arial" w:cs="Arial"/>
                <w:sz w:val="22"/>
                <w:u w:val="single"/>
              </w:rPr>
              <w:t xml:space="preserve">  </w:t>
            </w:r>
          </w:p>
        </w:tc>
        <w:tc>
          <w:tcPr>
            <w:tcW w:w="1929" w:type="dxa"/>
            <w:shd w:val="clear" w:color="auto" w:fill="FFFFFF" w:themeFill="background1"/>
            <w:tcMar>
              <w:left w:w="105" w:type="dxa"/>
              <w:right w:w="105" w:type="dxa"/>
            </w:tcMar>
          </w:tcPr>
          <w:p w14:paraId="4418D805" w14:textId="77777777" w:rsidR="007A1D1C" w:rsidRPr="00CF0F96" w:rsidRDefault="007A1D1C" w:rsidP="00FF59A0">
            <w:pPr>
              <w:spacing w:after="0"/>
              <w:ind w:left="-30" w:right="-30"/>
              <w:jc w:val="center"/>
              <w:rPr>
                <w:rFonts w:eastAsia="Arial" w:cs="Arial"/>
                <w:sz w:val="22"/>
                <w:u w:val="single"/>
              </w:rPr>
            </w:pPr>
            <w:r w:rsidRPr="00CF0F96">
              <w:rPr>
                <w:rFonts w:eastAsia="Arial" w:cs="Arial"/>
                <w:sz w:val="22"/>
                <w:u w:val="single"/>
              </w:rPr>
              <w:t xml:space="preserve">  </w:t>
            </w:r>
          </w:p>
        </w:tc>
      </w:tr>
      <w:tr w:rsidR="007A1D1C" w:rsidRPr="00CF0F96" w14:paraId="7BAC7F4F" w14:textId="77777777" w:rsidTr="00CF0F96">
        <w:trPr>
          <w:trHeight w:val="300"/>
        </w:trPr>
        <w:tc>
          <w:tcPr>
            <w:tcW w:w="915" w:type="dxa"/>
            <w:shd w:val="clear" w:color="auto" w:fill="FFFFFF" w:themeFill="background1"/>
            <w:tcMar>
              <w:left w:w="105" w:type="dxa"/>
              <w:right w:w="105" w:type="dxa"/>
            </w:tcMar>
          </w:tcPr>
          <w:p w14:paraId="6A47B164" w14:textId="327A73D7" w:rsidR="007A1D1C" w:rsidRPr="00CF0F96" w:rsidRDefault="007A1D1C" w:rsidP="00BB0D25">
            <w:pPr>
              <w:spacing w:after="0"/>
              <w:ind w:left="-30" w:right="-30"/>
              <w:jc w:val="center"/>
              <w:rPr>
                <w:rFonts w:eastAsia="Arial" w:cs="Arial"/>
                <w:sz w:val="22"/>
              </w:rPr>
            </w:pPr>
            <w:r w:rsidRPr="00CF0F96">
              <w:rPr>
                <w:rFonts w:eastAsia="Arial" w:cs="Arial"/>
                <w:sz w:val="22"/>
              </w:rPr>
              <w:t>10.2</w:t>
            </w:r>
          </w:p>
        </w:tc>
        <w:tc>
          <w:tcPr>
            <w:tcW w:w="3310" w:type="dxa"/>
            <w:shd w:val="clear" w:color="auto" w:fill="FFFFFF" w:themeFill="background1"/>
            <w:tcMar>
              <w:left w:w="105" w:type="dxa"/>
              <w:right w:w="105" w:type="dxa"/>
            </w:tcMar>
          </w:tcPr>
          <w:p w14:paraId="5B6D3E97" w14:textId="77777777" w:rsidR="007A1D1C" w:rsidRPr="00CF0F96" w:rsidRDefault="007A1D1C" w:rsidP="00BB0D25">
            <w:pPr>
              <w:spacing w:after="0"/>
              <w:ind w:left="-30" w:right="-30"/>
              <w:jc w:val="both"/>
              <w:rPr>
                <w:rFonts w:eastAsia="Arial" w:cs="Arial"/>
                <w:sz w:val="22"/>
                <w:lang w:val="es-HN"/>
              </w:rPr>
            </w:pPr>
            <w:r w:rsidRPr="00CF0F96">
              <w:rPr>
                <w:rFonts w:eastAsia="Arial" w:cs="Arial"/>
                <w:sz w:val="22"/>
              </w:rPr>
              <w:t xml:space="preserve">¿Se planea consultar con las partes interesadas y partes afectadas del subproyecto las actividades a ser realizadas?   </w:t>
            </w:r>
          </w:p>
        </w:tc>
        <w:tc>
          <w:tcPr>
            <w:tcW w:w="3206" w:type="dxa"/>
            <w:shd w:val="clear" w:color="auto" w:fill="FFFFFF" w:themeFill="background1"/>
            <w:tcMar>
              <w:left w:w="105" w:type="dxa"/>
              <w:right w:w="105" w:type="dxa"/>
            </w:tcMar>
            <w:vAlign w:val="center"/>
          </w:tcPr>
          <w:p w14:paraId="09070AF7"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b/>
                <w:bCs/>
                <w:sz w:val="22"/>
                <w:u w:val="single"/>
              </w:rPr>
              <w:t xml:space="preserve"> </w:t>
            </w:r>
            <w:r w:rsidRPr="00CF0F96">
              <w:rPr>
                <w:rFonts w:eastAsia="Arial" w:cs="Arial"/>
                <w:sz w:val="22"/>
                <w:u w:val="single"/>
              </w:rPr>
              <w:t xml:space="preserve">  </w:t>
            </w:r>
          </w:p>
          <w:p w14:paraId="6E3C4C9E"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b/>
                <w:bCs/>
                <w:sz w:val="22"/>
                <w:u w:val="single"/>
              </w:rPr>
              <w:t xml:space="preserve"> </w:t>
            </w:r>
            <w:r w:rsidRPr="00CF0F96">
              <w:rPr>
                <w:rFonts w:eastAsia="Arial" w:cs="Arial"/>
                <w:sz w:val="22"/>
                <w:u w:val="single"/>
              </w:rPr>
              <w:t xml:space="preserve">  </w:t>
            </w:r>
          </w:p>
          <w:p w14:paraId="1A542DA8"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b/>
                <w:bCs/>
                <w:sz w:val="22"/>
                <w:u w:val="single"/>
              </w:rPr>
              <w:t xml:space="preserve"> </w:t>
            </w:r>
            <w:r w:rsidRPr="00CF0F96">
              <w:rPr>
                <w:rFonts w:eastAsia="Arial" w:cs="Arial"/>
                <w:sz w:val="22"/>
                <w:u w:val="single"/>
              </w:rPr>
              <w:t xml:space="preserve">  </w:t>
            </w:r>
          </w:p>
        </w:tc>
        <w:tc>
          <w:tcPr>
            <w:tcW w:w="1929" w:type="dxa"/>
            <w:shd w:val="clear" w:color="auto" w:fill="FFFFFF" w:themeFill="background1"/>
            <w:tcMar>
              <w:left w:w="105" w:type="dxa"/>
              <w:right w:w="105" w:type="dxa"/>
            </w:tcMar>
          </w:tcPr>
          <w:p w14:paraId="2A683B02"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tc>
      </w:tr>
      <w:tr w:rsidR="007A1D1C" w:rsidRPr="00CF0F96" w14:paraId="182F993C" w14:textId="77777777" w:rsidTr="00CF0F96">
        <w:trPr>
          <w:trHeight w:val="300"/>
        </w:trPr>
        <w:tc>
          <w:tcPr>
            <w:tcW w:w="915" w:type="dxa"/>
            <w:shd w:val="clear" w:color="auto" w:fill="FFFFFF" w:themeFill="background1"/>
            <w:tcMar>
              <w:left w:w="105" w:type="dxa"/>
              <w:right w:w="105" w:type="dxa"/>
            </w:tcMar>
          </w:tcPr>
          <w:p w14:paraId="239CF3C2" w14:textId="0035D832" w:rsidR="007A1D1C" w:rsidRPr="00CF0F96" w:rsidRDefault="007A1D1C" w:rsidP="00BB0D25">
            <w:pPr>
              <w:spacing w:after="0"/>
              <w:ind w:left="-30" w:right="-30"/>
              <w:jc w:val="center"/>
              <w:rPr>
                <w:rFonts w:eastAsia="Arial" w:cs="Arial"/>
                <w:sz w:val="22"/>
              </w:rPr>
            </w:pPr>
            <w:r w:rsidRPr="00CF0F96">
              <w:rPr>
                <w:rFonts w:eastAsia="Arial" w:cs="Arial"/>
                <w:sz w:val="22"/>
              </w:rPr>
              <w:t>10.3</w:t>
            </w:r>
          </w:p>
        </w:tc>
        <w:tc>
          <w:tcPr>
            <w:tcW w:w="3310" w:type="dxa"/>
            <w:shd w:val="clear" w:color="auto" w:fill="FFFFFF" w:themeFill="background1"/>
            <w:tcMar>
              <w:left w:w="105" w:type="dxa"/>
              <w:right w:w="105" w:type="dxa"/>
            </w:tcMar>
          </w:tcPr>
          <w:p w14:paraId="57402F45" w14:textId="77777777" w:rsidR="007A1D1C" w:rsidRPr="00CF0F96" w:rsidRDefault="007A1D1C" w:rsidP="00BB0D25">
            <w:pPr>
              <w:spacing w:after="0"/>
              <w:ind w:left="-30" w:right="-30"/>
              <w:jc w:val="both"/>
              <w:rPr>
                <w:rFonts w:eastAsia="Arial" w:cs="Arial"/>
                <w:sz w:val="22"/>
                <w:lang w:val="es-HN"/>
              </w:rPr>
            </w:pPr>
            <w:r w:rsidRPr="00CF0F96">
              <w:rPr>
                <w:rFonts w:eastAsia="Arial" w:cs="Arial"/>
                <w:sz w:val="22"/>
              </w:rPr>
              <w:t xml:space="preserve">¿En caso de ser un subproyecto comunitario, se ha involucrado a las entidades existentes de organización comunitaria como comités de padres de familia, juntas de agua, concejos territoriales, concejo comunitario según sea relevante?  </w:t>
            </w:r>
          </w:p>
        </w:tc>
        <w:tc>
          <w:tcPr>
            <w:tcW w:w="3206" w:type="dxa"/>
            <w:shd w:val="clear" w:color="auto" w:fill="FFFFFF" w:themeFill="background1"/>
            <w:tcMar>
              <w:left w:w="105" w:type="dxa"/>
              <w:right w:w="105" w:type="dxa"/>
            </w:tcMar>
            <w:vAlign w:val="center"/>
          </w:tcPr>
          <w:p w14:paraId="54624315"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tc>
        <w:tc>
          <w:tcPr>
            <w:tcW w:w="1929" w:type="dxa"/>
            <w:shd w:val="clear" w:color="auto" w:fill="FFFFFF" w:themeFill="background1"/>
            <w:tcMar>
              <w:left w:w="105" w:type="dxa"/>
              <w:right w:w="105" w:type="dxa"/>
            </w:tcMar>
          </w:tcPr>
          <w:p w14:paraId="58B44E60"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tc>
      </w:tr>
      <w:tr w:rsidR="007A1D1C" w:rsidRPr="00CF0F96" w14:paraId="343DC402" w14:textId="77777777" w:rsidTr="00CF0F96">
        <w:trPr>
          <w:trHeight w:val="300"/>
        </w:trPr>
        <w:tc>
          <w:tcPr>
            <w:tcW w:w="915" w:type="dxa"/>
            <w:shd w:val="clear" w:color="auto" w:fill="FFFFFF" w:themeFill="background1"/>
            <w:tcMar>
              <w:left w:w="105" w:type="dxa"/>
              <w:right w:w="105" w:type="dxa"/>
            </w:tcMar>
          </w:tcPr>
          <w:p w14:paraId="75165CE6" w14:textId="0254D7B5" w:rsidR="007A1D1C" w:rsidRPr="00CF0F96" w:rsidRDefault="007A1D1C" w:rsidP="00BB0D25">
            <w:pPr>
              <w:spacing w:after="0"/>
              <w:ind w:left="-30" w:right="-30"/>
              <w:jc w:val="center"/>
              <w:rPr>
                <w:rFonts w:eastAsia="Arial" w:cs="Arial"/>
                <w:sz w:val="22"/>
              </w:rPr>
            </w:pPr>
            <w:r w:rsidRPr="00CF0F96">
              <w:rPr>
                <w:rFonts w:eastAsia="Arial" w:cs="Arial"/>
                <w:sz w:val="22"/>
              </w:rPr>
              <w:t>10.4</w:t>
            </w:r>
          </w:p>
        </w:tc>
        <w:tc>
          <w:tcPr>
            <w:tcW w:w="3310" w:type="dxa"/>
            <w:shd w:val="clear" w:color="auto" w:fill="FFFFFF" w:themeFill="background1"/>
            <w:tcMar>
              <w:left w:w="105" w:type="dxa"/>
              <w:right w:w="105" w:type="dxa"/>
            </w:tcMar>
          </w:tcPr>
          <w:p w14:paraId="75F6D60B" w14:textId="77777777" w:rsidR="007A1D1C" w:rsidRPr="00CF0F96" w:rsidRDefault="007A1D1C" w:rsidP="00BB0D25">
            <w:pPr>
              <w:spacing w:after="0"/>
              <w:ind w:left="-30" w:right="-30"/>
              <w:jc w:val="both"/>
              <w:rPr>
                <w:rFonts w:eastAsia="Arial" w:cs="Arial"/>
                <w:sz w:val="22"/>
                <w:lang w:val="es-HN"/>
              </w:rPr>
            </w:pPr>
            <w:r w:rsidRPr="00CF0F96">
              <w:rPr>
                <w:rFonts w:eastAsia="Arial" w:cs="Arial"/>
                <w:sz w:val="22"/>
              </w:rPr>
              <w:t xml:space="preserve">¿Qué medios de comunicación utiliza la organización para la divulgación de información sobre avances, actividades y logros del subproyecto?   </w:t>
            </w:r>
          </w:p>
        </w:tc>
        <w:tc>
          <w:tcPr>
            <w:tcW w:w="3206" w:type="dxa"/>
            <w:shd w:val="clear" w:color="auto" w:fill="FFFFFF" w:themeFill="background1"/>
            <w:tcMar>
              <w:left w:w="105" w:type="dxa"/>
              <w:right w:w="105" w:type="dxa"/>
            </w:tcMar>
            <w:vAlign w:val="center"/>
          </w:tcPr>
          <w:p w14:paraId="197E52D1"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b/>
                <w:bCs/>
                <w:sz w:val="22"/>
                <w:u w:val="single"/>
              </w:rPr>
              <w:t xml:space="preserve"> </w:t>
            </w:r>
            <w:r w:rsidRPr="00CF0F96">
              <w:rPr>
                <w:rFonts w:eastAsia="Arial" w:cs="Arial"/>
                <w:sz w:val="22"/>
                <w:u w:val="single"/>
              </w:rPr>
              <w:t xml:space="preserve">  </w:t>
            </w:r>
          </w:p>
          <w:p w14:paraId="1E3BE848"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b/>
                <w:bCs/>
                <w:sz w:val="22"/>
                <w:u w:val="single"/>
              </w:rPr>
              <w:t xml:space="preserve"> </w:t>
            </w:r>
            <w:r w:rsidRPr="00CF0F96">
              <w:rPr>
                <w:rFonts w:eastAsia="Arial" w:cs="Arial"/>
                <w:sz w:val="22"/>
                <w:u w:val="single"/>
              </w:rPr>
              <w:t xml:space="preserve">  </w:t>
            </w:r>
          </w:p>
          <w:p w14:paraId="7B4AC926"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b/>
                <w:bCs/>
                <w:sz w:val="22"/>
                <w:u w:val="single"/>
              </w:rPr>
              <w:t xml:space="preserve"> </w:t>
            </w:r>
            <w:r w:rsidRPr="00CF0F96">
              <w:rPr>
                <w:rFonts w:eastAsia="Arial" w:cs="Arial"/>
                <w:sz w:val="22"/>
                <w:u w:val="single"/>
              </w:rPr>
              <w:t xml:space="preserve">  </w:t>
            </w:r>
          </w:p>
        </w:tc>
        <w:tc>
          <w:tcPr>
            <w:tcW w:w="1929" w:type="dxa"/>
            <w:shd w:val="clear" w:color="auto" w:fill="FFFFFF" w:themeFill="background1"/>
            <w:tcMar>
              <w:left w:w="105" w:type="dxa"/>
              <w:right w:w="105" w:type="dxa"/>
            </w:tcMar>
          </w:tcPr>
          <w:p w14:paraId="7F13C371"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tc>
      </w:tr>
      <w:tr w:rsidR="007A1D1C" w:rsidRPr="00CF0F96" w14:paraId="6BEDFC32" w14:textId="77777777" w:rsidTr="00CF0F96">
        <w:trPr>
          <w:trHeight w:val="300"/>
        </w:trPr>
        <w:tc>
          <w:tcPr>
            <w:tcW w:w="915" w:type="dxa"/>
            <w:shd w:val="clear" w:color="auto" w:fill="FFFFFF" w:themeFill="background1"/>
            <w:tcMar>
              <w:left w:w="105" w:type="dxa"/>
              <w:right w:w="105" w:type="dxa"/>
            </w:tcMar>
          </w:tcPr>
          <w:p w14:paraId="4095413D" w14:textId="3F8AFDE3" w:rsidR="007A1D1C" w:rsidRPr="00CF0F96" w:rsidRDefault="007A1D1C" w:rsidP="00BB0D25">
            <w:pPr>
              <w:spacing w:after="0"/>
              <w:ind w:left="-30" w:right="-30"/>
              <w:jc w:val="center"/>
              <w:rPr>
                <w:rFonts w:eastAsia="Arial" w:cs="Arial"/>
                <w:sz w:val="22"/>
              </w:rPr>
            </w:pPr>
            <w:r w:rsidRPr="00CF0F96">
              <w:rPr>
                <w:rFonts w:eastAsia="Arial" w:cs="Arial"/>
                <w:sz w:val="22"/>
              </w:rPr>
              <w:t>10.5</w:t>
            </w:r>
          </w:p>
        </w:tc>
        <w:tc>
          <w:tcPr>
            <w:tcW w:w="3310" w:type="dxa"/>
            <w:shd w:val="clear" w:color="auto" w:fill="FFFFFF" w:themeFill="background1"/>
            <w:tcMar>
              <w:left w:w="105" w:type="dxa"/>
              <w:right w:w="105" w:type="dxa"/>
            </w:tcMar>
          </w:tcPr>
          <w:p w14:paraId="38F4AA0F" w14:textId="77777777" w:rsidR="007A1D1C" w:rsidRPr="00CF0F96" w:rsidRDefault="007A1D1C" w:rsidP="00BB0D25">
            <w:pPr>
              <w:spacing w:after="0"/>
              <w:ind w:left="-30" w:right="-30"/>
              <w:jc w:val="both"/>
              <w:rPr>
                <w:rFonts w:eastAsia="Arial" w:cs="Arial"/>
                <w:sz w:val="22"/>
                <w:lang w:val="es-HN"/>
              </w:rPr>
            </w:pPr>
            <w:r w:rsidRPr="00CF0F96">
              <w:rPr>
                <w:rFonts w:eastAsia="Arial" w:cs="Arial"/>
                <w:sz w:val="22"/>
              </w:rPr>
              <w:t xml:space="preserve">¿Las mujeres y jóvenes serán incluidos en el proceso de consulta y divulgación de información del subproyecto?   </w:t>
            </w:r>
          </w:p>
        </w:tc>
        <w:tc>
          <w:tcPr>
            <w:tcW w:w="3206" w:type="dxa"/>
            <w:shd w:val="clear" w:color="auto" w:fill="FFFFFF" w:themeFill="background1"/>
            <w:tcMar>
              <w:left w:w="105" w:type="dxa"/>
              <w:right w:w="105" w:type="dxa"/>
            </w:tcMar>
            <w:vAlign w:val="center"/>
          </w:tcPr>
          <w:p w14:paraId="1D2CE6AE"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b/>
                <w:bCs/>
                <w:sz w:val="22"/>
                <w:u w:val="single"/>
              </w:rPr>
              <w:t xml:space="preserve"> </w:t>
            </w:r>
            <w:r w:rsidRPr="00CF0F96">
              <w:rPr>
                <w:rFonts w:eastAsia="Arial" w:cs="Arial"/>
                <w:sz w:val="22"/>
                <w:u w:val="single"/>
              </w:rPr>
              <w:t xml:space="preserve">  </w:t>
            </w:r>
          </w:p>
          <w:p w14:paraId="5E9A63E5"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b/>
                <w:bCs/>
                <w:sz w:val="22"/>
                <w:u w:val="single"/>
              </w:rPr>
              <w:t xml:space="preserve"> </w:t>
            </w:r>
            <w:r w:rsidRPr="00CF0F96">
              <w:rPr>
                <w:rFonts w:eastAsia="Arial" w:cs="Arial"/>
                <w:sz w:val="22"/>
                <w:u w:val="single"/>
              </w:rPr>
              <w:t xml:space="preserve">  </w:t>
            </w:r>
          </w:p>
          <w:p w14:paraId="63F73B5B"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b/>
                <w:bCs/>
                <w:sz w:val="22"/>
                <w:u w:val="single"/>
              </w:rPr>
              <w:t xml:space="preserve"> </w:t>
            </w:r>
            <w:r w:rsidRPr="00CF0F96">
              <w:rPr>
                <w:rFonts w:eastAsia="Arial" w:cs="Arial"/>
                <w:sz w:val="22"/>
                <w:u w:val="single"/>
              </w:rPr>
              <w:t xml:space="preserve">  </w:t>
            </w:r>
          </w:p>
        </w:tc>
        <w:tc>
          <w:tcPr>
            <w:tcW w:w="1929" w:type="dxa"/>
            <w:shd w:val="clear" w:color="auto" w:fill="FFFFFF" w:themeFill="background1"/>
            <w:tcMar>
              <w:left w:w="105" w:type="dxa"/>
              <w:right w:w="105" w:type="dxa"/>
            </w:tcMar>
          </w:tcPr>
          <w:p w14:paraId="1EACF2DE"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tc>
      </w:tr>
      <w:tr w:rsidR="007A1D1C" w:rsidRPr="00CF0F96" w14:paraId="6DEFD17D" w14:textId="77777777" w:rsidTr="00CF0F96">
        <w:trPr>
          <w:trHeight w:val="300"/>
        </w:trPr>
        <w:tc>
          <w:tcPr>
            <w:tcW w:w="915" w:type="dxa"/>
            <w:shd w:val="clear" w:color="auto" w:fill="FFFFFF" w:themeFill="background1"/>
            <w:tcMar>
              <w:left w:w="105" w:type="dxa"/>
              <w:right w:w="105" w:type="dxa"/>
            </w:tcMar>
          </w:tcPr>
          <w:p w14:paraId="23F10A4B" w14:textId="34DF86C8" w:rsidR="007A1D1C" w:rsidRPr="00CF0F96" w:rsidRDefault="007A1D1C" w:rsidP="00BB0D25">
            <w:pPr>
              <w:spacing w:after="0"/>
              <w:ind w:left="-30" w:right="-30"/>
              <w:jc w:val="center"/>
              <w:rPr>
                <w:rFonts w:eastAsia="Arial" w:cs="Arial"/>
                <w:sz w:val="22"/>
              </w:rPr>
            </w:pPr>
            <w:r w:rsidRPr="00CF0F96">
              <w:rPr>
                <w:rFonts w:eastAsia="Arial" w:cs="Arial"/>
                <w:sz w:val="22"/>
              </w:rPr>
              <w:t>10.6</w:t>
            </w:r>
          </w:p>
        </w:tc>
        <w:tc>
          <w:tcPr>
            <w:tcW w:w="3310" w:type="dxa"/>
            <w:shd w:val="clear" w:color="auto" w:fill="FFFFFF" w:themeFill="background1"/>
            <w:tcMar>
              <w:left w:w="105" w:type="dxa"/>
              <w:right w:w="105" w:type="dxa"/>
            </w:tcMar>
          </w:tcPr>
          <w:p w14:paraId="7124AA19" w14:textId="77777777" w:rsidR="007A1D1C" w:rsidRPr="00CF0F96" w:rsidRDefault="007A1D1C" w:rsidP="00BB0D25">
            <w:pPr>
              <w:spacing w:after="0"/>
              <w:ind w:left="-30" w:right="-30"/>
              <w:jc w:val="both"/>
              <w:rPr>
                <w:rFonts w:eastAsia="Arial" w:cs="Arial"/>
                <w:sz w:val="22"/>
                <w:lang w:val="es-HN"/>
              </w:rPr>
            </w:pPr>
            <w:r w:rsidRPr="00CF0F96">
              <w:rPr>
                <w:rFonts w:eastAsia="Arial" w:cs="Arial"/>
                <w:sz w:val="22"/>
              </w:rPr>
              <w:t>¿La organización/comunidad cuenta con mecanismos para la resolución de conflictos?</w:t>
            </w:r>
          </w:p>
        </w:tc>
        <w:tc>
          <w:tcPr>
            <w:tcW w:w="3206" w:type="dxa"/>
            <w:shd w:val="clear" w:color="auto" w:fill="FFFFFF" w:themeFill="background1"/>
            <w:tcMar>
              <w:left w:w="105" w:type="dxa"/>
              <w:right w:w="105" w:type="dxa"/>
            </w:tcMar>
            <w:vAlign w:val="center"/>
          </w:tcPr>
          <w:p w14:paraId="269E6C88"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b/>
                <w:bCs/>
                <w:sz w:val="22"/>
                <w:u w:val="single"/>
              </w:rPr>
              <w:t xml:space="preserve"> </w:t>
            </w:r>
            <w:r w:rsidRPr="00CF0F96">
              <w:rPr>
                <w:rFonts w:eastAsia="Arial" w:cs="Arial"/>
                <w:sz w:val="22"/>
                <w:u w:val="single"/>
              </w:rPr>
              <w:t xml:space="preserve">  </w:t>
            </w:r>
          </w:p>
          <w:p w14:paraId="26B6632B"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b/>
                <w:bCs/>
                <w:sz w:val="22"/>
                <w:u w:val="single"/>
              </w:rPr>
              <w:t xml:space="preserve"> </w:t>
            </w:r>
            <w:r w:rsidRPr="00CF0F96">
              <w:rPr>
                <w:rFonts w:eastAsia="Arial" w:cs="Arial"/>
                <w:sz w:val="22"/>
                <w:u w:val="single"/>
              </w:rPr>
              <w:t xml:space="preserve">  </w:t>
            </w:r>
          </w:p>
          <w:p w14:paraId="3E072038"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b/>
                <w:bCs/>
                <w:sz w:val="22"/>
                <w:u w:val="single"/>
              </w:rPr>
              <w:t xml:space="preserve"> </w:t>
            </w:r>
            <w:r w:rsidRPr="00CF0F96">
              <w:rPr>
                <w:rFonts w:eastAsia="Arial" w:cs="Arial"/>
                <w:sz w:val="22"/>
                <w:u w:val="single"/>
              </w:rPr>
              <w:t xml:space="preserve">  </w:t>
            </w:r>
          </w:p>
        </w:tc>
        <w:tc>
          <w:tcPr>
            <w:tcW w:w="1929" w:type="dxa"/>
            <w:shd w:val="clear" w:color="auto" w:fill="FFFFFF" w:themeFill="background1"/>
            <w:tcMar>
              <w:left w:w="105" w:type="dxa"/>
              <w:right w:w="105" w:type="dxa"/>
            </w:tcMar>
          </w:tcPr>
          <w:p w14:paraId="326BD5A4"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tc>
      </w:tr>
      <w:tr w:rsidR="007A1D1C" w:rsidRPr="00CF0F96" w14:paraId="5361692C" w14:textId="77777777" w:rsidTr="00CF0F96">
        <w:trPr>
          <w:trHeight w:val="300"/>
        </w:trPr>
        <w:tc>
          <w:tcPr>
            <w:tcW w:w="915" w:type="dxa"/>
            <w:shd w:val="clear" w:color="auto" w:fill="FFFFFF" w:themeFill="background1"/>
            <w:tcMar>
              <w:left w:w="105" w:type="dxa"/>
              <w:right w:w="105" w:type="dxa"/>
            </w:tcMar>
          </w:tcPr>
          <w:p w14:paraId="24448B3E" w14:textId="77777777" w:rsidR="007A1D1C" w:rsidRPr="00CF0F96" w:rsidRDefault="007A1D1C" w:rsidP="00BB0D25">
            <w:pPr>
              <w:jc w:val="center"/>
              <w:rPr>
                <w:rFonts w:eastAsia="Arial" w:cs="Arial"/>
                <w:sz w:val="22"/>
              </w:rPr>
            </w:pPr>
            <w:r w:rsidRPr="00CF0F96">
              <w:rPr>
                <w:rFonts w:eastAsia="Arial" w:cs="Arial"/>
                <w:sz w:val="22"/>
              </w:rPr>
              <w:t>10.7</w:t>
            </w:r>
          </w:p>
        </w:tc>
        <w:tc>
          <w:tcPr>
            <w:tcW w:w="3310" w:type="dxa"/>
            <w:shd w:val="clear" w:color="auto" w:fill="FFFFFF" w:themeFill="background1"/>
            <w:tcMar>
              <w:left w:w="105" w:type="dxa"/>
              <w:right w:w="105" w:type="dxa"/>
            </w:tcMar>
          </w:tcPr>
          <w:p w14:paraId="749E937A" w14:textId="77777777" w:rsidR="007A1D1C" w:rsidRPr="00CF0F96" w:rsidRDefault="007A1D1C" w:rsidP="00BB0D25">
            <w:pPr>
              <w:jc w:val="both"/>
              <w:rPr>
                <w:rFonts w:eastAsia="Arial" w:cs="Arial"/>
                <w:sz w:val="22"/>
              </w:rPr>
            </w:pPr>
            <w:r w:rsidRPr="00CF0F96">
              <w:rPr>
                <w:rFonts w:eastAsia="Arial" w:cs="Arial"/>
                <w:sz w:val="22"/>
              </w:rPr>
              <w:t xml:space="preserve">¿Se aplicaron mecanismos de socialización para la preparación del plan de negocio? Detallar porcentaje – medio de verificación será punto de acta </w:t>
            </w:r>
          </w:p>
        </w:tc>
        <w:tc>
          <w:tcPr>
            <w:tcW w:w="3206" w:type="dxa"/>
            <w:shd w:val="clear" w:color="auto" w:fill="FFFFFF" w:themeFill="background1"/>
            <w:tcMar>
              <w:left w:w="105" w:type="dxa"/>
              <w:right w:w="105" w:type="dxa"/>
            </w:tcMar>
            <w:vAlign w:val="center"/>
          </w:tcPr>
          <w:p w14:paraId="028C93E1" w14:textId="77777777" w:rsidR="007A1D1C" w:rsidRPr="00CF0F96" w:rsidRDefault="007A1D1C" w:rsidP="00FF59A0">
            <w:pPr>
              <w:jc w:val="center"/>
              <w:rPr>
                <w:rFonts w:eastAsia="Arial" w:cs="Arial"/>
                <w:b/>
                <w:bCs/>
                <w:sz w:val="22"/>
                <w:u w:val="single"/>
              </w:rPr>
            </w:pPr>
          </w:p>
        </w:tc>
        <w:tc>
          <w:tcPr>
            <w:tcW w:w="1929" w:type="dxa"/>
            <w:shd w:val="clear" w:color="auto" w:fill="FFFFFF" w:themeFill="background1"/>
            <w:tcMar>
              <w:left w:w="105" w:type="dxa"/>
              <w:right w:w="105" w:type="dxa"/>
            </w:tcMar>
          </w:tcPr>
          <w:p w14:paraId="6611C938" w14:textId="77777777" w:rsidR="007A1D1C" w:rsidRPr="00CF0F96" w:rsidRDefault="007A1D1C" w:rsidP="00FF59A0">
            <w:pPr>
              <w:jc w:val="center"/>
              <w:rPr>
                <w:rFonts w:eastAsia="Arial" w:cs="Arial"/>
                <w:sz w:val="22"/>
                <w:u w:val="single"/>
              </w:rPr>
            </w:pPr>
          </w:p>
        </w:tc>
      </w:tr>
      <w:tr w:rsidR="007A1D1C" w:rsidRPr="00CF0F96" w14:paraId="4F32C766" w14:textId="77777777" w:rsidTr="00CF0F96">
        <w:trPr>
          <w:trHeight w:val="300"/>
        </w:trPr>
        <w:tc>
          <w:tcPr>
            <w:tcW w:w="915" w:type="dxa"/>
            <w:shd w:val="clear" w:color="auto" w:fill="FFFFFF" w:themeFill="background1"/>
            <w:tcMar>
              <w:left w:w="105" w:type="dxa"/>
              <w:right w:w="105" w:type="dxa"/>
            </w:tcMar>
          </w:tcPr>
          <w:p w14:paraId="5B0CA92E" w14:textId="299783B0" w:rsidR="007A1D1C" w:rsidRPr="00CF0F96" w:rsidRDefault="007A1D1C" w:rsidP="00BB0D25">
            <w:pPr>
              <w:spacing w:after="0"/>
              <w:ind w:left="-30" w:right="-30"/>
              <w:jc w:val="center"/>
              <w:rPr>
                <w:rFonts w:eastAsia="Arial" w:cs="Arial"/>
                <w:sz w:val="22"/>
              </w:rPr>
            </w:pPr>
            <w:r w:rsidRPr="00CF0F96">
              <w:rPr>
                <w:rFonts w:eastAsia="Arial" w:cs="Arial"/>
                <w:sz w:val="22"/>
              </w:rPr>
              <w:t>11.</w:t>
            </w:r>
          </w:p>
        </w:tc>
        <w:tc>
          <w:tcPr>
            <w:tcW w:w="8445" w:type="dxa"/>
            <w:gridSpan w:val="3"/>
            <w:shd w:val="clear" w:color="auto" w:fill="FFFFFF" w:themeFill="background1"/>
            <w:tcMar>
              <w:left w:w="105" w:type="dxa"/>
              <w:right w:w="105" w:type="dxa"/>
            </w:tcMar>
          </w:tcPr>
          <w:p w14:paraId="0FC32EA5" w14:textId="77777777" w:rsidR="007A1D1C" w:rsidRPr="00CF0F96" w:rsidRDefault="007A1D1C" w:rsidP="00BB0D25">
            <w:pPr>
              <w:spacing w:after="0"/>
              <w:ind w:left="-30" w:right="-30"/>
              <w:jc w:val="both"/>
              <w:rPr>
                <w:rFonts w:eastAsia="Arial" w:cs="Arial"/>
                <w:sz w:val="22"/>
              </w:rPr>
            </w:pPr>
            <w:r w:rsidRPr="00CF0F96">
              <w:rPr>
                <w:rFonts w:eastAsia="Arial" w:cs="Arial"/>
                <w:b/>
                <w:bCs/>
                <w:sz w:val="22"/>
              </w:rPr>
              <w:t>Género y Juventud</w:t>
            </w:r>
            <w:r w:rsidRPr="00CF0F96">
              <w:rPr>
                <w:rFonts w:eastAsia="Arial" w:cs="Arial"/>
                <w:sz w:val="22"/>
              </w:rPr>
              <w:t xml:space="preserve">  </w:t>
            </w:r>
          </w:p>
          <w:p w14:paraId="4DE116C1" w14:textId="77777777" w:rsidR="007A1D1C" w:rsidRPr="00CF0F96" w:rsidRDefault="007A1D1C" w:rsidP="00BB0D25">
            <w:pPr>
              <w:spacing w:after="0"/>
              <w:ind w:left="-30" w:right="-30"/>
              <w:jc w:val="both"/>
              <w:rPr>
                <w:rFonts w:eastAsia="Arial" w:cs="Arial"/>
                <w:sz w:val="22"/>
              </w:rPr>
            </w:pPr>
            <w:r w:rsidRPr="00CF0F96">
              <w:rPr>
                <w:rFonts w:eastAsia="Arial" w:cs="Arial"/>
                <w:sz w:val="22"/>
              </w:rPr>
              <w:t xml:space="preserve">  </w:t>
            </w:r>
          </w:p>
        </w:tc>
      </w:tr>
      <w:tr w:rsidR="007A1D1C" w:rsidRPr="00CF0F96" w14:paraId="0E639EE3" w14:textId="77777777" w:rsidTr="00CF0F96">
        <w:trPr>
          <w:trHeight w:val="300"/>
        </w:trPr>
        <w:tc>
          <w:tcPr>
            <w:tcW w:w="915" w:type="dxa"/>
            <w:shd w:val="clear" w:color="auto" w:fill="FFFFFF" w:themeFill="background1"/>
            <w:tcMar>
              <w:left w:w="105" w:type="dxa"/>
              <w:right w:w="105" w:type="dxa"/>
            </w:tcMar>
          </w:tcPr>
          <w:p w14:paraId="6A18735C" w14:textId="0A8A7F9C" w:rsidR="007A1D1C" w:rsidRPr="00CF0F96" w:rsidRDefault="007A1D1C" w:rsidP="00BB0D25">
            <w:pPr>
              <w:spacing w:after="0"/>
              <w:ind w:left="-30" w:right="-30"/>
              <w:jc w:val="center"/>
              <w:rPr>
                <w:rFonts w:eastAsia="Arial" w:cs="Arial"/>
                <w:sz w:val="22"/>
              </w:rPr>
            </w:pPr>
            <w:r w:rsidRPr="00CF0F96">
              <w:rPr>
                <w:rFonts w:eastAsia="Arial" w:cs="Arial"/>
                <w:sz w:val="22"/>
              </w:rPr>
              <w:t>11.1</w:t>
            </w:r>
          </w:p>
        </w:tc>
        <w:tc>
          <w:tcPr>
            <w:tcW w:w="3310" w:type="dxa"/>
            <w:shd w:val="clear" w:color="auto" w:fill="FFFFFF" w:themeFill="background1"/>
            <w:tcMar>
              <w:left w:w="105" w:type="dxa"/>
              <w:right w:w="105" w:type="dxa"/>
            </w:tcMar>
          </w:tcPr>
          <w:p w14:paraId="470E926C" w14:textId="77777777" w:rsidR="007A1D1C" w:rsidRPr="00CF0F96" w:rsidRDefault="007A1D1C" w:rsidP="00BB0D25">
            <w:pPr>
              <w:spacing w:after="0"/>
              <w:ind w:left="-30" w:right="-30"/>
              <w:jc w:val="both"/>
              <w:rPr>
                <w:rFonts w:eastAsia="Arial" w:cs="Arial"/>
                <w:sz w:val="22"/>
                <w:lang w:val="es-HN"/>
              </w:rPr>
            </w:pPr>
            <w:r w:rsidRPr="00CF0F96">
              <w:rPr>
                <w:rFonts w:eastAsia="Arial" w:cs="Arial"/>
                <w:sz w:val="22"/>
              </w:rPr>
              <w:t xml:space="preserve">¿Se cuenta con la participación de mujeres y jóvenes?  </w:t>
            </w:r>
          </w:p>
        </w:tc>
        <w:tc>
          <w:tcPr>
            <w:tcW w:w="3206" w:type="dxa"/>
            <w:shd w:val="clear" w:color="auto" w:fill="FFFFFF" w:themeFill="background1"/>
            <w:tcMar>
              <w:left w:w="105" w:type="dxa"/>
              <w:right w:w="105" w:type="dxa"/>
            </w:tcMar>
            <w:vAlign w:val="center"/>
          </w:tcPr>
          <w:p w14:paraId="151418B2"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b/>
                <w:bCs/>
                <w:sz w:val="22"/>
                <w:u w:val="single"/>
              </w:rPr>
              <w:t xml:space="preserve"> </w:t>
            </w:r>
            <w:r w:rsidRPr="00CF0F96">
              <w:rPr>
                <w:rFonts w:eastAsia="Arial" w:cs="Arial"/>
                <w:sz w:val="22"/>
                <w:u w:val="single"/>
              </w:rPr>
              <w:t xml:space="preserve">  </w:t>
            </w:r>
          </w:p>
          <w:p w14:paraId="3F0427E0"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b/>
                <w:bCs/>
                <w:sz w:val="22"/>
                <w:u w:val="single"/>
              </w:rPr>
              <w:t xml:space="preserve"> </w:t>
            </w:r>
            <w:r w:rsidRPr="00CF0F96">
              <w:rPr>
                <w:rFonts w:eastAsia="Arial" w:cs="Arial"/>
                <w:sz w:val="22"/>
                <w:u w:val="single"/>
              </w:rPr>
              <w:t xml:space="preserve">  </w:t>
            </w:r>
          </w:p>
          <w:p w14:paraId="1D7A9398"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b/>
                <w:bCs/>
                <w:sz w:val="22"/>
                <w:u w:val="single"/>
              </w:rPr>
              <w:t xml:space="preserve"> </w:t>
            </w:r>
            <w:r w:rsidRPr="00CF0F96">
              <w:rPr>
                <w:rFonts w:eastAsia="Arial" w:cs="Arial"/>
                <w:sz w:val="22"/>
                <w:u w:val="single"/>
              </w:rPr>
              <w:t xml:space="preserve">  </w:t>
            </w:r>
          </w:p>
        </w:tc>
        <w:tc>
          <w:tcPr>
            <w:tcW w:w="1929" w:type="dxa"/>
            <w:shd w:val="clear" w:color="auto" w:fill="FFFFFF" w:themeFill="background1"/>
            <w:tcMar>
              <w:left w:w="105" w:type="dxa"/>
              <w:right w:w="105" w:type="dxa"/>
            </w:tcMar>
          </w:tcPr>
          <w:p w14:paraId="027CF22F"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tc>
      </w:tr>
      <w:tr w:rsidR="007A1D1C" w:rsidRPr="00CF0F96" w14:paraId="245C9D2C" w14:textId="77777777" w:rsidTr="00CF0F96">
        <w:trPr>
          <w:trHeight w:val="300"/>
        </w:trPr>
        <w:tc>
          <w:tcPr>
            <w:tcW w:w="915" w:type="dxa"/>
            <w:shd w:val="clear" w:color="auto" w:fill="FFFFFF" w:themeFill="background1"/>
            <w:tcMar>
              <w:left w:w="105" w:type="dxa"/>
              <w:right w:w="105" w:type="dxa"/>
            </w:tcMar>
          </w:tcPr>
          <w:p w14:paraId="1ED32B95" w14:textId="17AC953E" w:rsidR="007A1D1C" w:rsidRPr="00CF0F96" w:rsidRDefault="007A1D1C" w:rsidP="00BB0D25">
            <w:pPr>
              <w:spacing w:after="0"/>
              <w:ind w:left="-30" w:right="-30"/>
              <w:jc w:val="center"/>
              <w:rPr>
                <w:rFonts w:eastAsia="Arial" w:cs="Arial"/>
                <w:sz w:val="22"/>
              </w:rPr>
            </w:pPr>
            <w:r w:rsidRPr="00CF0F96">
              <w:rPr>
                <w:rFonts w:eastAsia="Arial" w:cs="Arial"/>
                <w:sz w:val="22"/>
              </w:rPr>
              <w:lastRenderedPageBreak/>
              <w:t>11.2</w:t>
            </w:r>
          </w:p>
        </w:tc>
        <w:tc>
          <w:tcPr>
            <w:tcW w:w="3310" w:type="dxa"/>
            <w:shd w:val="clear" w:color="auto" w:fill="FFFFFF" w:themeFill="background1"/>
            <w:tcMar>
              <w:left w:w="105" w:type="dxa"/>
              <w:right w:w="105" w:type="dxa"/>
            </w:tcMar>
          </w:tcPr>
          <w:p w14:paraId="263BB7B1" w14:textId="77777777" w:rsidR="007A1D1C" w:rsidRPr="00CF0F96" w:rsidRDefault="007A1D1C" w:rsidP="00BB0D25">
            <w:pPr>
              <w:spacing w:after="0"/>
              <w:ind w:left="-30" w:right="-30"/>
              <w:jc w:val="both"/>
              <w:rPr>
                <w:rFonts w:eastAsia="Arial" w:cs="Arial"/>
                <w:sz w:val="22"/>
                <w:lang w:val="es-HN"/>
              </w:rPr>
            </w:pPr>
            <w:r w:rsidRPr="00CF0F96">
              <w:rPr>
                <w:rFonts w:eastAsia="Arial" w:cs="Arial"/>
                <w:sz w:val="22"/>
              </w:rPr>
              <w:t xml:space="preserve">¿Se recolecta datos desagregados por género y edad en el subproyecto?   </w:t>
            </w:r>
          </w:p>
        </w:tc>
        <w:tc>
          <w:tcPr>
            <w:tcW w:w="3206" w:type="dxa"/>
            <w:shd w:val="clear" w:color="auto" w:fill="FFFFFF" w:themeFill="background1"/>
            <w:tcMar>
              <w:left w:w="105" w:type="dxa"/>
              <w:right w:w="105" w:type="dxa"/>
            </w:tcMar>
            <w:vAlign w:val="center"/>
          </w:tcPr>
          <w:p w14:paraId="5C02BC7E"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b/>
                <w:bCs/>
                <w:sz w:val="22"/>
                <w:u w:val="single"/>
              </w:rPr>
              <w:t xml:space="preserve"> </w:t>
            </w:r>
            <w:r w:rsidRPr="00CF0F96">
              <w:rPr>
                <w:rFonts w:eastAsia="Arial" w:cs="Arial"/>
                <w:sz w:val="22"/>
                <w:u w:val="single"/>
              </w:rPr>
              <w:t xml:space="preserve">  </w:t>
            </w:r>
          </w:p>
          <w:p w14:paraId="70061AA4"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b/>
                <w:bCs/>
                <w:sz w:val="22"/>
                <w:u w:val="single"/>
              </w:rPr>
              <w:t xml:space="preserve"> </w:t>
            </w:r>
            <w:r w:rsidRPr="00CF0F96">
              <w:rPr>
                <w:rFonts w:eastAsia="Arial" w:cs="Arial"/>
                <w:sz w:val="22"/>
                <w:u w:val="single"/>
              </w:rPr>
              <w:t xml:space="preserve">  </w:t>
            </w:r>
          </w:p>
          <w:p w14:paraId="353902DC"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b/>
                <w:bCs/>
                <w:sz w:val="22"/>
                <w:u w:val="single"/>
              </w:rPr>
              <w:t xml:space="preserve"> </w:t>
            </w:r>
            <w:r w:rsidRPr="00CF0F96">
              <w:rPr>
                <w:rFonts w:eastAsia="Arial" w:cs="Arial"/>
                <w:sz w:val="22"/>
                <w:u w:val="single"/>
              </w:rPr>
              <w:t xml:space="preserve">  </w:t>
            </w:r>
          </w:p>
        </w:tc>
        <w:tc>
          <w:tcPr>
            <w:tcW w:w="1929" w:type="dxa"/>
            <w:shd w:val="clear" w:color="auto" w:fill="FFFFFF" w:themeFill="background1"/>
            <w:tcMar>
              <w:left w:w="105" w:type="dxa"/>
              <w:right w:w="105" w:type="dxa"/>
            </w:tcMar>
          </w:tcPr>
          <w:p w14:paraId="672F805F"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tc>
      </w:tr>
      <w:tr w:rsidR="007A1D1C" w:rsidRPr="00CF0F96" w14:paraId="2D80C0CB" w14:textId="77777777" w:rsidTr="00CF0F96">
        <w:trPr>
          <w:trHeight w:val="300"/>
        </w:trPr>
        <w:tc>
          <w:tcPr>
            <w:tcW w:w="915" w:type="dxa"/>
            <w:shd w:val="clear" w:color="auto" w:fill="FFFFFF" w:themeFill="background1"/>
            <w:tcMar>
              <w:left w:w="105" w:type="dxa"/>
              <w:right w:w="105" w:type="dxa"/>
            </w:tcMar>
          </w:tcPr>
          <w:p w14:paraId="1006609A" w14:textId="60AA9B65" w:rsidR="007A1D1C" w:rsidRPr="00CF0F96" w:rsidRDefault="007A1D1C" w:rsidP="00BB0D25">
            <w:pPr>
              <w:spacing w:after="0"/>
              <w:ind w:left="-30" w:right="-30"/>
              <w:jc w:val="center"/>
              <w:rPr>
                <w:rFonts w:eastAsia="Arial" w:cs="Arial"/>
                <w:sz w:val="22"/>
              </w:rPr>
            </w:pPr>
            <w:r w:rsidRPr="00CF0F96">
              <w:rPr>
                <w:rFonts w:eastAsia="Arial" w:cs="Arial"/>
                <w:sz w:val="22"/>
              </w:rPr>
              <w:t>11.3</w:t>
            </w:r>
          </w:p>
        </w:tc>
        <w:tc>
          <w:tcPr>
            <w:tcW w:w="3310" w:type="dxa"/>
            <w:shd w:val="clear" w:color="auto" w:fill="FFFFFF" w:themeFill="background1"/>
            <w:tcMar>
              <w:left w:w="105" w:type="dxa"/>
              <w:right w:w="105" w:type="dxa"/>
            </w:tcMar>
          </w:tcPr>
          <w:p w14:paraId="5FB4AF96" w14:textId="77777777" w:rsidR="007A1D1C" w:rsidRPr="00CF0F96" w:rsidRDefault="007A1D1C" w:rsidP="00BB0D25">
            <w:pPr>
              <w:spacing w:after="0"/>
              <w:ind w:left="-30" w:right="-30"/>
              <w:jc w:val="both"/>
              <w:rPr>
                <w:rFonts w:eastAsia="Arial" w:cs="Arial"/>
                <w:sz w:val="22"/>
                <w:lang w:val="es-HN"/>
              </w:rPr>
            </w:pPr>
            <w:r w:rsidRPr="00CF0F96">
              <w:rPr>
                <w:rFonts w:eastAsia="Arial" w:cs="Arial"/>
                <w:sz w:val="22"/>
              </w:rPr>
              <w:t xml:space="preserve">¿Hay mecanismos establecidos para atender violencia basada en género?   </w:t>
            </w:r>
          </w:p>
        </w:tc>
        <w:tc>
          <w:tcPr>
            <w:tcW w:w="3206" w:type="dxa"/>
            <w:shd w:val="clear" w:color="auto" w:fill="FFFFFF" w:themeFill="background1"/>
            <w:tcMar>
              <w:left w:w="105" w:type="dxa"/>
              <w:right w:w="105" w:type="dxa"/>
            </w:tcMar>
            <w:vAlign w:val="center"/>
          </w:tcPr>
          <w:p w14:paraId="31C0FDD0"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b/>
                <w:bCs/>
                <w:sz w:val="22"/>
                <w:u w:val="single"/>
              </w:rPr>
              <w:t xml:space="preserve"> </w:t>
            </w:r>
            <w:r w:rsidRPr="00CF0F96">
              <w:rPr>
                <w:rFonts w:eastAsia="Arial" w:cs="Arial"/>
                <w:sz w:val="22"/>
                <w:u w:val="single"/>
              </w:rPr>
              <w:t xml:space="preserve">  </w:t>
            </w:r>
          </w:p>
          <w:p w14:paraId="53D5D2C1"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b/>
                <w:bCs/>
                <w:sz w:val="22"/>
                <w:u w:val="single"/>
              </w:rPr>
              <w:t xml:space="preserve"> </w:t>
            </w:r>
            <w:r w:rsidRPr="00CF0F96">
              <w:rPr>
                <w:rFonts w:eastAsia="Arial" w:cs="Arial"/>
                <w:sz w:val="22"/>
                <w:u w:val="single"/>
              </w:rPr>
              <w:t xml:space="preserve">  </w:t>
            </w:r>
          </w:p>
          <w:p w14:paraId="4D0306D0"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b/>
                <w:bCs/>
                <w:sz w:val="22"/>
                <w:u w:val="single"/>
              </w:rPr>
              <w:t xml:space="preserve"> </w:t>
            </w:r>
            <w:r w:rsidRPr="00CF0F96">
              <w:rPr>
                <w:rFonts w:eastAsia="Arial" w:cs="Arial"/>
                <w:sz w:val="22"/>
                <w:u w:val="single"/>
              </w:rPr>
              <w:t xml:space="preserve">  </w:t>
            </w:r>
          </w:p>
        </w:tc>
        <w:tc>
          <w:tcPr>
            <w:tcW w:w="1929" w:type="dxa"/>
            <w:shd w:val="clear" w:color="auto" w:fill="FFFFFF" w:themeFill="background1"/>
            <w:tcMar>
              <w:left w:w="105" w:type="dxa"/>
              <w:right w:w="105" w:type="dxa"/>
            </w:tcMar>
          </w:tcPr>
          <w:p w14:paraId="08292518"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tc>
      </w:tr>
      <w:tr w:rsidR="007A1D1C" w:rsidRPr="00CF0F96" w14:paraId="7DD28CD0" w14:textId="77777777" w:rsidTr="00CF0F96">
        <w:trPr>
          <w:trHeight w:val="300"/>
        </w:trPr>
        <w:tc>
          <w:tcPr>
            <w:tcW w:w="915" w:type="dxa"/>
            <w:shd w:val="clear" w:color="auto" w:fill="FFFFFF" w:themeFill="background1"/>
            <w:tcMar>
              <w:left w:w="105" w:type="dxa"/>
              <w:right w:w="105" w:type="dxa"/>
            </w:tcMar>
          </w:tcPr>
          <w:p w14:paraId="3F70F2A1" w14:textId="1E638C0F" w:rsidR="007A1D1C" w:rsidRPr="00CF0F96" w:rsidRDefault="007A1D1C" w:rsidP="00BB0D25">
            <w:pPr>
              <w:spacing w:after="0"/>
              <w:ind w:left="-30" w:right="-30"/>
              <w:jc w:val="center"/>
              <w:rPr>
                <w:rFonts w:eastAsia="Arial" w:cs="Arial"/>
                <w:sz w:val="22"/>
              </w:rPr>
            </w:pPr>
            <w:r w:rsidRPr="00CF0F96">
              <w:rPr>
                <w:rFonts w:eastAsia="Arial" w:cs="Arial"/>
                <w:sz w:val="22"/>
              </w:rPr>
              <w:t>11.4</w:t>
            </w:r>
          </w:p>
        </w:tc>
        <w:tc>
          <w:tcPr>
            <w:tcW w:w="3310" w:type="dxa"/>
            <w:shd w:val="clear" w:color="auto" w:fill="FFFFFF" w:themeFill="background1"/>
            <w:tcMar>
              <w:left w:w="105" w:type="dxa"/>
              <w:right w:w="105" w:type="dxa"/>
            </w:tcMar>
          </w:tcPr>
          <w:p w14:paraId="6B18DDE2" w14:textId="77777777" w:rsidR="007A1D1C" w:rsidRPr="00CF0F96" w:rsidRDefault="007A1D1C" w:rsidP="00BB0D25">
            <w:pPr>
              <w:spacing w:after="0"/>
              <w:ind w:left="-30" w:right="-30"/>
              <w:jc w:val="both"/>
              <w:rPr>
                <w:rFonts w:eastAsia="Arial" w:cs="Arial"/>
                <w:sz w:val="22"/>
                <w:lang w:val="es-HN"/>
              </w:rPr>
            </w:pPr>
            <w:r w:rsidRPr="00CF0F96">
              <w:rPr>
                <w:rFonts w:eastAsia="Arial" w:cs="Arial"/>
                <w:sz w:val="22"/>
              </w:rPr>
              <w:t xml:space="preserve">¿Las actividades en las que participan mujeres no promueven estereotipos de género?   </w:t>
            </w:r>
          </w:p>
        </w:tc>
        <w:tc>
          <w:tcPr>
            <w:tcW w:w="3206" w:type="dxa"/>
            <w:shd w:val="clear" w:color="auto" w:fill="FFFFFF" w:themeFill="background1"/>
            <w:tcMar>
              <w:left w:w="105" w:type="dxa"/>
              <w:right w:w="105" w:type="dxa"/>
            </w:tcMar>
            <w:vAlign w:val="center"/>
          </w:tcPr>
          <w:p w14:paraId="3405074F"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b/>
                <w:bCs/>
                <w:sz w:val="22"/>
                <w:u w:val="single"/>
              </w:rPr>
              <w:t xml:space="preserve"> </w:t>
            </w:r>
            <w:r w:rsidRPr="00CF0F96">
              <w:rPr>
                <w:rFonts w:eastAsia="Arial" w:cs="Arial"/>
                <w:sz w:val="22"/>
                <w:u w:val="single"/>
              </w:rPr>
              <w:t xml:space="preserve">  </w:t>
            </w:r>
          </w:p>
          <w:p w14:paraId="3FF6443B"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b/>
                <w:bCs/>
                <w:sz w:val="22"/>
                <w:u w:val="single"/>
              </w:rPr>
              <w:t xml:space="preserve"> </w:t>
            </w:r>
            <w:r w:rsidRPr="00CF0F96">
              <w:rPr>
                <w:rFonts w:eastAsia="Arial" w:cs="Arial"/>
                <w:sz w:val="22"/>
                <w:u w:val="single"/>
              </w:rPr>
              <w:t xml:space="preserve">  </w:t>
            </w:r>
          </w:p>
          <w:p w14:paraId="65A45FCD"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b/>
                <w:bCs/>
                <w:sz w:val="22"/>
                <w:u w:val="single"/>
              </w:rPr>
              <w:t xml:space="preserve"> </w:t>
            </w:r>
            <w:r w:rsidRPr="00CF0F96">
              <w:rPr>
                <w:rFonts w:eastAsia="Arial" w:cs="Arial"/>
                <w:sz w:val="22"/>
                <w:u w:val="single"/>
              </w:rPr>
              <w:t xml:space="preserve">  </w:t>
            </w:r>
          </w:p>
        </w:tc>
        <w:tc>
          <w:tcPr>
            <w:tcW w:w="1929" w:type="dxa"/>
            <w:shd w:val="clear" w:color="auto" w:fill="FFFFFF" w:themeFill="background1"/>
            <w:tcMar>
              <w:left w:w="105" w:type="dxa"/>
              <w:right w:w="105" w:type="dxa"/>
            </w:tcMar>
          </w:tcPr>
          <w:p w14:paraId="6DFC298A"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tc>
      </w:tr>
      <w:tr w:rsidR="007A1D1C" w:rsidRPr="00CF0F96" w14:paraId="5EC04C0E" w14:textId="77777777" w:rsidTr="00CF0F96">
        <w:trPr>
          <w:trHeight w:val="300"/>
        </w:trPr>
        <w:tc>
          <w:tcPr>
            <w:tcW w:w="915" w:type="dxa"/>
            <w:shd w:val="clear" w:color="auto" w:fill="FFFFFF" w:themeFill="background1"/>
            <w:tcMar>
              <w:left w:w="105" w:type="dxa"/>
              <w:right w:w="105" w:type="dxa"/>
            </w:tcMar>
          </w:tcPr>
          <w:p w14:paraId="1171072B" w14:textId="786510DE" w:rsidR="007A1D1C" w:rsidRPr="00CF0F96" w:rsidRDefault="007A1D1C" w:rsidP="00BB0D25">
            <w:pPr>
              <w:spacing w:after="0"/>
              <w:ind w:left="-30" w:right="-30"/>
              <w:jc w:val="center"/>
              <w:rPr>
                <w:rFonts w:eastAsia="Arial" w:cs="Arial"/>
                <w:sz w:val="22"/>
              </w:rPr>
            </w:pPr>
            <w:r w:rsidRPr="00CF0F96">
              <w:rPr>
                <w:rFonts w:eastAsia="Arial" w:cs="Arial"/>
                <w:sz w:val="22"/>
              </w:rPr>
              <w:t>11.5</w:t>
            </w:r>
          </w:p>
        </w:tc>
        <w:tc>
          <w:tcPr>
            <w:tcW w:w="3310" w:type="dxa"/>
            <w:shd w:val="clear" w:color="auto" w:fill="FFFFFF" w:themeFill="background1"/>
            <w:tcMar>
              <w:left w:w="105" w:type="dxa"/>
              <w:right w:w="105" w:type="dxa"/>
            </w:tcMar>
          </w:tcPr>
          <w:p w14:paraId="382CBCFC" w14:textId="77777777" w:rsidR="007A1D1C" w:rsidRPr="00CF0F96" w:rsidRDefault="007A1D1C" w:rsidP="00BB0D25">
            <w:pPr>
              <w:spacing w:after="0"/>
              <w:ind w:left="-30" w:right="-30"/>
              <w:jc w:val="both"/>
              <w:rPr>
                <w:rFonts w:eastAsia="Arial" w:cs="Arial"/>
                <w:sz w:val="22"/>
                <w:lang w:val="es-HN"/>
              </w:rPr>
            </w:pPr>
            <w:r w:rsidRPr="00CF0F96">
              <w:rPr>
                <w:rFonts w:eastAsia="Arial" w:cs="Arial"/>
                <w:sz w:val="22"/>
              </w:rPr>
              <w:t>¿Participan mujeres en la toma de decisiones sobre el subproyecto (p.e</w:t>
            </w:r>
            <w:r w:rsidRPr="00CF0F96">
              <w:rPr>
                <w:rFonts w:eastAsia="Arial" w:cs="Arial"/>
                <w:strike/>
                <w:sz w:val="22"/>
              </w:rPr>
              <w:t>.</w:t>
            </w:r>
            <w:r w:rsidRPr="00CF0F96">
              <w:rPr>
                <w:rFonts w:eastAsia="Arial" w:cs="Arial"/>
                <w:sz w:val="22"/>
              </w:rPr>
              <w:t xml:space="preserve">j., forman parte de juntas directivas)?   </w:t>
            </w:r>
          </w:p>
        </w:tc>
        <w:tc>
          <w:tcPr>
            <w:tcW w:w="3206" w:type="dxa"/>
            <w:shd w:val="clear" w:color="auto" w:fill="FFFFFF" w:themeFill="background1"/>
            <w:tcMar>
              <w:left w:w="105" w:type="dxa"/>
              <w:right w:w="105" w:type="dxa"/>
            </w:tcMar>
            <w:vAlign w:val="center"/>
          </w:tcPr>
          <w:p w14:paraId="275AEA83"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b/>
                <w:bCs/>
                <w:sz w:val="22"/>
                <w:u w:val="single"/>
              </w:rPr>
              <w:t xml:space="preserve"> </w:t>
            </w:r>
            <w:r w:rsidRPr="00CF0F96">
              <w:rPr>
                <w:rFonts w:eastAsia="Arial" w:cs="Arial"/>
                <w:sz w:val="22"/>
                <w:u w:val="single"/>
              </w:rPr>
              <w:t xml:space="preserve">  </w:t>
            </w:r>
          </w:p>
          <w:p w14:paraId="65E36AB2"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b/>
                <w:bCs/>
                <w:sz w:val="22"/>
                <w:u w:val="single"/>
              </w:rPr>
              <w:t xml:space="preserve"> </w:t>
            </w:r>
            <w:r w:rsidRPr="00CF0F96">
              <w:rPr>
                <w:rFonts w:eastAsia="Arial" w:cs="Arial"/>
                <w:sz w:val="22"/>
                <w:u w:val="single"/>
              </w:rPr>
              <w:t xml:space="preserve">  </w:t>
            </w:r>
          </w:p>
          <w:p w14:paraId="608116F6"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b/>
                <w:bCs/>
                <w:sz w:val="22"/>
                <w:u w:val="single"/>
              </w:rPr>
              <w:t xml:space="preserve"> </w:t>
            </w:r>
            <w:r w:rsidRPr="00CF0F96">
              <w:rPr>
                <w:rFonts w:eastAsia="Arial" w:cs="Arial"/>
                <w:sz w:val="22"/>
                <w:u w:val="single"/>
              </w:rPr>
              <w:t xml:space="preserve">  </w:t>
            </w:r>
          </w:p>
        </w:tc>
        <w:tc>
          <w:tcPr>
            <w:tcW w:w="1929" w:type="dxa"/>
            <w:shd w:val="clear" w:color="auto" w:fill="FFFFFF" w:themeFill="background1"/>
            <w:tcMar>
              <w:left w:w="105" w:type="dxa"/>
              <w:right w:w="105" w:type="dxa"/>
            </w:tcMar>
          </w:tcPr>
          <w:p w14:paraId="535AD593"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tc>
      </w:tr>
      <w:tr w:rsidR="007A1D1C" w:rsidRPr="00CF0F96" w14:paraId="7040349B" w14:textId="77777777" w:rsidTr="00CF0F96">
        <w:trPr>
          <w:trHeight w:val="300"/>
        </w:trPr>
        <w:tc>
          <w:tcPr>
            <w:tcW w:w="915" w:type="dxa"/>
            <w:shd w:val="clear" w:color="auto" w:fill="FFFFFF" w:themeFill="background1"/>
            <w:tcMar>
              <w:left w:w="105" w:type="dxa"/>
              <w:right w:w="105" w:type="dxa"/>
            </w:tcMar>
          </w:tcPr>
          <w:p w14:paraId="1232A542" w14:textId="6B385838" w:rsidR="007A1D1C" w:rsidRPr="00CF0F96" w:rsidRDefault="007A1D1C" w:rsidP="00BB0D25">
            <w:pPr>
              <w:spacing w:after="0"/>
              <w:ind w:left="-30" w:right="-30"/>
              <w:jc w:val="center"/>
              <w:rPr>
                <w:rFonts w:eastAsia="Arial" w:cs="Arial"/>
                <w:sz w:val="22"/>
              </w:rPr>
            </w:pPr>
            <w:r w:rsidRPr="00CF0F96">
              <w:rPr>
                <w:rFonts w:eastAsia="Arial" w:cs="Arial"/>
                <w:sz w:val="22"/>
              </w:rPr>
              <w:t>11.6</w:t>
            </w:r>
          </w:p>
        </w:tc>
        <w:tc>
          <w:tcPr>
            <w:tcW w:w="3310" w:type="dxa"/>
            <w:shd w:val="clear" w:color="auto" w:fill="FFFFFF" w:themeFill="background1"/>
            <w:tcMar>
              <w:left w:w="105" w:type="dxa"/>
              <w:right w:w="105" w:type="dxa"/>
            </w:tcMar>
          </w:tcPr>
          <w:p w14:paraId="3BFA853B" w14:textId="77777777" w:rsidR="007A1D1C" w:rsidRPr="00CF0F96" w:rsidRDefault="007A1D1C" w:rsidP="00BB0D25">
            <w:pPr>
              <w:spacing w:after="0"/>
              <w:ind w:left="-30" w:right="-30"/>
              <w:jc w:val="both"/>
              <w:rPr>
                <w:rFonts w:eastAsia="Arial" w:cs="Arial"/>
                <w:sz w:val="22"/>
                <w:lang w:val="es-HN"/>
              </w:rPr>
            </w:pPr>
            <w:r w:rsidRPr="00CF0F96">
              <w:rPr>
                <w:rFonts w:eastAsia="Arial" w:cs="Arial"/>
                <w:sz w:val="22"/>
              </w:rPr>
              <w:t xml:space="preserve">¿Participan mujeres en la provisión de mano de obra?   </w:t>
            </w:r>
          </w:p>
        </w:tc>
        <w:tc>
          <w:tcPr>
            <w:tcW w:w="3206" w:type="dxa"/>
            <w:shd w:val="clear" w:color="auto" w:fill="FFFFFF" w:themeFill="background1"/>
            <w:tcMar>
              <w:left w:w="105" w:type="dxa"/>
              <w:right w:w="105" w:type="dxa"/>
            </w:tcMar>
            <w:vAlign w:val="center"/>
          </w:tcPr>
          <w:p w14:paraId="14D60160"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p w14:paraId="70FF8AA7"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tc>
        <w:tc>
          <w:tcPr>
            <w:tcW w:w="1929" w:type="dxa"/>
            <w:shd w:val="clear" w:color="auto" w:fill="FFFFFF" w:themeFill="background1"/>
            <w:tcMar>
              <w:left w:w="105" w:type="dxa"/>
              <w:right w:w="105" w:type="dxa"/>
            </w:tcMar>
          </w:tcPr>
          <w:p w14:paraId="16770D26" w14:textId="77777777" w:rsidR="007A1D1C" w:rsidRPr="00CF0F96" w:rsidRDefault="007A1D1C" w:rsidP="00FF59A0">
            <w:pPr>
              <w:spacing w:after="0"/>
              <w:ind w:left="-30" w:right="-30"/>
              <w:jc w:val="center"/>
              <w:rPr>
                <w:rFonts w:eastAsia="Arial" w:cs="Arial"/>
                <w:sz w:val="22"/>
                <w:u w:val="single"/>
                <w:lang w:val="es-HN"/>
              </w:rPr>
            </w:pPr>
            <w:r w:rsidRPr="00CF0F96">
              <w:rPr>
                <w:rFonts w:eastAsia="Arial" w:cs="Arial"/>
                <w:sz w:val="22"/>
                <w:u w:val="single"/>
              </w:rPr>
              <w:t xml:space="preserve">  </w:t>
            </w:r>
          </w:p>
        </w:tc>
      </w:tr>
      <w:tr w:rsidR="007A1D1C" w:rsidRPr="00CF0F96" w14:paraId="02EEBFC9" w14:textId="77777777" w:rsidTr="00CF0F96">
        <w:trPr>
          <w:trHeight w:val="300"/>
        </w:trPr>
        <w:tc>
          <w:tcPr>
            <w:tcW w:w="915" w:type="dxa"/>
            <w:shd w:val="clear" w:color="auto" w:fill="FFFFFF" w:themeFill="background1"/>
            <w:tcMar>
              <w:left w:w="105" w:type="dxa"/>
              <w:right w:w="105" w:type="dxa"/>
            </w:tcMar>
          </w:tcPr>
          <w:p w14:paraId="6A2F1B49" w14:textId="0C1CF967" w:rsidR="007A1D1C" w:rsidRPr="00CF0F96" w:rsidRDefault="007A1D1C" w:rsidP="00BB0D25">
            <w:pPr>
              <w:spacing w:after="0"/>
              <w:ind w:left="-30" w:right="-30"/>
              <w:jc w:val="center"/>
              <w:rPr>
                <w:rFonts w:eastAsia="Arial" w:cs="Arial"/>
                <w:sz w:val="22"/>
              </w:rPr>
            </w:pPr>
            <w:r w:rsidRPr="00CF0F96">
              <w:rPr>
                <w:rFonts w:eastAsia="Arial" w:cs="Arial"/>
                <w:sz w:val="22"/>
              </w:rPr>
              <w:t>11.7</w:t>
            </w:r>
          </w:p>
        </w:tc>
        <w:tc>
          <w:tcPr>
            <w:tcW w:w="3310" w:type="dxa"/>
            <w:shd w:val="clear" w:color="auto" w:fill="FFFFFF" w:themeFill="background1"/>
            <w:tcMar>
              <w:left w:w="105" w:type="dxa"/>
              <w:right w:w="105" w:type="dxa"/>
            </w:tcMar>
          </w:tcPr>
          <w:p w14:paraId="2C36BED3" w14:textId="77777777" w:rsidR="007A1D1C" w:rsidRPr="00CF0F96" w:rsidRDefault="007A1D1C" w:rsidP="00BB0D25">
            <w:pPr>
              <w:spacing w:after="0"/>
              <w:ind w:left="-30" w:right="-30"/>
              <w:jc w:val="both"/>
              <w:rPr>
                <w:rFonts w:eastAsia="Arial" w:cs="Arial"/>
                <w:sz w:val="22"/>
              </w:rPr>
            </w:pPr>
            <w:r w:rsidRPr="00CF0F96">
              <w:rPr>
                <w:rFonts w:eastAsia="Arial" w:cs="Arial"/>
                <w:sz w:val="22"/>
              </w:rPr>
              <w:t>¿Las actividades del subproyecto tienen el potencial de aumentar la carga de trabajo para las mujeres?  (Saber si las mujeres tienen sobre carga de trabajo)</w:t>
            </w:r>
          </w:p>
        </w:tc>
        <w:tc>
          <w:tcPr>
            <w:tcW w:w="3206" w:type="dxa"/>
            <w:shd w:val="clear" w:color="auto" w:fill="FFFFFF" w:themeFill="background1"/>
            <w:tcMar>
              <w:left w:w="105" w:type="dxa"/>
              <w:right w:w="105" w:type="dxa"/>
            </w:tcMar>
            <w:vAlign w:val="center"/>
          </w:tcPr>
          <w:p w14:paraId="4B436F6E" w14:textId="77777777" w:rsidR="007A1D1C" w:rsidRPr="00CF0F96" w:rsidRDefault="007A1D1C" w:rsidP="00FF59A0">
            <w:pPr>
              <w:spacing w:after="0"/>
              <w:ind w:left="-30" w:right="-30"/>
              <w:jc w:val="center"/>
              <w:rPr>
                <w:rFonts w:eastAsia="Arial" w:cs="Arial"/>
                <w:sz w:val="22"/>
                <w:u w:val="single"/>
              </w:rPr>
            </w:pPr>
            <w:r w:rsidRPr="00CF0F96">
              <w:rPr>
                <w:rFonts w:eastAsia="Arial" w:cs="Arial"/>
                <w:sz w:val="22"/>
                <w:u w:val="single"/>
              </w:rPr>
              <w:t xml:space="preserve">  </w:t>
            </w:r>
          </w:p>
        </w:tc>
        <w:tc>
          <w:tcPr>
            <w:tcW w:w="1929" w:type="dxa"/>
            <w:shd w:val="clear" w:color="auto" w:fill="FFFFFF" w:themeFill="background1"/>
            <w:tcMar>
              <w:left w:w="105" w:type="dxa"/>
              <w:right w:w="105" w:type="dxa"/>
            </w:tcMar>
          </w:tcPr>
          <w:p w14:paraId="7516B370" w14:textId="77777777" w:rsidR="007A1D1C" w:rsidRPr="00CF0F96" w:rsidRDefault="007A1D1C" w:rsidP="00FF59A0">
            <w:pPr>
              <w:spacing w:after="0"/>
              <w:ind w:left="-30" w:right="-30"/>
              <w:jc w:val="center"/>
              <w:rPr>
                <w:rFonts w:eastAsia="Arial" w:cs="Arial"/>
                <w:sz w:val="22"/>
                <w:u w:val="single"/>
              </w:rPr>
            </w:pPr>
          </w:p>
        </w:tc>
      </w:tr>
      <w:tr w:rsidR="007A1D1C" w:rsidRPr="00CF0F96" w14:paraId="16A4A6A2" w14:textId="77777777" w:rsidTr="00CF0F96">
        <w:trPr>
          <w:trHeight w:val="300"/>
        </w:trPr>
        <w:tc>
          <w:tcPr>
            <w:tcW w:w="915" w:type="dxa"/>
            <w:shd w:val="clear" w:color="auto" w:fill="FFFFFF" w:themeFill="background1"/>
            <w:tcMar>
              <w:left w:w="105" w:type="dxa"/>
              <w:right w:w="105" w:type="dxa"/>
            </w:tcMar>
          </w:tcPr>
          <w:p w14:paraId="1C402B4F" w14:textId="77777777" w:rsidR="007A1D1C" w:rsidRPr="00CF0F96" w:rsidRDefault="007A1D1C" w:rsidP="00FF59A0">
            <w:pPr>
              <w:rPr>
                <w:rFonts w:eastAsia="Arial" w:cs="Arial"/>
                <w:sz w:val="22"/>
              </w:rPr>
            </w:pPr>
          </w:p>
        </w:tc>
        <w:tc>
          <w:tcPr>
            <w:tcW w:w="3310" w:type="dxa"/>
            <w:shd w:val="clear" w:color="auto" w:fill="FFFFFF" w:themeFill="background1"/>
            <w:tcMar>
              <w:left w:w="105" w:type="dxa"/>
              <w:right w:w="105" w:type="dxa"/>
            </w:tcMar>
          </w:tcPr>
          <w:p w14:paraId="64CA2C66" w14:textId="77777777" w:rsidR="007A1D1C" w:rsidRPr="00CF0F96" w:rsidRDefault="007A1D1C" w:rsidP="00BB0D25">
            <w:pPr>
              <w:jc w:val="both"/>
              <w:rPr>
                <w:rFonts w:eastAsia="Arial" w:cs="Arial"/>
                <w:sz w:val="22"/>
              </w:rPr>
            </w:pPr>
            <w:r w:rsidRPr="00CF0F96">
              <w:rPr>
                <w:rFonts w:eastAsia="Arial" w:cs="Arial"/>
                <w:sz w:val="22"/>
              </w:rPr>
              <w:t>¿Se están incluyendo a las mujeres de la organización en actividades de comercialización y empoderamiento económico?</w:t>
            </w:r>
          </w:p>
        </w:tc>
        <w:tc>
          <w:tcPr>
            <w:tcW w:w="3206" w:type="dxa"/>
            <w:shd w:val="clear" w:color="auto" w:fill="FFFFFF" w:themeFill="background1"/>
            <w:tcMar>
              <w:left w:w="105" w:type="dxa"/>
              <w:right w:w="105" w:type="dxa"/>
            </w:tcMar>
            <w:vAlign w:val="center"/>
          </w:tcPr>
          <w:p w14:paraId="3B162676" w14:textId="77777777" w:rsidR="007A1D1C" w:rsidRPr="00CF0F96" w:rsidRDefault="007A1D1C" w:rsidP="00FF59A0">
            <w:pPr>
              <w:jc w:val="center"/>
              <w:rPr>
                <w:rFonts w:eastAsia="Arial" w:cs="Arial"/>
                <w:sz w:val="22"/>
                <w:u w:val="single"/>
              </w:rPr>
            </w:pPr>
          </w:p>
        </w:tc>
        <w:tc>
          <w:tcPr>
            <w:tcW w:w="1929" w:type="dxa"/>
            <w:shd w:val="clear" w:color="auto" w:fill="FFFFFF" w:themeFill="background1"/>
            <w:tcMar>
              <w:left w:w="105" w:type="dxa"/>
              <w:right w:w="105" w:type="dxa"/>
            </w:tcMar>
          </w:tcPr>
          <w:p w14:paraId="5BCE5BCD" w14:textId="77777777" w:rsidR="007A1D1C" w:rsidRPr="00CF0F96" w:rsidRDefault="007A1D1C" w:rsidP="00FF59A0">
            <w:pPr>
              <w:jc w:val="center"/>
              <w:rPr>
                <w:rFonts w:eastAsia="Arial" w:cs="Arial"/>
                <w:sz w:val="22"/>
                <w:u w:val="single"/>
                <w:lang w:val="es-HN"/>
              </w:rPr>
            </w:pPr>
          </w:p>
        </w:tc>
      </w:tr>
    </w:tbl>
    <w:tbl>
      <w:tblPr>
        <w:tblStyle w:val="Tablaconcuadrcula2"/>
        <w:tblW w:w="936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360"/>
      </w:tblGrid>
      <w:tr w:rsidR="007A1D1C" w:rsidRPr="00FA4B2D" w14:paraId="109FBC90" w14:textId="77777777" w:rsidTr="007A1D1C">
        <w:trPr>
          <w:trHeight w:val="300"/>
        </w:trPr>
        <w:tc>
          <w:tcPr>
            <w:tcW w:w="9360" w:type="dxa"/>
            <w:tcBorders>
              <w:top w:val="single" w:sz="12" w:space="0" w:color="auto"/>
              <w:left w:val="single" w:sz="12" w:space="0" w:color="auto"/>
              <w:right w:val="single" w:sz="12" w:space="0" w:color="auto"/>
            </w:tcBorders>
            <w:tcMar>
              <w:left w:w="105" w:type="dxa"/>
              <w:right w:w="105" w:type="dxa"/>
            </w:tcMar>
          </w:tcPr>
          <w:p w14:paraId="72CF2A89" w14:textId="77777777" w:rsidR="007A1D1C" w:rsidRPr="00FA4B2D" w:rsidRDefault="007A1D1C" w:rsidP="007A1D1C">
            <w:pPr>
              <w:rPr>
                <w:rFonts w:eastAsia="Arial" w:cs="Arial"/>
                <w:sz w:val="20"/>
                <w:szCs w:val="20"/>
                <w:lang w:val="es-HN"/>
              </w:rPr>
            </w:pPr>
            <w:r w:rsidRPr="00FA4B2D">
              <w:rPr>
                <w:rFonts w:eastAsia="Arial" w:cs="Arial"/>
                <w:b/>
                <w:bCs/>
                <w:sz w:val="20"/>
                <w:szCs w:val="20"/>
              </w:rPr>
              <w:t>12.0 Conclusiones y Recomendaciones de responsables del Levantamiento de Ficha</w:t>
            </w:r>
          </w:p>
        </w:tc>
      </w:tr>
      <w:tr w:rsidR="007A1D1C" w:rsidRPr="00FA4B2D" w14:paraId="67EC8C8A" w14:textId="77777777" w:rsidTr="007A1D1C">
        <w:trPr>
          <w:trHeight w:val="300"/>
        </w:trPr>
        <w:tc>
          <w:tcPr>
            <w:tcW w:w="9360" w:type="dxa"/>
            <w:tcBorders>
              <w:left w:val="single" w:sz="12" w:space="0" w:color="auto"/>
              <w:right w:val="single" w:sz="12" w:space="0" w:color="auto"/>
            </w:tcBorders>
            <w:tcMar>
              <w:left w:w="105" w:type="dxa"/>
              <w:right w:w="105" w:type="dxa"/>
            </w:tcMar>
          </w:tcPr>
          <w:p w14:paraId="5B119E47" w14:textId="77777777" w:rsidR="007A1D1C" w:rsidRPr="00FA4B2D" w:rsidRDefault="007A1D1C" w:rsidP="007A1D1C">
            <w:pPr>
              <w:rPr>
                <w:rFonts w:eastAsia="Arial" w:cs="Arial"/>
                <w:sz w:val="20"/>
                <w:szCs w:val="20"/>
                <w:lang w:val="en-US"/>
              </w:rPr>
            </w:pPr>
            <w:r w:rsidRPr="00FA4B2D">
              <w:rPr>
                <w:rFonts w:eastAsia="Arial" w:cs="Arial"/>
                <w:sz w:val="20"/>
                <w:szCs w:val="20"/>
              </w:rPr>
              <w:t>12.1 Conclusiones:</w:t>
            </w:r>
          </w:p>
          <w:p w14:paraId="4DF1EBF3" w14:textId="77777777" w:rsidR="007A1D1C" w:rsidRPr="00FA4B2D" w:rsidRDefault="007A1D1C" w:rsidP="007A1D1C">
            <w:pPr>
              <w:rPr>
                <w:rFonts w:eastAsia="Arial" w:cs="Arial"/>
                <w:sz w:val="20"/>
                <w:szCs w:val="20"/>
                <w:lang w:val="en-US"/>
              </w:rPr>
            </w:pPr>
          </w:p>
          <w:p w14:paraId="54F5A12B" w14:textId="77777777" w:rsidR="007A1D1C" w:rsidRPr="00FA4B2D" w:rsidRDefault="007A1D1C" w:rsidP="007A1D1C">
            <w:pPr>
              <w:rPr>
                <w:rFonts w:eastAsia="Arial" w:cs="Arial"/>
                <w:sz w:val="20"/>
                <w:szCs w:val="20"/>
                <w:lang w:val="en-US"/>
              </w:rPr>
            </w:pPr>
          </w:p>
          <w:p w14:paraId="6E34CAEE" w14:textId="77777777" w:rsidR="007A1D1C" w:rsidRPr="00FA4B2D" w:rsidRDefault="007A1D1C" w:rsidP="007A1D1C">
            <w:pPr>
              <w:rPr>
                <w:rFonts w:eastAsia="Arial" w:cs="Arial"/>
                <w:sz w:val="20"/>
                <w:szCs w:val="20"/>
                <w:lang w:val="en-US"/>
              </w:rPr>
            </w:pPr>
          </w:p>
          <w:p w14:paraId="7A5A0445" w14:textId="77777777" w:rsidR="007A1D1C" w:rsidRPr="00FA4B2D" w:rsidRDefault="007A1D1C" w:rsidP="007A1D1C">
            <w:pPr>
              <w:rPr>
                <w:rFonts w:eastAsia="Arial" w:cs="Arial"/>
                <w:sz w:val="20"/>
                <w:szCs w:val="20"/>
                <w:lang w:val="en-US"/>
              </w:rPr>
            </w:pPr>
          </w:p>
          <w:p w14:paraId="6A62B5FD" w14:textId="77777777" w:rsidR="007A1D1C" w:rsidRPr="00FA4B2D" w:rsidRDefault="007A1D1C" w:rsidP="007A1D1C">
            <w:pPr>
              <w:rPr>
                <w:rFonts w:eastAsia="Arial" w:cs="Arial"/>
                <w:sz w:val="20"/>
                <w:szCs w:val="20"/>
                <w:lang w:val="en-US"/>
              </w:rPr>
            </w:pPr>
          </w:p>
        </w:tc>
      </w:tr>
      <w:tr w:rsidR="007A1D1C" w:rsidRPr="00FA4B2D" w14:paraId="172172EB" w14:textId="77777777" w:rsidTr="007A1D1C">
        <w:trPr>
          <w:trHeight w:val="300"/>
        </w:trPr>
        <w:tc>
          <w:tcPr>
            <w:tcW w:w="9360" w:type="dxa"/>
            <w:tcBorders>
              <w:left w:val="single" w:sz="12" w:space="0" w:color="auto"/>
              <w:right w:val="single" w:sz="12" w:space="0" w:color="auto"/>
            </w:tcBorders>
            <w:tcMar>
              <w:left w:w="105" w:type="dxa"/>
              <w:right w:w="105" w:type="dxa"/>
            </w:tcMar>
          </w:tcPr>
          <w:p w14:paraId="78D87DF8" w14:textId="77777777" w:rsidR="007A1D1C" w:rsidRPr="00FA4B2D" w:rsidRDefault="007A1D1C" w:rsidP="007A1D1C">
            <w:pPr>
              <w:rPr>
                <w:rFonts w:eastAsia="Arial" w:cs="Arial"/>
                <w:sz w:val="20"/>
                <w:szCs w:val="20"/>
                <w:lang w:val="en-US"/>
              </w:rPr>
            </w:pPr>
            <w:r w:rsidRPr="00FA4B2D">
              <w:rPr>
                <w:rFonts w:eastAsia="Arial" w:cs="Arial"/>
                <w:sz w:val="20"/>
                <w:szCs w:val="20"/>
              </w:rPr>
              <w:t>12.2 Recomendaciones:</w:t>
            </w:r>
          </w:p>
          <w:p w14:paraId="24658C41" w14:textId="77777777" w:rsidR="007A1D1C" w:rsidRPr="00FA4B2D" w:rsidRDefault="007A1D1C" w:rsidP="007A1D1C">
            <w:pPr>
              <w:rPr>
                <w:rFonts w:eastAsia="Arial" w:cs="Arial"/>
                <w:sz w:val="20"/>
                <w:szCs w:val="20"/>
                <w:lang w:val="en-US"/>
              </w:rPr>
            </w:pPr>
          </w:p>
          <w:p w14:paraId="66C26883" w14:textId="77777777" w:rsidR="007A1D1C" w:rsidRPr="00FA4B2D" w:rsidRDefault="007A1D1C" w:rsidP="007A1D1C">
            <w:pPr>
              <w:rPr>
                <w:rFonts w:eastAsia="Arial" w:cs="Arial"/>
                <w:sz w:val="20"/>
                <w:szCs w:val="20"/>
                <w:lang w:val="en-US"/>
              </w:rPr>
            </w:pPr>
          </w:p>
          <w:p w14:paraId="4B304DB2" w14:textId="77777777" w:rsidR="007A1D1C" w:rsidRPr="00FA4B2D" w:rsidRDefault="007A1D1C" w:rsidP="007A1D1C">
            <w:pPr>
              <w:rPr>
                <w:rFonts w:eastAsia="Arial" w:cs="Arial"/>
                <w:sz w:val="20"/>
                <w:szCs w:val="20"/>
                <w:lang w:val="en-US"/>
              </w:rPr>
            </w:pPr>
          </w:p>
        </w:tc>
      </w:tr>
      <w:tr w:rsidR="007A1D1C" w:rsidRPr="00FA4B2D" w14:paraId="6C0FD7E5" w14:textId="77777777" w:rsidTr="007A1D1C">
        <w:trPr>
          <w:trHeight w:val="300"/>
        </w:trPr>
        <w:tc>
          <w:tcPr>
            <w:tcW w:w="9360" w:type="dxa"/>
            <w:tcBorders>
              <w:left w:val="single" w:sz="12" w:space="0" w:color="auto"/>
              <w:right w:val="single" w:sz="12" w:space="0" w:color="auto"/>
            </w:tcBorders>
            <w:tcMar>
              <w:left w:w="105" w:type="dxa"/>
              <w:right w:w="105" w:type="dxa"/>
            </w:tcMar>
          </w:tcPr>
          <w:p w14:paraId="79425F42" w14:textId="77777777" w:rsidR="007A1D1C" w:rsidRPr="00FA4B2D" w:rsidRDefault="007A1D1C" w:rsidP="007A1D1C">
            <w:pPr>
              <w:rPr>
                <w:rFonts w:eastAsia="Arial" w:cs="Arial"/>
                <w:sz w:val="20"/>
                <w:szCs w:val="20"/>
                <w:lang w:val="es-HN"/>
              </w:rPr>
            </w:pPr>
            <w:r w:rsidRPr="00FA4B2D">
              <w:rPr>
                <w:rFonts w:eastAsia="Arial" w:cs="Arial"/>
                <w:sz w:val="20"/>
                <w:szCs w:val="20"/>
              </w:rPr>
              <w:t>Responsable Ambiental que Levanto Ficha:</w:t>
            </w:r>
          </w:p>
          <w:p w14:paraId="024D6888" w14:textId="77777777" w:rsidR="007A1D1C" w:rsidRPr="00FA4B2D" w:rsidRDefault="007A1D1C" w:rsidP="007A1D1C">
            <w:pPr>
              <w:rPr>
                <w:rFonts w:eastAsia="Arial" w:cs="Arial"/>
                <w:sz w:val="20"/>
                <w:szCs w:val="20"/>
                <w:lang w:val="en-US"/>
              </w:rPr>
            </w:pPr>
            <w:r w:rsidRPr="00FA4B2D">
              <w:rPr>
                <w:rFonts w:eastAsia="Arial" w:cs="Arial"/>
                <w:sz w:val="20"/>
                <w:szCs w:val="20"/>
              </w:rPr>
              <w:t>Nombre:</w:t>
            </w:r>
          </w:p>
          <w:p w14:paraId="6EAFDF21" w14:textId="77777777" w:rsidR="007A1D1C" w:rsidRPr="00FA4B2D" w:rsidRDefault="007A1D1C" w:rsidP="007A1D1C">
            <w:pPr>
              <w:rPr>
                <w:rFonts w:eastAsia="Arial" w:cs="Arial"/>
                <w:sz w:val="20"/>
                <w:szCs w:val="20"/>
                <w:lang w:val="en-US"/>
              </w:rPr>
            </w:pPr>
            <w:r w:rsidRPr="00FA4B2D">
              <w:rPr>
                <w:rFonts w:eastAsia="Arial" w:cs="Arial"/>
                <w:sz w:val="20"/>
                <w:szCs w:val="20"/>
              </w:rPr>
              <w:t>Firma</w:t>
            </w:r>
          </w:p>
        </w:tc>
      </w:tr>
      <w:tr w:rsidR="007A1D1C" w:rsidRPr="00FA4B2D" w14:paraId="621029EA" w14:textId="77777777" w:rsidTr="007A1D1C">
        <w:trPr>
          <w:trHeight w:val="300"/>
        </w:trPr>
        <w:tc>
          <w:tcPr>
            <w:tcW w:w="9360" w:type="dxa"/>
            <w:tcBorders>
              <w:left w:val="single" w:sz="12" w:space="0" w:color="auto"/>
              <w:right w:val="single" w:sz="12" w:space="0" w:color="auto"/>
            </w:tcBorders>
            <w:tcMar>
              <w:left w:w="105" w:type="dxa"/>
              <w:right w:w="105" w:type="dxa"/>
            </w:tcMar>
          </w:tcPr>
          <w:p w14:paraId="36DA541E" w14:textId="77777777" w:rsidR="007A1D1C" w:rsidRPr="00FA4B2D" w:rsidRDefault="007A1D1C" w:rsidP="007A1D1C">
            <w:pPr>
              <w:rPr>
                <w:rFonts w:eastAsia="Arial" w:cs="Arial"/>
                <w:sz w:val="20"/>
                <w:szCs w:val="20"/>
                <w:lang w:val="es-HN"/>
              </w:rPr>
            </w:pPr>
            <w:r w:rsidRPr="00FA4B2D">
              <w:rPr>
                <w:rFonts w:eastAsia="Arial" w:cs="Arial"/>
                <w:sz w:val="20"/>
                <w:szCs w:val="20"/>
              </w:rPr>
              <w:t>Responsable Social que Levanto Ficha:</w:t>
            </w:r>
          </w:p>
          <w:p w14:paraId="70D9DA56" w14:textId="77777777" w:rsidR="007A1D1C" w:rsidRPr="00FA4B2D" w:rsidRDefault="007A1D1C" w:rsidP="007A1D1C">
            <w:pPr>
              <w:rPr>
                <w:rFonts w:eastAsia="Arial" w:cs="Arial"/>
                <w:sz w:val="20"/>
                <w:szCs w:val="20"/>
                <w:lang w:val="en-US"/>
              </w:rPr>
            </w:pPr>
            <w:r w:rsidRPr="00FA4B2D">
              <w:rPr>
                <w:rFonts w:eastAsia="Arial" w:cs="Arial"/>
                <w:sz w:val="20"/>
                <w:szCs w:val="20"/>
              </w:rPr>
              <w:t>Nombre:</w:t>
            </w:r>
          </w:p>
          <w:p w14:paraId="709A1478" w14:textId="77777777" w:rsidR="007A1D1C" w:rsidRPr="00FA4B2D" w:rsidRDefault="007A1D1C" w:rsidP="007A1D1C">
            <w:pPr>
              <w:rPr>
                <w:rFonts w:eastAsia="Arial" w:cs="Arial"/>
                <w:sz w:val="20"/>
                <w:szCs w:val="20"/>
                <w:lang w:val="en-US"/>
              </w:rPr>
            </w:pPr>
            <w:r w:rsidRPr="00FA4B2D">
              <w:rPr>
                <w:rFonts w:eastAsia="Arial" w:cs="Arial"/>
                <w:sz w:val="20"/>
                <w:szCs w:val="20"/>
              </w:rPr>
              <w:t>Firma:</w:t>
            </w:r>
          </w:p>
        </w:tc>
      </w:tr>
      <w:tr w:rsidR="007A1D1C" w:rsidRPr="00FA4B2D" w14:paraId="2C9A20B4" w14:textId="77777777" w:rsidTr="007A1D1C">
        <w:trPr>
          <w:trHeight w:val="300"/>
        </w:trPr>
        <w:tc>
          <w:tcPr>
            <w:tcW w:w="9360" w:type="dxa"/>
            <w:tcBorders>
              <w:left w:val="single" w:sz="12" w:space="0" w:color="auto"/>
              <w:right w:val="single" w:sz="12" w:space="0" w:color="auto"/>
            </w:tcBorders>
            <w:tcMar>
              <w:left w:w="105" w:type="dxa"/>
              <w:right w:w="105" w:type="dxa"/>
            </w:tcMar>
          </w:tcPr>
          <w:p w14:paraId="2124EC9F" w14:textId="77777777" w:rsidR="007A1D1C" w:rsidRPr="00FA4B2D" w:rsidRDefault="007A1D1C" w:rsidP="007A1D1C">
            <w:pPr>
              <w:rPr>
                <w:rFonts w:eastAsia="Arial" w:cs="Arial"/>
                <w:sz w:val="20"/>
                <w:szCs w:val="20"/>
                <w:lang w:val="en-US"/>
              </w:rPr>
            </w:pPr>
            <w:r w:rsidRPr="00FA4B2D">
              <w:rPr>
                <w:rFonts w:eastAsia="Arial" w:cs="Arial"/>
                <w:sz w:val="20"/>
                <w:szCs w:val="20"/>
              </w:rPr>
              <w:t>Informante/s</w:t>
            </w:r>
          </w:p>
          <w:p w14:paraId="209657D8" w14:textId="77777777" w:rsidR="007A1D1C" w:rsidRPr="00FA4B2D" w:rsidRDefault="007A1D1C" w:rsidP="007A1D1C">
            <w:pPr>
              <w:rPr>
                <w:rFonts w:eastAsia="Arial" w:cs="Arial"/>
                <w:sz w:val="20"/>
                <w:szCs w:val="20"/>
                <w:lang w:val="en-US"/>
              </w:rPr>
            </w:pPr>
          </w:p>
          <w:p w14:paraId="42B4C944" w14:textId="77777777" w:rsidR="007A1D1C" w:rsidRPr="00FA4B2D" w:rsidRDefault="007A1D1C" w:rsidP="007A1D1C">
            <w:pPr>
              <w:rPr>
                <w:rFonts w:eastAsia="Arial" w:cs="Arial"/>
                <w:sz w:val="20"/>
                <w:szCs w:val="20"/>
                <w:lang w:val="en-US"/>
              </w:rPr>
            </w:pPr>
          </w:p>
        </w:tc>
      </w:tr>
      <w:tr w:rsidR="007A1D1C" w:rsidRPr="00FA4B2D" w14:paraId="0CF618FA" w14:textId="77777777" w:rsidTr="007A1D1C">
        <w:trPr>
          <w:trHeight w:val="300"/>
        </w:trPr>
        <w:tc>
          <w:tcPr>
            <w:tcW w:w="9360" w:type="dxa"/>
            <w:tcBorders>
              <w:left w:val="single" w:sz="12" w:space="0" w:color="auto"/>
              <w:right w:val="single" w:sz="12" w:space="0" w:color="auto"/>
            </w:tcBorders>
            <w:tcMar>
              <w:left w:w="105" w:type="dxa"/>
              <w:right w:w="105" w:type="dxa"/>
            </w:tcMar>
          </w:tcPr>
          <w:p w14:paraId="2FE55B8E" w14:textId="77777777" w:rsidR="007A1D1C" w:rsidRPr="00FA4B2D" w:rsidRDefault="007A1D1C" w:rsidP="007A1D1C">
            <w:pPr>
              <w:rPr>
                <w:rFonts w:eastAsia="Arial" w:cs="Arial"/>
                <w:sz w:val="20"/>
                <w:szCs w:val="20"/>
                <w:lang w:val="es-HN"/>
              </w:rPr>
            </w:pPr>
            <w:r w:rsidRPr="00FA4B2D">
              <w:rPr>
                <w:rFonts w:eastAsia="Arial" w:cs="Arial"/>
                <w:sz w:val="20"/>
                <w:szCs w:val="20"/>
              </w:rPr>
              <w:t>Lugar y Fecha del Levantamiento:</w:t>
            </w:r>
          </w:p>
        </w:tc>
      </w:tr>
      <w:tr w:rsidR="007A1D1C" w:rsidRPr="00FA4B2D" w14:paraId="331C93AE" w14:textId="77777777" w:rsidTr="007A1D1C">
        <w:trPr>
          <w:trHeight w:val="300"/>
        </w:trPr>
        <w:tc>
          <w:tcPr>
            <w:tcW w:w="9360" w:type="dxa"/>
            <w:tcBorders>
              <w:left w:val="single" w:sz="12" w:space="0" w:color="auto"/>
              <w:bottom w:val="single" w:sz="12" w:space="0" w:color="auto"/>
              <w:right w:val="single" w:sz="12" w:space="0" w:color="auto"/>
            </w:tcBorders>
            <w:tcMar>
              <w:left w:w="105" w:type="dxa"/>
              <w:right w:w="105" w:type="dxa"/>
            </w:tcMar>
          </w:tcPr>
          <w:p w14:paraId="5828DFBF" w14:textId="77777777" w:rsidR="007A1D1C" w:rsidRPr="00FA4B2D" w:rsidRDefault="007A1D1C" w:rsidP="007A1D1C">
            <w:pPr>
              <w:rPr>
                <w:rFonts w:eastAsia="Arial" w:cs="Arial"/>
                <w:sz w:val="20"/>
                <w:szCs w:val="20"/>
                <w:lang w:val="es-HN"/>
              </w:rPr>
            </w:pPr>
          </w:p>
        </w:tc>
      </w:tr>
    </w:tbl>
    <w:p w14:paraId="34058ED0" w14:textId="77777777" w:rsidR="006A3DBC" w:rsidRPr="00FA4B2D" w:rsidRDefault="006A3DBC" w:rsidP="00811897">
      <w:pPr>
        <w:pStyle w:val="Ttulo1"/>
        <w:numPr>
          <w:ilvl w:val="0"/>
          <w:numId w:val="71"/>
        </w:numPr>
        <w:ind w:left="0" w:firstLine="0"/>
        <w:rPr>
          <w:rFonts w:ascii="Arial" w:hAnsi="Arial" w:cs="Arial"/>
          <w:b/>
          <w:color w:val="767171" w:themeColor="background2" w:themeShade="80"/>
          <w:sz w:val="22"/>
          <w:szCs w:val="22"/>
        </w:rPr>
      </w:pPr>
      <w:bookmarkStart w:id="1546" w:name="_Toc202456988"/>
      <w:r w:rsidRPr="00FA4B2D">
        <w:rPr>
          <w:rFonts w:ascii="Arial" w:hAnsi="Arial" w:cs="Arial"/>
          <w:b/>
          <w:color w:val="767171" w:themeColor="background2" w:themeShade="80"/>
          <w:sz w:val="22"/>
          <w:szCs w:val="22"/>
        </w:rPr>
        <w:lastRenderedPageBreak/>
        <w:t>Bibliografía</w:t>
      </w:r>
      <w:bookmarkEnd w:id="1542"/>
      <w:bookmarkEnd w:id="1544"/>
      <w:bookmarkEnd w:id="1546"/>
    </w:p>
    <w:p w14:paraId="5444921C" w14:textId="77777777" w:rsidR="006A3DBC" w:rsidRPr="00FA4B2D" w:rsidRDefault="006A3DBC" w:rsidP="006A3DBC">
      <w:pPr>
        <w:spacing w:after="0" w:line="240" w:lineRule="auto"/>
        <w:rPr>
          <w:rFonts w:cs="Arial"/>
        </w:rPr>
      </w:pPr>
    </w:p>
    <w:p w14:paraId="65A62020" w14:textId="2E5DD26A" w:rsidR="006A3DBC" w:rsidRPr="00CF0F96" w:rsidRDefault="006A3DBC" w:rsidP="006A3DBC">
      <w:pPr>
        <w:pStyle w:val="Prrafodelista"/>
        <w:numPr>
          <w:ilvl w:val="0"/>
          <w:numId w:val="11"/>
        </w:numPr>
        <w:spacing w:after="0" w:line="240" w:lineRule="auto"/>
        <w:ind w:left="284" w:firstLine="0"/>
        <w:rPr>
          <w:rFonts w:cs="Arial"/>
          <w:sz w:val="22"/>
        </w:rPr>
      </w:pPr>
      <w:r w:rsidRPr="00CF0F96">
        <w:rPr>
          <w:rFonts w:cs="Arial"/>
          <w:sz w:val="22"/>
        </w:rPr>
        <w:t>Proyecto COMRURAL. Manual Operativo. (</w:t>
      </w:r>
      <w:r w:rsidR="00BB0D25" w:rsidRPr="00CF0F96">
        <w:rPr>
          <w:rFonts w:cs="Arial"/>
          <w:sz w:val="22"/>
        </w:rPr>
        <w:t>junio</w:t>
      </w:r>
      <w:r w:rsidRPr="00CF0F96">
        <w:rPr>
          <w:rFonts w:cs="Arial"/>
          <w:sz w:val="22"/>
        </w:rPr>
        <w:t xml:space="preserve"> 2012)</w:t>
      </w:r>
    </w:p>
    <w:p w14:paraId="312B514E" w14:textId="77777777" w:rsidR="006A3DBC" w:rsidRPr="00CF0F96" w:rsidRDefault="006A3DBC" w:rsidP="006A3DBC">
      <w:pPr>
        <w:pStyle w:val="Prrafodelista"/>
        <w:numPr>
          <w:ilvl w:val="0"/>
          <w:numId w:val="11"/>
        </w:numPr>
        <w:spacing w:after="0" w:line="240" w:lineRule="auto"/>
        <w:ind w:left="284" w:firstLine="0"/>
        <w:rPr>
          <w:rFonts w:cs="Arial"/>
          <w:sz w:val="22"/>
        </w:rPr>
      </w:pPr>
      <w:r w:rsidRPr="00CF0F96">
        <w:rPr>
          <w:rFonts w:cs="Arial"/>
          <w:sz w:val="22"/>
          <w:lang w:val="es-HN"/>
        </w:rPr>
        <w:t xml:space="preserve">Manual de Operaciones del Banco Mundial. </w:t>
      </w:r>
      <w:r w:rsidRPr="00CF0F96">
        <w:rPr>
          <w:rFonts w:cs="Arial"/>
          <w:sz w:val="22"/>
        </w:rPr>
        <w:t>(</w:t>
      </w:r>
      <w:proofErr w:type="gramStart"/>
      <w:r w:rsidRPr="00CF0F96">
        <w:rPr>
          <w:rFonts w:cs="Arial"/>
          <w:sz w:val="22"/>
          <w:lang w:val="es-HN"/>
        </w:rPr>
        <w:t>Diciembre</w:t>
      </w:r>
      <w:proofErr w:type="gramEnd"/>
      <w:r w:rsidRPr="00CF0F96">
        <w:rPr>
          <w:rFonts w:cs="Arial"/>
          <w:sz w:val="22"/>
          <w:lang w:val="es-HN"/>
        </w:rPr>
        <w:t xml:space="preserve"> de 2001</w:t>
      </w:r>
      <w:r w:rsidRPr="00CF0F96">
        <w:rPr>
          <w:rFonts w:cs="Arial"/>
          <w:sz w:val="22"/>
        </w:rPr>
        <w:t xml:space="preserve">) </w:t>
      </w:r>
    </w:p>
    <w:p w14:paraId="65DAE378" w14:textId="77777777" w:rsidR="006A3DBC" w:rsidRPr="00CF0F96" w:rsidRDefault="006A3DBC" w:rsidP="006A3DBC">
      <w:pPr>
        <w:pStyle w:val="Prrafodelista"/>
        <w:numPr>
          <w:ilvl w:val="0"/>
          <w:numId w:val="11"/>
        </w:numPr>
        <w:spacing w:after="0" w:line="240" w:lineRule="auto"/>
        <w:ind w:left="284" w:firstLine="0"/>
        <w:rPr>
          <w:rFonts w:cs="Arial"/>
          <w:sz w:val="22"/>
          <w:lang w:val="es-HN"/>
        </w:rPr>
      </w:pPr>
      <w:r w:rsidRPr="00CF0F96">
        <w:rPr>
          <w:rFonts w:cs="Arial"/>
          <w:sz w:val="22"/>
        </w:rPr>
        <w:t xml:space="preserve">Instituto Hondureño del Café. IHCAFE. 8Diciembre 2015). </w:t>
      </w:r>
      <w:r w:rsidRPr="00CF0F96">
        <w:rPr>
          <w:rFonts w:cs="Arial"/>
          <w:sz w:val="22"/>
          <w:lang w:val="es-HN"/>
        </w:rPr>
        <w:t xml:space="preserve">Sitio web: </w:t>
      </w:r>
      <w:hyperlink r:id="rId87" w:history="1">
        <w:r w:rsidRPr="00CF0F96">
          <w:rPr>
            <w:rStyle w:val="Hipervnculo"/>
            <w:rFonts w:cs="Arial"/>
            <w:color w:val="767171" w:themeColor="background2" w:themeShade="80"/>
            <w:sz w:val="22"/>
            <w:lang w:val="es-HN"/>
          </w:rPr>
          <w:t>http://www.incafe.org</w:t>
        </w:r>
      </w:hyperlink>
      <w:r w:rsidRPr="00CF0F96">
        <w:rPr>
          <w:rFonts w:cs="Arial"/>
          <w:sz w:val="22"/>
          <w:lang w:val="es-HN"/>
        </w:rPr>
        <w:t xml:space="preserve"> </w:t>
      </w:r>
    </w:p>
    <w:p w14:paraId="19554D09" w14:textId="77777777" w:rsidR="006A3DBC" w:rsidRPr="00CF0F96" w:rsidRDefault="006A3DBC" w:rsidP="006A3DBC">
      <w:pPr>
        <w:pStyle w:val="Textonotapie"/>
        <w:numPr>
          <w:ilvl w:val="0"/>
          <w:numId w:val="11"/>
        </w:numPr>
        <w:ind w:left="284" w:firstLine="0"/>
        <w:contextualSpacing/>
        <w:rPr>
          <w:rFonts w:cs="Arial"/>
          <w:sz w:val="22"/>
          <w:szCs w:val="22"/>
          <w:lang w:val="en-US"/>
        </w:rPr>
      </w:pPr>
      <w:r w:rsidRPr="00CF0F96">
        <w:rPr>
          <w:rFonts w:cs="Arial"/>
          <w:sz w:val="22"/>
          <w:szCs w:val="22"/>
          <w:lang w:val="es-HN"/>
        </w:rPr>
        <w:t xml:space="preserve">Políticas de Salvaguarda del Banco Mundial. </w:t>
      </w:r>
      <w:r w:rsidRPr="00CF0F96">
        <w:rPr>
          <w:rFonts w:cs="Arial"/>
          <w:sz w:val="22"/>
          <w:szCs w:val="22"/>
          <w:lang w:val="en-US"/>
        </w:rPr>
        <w:t>(Diciembre 2015)</w:t>
      </w:r>
    </w:p>
    <w:p w14:paraId="78790EF5" w14:textId="77777777" w:rsidR="006A3DBC" w:rsidRPr="00CF0F96" w:rsidRDefault="006A3DBC" w:rsidP="006A3DBC">
      <w:pPr>
        <w:pStyle w:val="Textonotapie"/>
        <w:numPr>
          <w:ilvl w:val="0"/>
          <w:numId w:val="11"/>
        </w:numPr>
        <w:ind w:left="284" w:firstLine="0"/>
        <w:contextualSpacing/>
        <w:rPr>
          <w:rFonts w:cs="Arial"/>
          <w:iCs/>
          <w:sz w:val="22"/>
          <w:szCs w:val="22"/>
          <w:lang w:val="en-US"/>
        </w:rPr>
      </w:pPr>
      <w:r w:rsidRPr="00CF0F96">
        <w:rPr>
          <w:rFonts w:cs="Arial"/>
          <w:iCs/>
          <w:sz w:val="22"/>
          <w:szCs w:val="22"/>
          <w:lang w:val="en-US"/>
        </w:rPr>
        <w:t>Guidelines for Packaging and Storage of Pesticides.</w:t>
      </w:r>
      <w:r w:rsidRPr="00CF0F96">
        <w:rPr>
          <w:rFonts w:cs="Arial"/>
          <w:b/>
          <w:bCs/>
          <w:iCs/>
          <w:sz w:val="22"/>
          <w:szCs w:val="22"/>
          <w:lang w:val="en-US"/>
        </w:rPr>
        <w:t xml:space="preserve"> </w:t>
      </w:r>
      <w:r w:rsidRPr="00CF0F96">
        <w:rPr>
          <w:rFonts w:cs="Arial"/>
          <w:sz w:val="22"/>
          <w:szCs w:val="22"/>
          <w:lang w:val="en-US"/>
        </w:rPr>
        <w:t>(Roma, 1985</w:t>
      </w:r>
      <w:r w:rsidRPr="00CF0F96">
        <w:rPr>
          <w:rFonts w:cs="Arial"/>
          <w:iCs/>
          <w:sz w:val="22"/>
          <w:szCs w:val="22"/>
          <w:lang w:val="en-US"/>
        </w:rPr>
        <w:t xml:space="preserve">) </w:t>
      </w:r>
    </w:p>
    <w:p w14:paraId="573FD227" w14:textId="77777777" w:rsidR="006A3DBC" w:rsidRPr="00CF0F96" w:rsidRDefault="006A3DBC" w:rsidP="006A3DBC">
      <w:pPr>
        <w:pStyle w:val="Textonotapie"/>
        <w:numPr>
          <w:ilvl w:val="0"/>
          <w:numId w:val="11"/>
        </w:numPr>
        <w:ind w:left="284" w:firstLine="0"/>
        <w:contextualSpacing/>
        <w:rPr>
          <w:rFonts w:cs="Arial"/>
          <w:iCs/>
          <w:sz w:val="22"/>
          <w:szCs w:val="22"/>
          <w:lang w:val="en-US"/>
        </w:rPr>
      </w:pPr>
      <w:r w:rsidRPr="00CF0F96">
        <w:rPr>
          <w:rFonts w:cs="Arial"/>
          <w:iCs/>
          <w:sz w:val="22"/>
          <w:szCs w:val="22"/>
          <w:lang w:val="en-US"/>
        </w:rPr>
        <w:t xml:space="preserve">Guidelines on Good Labeling Practice for Pesticides. </w:t>
      </w:r>
      <w:r w:rsidRPr="00CF0F96">
        <w:rPr>
          <w:rFonts w:cs="Arial"/>
          <w:sz w:val="22"/>
          <w:szCs w:val="22"/>
          <w:lang w:val="en-US"/>
        </w:rPr>
        <w:t>(Roma, 1985)</w:t>
      </w:r>
    </w:p>
    <w:p w14:paraId="466DF377" w14:textId="77777777" w:rsidR="006A3DBC" w:rsidRPr="00CF0F96" w:rsidRDefault="006A3DBC" w:rsidP="006A3DBC">
      <w:pPr>
        <w:pStyle w:val="Textonotapie"/>
        <w:numPr>
          <w:ilvl w:val="0"/>
          <w:numId w:val="11"/>
        </w:numPr>
        <w:ind w:left="284" w:firstLine="0"/>
        <w:contextualSpacing/>
        <w:rPr>
          <w:rFonts w:cs="Arial"/>
          <w:sz w:val="22"/>
          <w:szCs w:val="22"/>
          <w:lang w:val="en-US"/>
        </w:rPr>
      </w:pPr>
      <w:r w:rsidRPr="00CF0F96">
        <w:rPr>
          <w:rFonts w:cs="Arial"/>
          <w:iCs/>
          <w:sz w:val="22"/>
          <w:szCs w:val="22"/>
          <w:lang w:val="en-US"/>
        </w:rPr>
        <w:t xml:space="preserve">Guidelines for the Disposal of Waste Pesticide and Pesticide Containers on the Farm. </w:t>
      </w:r>
      <w:r w:rsidRPr="00CF0F96">
        <w:rPr>
          <w:rFonts w:cs="Arial"/>
          <w:sz w:val="22"/>
          <w:szCs w:val="22"/>
          <w:lang w:val="en-US"/>
        </w:rPr>
        <w:t>(Roma, 1985)</w:t>
      </w:r>
    </w:p>
    <w:p w14:paraId="0321F925" w14:textId="77777777" w:rsidR="006A3DBC" w:rsidRPr="00CF0F96" w:rsidRDefault="006A3DBC" w:rsidP="006A3DBC">
      <w:pPr>
        <w:pStyle w:val="Textonotapie"/>
        <w:numPr>
          <w:ilvl w:val="0"/>
          <w:numId w:val="11"/>
        </w:numPr>
        <w:ind w:left="284" w:firstLine="0"/>
        <w:contextualSpacing/>
        <w:rPr>
          <w:rFonts w:cs="Arial"/>
          <w:sz w:val="22"/>
          <w:szCs w:val="22"/>
          <w:lang w:val="es-HN"/>
        </w:rPr>
      </w:pPr>
      <w:r w:rsidRPr="00CF0F96">
        <w:rPr>
          <w:rFonts w:cs="Arial"/>
          <w:sz w:val="22"/>
          <w:szCs w:val="22"/>
        </w:rPr>
        <w:t>Secretaría Nacional de Sanidad</w:t>
      </w:r>
      <w:r w:rsidRPr="00CF0F96">
        <w:rPr>
          <w:rFonts w:cs="Arial"/>
          <w:sz w:val="22"/>
          <w:szCs w:val="22"/>
          <w:lang w:val="es-HN"/>
        </w:rPr>
        <w:t xml:space="preserve"> Agrícola. (</w:t>
      </w:r>
      <w:proofErr w:type="gramStart"/>
      <w:r w:rsidRPr="00CF0F96">
        <w:rPr>
          <w:rFonts w:cs="Arial"/>
          <w:sz w:val="22"/>
          <w:szCs w:val="22"/>
          <w:lang w:val="es-HN"/>
        </w:rPr>
        <w:t>Diciembre</w:t>
      </w:r>
      <w:proofErr w:type="gramEnd"/>
      <w:r w:rsidRPr="00CF0F96">
        <w:rPr>
          <w:rFonts w:cs="Arial"/>
          <w:sz w:val="22"/>
          <w:szCs w:val="22"/>
          <w:lang w:val="es-HN"/>
        </w:rPr>
        <w:t xml:space="preserve"> 2015). Sitio web: http://www.senasa-sag.gob.hn/index.php?option=com_content&amp;task=blogcategory&amp;id=114&amp;Itemid=222</w:t>
      </w:r>
    </w:p>
    <w:p w14:paraId="495FBCE9" w14:textId="77777777" w:rsidR="006A3DBC" w:rsidRPr="00CF0F96" w:rsidRDefault="006A3DBC" w:rsidP="006A3DBC">
      <w:pPr>
        <w:pStyle w:val="Textonotapie"/>
        <w:numPr>
          <w:ilvl w:val="0"/>
          <w:numId w:val="11"/>
        </w:numPr>
        <w:ind w:left="284" w:firstLine="0"/>
        <w:contextualSpacing/>
        <w:rPr>
          <w:rFonts w:cs="Arial"/>
          <w:sz w:val="22"/>
          <w:szCs w:val="22"/>
        </w:rPr>
      </w:pPr>
      <w:r w:rsidRPr="00CF0F96">
        <w:rPr>
          <w:rFonts w:cs="Arial"/>
          <w:sz w:val="22"/>
          <w:szCs w:val="22"/>
        </w:rPr>
        <w:t>Secretaria de Gobernación. Categorización Municipal. (</w:t>
      </w:r>
      <w:proofErr w:type="gramStart"/>
      <w:r w:rsidRPr="00CF0F96">
        <w:rPr>
          <w:rFonts w:cs="Arial"/>
          <w:sz w:val="22"/>
          <w:szCs w:val="22"/>
        </w:rPr>
        <w:t>Diciembre</w:t>
      </w:r>
      <w:proofErr w:type="gramEnd"/>
      <w:r w:rsidRPr="00CF0F96">
        <w:rPr>
          <w:rFonts w:cs="Arial"/>
          <w:sz w:val="22"/>
          <w:szCs w:val="22"/>
        </w:rPr>
        <w:t xml:space="preserve"> 2015)</w:t>
      </w:r>
    </w:p>
    <w:p w14:paraId="78DF0086" w14:textId="77777777" w:rsidR="006A3DBC" w:rsidRPr="00CF0F96" w:rsidRDefault="006A3DBC" w:rsidP="006A3DBC">
      <w:pPr>
        <w:pStyle w:val="Textonotapie"/>
        <w:numPr>
          <w:ilvl w:val="0"/>
          <w:numId w:val="11"/>
        </w:numPr>
        <w:ind w:left="284" w:firstLine="0"/>
        <w:contextualSpacing/>
        <w:rPr>
          <w:rFonts w:cs="Arial"/>
          <w:sz w:val="22"/>
          <w:szCs w:val="22"/>
        </w:rPr>
      </w:pPr>
      <w:r w:rsidRPr="00CF0F96">
        <w:rPr>
          <w:rFonts w:cs="Arial"/>
          <w:sz w:val="22"/>
          <w:szCs w:val="22"/>
          <w:lang w:val="es-HN"/>
        </w:rPr>
        <w:t>Panorama Social de América Latina. CEPAL (2009). Capítulo V: Efectos de la dinámica demográfica sobre las generaciones y los cuidados en el marco de la protección</w:t>
      </w:r>
      <w:r w:rsidRPr="00CF0F96">
        <w:rPr>
          <w:rFonts w:cs="Arial"/>
          <w:spacing w:val="-4"/>
          <w:sz w:val="22"/>
          <w:szCs w:val="22"/>
          <w:lang w:val="es-HN"/>
        </w:rPr>
        <w:t xml:space="preserve"> </w:t>
      </w:r>
      <w:r w:rsidRPr="00CF0F96">
        <w:rPr>
          <w:rFonts w:cs="Arial"/>
          <w:sz w:val="22"/>
          <w:szCs w:val="22"/>
          <w:lang w:val="es-HN"/>
        </w:rPr>
        <w:t>Social.</w:t>
      </w:r>
      <w:r w:rsidRPr="00CF0F96">
        <w:rPr>
          <w:rFonts w:cs="Arial"/>
          <w:spacing w:val="-4"/>
          <w:sz w:val="22"/>
          <w:szCs w:val="22"/>
          <w:lang w:val="es-HN"/>
        </w:rPr>
        <w:t xml:space="preserve"> </w:t>
      </w:r>
      <w:r w:rsidRPr="00CF0F96">
        <w:rPr>
          <w:rFonts w:cs="Arial"/>
          <w:sz w:val="22"/>
          <w:szCs w:val="22"/>
        </w:rPr>
        <w:t>1.</w:t>
      </w:r>
      <w:r w:rsidRPr="00CF0F96">
        <w:rPr>
          <w:rFonts w:cs="Arial"/>
          <w:spacing w:val="-4"/>
          <w:sz w:val="22"/>
          <w:szCs w:val="22"/>
        </w:rPr>
        <w:t xml:space="preserve"> </w:t>
      </w:r>
      <w:r w:rsidRPr="00CF0F96">
        <w:rPr>
          <w:rFonts w:cs="Arial"/>
          <w:sz w:val="22"/>
          <w:szCs w:val="22"/>
        </w:rPr>
        <w:t>La</w:t>
      </w:r>
      <w:r w:rsidRPr="00CF0F96">
        <w:rPr>
          <w:rFonts w:cs="Arial"/>
          <w:spacing w:val="-4"/>
          <w:sz w:val="22"/>
          <w:szCs w:val="22"/>
        </w:rPr>
        <w:t xml:space="preserve"> </w:t>
      </w:r>
      <w:r w:rsidRPr="00CF0F96">
        <w:rPr>
          <w:rFonts w:cs="Arial"/>
          <w:sz w:val="22"/>
          <w:szCs w:val="22"/>
        </w:rPr>
        <w:t>Transición</w:t>
      </w:r>
      <w:r w:rsidRPr="00CF0F96">
        <w:rPr>
          <w:rFonts w:cs="Arial"/>
          <w:spacing w:val="-4"/>
          <w:sz w:val="22"/>
          <w:szCs w:val="22"/>
        </w:rPr>
        <w:t xml:space="preserve"> </w:t>
      </w:r>
      <w:r w:rsidRPr="00CF0F96">
        <w:rPr>
          <w:rFonts w:cs="Arial"/>
          <w:sz w:val="22"/>
          <w:szCs w:val="22"/>
        </w:rPr>
        <w:t>demográfica.</w:t>
      </w:r>
      <w:r w:rsidRPr="00CF0F96">
        <w:rPr>
          <w:rFonts w:cs="Arial"/>
          <w:spacing w:val="-4"/>
          <w:sz w:val="22"/>
          <w:szCs w:val="22"/>
        </w:rPr>
        <w:t xml:space="preserve"> </w:t>
      </w:r>
      <w:r w:rsidRPr="00CF0F96">
        <w:rPr>
          <w:rFonts w:cs="Arial"/>
          <w:sz w:val="22"/>
          <w:szCs w:val="22"/>
        </w:rPr>
        <w:t>(Pág.</w:t>
      </w:r>
      <w:r w:rsidRPr="00CF0F96">
        <w:rPr>
          <w:rFonts w:cs="Arial"/>
          <w:spacing w:val="-4"/>
          <w:sz w:val="22"/>
          <w:szCs w:val="22"/>
        </w:rPr>
        <w:t xml:space="preserve"> </w:t>
      </w:r>
      <w:r w:rsidRPr="00CF0F96">
        <w:rPr>
          <w:rFonts w:cs="Arial"/>
          <w:sz w:val="22"/>
          <w:szCs w:val="22"/>
        </w:rPr>
        <w:t>208-211).</w:t>
      </w:r>
      <w:r w:rsidRPr="00CF0F96">
        <w:rPr>
          <w:rFonts w:cs="Arial"/>
          <w:spacing w:val="-4"/>
          <w:sz w:val="22"/>
          <w:szCs w:val="22"/>
        </w:rPr>
        <w:t xml:space="preserve"> </w:t>
      </w:r>
      <w:r w:rsidRPr="00CF0F96">
        <w:rPr>
          <w:rFonts w:cs="Arial"/>
          <w:sz w:val="22"/>
          <w:szCs w:val="22"/>
        </w:rPr>
        <w:t>Ed.</w:t>
      </w:r>
      <w:r w:rsidRPr="00CF0F96">
        <w:rPr>
          <w:rFonts w:cs="Arial"/>
          <w:spacing w:val="-4"/>
          <w:sz w:val="22"/>
          <w:szCs w:val="22"/>
        </w:rPr>
        <w:t xml:space="preserve"> </w:t>
      </w:r>
      <w:r w:rsidRPr="00CF0F96">
        <w:rPr>
          <w:rFonts w:cs="Arial"/>
          <w:sz w:val="22"/>
          <w:szCs w:val="22"/>
        </w:rPr>
        <w:t>PDF</w:t>
      </w:r>
    </w:p>
    <w:p w14:paraId="1E240945" w14:textId="77777777" w:rsidR="006A3DBC" w:rsidRPr="00CF0F96" w:rsidRDefault="006A3DBC" w:rsidP="006A3DBC">
      <w:pPr>
        <w:pStyle w:val="Textonotapie"/>
        <w:numPr>
          <w:ilvl w:val="0"/>
          <w:numId w:val="11"/>
        </w:numPr>
        <w:ind w:left="284" w:firstLine="0"/>
        <w:contextualSpacing/>
        <w:rPr>
          <w:rFonts w:cs="Arial"/>
          <w:sz w:val="22"/>
          <w:szCs w:val="22"/>
          <w:lang w:val="es-HN"/>
        </w:rPr>
      </w:pPr>
      <w:r w:rsidRPr="00CF0F96">
        <w:rPr>
          <w:rFonts w:cs="Arial"/>
          <w:sz w:val="22"/>
          <w:szCs w:val="22"/>
          <w:lang w:val="es-HN"/>
        </w:rPr>
        <w:t>Encuesta</w:t>
      </w:r>
      <w:r w:rsidRPr="00CF0F96">
        <w:rPr>
          <w:rFonts w:cs="Arial"/>
          <w:spacing w:val="-4"/>
          <w:sz w:val="22"/>
          <w:szCs w:val="22"/>
          <w:lang w:val="es-HN"/>
        </w:rPr>
        <w:t xml:space="preserve"> </w:t>
      </w:r>
      <w:r w:rsidRPr="00CF0F96">
        <w:rPr>
          <w:rFonts w:cs="Arial"/>
          <w:sz w:val="22"/>
          <w:szCs w:val="22"/>
          <w:lang w:val="es-HN"/>
        </w:rPr>
        <w:t>nacional</w:t>
      </w:r>
      <w:r w:rsidRPr="00CF0F96">
        <w:rPr>
          <w:rFonts w:cs="Arial"/>
          <w:spacing w:val="-4"/>
          <w:sz w:val="22"/>
          <w:szCs w:val="22"/>
          <w:lang w:val="es-HN"/>
        </w:rPr>
        <w:t xml:space="preserve"> </w:t>
      </w:r>
      <w:r w:rsidRPr="00CF0F96">
        <w:rPr>
          <w:rFonts w:cs="Arial"/>
          <w:sz w:val="22"/>
          <w:szCs w:val="22"/>
          <w:lang w:val="es-HN"/>
        </w:rPr>
        <w:t>de</w:t>
      </w:r>
      <w:r w:rsidRPr="00CF0F96">
        <w:rPr>
          <w:rFonts w:cs="Arial"/>
          <w:spacing w:val="-4"/>
          <w:sz w:val="22"/>
          <w:szCs w:val="22"/>
          <w:lang w:val="es-HN"/>
        </w:rPr>
        <w:t xml:space="preserve"> </w:t>
      </w:r>
      <w:r w:rsidRPr="00CF0F96">
        <w:rPr>
          <w:rFonts w:cs="Arial"/>
          <w:sz w:val="22"/>
          <w:szCs w:val="22"/>
          <w:lang w:val="es-HN"/>
        </w:rPr>
        <w:t>Demografía</w:t>
      </w:r>
      <w:r w:rsidRPr="00CF0F96">
        <w:rPr>
          <w:rFonts w:cs="Arial"/>
          <w:spacing w:val="-4"/>
          <w:sz w:val="22"/>
          <w:szCs w:val="22"/>
          <w:lang w:val="es-HN"/>
        </w:rPr>
        <w:t xml:space="preserve"> </w:t>
      </w:r>
      <w:r w:rsidRPr="00CF0F96">
        <w:rPr>
          <w:rFonts w:cs="Arial"/>
          <w:sz w:val="22"/>
          <w:szCs w:val="22"/>
          <w:lang w:val="es-HN"/>
        </w:rPr>
        <w:t>y</w:t>
      </w:r>
      <w:r w:rsidRPr="00CF0F96">
        <w:rPr>
          <w:rFonts w:cs="Arial"/>
          <w:spacing w:val="-3"/>
          <w:sz w:val="22"/>
          <w:szCs w:val="22"/>
          <w:lang w:val="es-HN"/>
        </w:rPr>
        <w:t xml:space="preserve"> </w:t>
      </w:r>
      <w:r w:rsidRPr="00CF0F96">
        <w:rPr>
          <w:rFonts w:cs="Arial"/>
          <w:sz w:val="22"/>
          <w:szCs w:val="22"/>
          <w:lang w:val="es-HN"/>
        </w:rPr>
        <w:t>Salud</w:t>
      </w:r>
      <w:r w:rsidRPr="00CF0F96">
        <w:rPr>
          <w:rFonts w:cs="Arial"/>
          <w:spacing w:val="-3"/>
          <w:sz w:val="22"/>
          <w:szCs w:val="22"/>
          <w:lang w:val="es-HN"/>
        </w:rPr>
        <w:t xml:space="preserve"> </w:t>
      </w:r>
      <w:r w:rsidRPr="00CF0F96">
        <w:rPr>
          <w:rFonts w:cs="Arial"/>
          <w:sz w:val="22"/>
          <w:szCs w:val="22"/>
          <w:lang w:val="es-HN"/>
        </w:rPr>
        <w:t>(ENDESA)</w:t>
      </w:r>
      <w:r w:rsidRPr="00CF0F96">
        <w:rPr>
          <w:rFonts w:cs="Arial"/>
          <w:spacing w:val="-4"/>
          <w:sz w:val="22"/>
          <w:szCs w:val="22"/>
          <w:lang w:val="es-HN"/>
        </w:rPr>
        <w:t xml:space="preserve"> </w:t>
      </w:r>
      <w:r w:rsidRPr="00CF0F96">
        <w:rPr>
          <w:rFonts w:cs="Arial"/>
          <w:sz w:val="22"/>
          <w:szCs w:val="22"/>
          <w:lang w:val="es-HN"/>
        </w:rPr>
        <w:t>2011-2012</w:t>
      </w:r>
    </w:p>
    <w:p w14:paraId="678467D1" w14:textId="77777777" w:rsidR="006A3DBC" w:rsidRPr="00CF0F96" w:rsidRDefault="006A3DBC" w:rsidP="006A3DBC">
      <w:pPr>
        <w:pStyle w:val="Textonotapie"/>
        <w:numPr>
          <w:ilvl w:val="0"/>
          <w:numId w:val="11"/>
        </w:numPr>
        <w:ind w:left="284" w:firstLine="0"/>
        <w:contextualSpacing/>
        <w:rPr>
          <w:rFonts w:cs="Arial"/>
          <w:sz w:val="22"/>
          <w:szCs w:val="22"/>
        </w:rPr>
      </w:pPr>
      <w:r w:rsidRPr="00CF0F96">
        <w:rPr>
          <w:rFonts w:cs="Arial"/>
          <w:sz w:val="22"/>
          <w:szCs w:val="22"/>
        </w:rPr>
        <w:t>COCOCH.</w:t>
      </w:r>
      <w:r w:rsidRPr="00CF0F96">
        <w:rPr>
          <w:rFonts w:cs="Arial"/>
          <w:sz w:val="22"/>
          <w:szCs w:val="22"/>
          <w:lang w:val="es-HN"/>
        </w:rPr>
        <w:t>Reforma</w:t>
      </w:r>
      <w:r w:rsidRPr="00CF0F96">
        <w:rPr>
          <w:rFonts w:cs="Arial"/>
          <w:spacing w:val="-4"/>
          <w:sz w:val="22"/>
          <w:szCs w:val="22"/>
          <w:lang w:val="es-HN"/>
        </w:rPr>
        <w:t xml:space="preserve"> </w:t>
      </w:r>
      <w:r w:rsidRPr="00CF0F96">
        <w:rPr>
          <w:rFonts w:cs="Arial"/>
          <w:sz w:val="22"/>
          <w:szCs w:val="22"/>
          <w:lang w:val="es-HN"/>
        </w:rPr>
        <w:t>Agraria,</w:t>
      </w:r>
      <w:r w:rsidRPr="00CF0F96">
        <w:rPr>
          <w:rFonts w:cs="Arial"/>
          <w:spacing w:val="-4"/>
          <w:sz w:val="22"/>
          <w:szCs w:val="22"/>
          <w:lang w:val="es-HN"/>
        </w:rPr>
        <w:t xml:space="preserve"> </w:t>
      </w:r>
      <w:r w:rsidRPr="00CF0F96">
        <w:rPr>
          <w:rFonts w:cs="Arial"/>
          <w:sz w:val="22"/>
          <w:szCs w:val="22"/>
          <w:lang w:val="es-HN"/>
        </w:rPr>
        <w:t>Agricultura</w:t>
      </w:r>
      <w:r w:rsidRPr="00CF0F96">
        <w:rPr>
          <w:rFonts w:cs="Arial"/>
          <w:spacing w:val="-4"/>
          <w:sz w:val="22"/>
          <w:szCs w:val="22"/>
          <w:lang w:val="es-HN"/>
        </w:rPr>
        <w:t xml:space="preserve"> </w:t>
      </w:r>
      <w:r w:rsidRPr="00CF0F96">
        <w:rPr>
          <w:rFonts w:cs="Arial"/>
          <w:sz w:val="22"/>
          <w:szCs w:val="22"/>
          <w:lang w:val="es-HN"/>
        </w:rPr>
        <w:t>y</w:t>
      </w:r>
      <w:r w:rsidRPr="00CF0F96">
        <w:rPr>
          <w:rFonts w:cs="Arial"/>
          <w:spacing w:val="-3"/>
          <w:sz w:val="22"/>
          <w:szCs w:val="22"/>
          <w:lang w:val="es-HN"/>
        </w:rPr>
        <w:t xml:space="preserve"> </w:t>
      </w:r>
      <w:r w:rsidRPr="00CF0F96">
        <w:rPr>
          <w:rFonts w:cs="Arial"/>
          <w:sz w:val="22"/>
          <w:szCs w:val="22"/>
          <w:lang w:val="es-HN"/>
        </w:rPr>
        <w:t>Medio</w:t>
      </w:r>
      <w:r w:rsidRPr="00CF0F96">
        <w:rPr>
          <w:rFonts w:cs="Arial"/>
          <w:spacing w:val="-4"/>
          <w:sz w:val="22"/>
          <w:szCs w:val="22"/>
          <w:lang w:val="es-HN"/>
        </w:rPr>
        <w:t xml:space="preserve"> </w:t>
      </w:r>
      <w:r w:rsidRPr="00CF0F96">
        <w:rPr>
          <w:rFonts w:cs="Arial"/>
          <w:sz w:val="22"/>
          <w:szCs w:val="22"/>
          <w:lang w:val="es-HN"/>
        </w:rPr>
        <w:t>rural.</w:t>
      </w:r>
      <w:r w:rsidRPr="00CF0F96">
        <w:rPr>
          <w:rFonts w:cs="Arial"/>
          <w:spacing w:val="-4"/>
          <w:sz w:val="22"/>
          <w:szCs w:val="22"/>
          <w:lang w:val="es-HN"/>
        </w:rPr>
        <w:t xml:space="preserve"> </w:t>
      </w:r>
      <w:r w:rsidRPr="00CF0F96">
        <w:rPr>
          <w:rFonts w:cs="Arial"/>
          <w:sz w:val="22"/>
          <w:szCs w:val="22"/>
          <w:lang w:val="es-HN"/>
        </w:rPr>
        <w:t>Agenda</w:t>
      </w:r>
      <w:r w:rsidRPr="00CF0F96">
        <w:rPr>
          <w:rFonts w:cs="Arial"/>
          <w:spacing w:val="-4"/>
          <w:sz w:val="22"/>
          <w:szCs w:val="22"/>
          <w:lang w:val="es-HN"/>
        </w:rPr>
        <w:t xml:space="preserve"> </w:t>
      </w:r>
      <w:r w:rsidRPr="00CF0F96">
        <w:rPr>
          <w:rFonts w:cs="Arial"/>
          <w:sz w:val="22"/>
          <w:szCs w:val="22"/>
          <w:lang w:val="es-HN"/>
        </w:rPr>
        <w:t>pendiente</w:t>
      </w:r>
      <w:r w:rsidRPr="00CF0F96">
        <w:rPr>
          <w:rFonts w:cs="Arial"/>
          <w:spacing w:val="-4"/>
          <w:sz w:val="22"/>
          <w:szCs w:val="22"/>
          <w:lang w:val="es-HN"/>
        </w:rPr>
        <w:t xml:space="preserve"> </w:t>
      </w:r>
      <w:r w:rsidRPr="00CF0F96">
        <w:rPr>
          <w:rFonts w:cs="Arial"/>
          <w:sz w:val="22"/>
          <w:szCs w:val="22"/>
          <w:lang w:val="es-HN"/>
        </w:rPr>
        <w:t>del</w:t>
      </w:r>
      <w:r w:rsidRPr="00CF0F96">
        <w:rPr>
          <w:rFonts w:cs="Arial"/>
          <w:spacing w:val="-5"/>
          <w:sz w:val="22"/>
          <w:szCs w:val="22"/>
          <w:lang w:val="es-HN"/>
        </w:rPr>
        <w:t xml:space="preserve"> </w:t>
      </w:r>
      <w:r w:rsidRPr="00CF0F96">
        <w:rPr>
          <w:rFonts w:cs="Arial"/>
          <w:sz w:val="22"/>
          <w:szCs w:val="22"/>
          <w:lang w:val="es-HN"/>
        </w:rPr>
        <w:t>sector</w:t>
      </w:r>
      <w:r w:rsidRPr="00CF0F96">
        <w:rPr>
          <w:rFonts w:cs="Arial"/>
          <w:spacing w:val="-4"/>
          <w:sz w:val="22"/>
          <w:szCs w:val="22"/>
          <w:lang w:val="es-HN"/>
        </w:rPr>
        <w:t xml:space="preserve"> </w:t>
      </w:r>
      <w:r w:rsidRPr="00CF0F96">
        <w:rPr>
          <w:rFonts w:cs="Arial"/>
          <w:sz w:val="22"/>
          <w:szCs w:val="22"/>
          <w:lang w:val="es-HN"/>
        </w:rPr>
        <w:t>campesino.</w:t>
      </w:r>
      <w:r w:rsidRPr="00CF0F96">
        <w:rPr>
          <w:rFonts w:cs="Arial"/>
          <w:spacing w:val="-4"/>
          <w:sz w:val="22"/>
          <w:szCs w:val="22"/>
          <w:lang w:val="es-HN"/>
        </w:rPr>
        <w:t xml:space="preserve"> (</w:t>
      </w:r>
      <w:r w:rsidRPr="00CF0F96">
        <w:rPr>
          <w:rFonts w:cs="Arial"/>
          <w:sz w:val="22"/>
          <w:szCs w:val="22"/>
        </w:rPr>
        <w:t>2007).</w:t>
      </w:r>
      <w:r w:rsidRPr="00CF0F96">
        <w:rPr>
          <w:rFonts w:cs="Arial"/>
          <w:spacing w:val="-4"/>
          <w:sz w:val="22"/>
          <w:szCs w:val="22"/>
        </w:rPr>
        <w:t xml:space="preserve"> </w:t>
      </w:r>
      <w:r w:rsidRPr="00CF0F96">
        <w:rPr>
          <w:rFonts w:cs="Arial"/>
          <w:sz w:val="22"/>
          <w:szCs w:val="22"/>
        </w:rPr>
        <w:t>Ed.</w:t>
      </w:r>
      <w:r w:rsidRPr="00CF0F96">
        <w:rPr>
          <w:rFonts w:cs="Arial"/>
          <w:spacing w:val="-4"/>
          <w:sz w:val="22"/>
          <w:szCs w:val="22"/>
        </w:rPr>
        <w:t xml:space="preserve"> </w:t>
      </w:r>
      <w:r w:rsidRPr="00CF0F96">
        <w:rPr>
          <w:rFonts w:cs="Arial"/>
          <w:sz w:val="22"/>
          <w:szCs w:val="22"/>
        </w:rPr>
        <w:t>PDF</w:t>
      </w:r>
    </w:p>
    <w:p w14:paraId="5D8FAF44" w14:textId="77777777" w:rsidR="006A3DBC" w:rsidRPr="00CF0F96" w:rsidRDefault="006A3DBC" w:rsidP="006A3DBC">
      <w:pPr>
        <w:pStyle w:val="Textonotapie"/>
        <w:numPr>
          <w:ilvl w:val="0"/>
          <w:numId w:val="11"/>
        </w:numPr>
        <w:ind w:left="284" w:firstLine="0"/>
        <w:contextualSpacing/>
        <w:rPr>
          <w:rFonts w:cs="Arial"/>
          <w:sz w:val="22"/>
          <w:szCs w:val="22"/>
          <w:lang w:val="es-HN"/>
        </w:rPr>
      </w:pPr>
      <w:r w:rsidRPr="00CF0F96">
        <w:rPr>
          <w:rFonts w:cs="Arial"/>
          <w:sz w:val="22"/>
          <w:szCs w:val="22"/>
          <w:lang w:val="es-HN"/>
        </w:rPr>
        <w:t>Informes Semestrales de COMRURAL. (2015)</w:t>
      </w:r>
    </w:p>
    <w:p w14:paraId="6C43A495" w14:textId="77777777" w:rsidR="006A3DBC" w:rsidRPr="00CF0F96" w:rsidRDefault="006A3DBC" w:rsidP="006A3DBC">
      <w:pPr>
        <w:pStyle w:val="Textonotapie"/>
        <w:numPr>
          <w:ilvl w:val="0"/>
          <w:numId w:val="11"/>
        </w:numPr>
        <w:ind w:left="284" w:firstLine="0"/>
        <w:contextualSpacing/>
        <w:rPr>
          <w:rFonts w:cs="Arial"/>
          <w:sz w:val="22"/>
          <w:szCs w:val="22"/>
        </w:rPr>
      </w:pPr>
      <w:r w:rsidRPr="00CF0F96">
        <w:rPr>
          <w:rFonts w:cs="Arial"/>
          <w:sz w:val="22"/>
          <w:szCs w:val="22"/>
        </w:rPr>
        <w:t>Word Visión. Diagnóstico del Trabajo Infantil en Honduras. (</w:t>
      </w:r>
      <w:proofErr w:type="gramStart"/>
      <w:r w:rsidRPr="00CF0F96">
        <w:rPr>
          <w:rFonts w:cs="Arial"/>
          <w:sz w:val="22"/>
          <w:szCs w:val="22"/>
        </w:rPr>
        <w:t>Junio</w:t>
      </w:r>
      <w:proofErr w:type="gramEnd"/>
      <w:r w:rsidRPr="00CF0F96">
        <w:rPr>
          <w:rFonts w:cs="Arial"/>
          <w:sz w:val="22"/>
          <w:szCs w:val="22"/>
        </w:rPr>
        <w:t xml:space="preserve"> 2015)</w:t>
      </w:r>
    </w:p>
    <w:p w14:paraId="7A0DE302" w14:textId="77777777" w:rsidR="006A3DBC" w:rsidRPr="00CF0F96" w:rsidRDefault="006A3DBC" w:rsidP="006A3DBC">
      <w:pPr>
        <w:pStyle w:val="Textonotapie"/>
        <w:numPr>
          <w:ilvl w:val="0"/>
          <w:numId w:val="11"/>
        </w:numPr>
        <w:ind w:left="284" w:firstLine="0"/>
        <w:contextualSpacing/>
        <w:rPr>
          <w:rStyle w:val="Hipervnculo"/>
          <w:rFonts w:cs="Arial"/>
          <w:color w:val="767171" w:themeColor="background2" w:themeShade="80"/>
          <w:sz w:val="22"/>
          <w:szCs w:val="22"/>
          <w:lang w:val="es-HN"/>
        </w:rPr>
      </w:pPr>
      <w:r w:rsidRPr="00CF0F96">
        <w:rPr>
          <w:rFonts w:cs="Arial"/>
          <w:sz w:val="22"/>
          <w:szCs w:val="22"/>
        </w:rPr>
        <w:t>MiAMBIENTE. Categorización de proyectos según normativa Nacional.</w:t>
      </w:r>
      <w:r w:rsidRPr="00CF0F96">
        <w:rPr>
          <w:rFonts w:cs="Arial"/>
          <w:sz w:val="22"/>
          <w:szCs w:val="22"/>
          <w:lang w:val="es-HN"/>
        </w:rPr>
        <w:t xml:space="preserve"> (</w:t>
      </w:r>
      <w:proofErr w:type="gramStart"/>
      <w:r w:rsidRPr="00CF0F96">
        <w:rPr>
          <w:rFonts w:cs="Arial"/>
          <w:sz w:val="22"/>
          <w:szCs w:val="22"/>
          <w:lang w:val="es-HN"/>
        </w:rPr>
        <w:t>Diciembre</w:t>
      </w:r>
      <w:proofErr w:type="gramEnd"/>
      <w:r w:rsidRPr="00CF0F96">
        <w:rPr>
          <w:rFonts w:cs="Arial"/>
          <w:sz w:val="22"/>
          <w:szCs w:val="22"/>
          <w:lang w:val="es-HN"/>
        </w:rPr>
        <w:t xml:space="preserve"> 2015). Sitio web: </w:t>
      </w:r>
      <w:hyperlink r:id="rId88" w:history="1">
        <w:r w:rsidRPr="00CF0F96">
          <w:rPr>
            <w:rStyle w:val="Hipervnculo"/>
            <w:rFonts w:cs="Arial"/>
            <w:color w:val="767171" w:themeColor="background2" w:themeShade="80"/>
            <w:sz w:val="22"/>
            <w:szCs w:val="22"/>
            <w:lang w:val="es-HN"/>
          </w:rPr>
          <w:t>http://MiAMBIENTE.prohonduras.hn/MiAMBIENTE/login.html?dojo.locale=en_hn</w:t>
        </w:r>
      </w:hyperlink>
    </w:p>
    <w:p w14:paraId="01CABFBD" w14:textId="77777777" w:rsidR="006A3DBC" w:rsidRPr="00CF0F96" w:rsidRDefault="006A3DBC" w:rsidP="006A3DBC">
      <w:pPr>
        <w:pStyle w:val="Textonotapie"/>
        <w:numPr>
          <w:ilvl w:val="0"/>
          <w:numId w:val="11"/>
        </w:numPr>
        <w:ind w:left="284" w:firstLine="0"/>
        <w:contextualSpacing/>
        <w:rPr>
          <w:rFonts w:cs="Arial"/>
          <w:sz w:val="22"/>
          <w:szCs w:val="22"/>
          <w:lang w:val="es-HN"/>
        </w:rPr>
      </w:pPr>
      <w:r w:rsidRPr="00CF0F96">
        <w:rPr>
          <w:rFonts w:cs="Arial"/>
          <w:sz w:val="22"/>
          <w:szCs w:val="22"/>
        </w:rPr>
        <w:t>http://documentos.bancomundial.org/curated/es/862351490601664460/pdf/112110-SPANISH-General-Guidelines.pdf</w:t>
      </w:r>
    </w:p>
    <w:p w14:paraId="5A2A5A73" w14:textId="77777777" w:rsidR="006A3DBC" w:rsidRPr="00CF0F96" w:rsidRDefault="006A3DBC" w:rsidP="006A3DBC">
      <w:pPr>
        <w:pStyle w:val="Textonotapie"/>
        <w:numPr>
          <w:ilvl w:val="0"/>
          <w:numId w:val="11"/>
        </w:numPr>
        <w:ind w:left="284" w:firstLine="0"/>
        <w:contextualSpacing/>
        <w:rPr>
          <w:rFonts w:cs="Arial"/>
          <w:sz w:val="22"/>
          <w:szCs w:val="22"/>
          <w:lang w:val="es-HN"/>
        </w:rPr>
      </w:pPr>
      <w:r w:rsidRPr="00CF0F96">
        <w:rPr>
          <w:rFonts w:cs="Arial"/>
          <w:sz w:val="22"/>
          <w:szCs w:val="22"/>
          <w:lang w:val="es-HN"/>
        </w:rPr>
        <w:t>Manual Operativo COMRURAL. (2012)</w:t>
      </w:r>
    </w:p>
    <w:p w14:paraId="25DCCEBD" w14:textId="77777777" w:rsidR="006A3DBC" w:rsidRPr="00CF0F96" w:rsidRDefault="006A3DBC" w:rsidP="006A3DBC">
      <w:pPr>
        <w:pStyle w:val="Bibliografa"/>
        <w:numPr>
          <w:ilvl w:val="0"/>
          <w:numId w:val="11"/>
        </w:numPr>
        <w:spacing w:after="0" w:line="240" w:lineRule="auto"/>
        <w:ind w:left="284" w:firstLine="0"/>
        <w:contextualSpacing/>
        <w:jc w:val="both"/>
        <w:rPr>
          <w:rFonts w:cs="Arial"/>
          <w:noProof/>
          <w:sz w:val="22"/>
        </w:rPr>
      </w:pPr>
      <w:r w:rsidRPr="00CF0F96">
        <w:rPr>
          <w:rFonts w:cs="Arial"/>
          <w:noProof/>
          <w:sz w:val="22"/>
        </w:rPr>
        <w:t xml:space="preserve">ACICAFOC. </w:t>
      </w:r>
      <w:r w:rsidRPr="00CF0F96">
        <w:rPr>
          <w:rFonts w:cs="Arial"/>
          <w:iCs/>
          <w:noProof/>
          <w:sz w:val="22"/>
        </w:rPr>
        <w:t>Plan Comunitario de Gestión Territorial de las comunidades de Atlántida de la eco región del Atlántico Húmedo, Honduras, C.A. 2009-2013.</w:t>
      </w:r>
      <w:r w:rsidRPr="00CF0F96">
        <w:rPr>
          <w:rFonts w:cs="Arial"/>
          <w:noProof/>
          <w:sz w:val="22"/>
        </w:rPr>
        <w:t xml:space="preserve"> La Ceiba: ACICAFOC. (2009)</w:t>
      </w:r>
    </w:p>
    <w:p w14:paraId="22F3F4CA" w14:textId="77777777" w:rsidR="006A3DBC" w:rsidRPr="00CF0F96" w:rsidRDefault="006A3DBC" w:rsidP="006A3DBC">
      <w:pPr>
        <w:pStyle w:val="Prrafodelista"/>
        <w:numPr>
          <w:ilvl w:val="0"/>
          <w:numId w:val="11"/>
        </w:numPr>
        <w:spacing w:after="0" w:line="240" w:lineRule="auto"/>
        <w:ind w:left="284" w:firstLine="0"/>
        <w:jc w:val="both"/>
        <w:rPr>
          <w:rFonts w:cs="Arial"/>
          <w:noProof/>
          <w:sz w:val="22"/>
        </w:rPr>
      </w:pPr>
      <w:r w:rsidRPr="00CF0F96">
        <w:rPr>
          <w:rFonts w:cs="Arial"/>
          <w:sz w:val="22"/>
          <w:lang w:val="es-ES"/>
        </w:rPr>
        <w:t xml:space="preserve">Análisis Crítico de la Política Indígena y Afro en Honduras 1992-2012. María José Vides. Santiago de Chile </w:t>
      </w:r>
      <w:proofErr w:type="gramStart"/>
      <w:r w:rsidRPr="00CF0F96">
        <w:rPr>
          <w:rFonts w:cs="Arial"/>
          <w:sz w:val="22"/>
          <w:lang w:val="es-ES"/>
        </w:rPr>
        <w:t>Noviembre</w:t>
      </w:r>
      <w:proofErr w:type="gramEnd"/>
      <w:r w:rsidRPr="00CF0F96">
        <w:rPr>
          <w:rFonts w:cs="Arial"/>
          <w:sz w:val="22"/>
          <w:lang w:val="es-ES"/>
        </w:rPr>
        <w:t xml:space="preserve"> de 2013.</w:t>
      </w:r>
    </w:p>
    <w:p w14:paraId="0402B1D8" w14:textId="77777777" w:rsidR="006A3DBC" w:rsidRPr="00CF0F96" w:rsidRDefault="006A3DBC" w:rsidP="006A3DBC">
      <w:pPr>
        <w:pStyle w:val="Prrafodelista"/>
        <w:numPr>
          <w:ilvl w:val="0"/>
          <w:numId w:val="11"/>
        </w:numPr>
        <w:spacing w:after="0" w:line="240" w:lineRule="auto"/>
        <w:ind w:left="284" w:firstLine="0"/>
        <w:jc w:val="both"/>
        <w:rPr>
          <w:rFonts w:cs="Arial"/>
          <w:noProof/>
          <w:sz w:val="22"/>
        </w:rPr>
      </w:pPr>
      <w:r w:rsidRPr="00CF0F96">
        <w:rPr>
          <w:rFonts w:cs="Arial"/>
          <w:noProof/>
          <w:sz w:val="22"/>
        </w:rPr>
        <w:t xml:space="preserve">FHIA. </w:t>
      </w:r>
      <w:r w:rsidRPr="00CF0F96">
        <w:rPr>
          <w:rFonts w:cs="Arial"/>
          <w:iCs/>
          <w:noProof/>
          <w:sz w:val="22"/>
        </w:rPr>
        <w:t>Sondeo de la cadena de valor de cacao en el oriente de Honduras.</w:t>
      </w:r>
      <w:r w:rsidRPr="00CF0F96">
        <w:rPr>
          <w:rFonts w:cs="Arial"/>
          <w:noProof/>
          <w:sz w:val="22"/>
        </w:rPr>
        <w:t xml:space="preserve"> La Lima, Cortes. (2015)</w:t>
      </w:r>
    </w:p>
    <w:p w14:paraId="766D5161" w14:textId="77777777" w:rsidR="006A3DBC" w:rsidRPr="00CF0F96" w:rsidRDefault="006A3DBC" w:rsidP="006A3DBC">
      <w:pPr>
        <w:pStyle w:val="Prrafodelista"/>
        <w:numPr>
          <w:ilvl w:val="0"/>
          <w:numId w:val="14"/>
        </w:numPr>
        <w:ind w:left="284" w:firstLine="0"/>
        <w:rPr>
          <w:rFonts w:cs="Arial"/>
          <w:sz w:val="22"/>
        </w:rPr>
      </w:pPr>
      <w:r w:rsidRPr="00CF0F96">
        <w:rPr>
          <w:rFonts w:cs="Arial"/>
          <w:sz w:val="22"/>
        </w:rPr>
        <w:t>Niñez Indígena y Afrohondureña en la República de Honduras. UNICEF, Tegucigalpa, M. D.C., diciembre de 2012</w:t>
      </w:r>
    </w:p>
    <w:p w14:paraId="5AD7F2FE" w14:textId="77777777" w:rsidR="006A3DBC" w:rsidRPr="00CF0F96" w:rsidRDefault="006A3DBC" w:rsidP="006A3DBC">
      <w:pPr>
        <w:pStyle w:val="Prrafodelista"/>
        <w:numPr>
          <w:ilvl w:val="0"/>
          <w:numId w:val="14"/>
        </w:numPr>
        <w:ind w:left="284" w:firstLine="0"/>
        <w:jc w:val="both"/>
        <w:rPr>
          <w:rFonts w:cs="Arial"/>
          <w:sz w:val="22"/>
        </w:rPr>
      </w:pPr>
      <w:r w:rsidRPr="00CF0F96">
        <w:rPr>
          <w:rFonts w:cs="Arial"/>
          <w:sz w:val="22"/>
        </w:rPr>
        <w:t xml:space="preserve">DiBio. 2018. Sexto Informe de País, Dirección General de Biodiversidad                         </w:t>
      </w:r>
      <w:proofErr w:type="gramStart"/>
      <w:r w:rsidRPr="00CF0F96">
        <w:rPr>
          <w:rFonts w:cs="Arial"/>
          <w:sz w:val="22"/>
        </w:rPr>
        <w:t xml:space="preserve">   (</w:t>
      </w:r>
      <w:proofErr w:type="gramEnd"/>
      <w:r w:rsidRPr="00CF0F96">
        <w:rPr>
          <w:rFonts w:cs="Arial"/>
          <w:sz w:val="22"/>
        </w:rPr>
        <w:t>Mi Ambiente). Tegucigalpa, Honduras</w:t>
      </w:r>
    </w:p>
    <w:p w14:paraId="2991E4C0" w14:textId="014F643A" w:rsidR="006A3DBC" w:rsidRPr="00CF0F96" w:rsidRDefault="006A3DBC" w:rsidP="006A3DBC">
      <w:pPr>
        <w:pStyle w:val="Prrafodelista"/>
        <w:numPr>
          <w:ilvl w:val="0"/>
          <w:numId w:val="14"/>
        </w:numPr>
        <w:ind w:left="284" w:firstLine="0"/>
        <w:jc w:val="both"/>
        <w:rPr>
          <w:rFonts w:cs="Arial"/>
          <w:sz w:val="22"/>
        </w:rPr>
      </w:pPr>
      <w:bookmarkStart w:id="1547" w:name="_Toc67573460"/>
      <w:r w:rsidRPr="00CF0F96">
        <w:rPr>
          <w:rFonts w:cs="Arial"/>
          <w:sz w:val="22"/>
        </w:rPr>
        <w:t>Galdámes, J.A., L.I. López, J.M. Mora y N.S. Ulloa. 2018. Camino hacia un país megadiverso: áreas naturales de importancia para la biodiversidad de Honduras. Máster Print S. de R.L.</w:t>
      </w:r>
      <w:r w:rsidR="004D1591" w:rsidRPr="00CF0F96">
        <w:rPr>
          <w:rFonts w:cs="Arial"/>
          <w:sz w:val="22"/>
        </w:rPr>
        <w:t xml:space="preserve"> </w:t>
      </w:r>
      <w:r w:rsidRPr="00CF0F96">
        <w:rPr>
          <w:rFonts w:cs="Arial"/>
          <w:sz w:val="22"/>
        </w:rPr>
        <w:t>Tegucigalpa, Honduras. 268 p.</w:t>
      </w:r>
    </w:p>
    <w:p w14:paraId="16A05460" w14:textId="77777777" w:rsidR="006A3DBC" w:rsidRPr="00FA4B2D" w:rsidRDefault="006A3DBC" w:rsidP="006A3DBC">
      <w:pPr>
        <w:rPr>
          <w:rFonts w:cs="Arial"/>
        </w:rPr>
      </w:pPr>
    </w:p>
    <w:p w14:paraId="1FD1952F" w14:textId="77777777" w:rsidR="006A3DBC" w:rsidRPr="00FA4B2D" w:rsidRDefault="006A3DBC" w:rsidP="006A3DBC">
      <w:pPr>
        <w:rPr>
          <w:rFonts w:cs="Arial"/>
        </w:rPr>
      </w:pPr>
    </w:p>
    <w:p w14:paraId="4654E94A" w14:textId="77777777" w:rsidR="006A3DBC" w:rsidRPr="00FA4B2D" w:rsidRDefault="006A3DBC" w:rsidP="006A3DBC">
      <w:pPr>
        <w:rPr>
          <w:rFonts w:cs="Arial"/>
        </w:rPr>
      </w:pPr>
    </w:p>
    <w:p w14:paraId="4286A515" w14:textId="77777777" w:rsidR="006A3DBC" w:rsidRPr="00FA4B2D" w:rsidRDefault="006A3DBC" w:rsidP="006A3DBC">
      <w:pPr>
        <w:rPr>
          <w:rFonts w:cs="Arial"/>
        </w:rPr>
        <w:sectPr w:rsidR="006A3DBC" w:rsidRPr="00FA4B2D" w:rsidSect="005F4A92">
          <w:headerReference w:type="even" r:id="rId89"/>
          <w:headerReference w:type="default" r:id="rId90"/>
          <w:headerReference w:type="first" r:id="rId91"/>
          <w:pgSz w:w="12240" w:h="15840"/>
          <w:pgMar w:top="1417" w:right="1750" w:bottom="1417" w:left="1560" w:header="708" w:footer="708" w:gutter="0"/>
          <w:cols w:space="708"/>
          <w:docGrid w:linePitch="360"/>
        </w:sectPr>
      </w:pPr>
    </w:p>
    <w:p w14:paraId="4277F15E" w14:textId="77777777" w:rsidR="006A3DBC" w:rsidRPr="00FA4B2D" w:rsidRDefault="006A3DBC" w:rsidP="00E069C6">
      <w:pPr>
        <w:pStyle w:val="Ttulo1"/>
        <w:numPr>
          <w:ilvl w:val="0"/>
          <w:numId w:val="71"/>
        </w:numPr>
        <w:ind w:left="0" w:firstLine="0"/>
        <w:rPr>
          <w:rFonts w:ascii="Arial" w:hAnsi="Arial" w:cs="Arial"/>
          <w:b/>
          <w:color w:val="767171" w:themeColor="background2" w:themeShade="80"/>
          <w:sz w:val="22"/>
          <w:szCs w:val="22"/>
        </w:rPr>
      </w:pPr>
      <w:bookmarkStart w:id="1548" w:name="_Toc202456989"/>
      <w:bookmarkStart w:id="1549" w:name="_Ref66035591"/>
      <w:r w:rsidRPr="00FA4B2D">
        <w:rPr>
          <w:rFonts w:ascii="Arial" w:hAnsi="Arial" w:cs="Arial"/>
          <w:b/>
          <w:color w:val="767171" w:themeColor="background2" w:themeShade="80"/>
          <w:sz w:val="22"/>
          <w:szCs w:val="22"/>
        </w:rPr>
        <w:lastRenderedPageBreak/>
        <w:t>Anexo I - Lista de especies de plantas y vertebrados globalmente amenazadas de la lista roja de la UICN</w:t>
      </w:r>
      <w:bookmarkEnd w:id="1547"/>
      <w:r w:rsidRPr="00FA4B2D">
        <w:rPr>
          <w:rFonts w:ascii="Arial" w:hAnsi="Arial" w:cs="Arial"/>
          <w:b/>
          <w:color w:val="767171" w:themeColor="background2" w:themeShade="80"/>
          <w:sz w:val="22"/>
          <w:szCs w:val="22"/>
        </w:rPr>
        <w:t xml:space="preserve"> para Honduras, 2017.</w:t>
      </w:r>
      <w:bookmarkEnd w:id="1548"/>
    </w:p>
    <w:p w14:paraId="0E737BB8" w14:textId="77777777" w:rsidR="006A3DBC" w:rsidRPr="00FA4B2D" w:rsidRDefault="006A3DBC" w:rsidP="006A3DBC">
      <w:pPr>
        <w:jc w:val="center"/>
        <w:rPr>
          <w:rFonts w:cs="Arial"/>
        </w:rPr>
      </w:pPr>
      <w:bookmarkStart w:id="1550" w:name="_Toc67573461"/>
    </w:p>
    <w:p w14:paraId="7F5DE9C7" w14:textId="77777777" w:rsidR="006A3DBC" w:rsidRPr="00FA4B2D" w:rsidRDefault="006A3DBC" w:rsidP="006A3DBC">
      <w:pPr>
        <w:pStyle w:val="Textoindependiente"/>
        <w:spacing w:line="285" w:lineRule="exact"/>
        <w:ind w:left="0"/>
        <w:rPr>
          <w:rFonts w:ascii="Arial" w:hAnsi="Arial" w:cs="Arial"/>
          <w:lang w:val="es-ES"/>
        </w:rPr>
      </w:pPr>
      <w:r w:rsidRPr="00FA4B2D">
        <w:rPr>
          <w:rFonts w:ascii="Arial" w:hAnsi="Arial" w:cs="Arial"/>
          <w:lang w:val="es-ES"/>
        </w:rPr>
        <w:t>NT= casi amenazada; VU= vulnerable; EN= amenazada; CR= en</w:t>
      </w:r>
      <w:r w:rsidRPr="00FA4B2D">
        <w:rPr>
          <w:rFonts w:ascii="Arial" w:hAnsi="Arial" w:cs="Arial"/>
          <w:spacing w:val="-52"/>
          <w:lang w:val="es-ES"/>
        </w:rPr>
        <w:t xml:space="preserve"> </w:t>
      </w:r>
      <w:r w:rsidRPr="00FA4B2D">
        <w:rPr>
          <w:rFonts w:ascii="Arial" w:hAnsi="Arial" w:cs="Arial"/>
          <w:lang w:val="es-ES"/>
        </w:rPr>
        <w:t>peligro.</w:t>
      </w:r>
    </w:p>
    <w:p w14:paraId="50DE7060" w14:textId="77777777" w:rsidR="006A3DBC" w:rsidRPr="00FA4B2D" w:rsidRDefault="006A3DBC" w:rsidP="00D30988">
      <w:pPr>
        <w:jc w:val="center"/>
        <w:rPr>
          <w:rFonts w:cs="Arial"/>
          <w:lang w:val="es-ES"/>
        </w:rPr>
      </w:pPr>
    </w:p>
    <w:tbl>
      <w:tblPr>
        <w:tblStyle w:val="Tablanormal21"/>
        <w:tblpPr w:leftFromText="141" w:rightFromText="141" w:vertAnchor="text" w:horzAnchor="margin" w:tblpXSpec="right" w:tblpY="-51"/>
        <w:tblW w:w="0" w:type="auto"/>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1804"/>
        <w:gridCol w:w="1879"/>
        <w:gridCol w:w="3204"/>
        <w:gridCol w:w="1372"/>
      </w:tblGrid>
      <w:tr w:rsidR="00CF0F96" w:rsidRPr="00CF0F96" w14:paraId="3628D1C2" w14:textId="77777777" w:rsidTr="00C81834">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5CC5DA"/>
          </w:tcPr>
          <w:p w14:paraId="008A0119" w14:textId="77777777" w:rsidR="006A3DBC" w:rsidRPr="00CF0F96" w:rsidRDefault="006A3DBC" w:rsidP="00D30988">
            <w:pPr>
              <w:pStyle w:val="TableParagraph"/>
              <w:ind w:right="605"/>
              <w:jc w:val="center"/>
              <w:rPr>
                <w:rFonts w:ascii="Arial" w:hAnsi="Arial" w:cs="Arial"/>
                <w:b w:val="0"/>
                <w:sz w:val="21"/>
              </w:rPr>
            </w:pPr>
            <w:r w:rsidRPr="00CF0F96">
              <w:rPr>
                <w:rFonts w:ascii="Arial" w:hAnsi="Arial" w:cs="Arial"/>
                <w:b w:val="0"/>
                <w:sz w:val="21"/>
              </w:rPr>
              <w:t>Clase</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5CC5DA"/>
          </w:tcPr>
          <w:p w14:paraId="4958D6FA" w14:textId="77777777" w:rsidR="006A3DBC" w:rsidRPr="00CF0F96" w:rsidRDefault="006A3DBC" w:rsidP="00D30988">
            <w:pPr>
              <w:pStyle w:val="TableParagraph"/>
              <w:jc w:val="center"/>
              <w:rPr>
                <w:rFonts w:ascii="Arial" w:hAnsi="Arial" w:cs="Arial"/>
                <w:b w:val="0"/>
                <w:sz w:val="21"/>
              </w:rPr>
            </w:pPr>
            <w:r w:rsidRPr="00CF0F96">
              <w:rPr>
                <w:rFonts w:ascii="Arial" w:hAnsi="Arial" w:cs="Arial"/>
                <w:b w:val="0"/>
                <w:sz w:val="21"/>
              </w:rPr>
              <w:t>Familia</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5CC5DA"/>
          </w:tcPr>
          <w:p w14:paraId="703C05D1" w14:textId="77777777" w:rsidR="006A3DBC" w:rsidRPr="00CF0F96" w:rsidRDefault="006A3DBC" w:rsidP="00D30988">
            <w:pPr>
              <w:pStyle w:val="TableParagraph"/>
              <w:ind w:right="1144"/>
              <w:jc w:val="center"/>
              <w:rPr>
                <w:rFonts w:ascii="Arial" w:hAnsi="Arial" w:cs="Arial"/>
                <w:b w:val="0"/>
                <w:sz w:val="21"/>
              </w:rPr>
            </w:pPr>
            <w:r w:rsidRPr="00CF0F96">
              <w:rPr>
                <w:rFonts w:ascii="Arial" w:hAnsi="Arial" w:cs="Arial"/>
                <w:b w:val="0"/>
                <w:sz w:val="21"/>
              </w:rPr>
              <w:t>Especies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5CC5DA"/>
          </w:tcPr>
          <w:p w14:paraId="49B815CA" w14:textId="77777777" w:rsidR="006A3DBC" w:rsidRPr="00CF0F96" w:rsidRDefault="006A3DBC" w:rsidP="00D30988">
            <w:pPr>
              <w:pStyle w:val="TableParagraph"/>
              <w:jc w:val="center"/>
              <w:rPr>
                <w:rFonts w:ascii="Arial" w:hAnsi="Arial" w:cs="Arial"/>
                <w:b w:val="0"/>
                <w:sz w:val="21"/>
              </w:rPr>
            </w:pPr>
            <w:r w:rsidRPr="00CF0F96">
              <w:rPr>
                <w:rFonts w:ascii="Arial" w:hAnsi="Arial" w:cs="Arial"/>
                <w:b w:val="0"/>
                <w:w w:val="95"/>
                <w:sz w:val="21"/>
              </w:rPr>
              <w:t>Categoría</w:t>
            </w:r>
          </w:p>
        </w:tc>
      </w:tr>
      <w:tr w:rsidR="00CF0F96" w:rsidRPr="00CF0F96" w14:paraId="3B76EDE2"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5703BE1E"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Chondrichthyes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45A1590B"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Carcharhinidae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59E1D429" w14:textId="77777777" w:rsidR="006A3DBC" w:rsidRPr="00CF0F96" w:rsidRDefault="006A3DBC" w:rsidP="005F4A92">
            <w:pPr>
              <w:pStyle w:val="TableParagraph"/>
              <w:rPr>
                <w:rFonts w:ascii="Arial" w:hAnsi="Arial" w:cs="Arial"/>
                <w:i/>
                <w:sz w:val="21"/>
              </w:rPr>
            </w:pPr>
            <w:r w:rsidRPr="00CF0F96">
              <w:rPr>
                <w:rFonts w:ascii="Arial" w:hAnsi="Arial" w:cs="Arial"/>
                <w:i/>
                <w:sz w:val="21"/>
              </w:rPr>
              <w:t>Carcharhinus brevipinna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47950894"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CF0F96" w:rsidRPr="00CF0F96" w14:paraId="779798A6"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5C90C1F4"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Chondrichthyes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386D9917"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Carcharhinidae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5F96CCF6" w14:textId="77777777" w:rsidR="006A3DBC" w:rsidRPr="00CF0F96" w:rsidRDefault="006A3DBC" w:rsidP="005F4A92">
            <w:pPr>
              <w:pStyle w:val="TableParagraph"/>
              <w:rPr>
                <w:rFonts w:ascii="Arial" w:hAnsi="Arial" w:cs="Arial"/>
                <w:i/>
                <w:sz w:val="21"/>
              </w:rPr>
            </w:pPr>
            <w:r w:rsidRPr="00CF0F96">
              <w:rPr>
                <w:rFonts w:ascii="Arial" w:hAnsi="Arial" w:cs="Arial"/>
                <w:i/>
                <w:sz w:val="21"/>
              </w:rPr>
              <w:t>Carcharhinus falciformis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3741EFC1"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CF0F96" w:rsidRPr="00CF0F96" w14:paraId="37DF53AD"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0DC81AD5"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Chondrichthyes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50BA210A"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Carcharhinidae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0F92574D" w14:textId="77777777" w:rsidR="006A3DBC" w:rsidRPr="00CF0F96" w:rsidRDefault="006A3DBC" w:rsidP="005F4A92">
            <w:pPr>
              <w:pStyle w:val="TableParagraph"/>
              <w:rPr>
                <w:rFonts w:ascii="Arial" w:hAnsi="Arial" w:cs="Arial"/>
                <w:i/>
                <w:sz w:val="21"/>
              </w:rPr>
            </w:pPr>
            <w:r w:rsidRPr="00CF0F96">
              <w:rPr>
                <w:rFonts w:ascii="Arial" w:hAnsi="Arial" w:cs="Arial"/>
                <w:i/>
                <w:sz w:val="21"/>
              </w:rPr>
              <w:t>Carcharhinus limbatus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7C2BD034"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CF0F96" w:rsidRPr="00CF0F96" w14:paraId="20CD0A7D"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0D99E632"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Chondrichthyes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6420D78A"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Carcharhinidae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5AF9BEFE" w14:textId="77777777" w:rsidR="006A3DBC" w:rsidRPr="00CF0F96" w:rsidRDefault="006A3DBC" w:rsidP="005F4A92">
            <w:pPr>
              <w:pStyle w:val="TableParagraph"/>
              <w:rPr>
                <w:rFonts w:ascii="Arial" w:hAnsi="Arial" w:cs="Arial"/>
                <w:i/>
                <w:sz w:val="21"/>
              </w:rPr>
            </w:pPr>
            <w:r w:rsidRPr="00CF0F96">
              <w:rPr>
                <w:rFonts w:ascii="Arial" w:hAnsi="Arial" w:cs="Arial"/>
                <w:i/>
                <w:sz w:val="21"/>
              </w:rPr>
              <w:t>Carcharhinus longimanus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3A210BC3"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CF0F96" w:rsidRPr="00CF0F96" w14:paraId="4E626DF6"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75181E4C"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Chondrichthyes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394F2EFD"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Carcharhinidae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2DCA709C" w14:textId="77777777" w:rsidR="006A3DBC" w:rsidRPr="00CF0F96" w:rsidRDefault="006A3DBC" w:rsidP="005F4A92">
            <w:pPr>
              <w:pStyle w:val="TableParagraph"/>
              <w:rPr>
                <w:rFonts w:ascii="Arial" w:hAnsi="Arial" w:cs="Arial"/>
                <w:i/>
                <w:sz w:val="21"/>
              </w:rPr>
            </w:pPr>
            <w:r w:rsidRPr="00CF0F96">
              <w:rPr>
                <w:rFonts w:ascii="Arial" w:hAnsi="Arial" w:cs="Arial"/>
                <w:i/>
                <w:sz w:val="21"/>
              </w:rPr>
              <w:t>Carcharhinus obscurus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4A4EDC33"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CF0F96" w:rsidRPr="00CF0F96" w14:paraId="71A6019C"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3121639D"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Chondrichthyes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68F7516E"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Carcharhinidae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72FBC92B" w14:textId="77777777" w:rsidR="006A3DBC" w:rsidRPr="00CF0F96" w:rsidRDefault="006A3DBC" w:rsidP="005F4A92">
            <w:pPr>
              <w:pStyle w:val="TableParagraph"/>
              <w:rPr>
                <w:rFonts w:ascii="Arial" w:hAnsi="Arial" w:cs="Arial"/>
                <w:i/>
                <w:sz w:val="21"/>
              </w:rPr>
            </w:pPr>
            <w:r w:rsidRPr="00CF0F96">
              <w:rPr>
                <w:rFonts w:ascii="Arial" w:hAnsi="Arial" w:cs="Arial"/>
                <w:i/>
                <w:sz w:val="21"/>
              </w:rPr>
              <w:t>Carcharhinus perezi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40615927"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CF0F96" w:rsidRPr="00CF0F96" w14:paraId="7067B8FF"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0898B2B7"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Chondrichthyes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650CBF77"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Carcharhinidae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351A1FC8" w14:textId="77777777" w:rsidR="006A3DBC" w:rsidRPr="00CF0F96" w:rsidRDefault="006A3DBC" w:rsidP="005F4A92">
            <w:pPr>
              <w:pStyle w:val="TableParagraph"/>
              <w:rPr>
                <w:rFonts w:ascii="Arial" w:hAnsi="Arial" w:cs="Arial"/>
                <w:i/>
                <w:sz w:val="21"/>
              </w:rPr>
            </w:pPr>
            <w:r w:rsidRPr="00CF0F96">
              <w:rPr>
                <w:rFonts w:ascii="Arial" w:hAnsi="Arial" w:cs="Arial"/>
                <w:i/>
                <w:sz w:val="21"/>
              </w:rPr>
              <w:t>Carcharhinus plumbeus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4642168B"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CF0F96" w:rsidRPr="00CF0F96" w14:paraId="57282403"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5630FB0F"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Chondrichthyes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301C41FF"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Carcharhinidae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471C9B6B" w14:textId="77777777" w:rsidR="006A3DBC" w:rsidRPr="00CF0F96" w:rsidRDefault="006A3DBC" w:rsidP="005F4A92">
            <w:pPr>
              <w:pStyle w:val="TableParagraph"/>
              <w:rPr>
                <w:rFonts w:ascii="Arial" w:hAnsi="Arial" w:cs="Arial"/>
                <w:i/>
                <w:sz w:val="21"/>
              </w:rPr>
            </w:pPr>
            <w:r w:rsidRPr="00CF0F96">
              <w:rPr>
                <w:rFonts w:ascii="Arial" w:hAnsi="Arial" w:cs="Arial"/>
                <w:i/>
                <w:sz w:val="21"/>
              </w:rPr>
              <w:t>Galeocerdo cuvier</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2F833229"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CF0F96" w:rsidRPr="00CF0F96" w14:paraId="261143F3"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39FA6E1E"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Chondrichthyes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575F455F"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Carcharhinidae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7CF52A7F" w14:textId="77777777" w:rsidR="006A3DBC" w:rsidRPr="00CF0F96" w:rsidRDefault="006A3DBC" w:rsidP="005F4A92">
            <w:pPr>
              <w:pStyle w:val="TableParagraph"/>
              <w:rPr>
                <w:rFonts w:ascii="Arial" w:hAnsi="Arial" w:cs="Arial"/>
                <w:i/>
                <w:sz w:val="21"/>
              </w:rPr>
            </w:pPr>
            <w:r w:rsidRPr="00CF0F96">
              <w:rPr>
                <w:rFonts w:ascii="Arial" w:hAnsi="Arial" w:cs="Arial"/>
                <w:i/>
                <w:sz w:val="21"/>
              </w:rPr>
              <w:t>Negaprion brevirostris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646C33EF"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CF0F96" w:rsidRPr="00CF0F96" w14:paraId="1709F674"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7F6878DF"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Chondrichthyes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65F1FAAC"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Carcharhinidae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0F2A7579" w14:textId="77777777" w:rsidR="006A3DBC" w:rsidRPr="00CF0F96" w:rsidRDefault="006A3DBC" w:rsidP="005F4A92">
            <w:pPr>
              <w:pStyle w:val="TableParagraph"/>
              <w:rPr>
                <w:rFonts w:ascii="Arial" w:hAnsi="Arial" w:cs="Arial"/>
                <w:i/>
                <w:sz w:val="21"/>
              </w:rPr>
            </w:pPr>
            <w:r w:rsidRPr="00CF0F96">
              <w:rPr>
                <w:rFonts w:ascii="Arial" w:hAnsi="Arial" w:cs="Arial"/>
                <w:i/>
                <w:sz w:val="21"/>
              </w:rPr>
              <w:t>Prionace glauca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6AE96664"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CF0F96" w:rsidRPr="00CF0F96" w14:paraId="59F33522"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744077CF"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Chondrichthyes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68413ED3"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Gymnuridae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2A1423F5" w14:textId="77777777" w:rsidR="006A3DBC" w:rsidRPr="00CF0F96" w:rsidRDefault="006A3DBC" w:rsidP="005F4A92">
            <w:pPr>
              <w:pStyle w:val="TableParagraph"/>
              <w:rPr>
                <w:rFonts w:ascii="Arial" w:hAnsi="Arial" w:cs="Arial"/>
                <w:i/>
                <w:sz w:val="21"/>
              </w:rPr>
            </w:pPr>
            <w:r w:rsidRPr="00CF0F96">
              <w:rPr>
                <w:rFonts w:ascii="Arial" w:hAnsi="Arial" w:cs="Arial"/>
                <w:i/>
                <w:sz w:val="21"/>
              </w:rPr>
              <w:t>Gymnura altavela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61B438C8"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CF0F96" w:rsidRPr="00CF0F96" w14:paraId="00BAAD4C"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624A4971"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Chondrichthyes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56F06A10"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Lamnidae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6021C4DF" w14:textId="77777777" w:rsidR="006A3DBC" w:rsidRPr="00CF0F96" w:rsidRDefault="006A3DBC" w:rsidP="005F4A92">
            <w:pPr>
              <w:pStyle w:val="TableParagraph"/>
              <w:rPr>
                <w:rFonts w:ascii="Arial" w:hAnsi="Arial" w:cs="Arial"/>
                <w:i/>
                <w:sz w:val="21"/>
              </w:rPr>
            </w:pPr>
            <w:r w:rsidRPr="00CF0F96">
              <w:rPr>
                <w:rFonts w:ascii="Arial" w:hAnsi="Arial" w:cs="Arial"/>
                <w:i/>
                <w:sz w:val="21"/>
              </w:rPr>
              <w:t>Isurus oxyrinchus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0A8A8FC8"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CF0F96" w:rsidRPr="00CF0F96" w14:paraId="74D672D2"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1496F495"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Chondrichthyes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7E31C5E7"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Mobulidae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56822916" w14:textId="77777777" w:rsidR="006A3DBC" w:rsidRPr="00CF0F96" w:rsidRDefault="006A3DBC" w:rsidP="005F4A92">
            <w:pPr>
              <w:pStyle w:val="TableParagraph"/>
              <w:rPr>
                <w:rFonts w:ascii="Arial" w:hAnsi="Arial" w:cs="Arial"/>
                <w:i/>
                <w:sz w:val="21"/>
              </w:rPr>
            </w:pPr>
            <w:r w:rsidRPr="00CF0F96">
              <w:rPr>
                <w:rFonts w:ascii="Arial" w:hAnsi="Arial" w:cs="Arial"/>
                <w:i/>
                <w:sz w:val="21"/>
              </w:rPr>
              <w:t>Manta birostris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5A6F2475"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CF0F96" w:rsidRPr="00CF0F96" w14:paraId="07262C14"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61FFC5B8"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Chondrichthyes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2C50FF2F"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Mobulidae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3A5A71A9" w14:textId="77777777" w:rsidR="006A3DBC" w:rsidRPr="00CF0F96" w:rsidRDefault="006A3DBC" w:rsidP="005F4A92">
            <w:pPr>
              <w:pStyle w:val="TableParagraph"/>
              <w:rPr>
                <w:rFonts w:ascii="Arial" w:hAnsi="Arial" w:cs="Arial"/>
                <w:i/>
                <w:sz w:val="21"/>
              </w:rPr>
            </w:pPr>
            <w:r w:rsidRPr="00CF0F96">
              <w:rPr>
                <w:rFonts w:ascii="Arial" w:hAnsi="Arial" w:cs="Arial"/>
                <w:i/>
                <w:sz w:val="21"/>
              </w:rPr>
              <w:t>Mobula japanica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3AC73417"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CF0F96" w:rsidRPr="00CF0F96" w14:paraId="6D1EEB70"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5E75A6F3"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Chondrichthyes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62928E25"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Mobulidae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2B64016D" w14:textId="77777777" w:rsidR="006A3DBC" w:rsidRPr="00CF0F96" w:rsidRDefault="006A3DBC" w:rsidP="005F4A92">
            <w:pPr>
              <w:pStyle w:val="TableParagraph"/>
              <w:rPr>
                <w:rFonts w:ascii="Arial" w:hAnsi="Arial" w:cs="Arial"/>
                <w:i/>
                <w:sz w:val="21"/>
              </w:rPr>
            </w:pPr>
            <w:r w:rsidRPr="00CF0F96">
              <w:rPr>
                <w:rFonts w:ascii="Arial" w:hAnsi="Arial" w:cs="Arial"/>
                <w:i/>
                <w:sz w:val="21"/>
              </w:rPr>
              <w:t>Mobula munkiana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36978039"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CF0F96" w:rsidRPr="00CF0F96" w14:paraId="014D066B"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563B14A2"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Chondrichthyes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339368E3"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Mobulidae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392BA4BB" w14:textId="77777777" w:rsidR="006A3DBC" w:rsidRPr="00CF0F96" w:rsidRDefault="006A3DBC" w:rsidP="005F4A92">
            <w:pPr>
              <w:pStyle w:val="TableParagraph"/>
              <w:rPr>
                <w:rFonts w:ascii="Arial" w:hAnsi="Arial" w:cs="Arial"/>
                <w:i/>
                <w:sz w:val="21"/>
              </w:rPr>
            </w:pPr>
            <w:r w:rsidRPr="00CF0F96">
              <w:rPr>
                <w:rFonts w:ascii="Arial" w:hAnsi="Arial" w:cs="Arial"/>
                <w:i/>
                <w:sz w:val="21"/>
              </w:rPr>
              <w:t>Mobula thurstoni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5A5B72B9"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CF0F96" w:rsidRPr="00CF0F96" w14:paraId="1B53BA61"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02FBD6DF"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Chondrichthyes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126ECBA2"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Myliobatidae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3F86C1AE" w14:textId="77777777" w:rsidR="006A3DBC" w:rsidRPr="00CF0F96" w:rsidRDefault="006A3DBC" w:rsidP="005F4A92">
            <w:pPr>
              <w:pStyle w:val="TableParagraph"/>
              <w:rPr>
                <w:rFonts w:ascii="Arial" w:hAnsi="Arial" w:cs="Arial"/>
                <w:i/>
                <w:sz w:val="21"/>
              </w:rPr>
            </w:pPr>
            <w:r w:rsidRPr="00CF0F96">
              <w:rPr>
                <w:rFonts w:ascii="Arial" w:hAnsi="Arial" w:cs="Arial"/>
                <w:i/>
                <w:sz w:val="21"/>
              </w:rPr>
              <w:t>Aetobatus narinari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2FC107C4"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CF0F96" w:rsidRPr="00CF0F96" w14:paraId="3CD2D042"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7621DC59"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Chondrichthyes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0C0F3C9E"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Myliobatidae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3F953DA9" w14:textId="77777777" w:rsidR="006A3DBC" w:rsidRPr="00CF0F96" w:rsidRDefault="006A3DBC" w:rsidP="005F4A92">
            <w:pPr>
              <w:pStyle w:val="TableParagraph"/>
              <w:rPr>
                <w:rFonts w:ascii="Arial" w:hAnsi="Arial" w:cs="Arial"/>
                <w:i/>
                <w:sz w:val="21"/>
              </w:rPr>
            </w:pPr>
            <w:r w:rsidRPr="00CF0F96">
              <w:rPr>
                <w:rFonts w:ascii="Arial" w:hAnsi="Arial" w:cs="Arial"/>
                <w:i/>
                <w:sz w:val="21"/>
              </w:rPr>
              <w:t>Myliobatis longirostris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5B6B4214"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CF0F96" w:rsidRPr="00CF0F96" w14:paraId="0603B474"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7E8C4964"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Chondrichthyes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66E8843A"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Narcinidae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01258B80" w14:textId="77777777" w:rsidR="006A3DBC" w:rsidRPr="00CF0F96" w:rsidRDefault="006A3DBC" w:rsidP="005F4A92">
            <w:pPr>
              <w:pStyle w:val="TableParagraph"/>
              <w:rPr>
                <w:rFonts w:ascii="Arial" w:hAnsi="Arial" w:cs="Arial"/>
                <w:i/>
                <w:sz w:val="21"/>
              </w:rPr>
            </w:pPr>
            <w:r w:rsidRPr="00CF0F96">
              <w:rPr>
                <w:rFonts w:ascii="Arial" w:hAnsi="Arial" w:cs="Arial"/>
                <w:i/>
                <w:sz w:val="21"/>
              </w:rPr>
              <w:t>Diplobatis ommata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18656C98"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CF0F96" w:rsidRPr="00CF0F96" w14:paraId="3C8B50B0"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572E6BB7"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Chondrichthyes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2AE73C10"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Pristidae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03F7F541" w14:textId="77777777" w:rsidR="006A3DBC" w:rsidRPr="00CF0F96" w:rsidRDefault="006A3DBC" w:rsidP="005F4A92">
            <w:pPr>
              <w:pStyle w:val="TableParagraph"/>
              <w:rPr>
                <w:rFonts w:ascii="Arial" w:hAnsi="Arial" w:cs="Arial"/>
                <w:i/>
                <w:sz w:val="21"/>
              </w:rPr>
            </w:pPr>
            <w:r w:rsidRPr="00CF0F96">
              <w:rPr>
                <w:rFonts w:ascii="Arial" w:hAnsi="Arial" w:cs="Arial"/>
                <w:i/>
                <w:sz w:val="21"/>
              </w:rPr>
              <w:t>Pristis pectinata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5A885E02"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CF0F96" w:rsidRPr="00CF0F96" w14:paraId="2012B340"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47A3413C"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Chondrichthyes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5D0A77B5"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Pristidae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759F3D95" w14:textId="77777777" w:rsidR="006A3DBC" w:rsidRPr="00CF0F96" w:rsidRDefault="006A3DBC" w:rsidP="005F4A92">
            <w:pPr>
              <w:pStyle w:val="TableParagraph"/>
              <w:rPr>
                <w:rFonts w:ascii="Arial" w:hAnsi="Arial" w:cs="Arial"/>
                <w:i/>
                <w:sz w:val="21"/>
              </w:rPr>
            </w:pPr>
            <w:r w:rsidRPr="00CF0F96">
              <w:rPr>
                <w:rFonts w:ascii="Arial" w:hAnsi="Arial" w:cs="Arial"/>
                <w:i/>
                <w:sz w:val="21"/>
              </w:rPr>
              <w:t>Pristis pristis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790A6D5E"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CF0F96" w:rsidRPr="00CF0F96" w14:paraId="0C00D1D5"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08735AB9"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Chondrichthyes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4C6C0EB9"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Rhincodontidae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687DACCA" w14:textId="77777777" w:rsidR="006A3DBC" w:rsidRPr="00CF0F96" w:rsidRDefault="006A3DBC" w:rsidP="005F4A92">
            <w:pPr>
              <w:pStyle w:val="TableParagraph"/>
              <w:rPr>
                <w:rFonts w:ascii="Arial" w:hAnsi="Arial" w:cs="Arial"/>
                <w:i/>
                <w:sz w:val="21"/>
              </w:rPr>
            </w:pPr>
            <w:r w:rsidRPr="00CF0F96">
              <w:rPr>
                <w:rFonts w:ascii="Arial" w:hAnsi="Arial" w:cs="Arial"/>
                <w:i/>
                <w:sz w:val="21"/>
              </w:rPr>
              <w:t>Rhincodon typus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385ABC91"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CF0F96" w:rsidRPr="00CF0F96" w14:paraId="4E79859F"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167E92FA"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Chondrichthyes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10D935F3"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Rhinobatidae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77F7566F" w14:textId="77777777" w:rsidR="006A3DBC" w:rsidRPr="00CF0F96" w:rsidRDefault="006A3DBC" w:rsidP="005F4A92">
            <w:pPr>
              <w:pStyle w:val="TableParagraph"/>
              <w:rPr>
                <w:rFonts w:ascii="Arial" w:hAnsi="Arial" w:cs="Arial"/>
                <w:i/>
                <w:sz w:val="21"/>
              </w:rPr>
            </w:pPr>
            <w:r w:rsidRPr="00CF0F96">
              <w:rPr>
                <w:rFonts w:ascii="Arial" w:hAnsi="Arial" w:cs="Arial"/>
                <w:i/>
                <w:sz w:val="21"/>
              </w:rPr>
              <w:t>Pseudobatos leucorhynchus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66BBD223"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CF0F96" w:rsidRPr="00CF0F96" w14:paraId="0D92CAAF" w14:textId="77777777" w:rsidTr="005F4A92">
        <w:trPr>
          <w:cnfStyle w:val="010000000000" w:firstRow="0" w:lastRow="1"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2707F6BC"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Chondrichthyes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77915931" w14:textId="77777777" w:rsidR="006A3DBC" w:rsidRPr="00CF0F96" w:rsidRDefault="006A3DBC" w:rsidP="005F4A92">
            <w:pPr>
              <w:pStyle w:val="TableParagraph"/>
              <w:spacing w:before="54"/>
              <w:rPr>
                <w:rFonts w:ascii="Arial" w:hAnsi="Arial" w:cs="Arial"/>
                <w:b w:val="0"/>
                <w:bCs w:val="0"/>
                <w:sz w:val="21"/>
              </w:rPr>
            </w:pPr>
            <w:r w:rsidRPr="00CF0F96">
              <w:rPr>
                <w:rFonts w:ascii="Arial" w:hAnsi="Arial" w:cs="Arial"/>
                <w:b w:val="0"/>
                <w:bCs w:val="0"/>
                <w:sz w:val="21"/>
              </w:rPr>
              <w:t>Rhinopteridae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1E17B745" w14:textId="77777777" w:rsidR="006A3DBC" w:rsidRPr="00CF0F96" w:rsidRDefault="006A3DBC" w:rsidP="005F4A92">
            <w:pPr>
              <w:pStyle w:val="TableParagraph"/>
              <w:rPr>
                <w:rFonts w:ascii="Arial" w:hAnsi="Arial" w:cs="Arial"/>
                <w:b w:val="0"/>
                <w:bCs w:val="0"/>
                <w:i/>
                <w:sz w:val="21"/>
              </w:rPr>
            </w:pPr>
            <w:r w:rsidRPr="00CF0F96">
              <w:rPr>
                <w:rFonts w:ascii="Arial" w:hAnsi="Arial" w:cs="Arial"/>
                <w:b w:val="0"/>
                <w:bCs w:val="0"/>
                <w:i/>
                <w:sz w:val="21"/>
              </w:rPr>
              <w:t>Rhinoptera bonasus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0EDE9F52"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bl>
    <w:p w14:paraId="113DCE40" w14:textId="77777777" w:rsidR="006A3DBC" w:rsidRPr="00FA4B2D" w:rsidRDefault="006A3DBC" w:rsidP="006A3DBC">
      <w:pPr>
        <w:jc w:val="center"/>
        <w:rPr>
          <w:rFonts w:cs="Arial"/>
          <w:lang w:val="es-ES"/>
        </w:rPr>
      </w:pPr>
    </w:p>
    <w:p w14:paraId="0B1E2394" w14:textId="77777777" w:rsidR="006A3DBC" w:rsidRPr="00FA4B2D" w:rsidRDefault="006A3DBC" w:rsidP="006A3DBC">
      <w:pPr>
        <w:jc w:val="center"/>
        <w:rPr>
          <w:rFonts w:cs="Arial"/>
        </w:rPr>
      </w:pPr>
    </w:p>
    <w:p w14:paraId="1E478C55" w14:textId="77777777" w:rsidR="006A3DBC" w:rsidRPr="00FA4B2D" w:rsidRDefault="006A3DBC" w:rsidP="006A3DBC">
      <w:pPr>
        <w:jc w:val="center"/>
        <w:rPr>
          <w:rFonts w:cs="Arial"/>
        </w:rPr>
      </w:pPr>
    </w:p>
    <w:p w14:paraId="39DF48C2" w14:textId="77777777" w:rsidR="006A3DBC" w:rsidRPr="00FA4B2D" w:rsidRDefault="006A3DBC" w:rsidP="006A3DBC">
      <w:pPr>
        <w:jc w:val="center"/>
        <w:rPr>
          <w:rFonts w:cs="Arial"/>
        </w:rPr>
      </w:pPr>
    </w:p>
    <w:p w14:paraId="45F716F0" w14:textId="77777777" w:rsidR="006A3DBC" w:rsidRPr="00FA4B2D" w:rsidRDefault="006A3DBC" w:rsidP="006A3DBC">
      <w:pPr>
        <w:jc w:val="center"/>
        <w:rPr>
          <w:rFonts w:cs="Arial"/>
        </w:rPr>
      </w:pPr>
    </w:p>
    <w:p w14:paraId="3337D493" w14:textId="77777777" w:rsidR="006A3DBC" w:rsidRPr="00FA4B2D" w:rsidRDefault="006A3DBC" w:rsidP="006A3DBC">
      <w:pPr>
        <w:jc w:val="center"/>
        <w:rPr>
          <w:rFonts w:cs="Arial"/>
        </w:rPr>
      </w:pPr>
    </w:p>
    <w:p w14:paraId="7FE2C7A4" w14:textId="77777777" w:rsidR="006A3DBC" w:rsidRPr="00FA4B2D" w:rsidRDefault="006A3DBC" w:rsidP="006A3DBC">
      <w:pPr>
        <w:jc w:val="center"/>
        <w:rPr>
          <w:rFonts w:cs="Arial"/>
        </w:rPr>
      </w:pPr>
    </w:p>
    <w:p w14:paraId="3A11E048" w14:textId="77777777" w:rsidR="006A3DBC" w:rsidRPr="00FA4B2D" w:rsidRDefault="006A3DBC" w:rsidP="006A3DBC">
      <w:pPr>
        <w:jc w:val="center"/>
        <w:rPr>
          <w:rFonts w:cs="Arial"/>
        </w:rPr>
      </w:pPr>
    </w:p>
    <w:p w14:paraId="5AD5EDD1" w14:textId="77777777" w:rsidR="006A3DBC" w:rsidRPr="00FA4B2D" w:rsidRDefault="006A3DBC" w:rsidP="006A3DBC">
      <w:pPr>
        <w:rPr>
          <w:rFonts w:cs="Arial"/>
        </w:rPr>
      </w:pPr>
    </w:p>
    <w:p w14:paraId="5C114596" w14:textId="77777777" w:rsidR="006A3DBC" w:rsidRPr="00FA4B2D" w:rsidRDefault="006A3DBC" w:rsidP="006A3DBC">
      <w:pPr>
        <w:rPr>
          <w:rFonts w:cs="Arial"/>
        </w:rPr>
      </w:pPr>
    </w:p>
    <w:p w14:paraId="1DA78374" w14:textId="77777777" w:rsidR="006A3DBC" w:rsidRPr="00FA4B2D" w:rsidRDefault="006A3DBC" w:rsidP="006A3DBC">
      <w:pPr>
        <w:rPr>
          <w:rFonts w:cs="Arial"/>
        </w:rPr>
      </w:pPr>
    </w:p>
    <w:p w14:paraId="3E6ACB90" w14:textId="77777777" w:rsidR="006A3DBC" w:rsidRPr="00FA4B2D" w:rsidRDefault="006A3DBC" w:rsidP="006A3DBC">
      <w:pPr>
        <w:rPr>
          <w:rFonts w:cs="Arial"/>
        </w:rPr>
      </w:pPr>
    </w:p>
    <w:p w14:paraId="221025A9" w14:textId="77777777" w:rsidR="006A3DBC" w:rsidRPr="00FA4B2D" w:rsidRDefault="006A3DBC" w:rsidP="006A3DBC">
      <w:pPr>
        <w:rPr>
          <w:rFonts w:cs="Arial"/>
        </w:rPr>
      </w:pPr>
    </w:p>
    <w:p w14:paraId="60818FC5" w14:textId="77777777" w:rsidR="006A3DBC" w:rsidRPr="00FA4B2D" w:rsidRDefault="006A3DBC" w:rsidP="006A3DBC">
      <w:pPr>
        <w:rPr>
          <w:rFonts w:cs="Arial"/>
        </w:rPr>
      </w:pPr>
    </w:p>
    <w:p w14:paraId="65756E6D" w14:textId="77777777" w:rsidR="006A3DBC" w:rsidRPr="00FA4B2D" w:rsidRDefault="006A3DBC" w:rsidP="006A3DBC">
      <w:pPr>
        <w:rPr>
          <w:rFonts w:cs="Arial"/>
        </w:rPr>
      </w:pPr>
    </w:p>
    <w:p w14:paraId="651A4115" w14:textId="77777777" w:rsidR="006A3DBC" w:rsidRPr="00FA4B2D" w:rsidRDefault="006A3DBC" w:rsidP="006A3DBC">
      <w:pPr>
        <w:rPr>
          <w:rFonts w:cs="Arial"/>
        </w:rPr>
      </w:pPr>
    </w:p>
    <w:p w14:paraId="3B3FBBA4" w14:textId="77777777" w:rsidR="006A3DBC" w:rsidRPr="00FA4B2D" w:rsidRDefault="006A3DBC" w:rsidP="006A3DBC">
      <w:pPr>
        <w:rPr>
          <w:rFonts w:cs="Arial"/>
        </w:rPr>
      </w:pPr>
    </w:p>
    <w:p w14:paraId="170E4378" w14:textId="77777777" w:rsidR="006A3DBC" w:rsidRPr="00FA4B2D" w:rsidRDefault="006A3DBC" w:rsidP="006A3DBC">
      <w:pPr>
        <w:rPr>
          <w:rFonts w:cs="Arial"/>
        </w:rPr>
      </w:pPr>
    </w:p>
    <w:p w14:paraId="193F119C" w14:textId="77777777" w:rsidR="006A3DBC" w:rsidRPr="00FA4B2D" w:rsidRDefault="006A3DBC" w:rsidP="006A3DBC">
      <w:pPr>
        <w:rPr>
          <w:rFonts w:cs="Arial"/>
        </w:rPr>
      </w:pPr>
    </w:p>
    <w:p w14:paraId="23935E4C" w14:textId="77777777" w:rsidR="006A3DBC" w:rsidRPr="00FA4B2D" w:rsidRDefault="006A3DBC" w:rsidP="006A3DBC">
      <w:pPr>
        <w:rPr>
          <w:rFonts w:cs="Arial"/>
        </w:rPr>
      </w:pPr>
    </w:p>
    <w:p w14:paraId="67954E2B" w14:textId="77777777" w:rsidR="006A3DBC" w:rsidRPr="00FA4B2D" w:rsidRDefault="006A3DBC" w:rsidP="006A3DBC">
      <w:pPr>
        <w:rPr>
          <w:rFonts w:cs="Arial"/>
        </w:rPr>
      </w:pPr>
    </w:p>
    <w:p w14:paraId="65E4A92D" w14:textId="77777777" w:rsidR="006A3DBC" w:rsidRPr="00FA4B2D" w:rsidRDefault="006A3DBC" w:rsidP="006A3DBC">
      <w:pPr>
        <w:rPr>
          <w:rFonts w:cs="Arial"/>
        </w:rPr>
      </w:pPr>
    </w:p>
    <w:p w14:paraId="103B1039" w14:textId="77777777" w:rsidR="006A3DBC" w:rsidRPr="00FA4B2D" w:rsidRDefault="006A3DBC" w:rsidP="006A3DBC">
      <w:pPr>
        <w:rPr>
          <w:rFonts w:cs="Arial"/>
        </w:rPr>
      </w:pPr>
    </w:p>
    <w:p w14:paraId="44EA0B43" w14:textId="77777777" w:rsidR="006A3DBC" w:rsidRPr="00FA4B2D" w:rsidRDefault="006A3DBC" w:rsidP="006A3DBC">
      <w:pPr>
        <w:tabs>
          <w:tab w:val="left" w:pos="1245"/>
        </w:tabs>
        <w:rPr>
          <w:rFonts w:cs="Arial"/>
        </w:rPr>
      </w:pPr>
      <w:r w:rsidRPr="00FA4B2D">
        <w:rPr>
          <w:rFonts w:cs="Arial"/>
        </w:rPr>
        <w:tab/>
      </w:r>
    </w:p>
    <w:p w14:paraId="50D4A33A" w14:textId="77777777" w:rsidR="00505A7E" w:rsidRPr="00FA4B2D" w:rsidRDefault="00505A7E" w:rsidP="006A3DBC">
      <w:pPr>
        <w:tabs>
          <w:tab w:val="left" w:pos="1245"/>
        </w:tabs>
        <w:rPr>
          <w:rFonts w:cs="Arial"/>
        </w:rPr>
      </w:pPr>
    </w:p>
    <w:tbl>
      <w:tblPr>
        <w:tblStyle w:val="Tablanormal21"/>
        <w:tblW w:w="0" w:type="auto"/>
        <w:jc w:val="center"/>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1804"/>
        <w:gridCol w:w="1879"/>
        <w:gridCol w:w="3204"/>
        <w:gridCol w:w="1372"/>
      </w:tblGrid>
      <w:tr w:rsidR="00CF0F96" w:rsidRPr="00CF0F96" w14:paraId="17D6491D" w14:textId="77777777" w:rsidTr="00C81834">
        <w:trPr>
          <w:cnfStyle w:val="100000000000" w:firstRow="1" w:lastRow="0" w:firstColumn="0" w:lastColumn="0" w:oddVBand="0" w:evenVBand="0" w:oddHBand="0"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5CC5DA"/>
          </w:tcPr>
          <w:p w14:paraId="61BED7CA" w14:textId="77777777" w:rsidR="006A3DBC" w:rsidRPr="00CF0F96" w:rsidRDefault="006A3DBC" w:rsidP="00D30988">
            <w:pPr>
              <w:pStyle w:val="TableParagraph"/>
              <w:ind w:right="605"/>
              <w:jc w:val="center"/>
              <w:rPr>
                <w:rFonts w:ascii="Arial" w:hAnsi="Arial" w:cs="Arial"/>
                <w:b w:val="0"/>
                <w:sz w:val="21"/>
              </w:rPr>
            </w:pPr>
            <w:r w:rsidRPr="00CF0F96">
              <w:rPr>
                <w:rFonts w:ascii="Arial" w:hAnsi="Arial" w:cs="Arial"/>
                <w:b w:val="0"/>
                <w:sz w:val="21"/>
              </w:rPr>
              <w:t>Clase</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5CC5DA"/>
          </w:tcPr>
          <w:p w14:paraId="7169410A" w14:textId="77777777" w:rsidR="006A3DBC" w:rsidRPr="00CF0F96" w:rsidRDefault="006A3DBC" w:rsidP="00D30988">
            <w:pPr>
              <w:pStyle w:val="TableParagraph"/>
              <w:jc w:val="center"/>
              <w:rPr>
                <w:rFonts w:ascii="Arial" w:hAnsi="Arial" w:cs="Arial"/>
                <w:b w:val="0"/>
                <w:sz w:val="21"/>
              </w:rPr>
            </w:pPr>
            <w:r w:rsidRPr="00CF0F96">
              <w:rPr>
                <w:rFonts w:ascii="Arial" w:hAnsi="Arial" w:cs="Arial"/>
                <w:b w:val="0"/>
                <w:sz w:val="21"/>
              </w:rPr>
              <w:t>Familia</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5CC5DA"/>
          </w:tcPr>
          <w:p w14:paraId="6DF1029C" w14:textId="77777777" w:rsidR="006A3DBC" w:rsidRPr="00CF0F96" w:rsidRDefault="006A3DBC" w:rsidP="00D30988">
            <w:pPr>
              <w:pStyle w:val="TableParagraph"/>
              <w:ind w:right="1144"/>
              <w:jc w:val="center"/>
              <w:rPr>
                <w:rFonts w:ascii="Arial" w:hAnsi="Arial" w:cs="Arial"/>
                <w:b w:val="0"/>
                <w:sz w:val="21"/>
              </w:rPr>
            </w:pPr>
            <w:r w:rsidRPr="00CF0F96">
              <w:rPr>
                <w:rFonts w:ascii="Arial" w:hAnsi="Arial" w:cs="Arial"/>
                <w:b w:val="0"/>
                <w:sz w:val="21"/>
              </w:rPr>
              <w:t>Especies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5CC5DA"/>
          </w:tcPr>
          <w:p w14:paraId="51FDFCC1" w14:textId="77777777" w:rsidR="006A3DBC" w:rsidRPr="00CF0F96" w:rsidRDefault="006A3DBC" w:rsidP="00D30988">
            <w:pPr>
              <w:pStyle w:val="TableParagraph"/>
              <w:jc w:val="center"/>
              <w:rPr>
                <w:rFonts w:ascii="Arial" w:hAnsi="Arial" w:cs="Arial"/>
                <w:b w:val="0"/>
                <w:sz w:val="21"/>
              </w:rPr>
            </w:pPr>
            <w:r w:rsidRPr="00CF0F96">
              <w:rPr>
                <w:rFonts w:ascii="Arial" w:hAnsi="Arial" w:cs="Arial"/>
                <w:b w:val="0"/>
                <w:w w:val="95"/>
                <w:sz w:val="21"/>
              </w:rPr>
              <w:t>Categoría</w:t>
            </w:r>
          </w:p>
        </w:tc>
      </w:tr>
      <w:tr w:rsidR="00CF0F96" w:rsidRPr="00CF0F96" w14:paraId="1BAA2CF0"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12BF9E93"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Chondrichthyes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5C333A5A"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Rhinopteridae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34527D71" w14:textId="77777777" w:rsidR="006A3DBC" w:rsidRPr="00CF0F96" w:rsidRDefault="006A3DBC" w:rsidP="005F4A92">
            <w:pPr>
              <w:pStyle w:val="TableParagraph"/>
              <w:rPr>
                <w:rFonts w:ascii="Arial" w:hAnsi="Arial" w:cs="Arial"/>
                <w:i/>
                <w:sz w:val="21"/>
              </w:rPr>
            </w:pPr>
            <w:r w:rsidRPr="00CF0F96">
              <w:rPr>
                <w:rFonts w:ascii="Arial" w:hAnsi="Arial" w:cs="Arial"/>
                <w:i/>
                <w:sz w:val="21"/>
              </w:rPr>
              <w:t>Rhinoptera steindachneri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5BA31D5C"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CF0F96" w:rsidRPr="00CF0F96" w14:paraId="168A7D31"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6A8AB6D8"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Chondrichthyes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66957D7E"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Sphyrnidae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0FFC42BD" w14:textId="77777777" w:rsidR="006A3DBC" w:rsidRPr="00CF0F96" w:rsidRDefault="006A3DBC" w:rsidP="005F4A92">
            <w:pPr>
              <w:pStyle w:val="TableParagraph"/>
              <w:rPr>
                <w:rFonts w:ascii="Arial" w:hAnsi="Arial" w:cs="Arial"/>
                <w:i/>
                <w:sz w:val="21"/>
              </w:rPr>
            </w:pPr>
            <w:r w:rsidRPr="00CF0F96">
              <w:rPr>
                <w:rFonts w:ascii="Arial" w:hAnsi="Arial" w:cs="Arial"/>
                <w:i/>
                <w:sz w:val="21"/>
              </w:rPr>
              <w:t>Sphyrna corona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5B98F8B7"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CF0F96" w:rsidRPr="00CF0F96" w14:paraId="4B092C5F"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59F18C2D"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Chondrichthyes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229B9036"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Sphyrnidae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44F836BE" w14:textId="77777777" w:rsidR="006A3DBC" w:rsidRPr="00CF0F96" w:rsidRDefault="006A3DBC" w:rsidP="005F4A92">
            <w:pPr>
              <w:pStyle w:val="TableParagraph"/>
              <w:rPr>
                <w:rFonts w:ascii="Arial" w:hAnsi="Arial" w:cs="Arial"/>
                <w:i/>
                <w:sz w:val="21"/>
              </w:rPr>
            </w:pPr>
            <w:r w:rsidRPr="00CF0F96">
              <w:rPr>
                <w:rFonts w:ascii="Arial" w:hAnsi="Arial" w:cs="Arial"/>
                <w:i/>
                <w:sz w:val="21"/>
              </w:rPr>
              <w:t>Sphyrna lewini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0158E9AC"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CF0F96" w:rsidRPr="00CF0F96" w14:paraId="20DAFE06"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39F81DE4"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Chondrichthyes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7E9F8FE9"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Sphyrnidae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4A60E6EA" w14:textId="77777777" w:rsidR="006A3DBC" w:rsidRPr="00CF0F96" w:rsidRDefault="006A3DBC" w:rsidP="005F4A92">
            <w:pPr>
              <w:pStyle w:val="TableParagraph"/>
              <w:rPr>
                <w:rFonts w:ascii="Arial" w:hAnsi="Arial" w:cs="Arial"/>
                <w:i/>
                <w:sz w:val="21"/>
              </w:rPr>
            </w:pPr>
            <w:r w:rsidRPr="00CF0F96">
              <w:rPr>
                <w:rFonts w:ascii="Arial" w:hAnsi="Arial" w:cs="Arial"/>
                <w:i/>
                <w:sz w:val="21"/>
              </w:rPr>
              <w:t>Sphyrna mokarran</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02876FDC"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CF0F96" w:rsidRPr="00CF0F96" w14:paraId="74CB00F7"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0C500161"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Actinopterygii</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74519E82"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Albulidae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7A3ACADF" w14:textId="77777777" w:rsidR="006A3DBC" w:rsidRPr="00CF0F96" w:rsidRDefault="006A3DBC" w:rsidP="005F4A92">
            <w:pPr>
              <w:pStyle w:val="TableParagraph"/>
              <w:rPr>
                <w:rFonts w:ascii="Arial" w:hAnsi="Arial" w:cs="Arial"/>
                <w:i/>
                <w:sz w:val="21"/>
              </w:rPr>
            </w:pPr>
            <w:r w:rsidRPr="00CF0F96">
              <w:rPr>
                <w:rFonts w:ascii="Arial" w:hAnsi="Arial" w:cs="Arial"/>
                <w:i/>
                <w:sz w:val="21"/>
              </w:rPr>
              <w:t>Albula vulpes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3C85D1B6"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CF0F96" w:rsidRPr="00CF0F96" w14:paraId="65156EEF"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2AF0F95F"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Actinopterygii</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799B6BE1"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Anguillidae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5A8683AF" w14:textId="77777777" w:rsidR="006A3DBC" w:rsidRPr="00CF0F96" w:rsidRDefault="006A3DBC" w:rsidP="005F4A92">
            <w:pPr>
              <w:pStyle w:val="TableParagraph"/>
              <w:rPr>
                <w:rFonts w:ascii="Arial" w:hAnsi="Arial" w:cs="Arial"/>
                <w:i/>
                <w:sz w:val="21"/>
              </w:rPr>
            </w:pPr>
            <w:r w:rsidRPr="00CF0F96">
              <w:rPr>
                <w:rFonts w:ascii="Arial" w:hAnsi="Arial" w:cs="Arial"/>
                <w:i/>
                <w:sz w:val="21"/>
              </w:rPr>
              <w:t>Anguilla rostrata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7576AE9B"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CF0F96" w:rsidRPr="00CF0F96" w14:paraId="0D2FFC49"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024DC622"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Actinopterygii</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7CB6AAC3"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Balistidae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06C205B0" w14:textId="77777777" w:rsidR="006A3DBC" w:rsidRPr="00CF0F96" w:rsidRDefault="006A3DBC" w:rsidP="005F4A92">
            <w:pPr>
              <w:pStyle w:val="TableParagraph"/>
              <w:rPr>
                <w:rFonts w:ascii="Arial" w:hAnsi="Arial" w:cs="Arial"/>
                <w:i/>
                <w:sz w:val="21"/>
              </w:rPr>
            </w:pPr>
            <w:r w:rsidRPr="00CF0F96">
              <w:rPr>
                <w:rFonts w:ascii="Arial" w:hAnsi="Arial" w:cs="Arial"/>
                <w:i/>
                <w:sz w:val="21"/>
              </w:rPr>
              <w:t>Balistes capriscus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5C60EB4E"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CF0F96" w:rsidRPr="00CF0F96" w14:paraId="496684CF"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04EE340C"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Actinopterygii</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414F5453"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Balistidae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1B62D530" w14:textId="77777777" w:rsidR="006A3DBC" w:rsidRPr="00CF0F96" w:rsidRDefault="006A3DBC" w:rsidP="005F4A92">
            <w:pPr>
              <w:pStyle w:val="TableParagraph"/>
              <w:rPr>
                <w:rFonts w:ascii="Arial" w:hAnsi="Arial" w:cs="Arial"/>
                <w:i/>
                <w:sz w:val="21"/>
              </w:rPr>
            </w:pPr>
            <w:r w:rsidRPr="00CF0F96">
              <w:rPr>
                <w:rFonts w:ascii="Arial" w:hAnsi="Arial" w:cs="Arial"/>
                <w:i/>
                <w:sz w:val="21"/>
              </w:rPr>
              <w:t>Balistes vetula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39994E88"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CF0F96" w:rsidRPr="00CF0F96" w14:paraId="57C3B7E6"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7D01C506"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Actinopterygii</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47F0707D"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Batrachoididae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6E18483E" w14:textId="77777777" w:rsidR="006A3DBC" w:rsidRPr="00CF0F96" w:rsidRDefault="006A3DBC" w:rsidP="005F4A92">
            <w:pPr>
              <w:pStyle w:val="TableParagraph"/>
              <w:rPr>
                <w:rFonts w:ascii="Arial" w:hAnsi="Arial" w:cs="Arial"/>
                <w:i/>
                <w:sz w:val="21"/>
              </w:rPr>
            </w:pPr>
            <w:r w:rsidRPr="00CF0F96">
              <w:rPr>
                <w:rFonts w:ascii="Arial" w:hAnsi="Arial" w:cs="Arial"/>
                <w:i/>
                <w:sz w:val="21"/>
              </w:rPr>
              <w:t>Batrachoides boulengeri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349874C0"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CF0F96" w:rsidRPr="00CF0F96" w14:paraId="0A8C2665"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0A72DDB5"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Actinopterygii</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73B0127C"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Batrachoididae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44C225EB" w14:textId="77777777" w:rsidR="006A3DBC" w:rsidRPr="00CF0F96" w:rsidRDefault="006A3DBC" w:rsidP="005F4A92">
            <w:pPr>
              <w:pStyle w:val="TableParagraph"/>
              <w:rPr>
                <w:rFonts w:ascii="Arial" w:hAnsi="Arial" w:cs="Arial"/>
                <w:i/>
                <w:sz w:val="21"/>
              </w:rPr>
            </w:pPr>
            <w:r w:rsidRPr="00CF0F96">
              <w:rPr>
                <w:rFonts w:ascii="Arial" w:hAnsi="Arial" w:cs="Arial"/>
                <w:i/>
                <w:sz w:val="21"/>
              </w:rPr>
              <w:t>Vladichthys gloverensis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67358069"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CF0F96" w:rsidRPr="00CF0F96" w14:paraId="5DF49BCF"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3DA9B9E6"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Actinopterygii</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334D71CA"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Blenniidae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3D1325EE" w14:textId="77777777" w:rsidR="006A3DBC" w:rsidRPr="00CF0F96" w:rsidRDefault="006A3DBC" w:rsidP="005F4A92">
            <w:pPr>
              <w:pStyle w:val="TableParagraph"/>
              <w:rPr>
                <w:rFonts w:ascii="Arial" w:hAnsi="Arial" w:cs="Arial"/>
                <w:i/>
                <w:sz w:val="21"/>
              </w:rPr>
            </w:pPr>
            <w:r w:rsidRPr="00CF0F96">
              <w:rPr>
                <w:rFonts w:ascii="Arial" w:hAnsi="Arial" w:cs="Arial"/>
                <w:i/>
                <w:sz w:val="21"/>
              </w:rPr>
              <w:t>Lupinoblennius vinctus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22A2E33F"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CF0F96" w:rsidRPr="00CF0F96" w14:paraId="6383BE8B"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0C0A4FAF"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Actinopterygii</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029FAD3E"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Gobiidae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42C5CDA2" w14:textId="77777777" w:rsidR="006A3DBC" w:rsidRPr="00CF0F96" w:rsidRDefault="006A3DBC" w:rsidP="005F4A92">
            <w:pPr>
              <w:pStyle w:val="TableParagraph"/>
              <w:rPr>
                <w:rFonts w:ascii="Arial" w:hAnsi="Arial" w:cs="Arial"/>
                <w:i/>
                <w:sz w:val="21"/>
              </w:rPr>
            </w:pPr>
            <w:r w:rsidRPr="00CF0F96">
              <w:rPr>
                <w:rFonts w:ascii="Arial" w:hAnsi="Arial" w:cs="Arial"/>
                <w:i/>
                <w:sz w:val="21"/>
              </w:rPr>
              <w:t>Coryphopterus alloides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396E9CD7"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CF0F96" w:rsidRPr="00CF0F96" w14:paraId="0D7E9D4C"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5031BD8D"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Actinopterygii</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1F41A902"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Gobiidae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34FD82F3" w14:textId="77777777" w:rsidR="006A3DBC" w:rsidRPr="00CF0F96" w:rsidRDefault="006A3DBC" w:rsidP="005F4A92">
            <w:pPr>
              <w:pStyle w:val="TableParagraph"/>
              <w:rPr>
                <w:rFonts w:ascii="Arial" w:hAnsi="Arial" w:cs="Arial"/>
                <w:i/>
                <w:sz w:val="21"/>
              </w:rPr>
            </w:pPr>
            <w:r w:rsidRPr="00CF0F96">
              <w:rPr>
                <w:rFonts w:ascii="Arial" w:hAnsi="Arial" w:cs="Arial"/>
                <w:i/>
                <w:sz w:val="21"/>
              </w:rPr>
              <w:t>Coryphopterus eidolon</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7C957A37"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CF0F96" w:rsidRPr="00CF0F96" w14:paraId="47855FE2"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4D653643"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Actinopterygii</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3EDF9762"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Gobiidae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22BF6BC9" w14:textId="77777777" w:rsidR="006A3DBC" w:rsidRPr="00CF0F96" w:rsidRDefault="006A3DBC" w:rsidP="005F4A92">
            <w:pPr>
              <w:pStyle w:val="TableParagraph"/>
              <w:rPr>
                <w:rFonts w:ascii="Arial" w:hAnsi="Arial" w:cs="Arial"/>
                <w:i/>
                <w:sz w:val="21"/>
              </w:rPr>
            </w:pPr>
            <w:r w:rsidRPr="00CF0F96">
              <w:rPr>
                <w:rFonts w:ascii="Arial" w:hAnsi="Arial" w:cs="Arial"/>
                <w:i/>
                <w:sz w:val="21"/>
              </w:rPr>
              <w:t>Coryphopterus hyalinus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2496C80D"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CF0F96" w:rsidRPr="00CF0F96" w14:paraId="51227C24"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62BC2DAD"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Actinopterygii</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6831381C"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Gobiidae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43428A73" w14:textId="77777777" w:rsidR="006A3DBC" w:rsidRPr="00CF0F96" w:rsidRDefault="006A3DBC" w:rsidP="005F4A92">
            <w:pPr>
              <w:pStyle w:val="TableParagraph"/>
              <w:rPr>
                <w:rFonts w:ascii="Arial" w:hAnsi="Arial" w:cs="Arial"/>
                <w:i/>
                <w:sz w:val="21"/>
              </w:rPr>
            </w:pPr>
            <w:r w:rsidRPr="00CF0F96">
              <w:rPr>
                <w:rFonts w:ascii="Arial" w:hAnsi="Arial" w:cs="Arial"/>
                <w:i/>
                <w:sz w:val="21"/>
              </w:rPr>
              <w:t>Coryphopterus lipernes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6AC6366A"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CF0F96" w:rsidRPr="00CF0F96" w14:paraId="4F6A82F1"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33013FD4"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Actinopterygii</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51FA7E2F"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Gobiidae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11C7A692" w14:textId="77777777" w:rsidR="006A3DBC" w:rsidRPr="00CF0F96" w:rsidRDefault="006A3DBC" w:rsidP="005F4A92">
            <w:pPr>
              <w:pStyle w:val="TableParagraph"/>
              <w:rPr>
                <w:rFonts w:ascii="Arial" w:hAnsi="Arial" w:cs="Arial"/>
                <w:i/>
                <w:sz w:val="21"/>
              </w:rPr>
            </w:pPr>
            <w:r w:rsidRPr="00CF0F96">
              <w:rPr>
                <w:rFonts w:ascii="Arial" w:hAnsi="Arial" w:cs="Arial"/>
                <w:i/>
                <w:sz w:val="21"/>
              </w:rPr>
              <w:t>Coryphopterus personatus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334DEC2F"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CF0F96" w:rsidRPr="00CF0F96" w14:paraId="5A823B0F"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442E3669"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Actinopterygii</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3BEA3256"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Gobiidae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2299DF11" w14:textId="77777777" w:rsidR="006A3DBC" w:rsidRPr="00CF0F96" w:rsidRDefault="006A3DBC" w:rsidP="005F4A92">
            <w:pPr>
              <w:pStyle w:val="TableParagraph"/>
              <w:rPr>
                <w:rFonts w:ascii="Arial" w:hAnsi="Arial" w:cs="Arial"/>
                <w:i/>
                <w:sz w:val="21"/>
              </w:rPr>
            </w:pPr>
            <w:r w:rsidRPr="00CF0F96">
              <w:rPr>
                <w:rFonts w:ascii="Arial" w:hAnsi="Arial" w:cs="Arial"/>
                <w:i/>
                <w:w w:val="95"/>
                <w:sz w:val="21"/>
              </w:rPr>
              <w:t>Coryphopterus thrix</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040F5025"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CF0F96" w:rsidRPr="00CF0F96" w14:paraId="36D5363A"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5120A150"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Actinopterygii</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6BD9655C"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Gobiidae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0E125876" w14:textId="77777777" w:rsidR="006A3DBC" w:rsidRPr="00CF0F96" w:rsidRDefault="006A3DBC" w:rsidP="005F4A92">
            <w:pPr>
              <w:pStyle w:val="TableParagraph"/>
              <w:rPr>
                <w:rFonts w:ascii="Arial" w:hAnsi="Arial" w:cs="Arial"/>
                <w:i/>
                <w:sz w:val="21"/>
              </w:rPr>
            </w:pPr>
            <w:r w:rsidRPr="00CF0F96">
              <w:rPr>
                <w:rFonts w:ascii="Arial" w:hAnsi="Arial" w:cs="Arial"/>
                <w:i/>
                <w:w w:val="95"/>
                <w:sz w:val="21"/>
              </w:rPr>
              <w:t>Coryphopterus tortugae</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70D858D7"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CF0F96" w:rsidRPr="00CF0F96" w14:paraId="79B6067C"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2C8E2E4E"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Actinopterygii</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65933B01"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Gobiidae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5C4B78F1" w14:textId="77777777" w:rsidR="006A3DBC" w:rsidRPr="00CF0F96" w:rsidRDefault="006A3DBC" w:rsidP="005F4A92">
            <w:pPr>
              <w:pStyle w:val="TableParagraph"/>
              <w:rPr>
                <w:rFonts w:ascii="Arial" w:hAnsi="Arial" w:cs="Arial"/>
                <w:i/>
                <w:sz w:val="21"/>
              </w:rPr>
            </w:pPr>
            <w:r w:rsidRPr="00CF0F96">
              <w:rPr>
                <w:rFonts w:ascii="Arial" w:hAnsi="Arial" w:cs="Arial"/>
                <w:i/>
                <w:sz w:val="21"/>
              </w:rPr>
              <w:t>Coryphopterus venezuelae</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566B9EC0"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CF0F96" w:rsidRPr="00CF0F96" w14:paraId="45FFC915"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5723C1F9"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Actinopterygii</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11D56246"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Gobiidae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4227D1B9" w14:textId="77777777" w:rsidR="006A3DBC" w:rsidRPr="00CF0F96" w:rsidRDefault="006A3DBC" w:rsidP="005F4A92">
            <w:pPr>
              <w:pStyle w:val="TableParagraph"/>
              <w:rPr>
                <w:rFonts w:ascii="Arial" w:hAnsi="Arial" w:cs="Arial"/>
                <w:i/>
                <w:sz w:val="21"/>
              </w:rPr>
            </w:pPr>
            <w:r w:rsidRPr="00CF0F96">
              <w:rPr>
                <w:rFonts w:ascii="Arial" w:hAnsi="Arial" w:cs="Arial"/>
                <w:i/>
                <w:sz w:val="21"/>
              </w:rPr>
              <w:t>Elacatinus lobeli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0CA58C30"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CF0F96" w:rsidRPr="00CF0F96" w14:paraId="5B1D1E8D"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00D1F496"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Actinopterygii</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11A0DCB0"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Gobiidae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633EF645" w14:textId="77777777" w:rsidR="006A3DBC" w:rsidRPr="00CF0F96" w:rsidRDefault="006A3DBC" w:rsidP="005F4A92">
            <w:pPr>
              <w:pStyle w:val="TableParagraph"/>
              <w:rPr>
                <w:rFonts w:ascii="Arial" w:hAnsi="Arial" w:cs="Arial"/>
                <w:i/>
                <w:sz w:val="21"/>
              </w:rPr>
            </w:pPr>
            <w:r w:rsidRPr="00CF0F96">
              <w:rPr>
                <w:rFonts w:ascii="Arial" w:hAnsi="Arial" w:cs="Arial"/>
                <w:i/>
                <w:sz w:val="21"/>
              </w:rPr>
              <w:t>Elacatinus prochilos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017AB277"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CF0F96" w:rsidRPr="00CF0F96" w14:paraId="79CE73C2"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0729DE38"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Actinopterygii</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6C3EC4DC"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Epinephelidae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3F1326CE" w14:textId="77777777" w:rsidR="006A3DBC" w:rsidRPr="00CF0F96" w:rsidRDefault="006A3DBC" w:rsidP="005F4A92">
            <w:pPr>
              <w:pStyle w:val="TableParagraph"/>
              <w:rPr>
                <w:rFonts w:ascii="Arial" w:hAnsi="Arial" w:cs="Arial"/>
                <w:i/>
                <w:sz w:val="21"/>
              </w:rPr>
            </w:pPr>
            <w:r w:rsidRPr="00CF0F96">
              <w:rPr>
                <w:rFonts w:ascii="Arial" w:hAnsi="Arial" w:cs="Arial"/>
                <w:i/>
                <w:sz w:val="21"/>
              </w:rPr>
              <w:t>Dermatolepis inermis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5CC4827A"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CF0F96" w:rsidRPr="00CF0F96" w14:paraId="553B35EA"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003BD9D5"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Actinopterygii</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132079B4"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Epinephelidae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5FE9A025" w14:textId="77777777" w:rsidR="006A3DBC" w:rsidRPr="00CF0F96" w:rsidRDefault="006A3DBC" w:rsidP="005F4A92">
            <w:pPr>
              <w:pStyle w:val="TableParagraph"/>
              <w:rPr>
                <w:rFonts w:ascii="Arial" w:hAnsi="Arial" w:cs="Arial"/>
                <w:i/>
                <w:sz w:val="21"/>
              </w:rPr>
            </w:pPr>
            <w:r w:rsidRPr="00CF0F96">
              <w:rPr>
                <w:rFonts w:ascii="Arial" w:hAnsi="Arial" w:cs="Arial"/>
                <w:i/>
                <w:sz w:val="21"/>
              </w:rPr>
              <w:t>Epinephelus itajara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20B184AA"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CF0F96" w:rsidRPr="00CF0F96" w14:paraId="1289EBCF"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5B9028C6"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Actinopterygii</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44791ACE"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Epinephelidae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750639BC" w14:textId="77777777" w:rsidR="006A3DBC" w:rsidRPr="00CF0F96" w:rsidRDefault="006A3DBC" w:rsidP="005F4A92">
            <w:pPr>
              <w:pStyle w:val="TableParagraph"/>
              <w:rPr>
                <w:rFonts w:ascii="Arial" w:hAnsi="Arial" w:cs="Arial"/>
                <w:i/>
                <w:sz w:val="21"/>
              </w:rPr>
            </w:pPr>
            <w:r w:rsidRPr="00CF0F96">
              <w:rPr>
                <w:rFonts w:ascii="Arial" w:hAnsi="Arial" w:cs="Arial"/>
                <w:i/>
                <w:sz w:val="21"/>
              </w:rPr>
              <w:t>Epinephelus morio</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0AE1C687"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CF0F96" w:rsidRPr="00CF0F96" w14:paraId="1DD2190D"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5028119B"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Actinopterygii</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2C3843FF"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Epinephelidae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05955B91" w14:textId="77777777" w:rsidR="006A3DBC" w:rsidRPr="00CF0F96" w:rsidRDefault="006A3DBC" w:rsidP="005F4A92">
            <w:pPr>
              <w:pStyle w:val="TableParagraph"/>
              <w:rPr>
                <w:rFonts w:ascii="Arial" w:hAnsi="Arial" w:cs="Arial"/>
                <w:i/>
                <w:sz w:val="21"/>
              </w:rPr>
            </w:pPr>
            <w:r w:rsidRPr="00CF0F96">
              <w:rPr>
                <w:rFonts w:ascii="Arial" w:hAnsi="Arial" w:cs="Arial"/>
                <w:i/>
                <w:sz w:val="21"/>
              </w:rPr>
              <w:t>Epinephelus striatus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4DE6798E"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CF0F96" w:rsidRPr="00CF0F96" w14:paraId="1263E9A5"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2017C0BF"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Actinopterygii</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4A4A1BA1"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Epinephelidae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1812CAD4" w14:textId="77777777" w:rsidR="006A3DBC" w:rsidRPr="00CF0F96" w:rsidRDefault="006A3DBC" w:rsidP="005F4A92">
            <w:pPr>
              <w:pStyle w:val="TableParagraph"/>
              <w:spacing w:before="53"/>
              <w:rPr>
                <w:rFonts w:ascii="Arial" w:hAnsi="Arial" w:cs="Arial"/>
                <w:i/>
                <w:sz w:val="21"/>
              </w:rPr>
            </w:pPr>
            <w:r w:rsidRPr="00CF0F96">
              <w:rPr>
                <w:rFonts w:ascii="Arial" w:hAnsi="Arial" w:cs="Arial"/>
                <w:i/>
                <w:w w:val="95"/>
                <w:sz w:val="21"/>
              </w:rPr>
              <w:t>Hyporthodus flavolimbatus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23FBEA9A"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CF0F96" w:rsidRPr="00CF0F96" w14:paraId="1AD51FC3"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1E070E4C"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Actinopterygii</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0FBC4BA9"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Epinephelidae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45AF41E6" w14:textId="77777777" w:rsidR="006A3DBC" w:rsidRPr="00CF0F96" w:rsidRDefault="006A3DBC" w:rsidP="005F4A92">
            <w:pPr>
              <w:pStyle w:val="TableParagraph"/>
              <w:rPr>
                <w:rFonts w:ascii="Arial" w:hAnsi="Arial" w:cs="Arial"/>
                <w:i/>
                <w:sz w:val="21"/>
              </w:rPr>
            </w:pPr>
            <w:r w:rsidRPr="00CF0F96">
              <w:rPr>
                <w:rFonts w:ascii="Arial" w:hAnsi="Arial" w:cs="Arial"/>
                <w:i/>
                <w:sz w:val="21"/>
              </w:rPr>
              <w:t>Hyporthodus niveatus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6F7FF489"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CF0F96" w:rsidRPr="00CF0F96" w14:paraId="20AEC08F"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7D303635"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Actinopterygii</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3D9C7C33"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Epinephelidae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37558E90" w14:textId="77777777" w:rsidR="006A3DBC" w:rsidRPr="00CF0F96" w:rsidRDefault="006A3DBC" w:rsidP="005F4A92">
            <w:pPr>
              <w:pStyle w:val="TableParagraph"/>
              <w:rPr>
                <w:rFonts w:ascii="Arial" w:hAnsi="Arial" w:cs="Arial"/>
                <w:i/>
                <w:sz w:val="21"/>
              </w:rPr>
            </w:pPr>
            <w:r w:rsidRPr="00CF0F96">
              <w:rPr>
                <w:rFonts w:ascii="Arial" w:hAnsi="Arial" w:cs="Arial"/>
                <w:i/>
                <w:sz w:val="21"/>
              </w:rPr>
              <w:t>Mycteroperca bonaci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684B0293"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CF0F96" w:rsidRPr="00CF0F96" w14:paraId="605EA692" w14:textId="77777777" w:rsidTr="005F4A92">
        <w:trPr>
          <w:cnfStyle w:val="000000100000" w:firstRow="0" w:lastRow="0" w:firstColumn="0" w:lastColumn="0" w:oddVBand="0" w:evenVBand="0" w:oddHBand="1" w:evenHBand="0" w:firstRowFirstColumn="0" w:firstRowLastColumn="0" w:lastRowFirstColumn="0" w:lastRowLastColumn="0"/>
          <w:trHeight w:val="406"/>
          <w:jc w:val="center"/>
        </w:trPr>
        <w:tc>
          <w:tcPr>
            <w:cnfStyle w:val="001000000000" w:firstRow="0" w:lastRow="0" w:firstColumn="1" w:lastColumn="0" w:oddVBand="0" w:evenVBand="0" w:oddHBand="0" w:evenHBand="0" w:firstRowFirstColumn="0" w:firstRowLastColumn="0" w:lastRowFirstColumn="0" w:lastRowLastColumn="0"/>
            <w:tcW w:w="1804" w:type="dxa"/>
            <w:shd w:val="clear" w:color="auto" w:fill="D2EAF0"/>
          </w:tcPr>
          <w:p w14:paraId="6B1DEACA" w14:textId="77777777" w:rsidR="006A3DBC" w:rsidRPr="00CF0F96" w:rsidRDefault="006A3DBC" w:rsidP="005F4A92">
            <w:pPr>
              <w:pStyle w:val="TableParagraph"/>
              <w:spacing w:before="85"/>
              <w:rPr>
                <w:rFonts w:ascii="Arial" w:hAnsi="Arial" w:cs="Arial"/>
                <w:b w:val="0"/>
                <w:sz w:val="21"/>
              </w:rPr>
            </w:pPr>
            <w:r w:rsidRPr="00CF0F96">
              <w:rPr>
                <w:rFonts w:ascii="Arial" w:hAnsi="Arial" w:cs="Arial"/>
                <w:b w:val="0"/>
                <w:w w:val="95"/>
                <w:sz w:val="21"/>
              </w:rPr>
              <w:t>Actinopterygii</w:t>
            </w:r>
          </w:p>
        </w:tc>
        <w:tc>
          <w:tcPr>
            <w:cnfStyle w:val="000010000000" w:firstRow="0" w:lastRow="0" w:firstColumn="0" w:lastColumn="0" w:oddVBand="1" w:evenVBand="0" w:oddHBand="0" w:evenHBand="0" w:firstRowFirstColumn="0" w:firstRowLastColumn="0" w:lastRowFirstColumn="0" w:lastRowLastColumn="0"/>
            <w:tcW w:w="1879" w:type="dxa"/>
            <w:shd w:val="clear" w:color="auto" w:fill="D2EAF0"/>
          </w:tcPr>
          <w:p w14:paraId="75C5341A" w14:textId="77777777" w:rsidR="006A3DBC" w:rsidRPr="00CF0F96" w:rsidRDefault="006A3DBC" w:rsidP="005F4A92">
            <w:pPr>
              <w:pStyle w:val="TableParagraph"/>
              <w:spacing w:before="73"/>
              <w:rPr>
                <w:rFonts w:ascii="Arial" w:hAnsi="Arial" w:cs="Arial"/>
                <w:sz w:val="21"/>
              </w:rPr>
            </w:pPr>
            <w:r w:rsidRPr="00CF0F96">
              <w:rPr>
                <w:rFonts w:ascii="Arial" w:hAnsi="Arial" w:cs="Arial"/>
                <w:sz w:val="21"/>
              </w:rPr>
              <w:t>Epinephelidae</w:t>
            </w:r>
          </w:p>
        </w:tc>
        <w:tc>
          <w:tcPr>
            <w:cnfStyle w:val="000001000000" w:firstRow="0" w:lastRow="0" w:firstColumn="0" w:lastColumn="0" w:oddVBand="0" w:evenVBand="1" w:oddHBand="0" w:evenHBand="0" w:firstRowFirstColumn="0" w:firstRowLastColumn="0" w:lastRowFirstColumn="0" w:lastRowLastColumn="0"/>
            <w:tcW w:w="3204" w:type="dxa"/>
            <w:shd w:val="clear" w:color="auto" w:fill="D2EAF0"/>
          </w:tcPr>
          <w:p w14:paraId="296CB8DE" w14:textId="77777777" w:rsidR="006A3DBC" w:rsidRPr="00CF0F96" w:rsidRDefault="006A3DBC" w:rsidP="005F4A92">
            <w:pPr>
              <w:pStyle w:val="TableParagraph"/>
              <w:spacing w:before="85"/>
              <w:rPr>
                <w:rFonts w:ascii="Arial" w:hAnsi="Arial" w:cs="Arial"/>
                <w:i/>
                <w:sz w:val="21"/>
              </w:rPr>
            </w:pPr>
            <w:r w:rsidRPr="00CF0F96">
              <w:rPr>
                <w:rFonts w:ascii="Arial" w:hAnsi="Arial" w:cs="Arial"/>
                <w:i/>
                <w:sz w:val="21"/>
              </w:rPr>
              <w:t>Mycteroperca interstitialis</w:t>
            </w:r>
          </w:p>
        </w:tc>
        <w:tc>
          <w:tcPr>
            <w:cnfStyle w:val="000100000000" w:firstRow="0" w:lastRow="0" w:firstColumn="0" w:lastColumn="1" w:oddVBand="0" w:evenVBand="0" w:oddHBand="0" w:evenHBand="0" w:firstRowFirstColumn="0" w:firstRowLastColumn="0" w:lastRowFirstColumn="0" w:lastRowLastColumn="0"/>
            <w:tcW w:w="1372" w:type="dxa"/>
            <w:shd w:val="clear" w:color="auto" w:fill="D2EAF0"/>
          </w:tcPr>
          <w:p w14:paraId="4AFCD405" w14:textId="77777777" w:rsidR="006A3DBC" w:rsidRPr="00CF0F96" w:rsidRDefault="006A3DBC" w:rsidP="00342ED7">
            <w:pPr>
              <w:pStyle w:val="TableParagraph"/>
              <w:spacing w:before="73"/>
              <w:jc w:val="center"/>
              <w:rPr>
                <w:rFonts w:ascii="Arial" w:hAnsi="Arial" w:cs="Arial"/>
                <w:b w:val="0"/>
                <w:bCs w:val="0"/>
                <w:sz w:val="21"/>
              </w:rPr>
            </w:pPr>
            <w:r w:rsidRPr="00CF0F96">
              <w:rPr>
                <w:rFonts w:ascii="Arial" w:hAnsi="Arial" w:cs="Arial"/>
                <w:b w:val="0"/>
                <w:bCs w:val="0"/>
                <w:sz w:val="21"/>
              </w:rPr>
              <w:t>VU</w:t>
            </w:r>
          </w:p>
        </w:tc>
      </w:tr>
      <w:tr w:rsidR="00CF0F96" w:rsidRPr="00CF0F96" w14:paraId="0874638E" w14:textId="77777777" w:rsidTr="005F4A92">
        <w:trPr>
          <w:cnfStyle w:val="010000000000" w:firstRow="0" w:lastRow="1" w:firstColumn="0" w:lastColumn="0" w:oddVBand="0" w:evenVBand="0" w:oddHBand="0" w:evenHBand="0" w:firstRowFirstColumn="0" w:firstRowLastColumn="0" w:lastRowFirstColumn="0" w:lastRowLastColumn="0"/>
          <w:trHeight w:val="406"/>
          <w:jc w:val="center"/>
        </w:trPr>
        <w:tc>
          <w:tcPr>
            <w:cnfStyle w:val="001000000000" w:firstRow="0" w:lastRow="0" w:firstColumn="1" w:lastColumn="0" w:oddVBand="0" w:evenVBand="0" w:oddHBand="0" w:evenHBand="0" w:firstRowFirstColumn="0" w:firstRowLastColumn="0" w:lastRowFirstColumn="0" w:lastRowLastColumn="0"/>
            <w:tcW w:w="1804" w:type="dxa"/>
          </w:tcPr>
          <w:p w14:paraId="2A291851" w14:textId="77777777" w:rsidR="006A3DBC" w:rsidRPr="00CF0F96" w:rsidRDefault="006A3DBC" w:rsidP="005F4A92">
            <w:pPr>
              <w:pStyle w:val="TableParagraph"/>
              <w:spacing w:before="85"/>
              <w:rPr>
                <w:rFonts w:ascii="Arial" w:hAnsi="Arial" w:cs="Arial"/>
                <w:b w:val="0"/>
                <w:sz w:val="21"/>
              </w:rPr>
            </w:pPr>
            <w:r w:rsidRPr="00CF0F96">
              <w:rPr>
                <w:rFonts w:ascii="Arial" w:hAnsi="Arial" w:cs="Arial"/>
                <w:b w:val="0"/>
                <w:w w:val="95"/>
                <w:sz w:val="21"/>
              </w:rPr>
              <w:t>Actinopterygii</w:t>
            </w:r>
          </w:p>
        </w:tc>
        <w:tc>
          <w:tcPr>
            <w:cnfStyle w:val="000010000000" w:firstRow="0" w:lastRow="0" w:firstColumn="0" w:lastColumn="0" w:oddVBand="1" w:evenVBand="0" w:oddHBand="0" w:evenHBand="0" w:firstRowFirstColumn="0" w:firstRowLastColumn="0" w:lastRowFirstColumn="0" w:lastRowLastColumn="0"/>
            <w:tcW w:w="1879" w:type="dxa"/>
          </w:tcPr>
          <w:p w14:paraId="059696C6" w14:textId="77777777" w:rsidR="006A3DBC" w:rsidRPr="00CF0F96" w:rsidRDefault="006A3DBC" w:rsidP="005F4A92">
            <w:pPr>
              <w:pStyle w:val="TableParagraph"/>
              <w:spacing w:before="73"/>
              <w:rPr>
                <w:rFonts w:ascii="Arial" w:hAnsi="Arial" w:cs="Arial"/>
                <w:b w:val="0"/>
                <w:bCs w:val="0"/>
                <w:sz w:val="21"/>
              </w:rPr>
            </w:pPr>
            <w:r w:rsidRPr="00CF0F96">
              <w:rPr>
                <w:rFonts w:ascii="Arial" w:hAnsi="Arial" w:cs="Arial"/>
                <w:b w:val="0"/>
                <w:bCs w:val="0"/>
                <w:sz w:val="21"/>
              </w:rPr>
              <w:t>Epinephelidae</w:t>
            </w:r>
          </w:p>
        </w:tc>
        <w:tc>
          <w:tcPr>
            <w:cnfStyle w:val="000001000000" w:firstRow="0" w:lastRow="0" w:firstColumn="0" w:lastColumn="0" w:oddVBand="0" w:evenVBand="1" w:oddHBand="0" w:evenHBand="0" w:firstRowFirstColumn="0" w:firstRowLastColumn="0" w:lastRowFirstColumn="0" w:lastRowLastColumn="0"/>
            <w:tcW w:w="3204" w:type="dxa"/>
          </w:tcPr>
          <w:p w14:paraId="7D22D802" w14:textId="77777777" w:rsidR="006A3DBC" w:rsidRPr="00CF0F96" w:rsidRDefault="006A3DBC" w:rsidP="005F4A92">
            <w:pPr>
              <w:pStyle w:val="TableParagraph"/>
              <w:spacing w:before="85"/>
              <w:rPr>
                <w:rFonts w:ascii="Arial" w:hAnsi="Arial" w:cs="Arial"/>
                <w:b w:val="0"/>
                <w:bCs w:val="0"/>
                <w:i/>
                <w:sz w:val="21"/>
              </w:rPr>
            </w:pPr>
            <w:r w:rsidRPr="00CF0F96">
              <w:rPr>
                <w:rFonts w:ascii="Arial" w:hAnsi="Arial" w:cs="Arial"/>
                <w:b w:val="0"/>
                <w:bCs w:val="0"/>
                <w:i/>
                <w:sz w:val="21"/>
              </w:rPr>
              <w:t>Mycteroperca venenosa</w:t>
            </w:r>
          </w:p>
        </w:tc>
        <w:tc>
          <w:tcPr>
            <w:cnfStyle w:val="000100000000" w:firstRow="0" w:lastRow="0" w:firstColumn="0" w:lastColumn="1" w:oddVBand="0" w:evenVBand="0" w:oddHBand="0" w:evenHBand="0" w:firstRowFirstColumn="0" w:firstRowLastColumn="0" w:lastRowFirstColumn="0" w:lastRowLastColumn="0"/>
            <w:tcW w:w="1372" w:type="dxa"/>
          </w:tcPr>
          <w:p w14:paraId="3CC5B9C4" w14:textId="77777777" w:rsidR="006A3DBC" w:rsidRPr="00CF0F96" w:rsidRDefault="006A3DBC" w:rsidP="00342ED7">
            <w:pPr>
              <w:pStyle w:val="TableParagraph"/>
              <w:spacing w:before="73"/>
              <w:jc w:val="center"/>
              <w:rPr>
                <w:rFonts w:ascii="Arial" w:hAnsi="Arial" w:cs="Arial"/>
                <w:b w:val="0"/>
                <w:bCs w:val="0"/>
                <w:sz w:val="21"/>
              </w:rPr>
            </w:pPr>
            <w:r w:rsidRPr="00CF0F96">
              <w:rPr>
                <w:rFonts w:ascii="Arial" w:hAnsi="Arial" w:cs="Arial"/>
                <w:b w:val="0"/>
                <w:bCs w:val="0"/>
                <w:sz w:val="21"/>
              </w:rPr>
              <w:t>NT</w:t>
            </w:r>
          </w:p>
        </w:tc>
      </w:tr>
    </w:tbl>
    <w:p w14:paraId="741BFFC5" w14:textId="77777777" w:rsidR="006A3DBC" w:rsidRPr="00FA4B2D" w:rsidRDefault="006A3DBC" w:rsidP="006A3DBC">
      <w:pPr>
        <w:tabs>
          <w:tab w:val="left" w:pos="1245"/>
        </w:tabs>
        <w:rPr>
          <w:rFonts w:cs="Arial"/>
        </w:rPr>
      </w:pPr>
    </w:p>
    <w:tbl>
      <w:tblPr>
        <w:tblStyle w:val="Tablanormal21"/>
        <w:tblW w:w="0" w:type="auto"/>
        <w:jc w:val="center"/>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1804"/>
        <w:gridCol w:w="1879"/>
        <w:gridCol w:w="3204"/>
        <w:gridCol w:w="1372"/>
      </w:tblGrid>
      <w:tr w:rsidR="00CF0F96" w:rsidRPr="00CF0F96" w14:paraId="2A8B5BCA" w14:textId="77777777" w:rsidTr="00C81834">
        <w:trPr>
          <w:cnfStyle w:val="100000000000" w:firstRow="1" w:lastRow="0" w:firstColumn="0" w:lastColumn="0" w:oddVBand="0" w:evenVBand="0" w:oddHBand="0"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shd w:val="clear" w:color="auto" w:fill="5CC5DA"/>
          </w:tcPr>
          <w:p w14:paraId="713029D1" w14:textId="77777777" w:rsidR="006A3DBC" w:rsidRPr="00CF0F96" w:rsidRDefault="006A3DBC" w:rsidP="00D30988">
            <w:pPr>
              <w:pStyle w:val="TableParagraph"/>
              <w:ind w:right="605"/>
              <w:jc w:val="center"/>
              <w:rPr>
                <w:rFonts w:ascii="Arial" w:hAnsi="Arial" w:cs="Arial"/>
                <w:b w:val="0"/>
                <w:sz w:val="21"/>
              </w:rPr>
            </w:pPr>
            <w:r w:rsidRPr="00CF0F96">
              <w:rPr>
                <w:rFonts w:ascii="Arial" w:hAnsi="Arial" w:cs="Arial"/>
                <w:b w:val="0"/>
                <w:sz w:val="21"/>
              </w:rPr>
              <w:lastRenderedPageBreak/>
              <w:t>Clase</w:t>
            </w:r>
          </w:p>
        </w:tc>
        <w:tc>
          <w:tcPr>
            <w:cnfStyle w:val="000010000000" w:firstRow="0" w:lastRow="0" w:firstColumn="0" w:lastColumn="0" w:oddVBand="1" w:evenVBand="0" w:oddHBand="0" w:evenHBand="0" w:firstRowFirstColumn="0" w:firstRowLastColumn="0" w:lastRowFirstColumn="0" w:lastRowLastColumn="0"/>
            <w:tcW w:w="1879" w:type="dxa"/>
            <w:shd w:val="clear" w:color="auto" w:fill="5CC5DA"/>
          </w:tcPr>
          <w:p w14:paraId="5FC11D80" w14:textId="77777777" w:rsidR="006A3DBC" w:rsidRPr="00CF0F96" w:rsidRDefault="006A3DBC" w:rsidP="00D30988">
            <w:pPr>
              <w:pStyle w:val="TableParagraph"/>
              <w:jc w:val="center"/>
              <w:rPr>
                <w:rFonts w:ascii="Arial" w:hAnsi="Arial" w:cs="Arial"/>
                <w:b w:val="0"/>
                <w:sz w:val="21"/>
              </w:rPr>
            </w:pPr>
            <w:r w:rsidRPr="00CF0F96">
              <w:rPr>
                <w:rFonts w:ascii="Arial" w:hAnsi="Arial" w:cs="Arial"/>
                <w:b w:val="0"/>
                <w:sz w:val="21"/>
              </w:rPr>
              <w:t>Familia</w:t>
            </w:r>
          </w:p>
        </w:tc>
        <w:tc>
          <w:tcPr>
            <w:cnfStyle w:val="000001000000" w:firstRow="0" w:lastRow="0" w:firstColumn="0" w:lastColumn="0" w:oddVBand="0" w:evenVBand="1" w:oddHBand="0" w:evenHBand="0" w:firstRowFirstColumn="0" w:firstRowLastColumn="0" w:lastRowFirstColumn="0" w:lastRowLastColumn="0"/>
            <w:tcW w:w="3204" w:type="dxa"/>
            <w:shd w:val="clear" w:color="auto" w:fill="5CC5DA"/>
          </w:tcPr>
          <w:p w14:paraId="0E95AAF8" w14:textId="77777777" w:rsidR="006A3DBC" w:rsidRPr="00CF0F96" w:rsidRDefault="006A3DBC" w:rsidP="00D30988">
            <w:pPr>
              <w:pStyle w:val="TableParagraph"/>
              <w:ind w:right="1144"/>
              <w:jc w:val="center"/>
              <w:rPr>
                <w:rFonts w:ascii="Arial" w:hAnsi="Arial" w:cs="Arial"/>
                <w:b w:val="0"/>
                <w:sz w:val="21"/>
              </w:rPr>
            </w:pPr>
            <w:r w:rsidRPr="00CF0F96">
              <w:rPr>
                <w:rFonts w:ascii="Arial" w:hAnsi="Arial" w:cs="Arial"/>
                <w:b w:val="0"/>
                <w:sz w:val="21"/>
              </w:rPr>
              <w:t>Especies</w:t>
            </w:r>
          </w:p>
        </w:tc>
        <w:tc>
          <w:tcPr>
            <w:cnfStyle w:val="000100000000" w:firstRow="0" w:lastRow="0" w:firstColumn="0" w:lastColumn="1" w:oddVBand="0" w:evenVBand="0" w:oddHBand="0" w:evenHBand="0" w:firstRowFirstColumn="0" w:firstRowLastColumn="0" w:lastRowFirstColumn="0" w:lastRowLastColumn="0"/>
            <w:tcW w:w="1372" w:type="dxa"/>
            <w:shd w:val="clear" w:color="auto" w:fill="5CC5DA"/>
          </w:tcPr>
          <w:p w14:paraId="1ECC9C0D" w14:textId="77777777" w:rsidR="006A3DBC" w:rsidRPr="00CF0F96" w:rsidRDefault="006A3DBC" w:rsidP="00D30988">
            <w:pPr>
              <w:pStyle w:val="TableParagraph"/>
              <w:jc w:val="center"/>
              <w:rPr>
                <w:rFonts w:ascii="Arial" w:hAnsi="Arial" w:cs="Arial"/>
                <w:b w:val="0"/>
                <w:sz w:val="21"/>
              </w:rPr>
            </w:pPr>
            <w:r w:rsidRPr="00CF0F96">
              <w:rPr>
                <w:rFonts w:ascii="Arial" w:hAnsi="Arial" w:cs="Arial"/>
                <w:b w:val="0"/>
                <w:w w:val="95"/>
                <w:sz w:val="21"/>
              </w:rPr>
              <w:t>Categoría</w:t>
            </w:r>
          </w:p>
        </w:tc>
      </w:tr>
      <w:tr w:rsidR="00CF0F96" w:rsidRPr="00CF0F96" w14:paraId="157FF63F" w14:textId="77777777" w:rsidTr="005F4A92">
        <w:trPr>
          <w:cnfStyle w:val="000000100000" w:firstRow="0" w:lastRow="0" w:firstColumn="0" w:lastColumn="0" w:oddVBand="0" w:evenVBand="0" w:oddHBand="1" w:evenHBand="0" w:firstRowFirstColumn="0" w:firstRowLastColumn="0" w:lastRowFirstColumn="0" w:lastRowLastColumn="0"/>
          <w:trHeight w:val="406"/>
          <w:jc w:val="center"/>
        </w:trPr>
        <w:tc>
          <w:tcPr>
            <w:cnfStyle w:val="001000000000" w:firstRow="0" w:lastRow="0" w:firstColumn="1" w:lastColumn="0" w:oddVBand="0" w:evenVBand="0" w:oddHBand="0" w:evenHBand="0" w:firstRowFirstColumn="0" w:firstRowLastColumn="0" w:lastRowFirstColumn="0" w:lastRowLastColumn="0"/>
            <w:tcW w:w="1804" w:type="dxa"/>
            <w:shd w:val="clear" w:color="auto" w:fill="D2EAF0"/>
          </w:tcPr>
          <w:p w14:paraId="3F4D2FA5" w14:textId="77777777" w:rsidR="006A3DBC" w:rsidRPr="00CF0F96" w:rsidRDefault="006A3DBC" w:rsidP="005F4A92">
            <w:pPr>
              <w:pStyle w:val="TableParagraph"/>
              <w:spacing w:before="85"/>
              <w:rPr>
                <w:rFonts w:ascii="Arial" w:hAnsi="Arial" w:cs="Arial"/>
                <w:b w:val="0"/>
                <w:sz w:val="21"/>
              </w:rPr>
            </w:pPr>
            <w:r w:rsidRPr="00CF0F96">
              <w:rPr>
                <w:rFonts w:ascii="Arial" w:hAnsi="Arial" w:cs="Arial"/>
                <w:b w:val="0"/>
                <w:w w:val="95"/>
                <w:sz w:val="21"/>
              </w:rPr>
              <w:t>Actinopterygii</w:t>
            </w:r>
          </w:p>
        </w:tc>
        <w:tc>
          <w:tcPr>
            <w:cnfStyle w:val="000010000000" w:firstRow="0" w:lastRow="0" w:firstColumn="0" w:lastColumn="0" w:oddVBand="1" w:evenVBand="0" w:oddHBand="0" w:evenHBand="0" w:firstRowFirstColumn="0" w:firstRowLastColumn="0" w:lastRowFirstColumn="0" w:lastRowLastColumn="0"/>
            <w:tcW w:w="1879" w:type="dxa"/>
            <w:shd w:val="clear" w:color="auto" w:fill="D2EAF0"/>
          </w:tcPr>
          <w:p w14:paraId="0F29AFED" w14:textId="77777777" w:rsidR="006A3DBC" w:rsidRPr="00CF0F96" w:rsidRDefault="006A3DBC" w:rsidP="005F4A92">
            <w:pPr>
              <w:pStyle w:val="TableParagraph"/>
              <w:spacing w:before="73"/>
              <w:rPr>
                <w:rFonts w:ascii="Arial" w:hAnsi="Arial" w:cs="Arial"/>
                <w:sz w:val="21"/>
              </w:rPr>
            </w:pPr>
            <w:r w:rsidRPr="00CF0F96">
              <w:rPr>
                <w:rFonts w:ascii="Arial" w:hAnsi="Arial" w:cs="Arial"/>
                <w:sz w:val="21"/>
              </w:rPr>
              <w:t>Chaenopsidae</w:t>
            </w:r>
          </w:p>
        </w:tc>
        <w:tc>
          <w:tcPr>
            <w:cnfStyle w:val="000001000000" w:firstRow="0" w:lastRow="0" w:firstColumn="0" w:lastColumn="0" w:oddVBand="0" w:evenVBand="1" w:oddHBand="0" w:evenHBand="0" w:firstRowFirstColumn="0" w:firstRowLastColumn="0" w:lastRowFirstColumn="0" w:lastRowLastColumn="0"/>
            <w:tcW w:w="3204" w:type="dxa"/>
            <w:shd w:val="clear" w:color="auto" w:fill="D2EAF0"/>
          </w:tcPr>
          <w:p w14:paraId="4D4EC88D" w14:textId="77777777" w:rsidR="006A3DBC" w:rsidRPr="00CF0F96" w:rsidRDefault="006A3DBC" w:rsidP="005F4A92">
            <w:pPr>
              <w:pStyle w:val="TableParagraph"/>
              <w:spacing w:before="85"/>
              <w:rPr>
                <w:rFonts w:ascii="Arial" w:hAnsi="Arial" w:cs="Arial"/>
                <w:i/>
                <w:sz w:val="21"/>
              </w:rPr>
            </w:pPr>
            <w:r w:rsidRPr="00CF0F96">
              <w:rPr>
                <w:rFonts w:ascii="Arial" w:hAnsi="Arial" w:cs="Arial"/>
                <w:i/>
                <w:sz w:val="21"/>
              </w:rPr>
              <w:t>Emblemariopsis pricei</w:t>
            </w:r>
          </w:p>
        </w:tc>
        <w:tc>
          <w:tcPr>
            <w:cnfStyle w:val="000100000000" w:firstRow="0" w:lastRow="0" w:firstColumn="0" w:lastColumn="1" w:oddVBand="0" w:evenVBand="0" w:oddHBand="0" w:evenHBand="0" w:firstRowFirstColumn="0" w:firstRowLastColumn="0" w:lastRowFirstColumn="0" w:lastRowLastColumn="0"/>
            <w:tcW w:w="1372" w:type="dxa"/>
            <w:shd w:val="clear" w:color="auto" w:fill="D2EAF0"/>
          </w:tcPr>
          <w:p w14:paraId="62709E90" w14:textId="77777777" w:rsidR="006A3DBC" w:rsidRPr="00CF0F96" w:rsidRDefault="006A3DBC" w:rsidP="00342ED7">
            <w:pPr>
              <w:pStyle w:val="TableParagraph"/>
              <w:spacing w:before="73"/>
              <w:jc w:val="center"/>
              <w:rPr>
                <w:rFonts w:ascii="Arial" w:hAnsi="Arial" w:cs="Arial"/>
                <w:b w:val="0"/>
                <w:bCs w:val="0"/>
                <w:sz w:val="21"/>
              </w:rPr>
            </w:pPr>
            <w:r w:rsidRPr="00CF0F96">
              <w:rPr>
                <w:rFonts w:ascii="Arial" w:hAnsi="Arial" w:cs="Arial"/>
                <w:b w:val="0"/>
                <w:bCs w:val="0"/>
                <w:sz w:val="21"/>
              </w:rPr>
              <w:t>VU</w:t>
            </w:r>
          </w:p>
        </w:tc>
      </w:tr>
      <w:tr w:rsidR="00CF0F96" w:rsidRPr="00CF0F96" w14:paraId="6BC2EB8A" w14:textId="77777777" w:rsidTr="005F4A92">
        <w:trPr>
          <w:trHeight w:val="406"/>
          <w:jc w:val="center"/>
        </w:trPr>
        <w:tc>
          <w:tcPr>
            <w:cnfStyle w:val="001000000000" w:firstRow="0" w:lastRow="0" w:firstColumn="1" w:lastColumn="0" w:oddVBand="0" w:evenVBand="0" w:oddHBand="0" w:evenHBand="0" w:firstRowFirstColumn="0" w:firstRowLastColumn="0" w:lastRowFirstColumn="0" w:lastRowLastColumn="0"/>
            <w:tcW w:w="1804" w:type="dxa"/>
          </w:tcPr>
          <w:p w14:paraId="691692FF" w14:textId="77777777" w:rsidR="006A3DBC" w:rsidRPr="00CF0F96" w:rsidRDefault="006A3DBC" w:rsidP="005F4A92">
            <w:pPr>
              <w:pStyle w:val="TableParagraph"/>
              <w:spacing w:before="85"/>
              <w:rPr>
                <w:rFonts w:ascii="Arial" w:hAnsi="Arial" w:cs="Arial"/>
                <w:b w:val="0"/>
                <w:sz w:val="21"/>
              </w:rPr>
            </w:pPr>
            <w:r w:rsidRPr="00CF0F96">
              <w:rPr>
                <w:rFonts w:ascii="Arial" w:hAnsi="Arial" w:cs="Arial"/>
                <w:b w:val="0"/>
                <w:w w:val="95"/>
                <w:sz w:val="21"/>
              </w:rPr>
              <w:t>Actinopterygii</w:t>
            </w:r>
          </w:p>
        </w:tc>
        <w:tc>
          <w:tcPr>
            <w:cnfStyle w:val="000010000000" w:firstRow="0" w:lastRow="0" w:firstColumn="0" w:lastColumn="0" w:oddVBand="1" w:evenVBand="0" w:oddHBand="0" w:evenHBand="0" w:firstRowFirstColumn="0" w:firstRowLastColumn="0" w:lastRowFirstColumn="0" w:lastRowLastColumn="0"/>
            <w:tcW w:w="1879" w:type="dxa"/>
          </w:tcPr>
          <w:p w14:paraId="22121EC0" w14:textId="77777777" w:rsidR="006A3DBC" w:rsidRPr="00CF0F96" w:rsidRDefault="006A3DBC" w:rsidP="005F4A92">
            <w:pPr>
              <w:pStyle w:val="TableParagraph"/>
              <w:spacing w:before="73"/>
              <w:rPr>
                <w:rFonts w:ascii="Arial" w:hAnsi="Arial" w:cs="Arial"/>
                <w:sz w:val="21"/>
              </w:rPr>
            </w:pPr>
            <w:r w:rsidRPr="00CF0F96">
              <w:rPr>
                <w:rFonts w:ascii="Arial" w:hAnsi="Arial" w:cs="Arial"/>
                <w:sz w:val="21"/>
              </w:rPr>
              <w:t>Istiophoridae</w:t>
            </w:r>
          </w:p>
        </w:tc>
        <w:tc>
          <w:tcPr>
            <w:cnfStyle w:val="000001000000" w:firstRow="0" w:lastRow="0" w:firstColumn="0" w:lastColumn="0" w:oddVBand="0" w:evenVBand="1" w:oddHBand="0" w:evenHBand="0" w:firstRowFirstColumn="0" w:firstRowLastColumn="0" w:lastRowFirstColumn="0" w:lastRowLastColumn="0"/>
            <w:tcW w:w="3204" w:type="dxa"/>
          </w:tcPr>
          <w:p w14:paraId="2C32649F" w14:textId="77777777" w:rsidR="006A3DBC" w:rsidRPr="00CF0F96" w:rsidRDefault="006A3DBC" w:rsidP="005F4A92">
            <w:pPr>
              <w:pStyle w:val="TableParagraph"/>
              <w:spacing w:before="85"/>
              <w:rPr>
                <w:rFonts w:ascii="Arial" w:hAnsi="Arial" w:cs="Arial"/>
                <w:i/>
                <w:sz w:val="21"/>
              </w:rPr>
            </w:pPr>
            <w:r w:rsidRPr="00CF0F96">
              <w:rPr>
                <w:rFonts w:ascii="Arial" w:hAnsi="Arial" w:cs="Arial"/>
                <w:i/>
                <w:sz w:val="21"/>
              </w:rPr>
              <w:t>Kajikia albida</w:t>
            </w:r>
          </w:p>
        </w:tc>
        <w:tc>
          <w:tcPr>
            <w:cnfStyle w:val="000100000000" w:firstRow="0" w:lastRow="0" w:firstColumn="0" w:lastColumn="1" w:oddVBand="0" w:evenVBand="0" w:oddHBand="0" w:evenHBand="0" w:firstRowFirstColumn="0" w:firstRowLastColumn="0" w:lastRowFirstColumn="0" w:lastRowLastColumn="0"/>
            <w:tcW w:w="1372" w:type="dxa"/>
          </w:tcPr>
          <w:p w14:paraId="244AFC6F" w14:textId="77777777" w:rsidR="006A3DBC" w:rsidRPr="00CF0F96" w:rsidRDefault="006A3DBC" w:rsidP="00342ED7">
            <w:pPr>
              <w:pStyle w:val="TableParagraph"/>
              <w:spacing w:before="73"/>
              <w:jc w:val="center"/>
              <w:rPr>
                <w:rFonts w:ascii="Arial" w:hAnsi="Arial" w:cs="Arial"/>
                <w:b w:val="0"/>
                <w:bCs w:val="0"/>
                <w:sz w:val="21"/>
              </w:rPr>
            </w:pPr>
            <w:r w:rsidRPr="00CF0F96">
              <w:rPr>
                <w:rFonts w:ascii="Arial" w:hAnsi="Arial" w:cs="Arial"/>
                <w:b w:val="0"/>
                <w:bCs w:val="0"/>
                <w:sz w:val="21"/>
              </w:rPr>
              <w:t>VU</w:t>
            </w:r>
          </w:p>
        </w:tc>
      </w:tr>
      <w:tr w:rsidR="00CF0F96" w:rsidRPr="00CF0F96" w14:paraId="08DD85A1"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2FD2F655"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Actinopterygii</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4B40F59E"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Istiophoridae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161B86F7" w14:textId="77777777" w:rsidR="006A3DBC" w:rsidRPr="00CF0F96" w:rsidRDefault="006A3DBC" w:rsidP="005F4A92">
            <w:pPr>
              <w:pStyle w:val="TableParagraph"/>
              <w:rPr>
                <w:rFonts w:ascii="Arial" w:hAnsi="Arial" w:cs="Arial"/>
                <w:i/>
                <w:sz w:val="21"/>
              </w:rPr>
            </w:pPr>
            <w:r w:rsidRPr="00CF0F96">
              <w:rPr>
                <w:rFonts w:ascii="Arial" w:hAnsi="Arial" w:cs="Arial"/>
                <w:i/>
                <w:sz w:val="21"/>
              </w:rPr>
              <w:t>Kajikia audax</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39158008"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CF0F96" w:rsidRPr="00CF0F96" w14:paraId="10B2B1B8"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355C3958"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Actinopterygii</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2E10C63A"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Istiophoridae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54917011" w14:textId="77777777" w:rsidR="006A3DBC" w:rsidRPr="00CF0F96" w:rsidRDefault="006A3DBC" w:rsidP="005F4A92">
            <w:pPr>
              <w:pStyle w:val="TableParagraph"/>
              <w:rPr>
                <w:rFonts w:ascii="Arial" w:hAnsi="Arial" w:cs="Arial"/>
                <w:i/>
                <w:sz w:val="21"/>
              </w:rPr>
            </w:pPr>
            <w:r w:rsidRPr="00CF0F96">
              <w:rPr>
                <w:rFonts w:ascii="Arial" w:hAnsi="Arial" w:cs="Arial"/>
                <w:i/>
                <w:sz w:val="21"/>
              </w:rPr>
              <w:t>Makaira nigricans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6A852393"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CF0F96" w:rsidRPr="00CF0F96" w14:paraId="5A754AAB"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3258A83A"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Actinopterygii</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0E3A7E62"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Labridae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750F29C0" w14:textId="77777777" w:rsidR="006A3DBC" w:rsidRPr="00CF0F96" w:rsidRDefault="006A3DBC" w:rsidP="005F4A92">
            <w:pPr>
              <w:pStyle w:val="TableParagraph"/>
              <w:rPr>
                <w:rFonts w:ascii="Arial" w:hAnsi="Arial" w:cs="Arial"/>
                <w:i/>
                <w:sz w:val="21"/>
              </w:rPr>
            </w:pPr>
            <w:r w:rsidRPr="00CF0F96">
              <w:rPr>
                <w:rFonts w:ascii="Arial" w:hAnsi="Arial" w:cs="Arial"/>
                <w:i/>
                <w:sz w:val="21"/>
              </w:rPr>
              <w:t>Lachnolaimus maximus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61C194C6"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CF0F96" w:rsidRPr="00CF0F96" w14:paraId="4BCF1AE0"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60BE5AAF"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Actinopterygii</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01A9E03E"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Labridae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6D0C56E1" w14:textId="77777777" w:rsidR="006A3DBC" w:rsidRPr="00CF0F96" w:rsidRDefault="006A3DBC" w:rsidP="005F4A92">
            <w:pPr>
              <w:pStyle w:val="TableParagraph"/>
              <w:rPr>
                <w:rFonts w:ascii="Arial" w:hAnsi="Arial" w:cs="Arial"/>
                <w:i/>
                <w:sz w:val="21"/>
              </w:rPr>
            </w:pPr>
            <w:r w:rsidRPr="00CF0F96">
              <w:rPr>
                <w:rFonts w:ascii="Arial" w:hAnsi="Arial" w:cs="Arial"/>
                <w:i/>
                <w:sz w:val="21"/>
              </w:rPr>
              <w:t>Scarus guacamaia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0D6DE3F6"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CF0F96" w:rsidRPr="00CF0F96" w14:paraId="180F3A49"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6346DA4A"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Actinopterygii</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30313DB3" w14:textId="77777777" w:rsidR="006A3DBC" w:rsidRPr="00CF0F96" w:rsidRDefault="006A3DBC" w:rsidP="005F4A92">
            <w:pPr>
              <w:pStyle w:val="TableParagraph"/>
              <w:spacing w:before="53"/>
              <w:rPr>
                <w:rFonts w:ascii="Arial" w:hAnsi="Arial" w:cs="Arial"/>
                <w:sz w:val="21"/>
              </w:rPr>
            </w:pPr>
            <w:r w:rsidRPr="00CF0F96">
              <w:rPr>
                <w:rFonts w:ascii="Arial" w:hAnsi="Arial" w:cs="Arial"/>
                <w:w w:val="90"/>
                <w:sz w:val="21"/>
              </w:rPr>
              <w:t>Lutjanidae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6C18B652" w14:textId="77777777" w:rsidR="006A3DBC" w:rsidRPr="00CF0F96" w:rsidRDefault="006A3DBC" w:rsidP="005F4A92">
            <w:pPr>
              <w:pStyle w:val="TableParagraph"/>
              <w:rPr>
                <w:rFonts w:ascii="Arial" w:hAnsi="Arial" w:cs="Arial"/>
                <w:i/>
                <w:sz w:val="21"/>
              </w:rPr>
            </w:pPr>
            <w:r w:rsidRPr="00CF0F96">
              <w:rPr>
                <w:rFonts w:ascii="Arial" w:hAnsi="Arial" w:cs="Arial"/>
                <w:i/>
                <w:sz w:val="21"/>
              </w:rPr>
              <w:t>Lutjanus analis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0B174DC5"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CF0F96" w:rsidRPr="00CF0F96" w14:paraId="36981CE6"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1B3BD372"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Actinopterygii</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612B767B" w14:textId="77777777" w:rsidR="006A3DBC" w:rsidRPr="00CF0F96" w:rsidRDefault="006A3DBC" w:rsidP="005F4A92">
            <w:pPr>
              <w:pStyle w:val="TableParagraph"/>
              <w:spacing w:before="53"/>
              <w:rPr>
                <w:rFonts w:ascii="Arial" w:hAnsi="Arial" w:cs="Arial"/>
                <w:sz w:val="21"/>
              </w:rPr>
            </w:pPr>
            <w:r w:rsidRPr="00CF0F96">
              <w:rPr>
                <w:rFonts w:ascii="Arial" w:hAnsi="Arial" w:cs="Arial"/>
                <w:w w:val="90"/>
                <w:sz w:val="21"/>
              </w:rPr>
              <w:t>Lutjanidae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5B6D441E" w14:textId="77777777" w:rsidR="006A3DBC" w:rsidRPr="00CF0F96" w:rsidRDefault="006A3DBC" w:rsidP="005F4A92">
            <w:pPr>
              <w:pStyle w:val="TableParagraph"/>
              <w:rPr>
                <w:rFonts w:ascii="Arial" w:hAnsi="Arial" w:cs="Arial"/>
                <w:i/>
                <w:sz w:val="21"/>
              </w:rPr>
            </w:pPr>
            <w:r w:rsidRPr="00CF0F96">
              <w:rPr>
                <w:rFonts w:ascii="Arial" w:hAnsi="Arial" w:cs="Arial"/>
                <w:i/>
                <w:sz w:val="21"/>
              </w:rPr>
              <w:t>Lutjanus cyanopterus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09DB2145"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CF0F96" w:rsidRPr="00CF0F96" w14:paraId="12F78107"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04996C50"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Actinopterygii</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0CDCFADA" w14:textId="77777777" w:rsidR="006A3DBC" w:rsidRPr="00CF0F96" w:rsidRDefault="006A3DBC" w:rsidP="005F4A92">
            <w:pPr>
              <w:pStyle w:val="TableParagraph"/>
              <w:spacing w:before="53"/>
              <w:rPr>
                <w:rFonts w:ascii="Arial" w:hAnsi="Arial" w:cs="Arial"/>
                <w:sz w:val="21"/>
              </w:rPr>
            </w:pPr>
            <w:r w:rsidRPr="00CF0F96">
              <w:rPr>
                <w:rFonts w:ascii="Arial" w:hAnsi="Arial" w:cs="Arial"/>
                <w:w w:val="90"/>
                <w:sz w:val="21"/>
              </w:rPr>
              <w:t>Lutjanidae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1490431B" w14:textId="77777777" w:rsidR="006A3DBC" w:rsidRPr="00CF0F96" w:rsidRDefault="006A3DBC" w:rsidP="005F4A92">
            <w:pPr>
              <w:pStyle w:val="TableParagraph"/>
              <w:rPr>
                <w:rFonts w:ascii="Arial" w:hAnsi="Arial" w:cs="Arial"/>
                <w:i/>
                <w:sz w:val="21"/>
              </w:rPr>
            </w:pPr>
            <w:r w:rsidRPr="00CF0F96">
              <w:rPr>
                <w:rFonts w:ascii="Arial" w:hAnsi="Arial" w:cs="Arial"/>
                <w:i/>
                <w:sz w:val="21"/>
              </w:rPr>
              <w:t>Lutjanus synagris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7D6B2857"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CF0F96" w:rsidRPr="00CF0F96" w14:paraId="127A41F9"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3C1DA0EA"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Actinopterygii</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57B313C3" w14:textId="77777777" w:rsidR="006A3DBC" w:rsidRPr="00CF0F96" w:rsidRDefault="006A3DBC" w:rsidP="005F4A92">
            <w:pPr>
              <w:pStyle w:val="TableParagraph"/>
              <w:spacing w:before="53"/>
              <w:rPr>
                <w:rFonts w:ascii="Arial" w:hAnsi="Arial" w:cs="Arial"/>
                <w:sz w:val="21"/>
              </w:rPr>
            </w:pPr>
            <w:r w:rsidRPr="00CF0F96">
              <w:rPr>
                <w:rFonts w:ascii="Arial" w:hAnsi="Arial" w:cs="Arial"/>
                <w:w w:val="90"/>
                <w:sz w:val="21"/>
              </w:rPr>
              <w:t>Lutjanidae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0C0A091E" w14:textId="77777777" w:rsidR="006A3DBC" w:rsidRPr="00CF0F96" w:rsidRDefault="006A3DBC" w:rsidP="005F4A92">
            <w:pPr>
              <w:pStyle w:val="TableParagraph"/>
              <w:rPr>
                <w:rFonts w:ascii="Arial" w:hAnsi="Arial" w:cs="Arial"/>
                <w:i/>
                <w:sz w:val="21"/>
              </w:rPr>
            </w:pPr>
            <w:r w:rsidRPr="00CF0F96">
              <w:rPr>
                <w:rFonts w:ascii="Arial" w:hAnsi="Arial" w:cs="Arial"/>
                <w:i/>
                <w:sz w:val="21"/>
              </w:rPr>
              <w:t>Rhomboplites aurorubens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780C7F3D"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CF0F96" w:rsidRPr="00CF0F96" w14:paraId="69992BFD"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774195D7"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Actinopterygii</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2A1E55A3"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Megalopidae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68C823DB" w14:textId="77777777" w:rsidR="006A3DBC" w:rsidRPr="00CF0F96" w:rsidRDefault="006A3DBC" w:rsidP="005F4A92">
            <w:pPr>
              <w:pStyle w:val="TableParagraph"/>
              <w:rPr>
                <w:rFonts w:ascii="Arial" w:hAnsi="Arial" w:cs="Arial"/>
                <w:i/>
                <w:sz w:val="21"/>
              </w:rPr>
            </w:pPr>
            <w:r w:rsidRPr="00CF0F96">
              <w:rPr>
                <w:rFonts w:ascii="Arial" w:hAnsi="Arial" w:cs="Arial"/>
                <w:i/>
                <w:sz w:val="21"/>
              </w:rPr>
              <w:t>Megalops atlanticus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61147A00"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CF0F96" w:rsidRPr="00CF0F96" w14:paraId="1049F4DD"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34396885"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Actinopterygii</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196B8777"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Molidae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4D38AF34" w14:textId="77777777" w:rsidR="006A3DBC" w:rsidRPr="00CF0F96" w:rsidRDefault="006A3DBC" w:rsidP="005F4A92">
            <w:pPr>
              <w:pStyle w:val="TableParagraph"/>
              <w:rPr>
                <w:rFonts w:ascii="Arial" w:hAnsi="Arial" w:cs="Arial"/>
                <w:i/>
                <w:sz w:val="21"/>
              </w:rPr>
            </w:pPr>
            <w:r w:rsidRPr="00CF0F96">
              <w:rPr>
                <w:rFonts w:ascii="Arial" w:hAnsi="Arial" w:cs="Arial"/>
                <w:i/>
                <w:sz w:val="21"/>
              </w:rPr>
              <w:t>Mola mola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12A648F7"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CF0F96" w:rsidRPr="00CF0F96" w14:paraId="1A49F434"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0043808E"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Actinopterygii</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38A778E4"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Syngnathidae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0BD58A3D" w14:textId="77777777" w:rsidR="006A3DBC" w:rsidRPr="00CF0F96" w:rsidRDefault="006A3DBC" w:rsidP="005F4A92">
            <w:pPr>
              <w:pStyle w:val="TableParagraph"/>
              <w:rPr>
                <w:rFonts w:ascii="Arial" w:hAnsi="Arial" w:cs="Arial"/>
                <w:i/>
                <w:sz w:val="21"/>
              </w:rPr>
            </w:pPr>
            <w:r w:rsidRPr="00CF0F96">
              <w:rPr>
                <w:rFonts w:ascii="Arial" w:hAnsi="Arial" w:cs="Arial"/>
                <w:i/>
                <w:sz w:val="21"/>
              </w:rPr>
              <w:t>Hippocampus erectus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1A250BFF"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CF0F96" w:rsidRPr="00CF0F96" w14:paraId="24CEBF15"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222A3C12"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Actinopterygii</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494F3576"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Syngnathidae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7EC2CF2C" w14:textId="77777777" w:rsidR="006A3DBC" w:rsidRPr="00CF0F96" w:rsidRDefault="006A3DBC" w:rsidP="005F4A92">
            <w:pPr>
              <w:pStyle w:val="TableParagraph"/>
              <w:rPr>
                <w:rFonts w:ascii="Arial" w:hAnsi="Arial" w:cs="Arial"/>
                <w:i/>
                <w:sz w:val="21"/>
              </w:rPr>
            </w:pPr>
            <w:r w:rsidRPr="00CF0F96">
              <w:rPr>
                <w:rFonts w:ascii="Arial" w:hAnsi="Arial" w:cs="Arial"/>
                <w:i/>
                <w:sz w:val="21"/>
              </w:rPr>
              <w:t>Hippocampus ingens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1292CCFD"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CF0F96" w:rsidRPr="00CF0F96" w14:paraId="6388269F"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2A8552CF"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Actinopterygii</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57C6A24B"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Syngnathidae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7A4D01F1" w14:textId="77777777" w:rsidR="006A3DBC" w:rsidRPr="00CF0F96" w:rsidRDefault="006A3DBC" w:rsidP="005F4A92">
            <w:pPr>
              <w:pStyle w:val="TableParagraph"/>
              <w:rPr>
                <w:rFonts w:ascii="Arial" w:hAnsi="Arial" w:cs="Arial"/>
                <w:i/>
                <w:sz w:val="21"/>
              </w:rPr>
            </w:pPr>
            <w:r w:rsidRPr="00CF0F96">
              <w:rPr>
                <w:rFonts w:ascii="Arial" w:hAnsi="Arial" w:cs="Arial"/>
                <w:i/>
                <w:sz w:val="21"/>
              </w:rPr>
              <w:t>Hippocampus reidi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77506D90"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CF0F96" w:rsidRPr="00CF0F96" w14:paraId="560387D6"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793E7E98"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Actinopterygii</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6D8B8F71"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Scombridae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1E0AD691" w14:textId="77777777" w:rsidR="006A3DBC" w:rsidRPr="00CF0F96" w:rsidRDefault="006A3DBC" w:rsidP="005F4A92">
            <w:pPr>
              <w:pStyle w:val="TableParagraph"/>
              <w:rPr>
                <w:rFonts w:ascii="Arial" w:hAnsi="Arial" w:cs="Arial"/>
                <w:i/>
                <w:sz w:val="21"/>
              </w:rPr>
            </w:pPr>
            <w:r w:rsidRPr="00CF0F96">
              <w:rPr>
                <w:rFonts w:ascii="Arial" w:hAnsi="Arial" w:cs="Arial"/>
                <w:i/>
                <w:sz w:val="21"/>
              </w:rPr>
              <w:t>Thunnus alalunga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20D63D8A"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CF0F96" w:rsidRPr="00CF0F96" w14:paraId="73AE42E3"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607EF921"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Actinopterygii</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02283F68"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Scombridae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5D153925" w14:textId="77777777" w:rsidR="006A3DBC" w:rsidRPr="00CF0F96" w:rsidRDefault="006A3DBC" w:rsidP="005F4A92">
            <w:pPr>
              <w:pStyle w:val="TableParagraph"/>
              <w:rPr>
                <w:rFonts w:ascii="Arial" w:hAnsi="Arial" w:cs="Arial"/>
                <w:i/>
                <w:sz w:val="21"/>
              </w:rPr>
            </w:pPr>
            <w:r w:rsidRPr="00CF0F96">
              <w:rPr>
                <w:rFonts w:ascii="Arial" w:hAnsi="Arial" w:cs="Arial"/>
                <w:i/>
                <w:sz w:val="21"/>
              </w:rPr>
              <w:t>Thunnus albacares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123E1B69"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CF0F96" w:rsidRPr="00CF0F96" w14:paraId="6B1251F6"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7F49040F"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Actinopterygii</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2F2DAE8F"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Scombridae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068E6836" w14:textId="77777777" w:rsidR="006A3DBC" w:rsidRPr="00CF0F96" w:rsidRDefault="006A3DBC" w:rsidP="005F4A92">
            <w:pPr>
              <w:pStyle w:val="TableParagraph"/>
              <w:rPr>
                <w:rFonts w:ascii="Arial" w:hAnsi="Arial" w:cs="Arial"/>
                <w:i/>
                <w:sz w:val="21"/>
              </w:rPr>
            </w:pPr>
            <w:r w:rsidRPr="00CF0F96">
              <w:rPr>
                <w:rFonts w:ascii="Arial" w:hAnsi="Arial" w:cs="Arial"/>
                <w:i/>
                <w:sz w:val="21"/>
              </w:rPr>
              <w:t>Thunnus obesus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2040A54E"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CF0F96" w:rsidRPr="00CF0F96" w14:paraId="29CF4B20"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38DF4626"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Actinopterygii</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6892FC57"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Scombridae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69E77BF5" w14:textId="77777777" w:rsidR="006A3DBC" w:rsidRPr="00CF0F96" w:rsidRDefault="006A3DBC" w:rsidP="005F4A92">
            <w:pPr>
              <w:pStyle w:val="TableParagraph"/>
              <w:rPr>
                <w:rFonts w:ascii="Arial" w:hAnsi="Arial" w:cs="Arial"/>
                <w:i/>
                <w:sz w:val="21"/>
              </w:rPr>
            </w:pPr>
            <w:r w:rsidRPr="00CF0F96">
              <w:rPr>
                <w:rFonts w:ascii="Arial" w:hAnsi="Arial" w:cs="Arial"/>
                <w:i/>
                <w:sz w:val="21"/>
              </w:rPr>
              <w:t>Thunnus thynnus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708B447C"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CF0F96" w:rsidRPr="00CF0F96" w14:paraId="678A4DEA"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1081CAB1"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5E49A764"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Bufonidae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4AA77EEB" w14:textId="77777777" w:rsidR="006A3DBC" w:rsidRPr="00CF0F96" w:rsidRDefault="006A3DBC" w:rsidP="005F4A92">
            <w:pPr>
              <w:pStyle w:val="TableParagraph"/>
              <w:rPr>
                <w:rFonts w:ascii="Arial" w:hAnsi="Arial" w:cs="Arial"/>
                <w:i/>
                <w:sz w:val="21"/>
              </w:rPr>
            </w:pPr>
            <w:r w:rsidRPr="00CF0F96">
              <w:rPr>
                <w:rFonts w:ascii="Arial" w:hAnsi="Arial" w:cs="Arial"/>
                <w:i/>
                <w:sz w:val="21"/>
              </w:rPr>
              <w:t>Rhinella chrysophora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16BCE42D"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CF0F96" w:rsidRPr="00CF0F96" w14:paraId="5733C73D"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3FDBF35B"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7413D2BB"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Bufonidae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3788469F" w14:textId="77777777" w:rsidR="006A3DBC" w:rsidRPr="00CF0F96" w:rsidRDefault="006A3DBC" w:rsidP="005F4A92">
            <w:pPr>
              <w:pStyle w:val="TableParagraph"/>
              <w:rPr>
                <w:rFonts w:ascii="Arial" w:hAnsi="Arial" w:cs="Arial"/>
                <w:i/>
                <w:sz w:val="21"/>
              </w:rPr>
            </w:pPr>
            <w:r w:rsidRPr="00CF0F96">
              <w:rPr>
                <w:rFonts w:ascii="Arial" w:hAnsi="Arial" w:cs="Arial"/>
                <w:i/>
                <w:sz w:val="21"/>
              </w:rPr>
              <w:t>Incilius campbelli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020A10D1"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CF0F96" w:rsidRPr="00CF0F96" w14:paraId="4B5D5C2F"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786F5A88"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62F10F69"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Bufonidae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54E920A9" w14:textId="77777777" w:rsidR="006A3DBC" w:rsidRPr="00CF0F96" w:rsidRDefault="006A3DBC" w:rsidP="005F4A92">
            <w:pPr>
              <w:pStyle w:val="TableParagraph"/>
              <w:rPr>
                <w:rFonts w:ascii="Arial" w:hAnsi="Arial" w:cs="Arial"/>
                <w:i/>
                <w:sz w:val="21"/>
              </w:rPr>
            </w:pPr>
            <w:r w:rsidRPr="00CF0F96">
              <w:rPr>
                <w:rFonts w:ascii="Arial" w:hAnsi="Arial" w:cs="Arial"/>
                <w:i/>
                <w:sz w:val="21"/>
              </w:rPr>
              <w:t>Incilius ibarrai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0E96D45B"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CF0F96" w:rsidRPr="00CF0F96" w14:paraId="3C2D21C7"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57A64898"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213BE109"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Bufonidae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1134ECBD" w14:textId="77777777" w:rsidR="006A3DBC" w:rsidRPr="00CF0F96" w:rsidRDefault="006A3DBC" w:rsidP="005F4A92">
            <w:pPr>
              <w:pStyle w:val="TableParagraph"/>
              <w:rPr>
                <w:rFonts w:ascii="Arial" w:hAnsi="Arial" w:cs="Arial"/>
                <w:i/>
                <w:sz w:val="21"/>
              </w:rPr>
            </w:pPr>
            <w:r w:rsidRPr="00CF0F96">
              <w:rPr>
                <w:rFonts w:ascii="Arial" w:hAnsi="Arial" w:cs="Arial"/>
                <w:i/>
                <w:sz w:val="21"/>
              </w:rPr>
              <w:t>Incilius leucomyos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366AD9AA"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CF0F96" w:rsidRPr="00CF0F96" w14:paraId="719F2C8C"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2A75B306"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0061BDF5"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Craugastoridae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40C10C23" w14:textId="77777777" w:rsidR="006A3DBC" w:rsidRPr="00CF0F96" w:rsidRDefault="006A3DBC" w:rsidP="005F4A92">
            <w:pPr>
              <w:pStyle w:val="TableParagraph"/>
              <w:rPr>
                <w:rFonts w:ascii="Arial" w:hAnsi="Arial" w:cs="Arial"/>
                <w:i/>
                <w:sz w:val="21"/>
              </w:rPr>
            </w:pPr>
            <w:r w:rsidRPr="00CF0F96">
              <w:rPr>
                <w:rFonts w:ascii="Arial" w:hAnsi="Arial" w:cs="Arial"/>
                <w:i/>
                <w:sz w:val="21"/>
              </w:rPr>
              <w:t>Craugastor anciano</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48FB7408"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CF0F96" w:rsidRPr="00CF0F96" w14:paraId="4A0673C2"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027CE84E"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0CE8AC1D"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Craugastoridae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551F9BB8" w14:textId="77777777" w:rsidR="006A3DBC" w:rsidRPr="00CF0F96" w:rsidRDefault="006A3DBC" w:rsidP="005F4A92">
            <w:pPr>
              <w:pStyle w:val="TableParagraph"/>
              <w:rPr>
                <w:rFonts w:ascii="Arial" w:hAnsi="Arial" w:cs="Arial"/>
                <w:i/>
                <w:sz w:val="21"/>
              </w:rPr>
            </w:pPr>
            <w:r w:rsidRPr="00CF0F96">
              <w:rPr>
                <w:rFonts w:ascii="Arial" w:hAnsi="Arial" w:cs="Arial"/>
                <w:i/>
                <w:sz w:val="21"/>
              </w:rPr>
              <w:t>Craugastor aurilegulus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38A5C1BE"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CF0F96" w:rsidRPr="00CF0F96" w14:paraId="67B9D1A0"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7493BC3B"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62A90CB5"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Craugastoridae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0A595D8A" w14:textId="77777777" w:rsidR="006A3DBC" w:rsidRPr="00CF0F96" w:rsidRDefault="006A3DBC" w:rsidP="005F4A92">
            <w:pPr>
              <w:pStyle w:val="TableParagraph"/>
              <w:rPr>
                <w:rFonts w:ascii="Arial" w:hAnsi="Arial" w:cs="Arial"/>
                <w:i/>
                <w:sz w:val="21"/>
              </w:rPr>
            </w:pPr>
            <w:r w:rsidRPr="00CF0F96">
              <w:rPr>
                <w:rFonts w:ascii="Arial" w:hAnsi="Arial" w:cs="Arial"/>
                <w:i/>
                <w:sz w:val="21"/>
              </w:rPr>
              <w:t>Craugastor chac</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21662C2F"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CF0F96" w:rsidRPr="00CF0F96" w14:paraId="7D2BCBB9"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5EABDD10"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024C84E9"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Craugastoridae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4C9386CE" w14:textId="77777777" w:rsidR="006A3DBC" w:rsidRPr="00CF0F96" w:rsidRDefault="006A3DBC" w:rsidP="005F4A92">
            <w:pPr>
              <w:pStyle w:val="TableParagraph"/>
              <w:rPr>
                <w:rFonts w:ascii="Arial" w:hAnsi="Arial" w:cs="Arial"/>
                <w:i/>
                <w:sz w:val="21"/>
              </w:rPr>
            </w:pPr>
            <w:r w:rsidRPr="00CF0F96">
              <w:rPr>
                <w:rFonts w:ascii="Arial" w:hAnsi="Arial" w:cs="Arial"/>
                <w:i/>
                <w:sz w:val="21"/>
              </w:rPr>
              <w:t>Craugastor charadra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52A77477"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CF0F96" w:rsidRPr="00CF0F96" w14:paraId="3F05F7D6"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143377E3"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158B06B9"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Craugastoridae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118DB715" w14:textId="77777777" w:rsidR="006A3DBC" w:rsidRPr="00CF0F96" w:rsidRDefault="006A3DBC" w:rsidP="005F4A92">
            <w:pPr>
              <w:pStyle w:val="TableParagraph"/>
              <w:rPr>
                <w:rFonts w:ascii="Arial" w:hAnsi="Arial" w:cs="Arial"/>
                <w:i/>
                <w:sz w:val="21"/>
              </w:rPr>
            </w:pPr>
            <w:r w:rsidRPr="00CF0F96">
              <w:rPr>
                <w:rFonts w:ascii="Arial" w:hAnsi="Arial" w:cs="Arial"/>
                <w:i/>
                <w:sz w:val="21"/>
              </w:rPr>
              <w:t>Craugastor coffeus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04B56C3C"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CF0F96" w:rsidRPr="00CF0F96" w14:paraId="7BFEE09D" w14:textId="77777777" w:rsidTr="005F4A92">
        <w:trPr>
          <w:cnfStyle w:val="010000000000" w:firstRow="0" w:lastRow="1" w:firstColumn="0" w:lastColumn="0" w:oddVBand="0" w:evenVBand="0" w:oddHBand="0"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6301B5DD"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53AAD96B" w14:textId="77777777" w:rsidR="006A3DBC" w:rsidRPr="00CF0F96" w:rsidRDefault="006A3DBC" w:rsidP="005F4A92">
            <w:pPr>
              <w:pStyle w:val="TableParagraph"/>
              <w:spacing w:before="54"/>
              <w:rPr>
                <w:rFonts w:ascii="Arial" w:hAnsi="Arial" w:cs="Arial"/>
                <w:b w:val="0"/>
                <w:bCs w:val="0"/>
                <w:sz w:val="21"/>
              </w:rPr>
            </w:pPr>
            <w:r w:rsidRPr="00CF0F96">
              <w:rPr>
                <w:rFonts w:ascii="Arial" w:hAnsi="Arial" w:cs="Arial"/>
                <w:b w:val="0"/>
                <w:bCs w:val="0"/>
                <w:sz w:val="21"/>
              </w:rPr>
              <w:t>Craugastoridae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5C63BA8E" w14:textId="77777777" w:rsidR="006A3DBC" w:rsidRPr="00CF0F96" w:rsidRDefault="006A3DBC" w:rsidP="005F4A92">
            <w:pPr>
              <w:pStyle w:val="TableParagraph"/>
              <w:rPr>
                <w:rFonts w:ascii="Arial" w:hAnsi="Arial" w:cs="Arial"/>
                <w:i/>
                <w:sz w:val="21"/>
              </w:rPr>
            </w:pPr>
            <w:r w:rsidRPr="00CF0F96">
              <w:rPr>
                <w:rFonts w:ascii="Arial" w:hAnsi="Arial" w:cs="Arial"/>
                <w:i/>
                <w:sz w:val="21"/>
              </w:rPr>
              <w:t>Craugastor cruzi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78F8CDDF"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bl>
    <w:p w14:paraId="7BFBE9EE" w14:textId="77777777" w:rsidR="006A3DBC" w:rsidRPr="00FA4B2D" w:rsidRDefault="006A3DBC" w:rsidP="006A3DBC">
      <w:pPr>
        <w:tabs>
          <w:tab w:val="left" w:pos="1245"/>
        </w:tabs>
        <w:rPr>
          <w:rFonts w:cs="Arial"/>
        </w:rPr>
      </w:pPr>
    </w:p>
    <w:p w14:paraId="0A4A5C41" w14:textId="77777777" w:rsidR="006A3DBC" w:rsidRPr="00FA4B2D" w:rsidRDefault="006A3DBC" w:rsidP="006A3DBC">
      <w:pPr>
        <w:rPr>
          <w:rFonts w:cs="Arial"/>
        </w:rPr>
      </w:pPr>
      <w:r w:rsidRPr="00FA4B2D">
        <w:rPr>
          <w:rFonts w:cs="Arial"/>
        </w:rPr>
        <w:br w:type="page"/>
      </w:r>
    </w:p>
    <w:tbl>
      <w:tblPr>
        <w:tblStyle w:val="Tablanormal21"/>
        <w:tblW w:w="0" w:type="auto"/>
        <w:jc w:val="center"/>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1804"/>
        <w:gridCol w:w="1879"/>
        <w:gridCol w:w="3204"/>
        <w:gridCol w:w="1372"/>
      </w:tblGrid>
      <w:tr w:rsidR="00CF0F96" w:rsidRPr="00CF0F96" w14:paraId="77254CB3" w14:textId="77777777" w:rsidTr="00C81834">
        <w:trPr>
          <w:cnfStyle w:val="100000000000" w:firstRow="1" w:lastRow="0" w:firstColumn="0" w:lastColumn="0" w:oddVBand="0" w:evenVBand="0" w:oddHBand="0"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5CC5DA"/>
          </w:tcPr>
          <w:p w14:paraId="670BF8DA" w14:textId="77777777" w:rsidR="006A3DBC" w:rsidRPr="00CF0F96" w:rsidRDefault="006A3DBC" w:rsidP="00D30988">
            <w:pPr>
              <w:pStyle w:val="TableParagraph"/>
              <w:ind w:right="605"/>
              <w:jc w:val="center"/>
              <w:rPr>
                <w:rFonts w:ascii="Arial" w:hAnsi="Arial" w:cs="Arial"/>
                <w:b w:val="0"/>
                <w:sz w:val="21"/>
              </w:rPr>
            </w:pPr>
            <w:r w:rsidRPr="00CF0F96">
              <w:rPr>
                <w:rFonts w:ascii="Arial" w:hAnsi="Arial" w:cs="Arial"/>
                <w:b w:val="0"/>
                <w:sz w:val="21"/>
              </w:rPr>
              <w:lastRenderedPageBreak/>
              <w:t>Clase</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5CC5DA"/>
          </w:tcPr>
          <w:p w14:paraId="5156A5E0" w14:textId="77777777" w:rsidR="006A3DBC" w:rsidRPr="00CF0F96" w:rsidRDefault="006A3DBC" w:rsidP="00D30988">
            <w:pPr>
              <w:pStyle w:val="TableParagraph"/>
              <w:jc w:val="center"/>
              <w:rPr>
                <w:rFonts w:ascii="Arial" w:hAnsi="Arial" w:cs="Arial"/>
                <w:b w:val="0"/>
                <w:sz w:val="21"/>
              </w:rPr>
            </w:pPr>
            <w:r w:rsidRPr="00CF0F96">
              <w:rPr>
                <w:rFonts w:ascii="Arial" w:hAnsi="Arial" w:cs="Arial"/>
                <w:b w:val="0"/>
                <w:sz w:val="21"/>
              </w:rPr>
              <w:t>Familia</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5CC5DA"/>
          </w:tcPr>
          <w:p w14:paraId="042664AF" w14:textId="77777777" w:rsidR="006A3DBC" w:rsidRPr="00CF0F96" w:rsidRDefault="006A3DBC" w:rsidP="00D30988">
            <w:pPr>
              <w:pStyle w:val="TableParagraph"/>
              <w:ind w:right="1144"/>
              <w:jc w:val="center"/>
              <w:rPr>
                <w:rFonts w:ascii="Arial" w:hAnsi="Arial" w:cs="Arial"/>
                <w:b w:val="0"/>
                <w:sz w:val="21"/>
              </w:rPr>
            </w:pPr>
            <w:r w:rsidRPr="00CF0F96">
              <w:rPr>
                <w:rFonts w:ascii="Arial" w:hAnsi="Arial" w:cs="Arial"/>
                <w:b w:val="0"/>
                <w:sz w:val="21"/>
              </w:rPr>
              <w:t>Especies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5CC5DA"/>
          </w:tcPr>
          <w:p w14:paraId="4FF14D0A" w14:textId="77777777" w:rsidR="006A3DBC" w:rsidRPr="00CF0F96" w:rsidRDefault="006A3DBC" w:rsidP="00D30988">
            <w:pPr>
              <w:pStyle w:val="TableParagraph"/>
              <w:jc w:val="center"/>
              <w:rPr>
                <w:rFonts w:ascii="Arial" w:hAnsi="Arial" w:cs="Arial"/>
                <w:b w:val="0"/>
                <w:sz w:val="21"/>
              </w:rPr>
            </w:pPr>
            <w:r w:rsidRPr="00CF0F96">
              <w:rPr>
                <w:rFonts w:ascii="Arial" w:hAnsi="Arial" w:cs="Arial"/>
                <w:b w:val="0"/>
                <w:w w:val="95"/>
                <w:sz w:val="21"/>
              </w:rPr>
              <w:t>Categoría</w:t>
            </w:r>
          </w:p>
        </w:tc>
      </w:tr>
      <w:tr w:rsidR="00CF0F96" w:rsidRPr="00CF0F96" w14:paraId="0588C553"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6CFC6796"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2A1EC960"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Craugastoridae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7A20204B" w14:textId="77777777" w:rsidR="006A3DBC" w:rsidRPr="00CF0F96" w:rsidRDefault="006A3DBC" w:rsidP="005F4A92">
            <w:pPr>
              <w:pStyle w:val="TableParagraph"/>
              <w:rPr>
                <w:rFonts w:ascii="Arial" w:hAnsi="Arial" w:cs="Arial"/>
                <w:i/>
                <w:sz w:val="21"/>
              </w:rPr>
            </w:pPr>
            <w:r w:rsidRPr="00CF0F96">
              <w:rPr>
                <w:rFonts w:ascii="Arial" w:hAnsi="Arial" w:cs="Arial"/>
                <w:i/>
                <w:sz w:val="21"/>
              </w:rPr>
              <w:t>Craugastor cyanochthebius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3D83D4D5"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CF0F96" w:rsidRPr="00CF0F96" w14:paraId="2657107A"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6B06C1BD"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7D435F86"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Craugastoridae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1CB49F3A" w14:textId="77777777" w:rsidR="006A3DBC" w:rsidRPr="00CF0F96" w:rsidRDefault="006A3DBC" w:rsidP="005F4A92">
            <w:pPr>
              <w:pStyle w:val="TableParagraph"/>
              <w:rPr>
                <w:rFonts w:ascii="Arial" w:hAnsi="Arial" w:cs="Arial"/>
                <w:i/>
                <w:sz w:val="21"/>
              </w:rPr>
            </w:pPr>
            <w:r w:rsidRPr="00CF0F96">
              <w:rPr>
                <w:rFonts w:ascii="Arial" w:hAnsi="Arial" w:cs="Arial"/>
                <w:i/>
                <w:sz w:val="21"/>
              </w:rPr>
              <w:t>Craugastor emleni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584D3E2C"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CF0F96" w:rsidRPr="00CF0F96" w14:paraId="2641277F"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751FE0C6"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62FEFE91"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Craugastoridae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6B78FD94" w14:textId="77777777" w:rsidR="006A3DBC" w:rsidRPr="00CF0F96" w:rsidRDefault="006A3DBC" w:rsidP="005F4A92">
            <w:pPr>
              <w:pStyle w:val="TableParagraph"/>
              <w:rPr>
                <w:rFonts w:ascii="Arial" w:hAnsi="Arial" w:cs="Arial"/>
                <w:i/>
                <w:sz w:val="21"/>
              </w:rPr>
            </w:pPr>
            <w:r w:rsidRPr="00CF0F96">
              <w:rPr>
                <w:rFonts w:ascii="Arial" w:hAnsi="Arial" w:cs="Arial"/>
                <w:i/>
                <w:sz w:val="21"/>
              </w:rPr>
              <w:t>Craugastor epochthidius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1BA50F1A"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CF0F96" w:rsidRPr="00CF0F96" w14:paraId="25BD7C10"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2C94FED1"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6B005CEF"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Craugastoridae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07FA21D5" w14:textId="77777777" w:rsidR="006A3DBC" w:rsidRPr="00CF0F96" w:rsidRDefault="006A3DBC" w:rsidP="005F4A92">
            <w:pPr>
              <w:pStyle w:val="TableParagraph"/>
              <w:rPr>
                <w:rFonts w:ascii="Arial" w:hAnsi="Arial" w:cs="Arial"/>
                <w:i/>
                <w:sz w:val="21"/>
              </w:rPr>
            </w:pPr>
            <w:r w:rsidRPr="00CF0F96">
              <w:rPr>
                <w:rFonts w:ascii="Arial" w:hAnsi="Arial" w:cs="Arial"/>
                <w:i/>
                <w:sz w:val="21"/>
              </w:rPr>
              <w:t>Craugastor fecundus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21F0962A"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CF0F96" w:rsidRPr="00CF0F96" w14:paraId="6D9224E4"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714D2B21"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387C8F78"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Craugastoridae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1D98B973" w14:textId="77777777" w:rsidR="006A3DBC" w:rsidRPr="00CF0F96" w:rsidRDefault="006A3DBC" w:rsidP="005F4A92">
            <w:pPr>
              <w:pStyle w:val="TableParagraph"/>
              <w:rPr>
                <w:rFonts w:ascii="Arial" w:hAnsi="Arial" w:cs="Arial"/>
                <w:i/>
                <w:sz w:val="21"/>
              </w:rPr>
            </w:pPr>
            <w:r w:rsidRPr="00CF0F96">
              <w:rPr>
                <w:rFonts w:ascii="Arial" w:hAnsi="Arial" w:cs="Arial"/>
                <w:i/>
                <w:sz w:val="21"/>
              </w:rPr>
              <w:t>Craugastor laevissimus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070F35DD"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CF0F96" w:rsidRPr="00CF0F96" w14:paraId="4793C6E4"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1A9E3538"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426C5885"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Craugastoridae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518CC27A" w14:textId="77777777" w:rsidR="006A3DBC" w:rsidRPr="00CF0F96" w:rsidRDefault="006A3DBC" w:rsidP="005F4A92">
            <w:pPr>
              <w:pStyle w:val="TableParagraph"/>
              <w:rPr>
                <w:rFonts w:ascii="Arial" w:hAnsi="Arial" w:cs="Arial"/>
                <w:i/>
                <w:sz w:val="21"/>
              </w:rPr>
            </w:pPr>
            <w:r w:rsidRPr="00CF0F96">
              <w:rPr>
                <w:rFonts w:ascii="Arial" w:hAnsi="Arial" w:cs="Arial"/>
                <w:i/>
                <w:sz w:val="21"/>
              </w:rPr>
              <w:t>Craugastor laticeps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200DAC32"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CF0F96" w:rsidRPr="00CF0F96" w14:paraId="0CB1192D"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0B41F2AC"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7C075BCA"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Craugastoridae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41595423" w14:textId="77777777" w:rsidR="006A3DBC" w:rsidRPr="00CF0F96" w:rsidRDefault="006A3DBC" w:rsidP="005F4A92">
            <w:pPr>
              <w:pStyle w:val="TableParagraph"/>
              <w:rPr>
                <w:rFonts w:ascii="Arial" w:hAnsi="Arial" w:cs="Arial"/>
                <w:i/>
                <w:sz w:val="21"/>
              </w:rPr>
            </w:pPr>
            <w:r w:rsidRPr="00CF0F96">
              <w:rPr>
                <w:rFonts w:ascii="Arial" w:hAnsi="Arial" w:cs="Arial"/>
                <w:i/>
                <w:sz w:val="21"/>
              </w:rPr>
              <w:t>Craugastor lauraster</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1AFD9104"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CF0F96" w:rsidRPr="00CF0F96" w14:paraId="52CE5670"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011F9B35"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3491FB26"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Craugastoridae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5F5CB1CD" w14:textId="77777777" w:rsidR="006A3DBC" w:rsidRPr="00CF0F96" w:rsidRDefault="006A3DBC" w:rsidP="005F4A92">
            <w:pPr>
              <w:pStyle w:val="TableParagraph"/>
              <w:rPr>
                <w:rFonts w:ascii="Arial" w:hAnsi="Arial" w:cs="Arial"/>
                <w:i/>
                <w:sz w:val="21"/>
              </w:rPr>
            </w:pPr>
            <w:r w:rsidRPr="00CF0F96">
              <w:rPr>
                <w:rFonts w:ascii="Arial" w:hAnsi="Arial" w:cs="Arial"/>
                <w:i/>
                <w:sz w:val="21"/>
              </w:rPr>
              <w:t>Craugastor merendonensis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021DF861"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CF0F96" w:rsidRPr="00CF0F96" w14:paraId="0DACF786"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50D6DF2E"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5E3CC60B"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Craugastoridae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5C868822" w14:textId="77777777" w:rsidR="006A3DBC" w:rsidRPr="00CF0F96" w:rsidRDefault="006A3DBC" w:rsidP="005F4A92">
            <w:pPr>
              <w:pStyle w:val="TableParagraph"/>
              <w:rPr>
                <w:rFonts w:ascii="Arial" w:hAnsi="Arial" w:cs="Arial"/>
                <w:i/>
                <w:sz w:val="21"/>
              </w:rPr>
            </w:pPr>
            <w:r w:rsidRPr="00CF0F96">
              <w:rPr>
                <w:rFonts w:ascii="Arial" w:hAnsi="Arial" w:cs="Arial"/>
                <w:i/>
                <w:sz w:val="21"/>
              </w:rPr>
              <w:t>Craugastor milesi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30216F06"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CF0F96" w:rsidRPr="00CF0F96" w14:paraId="085A51FA"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3FA087F4"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0C8C5EEE"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Craugastoridae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00228849" w14:textId="77777777" w:rsidR="006A3DBC" w:rsidRPr="00CF0F96" w:rsidRDefault="006A3DBC" w:rsidP="005F4A92">
            <w:pPr>
              <w:pStyle w:val="TableParagraph"/>
              <w:rPr>
                <w:rFonts w:ascii="Arial" w:hAnsi="Arial" w:cs="Arial"/>
                <w:i/>
                <w:sz w:val="21"/>
              </w:rPr>
            </w:pPr>
            <w:r w:rsidRPr="00CF0F96">
              <w:rPr>
                <w:rFonts w:ascii="Arial" w:hAnsi="Arial" w:cs="Arial"/>
                <w:i/>
                <w:sz w:val="21"/>
              </w:rPr>
              <w:t>Craugastor olanchano</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47D3185C"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CF0F96" w:rsidRPr="00CF0F96" w14:paraId="65AAC47B"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0C078970"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18304836"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Craugastoridae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0F4EEDC7" w14:textId="77777777" w:rsidR="006A3DBC" w:rsidRPr="00CF0F96" w:rsidRDefault="006A3DBC" w:rsidP="005F4A92">
            <w:pPr>
              <w:pStyle w:val="TableParagraph"/>
              <w:rPr>
                <w:rFonts w:ascii="Arial" w:hAnsi="Arial" w:cs="Arial"/>
                <w:i/>
                <w:sz w:val="21"/>
              </w:rPr>
            </w:pPr>
            <w:r w:rsidRPr="00CF0F96">
              <w:rPr>
                <w:rFonts w:ascii="Arial" w:hAnsi="Arial" w:cs="Arial"/>
                <w:i/>
                <w:sz w:val="21"/>
              </w:rPr>
              <w:t>Craugastor omoaensis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62049A92"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CF0F96" w:rsidRPr="00CF0F96" w14:paraId="0B1590D6"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63407CAC"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3BFBB218"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Craugastoridae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41EC13DE" w14:textId="77777777" w:rsidR="006A3DBC" w:rsidRPr="00CF0F96" w:rsidRDefault="006A3DBC" w:rsidP="005F4A92">
            <w:pPr>
              <w:pStyle w:val="TableParagraph"/>
              <w:rPr>
                <w:rFonts w:ascii="Arial" w:hAnsi="Arial" w:cs="Arial"/>
                <w:i/>
                <w:sz w:val="21"/>
              </w:rPr>
            </w:pPr>
            <w:r w:rsidRPr="00CF0F96">
              <w:rPr>
                <w:rFonts w:ascii="Arial" w:hAnsi="Arial" w:cs="Arial"/>
                <w:i/>
                <w:sz w:val="21"/>
              </w:rPr>
              <w:t>Craugastor pechorum</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18C2FAA0"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CF0F96" w:rsidRPr="00CF0F96" w14:paraId="4A844B0E"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55622ADF"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321391A4"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Craugastoridae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33C7183F" w14:textId="77777777" w:rsidR="006A3DBC" w:rsidRPr="00CF0F96" w:rsidRDefault="006A3DBC" w:rsidP="005F4A92">
            <w:pPr>
              <w:pStyle w:val="TableParagraph"/>
              <w:rPr>
                <w:rFonts w:ascii="Arial" w:hAnsi="Arial" w:cs="Arial"/>
                <w:i/>
                <w:sz w:val="21"/>
              </w:rPr>
            </w:pPr>
            <w:r w:rsidRPr="00CF0F96">
              <w:rPr>
                <w:rFonts w:ascii="Arial" w:hAnsi="Arial" w:cs="Arial"/>
                <w:i/>
                <w:sz w:val="21"/>
              </w:rPr>
              <w:t>Craugastor rostralis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77F9F04A"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CF0F96" w:rsidRPr="00CF0F96" w14:paraId="6225C669"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504041CF"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4C29875A"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Craugastoridae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703A69C6" w14:textId="77777777" w:rsidR="006A3DBC" w:rsidRPr="00CF0F96" w:rsidRDefault="006A3DBC" w:rsidP="005F4A92">
            <w:pPr>
              <w:pStyle w:val="TableParagraph"/>
              <w:rPr>
                <w:rFonts w:ascii="Arial" w:hAnsi="Arial" w:cs="Arial"/>
                <w:i/>
                <w:sz w:val="21"/>
              </w:rPr>
            </w:pPr>
            <w:r w:rsidRPr="00CF0F96">
              <w:rPr>
                <w:rFonts w:ascii="Arial" w:hAnsi="Arial" w:cs="Arial"/>
                <w:i/>
                <w:sz w:val="21"/>
              </w:rPr>
              <w:t>Craugastor saltuarius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0BF8C838"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CF0F96" w:rsidRPr="00CF0F96" w14:paraId="090FC230"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5E39A194"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63F89922"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Craugastoridae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53179C8B" w14:textId="77777777" w:rsidR="006A3DBC" w:rsidRPr="00CF0F96" w:rsidRDefault="006A3DBC" w:rsidP="005F4A92">
            <w:pPr>
              <w:pStyle w:val="TableParagraph"/>
              <w:rPr>
                <w:rFonts w:ascii="Arial" w:hAnsi="Arial" w:cs="Arial"/>
                <w:i/>
                <w:sz w:val="21"/>
              </w:rPr>
            </w:pPr>
            <w:r w:rsidRPr="00CF0F96">
              <w:rPr>
                <w:rFonts w:ascii="Arial" w:hAnsi="Arial" w:cs="Arial"/>
                <w:i/>
                <w:sz w:val="21"/>
              </w:rPr>
              <w:t>Craugastor stadelmani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4BDD6F9D"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CF0F96" w:rsidRPr="00CF0F96" w14:paraId="6F89E6A8"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3C997159"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659E28DD"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Hylidae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7F9295B3" w14:textId="77777777" w:rsidR="006A3DBC" w:rsidRPr="00CF0F96" w:rsidRDefault="006A3DBC" w:rsidP="005F4A92">
            <w:pPr>
              <w:pStyle w:val="TableParagraph"/>
              <w:rPr>
                <w:rFonts w:ascii="Arial" w:hAnsi="Arial" w:cs="Arial"/>
                <w:i/>
                <w:sz w:val="21"/>
              </w:rPr>
            </w:pPr>
            <w:r w:rsidRPr="00CF0F96">
              <w:rPr>
                <w:rFonts w:ascii="Arial" w:hAnsi="Arial" w:cs="Arial"/>
                <w:i/>
                <w:sz w:val="21"/>
              </w:rPr>
              <w:t>Duellmanohyla soralia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3585F80D"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CF0F96" w:rsidRPr="00CF0F96" w14:paraId="3F86401A"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1862B65E"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1DFAE707"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Hylidae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3D7DB7D5" w14:textId="77777777" w:rsidR="006A3DBC" w:rsidRPr="00CF0F96" w:rsidRDefault="006A3DBC" w:rsidP="005F4A92">
            <w:pPr>
              <w:pStyle w:val="TableParagraph"/>
              <w:rPr>
                <w:rFonts w:ascii="Arial" w:hAnsi="Arial" w:cs="Arial"/>
                <w:i/>
                <w:sz w:val="21"/>
              </w:rPr>
            </w:pPr>
            <w:r w:rsidRPr="00CF0F96">
              <w:rPr>
                <w:rFonts w:ascii="Arial" w:hAnsi="Arial" w:cs="Arial"/>
                <w:i/>
                <w:sz w:val="21"/>
              </w:rPr>
              <w:t>Duellmanohyla salvavida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1B023A60"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CF0F96" w:rsidRPr="00CF0F96" w14:paraId="1FFE41AB"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1C560D60"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2C4BCCE1"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Hylidae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72FFA5A2" w14:textId="77777777" w:rsidR="006A3DBC" w:rsidRPr="00CF0F96" w:rsidRDefault="006A3DBC" w:rsidP="005F4A92">
            <w:pPr>
              <w:pStyle w:val="TableParagraph"/>
              <w:rPr>
                <w:rFonts w:ascii="Arial" w:hAnsi="Arial" w:cs="Arial"/>
                <w:i/>
                <w:sz w:val="21"/>
              </w:rPr>
            </w:pPr>
            <w:r w:rsidRPr="00CF0F96">
              <w:rPr>
                <w:rFonts w:ascii="Arial" w:hAnsi="Arial" w:cs="Arial"/>
                <w:i/>
                <w:sz w:val="21"/>
              </w:rPr>
              <w:t>Ecnomiohyla miliaria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54822625"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CF0F96" w:rsidRPr="00CF0F96" w14:paraId="0745C676"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782A09FF"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7FCE6369"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Hylidae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2BC8A304" w14:textId="77777777" w:rsidR="006A3DBC" w:rsidRPr="00CF0F96" w:rsidRDefault="006A3DBC" w:rsidP="005F4A92">
            <w:pPr>
              <w:pStyle w:val="TableParagraph"/>
              <w:rPr>
                <w:rFonts w:ascii="Arial" w:hAnsi="Arial" w:cs="Arial"/>
                <w:i/>
                <w:sz w:val="21"/>
              </w:rPr>
            </w:pPr>
            <w:r w:rsidRPr="00CF0F96">
              <w:rPr>
                <w:rFonts w:ascii="Arial" w:hAnsi="Arial" w:cs="Arial"/>
                <w:i/>
                <w:sz w:val="21"/>
              </w:rPr>
              <w:t>Ecnomiohyla salvaje</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4B228B45"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CF0F96" w:rsidRPr="00CF0F96" w14:paraId="5DFDB97E"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1ADB6207"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6D4C731E"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Hylidae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28E9382A" w14:textId="77777777" w:rsidR="006A3DBC" w:rsidRPr="00CF0F96" w:rsidRDefault="006A3DBC" w:rsidP="005F4A92">
            <w:pPr>
              <w:pStyle w:val="TableParagraph"/>
              <w:rPr>
                <w:rFonts w:ascii="Arial" w:hAnsi="Arial" w:cs="Arial"/>
                <w:i/>
                <w:sz w:val="21"/>
              </w:rPr>
            </w:pPr>
            <w:r w:rsidRPr="00CF0F96">
              <w:rPr>
                <w:rFonts w:ascii="Arial" w:hAnsi="Arial" w:cs="Arial"/>
                <w:i/>
                <w:sz w:val="21"/>
              </w:rPr>
              <w:t>Exerodonta catracha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161C7D40"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CF0F96" w:rsidRPr="00CF0F96" w14:paraId="5A660FFF"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69C20E48"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54AAD57E"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Hylidae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38CD2DD9" w14:textId="77777777" w:rsidR="006A3DBC" w:rsidRPr="00CF0F96" w:rsidRDefault="006A3DBC" w:rsidP="005F4A92">
            <w:pPr>
              <w:pStyle w:val="TableParagraph"/>
              <w:rPr>
                <w:rFonts w:ascii="Arial" w:hAnsi="Arial" w:cs="Arial"/>
                <w:i/>
                <w:sz w:val="21"/>
              </w:rPr>
            </w:pPr>
            <w:r w:rsidRPr="00CF0F96">
              <w:rPr>
                <w:rFonts w:ascii="Arial" w:hAnsi="Arial" w:cs="Arial"/>
                <w:i/>
                <w:sz w:val="21"/>
              </w:rPr>
              <w:t>Isthmohyla insolita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3264A6F7"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CF0F96" w:rsidRPr="00CF0F96" w14:paraId="322D55AD"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1880814E"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14ED54BF"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Hylidae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6FD8DAD5" w14:textId="77777777" w:rsidR="006A3DBC" w:rsidRPr="00CF0F96" w:rsidRDefault="006A3DBC" w:rsidP="005F4A92">
            <w:pPr>
              <w:pStyle w:val="TableParagraph"/>
              <w:rPr>
                <w:rFonts w:ascii="Arial" w:hAnsi="Arial" w:cs="Arial"/>
                <w:i/>
                <w:sz w:val="21"/>
              </w:rPr>
            </w:pPr>
            <w:r w:rsidRPr="00CF0F96">
              <w:rPr>
                <w:rFonts w:ascii="Arial" w:hAnsi="Arial" w:cs="Arial"/>
                <w:i/>
                <w:sz w:val="21"/>
              </w:rPr>
              <w:t>Isthmohyla melacaena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6D50071A"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CF0F96" w:rsidRPr="00CF0F96" w14:paraId="1DD0C79C"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103C909D"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7E848470"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Hylidae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3CD9BFBD" w14:textId="77777777" w:rsidR="006A3DBC" w:rsidRPr="00CF0F96" w:rsidRDefault="006A3DBC" w:rsidP="005F4A92">
            <w:pPr>
              <w:pStyle w:val="TableParagraph"/>
              <w:rPr>
                <w:rFonts w:ascii="Arial" w:hAnsi="Arial" w:cs="Arial"/>
                <w:i/>
                <w:sz w:val="21"/>
              </w:rPr>
            </w:pPr>
            <w:r w:rsidRPr="00CF0F96">
              <w:rPr>
                <w:rFonts w:ascii="Arial" w:hAnsi="Arial" w:cs="Arial"/>
                <w:i/>
                <w:sz w:val="21"/>
              </w:rPr>
              <w:t>Plectrohyla psiloderma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089D83AA"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CF0F96" w:rsidRPr="00CF0F96" w14:paraId="7B0C471F"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6D865DA6"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56C38910"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Hylidae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266E0A0C" w14:textId="77777777" w:rsidR="006A3DBC" w:rsidRPr="00CF0F96" w:rsidRDefault="006A3DBC" w:rsidP="005F4A92">
            <w:pPr>
              <w:pStyle w:val="TableParagraph"/>
              <w:rPr>
                <w:rFonts w:ascii="Arial" w:hAnsi="Arial" w:cs="Arial"/>
                <w:i/>
                <w:sz w:val="21"/>
              </w:rPr>
            </w:pPr>
            <w:r w:rsidRPr="00CF0F96">
              <w:rPr>
                <w:rFonts w:ascii="Arial" w:hAnsi="Arial" w:cs="Arial"/>
                <w:i/>
                <w:sz w:val="21"/>
              </w:rPr>
              <w:t>Plectrohyla guatemalensis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66844307"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CF0F96" w:rsidRPr="00CF0F96" w14:paraId="234EBA92"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21115977"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31A1DE9B"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Hylidae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29E5B8E0" w14:textId="77777777" w:rsidR="006A3DBC" w:rsidRPr="00CF0F96" w:rsidRDefault="006A3DBC" w:rsidP="005F4A92">
            <w:pPr>
              <w:pStyle w:val="TableParagraph"/>
              <w:rPr>
                <w:rFonts w:ascii="Arial" w:hAnsi="Arial" w:cs="Arial"/>
                <w:i/>
                <w:sz w:val="21"/>
              </w:rPr>
            </w:pPr>
            <w:r w:rsidRPr="00CF0F96">
              <w:rPr>
                <w:rFonts w:ascii="Arial" w:hAnsi="Arial" w:cs="Arial"/>
                <w:i/>
                <w:sz w:val="21"/>
              </w:rPr>
              <w:t>Plectrohyla exquisita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6CF237AC"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CF0F96" w:rsidRPr="00CF0F96" w14:paraId="5B2FB0D4"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1E583AE6"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39D84473"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Hylidae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38C6C0C7" w14:textId="77777777" w:rsidR="006A3DBC" w:rsidRPr="00CF0F96" w:rsidRDefault="006A3DBC" w:rsidP="005F4A92">
            <w:pPr>
              <w:pStyle w:val="TableParagraph"/>
              <w:rPr>
                <w:rFonts w:ascii="Arial" w:hAnsi="Arial" w:cs="Arial"/>
                <w:i/>
                <w:sz w:val="21"/>
              </w:rPr>
            </w:pPr>
            <w:r w:rsidRPr="00CF0F96">
              <w:rPr>
                <w:rFonts w:ascii="Arial" w:hAnsi="Arial" w:cs="Arial"/>
                <w:i/>
                <w:sz w:val="21"/>
              </w:rPr>
              <w:t>Plectrohyla dasypus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3BDE5355"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CF0F96" w:rsidRPr="00CF0F96" w14:paraId="5E3CC470"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4F9FA3C2"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3A5A3526"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Hylidae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31B5CD52" w14:textId="77777777" w:rsidR="006A3DBC" w:rsidRPr="00CF0F96" w:rsidRDefault="006A3DBC" w:rsidP="005F4A92">
            <w:pPr>
              <w:pStyle w:val="TableParagraph"/>
              <w:rPr>
                <w:rFonts w:ascii="Arial" w:hAnsi="Arial" w:cs="Arial"/>
                <w:i/>
                <w:sz w:val="21"/>
              </w:rPr>
            </w:pPr>
            <w:r w:rsidRPr="00CF0F96">
              <w:rPr>
                <w:rFonts w:ascii="Arial" w:hAnsi="Arial" w:cs="Arial"/>
                <w:i/>
                <w:sz w:val="21"/>
              </w:rPr>
              <w:t>Plectrohyla chrysopleura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26928674"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CF0F96" w:rsidRPr="00CF0F96" w14:paraId="6B10D631"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5C48F4A5"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75DE56B9"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Hylidae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6DB1EFEA" w14:textId="77777777" w:rsidR="006A3DBC" w:rsidRPr="00CF0F96" w:rsidRDefault="006A3DBC" w:rsidP="005F4A92">
            <w:pPr>
              <w:pStyle w:val="TableParagraph"/>
              <w:rPr>
                <w:rFonts w:ascii="Arial" w:hAnsi="Arial" w:cs="Arial"/>
                <w:i/>
                <w:sz w:val="21"/>
              </w:rPr>
            </w:pPr>
            <w:r w:rsidRPr="00CF0F96">
              <w:rPr>
                <w:rFonts w:ascii="Arial" w:hAnsi="Arial" w:cs="Arial"/>
                <w:i/>
                <w:sz w:val="21"/>
              </w:rPr>
              <w:t>Ptychohyla spinipollex</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5E4DD5D3"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CF0F96" w:rsidRPr="00CF0F96" w14:paraId="309D6111" w14:textId="77777777" w:rsidTr="005F4A92">
        <w:trPr>
          <w:cnfStyle w:val="010000000000" w:firstRow="0" w:lastRow="1" w:firstColumn="0" w:lastColumn="0" w:oddVBand="0" w:evenVBand="0" w:oddHBand="0"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7FF60E22"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1D8923C4" w14:textId="77777777" w:rsidR="006A3DBC" w:rsidRPr="00CF0F96" w:rsidRDefault="006A3DBC" w:rsidP="005F4A92">
            <w:pPr>
              <w:pStyle w:val="TableParagraph"/>
              <w:spacing w:before="54"/>
              <w:rPr>
                <w:rFonts w:ascii="Arial" w:hAnsi="Arial" w:cs="Arial"/>
                <w:b w:val="0"/>
                <w:bCs w:val="0"/>
                <w:sz w:val="21"/>
              </w:rPr>
            </w:pPr>
            <w:r w:rsidRPr="00CF0F96">
              <w:rPr>
                <w:rFonts w:ascii="Arial" w:hAnsi="Arial" w:cs="Arial"/>
                <w:b w:val="0"/>
                <w:bCs w:val="0"/>
                <w:sz w:val="21"/>
              </w:rPr>
              <w:t>Hylidae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312DE1F5" w14:textId="77777777" w:rsidR="006A3DBC" w:rsidRPr="00CF0F96" w:rsidRDefault="006A3DBC" w:rsidP="005F4A92">
            <w:pPr>
              <w:pStyle w:val="TableParagraph"/>
              <w:rPr>
                <w:rFonts w:ascii="Arial" w:hAnsi="Arial" w:cs="Arial"/>
                <w:b w:val="0"/>
                <w:bCs w:val="0"/>
                <w:i/>
                <w:sz w:val="21"/>
              </w:rPr>
            </w:pPr>
            <w:r w:rsidRPr="00CF0F96">
              <w:rPr>
                <w:rFonts w:ascii="Arial" w:hAnsi="Arial" w:cs="Arial"/>
                <w:b w:val="0"/>
                <w:bCs w:val="0"/>
                <w:i/>
                <w:sz w:val="21"/>
              </w:rPr>
              <w:t>Ptychohyla salvadorensis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48423FFB"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bl>
    <w:p w14:paraId="20A19DB2" w14:textId="77777777" w:rsidR="006A3DBC" w:rsidRPr="00FA4B2D" w:rsidRDefault="006A3DBC" w:rsidP="006A3DBC">
      <w:pPr>
        <w:tabs>
          <w:tab w:val="left" w:pos="1245"/>
        </w:tabs>
        <w:rPr>
          <w:rFonts w:cs="Arial"/>
        </w:rPr>
      </w:pPr>
    </w:p>
    <w:tbl>
      <w:tblPr>
        <w:tblStyle w:val="Tablanormal21"/>
        <w:tblpPr w:leftFromText="141" w:rightFromText="141" w:vertAnchor="page" w:horzAnchor="margin" w:tblpXSpec="center" w:tblpY="1771"/>
        <w:tblW w:w="0" w:type="auto"/>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1804"/>
        <w:gridCol w:w="1879"/>
        <w:gridCol w:w="3204"/>
        <w:gridCol w:w="1372"/>
      </w:tblGrid>
      <w:tr w:rsidR="00CF0F96" w:rsidRPr="00CF0F96" w14:paraId="5F9F1521" w14:textId="77777777" w:rsidTr="00C81834">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5CC5DA"/>
          </w:tcPr>
          <w:p w14:paraId="732B8B4E" w14:textId="77777777" w:rsidR="006A3DBC" w:rsidRPr="00CF0F96" w:rsidRDefault="006A3DBC" w:rsidP="00D30988">
            <w:pPr>
              <w:pStyle w:val="TableParagraph"/>
              <w:ind w:right="605"/>
              <w:jc w:val="center"/>
              <w:rPr>
                <w:rFonts w:ascii="Arial" w:hAnsi="Arial" w:cs="Arial"/>
                <w:b w:val="0"/>
                <w:sz w:val="21"/>
              </w:rPr>
            </w:pPr>
            <w:r w:rsidRPr="00CF0F96">
              <w:rPr>
                <w:rFonts w:ascii="Arial" w:hAnsi="Arial" w:cs="Arial"/>
                <w:b w:val="0"/>
                <w:sz w:val="21"/>
              </w:rPr>
              <w:lastRenderedPageBreak/>
              <w:t>Clase</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5CC5DA"/>
          </w:tcPr>
          <w:p w14:paraId="688C20C6" w14:textId="77777777" w:rsidR="006A3DBC" w:rsidRPr="00CF0F96" w:rsidRDefault="006A3DBC" w:rsidP="00D30988">
            <w:pPr>
              <w:pStyle w:val="TableParagraph"/>
              <w:jc w:val="center"/>
              <w:rPr>
                <w:rFonts w:ascii="Arial" w:hAnsi="Arial" w:cs="Arial"/>
                <w:b w:val="0"/>
                <w:sz w:val="21"/>
              </w:rPr>
            </w:pPr>
            <w:r w:rsidRPr="00CF0F96">
              <w:rPr>
                <w:rFonts w:ascii="Arial" w:hAnsi="Arial" w:cs="Arial"/>
                <w:b w:val="0"/>
                <w:sz w:val="21"/>
              </w:rPr>
              <w:t>Familia</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5CC5DA"/>
          </w:tcPr>
          <w:p w14:paraId="62D24C6E" w14:textId="77777777" w:rsidR="006A3DBC" w:rsidRPr="00CF0F96" w:rsidRDefault="006A3DBC" w:rsidP="00D30988">
            <w:pPr>
              <w:pStyle w:val="TableParagraph"/>
              <w:ind w:right="1144"/>
              <w:jc w:val="center"/>
              <w:rPr>
                <w:rFonts w:ascii="Arial" w:hAnsi="Arial" w:cs="Arial"/>
                <w:b w:val="0"/>
                <w:sz w:val="21"/>
              </w:rPr>
            </w:pPr>
            <w:r w:rsidRPr="00CF0F96">
              <w:rPr>
                <w:rFonts w:ascii="Arial" w:hAnsi="Arial" w:cs="Arial"/>
                <w:b w:val="0"/>
                <w:sz w:val="21"/>
              </w:rPr>
              <w:t>Especies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5CC5DA"/>
          </w:tcPr>
          <w:p w14:paraId="38CB0582" w14:textId="77777777" w:rsidR="006A3DBC" w:rsidRPr="00CF0F96" w:rsidRDefault="006A3DBC" w:rsidP="00D30988">
            <w:pPr>
              <w:pStyle w:val="TableParagraph"/>
              <w:jc w:val="center"/>
              <w:rPr>
                <w:rFonts w:ascii="Arial" w:hAnsi="Arial" w:cs="Arial"/>
                <w:b w:val="0"/>
                <w:sz w:val="21"/>
              </w:rPr>
            </w:pPr>
            <w:r w:rsidRPr="00CF0F96">
              <w:rPr>
                <w:rFonts w:ascii="Arial" w:hAnsi="Arial" w:cs="Arial"/>
                <w:b w:val="0"/>
                <w:w w:val="95"/>
                <w:sz w:val="21"/>
              </w:rPr>
              <w:t>Categoría</w:t>
            </w:r>
          </w:p>
        </w:tc>
      </w:tr>
      <w:tr w:rsidR="00CF0F96" w:rsidRPr="00CF0F96" w14:paraId="783407C6"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74FA8913"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4A6981EE"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Leptodactylidae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4CAA742E" w14:textId="77777777" w:rsidR="006A3DBC" w:rsidRPr="00CF0F96" w:rsidRDefault="006A3DBC" w:rsidP="005F4A92">
            <w:pPr>
              <w:pStyle w:val="TableParagraph"/>
              <w:rPr>
                <w:rFonts w:ascii="Arial" w:hAnsi="Arial" w:cs="Arial"/>
                <w:i/>
                <w:sz w:val="21"/>
              </w:rPr>
            </w:pPr>
            <w:r w:rsidRPr="00CF0F96">
              <w:rPr>
                <w:rFonts w:ascii="Arial" w:hAnsi="Arial" w:cs="Arial"/>
                <w:i/>
                <w:sz w:val="21"/>
              </w:rPr>
              <w:t>Leptodactylus silvanimbus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4237F80E"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CF0F96" w:rsidRPr="00CF0F96" w14:paraId="05258E3D"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7F1B3D33"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5307BA8C"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Microhylidae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6A8C71C9" w14:textId="77777777" w:rsidR="006A3DBC" w:rsidRPr="00CF0F96" w:rsidRDefault="006A3DBC" w:rsidP="005F4A92">
            <w:pPr>
              <w:pStyle w:val="TableParagraph"/>
              <w:rPr>
                <w:rFonts w:ascii="Arial" w:hAnsi="Arial" w:cs="Arial"/>
                <w:i/>
                <w:sz w:val="21"/>
              </w:rPr>
            </w:pPr>
            <w:r w:rsidRPr="00CF0F96">
              <w:rPr>
                <w:rFonts w:ascii="Arial" w:hAnsi="Arial" w:cs="Arial"/>
                <w:i/>
                <w:sz w:val="21"/>
              </w:rPr>
              <w:t>Hypopachus barberi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28F61F90"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CF0F96" w:rsidRPr="00CF0F96" w14:paraId="54B5CFB5"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0CCE731C"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6722AE72"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Plethodontidae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388B2AE0" w14:textId="77777777" w:rsidR="006A3DBC" w:rsidRPr="00CF0F96" w:rsidRDefault="006A3DBC" w:rsidP="005F4A92">
            <w:pPr>
              <w:pStyle w:val="TableParagraph"/>
              <w:rPr>
                <w:rFonts w:ascii="Arial" w:hAnsi="Arial" w:cs="Arial"/>
                <w:i/>
                <w:sz w:val="21"/>
              </w:rPr>
            </w:pPr>
            <w:r w:rsidRPr="00CF0F96">
              <w:rPr>
                <w:rFonts w:ascii="Arial" w:hAnsi="Arial" w:cs="Arial"/>
                <w:i/>
                <w:sz w:val="21"/>
              </w:rPr>
              <w:t>Bolitoglossa oresbia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4DF89696"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CF0F96" w:rsidRPr="00CF0F96" w14:paraId="74F0F3F8"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5DEE3D13"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17A9F871"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Plethodontidae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6EACC829" w14:textId="77777777" w:rsidR="006A3DBC" w:rsidRPr="00CF0F96" w:rsidRDefault="006A3DBC" w:rsidP="005F4A92">
            <w:pPr>
              <w:pStyle w:val="TableParagraph"/>
              <w:rPr>
                <w:rFonts w:ascii="Arial" w:hAnsi="Arial" w:cs="Arial"/>
                <w:i/>
                <w:sz w:val="21"/>
              </w:rPr>
            </w:pPr>
            <w:r w:rsidRPr="00CF0F96">
              <w:rPr>
                <w:rFonts w:ascii="Arial" w:hAnsi="Arial" w:cs="Arial"/>
                <w:i/>
                <w:sz w:val="21"/>
              </w:rPr>
              <w:t>Bolitoglossa heiroreias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7587C72D"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CF0F96" w:rsidRPr="00CF0F96" w14:paraId="0542FACD"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5ACC5D37"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6D20E503"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Plethodontidae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21FEA2B9" w14:textId="77777777" w:rsidR="006A3DBC" w:rsidRPr="00CF0F96" w:rsidRDefault="006A3DBC" w:rsidP="005F4A92">
            <w:pPr>
              <w:pStyle w:val="TableParagraph"/>
              <w:rPr>
                <w:rFonts w:ascii="Arial" w:hAnsi="Arial" w:cs="Arial"/>
                <w:i/>
                <w:sz w:val="21"/>
              </w:rPr>
            </w:pPr>
            <w:r w:rsidRPr="00CF0F96">
              <w:rPr>
                <w:rFonts w:ascii="Arial" w:hAnsi="Arial" w:cs="Arial"/>
                <w:i/>
                <w:sz w:val="21"/>
              </w:rPr>
              <w:t>Bolitoglossa synoria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40B545C9"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CF0F96" w:rsidRPr="00CF0F96" w14:paraId="2EE71D7C"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759C4896"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07999297"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Plethodontidae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29995425" w14:textId="77777777" w:rsidR="006A3DBC" w:rsidRPr="00CF0F96" w:rsidRDefault="006A3DBC" w:rsidP="005F4A92">
            <w:pPr>
              <w:pStyle w:val="TableParagraph"/>
              <w:rPr>
                <w:rFonts w:ascii="Arial" w:hAnsi="Arial" w:cs="Arial"/>
                <w:i/>
                <w:sz w:val="21"/>
              </w:rPr>
            </w:pPr>
            <w:r w:rsidRPr="00CF0F96">
              <w:rPr>
                <w:rFonts w:ascii="Arial" w:hAnsi="Arial" w:cs="Arial"/>
                <w:i/>
                <w:sz w:val="21"/>
              </w:rPr>
              <w:t>Bolitoglossa porrasorum</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7A3DC623"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CF0F96" w:rsidRPr="00CF0F96" w14:paraId="056E1F36"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7362DFC2"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332EFAC8"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Plethodontidae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2C579450" w14:textId="77777777" w:rsidR="006A3DBC" w:rsidRPr="00CF0F96" w:rsidRDefault="006A3DBC" w:rsidP="005F4A92">
            <w:pPr>
              <w:pStyle w:val="TableParagraph"/>
              <w:rPr>
                <w:rFonts w:ascii="Arial" w:hAnsi="Arial" w:cs="Arial"/>
                <w:i/>
                <w:sz w:val="21"/>
              </w:rPr>
            </w:pPr>
            <w:r w:rsidRPr="00CF0F96">
              <w:rPr>
                <w:rFonts w:ascii="Arial" w:hAnsi="Arial" w:cs="Arial"/>
                <w:i/>
                <w:sz w:val="21"/>
              </w:rPr>
              <w:t>Bolitoglossa longissima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36E189BE"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CF0F96" w:rsidRPr="00CF0F96" w14:paraId="38705F53"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6CAFFE48"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36BAFBAE"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Plethodontidae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3E560EDD" w14:textId="77777777" w:rsidR="006A3DBC" w:rsidRPr="00CF0F96" w:rsidRDefault="006A3DBC" w:rsidP="005F4A92">
            <w:pPr>
              <w:pStyle w:val="TableParagraph"/>
              <w:rPr>
                <w:rFonts w:ascii="Arial" w:hAnsi="Arial" w:cs="Arial"/>
                <w:i/>
                <w:sz w:val="21"/>
              </w:rPr>
            </w:pPr>
            <w:r w:rsidRPr="00CF0F96">
              <w:rPr>
                <w:rFonts w:ascii="Arial" w:hAnsi="Arial" w:cs="Arial"/>
                <w:i/>
                <w:sz w:val="21"/>
              </w:rPr>
              <w:t>Bolitoglossa dunni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06850729"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CF0F96" w:rsidRPr="00CF0F96" w14:paraId="0A619B02"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4A05CC2B"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5B765F5E"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Plethodontidae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67357981" w14:textId="77777777" w:rsidR="006A3DBC" w:rsidRPr="00CF0F96" w:rsidRDefault="006A3DBC" w:rsidP="005F4A92">
            <w:pPr>
              <w:pStyle w:val="TableParagraph"/>
              <w:rPr>
                <w:rFonts w:ascii="Arial" w:hAnsi="Arial" w:cs="Arial"/>
                <w:i/>
                <w:sz w:val="21"/>
              </w:rPr>
            </w:pPr>
            <w:r w:rsidRPr="00CF0F96">
              <w:rPr>
                <w:rFonts w:ascii="Arial" w:hAnsi="Arial" w:cs="Arial"/>
                <w:i/>
                <w:sz w:val="21"/>
              </w:rPr>
              <w:t>Bolitoglossa diaphora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09833A56"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CF0F96" w:rsidRPr="00CF0F96" w14:paraId="55A27378"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5D84642E"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3B042B5A"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Plethodontidae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29FFF217" w14:textId="77777777" w:rsidR="006A3DBC" w:rsidRPr="00CF0F96" w:rsidRDefault="006A3DBC" w:rsidP="005F4A92">
            <w:pPr>
              <w:pStyle w:val="TableParagraph"/>
              <w:rPr>
                <w:rFonts w:ascii="Arial" w:hAnsi="Arial" w:cs="Arial"/>
                <w:i/>
                <w:sz w:val="21"/>
              </w:rPr>
            </w:pPr>
            <w:r w:rsidRPr="00CF0F96">
              <w:rPr>
                <w:rFonts w:ascii="Arial" w:hAnsi="Arial" w:cs="Arial"/>
                <w:i/>
                <w:sz w:val="21"/>
              </w:rPr>
              <w:t>Bolitoglossa decora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5AF72064"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CF0F96" w:rsidRPr="00CF0F96" w14:paraId="01639D30"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5434A5F3"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02CF2F93"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Plethodontidae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6160DB24" w14:textId="77777777" w:rsidR="006A3DBC" w:rsidRPr="00CF0F96" w:rsidRDefault="006A3DBC" w:rsidP="005F4A92">
            <w:pPr>
              <w:pStyle w:val="TableParagraph"/>
              <w:spacing w:before="53"/>
              <w:rPr>
                <w:rFonts w:ascii="Arial" w:hAnsi="Arial" w:cs="Arial"/>
                <w:i/>
                <w:sz w:val="21"/>
              </w:rPr>
            </w:pPr>
            <w:r w:rsidRPr="00CF0F96">
              <w:rPr>
                <w:rFonts w:ascii="Arial" w:hAnsi="Arial" w:cs="Arial"/>
                <w:i/>
                <w:w w:val="95"/>
                <w:sz w:val="21"/>
              </w:rPr>
              <w:t>Bolitoglossa dofleini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5BC3CB85"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CF0F96" w:rsidRPr="00CF0F96" w14:paraId="507794CD"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6591F52E"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2B77CF23"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Plethodontidae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2E524676" w14:textId="77777777" w:rsidR="006A3DBC" w:rsidRPr="00CF0F96" w:rsidRDefault="006A3DBC" w:rsidP="005F4A92">
            <w:pPr>
              <w:pStyle w:val="TableParagraph"/>
              <w:rPr>
                <w:rFonts w:ascii="Arial" w:hAnsi="Arial" w:cs="Arial"/>
                <w:i/>
                <w:sz w:val="21"/>
              </w:rPr>
            </w:pPr>
            <w:r w:rsidRPr="00CF0F96">
              <w:rPr>
                <w:rFonts w:ascii="Arial" w:hAnsi="Arial" w:cs="Arial"/>
                <w:i/>
                <w:sz w:val="21"/>
              </w:rPr>
              <w:t>Bolitoglossa conanti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2565E10E"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CF0F96" w:rsidRPr="00CF0F96" w14:paraId="20D74349"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16945797"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53F0EA89"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Plethodontidae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5C6269D4" w14:textId="77777777" w:rsidR="006A3DBC" w:rsidRPr="00CF0F96" w:rsidRDefault="006A3DBC" w:rsidP="005F4A92">
            <w:pPr>
              <w:pStyle w:val="TableParagraph"/>
              <w:rPr>
                <w:rFonts w:ascii="Arial" w:hAnsi="Arial" w:cs="Arial"/>
                <w:i/>
                <w:sz w:val="21"/>
              </w:rPr>
            </w:pPr>
            <w:r w:rsidRPr="00CF0F96">
              <w:rPr>
                <w:rFonts w:ascii="Arial" w:hAnsi="Arial" w:cs="Arial"/>
                <w:i/>
                <w:sz w:val="21"/>
              </w:rPr>
              <w:t>Bolitoglossa celaque</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4682BE9C"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CF0F96" w:rsidRPr="00CF0F96" w14:paraId="476161C0"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7D3D0E79"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2A6138AF"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Plethodontidae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6EC86DCF" w14:textId="77777777" w:rsidR="006A3DBC" w:rsidRPr="00CF0F96" w:rsidRDefault="006A3DBC" w:rsidP="005F4A92">
            <w:pPr>
              <w:pStyle w:val="TableParagraph"/>
              <w:rPr>
                <w:rFonts w:ascii="Arial" w:hAnsi="Arial" w:cs="Arial"/>
                <w:i/>
                <w:sz w:val="21"/>
              </w:rPr>
            </w:pPr>
            <w:r w:rsidRPr="00CF0F96">
              <w:rPr>
                <w:rFonts w:ascii="Arial" w:hAnsi="Arial" w:cs="Arial"/>
                <w:i/>
                <w:sz w:val="21"/>
              </w:rPr>
              <w:t>Bolitoglossa carri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1A298F0B"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CF0F96" w:rsidRPr="00CF0F96" w14:paraId="59922037"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7DEFEAE6"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781365D3"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Plethodontidae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1B363BA0" w14:textId="77777777" w:rsidR="006A3DBC" w:rsidRPr="00CF0F96" w:rsidRDefault="006A3DBC" w:rsidP="005F4A92">
            <w:pPr>
              <w:pStyle w:val="TableParagraph"/>
              <w:rPr>
                <w:rFonts w:ascii="Arial" w:hAnsi="Arial" w:cs="Arial"/>
                <w:i/>
                <w:sz w:val="21"/>
              </w:rPr>
            </w:pPr>
            <w:r w:rsidRPr="00CF0F96">
              <w:rPr>
                <w:rFonts w:ascii="Arial" w:hAnsi="Arial" w:cs="Arial"/>
                <w:i/>
                <w:sz w:val="21"/>
              </w:rPr>
              <w:t>Cryptotriton nasalis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0A9A393A"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CF0F96" w:rsidRPr="00CF0F96" w14:paraId="2915AE4A"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55EAB605"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2855C811"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Plethodontidae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7DE8FD61" w14:textId="77777777" w:rsidR="006A3DBC" w:rsidRPr="00CF0F96" w:rsidRDefault="006A3DBC" w:rsidP="005F4A92">
            <w:pPr>
              <w:pStyle w:val="TableParagraph"/>
              <w:rPr>
                <w:rFonts w:ascii="Arial" w:hAnsi="Arial" w:cs="Arial"/>
                <w:i/>
                <w:sz w:val="21"/>
              </w:rPr>
            </w:pPr>
            <w:r w:rsidRPr="00CF0F96">
              <w:rPr>
                <w:rFonts w:ascii="Arial" w:hAnsi="Arial" w:cs="Arial"/>
                <w:i/>
                <w:sz w:val="21"/>
              </w:rPr>
              <w:t>Dendrotriton sanctibarbarus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6E4D5DD5"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CF0F96" w:rsidRPr="00CF0F96" w14:paraId="2E6A722D"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3FCC14BD"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134477EC"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Plethodontidae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44B9435E" w14:textId="77777777" w:rsidR="006A3DBC" w:rsidRPr="00CF0F96" w:rsidRDefault="006A3DBC" w:rsidP="005F4A92">
            <w:pPr>
              <w:pStyle w:val="TableParagraph"/>
              <w:rPr>
                <w:rFonts w:ascii="Arial" w:hAnsi="Arial" w:cs="Arial"/>
                <w:i/>
                <w:sz w:val="21"/>
              </w:rPr>
            </w:pPr>
            <w:r w:rsidRPr="00CF0F96">
              <w:rPr>
                <w:rFonts w:ascii="Arial" w:hAnsi="Arial" w:cs="Arial"/>
                <w:i/>
                <w:w w:val="95"/>
                <w:sz w:val="21"/>
              </w:rPr>
              <w:t>Nototriton barbouri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125A548D"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CF0F96" w:rsidRPr="00CF0F96" w14:paraId="536E62E9"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44AAF0BA"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6CE1FB3D"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Plethodontidae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3470540A" w14:textId="77777777" w:rsidR="006A3DBC" w:rsidRPr="00CF0F96" w:rsidRDefault="006A3DBC" w:rsidP="005F4A92">
            <w:pPr>
              <w:pStyle w:val="TableParagraph"/>
              <w:rPr>
                <w:rFonts w:ascii="Arial" w:hAnsi="Arial" w:cs="Arial"/>
                <w:i/>
                <w:sz w:val="21"/>
              </w:rPr>
            </w:pPr>
            <w:r w:rsidRPr="00CF0F96">
              <w:rPr>
                <w:rFonts w:ascii="Arial" w:hAnsi="Arial" w:cs="Arial"/>
                <w:i/>
                <w:w w:val="95"/>
                <w:sz w:val="21"/>
              </w:rPr>
              <w:t>Nototriton brodiei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5454C74B"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CF0F96" w:rsidRPr="00CF0F96" w14:paraId="07EDCB59"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4CD5563E"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2F5A5AF2"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Plethodontidae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385FC843" w14:textId="77777777" w:rsidR="006A3DBC" w:rsidRPr="00CF0F96" w:rsidRDefault="006A3DBC" w:rsidP="005F4A92">
            <w:pPr>
              <w:pStyle w:val="TableParagraph"/>
              <w:rPr>
                <w:rFonts w:ascii="Arial" w:hAnsi="Arial" w:cs="Arial"/>
                <w:i/>
                <w:sz w:val="21"/>
              </w:rPr>
            </w:pPr>
            <w:r w:rsidRPr="00CF0F96">
              <w:rPr>
                <w:rFonts w:ascii="Arial" w:hAnsi="Arial" w:cs="Arial"/>
                <w:i/>
                <w:sz w:val="21"/>
              </w:rPr>
              <w:t>Nototriton lignicola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4D927DB8"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CF0F96" w:rsidRPr="00CF0F96" w14:paraId="02493AEE"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489EBE18"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0CEF715E"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Plethodontidae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58DCE409" w14:textId="77777777" w:rsidR="006A3DBC" w:rsidRPr="00CF0F96" w:rsidRDefault="006A3DBC" w:rsidP="005F4A92">
            <w:pPr>
              <w:pStyle w:val="TableParagraph"/>
              <w:rPr>
                <w:rFonts w:ascii="Arial" w:hAnsi="Arial" w:cs="Arial"/>
                <w:i/>
                <w:sz w:val="21"/>
              </w:rPr>
            </w:pPr>
            <w:r w:rsidRPr="00CF0F96">
              <w:rPr>
                <w:rFonts w:ascii="Arial" w:hAnsi="Arial" w:cs="Arial"/>
                <w:i/>
                <w:sz w:val="21"/>
              </w:rPr>
              <w:t>Nototriton limnospectator</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2D2512A6"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CF0F96" w:rsidRPr="00CF0F96" w14:paraId="74B00E46"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4E668105"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4D707E60"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Plethodontidae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6FAD0662" w14:textId="77777777" w:rsidR="006A3DBC" w:rsidRPr="00CF0F96" w:rsidRDefault="006A3DBC" w:rsidP="005F4A92">
            <w:pPr>
              <w:pStyle w:val="TableParagraph"/>
              <w:rPr>
                <w:rFonts w:ascii="Arial" w:hAnsi="Arial" w:cs="Arial"/>
                <w:i/>
                <w:sz w:val="21"/>
              </w:rPr>
            </w:pPr>
            <w:r w:rsidRPr="00CF0F96">
              <w:rPr>
                <w:rFonts w:ascii="Arial" w:hAnsi="Arial" w:cs="Arial"/>
                <w:i/>
                <w:sz w:val="21"/>
              </w:rPr>
              <w:t>Oedipina gephyra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5BDAD1D0"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CF0F96" w:rsidRPr="00CF0F96" w14:paraId="3E7C9BC7"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21207AFC"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761ACA38"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Plethodontidae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7CCCBAC7" w14:textId="77777777" w:rsidR="006A3DBC" w:rsidRPr="00CF0F96" w:rsidRDefault="006A3DBC" w:rsidP="005F4A92">
            <w:pPr>
              <w:pStyle w:val="TableParagraph"/>
              <w:rPr>
                <w:rFonts w:ascii="Arial" w:hAnsi="Arial" w:cs="Arial"/>
                <w:i/>
                <w:sz w:val="21"/>
              </w:rPr>
            </w:pPr>
            <w:r w:rsidRPr="00CF0F96">
              <w:rPr>
                <w:rFonts w:ascii="Arial" w:hAnsi="Arial" w:cs="Arial"/>
                <w:i/>
                <w:sz w:val="21"/>
              </w:rPr>
              <w:t>Oedipina tomasi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55266EFC"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CF0F96" w:rsidRPr="00CF0F96" w14:paraId="2FF4782F"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4D710027"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Amphibia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031FB05D"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Dermophiidae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71BD8B3E" w14:textId="77777777" w:rsidR="006A3DBC" w:rsidRPr="00CF0F96" w:rsidRDefault="006A3DBC" w:rsidP="005F4A92">
            <w:pPr>
              <w:pStyle w:val="TableParagraph"/>
              <w:rPr>
                <w:rFonts w:ascii="Arial" w:hAnsi="Arial" w:cs="Arial"/>
                <w:i/>
                <w:sz w:val="21"/>
              </w:rPr>
            </w:pPr>
            <w:r w:rsidRPr="00CF0F96">
              <w:rPr>
                <w:rFonts w:ascii="Arial" w:hAnsi="Arial" w:cs="Arial"/>
                <w:i/>
                <w:sz w:val="21"/>
              </w:rPr>
              <w:t>Dermophis mexicanus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0F93B0DB"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CF0F96" w:rsidRPr="00CF0F96" w14:paraId="7E83E467"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50B36682"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Reptilia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0D70755A"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Crocodylidae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2E52B54B" w14:textId="77777777" w:rsidR="006A3DBC" w:rsidRPr="00CF0F96" w:rsidRDefault="006A3DBC" w:rsidP="005F4A92">
            <w:pPr>
              <w:pStyle w:val="TableParagraph"/>
              <w:rPr>
                <w:rFonts w:ascii="Arial" w:hAnsi="Arial" w:cs="Arial"/>
                <w:i/>
                <w:sz w:val="21"/>
              </w:rPr>
            </w:pPr>
            <w:r w:rsidRPr="00CF0F96">
              <w:rPr>
                <w:rFonts w:ascii="Arial" w:hAnsi="Arial" w:cs="Arial"/>
                <w:i/>
                <w:sz w:val="21"/>
              </w:rPr>
              <w:t>Crocodylus acutus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3601CF8B"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CF0F96" w:rsidRPr="00CF0F96" w14:paraId="711580BA"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24DE4C9D"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Reptilia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7F2DECFC"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Anguidae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1FE98A77" w14:textId="77777777" w:rsidR="006A3DBC" w:rsidRPr="00CF0F96" w:rsidRDefault="006A3DBC" w:rsidP="005F4A92">
            <w:pPr>
              <w:pStyle w:val="TableParagraph"/>
              <w:rPr>
                <w:rFonts w:ascii="Arial" w:hAnsi="Arial" w:cs="Arial"/>
                <w:i/>
                <w:sz w:val="21"/>
              </w:rPr>
            </w:pPr>
            <w:r w:rsidRPr="00CF0F96">
              <w:rPr>
                <w:rFonts w:ascii="Arial" w:hAnsi="Arial" w:cs="Arial"/>
                <w:i/>
                <w:sz w:val="21"/>
              </w:rPr>
              <w:t>Abronia montecristoi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5D71C814"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CF0F96" w:rsidRPr="00CF0F96" w14:paraId="0DBB50C0"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60F85B20"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Reptilia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32CCC8B2"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Anguidae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753C27FB" w14:textId="77777777" w:rsidR="006A3DBC" w:rsidRPr="00CF0F96" w:rsidRDefault="006A3DBC" w:rsidP="005F4A92">
            <w:pPr>
              <w:pStyle w:val="TableParagraph"/>
              <w:rPr>
                <w:rFonts w:ascii="Arial" w:hAnsi="Arial" w:cs="Arial"/>
                <w:i/>
                <w:sz w:val="21"/>
              </w:rPr>
            </w:pPr>
            <w:r w:rsidRPr="00CF0F96">
              <w:rPr>
                <w:rFonts w:ascii="Arial" w:hAnsi="Arial" w:cs="Arial"/>
                <w:i/>
                <w:sz w:val="21"/>
              </w:rPr>
              <w:t>Abronia salvadorensis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1FD6C7CA"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CF0F96" w:rsidRPr="00CF0F96" w14:paraId="39CC4B96"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66158A59"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Reptilia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636965CD"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Anguidae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5D7351C5" w14:textId="77777777" w:rsidR="006A3DBC" w:rsidRPr="00CF0F96" w:rsidRDefault="006A3DBC" w:rsidP="005F4A92">
            <w:pPr>
              <w:pStyle w:val="TableParagraph"/>
              <w:rPr>
                <w:rFonts w:ascii="Arial" w:hAnsi="Arial" w:cs="Arial"/>
                <w:i/>
                <w:sz w:val="21"/>
              </w:rPr>
            </w:pPr>
            <w:r w:rsidRPr="00CF0F96">
              <w:rPr>
                <w:rFonts w:ascii="Arial" w:hAnsi="Arial" w:cs="Arial"/>
                <w:i/>
                <w:sz w:val="21"/>
              </w:rPr>
              <w:t>Celestus bivittatus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2C14ECC7"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CF0F96" w:rsidRPr="00CF0F96" w14:paraId="24FBC121"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6D7C834B"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Reptilia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5CC5D13A"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Anguidae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2BF87703" w14:textId="77777777" w:rsidR="006A3DBC" w:rsidRPr="00CF0F96" w:rsidRDefault="006A3DBC" w:rsidP="005F4A92">
            <w:pPr>
              <w:pStyle w:val="TableParagraph"/>
              <w:rPr>
                <w:rFonts w:ascii="Arial" w:hAnsi="Arial" w:cs="Arial"/>
                <w:i/>
                <w:sz w:val="21"/>
              </w:rPr>
            </w:pPr>
            <w:r w:rsidRPr="00CF0F96">
              <w:rPr>
                <w:rFonts w:ascii="Arial" w:hAnsi="Arial" w:cs="Arial"/>
                <w:i/>
                <w:sz w:val="21"/>
              </w:rPr>
              <w:t>Celestus montanus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75FA78DE"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CF0F96" w:rsidRPr="00CF0F96" w14:paraId="69BA86AE"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692CD8CA"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Reptilia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7885BA5C"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Anguidae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3D4B5ABA" w14:textId="77777777" w:rsidR="006A3DBC" w:rsidRPr="00CF0F96" w:rsidRDefault="006A3DBC" w:rsidP="005F4A92">
            <w:pPr>
              <w:pStyle w:val="TableParagraph"/>
              <w:rPr>
                <w:rFonts w:ascii="Arial" w:hAnsi="Arial" w:cs="Arial"/>
                <w:i/>
                <w:sz w:val="21"/>
              </w:rPr>
            </w:pPr>
            <w:r w:rsidRPr="00CF0F96">
              <w:rPr>
                <w:rFonts w:ascii="Arial" w:hAnsi="Arial" w:cs="Arial"/>
                <w:i/>
                <w:sz w:val="21"/>
              </w:rPr>
              <w:t>Celestus scansorius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0EE45C6D"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CF0F96" w:rsidRPr="00CF0F96" w14:paraId="08C0968F" w14:textId="77777777" w:rsidTr="005F4A92">
        <w:trPr>
          <w:cnfStyle w:val="010000000000" w:firstRow="0" w:lastRow="1"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33CDAD2F"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Reptilia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7479B418" w14:textId="77777777" w:rsidR="006A3DBC" w:rsidRPr="00CF0F96" w:rsidRDefault="006A3DBC" w:rsidP="005F4A92">
            <w:pPr>
              <w:pStyle w:val="TableParagraph"/>
              <w:spacing w:before="54"/>
              <w:rPr>
                <w:rFonts w:ascii="Arial" w:hAnsi="Arial" w:cs="Arial"/>
                <w:b w:val="0"/>
                <w:bCs w:val="0"/>
                <w:sz w:val="21"/>
              </w:rPr>
            </w:pPr>
            <w:r w:rsidRPr="00CF0F96">
              <w:rPr>
                <w:rFonts w:ascii="Arial" w:hAnsi="Arial" w:cs="Arial"/>
                <w:b w:val="0"/>
                <w:bCs w:val="0"/>
                <w:sz w:val="21"/>
              </w:rPr>
              <w:t>Dactyloidae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7BFEFC9E" w14:textId="77777777" w:rsidR="006A3DBC" w:rsidRPr="00CF0F96" w:rsidRDefault="006A3DBC" w:rsidP="005F4A92">
            <w:pPr>
              <w:pStyle w:val="TableParagraph"/>
              <w:rPr>
                <w:rFonts w:ascii="Arial" w:hAnsi="Arial" w:cs="Arial"/>
                <w:b w:val="0"/>
                <w:bCs w:val="0"/>
                <w:i/>
                <w:sz w:val="21"/>
              </w:rPr>
            </w:pPr>
            <w:r w:rsidRPr="00CF0F96">
              <w:rPr>
                <w:rFonts w:ascii="Arial" w:hAnsi="Arial" w:cs="Arial"/>
                <w:b w:val="0"/>
                <w:bCs w:val="0"/>
                <w:i/>
                <w:sz w:val="21"/>
              </w:rPr>
              <w:t>Anolis amplisquamosus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002E3C01"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bl>
    <w:p w14:paraId="7DD32A5C" w14:textId="47DF52CB" w:rsidR="006A3DBC" w:rsidRDefault="006A3DBC" w:rsidP="006A3DBC">
      <w:pPr>
        <w:rPr>
          <w:rFonts w:cs="Arial"/>
        </w:rPr>
      </w:pPr>
    </w:p>
    <w:p w14:paraId="34B95F98" w14:textId="77777777" w:rsidR="00CF0F96" w:rsidRPr="00FA4B2D" w:rsidRDefault="00CF0F96" w:rsidP="006A3DBC">
      <w:pPr>
        <w:rPr>
          <w:rFonts w:cs="Arial"/>
        </w:rPr>
      </w:pPr>
    </w:p>
    <w:tbl>
      <w:tblPr>
        <w:tblStyle w:val="Tablanormal21"/>
        <w:tblW w:w="0" w:type="auto"/>
        <w:jc w:val="center"/>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1804"/>
        <w:gridCol w:w="1879"/>
        <w:gridCol w:w="3204"/>
        <w:gridCol w:w="1372"/>
      </w:tblGrid>
      <w:tr w:rsidR="00CF0F96" w:rsidRPr="00CF0F96" w14:paraId="101C2962" w14:textId="77777777" w:rsidTr="00C81834">
        <w:trPr>
          <w:cnfStyle w:val="100000000000" w:firstRow="1" w:lastRow="0" w:firstColumn="0" w:lastColumn="0" w:oddVBand="0" w:evenVBand="0" w:oddHBand="0"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5CC5DA"/>
          </w:tcPr>
          <w:p w14:paraId="290D1298" w14:textId="77777777" w:rsidR="006A3DBC" w:rsidRPr="00CF0F96" w:rsidRDefault="006A3DBC" w:rsidP="00D30988">
            <w:pPr>
              <w:pStyle w:val="TableParagraph"/>
              <w:ind w:right="605"/>
              <w:jc w:val="center"/>
              <w:rPr>
                <w:rFonts w:ascii="Arial" w:hAnsi="Arial" w:cs="Arial"/>
                <w:b w:val="0"/>
                <w:sz w:val="21"/>
              </w:rPr>
            </w:pPr>
            <w:r w:rsidRPr="00CF0F96">
              <w:rPr>
                <w:rFonts w:ascii="Arial" w:hAnsi="Arial" w:cs="Arial"/>
                <w:b w:val="0"/>
                <w:sz w:val="21"/>
              </w:rPr>
              <w:lastRenderedPageBreak/>
              <w:t>Clase</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5CC5DA"/>
          </w:tcPr>
          <w:p w14:paraId="758F1EC4" w14:textId="77777777" w:rsidR="006A3DBC" w:rsidRPr="00CF0F96" w:rsidRDefault="006A3DBC" w:rsidP="00D30988">
            <w:pPr>
              <w:pStyle w:val="TableParagraph"/>
              <w:jc w:val="center"/>
              <w:rPr>
                <w:rFonts w:ascii="Arial" w:hAnsi="Arial" w:cs="Arial"/>
                <w:b w:val="0"/>
                <w:sz w:val="21"/>
              </w:rPr>
            </w:pPr>
            <w:r w:rsidRPr="00CF0F96">
              <w:rPr>
                <w:rFonts w:ascii="Arial" w:hAnsi="Arial" w:cs="Arial"/>
                <w:b w:val="0"/>
                <w:sz w:val="21"/>
              </w:rPr>
              <w:t>Familia</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5CC5DA"/>
          </w:tcPr>
          <w:p w14:paraId="0E9C4555" w14:textId="77777777" w:rsidR="006A3DBC" w:rsidRPr="00CF0F96" w:rsidRDefault="006A3DBC" w:rsidP="00D30988">
            <w:pPr>
              <w:pStyle w:val="TableParagraph"/>
              <w:ind w:right="1144"/>
              <w:jc w:val="center"/>
              <w:rPr>
                <w:rFonts w:ascii="Arial" w:hAnsi="Arial" w:cs="Arial"/>
                <w:b w:val="0"/>
                <w:sz w:val="21"/>
              </w:rPr>
            </w:pPr>
            <w:r w:rsidRPr="00CF0F96">
              <w:rPr>
                <w:rFonts w:ascii="Arial" w:hAnsi="Arial" w:cs="Arial"/>
                <w:b w:val="0"/>
                <w:sz w:val="21"/>
              </w:rPr>
              <w:t>Especies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5CC5DA"/>
          </w:tcPr>
          <w:p w14:paraId="1C1C98BC" w14:textId="77777777" w:rsidR="006A3DBC" w:rsidRPr="00CF0F96" w:rsidRDefault="006A3DBC" w:rsidP="00D30988">
            <w:pPr>
              <w:pStyle w:val="TableParagraph"/>
              <w:jc w:val="center"/>
              <w:rPr>
                <w:rFonts w:ascii="Arial" w:hAnsi="Arial" w:cs="Arial"/>
                <w:b w:val="0"/>
                <w:sz w:val="21"/>
              </w:rPr>
            </w:pPr>
            <w:r w:rsidRPr="00CF0F96">
              <w:rPr>
                <w:rFonts w:ascii="Arial" w:hAnsi="Arial" w:cs="Arial"/>
                <w:b w:val="0"/>
                <w:w w:val="95"/>
                <w:sz w:val="21"/>
              </w:rPr>
              <w:t>Categoría</w:t>
            </w:r>
          </w:p>
        </w:tc>
      </w:tr>
      <w:tr w:rsidR="00CF0F96" w:rsidRPr="00CF0F96" w14:paraId="4D46CA53"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236C5A36"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Reptilia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0ECD99A5"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Dactyloidae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008C021F" w14:textId="77777777" w:rsidR="006A3DBC" w:rsidRPr="00CF0F96" w:rsidRDefault="006A3DBC" w:rsidP="005F4A92">
            <w:pPr>
              <w:pStyle w:val="TableParagraph"/>
              <w:rPr>
                <w:rFonts w:ascii="Arial" w:hAnsi="Arial" w:cs="Arial"/>
                <w:i/>
                <w:sz w:val="21"/>
              </w:rPr>
            </w:pPr>
            <w:r w:rsidRPr="00CF0F96">
              <w:rPr>
                <w:rFonts w:ascii="Arial" w:hAnsi="Arial" w:cs="Arial"/>
                <w:i/>
                <w:sz w:val="21"/>
              </w:rPr>
              <w:t>Anolis cusuco</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163A1510"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CF0F96" w:rsidRPr="00CF0F96" w14:paraId="7E37AC87"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2FCCAA62"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Reptilia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59B133B0"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Dactyloidae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7E18C8B7" w14:textId="77777777" w:rsidR="006A3DBC" w:rsidRPr="00CF0F96" w:rsidRDefault="006A3DBC" w:rsidP="005F4A92">
            <w:pPr>
              <w:pStyle w:val="TableParagraph"/>
              <w:rPr>
                <w:rFonts w:ascii="Arial" w:hAnsi="Arial" w:cs="Arial"/>
                <w:i/>
                <w:sz w:val="21"/>
              </w:rPr>
            </w:pPr>
            <w:r w:rsidRPr="00CF0F96">
              <w:rPr>
                <w:rFonts w:ascii="Arial" w:hAnsi="Arial" w:cs="Arial"/>
                <w:i/>
                <w:sz w:val="21"/>
              </w:rPr>
              <w:t>Anolis loveridgei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17D91642"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CF0F96" w:rsidRPr="00CF0F96" w14:paraId="331160BA"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38E2ACFB"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Reptilia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6B12EF6C"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Dactyloidae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5078050F" w14:textId="77777777" w:rsidR="006A3DBC" w:rsidRPr="00CF0F96" w:rsidRDefault="006A3DBC" w:rsidP="005F4A92">
            <w:pPr>
              <w:pStyle w:val="TableParagraph"/>
              <w:rPr>
                <w:rFonts w:ascii="Arial" w:hAnsi="Arial" w:cs="Arial"/>
                <w:i/>
                <w:sz w:val="21"/>
              </w:rPr>
            </w:pPr>
            <w:r w:rsidRPr="00CF0F96">
              <w:rPr>
                <w:rFonts w:ascii="Arial" w:hAnsi="Arial" w:cs="Arial"/>
                <w:i/>
                <w:sz w:val="21"/>
              </w:rPr>
              <w:t>Anolis muralla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2766EFFC"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CF0F96" w:rsidRPr="00CF0F96" w14:paraId="5DD71536"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3CB892AB"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Reptilia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0FDF6E75"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Iguanidae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099D4B29" w14:textId="77777777" w:rsidR="006A3DBC" w:rsidRPr="00CF0F96" w:rsidRDefault="006A3DBC" w:rsidP="005F4A92">
            <w:pPr>
              <w:pStyle w:val="TableParagraph"/>
              <w:spacing w:before="53"/>
              <w:rPr>
                <w:rFonts w:ascii="Arial" w:hAnsi="Arial" w:cs="Arial"/>
                <w:i/>
                <w:sz w:val="21"/>
              </w:rPr>
            </w:pPr>
            <w:r w:rsidRPr="00CF0F96">
              <w:rPr>
                <w:rFonts w:ascii="Arial" w:hAnsi="Arial" w:cs="Arial"/>
                <w:i/>
                <w:w w:val="95"/>
                <w:sz w:val="21"/>
              </w:rPr>
              <w:t>Ctenosaura flavidorsalis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72591066"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CF0F96" w:rsidRPr="00CF0F96" w14:paraId="61F58987"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1F5591B6"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Reptilia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30C3A578"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Iguanidae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5CAFC8D4" w14:textId="77777777" w:rsidR="006A3DBC" w:rsidRPr="00CF0F96" w:rsidRDefault="006A3DBC" w:rsidP="005F4A92">
            <w:pPr>
              <w:pStyle w:val="TableParagraph"/>
              <w:rPr>
                <w:rFonts w:ascii="Arial" w:hAnsi="Arial" w:cs="Arial"/>
                <w:i/>
                <w:sz w:val="21"/>
              </w:rPr>
            </w:pPr>
            <w:r w:rsidRPr="00CF0F96">
              <w:rPr>
                <w:rFonts w:ascii="Arial" w:hAnsi="Arial" w:cs="Arial"/>
                <w:i/>
                <w:sz w:val="21"/>
              </w:rPr>
              <w:t>Ctenosaura bakeri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5EB85DDB"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CF0F96" w:rsidRPr="00CF0F96" w14:paraId="130D530E"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23A9DA42"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Reptilia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4626E420"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Iguanidae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5D0A8AC5" w14:textId="77777777" w:rsidR="006A3DBC" w:rsidRPr="00CF0F96" w:rsidRDefault="006A3DBC" w:rsidP="005F4A92">
            <w:pPr>
              <w:pStyle w:val="TableParagraph"/>
              <w:rPr>
                <w:rFonts w:ascii="Arial" w:hAnsi="Arial" w:cs="Arial"/>
                <w:i/>
                <w:sz w:val="21"/>
              </w:rPr>
            </w:pPr>
            <w:r w:rsidRPr="00CF0F96">
              <w:rPr>
                <w:rFonts w:ascii="Arial" w:hAnsi="Arial" w:cs="Arial"/>
                <w:i/>
                <w:sz w:val="21"/>
              </w:rPr>
              <w:t>Ctenosaura oedirhina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787A9E06"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CF0F96" w:rsidRPr="00CF0F96" w14:paraId="3EA4B29E"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0137F1C4"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Reptilia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5A42B016"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Iguanidae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4B6A2B90" w14:textId="77777777" w:rsidR="006A3DBC" w:rsidRPr="00CF0F96" w:rsidRDefault="006A3DBC" w:rsidP="005F4A92">
            <w:pPr>
              <w:pStyle w:val="TableParagraph"/>
              <w:rPr>
                <w:rFonts w:ascii="Arial" w:hAnsi="Arial" w:cs="Arial"/>
                <w:i/>
                <w:sz w:val="21"/>
              </w:rPr>
            </w:pPr>
            <w:r w:rsidRPr="00CF0F96">
              <w:rPr>
                <w:rFonts w:ascii="Arial" w:hAnsi="Arial" w:cs="Arial"/>
                <w:i/>
                <w:sz w:val="21"/>
              </w:rPr>
              <w:t>Ctenosaura melanosterna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43160403"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CF0F96" w:rsidRPr="00CF0F96" w14:paraId="650C4E27"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4F6534D5"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Reptilia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78A8BC9F"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Scincidae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7C591984" w14:textId="77777777" w:rsidR="006A3DBC" w:rsidRPr="00CF0F96" w:rsidRDefault="006A3DBC" w:rsidP="005F4A92">
            <w:pPr>
              <w:pStyle w:val="TableParagraph"/>
              <w:rPr>
                <w:rFonts w:ascii="Arial" w:hAnsi="Arial" w:cs="Arial"/>
                <w:i/>
                <w:sz w:val="21"/>
              </w:rPr>
            </w:pPr>
            <w:r w:rsidRPr="00CF0F96">
              <w:rPr>
                <w:rFonts w:ascii="Arial" w:hAnsi="Arial" w:cs="Arial"/>
                <w:i/>
                <w:sz w:val="21"/>
              </w:rPr>
              <w:t>Marisora roatanae</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0134E39A"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CF0F96" w:rsidRPr="00CF0F96" w14:paraId="1D6FE05E"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241F2BC0"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Reptilia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5ADE342C"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Colubridae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19846A82" w14:textId="77777777" w:rsidR="006A3DBC" w:rsidRPr="00CF0F96" w:rsidRDefault="006A3DBC" w:rsidP="005F4A92">
            <w:pPr>
              <w:pStyle w:val="TableParagraph"/>
              <w:rPr>
                <w:rFonts w:ascii="Arial" w:hAnsi="Arial" w:cs="Arial"/>
                <w:i/>
                <w:sz w:val="21"/>
              </w:rPr>
            </w:pPr>
            <w:r w:rsidRPr="00CF0F96">
              <w:rPr>
                <w:rFonts w:ascii="Arial" w:hAnsi="Arial" w:cs="Arial"/>
                <w:i/>
                <w:sz w:val="21"/>
              </w:rPr>
              <w:t>Leptophis modestus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07F6ADA2"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CF0F96" w:rsidRPr="00CF0F96" w14:paraId="69ADC37D"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67FF38AF"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Reptilia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452E76CD"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Colubridae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22907F86" w14:textId="77777777" w:rsidR="006A3DBC" w:rsidRPr="00CF0F96" w:rsidRDefault="006A3DBC" w:rsidP="005F4A92">
            <w:pPr>
              <w:pStyle w:val="TableParagraph"/>
              <w:rPr>
                <w:rFonts w:ascii="Arial" w:hAnsi="Arial" w:cs="Arial"/>
                <w:i/>
                <w:sz w:val="21"/>
              </w:rPr>
            </w:pPr>
            <w:r w:rsidRPr="00CF0F96">
              <w:rPr>
                <w:rFonts w:ascii="Arial" w:hAnsi="Arial" w:cs="Arial"/>
                <w:i/>
                <w:sz w:val="21"/>
              </w:rPr>
              <w:t>Oxybelis wilsoni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1C79047C"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CF0F96" w:rsidRPr="00CF0F96" w14:paraId="3FE0335C"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4A318653"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Reptilia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68FAF7EA"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Colubridae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7F05BD12" w14:textId="77777777" w:rsidR="006A3DBC" w:rsidRPr="00CF0F96" w:rsidRDefault="006A3DBC" w:rsidP="005F4A92">
            <w:pPr>
              <w:pStyle w:val="TableParagraph"/>
              <w:rPr>
                <w:rFonts w:ascii="Arial" w:hAnsi="Arial" w:cs="Arial"/>
                <w:i/>
                <w:sz w:val="21"/>
              </w:rPr>
            </w:pPr>
            <w:r w:rsidRPr="00CF0F96">
              <w:rPr>
                <w:rFonts w:ascii="Arial" w:hAnsi="Arial" w:cs="Arial"/>
                <w:i/>
                <w:sz w:val="21"/>
              </w:rPr>
              <w:t>Tantilla lempira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1A335F6A"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CF0F96" w:rsidRPr="00CF0F96" w14:paraId="1610255F"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171F1FB3"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Reptilia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200FD040"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Colubridae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19B4DFE6" w14:textId="77777777" w:rsidR="006A3DBC" w:rsidRPr="00CF0F96" w:rsidRDefault="006A3DBC" w:rsidP="005F4A92">
            <w:pPr>
              <w:pStyle w:val="TableParagraph"/>
              <w:rPr>
                <w:rFonts w:ascii="Arial" w:hAnsi="Arial" w:cs="Arial"/>
                <w:i/>
                <w:sz w:val="21"/>
              </w:rPr>
            </w:pPr>
            <w:r w:rsidRPr="00CF0F96">
              <w:rPr>
                <w:rFonts w:ascii="Arial" w:hAnsi="Arial" w:cs="Arial"/>
                <w:i/>
                <w:sz w:val="21"/>
              </w:rPr>
              <w:t>Tantilla psittaca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4AFE3A51"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CF0F96" w:rsidRPr="00CF0F96" w14:paraId="277F205C"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04766F3A"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Reptilia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4E95C302"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Colubridae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626713BE" w14:textId="77777777" w:rsidR="006A3DBC" w:rsidRPr="00CF0F96" w:rsidRDefault="006A3DBC" w:rsidP="005F4A92">
            <w:pPr>
              <w:pStyle w:val="TableParagraph"/>
              <w:rPr>
                <w:rFonts w:ascii="Arial" w:hAnsi="Arial" w:cs="Arial"/>
                <w:i/>
                <w:sz w:val="21"/>
              </w:rPr>
            </w:pPr>
            <w:r w:rsidRPr="00CF0F96">
              <w:rPr>
                <w:rFonts w:ascii="Arial" w:hAnsi="Arial" w:cs="Arial"/>
                <w:i/>
                <w:w w:val="95"/>
                <w:sz w:val="21"/>
              </w:rPr>
              <w:t>Tantilla tritaeniata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276D4F12"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CF0F96" w:rsidRPr="00CF0F96" w14:paraId="0042AA9E"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53093373"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Reptilia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2307AE4D"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Dipsadidae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78B68C8C" w14:textId="77777777" w:rsidR="006A3DBC" w:rsidRPr="00CF0F96" w:rsidRDefault="006A3DBC" w:rsidP="005F4A92">
            <w:pPr>
              <w:pStyle w:val="TableParagraph"/>
              <w:rPr>
                <w:rFonts w:ascii="Arial" w:hAnsi="Arial" w:cs="Arial"/>
                <w:i/>
                <w:sz w:val="21"/>
              </w:rPr>
            </w:pPr>
            <w:r w:rsidRPr="00CF0F96">
              <w:rPr>
                <w:rFonts w:ascii="Arial" w:hAnsi="Arial" w:cs="Arial"/>
                <w:i/>
                <w:sz w:val="21"/>
              </w:rPr>
              <w:t>Enulius bifoveatus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0E3AC921"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CF0F96" w:rsidRPr="00CF0F96" w14:paraId="4E30377D"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189828A5"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Reptilia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205C1318"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Dipsadidae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075536B4" w14:textId="77777777" w:rsidR="006A3DBC" w:rsidRPr="00CF0F96" w:rsidRDefault="006A3DBC" w:rsidP="005F4A92">
            <w:pPr>
              <w:pStyle w:val="TableParagraph"/>
              <w:rPr>
                <w:rFonts w:ascii="Arial" w:hAnsi="Arial" w:cs="Arial"/>
                <w:i/>
                <w:sz w:val="21"/>
              </w:rPr>
            </w:pPr>
            <w:r w:rsidRPr="00CF0F96">
              <w:rPr>
                <w:rFonts w:ascii="Arial" w:hAnsi="Arial" w:cs="Arial"/>
                <w:i/>
                <w:sz w:val="21"/>
              </w:rPr>
              <w:t>Enulius roatenensis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6B2038CE"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CF0F96" w:rsidRPr="00CF0F96" w14:paraId="543CAA12"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2ACD8B9B"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Reptilia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2A7180F1"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Dipsadidae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5F6C69E7" w14:textId="77777777" w:rsidR="006A3DBC" w:rsidRPr="00CF0F96" w:rsidRDefault="006A3DBC" w:rsidP="005F4A92">
            <w:pPr>
              <w:pStyle w:val="TableParagraph"/>
              <w:rPr>
                <w:rFonts w:ascii="Arial" w:hAnsi="Arial" w:cs="Arial"/>
                <w:i/>
                <w:sz w:val="21"/>
              </w:rPr>
            </w:pPr>
            <w:r w:rsidRPr="00CF0F96">
              <w:rPr>
                <w:rFonts w:ascii="Arial" w:hAnsi="Arial" w:cs="Arial"/>
                <w:i/>
                <w:sz w:val="21"/>
              </w:rPr>
              <w:t>Geophis damiani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5D27A047"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CF0F96" w:rsidRPr="00CF0F96" w14:paraId="15A84A11"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36554C0E"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Reptilia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015394EC"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Dipsadidae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7E84E16C" w14:textId="77777777" w:rsidR="006A3DBC" w:rsidRPr="00CF0F96" w:rsidRDefault="006A3DBC" w:rsidP="005F4A92">
            <w:pPr>
              <w:pStyle w:val="TableParagraph"/>
              <w:rPr>
                <w:rFonts w:ascii="Arial" w:hAnsi="Arial" w:cs="Arial"/>
                <w:i/>
                <w:sz w:val="21"/>
              </w:rPr>
            </w:pPr>
            <w:r w:rsidRPr="00CF0F96">
              <w:rPr>
                <w:rFonts w:ascii="Arial" w:hAnsi="Arial" w:cs="Arial"/>
                <w:i/>
                <w:sz w:val="21"/>
              </w:rPr>
              <w:t>Geophis fulvoguttatus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4AC8D536"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CF0F96" w:rsidRPr="00CF0F96" w14:paraId="08CD5BB2"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742E32A8"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Reptilia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2B5A57FC"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Dipsadidae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43EE2940" w14:textId="77777777" w:rsidR="006A3DBC" w:rsidRPr="00CF0F96" w:rsidRDefault="006A3DBC" w:rsidP="005F4A92">
            <w:pPr>
              <w:pStyle w:val="TableParagraph"/>
              <w:rPr>
                <w:rFonts w:ascii="Arial" w:hAnsi="Arial" w:cs="Arial"/>
                <w:i/>
                <w:sz w:val="21"/>
              </w:rPr>
            </w:pPr>
            <w:r w:rsidRPr="00CF0F96">
              <w:rPr>
                <w:rFonts w:ascii="Arial" w:hAnsi="Arial" w:cs="Arial"/>
                <w:i/>
                <w:sz w:val="21"/>
              </w:rPr>
              <w:t>Geophis nephodrymus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22B159C3"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CF0F96" w:rsidRPr="00CF0F96" w14:paraId="4202E80F"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49436493"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Reptilia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39763BFC"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Dipsadidae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07E8118F" w14:textId="77777777" w:rsidR="006A3DBC" w:rsidRPr="00CF0F96" w:rsidRDefault="006A3DBC" w:rsidP="005F4A92">
            <w:pPr>
              <w:pStyle w:val="TableParagraph"/>
              <w:rPr>
                <w:rFonts w:ascii="Arial" w:hAnsi="Arial" w:cs="Arial"/>
                <w:i/>
                <w:sz w:val="21"/>
              </w:rPr>
            </w:pPr>
            <w:r w:rsidRPr="00CF0F96">
              <w:rPr>
                <w:rFonts w:ascii="Arial" w:hAnsi="Arial" w:cs="Arial"/>
                <w:i/>
                <w:sz w:val="21"/>
              </w:rPr>
              <w:t>Ninia espinali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6CF65AB6"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CF0F96" w:rsidRPr="00CF0F96" w14:paraId="70C708F5"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048D6FAE"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Reptilia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41020CB9"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Dipsadidae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06AEFCFD" w14:textId="77777777" w:rsidR="006A3DBC" w:rsidRPr="00CF0F96" w:rsidRDefault="006A3DBC" w:rsidP="005F4A92">
            <w:pPr>
              <w:pStyle w:val="TableParagraph"/>
              <w:rPr>
                <w:rFonts w:ascii="Arial" w:hAnsi="Arial" w:cs="Arial"/>
                <w:i/>
                <w:sz w:val="21"/>
              </w:rPr>
            </w:pPr>
            <w:r w:rsidRPr="00CF0F96">
              <w:rPr>
                <w:rFonts w:ascii="Arial" w:hAnsi="Arial" w:cs="Arial"/>
                <w:i/>
                <w:sz w:val="21"/>
              </w:rPr>
              <w:t>Omoadiphas aurula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022C18FB"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CF0F96" w:rsidRPr="00CF0F96" w14:paraId="55429F8A"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1EAF8C8E"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Reptilia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4FAFDD35"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Dipsadidae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28C607E2" w14:textId="77777777" w:rsidR="006A3DBC" w:rsidRPr="00CF0F96" w:rsidRDefault="006A3DBC" w:rsidP="005F4A92">
            <w:pPr>
              <w:pStyle w:val="TableParagraph"/>
              <w:rPr>
                <w:rFonts w:ascii="Arial" w:hAnsi="Arial" w:cs="Arial"/>
                <w:i/>
                <w:sz w:val="21"/>
              </w:rPr>
            </w:pPr>
            <w:r w:rsidRPr="00CF0F96">
              <w:rPr>
                <w:rFonts w:ascii="Arial" w:hAnsi="Arial" w:cs="Arial"/>
                <w:i/>
                <w:sz w:val="21"/>
              </w:rPr>
              <w:t>Omoadiphas cannula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50292378"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CF0F96" w:rsidRPr="00CF0F96" w14:paraId="6B6820E8"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77EF4F04"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Reptilia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32B73D25"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Dipsadidae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3AB19579" w14:textId="77777777" w:rsidR="006A3DBC" w:rsidRPr="00CF0F96" w:rsidRDefault="006A3DBC" w:rsidP="005F4A92">
            <w:pPr>
              <w:pStyle w:val="TableParagraph"/>
              <w:rPr>
                <w:rFonts w:ascii="Arial" w:hAnsi="Arial" w:cs="Arial"/>
                <w:i/>
                <w:sz w:val="21"/>
              </w:rPr>
            </w:pPr>
            <w:r w:rsidRPr="00CF0F96">
              <w:rPr>
                <w:rFonts w:ascii="Arial" w:hAnsi="Arial" w:cs="Arial"/>
                <w:i/>
                <w:sz w:val="21"/>
              </w:rPr>
              <w:t>Omoadiphas texiguatensis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49C0256A"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CF0F96" w:rsidRPr="00CF0F96" w14:paraId="4749E9EE"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14C3567A"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Reptilia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24D932E8"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Dipsadidae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3B82A4AE" w14:textId="77777777" w:rsidR="006A3DBC" w:rsidRPr="00CF0F96" w:rsidRDefault="006A3DBC" w:rsidP="005F4A92">
            <w:pPr>
              <w:pStyle w:val="TableParagraph"/>
              <w:rPr>
                <w:rFonts w:ascii="Arial" w:hAnsi="Arial" w:cs="Arial"/>
                <w:i/>
                <w:sz w:val="21"/>
              </w:rPr>
            </w:pPr>
            <w:r w:rsidRPr="00CF0F96">
              <w:rPr>
                <w:rFonts w:ascii="Arial" w:hAnsi="Arial" w:cs="Arial"/>
                <w:i/>
                <w:sz w:val="21"/>
              </w:rPr>
              <w:t>Rhadinella Montecristi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1DF47C1B"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CF0F96" w:rsidRPr="00CF0F96" w14:paraId="4A827C1A"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79A02C4B"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Reptilia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10D03B7A"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Dipsadidae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1F865F1C" w14:textId="77777777" w:rsidR="006A3DBC" w:rsidRPr="00CF0F96" w:rsidRDefault="006A3DBC" w:rsidP="005F4A92">
            <w:pPr>
              <w:pStyle w:val="TableParagraph"/>
              <w:rPr>
                <w:rFonts w:ascii="Arial" w:hAnsi="Arial" w:cs="Arial"/>
                <w:i/>
                <w:sz w:val="21"/>
              </w:rPr>
            </w:pPr>
            <w:r w:rsidRPr="00CF0F96">
              <w:rPr>
                <w:rFonts w:ascii="Arial" w:hAnsi="Arial" w:cs="Arial"/>
                <w:i/>
                <w:sz w:val="21"/>
              </w:rPr>
              <w:t>Rhadinella pegosalyta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00FB79F6"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CF0F96" w:rsidRPr="00CF0F96" w14:paraId="37FA7329"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0ADFD1F5"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Reptilia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47866125"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Dipsadidae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0949AAAD" w14:textId="77777777" w:rsidR="006A3DBC" w:rsidRPr="00CF0F96" w:rsidRDefault="006A3DBC" w:rsidP="005F4A92">
            <w:pPr>
              <w:pStyle w:val="TableParagraph"/>
              <w:rPr>
                <w:rFonts w:ascii="Arial" w:hAnsi="Arial" w:cs="Arial"/>
                <w:i/>
                <w:sz w:val="21"/>
              </w:rPr>
            </w:pPr>
            <w:r w:rsidRPr="00CF0F96">
              <w:rPr>
                <w:rFonts w:ascii="Arial" w:hAnsi="Arial" w:cs="Arial"/>
                <w:i/>
                <w:sz w:val="21"/>
              </w:rPr>
              <w:t>Rhadinella tolpanorum</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6A256757"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CF0F96" w:rsidRPr="00CF0F96" w14:paraId="58EA5CB3"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1E20BDB8"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Reptilia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691AFCCE"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Dipsadidae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4B61572F" w14:textId="77777777" w:rsidR="006A3DBC" w:rsidRPr="00CF0F96" w:rsidRDefault="006A3DBC" w:rsidP="005F4A92">
            <w:pPr>
              <w:pStyle w:val="TableParagraph"/>
              <w:rPr>
                <w:rFonts w:ascii="Arial" w:hAnsi="Arial" w:cs="Arial"/>
                <w:i/>
                <w:sz w:val="21"/>
              </w:rPr>
            </w:pPr>
            <w:r w:rsidRPr="00CF0F96">
              <w:rPr>
                <w:rFonts w:ascii="Arial" w:hAnsi="Arial" w:cs="Arial"/>
                <w:i/>
                <w:sz w:val="21"/>
              </w:rPr>
              <w:t>Sibon manzanaresi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705A7293"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CF0F96" w:rsidRPr="00CF0F96" w14:paraId="04BC0A9C"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31F31D10"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Reptilia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56AEC714"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Dipsadidae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0A18230F" w14:textId="77777777" w:rsidR="006A3DBC" w:rsidRPr="00CF0F96" w:rsidRDefault="006A3DBC" w:rsidP="005F4A92">
            <w:pPr>
              <w:pStyle w:val="TableParagraph"/>
              <w:rPr>
                <w:rFonts w:ascii="Arial" w:hAnsi="Arial" w:cs="Arial"/>
                <w:i/>
                <w:sz w:val="21"/>
              </w:rPr>
            </w:pPr>
            <w:r w:rsidRPr="00CF0F96">
              <w:rPr>
                <w:rFonts w:ascii="Arial" w:hAnsi="Arial" w:cs="Arial"/>
                <w:i/>
                <w:sz w:val="21"/>
              </w:rPr>
              <w:t>Sibon miskitus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5B05B34A"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CF0F96" w:rsidRPr="00CF0F96" w14:paraId="66B403B2"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3CEFA54A"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Reptilia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50A4DE93"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Elapidae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5FFB8D4F" w14:textId="77777777" w:rsidR="006A3DBC" w:rsidRPr="00CF0F96" w:rsidRDefault="006A3DBC" w:rsidP="005F4A92">
            <w:pPr>
              <w:pStyle w:val="TableParagraph"/>
              <w:rPr>
                <w:rFonts w:ascii="Arial" w:hAnsi="Arial" w:cs="Arial"/>
                <w:i/>
                <w:sz w:val="21"/>
              </w:rPr>
            </w:pPr>
            <w:r w:rsidRPr="00CF0F96">
              <w:rPr>
                <w:rFonts w:ascii="Arial" w:hAnsi="Arial" w:cs="Arial"/>
                <w:i/>
                <w:sz w:val="21"/>
              </w:rPr>
              <w:t>Micrurus ruatanus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5068FCB8"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CF0F96" w:rsidRPr="00CF0F96" w14:paraId="25441E44"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22FEB03D"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Reptilia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1FBBCF35"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Typhlopidae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0308DCD4" w14:textId="77777777" w:rsidR="006A3DBC" w:rsidRPr="00CF0F96" w:rsidRDefault="006A3DBC" w:rsidP="005F4A92">
            <w:pPr>
              <w:pStyle w:val="TableParagraph"/>
              <w:rPr>
                <w:rFonts w:ascii="Arial" w:hAnsi="Arial" w:cs="Arial"/>
                <w:i/>
                <w:sz w:val="21"/>
              </w:rPr>
            </w:pPr>
            <w:r w:rsidRPr="00CF0F96">
              <w:rPr>
                <w:rFonts w:ascii="Arial" w:hAnsi="Arial" w:cs="Arial"/>
                <w:i/>
                <w:sz w:val="21"/>
              </w:rPr>
              <w:t>Amerotyphlops stadelmani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060C69D1"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CF0F96" w:rsidRPr="00CF0F96" w14:paraId="2E816DD9" w14:textId="77777777" w:rsidTr="005F4A92">
        <w:trPr>
          <w:cnfStyle w:val="010000000000" w:firstRow="0" w:lastRow="1" w:firstColumn="0" w:lastColumn="0" w:oddVBand="0" w:evenVBand="0" w:oddHBand="0"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4149EF09"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Reptilia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4C63FCC8" w14:textId="77777777" w:rsidR="006A3DBC" w:rsidRPr="00CF0F96" w:rsidRDefault="006A3DBC" w:rsidP="005F4A92">
            <w:pPr>
              <w:pStyle w:val="TableParagraph"/>
              <w:spacing w:before="54"/>
              <w:rPr>
                <w:rFonts w:ascii="Arial" w:hAnsi="Arial" w:cs="Arial"/>
                <w:b w:val="0"/>
                <w:bCs w:val="0"/>
                <w:sz w:val="21"/>
              </w:rPr>
            </w:pPr>
            <w:r w:rsidRPr="00CF0F96">
              <w:rPr>
                <w:rFonts w:ascii="Arial" w:hAnsi="Arial" w:cs="Arial"/>
                <w:b w:val="0"/>
                <w:bCs w:val="0"/>
                <w:sz w:val="21"/>
              </w:rPr>
              <w:t>Typhlopidae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32E551FC" w14:textId="77777777" w:rsidR="006A3DBC" w:rsidRPr="00CF0F96" w:rsidRDefault="006A3DBC" w:rsidP="005F4A92">
            <w:pPr>
              <w:pStyle w:val="TableParagraph"/>
              <w:rPr>
                <w:rFonts w:ascii="Arial" w:hAnsi="Arial" w:cs="Arial"/>
                <w:b w:val="0"/>
                <w:bCs w:val="0"/>
                <w:i/>
                <w:sz w:val="21"/>
              </w:rPr>
            </w:pPr>
            <w:r w:rsidRPr="00CF0F96">
              <w:rPr>
                <w:rFonts w:ascii="Arial" w:hAnsi="Arial" w:cs="Arial"/>
                <w:b w:val="0"/>
                <w:bCs w:val="0"/>
                <w:i/>
                <w:sz w:val="21"/>
              </w:rPr>
              <w:t>Amerotyphlops tycherus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2286F568"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bl>
    <w:p w14:paraId="365FFA38" w14:textId="77777777" w:rsidR="006A3DBC" w:rsidRPr="00FA4B2D" w:rsidRDefault="006A3DBC" w:rsidP="006A3DBC">
      <w:pPr>
        <w:tabs>
          <w:tab w:val="left" w:pos="1245"/>
        </w:tabs>
        <w:rPr>
          <w:rFonts w:cs="Arial"/>
        </w:rPr>
      </w:pPr>
    </w:p>
    <w:p w14:paraId="1B0F0EC3" w14:textId="77777777" w:rsidR="006A3DBC" w:rsidRPr="00FA4B2D" w:rsidRDefault="006A3DBC" w:rsidP="006A3DBC">
      <w:pPr>
        <w:tabs>
          <w:tab w:val="left" w:pos="1245"/>
        </w:tabs>
        <w:rPr>
          <w:rFonts w:cs="Arial"/>
        </w:rPr>
      </w:pPr>
    </w:p>
    <w:tbl>
      <w:tblPr>
        <w:tblStyle w:val="Tablanormal21"/>
        <w:tblW w:w="0" w:type="auto"/>
        <w:tblInd w:w="-10"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1804"/>
        <w:gridCol w:w="1879"/>
        <w:gridCol w:w="3204"/>
        <w:gridCol w:w="1372"/>
      </w:tblGrid>
      <w:tr w:rsidR="00EB6102" w:rsidRPr="00FA4B2D" w14:paraId="098B9460" w14:textId="77777777" w:rsidTr="00C81834">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5CC5DA"/>
          </w:tcPr>
          <w:p w14:paraId="2BB60F34" w14:textId="77777777" w:rsidR="006A3DBC" w:rsidRPr="00CF0F96" w:rsidRDefault="006A3DBC" w:rsidP="00D30988">
            <w:pPr>
              <w:pStyle w:val="TableParagraph"/>
              <w:ind w:right="605"/>
              <w:jc w:val="center"/>
              <w:rPr>
                <w:rFonts w:ascii="Arial" w:hAnsi="Arial" w:cs="Arial"/>
                <w:b w:val="0"/>
                <w:sz w:val="21"/>
              </w:rPr>
            </w:pPr>
            <w:r w:rsidRPr="00CF0F96">
              <w:rPr>
                <w:rFonts w:ascii="Arial" w:hAnsi="Arial" w:cs="Arial"/>
                <w:b w:val="0"/>
                <w:sz w:val="21"/>
              </w:rPr>
              <w:lastRenderedPageBreak/>
              <w:t>Clase</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5CC5DA"/>
          </w:tcPr>
          <w:p w14:paraId="027218DC" w14:textId="77777777" w:rsidR="006A3DBC" w:rsidRPr="00CF0F96" w:rsidRDefault="006A3DBC" w:rsidP="00D30988">
            <w:pPr>
              <w:pStyle w:val="TableParagraph"/>
              <w:jc w:val="center"/>
              <w:rPr>
                <w:rFonts w:ascii="Arial" w:hAnsi="Arial" w:cs="Arial"/>
                <w:b w:val="0"/>
                <w:sz w:val="21"/>
              </w:rPr>
            </w:pPr>
            <w:r w:rsidRPr="00CF0F96">
              <w:rPr>
                <w:rFonts w:ascii="Arial" w:hAnsi="Arial" w:cs="Arial"/>
                <w:b w:val="0"/>
                <w:sz w:val="21"/>
              </w:rPr>
              <w:t>Familia</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5CC5DA"/>
          </w:tcPr>
          <w:p w14:paraId="6E3050AA" w14:textId="77777777" w:rsidR="006A3DBC" w:rsidRPr="00CF0F96" w:rsidRDefault="006A3DBC" w:rsidP="00D30988">
            <w:pPr>
              <w:pStyle w:val="TableParagraph"/>
              <w:ind w:right="1144"/>
              <w:jc w:val="center"/>
              <w:rPr>
                <w:rFonts w:ascii="Arial" w:hAnsi="Arial" w:cs="Arial"/>
                <w:b w:val="0"/>
                <w:sz w:val="21"/>
              </w:rPr>
            </w:pPr>
            <w:r w:rsidRPr="00CF0F96">
              <w:rPr>
                <w:rFonts w:ascii="Arial" w:hAnsi="Arial" w:cs="Arial"/>
                <w:b w:val="0"/>
                <w:sz w:val="21"/>
              </w:rPr>
              <w:t>Especies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5CC5DA"/>
          </w:tcPr>
          <w:p w14:paraId="4E93720F" w14:textId="77777777" w:rsidR="006A3DBC" w:rsidRPr="00CF0F96" w:rsidRDefault="006A3DBC" w:rsidP="00D30988">
            <w:pPr>
              <w:pStyle w:val="TableParagraph"/>
              <w:jc w:val="center"/>
              <w:rPr>
                <w:rFonts w:ascii="Arial" w:hAnsi="Arial" w:cs="Arial"/>
                <w:b w:val="0"/>
                <w:sz w:val="21"/>
              </w:rPr>
            </w:pPr>
            <w:r w:rsidRPr="00CF0F96">
              <w:rPr>
                <w:rFonts w:ascii="Arial" w:hAnsi="Arial" w:cs="Arial"/>
                <w:b w:val="0"/>
                <w:w w:val="95"/>
                <w:sz w:val="21"/>
              </w:rPr>
              <w:t>Categoría</w:t>
            </w:r>
          </w:p>
        </w:tc>
      </w:tr>
      <w:tr w:rsidR="00EB6102" w:rsidRPr="00FA4B2D" w14:paraId="294E6F2F"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4AC7E211" w14:textId="77777777" w:rsidR="006A3DBC" w:rsidRPr="00CF0F96" w:rsidRDefault="006A3DBC" w:rsidP="005F4A92">
            <w:pPr>
              <w:pStyle w:val="TableParagraph"/>
              <w:jc w:val="center"/>
              <w:rPr>
                <w:rFonts w:ascii="Arial" w:hAnsi="Arial" w:cs="Arial"/>
                <w:b w:val="0"/>
                <w:sz w:val="21"/>
              </w:rPr>
            </w:pPr>
            <w:r w:rsidRPr="00CF0F96">
              <w:rPr>
                <w:rFonts w:ascii="Arial" w:hAnsi="Arial" w:cs="Arial"/>
                <w:b w:val="0"/>
                <w:w w:val="95"/>
                <w:sz w:val="21"/>
              </w:rPr>
              <w:t>Reptilia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7138930B"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Viperidae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226E0A47" w14:textId="77777777" w:rsidR="006A3DBC" w:rsidRPr="00CF0F96" w:rsidRDefault="006A3DBC" w:rsidP="005F4A92">
            <w:pPr>
              <w:pStyle w:val="TableParagraph"/>
              <w:rPr>
                <w:rFonts w:ascii="Arial" w:hAnsi="Arial" w:cs="Arial"/>
                <w:i/>
                <w:sz w:val="21"/>
              </w:rPr>
            </w:pPr>
            <w:r w:rsidRPr="00CF0F96">
              <w:rPr>
                <w:rFonts w:ascii="Arial" w:hAnsi="Arial" w:cs="Arial"/>
                <w:i/>
                <w:sz w:val="21"/>
              </w:rPr>
              <w:t>Agkistrodon bilineatus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728D143D"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6A3DBC" w:rsidRPr="00FA4B2D" w14:paraId="05685655"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410C1DD7"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Reptilia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08E18AB0"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Viperidae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4F9243A6" w14:textId="77777777" w:rsidR="006A3DBC" w:rsidRPr="00CF0F96" w:rsidRDefault="006A3DBC" w:rsidP="005F4A92">
            <w:pPr>
              <w:pStyle w:val="TableParagraph"/>
              <w:rPr>
                <w:rFonts w:ascii="Arial" w:hAnsi="Arial" w:cs="Arial"/>
                <w:i/>
                <w:sz w:val="21"/>
              </w:rPr>
            </w:pPr>
            <w:r w:rsidRPr="00CF0F96">
              <w:rPr>
                <w:rFonts w:ascii="Arial" w:hAnsi="Arial" w:cs="Arial"/>
                <w:i/>
                <w:sz w:val="21"/>
              </w:rPr>
              <w:t>Atropoides indomitus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393A1C9C"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EB6102" w:rsidRPr="00FA4B2D" w14:paraId="640C9C7D"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0EC49D33"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Reptilia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27CF6859"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Viperidae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5AE2E85C" w14:textId="77777777" w:rsidR="006A3DBC" w:rsidRPr="00CF0F96" w:rsidRDefault="006A3DBC" w:rsidP="005F4A92">
            <w:pPr>
              <w:pStyle w:val="TableParagraph"/>
              <w:rPr>
                <w:rFonts w:ascii="Arial" w:hAnsi="Arial" w:cs="Arial"/>
                <w:i/>
                <w:sz w:val="21"/>
              </w:rPr>
            </w:pPr>
            <w:r w:rsidRPr="00CF0F96">
              <w:rPr>
                <w:rFonts w:ascii="Arial" w:hAnsi="Arial" w:cs="Arial"/>
                <w:i/>
                <w:sz w:val="21"/>
              </w:rPr>
              <w:t>Bothriechis marchi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4DF8FCF2"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6A3DBC" w:rsidRPr="00FA4B2D" w14:paraId="1D38963E"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52DC59AD"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Reptilia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6A691BC2"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Chelydridae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5D5AE07B" w14:textId="77777777" w:rsidR="006A3DBC" w:rsidRPr="00CF0F96" w:rsidRDefault="006A3DBC" w:rsidP="005F4A92">
            <w:pPr>
              <w:pStyle w:val="TableParagraph"/>
              <w:rPr>
                <w:rFonts w:ascii="Arial" w:hAnsi="Arial" w:cs="Arial"/>
                <w:i/>
                <w:sz w:val="21"/>
              </w:rPr>
            </w:pPr>
            <w:r w:rsidRPr="00CF0F96">
              <w:rPr>
                <w:rFonts w:ascii="Arial" w:hAnsi="Arial" w:cs="Arial"/>
                <w:i/>
                <w:sz w:val="21"/>
              </w:rPr>
              <w:t>Chelydra rossignonii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0262A3F5"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EB6102" w:rsidRPr="00FA4B2D" w14:paraId="0692C22A"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1EE890C2"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Reptilia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5B0630DA"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Cheloniidae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178CF4E3" w14:textId="77777777" w:rsidR="006A3DBC" w:rsidRPr="00CF0F96" w:rsidRDefault="006A3DBC" w:rsidP="005F4A92">
            <w:pPr>
              <w:pStyle w:val="TableParagraph"/>
              <w:rPr>
                <w:rFonts w:ascii="Arial" w:hAnsi="Arial" w:cs="Arial"/>
                <w:i/>
                <w:sz w:val="21"/>
              </w:rPr>
            </w:pPr>
            <w:r w:rsidRPr="00CF0F96">
              <w:rPr>
                <w:rFonts w:ascii="Arial" w:hAnsi="Arial" w:cs="Arial"/>
                <w:i/>
                <w:w w:val="95"/>
                <w:sz w:val="21"/>
              </w:rPr>
              <w:t>Caretta caretta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159B6C34"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6A3DBC" w:rsidRPr="00FA4B2D" w14:paraId="277EBFEA"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472F6C5F"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Reptilia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015D4B50"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Cheloniidae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731EE485" w14:textId="77777777" w:rsidR="006A3DBC" w:rsidRPr="00CF0F96" w:rsidRDefault="006A3DBC" w:rsidP="005F4A92">
            <w:pPr>
              <w:pStyle w:val="TableParagraph"/>
              <w:rPr>
                <w:rFonts w:ascii="Arial" w:hAnsi="Arial" w:cs="Arial"/>
                <w:i/>
                <w:sz w:val="21"/>
              </w:rPr>
            </w:pPr>
            <w:r w:rsidRPr="00CF0F96">
              <w:rPr>
                <w:rFonts w:ascii="Arial" w:hAnsi="Arial" w:cs="Arial"/>
                <w:i/>
                <w:sz w:val="21"/>
              </w:rPr>
              <w:t>Eretmochelys imbricata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0331C5D2"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EB6102" w:rsidRPr="00FA4B2D" w14:paraId="66D3CEC7"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44953772"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Reptilia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2B7CED2D"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Cheloniidae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72A3AC3D" w14:textId="77777777" w:rsidR="006A3DBC" w:rsidRPr="00CF0F96" w:rsidRDefault="006A3DBC" w:rsidP="005F4A92">
            <w:pPr>
              <w:pStyle w:val="TableParagraph"/>
              <w:rPr>
                <w:rFonts w:ascii="Arial" w:hAnsi="Arial" w:cs="Arial"/>
                <w:i/>
                <w:sz w:val="21"/>
              </w:rPr>
            </w:pPr>
            <w:r w:rsidRPr="00CF0F96">
              <w:rPr>
                <w:rFonts w:ascii="Arial" w:hAnsi="Arial" w:cs="Arial"/>
                <w:i/>
                <w:sz w:val="21"/>
              </w:rPr>
              <w:t>Lepidochelys olivácea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0C1398A6"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6A3DBC" w:rsidRPr="00FA4B2D" w14:paraId="3300F16B"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66B08427"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Reptilia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1CCAC089"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Dermochelyidae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2948FE9E" w14:textId="77777777" w:rsidR="006A3DBC" w:rsidRPr="00CF0F96" w:rsidRDefault="006A3DBC" w:rsidP="005F4A92">
            <w:pPr>
              <w:pStyle w:val="TableParagraph"/>
              <w:rPr>
                <w:rFonts w:ascii="Arial" w:hAnsi="Arial" w:cs="Arial"/>
                <w:i/>
                <w:sz w:val="21"/>
              </w:rPr>
            </w:pPr>
            <w:r w:rsidRPr="00CF0F96">
              <w:rPr>
                <w:rFonts w:ascii="Arial" w:hAnsi="Arial" w:cs="Arial"/>
                <w:i/>
                <w:sz w:val="21"/>
              </w:rPr>
              <w:t>Dermochelys coriácea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705CCBBC"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EB6102" w:rsidRPr="00FA4B2D" w14:paraId="37F84EDA"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463A751B"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Reptilia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4BAB617A"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Geoemydidae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08C768E7" w14:textId="77777777" w:rsidR="006A3DBC" w:rsidRPr="00CF0F96" w:rsidRDefault="006A3DBC" w:rsidP="005F4A92">
            <w:pPr>
              <w:pStyle w:val="TableParagraph"/>
              <w:rPr>
                <w:rFonts w:ascii="Arial" w:hAnsi="Arial" w:cs="Arial"/>
                <w:i/>
                <w:sz w:val="21"/>
              </w:rPr>
            </w:pPr>
            <w:r w:rsidRPr="00CF0F96">
              <w:rPr>
                <w:rFonts w:ascii="Arial" w:hAnsi="Arial" w:cs="Arial"/>
                <w:i/>
                <w:sz w:val="21"/>
              </w:rPr>
              <w:t>Rhinoclemmys annulata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651028C1"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6A3DBC" w:rsidRPr="00FA4B2D" w14:paraId="5C1E72C5"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4BF5D9C3"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Reptilia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31AFDC24"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Geoemydidae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429D23CD" w14:textId="77777777" w:rsidR="006A3DBC" w:rsidRPr="00CF0F96" w:rsidRDefault="006A3DBC" w:rsidP="005F4A92">
            <w:pPr>
              <w:pStyle w:val="TableParagraph"/>
              <w:rPr>
                <w:rFonts w:ascii="Arial" w:hAnsi="Arial" w:cs="Arial"/>
                <w:i/>
                <w:sz w:val="21"/>
              </w:rPr>
            </w:pPr>
            <w:r w:rsidRPr="00CF0F96">
              <w:rPr>
                <w:rFonts w:ascii="Arial" w:hAnsi="Arial" w:cs="Arial"/>
                <w:i/>
                <w:sz w:val="21"/>
              </w:rPr>
              <w:t>Rhinoclemmys areolata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21733755"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EB6102" w:rsidRPr="00FA4B2D" w14:paraId="0EC20C24"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1725E6EE"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Reptilia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2418F980"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Geoemydidae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6D287073" w14:textId="77777777" w:rsidR="006A3DBC" w:rsidRPr="00CF0F96" w:rsidRDefault="006A3DBC" w:rsidP="005F4A92">
            <w:pPr>
              <w:pStyle w:val="TableParagraph"/>
              <w:rPr>
                <w:rFonts w:ascii="Arial" w:hAnsi="Arial" w:cs="Arial"/>
                <w:i/>
                <w:sz w:val="21"/>
              </w:rPr>
            </w:pPr>
            <w:r w:rsidRPr="00CF0F96">
              <w:rPr>
                <w:rFonts w:ascii="Arial" w:hAnsi="Arial" w:cs="Arial"/>
                <w:i/>
                <w:sz w:val="21"/>
              </w:rPr>
              <w:t>Rhinoclemmys funérea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436EDA86"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6A3DBC" w:rsidRPr="00FA4B2D" w14:paraId="09B4A596"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4558832A" w14:textId="77777777" w:rsidR="006A3DBC" w:rsidRPr="00CF0F96" w:rsidRDefault="006A3DBC" w:rsidP="005F4A92">
            <w:pPr>
              <w:pStyle w:val="TableParagraph"/>
              <w:rPr>
                <w:rFonts w:ascii="Arial" w:hAnsi="Arial" w:cs="Arial"/>
                <w:b w:val="0"/>
                <w:sz w:val="21"/>
              </w:rPr>
            </w:pPr>
            <w:r w:rsidRPr="00CF0F96">
              <w:rPr>
                <w:rFonts w:ascii="Arial" w:hAnsi="Arial" w:cs="Arial"/>
                <w:b w:val="0"/>
                <w:w w:val="95"/>
                <w:sz w:val="21"/>
              </w:rPr>
              <w:t>Reptilia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6FACC409"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Kinosternidae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51E98F0B" w14:textId="77777777" w:rsidR="006A3DBC" w:rsidRPr="00CF0F96" w:rsidRDefault="006A3DBC" w:rsidP="005F4A92">
            <w:pPr>
              <w:pStyle w:val="TableParagraph"/>
              <w:rPr>
                <w:rFonts w:ascii="Arial" w:hAnsi="Arial" w:cs="Arial"/>
                <w:i/>
                <w:sz w:val="21"/>
              </w:rPr>
            </w:pPr>
            <w:r w:rsidRPr="00CF0F96">
              <w:rPr>
                <w:rFonts w:ascii="Arial" w:hAnsi="Arial" w:cs="Arial"/>
                <w:i/>
                <w:sz w:val="21"/>
              </w:rPr>
              <w:t>Staurotypus triporcatus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082189EB"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EB6102" w:rsidRPr="00FA4B2D" w14:paraId="6A8A4EB7"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72411B38"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Aves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46BE283B"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Ardeidae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081A4710" w14:textId="77777777" w:rsidR="006A3DBC" w:rsidRPr="00CF0F96" w:rsidRDefault="006A3DBC" w:rsidP="005F4A92">
            <w:pPr>
              <w:pStyle w:val="TableParagraph"/>
              <w:rPr>
                <w:rFonts w:ascii="Arial" w:hAnsi="Arial" w:cs="Arial"/>
                <w:i/>
                <w:sz w:val="21"/>
              </w:rPr>
            </w:pPr>
            <w:r w:rsidRPr="00CF0F96">
              <w:rPr>
                <w:rFonts w:ascii="Arial" w:hAnsi="Arial" w:cs="Arial"/>
                <w:i/>
                <w:sz w:val="21"/>
              </w:rPr>
              <w:t>Agamia agami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7324EC4E"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6A3DBC" w:rsidRPr="00FA4B2D" w14:paraId="6EA89B5E"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56FAAF5A"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Aves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6A25E69C"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Ardeidae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4B0CE37C" w14:textId="77777777" w:rsidR="006A3DBC" w:rsidRPr="00CF0F96" w:rsidRDefault="006A3DBC" w:rsidP="005F4A92">
            <w:pPr>
              <w:pStyle w:val="TableParagraph"/>
              <w:rPr>
                <w:rFonts w:ascii="Arial" w:hAnsi="Arial" w:cs="Arial"/>
                <w:i/>
                <w:sz w:val="21"/>
              </w:rPr>
            </w:pPr>
            <w:r w:rsidRPr="00CF0F96">
              <w:rPr>
                <w:rFonts w:ascii="Arial" w:hAnsi="Arial" w:cs="Arial"/>
                <w:i/>
                <w:sz w:val="21"/>
              </w:rPr>
              <w:t>Egretta rufescens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487FECB4"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EB6102" w:rsidRPr="00FA4B2D" w14:paraId="3E6DF936"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555D4727"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Aves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767F937C"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Charadriidae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1749E09A" w14:textId="77777777" w:rsidR="006A3DBC" w:rsidRPr="00CF0F96" w:rsidRDefault="006A3DBC" w:rsidP="005F4A92">
            <w:pPr>
              <w:pStyle w:val="TableParagraph"/>
              <w:rPr>
                <w:rFonts w:ascii="Arial" w:hAnsi="Arial" w:cs="Arial"/>
                <w:i/>
                <w:sz w:val="21"/>
              </w:rPr>
            </w:pPr>
            <w:r w:rsidRPr="00CF0F96">
              <w:rPr>
                <w:rFonts w:ascii="Arial" w:hAnsi="Arial" w:cs="Arial"/>
                <w:i/>
                <w:sz w:val="21"/>
              </w:rPr>
              <w:t>Charadrius nivosus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083A44CC"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6A3DBC" w:rsidRPr="00FA4B2D" w14:paraId="3C6ADE57"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1BFE61D0"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Aves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08FB3033"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Scolopacidae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2774BA85" w14:textId="77777777" w:rsidR="006A3DBC" w:rsidRPr="00CF0F96" w:rsidRDefault="006A3DBC" w:rsidP="005F4A92">
            <w:pPr>
              <w:pStyle w:val="TableParagraph"/>
              <w:rPr>
                <w:rFonts w:ascii="Arial" w:hAnsi="Arial" w:cs="Arial"/>
                <w:i/>
                <w:sz w:val="21"/>
              </w:rPr>
            </w:pPr>
            <w:r w:rsidRPr="00CF0F96">
              <w:rPr>
                <w:rFonts w:ascii="Arial" w:hAnsi="Arial" w:cs="Arial"/>
                <w:i/>
                <w:sz w:val="21"/>
              </w:rPr>
              <w:t>Calidris canutus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44243750"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EB6102" w:rsidRPr="00FA4B2D" w14:paraId="70FDB85E"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6AE0871F"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Aves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42AC9018"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Scolopacidae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7120CED8" w14:textId="77777777" w:rsidR="006A3DBC" w:rsidRPr="00CF0F96" w:rsidRDefault="006A3DBC" w:rsidP="005F4A92">
            <w:pPr>
              <w:pStyle w:val="TableParagraph"/>
              <w:rPr>
                <w:rFonts w:ascii="Arial" w:hAnsi="Arial" w:cs="Arial"/>
                <w:i/>
                <w:sz w:val="21"/>
              </w:rPr>
            </w:pPr>
            <w:r w:rsidRPr="00CF0F96">
              <w:rPr>
                <w:rFonts w:ascii="Arial" w:hAnsi="Arial" w:cs="Arial"/>
                <w:i/>
                <w:sz w:val="21"/>
              </w:rPr>
              <w:t>Calidris pusilla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12AC246A"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6A3DBC" w:rsidRPr="00FA4B2D" w14:paraId="199A31BF"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5096E163"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Aves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47517AE4"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Scolopacidae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1BE45432" w14:textId="77777777" w:rsidR="006A3DBC" w:rsidRPr="00CF0F96" w:rsidRDefault="006A3DBC" w:rsidP="005F4A92">
            <w:pPr>
              <w:pStyle w:val="TableParagraph"/>
              <w:spacing w:before="53"/>
              <w:rPr>
                <w:rFonts w:ascii="Arial" w:hAnsi="Arial" w:cs="Arial"/>
                <w:i/>
                <w:sz w:val="21"/>
              </w:rPr>
            </w:pPr>
            <w:r w:rsidRPr="00CF0F96">
              <w:rPr>
                <w:rFonts w:ascii="Arial" w:hAnsi="Arial" w:cs="Arial"/>
                <w:i/>
                <w:sz w:val="21"/>
              </w:rPr>
              <w:t>Calidris subruficollis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217ED410"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EB6102" w:rsidRPr="00FA4B2D" w14:paraId="25E4C3F9"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4B732E40"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Aves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1CC21A21"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Hydrobatidae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5D712566" w14:textId="77777777" w:rsidR="006A3DBC" w:rsidRPr="00CF0F96" w:rsidRDefault="006A3DBC" w:rsidP="005F4A92">
            <w:pPr>
              <w:pStyle w:val="TableParagraph"/>
              <w:rPr>
                <w:rFonts w:ascii="Arial" w:hAnsi="Arial" w:cs="Arial"/>
                <w:i/>
                <w:sz w:val="21"/>
              </w:rPr>
            </w:pPr>
            <w:r w:rsidRPr="00CF0F96">
              <w:rPr>
                <w:rFonts w:ascii="Arial" w:hAnsi="Arial" w:cs="Arial"/>
                <w:i/>
                <w:sz w:val="21"/>
              </w:rPr>
              <w:t>Hydrobates leucorhous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58B4A9D9"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6A3DBC" w:rsidRPr="00FA4B2D" w14:paraId="3E5876DD"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543EEEA3"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Aves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0D55D27D"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Cracidae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3078AEC6" w14:textId="77777777" w:rsidR="006A3DBC" w:rsidRPr="00CF0F96" w:rsidRDefault="006A3DBC" w:rsidP="005F4A92">
            <w:pPr>
              <w:pStyle w:val="TableParagraph"/>
              <w:rPr>
                <w:rFonts w:ascii="Arial" w:hAnsi="Arial" w:cs="Arial"/>
                <w:i/>
                <w:sz w:val="21"/>
              </w:rPr>
            </w:pPr>
            <w:r w:rsidRPr="00CF0F96">
              <w:rPr>
                <w:rFonts w:ascii="Arial" w:hAnsi="Arial" w:cs="Arial"/>
                <w:i/>
                <w:w w:val="95"/>
                <w:sz w:val="21"/>
              </w:rPr>
              <w:t>Crax rubra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20D59F99"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EB6102" w:rsidRPr="00FA4B2D" w14:paraId="4C213468"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62D4E4A9"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Aves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1C550236"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Cracidae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04428ACB" w14:textId="77777777" w:rsidR="006A3DBC" w:rsidRPr="00CF0F96" w:rsidRDefault="006A3DBC" w:rsidP="005F4A92">
            <w:pPr>
              <w:pStyle w:val="TableParagraph"/>
              <w:rPr>
                <w:rFonts w:ascii="Arial" w:hAnsi="Arial" w:cs="Arial"/>
                <w:i/>
                <w:sz w:val="21"/>
              </w:rPr>
            </w:pPr>
            <w:r w:rsidRPr="00CF0F96">
              <w:rPr>
                <w:rFonts w:ascii="Arial" w:hAnsi="Arial" w:cs="Arial"/>
                <w:i/>
                <w:sz w:val="21"/>
              </w:rPr>
              <w:t>Penelopina nigra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07D33191"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6A3DBC" w:rsidRPr="00FA4B2D" w14:paraId="671ED687"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30E4647B"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Aves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44EF8F56"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Tinamidae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355AA91D" w14:textId="77777777" w:rsidR="006A3DBC" w:rsidRPr="00CF0F96" w:rsidRDefault="006A3DBC" w:rsidP="005F4A92">
            <w:pPr>
              <w:pStyle w:val="TableParagraph"/>
              <w:rPr>
                <w:rFonts w:ascii="Arial" w:hAnsi="Arial" w:cs="Arial"/>
                <w:i/>
                <w:sz w:val="21"/>
              </w:rPr>
            </w:pPr>
            <w:r w:rsidRPr="00CF0F96">
              <w:rPr>
                <w:rFonts w:ascii="Arial" w:hAnsi="Arial" w:cs="Arial"/>
                <w:i/>
                <w:sz w:val="21"/>
              </w:rPr>
              <w:t>Tinamus major</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72169353"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EB6102" w:rsidRPr="00FA4B2D" w14:paraId="59854847"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2518F128"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Aves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48E84587"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Odontophoridae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11C01626" w14:textId="77777777" w:rsidR="006A3DBC" w:rsidRPr="00CF0F96" w:rsidRDefault="006A3DBC" w:rsidP="005F4A92">
            <w:pPr>
              <w:pStyle w:val="TableParagraph"/>
              <w:rPr>
                <w:rFonts w:ascii="Arial" w:hAnsi="Arial" w:cs="Arial"/>
                <w:i/>
                <w:sz w:val="21"/>
              </w:rPr>
            </w:pPr>
            <w:r w:rsidRPr="00CF0F96">
              <w:rPr>
                <w:rFonts w:ascii="Arial" w:hAnsi="Arial" w:cs="Arial"/>
                <w:i/>
                <w:sz w:val="21"/>
              </w:rPr>
              <w:t>Cyrtonyx ocellatus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111E7BEF"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6A3DBC" w:rsidRPr="00FA4B2D" w14:paraId="2A882D18"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6932BE6E"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Aves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5AC07EB7"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Rallidae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25CA1CE1" w14:textId="77777777" w:rsidR="006A3DBC" w:rsidRPr="00CF0F96" w:rsidRDefault="006A3DBC" w:rsidP="005F4A92">
            <w:pPr>
              <w:pStyle w:val="TableParagraph"/>
              <w:rPr>
                <w:rFonts w:ascii="Arial" w:hAnsi="Arial" w:cs="Arial"/>
                <w:i/>
                <w:sz w:val="21"/>
              </w:rPr>
            </w:pPr>
            <w:r w:rsidRPr="00CF0F96">
              <w:rPr>
                <w:rFonts w:ascii="Arial" w:hAnsi="Arial" w:cs="Arial"/>
                <w:i/>
                <w:sz w:val="21"/>
              </w:rPr>
              <w:t>Laterallus jamaicensis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55C2BAE1"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EB6102" w:rsidRPr="00FA4B2D" w14:paraId="64D8C649"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4536C603"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Aves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61574831"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Accipitridae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6C79573D" w14:textId="77777777" w:rsidR="006A3DBC" w:rsidRPr="00CF0F96" w:rsidRDefault="006A3DBC" w:rsidP="005F4A92">
            <w:pPr>
              <w:pStyle w:val="TableParagraph"/>
              <w:rPr>
                <w:rFonts w:ascii="Arial" w:hAnsi="Arial" w:cs="Arial"/>
                <w:i/>
                <w:sz w:val="21"/>
              </w:rPr>
            </w:pPr>
            <w:r w:rsidRPr="00CF0F96">
              <w:rPr>
                <w:rFonts w:ascii="Arial" w:hAnsi="Arial" w:cs="Arial"/>
                <w:i/>
                <w:sz w:val="21"/>
              </w:rPr>
              <w:t>Buteogallus solitarius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0614BE64"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6A3DBC" w:rsidRPr="00FA4B2D" w14:paraId="65AE55F8"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6B3BD50E"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Aves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7169618F"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Accipitridae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72D0A54E" w14:textId="77777777" w:rsidR="006A3DBC" w:rsidRPr="00CF0F96" w:rsidRDefault="006A3DBC" w:rsidP="005F4A92">
            <w:pPr>
              <w:pStyle w:val="TableParagraph"/>
              <w:rPr>
                <w:rFonts w:ascii="Arial" w:hAnsi="Arial" w:cs="Arial"/>
                <w:i/>
                <w:sz w:val="21"/>
              </w:rPr>
            </w:pPr>
            <w:r w:rsidRPr="00CF0F96">
              <w:rPr>
                <w:rFonts w:ascii="Arial" w:hAnsi="Arial" w:cs="Arial"/>
                <w:i/>
                <w:sz w:val="21"/>
              </w:rPr>
              <w:t>Harpia harpyja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49629300"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EB6102" w:rsidRPr="00FA4B2D" w14:paraId="4F59FD8E"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6C24E54E"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Aves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5E7DD5D9"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Accipitridae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1C81D10F" w14:textId="77777777" w:rsidR="006A3DBC" w:rsidRPr="00CF0F96" w:rsidRDefault="006A3DBC" w:rsidP="005F4A92">
            <w:pPr>
              <w:pStyle w:val="TableParagraph"/>
              <w:rPr>
                <w:rFonts w:ascii="Arial" w:hAnsi="Arial" w:cs="Arial"/>
                <w:i/>
                <w:sz w:val="21"/>
              </w:rPr>
            </w:pPr>
            <w:r w:rsidRPr="00CF0F96">
              <w:rPr>
                <w:rFonts w:ascii="Arial" w:hAnsi="Arial" w:cs="Arial"/>
                <w:i/>
                <w:sz w:val="21"/>
              </w:rPr>
              <w:t>Morphnus guianensis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3B3DDD27"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6A3DBC" w:rsidRPr="00FA4B2D" w14:paraId="22EFB0AD"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4A610900"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Aves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07A32BBB"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Accipitridae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19D15989" w14:textId="77777777" w:rsidR="006A3DBC" w:rsidRPr="00CF0F96" w:rsidRDefault="006A3DBC" w:rsidP="005F4A92">
            <w:pPr>
              <w:pStyle w:val="TableParagraph"/>
              <w:rPr>
                <w:rFonts w:ascii="Arial" w:hAnsi="Arial" w:cs="Arial"/>
                <w:i/>
                <w:sz w:val="21"/>
              </w:rPr>
            </w:pPr>
            <w:r w:rsidRPr="00CF0F96">
              <w:rPr>
                <w:rFonts w:ascii="Arial" w:hAnsi="Arial" w:cs="Arial"/>
                <w:i/>
                <w:sz w:val="21"/>
              </w:rPr>
              <w:t>Spizaetus ornatus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0F64A3E1"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EB6102" w:rsidRPr="00FA4B2D" w14:paraId="7DD2D6CF"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6059B0B1"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Aves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6BDC59F4"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Falconidae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7F73D5CE" w14:textId="77777777" w:rsidR="006A3DBC" w:rsidRPr="00CF0F96" w:rsidRDefault="006A3DBC" w:rsidP="005F4A92">
            <w:pPr>
              <w:pStyle w:val="TableParagraph"/>
              <w:rPr>
                <w:rFonts w:ascii="Arial" w:hAnsi="Arial" w:cs="Arial"/>
                <w:i/>
                <w:sz w:val="21"/>
              </w:rPr>
            </w:pPr>
            <w:r w:rsidRPr="00CF0F96">
              <w:rPr>
                <w:rFonts w:ascii="Arial" w:hAnsi="Arial" w:cs="Arial"/>
                <w:i/>
                <w:sz w:val="21"/>
              </w:rPr>
              <w:t>Falco deiroleucus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19DE3CE5"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6A3DBC" w:rsidRPr="00FA4B2D" w14:paraId="1AC025A5" w14:textId="77777777" w:rsidTr="005F4A92">
        <w:trPr>
          <w:cnfStyle w:val="010000000000" w:firstRow="0" w:lastRow="1"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1C87B731"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Aves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1D8B8D2C" w14:textId="77777777" w:rsidR="006A3DBC" w:rsidRPr="00CF0F96" w:rsidRDefault="006A3DBC" w:rsidP="005F4A92">
            <w:pPr>
              <w:pStyle w:val="TableParagraph"/>
              <w:spacing w:before="54"/>
              <w:rPr>
                <w:rFonts w:ascii="Arial" w:hAnsi="Arial" w:cs="Arial"/>
                <w:b w:val="0"/>
                <w:bCs w:val="0"/>
                <w:sz w:val="21"/>
              </w:rPr>
            </w:pPr>
            <w:r w:rsidRPr="00CF0F96">
              <w:rPr>
                <w:rFonts w:ascii="Arial" w:hAnsi="Arial" w:cs="Arial"/>
                <w:b w:val="0"/>
                <w:bCs w:val="0"/>
                <w:sz w:val="21"/>
              </w:rPr>
              <w:t>Apodidae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0DB39792" w14:textId="77777777" w:rsidR="006A3DBC" w:rsidRPr="00CF0F96" w:rsidRDefault="006A3DBC" w:rsidP="005F4A92">
            <w:pPr>
              <w:pStyle w:val="TableParagraph"/>
              <w:rPr>
                <w:rFonts w:ascii="Arial" w:hAnsi="Arial" w:cs="Arial"/>
                <w:b w:val="0"/>
                <w:bCs w:val="0"/>
                <w:i/>
                <w:sz w:val="21"/>
              </w:rPr>
            </w:pPr>
            <w:r w:rsidRPr="00CF0F96">
              <w:rPr>
                <w:rFonts w:ascii="Arial" w:hAnsi="Arial" w:cs="Arial"/>
                <w:b w:val="0"/>
                <w:bCs w:val="0"/>
                <w:i/>
                <w:sz w:val="21"/>
              </w:rPr>
              <w:t>Chaetura pelagica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3DCA7390"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bl>
    <w:p w14:paraId="5870E59C" w14:textId="77777777" w:rsidR="006A3DBC" w:rsidRPr="00FA4B2D" w:rsidRDefault="006A3DBC" w:rsidP="006A3DBC">
      <w:pPr>
        <w:tabs>
          <w:tab w:val="left" w:pos="1245"/>
        </w:tabs>
        <w:rPr>
          <w:rFonts w:cs="Arial"/>
        </w:rPr>
      </w:pPr>
    </w:p>
    <w:p w14:paraId="7E257420" w14:textId="77777777" w:rsidR="006A3DBC" w:rsidRPr="00FA4B2D" w:rsidRDefault="006A3DBC" w:rsidP="006A3DBC">
      <w:pPr>
        <w:tabs>
          <w:tab w:val="left" w:pos="1245"/>
        </w:tabs>
        <w:rPr>
          <w:rFonts w:cs="Arial"/>
        </w:rPr>
      </w:pPr>
    </w:p>
    <w:tbl>
      <w:tblPr>
        <w:tblStyle w:val="Tablanormal21"/>
        <w:tblW w:w="0" w:type="auto"/>
        <w:tblInd w:w="-10"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1804"/>
        <w:gridCol w:w="1879"/>
        <w:gridCol w:w="3204"/>
        <w:gridCol w:w="1372"/>
      </w:tblGrid>
      <w:tr w:rsidR="00EB6102" w:rsidRPr="00FA4B2D" w14:paraId="6E81799D" w14:textId="77777777" w:rsidTr="00C81834">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5CC5DA"/>
          </w:tcPr>
          <w:p w14:paraId="7DE4E363" w14:textId="77777777" w:rsidR="006A3DBC" w:rsidRPr="00CF0F96" w:rsidRDefault="006A3DBC" w:rsidP="00D30988">
            <w:pPr>
              <w:pStyle w:val="TableParagraph"/>
              <w:ind w:right="605"/>
              <w:jc w:val="center"/>
              <w:rPr>
                <w:rFonts w:ascii="Arial" w:hAnsi="Arial" w:cs="Arial"/>
                <w:b w:val="0"/>
                <w:sz w:val="21"/>
              </w:rPr>
            </w:pPr>
            <w:r w:rsidRPr="00CF0F96">
              <w:rPr>
                <w:rFonts w:ascii="Arial" w:hAnsi="Arial" w:cs="Arial"/>
                <w:b w:val="0"/>
                <w:sz w:val="21"/>
              </w:rPr>
              <w:lastRenderedPageBreak/>
              <w:t>Clase</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5CC5DA"/>
          </w:tcPr>
          <w:p w14:paraId="50F43F3B" w14:textId="77777777" w:rsidR="006A3DBC" w:rsidRPr="00CF0F96" w:rsidRDefault="006A3DBC" w:rsidP="00D30988">
            <w:pPr>
              <w:pStyle w:val="TableParagraph"/>
              <w:jc w:val="center"/>
              <w:rPr>
                <w:rFonts w:ascii="Arial" w:hAnsi="Arial" w:cs="Arial"/>
                <w:b w:val="0"/>
                <w:sz w:val="21"/>
              </w:rPr>
            </w:pPr>
            <w:r w:rsidRPr="00CF0F96">
              <w:rPr>
                <w:rFonts w:ascii="Arial" w:hAnsi="Arial" w:cs="Arial"/>
                <w:b w:val="0"/>
                <w:sz w:val="21"/>
              </w:rPr>
              <w:t>Familia</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5CC5DA"/>
          </w:tcPr>
          <w:p w14:paraId="452A946C" w14:textId="77777777" w:rsidR="006A3DBC" w:rsidRPr="00CF0F96" w:rsidRDefault="006A3DBC" w:rsidP="00D30988">
            <w:pPr>
              <w:pStyle w:val="TableParagraph"/>
              <w:ind w:right="1144"/>
              <w:jc w:val="center"/>
              <w:rPr>
                <w:rFonts w:ascii="Arial" w:hAnsi="Arial" w:cs="Arial"/>
                <w:b w:val="0"/>
                <w:sz w:val="21"/>
              </w:rPr>
            </w:pPr>
            <w:r w:rsidRPr="00CF0F96">
              <w:rPr>
                <w:rFonts w:ascii="Arial" w:hAnsi="Arial" w:cs="Arial"/>
                <w:b w:val="0"/>
                <w:sz w:val="21"/>
              </w:rPr>
              <w:t>Especies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5CC5DA"/>
          </w:tcPr>
          <w:p w14:paraId="0D8CD2D9" w14:textId="77777777" w:rsidR="006A3DBC" w:rsidRPr="00CF0F96" w:rsidRDefault="006A3DBC" w:rsidP="00D30988">
            <w:pPr>
              <w:pStyle w:val="TableParagraph"/>
              <w:jc w:val="center"/>
              <w:rPr>
                <w:rFonts w:ascii="Arial" w:hAnsi="Arial" w:cs="Arial"/>
                <w:b w:val="0"/>
                <w:sz w:val="21"/>
              </w:rPr>
            </w:pPr>
            <w:r w:rsidRPr="00CF0F96">
              <w:rPr>
                <w:rFonts w:ascii="Arial" w:hAnsi="Arial" w:cs="Arial"/>
                <w:b w:val="0"/>
                <w:w w:val="95"/>
                <w:sz w:val="21"/>
              </w:rPr>
              <w:t>Categoría</w:t>
            </w:r>
          </w:p>
        </w:tc>
      </w:tr>
      <w:tr w:rsidR="00EB6102" w:rsidRPr="00FA4B2D" w14:paraId="0E2E6C4C"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7823715F"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Aves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02C134BD"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Columbidae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4910E770" w14:textId="77777777" w:rsidR="006A3DBC" w:rsidRPr="00CF0F96" w:rsidRDefault="006A3DBC" w:rsidP="005F4A92">
            <w:pPr>
              <w:pStyle w:val="TableParagraph"/>
              <w:rPr>
                <w:rFonts w:ascii="Arial" w:hAnsi="Arial" w:cs="Arial"/>
                <w:i/>
                <w:sz w:val="21"/>
              </w:rPr>
            </w:pPr>
            <w:r w:rsidRPr="00CF0F96">
              <w:rPr>
                <w:rFonts w:ascii="Arial" w:hAnsi="Arial" w:cs="Arial"/>
                <w:i/>
                <w:sz w:val="21"/>
              </w:rPr>
              <w:t>Patagioenas leucocephala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288B970C"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6A3DBC" w:rsidRPr="00FA4B2D" w14:paraId="01823154"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25FD5748"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Aves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030A3D6D"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Psittacidae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3AE33106" w14:textId="77777777" w:rsidR="006A3DBC" w:rsidRPr="00CF0F96" w:rsidRDefault="006A3DBC" w:rsidP="005F4A92">
            <w:pPr>
              <w:pStyle w:val="TableParagraph"/>
              <w:rPr>
                <w:rFonts w:ascii="Arial" w:hAnsi="Arial" w:cs="Arial"/>
                <w:i/>
                <w:sz w:val="21"/>
              </w:rPr>
            </w:pPr>
            <w:r w:rsidRPr="00CF0F96">
              <w:rPr>
                <w:rFonts w:ascii="Arial" w:hAnsi="Arial" w:cs="Arial"/>
                <w:i/>
                <w:sz w:val="21"/>
              </w:rPr>
              <w:t>Amazona auropalliata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38DC9663"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EB6102" w:rsidRPr="00FA4B2D" w14:paraId="6DA9A07A"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7AAB236D"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Aves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127B0A7B"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Psittacidae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154DD5B2" w14:textId="77777777" w:rsidR="006A3DBC" w:rsidRPr="00CF0F96" w:rsidRDefault="006A3DBC" w:rsidP="005F4A92">
            <w:pPr>
              <w:pStyle w:val="TableParagraph"/>
              <w:rPr>
                <w:rFonts w:ascii="Arial" w:hAnsi="Arial" w:cs="Arial"/>
                <w:i/>
                <w:sz w:val="21"/>
              </w:rPr>
            </w:pPr>
            <w:r w:rsidRPr="00CF0F96">
              <w:rPr>
                <w:rFonts w:ascii="Arial" w:hAnsi="Arial" w:cs="Arial"/>
                <w:i/>
                <w:sz w:val="21"/>
              </w:rPr>
              <w:t>Amazona guatemalae</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660BCC4D"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6A3DBC" w:rsidRPr="00FA4B2D" w14:paraId="61469C2E"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1F7E67DA"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Aves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4F62CFAA"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Psittacidae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1CC592D0" w14:textId="77777777" w:rsidR="006A3DBC" w:rsidRPr="00CF0F96" w:rsidRDefault="006A3DBC" w:rsidP="005F4A92">
            <w:pPr>
              <w:pStyle w:val="TableParagraph"/>
              <w:rPr>
                <w:rFonts w:ascii="Arial" w:hAnsi="Arial" w:cs="Arial"/>
                <w:i/>
                <w:sz w:val="21"/>
              </w:rPr>
            </w:pPr>
            <w:r w:rsidRPr="00CF0F96">
              <w:rPr>
                <w:rFonts w:ascii="Arial" w:hAnsi="Arial" w:cs="Arial"/>
                <w:i/>
                <w:sz w:val="21"/>
              </w:rPr>
              <w:t>Ara ambiguus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629DF82C"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EB6102" w:rsidRPr="00FA4B2D" w14:paraId="1FB55D5B"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6CE275A3"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Aves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46C7E1C1"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Trogonidae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7D2C868C" w14:textId="77777777" w:rsidR="006A3DBC" w:rsidRPr="00CF0F96" w:rsidRDefault="006A3DBC" w:rsidP="005F4A92">
            <w:pPr>
              <w:pStyle w:val="TableParagraph"/>
              <w:rPr>
                <w:rFonts w:ascii="Arial" w:hAnsi="Arial" w:cs="Arial"/>
                <w:i/>
                <w:sz w:val="21"/>
              </w:rPr>
            </w:pPr>
            <w:r w:rsidRPr="00CF0F96">
              <w:rPr>
                <w:rFonts w:ascii="Arial" w:hAnsi="Arial" w:cs="Arial"/>
                <w:i/>
                <w:sz w:val="21"/>
              </w:rPr>
              <w:t>Pharomachrus mocinno</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3032961B"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6A3DBC" w:rsidRPr="00FA4B2D" w14:paraId="0CBD299F"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0BCB33D8"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Aves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0D909966"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Ramphastidae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7F598CCE" w14:textId="77777777" w:rsidR="006A3DBC" w:rsidRPr="00CF0F96" w:rsidRDefault="006A3DBC" w:rsidP="005F4A92">
            <w:pPr>
              <w:pStyle w:val="TableParagraph"/>
              <w:rPr>
                <w:rFonts w:ascii="Arial" w:hAnsi="Arial" w:cs="Arial"/>
                <w:i/>
                <w:sz w:val="21"/>
              </w:rPr>
            </w:pPr>
            <w:r w:rsidRPr="00CF0F96">
              <w:rPr>
                <w:rFonts w:ascii="Arial" w:hAnsi="Arial" w:cs="Arial"/>
                <w:i/>
                <w:sz w:val="21"/>
              </w:rPr>
              <w:t>Ramphastos ambiguus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297BC83A"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EB6102" w:rsidRPr="00FA4B2D" w14:paraId="4BBCCA50"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4FF2765A"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Aves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23B34060"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Trochilidae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2EB96902" w14:textId="77777777" w:rsidR="006A3DBC" w:rsidRPr="00CF0F96" w:rsidRDefault="006A3DBC" w:rsidP="005F4A92">
            <w:pPr>
              <w:pStyle w:val="TableParagraph"/>
              <w:rPr>
                <w:rFonts w:ascii="Arial" w:hAnsi="Arial" w:cs="Arial"/>
                <w:i/>
                <w:sz w:val="21"/>
              </w:rPr>
            </w:pPr>
            <w:r w:rsidRPr="00CF0F96">
              <w:rPr>
                <w:rFonts w:ascii="Arial" w:hAnsi="Arial" w:cs="Arial"/>
                <w:i/>
                <w:sz w:val="21"/>
              </w:rPr>
              <w:t>Amazilia luciae</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19FE4C2B"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6A3DBC" w:rsidRPr="00FA4B2D" w14:paraId="7A093AA3"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24AA3DD9"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Aves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32137F0E"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Momotidae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30FE1208" w14:textId="77777777" w:rsidR="006A3DBC" w:rsidRPr="00CF0F96" w:rsidRDefault="006A3DBC" w:rsidP="005F4A92">
            <w:pPr>
              <w:pStyle w:val="TableParagraph"/>
              <w:rPr>
                <w:rFonts w:ascii="Arial" w:hAnsi="Arial" w:cs="Arial"/>
                <w:i/>
                <w:sz w:val="21"/>
              </w:rPr>
            </w:pPr>
            <w:r w:rsidRPr="00CF0F96">
              <w:rPr>
                <w:rFonts w:ascii="Arial" w:hAnsi="Arial" w:cs="Arial"/>
                <w:i/>
                <w:sz w:val="21"/>
              </w:rPr>
              <w:t>Electron carinatum</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1E067D7F"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EB6102" w:rsidRPr="00FA4B2D" w14:paraId="73E2BC96"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4F1B86AF"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Aves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6E0AD0FF"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Emberizidae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3000B648" w14:textId="77777777" w:rsidR="006A3DBC" w:rsidRPr="00CF0F96" w:rsidRDefault="006A3DBC" w:rsidP="005F4A92">
            <w:pPr>
              <w:pStyle w:val="TableParagraph"/>
              <w:rPr>
                <w:rFonts w:ascii="Arial" w:hAnsi="Arial" w:cs="Arial"/>
                <w:i/>
                <w:sz w:val="21"/>
              </w:rPr>
            </w:pPr>
            <w:r w:rsidRPr="00CF0F96">
              <w:rPr>
                <w:rFonts w:ascii="Arial" w:hAnsi="Arial" w:cs="Arial"/>
                <w:i/>
                <w:sz w:val="21"/>
              </w:rPr>
              <w:t>Passerina ciris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265DB483"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6A3DBC" w:rsidRPr="00FA4B2D" w14:paraId="0ECA5E8D"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5C69ACC5"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Aves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5D15D928"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Mimidaae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2A38BA56" w14:textId="77777777" w:rsidR="006A3DBC" w:rsidRPr="00CF0F96" w:rsidRDefault="006A3DBC" w:rsidP="005F4A92">
            <w:pPr>
              <w:pStyle w:val="TableParagraph"/>
              <w:rPr>
                <w:rFonts w:ascii="Arial" w:hAnsi="Arial" w:cs="Arial"/>
                <w:i/>
                <w:sz w:val="21"/>
              </w:rPr>
            </w:pPr>
            <w:r w:rsidRPr="00CF0F96">
              <w:rPr>
                <w:rFonts w:ascii="Arial" w:hAnsi="Arial" w:cs="Arial"/>
                <w:i/>
                <w:sz w:val="21"/>
              </w:rPr>
              <w:t>Melanoptila glabrirostris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5D5130CF"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EB6102" w:rsidRPr="00FA4B2D" w14:paraId="6E2E930B"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049A098A"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Aves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246C9D18"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Cotingidae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75D370C4" w14:textId="77777777" w:rsidR="006A3DBC" w:rsidRPr="00CF0F96" w:rsidRDefault="006A3DBC" w:rsidP="005F4A92">
            <w:pPr>
              <w:pStyle w:val="TableParagraph"/>
              <w:rPr>
                <w:rFonts w:ascii="Arial" w:hAnsi="Arial" w:cs="Arial"/>
                <w:i/>
                <w:sz w:val="21"/>
              </w:rPr>
            </w:pPr>
            <w:r w:rsidRPr="00CF0F96">
              <w:rPr>
                <w:rFonts w:ascii="Arial" w:hAnsi="Arial" w:cs="Arial"/>
                <w:i/>
                <w:sz w:val="21"/>
              </w:rPr>
              <w:t>Procnias tricarunculatus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4B9A013E"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6A3DBC" w:rsidRPr="00FA4B2D" w14:paraId="547E526D"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0BCBFFF1"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Aves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2C26663E"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Parulidae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582D1A02" w14:textId="77777777" w:rsidR="006A3DBC" w:rsidRPr="00CF0F96" w:rsidRDefault="006A3DBC" w:rsidP="005F4A92">
            <w:pPr>
              <w:pStyle w:val="TableParagraph"/>
              <w:rPr>
                <w:rFonts w:ascii="Arial" w:hAnsi="Arial" w:cs="Arial"/>
                <w:i/>
                <w:sz w:val="21"/>
              </w:rPr>
            </w:pPr>
            <w:r w:rsidRPr="00CF0F96">
              <w:rPr>
                <w:rFonts w:ascii="Arial" w:hAnsi="Arial" w:cs="Arial"/>
                <w:i/>
                <w:sz w:val="21"/>
              </w:rPr>
              <w:t>Setophaga vitellina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554BB57D"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EB6102" w:rsidRPr="00FA4B2D" w14:paraId="50C97A07"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0D2D0D85"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Aves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146C6CB4"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Parulidae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1E92F083" w14:textId="77777777" w:rsidR="006A3DBC" w:rsidRPr="00CF0F96" w:rsidRDefault="006A3DBC" w:rsidP="005F4A92">
            <w:pPr>
              <w:pStyle w:val="TableParagraph"/>
              <w:rPr>
                <w:rFonts w:ascii="Arial" w:hAnsi="Arial" w:cs="Arial"/>
                <w:i/>
                <w:sz w:val="21"/>
              </w:rPr>
            </w:pPr>
            <w:r w:rsidRPr="00CF0F96">
              <w:rPr>
                <w:rFonts w:ascii="Arial" w:hAnsi="Arial" w:cs="Arial"/>
                <w:i/>
                <w:sz w:val="21"/>
              </w:rPr>
              <w:t>Setophaga cerúlea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06219122"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6A3DBC" w:rsidRPr="00FA4B2D" w14:paraId="1718AFC7"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5C5B2C9E"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Aves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30CB8D94"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Parulidae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0C033AFD" w14:textId="77777777" w:rsidR="006A3DBC" w:rsidRPr="00CF0F96" w:rsidRDefault="006A3DBC" w:rsidP="005F4A92">
            <w:pPr>
              <w:pStyle w:val="TableParagraph"/>
              <w:rPr>
                <w:rFonts w:ascii="Arial" w:hAnsi="Arial" w:cs="Arial"/>
                <w:i/>
                <w:sz w:val="21"/>
              </w:rPr>
            </w:pPr>
            <w:r w:rsidRPr="00CF0F96">
              <w:rPr>
                <w:rFonts w:ascii="Arial" w:hAnsi="Arial" w:cs="Arial"/>
                <w:i/>
                <w:sz w:val="21"/>
              </w:rPr>
              <w:t>Setophaga chrysoparia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72FAB5AD"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EB6102" w:rsidRPr="00FA4B2D" w14:paraId="074E54A1"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291C1792"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Aves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35C1114F"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Parulidae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4AC1D24C" w14:textId="77777777" w:rsidR="006A3DBC" w:rsidRPr="00CF0F96" w:rsidRDefault="006A3DBC" w:rsidP="005F4A92">
            <w:pPr>
              <w:pStyle w:val="TableParagraph"/>
              <w:rPr>
                <w:rFonts w:ascii="Arial" w:hAnsi="Arial" w:cs="Arial"/>
                <w:i/>
                <w:sz w:val="21"/>
              </w:rPr>
            </w:pPr>
            <w:r w:rsidRPr="00CF0F96">
              <w:rPr>
                <w:rFonts w:ascii="Arial" w:hAnsi="Arial" w:cs="Arial"/>
                <w:i/>
                <w:sz w:val="21"/>
              </w:rPr>
              <w:t>Vermivora chrysoptera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08AD9C35"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6A3DBC" w:rsidRPr="00FA4B2D" w14:paraId="33059D43"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631160E1"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Aves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2CBE8104"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Tyrannidae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236831CC" w14:textId="77777777" w:rsidR="006A3DBC" w:rsidRPr="00CF0F96" w:rsidRDefault="006A3DBC" w:rsidP="005F4A92">
            <w:pPr>
              <w:pStyle w:val="TableParagraph"/>
              <w:rPr>
                <w:rFonts w:ascii="Arial" w:hAnsi="Arial" w:cs="Arial"/>
                <w:i/>
                <w:sz w:val="21"/>
              </w:rPr>
            </w:pPr>
            <w:r w:rsidRPr="00CF0F96">
              <w:rPr>
                <w:rFonts w:ascii="Arial" w:hAnsi="Arial" w:cs="Arial"/>
                <w:i/>
                <w:sz w:val="21"/>
              </w:rPr>
              <w:t>Contopus cooperi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6F4B338D"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EB6102" w:rsidRPr="00FA4B2D" w14:paraId="2EA87F60"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796EE2B0"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Aves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2DFB617D"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Turdidae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1FD7D373" w14:textId="77777777" w:rsidR="006A3DBC" w:rsidRPr="00CF0F96" w:rsidRDefault="006A3DBC" w:rsidP="005F4A92">
            <w:pPr>
              <w:pStyle w:val="TableParagraph"/>
              <w:rPr>
                <w:rFonts w:ascii="Arial" w:hAnsi="Arial" w:cs="Arial"/>
                <w:i/>
                <w:sz w:val="21"/>
              </w:rPr>
            </w:pPr>
            <w:r w:rsidRPr="00CF0F96">
              <w:rPr>
                <w:rFonts w:ascii="Arial" w:hAnsi="Arial" w:cs="Arial"/>
                <w:i/>
                <w:sz w:val="21"/>
              </w:rPr>
              <w:t>Hylocichla mustelina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35D7B0DB"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6A3DBC" w:rsidRPr="00FA4B2D" w14:paraId="2180FB6D"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112B5A19"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Aves</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472C2ADA"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Vireonidae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0474C8C3" w14:textId="77777777" w:rsidR="006A3DBC" w:rsidRPr="00CF0F96" w:rsidRDefault="006A3DBC" w:rsidP="005F4A92">
            <w:pPr>
              <w:pStyle w:val="TableParagraph"/>
              <w:rPr>
                <w:rFonts w:ascii="Arial" w:hAnsi="Arial" w:cs="Arial"/>
                <w:i/>
                <w:sz w:val="21"/>
              </w:rPr>
            </w:pPr>
            <w:r w:rsidRPr="00CF0F96">
              <w:rPr>
                <w:rFonts w:ascii="Arial" w:hAnsi="Arial" w:cs="Arial"/>
                <w:i/>
                <w:w w:val="95"/>
                <w:sz w:val="21"/>
              </w:rPr>
              <w:t>Vireo bellii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0F4692F8"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EB6102" w:rsidRPr="00FA4B2D" w14:paraId="5165A528"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6C3A5B70"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Mammalia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15D2C589"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Phyllostomidae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51F0D755" w14:textId="77777777" w:rsidR="006A3DBC" w:rsidRPr="00CF0F96" w:rsidRDefault="006A3DBC" w:rsidP="005F4A92">
            <w:pPr>
              <w:pStyle w:val="TableParagraph"/>
              <w:rPr>
                <w:rFonts w:ascii="Arial" w:hAnsi="Arial" w:cs="Arial"/>
                <w:i/>
                <w:sz w:val="21"/>
              </w:rPr>
            </w:pPr>
            <w:r w:rsidRPr="00CF0F96">
              <w:rPr>
                <w:rFonts w:ascii="Arial" w:hAnsi="Arial" w:cs="Arial"/>
                <w:i/>
                <w:sz w:val="21"/>
              </w:rPr>
              <w:t>Choeronycteris mexicana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1F81CB6C"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6A3DBC" w:rsidRPr="00FA4B2D" w14:paraId="7D485831"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437DCED7"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Mammalia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4C74E9BE"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Phyllostomidae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3C37FD7C" w14:textId="77777777" w:rsidR="006A3DBC" w:rsidRPr="00CF0F96" w:rsidRDefault="006A3DBC" w:rsidP="005F4A92">
            <w:pPr>
              <w:pStyle w:val="TableParagraph"/>
              <w:rPr>
                <w:rFonts w:ascii="Arial" w:hAnsi="Arial" w:cs="Arial"/>
                <w:i/>
                <w:sz w:val="21"/>
              </w:rPr>
            </w:pPr>
            <w:r w:rsidRPr="00CF0F96">
              <w:rPr>
                <w:rFonts w:ascii="Arial" w:hAnsi="Arial" w:cs="Arial"/>
                <w:i/>
                <w:sz w:val="21"/>
              </w:rPr>
              <w:t>Ectophylla alba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4B044142"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EB6102" w:rsidRPr="00FA4B2D" w14:paraId="6468AEF8"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5B6C3A1F"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Mammalia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61FEADDF"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Phyllostomidae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02613276" w14:textId="77777777" w:rsidR="006A3DBC" w:rsidRPr="00CF0F96" w:rsidRDefault="006A3DBC" w:rsidP="005F4A92">
            <w:pPr>
              <w:pStyle w:val="TableParagraph"/>
              <w:rPr>
                <w:rFonts w:ascii="Arial" w:hAnsi="Arial" w:cs="Arial"/>
                <w:i/>
                <w:sz w:val="21"/>
              </w:rPr>
            </w:pPr>
            <w:r w:rsidRPr="00CF0F96">
              <w:rPr>
                <w:rFonts w:ascii="Arial" w:hAnsi="Arial" w:cs="Arial"/>
                <w:i/>
                <w:sz w:val="21"/>
              </w:rPr>
              <w:t>Leptonycteris yerbabuenae</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65D9824D"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6A3DBC" w:rsidRPr="00FA4B2D" w14:paraId="6FD6EE6C"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1F0D5FA0"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Mammalia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5F1A3672"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Phyllostomidae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0BA78B89" w14:textId="77777777" w:rsidR="006A3DBC" w:rsidRPr="00CF0F96" w:rsidRDefault="006A3DBC" w:rsidP="005F4A92">
            <w:pPr>
              <w:pStyle w:val="TableParagraph"/>
              <w:rPr>
                <w:rFonts w:ascii="Arial" w:hAnsi="Arial" w:cs="Arial"/>
                <w:i/>
                <w:sz w:val="21"/>
              </w:rPr>
            </w:pPr>
            <w:r w:rsidRPr="00CF0F96">
              <w:rPr>
                <w:rFonts w:ascii="Arial" w:hAnsi="Arial" w:cs="Arial"/>
                <w:i/>
                <w:sz w:val="21"/>
              </w:rPr>
              <w:t>Vampyrum spectrum</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35A0AB43"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EB6102" w:rsidRPr="00FA4B2D" w14:paraId="51A999B5"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23859135"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Mammalia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56206E5A"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Vespertilionidae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35365334" w14:textId="77777777" w:rsidR="006A3DBC" w:rsidRPr="00CF0F96" w:rsidRDefault="006A3DBC" w:rsidP="005F4A92">
            <w:pPr>
              <w:pStyle w:val="TableParagraph"/>
              <w:rPr>
                <w:rFonts w:ascii="Arial" w:hAnsi="Arial" w:cs="Arial"/>
                <w:i/>
                <w:sz w:val="21"/>
              </w:rPr>
            </w:pPr>
            <w:r w:rsidRPr="00CF0F96">
              <w:rPr>
                <w:rFonts w:ascii="Arial" w:hAnsi="Arial" w:cs="Arial"/>
                <w:i/>
                <w:sz w:val="21"/>
              </w:rPr>
              <w:t>Bauerus dubiaquercus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0022C9F0"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6A3DBC" w:rsidRPr="00FA4B2D" w14:paraId="403200E2"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727AA452"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Mammalia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65FED7C5" w14:textId="77777777" w:rsidR="006A3DBC" w:rsidRPr="00CF0F96" w:rsidRDefault="006A3DBC" w:rsidP="005F4A92">
            <w:pPr>
              <w:pStyle w:val="TableParagraph"/>
              <w:spacing w:before="54"/>
              <w:rPr>
                <w:rFonts w:ascii="Arial" w:hAnsi="Arial" w:cs="Arial"/>
                <w:sz w:val="21"/>
              </w:rPr>
            </w:pPr>
            <w:r w:rsidRPr="00CF0F96">
              <w:rPr>
                <w:rFonts w:ascii="Arial" w:hAnsi="Arial" w:cs="Arial"/>
                <w:w w:val="95"/>
                <w:sz w:val="21"/>
              </w:rPr>
              <w:t>Myrmecophagidae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7CA895AD" w14:textId="77777777" w:rsidR="006A3DBC" w:rsidRPr="00CF0F96" w:rsidRDefault="006A3DBC" w:rsidP="005F4A92">
            <w:pPr>
              <w:pStyle w:val="TableParagraph"/>
              <w:rPr>
                <w:rFonts w:ascii="Arial" w:hAnsi="Arial" w:cs="Arial"/>
                <w:i/>
                <w:sz w:val="21"/>
              </w:rPr>
            </w:pPr>
            <w:r w:rsidRPr="00CF0F96">
              <w:rPr>
                <w:rFonts w:ascii="Arial" w:hAnsi="Arial" w:cs="Arial"/>
                <w:i/>
                <w:sz w:val="21"/>
              </w:rPr>
              <w:t>Myrmecophaga tridactyla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6A830A60"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EB6102" w:rsidRPr="00FA4B2D" w14:paraId="389EB5C3"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5958A92E"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Mammalia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395F23B3"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Felidae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11E969A4" w14:textId="77777777" w:rsidR="006A3DBC" w:rsidRPr="00CF0F96" w:rsidRDefault="006A3DBC" w:rsidP="005F4A92">
            <w:pPr>
              <w:pStyle w:val="TableParagraph"/>
              <w:rPr>
                <w:rFonts w:ascii="Arial" w:hAnsi="Arial" w:cs="Arial"/>
                <w:i/>
                <w:sz w:val="21"/>
              </w:rPr>
            </w:pPr>
            <w:r w:rsidRPr="00CF0F96">
              <w:rPr>
                <w:rFonts w:ascii="Arial" w:hAnsi="Arial" w:cs="Arial"/>
                <w:i/>
                <w:sz w:val="21"/>
              </w:rPr>
              <w:t>Leopardus wiedii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4286635D"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6A3DBC" w:rsidRPr="00FA4B2D" w14:paraId="689DE3B2"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3BAFBE8D"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Mammalia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602DF05A"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Felidae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5D6A9153" w14:textId="77777777" w:rsidR="006A3DBC" w:rsidRPr="00CF0F96" w:rsidRDefault="006A3DBC" w:rsidP="005F4A92">
            <w:pPr>
              <w:pStyle w:val="TableParagraph"/>
              <w:rPr>
                <w:rFonts w:ascii="Arial" w:hAnsi="Arial" w:cs="Arial"/>
                <w:i/>
                <w:sz w:val="21"/>
              </w:rPr>
            </w:pPr>
            <w:r w:rsidRPr="00CF0F96">
              <w:rPr>
                <w:rFonts w:ascii="Arial" w:hAnsi="Arial" w:cs="Arial"/>
                <w:i/>
                <w:sz w:val="21"/>
              </w:rPr>
              <w:t>Panthera onca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5C55F4D1"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EB6102" w:rsidRPr="00FA4B2D" w14:paraId="5182C292"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0C35017A"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Mammalia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688668AE"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Mustelidae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076AC05E" w14:textId="77777777" w:rsidR="006A3DBC" w:rsidRPr="00CF0F96" w:rsidRDefault="006A3DBC" w:rsidP="005F4A92">
            <w:pPr>
              <w:pStyle w:val="TableParagraph"/>
              <w:rPr>
                <w:rFonts w:ascii="Arial" w:hAnsi="Arial" w:cs="Arial"/>
                <w:i/>
                <w:sz w:val="21"/>
              </w:rPr>
            </w:pPr>
            <w:r w:rsidRPr="00CF0F96">
              <w:rPr>
                <w:rFonts w:ascii="Arial" w:hAnsi="Arial" w:cs="Arial"/>
                <w:i/>
                <w:sz w:val="21"/>
              </w:rPr>
              <w:t>Lontra longicaudis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256291DE"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6A3DBC" w:rsidRPr="00FA4B2D" w14:paraId="454F09DC"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206F3B79"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Mammalia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66496207"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Atelidae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284294EA" w14:textId="77777777" w:rsidR="006A3DBC" w:rsidRPr="00CF0F96" w:rsidRDefault="006A3DBC" w:rsidP="005F4A92">
            <w:pPr>
              <w:pStyle w:val="TableParagraph"/>
              <w:rPr>
                <w:rFonts w:ascii="Arial" w:hAnsi="Arial" w:cs="Arial"/>
                <w:i/>
                <w:sz w:val="21"/>
              </w:rPr>
            </w:pPr>
            <w:r w:rsidRPr="00CF0F96">
              <w:rPr>
                <w:rFonts w:ascii="Arial" w:hAnsi="Arial" w:cs="Arial"/>
                <w:i/>
                <w:w w:val="95"/>
                <w:sz w:val="21"/>
              </w:rPr>
              <w:t>Ateles geoffroyi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1D579DD7"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EB6102" w:rsidRPr="00FA4B2D" w14:paraId="66CA0860"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043A2514"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Mammalia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45AD0FCF"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Tapiridae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1B446419" w14:textId="77777777" w:rsidR="006A3DBC" w:rsidRPr="00CF0F96" w:rsidRDefault="006A3DBC" w:rsidP="005F4A92">
            <w:pPr>
              <w:pStyle w:val="TableParagraph"/>
              <w:rPr>
                <w:rFonts w:ascii="Arial" w:hAnsi="Arial" w:cs="Arial"/>
                <w:i/>
                <w:sz w:val="21"/>
              </w:rPr>
            </w:pPr>
            <w:r w:rsidRPr="00CF0F96">
              <w:rPr>
                <w:rFonts w:ascii="Arial" w:hAnsi="Arial" w:cs="Arial"/>
                <w:i/>
                <w:sz w:val="21"/>
              </w:rPr>
              <w:t>Tapirus bairdii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29C0DC24"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6A3DBC" w:rsidRPr="00FA4B2D" w14:paraId="749DC8B1" w14:textId="77777777" w:rsidTr="005F4A92">
        <w:trPr>
          <w:cnfStyle w:val="010000000000" w:firstRow="0" w:lastRow="1"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6FB026A9"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Mammalia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53C80ECA" w14:textId="77777777" w:rsidR="006A3DBC" w:rsidRPr="00CF0F96" w:rsidRDefault="006A3DBC" w:rsidP="005F4A92">
            <w:pPr>
              <w:pStyle w:val="TableParagraph"/>
              <w:spacing w:before="54"/>
              <w:rPr>
                <w:rFonts w:ascii="Arial" w:hAnsi="Arial" w:cs="Arial"/>
                <w:b w:val="0"/>
                <w:bCs w:val="0"/>
                <w:sz w:val="21"/>
              </w:rPr>
            </w:pPr>
            <w:r w:rsidRPr="00CF0F96">
              <w:rPr>
                <w:rFonts w:ascii="Arial" w:hAnsi="Arial" w:cs="Arial"/>
                <w:b w:val="0"/>
                <w:bCs w:val="0"/>
                <w:sz w:val="21"/>
              </w:rPr>
              <w:t>Tayassuidae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3CEC3CB7" w14:textId="77777777" w:rsidR="006A3DBC" w:rsidRPr="00CF0F96" w:rsidRDefault="006A3DBC" w:rsidP="005F4A92">
            <w:pPr>
              <w:pStyle w:val="TableParagraph"/>
              <w:rPr>
                <w:rFonts w:ascii="Arial" w:hAnsi="Arial" w:cs="Arial"/>
                <w:b w:val="0"/>
                <w:bCs w:val="0"/>
                <w:i/>
                <w:sz w:val="21"/>
              </w:rPr>
            </w:pPr>
            <w:r w:rsidRPr="00CF0F96">
              <w:rPr>
                <w:rFonts w:ascii="Arial" w:hAnsi="Arial" w:cs="Arial"/>
                <w:b w:val="0"/>
                <w:bCs w:val="0"/>
                <w:i/>
                <w:sz w:val="21"/>
              </w:rPr>
              <w:t>Tayassu pecari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4DE21072"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bl>
    <w:p w14:paraId="642921FD" w14:textId="77777777" w:rsidR="006A3DBC" w:rsidRPr="00FA4B2D" w:rsidRDefault="006A3DBC" w:rsidP="006A3DBC">
      <w:pPr>
        <w:tabs>
          <w:tab w:val="left" w:pos="1245"/>
        </w:tabs>
        <w:rPr>
          <w:rFonts w:cs="Arial"/>
        </w:rPr>
      </w:pPr>
    </w:p>
    <w:p w14:paraId="1909D223" w14:textId="77777777" w:rsidR="006A3DBC" w:rsidRPr="00FA4B2D" w:rsidRDefault="006A3DBC" w:rsidP="006A3DBC">
      <w:pPr>
        <w:tabs>
          <w:tab w:val="left" w:pos="1245"/>
        </w:tabs>
        <w:rPr>
          <w:rFonts w:cs="Arial"/>
        </w:rPr>
      </w:pPr>
    </w:p>
    <w:p w14:paraId="28CF396C" w14:textId="77777777" w:rsidR="006A3DBC" w:rsidRPr="00FA4B2D" w:rsidRDefault="006A3DBC" w:rsidP="006A3DBC">
      <w:pPr>
        <w:tabs>
          <w:tab w:val="left" w:pos="1245"/>
        </w:tabs>
        <w:rPr>
          <w:rFonts w:cs="Arial"/>
        </w:rPr>
      </w:pPr>
    </w:p>
    <w:tbl>
      <w:tblPr>
        <w:tblStyle w:val="Tablanormal21"/>
        <w:tblW w:w="0" w:type="auto"/>
        <w:jc w:val="center"/>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1804"/>
        <w:gridCol w:w="1879"/>
        <w:gridCol w:w="3204"/>
        <w:gridCol w:w="1372"/>
      </w:tblGrid>
      <w:tr w:rsidR="00C81834" w:rsidRPr="00FA4B2D" w14:paraId="38F0FEFB" w14:textId="77777777" w:rsidTr="00C81834">
        <w:trPr>
          <w:cnfStyle w:val="100000000000" w:firstRow="1" w:lastRow="0" w:firstColumn="0" w:lastColumn="0" w:oddVBand="0" w:evenVBand="0" w:oddHBand="0"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5CC5DA"/>
          </w:tcPr>
          <w:p w14:paraId="30DA9A42" w14:textId="4583C6E5" w:rsidR="00C81834" w:rsidRPr="00CF0F96" w:rsidRDefault="00C81834" w:rsidP="00D30988">
            <w:pPr>
              <w:pStyle w:val="TableParagraph"/>
              <w:ind w:right="605"/>
              <w:jc w:val="center"/>
              <w:rPr>
                <w:rFonts w:ascii="Arial" w:hAnsi="Arial" w:cs="Arial"/>
                <w:b w:val="0"/>
                <w:sz w:val="21"/>
              </w:rPr>
            </w:pPr>
            <w:r w:rsidRPr="00CF0F96">
              <w:rPr>
                <w:rFonts w:ascii="Arial" w:hAnsi="Arial" w:cs="Arial"/>
                <w:b w:val="0"/>
                <w:sz w:val="21"/>
              </w:rPr>
              <w:t>Clase</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5CC5DA"/>
          </w:tcPr>
          <w:p w14:paraId="4D5CAE64" w14:textId="1561B29D" w:rsidR="00C81834" w:rsidRPr="00CF0F96" w:rsidRDefault="00C81834" w:rsidP="00D30988">
            <w:pPr>
              <w:pStyle w:val="TableParagraph"/>
              <w:jc w:val="center"/>
              <w:rPr>
                <w:rFonts w:ascii="Arial" w:hAnsi="Arial" w:cs="Arial"/>
                <w:b w:val="0"/>
                <w:sz w:val="21"/>
              </w:rPr>
            </w:pPr>
            <w:r w:rsidRPr="00CF0F96">
              <w:rPr>
                <w:rFonts w:ascii="Arial" w:hAnsi="Arial" w:cs="Arial"/>
                <w:b w:val="0"/>
                <w:sz w:val="21"/>
              </w:rPr>
              <w:t>Familia</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5CC5DA"/>
          </w:tcPr>
          <w:p w14:paraId="779B190D" w14:textId="143756E6" w:rsidR="00C81834" w:rsidRPr="00CF0F96" w:rsidRDefault="00C81834" w:rsidP="00D30988">
            <w:pPr>
              <w:pStyle w:val="TableParagraph"/>
              <w:ind w:right="1144"/>
              <w:jc w:val="center"/>
              <w:rPr>
                <w:rFonts w:ascii="Arial" w:hAnsi="Arial" w:cs="Arial"/>
                <w:b w:val="0"/>
                <w:sz w:val="21"/>
              </w:rPr>
            </w:pPr>
            <w:r w:rsidRPr="00CF0F96">
              <w:rPr>
                <w:rFonts w:ascii="Arial" w:hAnsi="Arial" w:cs="Arial"/>
                <w:b w:val="0"/>
                <w:sz w:val="21"/>
              </w:rPr>
              <w:t>Especies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5CC5DA"/>
          </w:tcPr>
          <w:p w14:paraId="141D090D" w14:textId="5E6F35FE" w:rsidR="00C81834" w:rsidRPr="00CF0F96" w:rsidRDefault="00C81834" w:rsidP="00D30988">
            <w:pPr>
              <w:pStyle w:val="TableParagraph"/>
              <w:jc w:val="center"/>
              <w:rPr>
                <w:rFonts w:ascii="Arial" w:hAnsi="Arial" w:cs="Arial"/>
                <w:b w:val="0"/>
                <w:sz w:val="21"/>
              </w:rPr>
            </w:pPr>
            <w:r w:rsidRPr="00CF0F96">
              <w:rPr>
                <w:rFonts w:ascii="Arial" w:hAnsi="Arial" w:cs="Arial"/>
                <w:b w:val="0"/>
                <w:w w:val="95"/>
                <w:sz w:val="21"/>
              </w:rPr>
              <w:t>Categoría</w:t>
            </w:r>
          </w:p>
        </w:tc>
      </w:tr>
      <w:tr w:rsidR="006A3DBC" w:rsidRPr="00FA4B2D" w14:paraId="7A3E2684"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1072B30F"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Mammalia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1B4C120E"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Cricetidae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505D6120" w14:textId="77777777" w:rsidR="006A3DBC" w:rsidRPr="00CF0F96" w:rsidRDefault="006A3DBC" w:rsidP="005F4A92">
            <w:pPr>
              <w:pStyle w:val="TableParagraph"/>
              <w:rPr>
                <w:rFonts w:ascii="Arial" w:hAnsi="Arial" w:cs="Arial"/>
                <w:i/>
                <w:sz w:val="21"/>
              </w:rPr>
            </w:pPr>
            <w:r w:rsidRPr="00CF0F96">
              <w:rPr>
                <w:rFonts w:ascii="Arial" w:hAnsi="Arial" w:cs="Arial"/>
                <w:i/>
                <w:sz w:val="21"/>
              </w:rPr>
              <w:t>Handleyomys saturatior</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2963F1C0"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6A3DBC" w:rsidRPr="00FA4B2D" w14:paraId="723D4593"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3D589901"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Mammalia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0AF2895E"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Cricetidae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158C9200" w14:textId="77777777" w:rsidR="006A3DBC" w:rsidRPr="00CF0F96" w:rsidRDefault="006A3DBC" w:rsidP="005F4A92">
            <w:pPr>
              <w:pStyle w:val="TableParagraph"/>
              <w:rPr>
                <w:rFonts w:ascii="Arial" w:hAnsi="Arial" w:cs="Arial"/>
                <w:i/>
                <w:sz w:val="21"/>
              </w:rPr>
            </w:pPr>
            <w:r w:rsidRPr="00CF0F96">
              <w:rPr>
                <w:rFonts w:ascii="Arial" w:hAnsi="Arial" w:cs="Arial"/>
                <w:i/>
                <w:sz w:val="21"/>
              </w:rPr>
              <w:t>Rheomys thomasi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4CC9BBFA"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6A3DBC" w:rsidRPr="00FA4B2D" w14:paraId="2388F646"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33A31DDA"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Mammalia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13BCFB01"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Dasyproctidae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53F621CA" w14:textId="77777777" w:rsidR="006A3DBC" w:rsidRPr="00CF0F96" w:rsidRDefault="006A3DBC" w:rsidP="005F4A92">
            <w:pPr>
              <w:pStyle w:val="TableParagraph"/>
              <w:rPr>
                <w:rFonts w:ascii="Arial" w:hAnsi="Arial" w:cs="Arial"/>
                <w:i/>
                <w:sz w:val="21"/>
              </w:rPr>
            </w:pPr>
            <w:r w:rsidRPr="00CF0F96">
              <w:rPr>
                <w:rFonts w:ascii="Arial" w:hAnsi="Arial" w:cs="Arial"/>
                <w:i/>
                <w:sz w:val="21"/>
              </w:rPr>
              <w:t>Dasyprocta ruatanica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247B26B7"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6A3DBC" w:rsidRPr="00FA4B2D" w14:paraId="27C00F4F"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585CB352"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Mammalia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77582D19"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Trichechidae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0CC70FE5" w14:textId="77777777" w:rsidR="006A3DBC" w:rsidRPr="00CF0F96" w:rsidRDefault="006A3DBC" w:rsidP="005F4A92">
            <w:pPr>
              <w:pStyle w:val="TableParagraph"/>
              <w:rPr>
                <w:rFonts w:ascii="Arial" w:hAnsi="Arial" w:cs="Arial"/>
                <w:i/>
                <w:sz w:val="21"/>
              </w:rPr>
            </w:pPr>
            <w:r w:rsidRPr="00CF0F96">
              <w:rPr>
                <w:rFonts w:ascii="Arial" w:hAnsi="Arial" w:cs="Arial"/>
                <w:i/>
                <w:sz w:val="21"/>
              </w:rPr>
              <w:t>Trichechus manatus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4BB988C0"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6A3DBC" w:rsidRPr="00FA4B2D" w14:paraId="507CCB29"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0E181036"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Mammalia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4C32982C"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Physeteridae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4C049E6F" w14:textId="77777777" w:rsidR="006A3DBC" w:rsidRPr="00CF0F96" w:rsidRDefault="006A3DBC" w:rsidP="005F4A92">
            <w:pPr>
              <w:pStyle w:val="TableParagraph"/>
              <w:rPr>
                <w:rFonts w:ascii="Arial" w:hAnsi="Arial" w:cs="Arial"/>
                <w:i/>
                <w:sz w:val="21"/>
              </w:rPr>
            </w:pPr>
            <w:r w:rsidRPr="00CF0F96">
              <w:rPr>
                <w:rFonts w:ascii="Arial" w:hAnsi="Arial" w:cs="Arial"/>
                <w:i/>
                <w:sz w:val="21"/>
              </w:rPr>
              <w:t>Physeter macrocephalus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683EE8FB"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6A3DBC" w:rsidRPr="00FA4B2D" w14:paraId="29EB8C68"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5E8AC5E6"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División</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0CD6F8E0"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Familia</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2E166791" w14:textId="77777777" w:rsidR="006A3DBC" w:rsidRPr="00CF0F96" w:rsidRDefault="006A3DBC" w:rsidP="005F4A92">
            <w:pPr>
              <w:pStyle w:val="TableParagraph"/>
              <w:rPr>
                <w:rFonts w:ascii="Arial" w:hAnsi="Arial" w:cs="Arial"/>
                <w:i/>
                <w:sz w:val="21"/>
              </w:rPr>
            </w:pPr>
            <w:r w:rsidRPr="00CF0F96">
              <w:rPr>
                <w:rFonts w:ascii="Arial" w:hAnsi="Arial" w:cs="Arial"/>
                <w:i/>
                <w:sz w:val="21"/>
              </w:rPr>
              <w:t>Especie</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2C8FF660"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Categoría</w:t>
            </w:r>
          </w:p>
        </w:tc>
      </w:tr>
      <w:tr w:rsidR="006A3DBC" w:rsidRPr="00FA4B2D" w14:paraId="4D31892A"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4C7628DA"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Cycadopsida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6C0A2070"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Zamiaceae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5B8B6272" w14:textId="77777777" w:rsidR="006A3DBC" w:rsidRPr="00CF0F96" w:rsidRDefault="006A3DBC" w:rsidP="005F4A92">
            <w:pPr>
              <w:pStyle w:val="TableParagraph"/>
              <w:rPr>
                <w:rFonts w:ascii="Arial" w:hAnsi="Arial" w:cs="Arial"/>
                <w:i/>
                <w:sz w:val="21"/>
              </w:rPr>
            </w:pPr>
            <w:r w:rsidRPr="00CF0F96">
              <w:rPr>
                <w:rFonts w:ascii="Arial" w:hAnsi="Arial" w:cs="Arial"/>
                <w:i/>
                <w:sz w:val="21"/>
              </w:rPr>
              <w:t>Zamia oreillyi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0D4C8FB3"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6A3DBC" w:rsidRPr="00FA4B2D" w14:paraId="1DB6B40C"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0067E083"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Cycadopsida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2C1CA34F"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Zamiaceae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61B1DD7F" w14:textId="77777777" w:rsidR="006A3DBC" w:rsidRPr="00CF0F96" w:rsidRDefault="006A3DBC" w:rsidP="005F4A92">
            <w:pPr>
              <w:pStyle w:val="TableParagraph"/>
              <w:rPr>
                <w:rFonts w:ascii="Arial" w:hAnsi="Arial" w:cs="Arial"/>
                <w:i/>
                <w:sz w:val="21"/>
              </w:rPr>
            </w:pPr>
            <w:r w:rsidRPr="00CF0F96">
              <w:rPr>
                <w:rFonts w:ascii="Arial" w:hAnsi="Arial" w:cs="Arial"/>
                <w:i/>
                <w:sz w:val="21"/>
              </w:rPr>
              <w:t>Zamia sandovalii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7F8B4A84"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6A3DBC" w:rsidRPr="00FA4B2D" w14:paraId="2EF8330E"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05260136"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Cycadopsida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1E0927B8"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Zamiaceae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60459309" w14:textId="77777777" w:rsidR="006A3DBC" w:rsidRPr="00CF0F96" w:rsidRDefault="006A3DBC" w:rsidP="005F4A92">
            <w:pPr>
              <w:pStyle w:val="TableParagraph"/>
              <w:rPr>
                <w:rFonts w:ascii="Arial" w:hAnsi="Arial" w:cs="Arial"/>
                <w:i/>
                <w:sz w:val="21"/>
              </w:rPr>
            </w:pPr>
            <w:r w:rsidRPr="00CF0F96">
              <w:rPr>
                <w:rFonts w:ascii="Arial" w:hAnsi="Arial" w:cs="Arial"/>
                <w:i/>
                <w:sz w:val="21"/>
              </w:rPr>
              <w:t>Zamia variegata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6826AE43"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6A3DBC" w:rsidRPr="00FA4B2D" w14:paraId="6D9B36D3"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02CB7D73"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Cycadopsida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539864B1"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Zamiaceae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185BB1D2" w14:textId="77777777" w:rsidR="006A3DBC" w:rsidRPr="00CF0F96" w:rsidRDefault="006A3DBC" w:rsidP="005F4A92">
            <w:pPr>
              <w:pStyle w:val="TableParagraph"/>
              <w:rPr>
                <w:rFonts w:ascii="Arial" w:hAnsi="Arial" w:cs="Arial"/>
                <w:i/>
                <w:sz w:val="21"/>
              </w:rPr>
            </w:pPr>
            <w:r w:rsidRPr="00CF0F96">
              <w:rPr>
                <w:rFonts w:ascii="Arial" w:hAnsi="Arial" w:cs="Arial"/>
                <w:i/>
                <w:sz w:val="21"/>
              </w:rPr>
              <w:t>Zamia herrerae</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10C195C4"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6A3DBC" w:rsidRPr="00FA4B2D" w14:paraId="6D4FF90D"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76932673"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Cycadopsida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0636F5E7"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Zamiaceae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05845698" w14:textId="77777777" w:rsidR="006A3DBC" w:rsidRPr="00CF0F96" w:rsidRDefault="006A3DBC" w:rsidP="005F4A92">
            <w:pPr>
              <w:pStyle w:val="TableParagraph"/>
              <w:rPr>
                <w:rFonts w:ascii="Arial" w:hAnsi="Arial" w:cs="Arial"/>
                <w:i/>
                <w:sz w:val="21"/>
              </w:rPr>
            </w:pPr>
            <w:r w:rsidRPr="00CF0F96">
              <w:rPr>
                <w:rFonts w:ascii="Arial" w:hAnsi="Arial" w:cs="Arial"/>
                <w:i/>
                <w:sz w:val="21"/>
              </w:rPr>
              <w:t>Zamia standleyi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40FAB71F"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6A3DBC" w:rsidRPr="00FA4B2D" w14:paraId="6E25EE62"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30124AEE"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Liliopsida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48D152D2"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Orchidaceae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21630B45" w14:textId="77777777" w:rsidR="006A3DBC" w:rsidRPr="00CF0F96" w:rsidRDefault="006A3DBC" w:rsidP="005F4A92">
            <w:pPr>
              <w:pStyle w:val="TableParagraph"/>
              <w:rPr>
                <w:rFonts w:ascii="Arial" w:hAnsi="Arial" w:cs="Arial"/>
                <w:i/>
                <w:sz w:val="21"/>
              </w:rPr>
            </w:pPr>
            <w:r w:rsidRPr="00CF0F96">
              <w:rPr>
                <w:rFonts w:ascii="Arial" w:hAnsi="Arial" w:cs="Arial"/>
                <w:i/>
                <w:sz w:val="21"/>
              </w:rPr>
              <w:t>Anathallis comayaguensis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6FB42CC1"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6A3DBC" w:rsidRPr="00FA4B2D" w14:paraId="10C4FFB2"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4037129F"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Liliopsida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1BD242B1"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Orchidaceae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6C554D79" w14:textId="77777777" w:rsidR="006A3DBC" w:rsidRPr="00CF0F96" w:rsidRDefault="006A3DBC" w:rsidP="005F4A92">
            <w:pPr>
              <w:pStyle w:val="TableParagraph"/>
              <w:rPr>
                <w:rFonts w:ascii="Arial" w:hAnsi="Arial" w:cs="Arial"/>
                <w:i/>
                <w:sz w:val="21"/>
              </w:rPr>
            </w:pPr>
            <w:r w:rsidRPr="00CF0F96">
              <w:rPr>
                <w:rFonts w:ascii="Arial" w:hAnsi="Arial" w:cs="Arial"/>
                <w:i/>
                <w:sz w:val="21"/>
              </w:rPr>
              <w:t>Cypripedium dickinsonianum</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1F8A1E9C"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6A3DBC" w:rsidRPr="00FA4B2D" w14:paraId="1315334E"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70920BE7"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Liliopsida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2DDF9E9F"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Orchidaceae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76D4FD6B" w14:textId="77777777" w:rsidR="006A3DBC" w:rsidRPr="00CF0F96" w:rsidRDefault="006A3DBC" w:rsidP="005F4A92">
            <w:pPr>
              <w:pStyle w:val="TableParagraph"/>
              <w:rPr>
                <w:rFonts w:ascii="Arial" w:hAnsi="Arial" w:cs="Arial"/>
                <w:i/>
                <w:sz w:val="21"/>
              </w:rPr>
            </w:pPr>
            <w:r w:rsidRPr="00CF0F96">
              <w:rPr>
                <w:rFonts w:ascii="Arial" w:hAnsi="Arial" w:cs="Arial"/>
                <w:i/>
                <w:sz w:val="21"/>
              </w:rPr>
              <w:t>Cypripedium irapeanum</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640AF2E5"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6A3DBC" w:rsidRPr="00FA4B2D" w14:paraId="1823E39E"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2F5DF155"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Liliopsida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420013FC"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Orchidaceae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180B76AD" w14:textId="77777777" w:rsidR="006A3DBC" w:rsidRPr="00CF0F96" w:rsidRDefault="006A3DBC" w:rsidP="005F4A92">
            <w:pPr>
              <w:pStyle w:val="TableParagraph"/>
              <w:rPr>
                <w:rFonts w:ascii="Arial" w:hAnsi="Arial" w:cs="Arial"/>
                <w:i/>
                <w:sz w:val="21"/>
              </w:rPr>
            </w:pPr>
            <w:r w:rsidRPr="00CF0F96">
              <w:rPr>
                <w:rFonts w:ascii="Arial" w:hAnsi="Arial" w:cs="Arial"/>
                <w:i/>
                <w:w w:val="95"/>
                <w:sz w:val="21"/>
              </w:rPr>
              <w:t>Phragmipedium warscewiczianum</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0AD4934F"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6A3DBC" w:rsidRPr="00FA4B2D" w14:paraId="4507F9C0"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33DFD46E"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Liliopsida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2CE543FF"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Orchidaceae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726E64C7" w14:textId="77777777" w:rsidR="006A3DBC" w:rsidRPr="00CF0F96" w:rsidRDefault="006A3DBC" w:rsidP="005F4A92">
            <w:pPr>
              <w:pStyle w:val="TableParagraph"/>
              <w:rPr>
                <w:rFonts w:ascii="Arial" w:hAnsi="Arial" w:cs="Arial"/>
                <w:i/>
                <w:sz w:val="21"/>
              </w:rPr>
            </w:pPr>
            <w:r w:rsidRPr="00CF0F96">
              <w:rPr>
                <w:rFonts w:ascii="Arial" w:hAnsi="Arial" w:cs="Arial"/>
                <w:i/>
                <w:sz w:val="21"/>
              </w:rPr>
              <w:t>Vanilla cribbiana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101D09A7"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6A3DBC" w:rsidRPr="00FA4B2D" w14:paraId="18859BFE"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5E05096C"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Liliopsida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024769CD"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Orchidaceae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08B290BA" w14:textId="77777777" w:rsidR="006A3DBC" w:rsidRPr="00CF0F96" w:rsidRDefault="006A3DBC" w:rsidP="005F4A92">
            <w:pPr>
              <w:pStyle w:val="TableParagraph"/>
              <w:rPr>
                <w:rFonts w:ascii="Arial" w:hAnsi="Arial" w:cs="Arial"/>
                <w:i/>
                <w:sz w:val="21"/>
              </w:rPr>
            </w:pPr>
            <w:r w:rsidRPr="00CF0F96">
              <w:rPr>
                <w:rFonts w:ascii="Arial" w:hAnsi="Arial" w:cs="Arial"/>
                <w:i/>
                <w:w w:val="95"/>
                <w:sz w:val="21"/>
              </w:rPr>
              <w:t>Vanilla hartii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4566EC57"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6A3DBC" w:rsidRPr="00FA4B2D" w14:paraId="35BB2AB9"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58BE1406"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Liliopsida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0F12FF3A"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Orchidaceae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66D60DC3" w14:textId="77777777" w:rsidR="006A3DBC" w:rsidRPr="00CF0F96" w:rsidRDefault="006A3DBC" w:rsidP="005F4A92">
            <w:pPr>
              <w:pStyle w:val="TableParagraph"/>
              <w:rPr>
                <w:rFonts w:ascii="Arial" w:hAnsi="Arial" w:cs="Arial"/>
                <w:i/>
                <w:sz w:val="21"/>
              </w:rPr>
            </w:pPr>
            <w:r w:rsidRPr="00CF0F96">
              <w:rPr>
                <w:rFonts w:ascii="Arial" w:hAnsi="Arial" w:cs="Arial"/>
                <w:i/>
                <w:sz w:val="21"/>
              </w:rPr>
              <w:t>Vanilla inodora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3CDAECCC"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6A3DBC" w:rsidRPr="00FA4B2D" w14:paraId="5DE81082"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6862C229"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Liliopsida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2FBF9F9F"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Orchidaceae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655B72D9" w14:textId="77777777" w:rsidR="006A3DBC" w:rsidRPr="00CF0F96" w:rsidRDefault="006A3DBC" w:rsidP="005F4A92">
            <w:pPr>
              <w:pStyle w:val="TableParagraph"/>
              <w:rPr>
                <w:rFonts w:ascii="Arial" w:hAnsi="Arial" w:cs="Arial"/>
                <w:i/>
                <w:sz w:val="21"/>
              </w:rPr>
            </w:pPr>
            <w:r w:rsidRPr="00CF0F96">
              <w:rPr>
                <w:rFonts w:ascii="Arial" w:hAnsi="Arial" w:cs="Arial"/>
                <w:i/>
                <w:sz w:val="21"/>
              </w:rPr>
              <w:t>Vanilla insignis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0051D1BE"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6A3DBC" w:rsidRPr="00FA4B2D" w14:paraId="1E425ABD"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2ACE24B2"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Liliopsida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41627DE1"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Orchidaceae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7A8409EF" w14:textId="77777777" w:rsidR="006A3DBC" w:rsidRPr="00CF0F96" w:rsidRDefault="006A3DBC" w:rsidP="005F4A92">
            <w:pPr>
              <w:pStyle w:val="TableParagraph"/>
              <w:rPr>
                <w:rFonts w:ascii="Arial" w:hAnsi="Arial" w:cs="Arial"/>
                <w:i/>
                <w:sz w:val="21"/>
              </w:rPr>
            </w:pPr>
            <w:r w:rsidRPr="00CF0F96">
              <w:rPr>
                <w:rFonts w:ascii="Arial" w:hAnsi="Arial" w:cs="Arial"/>
                <w:i/>
                <w:sz w:val="21"/>
              </w:rPr>
              <w:t>Vanilla odorata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367E16ED"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6A3DBC" w:rsidRPr="00FA4B2D" w14:paraId="71546D73"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729FD9ED"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Liliopsida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79784E0F"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Palmae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1757841F" w14:textId="77777777" w:rsidR="006A3DBC" w:rsidRPr="00CF0F96" w:rsidRDefault="006A3DBC" w:rsidP="005F4A92">
            <w:pPr>
              <w:pStyle w:val="TableParagraph"/>
              <w:rPr>
                <w:rFonts w:ascii="Arial" w:hAnsi="Arial" w:cs="Arial"/>
                <w:i/>
                <w:sz w:val="21"/>
              </w:rPr>
            </w:pPr>
            <w:r w:rsidRPr="00CF0F96">
              <w:rPr>
                <w:rFonts w:ascii="Arial" w:hAnsi="Arial" w:cs="Arial"/>
                <w:i/>
                <w:sz w:val="21"/>
              </w:rPr>
              <w:t>Chamaedorea oblongata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137457AE"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6A3DBC" w:rsidRPr="00FA4B2D" w14:paraId="3FDAFD75"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4EF7BA4E"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Liliopsida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10B320F9"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Palmae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4304B3BE" w14:textId="77777777" w:rsidR="006A3DBC" w:rsidRPr="00CF0F96" w:rsidRDefault="006A3DBC" w:rsidP="005F4A92">
            <w:pPr>
              <w:pStyle w:val="TableParagraph"/>
              <w:rPr>
                <w:rFonts w:ascii="Arial" w:hAnsi="Arial" w:cs="Arial"/>
                <w:i/>
                <w:sz w:val="21"/>
              </w:rPr>
            </w:pPr>
            <w:r w:rsidRPr="00CF0F96">
              <w:rPr>
                <w:rFonts w:ascii="Arial" w:hAnsi="Arial" w:cs="Arial"/>
                <w:i/>
                <w:sz w:val="21"/>
              </w:rPr>
              <w:t>Cryosophila williamsii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26705E36"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EW</w:t>
            </w:r>
          </w:p>
        </w:tc>
      </w:tr>
      <w:tr w:rsidR="006A3DBC" w:rsidRPr="00FA4B2D" w14:paraId="6453E7C9"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4F3A420D"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Liliopsida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0904D0AE"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Palmae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18C66287" w14:textId="77777777" w:rsidR="006A3DBC" w:rsidRPr="00CF0F96" w:rsidRDefault="006A3DBC" w:rsidP="005F4A92">
            <w:pPr>
              <w:pStyle w:val="TableParagraph"/>
              <w:rPr>
                <w:rFonts w:ascii="Arial" w:hAnsi="Arial" w:cs="Arial"/>
                <w:i/>
                <w:sz w:val="21"/>
              </w:rPr>
            </w:pPr>
            <w:r w:rsidRPr="00CF0F96">
              <w:rPr>
                <w:rFonts w:ascii="Arial" w:hAnsi="Arial" w:cs="Arial"/>
                <w:i/>
                <w:sz w:val="21"/>
              </w:rPr>
              <w:t>Roystonea dunlapiana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0DBE9B2E"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6A3DBC" w:rsidRPr="00FA4B2D" w14:paraId="7617ABDC"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01EFED14"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6C66D0AF"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Anacardiaceae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3F60C12A" w14:textId="77777777" w:rsidR="006A3DBC" w:rsidRPr="00CF0F96" w:rsidRDefault="006A3DBC" w:rsidP="005F4A92">
            <w:pPr>
              <w:pStyle w:val="TableParagraph"/>
              <w:rPr>
                <w:rFonts w:ascii="Arial" w:hAnsi="Arial" w:cs="Arial"/>
                <w:i/>
                <w:sz w:val="21"/>
              </w:rPr>
            </w:pPr>
            <w:r w:rsidRPr="00CF0F96">
              <w:rPr>
                <w:rFonts w:ascii="Arial" w:hAnsi="Arial" w:cs="Arial"/>
                <w:i/>
                <w:sz w:val="21"/>
              </w:rPr>
              <w:t>Pistacia mexicana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7DDF2EE9"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6A3DBC" w:rsidRPr="00FA4B2D" w14:paraId="1B1FA417"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052903A6"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117D9A00"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Annonaceae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1A89A94D" w14:textId="77777777" w:rsidR="006A3DBC" w:rsidRPr="00CF0F96" w:rsidRDefault="006A3DBC" w:rsidP="005F4A92">
            <w:pPr>
              <w:pStyle w:val="TableParagraph"/>
              <w:rPr>
                <w:rFonts w:ascii="Arial" w:hAnsi="Arial" w:cs="Arial"/>
                <w:i/>
                <w:sz w:val="21"/>
              </w:rPr>
            </w:pPr>
            <w:r w:rsidRPr="00CF0F96">
              <w:rPr>
                <w:rFonts w:ascii="Arial" w:hAnsi="Arial" w:cs="Arial"/>
                <w:i/>
                <w:sz w:val="21"/>
              </w:rPr>
              <w:t>Anaxagorea phaeocarpa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2E30A466"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6A3DBC" w:rsidRPr="00FA4B2D" w14:paraId="3C6AD97E"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27E6C153"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5A93651E"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Annonaceae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639B132D" w14:textId="77777777" w:rsidR="006A3DBC" w:rsidRPr="00CF0F96" w:rsidRDefault="006A3DBC" w:rsidP="005F4A92">
            <w:pPr>
              <w:pStyle w:val="TableParagraph"/>
              <w:rPr>
                <w:rFonts w:ascii="Arial" w:hAnsi="Arial" w:cs="Arial"/>
                <w:i/>
                <w:sz w:val="21"/>
              </w:rPr>
            </w:pPr>
            <w:r w:rsidRPr="00CF0F96">
              <w:rPr>
                <w:rFonts w:ascii="Arial" w:hAnsi="Arial" w:cs="Arial"/>
                <w:i/>
                <w:sz w:val="21"/>
              </w:rPr>
              <w:t>Cymbopetalum mayanum</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4F3B9909"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6A3DBC" w:rsidRPr="00FA4B2D" w14:paraId="72E06938"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6A268DD6"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641C4D7D"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Annonaceae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2CD5B331" w14:textId="77777777" w:rsidR="006A3DBC" w:rsidRPr="00CF0F96" w:rsidRDefault="006A3DBC" w:rsidP="005F4A92">
            <w:pPr>
              <w:pStyle w:val="TableParagraph"/>
              <w:rPr>
                <w:rFonts w:ascii="Arial" w:hAnsi="Arial" w:cs="Arial"/>
                <w:i/>
                <w:sz w:val="21"/>
              </w:rPr>
            </w:pPr>
            <w:r w:rsidRPr="00CF0F96">
              <w:rPr>
                <w:rFonts w:ascii="Arial" w:hAnsi="Arial" w:cs="Arial"/>
                <w:i/>
                <w:sz w:val="21"/>
              </w:rPr>
              <w:t>Desmopsis dolichopetala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1D481F2B"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6A3DBC" w:rsidRPr="00FA4B2D" w14:paraId="5ED6EBF2" w14:textId="77777777" w:rsidTr="005F4A92">
        <w:trPr>
          <w:cnfStyle w:val="010000000000" w:firstRow="0" w:lastRow="1" w:firstColumn="0" w:lastColumn="0" w:oddVBand="0" w:evenVBand="0" w:oddHBand="0"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263176D1"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52A7F1F0" w14:textId="77777777" w:rsidR="006A3DBC" w:rsidRPr="00CF0F96" w:rsidRDefault="006A3DBC" w:rsidP="005F4A92">
            <w:pPr>
              <w:pStyle w:val="TableParagraph"/>
              <w:spacing w:before="54"/>
              <w:rPr>
                <w:rFonts w:ascii="Arial" w:hAnsi="Arial" w:cs="Arial"/>
                <w:b w:val="0"/>
                <w:bCs w:val="0"/>
                <w:sz w:val="21"/>
              </w:rPr>
            </w:pPr>
            <w:r w:rsidRPr="00CF0F96">
              <w:rPr>
                <w:rFonts w:ascii="Arial" w:hAnsi="Arial" w:cs="Arial"/>
                <w:b w:val="0"/>
                <w:bCs w:val="0"/>
                <w:sz w:val="21"/>
              </w:rPr>
              <w:t>Apocynaceae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0FF95F01" w14:textId="77777777" w:rsidR="006A3DBC" w:rsidRPr="00CF0F96" w:rsidRDefault="006A3DBC" w:rsidP="005F4A92">
            <w:pPr>
              <w:pStyle w:val="TableParagraph"/>
              <w:rPr>
                <w:rFonts w:ascii="Arial" w:hAnsi="Arial" w:cs="Arial"/>
                <w:b w:val="0"/>
                <w:bCs w:val="0"/>
                <w:i/>
                <w:sz w:val="21"/>
              </w:rPr>
            </w:pPr>
            <w:r w:rsidRPr="00CF0F96">
              <w:rPr>
                <w:rFonts w:ascii="Arial" w:hAnsi="Arial" w:cs="Arial"/>
                <w:b w:val="0"/>
                <w:bCs w:val="0"/>
                <w:i/>
                <w:sz w:val="21"/>
              </w:rPr>
              <w:t>Aspidosperma megalocarpon</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6CBE6288"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bl>
    <w:p w14:paraId="76269C85" w14:textId="77777777" w:rsidR="006A3DBC" w:rsidRPr="00FA4B2D" w:rsidRDefault="006A3DBC" w:rsidP="006A3DBC">
      <w:pPr>
        <w:tabs>
          <w:tab w:val="left" w:pos="1245"/>
        </w:tabs>
        <w:rPr>
          <w:rFonts w:cs="Arial"/>
        </w:rPr>
      </w:pPr>
    </w:p>
    <w:p w14:paraId="424F92F3" w14:textId="77777777" w:rsidR="006A3DBC" w:rsidRPr="00FA4B2D" w:rsidRDefault="006A3DBC" w:rsidP="006A3DBC">
      <w:pPr>
        <w:rPr>
          <w:rFonts w:cs="Arial"/>
        </w:rPr>
      </w:pPr>
      <w:r w:rsidRPr="00FA4B2D">
        <w:rPr>
          <w:rFonts w:cs="Arial"/>
        </w:rPr>
        <w:br w:type="page"/>
      </w:r>
    </w:p>
    <w:p w14:paraId="01C55F34" w14:textId="77777777" w:rsidR="006A3DBC" w:rsidRPr="00FA4B2D" w:rsidRDefault="006A3DBC" w:rsidP="006A3DBC">
      <w:pPr>
        <w:tabs>
          <w:tab w:val="left" w:pos="1245"/>
        </w:tabs>
        <w:rPr>
          <w:rFonts w:cs="Arial"/>
        </w:rPr>
      </w:pPr>
    </w:p>
    <w:tbl>
      <w:tblPr>
        <w:tblStyle w:val="Tablanormal21"/>
        <w:tblW w:w="0" w:type="auto"/>
        <w:jc w:val="center"/>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1804"/>
        <w:gridCol w:w="1879"/>
        <w:gridCol w:w="3204"/>
        <w:gridCol w:w="1372"/>
      </w:tblGrid>
      <w:tr w:rsidR="006A3DBC" w:rsidRPr="00FA4B2D" w14:paraId="4884E090" w14:textId="77777777" w:rsidTr="00C81834">
        <w:trPr>
          <w:cnfStyle w:val="100000000000" w:firstRow="1" w:lastRow="0" w:firstColumn="0" w:lastColumn="0" w:oddVBand="0" w:evenVBand="0" w:oddHBand="0"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5CC5DA"/>
          </w:tcPr>
          <w:p w14:paraId="0BE20916" w14:textId="77777777" w:rsidR="006A3DBC" w:rsidRPr="00CF0F96" w:rsidRDefault="006A3DBC" w:rsidP="00D30988">
            <w:pPr>
              <w:pStyle w:val="TableParagraph"/>
              <w:ind w:right="605"/>
              <w:jc w:val="center"/>
              <w:rPr>
                <w:rFonts w:ascii="Arial" w:hAnsi="Arial" w:cs="Arial"/>
                <w:b w:val="0"/>
                <w:sz w:val="21"/>
              </w:rPr>
            </w:pPr>
            <w:r w:rsidRPr="00CF0F96">
              <w:rPr>
                <w:rFonts w:ascii="Arial" w:hAnsi="Arial" w:cs="Arial"/>
                <w:b w:val="0"/>
                <w:sz w:val="21"/>
              </w:rPr>
              <w:t>Clase</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5CC5DA"/>
          </w:tcPr>
          <w:p w14:paraId="79835780" w14:textId="77777777" w:rsidR="006A3DBC" w:rsidRPr="00CF0F96" w:rsidRDefault="006A3DBC" w:rsidP="00D30988">
            <w:pPr>
              <w:pStyle w:val="TableParagraph"/>
              <w:jc w:val="center"/>
              <w:rPr>
                <w:rFonts w:ascii="Arial" w:hAnsi="Arial" w:cs="Arial"/>
                <w:b w:val="0"/>
                <w:sz w:val="21"/>
              </w:rPr>
            </w:pPr>
            <w:r w:rsidRPr="00CF0F96">
              <w:rPr>
                <w:rFonts w:ascii="Arial" w:hAnsi="Arial" w:cs="Arial"/>
                <w:b w:val="0"/>
                <w:sz w:val="21"/>
              </w:rPr>
              <w:t>Familia</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5CC5DA"/>
          </w:tcPr>
          <w:p w14:paraId="3EC0B769" w14:textId="77777777" w:rsidR="006A3DBC" w:rsidRPr="00CF0F96" w:rsidRDefault="006A3DBC" w:rsidP="00D30988">
            <w:pPr>
              <w:pStyle w:val="TableParagraph"/>
              <w:ind w:right="1144"/>
              <w:jc w:val="center"/>
              <w:rPr>
                <w:rFonts w:ascii="Arial" w:hAnsi="Arial" w:cs="Arial"/>
                <w:b w:val="0"/>
                <w:sz w:val="21"/>
              </w:rPr>
            </w:pPr>
            <w:r w:rsidRPr="00CF0F96">
              <w:rPr>
                <w:rFonts w:ascii="Arial" w:hAnsi="Arial" w:cs="Arial"/>
                <w:b w:val="0"/>
                <w:sz w:val="21"/>
              </w:rPr>
              <w:t>Especies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5CC5DA"/>
          </w:tcPr>
          <w:p w14:paraId="024913AF" w14:textId="77777777" w:rsidR="006A3DBC" w:rsidRPr="00CF0F96" w:rsidRDefault="006A3DBC" w:rsidP="00D30988">
            <w:pPr>
              <w:pStyle w:val="TableParagraph"/>
              <w:jc w:val="center"/>
              <w:rPr>
                <w:rFonts w:ascii="Arial" w:hAnsi="Arial" w:cs="Arial"/>
                <w:b w:val="0"/>
                <w:sz w:val="21"/>
              </w:rPr>
            </w:pPr>
            <w:r w:rsidRPr="00CF0F96">
              <w:rPr>
                <w:rFonts w:ascii="Arial" w:hAnsi="Arial" w:cs="Arial"/>
                <w:b w:val="0"/>
                <w:w w:val="95"/>
                <w:sz w:val="21"/>
              </w:rPr>
              <w:t>Categoría</w:t>
            </w:r>
          </w:p>
        </w:tc>
      </w:tr>
      <w:tr w:rsidR="006A3DBC" w:rsidRPr="00FA4B2D" w14:paraId="291DA4AB"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2CA7D2CD"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3D4ECED3"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Aquifoliaceae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13615204" w14:textId="77777777" w:rsidR="006A3DBC" w:rsidRPr="00CF0F96" w:rsidRDefault="006A3DBC" w:rsidP="005F4A92">
            <w:pPr>
              <w:pStyle w:val="TableParagraph"/>
              <w:rPr>
                <w:rFonts w:ascii="Arial" w:hAnsi="Arial" w:cs="Arial"/>
                <w:i/>
                <w:sz w:val="21"/>
              </w:rPr>
            </w:pPr>
            <w:r w:rsidRPr="00CF0F96">
              <w:rPr>
                <w:rFonts w:ascii="Arial" w:hAnsi="Arial" w:cs="Arial"/>
                <w:i/>
                <w:sz w:val="21"/>
              </w:rPr>
              <w:t>Ilex williamsii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1794235F"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6A3DBC" w:rsidRPr="00FA4B2D" w14:paraId="099212EA"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7142ED97"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2FA19FE9"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Araliaceae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66807067" w14:textId="77777777" w:rsidR="006A3DBC" w:rsidRPr="00CF0F96" w:rsidRDefault="006A3DBC" w:rsidP="005F4A92">
            <w:pPr>
              <w:pStyle w:val="TableParagraph"/>
              <w:rPr>
                <w:rFonts w:ascii="Arial" w:hAnsi="Arial" w:cs="Arial"/>
                <w:i/>
                <w:sz w:val="21"/>
              </w:rPr>
            </w:pPr>
            <w:r w:rsidRPr="00CF0F96">
              <w:rPr>
                <w:rFonts w:ascii="Arial" w:hAnsi="Arial" w:cs="Arial"/>
                <w:i/>
                <w:sz w:val="21"/>
              </w:rPr>
              <w:t>Dendropanax hondurensis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6865198D"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6A3DBC" w:rsidRPr="00FA4B2D" w14:paraId="376E8243"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43EC4292"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59C2B148"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Araliaceae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1D17F39F" w14:textId="77777777" w:rsidR="006A3DBC" w:rsidRPr="00CF0F96" w:rsidRDefault="006A3DBC" w:rsidP="005F4A92">
            <w:pPr>
              <w:pStyle w:val="TableParagraph"/>
              <w:rPr>
                <w:rFonts w:ascii="Arial" w:hAnsi="Arial" w:cs="Arial"/>
                <w:i/>
                <w:sz w:val="21"/>
              </w:rPr>
            </w:pPr>
            <w:r w:rsidRPr="00CF0F96">
              <w:rPr>
                <w:rFonts w:ascii="Arial" w:hAnsi="Arial" w:cs="Arial"/>
                <w:i/>
                <w:sz w:val="21"/>
              </w:rPr>
              <w:t>Oreopanax echinops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3AE9D3C8"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6A3DBC" w:rsidRPr="00FA4B2D" w14:paraId="39ED2781"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25881FAE"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723419CB"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Araliaceae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53CE7ACE" w14:textId="77777777" w:rsidR="006A3DBC" w:rsidRPr="00CF0F96" w:rsidRDefault="006A3DBC" w:rsidP="005F4A92">
            <w:pPr>
              <w:pStyle w:val="TableParagraph"/>
              <w:rPr>
                <w:rFonts w:ascii="Arial" w:hAnsi="Arial" w:cs="Arial"/>
                <w:i/>
                <w:sz w:val="21"/>
              </w:rPr>
            </w:pPr>
            <w:r w:rsidRPr="00CF0F96">
              <w:rPr>
                <w:rFonts w:ascii="Arial" w:hAnsi="Arial" w:cs="Arial"/>
                <w:i/>
                <w:sz w:val="21"/>
              </w:rPr>
              <w:t>Oreopanax lempiranus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334A06A1"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6A3DBC" w:rsidRPr="00FA4B2D" w14:paraId="483B1ACD"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5A11519C"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6574AE07"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Araliaceae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48453303" w14:textId="77777777" w:rsidR="006A3DBC" w:rsidRPr="00CF0F96" w:rsidRDefault="006A3DBC" w:rsidP="005F4A92">
            <w:pPr>
              <w:pStyle w:val="TableParagraph"/>
              <w:rPr>
                <w:rFonts w:ascii="Arial" w:hAnsi="Arial" w:cs="Arial"/>
                <w:i/>
                <w:sz w:val="21"/>
              </w:rPr>
            </w:pPr>
            <w:r w:rsidRPr="00CF0F96">
              <w:rPr>
                <w:rFonts w:ascii="Arial" w:hAnsi="Arial" w:cs="Arial"/>
                <w:i/>
                <w:sz w:val="21"/>
              </w:rPr>
              <w:t>Oreopanax sanderianus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21C2C638"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6A3DBC" w:rsidRPr="00FA4B2D" w14:paraId="0ADBBE3A"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1E7FF6C1"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2E29FA25"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Avicenniaceae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1B6E217B" w14:textId="77777777" w:rsidR="006A3DBC" w:rsidRPr="00CF0F96" w:rsidRDefault="006A3DBC" w:rsidP="005F4A92">
            <w:pPr>
              <w:pStyle w:val="TableParagraph"/>
              <w:rPr>
                <w:rFonts w:ascii="Arial" w:hAnsi="Arial" w:cs="Arial"/>
                <w:i/>
                <w:sz w:val="21"/>
              </w:rPr>
            </w:pPr>
            <w:r w:rsidRPr="00CF0F96">
              <w:rPr>
                <w:rFonts w:ascii="Arial" w:hAnsi="Arial" w:cs="Arial"/>
                <w:i/>
                <w:sz w:val="21"/>
              </w:rPr>
              <w:t>Avicennia bicolor</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6B071C76"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6A3DBC" w:rsidRPr="00FA4B2D" w14:paraId="037A0C6E"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2B1D6527"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21BE57D8"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Bignoniaceae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1E3CC8AC" w14:textId="77777777" w:rsidR="006A3DBC" w:rsidRPr="00CF0F96" w:rsidRDefault="006A3DBC" w:rsidP="005F4A92">
            <w:pPr>
              <w:pStyle w:val="TableParagraph"/>
              <w:rPr>
                <w:rFonts w:ascii="Arial" w:hAnsi="Arial" w:cs="Arial"/>
                <w:i/>
                <w:sz w:val="21"/>
              </w:rPr>
            </w:pPr>
            <w:r w:rsidRPr="00CF0F96">
              <w:rPr>
                <w:rFonts w:ascii="Arial" w:hAnsi="Arial" w:cs="Arial"/>
                <w:i/>
                <w:sz w:val="21"/>
              </w:rPr>
              <w:t>Amphitecna molinae</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1CEB21BD"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6A3DBC" w:rsidRPr="00FA4B2D" w14:paraId="343762B3"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7C3B9759"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152A24CD"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Bignoniaceae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0CD27C81" w14:textId="77777777" w:rsidR="006A3DBC" w:rsidRPr="00CF0F96" w:rsidRDefault="006A3DBC" w:rsidP="005F4A92">
            <w:pPr>
              <w:pStyle w:val="TableParagraph"/>
              <w:rPr>
                <w:rFonts w:ascii="Arial" w:hAnsi="Arial" w:cs="Arial"/>
                <w:i/>
                <w:sz w:val="21"/>
              </w:rPr>
            </w:pPr>
            <w:r w:rsidRPr="00CF0F96">
              <w:rPr>
                <w:rFonts w:ascii="Arial" w:hAnsi="Arial" w:cs="Arial"/>
                <w:i/>
                <w:sz w:val="21"/>
              </w:rPr>
              <w:t>Chodanthus montecillensis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01FF24E7"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6A3DBC" w:rsidRPr="00FA4B2D" w14:paraId="38E3C547"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4BD22A05"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58A2ED1D"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Boraginaceae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7D6F4F91" w14:textId="77777777" w:rsidR="006A3DBC" w:rsidRPr="00CF0F96" w:rsidRDefault="006A3DBC" w:rsidP="005F4A92">
            <w:pPr>
              <w:pStyle w:val="TableParagraph"/>
              <w:rPr>
                <w:rFonts w:ascii="Arial" w:hAnsi="Arial" w:cs="Arial"/>
                <w:i/>
                <w:sz w:val="21"/>
              </w:rPr>
            </w:pPr>
            <w:r w:rsidRPr="00CF0F96">
              <w:rPr>
                <w:rFonts w:ascii="Arial" w:hAnsi="Arial" w:cs="Arial"/>
                <w:i/>
                <w:sz w:val="21"/>
              </w:rPr>
              <w:t>Varronia urticacea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324C6C4E"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6A3DBC" w:rsidRPr="00FA4B2D" w14:paraId="088E55CB"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1513FF93"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3B406885"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Cactaceae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30F6800C" w14:textId="77777777" w:rsidR="006A3DBC" w:rsidRPr="00CF0F96" w:rsidRDefault="006A3DBC" w:rsidP="005F4A92">
            <w:pPr>
              <w:pStyle w:val="TableParagraph"/>
              <w:spacing w:before="53"/>
              <w:rPr>
                <w:rFonts w:ascii="Arial" w:hAnsi="Arial" w:cs="Arial"/>
                <w:i/>
                <w:sz w:val="21"/>
              </w:rPr>
            </w:pPr>
            <w:r w:rsidRPr="00CF0F96">
              <w:rPr>
                <w:rFonts w:ascii="Arial" w:hAnsi="Arial" w:cs="Arial"/>
                <w:i/>
                <w:sz w:val="21"/>
              </w:rPr>
              <w:t>Hylocereus minutiflorus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7B9B1C01"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6A3DBC" w:rsidRPr="00FA4B2D" w14:paraId="73BDCCF4"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577DF0EF"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1590F6C4"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Cactaceae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75576CEE" w14:textId="77777777" w:rsidR="006A3DBC" w:rsidRPr="00CF0F96" w:rsidRDefault="006A3DBC" w:rsidP="005F4A92">
            <w:pPr>
              <w:pStyle w:val="TableParagraph"/>
              <w:rPr>
                <w:rFonts w:ascii="Arial" w:hAnsi="Arial" w:cs="Arial"/>
                <w:i/>
                <w:sz w:val="21"/>
              </w:rPr>
            </w:pPr>
            <w:r w:rsidRPr="00CF0F96">
              <w:rPr>
                <w:rFonts w:ascii="Arial" w:hAnsi="Arial" w:cs="Arial"/>
                <w:i/>
                <w:sz w:val="21"/>
              </w:rPr>
              <w:t>Mammillaria eichlamii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35FADB5A"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6A3DBC" w:rsidRPr="00FA4B2D" w14:paraId="086AF7EF"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536CB4DC"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0C633E75"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Cactaceae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565FBC82" w14:textId="77777777" w:rsidR="006A3DBC" w:rsidRPr="00CF0F96" w:rsidRDefault="006A3DBC" w:rsidP="005F4A92">
            <w:pPr>
              <w:pStyle w:val="TableParagraph"/>
              <w:rPr>
                <w:rFonts w:ascii="Arial" w:hAnsi="Arial" w:cs="Arial"/>
                <w:i/>
                <w:sz w:val="21"/>
              </w:rPr>
            </w:pPr>
            <w:r w:rsidRPr="00CF0F96">
              <w:rPr>
                <w:rFonts w:ascii="Arial" w:hAnsi="Arial" w:cs="Arial"/>
                <w:i/>
                <w:sz w:val="21"/>
              </w:rPr>
              <w:t>Pachycereus lepidanthus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31CFB54C"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6A3DBC" w:rsidRPr="00FA4B2D" w14:paraId="45AF3C9C"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0AB63EB4"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0C903FAF"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Cactaceae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14E7CA35" w14:textId="77777777" w:rsidR="006A3DBC" w:rsidRPr="00CF0F96" w:rsidRDefault="006A3DBC" w:rsidP="005F4A92">
            <w:pPr>
              <w:pStyle w:val="TableParagraph"/>
              <w:rPr>
                <w:rFonts w:ascii="Arial" w:hAnsi="Arial" w:cs="Arial"/>
                <w:i/>
                <w:sz w:val="21"/>
              </w:rPr>
            </w:pPr>
            <w:r w:rsidRPr="00CF0F96">
              <w:rPr>
                <w:rFonts w:ascii="Arial" w:hAnsi="Arial" w:cs="Arial"/>
                <w:i/>
                <w:sz w:val="21"/>
              </w:rPr>
              <w:t>Peniocereus chiapensis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1B451E7C"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6A3DBC" w:rsidRPr="00FA4B2D" w14:paraId="4527FB5C"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6EB50409"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3168C588"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Caprifoliaceae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1B6EBA6A" w14:textId="77777777" w:rsidR="006A3DBC" w:rsidRPr="00CF0F96" w:rsidRDefault="006A3DBC" w:rsidP="005F4A92">
            <w:pPr>
              <w:pStyle w:val="TableParagraph"/>
              <w:rPr>
                <w:rFonts w:ascii="Arial" w:hAnsi="Arial" w:cs="Arial"/>
                <w:i/>
                <w:sz w:val="21"/>
              </w:rPr>
            </w:pPr>
            <w:r w:rsidRPr="00CF0F96">
              <w:rPr>
                <w:rFonts w:ascii="Arial" w:hAnsi="Arial" w:cs="Arial"/>
                <w:i/>
                <w:sz w:val="21"/>
              </w:rPr>
              <w:t>Viburnum hondurense</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01F23D58"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6A3DBC" w:rsidRPr="00FA4B2D" w14:paraId="2D82A9FF"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29E2E094"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7FCE444F"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Caprifoliaceae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271F93E5" w14:textId="77777777" w:rsidR="006A3DBC" w:rsidRPr="00CF0F96" w:rsidRDefault="006A3DBC" w:rsidP="005F4A92">
            <w:pPr>
              <w:pStyle w:val="TableParagraph"/>
              <w:rPr>
                <w:rFonts w:ascii="Arial" w:hAnsi="Arial" w:cs="Arial"/>
                <w:i/>
                <w:sz w:val="21"/>
              </w:rPr>
            </w:pPr>
            <w:r w:rsidRPr="00CF0F96">
              <w:rPr>
                <w:rFonts w:ascii="Arial" w:hAnsi="Arial" w:cs="Arial"/>
                <w:i/>
                <w:sz w:val="21"/>
              </w:rPr>
              <w:t>Viburnum molinae</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01798226"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6A3DBC" w:rsidRPr="00FA4B2D" w14:paraId="22953158"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08C06C57"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5908F645"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Caprifoliaceae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47DCA126" w14:textId="77777777" w:rsidR="006A3DBC" w:rsidRPr="00CF0F96" w:rsidRDefault="006A3DBC" w:rsidP="005F4A92">
            <w:pPr>
              <w:pStyle w:val="TableParagraph"/>
              <w:rPr>
                <w:rFonts w:ascii="Arial" w:hAnsi="Arial" w:cs="Arial"/>
                <w:i/>
                <w:sz w:val="21"/>
              </w:rPr>
            </w:pPr>
            <w:r w:rsidRPr="00CF0F96">
              <w:rPr>
                <w:rFonts w:ascii="Arial" w:hAnsi="Arial" w:cs="Arial"/>
                <w:i/>
                <w:sz w:val="21"/>
              </w:rPr>
              <w:t>Viburnum subpubescens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761F1C7F"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6A3DBC" w:rsidRPr="00FA4B2D" w14:paraId="54B5B0A8"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5092C486"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298A346E"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Celastraceae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360A1B15" w14:textId="77777777" w:rsidR="006A3DBC" w:rsidRPr="00CF0F96" w:rsidRDefault="006A3DBC" w:rsidP="005F4A92">
            <w:pPr>
              <w:pStyle w:val="TableParagraph"/>
              <w:rPr>
                <w:rFonts w:ascii="Arial" w:hAnsi="Arial" w:cs="Arial"/>
                <w:i/>
                <w:sz w:val="21"/>
              </w:rPr>
            </w:pPr>
            <w:r w:rsidRPr="00CF0F96">
              <w:rPr>
                <w:rFonts w:ascii="Arial" w:hAnsi="Arial" w:cs="Arial"/>
                <w:i/>
                <w:sz w:val="21"/>
              </w:rPr>
              <w:t>Maytenus williamsii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3CBDB42B"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6A3DBC" w:rsidRPr="00FA4B2D" w14:paraId="75023BBF"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59471178"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16760CC7"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Celastraceae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49D4DC26" w14:textId="77777777" w:rsidR="006A3DBC" w:rsidRPr="00CF0F96" w:rsidRDefault="006A3DBC" w:rsidP="005F4A92">
            <w:pPr>
              <w:pStyle w:val="TableParagraph"/>
              <w:rPr>
                <w:rFonts w:ascii="Arial" w:hAnsi="Arial" w:cs="Arial"/>
                <w:i/>
                <w:sz w:val="21"/>
              </w:rPr>
            </w:pPr>
            <w:r w:rsidRPr="00CF0F96">
              <w:rPr>
                <w:rFonts w:ascii="Arial" w:hAnsi="Arial" w:cs="Arial"/>
                <w:i/>
                <w:sz w:val="21"/>
              </w:rPr>
              <w:t>Tontelea hondurensis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060E7DF1"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6A3DBC" w:rsidRPr="00FA4B2D" w14:paraId="7D8D8E6C"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71BB0D3D"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2FF7CAEE"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Combretaceae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5030EA58" w14:textId="77777777" w:rsidR="006A3DBC" w:rsidRPr="00CF0F96" w:rsidRDefault="006A3DBC" w:rsidP="005F4A92">
            <w:pPr>
              <w:pStyle w:val="TableParagraph"/>
              <w:rPr>
                <w:rFonts w:ascii="Arial" w:hAnsi="Arial" w:cs="Arial"/>
                <w:i/>
                <w:sz w:val="21"/>
              </w:rPr>
            </w:pPr>
            <w:r w:rsidRPr="00CF0F96">
              <w:rPr>
                <w:rFonts w:ascii="Arial" w:hAnsi="Arial" w:cs="Arial"/>
                <w:i/>
                <w:sz w:val="21"/>
              </w:rPr>
              <w:t>Terminalia bucidoides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7F9B22A8"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6A3DBC" w:rsidRPr="00FA4B2D" w14:paraId="5FC07624"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3A9DCE21"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52F99C6E"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Connaraceae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4CF31D00" w14:textId="77777777" w:rsidR="006A3DBC" w:rsidRPr="00CF0F96" w:rsidRDefault="006A3DBC" w:rsidP="005F4A92">
            <w:pPr>
              <w:pStyle w:val="TableParagraph"/>
              <w:rPr>
                <w:rFonts w:ascii="Arial" w:hAnsi="Arial" w:cs="Arial"/>
                <w:i/>
                <w:sz w:val="21"/>
              </w:rPr>
            </w:pPr>
            <w:r w:rsidRPr="00CF0F96">
              <w:rPr>
                <w:rFonts w:ascii="Arial" w:hAnsi="Arial" w:cs="Arial"/>
                <w:i/>
                <w:sz w:val="21"/>
              </w:rPr>
              <w:t>Connarus brachybotryosus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25AC5833"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6A3DBC" w:rsidRPr="00FA4B2D" w14:paraId="2EB77D09"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75812635"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76A3A501"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Connaraceae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7EFE0AF9" w14:textId="77777777" w:rsidR="006A3DBC" w:rsidRPr="00CF0F96" w:rsidRDefault="006A3DBC" w:rsidP="005F4A92">
            <w:pPr>
              <w:pStyle w:val="TableParagraph"/>
              <w:rPr>
                <w:rFonts w:ascii="Arial" w:hAnsi="Arial" w:cs="Arial"/>
                <w:i/>
                <w:sz w:val="21"/>
              </w:rPr>
            </w:pPr>
            <w:r w:rsidRPr="00CF0F96">
              <w:rPr>
                <w:rFonts w:ascii="Arial" w:hAnsi="Arial" w:cs="Arial"/>
                <w:i/>
                <w:sz w:val="21"/>
              </w:rPr>
              <w:t>Connarus popenoei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72F7FD26"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6A3DBC" w:rsidRPr="00FA4B2D" w14:paraId="37631A85"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5044A134"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73E9270C"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Cornaceae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528BEB6C" w14:textId="77777777" w:rsidR="006A3DBC" w:rsidRPr="00CF0F96" w:rsidRDefault="006A3DBC" w:rsidP="005F4A92">
            <w:pPr>
              <w:pStyle w:val="TableParagraph"/>
              <w:spacing w:before="53"/>
              <w:rPr>
                <w:rFonts w:ascii="Arial" w:hAnsi="Arial" w:cs="Arial"/>
                <w:i/>
                <w:sz w:val="21"/>
              </w:rPr>
            </w:pPr>
            <w:r w:rsidRPr="00CF0F96">
              <w:rPr>
                <w:rFonts w:ascii="Arial" w:hAnsi="Arial" w:cs="Arial"/>
                <w:i/>
                <w:w w:val="95"/>
                <w:sz w:val="21"/>
              </w:rPr>
              <w:t>Cornus disciflora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5CD37602"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6A3DBC" w:rsidRPr="00FA4B2D" w14:paraId="0087129E"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6FFD3A74"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60B861AF"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Elaeocarpaceae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1C8865FF" w14:textId="77777777" w:rsidR="006A3DBC" w:rsidRPr="00CF0F96" w:rsidRDefault="006A3DBC" w:rsidP="005F4A92">
            <w:pPr>
              <w:pStyle w:val="TableParagraph"/>
              <w:rPr>
                <w:rFonts w:ascii="Arial" w:hAnsi="Arial" w:cs="Arial"/>
                <w:i/>
                <w:sz w:val="21"/>
              </w:rPr>
            </w:pPr>
            <w:r w:rsidRPr="00CF0F96">
              <w:rPr>
                <w:rFonts w:ascii="Arial" w:hAnsi="Arial" w:cs="Arial"/>
                <w:i/>
                <w:sz w:val="21"/>
              </w:rPr>
              <w:t>Sloanea shankii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37BD9EEF"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6A3DBC" w:rsidRPr="00FA4B2D" w14:paraId="4AAA2F19"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58E1D811"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6B2AE582"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Euphorbiaceae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67B38FA8" w14:textId="77777777" w:rsidR="006A3DBC" w:rsidRPr="00CF0F96" w:rsidRDefault="006A3DBC" w:rsidP="005F4A92">
            <w:pPr>
              <w:pStyle w:val="TableParagraph"/>
              <w:rPr>
                <w:rFonts w:ascii="Arial" w:hAnsi="Arial" w:cs="Arial"/>
                <w:i/>
                <w:sz w:val="21"/>
              </w:rPr>
            </w:pPr>
            <w:r w:rsidRPr="00CF0F96">
              <w:rPr>
                <w:rFonts w:ascii="Arial" w:hAnsi="Arial" w:cs="Arial"/>
                <w:i/>
                <w:sz w:val="21"/>
              </w:rPr>
              <w:t>Tetrorchidium brevifolium</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6E9AFB5E"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6A3DBC" w:rsidRPr="00FA4B2D" w14:paraId="704324A1"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7DDDA5EC"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3B3358C1"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Fabaceae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3BE0AE11" w14:textId="77777777" w:rsidR="006A3DBC" w:rsidRPr="00CF0F96" w:rsidRDefault="006A3DBC" w:rsidP="005F4A92">
            <w:pPr>
              <w:pStyle w:val="TableParagraph"/>
              <w:rPr>
                <w:rFonts w:ascii="Arial" w:hAnsi="Arial" w:cs="Arial"/>
                <w:i/>
                <w:sz w:val="21"/>
              </w:rPr>
            </w:pPr>
            <w:r w:rsidRPr="00CF0F96">
              <w:rPr>
                <w:rFonts w:ascii="Arial" w:hAnsi="Arial" w:cs="Arial"/>
                <w:i/>
                <w:sz w:val="21"/>
              </w:rPr>
              <w:t>Abarema oxyphyllidia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3582A6BB"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6A3DBC" w:rsidRPr="00FA4B2D" w14:paraId="0302DACD"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5AE12661"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0A8A34AD"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Fabaceae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731397BA" w14:textId="77777777" w:rsidR="006A3DBC" w:rsidRPr="00CF0F96" w:rsidRDefault="006A3DBC" w:rsidP="005F4A92">
            <w:pPr>
              <w:pStyle w:val="TableParagraph"/>
              <w:rPr>
                <w:rFonts w:ascii="Arial" w:hAnsi="Arial" w:cs="Arial"/>
                <w:i/>
                <w:sz w:val="21"/>
              </w:rPr>
            </w:pPr>
            <w:r w:rsidRPr="00CF0F96">
              <w:rPr>
                <w:rFonts w:ascii="Arial" w:hAnsi="Arial" w:cs="Arial"/>
                <w:i/>
                <w:sz w:val="21"/>
              </w:rPr>
              <w:t>Dalbergia glomerata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51B0B454"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6A3DBC" w:rsidRPr="00FA4B2D" w14:paraId="3C92D7A4"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1F90AD9C"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0C6109ED"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Fabaceae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01C681D3" w14:textId="77777777" w:rsidR="006A3DBC" w:rsidRPr="00CF0F96" w:rsidRDefault="006A3DBC" w:rsidP="005F4A92">
            <w:pPr>
              <w:pStyle w:val="TableParagraph"/>
              <w:rPr>
                <w:rFonts w:ascii="Arial" w:hAnsi="Arial" w:cs="Arial"/>
                <w:i/>
                <w:sz w:val="21"/>
              </w:rPr>
            </w:pPr>
            <w:r w:rsidRPr="00CF0F96">
              <w:rPr>
                <w:rFonts w:ascii="Arial" w:hAnsi="Arial" w:cs="Arial"/>
                <w:i/>
                <w:sz w:val="21"/>
              </w:rPr>
              <w:t>Dalbergia intibucana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376F1C06"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6A3DBC" w:rsidRPr="00FA4B2D" w14:paraId="0D55515E" w14:textId="77777777" w:rsidTr="005F4A92">
        <w:trPr>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686787AA"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66CC83D6"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Fabaceae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4EEA84FA" w14:textId="77777777" w:rsidR="006A3DBC" w:rsidRPr="00CF0F96" w:rsidRDefault="006A3DBC" w:rsidP="005F4A92">
            <w:pPr>
              <w:pStyle w:val="TableParagraph"/>
              <w:rPr>
                <w:rFonts w:ascii="Arial" w:hAnsi="Arial" w:cs="Arial"/>
                <w:i/>
                <w:sz w:val="21"/>
              </w:rPr>
            </w:pPr>
            <w:r w:rsidRPr="00CF0F96">
              <w:rPr>
                <w:rFonts w:ascii="Arial" w:hAnsi="Arial" w:cs="Arial"/>
                <w:i/>
                <w:sz w:val="21"/>
              </w:rPr>
              <w:t>Dalbergia retusa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15FC5BAA"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6A3DBC" w:rsidRPr="00FA4B2D" w14:paraId="3AEE7C2B" w14:textId="77777777" w:rsidTr="005F4A9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1D1F3700"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518DC926"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Fabaceae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476AA1F4" w14:textId="77777777" w:rsidR="006A3DBC" w:rsidRPr="00CF0F96" w:rsidRDefault="006A3DBC" w:rsidP="005F4A92">
            <w:pPr>
              <w:pStyle w:val="TableParagraph"/>
              <w:rPr>
                <w:rFonts w:ascii="Arial" w:hAnsi="Arial" w:cs="Arial"/>
                <w:i/>
                <w:sz w:val="21"/>
              </w:rPr>
            </w:pPr>
            <w:r w:rsidRPr="00CF0F96">
              <w:rPr>
                <w:rFonts w:ascii="Arial" w:hAnsi="Arial" w:cs="Arial"/>
                <w:i/>
                <w:sz w:val="21"/>
              </w:rPr>
              <w:t>Leucaena lempirana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60D3DDBD"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6A3DBC" w:rsidRPr="00FA4B2D" w14:paraId="12F5FF2E" w14:textId="77777777" w:rsidTr="005F4A92">
        <w:trPr>
          <w:cnfStyle w:val="010000000000" w:firstRow="0" w:lastRow="1" w:firstColumn="0" w:lastColumn="0" w:oddVBand="0" w:evenVBand="0" w:oddHBand="0"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6A1E55A9"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28C91EA5" w14:textId="77777777" w:rsidR="006A3DBC" w:rsidRPr="00CF0F96" w:rsidRDefault="006A3DBC" w:rsidP="005F4A92">
            <w:pPr>
              <w:pStyle w:val="TableParagraph"/>
              <w:spacing w:before="54"/>
              <w:rPr>
                <w:rFonts w:ascii="Arial" w:hAnsi="Arial" w:cs="Arial"/>
                <w:b w:val="0"/>
                <w:bCs w:val="0"/>
                <w:sz w:val="21"/>
              </w:rPr>
            </w:pPr>
            <w:r w:rsidRPr="00CF0F96">
              <w:rPr>
                <w:rFonts w:ascii="Arial" w:hAnsi="Arial" w:cs="Arial"/>
                <w:b w:val="0"/>
                <w:bCs w:val="0"/>
                <w:sz w:val="21"/>
              </w:rPr>
              <w:t>Fabaceae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46A96925" w14:textId="77777777" w:rsidR="006A3DBC" w:rsidRPr="00CF0F96" w:rsidRDefault="006A3DBC" w:rsidP="005F4A92">
            <w:pPr>
              <w:pStyle w:val="TableParagraph"/>
              <w:rPr>
                <w:rFonts w:ascii="Arial" w:hAnsi="Arial" w:cs="Arial"/>
                <w:b w:val="0"/>
                <w:bCs w:val="0"/>
                <w:i/>
                <w:sz w:val="21"/>
              </w:rPr>
            </w:pPr>
            <w:r w:rsidRPr="00CF0F96">
              <w:rPr>
                <w:rFonts w:ascii="Arial" w:hAnsi="Arial" w:cs="Arial"/>
                <w:b w:val="0"/>
                <w:bCs w:val="0"/>
                <w:i/>
                <w:sz w:val="21"/>
              </w:rPr>
              <w:t>Lonchocarpus molinae</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6C339C09"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bl>
    <w:p w14:paraId="024B4F92" w14:textId="77777777" w:rsidR="006A3DBC" w:rsidRPr="00FA4B2D" w:rsidRDefault="006A3DBC" w:rsidP="006A3DBC">
      <w:pPr>
        <w:tabs>
          <w:tab w:val="left" w:pos="1245"/>
        </w:tabs>
        <w:rPr>
          <w:rFonts w:cs="Arial"/>
        </w:rPr>
      </w:pPr>
    </w:p>
    <w:p w14:paraId="1E384EEF" w14:textId="77777777" w:rsidR="006A3DBC" w:rsidRPr="00FA4B2D" w:rsidRDefault="006A3DBC" w:rsidP="006A3DBC">
      <w:pPr>
        <w:tabs>
          <w:tab w:val="left" w:pos="1245"/>
        </w:tabs>
        <w:rPr>
          <w:rFonts w:cs="Arial"/>
        </w:rPr>
      </w:pPr>
    </w:p>
    <w:tbl>
      <w:tblPr>
        <w:tblStyle w:val="Tablanormal21"/>
        <w:tblW w:w="8259" w:type="dxa"/>
        <w:tblInd w:w="-10"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1804"/>
        <w:gridCol w:w="1879"/>
        <w:gridCol w:w="3204"/>
        <w:gridCol w:w="1372"/>
      </w:tblGrid>
      <w:tr w:rsidR="00EB6102" w:rsidRPr="00FA4B2D" w14:paraId="2E099216" w14:textId="77777777" w:rsidTr="00C81834">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5CC5DA"/>
          </w:tcPr>
          <w:p w14:paraId="7138F7D2" w14:textId="77777777" w:rsidR="006A3DBC" w:rsidRPr="00CF0F96" w:rsidRDefault="006A3DBC" w:rsidP="00D30988">
            <w:pPr>
              <w:pStyle w:val="TableParagraph"/>
              <w:ind w:right="605"/>
              <w:jc w:val="center"/>
              <w:rPr>
                <w:rFonts w:ascii="Arial" w:hAnsi="Arial" w:cs="Arial"/>
                <w:b w:val="0"/>
                <w:sz w:val="21"/>
              </w:rPr>
            </w:pPr>
            <w:r w:rsidRPr="00CF0F96">
              <w:rPr>
                <w:rFonts w:ascii="Arial" w:hAnsi="Arial" w:cs="Arial"/>
                <w:b w:val="0"/>
                <w:sz w:val="21"/>
              </w:rPr>
              <w:t>Clase</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5CC5DA"/>
          </w:tcPr>
          <w:p w14:paraId="318831B2" w14:textId="77777777" w:rsidR="006A3DBC" w:rsidRPr="00CF0F96" w:rsidRDefault="006A3DBC" w:rsidP="00D30988">
            <w:pPr>
              <w:pStyle w:val="TableParagraph"/>
              <w:jc w:val="center"/>
              <w:rPr>
                <w:rFonts w:ascii="Arial" w:hAnsi="Arial" w:cs="Arial"/>
                <w:b w:val="0"/>
                <w:sz w:val="21"/>
              </w:rPr>
            </w:pPr>
            <w:r w:rsidRPr="00CF0F96">
              <w:rPr>
                <w:rFonts w:ascii="Arial" w:hAnsi="Arial" w:cs="Arial"/>
                <w:b w:val="0"/>
                <w:sz w:val="21"/>
              </w:rPr>
              <w:t>Familia</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5CC5DA"/>
          </w:tcPr>
          <w:p w14:paraId="50E73DA0" w14:textId="77777777" w:rsidR="006A3DBC" w:rsidRPr="00CF0F96" w:rsidRDefault="006A3DBC" w:rsidP="00D30988">
            <w:pPr>
              <w:pStyle w:val="TableParagraph"/>
              <w:ind w:right="1144"/>
              <w:jc w:val="center"/>
              <w:rPr>
                <w:rFonts w:ascii="Arial" w:hAnsi="Arial" w:cs="Arial"/>
                <w:b w:val="0"/>
                <w:sz w:val="21"/>
              </w:rPr>
            </w:pPr>
            <w:r w:rsidRPr="00CF0F96">
              <w:rPr>
                <w:rFonts w:ascii="Arial" w:hAnsi="Arial" w:cs="Arial"/>
                <w:b w:val="0"/>
                <w:sz w:val="21"/>
              </w:rPr>
              <w:t>Especies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5CC5DA"/>
          </w:tcPr>
          <w:p w14:paraId="5233F34C" w14:textId="77777777" w:rsidR="006A3DBC" w:rsidRPr="00CF0F96" w:rsidRDefault="006A3DBC" w:rsidP="00D30988">
            <w:pPr>
              <w:pStyle w:val="TableParagraph"/>
              <w:jc w:val="center"/>
              <w:rPr>
                <w:rFonts w:ascii="Arial" w:hAnsi="Arial" w:cs="Arial"/>
                <w:b w:val="0"/>
                <w:sz w:val="21"/>
              </w:rPr>
            </w:pPr>
            <w:r w:rsidRPr="00CF0F96">
              <w:rPr>
                <w:rFonts w:ascii="Arial" w:hAnsi="Arial" w:cs="Arial"/>
                <w:b w:val="0"/>
                <w:w w:val="95"/>
                <w:sz w:val="21"/>
              </w:rPr>
              <w:t>Categoría</w:t>
            </w:r>
          </w:p>
        </w:tc>
      </w:tr>
      <w:tr w:rsidR="00EB6102" w:rsidRPr="00FA4B2D" w14:paraId="2B53582F"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403629EA"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78F2BA44"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Fabaceae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12E0AEC1" w14:textId="77777777" w:rsidR="006A3DBC" w:rsidRPr="00CF0F96" w:rsidRDefault="006A3DBC" w:rsidP="005F4A92">
            <w:pPr>
              <w:pStyle w:val="TableParagraph"/>
              <w:rPr>
                <w:rFonts w:ascii="Arial" w:hAnsi="Arial" w:cs="Arial"/>
                <w:i/>
                <w:sz w:val="21"/>
              </w:rPr>
            </w:pPr>
            <w:r w:rsidRPr="00CF0F96">
              <w:rPr>
                <w:rFonts w:ascii="Arial" w:hAnsi="Arial" w:cs="Arial"/>
                <w:i/>
                <w:sz w:val="21"/>
              </w:rPr>
              <w:t>Lonchocarpus phaseolifolius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509CD2E4"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6A3DBC" w:rsidRPr="00FA4B2D" w14:paraId="75368E6E"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376AD75F"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18D51841"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Fabaceae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421026B1" w14:textId="77777777" w:rsidR="006A3DBC" w:rsidRPr="00CF0F96" w:rsidRDefault="006A3DBC" w:rsidP="005F4A92">
            <w:pPr>
              <w:pStyle w:val="TableParagraph"/>
              <w:rPr>
                <w:rFonts w:ascii="Arial" w:hAnsi="Arial" w:cs="Arial"/>
                <w:i/>
                <w:sz w:val="21"/>
              </w:rPr>
            </w:pPr>
            <w:r w:rsidRPr="00CF0F96">
              <w:rPr>
                <w:rFonts w:ascii="Arial" w:hAnsi="Arial" w:cs="Arial"/>
                <w:i/>
                <w:sz w:val="21"/>
              </w:rPr>
              <w:t>Lonchocarpus phlebophyllus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00A92D2C"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EB6102" w:rsidRPr="00FA4B2D" w14:paraId="166446FB"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4902FA90"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12533B36"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Fabaceae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1E133261" w14:textId="77777777" w:rsidR="006A3DBC" w:rsidRPr="00CF0F96" w:rsidRDefault="006A3DBC" w:rsidP="005F4A92">
            <w:pPr>
              <w:pStyle w:val="TableParagraph"/>
              <w:rPr>
                <w:rFonts w:ascii="Arial" w:hAnsi="Arial" w:cs="Arial"/>
                <w:i/>
                <w:sz w:val="21"/>
              </w:rPr>
            </w:pPr>
            <w:r w:rsidRPr="00CF0F96">
              <w:rPr>
                <w:rFonts w:ascii="Arial" w:hAnsi="Arial" w:cs="Arial"/>
                <w:i/>
                <w:sz w:val="21"/>
              </w:rPr>
              <w:t>Lonchocarpus retiferus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618069B6"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6A3DBC" w:rsidRPr="00FA4B2D" w14:paraId="7122C64B"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2003D930"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4EAFBD49"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Fabaceae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46FD71DC" w14:textId="77777777" w:rsidR="006A3DBC" w:rsidRPr="00CF0F96" w:rsidRDefault="006A3DBC" w:rsidP="005F4A92">
            <w:pPr>
              <w:pStyle w:val="TableParagraph"/>
              <w:rPr>
                <w:rFonts w:ascii="Arial" w:hAnsi="Arial" w:cs="Arial"/>
                <w:i/>
                <w:sz w:val="21"/>
              </w:rPr>
            </w:pPr>
            <w:r w:rsidRPr="00CF0F96">
              <w:rPr>
                <w:rFonts w:ascii="Arial" w:hAnsi="Arial" w:cs="Arial"/>
                <w:i/>
                <w:sz w:val="21"/>
              </w:rPr>
              <w:t>Lonchocarpus sanctuarii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0405E4AF"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EB6102" w:rsidRPr="00FA4B2D" w14:paraId="701A857D"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5E1E1857"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4398AD6D"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Fabaceae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5342170C" w14:textId="77777777" w:rsidR="006A3DBC" w:rsidRPr="00CF0F96" w:rsidRDefault="006A3DBC" w:rsidP="005F4A92">
            <w:pPr>
              <w:pStyle w:val="TableParagraph"/>
              <w:rPr>
                <w:rFonts w:ascii="Arial" w:hAnsi="Arial" w:cs="Arial"/>
                <w:i/>
                <w:sz w:val="21"/>
              </w:rPr>
            </w:pPr>
            <w:r w:rsidRPr="00CF0F96">
              <w:rPr>
                <w:rFonts w:ascii="Arial" w:hAnsi="Arial" w:cs="Arial"/>
                <w:i/>
                <w:sz w:val="21"/>
              </w:rPr>
              <w:t>Lonchocarpus trifolius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297B0924"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6A3DBC" w:rsidRPr="00FA4B2D" w14:paraId="6738368A"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447FFD54"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7D264F29"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Fabaceae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41B7DB52" w14:textId="77777777" w:rsidR="006A3DBC" w:rsidRPr="00CF0F96" w:rsidRDefault="006A3DBC" w:rsidP="005F4A92">
            <w:pPr>
              <w:pStyle w:val="TableParagraph"/>
              <w:rPr>
                <w:rFonts w:ascii="Arial" w:hAnsi="Arial" w:cs="Arial"/>
                <w:i/>
                <w:sz w:val="21"/>
              </w:rPr>
            </w:pPr>
            <w:r w:rsidRPr="00CF0F96">
              <w:rPr>
                <w:rFonts w:ascii="Arial" w:hAnsi="Arial" w:cs="Arial"/>
                <w:i/>
                <w:sz w:val="21"/>
              </w:rPr>
              <w:t>Lonchocarpus yoroensis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4565A358"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EB6102" w:rsidRPr="00FA4B2D" w14:paraId="19002A76"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72914896"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4A9A9761"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Fabaceae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27AE4BDE" w14:textId="77777777" w:rsidR="006A3DBC" w:rsidRPr="00CF0F96" w:rsidRDefault="006A3DBC" w:rsidP="005F4A92">
            <w:pPr>
              <w:pStyle w:val="TableParagraph"/>
              <w:rPr>
                <w:rFonts w:ascii="Arial" w:hAnsi="Arial" w:cs="Arial"/>
                <w:i/>
                <w:sz w:val="21"/>
              </w:rPr>
            </w:pPr>
            <w:r w:rsidRPr="00CF0F96">
              <w:rPr>
                <w:rFonts w:ascii="Arial" w:hAnsi="Arial" w:cs="Arial"/>
                <w:i/>
                <w:sz w:val="21"/>
              </w:rPr>
              <w:t>Machaerium nicaraguense</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64A13F24"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6A3DBC" w:rsidRPr="00FA4B2D" w14:paraId="11A7BAE7"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3669B74D"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10A9D4ED"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Fabaceae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5E5A344E" w14:textId="77777777" w:rsidR="006A3DBC" w:rsidRPr="00CF0F96" w:rsidRDefault="006A3DBC" w:rsidP="005F4A92">
            <w:pPr>
              <w:pStyle w:val="TableParagraph"/>
              <w:rPr>
                <w:rFonts w:ascii="Arial" w:hAnsi="Arial" w:cs="Arial"/>
                <w:i/>
                <w:sz w:val="21"/>
              </w:rPr>
            </w:pPr>
            <w:r w:rsidRPr="00CF0F96">
              <w:rPr>
                <w:rFonts w:ascii="Arial" w:hAnsi="Arial" w:cs="Arial"/>
                <w:i/>
                <w:sz w:val="21"/>
              </w:rPr>
              <w:t>Pithecellobium johansenii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4595749E"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EB6102" w:rsidRPr="00FA4B2D" w14:paraId="534BC7CB"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6AB9D9CD"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76E57BEA"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Fabaceae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5CCFB62B" w14:textId="77777777" w:rsidR="006A3DBC" w:rsidRPr="00CF0F96" w:rsidRDefault="006A3DBC" w:rsidP="005F4A92">
            <w:pPr>
              <w:pStyle w:val="TableParagraph"/>
              <w:rPr>
                <w:rFonts w:ascii="Arial" w:hAnsi="Arial" w:cs="Arial"/>
                <w:i/>
                <w:sz w:val="21"/>
              </w:rPr>
            </w:pPr>
            <w:r w:rsidRPr="00CF0F96">
              <w:rPr>
                <w:rFonts w:ascii="Arial" w:hAnsi="Arial" w:cs="Arial"/>
                <w:i/>
                <w:sz w:val="21"/>
              </w:rPr>
              <w:t>Pithecellobium saxosum</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278C7AB2"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6A3DBC" w:rsidRPr="00FA4B2D" w14:paraId="052BD84C"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1D3C9B61"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3921898B"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Fabaceae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56A660E7" w14:textId="77777777" w:rsidR="006A3DBC" w:rsidRPr="00CF0F96" w:rsidRDefault="006A3DBC" w:rsidP="005F4A92">
            <w:pPr>
              <w:pStyle w:val="TableParagraph"/>
              <w:rPr>
                <w:rFonts w:ascii="Arial" w:hAnsi="Arial" w:cs="Arial"/>
                <w:i/>
                <w:sz w:val="21"/>
              </w:rPr>
            </w:pPr>
            <w:r w:rsidRPr="00CF0F96">
              <w:rPr>
                <w:rFonts w:ascii="Arial" w:hAnsi="Arial" w:cs="Arial"/>
                <w:i/>
                <w:sz w:val="21"/>
              </w:rPr>
              <w:t>Pithecellobium stevensonii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47E05BBA"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EB6102" w:rsidRPr="00FA4B2D" w14:paraId="11656C45"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7E159A65"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1DD11D23"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Fabaceae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7A5798B6" w14:textId="77777777" w:rsidR="006A3DBC" w:rsidRPr="00CF0F96" w:rsidRDefault="006A3DBC" w:rsidP="005F4A92">
            <w:pPr>
              <w:pStyle w:val="TableParagraph"/>
              <w:rPr>
                <w:rFonts w:ascii="Arial" w:hAnsi="Arial" w:cs="Arial"/>
                <w:i/>
                <w:sz w:val="21"/>
              </w:rPr>
            </w:pPr>
            <w:r w:rsidRPr="00CF0F96">
              <w:rPr>
                <w:rFonts w:ascii="Arial" w:hAnsi="Arial" w:cs="Arial"/>
                <w:i/>
                <w:sz w:val="21"/>
              </w:rPr>
              <w:t>Platymiscium albertinae</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0D8A6586"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6A3DBC" w:rsidRPr="00FA4B2D" w14:paraId="480AD4F7"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7AF75B72"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7E7C1015"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Fabaceae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7881F694" w14:textId="77777777" w:rsidR="006A3DBC" w:rsidRPr="00CF0F96" w:rsidRDefault="006A3DBC" w:rsidP="005F4A92">
            <w:pPr>
              <w:pStyle w:val="TableParagraph"/>
              <w:rPr>
                <w:rFonts w:ascii="Arial" w:hAnsi="Arial" w:cs="Arial"/>
                <w:i/>
                <w:sz w:val="21"/>
              </w:rPr>
            </w:pPr>
            <w:r w:rsidRPr="00CF0F96">
              <w:rPr>
                <w:rFonts w:ascii="Arial" w:hAnsi="Arial" w:cs="Arial"/>
                <w:i/>
                <w:sz w:val="21"/>
              </w:rPr>
              <w:t>Terua vallicola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2CDD7CD5"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EB6102" w:rsidRPr="00FA4B2D" w14:paraId="110DD72C"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6298DC8C"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1D51D861"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Fagaceae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67E6BBD5" w14:textId="77777777" w:rsidR="006A3DBC" w:rsidRPr="00CF0F96" w:rsidRDefault="006A3DBC" w:rsidP="005F4A92">
            <w:pPr>
              <w:pStyle w:val="TableParagraph"/>
              <w:rPr>
                <w:rFonts w:ascii="Arial" w:hAnsi="Arial" w:cs="Arial"/>
                <w:i/>
                <w:sz w:val="21"/>
              </w:rPr>
            </w:pPr>
            <w:r w:rsidRPr="00CF0F96">
              <w:rPr>
                <w:rFonts w:ascii="Arial" w:hAnsi="Arial" w:cs="Arial"/>
                <w:i/>
                <w:sz w:val="21"/>
              </w:rPr>
              <w:t>Quercus acutifolia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19C0B5DE"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6A3DBC" w:rsidRPr="00FA4B2D" w14:paraId="16F2A51D"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5B047E70"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56736527"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Fagaceae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23FC7A89" w14:textId="77777777" w:rsidR="006A3DBC" w:rsidRPr="00CF0F96" w:rsidRDefault="006A3DBC" w:rsidP="005F4A92">
            <w:pPr>
              <w:pStyle w:val="TableParagraph"/>
              <w:rPr>
                <w:rFonts w:ascii="Arial" w:hAnsi="Arial" w:cs="Arial"/>
                <w:i/>
                <w:sz w:val="21"/>
              </w:rPr>
            </w:pPr>
            <w:r w:rsidRPr="00CF0F96">
              <w:rPr>
                <w:rFonts w:ascii="Arial" w:hAnsi="Arial" w:cs="Arial"/>
                <w:i/>
                <w:sz w:val="21"/>
              </w:rPr>
              <w:t>Quercus bumelioides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27F5ACCB"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EB6102" w:rsidRPr="00FA4B2D" w14:paraId="02B26E52"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75B51A4E"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3FBF1B32"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Fagaceae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2183268E" w14:textId="77777777" w:rsidR="006A3DBC" w:rsidRPr="00CF0F96" w:rsidRDefault="006A3DBC" w:rsidP="005F4A92">
            <w:pPr>
              <w:pStyle w:val="TableParagraph"/>
              <w:rPr>
                <w:rFonts w:ascii="Arial" w:hAnsi="Arial" w:cs="Arial"/>
                <w:i/>
                <w:sz w:val="21"/>
              </w:rPr>
            </w:pPr>
            <w:r w:rsidRPr="00CF0F96">
              <w:rPr>
                <w:rFonts w:ascii="Arial" w:hAnsi="Arial" w:cs="Arial"/>
                <w:i/>
                <w:sz w:val="21"/>
              </w:rPr>
              <w:t>Quercus purulhana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3F6AE3D0"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6A3DBC" w:rsidRPr="00FA4B2D" w14:paraId="384E9E62"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123EE568"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11F3814E"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Fagaceae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45B4527F" w14:textId="77777777" w:rsidR="006A3DBC" w:rsidRPr="00CF0F96" w:rsidRDefault="006A3DBC" w:rsidP="005F4A92">
            <w:pPr>
              <w:pStyle w:val="TableParagraph"/>
              <w:rPr>
                <w:rFonts w:ascii="Arial" w:hAnsi="Arial" w:cs="Arial"/>
                <w:i/>
                <w:sz w:val="21"/>
              </w:rPr>
            </w:pPr>
            <w:r w:rsidRPr="00CF0F96">
              <w:rPr>
                <w:rFonts w:ascii="Arial" w:hAnsi="Arial" w:cs="Arial"/>
                <w:i/>
                <w:sz w:val="21"/>
              </w:rPr>
              <w:t>Quercus skinneri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31CD9EB7"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EB6102" w:rsidRPr="00FA4B2D" w14:paraId="1C2D1853"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3B1EEF84"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2CD77398"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Flacourtiaceae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607A637C" w14:textId="77777777" w:rsidR="006A3DBC" w:rsidRPr="00CF0F96" w:rsidRDefault="006A3DBC" w:rsidP="005F4A92">
            <w:pPr>
              <w:pStyle w:val="TableParagraph"/>
              <w:rPr>
                <w:rFonts w:ascii="Arial" w:hAnsi="Arial" w:cs="Arial"/>
                <w:i/>
                <w:sz w:val="21"/>
              </w:rPr>
            </w:pPr>
            <w:r w:rsidRPr="00CF0F96">
              <w:rPr>
                <w:rFonts w:ascii="Arial" w:hAnsi="Arial" w:cs="Arial"/>
                <w:i/>
                <w:sz w:val="21"/>
              </w:rPr>
              <w:t>Casearia williamsiana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52478102"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6A3DBC" w:rsidRPr="00FA4B2D" w14:paraId="15DB2ECB"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090ADF87"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012DFA70"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Hamamelidaceae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5BED5D99" w14:textId="77777777" w:rsidR="006A3DBC" w:rsidRPr="00CF0F96" w:rsidRDefault="006A3DBC" w:rsidP="005F4A92">
            <w:pPr>
              <w:pStyle w:val="TableParagraph"/>
              <w:rPr>
                <w:rFonts w:ascii="Arial" w:hAnsi="Arial" w:cs="Arial"/>
                <w:i/>
                <w:sz w:val="21"/>
              </w:rPr>
            </w:pPr>
            <w:r w:rsidRPr="00CF0F96">
              <w:rPr>
                <w:rFonts w:ascii="Arial" w:hAnsi="Arial" w:cs="Arial"/>
                <w:i/>
                <w:sz w:val="21"/>
              </w:rPr>
              <w:t>Molinadendron hondurense</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3C2C984A"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EB6102" w:rsidRPr="00FA4B2D" w14:paraId="1A41AFB3"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149EE868"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2F469C46"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Hernandiaceae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42E5EFA3" w14:textId="77777777" w:rsidR="006A3DBC" w:rsidRPr="00CF0F96" w:rsidRDefault="006A3DBC" w:rsidP="005F4A92">
            <w:pPr>
              <w:pStyle w:val="TableParagraph"/>
              <w:rPr>
                <w:rFonts w:ascii="Arial" w:hAnsi="Arial" w:cs="Arial"/>
                <w:i/>
                <w:sz w:val="21"/>
              </w:rPr>
            </w:pPr>
            <w:r w:rsidRPr="00CF0F96">
              <w:rPr>
                <w:rFonts w:ascii="Arial" w:hAnsi="Arial" w:cs="Arial"/>
                <w:i/>
                <w:sz w:val="21"/>
              </w:rPr>
              <w:t>Hernandia didymantha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0A2721A0"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6A3DBC" w:rsidRPr="00FA4B2D" w14:paraId="2F45C337"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64FE1ED2"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03F1525B"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Juglandaceae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5BF12E65" w14:textId="77777777" w:rsidR="006A3DBC" w:rsidRPr="00CF0F96" w:rsidRDefault="006A3DBC" w:rsidP="005F4A92">
            <w:pPr>
              <w:pStyle w:val="TableParagraph"/>
              <w:rPr>
                <w:rFonts w:ascii="Arial" w:hAnsi="Arial" w:cs="Arial"/>
                <w:i/>
                <w:sz w:val="21"/>
              </w:rPr>
            </w:pPr>
            <w:r w:rsidRPr="00CF0F96">
              <w:rPr>
                <w:rFonts w:ascii="Arial" w:hAnsi="Arial" w:cs="Arial"/>
                <w:i/>
                <w:sz w:val="21"/>
              </w:rPr>
              <w:t>Alfaroa hondurensis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4E8DC184"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EB6102" w:rsidRPr="00FA4B2D" w14:paraId="4196166B"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225EDBCA"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2C22A0D0"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Juglandaceae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47800987" w14:textId="77777777" w:rsidR="006A3DBC" w:rsidRPr="00CF0F96" w:rsidRDefault="006A3DBC" w:rsidP="005F4A92">
            <w:pPr>
              <w:pStyle w:val="TableParagraph"/>
              <w:rPr>
                <w:rFonts w:ascii="Arial" w:hAnsi="Arial" w:cs="Arial"/>
                <w:i/>
                <w:sz w:val="21"/>
              </w:rPr>
            </w:pPr>
            <w:r w:rsidRPr="00CF0F96">
              <w:rPr>
                <w:rFonts w:ascii="Arial" w:hAnsi="Arial" w:cs="Arial"/>
                <w:i/>
                <w:sz w:val="21"/>
              </w:rPr>
              <w:t>Juglans olanchana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15FA6234"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6A3DBC" w:rsidRPr="00FA4B2D" w14:paraId="62BC8033"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35E6E32F"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75A65385"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Lauraceae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08DF002B" w14:textId="77777777" w:rsidR="006A3DBC" w:rsidRPr="00CF0F96" w:rsidRDefault="006A3DBC" w:rsidP="005F4A92">
            <w:pPr>
              <w:pStyle w:val="TableParagraph"/>
              <w:rPr>
                <w:rFonts w:ascii="Arial" w:hAnsi="Arial" w:cs="Arial"/>
                <w:i/>
                <w:sz w:val="21"/>
              </w:rPr>
            </w:pPr>
            <w:r w:rsidRPr="00CF0F96">
              <w:rPr>
                <w:rFonts w:ascii="Arial" w:hAnsi="Arial" w:cs="Arial"/>
                <w:i/>
                <w:sz w:val="21"/>
              </w:rPr>
              <w:t>Ocotea jorge-escobarii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6E1625FE"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EB6102" w:rsidRPr="00FA4B2D" w14:paraId="4AE57C0F"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748F1956"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30CBFF44"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Lauraceae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1D0C9378" w14:textId="77777777" w:rsidR="006A3DBC" w:rsidRPr="00CF0F96" w:rsidRDefault="006A3DBC" w:rsidP="005F4A92">
            <w:pPr>
              <w:pStyle w:val="TableParagraph"/>
              <w:rPr>
                <w:rFonts w:ascii="Arial" w:hAnsi="Arial" w:cs="Arial"/>
                <w:i/>
                <w:sz w:val="21"/>
              </w:rPr>
            </w:pPr>
            <w:r w:rsidRPr="00CF0F96">
              <w:rPr>
                <w:rFonts w:ascii="Arial" w:hAnsi="Arial" w:cs="Arial"/>
                <w:i/>
                <w:sz w:val="21"/>
              </w:rPr>
              <w:t>Persea albida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06822C2D"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6A3DBC" w:rsidRPr="00FA4B2D" w14:paraId="24BEFD50"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60D530C0"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6DBC25C4"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Lauraceae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6601BF3F" w14:textId="77777777" w:rsidR="006A3DBC" w:rsidRPr="00CF0F96" w:rsidRDefault="006A3DBC" w:rsidP="005F4A92">
            <w:pPr>
              <w:pStyle w:val="TableParagraph"/>
              <w:rPr>
                <w:rFonts w:ascii="Arial" w:hAnsi="Arial" w:cs="Arial"/>
                <w:i/>
                <w:sz w:val="21"/>
              </w:rPr>
            </w:pPr>
            <w:r w:rsidRPr="00CF0F96">
              <w:rPr>
                <w:rFonts w:ascii="Arial" w:hAnsi="Arial" w:cs="Arial"/>
                <w:i/>
                <w:sz w:val="21"/>
              </w:rPr>
              <w:t>Persea donnell-smithii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6C12B537"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EB6102" w:rsidRPr="00FA4B2D" w14:paraId="01CBDD99"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4E08A321"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3C670440"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Lauraceae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571AEE3B" w14:textId="77777777" w:rsidR="006A3DBC" w:rsidRPr="00CF0F96" w:rsidRDefault="006A3DBC" w:rsidP="005F4A92">
            <w:pPr>
              <w:pStyle w:val="TableParagraph"/>
              <w:rPr>
                <w:rFonts w:ascii="Arial" w:hAnsi="Arial" w:cs="Arial"/>
                <w:i/>
                <w:sz w:val="21"/>
              </w:rPr>
            </w:pPr>
            <w:r w:rsidRPr="00CF0F96">
              <w:rPr>
                <w:rFonts w:ascii="Arial" w:hAnsi="Arial" w:cs="Arial"/>
                <w:i/>
                <w:sz w:val="21"/>
              </w:rPr>
              <w:t>Persea schiedeana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3F322540"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6A3DBC" w:rsidRPr="00FA4B2D" w14:paraId="7C780520"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0500E5CA"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0E7C3A80"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Lauraceae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4EDCE8E0" w14:textId="77777777" w:rsidR="006A3DBC" w:rsidRPr="00CF0F96" w:rsidRDefault="006A3DBC" w:rsidP="005F4A92">
            <w:pPr>
              <w:pStyle w:val="TableParagraph"/>
              <w:rPr>
                <w:rFonts w:ascii="Arial" w:hAnsi="Arial" w:cs="Arial"/>
                <w:i/>
                <w:sz w:val="21"/>
              </w:rPr>
            </w:pPr>
            <w:r w:rsidRPr="00CF0F96">
              <w:rPr>
                <w:rFonts w:ascii="Arial" w:hAnsi="Arial" w:cs="Arial"/>
                <w:i/>
                <w:sz w:val="21"/>
              </w:rPr>
              <w:t>Pleurothyrium roberto-andinoi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0BDEC6A9"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EB6102" w:rsidRPr="00FA4B2D" w14:paraId="20CA725B"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2369A49F"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26DD3550"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Magnoliaceae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0F5317D4" w14:textId="77777777" w:rsidR="006A3DBC" w:rsidRPr="00CF0F96" w:rsidRDefault="006A3DBC" w:rsidP="005F4A92">
            <w:pPr>
              <w:pStyle w:val="TableParagraph"/>
              <w:rPr>
                <w:rFonts w:ascii="Arial" w:hAnsi="Arial" w:cs="Arial"/>
                <w:i/>
                <w:sz w:val="21"/>
              </w:rPr>
            </w:pPr>
            <w:r w:rsidRPr="00CF0F96">
              <w:rPr>
                <w:rFonts w:ascii="Arial" w:hAnsi="Arial" w:cs="Arial"/>
                <w:i/>
                <w:sz w:val="21"/>
              </w:rPr>
              <w:t>Magnolia yoroconte</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01C5EAB9"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6A3DBC" w:rsidRPr="00FA4B2D" w14:paraId="5C15EDAE" w14:textId="77777777" w:rsidTr="005F4A92">
        <w:trPr>
          <w:cnfStyle w:val="010000000000" w:firstRow="0" w:lastRow="1"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1191DAEA"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238802EC" w14:textId="77777777" w:rsidR="006A3DBC" w:rsidRPr="00CF0F96" w:rsidRDefault="006A3DBC" w:rsidP="005F4A92">
            <w:pPr>
              <w:pStyle w:val="TableParagraph"/>
              <w:spacing w:before="54"/>
              <w:rPr>
                <w:rFonts w:ascii="Arial" w:hAnsi="Arial" w:cs="Arial"/>
                <w:b w:val="0"/>
                <w:bCs w:val="0"/>
                <w:sz w:val="21"/>
              </w:rPr>
            </w:pPr>
            <w:r w:rsidRPr="00CF0F96">
              <w:rPr>
                <w:rFonts w:ascii="Arial" w:hAnsi="Arial" w:cs="Arial"/>
                <w:b w:val="0"/>
                <w:bCs w:val="0"/>
                <w:sz w:val="21"/>
              </w:rPr>
              <w:t>Malvaceae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33E4EF40" w14:textId="77777777" w:rsidR="006A3DBC" w:rsidRPr="00CF0F96" w:rsidRDefault="006A3DBC" w:rsidP="005F4A92">
            <w:pPr>
              <w:pStyle w:val="TableParagraph"/>
              <w:rPr>
                <w:rFonts w:ascii="Arial" w:hAnsi="Arial" w:cs="Arial"/>
                <w:b w:val="0"/>
                <w:bCs w:val="0"/>
                <w:i/>
                <w:sz w:val="21"/>
              </w:rPr>
            </w:pPr>
            <w:r w:rsidRPr="00CF0F96">
              <w:rPr>
                <w:rFonts w:ascii="Arial" w:hAnsi="Arial" w:cs="Arial"/>
                <w:b w:val="0"/>
                <w:bCs w:val="0"/>
                <w:i/>
                <w:sz w:val="21"/>
              </w:rPr>
              <w:t>Hampea sphaerocarpa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70BB4A15"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bl>
    <w:p w14:paraId="504C1556" w14:textId="77777777" w:rsidR="006A3DBC" w:rsidRPr="00FA4B2D" w:rsidRDefault="006A3DBC" w:rsidP="006A3DBC">
      <w:pPr>
        <w:tabs>
          <w:tab w:val="left" w:pos="1245"/>
        </w:tabs>
        <w:rPr>
          <w:rFonts w:cs="Arial"/>
        </w:rPr>
      </w:pPr>
    </w:p>
    <w:p w14:paraId="11DB5804" w14:textId="77777777" w:rsidR="006A3DBC" w:rsidRPr="00FA4B2D" w:rsidRDefault="006A3DBC" w:rsidP="006A3DBC">
      <w:pPr>
        <w:tabs>
          <w:tab w:val="left" w:pos="1245"/>
        </w:tabs>
        <w:rPr>
          <w:rFonts w:cs="Arial"/>
        </w:rPr>
      </w:pPr>
    </w:p>
    <w:tbl>
      <w:tblPr>
        <w:tblStyle w:val="Tablanormal21"/>
        <w:tblW w:w="0" w:type="auto"/>
        <w:tblInd w:w="-10"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1804"/>
        <w:gridCol w:w="1879"/>
        <w:gridCol w:w="3204"/>
        <w:gridCol w:w="1372"/>
      </w:tblGrid>
      <w:tr w:rsidR="00EB6102" w:rsidRPr="00FA4B2D" w14:paraId="5D744F06" w14:textId="77777777" w:rsidTr="00C81834">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5CC5DA"/>
          </w:tcPr>
          <w:p w14:paraId="26CC47C7" w14:textId="77777777" w:rsidR="006A3DBC" w:rsidRPr="00CF0F96" w:rsidRDefault="006A3DBC" w:rsidP="00D30988">
            <w:pPr>
              <w:pStyle w:val="TableParagraph"/>
              <w:ind w:right="605"/>
              <w:jc w:val="center"/>
              <w:rPr>
                <w:rFonts w:ascii="Arial" w:hAnsi="Arial" w:cs="Arial"/>
                <w:b w:val="0"/>
                <w:sz w:val="21"/>
              </w:rPr>
            </w:pPr>
            <w:r w:rsidRPr="00CF0F96">
              <w:rPr>
                <w:rFonts w:ascii="Arial" w:hAnsi="Arial" w:cs="Arial"/>
                <w:b w:val="0"/>
                <w:sz w:val="21"/>
              </w:rPr>
              <w:lastRenderedPageBreak/>
              <w:t>Clase</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5CC5DA"/>
          </w:tcPr>
          <w:p w14:paraId="05EA6B39" w14:textId="77777777" w:rsidR="006A3DBC" w:rsidRPr="00CF0F96" w:rsidRDefault="006A3DBC" w:rsidP="00D30988">
            <w:pPr>
              <w:pStyle w:val="TableParagraph"/>
              <w:jc w:val="center"/>
              <w:rPr>
                <w:rFonts w:ascii="Arial" w:hAnsi="Arial" w:cs="Arial"/>
                <w:b w:val="0"/>
                <w:sz w:val="21"/>
              </w:rPr>
            </w:pPr>
            <w:r w:rsidRPr="00CF0F96">
              <w:rPr>
                <w:rFonts w:ascii="Arial" w:hAnsi="Arial" w:cs="Arial"/>
                <w:b w:val="0"/>
                <w:sz w:val="21"/>
              </w:rPr>
              <w:t>Familia</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5CC5DA"/>
          </w:tcPr>
          <w:p w14:paraId="0D201997" w14:textId="77777777" w:rsidR="006A3DBC" w:rsidRPr="00CF0F96" w:rsidRDefault="006A3DBC" w:rsidP="00D30988">
            <w:pPr>
              <w:pStyle w:val="TableParagraph"/>
              <w:ind w:right="1144"/>
              <w:jc w:val="center"/>
              <w:rPr>
                <w:rFonts w:ascii="Arial" w:hAnsi="Arial" w:cs="Arial"/>
                <w:b w:val="0"/>
                <w:sz w:val="21"/>
              </w:rPr>
            </w:pPr>
            <w:r w:rsidRPr="00CF0F96">
              <w:rPr>
                <w:rFonts w:ascii="Arial" w:hAnsi="Arial" w:cs="Arial"/>
                <w:b w:val="0"/>
                <w:sz w:val="21"/>
              </w:rPr>
              <w:t>Especies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5CC5DA"/>
          </w:tcPr>
          <w:p w14:paraId="23826BF5" w14:textId="77777777" w:rsidR="006A3DBC" w:rsidRPr="00CF0F96" w:rsidRDefault="006A3DBC" w:rsidP="00D30988">
            <w:pPr>
              <w:pStyle w:val="TableParagraph"/>
              <w:jc w:val="center"/>
              <w:rPr>
                <w:rFonts w:ascii="Arial" w:hAnsi="Arial" w:cs="Arial"/>
                <w:b w:val="0"/>
                <w:sz w:val="21"/>
              </w:rPr>
            </w:pPr>
            <w:r w:rsidRPr="00CF0F96">
              <w:rPr>
                <w:rFonts w:ascii="Arial" w:hAnsi="Arial" w:cs="Arial"/>
                <w:b w:val="0"/>
                <w:w w:val="95"/>
                <w:sz w:val="21"/>
              </w:rPr>
              <w:t>Categoría</w:t>
            </w:r>
          </w:p>
        </w:tc>
      </w:tr>
      <w:tr w:rsidR="00EB6102" w:rsidRPr="00FA4B2D" w14:paraId="6223A6F3"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52087BC9"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2A81A95C"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Malvaceae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4B4AF202" w14:textId="77777777" w:rsidR="006A3DBC" w:rsidRPr="00CF0F96" w:rsidRDefault="006A3DBC" w:rsidP="005F4A92">
            <w:pPr>
              <w:pStyle w:val="TableParagraph"/>
              <w:rPr>
                <w:rFonts w:ascii="Arial" w:hAnsi="Arial" w:cs="Arial"/>
                <w:i/>
                <w:sz w:val="21"/>
              </w:rPr>
            </w:pPr>
            <w:r w:rsidRPr="00CF0F96">
              <w:rPr>
                <w:rFonts w:ascii="Arial" w:hAnsi="Arial" w:cs="Arial"/>
                <w:i/>
                <w:sz w:val="21"/>
              </w:rPr>
              <w:t>Bombacopsis quinata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15330A6D"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6A3DBC" w:rsidRPr="00FA4B2D" w14:paraId="75F4E9BD"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0CC8B0B1"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0A2F25CF"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Malvacea</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4DCA2FD2" w14:textId="77777777" w:rsidR="006A3DBC" w:rsidRPr="00CF0F96" w:rsidRDefault="006A3DBC" w:rsidP="005F4A92">
            <w:pPr>
              <w:pStyle w:val="TableParagraph"/>
              <w:rPr>
                <w:rFonts w:ascii="Arial" w:hAnsi="Arial" w:cs="Arial"/>
                <w:i/>
                <w:sz w:val="21"/>
              </w:rPr>
            </w:pPr>
            <w:r w:rsidRPr="00CF0F96">
              <w:rPr>
                <w:rFonts w:ascii="Arial" w:hAnsi="Arial" w:cs="Arial"/>
                <w:i/>
                <w:sz w:val="21"/>
              </w:rPr>
              <w:t>Quararibea yunckeri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609958EA"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EB6102" w:rsidRPr="00FA4B2D" w14:paraId="3B7FFFB3"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4FB7E49B"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5CC9EC58"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Melastomataceae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497CC43C" w14:textId="77777777" w:rsidR="006A3DBC" w:rsidRPr="00CF0F96" w:rsidRDefault="006A3DBC" w:rsidP="005F4A92">
            <w:pPr>
              <w:pStyle w:val="TableParagraph"/>
              <w:rPr>
                <w:rFonts w:ascii="Arial" w:hAnsi="Arial" w:cs="Arial"/>
                <w:i/>
                <w:sz w:val="21"/>
              </w:rPr>
            </w:pPr>
            <w:r w:rsidRPr="00CF0F96">
              <w:rPr>
                <w:rFonts w:ascii="Arial" w:hAnsi="Arial" w:cs="Arial"/>
                <w:i/>
                <w:sz w:val="21"/>
              </w:rPr>
              <w:t>Blakea brunnea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52810A96"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6A3DBC" w:rsidRPr="00FA4B2D" w14:paraId="486E1900"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38813C63"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50F66AF2"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Meliaceae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18719C9C" w14:textId="77777777" w:rsidR="006A3DBC" w:rsidRPr="00CF0F96" w:rsidRDefault="006A3DBC" w:rsidP="005F4A92">
            <w:pPr>
              <w:pStyle w:val="TableParagraph"/>
              <w:rPr>
                <w:rFonts w:ascii="Arial" w:hAnsi="Arial" w:cs="Arial"/>
                <w:i/>
                <w:sz w:val="21"/>
              </w:rPr>
            </w:pPr>
            <w:r w:rsidRPr="00CF0F96">
              <w:rPr>
                <w:rFonts w:ascii="Arial" w:hAnsi="Arial" w:cs="Arial"/>
                <w:i/>
                <w:sz w:val="21"/>
              </w:rPr>
              <w:t>Cedrela odorata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5991C637"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EB6102" w:rsidRPr="00FA4B2D" w14:paraId="647C7877"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42C1F9DB"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269B0CC5"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Meliaceae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25459C9D" w14:textId="77777777" w:rsidR="006A3DBC" w:rsidRPr="00CF0F96" w:rsidRDefault="006A3DBC" w:rsidP="005F4A92">
            <w:pPr>
              <w:pStyle w:val="TableParagraph"/>
              <w:rPr>
                <w:rFonts w:ascii="Arial" w:hAnsi="Arial" w:cs="Arial"/>
                <w:i/>
                <w:sz w:val="21"/>
              </w:rPr>
            </w:pPr>
            <w:r w:rsidRPr="00CF0F96">
              <w:rPr>
                <w:rFonts w:ascii="Arial" w:hAnsi="Arial" w:cs="Arial"/>
                <w:i/>
                <w:sz w:val="21"/>
              </w:rPr>
              <w:t>Swietenia humilis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7A95EB9A"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6A3DBC" w:rsidRPr="00FA4B2D" w14:paraId="5494B447"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16266172"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597521B0"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Meliaceae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7D9A3D84" w14:textId="77777777" w:rsidR="006A3DBC" w:rsidRPr="00CF0F96" w:rsidRDefault="006A3DBC" w:rsidP="005F4A92">
            <w:pPr>
              <w:pStyle w:val="TableParagraph"/>
              <w:rPr>
                <w:rFonts w:ascii="Arial" w:hAnsi="Arial" w:cs="Arial"/>
                <w:i/>
                <w:sz w:val="21"/>
              </w:rPr>
            </w:pPr>
            <w:r w:rsidRPr="00CF0F96">
              <w:rPr>
                <w:rFonts w:ascii="Arial" w:hAnsi="Arial" w:cs="Arial"/>
                <w:i/>
                <w:sz w:val="21"/>
              </w:rPr>
              <w:t>Swietenia macrophylla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2136F654"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EB6102" w:rsidRPr="00FA4B2D" w14:paraId="6480DFCF"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67D4F7BC"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7030CF5F"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Meliaceae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1B9054D1" w14:textId="77777777" w:rsidR="006A3DBC" w:rsidRPr="00CF0F96" w:rsidRDefault="006A3DBC" w:rsidP="005F4A92">
            <w:pPr>
              <w:pStyle w:val="TableParagraph"/>
              <w:spacing w:before="53"/>
              <w:rPr>
                <w:rFonts w:ascii="Arial" w:hAnsi="Arial" w:cs="Arial"/>
                <w:i/>
                <w:sz w:val="21"/>
              </w:rPr>
            </w:pPr>
            <w:r w:rsidRPr="00CF0F96">
              <w:rPr>
                <w:rFonts w:ascii="Arial" w:hAnsi="Arial" w:cs="Arial"/>
                <w:i/>
                <w:sz w:val="21"/>
              </w:rPr>
              <w:t>Trichilia breviflora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0B129F95"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6A3DBC" w:rsidRPr="00FA4B2D" w14:paraId="16CA30E6"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3F16E962"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6D041EA1"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Monimiaceae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5217F202" w14:textId="77777777" w:rsidR="006A3DBC" w:rsidRPr="00CF0F96" w:rsidRDefault="006A3DBC" w:rsidP="005F4A92">
            <w:pPr>
              <w:pStyle w:val="TableParagraph"/>
              <w:rPr>
                <w:rFonts w:ascii="Arial" w:hAnsi="Arial" w:cs="Arial"/>
                <w:i/>
                <w:sz w:val="21"/>
              </w:rPr>
            </w:pPr>
            <w:r w:rsidRPr="00CF0F96">
              <w:rPr>
                <w:rFonts w:ascii="Arial" w:hAnsi="Arial" w:cs="Arial"/>
                <w:i/>
                <w:sz w:val="21"/>
              </w:rPr>
              <w:t>Mollinedia butleriana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7BAC29BD"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EB6102" w:rsidRPr="00FA4B2D" w14:paraId="4CEC38E9"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65C29722"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752CDA4D"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Monimiaceae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54BFABD7" w14:textId="77777777" w:rsidR="006A3DBC" w:rsidRPr="00CF0F96" w:rsidRDefault="006A3DBC" w:rsidP="005F4A92">
            <w:pPr>
              <w:pStyle w:val="TableParagraph"/>
              <w:rPr>
                <w:rFonts w:ascii="Arial" w:hAnsi="Arial" w:cs="Arial"/>
                <w:i/>
                <w:sz w:val="21"/>
              </w:rPr>
            </w:pPr>
            <w:r w:rsidRPr="00CF0F96">
              <w:rPr>
                <w:rFonts w:ascii="Arial" w:hAnsi="Arial" w:cs="Arial"/>
                <w:i/>
                <w:sz w:val="21"/>
              </w:rPr>
              <w:t>Mollinedia ruae</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58303849"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6A3DBC" w:rsidRPr="00FA4B2D" w14:paraId="53F7FF04"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1D502E2B"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2807F433"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Myrsinaceae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5430146E" w14:textId="77777777" w:rsidR="006A3DBC" w:rsidRPr="00CF0F96" w:rsidRDefault="006A3DBC" w:rsidP="005F4A92">
            <w:pPr>
              <w:pStyle w:val="TableParagraph"/>
              <w:rPr>
                <w:rFonts w:ascii="Arial" w:hAnsi="Arial" w:cs="Arial"/>
                <w:i/>
                <w:sz w:val="21"/>
              </w:rPr>
            </w:pPr>
            <w:r w:rsidRPr="00CF0F96">
              <w:rPr>
                <w:rFonts w:ascii="Arial" w:hAnsi="Arial" w:cs="Arial"/>
                <w:i/>
                <w:sz w:val="21"/>
              </w:rPr>
              <w:t>Gentlea molinae</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538C99E0"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EB6102" w:rsidRPr="00FA4B2D" w14:paraId="3E60C750"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6BFF11B8"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3357B4CF"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Myrsinaceae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46C03181" w14:textId="77777777" w:rsidR="006A3DBC" w:rsidRPr="00CF0F96" w:rsidRDefault="006A3DBC" w:rsidP="005F4A92">
            <w:pPr>
              <w:pStyle w:val="TableParagraph"/>
              <w:rPr>
                <w:rFonts w:ascii="Arial" w:hAnsi="Arial" w:cs="Arial"/>
                <w:i/>
                <w:sz w:val="21"/>
              </w:rPr>
            </w:pPr>
            <w:r w:rsidRPr="00CF0F96">
              <w:rPr>
                <w:rFonts w:ascii="Arial" w:hAnsi="Arial" w:cs="Arial"/>
                <w:i/>
                <w:sz w:val="21"/>
              </w:rPr>
              <w:t>Parathesis vulgata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56380691"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6A3DBC" w:rsidRPr="00FA4B2D" w14:paraId="7F11B34B"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21CB0B5A"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057F3385"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Myrtaceae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7BE83527" w14:textId="77777777" w:rsidR="006A3DBC" w:rsidRPr="00CF0F96" w:rsidRDefault="006A3DBC" w:rsidP="005F4A92">
            <w:pPr>
              <w:pStyle w:val="TableParagraph"/>
              <w:rPr>
                <w:rFonts w:ascii="Arial" w:hAnsi="Arial" w:cs="Arial"/>
                <w:i/>
                <w:sz w:val="21"/>
              </w:rPr>
            </w:pPr>
            <w:r w:rsidRPr="00CF0F96">
              <w:rPr>
                <w:rFonts w:ascii="Arial" w:hAnsi="Arial" w:cs="Arial"/>
                <w:i/>
                <w:sz w:val="21"/>
              </w:rPr>
              <w:t>Eugenia coyolensis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164C1015"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EB6102" w:rsidRPr="00FA4B2D" w14:paraId="4131426C"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651830E4"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6C18835A"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Myrtaceae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0373FC73" w14:textId="77777777" w:rsidR="006A3DBC" w:rsidRPr="00CF0F96" w:rsidRDefault="006A3DBC" w:rsidP="005F4A92">
            <w:pPr>
              <w:pStyle w:val="TableParagraph"/>
              <w:rPr>
                <w:rFonts w:ascii="Arial" w:hAnsi="Arial" w:cs="Arial"/>
                <w:i/>
                <w:sz w:val="21"/>
              </w:rPr>
            </w:pPr>
            <w:r w:rsidRPr="00CF0F96">
              <w:rPr>
                <w:rFonts w:ascii="Arial" w:hAnsi="Arial" w:cs="Arial"/>
                <w:i/>
                <w:sz w:val="21"/>
              </w:rPr>
              <w:t>Eugenia lancetillae</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13A878DC"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6A3DBC" w:rsidRPr="00FA4B2D" w14:paraId="6D98DCA6"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19CE1369"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11CB6562"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Myrtaceae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42FD29F5" w14:textId="77777777" w:rsidR="006A3DBC" w:rsidRPr="00CF0F96" w:rsidRDefault="006A3DBC" w:rsidP="005F4A92">
            <w:pPr>
              <w:pStyle w:val="TableParagraph"/>
              <w:rPr>
                <w:rFonts w:ascii="Arial" w:hAnsi="Arial" w:cs="Arial"/>
                <w:i/>
                <w:sz w:val="21"/>
              </w:rPr>
            </w:pPr>
            <w:r w:rsidRPr="00CF0F96">
              <w:rPr>
                <w:rFonts w:ascii="Arial" w:hAnsi="Arial" w:cs="Arial"/>
                <w:i/>
                <w:sz w:val="21"/>
              </w:rPr>
              <w:t>Eugenia salamensis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053F6F2E"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EB6102" w:rsidRPr="00FA4B2D" w14:paraId="4DC63C98"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1C55BB33"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1FFB66C6"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Nyctaginaceae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0AA28C34" w14:textId="77777777" w:rsidR="006A3DBC" w:rsidRPr="00CF0F96" w:rsidRDefault="006A3DBC" w:rsidP="005F4A92">
            <w:pPr>
              <w:pStyle w:val="TableParagraph"/>
              <w:rPr>
                <w:rFonts w:ascii="Arial" w:hAnsi="Arial" w:cs="Arial"/>
                <w:i/>
                <w:sz w:val="21"/>
              </w:rPr>
            </w:pPr>
            <w:r w:rsidRPr="00CF0F96">
              <w:rPr>
                <w:rFonts w:ascii="Arial" w:hAnsi="Arial" w:cs="Arial"/>
                <w:i/>
                <w:sz w:val="21"/>
              </w:rPr>
              <w:t>Neea acuminatissima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18E96B4E"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6A3DBC" w:rsidRPr="00FA4B2D" w14:paraId="3733BE47"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490F61F8"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6E2E3D42"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Ochnaceae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7EF108D4" w14:textId="77777777" w:rsidR="006A3DBC" w:rsidRPr="00CF0F96" w:rsidRDefault="006A3DBC" w:rsidP="005F4A92">
            <w:pPr>
              <w:pStyle w:val="TableParagraph"/>
              <w:rPr>
                <w:rFonts w:ascii="Arial" w:hAnsi="Arial" w:cs="Arial"/>
                <w:i/>
                <w:sz w:val="21"/>
              </w:rPr>
            </w:pPr>
            <w:r w:rsidRPr="00CF0F96">
              <w:rPr>
                <w:rFonts w:ascii="Arial" w:hAnsi="Arial" w:cs="Arial"/>
                <w:i/>
                <w:sz w:val="21"/>
              </w:rPr>
              <w:t>Ouratea insulae</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7FECB6F4"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EB6102" w:rsidRPr="00FA4B2D" w14:paraId="64562111"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57178B93"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3D5261D1"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Oleaceae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1C7F597B" w14:textId="77777777" w:rsidR="006A3DBC" w:rsidRPr="00CF0F96" w:rsidRDefault="006A3DBC" w:rsidP="005F4A92">
            <w:pPr>
              <w:pStyle w:val="TableParagraph"/>
              <w:rPr>
                <w:rFonts w:ascii="Arial" w:hAnsi="Arial" w:cs="Arial"/>
                <w:i/>
                <w:sz w:val="21"/>
              </w:rPr>
            </w:pPr>
            <w:r w:rsidRPr="00CF0F96">
              <w:rPr>
                <w:rFonts w:ascii="Arial" w:hAnsi="Arial" w:cs="Arial"/>
                <w:i/>
                <w:sz w:val="21"/>
              </w:rPr>
              <w:t>Forestiera hondurensis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5C989342"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6A3DBC" w:rsidRPr="00FA4B2D" w14:paraId="773A752B"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573F7E10"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39D41370"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Oleaceae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17FA918C" w14:textId="77777777" w:rsidR="006A3DBC" w:rsidRPr="00CF0F96" w:rsidRDefault="006A3DBC" w:rsidP="005F4A92">
            <w:pPr>
              <w:pStyle w:val="TableParagraph"/>
              <w:rPr>
                <w:rFonts w:ascii="Arial" w:hAnsi="Arial" w:cs="Arial"/>
                <w:i/>
                <w:sz w:val="21"/>
              </w:rPr>
            </w:pPr>
            <w:r w:rsidRPr="00CF0F96">
              <w:rPr>
                <w:rFonts w:ascii="Arial" w:hAnsi="Arial" w:cs="Arial"/>
                <w:i/>
                <w:sz w:val="21"/>
              </w:rPr>
              <w:t>Fraxinus hondurensis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02AE63E2"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EB6102" w:rsidRPr="00FA4B2D" w14:paraId="587F9380"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18ADE8F0"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62CE0265"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Opiliaceae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143EDA46" w14:textId="77777777" w:rsidR="006A3DBC" w:rsidRPr="00CF0F96" w:rsidRDefault="006A3DBC" w:rsidP="005F4A92">
            <w:pPr>
              <w:pStyle w:val="TableParagraph"/>
              <w:rPr>
                <w:rFonts w:ascii="Arial" w:hAnsi="Arial" w:cs="Arial"/>
                <w:i/>
                <w:sz w:val="21"/>
              </w:rPr>
            </w:pPr>
            <w:r w:rsidRPr="00CF0F96">
              <w:rPr>
                <w:rFonts w:ascii="Arial" w:hAnsi="Arial" w:cs="Arial"/>
                <w:i/>
                <w:sz w:val="21"/>
              </w:rPr>
              <w:t>Agonandra loranthoides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4A487364"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6A3DBC" w:rsidRPr="00FA4B2D" w14:paraId="459E52E2"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314A7CFA"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11A956BE"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Opiliaceae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28717B49" w14:textId="77777777" w:rsidR="006A3DBC" w:rsidRPr="00CF0F96" w:rsidRDefault="006A3DBC" w:rsidP="005F4A92">
            <w:pPr>
              <w:pStyle w:val="TableParagraph"/>
              <w:rPr>
                <w:rFonts w:ascii="Arial" w:hAnsi="Arial" w:cs="Arial"/>
                <w:i/>
                <w:sz w:val="21"/>
              </w:rPr>
            </w:pPr>
            <w:r w:rsidRPr="00CF0F96">
              <w:rPr>
                <w:rFonts w:ascii="Arial" w:hAnsi="Arial" w:cs="Arial"/>
                <w:i/>
                <w:sz w:val="21"/>
              </w:rPr>
              <w:t>Agonandra macrocarpa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24936534"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EB6102" w:rsidRPr="00FA4B2D" w14:paraId="18D2B8AF"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65DE7D85"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238233DB"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Polygonaceae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550C188C" w14:textId="77777777" w:rsidR="006A3DBC" w:rsidRPr="00CF0F96" w:rsidRDefault="006A3DBC" w:rsidP="005F4A92">
            <w:pPr>
              <w:pStyle w:val="TableParagraph"/>
              <w:rPr>
                <w:rFonts w:ascii="Arial" w:hAnsi="Arial" w:cs="Arial"/>
                <w:i/>
                <w:sz w:val="21"/>
              </w:rPr>
            </w:pPr>
            <w:r w:rsidRPr="00CF0F96">
              <w:rPr>
                <w:rFonts w:ascii="Arial" w:hAnsi="Arial" w:cs="Arial"/>
                <w:i/>
                <w:sz w:val="21"/>
              </w:rPr>
              <w:t>Coccoloba cholutecensis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4C169158"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6A3DBC" w:rsidRPr="00FA4B2D" w14:paraId="785DBF4D"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6703D1A3"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188E3FAC"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Polygonaceae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242D5AB7" w14:textId="77777777" w:rsidR="006A3DBC" w:rsidRPr="00CF0F96" w:rsidRDefault="006A3DBC" w:rsidP="005F4A92">
            <w:pPr>
              <w:pStyle w:val="TableParagraph"/>
              <w:rPr>
                <w:rFonts w:ascii="Arial" w:hAnsi="Arial" w:cs="Arial"/>
                <w:i/>
                <w:sz w:val="21"/>
              </w:rPr>
            </w:pPr>
            <w:r w:rsidRPr="00CF0F96">
              <w:rPr>
                <w:rFonts w:ascii="Arial" w:hAnsi="Arial" w:cs="Arial"/>
                <w:i/>
                <w:sz w:val="21"/>
              </w:rPr>
              <w:t>Coccoloba lindaviana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7AFDDEEA"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EB6102" w:rsidRPr="00FA4B2D" w14:paraId="706F9B76"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3F80D666"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4CADD069"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Quiinaceae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43211F51" w14:textId="77777777" w:rsidR="006A3DBC" w:rsidRPr="00CF0F96" w:rsidRDefault="006A3DBC" w:rsidP="005F4A92">
            <w:pPr>
              <w:pStyle w:val="TableParagraph"/>
              <w:rPr>
                <w:rFonts w:ascii="Arial" w:hAnsi="Arial" w:cs="Arial"/>
                <w:i/>
                <w:sz w:val="21"/>
              </w:rPr>
            </w:pPr>
            <w:r w:rsidRPr="00CF0F96">
              <w:rPr>
                <w:rFonts w:ascii="Arial" w:hAnsi="Arial" w:cs="Arial"/>
                <w:i/>
                <w:sz w:val="21"/>
              </w:rPr>
              <w:t>Lacunaria panamensis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68BB31BA"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6A3DBC" w:rsidRPr="00FA4B2D" w14:paraId="5B3A4133"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04ABF77B"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5441D5AA"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Quiinaceae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7CAECC7F" w14:textId="77777777" w:rsidR="006A3DBC" w:rsidRPr="00CF0F96" w:rsidRDefault="006A3DBC" w:rsidP="005F4A92">
            <w:pPr>
              <w:pStyle w:val="TableParagraph"/>
              <w:rPr>
                <w:rFonts w:ascii="Arial" w:hAnsi="Arial" w:cs="Arial"/>
                <w:i/>
                <w:sz w:val="21"/>
              </w:rPr>
            </w:pPr>
            <w:r w:rsidRPr="00CF0F96">
              <w:rPr>
                <w:rFonts w:ascii="Arial" w:hAnsi="Arial" w:cs="Arial"/>
                <w:i/>
                <w:sz w:val="21"/>
              </w:rPr>
              <w:t>Quiina schippii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58E819FF"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EB6102" w:rsidRPr="00FA4B2D" w14:paraId="1C6EF269"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64E41B24"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1DF21736"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Rhamnaceae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6B713201" w14:textId="77777777" w:rsidR="006A3DBC" w:rsidRPr="00CF0F96" w:rsidRDefault="006A3DBC" w:rsidP="005F4A92">
            <w:pPr>
              <w:pStyle w:val="TableParagraph"/>
              <w:rPr>
                <w:rFonts w:ascii="Arial" w:hAnsi="Arial" w:cs="Arial"/>
                <w:i/>
                <w:sz w:val="21"/>
              </w:rPr>
            </w:pPr>
            <w:r w:rsidRPr="00CF0F96">
              <w:rPr>
                <w:rFonts w:ascii="Arial" w:hAnsi="Arial" w:cs="Arial"/>
                <w:i/>
                <w:sz w:val="21"/>
              </w:rPr>
              <w:t>Colubrina hondurensis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709843D3"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6A3DBC" w:rsidRPr="00FA4B2D" w14:paraId="66C0164B"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67566A41"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79371DB8"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Rhizophoraceae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527C2171" w14:textId="77777777" w:rsidR="006A3DBC" w:rsidRPr="00CF0F96" w:rsidRDefault="006A3DBC" w:rsidP="005F4A92">
            <w:pPr>
              <w:pStyle w:val="TableParagraph"/>
              <w:rPr>
                <w:rFonts w:ascii="Arial" w:hAnsi="Arial" w:cs="Arial"/>
                <w:i/>
                <w:sz w:val="21"/>
              </w:rPr>
            </w:pPr>
            <w:r w:rsidRPr="00CF0F96">
              <w:rPr>
                <w:rFonts w:ascii="Arial" w:hAnsi="Arial" w:cs="Arial"/>
                <w:i/>
                <w:sz w:val="21"/>
              </w:rPr>
              <w:t>Rhizophora samoensis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7F1BC0CB"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EB6102" w:rsidRPr="00FA4B2D" w14:paraId="5E14F366"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72242079"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6EFEAB01"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Rubiaceae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3AF338AE" w14:textId="77777777" w:rsidR="006A3DBC" w:rsidRPr="00CF0F96" w:rsidRDefault="006A3DBC" w:rsidP="005F4A92">
            <w:pPr>
              <w:pStyle w:val="TableParagraph"/>
              <w:rPr>
                <w:rFonts w:ascii="Arial" w:hAnsi="Arial" w:cs="Arial"/>
                <w:i/>
                <w:sz w:val="21"/>
              </w:rPr>
            </w:pPr>
            <w:r w:rsidRPr="00CF0F96">
              <w:rPr>
                <w:rFonts w:ascii="Arial" w:hAnsi="Arial" w:cs="Arial"/>
                <w:i/>
                <w:sz w:val="21"/>
              </w:rPr>
              <w:t>Allenanthus hondurensis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1FD233AB"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6A3DBC" w:rsidRPr="00FA4B2D" w14:paraId="506932AE"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64CA6672"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43C90DD0"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Rubiaceae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1323BBB5" w14:textId="77777777" w:rsidR="006A3DBC" w:rsidRPr="00CF0F96" w:rsidRDefault="006A3DBC" w:rsidP="005F4A92">
            <w:pPr>
              <w:pStyle w:val="TableParagraph"/>
              <w:rPr>
                <w:rFonts w:ascii="Arial" w:hAnsi="Arial" w:cs="Arial"/>
                <w:i/>
                <w:sz w:val="21"/>
              </w:rPr>
            </w:pPr>
            <w:r w:rsidRPr="00CF0F96">
              <w:rPr>
                <w:rFonts w:ascii="Arial" w:hAnsi="Arial" w:cs="Arial"/>
                <w:i/>
                <w:sz w:val="21"/>
              </w:rPr>
              <w:t>Blepharidium guatemalense</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5CE4CBBE"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EB6102" w:rsidRPr="00FA4B2D" w14:paraId="0632AD85" w14:textId="77777777" w:rsidTr="005F4A92">
        <w:trPr>
          <w:cnfStyle w:val="010000000000" w:firstRow="0" w:lastRow="1"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6ECA244F"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5BDFE881" w14:textId="77777777" w:rsidR="006A3DBC" w:rsidRPr="00CF0F96" w:rsidRDefault="006A3DBC" w:rsidP="005F4A92">
            <w:pPr>
              <w:pStyle w:val="TableParagraph"/>
              <w:spacing w:before="54"/>
              <w:rPr>
                <w:rFonts w:ascii="Arial" w:hAnsi="Arial" w:cs="Arial"/>
                <w:b w:val="0"/>
                <w:bCs w:val="0"/>
                <w:sz w:val="21"/>
              </w:rPr>
            </w:pPr>
            <w:r w:rsidRPr="00CF0F96">
              <w:rPr>
                <w:rFonts w:ascii="Arial" w:hAnsi="Arial" w:cs="Arial"/>
                <w:b w:val="0"/>
                <w:bCs w:val="0"/>
                <w:sz w:val="21"/>
              </w:rPr>
              <w:t>Rubiaceae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37E775CE" w14:textId="77777777" w:rsidR="006A3DBC" w:rsidRPr="00CF0F96" w:rsidRDefault="006A3DBC" w:rsidP="005F4A92">
            <w:pPr>
              <w:pStyle w:val="TableParagraph"/>
              <w:rPr>
                <w:rFonts w:ascii="Arial" w:hAnsi="Arial" w:cs="Arial"/>
                <w:b w:val="0"/>
                <w:bCs w:val="0"/>
                <w:i/>
                <w:sz w:val="21"/>
              </w:rPr>
            </w:pPr>
            <w:r w:rsidRPr="00CF0F96">
              <w:rPr>
                <w:rFonts w:ascii="Arial" w:hAnsi="Arial" w:cs="Arial"/>
                <w:b w:val="0"/>
                <w:bCs w:val="0"/>
                <w:i/>
                <w:w w:val="95"/>
                <w:sz w:val="21"/>
              </w:rPr>
              <w:t>Tocoyena pittieri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459F2A9D"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bl>
    <w:p w14:paraId="61376AAE" w14:textId="77777777" w:rsidR="006A3DBC" w:rsidRPr="00FA4B2D" w:rsidRDefault="006A3DBC" w:rsidP="006A3DBC">
      <w:pPr>
        <w:tabs>
          <w:tab w:val="left" w:pos="1245"/>
        </w:tabs>
        <w:rPr>
          <w:rFonts w:cs="Arial"/>
        </w:rPr>
      </w:pPr>
    </w:p>
    <w:p w14:paraId="26048B3A" w14:textId="77777777" w:rsidR="006A3DBC" w:rsidRPr="00FA4B2D" w:rsidRDefault="006A3DBC" w:rsidP="006A3DBC">
      <w:pPr>
        <w:rPr>
          <w:rFonts w:cs="Arial"/>
        </w:rPr>
      </w:pPr>
      <w:r w:rsidRPr="00FA4B2D">
        <w:rPr>
          <w:rFonts w:cs="Arial"/>
        </w:rPr>
        <w:br w:type="page"/>
      </w:r>
    </w:p>
    <w:p w14:paraId="175DE6C5" w14:textId="77777777" w:rsidR="006A3DBC" w:rsidRPr="00FA4B2D" w:rsidRDefault="006A3DBC" w:rsidP="006A3DBC">
      <w:pPr>
        <w:tabs>
          <w:tab w:val="left" w:pos="1245"/>
        </w:tabs>
        <w:rPr>
          <w:rFonts w:cs="Arial"/>
        </w:rPr>
      </w:pPr>
    </w:p>
    <w:tbl>
      <w:tblPr>
        <w:tblStyle w:val="Tablanormal21"/>
        <w:tblW w:w="8259" w:type="dxa"/>
        <w:tblInd w:w="-10"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1804"/>
        <w:gridCol w:w="1879"/>
        <w:gridCol w:w="3204"/>
        <w:gridCol w:w="1372"/>
      </w:tblGrid>
      <w:tr w:rsidR="00EB6102" w:rsidRPr="00FA4B2D" w14:paraId="50B7AA97" w14:textId="77777777" w:rsidTr="00C81834">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5CC5DA"/>
          </w:tcPr>
          <w:p w14:paraId="086ADDF9" w14:textId="77777777" w:rsidR="006A3DBC" w:rsidRPr="00CF0F96" w:rsidRDefault="006A3DBC" w:rsidP="00D30988">
            <w:pPr>
              <w:pStyle w:val="TableParagraph"/>
              <w:ind w:right="605"/>
              <w:jc w:val="center"/>
              <w:rPr>
                <w:rFonts w:ascii="Arial" w:hAnsi="Arial" w:cs="Arial"/>
                <w:b w:val="0"/>
                <w:sz w:val="21"/>
              </w:rPr>
            </w:pPr>
            <w:r w:rsidRPr="00CF0F96">
              <w:rPr>
                <w:rFonts w:ascii="Arial" w:hAnsi="Arial" w:cs="Arial"/>
                <w:b w:val="0"/>
                <w:sz w:val="21"/>
              </w:rPr>
              <w:t>Clase</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5CC5DA"/>
          </w:tcPr>
          <w:p w14:paraId="06D25B19" w14:textId="77777777" w:rsidR="006A3DBC" w:rsidRPr="00CF0F96" w:rsidRDefault="006A3DBC" w:rsidP="00D30988">
            <w:pPr>
              <w:pStyle w:val="TableParagraph"/>
              <w:jc w:val="center"/>
              <w:rPr>
                <w:rFonts w:ascii="Arial" w:hAnsi="Arial" w:cs="Arial"/>
                <w:b w:val="0"/>
                <w:sz w:val="21"/>
              </w:rPr>
            </w:pPr>
            <w:r w:rsidRPr="00CF0F96">
              <w:rPr>
                <w:rFonts w:ascii="Arial" w:hAnsi="Arial" w:cs="Arial"/>
                <w:b w:val="0"/>
                <w:sz w:val="21"/>
              </w:rPr>
              <w:t>Familia</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5CC5DA"/>
          </w:tcPr>
          <w:p w14:paraId="4EFD860E" w14:textId="77777777" w:rsidR="006A3DBC" w:rsidRPr="00CF0F96" w:rsidRDefault="006A3DBC" w:rsidP="00D30988">
            <w:pPr>
              <w:pStyle w:val="TableParagraph"/>
              <w:ind w:right="1144"/>
              <w:jc w:val="center"/>
              <w:rPr>
                <w:rFonts w:ascii="Arial" w:hAnsi="Arial" w:cs="Arial"/>
                <w:b w:val="0"/>
                <w:sz w:val="21"/>
              </w:rPr>
            </w:pPr>
            <w:r w:rsidRPr="00CF0F96">
              <w:rPr>
                <w:rFonts w:ascii="Arial" w:hAnsi="Arial" w:cs="Arial"/>
                <w:b w:val="0"/>
                <w:sz w:val="21"/>
              </w:rPr>
              <w:t>Especies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5CC5DA"/>
          </w:tcPr>
          <w:p w14:paraId="6F0C94DC" w14:textId="77777777" w:rsidR="006A3DBC" w:rsidRPr="00CF0F96" w:rsidRDefault="006A3DBC" w:rsidP="00D30988">
            <w:pPr>
              <w:pStyle w:val="TableParagraph"/>
              <w:jc w:val="center"/>
              <w:rPr>
                <w:rFonts w:ascii="Arial" w:hAnsi="Arial" w:cs="Arial"/>
                <w:b w:val="0"/>
                <w:sz w:val="21"/>
              </w:rPr>
            </w:pPr>
            <w:r w:rsidRPr="00CF0F96">
              <w:rPr>
                <w:rFonts w:ascii="Arial" w:hAnsi="Arial" w:cs="Arial"/>
                <w:b w:val="0"/>
                <w:w w:val="95"/>
                <w:sz w:val="21"/>
              </w:rPr>
              <w:t>Categoría</w:t>
            </w:r>
          </w:p>
        </w:tc>
      </w:tr>
      <w:tr w:rsidR="006A3DBC" w:rsidRPr="00FA4B2D" w14:paraId="5C844E0A"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311847A3"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0B80F775"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Rutaceae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6DA202AA" w14:textId="77777777" w:rsidR="006A3DBC" w:rsidRPr="00CF0F96" w:rsidRDefault="006A3DBC" w:rsidP="005F4A92">
            <w:pPr>
              <w:pStyle w:val="TableParagraph"/>
              <w:rPr>
                <w:rFonts w:ascii="Arial" w:hAnsi="Arial" w:cs="Arial"/>
                <w:i/>
                <w:sz w:val="21"/>
              </w:rPr>
            </w:pPr>
            <w:r w:rsidRPr="00CF0F96">
              <w:rPr>
                <w:rFonts w:ascii="Arial" w:hAnsi="Arial" w:cs="Arial"/>
                <w:i/>
                <w:sz w:val="21"/>
              </w:rPr>
              <w:t>Decatropis paucijuga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7B4D38AD"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EB6102" w:rsidRPr="00FA4B2D" w14:paraId="58EBA22E"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5AB2C5F3"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1760DFD5"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Rutaceae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7A77BF13" w14:textId="77777777" w:rsidR="006A3DBC" w:rsidRPr="00CF0F96" w:rsidRDefault="006A3DBC" w:rsidP="005F4A92">
            <w:pPr>
              <w:pStyle w:val="TableParagraph"/>
              <w:rPr>
                <w:rFonts w:ascii="Arial" w:hAnsi="Arial" w:cs="Arial"/>
                <w:i/>
                <w:sz w:val="21"/>
              </w:rPr>
            </w:pPr>
            <w:r w:rsidRPr="00CF0F96">
              <w:rPr>
                <w:rFonts w:ascii="Arial" w:hAnsi="Arial" w:cs="Arial"/>
                <w:i/>
                <w:sz w:val="21"/>
              </w:rPr>
              <w:t>Decazyx esparzae</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5EEA2DCB"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6A3DBC" w:rsidRPr="00FA4B2D" w14:paraId="2B147963"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62B9ABF4"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0806A967"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Rutaceae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029D8E44" w14:textId="77777777" w:rsidR="006A3DBC" w:rsidRPr="00CF0F96" w:rsidRDefault="006A3DBC" w:rsidP="005F4A92">
            <w:pPr>
              <w:pStyle w:val="TableParagraph"/>
              <w:rPr>
                <w:rFonts w:ascii="Arial" w:hAnsi="Arial" w:cs="Arial"/>
                <w:i/>
                <w:sz w:val="21"/>
              </w:rPr>
            </w:pPr>
            <w:r w:rsidRPr="00CF0F96">
              <w:rPr>
                <w:rFonts w:ascii="Arial" w:hAnsi="Arial" w:cs="Arial"/>
                <w:i/>
                <w:sz w:val="21"/>
              </w:rPr>
              <w:t>Decazyx macrophyllus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716782DE"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EB6102" w:rsidRPr="00FA4B2D" w14:paraId="3303864E"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4B818363"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429A3E30"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Rutaceae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32508D62" w14:textId="77777777" w:rsidR="006A3DBC" w:rsidRPr="00CF0F96" w:rsidRDefault="006A3DBC" w:rsidP="005F4A92">
            <w:pPr>
              <w:pStyle w:val="TableParagraph"/>
              <w:rPr>
                <w:rFonts w:ascii="Arial" w:hAnsi="Arial" w:cs="Arial"/>
                <w:i/>
                <w:sz w:val="21"/>
              </w:rPr>
            </w:pPr>
            <w:r w:rsidRPr="00CF0F96">
              <w:rPr>
                <w:rFonts w:ascii="Arial" w:hAnsi="Arial" w:cs="Arial"/>
                <w:i/>
                <w:sz w:val="21"/>
              </w:rPr>
              <w:t>Zanthoxylum belizense</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574CA930"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6A3DBC" w:rsidRPr="00FA4B2D" w14:paraId="1AB1E13B"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29443F72"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3A42BB7A"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Rutaceae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2D1F009A" w14:textId="77777777" w:rsidR="006A3DBC" w:rsidRPr="00CF0F96" w:rsidRDefault="006A3DBC" w:rsidP="005F4A92">
            <w:pPr>
              <w:pStyle w:val="TableParagraph"/>
              <w:rPr>
                <w:rFonts w:ascii="Arial" w:hAnsi="Arial" w:cs="Arial"/>
                <w:i/>
                <w:sz w:val="21"/>
              </w:rPr>
            </w:pPr>
            <w:r w:rsidRPr="00CF0F96">
              <w:rPr>
                <w:rFonts w:ascii="Arial" w:hAnsi="Arial" w:cs="Arial"/>
                <w:i/>
                <w:sz w:val="21"/>
              </w:rPr>
              <w:t>Zanthoxylum ferrugineum</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1966E026"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EB6102" w:rsidRPr="00FA4B2D" w14:paraId="7CBFF4C3"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351A5C97"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4F5EE39F"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Rutaceae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064F31A4" w14:textId="77777777" w:rsidR="006A3DBC" w:rsidRPr="00CF0F96" w:rsidRDefault="006A3DBC" w:rsidP="005F4A92">
            <w:pPr>
              <w:pStyle w:val="TableParagraph"/>
              <w:spacing w:before="53"/>
              <w:rPr>
                <w:rFonts w:ascii="Arial" w:hAnsi="Arial" w:cs="Arial"/>
                <w:i/>
                <w:sz w:val="21"/>
              </w:rPr>
            </w:pPr>
            <w:r w:rsidRPr="00CF0F96">
              <w:rPr>
                <w:rFonts w:ascii="Arial" w:hAnsi="Arial" w:cs="Arial"/>
                <w:i/>
                <w:w w:val="95"/>
                <w:sz w:val="21"/>
              </w:rPr>
              <w:t>Zanthoxylum flavum</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2730231E"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6A3DBC" w:rsidRPr="00FA4B2D" w14:paraId="3B4326D3"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6B1DC5E3"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703D88C7"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Rutaceae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03B5291E" w14:textId="77777777" w:rsidR="006A3DBC" w:rsidRPr="00CF0F96" w:rsidRDefault="006A3DBC" w:rsidP="005F4A92">
            <w:pPr>
              <w:pStyle w:val="TableParagraph"/>
              <w:rPr>
                <w:rFonts w:ascii="Arial" w:hAnsi="Arial" w:cs="Arial"/>
                <w:i/>
                <w:sz w:val="21"/>
              </w:rPr>
            </w:pPr>
            <w:r w:rsidRPr="00CF0F96">
              <w:rPr>
                <w:rFonts w:ascii="Arial" w:hAnsi="Arial" w:cs="Arial"/>
                <w:i/>
                <w:sz w:val="21"/>
              </w:rPr>
              <w:t>Zanthoxylum gentlei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57F709E3"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EB6102" w:rsidRPr="00FA4B2D" w14:paraId="203B34D2"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1A3552EF"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0ABB4BFB"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Rutaceae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4E5E95A7" w14:textId="77777777" w:rsidR="006A3DBC" w:rsidRPr="00CF0F96" w:rsidRDefault="006A3DBC" w:rsidP="005F4A92">
            <w:pPr>
              <w:pStyle w:val="TableParagraph"/>
              <w:rPr>
                <w:rFonts w:ascii="Arial" w:hAnsi="Arial" w:cs="Arial"/>
                <w:i/>
                <w:sz w:val="21"/>
              </w:rPr>
            </w:pPr>
            <w:r w:rsidRPr="00CF0F96">
              <w:rPr>
                <w:rFonts w:ascii="Arial" w:hAnsi="Arial" w:cs="Arial"/>
                <w:i/>
                <w:sz w:val="21"/>
              </w:rPr>
              <w:t>Zanthoxylum panamense</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1DA00DB9"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6A3DBC" w:rsidRPr="00FA4B2D" w14:paraId="506D271E"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1A662220"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5B37E430"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Rutaceae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0A39F8FB" w14:textId="77777777" w:rsidR="006A3DBC" w:rsidRPr="00CF0F96" w:rsidRDefault="006A3DBC" w:rsidP="005F4A92">
            <w:pPr>
              <w:pStyle w:val="TableParagraph"/>
              <w:rPr>
                <w:rFonts w:ascii="Arial" w:hAnsi="Arial" w:cs="Arial"/>
                <w:i/>
                <w:sz w:val="21"/>
              </w:rPr>
            </w:pPr>
            <w:r w:rsidRPr="00CF0F96">
              <w:rPr>
                <w:rFonts w:ascii="Arial" w:hAnsi="Arial" w:cs="Arial"/>
                <w:i/>
                <w:sz w:val="21"/>
              </w:rPr>
              <w:t>Zanthoxylum procerum</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6D116C1B"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EB6102" w:rsidRPr="00FA4B2D" w14:paraId="211717DB"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0682858A"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5849B83A"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Solanaceae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1F2D72A6" w14:textId="77777777" w:rsidR="006A3DBC" w:rsidRPr="00CF0F96" w:rsidRDefault="006A3DBC" w:rsidP="005F4A92">
            <w:pPr>
              <w:pStyle w:val="TableParagraph"/>
              <w:rPr>
                <w:rFonts w:ascii="Arial" w:hAnsi="Arial" w:cs="Arial"/>
                <w:i/>
                <w:sz w:val="21"/>
              </w:rPr>
            </w:pPr>
            <w:r w:rsidRPr="00CF0F96">
              <w:rPr>
                <w:rFonts w:ascii="Arial" w:hAnsi="Arial" w:cs="Arial"/>
                <w:i/>
                <w:sz w:val="21"/>
              </w:rPr>
              <w:t>Capsicum lanceolatum</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2D93FB29"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6A3DBC" w:rsidRPr="00FA4B2D" w14:paraId="428B0B5F"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0DFAFCBC"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70BE7968"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Sapotaceae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56448510" w14:textId="77777777" w:rsidR="006A3DBC" w:rsidRPr="00CF0F96" w:rsidRDefault="006A3DBC" w:rsidP="005F4A92">
            <w:pPr>
              <w:pStyle w:val="TableParagraph"/>
              <w:rPr>
                <w:rFonts w:ascii="Arial" w:hAnsi="Arial" w:cs="Arial"/>
                <w:i/>
                <w:sz w:val="21"/>
              </w:rPr>
            </w:pPr>
            <w:r w:rsidRPr="00CF0F96">
              <w:rPr>
                <w:rFonts w:ascii="Arial" w:hAnsi="Arial" w:cs="Arial"/>
                <w:i/>
                <w:sz w:val="21"/>
              </w:rPr>
              <w:t>Pouteria izabalensis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1DB1A170"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EB6102" w:rsidRPr="00FA4B2D" w14:paraId="449CFB27"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6B401280"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1412B449"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Sapotaceae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2C9B0AB2" w14:textId="77777777" w:rsidR="006A3DBC" w:rsidRPr="00CF0F96" w:rsidRDefault="006A3DBC" w:rsidP="005F4A92">
            <w:pPr>
              <w:pStyle w:val="TableParagraph"/>
              <w:rPr>
                <w:rFonts w:ascii="Arial" w:hAnsi="Arial" w:cs="Arial"/>
                <w:i/>
                <w:sz w:val="21"/>
              </w:rPr>
            </w:pPr>
            <w:r w:rsidRPr="00CF0F96">
              <w:rPr>
                <w:rFonts w:ascii="Arial" w:hAnsi="Arial" w:cs="Arial"/>
                <w:i/>
                <w:w w:val="95"/>
                <w:sz w:val="21"/>
              </w:rPr>
              <w:t>Sideroxylon retinerve</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52F60EA7"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6A3DBC" w:rsidRPr="00FA4B2D" w14:paraId="3ED3D78E"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555BE2E1"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411BB82A"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Symplocaceae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5F7508B6" w14:textId="77777777" w:rsidR="006A3DBC" w:rsidRPr="00CF0F96" w:rsidRDefault="006A3DBC" w:rsidP="005F4A92">
            <w:pPr>
              <w:pStyle w:val="TableParagraph"/>
              <w:rPr>
                <w:rFonts w:ascii="Arial" w:hAnsi="Arial" w:cs="Arial"/>
                <w:i/>
                <w:sz w:val="21"/>
              </w:rPr>
            </w:pPr>
            <w:r w:rsidRPr="00CF0F96">
              <w:rPr>
                <w:rFonts w:ascii="Arial" w:hAnsi="Arial" w:cs="Arial"/>
                <w:i/>
                <w:sz w:val="21"/>
              </w:rPr>
              <w:t>Symplocos molinae</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27DC05B6"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EB6102" w:rsidRPr="00FA4B2D" w14:paraId="48A15A8A"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60014484"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2BAE654E"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Theaceae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5C7123A5" w14:textId="77777777" w:rsidR="006A3DBC" w:rsidRPr="00CF0F96" w:rsidRDefault="006A3DBC" w:rsidP="005F4A92">
            <w:pPr>
              <w:pStyle w:val="TableParagraph"/>
              <w:rPr>
                <w:rFonts w:ascii="Arial" w:hAnsi="Arial" w:cs="Arial"/>
                <w:i/>
                <w:sz w:val="21"/>
              </w:rPr>
            </w:pPr>
            <w:r w:rsidRPr="00CF0F96">
              <w:rPr>
                <w:rFonts w:ascii="Arial" w:hAnsi="Arial" w:cs="Arial"/>
                <w:i/>
                <w:sz w:val="21"/>
              </w:rPr>
              <w:t>Ternstroemia landae</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7B7167A0"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6A3DBC" w:rsidRPr="00FA4B2D" w14:paraId="7DF07C64"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711B2BE2"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3A6F6F71"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Ticodendraceae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60132315" w14:textId="77777777" w:rsidR="006A3DBC" w:rsidRPr="00CF0F96" w:rsidRDefault="006A3DBC" w:rsidP="005F4A92">
            <w:pPr>
              <w:pStyle w:val="TableParagraph"/>
              <w:rPr>
                <w:rFonts w:ascii="Arial" w:hAnsi="Arial" w:cs="Arial"/>
                <w:i/>
                <w:sz w:val="21"/>
              </w:rPr>
            </w:pPr>
            <w:r w:rsidRPr="00CF0F96">
              <w:rPr>
                <w:rFonts w:ascii="Arial" w:hAnsi="Arial" w:cs="Arial"/>
                <w:i/>
                <w:sz w:val="21"/>
              </w:rPr>
              <w:t>Ticodendron incognitum</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5935BF15"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EB6102" w:rsidRPr="00FA4B2D" w14:paraId="3CFDABBA"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0DE0FA86"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0AF79344"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Verbenaceae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56D94E1A" w14:textId="77777777" w:rsidR="006A3DBC" w:rsidRPr="00CF0F96" w:rsidRDefault="006A3DBC" w:rsidP="005F4A92">
            <w:pPr>
              <w:pStyle w:val="TableParagraph"/>
              <w:rPr>
                <w:rFonts w:ascii="Arial" w:hAnsi="Arial" w:cs="Arial"/>
                <w:i/>
                <w:sz w:val="21"/>
              </w:rPr>
            </w:pPr>
            <w:r w:rsidRPr="00CF0F96">
              <w:rPr>
                <w:rFonts w:ascii="Arial" w:hAnsi="Arial" w:cs="Arial"/>
                <w:i/>
                <w:sz w:val="21"/>
              </w:rPr>
              <w:t>Aegiphila fasciculata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69961056"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6A3DBC" w:rsidRPr="00FA4B2D" w14:paraId="6C59E22E"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6AB1DB67"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443B00A5"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Verbenaceae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269487F2" w14:textId="77777777" w:rsidR="006A3DBC" w:rsidRPr="00CF0F96" w:rsidRDefault="006A3DBC" w:rsidP="005F4A92">
            <w:pPr>
              <w:pStyle w:val="TableParagraph"/>
              <w:rPr>
                <w:rFonts w:ascii="Arial" w:hAnsi="Arial" w:cs="Arial"/>
                <w:i/>
                <w:sz w:val="21"/>
              </w:rPr>
            </w:pPr>
            <w:r w:rsidRPr="00CF0F96">
              <w:rPr>
                <w:rFonts w:ascii="Arial" w:hAnsi="Arial" w:cs="Arial"/>
                <w:i/>
                <w:sz w:val="21"/>
              </w:rPr>
              <w:t>Aegiphila monstrosa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2B3005C3"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EB6102" w:rsidRPr="00FA4B2D" w14:paraId="7CACAB1B"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4F46DE78"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6CD180D3"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Verbenaceae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3C4819AF" w14:textId="77777777" w:rsidR="006A3DBC" w:rsidRPr="00CF0F96" w:rsidRDefault="006A3DBC" w:rsidP="005F4A92">
            <w:pPr>
              <w:pStyle w:val="TableParagraph"/>
              <w:rPr>
                <w:rFonts w:ascii="Arial" w:hAnsi="Arial" w:cs="Arial"/>
                <w:i/>
                <w:sz w:val="21"/>
              </w:rPr>
            </w:pPr>
            <w:r w:rsidRPr="00CF0F96">
              <w:rPr>
                <w:rFonts w:ascii="Arial" w:hAnsi="Arial" w:cs="Arial"/>
                <w:i/>
                <w:sz w:val="21"/>
              </w:rPr>
              <w:t>Aegiphila panamensis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350E324E"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6A3DBC" w:rsidRPr="00FA4B2D" w14:paraId="4C1C7F30"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072D23AC"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69BE3082"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Verbenaceae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4057DFD1" w14:textId="77777777" w:rsidR="006A3DBC" w:rsidRPr="00CF0F96" w:rsidRDefault="006A3DBC" w:rsidP="005F4A92">
            <w:pPr>
              <w:pStyle w:val="TableParagraph"/>
              <w:rPr>
                <w:rFonts w:ascii="Arial" w:hAnsi="Arial" w:cs="Arial"/>
                <w:i/>
                <w:sz w:val="21"/>
              </w:rPr>
            </w:pPr>
            <w:r w:rsidRPr="00CF0F96">
              <w:rPr>
                <w:rFonts w:ascii="Arial" w:hAnsi="Arial" w:cs="Arial"/>
                <w:i/>
                <w:sz w:val="21"/>
              </w:rPr>
              <w:t>Aegiphila skutchii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063220AF"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EB6102" w:rsidRPr="00FA4B2D" w14:paraId="25529C39"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7C483551"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79325F4E"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Verbenaceae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1C7F2F58" w14:textId="77777777" w:rsidR="006A3DBC" w:rsidRPr="00CF0F96" w:rsidRDefault="006A3DBC" w:rsidP="005F4A92">
            <w:pPr>
              <w:pStyle w:val="TableParagraph"/>
              <w:rPr>
                <w:rFonts w:ascii="Arial" w:hAnsi="Arial" w:cs="Arial"/>
                <w:i/>
                <w:sz w:val="21"/>
              </w:rPr>
            </w:pPr>
            <w:r w:rsidRPr="00CF0F96">
              <w:rPr>
                <w:rFonts w:ascii="Arial" w:hAnsi="Arial" w:cs="Arial"/>
                <w:i/>
                <w:w w:val="95"/>
                <w:sz w:val="21"/>
              </w:rPr>
              <w:t>Vitex cooperi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56480E1F"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6A3DBC" w:rsidRPr="00FA4B2D" w14:paraId="5FEDEA56"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6D3FEBD4"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48471BE7"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Verbenaceae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6B06385E" w14:textId="77777777" w:rsidR="006A3DBC" w:rsidRPr="00CF0F96" w:rsidRDefault="006A3DBC" w:rsidP="005F4A92">
            <w:pPr>
              <w:pStyle w:val="TableParagraph"/>
              <w:rPr>
                <w:rFonts w:ascii="Arial" w:hAnsi="Arial" w:cs="Arial"/>
                <w:i/>
                <w:sz w:val="21"/>
              </w:rPr>
            </w:pPr>
            <w:r w:rsidRPr="00CF0F96">
              <w:rPr>
                <w:rFonts w:ascii="Arial" w:hAnsi="Arial" w:cs="Arial"/>
                <w:i/>
                <w:sz w:val="21"/>
              </w:rPr>
              <w:t>Vitex gaumeri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68AD6AFA"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EB6102" w:rsidRPr="00FA4B2D" w14:paraId="4954ADE6"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4543C633"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54176E04"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Verbenaceae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21E460FA" w14:textId="77777777" w:rsidR="006A3DBC" w:rsidRPr="00CF0F96" w:rsidRDefault="006A3DBC" w:rsidP="005F4A92">
            <w:pPr>
              <w:pStyle w:val="TableParagraph"/>
              <w:rPr>
                <w:rFonts w:ascii="Arial" w:hAnsi="Arial" w:cs="Arial"/>
                <w:i/>
                <w:sz w:val="21"/>
              </w:rPr>
            </w:pPr>
            <w:r w:rsidRPr="00CF0F96">
              <w:rPr>
                <w:rFonts w:ascii="Arial" w:hAnsi="Arial" w:cs="Arial"/>
                <w:i/>
                <w:sz w:val="21"/>
              </w:rPr>
              <w:t>Vitex kuylenii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51692246"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6A3DBC" w:rsidRPr="00FA4B2D" w14:paraId="3ADEFB18"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50A01B8F"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294E0FF9"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Verbenaceae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32C780D3" w14:textId="77777777" w:rsidR="006A3DBC" w:rsidRPr="00CF0F96" w:rsidRDefault="006A3DBC" w:rsidP="005F4A92">
            <w:pPr>
              <w:pStyle w:val="TableParagraph"/>
              <w:rPr>
                <w:rFonts w:ascii="Arial" w:hAnsi="Arial" w:cs="Arial"/>
                <w:i/>
                <w:sz w:val="21"/>
              </w:rPr>
            </w:pPr>
            <w:r w:rsidRPr="00CF0F96">
              <w:rPr>
                <w:rFonts w:ascii="Arial" w:hAnsi="Arial" w:cs="Arial"/>
                <w:i/>
                <w:sz w:val="21"/>
              </w:rPr>
              <w:t>Xolocotzia asperifolia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2AA5EF6D"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EB6102" w:rsidRPr="00FA4B2D" w14:paraId="049B999B"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1753A109"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7E559D86"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Violaceae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358913EB" w14:textId="77777777" w:rsidR="006A3DBC" w:rsidRPr="00CF0F96" w:rsidRDefault="006A3DBC" w:rsidP="005F4A92">
            <w:pPr>
              <w:pStyle w:val="TableParagraph"/>
              <w:rPr>
                <w:rFonts w:ascii="Arial" w:hAnsi="Arial" w:cs="Arial"/>
                <w:i/>
                <w:sz w:val="21"/>
              </w:rPr>
            </w:pPr>
            <w:r w:rsidRPr="00CF0F96">
              <w:rPr>
                <w:rFonts w:ascii="Arial" w:hAnsi="Arial" w:cs="Arial"/>
                <w:i/>
                <w:sz w:val="21"/>
              </w:rPr>
              <w:t>Gloeospermum boreale</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66CDEA1F"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6A3DBC" w:rsidRPr="00FA4B2D" w14:paraId="286FE85A"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606089D3"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72945E88"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Violaceae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40FB836A" w14:textId="77777777" w:rsidR="006A3DBC" w:rsidRPr="00CF0F96" w:rsidRDefault="006A3DBC" w:rsidP="005F4A92">
            <w:pPr>
              <w:pStyle w:val="TableParagraph"/>
              <w:rPr>
                <w:rFonts w:ascii="Arial" w:hAnsi="Arial" w:cs="Arial"/>
                <w:i/>
                <w:sz w:val="21"/>
              </w:rPr>
            </w:pPr>
            <w:r w:rsidRPr="00CF0F96">
              <w:rPr>
                <w:rFonts w:ascii="Arial" w:hAnsi="Arial" w:cs="Arial"/>
                <w:i/>
                <w:sz w:val="21"/>
              </w:rPr>
              <w:t>Rinorea squamata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0BED44AA"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NT</w:t>
            </w:r>
          </w:p>
        </w:tc>
      </w:tr>
      <w:tr w:rsidR="00EB6102" w:rsidRPr="00FA4B2D" w14:paraId="27125DAA"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6831A02E"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52DAFC98"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Vochysiaceae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36194509" w14:textId="77777777" w:rsidR="006A3DBC" w:rsidRPr="00CF0F96" w:rsidRDefault="006A3DBC" w:rsidP="005F4A92">
            <w:pPr>
              <w:pStyle w:val="TableParagraph"/>
              <w:rPr>
                <w:rFonts w:ascii="Arial" w:hAnsi="Arial" w:cs="Arial"/>
                <w:i/>
                <w:sz w:val="21"/>
              </w:rPr>
            </w:pPr>
            <w:r w:rsidRPr="00CF0F96">
              <w:rPr>
                <w:rFonts w:ascii="Arial" w:hAnsi="Arial" w:cs="Arial"/>
                <w:i/>
                <w:sz w:val="21"/>
              </w:rPr>
              <w:t>Vochysia aurifera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027A40BE"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CR</w:t>
            </w:r>
          </w:p>
        </w:tc>
      </w:tr>
      <w:tr w:rsidR="006A3DBC" w:rsidRPr="00FA4B2D" w14:paraId="4584D647"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06A015C9"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Magnoliopsida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46706E07"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Zygophyllaceae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6239CA3F" w14:textId="77777777" w:rsidR="006A3DBC" w:rsidRPr="00CF0F96" w:rsidRDefault="006A3DBC" w:rsidP="005F4A92">
            <w:pPr>
              <w:pStyle w:val="TableParagraph"/>
              <w:rPr>
                <w:rFonts w:ascii="Arial" w:hAnsi="Arial" w:cs="Arial"/>
                <w:i/>
                <w:sz w:val="21"/>
              </w:rPr>
            </w:pPr>
            <w:r w:rsidRPr="00CF0F96">
              <w:rPr>
                <w:rFonts w:ascii="Arial" w:hAnsi="Arial" w:cs="Arial"/>
                <w:i/>
                <w:sz w:val="21"/>
              </w:rPr>
              <w:t>Guaiacum sanctum</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5E10CC92"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EB6102" w:rsidRPr="00FA4B2D" w14:paraId="31E0080E"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141D4873"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Pinopsida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42711169"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Pinaceae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06B5B460" w14:textId="77777777" w:rsidR="006A3DBC" w:rsidRPr="00CF0F96" w:rsidRDefault="006A3DBC" w:rsidP="005F4A92">
            <w:pPr>
              <w:pStyle w:val="TableParagraph"/>
              <w:rPr>
                <w:rFonts w:ascii="Arial" w:hAnsi="Arial" w:cs="Arial"/>
                <w:i/>
                <w:sz w:val="21"/>
              </w:rPr>
            </w:pPr>
            <w:r w:rsidRPr="00CF0F96">
              <w:rPr>
                <w:rFonts w:ascii="Arial" w:hAnsi="Arial" w:cs="Arial"/>
                <w:i/>
                <w:sz w:val="21"/>
              </w:rPr>
              <w:t>Abies guatemalensis</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03D58871"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r w:rsidR="006A3DBC" w:rsidRPr="00FA4B2D" w14:paraId="2B143839" w14:textId="77777777" w:rsidTr="005F4A92">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7AA1D2FB"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Pinopsida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2D27D57B"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Pinaceae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6C35918B" w14:textId="77777777" w:rsidR="006A3DBC" w:rsidRPr="00CF0F96" w:rsidRDefault="006A3DBC" w:rsidP="005F4A92">
            <w:pPr>
              <w:pStyle w:val="TableParagraph"/>
              <w:rPr>
                <w:rFonts w:ascii="Arial" w:hAnsi="Arial" w:cs="Arial"/>
                <w:i/>
                <w:sz w:val="21"/>
              </w:rPr>
            </w:pPr>
            <w:r w:rsidRPr="00CF0F96">
              <w:rPr>
                <w:rFonts w:ascii="Arial" w:hAnsi="Arial" w:cs="Arial"/>
                <w:i/>
                <w:sz w:val="21"/>
              </w:rPr>
              <w:t>Pinus tecunumanii</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5E1D74BC"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EB6102" w:rsidRPr="00FA4B2D" w14:paraId="3FDBCDD1" w14:textId="77777777" w:rsidTr="005F4A92">
        <w:trPr>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shd w:val="clear" w:color="auto" w:fill="D2EAF0"/>
          </w:tcPr>
          <w:p w14:paraId="41BDBA13"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Pinopsida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shd w:val="clear" w:color="auto" w:fill="D2EAF0"/>
          </w:tcPr>
          <w:p w14:paraId="26983CCD" w14:textId="77777777" w:rsidR="006A3DBC" w:rsidRPr="00CF0F96" w:rsidRDefault="006A3DBC" w:rsidP="005F4A92">
            <w:pPr>
              <w:pStyle w:val="TableParagraph"/>
              <w:spacing w:before="54"/>
              <w:rPr>
                <w:rFonts w:ascii="Arial" w:hAnsi="Arial" w:cs="Arial"/>
                <w:sz w:val="21"/>
              </w:rPr>
            </w:pPr>
            <w:r w:rsidRPr="00CF0F96">
              <w:rPr>
                <w:rFonts w:ascii="Arial" w:hAnsi="Arial" w:cs="Arial"/>
                <w:sz w:val="21"/>
              </w:rPr>
              <w:t>Podocarpacieae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shd w:val="clear" w:color="auto" w:fill="D2EAF0"/>
          </w:tcPr>
          <w:p w14:paraId="39614C68" w14:textId="77777777" w:rsidR="006A3DBC" w:rsidRPr="00CF0F96" w:rsidRDefault="006A3DBC" w:rsidP="005F4A92">
            <w:pPr>
              <w:pStyle w:val="TableParagraph"/>
              <w:rPr>
                <w:rFonts w:ascii="Arial" w:hAnsi="Arial" w:cs="Arial"/>
                <w:i/>
                <w:sz w:val="21"/>
              </w:rPr>
            </w:pPr>
            <w:r w:rsidRPr="00CF0F96">
              <w:rPr>
                <w:rFonts w:ascii="Arial" w:hAnsi="Arial" w:cs="Arial"/>
                <w:i/>
                <w:sz w:val="21"/>
              </w:rPr>
              <w:t>Podocarpus matudae</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shd w:val="clear" w:color="auto" w:fill="D2EAF0"/>
          </w:tcPr>
          <w:p w14:paraId="64BCF3A4"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VU</w:t>
            </w:r>
          </w:p>
        </w:tc>
      </w:tr>
      <w:tr w:rsidR="006A3DBC" w:rsidRPr="00FA4B2D" w14:paraId="7F652958" w14:textId="77777777" w:rsidTr="005F4A92">
        <w:trPr>
          <w:cnfStyle w:val="010000000000" w:firstRow="0" w:lastRow="1"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04" w:type="dxa"/>
            <w:tcBorders>
              <w:left w:val="dashed" w:sz="8" w:space="0" w:color="4AACC5"/>
              <w:right w:val="dashed" w:sz="8" w:space="0" w:color="4AACC5"/>
            </w:tcBorders>
          </w:tcPr>
          <w:p w14:paraId="6E73B2B3" w14:textId="77777777" w:rsidR="006A3DBC" w:rsidRPr="00CF0F96" w:rsidRDefault="006A3DBC" w:rsidP="005F4A92">
            <w:pPr>
              <w:pStyle w:val="TableParagraph"/>
              <w:rPr>
                <w:rFonts w:ascii="Arial" w:hAnsi="Arial" w:cs="Arial"/>
                <w:b w:val="0"/>
                <w:sz w:val="21"/>
              </w:rPr>
            </w:pPr>
            <w:r w:rsidRPr="00CF0F96">
              <w:rPr>
                <w:rFonts w:ascii="Arial" w:hAnsi="Arial" w:cs="Arial"/>
                <w:b w:val="0"/>
                <w:sz w:val="21"/>
              </w:rPr>
              <w:t>Pinopsida</w:t>
            </w:r>
          </w:p>
        </w:tc>
        <w:tc>
          <w:tcPr>
            <w:cnfStyle w:val="000010000000" w:firstRow="0" w:lastRow="0" w:firstColumn="0" w:lastColumn="0" w:oddVBand="1" w:evenVBand="0" w:oddHBand="0" w:evenHBand="0" w:firstRowFirstColumn="0" w:firstRowLastColumn="0" w:lastRowFirstColumn="0" w:lastRowLastColumn="0"/>
            <w:tcW w:w="1879" w:type="dxa"/>
            <w:tcBorders>
              <w:left w:val="dashed" w:sz="8" w:space="0" w:color="4AACC5"/>
              <w:right w:val="dashed" w:sz="8" w:space="0" w:color="4AACC5"/>
            </w:tcBorders>
          </w:tcPr>
          <w:p w14:paraId="679B6CD1" w14:textId="77777777" w:rsidR="006A3DBC" w:rsidRPr="00CF0F96" w:rsidRDefault="006A3DBC" w:rsidP="005F4A92">
            <w:pPr>
              <w:pStyle w:val="TableParagraph"/>
              <w:spacing w:before="54"/>
              <w:rPr>
                <w:rFonts w:ascii="Arial" w:hAnsi="Arial" w:cs="Arial"/>
                <w:b w:val="0"/>
                <w:bCs w:val="0"/>
                <w:sz w:val="21"/>
              </w:rPr>
            </w:pPr>
            <w:r w:rsidRPr="00CF0F96">
              <w:rPr>
                <w:rFonts w:ascii="Arial" w:hAnsi="Arial" w:cs="Arial"/>
                <w:b w:val="0"/>
                <w:bCs w:val="0"/>
                <w:sz w:val="21"/>
              </w:rPr>
              <w:t>Taxaceae</w:t>
            </w:r>
          </w:p>
        </w:tc>
        <w:tc>
          <w:tcPr>
            <w:cnfStyle w:val="000001000000" w:firstRow="0" w:lastRow="0" w:firstColumn="0" w:lastColumn="0" w:oddVBand="0" w:evenVBand="1" w:oddHBand="0" w:evenHBand="0" w:firstRowFirstColumn="0" w:firstRowLastColumn="0" w:lastRowFirstColumn="0" w:lastRowLastColumn="0"/>
            <w:tcW w:w="3204" w:type="dxa"/>
            <w:tcBorders>
              <w:left w:val="dashed" w:sz="8" w:space="0" w:color="4AACC5"/>
              <w:right w:val="dashed" w:sz="8" w:space="0" w:color="4AACC5"/>
            </w:tcBorders>
          </w:tcPr>
          <w:p w14:paraId="50AA8E6D" w14:textId="77777777" w:rsidR="006A3DBC" w:rsidRPr="00CF0F96" w:rsidRDefault="006A3DBC" w:rsidP="005F4A92">
            <w:pPr>
              <w:pStyle w:val="TableParagraph"/>
              <w:rPr>
                <w:rFonts w:ascii="Arial" w:hAnsi="Arial" w:cs="Arial"/>
                <w:b w:val="0"/>
                <w:bCs w:val="0"/>
                <w:i/>
                <w:sz w:val="21"/>
              </w:rPr>
            </w:pPr>
            <w:r w:rsidRPr="00CF0F96">
              <w:rPr>
                <w:rFonts w:ascii="Arial" w:hAnsi="Arial" w:cs="Arial"/>
                <w:b w:val="0"/>
                <w:bCs w:val="0"/>
                <w:i/>
                <w:sz w:val="21"/>
              </w:rPr>
              <w:t>Taxus globosa</w:t>
            </w:r>
          </w:p>
        </w:tc>
        <w:tc>
          <w:tcPr>
            <w:cnfStyle w:val="000100000000" w:firstRow="0" w:lastRow="0" w:firstColumn="0" w:lastColumn="1" w:oddVBand="0" w:evenVBand="0" w:oddHBand="0" w:evenHBand="0" w:firstRowFirstColumn="0" w:firstRowLastColumn="0" w:lastRowFirstColumn="0" w:lastRowLastColumn="0"/>
            <w:tcW w:w="1372" w:type="dxa"/>
            <w:tcBorders>
              <w:left w:val="dashed" w:sz="8" w:space="0" w:color="4AACC5"/>
              <w:right w:val="dashed" w:sz="8" w:space="0" w:color="4AACC5"/>
            </w:tcBorders>
          </w:tcPr>
          <w:p w14:paraId="3A26D925" w14:textId="77777777" w:rsidR="006A3DBC" w:rsidRPr="00CF0F96" w:rsidRDefault="006A3DBC" w:rsidP="00342ED7">
            <w:pPr>
              <w:pStyle w:val="TableParagraph"/>
              <w:spacing w:before="54"/>
              <w:jc w:val="center"/>
              <w:rPr>
                <w:rFonts w:ascii="Arial" w:hAnsi="Arial" w:cs="Arial"/>
                <w:b w:val="0"/>
                <w:bCs w:val="0"/>
                <w:sz w:val="21"/>
              </w:rPr>
            </w:pPr>
            <w:r w:rsidRPr="00CF0F96">
              <w:rPr>
                <w:rFonts w:ascii="Arial" w:hAnsi="Arial" w:cs="Arial"/>
                <w:b w:val="0"/>
                <w:bCs w:val="0"/>
                <w:sz w:val="21"/>
              </w:rPr>
              <w:t>EN</w:t>
            </w:r>
          </w:p>
        </w:tc>
      </w:tr>
    </w:tbl>
    <w:p w14:paraId="66F00B0E" w14:textId="77777777" w:rsidR="006A3DBC" w:rsidRPr="00FA4B2D" w:rsidRDefault="006A3DBC" w:rsidP="006A3DBC">
      <w:pPr>
        <w:tabs>
          <w:tab w:val="left" w:pos="1245"/>
        </w:tabs>
        <w:rPr>
          <w:rFonts w:cs="Arial"/>
        </w:rPr>
        <w:sectPr w:rsidR="006A3DBC" w:rsidRPr="00FA4B2D" w:rsidSect="005F4A92">
          <w:headerReference w:type="even" r:id="rId92"/>
          <w:headerReference w:type="default" r:id="rId93"/>
          <w:headerReference w:type="first" r:id="rId94"/>
          <w:pgSz w:w="12240" w:h="15840"/>
          <w:pgMar w:top="1417" w:right="1560" w:bottom="1417" w:left="1750" w:header="708" w:footer="708" w:gutter="0"/>
          <w:cols w:space="708"/>
          <w:docGrid w:linePitch="360"/>
        </w:sectPr>
      </w:pPr>
    </w:p>
    <w:p w14:paraId="21E4FC1E" w14:textId="480801D1" w:rsidR="006A3DBC" w:rsidRPr="00FA4B2D" w:rsidRDefault="00626B86" w:rsidP="00811897">
      <w:pPr>
        <w:pStyle w:val="Ttulo1"/>
        <w:rPr>
          <w:rFonts w:ascii="Arial" w:hAnsi="Arial" w:cs="Arial"/>
          <w:b/>
          <w:color w:val="767171" w:themeColor="background2" w:themeShade="80"/>
          <w:sz w:val="22"/>
          <w:szCs w:val="22"/>
        </w:rPr>
      </w:pPr>
      <w:bookmarkStart w:id="1551" w:name="_Toc202456990"/>
      <w:r w:rsidRPr="00FA4B2D">
        <w:rPr>
          <w:rFonts w:ascii="Arial" w:hAnsi="Arial" w:cs="Arial"/>
          <w:b/>
          <w:color w:val="767171" w:themeColor="background2" w:themeShade="80"/>
          <w:sz w:val="22"/>
          <w:szCs w:val="22"/>
        </w:rPr>
        <w:lastRenderedPageBreak/>
        <w:t>14</w:t>
      </w:r>
      <w:r w:rsidRPr="00FA4B2D">
        <w:rPr>
          <w:rFonts w:ascii="Arial" w:hAnsi="Arial" w:cs="Arial"/>
          <w:b/>
          <w:color w:val="767171" w:themeColor="background2" w:themeShade="80"/>
          <w:sz w:val="22"/>
          <w:szCs w:val="22"/>
        </w:rPr>
        <w:tab/>
      </w:r>
      <w:proofErr w:type="gramStart"/>
      <w:r w:rsidR="006A3DBC" w:rsidRPr="00FA4B2D">
        <w:rPr>
          <w:rFonts w:ascii="Arial" w:hAnsi="Arial" w:cs="Arial"/>
          <w:b/>
          <w:color w:val="767171" w:themeColor="background2" w:themeShade="80"/>
          <w:sz w:val="22"/>
          <w:szCs w:val="22"/>
        </w:rPr>
        <w:t>Anexo</w:t>
      </w:r>
      <w:proofErr w:type="gramEnd"/>
      <w:r w:rsidR="006A3DBC" w:rsidRPr="00FA4B2D">
        <w:rPr>
          <w:rFonts w:ascii="Arial" w:hAnsi="Arial" w:cs="Arial"/>
          <w:b/>
          <w:color w:val="767171" w:themeColor="background2" w:themeShade="80"/>
          <w:sz w:val="22"/>
          <w:szCs w:val="22"/>
        </w:rPr>
        <w:t xml:space="preserve"> II – Lista de especies incluidas en los apéndices CITES para Honduras.</w:t>
      </w:r>
      <w:bookmarkEnd w:id="1551"/>
    </w:p>
    <w:p w14:paraId="7DEFBDF2" w14:textId="77777777" w:rsidR="00C81834" w:rsidRPr="00FA4B2D" w:rsidRDefault="00C81834" w:rsidP="00C81834">
      <w:pPr>
        <w:rPr>
          <w:rFonts w:cs="Arial"/>
        </w:rPr>
      </w:pPr>
    </w:p>
    <w:tbl>
      <w:tblPr>
        <w:tblStyle w:val="TableNormal1"/>
        <w:tblpPr w:leftFromText="141" w:rightFromText="141" w:vertAnchor="text" w:horzAnchor="margin" w:tblpXSpec="center" w:tblpY="-51"/>
        <w:tblW w:w="0" w:type="auto"/>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1804"/>
        <w:gridCol w:w="1879"/>
        <w:gridCol w:w="3204"/>
        <w:gridCol w:w="1372"/>
      </w:tblGrid>
      <w:tr w:rsidR="00CF0F96" w:rsidRPr="00CF0F96" w14:paraId="31016C74" w14:textId="77777777" w:rsidTr="00CF0F96">
        <w:trPr>
          <w:trHeight w:val="369"/>
        </w:trPr>
        <w:tc>
          <w:tcPr>
            <w:tcW w:w="1804" w:type="dxa"/>
            <w:tcBorders>
              <w:left w:val="dashed" w:sz="8" w:space="0" w:color="4AACC5"/>
              <w:right w:val="dashed" w:sz="8" w:space="0" w:color="4AACC5"/>
            </w:tcBorders>
            <w:shd w:val="clear" w:color="auto" w:fill="5CC5DA"/>
          </w:tcPr>
          <w:p w14:paraId="2B119A8F" w14:textId="77777777" w:rsidR="00C81834" w:rsidRPr="00CF0F96" w:rsidRDefault="00C81834" w:rsidP="00C81834">
            <w:pPr>
              <w:pStyle w:val="TableParagraph"/>
              <w:ind w:left="625" w:right="605"/>
              <w:jc w:val="center"/>
              <w:rPr>
                <w:rFonts w:ascii="Arial" w:hAnsi="Arial" w:cs="Arial"/>
                <w:bCs/>
                <w:sz w:val="21"/>
                <w:lang w:val="es-HN"/>
              </w:rPr>
            </w:pPr>
            <w:r w:rsidRPr="00CF0F96">
              <w:rPr>
                <w:rFonts w:ascii="Arial" w:hAnsi="Arial" w:cs="Arial"/>
                <w:bCs/>
                <w:sz w:val="21"/>
                <w:lang w:val="es-HN"/>
              </w:rPr>
              <w:t>Clase</w:t>
            </w:r>
          </w:p>
        </w:tc>
        <w:tc>
          <w:tcPr>
            <w:tcW w:w="1879" w:type="dxa"/>
            <w:tcBorders>
              <w:left w:val="dashed" w:sz="8" w:space="0" w:color="4AACC5"/>
              <w:right w:val="dashed" w:sz="8" w:space="0" w:color="4AACC5"/>
            </w:tcBorders>
            <w:shd w:val="clear" w:color="auto" w:fill="5CC5DA"/>
          </w:tcPr>
          <w:p w14:paraId="5D631C31" w14:textId="77777777" w:rsidR="00C81834" w:rsidRPr="00CF0F96" w:rsidRDefault="00C81834" w:rsidP="00C81834">
            <w:pPr>
              <w:pStyle w:val="TableParagraph"/>
              <w:ind w:left="627"/>
              <w:rPr>
                <w:rFonts w:ascii="Arial" w:hAnsi="Arial" w:cs="Arial"/>
                <w:bCs/>
                <w:sz w:val="21"/>
                <w:lang w:val="es-HN"/>
              </w:rPr>
            </w:pPr>
            <w:r w:rsidRPr="00CF0F96">
              <w:rPr>
                <w:rFonts w:ascii="Arial" w:hAnsi="Arial" w:cs="Arial"/>
                <w:bCs/>
                <w:sz w:val="21"/>
                <w:lang w:val="es-HN"/>
              </w:rPr>
              <w:t>Familia</w:t>
            </w:r>
          </w:p>
        </w:tc>
        <w:tc>
          <w:tcPr>
            <w:tcW w:w="3204" w:type="dxa"/>
            <w:tcBorders>
              <w:left w:val="dashed" w:sz="8" w:space="0" w:color="4AACC5"/>
              <w:right w:val="dashed" w:sz="8" w:space="0" w:color="4AACC5"/>
            </w:tcBorders>
            <w:shd w:val="clear" w:color="auto" w:fill="5CC5DA"/>
          </w:tcPr>
          <w:p w14:paraId="3E3D5F24" w14:textId="77777777" w:rsidR="00C81834" w:rsidRPr="00CF0F96" w:rsidRDefault="00C81834" w:rsidP="00C81834">
            <w:pPr>
              <w:pStyle w:val="TableParagraph"/>
              <w:ind w:left="1165" w:right="1144"/>
              <w:jc w:val="center"/>
              <w:rPr>
                <w:rFonts w:ascii="Arial" w:hAnsi="Arial" w:cs="Arial"/>
                <w:bCs/>
                <w:sz w:val="21"/>
                <w:lang w:val="es-HN"/>
              </w:rPr>
            </w:pPr>
            <w:r w:rsidRPr="00CF0F96">
              <w:rPr>
                <w:rFonts w:ascii="Arial" w:hAnsi="Arial" w:cs="Arial"/>
                <w:bCs/>
                <w:sz w:val="21"/>
                <w:lang w:val="es-HN"/>
              </w:rPr>
              <w:t>Especies</w:t>
            </w:r>
          </w:p>
        </w:tc>
        <w:tc>
          <w:tcPr>
            <w:tcW w:w="1372" w:type="dxa"/>
            <w:tcBorders>
              <w:left w:val="dashed" w:sz="8" w:space="0" w:color="4AACC5"/>
              <w:right w:val="dashed" w:sz="8" w:space="0" w:color="4AACC5"/>
            </w:tcBorders>
            <w:shd w:val="clear" w:color="auto" w:fill="5CC5DA"/>
          </w:tcPr>
          <w:p w14:paraId="5377ABAA" w14:textId="77777777" w:rsidR="00C81834" w:rsidRPr="00CF0F96" w:rsidRDefault="00C81834" w:rsidP="00C81834">
            <w:pPr>
              <w:pStyle w:val="TableParagraph"/>
              <w:ind w:left="281"/>
              <w:rPr>
                <w:rFonts w:ascii="Arial" w:hAnsi="Arial" w:cs="Arial"/>
                <w:bCs/>
                <w:sz w:val="21"/>
                <w:lang w:val="es-HN"/>
              </w:rPr>
            </w:pPr>
            <w:r w:rsidRPr="00CF0F96">
              <w:rPr>
                <w:rFonts w:ascii="Arial" w:hAnsi="Arial" w:cs="Arial"/>
                <w:bCs/>
                <w:w w:val="95"/>
                <w:sz w:val="21"/>
                <w:lang w:val="es-HN"/>
              </w:rPr>
              <w:t>Categoría</w:t>
            </w:r>
          </w:p>
        </w:tc>
      </w:tr>
      <w:tr w:rsidR="00CF0F96" w:rsidRPr="00CF0F96" w14:paraId="5817FA65" w14:textId="77777777" w:rsidTr="00CF0F96">
        <w:trPr>
          <w:trHeight w:val="369"/>
        </w:trPr>
        <w:tc>
          <w:tcPr>
            <w:tcW w:w="1804" w:type="dxa"/>
            <w:tcBorders>
              <w:left w:val="dashed" w:sz="8" w:space="0" w:color="4AACC5"/>
              <w:right w:val="dashed" w:sz="8" w:space="0" w:color="4AACC5"/>
            </w:tcBorders>
            <w:shd w:val="clear" w:color="auto" w:fill="D2EAF0"/>
          </w:tcPr>
          <w:p w14:paraId="1EAA73DC" w14:textId="77777777" w:rsidR="00C81834" w:rsidRPr="00CF0F96" w:rsidRDefault="00C81834" w:rsidP="00C81834">
            <w:pPr>
              <w:pStyle w:val="TableParagraph"/>
              <w:rPr>
                <w:rFonts w:ascii="Arial" w:hAnsi="Arial" w:cs="Arial"/>
                <w:bCs/>
                <w:sz w:val="21"/>
                <w:lang w:val="es-HN"/>
              </w:rPr>
            </w:pPr>
            <w:r w:rsidRPr="00CF0F96">
              <w:rPr>
                <w:rFonts w:ascii="Arial" w:hAnsi="Arial" w:cs="Arial"/>
                <w:bCs/>
                <w:w w:val="95"/>
                <w:sz w:val="21"/>
                <w:lang w:val="es-HN"/>
              </w:rPr>
              <w:t>Chondrichthyes</w:t>
            </w:r>
          </w:p>
        </w:tc>
        <w:tc>
          <w:tcPr>
            <w:tcW w:w="1879" w:type="dxa"/>
            <w:tcBorders>
              <w:left w:val="dashed" w:sz="8" w:space="0" w:color="4AACC5"/>
              <w:right w:val="dashed" w:sz="8" w:space="0" w:color="4AACC5"/>
            </w:tcBorders>
            <w:shd w:val="clear" w:color="auto" w:fill="D2EAF0"/>
          </w:tcPr>
          <w:p w14:paraId="0C2B90F9" w14:textId="77777777" w:rsidR="00C81834" w:rsidRPr="00CF0F96" w:rsidRDefault="00C81834" w:rsidP="00C81834">
            <w:pPr>
              <w:pStyle w:val="TableParagraph"/>
              <w:spacing w:before="54"/>
              <w:rPr>
                <w:rFonts w:ascii="Arial" w:hAnsi="Arial" w:cs="Arial"/>
                <w:sz w:val="21"/>
                <w:lang w:val="es-HN"/>
              </w:rPr>
            </w:pPr>
            <w:r w:rsidRPr="00CF0F96">
              <w:rPr>
                <w:rFonts w:ascii="Arial" w:hAnsi="Arial" w:cs="Arial"/>
                <w:sz w:val="21"/>
                <w:lang w:val="es-HN"/>
              </w:rPr>
              <w:t>Carcharhinidae</w:t>
            </w:r>
          </w:p>
        </w:tc>
        <w:tc>
          <w:tcPr>
            <w:tcW w:w="3204" w:type="dxa"/>
            <w:tcBorders>
              <w:left w:val="dashed" w:sz="8" w:space="0" w:color="4AACC5"/>
              <w:right w:val="dashed" w:sz="8" w:space="0" w:color="4AACC5"/>
            </w:tcBorders>
            <w:shd w:val="clear" w:color="auto" w:fill="D2EAF0"/>
          </w:tcPr>
          <w:p w14:paraId="7E654FF5" w14:textId="77777777" w:rsidR="00C81834" w:rsidRPr="00CF0F96" w:rsidRDefault="00C81834" w:rsidP="00C81834">
            <w:pPr>
              <w:pStyle w:val="TableParagraph"/>
              <w:rPr>
                <w:rFonts w:ascii="Arial" w:hAnsi="Arial" w:cs="Arial"/>
                <w:i/>
                <w:sz w:val="21"/>
                <w:lang w:val="es-HN"/>
              </w:rPr>
            </w:pPr>
            <w:r w:rsidRPr="00CF0F96">
              <w:rPr>
                <w:rFonts w:ascii="Arial" w:hAnsi="Arial" w:cs="Arial"/>
                <w:i/>
                <w:sz w:val="21"/>
                <w:lang w:val="es-HN"/>
              </w:rPr>
              <w:t>Carcharhinus brevipinna</w:t>
            </w:r>
          </w:p>
        </w:tc>
        <w:tc>
          <w:tcPr>
            <w:tcW w:w="1372" w:type="dxa"/>
            <w:tcBorders>
              <w:left w:val="dashed" w:sz="8" w:space="0" w:color="4AACC5"/>
              <w:right w:val="dashed" w:sz="8" w:space="0" w:color="4AACC5"/>
            </w:tcBorders>
            <w:shd w:val="clear" w:color="auto" w:fill="D2EAF0"/>
          </w:tcPr>
          <w:p w14:paraId="0FB9705B" w14:textId="77777777" w:rsidR="00C81834" w:rsidRPr="00CF0F96" w:rsidRDefault="00C81834" w:rsidP="00342ED7">
            <w:pPr>
              <w:pStyle w:val="TableParagraph"/>
              <w:spacing w:before="54"/>
              <w:jc w:val="center"/>
              <w:rPr>
                <w:rFonts w:ascii="Arial" w:hAnsi="Arial" w:cs="Arial"/>
                <w:sz w:val="21"/>
                <w:lang w:val="es-HN"/>
              </w:rPr>
            </w:pPr>
            <w:r w:rsidRPr="00CF0F96">
              <w:rPr>
                <w:rFonts w:ascii="Arial" w:hAnsi="Arial" w:cs="Arial"/>
                <w:sz w:val="21"/>
                <w:lang w:val="es-HN"/>
              </w:rPr>
              <w:t>NT</w:t>
            </w:r>
          </w:p>
        </w:tc>
      </w:tr>
      <w:tr w:rsidR="00CF0F96" w:rsidRPr="00CF0F96" w14:paraId="79CE5DFC" w14:textId="77777777" w:rsidTr="00CF0F96">
        <w:trPr>
          <w:trHeight w:val="369"/>
        </w:trPr>
        <w:tc>
          <w:tcPr>
            <w:tcW w:w="1804" w:type="dxa"/>
            <w:tcBorders>
              <w:left w:val="dashed" w:sz="8" w:space="0" w:color="4AACC5"/>
              <w:right w:val="dashed" w:sz="8" w:space="0" w:color="4AACC5"/>
            </w:tcBorders>
          </w:tcPr>
          <w:p w14:paraId="2AEDDC65" w14:textId="77777777" w:rsidR="00C81834" w:rsidRPr="00CF0F96" w:rsidRDefault="00C81834" w:rsidP="00C81834">
            <w:pPr>
              <w:pStyle w:val="TableParagraph"/>
              <w:rPr>
                <w:rFonts w:ascii="Arial" w:hAnsi="Arial" w:cs="Arial"/>
                <w:bCs/>
                <w:sz w:val="21"/>
                <w:lang w:val="es-HN"/>
              </w:rPr>
            </w:pPr>
            <w:r w:rsidRPr="00CF0F96">
              <w:rPr>
                <w:rFonts w:ascii="Arial" w:hAnsi="Arial" w:cs="Arial"/>
                <w:bCs/>
                <w:w w:val="95"/>
                <w:sz w:val="21"/>
                <w:lang w:val="es-HN"/>
              </w:rPr>
              <w:t>Chondrichthyes</w:t>
            </w:r>
          </w:p>
        </w:tc>
        <w:tc>
          <w:tcPr>
            <w:tcW w:w="1879" w:type="dxa"/>
            <w:tcBorders>
              <w:left w:val="dashed" w:sz="8" w:space="0" w:color="4AACC5"/>
              <w:right w:val="dashed" w:sz="8" w:space="0" w:color="4AACC5"/>
            </w:tcBorders>
          </w:tcPr>
          <w:p w14:paraId="022CD128" w14:textId="77777777" w:rsidR="00C81834" w:rsidRPr="00CF0F96" w:rsidRDefault="00C81834" w:rsidP="00C81834">
            <w:pPr>
              <w:pStyle w:val="TableParagraph"/>
              <w:spacing w:before="54"/>
              <w:rPr>
                <w:rFonts w:ascii="Arial" w:hAnsi="Arial" w:cs="Arial"/>
                <w:sz w:val="21"/>
                <w:lang w:val="es-HN"/>
              </w:rPr>
            </w:pPr>
            <w:r w:rsidRPr="00CF0F96">
              <w:rPr>
                <w:rFonts w:ascii="Arial" w:hAnsi="Arial" w:cs="Arial"/>
                <w:sz w:val="21"/>
                <w:lang w:val="es-HN"/>
              </w:rPr>
              <w:t>Carcharhinidae</w:t>
            </w:r>
          </w:p>
        </w:tc>
        <w:tc>
          <w:tcPr>
            <w:tcW w:w="3204" w:type="dxa"/>
            <w:tcBorders>
              <w:left w:val="dashed" w:sz="8" w:space="0" w:color="4AACC5"/>
              <w:right w:val="dashed" w:sz="8" w:space="0" w:color="4AACC5"/>
            </w:tcBorders>
          </w:tcPr>
          <w:p w14:paraId="0C60A36E" w14:textId="77777777" w:rsidR="00C81834" w:rsidRPr="00CF0F96" w:rsidRDefault="00C81834" w:rsidP="00C81834">
            <w:pPr>
              <w:pStyle w:val="TableParagraph"/>
              <w:rPr>
                <w:rFonts w:ascii="Arial" w:hAnsi="Arial" w:cs="Arial"/>
                <w:i/>
                <w:sz w:val="21"/>
              </w:rPr>
            </w:pPr>
            <w:r w:rsidRPr="00CF0F96">
              <w:rPr>
                <w:rFonts w:ascii="Arial" w:hAnsi="Arial" w:cs="Arial"/>
                <w:i/>
                <w:sz w:val="21"/>
                <w:lang w:val="es-HN"/>
              </w:rPr>
              <w:t>C</w:t>
            </w:r>
            <w:r w:rsidRPr="00CF0F96">
              <w:rPr>
                <w:rFonts w:ascii="Arial" w:hAnsi="Arial" w:cs="Arial"/>
                <w:i/>
                <w:sz w:val="21"/>
              </w:rPr>
              <w:t>archarhinus falciformis</w:t>
            </w:r>
          </w:p>
        </w:tc>
        <w:tc>
          <w:tcPr>
            <w:tcW w:w="1372" w:type="dxa"/>
            <w:tcBorders>
              <w:left w:val="dashed" w:sz="8" w:space="0" w:color="4AACC5"/>
              <w:right w:val="dashed" w:sz="8" w:space="0" w:color="4AACC5"/>
            </w:tcBorders>
          </w:tcPr>
          <w:p w14:paraId="726A79C5" w14:textId="77777777" w:rsidR="00C81834" w:rsidRPr="00CF0F96" w:rsidRDefault="00C81834" w:rsidP="00342ED7">
            <w:pPr>
              <w:pStyle w:val="TableParagraph"/>
              <w:spacing w:before="54"/>
              <w:jc w:val="center"/>
              <w:rPr>
                <w:rFonts w:ascii="Arial" w:hAnsi="Arial" w:cs="Arial"/>
                <w:sz w:val="21"/>
              </w:rPr>
            </w:pPr>
            <w:r w:rsidRPr="00CF0F96">
              <w:rPr>
                <w:rFonts w:ascii="Arial" w:hAnsi="Arial" w:cs="Arial"/>
                <w:sz w:val="21"/>
              </w:rPr>
              <w:t>VU</w:t>
            </w:r>
          </w:p>
        </w:tc>
      </w:tr>
      <w:tr w:rsidR="00CF0F96" w:rsidRPr="00CF0F96" w14:paraId="4DD865CC" w14:textId="77777777" w:rsidTr="00CF0F96">
        <w:trPr>
          <w:trHeight w:val="369"/>
        </w:trPr>
        <w:tc>
          <w:tcPr>
            <w:tcW w:w="1804" w:type="dxa"/>
            <w:tcBorders>
              <w:left w:val="dashed" w:sz="8" w:space="0" w:color="4AACC5"/>
              <w:right w:val="dashed" w:sz="8" w:space="0" w:color="4AACC5"/>
            </w:tcBorders>
            <w:shd w:val="clear" w:color="auto" w:fill="D2EAF0"/>
          </w:tcPr>
          <w:p w14:paraId="7CF87EF6"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Chondrichthyes</w:t>
            </w:r>
          </w:p>
        </w:tc>
        <w:tc>
          <w:tcPr>
            <w:tcW w:w="1879" w:type="dxa"/>
            <w:tcBorders>
              <w:left w:val="dashed" w:sz="8" w:space="0" w:color="4AACC5"/>
              <w:right w:val="dashed" w:sz="8" w:space="0" w:color="4AACC5"/>
            </w:tcBorders>
            <w:shd w:val="clear" w:color="auto" w:fill="D2EAF0"/>
          </w:tcPr>
          <w:p w14:paraId="642B8B4A"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Carcharhinidae</w:t>
            </w:r>
          </w:p>
        </w:tc>
        <w:tc>
          <w:tcPr>
            <w:tcW w:w="3204" w:type="dxa"/>
            <w:tcBorders>
              <w:left w:val="dashed" w:sz="8" w:space="0" w:color="4AACC5"/>
              <w:right w:val="dashed" w:sz="8" w:space="0" w:color="4AACC5"/>
            </w:tcBorders>
            <w:shd w:val="clear" w:color="auto" w:fill="D2EAF0"/>
          </w:tcPr>
          <w:p w14:paraId="758B93AF" w14:textId="77777777" w:rsidR="00C81834" w:rsidRPr="00CF0F96" w:rsidRDefault="00C81834" w:rsidP="00C81834">
            <w:pPr>
              <w:pStyle w:val="TableParagraph"/>
              <w:rPr>
                <w:rFonts w:ascii="Arial" w:hAnsi="Arial" w:cs="Arial"/>
                <w:i/>
                <w:sz w:val="21"/>
              </w:rPr>
            </w:pPr>
            <w:r w:rsidRPr="00CF0F96">
              <w:rPr>
                <w:rFonts w:ascii="Arial" w:hAnsi="Arial" w:cs="Arial"/>
                <w:i/>
                <w:sz w:val="21"/>
              </w:rPr>
              <w:t>Carcharhinus limbatus</w:t>
            </w:r>
          </w:p>
        </w:tc>
        <w:tc>
          <w:tcPr>
            <w:tcW w:w="1372" w:type="dxa"/>
            <w:tcBorders>
              <w:left w:val="dashed" w:sz="8" w:space="0" w:color="4AACC5"/>
              <w:right w:val="dashed" w:sz="8" w:space="0" w:color="4AACC5"/>
            </w:tcBorders>
            <w:shd w:val="clear" w:color="auto" w:fill="D2EAF0"/>
          </w:tcPr>
          <w:p w14:paraId="06AD9FCE" w14:textId="77777777" w:rsidR="00C81834" w:rsidRPr="00CF0F96" w:rsidRDefault="00C81834" w:rsidP="00342ED7">
            <w:pPr>
              <w:pStyle w:val="TableParagraph"/>
              <w:spacing w:before="54"/>
              <w:jc w:val="center"/>
              <w:rPr>
                <w:rFonts w:ascii="Arial" w:hAnsi="Arial" w:cs="Arial"/>
                <w:sz w:val="21"/>
              </w:rPr>
            </w:pPr>
            <w:r w:rsidRPr="00CF0F96">
              <w:rPr>
                <w:rFonts w:ascii="Arial" w:hAnsi="Arial" w:cs="Arial"/>
                <w:sz w:val="21"/>
              </w:rPr>
              <w:t>NT</w:t>
            </w:r>
          </w:p>
        </w:tc>
      </w:tr>
      <w:tr w:rsidR="00CF0F96" w:rsidRPr="00CF0F96" w14:paraId="54FDA7C8" w14:textId="77777777" w:rsidTr="00CF0F96">
        <w:trPr>
          <w:trHeight w:val="369"/>
        </w:trPr>
        <w:tc>
          <w:tcPr>
            <w:tcW w:w="1804" w:type="dxa"/>
            <w:tcBorders>
              <w:left w:val="dashed" w:sz="8" w:space="0" w:color="4AACC5"/>
              <w:right w:val="dashed" w:sz="8" w:space="0" w:color="4AACC5"/>
            </w:tcBorders>
          </w:tcPr>
          <w:p w14:paraId="01C61349"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Chondrichthyes</w:t>
            </w:r>
          </w:p>
        </w:tc>
        <w:tc>
          <w:tcPr>
            <w:tcW w:w="1879" w:type="dxa"/>
            <w:tcBorders>
              <w:left w:val="dashed" w:sz="8" w:space="0" w:color="4AACC5"/>
              <w:right w:val="dashed" w:sz="8" w:space="0" w:color="4AACC5"/>
            </w:tcBorders>
          </w:tcPr>
          <w:p w14:paraId="26DE98A2"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Carcharhinidae</w:t>
            </w:r>
          </w:p>
        </w:tc>
        <w:tc>
          <w:tcPr>
            <w:tcW w:w="3204" w:type="dxa"/>
            <w:tcBorders>
              <w:left w:val="dashed" w:sz="8" w:space="0" w:color="4AACC5"/>
              <w:right w:val="dashed" w:sz="8" w:space="0" w:color="4AACC5"/>
            </w:tcBorders>
          </w:tcPr>
          <w:p w14:paraId="449252C6" w14:textId="77777777" w:rsidR="00C81834" w:rsidRPr="00CF0F96" w:rsidRDefault="00C81834" w:rsidP="00C81834">
            <w:pPr>
              <w:pStyle w:val="TableParagraph"/>
              <w:rPr>
                <w:rFonts w:ascii="Arial" w:hAnsi="Arial" w:cs="Arial"/>
                <w:i/>
                <w:sz w:val="21"/>
              </w:rPr>
            </w:pPr>
            <w:r w:rsidRPr="00CF0F96">
              <w:rPr>
                <w:rFonts w:ascii="Arial" w:hAnsi="Arial" w:cs="Arial"/>
                <w:i/>
                <w:sz w:val="21"/>
              </w:rPr>
              <w:t>Carcharhinus longimanus</w:t>
            </w:r>
          </w:p>
        </w:tc>
        <w:tc>
          <w:tcPr>
            <w:tcW w:w="1372" w:type="dxa"/>
            <w:tcBorders>
              <w:left w:val="dashed" w:sz="8" w:space="0" w:color="4AACC5"/>
              <w:right w:val="dashed" w:sz="8" w:space="0" w:color="4AACC5"/>
            </w:tcBorders>
          </w:tcPr>
          <w:p w14:paraId="3C7E5131" w14:textId="77777777" w:rsidR="00C81834" w:rsidRPr="00CF0F96" w:rsidRDefault="00C81834" w:rsidP="00342ED7">
            <w:pPr>
              <w:pStyle w:val="TableParagraph"/>
              <w:spacing w:before="54"/>
              <w:jc w:val="center"/>
              <w:rPr>
                <w:rFonts w:ascii="Arial" w:hAnsi="Arial" w:cs="Arial"/>
                <w:sz w:val="21"/>
              </w:rPr>
            </w:pPr>
            <w:r w:rsidRPr="00CF0F96">
              <w:rPr>
                <w:rFonts w:ascii="Arial" w:hAnsi="Arial" w:cs="Arial"/>
                <w:sz w:val="21"/>
              </w:rPr>
              <w:t>VU</w:t>
            </w:r>
          </w:p>
        </w:tc>
      </w:tr>
      <w:tr w:rsidR="00CF0F96" w:rsidRPr="00CF0F96" w14:paraId="44E1E529" w14:textId="77777777" w:rsidTr="00CF0F96">
        <w:trPr>
          <w:trHeight w:val="369"/>
        </w:trPr>
        <w:tc>
          <w:tcPr>
            <w:tcW w:w="1804" w:type="dxa"/>
            <w:tcBorders>
              <w:left w:val="dashed" w:sz="8" w:space="0" w:color="4AACC5"/>
              <w:right w:val="dashed" w:sz="8" w:space="0" w:color="4AACC5"/>
            </w:tcBorders>
            <w:shd w:val="clear" w:color="auto" w:fill="D2EAF0"/>
          </w:tcPr>
          <w:p w14:paraId="221A7B79"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Chondrichthyes</w:t>
            </w:r>
          </w:p>
        </w:tc>
        <w:tc>
          <w:tcPr>
            <w:tcW w:w="1879" w:type="dxa"/>
            <w:tcBorders>
              <w:left w:val="dashed" w:sz="8" w:space="0" w:color="4AACC5"/>
              <w:right w:val="dashed" w:sz="8" w:space="0" w:color="4AACC5"/>
            </w:tcBorders>
            <w:shd w:val="clear" w:color="auto" w:fill="D2EAF0"/>
          </w:tcPr>
          <w:p w14:paraId="6CFFA64C"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Carcharhinidae</w:t>
            </w:r>
          </w:p>
        </w:tc>
        <w:tc>
          <w:tcPr>
            <w:tcW w:w="3204" w:type="dxa"/>
            <w:tcBorders>
              <w:left w:val="dashed" w:sz="8" w:space="0" w:color="4AACC5"/>
              <w:right w:val="dashed" w:sz="8" w:space="0" w:color="4AACC5"/>
            </w:tcBorders>
            <w:shd w:val="clear" w:color="auto" w:fill="D2EAF0"/>
          </w:tcPr>
          <w:p w14:paraId="269BAD8B" w14:textId="77777777" w:rsidR="00C81834" w:rsidRPr="00CF0F96" w:rsidRDefault="00C81834" w:rsidP="00C81834">
            <w:pPr>
              <w:pStyle w:val="TableParagraph"/>
              <w:rPr>
                <w:rFonts w:ascii="Arial" w:hAnsi="Arial" w:cs="Arial"/>
                <w:i/>
                <w:sz w:val="21"/>
              </w:rPr>
            </w:pPr>
            <w:r w:rsidRPr="00CF0F96">
              <w:rPr>
                <w:rFonts w:ascii="Arial" w:hAnsi="Arial" w:cs="Arial"/>
                <w:i/>
                <w:sz w:val="21"/>
              </w:rPr>
              <w:t>Carcharhinus obscurus</w:t>
            </w:r>
          </w:p>
        </w:tc>
        <w:tc>
          <w:tcPr>
            <w:tcW w:w="1372" w:type="dxa"/>
            <w:tcBorders>
              <w:left w:val="dashed" w:sz="8" w:space="0" w:color="4AACC5"/>
              <w:right w:val="dashed" w:sz="8" w:space="0" w:color="4AACC5"/>
            </w:tcBorders>
            <w:shd w:val="clear" w:color="auto" w:fill="D2EAF0"/>
          </w:tcPr>
          <w:p w14:paraId="3D5D71C2" w14:textId="77777777" w:rsidR="00C81834" w:rsidRPr="00CF0F96" w:rsidRDefault="00C81834" w:rsidP="00342ED7">
            <w:pPr>
              <w:pStyle w:val="TableParagraph"/>
              <w:spacing w:before="54"/>
              <w:jc w:val="center"/>
              <w:rPr>
                <w:rFonts w:ascii="Arial" w:hAnsi="Arial" w:cs="Arial"/>
                <w:sz w:val="21"/>
              </w:rPr>
            </w:pPr>
            <w:r w:rsidRPr="00CF0F96">
              <w:rPr>
                <w:rFonts w:ascii="Arial" w:hAnsi="Arial" w:cs="Arial"/>
                <w:sz w:val="21"/>
              </w:rPr>
              <w:t>VU</w:t>
            </w:r>
          </w:p>
        </w:tc>
      </w:tr>
      <w:tr w:rsidR="00CF0F96" w:rsidRPr="00CF0F96" w14:paraId="0843D309" w14:textId="77777777" w:rsidTr="00CF0F96">
        <w:trPr>
          <w:trHeight w:val="369"/>
        </w:trPr>
        <w:tc>
          <w:tcPr>
            <w:tcW w:w="1804" w:type="dxa"/>
            <w:tcBorders>
              <w:left w:val="dashed" w:sz="8" w:space="0" w:color="4AACC5"/>
              <w:right w:val="dashed" w:sz="8" w:space="0" w:color="4AACC5"/>
            </w:tcBorders>
          </w:tcPr>
          <w:p w14:paraId="29212CE3"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Chondrichthyes</w:t>
            </w:r>
          </w:p>
        </w:tc>
        <w:tc>
          <w:tcPr>
            <w:tcW w:w="1879" w:type="dxa"/>
            <w:tcBorders>
              <w:left w:val="dashed" w:sz="8" w:space="0" w:color="4AACC5"/>
              <w:right w:val="dashed" w:sz="8" w:space="0" w:color="4AACC5"/>
            </w:tcBorders>
          </w:tcPr>
          <w:p w14:paraId="78C3D5E1"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Carcharhinidae</w:t>
            </w:r>
          </w:p>
        </w:tc>
        <w:tc>
          <w:tcPr>
            <w:tcW w:w="3204" w:type="dxa"/>
            <w:tcBorders>
              <w:left w:val="dashed" w:sz="8" w:space="0" w:color="4AACC5"/>
              <w:right w:val="dashed" w:sz="8" w:space="0" w:color="4AACC5"/>
            </w:tcBorders>
          </w:tcPr>
          <w:p w14:paraId="0BF11BA4" w14:textId="77777777" w:rsidR="00C81834" w:rsidRPr="00CF0F96" w:rsidRDefault="00C81834" w:rsidP="00C81834">
            <w:pPr>
              <w:pStyle w:val="TableParagraph"/>
              <w:rPr>
                <w:rFonts w:ascii="Arial" w:hAnsi="Arial" w:cs="Arial"/>
                <w:i/>
                <w:sz w:val="21"/>
              </w:rPr>
            </w:pPr>
            <w:r w:rsidRPr="00CF0F96">
              <w:rPr>
                <w:rFonts w:ascii="Arial" w:hAnsi="Arial" w:cs="Arial"/>
                <w:i/>
                <w:sz w:val="21"/>
              </w:rPr>
              <w:t>Carcharhinus perezi</w:t>
            </w:r>
          </w:p>
        </w:tc>
        <w:tc>
          <w:tcPr>
            <w:tcW w:w="1372" w:type="dxa"/>
            <w:tcBorders>
              <w:left w:val="dashed" w:sz="8" w:space="0" w:color="4AACC5"/>
              <w:right w:val="dashed" w:sz="8" w:space="0" w:color="4AACC5"/>
            </w:tcBorders>
          </w:tcPr>
          <w:p w14:paraId="3BBE22A4" w14:textId="77777777" w:rsidR="00C81834" w:rsidRPr="00CF0F96" w:rsidRDefault="00C81834" w:rsidP="00342ED7">
            <w:pPr>
              <w:pStyle w:val="TableParagraph"/>
              <w:spacing w:before="54"/>
              <w:jc w:val="center"/>
              <w:rPr>
                <w:rFonts w:ascii="Arial" w:hAnsi="Arial" w:cs="Arial"/>
                <w:sz w:val="21"/>
              </w:rPr>
            </w:pPr>
            <w:r w:rsidRPr="00CF0F96">
              <w:rPr>
                <w:rFonts w:ascii="Arial" w:hAnsi="Arial" w:cs="Arial"/>
                <w:sz w:val="21"/>
              </w:rPr>
              <w:t>NT</w:t>
            </w:r>
          </w:p>
        </w:tc>
      </w:tr>
      <w:tr w:rsidR="00CF0F96" w:rsidRPr="00CF0F96" w14:paraId="5632C090" w14:textId="77777777" w:rsidTr="00CF0F96">
        <w:trPr>
          <w:trHeight w:val="369"/>
        </w:trPr>
        <w:tc>
          <w:tcPr>
            <w:tcW w:w="1804" w:type="dxa"/>
            <w:tcBorders>
              <w:left w:val="dashed" w:sz="8" w:space="0" w:color="4AACC5"/>
              <w:right w:val="dashed" w:sz="8" w:space="0" w:color="4AACC5"/>
            </w:tcBorders>
            <w:shd w:val="clear" w:color="auto" w:fill="D2EAF0"/>
          </w:tcPr>
          <w:p w14:paraId="2D03B180"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Chondrichthyes</w:t>
            </w:r>
          </w:p>
        </w:tc>
        <w:tc>
          <w:tcPr>
            <w:tcW w:w="1879" w:type="dxa"/>
            <w:tcBorders>
              <w:left w:val="dashed" w:sz="8" w:space="0" w:color="4AACC5"/>
              <w:right w:val="dashed" w:sz="8" w:space="0" w:color="4AACC5"/>
            </w:tcBorders>
            <w:shd w:val="clear" w:color="auto" w:fill="D2EAF0"/>
          </w:tcPr>
          <w:p w14:paraId="01BD3BF1"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Carcharhinidae</w:t>
            </w:r>
          </w:p>
        </w:tc>
        <w:tc>
          <w:tcPr>
            <w:tcW w:w="3204" w:type="dxa"/>
            <w:tcBorders>
              <w:left w:val="dashed" w:sz="8" w:space="0" w:color="4AACC5"/>
              <w:right w:val="dashed" w:sz="8" w:space="0" w:color="4AACC5"/>
            </w:tcBorders>
            <w:shd w:val="clear" w:color="auto" w:fill="D2EAF0"/>
          </w:tcPr>
          <w:p w14:paraId="53B1481E" w14:textId="77777777" w:rsidR="00C81834" w:rsidRPr="00CF0F96" w:rsidRDefault="00C81834" w:rsidP="00C81834">
            <w:pPr>
              <w:pStyle w:val="TableParagraph"/>
              <w:rPr>
                <w:rFonts w:ascii="Arial" w:hAnsi="Arial" w:cs="Arial"/>
                <w:i/>
                <w:sz w:val="21"/>
              </w:rPr>
            </w:pPr>
            <w:r w:rsidRPr="00CF0F96">
              <w:rPr>
                <w:rFonts w:ascii="Arial" w:hAnsi="Arial" w:cs="Arial"/>
                <w:i/>
                <w:sz w:val="21"/>
              </w:rPr>
              <w:t>Carcharhinus plumbeus</w:t>
            </w:r>
          </w:p>
        </w:tc>
        <w:tc>
          <w:tcPr>
            <w:tcW w:w="1372" w:type="dxa"/>
            <w:tcBorders>
              <w:left w:val="dashed" w:sz="8" w:space="0" w:color="4AACC5"/>
              <w:right w:val="dashed" w:sz="8" w:space="0" w:color="4AACC5"/>
            </w:tcBorders>
            <w:shd w:val="clear" w:color="auto" w:fill="D2EAF0"/>
          </w:tcPr>
          <w:p w14:paraId="53289040" w14:textId="77777777" w:rsidR="00C81834" w:rsidRPr="00CF0F96" w:rsidRDefault="00C81834" w:rsidP="00342ED7">
            <w:pPr>
              <w:pStyle w:val="TableParagraph"/>
              <w:spacing w:before="54"/>
              <w:jc w:val="center"/>
              <w:rPr>
                <w:rFonts w:ascii="Arial" w:hAnsi="Arial" w:cs="Arial"/>
                <w:sz w:val="21"/>
              </w:rPr>
            </w:pPr>
            <w:r w:rsidRPr="00CF0F96">
              <w:rPr>
                <w:rFonts w:ascii="Arial" w:hAnsi="Arial" w:cs="Arial"/>
                <w:sz w:val="21"/>
              </w:rPr>
              <w:t>VU</w:t>
            </w:r>
          </w:p>
        </w:tc>
      </w:tr>
      <w:tr w:rsidR="00CF0F96" w:rsidRPr="00CF0F96" w14:paraId="668B7A9A" w14:textId="77777777" w:rsidTr="00CF0F96">
        <w:trPr>
          <w:trHeight w:val="369"/>
        </w:trPr>
        <w:tc>
          <w:tcPr>
            <w:tcW w:w="1804" w:type="dxa"/>
            <w:tcBorders>
              <w:left w:val="dashed" w:sz="8" w:space="0" w:color="4AACC5"/>
              <w:right w:val="dashed" w:sz="8" w:space="0" w:color="4AACC5"/>
            </w:tcBorders>
          </w:tcPr>
          <w:p w14:paraId="741241EE"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Chondrichthyes</w:t>
            </w:r>
          </w:p>
        </w:tc>
        <w:tc>
          <w:tcPr>
            <w:tcW w:w="1879" w:type="dxa"/>
            <w:tcBorders>
              <w:left w:val="dashed" w:sz="8" w:space="0" w:color="4AACC5"/>
              <w:right w:val="dashed" w:sz="8" w:space="0" w:color="4AACC5"/>
            </w:tcBorders>
          </w:tcPr>
          <w:p w14:paraId="7B783DB2"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Carcharhinidae</w:t>
            </w:r>
          </w:p>
        </w:tc>
        <w:tc>
          <w:tcPr>
            <w:tcW w:w="3204" w:type="dxa"/>
            <w:tcBorders>
              <w:left w:val="dashed" w:sz="8" w:space="0" w:color="4AACC5"/>
              <w:right w:val="dashed" w:sz="8" w:space="0" w:color="4AACC5"/>
            </w:tcBorders>
          </w:tcPr>
          <w:p w14:paraId="4EE3C7C7" w14:textId="77777777" w:rsidR="00C81834" w:rsidRPr="00CF0F96" w:rsidRDefault="00C81834" w:rsidP="00C81834">
            <w:pPr>
              <w:pStyle w:val="TableParagraph"/>
              <w:rPr>
                <w:rFonts w:ascii="Arial" w:hAnsi="Arial" w:cs="Arial"/>
                <w:i/>
                <w:sz w:val="21"/>
              </w:rPr>
            </w:pPr>
            <w:r w:rsidRPr="00CF0F96">
              <w:rPr>
                <w:rFonts w:ascii="Arial" w:hAnsi="Arial" w:cs="Arial"/>
                <w:i/>
                <w:sz w:val="21"/>
              </w:rPr>
              <w:t>Galeocerdo cuvier</w:t>
            </w:r>
          </w:p>
        </w:tc>
        <w:tc>
          <w:tcPr>
            <w:tcW w:w="1372" w:type="dxa"/>
            <w:tcBorders>
              <w:left w:val="dashed" w:sz="8" w:space="0" w:color="4AACC5"/>
              <w:right w:val="dashed" w:sz="8" w:space="0" w:color="4AACC5"/>
            </w:tcBorders>
          </w:tcPr>
          <w:p w14:paraId="13740FB6" w14:textId="77777777" w:rsidR="00C81834" w:rsidRPr="00CF0F96" w:rsidRDefault="00C81834" w:rsidP="00342ED7">
            <w:pPr>
              <w:pStyle w:val="TableParagraph"/>
              <w:spacing w:before="54"/>
              <w:jc w:val="center"/>
              <w:rPr>
                <w:rFonts w:ascii="Arial" w:hAnsi="Arial" w:cs="Arial"/>
                <w:sz w:val="21"/>
              </w:rPr>
            </w:pPr>
            <w:r w:rsidRPr="00CF0F96">
              <w:rPr>
                <w:rFonts w:ascii="Arial" w:hAnsi="Arial" w:cs="Arial"/>
                <w:sz w:val="21"/>
              </w:rPr>
              <w:t>NT</w:t>
            </w:r>
          </w:p>
        </w:tc>
      </w:tr>
      <w:tr w:rsidR="00CF0F96" w:rsidRPr="00CF0F96" w14:paraId="7A31FD39" w14:textId="77777777" w:rsidTr="00CF0F96">
        <w:trPr>
          <w:trHeight w:val="369"/>
        </w:trPr>
        <w:tc>
          <w:tcPr>
            <w:tcW w:w="1804" w:type="dxa"/>
            <w:tcBorders>
              <w:left w:val="dashed" w:sz="8" w:space="0" w:color="4AACC5"/>
              <w:right w:val="dashed" w:sz="8" w:space="0" w:color="4AACC5"/>
            </w:tcBorders>
            <w:shd w:val="clear" w:color="auto" w:fill="D2EAF0"/>
          </w:tcPr>
          <w:p w14:paraId="0FEB5CB6"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Chondrichthyes</w:t>
            </w:r>
          </w:p>
        </w:tc>
        <w:tc>
          <w:tcPr>
            <w:tcW w:w="1879" w:type="dxa"/>
            <w:tcBorders>
              <w:left w:val="dashed" w:sz="8" w:space="0" w:color="4AACC5"/>
              <w:right w:val="dashed" w:sz="8" w:space="0" w:color="4AACC5"/>
            </w:tcBorders>
            <w:shd w:val="clear" w:color="auto" w:fill="D2EAF0"/>
          </w:tcPr>
          <w:p w14:paraId="535061C5"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Carcharhinidae</w:t>
            </w:r>
          </w:p>
        </w:tc>
        <w:tc>
          <w:tcPr>
            <w:tcW w:w="3204" w:type="dxa"/>
            <w:tcBorders>
              <w:left w:val="dashed" w:sz="8" w:space="0" w:color="4AACC5"/>
              <w:right w:val="dashed" w:sz="8" w:space="0" w:color="4AACC5"/>
            </w:tcBorders>
            <w:shd w:val="clear" w:color="auto" w:fill="D2EAF0"/>
          </w:tcPr>
          <w:p w14:paraId="4DC3B07C" w14:textId="77777777" w:rsidR="00C81834" w:rsidRPr="00CF0F96" w:rsidRDefault="00C81834" w:rsidP="00C81834">
            <w:pPr>
              <w:pStyle w:val="TableParagraph"/>
              <w:rPr>
                <w:rFonts w:ascii="Arial" w:hAnsi="Arial" w:cs="Arial"/>
                <w:i/>
                <w:sz w:val="21"/>
              </w:rPr>
            </w:pPr>
            <w:r w:rsidRPr="00CF0F96">
              <w:rPr>
                <w:rFonts w:ascii="Arial" w:hAnsi="Arial" w:cs="Arial"/>
                <w:i/>
                <w:sz w:val="21"/>
              </w:rPr>
              <w:t>Negaprion brevirostris</w:t>
            </w:r>
          </w:p>
        </w:tc>
        <w:tc>
          <w:tcPr>
            <w:tcW w:w="1372" w:type="dxa"/>
            <w:tcBorders>
              <w:left w:val="dashed" w:sz="8" w:space="0" w:color="4AACC5"/>
              <w:right w:val="dashed" w:sz="8" w:space="0" w:color="4AACC5"/>
            </w:tcBorders>
            <w:shd w:val="clear" w:color="auto" w:fill="D2EAF0"/>
          </w:tcPr>
          <w:p w14:paraId="675670CB" w14:textId="77777777" w:rsidR="00C81834" w:rsidRPr="00CF0F96" w:rsidRDefault="00C81834" w:rsidP="00342ED7">
            <w:pPr>
              <w:pStyle w:val="TableParagraph"/>
              <w:spacing w:before="54"/>
              <w:jc w:val="center"/>
              <w:rPr>
                <w:rFonts w:ascii="Arial" w:hAnsi="Arial" w:cs="Arial"/>
                <w:sz w:val="21"/>
              </w:rPr>
            </w:pPr>
            <w:r w:rsidRPr="00CF0F96">
              <w:rPr>
                <w:rFonts w:ascii="Arial" w:hAnsi="Arial" w:cs="Arial"/>
                <w:sz w:val="21"/>
              </w:rPr>
              <w:t>NT</w:t>
            </w:r>
          </w:p>
        </w:tc>
      </w:tr>
      <w:tr w:rsidR="00CF0F96" w:rsidRPr="00CF0F96" w14:paraId="76EF8B37" w14:textId="77777777" w:rsidTr="00CF0F96">
        <w:trPr>
          <w:trHeight w:val="369"/>
        </w:trPr>
        <w:tc>
          <w:tcPr>
            <w:tcW w:w="1804" w:type="dxa"/>
            <w:tcBorders>
              <w:left w:val="dashed" w:sz="8" w:space="0" w:color="4AACC5"/>
              <w:right w:val="dashed" w:sz="8" w:space="0" w:color="4AACC5"/>
            </w:tcBorders>
          </w:tcPr>
          <w:p w14:paraId="6ACC7FF8"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Chondrichthyes</w:t>
            </w:r>
          </w:p>
        </w:tc>
        <w:tc>
          <w:tcPr>
            <w:tcW w:w="1879" w:type="dxa"/>
            <w:tcBorders>
              <w:left w:val="dashed" w:sz="8" w:space="0" w:color="4AACC5"/>
              <w:right w:val="dashed" w:sz="8" w:space="0" w:color="4AACC5"/>
            </w:tcBorders>
          </w:tcPr>
          <w:p w14:paraId="42564E7F"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Carcharhinidae</w:t>
            </w:r>
          </w:p>
        </w:tc>
        <w:tc>
          <w:tcPr>
            <w:tcW w:w="3204" w:type="dxa"/>
            <w:tcBorders>
              <w:left w:val="dashed" w:sz="8" w:space="0" w:color="4AACC5"/>
              <w:right w:val="dashed" w:sz="8" w:space="0" w:color="4AACC5"/>
            </w:tcBorders>
          </w:tcPr>
          <w:p w14:paraId="040E2C4A" w14:textId="77777777" w:rsidR="00C81834" w:rsidRPr="00CF0F96" w:rsidRDefault="00C81834" w:rsidP="00C81834">
            <w:pPr>
              <w:pStyle w:val="TableParagraph"/>
              <w:rPr>
                <w:rFonts w:ascii="Arial" w:hAnsi="Arial" w:cs="Arial"/>
                <w:i/>
                <w:sz w:val="21"/>
              </w:rPr>
            </w:pPr>
            <w:r w:rsidRPr="00CF0F96">
              <w:rPr>
                <w:rFonts w:ascii="Arial" w:hAnsi="Arial" w:cs="Arial"/>
                <w:i/>
                <w:sz w:val="21"/>
              </w:rPr>
              <w:t>Prionace glauca</w:t>
            </w:r>
          </w:p>
        </w:tc>
        <w:tc>
          <w:tcPr>
            <w:tcW w:w="1372" w:type="dxa"/>
            <w:tcBorders>
              <w:left w:val="dashed" w:sz="8" w:space="0" w:color="4AACC5"/>
              <w:right w:val="dashed" w:sz="8" w:space="0" w:color="4AACC5"/>
            </w:tcBorders>
          </w:tcPr>
          <w:p w14:paraId="2EC5D7AB" w14:textId="77777777" w:rsidR="00C81834" w:rsidRPr="00CF0F96" w:rsidRDefault="00C81834" w:rsidP="00342ED7">
            <w:pPr>
              <w:pStyle w:val="TableParagraph"/>
              <w:spacing w:before="54"/>
              <w:jc w:val="center"/>
              <w:rPr>
                <w:rFonts w:ascii="Arial" w:hAnsi="Arial" w:cs="Arial"/>
                <w:sz w:val="21"/>
              </w:rPr>
            </w:pPr>
            <w:r w:rsidRPr="00CF0F96">
              <w:rPr>
                <w:rFonts w:ascii="Arial" w:hAnsi="Arial" w:cs="Arial"/>
                <w:sz w:val="21"/>
              </w:rPr>
              <w:t>NT</w:t>
            </w:r>
          </w:p>
        </w:tc>
      </w:tr>
      <w:tr w:rsidR="00CF0F96" w:rsidRPr="00CF0F96" w14:paraId="5BD38AFC" w14:textId="77777777" w:rsidTr="00CF0F96">
        <w:trPr>
          <w:trHeight w:val="369"/>
        </w:trPr>
        <w:tc>
          <w:tcPr>
            <w:tcW w:w="1804" w:type="dxa"/>
            <w:tcBorders>
              <w:left w:val="dashed" w:sz="8" w:space="0" w:color="4AACC5"/>
              <w:right w:val="dashed" w:sz="8" w:space="0" w:color="4AACC5"/>
            </w:tcBorders>
            <w:shd w:val="clear" w:color="auto" w:fill="D2EAF0"/>
          </w:tcPr>
          <w:p w14:paraId="5EBCC3DA"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Chondrichthyes</w:t>
            </w:r>
          </w:p>
        </w:tc>
        <w:tc>
          <w:tcPr>
            <w:tcW w:w="1879" w:type="dxa"/>
            <w:tcBorders>
              <w:left w:val="dashed" w:sz="8" w:space="0" w:color="4AACC5"/>
              <w:right w:val="dashed" w:sz="8" w:space="0" w:color="4AACC5"/>
            </w:tcBorders>
            <w:shd w:val="clear" w:color="auto" w:fill="D2EAF0"/>
          </w:tcPr>
          <w:p w14:paraId="0AB25A3D"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Gymnuridae</w:t>
            </w:r>
          </w:p>
        </w:tc>
        <w:tc>
          <w:tcPr>
            <w:tcW w:w="3204" w:type="dxa"/>
            <w:tcBorders>
              <w:left w:val="dashed" w:sz="8" w:space="0" w:color="4AACC5"/>
              <w:right w:val="dashed" w:sz="8" w:space="0" w:color="4AACC5"/>
            </w:tcBorders>
            <w:shd w:val="clear" w:color="auto" w:fill="D2EAF0"/>
          </w:tcPr>
          <w:p w14:paraId="773C9A0B" w14:textId="77777777" w:rsidR="00C81834" w:rsidRPr="00CF0F96" w:rsidRDefault="00C81834" w:rsidP="00C81834">
            <w:pPr>
              <w:pStyle w:val="TableParagraph"/>
              <w:rPr>
                <w:rFonts w:ascii="Arial" w:hAnsi="Arial" w:cs="Arial"/>
                <w:i/>
                <w:sz w:val="21"/>
              </w:rPr>
            </w:pPr>
            <w:r w:rsidRPr="00CF0F96">
              <w:rPr>
                <w:rFonts w:ascii="Arial" w:hAnsi="Arial" w:cs="Arial"/>
                <w:i/>
                <w:sz w:val="21"/>
              </w:rPr>
              <w:t>Gymnura altavela</w:t>
            </w:r>
          </w:p>
        </w:tc>
        <w:tc>
          <w:tcPr>
            <w:tcW w:w="1372" w:type="dxa"/>
            <w:tcBorders>
              <w:left w:val="dashed" w:sz="8" w:space="0" w:color="4AACC5"/>
              <w:right w:val="dashed" w:sz="8" w:space="0" w:color="4AACC5"/>
            </w:tcBorders>
            <w:shd w:val="clear" w:color="auto" w:fill="D2EAF0"/>
          </w:tcPr>
          <w:p w14:paraId="6AEE8790" w14:textId="77777777" w:rsidR="00C81834" w:rsidRPr="00CF0F96" w:rsidRDefault="00C81834" w:rsidP="00342ED7">
            <w:pPr>
              <w:pStyle w:val="TableParagraph"/>
              <w:spacing w:before="54"/>
              <w:jc w:val="center"/>
              <w:rPr>
                <w:rFonts w:ascii="Arial" w:hAnsi="Arial" w:cs="Arial"/>
                <w:sz w:val="21"/>
              </w:rPr>
            </w:pPr>
            <w:r w:rsidRPr="00CF0F96">
              <w:rPr>
                <w:rFonts w:ascii="Arial" w:hAnsi="Arial" w:cs="Arial"/>
                <w:sz w:val="21"/>
              </w:rPr>
              <w:t>VU</w:t>
            </w:r>
          </w:p>
        </w:tc>
      </w:tr>
      <w:tr w:rsidR="00CF0F96" w:rsidRPr="00CF0F96" w14:paraId="4250CD36" w14:textId="77777777" w:rsidTr="00CF0F96">
        <w:trPr>
          <w:trHeight w:val="369"/>
        </w:trPr>
        <w:tc>
          <w:tcPr>
            <w:tcW w:w="1804" w:type="dxa"/>
            <w:tcBorders>
              <w:left w:val="dashed" w:sz="8" w:space="0" w:color="4AACC5"/>
              <w:right w:val="dashed" w:sz="8" w:space="0" w:color="4AACC5"/>
            </w:tcBorders>
          </w:tcPr>
          <w:p w14:paraId="5D87C022"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Chondrichthyes</w:t>
            </w:r>
          </w:p>
        </w:tc>
        <w:tc>
          <w:tcPr>
            <w:tcW w:w="1879" w:type="dxa"/>
            <w:tcBorders>
              <w:left w:val="dashed" w:sz="8" w:space="0" w:color="4AACC5"/>
              <w:right w:val="dashed" w:sz="8" w:space="0" w:color="4AACC5"/>
            </w:tcBorders>
          </w:tcPr>
          <w:p w14:paraId="3BE2C958"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Lamnidae</w:t>
            </w:r>
          </w:p>
        </w:tc>
        <w:tc>
          <w:tcPr>
            <w:tcW w:w="3204" w:type="dxa"/>
            <w:tcBorders>
              <w:left w:val="dashed" w:sz="8" w:space="0" w:color="4AACC5"/>
              <w:right w:val="dashed" w:sz="8" w:space="0" w:color="4AACC5"/>
            </w:tcBorders>
          </w:tcPr>
          <w:p w14:paraId="06530B84" w14:textId="77777777" w:rsidR="00C81834" w:rsidRPr="00CF0F96" w:rsidRDefault="00C81834" w:rsidP="00C81834">
            <w:pPr>
              <w:pStyle w:val="TableParagraph"/>
              <w:rPr>
                <w:rFonts w:ascii="Arial" w:hAnsi="Arial" w:cs="Arial"/>
                <w:i/>
                <w:sz w:val="21"/>
              </w:rPr>
            </w:pPr>
            <w:r w:rsidRPr="00CF0F96">
              <w:rPr>
                <w:rFonts w:ascii="Arial" w:hAnsi="Arial" w:cs="Arial"/>
                <w:i/>
                <w:sz w:val="21"/>
              </w:rPr>
              <w:t>Isurus oxyrinchus</w:t>
            </w:r>
          </w:p>
        </w:tc>
        <w:tc>
          <w:tcPr>
            <w:tcW w:w="1372" w:type="dxa"/>
            <w:tcBorders>
              <w:left w:val="dashed" w:sz="8" w:space="0" w:color="4AACC5"/>
              <w:right w:val="dashed" w:sz="8" w:space="0" w:color="4AACC5"/>
            </w:tcBorders>
          </w:tcPr>
          <w:p w14:paraId="3AED7290" w14:textId="77777777" w:rsidR="00C81834" w:rsidRPr="00CF0F96" w:rsidRDefault="00C81834" w:rsidP="00342ED7">
            <w:pPr>
              <w:pStyle w:val="TableParagraph"/>
              <w:spacing w:before="54"/>
              <w:jc w:val="center"/>
              <w:rPr>
                <w:rFonts w:ascii="Arial" w:hAnsi="Arial" w:cs="Arial"/>
                <w:sz w:val="21"/>
              </w:rPr>
            </w:pPr>
            <w:r w:rsidRPr="00CF0F96">
              <w:rPr>
                <w:rFonts w:ascii="Arial" w:hAnsi="Arial" w:cs="Arial"/>
                <w:sz w:val="21"/>
              </w:rPr>
              <w:t>VU</w:t>
            </w:r>
          </w:p>
        </w:tc>
      </w:tr>
      <w:tr w:rsidR="00CF0F96" w:rsidRPr="00CF0F96" w14:paraId="28208CC6" w14:textId="77777777" w:rsidTr="00CF0F96">
        <w:trPr>
          <w:trHeight w:val="369"/>
        </w:trPr>
        <w:tc>
          <w:tcPr>
            <w:tcW w:w="1804" w:type="dxa"/>
            <w:tcBorders>
              <w:left w:val="dashed" w:sz="8" w:space="0" w:color="4AACC5"/>
              <w:right w:val="dashed" w:sz="8" w:space="0" w:color="4AACC5"/>
            </w:tcBorders>
            <w:shd w:val="clear" w:color="auto" w:fill="D2EAF0"/>
          </w:tcPr>
          <w:p w14:paraId="30DD74B9"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Chondrichthyes</w:t>
            </w:r>
          </w:p>
        </w:tc>
        <w:tc>
          <w:tcPr>
            <w:tcW w:w="1879" w:type="dxa"/>
            <w:tcBorders>
              <w:left w:val="dashed" w:sz="8" w:space="0" w:color="4AACC5"/>
              <w:right w:val="dashed" w:sz="8" w:space="0" w:color="4AACC5"/>
            </w:tcBorders>
            <w:shd w:val="clear" w:color="auto" w:fill="D2EAF0"/>
          </w:tcPr>
          <w:p w14:paraId="3AD3AA75"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Mobulidae</w:t>
            </w:r>
          </w:p>
        </w:tc>
        <w:tc>
          <w:tcPr>
            <w:tcW w:w="3204" w:type="dxa"/>
            <w:tcBorders>
              <w:left w:val="dashed" w:sz="8" w:space="0" w:color="4AACC5"/>
              <w:right w:val="dashed" w:sz="8" w:space="0" w:color="4AACC5"/>
            </w:tcBorders>
            <w:shd w:val="clear" w:color="auto" w:fill="D2EAF0"/>
          </w:tcPr>
          <w:p w14:paraId="653F2EC2" w14:textId="77777777" w:rsidR="00C81834" w:rsidRPr="00CF0F96" w:rsidRDefault="00C81834" w:rsidP="00C81834">
            <w:pPr>
              <w:pStyle w:val="TableParagraph"/>
              <w:rPr>
                <w:rFonts w:ascii="Arial" w:hAnsi="Arial" w:cs="Arial"/>
                <w:i/>
                <w:sz w:val="21"/>
              </w:rPr>
            </w:pPr>
            <w:r w:rsidRPr="00CF0F96">
              <w:rPr>
                <w:rFonts w:ascii="Arial" w:hAnsi="Arial" w:cs="Arial"/>
                <w:i/>
                <w:sz w:val="21"/>
              </w:rPr>
              <w:t>Manta birostris</w:t>
            </w:r>
          </w:p>
        </w:tc>
        <w:tc>
          <w:tcPr>
            <w:tcW w:w="1372" w:type="dxa"/>
            <w:tcBorders>
              <w:left w:val="dashed" w:sz="8" w:space="0" w:color="4AACC5"/>
              <w:right w:val="dashed" w:sz="8" w:space="0" w:color="4AACC5"/>
            </w:tcBorders>
            <w:shd w:val="clear" w:color="auto" w:fill="D2EAF0"/>
          </w:tcPr>
          <w:p w14:paraId="43F1A3AA" w14:textId="77777777" w:rsidR="00C81834" w:rsidRPr="00CF0F96" w:rsidRDefault="00C81834" w:rsidP="00342ED7">
            <w:pPr>
              <w:pStyle w:val="TableParagraph"/>
              <w:spacing w:before="54"/>
              <w:jc w:val="center"/>
              <w:rPr>
                <w:rFonts w:ascii="Arial" w:hAnsi="Arial" w:cs="Arial"/>
                <w:sz w:val="21"/>
              </w:rPr>
            </w:pPr>
            <w:r w:rsidRPr="00CF0F96">
              <w:rPr>
                <w:rFonts w:ascii="Arial" w:hAnsi="Arial" w:cs="Arial"/>
                <w:sz w:val="21"/>
              </w:rPr>
              <w:t>VU</w:t>
            </w:r>
          </w:p>
        </w:tc>
      </w:tr>
      <w:tr w:rsidR="00CF0F96" w:rsidRPr="00CF0F96" w14:paraId="29D834F0" w14:textId="77777777" w:rsidTr="00CF0F96">
        <w:trPr>
          <w:trHeight w:val="369"/>
        </w:trPr>
        <w:tc>
          <w:tcPr>
            <w:tcW w:w="1804" w:type="dxa"/>
            <w:tcBorders>
              <w:left w:val="dashed" w:sz="8" w:space="0" w:color="4AACC5"/>
              <w:right w:val="dashed" w:sz="8" w:space="0" w:color="4AACC5"/>
            </w:tcBorders>
          </w:tcPr>
          <w:p w14:paraId="03C53D82"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Chondrichthyes</w:t>
            </w:r>
          </w:p>
        </w:tc>
        <w:tc>
          <w:tcPr>
            <w:tcW w:w="1879" w:type="dxa"/>
            <w:tcBorders>
              <w:left w:val="dashed" w:sz="8" w:space="0" w:color="4AACC5"/>
              <w:right w:val="dashed" w:sz="8" w:space="0" w:color="4AACC5"/>
            </w:tcBorders>
          </w:tcPr>
          <w:p w14:paraId="40D552D5"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Mobulidae</w:t>
            </w:r>
          </w:p>
        </w:tc>
        <w:tc>
          <w:tcPr>
            <w:tcW w:w="3204" w:type="dxa"/>
            <w:tcBorders>
              <w:left w:val="dashed" w:sz="8" w:space="0" w:color="4AACC5"/>
              <w:right w:val="dashed" w:sz="8" w:space="0" w:color="4AACC5"/>
            </w:tcBorders>
          </w:tcPr>
          <w:p w14:paraId="52D78E78" w14:textId="77777777" w:rsidR="00C81834" w:rsidRPr="00CF0F96" w:rsidRDefault="00C81834" w:rsidP="00C81834">
            <w:pPr>
              <w:pStyle w:val="TableParagraph"/>
              <w:rPr>
                <w:rFonts w:ascii="Arial" w:hAnsi="Arial" w:cs="Arial"/>
                <w:i/>
                <w:sz w:val="21"/>
              </w:rPr>
            </w:pPr>
            <w:r w:rsidRPr="00CF0F96">
              <w:rPr>
                <w:rFonts w:ascii="Arial" w:hAnsi="Arial" w:cs="Arial"/>
                <w:i/>
                <w:sz w:val="21"/>
              </w:rPr>
              <w:t>Mobula japanica</w:t>
            </w:r>
          </w:p>
        </w:tc>
        <w:tc>
          <w:tcPr>
            <w:tcW w:w="1372" w:type="dxa"/>
            <w:tcBorders>
              <w:left w:val="dashed" w:sz="8" w:space="0" w:color="4AACC5"/>
              <w:right w:val="dashed" w:sz="8" w:space="0" w:color="4AACC5"/>
            </w:tcBorders>
          </w:tcPr>
          <w:p w14:paraId="32816A4F" w14:textId="77777777" w:rsidR="00C81834" w:rsidRPr="00CF0F96" w:rsidRDefault="00C81834" w:rsidP="00342ED7">
            <w:pPr>
              <w:pStyle w:val="TableParagraph"/>
              <w:spacing w:before="54"/>
              <w:jc w:val="center"/>
              <w:rPr>
                <w:rFonts w:ascii="Arial" w:hAnsi="Arial" w:cs="Arial"/>
                <w:sz w:val="21"/>
              </w:rPr>
            </w:pPr>
            <w:r w:rsidRPr="00CF0F96">
              <w:rPr>
                <w:rFonts w:ascii="Arial" w:hAnsi="Arial" w:cs="Arial"/>
                <w:sz w:val="21"/>
              </w:rPr>
              <w:t>NT</w:t>
            </w:r>
          </w:p>
        </w:tc>
      </w:tr>
      <w:tr w:rsidR="00CF0F96" w:rsidRPr="00CF0F96" w14:paraId="503473C5" w14:textId="77777777" w:rsidTr="00CF0F96">
        <w:trPr>
          <w:trHeight w:val="369"/>
        </w:trPr>
        <w:tc>
          <w:tcPr>
            <w:tcW w:w="1804" w:type="dxa"/>
            <w:tcBorders>
              <w:left w:val="dashed" w:sz="8" w:space="0" w:color="4AACC5"/>
              <w:right w:val="dashed" w:sz="8" w:space="0" w:color="4AACC5"/>
            </w:tcBorders>
            <w:shd w:val="clear" w:color="auto" w:fill="D2EAF0"/>
          </w:tcPr>
          <w:p w14:paraId="6673A5AA"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Chondrichthyes</w:t>
            </w:r>
          </w:p>
        </w:tc>
        <w:tc>
          <w:tcPr>
            <w:tcW w:w="1879" w:type="dxa"/>
            <w:tcBorders>
              <w:left w:val="dashed" w:sz="8" w:space="0" w:color="4AACC5"/>
              <w:right w:val="dashed" w:sz="8" w:space="0" w:color="4AACC5"/>
            </w:tcBorders>
            <w:shd w:val="clear" w:color="auto" w:fill="D2EAF0"/>
          </w:tcPr>
          <w:p w14:paraId="7DA759B9"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Mobulidae</w:t>
            </w:r>
          </w:p>
        </w:tc>
        <w:tc>
          <w:tcPr>
            <w:tcW w:w="3204" w:type="dxa"/>
            <w:tcBorders>
              <w:left w:val="dashed" w:sz="8" w:space="0" w:color="4AACC5"/>
              <w:right w:val="dashed" w:sz="8" w:space="0" w:color="4AACC5"/>
            </w:tcBorders>
            <w:shd w:val="clear" w:color="auto" w:fill="D2EAF0"/>
          </w:tcPr>
          <w:p w14:paraId="182A0EC9" w14:textId="77777777" w:rsidR="00C81834" w:rsidRPr="00CF0F96" w:rsidRDefault="00C81834" w:rsidP="00C81834">
            <w:pPr>
              <w:pStyle w:val="TableParagraph"/>
              <w:rPr>
                <w:rFonts w:ascii="Arial" w:hAnsi="Arial" w:cs="Arial"/>
                <w:i/>
                <w:sz w:val="21"/>
              </w:rPr>
            </w:pPr>
            <w:r w:rsidRPr="00CF0F96">
              <w:rPr>
                <w:rFonts w:ascii="Arial" w:hAnsi="Arial" w:cs="Arial"/>
                <w:i/>
                <w:sz w:val="21"/>
              </w:rPr>
              <w:t>Mobula munkiana</w:t>
            </w:r>
          </w:p>
        </w:tc>
        <w:tc>
          <w:tcPr>
            <w:tcW w:w="1372" w:type="dxa"/>
            <w:tcBorders>
              <w:left w:val="dashed" w:sz="8" w:space="0" w:color="4AACC5"/>
              <w:right w:val="dashed" w:sz="8" w:space="0" w:color="4AACC5"/>
            </w:tcBorders>
            <w:shd w:val="clear" w:color="auto" w:fill="D2EAF0"/>
          </w:tcPr>
          <w:p w14:paraId="2086032C" w14:textId="77777777" w:rsidR="00C81834" w:rsidRPr="00CF0F96" w:rsidRDefault="00C81834" w:rsidP="00342ED7">
            <w:pPr>
              <w:pStyle w:val="TableParagraph"/>
              <w:spacing w:before="54"/>
              <w:jc w:val="center"/>
              <w:rPr>
                <w:rFonts w:ascii="Arial" w:hAnsi="Arial" w:cs="Arial"/>
                <w:sz w:val="21"/>
              </w:rPr>
            </w:pPr>
            <w:r w:rsidRPr="00CF0F96">
              <w:rPr>
                <w:rFonts w:ascii="Arial" w:hAnsi="Arial" w:cs="Arial"/>
                <w:sz w:val="21"/>
              </w:rPr>
              <w:t>NT</w:t>
            </w:r>
          </w:p>
        </w:tc>
      </w:tr>
      <w:tr w:rsidR="00CF0F96" w:rsidRPr="00CF0F96" w14:paraId="4CA423C9" w14:textId="77777777" w:rsidTr="00CF0F96">
        <w:trPr>
          <w:trHeight w:val="369"/>
        </w:trPr>
        <w:tc>
          <w:tcPr>
            <w:tcW w:w="1804" w:type="dxa"/>
            <w:tcBorders>
              <w:left w:val="dashed" w:sz="8" w:space="0" w:color="4AACC5"/>
              <w:right w:val="dashed" w:sz="8" w:space="0" w:color="4AACC5"/>
            </w:tcBorders>
          </w:tcPr>
          <w:p w14:paraId="074A1CAB"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Chondrichthyes</w:t>
            </w:r>
          </w:p>
        </w:tc>
        <w:tc>
          <w:tcPr>
            <w:tcW w:w="1879" w:type="dxa"/>
            <w:tcBorders>
              <w:left w:val="dashed" w:sz="8" w:space="0" w:color="4AACC5"/>
              <w:right w:val="dashed" w:sz="8" w:space="0" w:color="4AACC5"/>
            </w:tcBorders>
          </w:tcPr>
          <w:p w14:paraId="413A8644"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Mobulidae</w:t>
            </w:r>
          </w:p>
        </w:tc>
        <w:tc>
          <w:tcPr>
            <w:tcW w:w="3204" w:type="dxa"/>
            <w:tcBorders>
              <w:left w:val="dashed" w:sz="8" w:space="0" w:color="4AACC5"/>
              <w:right w:val="dashed" w:sz="8" w:space="0" w:color="4AACC5"/>
            </w:tcBorders>
          </w:tcPr>
          <w:p w14:paraId="7D3DB6BE" w14:textId="77777777" w:rsidR="00C81834" w:rsidRPr="00CF0F96" w:rsidRDefault="00C81834" w:rsidP="00C81834">
            <w:pPr>
              <w:pStyle w:val="TableParagraph"/>
              <w:rPr>
                <w:rFonts w:ascii="Arial" w:hAnsi="Arial" w:cs="Arial"/>
                <w:i/>
                <w:sz w:val="21"/>
              </w:rPr>
            </w:pPr>
            <w:r w:rsidRPr="00CF0F96">
              <w:rPr>
                <w:rFonts w:ascii="Arial" w:hAnsi="Arial" w:cs="Arial"/>
                <w:i/>
                <w:sz w:val="21"/>
              </w:rPr>
              <w:t>Mobula thurstoni</w:t>
            </w:r>
          </w:p>
        </w:tc>
        <w:tc>
          <w:tcPr>
            <w:tcW w:w="1372" w:type="dxa"/>
            <w:tcBorders>
              <w:left w:val="dashed" w:sz="8" w:space="0" w:color="4AACC5"/>
              <w:right w:val="dashed" w:sz="8" w:space="0" w:color="4AACC5"/>
            </w:tcBorders>
          </w:tcPr>
          <w:p w14:paraId="43988146" w14:textId="77777777" w:rsidR="00C81834" w:rsidRPr="00CF0F96" w:rsidRDefault="00C81834" w:rsidP="00342ED7">
            <w:pPr>
              <w:pStyle w:val="TableParagraph"/>
              <w:spacing w:before="54"/>
              <w:jc w:val="center"/>
              <w:rPr>
                <w:rFonts w:ascii="Arial" w:hAnsi="Arial" w:cs="Arial"/>
                <w:sz w:val="21"/>
              </w:rPr>
            </w:pPr>
            <w:r w:rsidRPr="00CF0F96">
              <w:rPr>
                <w:rFonts w:ascii="Arial" w:hAnsi="Arial" w:cs="Arial"/>
                <w:sz w:val="21"/>
              </w:rPr>
              <w:t>NT</w:t>
            </w:r>
          </w:p>
        </w:tc>
      </w:tr>
      <w:tr w:rsidR="00CF0F96" w:rsidRPr="00CF0F96" w14:paraId="3BC78578" w14:textId="77777777" w:rsidTr="00CF0F96">
        <w:trPr>
          <w:trHeight w:val="369"/>
        </w:trPr>
        <w:tc>
          <w:tcPr>
            <w:tcW w:w="1804" w:type="dxa"/>
            <w:tcBorders>
              <w:left w:val="dashed" w:sz="8" w:space="0" w:color="4AACC5"/>
              <w:right w:val="dashed" w:sz="8" w:space="0" w:color="4AACC5"/>
            </w:tcBorders>
            <w:shd w:val="clear" w:color="auto" w:fill="D2EAF0"/>
          </w:tcPr>
          <w:p w14:paraId="4FFDA930"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Chondrichthyes</w:t>
            </w:r>
          </w:p>
        </w:tc>
        <w:tc>
          <w:tcPr>
            <w:tcW w:w="1879" w:type="dxa"/>
            <w:tcBorders>
              <w:left w:val="dashed" w:sz="8" w:space="0" w:color="4AACC5"/>
              <w:right w:val="dashed" w:sz="8" w:space="0" w:color="4AACC5"/>
            </w:tcBorders>
            <w:shd w:val="clear" w:color="auto" w:fill="D2EAF0"/>
          </w:tcPr>
          <w:p w14:paraId="5150881A"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Myliobatidae</w:t>
            </w:r>
          </w:p>
        </w:tc>
        <w:tc>
          <w:tcPr>
            <w:tcW w:w="3204" w:type="dxa"/>
            <w:tcBorders>
              <w:left w:val="dashed" w:sz="8" w:space="0" w:color="4AACC5"/>
              <w:right w:val="dashed" w:sz="8" w:space="0" w:color="4AACC5"/>
            </w:tcBorders>
            <w:shd w:val="clear" w:color="auto" w:fill="D2EAF0"/>
          </w:tcPr>
          <w:p w14:paraId="19823C58" w14:textId="77777777" w:rsidR="00C81834" w:rsidRPr="00CF0F96" w:rsidRDefault="00C81834" w:rsidP="00C81834">
            <w:pPr>
              <w:pStyle w:val="TableParagraph"/>
              <w:rPr>
                <w:rFonts w:ascii="Arial" w:hAnsi="Arial" w:cs="Arial"/>
                <w:i/>
                <w:sz w:val="21"/>
              </w:rPr>
            </w:pPr>
            <w:r w:rsidRPr="00CF0F96">
              <w:rPr>
                <w:rFonts w:ascii="Arial" w:hAnsi="Arial" w:cs="Arial"/>
                <w:i/>
                <w:sz w:val="21"/>
              </w:rPr>
              <w:t>Aetobatus narinari</w:t>
            </w:r>
          </w:p>
        </w:tc>
        <w:tc>
          <w:tcPr>
            <w:tcW w:w="1372" w:type="dxa"/>
            <w:tcBorders>
              <w:left w:val="dashed" w:sz="8" w:space="0" w:color="4AACC5"/>
              <w:right w:val="dashed" w:sz="8" w:space="0" w:color="4AACC5"/>
            </w:tcBorders>
            <w:shd w:val="clear" w:color="auto" w:fill="D2EAF0"/>
          </w:tcPr>
          <w:p w14:paraId="3451A8DA" w14:textId="77777777" w:rsidR="00C81834" w:rsidRPr="00CF0F96" w:rsidRDefault="00C81834" w:rsidP="00342ED7">
            <w:pPr>
              <w:pStyle w:val="TableParagraph"/>
              <w:spacing w:before="54"/>
              <w:jc w:val="center"/>
              <w:rPr>
                <w:rFonts w:ascii="Arial" w:hAnsi="Arial" w:cs="Arial"/>
                <w:sz w:val="21"/>
              </w:rPr>
            </w:pPr>
            <w:r w:rsidRPr="00CF0F96">
              <w:rPr>
                <w:rFonts w:ascii="Arial" w:hAnsi="Arial" w:cs="Arial"/>
                <w:sz w:val="21"/>
              </w:rPr>
              <w:t>NT</w:t>
            </w:r>
          </w:p>
        </w:tc>
      </w:tr>
      <w:tr w:rsidR="00CF0F96" w:rsidRPr="00CF0F96" w14:paraId="55749CA8" w14:textId="77777777" w:rsidTr="00CF0F96">
        <w:trPr>
          <w:trHeight w:val="369"/>
        </w:trPr>
        <w:tc>
          <w:tcPr>
            <w:tcW w:w="1804" w:type="dxa"/>
            <w:tcBorders>
              <w:left w:val="dashed" w:sz="8" w:space="0" w:color="4AACC5"/>
              <w:right w:val="dashed" w:sz="8" w:space="0" w:color="4AACC5"/>
            </w:tcBorders>
          </w:tcPr>
          <w:p w14:paraId="70581100"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Chondrichthyes</w:t>
            </w:r>
          </w:p>
        </w:tc>
        <w:tc>
          <w:tcPr>
            <w:tcW w:w="1879" w:type="dxa"/>
            <w:tcBorders>
              <w:left w:val="dashed" w:sz="8" w:space="0" w:color="4AACC5"/>
              <w:right w:val="dashed" w:sz="8" w:space="0" w:color="4AACC5"/>
            </w:tcBorders>
          </w:tcPr>
          <w:p w14:paraId="7D9126FB"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Myliobatidae</w:t>
            </w:r>
          </w:p>
        </w:tc>
        <w:tc>
          <w:tcPr>
            <w:tcW w:w="3204" w:type="dxa"/>
            <w:tcBorders>
              <w:left w:val="dashed" w:sz="8" w:space="0" w:color="4AACC5"/>
              <w:right w:val="dashed" w:sz="8" w:space="0" w:color="4AACC5"/>
            </w:tcBorders>
          </w:tcPr>
          <w:p w14:paraId="4491604C" w14:textId="77777777" w:rsidR="00C81834" w:rsidRPr="00CF0F96" w:rsidRDefault="00C81834" w:rsidP="00C81834">
            <w:pPr>
              <w:pStyle w:val="TableParagraph"/>
              <w:rPr>
                <w:rFonts w:ascii="Arial" w:hAnsi="Arial" w:cs="Arial"/>
                <w:i/>
                <w:sz w:val="21"/>
              </w:rPr>
            </w:pPr>
            <w:r w:rsidRPr="00CF0F96">
              <w:rPr>
                <w:rFonts w:ascii="Arial" w:hAnsi="Arial" w:cs="Arial"/>
                <w:i/>
                <w:sz w:val="21"/>
              </w:rPr>
              <w:t>Myliobatis longirostris</w:t>
            </w:r>
          </w:p>
        </w:tc>
        <w:tc>
          <w:tcPr>
            <w:tcW w:w="1372" w:type="dxa"/>
            <w:tcBorders>
              <w:left w:val="dashed" w:sz="8" w:space="0" w:color="4AACC5"/>
              <w:right w:val="dashed" w:sz="8" w:space="0" w:color="4AACC5"/>
            </w:tcBorders>
          </w:tcPr>
          <w:p w14:paraId="182819DB" w14:textId="77777777" w:rsidR="00C81834" w:rsidRPr="00CF0F96" w:rsidRDefault="00C81834" w:rsidP="00342ED7">
            <w:pPr>
              <w:pStyle w:val="TableParagraph"/>
              <w:spacing w:before="54"/>
              <w:jc w:val="center"/>
              <w:rPr>
                <w:rFonts w:ascii="Arial" w:hAnsi="Arial" w:cs="Arial"/>
                <w:sz w:val="21"/>
              </w:rPr>
            </w:pPr>
            <w:r w:rsidRPr="00CF0F96">
              <w:rPr>
                <w:rFonts w:ascii="Arial" w:hAnsi="Arial" w:cs="Arial"/>
                <w:sz w:val="21"/>
              </w:rPr>
              <w:t>NT</w:t>
            </w:r>
          </w:p>
        </w:tc>
      </w:tr>
      <w:tr w:rsidR="00CF0F96" w:rsidRPr="00CF0F96" w14:paraId="7C865135" w14:textId="77777777" w:rsidTr="00CF0F96">
        <w:trPr>
          <w:trHeight w:val="369"/>
        </w:trPr>
        <w:tc>
          <w:tcPr>
            <w:tcW w:w="1804" w:type="dxa"/>
            <w:tcBorders>
              <w:left w:val="dashed" w:sz="8" w:space="0" w:color="4AACC5"/>
              <w:right w:val="dashed" w:sz="8" w:space="0" w:color="4AACC5"/>
            </w:tcBorders>
            <w:shd w:val="clear" w:color="auto" w:fill="D2EAF0"/>
          </w:tcPr>
          <w:p w14:paraId="75AAB869"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Chondrichthyes</w:t>
            </w:r>
          </w:p>
        </w:tc>
        <w:tc>
          <w:tcPr>
            <w:tcW w:w="1879" w:type="dxa"/>
            <w:tcBorders>
              <w:left w:val="dashed" w:sz="8" w:space="0" w:color="4AACC5"/>
              <w:right w:val="dashed" w:sz="8" w:space="0" w:color="4AACC5"/>
            </w:tcBorders>
            <w:shd w:val="clear" w:color="auto" w:fill="D2EAF0"/>
          </w:tcPr>
          <w:p w14:paraId="31719D1D"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Narcinidae</w:t>
            </w:r>
          </w:p>
        </w:tc>
        <w:tc>
          <w:tcPr>
            <w:tcW w:w="3204" w:type="dxa"/>
            <w:tcBorders>
              <w:left w:val="dashed" w:sz="8" w:space="0" w:color="4AACC5"/>
              <w:right w:val="dashed" w:sz="8" w:space="0" w:color="4AACC5"/>
            </w:tcBorders>
            <w:shd w:val="clear" w:color="auto" w:fill="D2EAF0"/>
          </w:tcPr>
          <w:p w14:paraId="6EA53CDF" w14:textId="77777777" w:rsidR="00C81834" w:rsidRPr="00CF0F96" w:rsidRDefault="00C81834" w:rsidP="00C81834">
            <w:pPr>
              <w:pStyle w:val="TableParagraph"/>
              <w:rPr>
                <w:rFonts w:ascii="Arial" w:hAnsi="Arial" w:cs="Arial"/>
                <w:i/>
                <w:sz w:val="21"/>
              </w:rPr>
            </w:pPr>
            <w:r w:rsidRPr="00CF0F96">
              <w:rPr>
                <w:rFonts w:ascii="Arial" w:hAnsi="Arial" w:cs="Arial"/>
                <w:i/>
                <w:sz w:val="21"/>
              </w:rPr>
              <w:t>Diplobatis ommata</w:t>
            </w:r>
          </w:p>
        </w:tc>
        <w:tc>
          <w:tcPr>
            <w:tcW w:w="1372" w:type="dxa"/>
            <w:tcBorders>
              <w:left w:val="dashed" w:sz="8" w:space="0" w:color="4AACC5"/>
              <w:right w:val="dashed" w:sz="8" w:space="0" w:color="4AACC5"/>
            </w:tcBorders>
            <w:shd w:val="clear" w:color="auto" w:fill="D2EAF0"/>
          </w:tcPr>
          <w:p w14:paraId="541D20F6" w14:textId="77777777" w:rsidR="00C81834" w:rsidRPr="00CF0F96" w:rsidRDefault="00C81834" w:rsidP="00342ED7">
            <w:pPr>
              <w:pStyle w:val="TableParagraph"/>
              <w:spacing w:before="54"/>
              <w:jc w:val="center"/>
              <w:rPr>
                <w:rFonts w:ascii="Arial" w:hAnsi="Arial" w:cs="Arial"/>
                <w:sz w:val="21"/>
              </w:rPr>
            </w:pPr>
            <w:r w:rsidRPr="00CF0F96">
              <w:rPr>
                <w:rFonts w:ascii="Arial" w:hAnsi="Arial" w:cs="Arial"/>
                <w:sz w:val="21"/>
              </w:rPr>
              <w:t>VU</w:t>
            </w:r>
          </w:p>
        </w:tc>
      </w:tr>
      <w:tr w:rsidR="00CF0F96" w:rsidRPr="00CF0F96" w14:paraId="6F7514B3" w14:textId="77777777" w:rsidTr="00CF0F96">
        <w:trPr>
          <w:trHeight w:val="369"/>
        </w:trPr>
        <w:tc>
          <w:tcPr>
            <w:tcW w:w="1804" w:type="dxa"/>
            <w:tcBorders>
              <w:left w:val="dashed" w:sz="8" w:space="0" w:color="4AACC5"/>
              <w:right w:val="dashed" w:sz="8" w:space="0" w:color="4AACC5"/>
            </w:tcBorders>
          </w:tcPr>
          <w:p w14:paraId="47E66846"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Chondrichthyes</w:t>
            </w:r>
          </w:p>
        </w:tc>
        <w:tc>
          <w:tcPr>
            <w:tcW w:w="1879" w:type="dxa"/>
            <w:tcBorders>
              <w:left w:val="dashed" w:sz="8" w:space="0" w:color="4AACC5"/>
              <w:right w:val="dashed" w:sz="8" w:space="0" w:color="4AACC5"/>
            </w:tcBorders>
          </w:tcPr>
          <w:p w14:paraId="6D3B0F62"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Pristidae</w:t>
            </w:r>
          </w:p>
        </w:tc>
        <w:tc>
          <w:tcPr>
            <w:tcW w:w="3204" w:type="dxa"/>
            <w:tcBorders>
              <w:left w:val="dashed" w:sz="8" w:space="0" w:color="4AACC5"/>
              <w:right w:val="dashed" w:sz="8" w:space="0" w:color="4AACC5"/>
            </w:tcBorders>
          </w:tcPr>
          <w:p w14:paraId="0DCA0729" w14:textId="77777777" w:rsidR="00C81834" w:rsidRPr="00CF0F96" w:rsidRDefault="00C81834" w:rsidP="00C81834">
            <w:pPr>
              <w:pStyle w:val="TableParagraph"/>
              <w:rPr>
                <w:rFonts w:ascii="Arial" w:hAnsi="Arial" w:cs="Arial"/>
                <w:i/>
                <w:sz w:val="21"/>
              </w:rPr>
            </w:pPr>
            <w:r w:rsidRPr="00CF0F96">
              <w:rPr>
                <w:rFonts w:ascii="Arial" w:hAnsi="Arial" w:cs="Arial"/>
                <w:i/>
                <w:sz w:val="21"/>
              </w:rPr>
              <w:t>Pristis pectinata</w:t>
            </w:r>
          </w:p>
        </w:tc>
        <w:tc>
          <w:tcPr>
            <w:tcW w:w="1372" w:type="dxa"/>
            <w:tcBorders>
              <w:left w:val="dashed" w:sz="8" w:space="0" w:color="4AACC5"/>
              <w:right w:val="dashed" w:sz="8" w:space="0" w:color="4AACC5"/>
            </w:tcBorders>
          </w:tcPr>
          <w:p w14:paraId="1A815A62" w14:textId="77777777" w:rsidR="00C81834" w:rsidRPr="00CF0F96" w:rsidRDefault="00C81834" w:rsidP="00342ED7">
            <w:pPr>
              <w:pStyle w:val="TableParagraph"/>
              <w:spacing w:before="54"/>
              <w:jc w:val="center"/>
              <w:rPr>
                <w:rFonts w:ascii="Arial" w:hAnsi="Arial" w:cs="Arial"/>
                <w:sz w:val="21"/>
              </w:rPr>
            </w:pPr>
            <w:r w:rsidRPr="00CF0F96">
              <w:rPr>
                <w:rFonts w:ascii="Arial" w:hAnsi="Arial" w:cs="Arial"/>
                <w:sz w:val="21"/>
              </w:rPr>
              <w:t>CR</w:t>
            </w:r>
          </w:p>
        </w:tc>
      </w:tr>
      <w:tr w:rsidR="00CF0F96" w:rsidRPr="00CF0F96" w14:paraId="77669414" w14:textId="77777777" w:rsidTr="00CF0F96">
        <w:trPr>
          <w:trHeight w:val="369"/>
        </w:trPr>
        <w:tc>
          <w:tcPr>
            <w:tcW w:w="1804" w:type="dxa"/>
            <w:tcBorders>
              <w:left w:val="dashed" w:sz="8" w:space="0" w:color="4AACC5"/>
              <w:right w:val="dashed" w:sz="8" w:space="0" w:color="4AACC5"/>
            </w:tcBorders>
            <w:shd w:val="clear" w:color="auto" w:fill="D2EAF0"/>
          </w:tcPr>
          <w:p w14:paraId="79A81295"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Chondrichthyes</w:t>
            </w:r>
          </w:p>
        </w:tc>
        <w:tc>
          <w:tcPr>
            <w:tcW w:w="1879" w:type="dxa"/>
            <w:tcBorders>
              <w:left w:val="dashed" w:sz="8" w:space="0" w:color="4AACC5"/>
              <w:right w:val="dashed" w:sz="8" w:space="0" w:color="4AACC5"/>
            </w:tcBorders>
            <w:shd w:val="clear" w:color="auto" w:fill="D2EAF0"/>
          </w:tcPr>
          <w:p w14:paraId="3FDDCC33"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Pristidae</w:t>
            </w:r>
          </w:p>
        </w:tc>
        <w:tc>
          <w:tcPr>
            <w:tcW w:w="3204" w:type="dxa"/>
            <w:tcBorders>
              <w:left w:val="dashed" w:sz="8" w:space="0" w:color="4AACC5"/>
              <w:right w:val="dashed" w:sz="8" w:space="0" w:color="4AACC5"/>
            </w:tcBorders>
            <w:shd w:val="clear" w:color="auto" w:fill="D2EAF0"/>
          </w:tcPr>
          <w:p w14:paraId="3AEF93EC" w14:textId="77777777" w:rsidR="00C81834" w:rsidRPr="00CF0F96" w:rsidRDefault="00C81834" w:rsidP="00C81834">
            <w:pPr>
              <w:pStyle w:val="TableParagraph"/>
              <w:rPr>
                <w:rFonts w:ascii="Arial" w:hAnsi="Arial" w:cs="Arial"/>
                <w:i/>
                <w:sz w:val="21"/>
              </w:rPr>
            </w:pPr>
            <w:r w:rsidRPr="00CF0F96">
              <w:rPr>
                <w:rFonts w:ascii="Arial" w:hAnsi="Arial" w:cs="Arial"/>
                <w:i/>
                <w:sz w:val="21"/>
              </w:rPr>
              <w:t>Pristis pristis</w:t>
            </w:r>
          </w:p>
        </w:tc>
        <w:tc>
          <w:tcPr>
            <w:tcW w:w="1372" w:type="dxa"/>
            <w:tcBorders>
              <w:left w:val="dashed" w:sz="8" w:space="0" w:color="4AACC5"/>
              <w:right w:val="dashed" w:sz="8" w:space="0" w:color="4AACC5"/>
            </w:tcBorders>
            <w:shd w:val="clear" w:color="auto" w:fill="D2EAF0"/>
          </w:tcPr>
          <w:p w14:paraId="140AA4F2" w14:textId="77777777" w:rsidR="00C81834" w:rsidRPr="00CF0F96" w:rsidRDefault="00C81834" w:rsidP="00342ED7">
            <w:pPr>
              <w:pStyle w:val="TableParagraph"/>
              <w:spacing w:before="54"/>
              <w:jc w:val="center"/>
              <w:rPr>
                <w:rFonts w:ascii="Arial" w:hAnsi="Arial" w:cs="Arial"/>
                <w:sz w:val="21"/>
              </w:rPr>
            </w:pPr>
            <w:r w:rsidRPr="00CF0F96">
              <w:rPr>
                <w:rFonts w:ascii="Arial" w:hAnsi="Arial" w:cs="Arial"/>
                <w:sz w:val="21"/>
              </w:rPr>
              <w:t>CR</w:t>
            </w:r>
          </w:p>
        </w:tc>
      </w:tr>
      <w:tr w:rsidR="00CF0F96" w:rsidRPr="00CF0F96" w14:paraId="2C8F6223" w14:textId="77777777" w:rsidTr="00CF0F96">
        <w:trPr>
          <w:trHeight w:val="369"/>
        </w:trPr>
        <w:tc>
          <w:tcPr>
            <w:tcW w:w="1804" w:type="dxa"/>
            <w:tcBorders>
              <w:left w:val="dashed" w:sz="8" w:space="0" w:color="4AACC5"/>
              <w:right w:val="dashed" w:sz="8" w:space="0" w:color="4AACC5"/>
            </w:tcBorders>
          </w:tcPr>
          <w:p w14:paraId="354BBE00"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Chondrichthyes</w:t>
            </w:r>
          </w:p>
        </w:tc>
        <w:tc>
          <w:tcPr>
            <w:tcW w:w="1879" w:type="dxa"/>
            <w:tcBorders>
              <w:left w:val="dashed" w:sz="8" w:space="0" w:color="4AACC5"/>
              <w:right w:val="dashed" w:sz="8" w:space="0" w:color="4AACC5"/>
            </w:tcBorders>
          </w:tcPr>
          <w:p w14:paraId="35C4CDDB"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Rhincodontidae</w:t>
            </w:r>
          </w:p>
        </w:tc>
        <w:tc>
          <w:tcPr>
            <w:tcW w:w="3204" w:type="dxa"/>
            <w:tcBorders>
              <w:left w:val="dashed" w:sz="8" w:space="0" w:color="4AACC5"/>
              <w:right w:val="dashed" w:sz="8" w:space="0" w:color="4AACC5"/>
            </w:tcBorders>
          </w:tcPr>
          <w:p w14:paraId="5A1A2BD0" w14:textId="77777777" w:rsidR="00C81834" w:rsidRPr="00CF0F96" w:rsidRDefault="00C81834" w:rsidP="00C81834">
            <w:pPr>
              <w:pStyle w:val="TableParagraph"/>
              <w:rPr>
                <w:rFonts w:ascii="Arial" w:hAnsi="Arial" w:cs="Arial"/>
                <w:i/>
                <w:sz w:val="21"/>
              </w:rPr>
            </w:pPr>
            <w:r w:rsidRPr="00CF0F96">
              <w:rPr>
                <w:rFonts w:ascii="Arial" w:hAnsi="Arial" w:cs="Arial"/>
                <w:i/>
                <w:sz w:val="21"/>
              </w:rPr>
              <w:t>Rhincodon typus</w:t>
            </w:r>
          </w:p>
        </w:tc>
        <w:tc>
          <w:tcPr>
            <w:tcW w:w="1372" w:type="dxa"/>
            <w:tcBorders>
              <w:left w:val="dashed" w:sz="8" w:space="0" w:color="4AACC5"/>
              <w:right w:val="dashed" w:sz="8" w:space="0" w:color="4AACC5"/>
            </w:tcBorders>
          </w:tcPr>
          <w:p w14:paraId="390FC1ED" w14:textId="77777777" w:rsidR="00C81834" w:rsidRPr="00CF0F96" w:rsidRDefault="00C81834" w:rsidP="00342ED7">
            <w:pPr>
              <w:pStyle w:val="TableParagraph"/>
              <w:spacing w:before="54"/>
              <w:jc w:val="center"/>
              <w:rPr>
                <w:rFonts w:ascii="Arial" w:hAnsi="Arial" w:cs="Arial"/>
                <w:sz w:val="21"/>
              </w:rPr>
            </w:pPr>
            <w:r w:rsidRPr="00CF0F96">
              <w:rPr>
                <w:rFonts w:ascii="Arial" w:hAnsi="Arial" w:cs="Arial"/>
                <w:sz w:val="21"/>
              </w:rPr>
              <w:t>EN</w:t>
            </w:r>
          </w:p>
        </w:tc>
      </w:tr>
      <w:tr w:rsidR="00CF0F96" w:rsidRPr="00CF0F96" w14:paraId="5F608329" w14:textId="77777777" w:rsidTr="00CF0F96">
        <w:trPr>
          <w:trHeight w:val="369"/>
        </w:trPr>
        <w:tc>
          <w:tcPr>
            <w:tcW w:w="1804" w:type="dxa"/>
            <w:tcBorders>
              <w:left w:val="dashed" w:sz="8" w:space="0" w:color="4AACC5"/>
              <w:right w:val="dashed" w:sz="8" w:space="0" w:color="4AACC5"/>
            </w:tcBorders>
            <w:shd w:val="clear" w:color="auto" w:fill="D2EAF0"/>
          </w:tcPr>
          <w:p w14:paraId="13B4A5AB"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Chondrichthyes</w:t>
            </w:r>
          </w:p>
        </w:tc>
        <w:tc>
          <w:tcPr>
            <w:tcW w:w="1879" w:type="dxa"/>
            <w:tcBorders>
              <w:left w:val="dashed" w:sz="8" w:space="0" w:color="4AACC5"/>
              <w:right w:val="dashed" w:sz="8" w:space="0" w:color="4AACC5"/>
            </w:tcBorders>
            <w:shd w:val="clear" w:color="auto" w:fill="D2EAF0"/>
          </w:tcPr>
          <w:p w14:paraId="14445981"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Rhinobatidae</w:t>
            </w:r>
          </w:p>
        </w:tc>
        <w:tc>
          <w:tcPr>
            <w:tcW w:w="3204" w:type="dxa"/>
            <w:tcBorders>
              <w:left w:val="dashed" w:sz="8" w:space="0" w:color="4AACC5"/>
              <w:right w:val="dashed" w:sz="8" w:space="0" w:color="4AACC5"/>
            </w:tcBorders>
            <w:shd w:val="clear" w:color="auto" w:fill="D2EAF0"/>
          </w:tcPr>
          <w:p w14:paraId="1D2A6F2D" w14:textId="77777777" w:rsidR="00C81834" w:rsidRPr="00CF0F96" w:rsidRDefault="00C81834" w:rsidP="00C81834">
            <w:pPr>
              <w:pStyle w:val="TableParagraph"/>
              <w:rPr>
                <w:rFonts w:ascii="Arial" w:hAnsi="Arial" w:cs="Arial"/>
                <w:i/>
                <w:sz w:val="21"/>
              </w:rPr>
            </w:pPr>
            <w:r w:rsidRPr="00CF0F96">
              <w:rPr>
                <w:rFonts w:ascii="Arial" w:hAnsi="Arial" w:cs="Arial"/>
                <w:i/>
                <w:sz w:val="21"/>
              </w:rPr>
              <w:t>Pseudobatos leucorhynchus</w:t>
            </w:r>
          </w:p>
        </w:tc>
        <w:tc>
          <w:tcPr>
            <w:tcW w:w="1372" w:type="dxa"/>
            <w:tcBorders>
              <w:left w:val="dashed" w:sz="8" w:space="0" w:color="4AACC5"/>
              <w:right w:val="dashed" w:sz="8" w:space="0" w:color="4AACC5"/>
            </w:tcBorders>
            <w:shd w:val="clear" w:color="auto" w:fill="D2EAF0"/>
          </w:tcPr>
          <w:p w14:paraId="7FF7C57F" w14:textId="77777777" w:rsidR="00C81834" w:rsidRPr="00CF0F96" w:rsidRDefault="00C81834" w:rsidP="00342ED7">
            <w:pPr>
              <w:pStyle w:val="TableParagraph"/>
              <w:spacing w:before="54"/>
              <w:jc w:val="center"/>
              <w:rPr>
                <w:rFonts w:ascii="Arial" w:hAnsi="Arial" w:cs="Arial"/>
                <w:sz w:val="21"/>
              </w:rPr>
            </w:pPr>
            <w:r w:rsidRPr="00CF0F96">
              <w:rPr>
                <w:rFonts w:ascii="Arial" w:hAnsi="Arial" w:cs="Arial"/>
                <w:sz w:val="21"/>
              </w:rPr>
              <w:t>NT</w:t>
            </w:r>
          </w:p>
        </w:tc>
      </w:tr>
      <w:tr w:rsidR="00CF0F96" w:rsidRPr="00CF0F96" w14:paraId="3AEB499C" w14:textId="77777777" w:rsidTr="00CF0F96">
        <w:trPr>
          <w:trHeight w:val="369"/>
        </w:trPr>
        <w:tc>
          <w:tcPr>
            <w:tcW w:w="1804" w:type="dxa"/>
            <w:tcBorders>
              <w:left w:val="dashed" w:sz="8" w:space="0" w:color="4AACC5"/>
              <w:right w:val="dashed" w:sz="8" w:space="0" w:color="4AACC5"/>
            </w:tcBorders>
          </w:tcPr>
          <w:p w14:paraId="149496A3"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Chondrichthyes</w:t>
            </w:r>
          </w:p>
        </w:tc>
        <w:tc>
          <w:tcPr>
            <w:tcW w:w="1879" w:type="dxa"/>
            <w:tcBorders>
              <w:left w:val="dashed" w:sz="8" w:space="0" w:color="4AACC5"/>
              <w:right w:val="dashed" w:sz="8" w:space="0" w:color="4AACC5"/>
            </w:tcBorders>
          </w:tcPr>
          <w:p w14:paraId="23639D6B"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Rhinopteridae</w:t>
            </w:r>
          </w:p>
        </w:tc>
        <w:tc>
          <w:tcPr>
            <w:tcW w:w="3204" w:type="dxa"/>
            <w:tcBorders>
              <w:left w:val="dashed" w:sz="8" w:space="0" w:color="4AACC5"/>
              <w:right w:val="dashed" w:sz="8" w:space="0" w:color="4AACC5"/>
            </w:tcBorders>
          </w:tcPr>
          <w:p w14:paraId="3F9AE02C" w14:textId="77777777" w:rsidR="00C81834" w:rsidRPr="00CF0F96" w:rsidRDefault="00C81834" w:rsidP="00C81834">
            <w:pPr>
              <w:pStyle w:val="TableParagraph"/>
              <w:rPr>
                <w:rFonts w:ascii="Arial" w:hAnsi="Arial" w:cs="Arial"/>
                <w:i/>
                <w:sz w:val="21"/>
              </w:rPr>
            </w:pPr>
            <w:r w:rsidRPr="00CF0F96">
              <w:rPr>
                <w:rFonts w:ascii="Arial" w:hAnsi="Arial" w:cs="Arial"/>
                <w:i/>
                <w:sz w:val="21"/>
              </w:rPr>
              <w:t>Rhinoptera bonasus</w:t>
            </w:r>
          </w:p>
        </w:tc>
        <w:tc>
          <w:tcPr>
            <w:tcW w:w="1372" w:type="dxa"/>
            <w:tcBorders>
              <w:left w:val="dashed" w:sz="8" w:space="0" w:color="4AACC5"/>
              <w:right w:val="dashed" w:sz="8" w:space="0" w:color="4AACC5"/>
            </w:tcBorders>
          </w:tcPr>
          <w:p w14:paraId="3396CAB5" w14:textId="77777777" w:rsidR="00C81834" w:rsidRPr="00CF0F96" w:rsidRDefault="00C81834" w:rsidP="00342ED7">
            <w:pPr>
              <w:pStyle w:val="TableParagraph"/>
              <w:spacing w:before="54"/>
              <w:jc w:val="center"/>
              <w:rPr>
                <w:rFonts w:ascii="Arial" w:hAnsi="Arial" w:cs="Arial"/>
                <w:sz w:val="21"/>
              </w:rPr>
            </w:pPr>
            <w:r w:rsidRPr="00CF0F96">
              <w:rPr>
                <w:rFonts w:ascii="Arial" w:hAnsi="Arial" w:cs="Arial"/>
                <w:sz w:val="21"/>
              </w:rPr>
              <w:t>NT</w:t>
            </w:r>
          </w:p>
        </w:tc>
      </w:tr>
    </w:tbl>
    <w:p w14:paraId="7D0AA538" w14:textId="77777777" w:rsidR="00C81834" w:rsidRPr="00FA4B2D" w:rsidRDefault="00C81834" w:rsidP="00C81834">
      <w:pPr>
        <w:jc w:val="center"/>
        <w:rPr>
          <w:rFonts w:cs="Arial"/>
          <w:lang w:val="es-ES"/>
        </w:rPr>
      </w:pPr>
    </w:p>
    <w:p w14:paraId="1C7152B4" w14:textId="77777777" w:rsidR="00C81834" w:rsidRPr="00FA4B2D" w:rsidRDefault="00C81834" w:rsidP="00C81834">
      <w:pPr>
        <w:jc w:val="center"/>
        <w:rPr>
          <w:rFonts w:cs="Arial"/>
        </w:rPr>
      </w:pPr>
    </w:p>
    <w:p w14:paraId="427E7285" w14:textId="77777777" w:rsidR="00C81834" w:rsidRPr="00FA4B2D" w:rsidRDefault="00C81834" w:rsidP="00C81834">
      <w:pPr>
        <w:jc w:val="center"/>
        <w:rPr>
          <w:rFonts w:cs="Arial"/>
        </w:rPr>
      </w:pPr>
    </w:p>
    <w:p w14:paraId="07FC3BD3" w14:textId="77777777" w:rsidR="00C81834" w:rsidRPr="00FA4B2D" w:rsidRDefault="00C81834" w:rsidP="00C81834">
      <w:pPr>
        <w:jc w:val="center"/>
        <w:rPr>
          <w:rFonts w:cs="Arial"/>
        </w:rPr>
      </w:pPr>
    </w:p>
    <w:p w14:paraId="728FC984" w14:textId="77777777" w:rsidR="00C81834" w:rsidRPr="00FA4B2D" w:rsidRDefault="00C81834" w:rsidP="00C81834">
      <w:pPr>
        <w:jc w:val="center"/>
        <w:rPr>
          <w:rFonts w:cs="Arial"/>
        </w:rPr>
      </w:pPr>
    </w:p>
    <w:p w14:paraId="1132D22E" w14:textId="77777777" w:rsidR="00C81834" w:rsidRPr="00FA4B2D" w:rsidRDefault="00C81834" w:rsidP="00C81834">
      <w:pPr>
        <w:jc w:val="center"/>
        <w:rPr>
          <w:rFonts w:cs="Arial"/>
        </w:rPr>
      </w:pPr>
    </w:p>
    <w:p w14:paraId="65B5E0B0" w14:textId="77777777" w:rsidR="00C81834" w:rsidRPr="00FA4B2D" w:rsidRDefault="00C81834" w:rsidP="00C81834">
      <w:pPr>
        <w:jc w:val="center"/>
        <w:rPr>
          <w:rFonts w:cs="Arial"/>
        </w:rPr>
      </w:pPr>
    </w:p>
    <w:p w14:paraId="0D799FB3" w14:textId="77777777" w:rsidR="00C81834" w:rsidRPr="00FA4B2D" w:rsidRDefault="00C81834" w:rsidP="00C81834">
      <w:pPr>
        <w:jc w:val="center"/>
        <w:rPr>
          <w:rFonts w:cs="Arial"/>
        </w:rPr>
      </w:pPr>
    </w:p>
    <w:p w14:paraId="0DF04EC0" w14:textId="77777777" w:rsidR="00C81834" w:rsidRPr="00FA4B2D" w:rsidRDefault="00C81834" w:rsidP="00C81834">
      <w:pPr>
        <w:rPr>
          <w:rFonts w:cs="Arial"/>
        </w:rPr>
      </w:pPr>
    </w:p>
    <w:p w14:paraId="5709E27B" w14:textId="77777777" w:rsidR="00C81834" w:rsidRPr="00FA4B2D" w:rsidRDefault="00C81834" w:rsidP="00C81834">
      <w:pPr>
        <w:rPr>
          <w:rFonts w:cs="Arial"/>
        </w:rPr>
      </w:pPr>
    </w:p>
    <w:p w14:paraId="31427482" w14:textId="77777777" w:rsidR="00C81834" w:rsidRPr="00FA4B2D" w:rsidRDefault="00C81834" w:rsidP="00C81834">
      <w:pPr>
        <w:rPr>
          <w:rFonts w:cs="Arial"/>
        </w:rPr>
      </w:pPr>
    </w:p>
    <w:p w14:paraId="5D7C6150" w14:textId="77777777" w:rsidR="00C81834" w:rsidRPr="00FA4B2D" w:rsidRDefault="00C81834" w:rsidP="00C81834">
      <w:pPr>
        <w:rPr>
          <w:rFonts w:cs="Arial"/>
        </w:rPr>
      </w:pPr>
    </w:p>
    <w:p w14:paraId="07AE1BD9" w14:textId="77777777" w:rsidR="00C81834" w:rsidRPr="00FA4B2D" w:rsidRDefault="00C81834" w:rsidP="00C81834">
      <w:pPr>
        <w:rPr>
          <w:rFonts w:cs="Arial"/>
        </w:rPr>
      </w:pPr>
    </w:p>
    <w:p w14:paraId="3D6F08E2" w14:textId="77777777" w:rsidR="00C81834" w:rsidRPr="00FA4B2D" w:rsidRDefault="00C81834" w:rsidP="00C81834">
      <w:pPr>
        <w:rPr>
          <w:rFonts w:cs="Arial"/>
        </w:rPr>
      </w:pPr>
    </w:p>
    <w:p w14:paraId="67B490A7" w14:textId="77777777" w:rsidR="00C81834" w:rsidRPr="00FA4B2D" w:rsidRDefault="00C81834" w:rsidP="00C81834">
      <w:pPr>
        <w:rPr>
          <w:rFonts w:cs="Arial"/>
        </w:rPr>
      </w:pPr>
    </w:p>
    <w:p w14:paraId="151E4C9C" w14:textId="77777777" w:rsidR="00C81834" w:rsidRPr="00FA4B2D" w:rsidRDefault="00C81834" w:rsidP="00C81834">
      <w:pPr>
        <w:rPr>
          <w:rFonts w:cs="Arial"/>
        </w:rPr>
      </w:pPr>
    </w:p>
    <w:p w14:paraId="466DAC67" w14:textId="77777777" w:rsidR="00C81834" w:rsidRPr="00FA4B2D" w:rsidRDefault="00C81834" w:rsidP="00C81834">
      <w:pPr>
        <w:rPr>
          <w:rFonts w:cs="Arial"/>
        </w:rPr>
      </w:pPr>
    </w:p>
    <w:p w14:paraId="787BB9F1" w14:textId="77777777" w:rsidR="00C81834" w:rsidRPr="00FA4B2D" w:rsidRDefault="00C81834" w:rsidP="00C81834">
      <w:pPr>
        <w:rPr>
          <w:rFonts w:cs="Arial"/>
        </w:rPr>
      </w:pPr>
    </w:p>
    <w:p w14:paraId="3D993A2D" w14:textId="77777777" w:rsidR="00C81834" w:rsidRPr="00FA4B2D" w:rsidRDefault="00C81834" w:rsidP="00C81834">
      <w:pPr>
        <w:rPr>
          <w:rFonts w:cs="Arial"/>
        </w:rPr>
      </w:pPr>
    </w:p>
    <w:p w14:paraId="3A59B248" w14:textId="77777777" w:rsidR="00C81834" w:rsidRPr="00FA4B2D" w:rsidRDefault="00C81834" w:rsidP="00C81834">
      <w:pPr>
        <w:rPr>
          <w:rFonts w:cs="Arial"/>
        </w:rPr>
      </w:pPr>
    </w:p>
    <w:p w14:paraId="1E193725" w14:textId="77777777" w:rsidR="00C81834" w:rsidRPr="00FA4B2D" w:rsidRDefault="00C81834" w:rsidP="00C81834">
      <w:pPr>
        <w:rPr>
          <w:rFonts w:cs="Arial"/>
        </w:rPr>
      </w:pPr>
    </w:p>
    <w:p w14:paraId="00DC6BBE" w14:textId="10754D2C" w:rsidR="00C81834" w:rsidRPr="00FA4B2D" w:rsidRDefault="00C81834" w:rsidP="00C81834">
      <w:pPr>
        <w:tabs>
          <w:tab w:val="left" w:pos="1245"/>
        </w:tabs>
        <w:rPr>
          <w:rFonts w:cs="Arial"/>
        </w:rPr>
      </w:pPr>
    </w:p>
    <w:tbl>
      <w:tblPr>
        <w:tblStyle w:val="TableNormal1"/>
        <w:tblW w:w="0" w:type="auto"/>
        <w:jc w:val="center"/>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1804"/>
        <w:gridCol w:w="1879"/>
        <w:gridCol w:w="3204"/>
        <w:gridCol w:w="1372"/>
      </w:tblGrid>
      <w:tr w:rsidR="00C81834" w:rsidRPr="00FA4B2D" w14:paraId="5397F6FA" w14:textId="77777777" w:rsidTr="005D7F0C">
        <w:trPr>
          <w:trHeight w:val="369"/>
          <w:jc w:val="center"/>
        </w:trPr>
        <w:tc>
          <w:tcPr>
            <w:tcW w:w="1804" w:type="dxa"/>
            <w:tcBorders>
              <w:left w:val="dashed" w:sz="8" w:space="0" w:color="4AACC5"/>
              <w:right w:val="dashed" w:sz="8" w:space="0" w:color="4AACC5"/>
            </w:tcBorders>
            <w:shd w:val="clear" w:color="auto" w:fill="5CC5DA"/>
          </w:tcPr>
          <w:p w14:paraId="231DFD6A" w14:textId="77777777" w:rsidR="00C81834" w:rsidRPr="00CF0F96" w:rsidRDefault="00C81834" w:rsidP="00C81834">
            <w:pPr>
              <w:pStyle w:val="TableParagraph"/>
              <w:ind w:left="625" w:right="605"/>
              <w:jc w:val="center"/>
              <w:rPr>
                <w:rFonts w:ascii="Arial" w:hAnsi="Arial" w:cs="Arial"/>
                <w:bCs/>
                <w:sz w:val="21"/>
              </w:rPr>
            </w:pPr>
            <w:r w:rsidRPr="00CF0F96">
              <w:rPr>
                <w:rFonts w:ascii="Arial" w:hAnsi="Arial" w:cs="Arial"/>
                <w:bCs/>
                <w:sz w:val="21"/>
              </w:rPr>
              <w:t>Clase</w:t>
            </w:r>
          </w:p>
        </w:tc>
        <w:tc>
          <w:tcPr>
            <w:tcW w:w="1879" w:type="dxa"/>
            <w:tcBorders>
              <w:left w:val="dashed" w:sz="8" w:space="0" w:color="4AACC5"/>
              <w:right w:val="dashed" w:sz="8" w:space="0" w:color="4AACC5"/>
            </w:tcBorders>
            <w:shd w:val="clear" w:color="auto" w:fill="5CC5DA"/>
          </w:tcPr>
          <w:p w14:paraId="508F977C" w14:textId="77777777" w:rsidR="00C81834" w:rsidRPr="00CF0F96" w:rsidRDefault="00C81834" w:rsidP="00C81834">
            <w:pPr>
              <w:pStyle w:val="TableParagraph"/>
              <w:ind w:left="627"/>
              <w:rPr>
                <w:rFonts w:ascii="Arial" w:hAnsi="Arial" w:cs="Arial"/>
                <w:bCs/>
                <w:sz w:val="21"/>
              </w:rPr>
            </w:pPr>
            <w:r w:rsidRPr="00CF0F96">
              <w:rPr>
                <w:rFonts w:ascii="Arial" w:hAnsi="Arial" w:cs="Arial"/>
                <w:bCs/>
                <w:sz w:val="21"/>
              </w:rPr>
              <w:t>Familia</w:t>
            </w:r>
          </w:p>
        </w:tc>
        <w:tc>
          <w:tcPr>
            <w:tcW w:w="3204" w:type="dxa"/>
            <w:tcBorders>
              <w:left w:val="dashed" w:sz="8" w:space="0" w:color="4AACC5"/>
              <w:right w:val="dashed" w:sz="8" w:space="0" w:color="4AACC5"/>
            </w:tcBorders>
            <w:shd w:val="clear" w:color="auto" w:fill="5CC5DA"/>
          </w:tcPr>
          <w:p w14:paraId="2FB35C6F" w14:textId="77777777" w:rsidR="00C81834" w:rsidRPr="00CF0F96" w:rsidRDefault="00C81834" w:rsidP="00C81834">
            <w:pPr>
              <w:pStyle w:val="TableParagraph"/>
              <w:ind w:left="1165" w:right="1144"/>
              <w:jc w:val="center"/>
              <w:rPr>
                <w:rFonts w:ascii="Arial" w:hAnsi="Arial" w:cs="Arial"/>
                <w:bCs/>
                <w:sz w:val="21"/>
              </w:rPr>
            </w:pPr>
            <w:r w:rsidRPr="00CF0F96">
              <w:rPr>
                <w:rFonts w:ascii="Arial" w:hAnsi="Arial" w:cs="Arial"/>
                <w:bCs/>
                <w:sz w:val="21"/>
              </w:rPr>
              <w:t>Especies</w:t>
            </w:r>
          </w:p>
        </w:tc>
        <w:tc>
          <w:tcPr>
            <w:tcW w:w="1372" w:type="dxa"/>
            <w:tcBorders>
              <w:left w:val="dashed" w:sz="8" w:space="0" w:color="4AACC5"/>
              <w:right w:val="dashed" w:sz="8" w:space="0" w:color="4AACC5"/>
            </w:tcBorders>
            <w:shd w:val="clear" w:color="auto" w:fill="5CC5DA"/>
          </w:tcPr>
          <w:p w14:paraId="0EEDCB2B" w14:textId="77777777" w:rsidR="00C81834" w:rsidRPr="00CF0F96" w:rsidRDefault="00C81834" w:rsidP="00C81834">
            <w:pPr>
              <w:pStyle w:val="TableParagraph"/>
              <w:ind w:left="281"/>
              <w:rPr>
                <w:rFonts w:ascii="Arial" w:hAnsi="Arial" w:cs="Arial"/>
                <w:bCs/>
                <w:sz w:val="21"/>
              </w:rPr>
            </w:pPr>
            <w:r w:rsidRPr="00CF0F96">
              <w:rPr>
                <w:rFonts w:ascii="Arial" w:hAnsi="Arial" w:cs="Arial"/>
                <w:bCs/>
                <w:w w:val="95"/>
                <w:sz w:val="21"/>
              </w:rPr>
              <w:t>Categoría</w:t>
            </w:r>
          </w:p>
        </w:tc>
      </w:tr>
      <w:tr w:rsidR="00C81834" w:rsidRPr="00FA4B2D" w14:paraId="73245892" w14:textId="77777777" w:rsidTr="00C81834">
        <w:trPr>
          <w:trHeight w:val="369"/>
          <w:jc w:val="center"/>
        </w:trPr>
        <w:tc>
          <w:tcPr>
            <w:tcW w:w="1804" w:type="dxa"/>
            <w:tcBorders>
              <w:left w:val="dashed" w:sz="8" w:space="0" w:color="4AACC5"/>
              <w:right w:val="dashed" w:sz="8" w:space="0" w:color="4AACC5"/>
            </w:tcBorders>
            <w:shd w:val="clear" w:color="auto" w:fill="D2EAF0"/>
          </w:tcPr>
          <w:p w14:paraId="07EAC42B"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Chondrichthyes</w:t>
            </w:r>
          </w:p>
        </w:tc>
        <w:tc>
          <w:tcPr>
            <w:tcW w:w="1879" w:type="dxa"/>
            <w:tcBorders>
              <w:left w:val="dashed" w:sz="8" w:space="0" w:color="4AACC5"/>
              <w:right w:val="dashed" w:sz="8" w:space="0" w:color="4AACC5"/>
            </w:tcBorders>
            <w:shd w:val="clear" w:color="auto" w:fill="D2EAF0"/>
          </w:tcPr>
          <w:p w14:paraId="547455F3"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Rhinopteridae</w:t>
            </w:r>
          </w:p>
        </w:tc>
        <w:tc>
          <w:tcPr>
            <w:tcW w:w="3204" w:type="dxa"/>
            <w:tcBorders>
              <w:left w:val="dashed" w:sz="8" w:space="0" w:color="4AACC5"/>
              <w:right w:val="dashed" w:sz="8" w:space="0" w:color="4AACC5"/>
            </w:tcBorders>
            <w:shd w:val="clear" w:color="auto" w:fill="D2EAF0"/>
          </w:tcPr>
          <w:p w14:paraId="0E122B30" w14:textId="77777777" w:rsidR="00C81834" w:rsidRPr="00CF0F96" w:rsidRDefault="00C81834" w:rsidP="00C81834">
            <w:pPr>
              <w:pStyle w:val="TableParagraph"/>
              <w:rPr>
                <w:rFonts w:ascii="Arial" w:hAnsi="Arial" w:cs="Arial"/>
                <w:i/>
                <w:sz w:val="21"/>
              </w:rPr>
            </w:pPr>
            <w:r w:rsidRPr="00CF0F96">
              <w:rPr>
                <w:rFonts w:ascii="Arial" w:hAnsi="Arial" w:cs="Arial"/>
                <w:i/>
                <w:sz w:val="21"/>
              </w:rPr>
              <w:t>Rhinoptera steindachneri</w:t>
            </w:r>
          </w:p>
        </w:tc>
        <w:tc>
          <w:tcPr>
            <w:tcW w:w="1372" w:type="dxa"/>
            <w:tcBorders>
              <w:left w:val="dashed" w:sz="8" w:space="0" w:color="4AACC5"/>
              <w:right w:val="dashed" w:sz="8" w:space="0" w:color="4AACC5"/>
            </w:tcBorders>
            <w:shd w:val="clear" w:color="auto" w:fill="D2EAF0"/>
          </w:tcPr>
          <w:p w14:paraId="6A0F9718" w14:textId="77777777" w:rsidR="00C81834" w:rsidRPr="00CF0F96" w:rsidRDefault="00C81834" w:rsidP="00342ED7">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3B2381EB" w14:textId="77777777" w:rsidTr="00C81834">
        <w:trPr>
          <w:trHeight w:val="369"/>
          <w:jc w:val="center"/>
        </w:trPr>
        <w:tc>
          <w:tcPr>
            <w:tcW w:w="1804" w:type="dxa"/>
            <w:tcBorders>
              <w:left w:val="dashed" w:sz="8" w:space="0" w:color="4AACC5"/>
              <w:right w:val="dashed" w:sz="8" w:space="0" w:color="4AACC5"/>
            </w:tcBorders>
          </w:tcPr>
          <w:p w14:paraId="5466C59C"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Chondrichthyes</w:t>
            </w:r>
          </w:p>
        </w:tc>
        <w:tc>
          <w:tcPr>
            <w:tcW w:w="1879" w:type="dxa"/>
            <w:tcBorders>
              <w:left w:val="dashed" w:sz="8" w:space="0" w:color="4AACC5"/>
              <w:right w:val="dashed" w:sz="8" w:space="0" w:color="4AACC5"/>
            </w:tcBorders>
          </w:tcPr>
          <w:p w14:paraId="05B7D328"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Sphyrnidae</w:t>
            </w:r>
          </w:p>
        </w:tc>
        <w:tc>
          <w:tcPr>
            <w:tcW w:w="3204" w:type="dxa"/>
            <w:tcBorders>
              <w:left w:val="dashed" w:sz="8" w:space="0" w:color="4AACC5"/>
              <w:right w:val="dashed" w:sz="8" w:space="0" w:color="4AACC5"/>
            </w:tcBorders>
          </w:tcPr>
          <w:p w14:paraId="782C6511" w14:textId="77777777" w:rsidR="00C81834" w:rsidRPr="00CF0F96" w:rsidRDefault="00C81834" w:rsidP="00C81834">
            <w:pPr>
              <w:pStyle w:val="TableParagraph"/>
              <w:rPr>
                <w:rFonts w:ascii="Arial" w:hAnsi="Arial" w:cs="Arial"/>
                <w:i/>
                <w:sz w:val="21"/>
              </w:rPr>
            </w:pPr>
            <w:r w:rsidRPr="00CF0F96">
              <w:rPr>
                <w:rFonts w:ascii="Arial" w:hAnsi="Arial" w:cs="Arial"/>
                <w:i/>
                <w:sz w:val="21"/>
              </w:rPr>
              <w:t>Sphyrna corona</w:t>
            </w:r>
          </w:p>
        </w:tc>
        <w:tc>
          <w:tcPr>
            <w:tcW w:w="1372" w:type="dxa"/>
            <w:tcBorders>
              <w:left w:val="dashed" w:sz="8" w:space="0" w:color="4AACC5"/>
              <w:right w:val="dashed" w:sz="8" w:space="0" w:color="4AACC5"/>
            </w:tcBorders>
          </w:tcPr>
          <w:p w14:paraId="5A2E3E93" w14:textId="77777777" w:rsidR="00C81834" w:rsidRPr="00CF0F96" w:rsidRDefault="00C81834" w:rsidP="00342ED7">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354D1C19" w14:textId="77777777" w:rsidTr="00C81834">
        <w:trPr>
          <w:trHeight w:val="369"/>
          <w:jc w:val="center"/>
        </w:trPr>
        <w:tc>
          <w:tcPr>
            <w:tcW w:w="1804" w:type="dxa"/>
            <w:tcBorders>
              <w:left w:val="dashed" w:sz="8" w:space="0" w:color="4AACC5"/>
              <w:right w:val="dashed" w:sz="8" w:space="0" w:color="4AACC5"/>
            </w:tcBorders>
            <w:shd w:val="clear" w:color="auto" w:fill="D2EAF0"/>
          </w:tcPr>
          <w:p w14:paraId="5C3BD927"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Chondrichthyes</w:t>
            </w:r>
          </w:p>
        </w:tc>
        <w:tc>
          <w:tcPr>
            <w:tcW w:w="1879" w:type="dxa"/>
            <w:tcBorders>
              <w:left w:val="dashed" w:sz="8" w:space="0" w:color="4AACC5"/>
              <w:right w:val="dashed" w:sz="8" w:space="0" w:color="4AACC5"/>
            </w:tcBorders>
            <w:shd w:val="clear" w:color="auto" w:fill="D2EAF0"/>
          </w:tcPr>
          <w:p w14:paraId="7F06A3A0"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Sphyrnidae</w:t>
            </w:r>
          </w:p>
        </w:tc>
        <w:tc>
          <w:tcPr>
            <w:tcW w:w="3204" w:type="dxa"/>
            <w:tcBorders>
              <w:left w:val="dashed" w:sz="8" w:space="0" w:color="4AACC5"/>
              <w:right w:val="dashed" w:sz="8" w:space="0" w:color="4AACC5"/>
            </w:tcBorders>
            <w:shd w:val="clear" w:color="auto" w:fill="D2EAF0"/>
          </w:tcPr>
          <w:p w14:paraId="3CC037FF" w14:textId="77777777" w:rsidR="00C81834" w:rsidRPr="00CF0F96" w:rsidRDefault="00C81834" w:rsidP="00C81834">
            <w:pPr>
              <w:pStyle w:val="TableParagraph"/>
              <w:rPr>
                <w:rFonts w:ascii="Arial" w:hAnsi="Arial" w:cs="Arial"/>
                <w:i/>
                <w:sz w:val="21"/>
              </w:rPr>
            </w:pPr>
            <w:r w:rsidRPr="00CF0F96">
              <w:rPr>
                <w:rFonts w:ascii="Arial" w:hAnsi="Arial" w:cs="Arial"/>
                <w:i/>
                <w:sz w:val="21"/>
              </w:rPr>
              <w:t>Sphyrna lewini</w:t>
            </w:r>
          </w:p>
        </w:tc>
        <w:tc>
          <w:tcPr>
            <w:tcW w:w="1372" w:type="dxa"/>
            <w:tcBorders>
              <w:left w:val="dashed" w:sz="8" w:space="0" w:color="4AACC5"/>
              <w:right w:val="dashed" w:sz="8" w:space="0" w:color="4AACC5"/>
            </w:tcBorders>
            <w:shd w:val="clear" w:color="auto" w:fill="D2EAF0"/>
          </w:tcPr>
          <w:p w14:paraId="353109AE" w14:textId="77777777" w:rsidR="00C81834" w:rsidRPr="00CF0F96" w:rsidRDefault="00C81834" w:rsidP="00342ED7">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5B604374" w14:textId="77777777" w:rsidTr="00C81834">
        <w:trPr>
          <w:trHeight w:val="369"/>
          <w:jc w:val="center"/>
        </w:trPr>
        <w:tc>
          <w:tcPr>
            <w:tcW w:w="1804" w:type="dxa"/>
            <w:tcBorders>
              <w:left w:val="dashed" w:sz="8" w:space="0" w:color="4AACC5"/>
              <w:right w:val="dashed" w:sz="8" w:space="0" w:color="4AACC5"/>
            </w:tcBorders>
          </w:tcPr>
          <w:p w14:paraId="6A3BB449"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Chondrichthyes</w:t>
            </w:r>
          </w:p>
        </w:tc>
        <w:tc>
          <w:tcPr>
            <w:tcW w:w="1879" w:type="dxa"/>
            <w:tcBorders>
              <w:left w:val="dashed" w:sz="8" w:space="0" w:color="4AACC5"/>
              <w:right w:val="dashed" w:sz="8" w:space="0" w:color="4AACC5"/>
            </w:tcBorders>
          </w:tcPr>
          <w:p w14:paraId="0F80401F"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Sphyrnidae</w:t>
            </w:r>
          </w:p>
        </w:tc>
        <w:tc>
          <w:tcPr>
            <w:tcW w:w="3204" w:type="dxa"/>
            <w:tcBorders>
              <w:left w:val="dashed" w:sz="8" w:space="0" w:color="4AACC5"/>
              <w:right w:val="dashed" w:sz="8" w:space="0" w:color="4AACC5"/>
            </w:tcBorders>
          </w:tcPr>
          <w:p w14:paraId="46289272" w14:textId="77777777" w:rsidR="00C81834" w:rsidRPr="00CF0F96" w:rsidRDefault="00C81834" w:rsidP="00C81834">
            <w:pPr>
              <w:pStyle w:val="TableParagraph"/>
              <w:rPr>
                <w:rFonts w:ascii="Arial" w:hAnsi="Arial" w:cs="Arial"/>
                <w:i/>
                <w:sz w:val="21"/>
              </w:rPr>
            </w:pPr>
            <w:r w:rsidRPr="00CF0F96">
              <w:rPr>
                <w:rFonts w:ascii="Arial" w:hAnsi="Arial" w:cs="Arial"/>
                <w:i/>
                <w:sz w:val="21"/>
              </w:rPr>
              <w:t>Sphyrna mokarran</w:t>
            </w:r>
          </w:p>
        </w:tc>
        <w:tc>
          <w:tcPr>
            <w:tcW w:w="1372" w:type="dxa"/>
            <w:tcBorders>
              <w:left w:val="dashed" w:sz="8" w:space="0" w:color="4AACC5"/>
              <w:right w:val="dashed" w:sz="8" w:space="0" w:color="4AACC5"/>
            </w:tcBorders>
          </w:tcPr>
          <w:p w14:paraId="1D86E733" w14:textId="77777777" w:rsidR="00C81834" w:rsidRPr="00CF0F96" w:rsidRDefault="00C81834" w:rsidP="00342ED7">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24C24A5F" w14:textId="77777777" w:rsidTr="00C81834">
        <w:trPr>
          <w:trHeight w:val="369"/>
          <w:jc w:val="center"/>
        </w:trPr>
        <w:tc>
          <w:tcPr>
            <w:tcW w:w="1804" w:type="dxa"/>
            <w:tcBorders>
              <w:left w:val="dashed" w:sz="8" w:space="0" w:color="4AACC5"/>
              <w:right w:val="dashed" w:sz="8" w:space="0" w:color="4AACC5"/>
            </w:tcBorders>
            <w:shd w:val="clear" w:color="auto" w:fill="D2EAF0"/>
          </w:tcPr>
          <w:p w14:paraId="17088E43"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Actinopterygii</w:t>
            </w:r>
          </w:p>
        </w:tc>
        <w:tc>
          <w:tcPr>
            <w:tcW w:w="1879" w:type="dxa"/>
            <w:tcBorders>
              <w:left w:val="dashed" w:sz="8" w:space="0" w:color="4AACC5"/>
              <w:right w:val="dashed" w:sz="8" w:space="0" w:color="4AACC5"/>
            </w:tcBorders>
            <w:shd w:val="clear" w:color="auto" w:fill="D2EAF0"/>
          </w:tcPr>
          <w:p w14:paraId="3E466101"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Albulidae</w:t>
            </w:r>
          </w:p>
        </w:tc>
        <w:tc>
          <w:tcPr>
            <w:tcW w:w="3204" w:type="dxa"/>
            <w:tcBorders>
              <w:left w:val="dashed" w:sz="8" w:space="0" w:color="4AACC5"/>
              <w:right w:val="dashed" w:sz="8" w:space="0" w:color="4AACC5"/>
            </w:tcBorders>
            <w:shd w:val="clear" w:color="auto" w:fill="D2EAF0"/>
          </w:tcPr>
          <w:p w14:paraId="2D0433D6" w14:textId="77777777" w:rsidR="00C81834" w:rsidRPr="00CF0F96" w:rsidRDefault="00C81834" w:rsidP="00C81834">
            <w:pPr>
              <w:pStyle w:val="TableParagraph"/>
              <w:rPr>
                <w:rFonts w:ascii="Arial" w:hAnsi="Arial" w:cs="Arial"/>
                <w:i/>
                <w:sz w:val="21"/>
              </w:rPr>
            </w:pPr>
            <w:r w:rsidRPr="00CF0F96">
              <w:rPr>
                <w:rFonts w:ascii="Arial" w:hAnsi="Arial" w:cs="Arial"/>
                <w:i/>
                <w:sz w:val="21"/>
              </w:rPr>
              <w:t>Albula vulpes</w:t>
            </w:r>
          </w:p>
        </w:tc>
        <w:tc>
          <w:tcPr>
            <w:tcW w:w="1372" w:type="dxa"/>
            <w:tcBorders>
              <w:left w:val="dashed" w:sz="8" w:space="0" w:color="4AACC5"/>
              <w:right w:val="dashed" w:sz="8" w:space="0" w:color="4AACC5"/>
            </w:tcBorders>
            <w:shd w:val="clear" w:color="auto" w:fill="D2EAF0"/>
          </w:tcPr>
          <w:p w14:paraId="154575BB" w14:textId="77777777" w:rsidR="00C81834" w:rsidRPr="00CF0F96" w:rsidRDefault="00C81834" w:rsidP="00342ED7">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2187AF28" w14:textId="77777777" w:rsidTr="00C81834">
        <w:trPr>
          <w:trHeight w:val="369"/>
          <w:jc w:val="center"/>
        </w:trPr>
        <w:tc>
          <w:tcPr>
            <w:tcW w:w="1804" w:type="dxa"/>
            <w:tcBorders>
              <w:left w:val="dashed" w:sz="8" w:space="0" w:color="4AACC5"/>
              <w:right w:val="dashed" w:sz="8" w:space="0" w:color="4AACC5"/>
            </w:tcBorders>
          </w:tcPr>
          <w:p w14:paraId="4CABE445"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lastRenderedPageBreak/>
              <w:t>Actinopterygii</w:t>
            </w:r>
          </w:p>
        </w:tc>
        <w:tc>
          <w:tcPr>
            <w:tcW w:w="1879" w:type="dxa"/>
            <w:tcBorders>
              <w:left w:val="dashed" w:sz="8" w:space="0" w:color="4AACC5"/>
              <w:right w:val="dashed" w:sz="8" w:space="0" w:color="4AACC5"/>
            </w:tcBorders>
          </w:tcPr>
          <w:p w14:paraId="79610906"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Anguillidae</w:t>
            </w:r>
          </w:p>
        </w:tc>
        <w:tc>
          <w:tcPr>
            <w:tcW w:w="3204" w:type="dxa"/>
            <w:tcBorders>
              <w:left w:val="dashed" w:sz="8" w:space="0" w:color="4AACC5"/>
              <w:right w:val="dashed" w:sz="8" w:space="0" w:color="4AACC5"/>
            </w:tcBorders>
          </w:tcPr>
          <w:p w14:paraId="1AA422D8" w14:textId="77777777" w:rsidR="00C81834" w:rsidRPr="00CF0F96" w:rsidRDefault="00C81834" w:rsidP="00C81834">
            <w:pPr>
              <w:pStyle w:val="TableParagraph"/>
              <w:rPr>
                <w:rFonts w:ascii="Arial" w:hAnsi="Arial" w:cs="Arial"/>
                <w:i/>
                <w:sz w:val="21"/>
              </w:rPr>
            </w:pPr>
            <w:r w:rsidRPr="00CF0F96">
              <w:rPr>
                <w:rFonts w:ascii="Arial" w:hAnsi="Arial" w:cs="Arial"/>
                <w:i/>
                <w:sz w:val="21"/>
              </w:rPr>
              <w:t>Anguilla rostrata</w:t>
            </w:r>
          </w:p>
        </w:tc>
        <w:tc>
          <w:tcPr>
            <w:tcW w:w="1372" w:type="dxa"/>
            <w:tcBorders>
              <w:left w:val="dashed" w:sz="8" w:space="0" w:color="4AACC5"/>
              <w:right w:val="dashed" w:sz="8" w:space="0" w:color="4AACC5"/>
            </w:tcBorders>
          </w:tcPr>
          <w:p w14:paraId="25D96F18" w14:textId="77777777" w:rsidR="00C81834" w:rsidRPr="00CF0F96" w:rsidRDefault="00C81834" w:rsidP="00342ED7">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00718D27" w14:textId="77777777" w:rsidTr="00C81834">
        <w:trPr>
          <w:trHeight w:val="369"/>
          <w:jc w:val="center"/>
        </w:trPr>
        <w:tc>
          <w:tcPr>
            <w:tcW w:w="1804" w:type="dxa"/>
            <w:tcBorders>
              <w:left w:val="dashed" w:sz="8" w:space="0" w:color="4AACC5"/>
              <w:right w:val="dashed" w:sz="8" w:space="0" w:color="4AACC5"/>
            </w:tcBorders>
            <w:shd w:val="clear" w:color="auto" w:fill="D2EAF0"/>
          </w:tcPr>
          <w:p w14:paraId="6D575749"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Actinopterygii</w:t>
            </w:r>
          </w:p>
        </w:tc>
        <w:tc>
          <w:tcPr>
            <w:tcW w:w="1879" w:type="dxa"/>
            <w:tcBorders>
              <w:left w:val="dashed" w:sz="8" w:space="0" w:color="4AACC5"/>
              <w:right w:val="dashed" w:sz="8" w:space="0" w:color="4AACC5"/>
            </w:tcBorders>
            <w:shd w:val="clear" w:color="auto" w:fill="D2EAF0"/>
          </w:tcPr>
          <w:p w14:paraId="4ABC8FD8"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Balistidae</w:t>
            </w:r>
          </w:p>
        </w:tc>
        <w:tc>
          <w:tcPr>
            <w:tcW w:w="3204" w:type="dxa"/>
            <w:tcBorders>
              <w:left w:val="dashed" w:sz="8" w:space="0" w:color="4AACC5"/>
              <w:right w:val="dashed" w:sz="8" w:space="0" w:color="4AACC5"/>
            </w:tcBorders>
            <w:shd w:val="clear" w:color="auto" w:fill="D2EAF0"/>
          </w:tcPr>
          <w:p w14:paraId="3EE722EB" w14:textId="77777777" w:rsidR="00C81834" w:rsidRPr="00CF0F96" w:rsidRDefault="00C81834" w:rsidP="00C81834">
            <w:pPr>
              <w:pStyle w:val="TableParagraph"/>
              <w:rPr>
                <w:rFonts w:ascii="Arial" w:hAnsi="Arial" w:cs="Arial"/>
                <w:i/>
                <w:sz w:val="21"/>
              </w:rPr>
            </w:pPr>
            <w:r w:rsidRPr="00CF0F96">
              <w:rPr>
                <w:rFonts w:ascii="Arial" w:hAnsi="Arial" w:cs="Arial"/>
                <w:i/>
                <w:sz w:val="21"/>
              </w:rPr>
              <w:t>Balistes capriscus</w:t>
            </w:r>
          </w:p>
        </w:tc>
        <w:tc>
          <w:tcPr>
            <w:tcW w:w="1372" w:type="dxa"/>
            <w:tcBorders>
              <w:left w:val="dashed" w:sz="8" w:space="0" w:color="4AACC5"/>
              <w:right w:val="dashed" w:sz="8" w:space="0" w:color="4AACC5"/>
            </w:tcBorders>
            <w:shd w:val="clear" w:color="auto" w:fill="D2EAF0"/>
          </w:tcPr>
          <w:p w14:paraId="443355DB" w14:textId="77777777" w:rsidR="00C81834" w:rsidRPr="00CF0F96" w:rsidRDefault="00C81834" w:rsidP="00342ED7">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7020F2B7" w14:textId="77777777" w:rsidTr="00C81834">
        <w:trPr>
          <w:trHeight w:val="369"/>
          <w:jc w:val="center"/>
        </w:trPr>
        <w:tc>
          <w:tcPr>
            <w:tcW w:w="1804" w:type="dxa"/>
            <w:tcBorders>
              <w:left w:val="dashed" w:sz="8" w:space="0" w:color="4AACC5"/>
              <w:right w:val="dashed" w:sz="8" w:space="0" w:color="4AACC5"/>
            </w:tcBorders>
          </w:tcPr>
          <w:p w14:paraId="1F40B570"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Actinopterygii</w:t>
            </w:r>
          </w:p>
        </w:tc>
        <w:tc>
          <w:tcPr>
            <w:tcW w:w="1879" w:type="dxa"/>
            <w:tcBorders>
              <w:left w:val="dashed" w:sz="8" w:space="0" w:color="4AACC5"/>
              <w:right w:val="dashed" w:sz="8" w:space="0" w:color="4AACC5"/>
            </w:tcBorders>
          </w:tcPr>
          <w:p w14:paraId="107D39DF"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Balistidae</w:t>
            </w:r>
          </w:p>
        </w:tc>
        <w:tc>
          <w:tcPr>
            <w:tcW w:w="3204" w:type="dxa"/>
            <w:tcBorders>
              <w:left w:val="dashed" w:sz="8" w:space="0" w:color="4AACC5"/>
              <w:right w:val="dashed" w:sz="8" w:space="0" w:color="4AACC5"/>
            </w:tcBorders>
          </w:tcPr>
          <w:p w14:paraId="2F21D71F" w14:textId="77777777" w:rsidR="00C81834" w:rsidRPr="00CF0F96" w:rsidRDefault="00C81834" w:rsidP="00C81834">
            <w:pPr>
              <w:pStyle w:val="TableParagraph"/>
              <w:rPr>
                <w:rFonts w:ascii="Arial" w:hAnsi="Arial" w:cs="Arial"/>
                <w:i/>
                <w:sz w:val="21"/>
              </w:rPr>
            </w:pPr>
            <w:r w:rsidRPr="00CF0F96">
              <w:rPr>
                <w:rFonts w:ascii="Arial" w:hAnsi="Arial" w:cs="Arial"/>
                <w:i/>
                <w:sz w:val="21"/>
              </w:rPr>
              <w:t>Balistes vetula</w:t>
            </w:r>
          </w:p>
        </w:tc>
        <w:tc>
          <w:tcPr>
            <w:tcW w:w="1372" w:type="dxa"/>
            <w:tcBorders>
              <w:left w:val="dashed" w:sz="8" w:space="0" w:color="4AACC5"/>
              <w:right w:val="dashed" w:sz="8" w:space="0" w:color="4AACC5"/>
            </w:tcBorders>
          </w:tcPr>
          <w:p w14:paraId="40469DCF" w14:textId="77777777" w:rsidR="00C81834" w:rsidRPr="00CF0F96" w:rsidRDefault="00C81834" w:rsidP="00342ED7">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673A9126" w14:textId="77777777" w:rsidTr="00C81834">
        <w:trPr>
          <w:trHeight w:val="369"/>
          <w:jc w:val="center"/>
        </w:trPr>
        <w:tc>
          <w:tcPr>
            <w:tcW w:w="1804" w:type="dxa"/>
            <w:tcBorders>
              <w:left w:val="dashed" w:sz="8" w:space="0" w:color="4AACC5"/>
              <w:right w:val="dashed" w:sz="8" w:space="0" w:color="4AACC5"/>
            </w:tcBorders>
            <w:shd w:val="clear" w:color="auto" w:fill="D2EAF0"/>
          </w:tcPr>
          <w:p w14:paraId="3B0C36D7"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Actinopterygii</w:t>
            </w:r>
          </w:p>
        </w:tc>
        <w:tc>
          <w:tcPr>
            <w:tcW w:w="1879" w:type="dxa"/>
            <w:tcBorders>
              <w:left w:val="dashed" w:sz="8" w:space="0" w:color="4AACC5"/>
              <w:right w:val="dashed" w:sz="8" w:space="0" w:color="4AACC5"/>
            </w:tcBorders>
            <w:shd w:val="clear" w:color="auto" w:fill="D2EAF0"/>
          </w:tcPr>
          <w:p w14:paraId="5EA0A05C"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Batrachoididae</w:t>
            </w:r>
          </w:p>
        </w:tc>
        <w:tc>
          <w:tcPr>
            <w:tcW w:w="3204" w:type="dxa"/>
            <w:tcBorders>
              <w:left w:val="dashed" w:sz="8" w:space="0" w:color="4AACC5"/>
              <w:right w:val="dashed" w:sz="8" w:space="0" w:color="4AACC5"/>
            </w:tcBorders>
            <w:shd w:val="clear" w:color="auto" w:fill="D2EAF0"/>
          </w:tcPr>
          <w:p w14:paraId="5334C37C" w14:textId="77777777" w:rsidR="00C81834" w:rsidRPr="00CF0F96" w:rsidRDefault="00C81834" w:rsidP="00C81834">
            <w:pPr>
              <w:pStyle w:val="TableParagraph"/>
              <w:rPr>
                <w:rFonts w:ascii="Arial" w:hAnsi="Arial" w:cs="Arial"/>
                <w:i/>
                <w:sz w:val="21"/>
              </w:rPr>
            </w:pPr>
            <w:r w:rsidRPr="00CF0F96">
              <w:rPr>
                <w:rFonts w:ascii="Arial" w:hAnsi="Arial" w:cs="Arial"/>
                <w:i/>
                <w:sz w:val="21"/>
              </w:rPr>
              <w:t>Batrachoides boulengeri</w:t>
            </w:r>
          </w:p>
        </w:tc>
        <w:tc>
          <w:tcPr>
            <w:tcW w:w="1372" w:type="dxa"/>
            <w:tcBorders>
              <w:left w:val="dashed" w:sz="8" w:space="0" w:color="4AACC5"/>
              <w:right w:val="dashed" w:sz="8" w:space="0" w:color="4AACC5"/>
            </w:tcBorders>
            <w:shd w:val="clear" w:color="auto" w:fill="D2EAF0"/>
          </w:tcPr>
          <w:p w14:paraId="2A3C52A0" w14:textId="77777777" w:rsidR="00C81834" w:rsidRPr="00CF0F96" w:rsidRDefault="00C81834" w:rsidP="00342ED7">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3334E5AC" w14:textId="77777777" w:rsidTr="00C81834">
        <w:trPr>
          <w:trHeight w:val="369"/>
          <w:jc w:val="center"/>
        </w:trPr>
        <w:tc>
          <w:tcPr>
            <w:tcW w:w="1804" w:type="dxa"/>
            <w:tcBorders>
              <w:left w:val="dashed" w:sz="8" w:space="0" w:color="4AACC5"/>
              <w:right w:val="dashed" w:sz="8" w:space="0" w:color="4AACC5"/>
            </w:tcBorders>
          </w:tcPr>
          <w:p w14:paraId="4CDF5484"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Actinopterygii</w:t>
            </w:r>
          </w:p>
        </w:tc>
        <w:tc>
          <w:tcPr>
            <w:tcW w:w="1879" w:type="dxa"/>
            <w:tcBorders>
              <w:left w:val="dashed" w:sz="8" w:space="0" w:color="4AACC5"/>
              <w:right w:val="dashed" w:sz="8" w:space="0" w:color="4AACC5"/>
            </w:tcBorders>
          </w:tcPr>
          <w:p w14:paraId="2EBA3381"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Batrachoididae</w:t>
            </w:r>
          </w:p>
        </w:tc>
        <w:tc>
          <w:tcPr>
            <w:tcW w:w="3204" w:type="dxa"/>
            <w:tcBorders>
              <w:left w:val="dashed" w:sz="8" w:space="0" w:color="4AACC5"/>
              <w:right w:val="dashed" w:sz="8" w:space="0" w:color="4AACC5"/>
            </w:tcBorders>
          </w:tcPr>
          <w:p w14:paraId="3856B6C1" w14:textId="77777777" w:rsidR="00C81834" w:rsidRPr="00CF0F96" w:rsidRDefault="00C81834" w:rsidP="00C81834">
            <w:pPr>
              <w:pStyle w:val="TableParagraph"/>
              <w:rPr>
                <w:rFonts w:ascii="Arial" w:hAnsi="Arial" w:cs="Arial"/>
                <w:i/>
                <w:sz w:val="21"/>
              </w:rPr>
            </w:pPr>
            <w:r w:rsidRPr="00CF0F96">
              <w:rPr>
                <w:rFonts w:ascii="Arial" w:hAnsi="Arial" w:cs="Arial"/>
                <w:i/>
                <w:sz w:val="21"/>
              </w:rPr>
              <w:t>Vladichthys gloverensis</w:t>
            </w:r>
          </w:p>
        </w:tc>
        <w:tc>
          <w:tcPr>
            <w:tcW w:w="1372" w:type="dxa"/>
            <w:tcBorders>
              <w:left w:val="dashed" w:sz="8" w:space="0" w:color="4AACC5"/>
              <w:right w:val="dashed" w:sz="8" w:space="0" w:color="4AACC5"/>
            </w:tcBorders>
          </w:tcPr>
          <w:p w14:paraId="71ADCA40" w14:textId="77777777" w:rsidR="00C81834" w:rsidRPr="00CF0F96" w:rsidRDefault="00C81834" w:rsidP="00342ED7">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0A9BED78" w14:textId="77777777" w:rsidTr="00C81834">
        <w:trPr>
          <w:trHeight w:val="369"/>
          <w:jc w:val="center"/>
        </w:trPr>
        <w:tc>
          <w:tcPr>
            <w:tcW w:w="1804" w:type="dxa"/>
            <w:tcBorders>
              <w:left w:val="dashed" w:sz="8" w:space="0" w:color="4AACC5"/>
              <w:right w:val="dashed" w:sz="8" w:space="0" w:color="4AACC5"/>
            </w:tcBorders>
            <w:shd w:val="clear" w:color="auto" w:fill="D2EAF0"/>
          </w:tcPr>
          <w:p w14:paraId="0F5BCB08"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Actinopterygii</w:t>
            </w:r>
          </w:p>
        </w:tc>
        <w:tc>
          <w:tcPr>
            <w:tcW w:w="1879" w:type="dxa"/>
            <w:tcBorders>
              <w:left w:val="dashed" w:sz="8" w:space="0" w:color="4AACC5"/>
              <w:right w:val="dashed" w:sz="8" w:space="0" w:color="4AACC5"/>
            </w:tcBorders>
            <w:shd w:val="clear" w:color="auto" w:fill="D2EAF0"/>
          </w:tcPr>
          <w:p w14:paraId="4F88B9B0"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Blenniidae</w:t>
            </w:r>
          </w:p>
        </w:tc>
        <w:tc>
          <w:tcPr>
            <w:tcW w:w="3204" w:type="dxa"/>
            <w:tcBorders>
              <w:left w:val="dashed" w:sz="8" w:space="0" w:color="4AACC5"/>
              <w:right w:val="dashed" w:sz="8" w:space="0" w:color="4AACC5"/>
            </w:tcBorders>
            <w:shd w:val="clear" w:color="auto" w:fill="D2EAF0"/>
          </w:tcPr>
          <w:p w14:paraId="4B486F3A" w14:textId="77777777" w:rsidR="00C81834" w:rsidRPr="00CF0F96" w:rsidRDefault="00C81834" w:rsidP="00C81834">
            <w:pPr>
              <w:pStyle w:val="TableParagraph"/>
              <w:rPr>
                <w:rFonts w:ascii="Arial" w:hAnsi="Arial" w:cs="Arial"/>
                <w:i/>
                <w:sz w:val="21"/>
              </w:rPr>
            </w:pPr>
            <w:r w:rsidRPr="00CF0F96">
              <w:rPr>
                <w:rFonts w:ascii="Arial" w:hAnsi="Arial" w:cs="Arial"/>
                <w:i/>
                <w:sz w:val="21"/>
              </w:rPr>
              <w:t>Lupinoblennius vinctus</w:t>
            </w:r>
          </w:p>
        </w:tc>
        <w:tc>
          <w:tcPr>
            <w:tcW w:w="1372" w:type="dxa"/>
            <w:tcBorders>
              <w:left w:val="dashed" w:sz="8" w:space="0" w:color="4AACC5"/>
              <w:right w:val="dashed" w:sz="8" w:space="0" w:color="4AACC5"/>
            </w:tcBorders>
            <w:shd w:val="clear" w:color="auto" w:fill="D2EAF0"/>
          </w:tcPr>
          <w:p w14:paraId="34DFD931" w14:textId="77777777" w:rsidR="00C81834" w:rsidRPr="00CF0F96" w:rsidRDefault="00C81834" w:rsidP="00342ED7">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65EEBA44" w14:textId="77777777" w:rsidTr="00C81834">
        <w:trPr>
          <w:trHeight w:val="369"/>
          <w:jc w:val="center"/>
        </w:trPr>
        <w:tc>
          <w:tcPr>
            <w:tcW w:w="1804" w:type="dxa"/>
            <w:tcBorders>
              <w:left w:val="dashed" w:sz="8" w:space="0" w:color="4AACC5"/>
              <w:right w:val="dashed" w:sz="8" w:space="0" w:color="4AACC5"/>
            </w:tcBorders>
          </w:tcPr>
          <w:p w14:paraId="1AF1BEB5"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Actinopterygii</w:t>
            </w:r>
          </w:p>
        </w:tc>
        <w:tc>
          <w:tcPr>
            <w:tcW w:w="1879" w:type="dxa"/>
            <w:tcBorders>
              <w:left w:val="dashed" w:sz="8" w:space="0" w:color="4AACC5"/>
              <w:right w:val="dashed" w:sz="8" w:space="0" w:color="4AACC5"/>
            </w:tcBorders>
          </w:tcPr>
          <w:p w14:paraId="472DDC60"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Gobiidae</w:t>
            </w:r>
          </w:p>
        </w:tc>
        <w:tc>
          <w:tcPr>
            <w:tcW w:w="3204" w:type="dxa"/>
            <w:tcBorders>
              <w:left w:val="dashed" w:sz="8" w:space="0" w:color="4AACC5"/>
              <w:right w:val="dashed" w:sz="8" w:space="0" w:color="4AACC5"/>
            </w:tcBorders>
          </w:tcPr>
          <w:p w14:paraId="456C38AC" w14:textId="77777777" w:rsidR="00C81834" w:rsidRPr="00CF0F96" w:rsidRDefault="00C81834" w:rsidP="00C81834">
            <w:pPr>
              <w:pStyle w:val="TableParagraph"/>
              <w:rPr>
                <w:rFonts w:ascii="Arial" w:hAnsi="Arial" w:cs="Arial"/>
                <w:i/>
                <w:sz w:val="21"/>
              </w:rPr>
            </w:pPr>
            <w:r w:rsidRPr="00CF0F96">
              <w:rPr>
                <w:rFonts w:ascii="Arial" w:hAnsi="Arial" w:cs="Arial"/>
                <w:i/>
                <w:sz w:val="21"/>
              </w:rPr>
              <w:t>Coryphopterus alloides</w:t>
            </w:r>
          </w:p>
        </w:tc>
        <w:tc>
          <w:tcPr>
            <w:tcW w:w="1372" w:type="dxa"/>
            <w:tcBorders>
              <w:left w:val="dashed" w:sz="8" w:space="0" w:color="4AACC5"/>
              <w:right w:val="dashed" w:sz="8" w:space="0" w:color="4AACC5"/>
            </w:tcBorders>
          </w:tcPr>
          <w:p w14:paraId="63C70A9B" w14:textId="77777777" w:rsidR="00C81834" w:rsidRPr="00CF0F96" w:rsidRDefault="00C81834" w:rsidP="00342ED7">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0AEDBDFD" w14:textId="77777777" w:rsidTr="00C81834">
        <w:trPr>
          <w:trHeight w:val="369"/>
          <w:jc w:val="center"/>
        </w:trPr>
        <w:tc>
          <w:tcPr>
            <w:tcW w:w="1804" w:type="dxa"/>
            <w:tcBorders>
              <w:left w:val="dashed" w:sz="8" w:space="0" w:color="4AACC5"/>
              <w:right w:val="dashed" w:sz="8" w:space="0" w:color="4AACC5"/>
            </w:tcBorders>
            <w:shd w:val="clear" w:color="auto" w:fill="D2EAF0"/>
          </w:tcPr>
          <w:p w14:paraId="126CBA5E"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Actinopterygii</w:t>
            </w:r>
          </w:p>
        </w:tc>
        <w:tc>
          <w:tcPr>
            <w:tcW w:w="1879" w:type="dxa"/>
            <w:tcBorders>
              <w:left w:val="dashed" w:sz="8" w:space="0" w:color="4AACC5"/>
              <w:right w:val="dashed" w:sz="8" w:space="0" w:color="4AACC5"/>
            </w:tcBorders>
            <w:shd w:val="clear" w:color="auto" w:fill="D2EAF0"/>
          </w:tcPr>
          <w:p w14:paraId="70365EB2"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Gobiidae</w:t>
            </w:r>
          </w:p>
        </w:tc>
        <w:tc>
          <w:tcPr>
            <w:tcW w:w="3204" w:type="dxa"/>
            <w:tcBorders>
              <w:left w:val="dashed" w:sz="8" w:space="0" w:color="4AACC5"/>
              <w:right w:val="dashed" w:sz="8" w:space="0" w:color="4AACC5"/>
            </w:tcBorders>
            <w:shd w:val="clear" w:color="auto" w:fill="D2EAF0"/>
          </w:tcPr>
          <w:p w14:paraId="70DBB57E" w14:textId="77777777" w:rsidR="00C81834" w:rsidRPr="00CF0F96" w:rsidRDefault="00C81834" w:rsidP="00C81834">
            <w:pPr>
              <w:pStyle w:val="TableParagraph"/>
              <w:rPr>
                <w:rFonts w:ascii="Arial" w:hAnsi="Arial" w:cs="Arial"/>
                <w:i/>
                <w:sz w:val="21"/>
              </w:rPr>
            </w:pPr>
            <w:r w:rsidRPr="00CF0F96">
              <w:rPr>
                <w:rFonts w:ascii="Arial" w:hAnsi="Arial" w:cs="Arial"/>
                <w:i/>
                <w:sz w:val="21"/>
              </w:rPr>
              <w:t>Coryphopterus eidolon</w:t>
            </w:r>
          </w:p>
        </w:tc>
        <w:tc>
          <w:tcPr>
            <w:tcW w:w="1372" w:type="dxa"/>
            <w:tcBorders>
              <w:left w:val="dashed" w:sz="8" w:space="0" w:color="4AACC5"/>
              <w:right w:val="dashed" w:sz="8" w:space="0" w:color="4AACC5"/>
            </w:tcBorders>
            <w:shd w:val="clear" w:color="auto" w:fill="D2EAF0"/>
          </w:tcPr>
          <w:p w14:paraId="37CE9317" w14:textId="77777777" w:rsidR="00C81834" w:rsidRPr="00CF0F96" w:rsidRDefault="00C81834" w:rsidP="00342ED7">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428534D2" w14:textId="77777777" w:rsidTr="00C81834">
        <w:trPr>
          <w:trHeight w:val="369"/>
          <w:jc w:val="center"/>
        </w:trPr>
        <w:tc>
          <w:tcPr>
            <w:tcW w:w="1804" w:type="dxa"/>
            <w:tcBorders>
              <w:left w:val="dashed" w:sz="8" w:space="0" w:color="4AACC5"/>
              <w:right w:val="dashed" w:sz="8" w:space="0" w:color="4AACC5"/>
            </w:tcBorders>
          </w:tcPr>
          <w:p w14:paraId="5D9E4436"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Actinopterygii</w:t>
            </w:r>
          </w:p>
        </w:tc>
        <w:tc>
          <w:tcPr>
            <w:tcW w:w="1879" w:type="dxa"/>
            <w:tcBorders>
              <w:left w:val="dashed" w:sz="8" w:space="0" w:color="4AACC5"/>
              <w:right w:val="dashed" w:sz="8" w:space="0" w:color="4AACC5"/>
            </w:tcBorders>
          </w:tcPr>
          <w:p w14:paraId="1BABB964"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Gobiidae</w:t>
            </w:r>
          </w:p>
        </w:tc>
        <w:tc>
          <w:tcPr>
            <w:tcW w:w="3204" w:type="dxa"/>
            <w:tcBorders>
              <w:left w:val="dashed" w:sz="8" w:space="0" w:color="4AACC5"/>
              <w:right w:val="dashed" w:sz="8" w:space="0" w:color="4AACC5"/>
            </w:tcBorders>
          </w:tcPr>
          <w:p w14:paraId="25F3E8C7" w14:textId="77777777" w:rsidR="00C81834" w:rsidRPr="00CF0F96" w:rsidRDefault="00C81834" w:rsidP="00C81834">
            <w:pPr>
              <w:pStyle w:val="TableParagraph"/>
              <w:rPr>
                <w:rFonts w:ascii="Arial" w:hAnsi="Arial" w:cs="Arial"/>
                <w:i/>
                <w:sz w:val="21"/>
              </w:rPr>
            </w:pPr>
            <w:r w:rsidRPr="00CF0F96">
              <w:rPr>
                <w:rFonts w:ascii="Arial" w:hAnsi="Arial" w:cs="Arial"/>
                <w:i/>
                <w:sz w:val="21"/>
              </w:rPr>
              <w:t>Coryphopterus hyalinus</w:t>
            </w:r>
          </w:p>
        </w:tc>
        <w:tc>
          <w:tcPr>
            <w:tcW w:w="1372" w:type="dxa"/>
            <w:tcBorders>
              <w:left w:val="dashed" w:sz="8" w:space="0" w:color="4AACC5"/>
              <w:right w:val="dashed" w:sz="8" w:space="0" w:color="4AACC5"/>
            </w:tcBorders>
          </w:tcPr>
          <w:p w14:paraId="1935DDA8" w14:textId="77777777" w:rsidR="00C81834" w:rsidRPr="00CF0F96" w:rsidRDefault="00C81834" w:rsidP="00342ED7">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29CF312D" w14:textId="77777777" w:rsidTr="00C81834">
        <w:trPr>
          <w:trHeight w:val="369"/>
          <w:jc w:val="center"/>
        </w:trPr>
        <w:tc>
          <w:tcPr>
            <w:tcW w:w="1804" w:type="dxa"/>
            <w:tcBorders>
              <w:left w:val="dashed" w:sz="8" w:space="0" w:color="4AACC5"/>
              <w:right w:val="dashed" w:sz="8" w:space="0" w:color="4AACC5"/>
            </w:tcBorders>
            <w:shd w:val="clear" w:color="auto" w:fill="D2EAF0"/>
          </w:tcPr>
          <w:p w14:paraId="0B483E60"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Actinopterygii</w:t>
            </w:r>
          </w:p>
        </w:tc>
        <w:tc>
          <w:tcPr>
            <w:tcW w:w="1879" w:type="dxa"/>
            <w:tcBorders>
              <w:left w:val="dashed" w:sz="8" w:space="0" w:color="4AACC5"/>
              <w:right w:val="dashed" w:sz="8" w:space="0" w:color="4AACC5"/>
            </w:tcBorders>
            <w:shd w:val="clear" w:color="auto" w:fill="D2EAF0"/>
          </w:tcPr>
          <w:p w14:paraId="6D8D936F"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Gobiidae</w:t>
            </w:r>
          </w:p>
        </w:tc>
        <w:tc>
          <w:tcPr>
            <w:tcW w:w="3204" w:type="dxa"/>
            <w:tcBorders>
              <w:left w:val="dashed" w:sz="8" w:space="0" w:color="4AACC5"/>
              <w:right w:val="dashed" w:sz="8" w:space="0" w:color="4AACC5"/>
            </w:tcBorders>
            <w:shd w:val="clear" w:color="auto" w:fill="D2EAF0"/>
          </w:tcPr>
          <w:p w14:paraId="6B5DE9C1" w14:textId="77777777" w:rsidR="00C81834" w:rsidRPr="00CF0F96" w:rsidRDefault="00C81834" w:rsidP="00C81834">
            <w:pPr>
              <w:pStyle w:val="TableParagraph"/>
              <w:rPr>
                <w:rFonts w:ascii="Arial" w:hAnsi="Arial" w:cs="Arial"/>
                <w:i/>
                <w:sz w:val="21"/>
              </w:rPr>
            </w:pPr>
            <w:r w:rsidRPr="00CF0F96">
              <w:rPr>
                <w:rFonts w:ascii="Arial" w:hAnsi="Arial" w:cs="Arial"/>
                <w:i/>
                <w:sz w:val="21"/>
              </w:rPr>
              <w:t>Coryphopterus lipernes</w:t>
            </w:r>
          </w:p>
        </w:tc>
        <w:tc>
          <w:tcPr>
            <w:tcW w:w="1372" w:type="dxa"/>
            <w:tcBorders>
              <w:left w:val="dashed" w:sz="8" w:space="0" w:color="4AACC5"/>
              <w:right w:val="dashed" w:sz="8" w:space="0" w:color="4AACC5"/>
            </w:tcBorders>
            <w:shd w:val="clear" w:color="auto" w:fill="D2EAF0"/>
          </w:tcPr>
          <w:p w14:paraId="0CDD88A1" w14:textId="77777777" w:rsidR="00C81834" w:rsidRPr="00CF0F96" w:rsidRDefault="00C81834" w:rsidP="00342ED7">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019C3A26" w14:textId="77777777" w:rsidTr="00C81834">
        <w:trPr>
          <w:trHeight w:val="369"/>
          <w:jc w:val="center"/>
        </w:trPr>
        <w:tc>
          <w:tcPr>
            <w:tcW w:w="1804" w:type="dxa"/>
            <w:tcBorders>
              <w:left w:val="dashed" w:sz="8" w:space="0" w:color="4AACC5"/>
              <w:right w:val="dashed" w:sz="8" w:space="0" w:color="4AACC5"/>
            </w:tcBorders>
          </w:tcPr>
          <w:p w14:paraId="0C9E5707"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Actinopterygii</w:t>
            </w:r>
          </w:p>
        </w:tc>
        <w:tc>
          <w:tcPr>
            <w:tcW w:w="1879" w:type="dxa"/>
            <w:tcBorders>
              <w:left w:val="dashed" w:sz="8" w:space="0" w:color="4AACC5"/>
              <w:right w:val="dashed" w:sz="8" w:space="0" w:color="4AACC5"/>
            </w:tcBorders>
          </w:tcPr>
          <w:p w14:paraId="317D6C8E"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Gobiidae</w:t>
            </w:r>
          </w:p>
        </w:tc>
        <w:tc>
          <w:tcPr>
            <w:tcW w:w="3204" w:type="dxa"/>
            <w:tcBorders>
              <w:left w:val="dashed" w:sz="8" w:space="0" w:color="4AACC5"/>
              <w:right w:val="dashed" w:sz="8" w:space="0" w:color="4AACC5"/>
            </w:tcBorders>
          </w:tcPr>
          <w:p w14:paraId="33BA423A" w14:textId="77777777" w:rsidR="00C81834" w:rsidRPr="00CF0F96" w:rsidRDefault="00C81834" w:rsidP="00C81834">
            <w:pPr>
              <w:pStyle w:val="TableParagraph"/>
              <w:rPr>
                <w:rFonts w:ascii="Arial" w:hAnsi="Arial" w:cs="Arial"/>
                <w:i/>
                <w:sz w:val="21"/>
              </w:rPr>
            </w:pPr>
            <w:r w:rsidRPr="00CF0F96">
              <w:rPr>
                <w:rFonts w:ascii="Arial" w:hAnsi="Arial" w:cs="Arial"/>
                <w:i/>
                <w:sz w:val="21"/>
              </w:rPr>
              <w:t>Coryphopterus personatus</w:t>
            </w:r>
          </w:p>
        </w:tc>
        <w:tc>
          <w:tcPr>
            <w:tcW w:w="1372" w:type="dxa"/>
            <w:tcBorders>
              <w:left w:val="dashed" w:sz="8" w:space="0" w:color="4AACC5"/>
              <w:right w:val="dashed" w:sz="8" w:space="0" w:color="4AACC5"/>
            </w:tcBorders>
          </w:tcPr>
          <w:p w14:paraId="0B8B7F38" w14:textId="77777777" w:rsidR="00C81834" w:rsidRPr="00CF0F96" w:rsidRDefault="00C81834" w:rsidP="00342ED7">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3F699088" w14:textId="77777777" w:rsidTr="00C81834">
        <w:trPr>
          <w:trHeight w:val="369"/>
          <w:jc w:val="center"/>
        </w:trPr>
        <w:tc>
          <w:tcPr>
            <w:tcW w:w="1804" w:type="dxa"/>
            <w:tcBorders>
              <w:left w:val="dashed" w:sz="8" w:space="0" w:color="4AACC5"/>
              <w:right w:val="dashed" w:sz="8" w:space="0" w:color="4AACC5"/>
            </w:tcBorders>
            <w:shd w:val="clear" w:color="auto" w:fill="D2EAF0"/>
          </w:tcPr>
          <w:p w14:paraId="616F7D20"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Actinopterygii</w:t>
            </w:r>
          </w:p>
        </w:tc>
        <w:tc>
          <w:tcPr>
            <w:tcW w:w="1879" w:type="dxa"/>
            <w:tcBorders>
              <w:left w:val="dashed" w:sz="8" w:space="0" w:color="4AACC5"/>
              <w:right w:val="dashed" w:sz="8" w:space="0" w:color="4AACC5"/>
            </w:tcBorders>
            <w:shd w:val="clear" w:color="auto" w:fill="D2EAF0"/>
          </w:tcPr>
          <w:p w14:paraId="0D200CBF"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Gobiidae</w:t>
            </w:r>
          </w:p>
        </w:tc>
        <w:tc>
          <w:tcPr>
            <w:tcW w:w="3204" w:type="dxa"/>
            <w:tcBorders>
              <w:left w:val="dashed" w:sz="8" w:space="0" w:color="4AACC5"/>
              <w:right w:val="dashed" w:sz="8" w:space="0" w:color="4AACC5"/>
            </w:tcBorders>
            <w:shd w:val="clear" w:color="auto" w:fill="D2EAF0"/>
          </w:tcPr>
          <w:p w14:paraId="2195AB58" w14:textId="77777777" w:rsidR="00C81834" w:rsidRPr="00CF0F96" w:rsidRDefault="00C81834" w:rsidP="00C81834">
            <w:pPr>
              <w:pStyle w:val="TableParagraph"/>
              <w:rPr>
                <w:rFonts w:ascii="Arial" w:hAnsi="Arial" w:cs="Arial"/>
                <w:i/>
                <w:sz w:val="21"/>
              </w:rPr>
            </w:pPr>
            <w:r w:rsidRPr="00CF0F96">
              <w:rPr>
                <w:rFonts w:ascii="Arial" w:hAnsi="Arial" w:cs="Arial"/>
                <w:i/>
                <w:w w:val="95"/>
                <w:sz w:val="21"/>
              </w:rPr>
              <w:t>Coryphopterus thrix</w:t>
            </w:r>
          </w:p>
        </w:tc>
        <w:tc>
          <w:tcPr>
            <w:tcW w:w="1372" w:type="dxa"/>
            <w:tcBorders>
              <w:left w:val="dashed" w:sz="8" w:space="0" w:color="4AACC5"/>
              <w:right w:val="dashed" w:sz="8" w:space="0" w:color="4AACC5"/>
            </w:tcBorders>
            <w:shd w:val="clear" w:color="auto" w:fill="D2EAF0"/>
          </w:tcPr>
          <w:p w14:paraId="05DB0C0A" w14:textId="77777777" w:rsidR="00C81834" w:rsidRPr="00CF0F96" w:rsidRDefault="00C81834" w:rsidP="00342ED7">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57CCF926" w14:textId="77777777" w:rsidTr="00C81834">
        <w:trPr>
          <w:trHeight w:val="369"/>
          <w:jc w:val="center"/>
        </w:trPr>
        <w:tc>
          <w:tcPr>
            <w:tcW w:w="1804" w:type="dxa"/>
            <w:tcBorders>
              <w:left w:val="dashed" w:sz="8" w:space="0" w:color="4AACC5"/>
              <w:right w:val="dashed" w:sz="8" w:space="0" w:color="4AACC5"/>
            </w:tcBorders>
          </w:tcPr>
          <w:p w14:paraId="4FDA9463"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Actinopterygii</w:t>
            </w:r>
          </w:p>
        </w:tc>
        <w:tc>
          <w:tcPr>
            <w:tcW w:w="1879" w:type="dxa"/>
            <w:tcBorders>
              <w:left w:val="dashed" w:sz="8" w:space="0" w:color="4AACC5"/>
              <w:right w:val="dashed" w:sz="8" w:space="0" w:color="4AACC5"/>
            </w:tcBorders>
          </w:tcPr>
          <w:p w14:paraId="0F7B71C9"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Gobiidae</w:t>
            </w:r>
          </w:p>
        </w:tc>
        <w:tc>
          <w:tcPr>
            <w:tcW w:w="3204" w:type="dxa"/>
            <w:tcBorders>
              <w:left w:val="dashed" w:sz="8" w:space="0" w:color="4AACC5"/>
              <w:right w:val="dashed" w:sz="8" w:space="0" w:color="4AACC5"/>
            </w:tcBorders>
          </w:tcPr>
          <w:p w14:paraId="0DC8DB01" w14:textId="77777777" w:rsidR="00C81834" w:rsidRPr="00CF0F96" w:rsidRDefault="00C81834" w:rsidP="00C81834">
            <w:pPr>
              <w:pStyle w:val="TableParagraph"/>
              <w:rPr>
                <w:rFonts w:ascii="Arial" w:hAnsi="Arial" w:cs="Arial"/>
                <w:i/>
                <w:sz w:val="21"/>
              </w:rPr>
            </w:pPr>
            <w:r w:rsidRPr="00CF0F96">
              <w:rPr>
                <w:rFonts w:ascii="Arial" w:hAnsi="Arial" w:cs="Arial"/>
                <w:i/>
                <w:w w:val="95"/>
                <w:sz w:val="21"/>
              </w:rPr>
              <w:t>Coryphopterus tortugae</w:t>
            </w:r>
          </w:p>
        </w:tc>
        <w:tc>
          <w:tcPr>
            <w:tcW w:w="1372" w:type="dxa"/>
            <w:tcBorders>
              <w:left w:val="dashed" w:sz="8" w:space="0" w:color="4AACC5"/>
              <w:right w:val="dashed" w:sz="8" w:space="0" w:color="4AACC5"/>
            </w:tcBorders>
          </w:tcPr>
          <w:p w14:paraId="6D866491" w14:textId="77777777" w:rsidR="00C81834" w:rsidRPr="00CF0F96" w:rsidRDefault="00C81834" w:rsidP="00342ED7">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7DD703CE" w14:textId="77777777" w:rsidTr="00C81834">
        <w:trPr>
          <w:trHeight w:val="369"/>
          <w:jc w:val="center"/>
        </w:trPr>
        <w:tc>
          <w:tcPr>
            <w:tcW w:w="1804" w:type="dxa"/>
            <w:tcBorders>
              <w:left w:val="dashed" w:sz="8" w:space="0" w:color="4AACC5"/>
              <w:right w:val="dashed" w:sz="8" w:space="0" w:color="4AACC5"/>
            </w:tcBorders>
            <w:shd w:val="clear" w:color="auto" w:fill="D2EAF0"/>
          </w:tcPr>
          <w:p w14:paraId="6D7F04FD"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Actinopterygii</w:t>
            </w:r>
          </w:p>
        </w:tc>
        <w:tc>
          <w:tcPr>
            <w:tcW w:w="1879" w:type="dxa"/>
            <w:tcBorders>
              <w:left w:val="dashed" w:sz="8" w:space="0" w:color="4AACC5"/>
              <w:right w:val="dashed" w:sz="8" w:space="0" w:color="4AACC5"/>
            </w:tcBorders>
            <w:shd w:val="clear" w:color="auto" w:fill="D2EAF0"/>
          </w:tcPr>
          <w:p w14:paraId="3CEF441D"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Gobiidae</w:t>
            </w:r>
          </w:p>
        </w:tc>
        <w:tc>
          <w:tcPr>
            <w:tcW w:w="3204" w:type="dxa"/>
            <w:tcBorders>
              <w:left w:val="dashed" w:sz="8" w:space="0" w:color="4AACC5"/>
              <w:right w:val="dashed" w:sz="8" w:space="0" w:color="4AACC5"/>
            </w:tcBorders>
            <w:shd w:val="clear" w:color="auto" w:fill="D2EAF0"/>
          </w:tcPr>
          <w:p w14:paraId="4214DD15" w14:textId="77777777" w:rsidR="00C81834" w:rsidRPr="00CF0F96" w:rsidRDefault="00C81834" w:rsidP="00C81834">
            <w:pPr>
              <w:pStyle w:val="TableParagraph"/>
              <w:rPr>
                <w:rFonts w:ascii="Arial" w:hAnsi="Arial" w:cs="Arial"/>
                <w:i/>
                <w:sz w:val="21"/>
              </w:rPr>
            </w:pPr>
            <w:r w:rsidRPr="00CF0F96">
              <w:rPr>
                <w:rFonts w:ascii="Arial" w:hAnsi="Arial" w:cs="Arial"/>
                <w:i/>
                <w:sz w:val="21"/>
              </w:rPr>
              <w:t>Coryphopterus venezuelae</w:t>
            </w:r>
          </w:p>
        </w:tc>
        <w:tc>
          <w:tcPr>
            <w:tcW w:w="1372" w:type="dxa"/>
            <w:tcBorders>
              <w:left w:val="dashed" w:sz="8" w:space="0" w:color="4AACC5"/>
              <w:right w:val="dashed" w:sz="8" w:space="0" w:color="4AACC5"/>
            </w:tcBorders>
            <w:shd w:val="clear" w:color="auto" w:fill="D2EAF0"/>
          </w:tcPr>
          <w:p w14:paraId="35725296" w14:textId="77777777" w:rsidR="00C81834" w:rsidRPr="00CF0F96" w:rsidRDefault="00C81834" w:rsidP="00342ED7">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6D26F0D0" w14:textId="77777777" w:rsidTr="00C81834">
        <w:trPr>
          <w:trHeight w:val="369"/>
          <w:jc w:val="center"/>
        </w:trPr>
        <w:tc>
          <w:tcPr>
            <w:tcW w:w="1804" w:type="dxa"/>
            <w:tcBorders>
              <w:left w:val="dashed" w:sz="8" w:space="0" w:color="4AACC5"/>
              <w:right w:val="dashed" w:sz="8" w:space="0" w:color="4AACC5"/>
            </w:tcBorders>
          </w:tcPr>
          <w:p w14:paraId="3CB9E255"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Actinopterygii</w:t>
            </w:r>
          </w:p>
        </w:tc>
        <w:tc>
          <w:tcPr>
            <w:tcW w:w="1879" w:type="dxa"/>
            <w:tcBorders>
              <w:left w:val="dashed" w:sz="8" w:space="0" w:color="4AACC5"/>
              <w:right w:val="dashed" w:sz="8" w:space="0" w:color="4AACC5"/>
            </w:tcBorders>
          </w:tcPr>
          <w:p w14:paraId="422CB151"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Gobiidae</w:t>
            </w:r>
          </w:p>
        </w:tc>
        <w:tc>
          <w:tcPr>
            <w:tcW w:w="3204" w:type="dxa"/>
            <w:tcBorders>
              <w:left w:val="dashed" w:sz="8" w:space="0" w:color="4AACC5"/>
              <w:right w:val="dashed" w:sz="8" w:space="0" w:color="4AACC5"/>
            </w:tcBorders>
          </w:tcPr>
          <w:p w14:paraId="479B537B" w14:textId="77777777" w:rsidR="00C81834" w:rsidRPr="00CF0F96" w:rsidRDefault="00C81834" w:rsidP="00C81834">
            <w:pPr>
              <w:pStyle w:val="TableParagraph"/>
              <w:rPr>
                <w:rFonts w:ascii="Arial" w:hAnsi="Arial" w:cs="Arial"/>
                <w:i/>
                <w:sz w:val="21"/>
              </w:rPr>
            </w:pPr>
            <w:r w:rsidRPr="00CF0F96">
              <w:rPr>
                <w:rFonts w:ascii="Arial" w:hAnsi="Arial" w:cs="Arial"/>
                <w:i/>
                <w:sz w:val="21"/>
              </w:rPr>
              <w:t>Elacatinus lobeli</w:t>
            </w:r>
          </w:p>
        </w:tc>
        <w:tc>
          <w:tcPr>
            <w:tcW w:w="1372" w:type="dxa"/>
            <w:tcBorders>
              <w:left w:val="dashed" w:sz="8" w:space="0" w:color="4AACC5"/>
              <w:right w:val="dashed" w:sz="8" w:space="0" w:color="4AACC5"/>
            </w:tcBorders>
          </w:tcPr>
          <w:p w14:paraId="2CDE7478" w14:textId="77777777" w:rsidR="00C81834" w:rsidRPr="00CF0F96" w:rsidRDefault="00C81834" w:rsidP="00342ED7">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3F6CA6BB" w14:textId="77777777" w:rsidTr="00C81834">
        <w:trPr>
          <w:trHeight w:val="369"/>
          <w:jc w:val="center"/>
        </w:trPr>
        <w:tc>
          <w:tcPr>
            <w:tcW w:w="1804" w:type="dxa"/>
            <w:tcBorders>
              <w:left w:val="dashed" w:sz="8" w:space="0" w:color="4AACC5"/>
              <w:right w:val="dashed" w:sz="8" w:space="0" w:color="4AACC5"/>
            </w:tcBorders>
            <w:shd w:val="clear" w:color="auto" w:fill="D2EAF0"/>
          </w:tcPr>
          <w:p w14:paraId="09F157DF"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Actinopterygii</w:t>
            </w:r>
          </w:p>
        </w:tc>
        <w:tc>
          <w:tcPr>
            <w:tcW w:w="1879" w:type="dxa"/>
            <w:tcBorders>
              <w:left w:val="dashed" w:sz="8" w:space="0" w:color="4AACC5"/>
              <w:right w:val="dashed" w:sz="8" w:space="0" w:color="4AACC5"/>
            </w:tcBorders>
            <w:shd w:val="clear" w:color="auto" w:fill="D2EAF0"/>
          </w:tcPr>
          <w:p w14:paraId="0AC4C6AE"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Gobiidae</w:t>
            </w:r>
          </w:p>
        </w:tc>
        <w:tc>
          <w:tcPr>
            <w:tcW w:w="3204" w:type="dxa"/>
            <w:tcBorders>
              <w:left w:val="dashed" w:sz="8" w:space="0" w:color="4AACC5"/>
              <w:right w:val="dashed" w:sz="8" w:space="0" w:color="4AACC5"/>
            </w:tcBorders>
            <w:shd w:val="clear" w:color="auto" w:fill="D2EAF0"/>
          </w:tcPr>
          <w:p w14:paraId="3A06AB52" w14:textId="77777777" w:rsidR="00C81834" w:rsidRPr="00CF0F96" w:rsidRDefault="00C81834" w:rsidP="00C81834">
            <w:pPr>
              <w:pStyle w:val="TableParagraph"/>
              <w:rPr>
                <w:rFonts w:ascii="Arial" w:hAnsi="Arial" w:cs="Arial"/>
                <w:i/>
                <w:sz w:val="21"/>
              </w:rPr>
            </w:pPr>
            <w:r w:rsidRPr="00CF0F96">
              <w:rPr>
                <w:rFonts w:ascii="Arial" w:hAnsi="Arial" w:cs="Arial"/>
                <w:i/>
                <w:sz w:val="21"/>
              </w:rPr>
              <w:t>Elacatinus prochilos</w:t>
            </w:r>
          </w:p>
        </w:tc>
        <w:tc>
          <w:tcPr>
            <w:tcW w:w="1372" w:type="dxa"/>
            <w:tcBorders>
              <w:left w:val="dashed" w:sz="8" w:space="0" w:color="4AACC5"/>
              <w:right w:val="dashed" w:sz="8" w:space="0" w:color="4AACC5"/>
            </w:tcBorders>
            <w:shd w:val="clear" w:color="auto" w:fill="D2EAF0"/>
          </w:tcPr>
          <w:p w14:paraId="2CE745C7" w14:textId="77777777" w:rsidR="00C81834" w:rsidRPr="00CF0F96" w:rsidRDefault="00C81834" w:rsidP="00342ED7">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0F97E075" w14:textId="77777777" w:rsidTr="00C81834">
        <w:trPr>
          <w:trHeight w:val="369"/>
          <w:jc w:val="center"/>
        </w:trPr>
        <w:tc>
          <w:tcPr>
            <w:tcW w:w="1804" w:type="dxa"/>
            <w:tcBorders>
              <w:left w:val="dashed" w:sz="8" w:space="0" w:color="4AACC5"/>
              <w:right w:val="dashed" w:sz="8" w:space="0" w:color="4AACC5"/>
            </w:tcBorders>
          </w:tcPr>
          <w:p w14:paraId="464519B1"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Actinopterygii</w:t>
            </w:r>
          </w:p>
        </w:tc>
        <w:tc>
          <w:tcPr>
            <w:tcW w:w="1879" w:type="dxa"/>
            <w:tcBorders>
              <w:left w:val="dashed" w:sz="8" w:space="0" w:color="4AACC5"/>
              <w:right w:val="dashed" w:sz="8" w:space="0" w:color="4AACC5"/>
            </w:tcBorders>
          </w:tcPr>
          <w:p w14:paraId="63F77942"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Epinephelidae</w:t>
            </w:r>
          </w:p>
        </w:tc>
        <w:tc>
          <w:tcPr>
            <w:tcW w:w="3204" w:type="dxa"/>
            <w:tcBorders>
              <w:left w:val="dashed" w:sz="8" w:space="0" w:color="4AACC5"/>
              <w:right w:val="dashed" w:sz="8" w:space="0" w:color="4AACC5"/>
            </w:tcBorders>
          </w:tcPr>
          <w:p w14:paraId="27F3D0A4" w14:textId="77777777" w:rsidR="00C81834" w:rsidRPr="00CF0F96" w:rsidRDefault="00C81834" w:rsidP="00C81834">
            <w:pPr>
              <w:pStyle w:val="TableParagraph"/>
              <w:rPr>
                <w:rFonts w:ascii="Arial" w:hAnsi="Arial" w:cs="Arial"/>
                <w:i/>
                <w:sz w:val="21"/>
              </w:rPr>
            </w:pPr>
            <w:r w:rsidRPr="00CF0F96">
              <w:rPr>
                <w:rFonts w:ascii="Arial" w:hAnsi="Arial" w:cs="Arial"/>
                <w:i/>
                <w:sz w:val="21"/>
              </w:rPr>
              <w:t>Dermatolepis inermis</w:t>
            </w:r>
          </w:p>
        </w:tc>
        <w:tc>
          <w:tcPr>
            <w:tcW w:w="1372" w:type="dxa"/>
            <w:tcBorders>
              <w:left w:val="dashed" w:sz="8" w:space="0" w:color="4AACC5"/>
              <w:right w:val="dashed" w:sz="8" w:space="0" w:color="4AACC5"/>
            </w:tcBorders>
          </w:tcPr>
          <w:p w14:paraId="4F97DA20" w14:textId="77777777" w:rsidR="00C81834" w:rsidRPr="00CF0F96" w:rsidRDefault="00C81834" w:rsidP="00342ED7">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68FB2F05" w14:textId="77777777" w:rsidTr="00C81834">
        <w:trPr>
          <w:trHeight w:val="369"/>
          <w:jc w:val="center"/>
        </w:trPr>
        <w:tc>
          <w:tcPr>
            <w:tcW w:w="1804" w:type="dxa"/>
            <w:tcBorders>
              <w:left w:val="dashed" w:sz="8" w:space="0" w:color="4AACC5"/>
              <w:right w:val="dashed" w:sz="8" w:space="0" w:color="4AACC5"/>
            </w:tcBorders>
            <w:shd w:val="clear" w:color="auto" w:fill="D2EAF0"/>
          </w:tcPr>
          <w:p w14:paraId="508AB262"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Actinopterygii</w:t>
            </w:r>
          </w:p>
        </w:tc>
        <w:tc>
          <w:tcPr>
            <w:tcW w:w="1879" w:type="dxa"/>
            <w:tcBorders>
              <w:left w:val="dashed" w:sz="8" w:space="0" w:color="4AACC5"/>
              <w:right w:val="dashed" w:sz="8" w:space="0" w:color="4AACC5"/>
            </w:tcBorders>
            <w:shd w:val="clear" w:color="auto" w:fill="D2EAF0"/>
          </w:tcPr>
          <w:p w14:paraId="73EA372F"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Epinephelidae</w:t>
            </w:r>
          </w:p>
        </w:tc>
        <w:tc>
          <w:tcPr>
            <w:tcW w:w="3204" w:type="dxa"/>
            <w:tcBorders>
              <w:left w:val="dashed" w:sz="8" w:space="0" w:color="4AACC5"/>
              <w:right w:val="dashed" w:sz="8" w:space="0" w:color="4AACC5"/>
            </w:tcBorders>
            <w:shd w:val="clear" w:color="auto" w:fill="D2EAF0"/>
          </w:tcPr>
          <w:p w14:paraId="7B540141" w14:textId="77777777" w:rsidR="00C81834" w:rsidRPr="00CF0F96" w:rsidRDefault="00C81834" w:rsidP="00C81834">
            <w:pPr>
              <w:pStyle w:val="TableParagraph"/>
              <w:rPr>
                <w:rFonts w:ascii="Arial" w:hAnsi="Arial" w:cs="Arial"/>
                <w:i/>
                <w:sz w:val="21"/>
              </w:rPr>
            </w:pPr>
            <w:r w:rsidRPr="00CF0F96">
              <w:rPr>
                <w:rFonts w:ascii="Arial" w:hAnsi="Arial" w:cs="Arial"/>
                <w:i/>
                <w:sz w:val="21"/>
              </w:rPr>
              <w:t>Epinephelus itajara</w:t>
            </w:r>
          </w:p>
        </w:tc>
        <w:tc>
          <w:tcPr>
            <w:tcW w:w="1372" w:type="dxa"/>
            <w:tcBorders>
              <w:left w:val="dashed" w:sz="8" w:space="0" w:color="4AACC5"/>
              <w:right w:val="dashed" w:sz="8" w:space="0" w:color="4AACC5"/>
            </w:tcBorders>
            <w:shd w:val="clear" w:color="auto" w:fill="D2EAF0"/>
          </w:tcPr>
          <w:p w14:paraId="60C10C21" w14:textId="77777777" w:rsidR="00C81834" w:rsidRPr="00CF0F96" w:rsidRDefault="00C81834" w:rsidP="00342ED7">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0B909B4B" w14:textId="77777777" w:rsidTr="00C81834">
        <w:trPr>
          <w:trHeight w:val="369"/>
          <w:jc w:val="center"/>
        </w:trPr>
        <w:tc>
          <w:tcPr>
            <w:tcW w:w="1804" w:type="dxa"/>
            <w:tcBorders>
              <w:left w:val="dashed" w:sz="8" w:space="0" w:color="4AACC5"/>
              <w:right w:val="dashed" w:sz="8" w:space="0" w:color="4AACC5"/>
            </w:tcBorders>
          </w:tcPr>
          <w:p w14:paraId="0747B547"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Actinopterygii</w:t>
            </w:r>
          </w:p>
        </w:tc>
        <w:tc>
          <w:tcPr>
            <w:tcW w:w="1879" w:type="dxa"/>
            <w:tcBorders>
              <w:left w:val="dashed" w:sz="8" w:space="0" w:color="4AACC5"/>
              <w:right w:val="dashed" w:sz="8" w:space="0" w:color="4AACC5"/>
            </w:tcBorders>
          </w:tcPr>
          <w:p w14:paraId="65020BD4"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Epinephelidae</w:t>
            </w:r>
          </w:p>
        </w:tc>
        <w:tc>
          <w:tcPr>
            <w:tcW w:w="3204" w:type="dxa"/>
            <w:tcBorders>
              <w:left w:val="dashed" w:sz="8" w:space="0" w:color="4AACC5"/>
              <w:right w:val="dashed" w:sz="8" w:space="0" w:color="4AACC5"/>
            </w:tcBorders>
          </w:tcPr>
          <w:p w14:paraId="1A8CB635" w14:textId="77777777" w:rsidR="00C81834" w:rsidRPr="00CF0F96" w:rsidRDefault="00C81834" w:rsidP="00C81834">
            <w:pPr>
              <w:pStyle w:val="TableParagraph"/>
              <w:rPr>
                <w:rFonts w:ascii="Arial" w:hAnsi="Arial" w:cs="Arial"/>
                <w:i/>
                <w:sz w:val="21"/>
              </w:rPr>
            </w:pPr>
            <w:r w:rsidRPr="00CF0F96">
              <w:rPr>
                <w:rFonts w:ascii="Arial" w:hAnsi="Arial" w:cs="Arial"/>
                <w:i/>
                <w:sz w:val="21"/>
              </w:rPr>
              <w:t>Epinephelus morio</w:t>
            </w:r>
          </w:p>
        </w:tc>
        <w:tc>
          <w:tcPr>
            <w:tcW w:w="1372" w:type="dxa"/>
            <w:tcBorders>
              <w:left w:val="dashed" w:sz="8" w:space="0" w:color="4AACC5"/>
              <w:right w:val="dashed" w:sz="8" w:space="0" w:color="4AACC5"/>
            </w:tcBorders>
          </w:tcPr>
          <w:p w14:paraId="2336E234" w14:textId="77777777" w:rsidR="00C81834" w:rsidRPr="00CF0F96" w:rsidRDefault="00C81834" w:rsidP="00342ED7">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37991D40" w14:textId="77777777" w:rsidTr="00C81834">
        <w:trPr>
          <w:trHeight w:val="369"/>
          <w:jc w:val="center"/>
        </w:trPr>
        <w:tc>
          <w:tcPr>
            <w:tcW w:w="1804" w:type="dxa"/>
            <w:tcBorders>
              <w:left w:val="dashed" w:sz="8" w:space="0" w:color="4AACC5"/>
              <w:right w:val="dashed" w:sz="8" w:space="0" w:color="4AACC5"/>
            </w:tcBorders>
            <w:shd w:val="clear" w:color="auto" w:fill="D2EAF0"/>
          </w:tcPr>
          <w:p w14:paraId="45A23AC7"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Actinopterygii</w:t>
            </w:r>
          </w:p>
        </w:tc>
        <w:tc>
          <w:tcPr>
            <w:tcW w:w="1879" w:type="dxa"/>
            <w:tcBorders>
              <w:left w:val="dashed" w:sz="8" w:space="0" w:color="4AACC5"/>
              <w:right w:val="dashed" w:sz="8" w:space="0" w:color="4AACC5"/>
            </w:tcBorders>
            <w:shd w:val="clear" w:color="auto" w:fill="D2EAF0"/>
          </w:tcPr>
          <w:p w14:paraId="7BB5B669"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Epinephelidae</w:t>
            </w:r>
          </w:p>
        </w:tc>
        <w:tc>
          <w:tcPr>
            <w:tcW w:w="3204" w:type="dxa"/>
            <w:tcBorders>
              <w:left w:val="dashed" w:sz="8" w:space="0" w:color="4AACC5"/>
              <w:right w:val="dashed" w:sz="8" w:space="0" w:color="4AACC5"/>
            </w:tcBorders>
            <w:shd w:val="clear" w:color="auto" w:fill="D2EAF0"/>
          </w:tcPr>
          <w:p w14:paraId="0523DD59" w14:textId="77777777" w:rsidR="00C81834" w:rsidRPr="00CF0F96" w:rsidRDefault="00C81834" w:rsidP="00C81834">
            <w:pPr>
              <w:pStyle w:val="TableParagraph"/>
              <w:rPr>
                <w:rFonts w:ascii="Arial" w:hAnsi="Arial" w:cs="Arial"/>
                <w:i/>
                <w:sz w:val="21"/>
              </w:rPr>
            </w:pPr>
            <w:r w:rsidRPr="00CF0F96">
              <w:rPr>
                <w:rFonts w:ascii="Arial" w:hAnsi="Arial" w:cs="Arial"/>
                <w:i/>
                <w:sz w:val="21"/>
              </w:rPr>
              <w:t>Epinephelus striatus</w:t>
            </w:r>
          </w:p>
        </w:tc>
        <w:tc>
          <w:tcPr>
            <w:tcW w:w="1372" w:type="dxa"/>
            <w:tcBorders>
              <w:left w:val="dashed" w:sz="8" w:space="0" w:color="4AACC5"/>
              <w:right w:val="dashed" w:sz="8" w:space="0" w:color="4AACC5"/>
            </w:tcBorders>
            <w:shd w:val="clear" w:color="auto" w:fill="D2EAF0"/>
          </w:tcPr>
          <w:p w14:paraId="4BEF54E8" w14:textId="77777777" w:rsidR="00C81834" w:rsidRPr="00CF0F96" w:rsidRDefault="00C81834" w:rsidP="00342ED7">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794A52C8" w14:textId="77777777" w:rsidTr="00C81834">
        <w:trPr>
          <w:trHeight w:val="369"/>
          <w:jc w:val="center"/>
        </w:trPr>
        <w:tc>
          <w:tcPr>
            <w:tcW w:w="1804" w:type="dxa"/>
            <w:tcBorders>
              <w:left w:val="dashed" w:sz="8" w:space="0" w:color="4AACC5"/>
              <w:right w:val="dashed" w:sz="8" w:space="0" w:color="4AACC5"/>
            </w:tcBorders>
          </w:tcPr>
          <w:p w14:paraId="0803F958"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Actinopterygii</w:t>
            </w:r>
          </w:p>
        </w:tc>
        <w:tc>
          <w:tcPr>
            <w:tcW w:w="1879" w:type="dxa"/>
            <w:tcBorders>
              <w:left w:val="dashed" w:sz="8" w:space="0" w:color="4AACC5"/>
              <w:right w:val="dashed" w:sz="8" w:space="0" w:color="4AACC5"/>
            </w:tcBorders>
          </w:tcPr>
          <w:p w14:paraId="1B815753"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Epinephelidae</w:t>
            </w:r>
          </w:p>
        </w:tc>
        <w:tc>
          <w:tcPr>
            <w:tcW w:w="3204" w:type="dxa"/>
            <w:tcBorders>
              <w:left w:val="dashed" w:sz="8" w:space="0" w:color="4AACC5"/>
              <w:right w:val="dashed" w:sz="8" w:space="0" w:color="4AACC5"/>
            </w:tcBorders>
          </w:tcPr>
          <w:p w14:paraId="4BFFC106" w14:textId="77777777" w:rsidR="00C81834" w:rsidRPr="00CF0F96" w:rsidRDefault="00C81834" w:rsidP="00C81834">
            <w:pPr>
              <w:pStyle w:val="TableParagraph"/>
              <w:spacing w:before="53"/>
              <w:rPr>
                <w:rFonts w:ascii="Arial" w:hAnsi="Arial" w:cs="Arial"/>
                <w:i/>
                <w:sz w:val="21"/>
              </w:rPr>
            </w:pPr>
            <w:r w:rsidRPr="00CF0F96">
              <w:rPr>
                <w:rFonts w:ascii="Arial" w:hAnsi="Arial" w:cs="Arial"/>
                <w:i/>
                <w:w w:val="95"/>
                <w:sz w:val="21"/>
              </w:rPr>
              <w:t>Hyporthodus flavolimbatus</w:t>
            </w:r>
          </w:p>
        </w:tc>
        <w:tc>
          <w:tcPr>
            <w:tcW w:w="1372" w:type="dxa"/>
            <w:tcBorders>
              <w:left w:val="dashed" w:sz="8" w:space="0" w:color="4AACC5"/>
              <w:right w:val="dashed" w:sz="8" w:space="0" w:color="4AACC5"/>
            </w:tcBorders>
          </w:tcPr>
          <w:p w14:paraId="2D9CF406" w14:textId="77777777" w:rsidR="00C81834" w:rsidRPr="00CF0F96" w:rsidRDefault="00C81834" w:rsidP="00342ED7">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7D341D26" w14:textId="77777777" w:rsidTr="00C81834">
        <w:trPr>
          <w:trHeight w:val="369"/>
          <w:jc w:val="center"/>
        </w:trPr>
        <w:tc>
          <w:tcPr>
            <w:tcW w:w="1804" w:type="dxa"/>
            <w:tcBorders>
              <w:left w:val="dashed" w:sz="8" w:space="0" w:color="4AACC5"/>
              <w:right w:val="dashed" w:sz="8" w:space="0" w:color="4AACC5"/>
            </w:tcBorders>
            <w:shd w:val="clear" w:color="auto" w:fill="D2EAF0"/>
          </w:tcPr>
          <w:p w14:paraId="3356C33C"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Actinopterygii</w:t>
            </w:r>
          </w:p>
        </w:tc>
        <w:tc>
          <w:tcPr>
            <w:tcW w:w="1879" w:type="dxa"/>
            <w:tcBorders>
              <w:left w:val="dashed" w:sz="8" w:space="0" w:color="4AACC5"/>
              <w:right w:val="dashed" w:sz="8" w:space="0" w:color="4AACC5"/>
            </w:tcBorders>
            <w:shd w:val="clear" w:color="auto" w:fill="D2EAF0"/>
          </w:tcPr>
          <w:p w14:paraId="228CA2F3"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Epinephelidae</w:t>
            </w:r>
          </w:p>
        </w:tc>
        <w:tc>
          <w:tcPr>
            <w:tcW w:w="3204" w:type="dxa"/>
            <w:tcBorders>
              <w:left w:val="dashed" w:sz="8" w:space="0" w:color="4AACC5"/>
              <w:right w:val="dashed" w:sz="8" w:space="0" w:color="4AACC5"/>
            </w:tcBorders>
            <w:shd w:val="clear" w:color="auto" w:fill="D2EAF0"/>
          </w:tcPr>
          <w:p w14:paraId="08540911" w14:textId="77777777" w:rsidR="00C81834" w:rsidRPr="00CF0F96" w:rsidRDefault="00C81834" w:rsidP="00C81834">
            <w:pPr>
              <w:pStyle w:val="TableParagraph"/>
              <w:rPr>
                <w:rFonts w:ascii="Arial" w:hAnsi="Arial" w:cs="Arial"/>
                <w:i/>
                <w:sz w:val="21"/>
              </w:rPr>
            </w:pPr>
            <w:r w:rsidRPr="00CF0F96">
              <w:rPr>
                <w:rFonts w:ascii="Arial" w:hAnsi="Arial" w:cs="Arial"/>
                <w:i/>
                <w:sz w:val="21"/>
              </w:rPr>
              <w:t>Hyporthodus niveatus</w:t>
            </w:r>
          </w:p>
        </w:tc>
        <w:tc>
          <w:tcPr>
            <w:tcW w:w="1372" w:type="dxa"/>
            <w:tcBorders>
              <w:left w:val="dashed" w:sz="8" w:space="0" w:color="4AACC5"/>
              <w:right w:val="dashed" w:sz="8" w:space="0" w:color="4AACC5"/>
            </w:tcBorders>
            <w:shd w:val="clear" w:color="auto" w:fill="D2EAF0"/>
          </w:tcPr>
          <w:p w14:paraId="1AEC7AEA" w14:textId="77777777" w:rsidR="00C81834" w:rsidRPr="00CF0F96" w:rsidRDefault="00C81834" w:rsidP="00342ED7">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7A3968C0" w14:textId="77777777" w:rsidTr="00C81834">
        <w:trPr>
          <w:trHeight w:val="369"/>
          <w:jc w:val="center"/>
        </w:trPr>
        <w:tc>
          <w:tcPr>
            <w:tcW w:w="1804" w:type="dxa"/>
            <w:tcBorders>
              <w:left w:val="dashed" w:sz="8" w:space="0" w:color="4AACC5"/>
              <w:right w:val="dashed" w:sz="8" w:space="0" w:color="4AACC5"/>
            </w:tcBorders>
          </w:tcPr>
          <w:p w14:paraId="534F3935"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Actinopterygii</w:t>
            </w:r>
          </w:p>
        </w:tc>
        <w:tc>
          <w:tcPr>
            <w:tcW w:w="1879" w:type="dxa"/>
            <w:tcBorders>
              <w:left w:val="dashed" w:sz="8" w:space="0" w:color="4AACC5"/>
              <w:right w:val="dashed" w:sz="8" w:space="0" w:color="4AACC5"/>
            </w:tcBorders>
          </w:tcPr>
          <w:p w14:paraId="21529094"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Epinephelidae</w:t>
            </w:r>
          </w:p>
        </w:tc>
        <w:tc>
          <w:tcPr>
            <w:tcW w:w="3204" w:type="dxa"/>
            <w:tcBorders>
              <w:left w:val="dashed" w:sz="8" w:space="0" w:color="4AACC5"/>
              <w:right w:val="dashed" w:sz="8" w:space="0" w:color="4AACC5"/>
            </w:tcBorders>
          </w:tcPr>
          <w:p w14:paraId="77814DF0" w14:textId="77777777" w:rsidR="00C81834" w:rsidRPr="00CF0F96" w:rsidRDefault="00C81834" w:rsidP="00C81834">
            <w:pPr>
              <w:pStyle w:val="TableParagraph"/>
              <w:rPr>
                <w:rFonts w:ascii="Arial" w:hAnsi="Arial" w:cs="Arial"/>
                <w:i/>
                <w:sz w:val="21"/>
              </w:rPr>
            </w:pPr>
            <w:r w:rsidRPr="00CF0F96">
              <w:rPr>
                <w:rFonts w:ascii="Arial" w:hAnsi="Arial" w:cs="Arial"/>
                <w:i/>
                <w:sz w:val="21"/>
              </w:rPr>
              <w:t>Mycteroperca bonaci</w:t>
            </w:r>
          </w:p>
        </w:tc>
        <w:tc>
          <w:tcPr>
            <w:tcW w:w="1372" w:type="dxa"/>
            <w:tcBorders>
              <w:left w:val="dashed" w:sz="8" w:space="0" w:color="4AACC5"/>
              <w:right w:val="dashed" w:sz="8" w:space="0" w:color="4AACC5"/>
            </w:tcBorders>
          </w:tcPr>
          <w:p w14:paraId="3697D7AA" w14:textId="77777777" w:rsidR="00C81834" w:rsidRPr="00CF0F96" w:rsidRDefault="00C81834" w:rsidP="00342ED7">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279551F3" w14:textId="77777777" w:rsidTr="00C81834">
        <w:trPr>
          <w:trHeight w:val="406"/>
          <w:jc w:val="center"/>
        </w:trPr>
        <w:tc>
          <w:tcPr>
            <w:tcW w:w="1804" w:type="dxa"/>
            <w:shd w:val="clear" w:color="auto" w:fill="D2EAF0"/>
          </w:tcPr>
          <w:p w14:paraId="07747F58" w14:textId="77777777" w:rsidR="00C81834" w:rsidRPr="00CF0F96" w:rsidRDefault="00C81834" w:rsidP="00C81834">
            <w:pPr>
              <w:pStyle w:val="TableParagraph"/>
              <w:spacing w:before="85"/>
              <w:rPr>
                <w:rFonts w:ascii="Arial" w:hAnsi="Arial" w:cs="Arial"/>
                <w:bCs/>
                <w:sz w:val="21"/>
              </w:rPr>
            </w:pPr>
            <w:r w:rsidRPr="00CF0F96">
              <w:rPr>
                <w:rFonts w:ascii="Arial" w:hAnsi="Arial" w:cs="Arial"/>
                <w:bCs/>
                <w:w w:val="95"/>
                <w:sz w:val="21"/>
              </w:rPr>
              <w:t>Actinopterygii</w:t>
            </w:r>
          </w:p>
        </w:tc>
        <w:tc>
          <w:tcPr>
            <w:tcW w:w="1879" w:type="dxa"/>
            <w:shd w:val="clear" w:color="auto" w:fill="D2EAF0"/>
          </w:tcPr>
          <w:p w14:paraId="1B461489" w14:textId="77777777" w:rsidR="00C81834" w:rsidRPr="00CF0F96" w:rsidRDefault="00C81834" w:rsidP="00C81834">
            <w:pPr>
              <w:pStyle w:val="TableParagraph"/>
              <w:spacing w:before="73"/>
              <w:rPr>
                <w:rFonts w:ascii="Arial" w:hAnsi="Arial" w:cs="Arial"/>
                <w:sz w:val="21"/>
              </w:rPr>
            </w:pPr>
            <w:r w:rsidRPr="00CF0F96">
              <w:rPr>
                <w:rFonts w:ascii="Arial" w:hAnsi="Arial" w:cs="Arial"/>
                <w:sz w:val="21"/>
              </w:rPr>
              <w:t>Epinephelidae</w:t>
            </w:r>
          </w:p>
        </w:tc>
        <w:tc>
          <w:tcPr>
            <w:tcW w:w="3204" w:type="dxa"/>
            <w:shd w:val="clear" w:color="auto" w:fill="D2EAF0"/>
          </w:tcPr>
          <w:p w14:paraId="6A8E7CC5" w14:textId="77777777" w:rsidR="00C81834" w:rsidRPr="00CF0F96" w:rsidRDefault="00C81834" w:rsidP="00C81834">
            <w:pPr>
              <w:pStyle w:val="TableParagraph"/>
              <w:spacing w:before="85"/>
              <w:rPr>
                <w:rFonts w:ascii="Arial" w:hAnsi="Arial" w:cs="Arial"/>
                <w:i/>
                <w:sz w:val="21"/>
              </w:rPr>
            </w:pPr>
            <w:r w:rsidRPr="00CF0F96">
              <w:rPr>
                <w:rFonts w:ascii="Arial" w:hAnsi="Arial" w:cs="Arial"/>
                <w:i/>
                <w:sz w:val="21"/>
              </w:rPr>
              <w:t>Mycteroperca interstitialis</w:t>
            </w:r>
          </w:p>
        </w:tc>
        <w:tc>
          <w:tcPr>
            <w:tcW w:w="1372" w:type="dxa"/>
            <w:shd w:val="clear" w:color="auto" w:fill="D2EAF0"/>
          </w:tcPr>
          <w:p w14:paraId="775589D3" w14:textId="77777777" w:rsidR="00C81834" w:rsidRPr="00CF0F96" w:rsidRDefault="00C81834" w:rsidP="00342ED7">
            <w:pPr>
              <w:pStyle w:val="TableParagraph"/>
              <w:spacing w:before="73"/>
              <w:jc w:val="center"/>
              <w:rPr>
                <w:rFonts w:ascii="Arial" w:hAnsi="Arial" w:cs="Arial"/>
                <w:sz w:val="21"/>
              </w:rPr>
            </w:pPr>
            <w:r w:rsidRPr="00CF0F96">
              <w:rPr>
                <w:rFonts w:ascii="Arial" w:hAnsi="Arial" w:cs="Arial"/>
                <w:sz w:val="21"/>
              </w:rPr>
              <w:t>VU</w:t>
            </w:r>
          </w:p>
        </w:tc>
      </w:tr>
      <w:tr w:rsidR="00C81834" w:rsidRPr="00FA4B2D" w14:paraId="1A5FC41D" w14:textId="77777777" w:rsidTr="00C81834">
        <w:trPr>
          <w:trHeight w:val="406"/>
          <w:jc w:val="center"/>
        </w:trPr>
        <w:tc>
          <w:tcPr>
            <w:tcW w:w="1804" w:type="dxa"/>
          </w:tcPr>
          <w:p w14:paraId="26759924" w14:textId="77777777" w:rsidR="00C81834" w:rsidRPr="00CF0F96" w:rsidRDefault="00C81834" w:rsidP="00C81834">
            <w:pPr>
              <w:pStyle w:val="TableParagraph"/>
              <w:spacing w:before="85"/>
              <w:rPr>
                <w:rFonts w:ascii="Arial" w:hAnsi="Arial" w:cs="Arial"/>
                <w:bCs/>
                <w:sz w:val="21"/>
              </w:rPr>
            </w:pPr>
            <w:r w:rsidRPr="00CF0F96">
              <w:rPr>
                <w:rFonts w:ascii="Arial" w:hAnsi="Arial" w:cs="Arial"/>
                <w:bCs/>
                <w:w w:val="95"/>
                <w:sz w:val="21"/>
              </w:rPr>
              <w:t>Actinopterygii</w:t>
            </w:r>
          </w:p>
        </w:tc>
        <w:tc>
          <w:tcPr>
            <w:tcW w:w="1879" w:type="dxa"/>
          </w:tcPr>
          <w:p w14:paraId="0880C6F5" w14:textId="77777777" w:rsidR="00C81834" w:rsidRPr="00CF0F96" w:rsidRDefault="00C81834" w:rsidP="00C81834">
            <w:pPr>
              <w:pStyle w:val="TableParagraph"/>
              <w:spacing w:before="73"/>
              <w:rPr>
                <w:rFonts w:ascii="Arial" w:hAnsi="Arial" w:cs="Arial"/>
                <w:sz w:val="21"/>
              </w:rPr>
            </w:pPr>
            <w:r w:rsidRPr="00CF0F96">
              <w:rPr>
                <w:rFonts w:ascii="Arial" w:hAnsi="Arial" w:cs="Arial"/>
                <w:sz w:val="21"/>
              </w:rPr>
              <w:t>Epinephelidae</w:t>
            </w:r>
          </w:p>
        </w:tc>
        <w:tc>
          <w:tcPr>
            <w:tcW w:w="3204" w:type="dxa"/>
          </w:tcPr>
          <w:p w14:paraId="4F5D666A" w14:textId="77777777" w:rsidR="00C81834" w:rsidRPr="00CF0F96" w:rsidRDefault="00C81834" w:rsidP="00C81834">
            <w:pPr>
              <w:pStyle w:val="TableParagraph"/>
              <w:spacing w:before="85"/>
              <w:rPr>
                <w:rFonts w:ascii="Arial" w:hAnsi="Arial" w:cs="Arial"/>
                <w:i/>
                <w:sz w:val="21"/>
              </w:rPr>
            </w:pPr>
            <w:r w:rsidRPr="00CF0F96">
              <w:rPr>
                <w:rFonts w:ascii="Arial" w:hAnsi="Arial" w:cs="Arial"/>
                <w:i/>
                <w:sz w:val="21"/>
              </w:rPr>
              <w:t>Mycteroperca venenosa</w:t>
            </w:r>
          </w:p>
        </w:tc>
        <w:tc>
          <w:tcPr>
            <w:tcW w:w="1372" w:type="dxa"/>
          </w:tcPr>
          <w:p w14:paraId="4D2EE04D" w14:textId="77777777" w:rsidR="00C81834" w:rsidRPr="00CF0F96" w:rsidRDefault="00C81834" w:rsidP="00342ED7">
            <w:pPr>
              <w:pStyle w:val="TableParagraph"/>
              <w:spacing w:before="73"/>
              <w:jc w:val="center"/>
              <w:rPr>
                <w:rFonts w:ascii="Arial" w:hAnsi="Arial" w:cs="Arial"/>
                <w:sz w:val="21"/>
              </w:rPr>
            </w:pPr>
            <w:r w:rsidRPr="00CF0F96">
              <w:rPr>
                <w:rFonts w:ascii="Arial" w:hAnsi="Arial" w:cs="Arial"/>
                <w:sz w:val="21"/>
              </w:rPr>
              <w:t>NT</w:t>
            </w:r>
          </w:p>
        </w:tc>
      </w:tr>
    </w:tbl>
    <w:p w14:paraId="66F353B7" w14:textId="77777777" w:rsidR="00C81834" w:rsidRPr="00FA4B2D" w:rsidRDefault="00C81834" w:rsidP="00C81834">
      <w:pPr>
        <w:tabs>
          <w:tab w:val="left" w:pos="1245"/>
        </w:tabs>
        <w:rPr>
          <w:rFonts w:cs="Arial"/>
        </w:rPr>
      </w:pPr>
    </w:p>
    <w:tbl>
      <w:tblPr>
        <w:tblStyle w:val="TableNormal1"/>
        <w:tblW w:w="0" w:type="auto"/>
        <w:jc w:val="center"/>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1804"/>
        <w:gridCol w:w="1879"/>
        <w:gridCol w:w="3204"/>
        <w:gridCol w:w="1372"/>
      </w:tblGrid>
      <w:tr w:rsidR="00C81834" w:rsidRPr="00FA4B2D" w14:paraId="75A9282C" w14:textId="77777777" w:rsidTr="005D7F0C">
        <w:trPr>
          <w:trHeight w:val="369"/>
          <w:jc w:val="center"/>
        </w:trPr>
        <w:tc>
          <w:tcPr>
            <w:tcW w:w="1804" w:type="dxa"/>
            <w:shd w:val="clear" w:color="auto" w:fill="5CC5DA"/>
          </w:tcPr>
          <w:p w14:paraId="1FDF82C0" w14:textId="77777777" w:rsidR="00C81834" w:rsidRPr="00CF0F96" w:rsidRDefault="00C81834" w:rsidP="00D30988">
            <w:pPr>
              <w:pStyle w:val="TableParagraph"/>
              <w:ind w:left="625" w:right="605"/>
              <w:jc w:val="center"/>
              <w:rPr>
                <w:rFonts w:ascii="Arial" w:hAnsi="Arial" w:cs="Arial"/>
                <w:bCs/>
                <w:sz w:val="21"/>
              </w:rPr>
            </w:pPr>
            <w:r w:rsidRPr="00CF0F96">
              <w:rPr>
                <w:rFonts w:ascii="Arial" w:hAnsi="Arial" w:cs="Arial"/>
                <w:bCs/>
                <w:sz w:val="21"/>
              </w:rPr>
              <w:t>Clase</w:t>
            </w:r>
          </w:p>
        </w:tc>
        <w:tc>
          <w:tcPr>
            <w:tcW w:w="1879" w:type="dxa"/>
            <w:shd w:val="clear" w:color="auto" w:fill="5CC5DA"/>
          </w:tcPr>
          <w:p w14:paraId="5CA7CF79" w14:textId="77777777" w:rsidR="00C81834" w:rsidRPr="00CF0F96" w:rsidRDefault="00C81834" w:rsidP="00D30988">
            <w:pPr>
              <w:pStyle w:val="TableParagraph"/>
              <w:ind w:left="627"/>
              <w:jc w:val="center"/>
              <w:rPr>
                <w:rFonts w:ascii="Arial" w:hAnsi="Arial" w:cs="Arial"/>
                <w:bCs/>
                <w:sz w:val="21"/>
              </w:rPr>
            </w:pPr>
            <w:r w:rsidRPr="00CF0F96">
              <w:rPr>
                <w:rFonts w:ascii="Arial" w:hAnsi="Arial" w:cs="Arial"/>
                <w:bCs/>
                <w:sz w:val="21"/>
              </w:rPr>
              <w:t>Familia</w:t>
            </w:r>
          </w:p>
        </w:tc>
        <w:tc>
          <w:tcPr>
            <w:tcW w:w="3204" w:type="dxa"/>
            <w:shd w:val="clear" w:color="auto" w:fill="5CC5DA"/>
          </w:tcPr>
          <w:p w14:paraId="2CCF38FD" w14:textId="77777777" w:rsidR="00C81834" w:rsidRPr="00CF0F96" w:rsidRDefault="00C81834" w:rsidP="00D30988">
            <w:pPr>
              <w:pStyle w:val="TableParagraph"/>
              <w:ind w:left="1165" w:right="1144"/>
              <w:jc w:val="center"/>
              <w:rPr>
                <w:rFonts w:ascii="Arial" w:hAnsi="Arial" w:cs="Arial"/>
                <w:bCs/>
                <w:sz w:val="21"/>
              </w:rPr>
            </w:pPr>
            <w:r w:rsidRPr="00CF0F96">
              <w:rPr>
                <w:rFonts w:ascii="Arial" w:hAnsi="Arial" w:cs="Arial"/>
                <w:bCs/>
                <w:sz w:val="21"/>
              </w:rPr>
              <w:t>Especies</w:t>
            </w:r>
          </w:p>
        </w:tc>
        <w:tc>
          <w:tcPr>
            <w:tcW w:w="1372" w:type="dxa"/>
            <w:shd w:val="clear" w:color="auto" w:fill="5CC5DA"/>
          </w:tcPr>
          <w:p w14:paraId="24CA0832" w14:textId="77777777" w:rsidR="00C81834" w:rsidRPr="00CF0F96" w:rsidRDefault="00C81834" w:rsidP="00D30988">
            <w:pPr>
              <w:pStyle w:val="TableParagraph"/>
              <w:ind w:left="281"/>
              <w:jc w:val="center"/>
              <w:rPr>
                <w:rFonts w:ascii="Arial" w:hAnsi="Arial" w:cs="Arial"/>
                <w:bCs/>
                <w:sz w:val="21"/>
              </w:rPr>
            </w:pPr>
            <w:r w:rsidRPr="00CF0F96">
              <w:rPr>
                <w:rFonts w:ascii="Arial" w:hAnsi="Arial" w:cs="Arial"/>
                <w:bCs/>
                <w:w w:val="95"/>
                <w:sz w:val="21"/>
              </w:rPr>
              <w:t>Categoría</w:t>
            </w:r>
          </w:p>
        </w:tc>
      </w:tr>
      <w:tr w:rsidR="00C81834" w:rsidRPr="00FA4B2D" w14:paraId="56FD1F71" w14:textId="77777777" w:rsidTr="00C81834">
        <w:trPr>
          <w:trHeight w:val="406"/>
          <w:jc w:val="center"/>
        </w:trPr>
        <w:tc>
          <w:tcPr>
            <w:tcW w:w="1804" w:type="dxa"/>
            <w:shd w:val="clear" w:color="auto" w:fill="D2EAF0"/>
          </w:tcPr>
          <w:p w14:paraId="75772128" w14:textId="77777777" w:rsidR="00C81834" w:rsidRPr="00CF0F96" w:rsidRDefault="00C81834" w:rsidP="00C81834">
            <w:pPr>
              <w:pStyle w:val="TableParagraph"/>
              <w:spacing w:before="85"/>
              <w:rPr>
                <w:rFonts w:ascii="Arial" w:hAnsi="Arial" w:cs="Arial"/>
                <w:bCs/>
                <w:sz w:val="21"/>
              </w:rPr>
            </w:pPr>
            <w:r w:rsidRPr="00CF0F96">
              <w:rPr>
                <w:rFonts w:ascii="Arial" w:hAnsi="Arial" w:cs="Arial"/>
                <w:bCs/>
                <w:w w:val="95"/>
                <w:sz w:val="21"/>
              </w:rPr>
              <w:t>Actinopterygii</w:t>
            </w:r>
          </w:p>
        </w:tc>
        <w:tc>
          <w:tcPr>
            <w:tcW w:w="1879" w:type="dxa"/>
            <w:shd w:val="clear" w:color="auto" w:fill="D2EAF0"/>
          </w:tcPr>
          <w:p w14:paraId="7640016D" w14:textId="77777777" w:rsidR="00C81834" w:rsidRPr="00CF0F96" w:rsidRDefault="00C81834" w:rsidP="00C81834">
            <w:pPr>
              <w:pStyle w:val="TableParagraph"/>
              <w:spacing w:before="73"/>
              <w:rPr>
                <w:rFonts w:ascii="Arial" w:hAnsi="Arial" w:cs="Arial"/>
                <w:sz w:val="21"/>
              </w:rPr>
            </w:pPr>
            <w:r w:rsidRPr="00CF0F96">
              <w:rPr>
                <w:rFonts w:ascii="Arial" w:hAnsi="Arial" w:cs="Arial"/>
                <w:sz w:val="21"/>
              </w:rPr>
              <w:t>Chaenopsidae</w:t>
            </w:r>
          </w:p>
        </w:tc>
        <w:tc>
          <w:tcPr>
            <w:tcW w:w="3204" w:type="dxa"/>
            <w:shd w:val="clear" w:color="auto" w:fill="D2EAF0"/>
          </w:tcPr>
          <w:p w14:paraId="1083A338" w14:textId="77777777" w:rsidR="00C81834" w:rsidRPr="00CF0F96" w:rsidRDefault="00C81834" w:rsidP="00C81834">
            <w:pPr>
              <w:pStyle w:val="TableParagraph"/>
              <w:spacing w:before="85"/>
              <w:rPr>
                <w:rFonts w:ascii="Arial" w:hAnsi="Arial" w:cs="Arial"/>
                <w:i/>
                <w:sz w:val="21"/>
              </w:rPr>
            </w:pPr>
            <w:r w:rsidRPr="00CF0F96">
              <w:rPr>
                <w:rFonts w:ascii="Arial" w:hAnsi="Arial" w:cs="Arial"/>
                <w:i/>
                <w:sz w:val="21"/>
              </w:rPr>
              <w:t>Emblemariopsis pricei</w:t>
            </w:r>
          </w:p>
        </w:tc>
        <w:tc>
          <w:tcPr>
            <w:tcW w:w="1372" w:type="dxa"/>
            <w:shd w:val="clear" w:color="auto" w:fill="D2EAF0"/>
          </w:tcPr>
          <w:p w14:paraId="25194F1F" w14:textId="77777777" w:rsidR="00C81834" w:rsidRPr="00CF0F96" w:rsidRDefault="00C81834" w:rsidP="00D30988">
            <w:pPr>
              <w:pStyle w:val="TableParagraph"/>
              <w:spacing w:before="73"/>
              <w:jc w:val="center"/>
              <w:rPr>
                <w:rFonts w:ascii="Arial" w:hAnsi="Arial" w:cs="Arial"/>
                <w:sz w:val="21"/>
              </w:rPr>
            </w:pPr>
            <w:r w:rsidRPr="00CF0F96">
              <w:rPr>
                <w:rFonts w:ascii="Arial" w:hAnsi="Arial" w:cs="Arial"/>
                <w:sz w:val="21"/>
              </w:rPr>
              <w:t>VU</w:t>
            </w:r>
          </w:p>
        </w:tc>
      </w:tr>
      <w:tr w:rsidR="00C81834" w:rsidRPr="00FA4B2D" w14:paraId="12C35B60" w14:textId="77777777" w:rsidTr="00C81834">
        <w:trPr>
          <w:trHeight w:val="406"/>
          <w:jc w:val="center"/>
        </w:trPr>
        <w:tc>
          <w:tcPr>
            <w:tcW w:w="1804" w:type="dxa"/>
          </w:tcPr>
          <w:p w14:paraId="47AC2152" w14:textId="77777777" w:rsidR="00C81834" w:rsidRPr="00CF0F96" w:rsidRDefault="00C81834" w:rsidP="00C81834">
            <w:pPr>
              <w:pStyle w:val="TableParagraph"/>
              <w:spacing w:before="85"/>
              <w:rPr>
                <w:rFonts w:ascii="Arial" w:hAnsi="Arial" w:cs="Arial"/>
                <w:bCs/>
                <w:sz w:val="21"/>
              </w:rPr>
            </w:pPr>
            <w:r w:rsidRPr="00CF0F96">
              <w:rPr>
                <w:rFonts w:ascii="Arial" w:hAnsi="Arial" w:cs="Arial"/>
                <w:bCs/>
                <w:w w:val="95"/>
                <w:sz w:val="21"/>
              </w:rPr>
              <w:t>Actinopterygii</w:t>
            </w:r>
          </w:p>
        </w:tc>
        <w:tc>
          <w:tcPr>
            <w:tcW w:w="1879" w:type="dxa"/>
          </w:tcPr>
          <w:p w14:paraId="31871684" w14:textId="77777777" w:rsidR="00C81834" w:rsidRPr="00CF0F96" w:rsidRDefault="00C81834" w:rsidP="00C81834">
            <w:pPr>
              <w:pStyle w:val="TableParagraph"/>
              <w:spacing w:before="73"/>
              <w:rPr>
                <w:rFonts w:ascii="Arial" w:hAnsi="Arial" w:cs="Arial"/>
                <w:sz w:val="21"/>
              </w:rPr>
            </w:pPr>
            <w:r w:rsidRPr="00CF0F96">
              <w:rPr>
                <w:rFonts w:ascii="Arial" w:hAnsi="Arial" w:cs="Arial"/>
                <w:sz w:val="21"/>
              </w:rPr>
              <w:t>Istiophoridae</w:t>
            </w:r>
          </w:p>
        </w:tc>
        <w:tc>
          <w:tcPr>
            <w:tcW w:w="3204" w:type="dxa"/>
          </w:tcPr>
          <w:p w14:paraId="2677839F" w14:textId="77777777" w:rsidR="00C81834" w:rsidRPr="00CF0F96" w:rsidRDefault="00C81834" w:rsidP="00C81834">
            <w:pPr>
              <w:pStyle w:val="TableParagraph"/>
              <w:spacing w:before="85"/>
              <w:rPr>
                <w:rFonts w:ascii="Arial" w:hAnsi="Arial" w:cs="Arial"/>
                <w:i/>
                <w:sz w:val="21"/>
              </w:rPr>
            </w:pPr>
            <w:r w:rsidRPr="00CF0F96">
              <w:rPr>
                <w:rFonts w:ascii="Arial" w:hAnsi="Arial" w:cs="Arial"/>
                <w:i/>
                <w:sz w:val="21"/>
              </w:rPr>
              <w:t>Kajikia albida</w:t>
            </w:r>
          </w:p>
        </w:tc>
        <w:tc>
          <w:tcPr>
            <w:tcW w:w="1372" w:type="dxa"/>
          </w:tcPr>
          <w:p w14:paraId="5201310B" w14:textId="77777777" w:rsidR="00C81834" w:rsidRPr="00CF0F96" w:rsidRDefault="00C81834" w:rsidP="00D30988">
            <w:pPr>
              <w:pStyle w:val="TableParagraph"/>
              <w:spacing w:before="73"/>
              <w:jc w:val="center"/>
              <w:rPr>
                <w:rFonts w:ascii="Arial" w:hAnsi="Arial" w:cs="Arial"/>
                <w:sz w:val="21"/>
              </w:rPr>
            </w:pPr>
            <w:r w:rsidRPr="00CF0F96">
              <w:rPr>
                <w:rFonts w:ascii="Arial" w:hAnsi="Arial" w:cs="Arial"/>
                <w:sz w:val="21"/>
              </w:rPr>
              <w:t>VU</w:t>
            </w:r>
          </w:p>
        </w:tc>
      </w:tr>
      <w:tr w:rsidR="00C81834" w:rsidRPr="00FA4B2D" w14:paraId="03D05CDE" w14:textId="77777777" w:rsidTr="00C81834">
        <w:trPr>
          <w:trHeight w:val="369"/>
          <w:jc w:val="center"/>
        </w:trPr>
        <w:tc>
          <w:tcPr>
            <w:tcW w:w="1804" w:type="dxa"/>
            <w:tcBorders>
              <w:left w:val="dashed" w:sz="8" w:space="0" w:color="4AACC5"/>
              <w:right w:val="dashed" w:sz="8" w:space="0" w:color="4AACC5"/>
            </w:tcBorders>
            <w:shd w:val="clear" w:color="auto" w:fill="D2EAF0"/>
          </w:tcPr>
          <w:p w14:paraId="6B952653"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Actinopterygii</w:t>
            </w:r>
          </w:p>
        </w:tc>
        <w:tc>
          <w:tcPr>
            <w:tcW w:w="1879" w:type="dxa"/>
            <w:tcBorders>
              <w:left w:val="dashed" w:sz="8" w:space="0" w:color="4AACC5"/>
              <w:right w:val="dashed" w:sz="8" w:space="0" w:color="4AACC5"/>
            </w:tcBorders>
            <w:shd w:val="clear" w:color="auto" w:fill="D2EAF0"/>
          </w:tcPr>
          <w:p w14:paraId="53EC1DAF"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Istiophoridae</w:t>
            </w:r>
          </w:p>
        </w:tc>
        <w:tc>
          <w:tcPr>
            <w:tcW w:w="3204" w:type="dxa"/>
            <w:tcBorders>
              <w:left w:val="dashed" w:sz="8" w:space="0" w:color="4AACC5"/>
              <w:right w:val="dashed" w:sz="8" w:space="0" w:color="4AACC5"/>
            </w:tcBorders>
            <w:shd w:val="clear" w:color="auto" w:fill="D2EAF0"/>
          </w:tcPr>
          <w:p w14:paraId="243BB332" w14:textId="77777777" w:rsidR="00C81834" w:rsidRPr="00CF0F96" w:rsidRDefault="00C81834" w:rsidP="00C81834">
            <w:pPr>
              <w:pStyle w:val="TableParagraph"/>
              <w:rPr>
                <w:rFonts w:ascii="Arial" w:hAnsi="Arial" w:cs="Arial"/>
                <w:i/>
                <w:sz w:val="21"/>
              </w:rPr>
            </w:pPr>
            <w:r w:rsidRPr="00CF0F96">
              <w:rPr>
                <w:rFonts w:ascii="Arial" w:hAnsi="Arial" w:cs="Arial"/>
                <w:i/>
                <w:sz w:val="21"/>
              </w:rPr>
              <w:t>Kajikia audax</w:t>
            </w:r>
          </w:p>
        </w:tc>
        <w:tc>
          <w:tcPr>
            <w:tcW w:w="1372" w:type="dxa"/>
            <w:tcBorders>
              <w:left w:val="dashed" w:sz="8" w:space="0" w:color="4AACC5"/>
              <w:right w:val="dashed" w:sz="8" w:space="0" w:color="4AACC5"/>
            </w:tcBorders>
            <w:shd w:val="clear" w:color="auto" w:fill="D2EAF0"/>
          </w:tcPr>
          <w:p w14:paraId="215638DE"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77FC7A9D" w14:textId="77777777" w:rsidTr="00C81834">
        <w:trPr>
          <w:trHeight w:val="369"/>
          <w:jc w:val="center"/>
        </w:trPr>
        <w:tc>
          <w:tcPr>
            <w:tcW w:w="1804" w:type="dxa"/>
            <w:tcBorders>
              <w:left w:val="dashed" w:sz="8" w:space="0" w:color="4AACC5"/>
              <w:right w:val="dashed" w:sz="8" w:space="0" w:color="4AACC5"/>
            </w:tcBorders>
          </w:tcPr>
          <w:p w14:paraId="6B87574F"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Actinopterygii</w:t>
            </w:r>
          </w:p>
        </w:tc>
        <w:tc>
          <w:tcPr>
            <w:tcW w:w="1879" w:type="dxa"/>
            <w:tcBorders>
              <w:left w:val="dashed" w:sz="8" w:space="0" w:color="4AACC5"/>
              <w:right w:val="dashed" w:sz="8" w:space="0" w:color="4AACC5"/>
            </w:tcBorders>
          </w:tcPr>
          <w:p w14:paraId="422D6769"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Istiophoridae</w:t>
            </w:r>
          </w:p>
        </w:tc>
        <w:tc>
          <w:tcPr>
            <w:tcW w:w="3204" w:type="dxa"/>
            <w:tcBorders>
              <w:left w:val="dashed" w:sz="8" w:space="0" w:color="4AACC5"/>
              <w:right w:val="dashed" w:sz="8" w:space="0" w:color="4AACC5"/>
            </w:tcBorders>
          </w:tcPr>
          <w:p w14:paraId="62E50EC5" w14:textId="77777777" w:rsidR="00C81834" w:rsidRPr="00CF0F96" w:rsidRDefault="00C81834" w:rsidP="00C81834">
            <w:pPr>
              <w:pStyle w:val="TableParagraph"/>
              <w:rPr>
                <w:rFonts w:ascii="Arial" w:hAnsi="Arial" w:cs="Arial"/>
                <w:i/>
                <w:sz w:val="21"/>
              </w:rPr>
            </w:pPr>
            <w:r w:rsidRPr="00CF0F96">
              <w:rPr>
                <w:rFonts w:ascii="Arial" w:hAnsi="Arial" w:cs="Arial"/>
                <w:i/>
                <w:sz w:val="21"/>
              </w:rPr>
              <w:t>Makaira nigricans</w:t>
            </w:r>
          </w:p>
        </w:tc>
        <w:tc>
          <w:tcPr>
            <w:tcW w:w="1372" w:type="dxa"/>
            <w:tcBorders>
              <w:left w:val="dashed" w:sz="8" w:space="0" w:color="4AACC5"/>
              <w:right w:val="dashed" w:sz="8" w:space="0" w:color="4AACC5"/>
            </w:tcBorders>
          </w:tcPr>
          <w:p w14:paraId="08747D6D"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6F4B66EE" w14:textId="77777777" w:rsidTr="00C81834">
        <w:trPr>
          <w:trHeight w:val="369"/>
          <w:jc w:val="center"/>
        </w:trPr>
        <w:tc>
          <w:tcPr>
            <w:tcW w:w="1804" w:type="dxa"/>
            <w:tcBorders>
              <w:left w:val="dashed" w:sz="8" w:space="0" w:color="4AACC5"/>
              <w:right w:val="dashed" w:sz="8" w:space="0" w:color="4AACC5"/>
            </w:tcBorders>
            <w:shd w:val="clear" w:color="auto" w:fill="D2EAF0"/>
          </w:tcPr>
          <w:p w14:paraId="2BF8C5D5"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Actinopterygii</w:t>
            </w:r>
          </w:p>
        </w:tc>
        <w:tc>
          <w:tcPr>
            <w:tcW w:w="1879" w:type="dxa"/>
            <w:tcBorders>
              <w:left w:val="dashed" w:sz="8" w:space="0" w:color="4AACC5"/>
              <w:right w:val="dashed" w:sz="8" w:space="0" w:color="4AACC5"/>
            </w:tcBorders>
            <w:shd w:val="clear" w:color="auto" w:fill="D2EAF0"/>
          </w:tcPr>
          <w:p w14:paraId="01CA4C55"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Labridae</w:t>
            </w:r>
          </w:p>
        </w:tc>
        <w:tc>
          <w:tcPr>
            <w:tcW w:w="3204" w:type="dxa"/>
            <w:tcBorders>
              <w:left w:val="dashed" w:sz="8" w:space="0" w:color="4AACC5"/>
              <w:right w:val="dashed" w:sz="8" w:space="0" w:color="4AACC5"/>
            </w:tcBorders>
            <w:shd w:val="clear" w:color="auto" w:fill="D2EAF0"/>
          </w:tcPr>
          <w:p w14:paraId="48DF0516" w14:textId="77777777" w:rsidR="00C81834" w:rsidRPr="00CF0F96" w:rsidRDefault="00C81834" w:rsidP="00C81834">
            <w:pPr>
              <w:pStyle w:val="TableParagraph"/>
              <w:rPr>
                <w:rFonts w:ascii="Arial" w:hAnsi="Arial" w:cs="Arial"/>
                <w:i/>
                <w:sz w:val="21"/>
              </w:rPr>
            </w:pPr>
            <w:r w:rsidRPr="00CF0F96">
              <w:rPr>
                <w:rFonts w:ascii="Arial" w:hAnsi="Arial" w:cs="Arial"/>
                <w:i/>
                <w:sz w:val="21"/>
              </w:rPr>
              <w:t>Lachnolaimus maximus</w:t>
            </w:r>
          </w:p>
        </w:tc>
        <w:tc>
          <w:tcPr>
            <w:tcW w:w="1372" w:type="dxa"/>
            <w:tcBorders>
              <w:left w:val="dashed" w:sz="8" w:space="0" w:color="4AACC5"/>
              <w:right w:val="dashed" w:sz="8" w:space="0" w:color="4AACC5"/>
            </w:tcBorders>
            <w:shd w:val="clear" w:color="auto" w:fill="D2EAF0"/>
          </w:tcPr>
          <w:p w14:paraId="2ED2FD47"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51D69D03" w14:textId="77777777" w:rsidTr="00C81834">
        <w:trPr>
          <w:trHeight w:val="369"/>
          <w:jc w:val="center"/>
        </w:trPr>
        <w:tc>
          <w:tcPr>
            <w:tcW w:w="1804" w:type="dxa"/>
            <w:tcBorders>
              <w:left w:val="dashed" w:sz="8" w:space="0" w:color="4AACC5"/>
              <w:right w:val="dashed" w:sz="8" w:space="0" w:color="4AACC5"/>
            </w:tcBorders>
          </w:tcPr>
          <w:p w14:paraId="3AB8A602"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Actinopterygii</w:t>
            </w:r>
          </w:p>
        </w:tc>
        <w:tc>
          <w:tcPr>
            <w:tcW w:w="1879" w:type="dxa"/>
            <w:tcBorders>
              <w:left w:val="dashed" w:sz="8" w:space="0" w:color="4AACC5"/>
              <w:right w:val="dashed" w:sz="8" w:space="0" w:color="4AACC5"/>
            </w:tcBorders>
          </w:tcPr>
          <w:p w14:paraId="58C563C8"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Labridae</w:t>
            </w:r>
          </w:p>
        </w:tc>
        <w:tc>
          <w:tcPr>
            <w:tcW w:w="3204" w:type="dxa"/>
            <w:tcBorders>
              <w:left w:val="dashed" w:sz="8" w:space="0" w:color="4AACC5"/>
              <w:right w:val="dashed" w:sz="8" w:space="0" w:color="4AACC5"/>
            </w:tcBorders>
          </w:tcPr>
          <w:p w14:paraId="2791CD52" w14:textId="77777777" w:rsidR="00C81834" w:rsidRPr="00CF0F96" w:rsidRDefault="00C81834" w:rsidP="00C81834">
            <w:pPr>
              <w:pStyle w:val="TableParagraph"/>
              <w:rPr>
                <w:rFonts w:ascii="Arial" w:hAnsi="Arial" w:cs="Arial"/>
                <w:i/>
                <w:sz w:val="21"/>
              </w:rPr>
            </w:pPr>
            <w:r w:rsidRPr="00CF0F96">
              <w:rPr>
                <w:rFonts w:ascii="Arial" w:hAnsi="Arial" w:cs="Arial"/>
                <w:i/>
                <w:sz w:val="21"/>
              </w:rPr>
              <w:t>Scarus guacamaia</w:t>
            </w:r>
          </w:p>
        </w:tc>
        <w:tc>
          <w:tcPr>
            <w:tcW w:w="1372" w:type="dxa"/>
            <w:tcBorders>
              <w:left w:val="dashed" w:sz="8" w:space="0" w:color="4AACC5"/>
              <w:right w:val="dashed" w:sz="8" w:space="0" w:color="4AACC5"/>
            </w:tcBorders>
          </w:tcPr>
          <w:p w14:paraId="1F7E7837"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20B358E8" w14:textId="77777777" w:rsidTr="00C81834">
        <w:trPr>
          <w:trHeight w:val="369"/>
          <w:jc w:val="center"/>
        </w:trPr>
        <w:tc>
          <w:tcPr>
            <w:tcW w:w="1804" w:type="dxa"/>
            <w:tcBorders>
              <w:left w:val="dashed" w:sz="8" w:space="0" w:color="4AACC5"/>
              <w:right w:val="dashed" w:sz="8" w:space="0" w:color="4AACC5"/>
            </w:tcBorders>
            <w:shd w:val="clear" w:color="auto" w:fill="D2EAF0"/>
          </w:tcPr>
          <w:p w14:paraId="31525D6C"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lastRenderedPageBreak/>
              <w:t>Actinopterygii</w:t>
            </w:r>
          </w:p>
        </w:tc>
        <w:tc>
          <w:tcPr>
            <w:tcW w:w="1879" w:type="dxa"/>
            <w:tcBorders>
              <w:left w:val="dashed" w:sz="8" w:space="0" w:color="4AACC5"/>
              <w:right w:val="dashed" w:sz="8" w:space="0" w:color="4AACC5"/>
            </w:tcBorders>
            <w:shd w:val="clear" w:color="auto" w:fill="D2EAF0"/>
          </w:tcPr>
          <w:p w14:paraId="3FD6D033" w14:textId="77777777" w:rsidR="00C81834" w:rsidRPr="00CF0F96" w:rsidRDefault="00C81834" w:rsidP="00C81834">
            <w:pPr>
              <w:pStyle w:val="TableParagraph"/>
              <w:spacing w:before="53"/>
              <w:rPr>
                <w:rFonts w:ascii="Arial" w:hAnsi="Arial" w:cs="Arial"/>
                <w:sz w:val="21"/>
              </w:rPr>
            </w:pPr>
            <w:r w:rsidRPr="00CF0F96">
              <w:rPr>
                <w:rFonts w:ascii="Arial" w:hAnsi="Arial" w:cs="Arial"/>
                <w:w w:val="90"/>
                <w:sz w:val="21"/>
              </w:rPr>
              <w:t>Lutjanidae</w:t>
            </w:r>
          </w:p>
        </w:tc>
        <w:tc>
          <w:tcPr>
            <w:tcW w:w="3204" w:type="dxa"/>
            <w:tcBorders>
              <w:left w:val="dashed" w:sz="8" w:space="0" w:color="4AACC5"/>
              <w:right w:val="dashed" w:sz="8" w:space="0" w:color="4AACC5"/>
            </w:tcBorders>
            <w:shd w:val="clear" w:color="auto" w:fill="D2EAF0"/>
          </w:tcPr>
          <w:p w14:paraId="2EFE17CF" w14:textId="77777777" w:rsidR="00C81834" w:rsidRPr="00CF0F96" w:rsidRDefault="00C81834" w:rsidP="00C81834">
            <w:pPr>
              <w:pStyle w:val="TableParagraph"/>
              <w:rPr>
                <w:rFonts w:ascii="Arial" w:hAnsi="Arial" w:cs="Arial"/>
                <w:i/>
                <w:sz w:val="21"/>
              </w:rPr>
            </w:pPr>
            <w:r w:rsidRPr="00CF0F96">
              <w:rPr>
                <w:rFonts w:ascii="Arial" w:hAnsi="Arial" w:cs="Arial"/>
                <w:i/>
                <w:sz w:val="21"/>
              </w:rPr>
              <w:t>Lutjanus analis</w:t>
            </w:r>
          </w:p>
        </w:tc>
        <w:tc>
          <w:tcPr>
            <w:tcW w:w="1372" w:type="dxa"/>
            <w:tcBorders>
              <w:left w:val="dashed" w:sz="8" w:space="0" w:color="4AACC5"/>
              <w:right w:val="dashed" w:sz="8" w:space="0" w:color="4AACC5"/>
            </w:tcBorders>
            <w:shd w:val="clear" w:color="auto" w:fill="D2EAF0"/>
          </w:tcPr>
          <w:p w14:paraId="64E42D86"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49ED796D" w14:textId="77777777" w:rsidTr="00C81834">
        <w:trPr>
          <w:trHeight w:val="369"/>
          <w:jc w:val="center"/>
        </w:trPr>
        <w:tc>
          <w:tcPr>
            <w:tcW w:w="1804" w:type="dxa"/>
            <w:tcBorders>
              <w:left w:val="dashed" w:sz="8" w:space="0" w:color="4AACC5"/>
              <w:right w:val="dashed" w:sz="8" w:space="0" w:color="4AACC5"/>
            </w:tcBorders>
          </w:tcPr>
          <w:p w14:paraId="1B666CFD"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Actinopterygii</w:t>
            </w:r>
          </w:p>
        </w:tc>
        <w:tc>
          <w:tcPr>
            <w:tcW w:w="1879" w:type="dxa"/>
            <w:tcBorders>
              <w:left w:val="dashed" w:sz="8" w:space="0" w:color="4AACC5"/>
              <w:right w:val="dashed" w:sz="8" w:space="0" w:color="4AACC5"/>
            </w:tcBorders>
          </w:tcPr>
          <w:p w14:paraId="436FDBEF" w14:textId="77777777" w:rsidR="00C81834" w:rsidRPr="00CF0F96" w:rsidRDefault="00C81834" w:rsidP="00C81834">
            <w:pPr>
              <w:pStyle w:val="TableParagraph"/>
              <w:spacing w:before="53"/>
              <w:rPr>
                <w:rFonts w:ascii="Arial" w:hAnsi="Arial" w:cs="Arial"/>
                <w:sz w:val="21"/>
              </w:rPr>
            </w:pPr>
            <w:r w:rsidRPr="00CF0F96">
              <w:rPr>
                <w:rFonts w:ascii="Arial" w:hAnsi="Arial" w:cs="Arial"/>
                <w:w w:val="90"/>
                <w:sz w:val="21"/>
              </w:rPr>
              <w:t>Lutjanidae</w:t>
            </w:r>
          </w:p>
        </w:tc>
        <w:tc>
          <w:tcPr>
            <w:tcW w:w="3204" w:type="dxa"/>
            <w:tcBorders>
              <w:left w:val="dashed" w:sz="8" w:space="0" w:color="4AACC5"/>
              <w:right w:val="dashed" w:sz="8" w:space="0" w:color="4AACC5"/>
            </w:tcBorders>
          </w:tcPr>
          <w:p w14:paraId="3555383E" w14:textId="77777777" w:rsidR="00C81834" w:rsidRPr="00CF0F96" w:rsidRDefault="00C81834" w:rsidP="00C81834">
            <w:pPr>
              <w:pStyle w:val="TableParagraph"/>
              <w:rPr>
                <w:rFonts w:ascii="Arial" w:hAnsi="Arial" w:cs="Arial"/>
                <w:i/>
                <w:sz w:val="21"/>
              </w:rPr>
            </w:pPr>
            <w:r w:rsidRPr="00CF0F96">
              <w:rPr>
                <w:rFonts w:ascii="Arial" w:hAnsi="Arial" w:cs="Arial"/>
                <w:i/>
                <w:sz w:val="21"/>
              </w:rPr>
              <w:t>Lutjanus cyanopterus</w:t>
            </w:r>
          </w:p>
        </w:tc>
        <w:tc>
          <w:tcPr>
            <w:tcW w:w="1372" w:type="dxa"/>
            <w:tcBorders>
              <w:left w:val="dashed" w:sz="8" w:space="0" w:color="4AACC5"/>
              <w:right w:val="dashed" w:sz="8" w:space="0" w:color="4AACC5"/>
            </w:tcBorders>
          </w:tcPr>
          <w:p w14:paraId="215B62E4"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039268B0" w14:textId="77777777" w:rsidTr="00C81834">
        <w:trPr>
          <w:trHeight w:val="369"/>
          <w:jc w:val="center"/>
        </w:trPr>
        <w:tc>
          <w:tcPr>
            <w:tcW w:w="1804" w:type="dxa"/>
            <w:tcBorders>
              <w:left w:val="dashed" w:sz="8" w:space="0" w:color="4AACC5"/>
              <w:right w:val="dashed" w:sz="8" w:space="0" w:color="4AACC5"/>
            </w:tcBorders>
            <w:shd w:val="clear" w:color="auto" w:fill="D2EAF0"/>
          </w:tcPr>
          <w:p w14:paraId="36583812"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Actinopterygii</w:t>
            </w:r>
          </w:p>
        </w:tc>
        <w:tc>
          <w:tcPr>
            <w:tcW w:w="1879" w:type="dxa"/>
            <w:tcBorders>
              <w:left w:val="dashed" w:sz="8" w:space="0" w:color="4AACC5"/>
              <w:right w:val="dashed" w:sz="8" w:space="0" w:color="4AACC5"/>
            </w:tcBorders>
            <w:shd w:val="clear" w:color="auto" w:fill="D2EAF0"/>
          </w:tcPr>
          <w:p w14:paraId="716BCC79" w14:textId="77777777" w:rsidR="00C81834" w:rsidRPr="00CF0F96" w:rsidRDefault="00C81834" w:rsidP="00C81834">
            <w:pPr>
              <w:pStyle w:val="TableParagraph"/>
              <w:spacing w:before="53"/>
              <w:rPr>
                <w:rFonts w:ascii="Arial" w:hAnsi="Arial" w:cs="Arial"/>
                <w:sz w:val="21"/>
              </w:rPr>
            </w:pPr>
            <w:r w:rsidRPr="00CF0F96">
              <w:rPr>
                <w:rFonts w:ascii="Arial" w:hAnsi="Arial" w:cs="Arial"/>
                <w:w w:val="90"/>
                <w:sz w:val="21"/>
              </w:rPr>
              <w:t>Lutjanidae</w:t>
            </w:r>
          </w:p>
        </w:tc>
        <w:tc>
          <w:tcPr>
            <w:tcW w:w="3204" w:type="dxa"/>
            <w:tcBorders>
              <w:left w:val="dashed" w:sz="8" w:space="0" w:color="4AACC5"/>
              <w:right w:val="dashed" w:sz="8" w:space="0" w:color="4AACC5"/>
            </w:tcBorders>
            <w:shd w:val="clear" w:color="auto" w:fill="D2EAF0"/>
          </w:tcPr>
          <w:p w14:paraId="4F90382A" w14:textId="77777777" w:rsidR="00C81834" w:rsidRPr="00CF0F96" w:rsidRDefault="00C81834" w:rsidP="00C81834">
            <w:pPr>
              <w:pStyle w:val="TableParagraph"/>
              <w:rPr>
                <w:rFonts w:ascii="Arial" w:hAnsi="Arial" w:cs="Arial"/>
                <w:i/>
                <w:sz w:val="21"/>
              </w:rPr>
            </w:pPr>
            <w:r w:rsidRPr="00CF0F96">
              <w:rPr>
                <w:rFonts w:ascii="Arial" w:hAnsi="Arial" w:cs="Arial"/>
                <w:i/>
                <w:sz w:val="21"/>
              </w:rPr>
              <w:t>Lutjanus synagris</w:t>
            </w:r>
          </w:p>
        </w:tc>
        <w:tc>
          <w:tcPr>
            <w:tcW w:w="1372" w:type="dxa"/>
            <w:tcBorders>
              <w:left w:val="dashed" w:sz="8" w:space="0" w:color="4AACC5"/>
              <w:right w:val="dashed" w:sz="8" w:space="0" w:color="4AACC5"/>
            </w:tcBorders>
            <w:shd w:val="clear" w:color="auto" w:fill="D2EAF0"/>
          </w:tcPr>
          <w:p w14:paraId="6AC786FC"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1CE452D1" w14:textId="77777777" w:rsidTr="00C81834">
        <w:trPr>
          <w:trHeight w:val="369"/>
          <w:jc w:val="center"/>
        </w:trPr>
        <w:tc>
          <w:tcPr>
            <w:tcW w:w="1804" w:type="dxa"/>
            <w:tcBorders>
              <w:left w:val="dashed" w:sz="8" w:space="0" w:color="4AACC5"/>
              <w:right w:val="dashed" w:sz="8" w:space="0" w:color="4AACC5"/>
            </w:tcBorders>
          </w:tcPr>
          <w:p w14:paraId="22C6D439"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Actinopterygii</w:t>
            </w:r>
          </w:p>
        </w:tc>
        <w:tc>
          <w:tcPr>
            <w:tcW w:w="1879" w:type="dxa"/>
            <w:tcBorders>
              <w:left w:val="dashed" w:sz="8" w:space="0" w:color="4AACC5"/>
              <w:right w:val="dashed" w:sz="8" w:space="0" w:color="4AACC5"/>
            </w:tcBorders>
          </w:tcPr>
          <w:p w14:paraId="40C84F98" w14:textId="77777777" w:rsidR="00C81834" w:rsidRPr="00CF0F96" w:rsidRDefault="00C81834" w:rsidP="00C81834">
            <w:pPr>
              <w:pStyle w:val="TableParagraph"/>
              <w:spacing w:before="53"/>
              <w:rPr>
                <w:rFonts w:ascii="Arial" w:hAnsi="Arial" w:cs="Arial"/>
                <w:sz w:val="21"/>
              </w:rPr>
            </w:pPr>
            <w:r w:rsidRPr="00CF0F96">
              <w:rPr>
                <w:rFonts w:ascii="Arial" w:hAnsi="Arial" w:cs="Arial"/>
                <w:w w:val="90"/>
                <w:sz w:val="21"/>
              </w:rPr>
              <w:t>Lutjanidae</w:t>
            </w:r>
          </w:p>
        </w:tc>
        <w:tc>
          <w:tcPr>
            <w:tcW w:w="3204" w:type="dxa"/>
            <w:tcBorders>
              <w:left w:val="dashed" w:sz="8" w:space="0" w:color="4AACC5"/>
              <w:right w:val="dashed" w:sz="8" w:space="0" w:color="4AACC5"/>
            </w:tcBorders>
          </w:tcPr>
          <w:p w14:paraId="5FA25F98" w14:textId="77777777" w:rsidR="00C81834" w:rsidRPr="00CF0F96" w:rsidRDefault="00C81834" w:rsidP="00C81834">
            <w:pPr>
              <w:pStyle w:val="TableParagraph"/>
              <w:rPr>
                <w:rFonts w:ascii="Arial" w:hAnsi="Arial" w:cs="Arial"/>
                <w:i/>
                <w:sz w:val="21"/>
              </w:rPr>
            </w:pPr>
            <w:r w:rsidRPr="00CF0F96">
              <w:rPr>
                <w:rFonts w:ascii="Arial" w:hAnsi="Arial" w:cs="Arial"/>
                <w:i/>
                <w:sz w:val="21"/>
              </w:rPr>
              <w:t>Rhomboplites aurorubens</w:t>
            </w:r>
          </w:p>
        </w:tc>
        <w:tc>
          <w:tcPr>
            <w:tcW w:w="1372" w:type="dxa"/>
            <w:tcBorders>
              <w:left w:val="dashed" w:sz="8" w:space="0" w:color="4AACC5"/>
              <w:right w:val="dashed" w:sz="8" w:space="0" w:color="4AACC5"/>
            </w:tcBorders>
          </w:tcPr>
          <w:p w14:paraId="733A4134"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435044D1" w14:textId="77777777" w:rsidTr="00C81834">
        <w:trPr>
          <w:trHeight w:val="369"/>
          <w:jc w:val="center"/>
        </w:trPr>
        <w:tc>
          <w:tcPr>
            <w:tcW w:w="1804" w:type="dxa"/>
            <w:tcBorders>
              <w:left w:val="dashed" w:sz="8" w:space="0" w:color="4AACC5"/>
              <w:right w:val="dashed" w:sz="8" w:space="0" w:color="4AACC5"/>
            </w:tcBorders>
            <w:shd w:val="clear" w:color="auto" w:fill="D2EAF0"/>
          </w:tcPr>
          <w:p w14:paraId="7E49D731"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Actinopterygii</w:t>
            </w:r>
          </w:p>
        </w:tc>
        <w:tc>
          <w:tcPr>
            <w:tcW w:w="1879" w:type="dxa"/>
            <w:tcBorders>
              <w:left w:val="dashed" w:sz="8" w:space="0" w:color="4AACC5"/>
              <w:right w:val="dashed" w:sz="8" w:space="0" w:color="4AACC5"/>
            </w:tcBorders>
            <w:shd w:val="clear" w:color="auto" w:fill="D2EAF0"/>
          </w:tcPr>
          <w:p w14:paraId="71D166A3"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Megalopidae</w:t>
            </w:r>
          </w:p>
        </w:tc>
        <w:tc>
          <w:tcPr>
            <w:tcW w:w="3204" w:type="dxa"/>
            <w:tcBorders>
              <w:left w:val="dashed" w:sz="8" w:space="0" w:color="4AACC5"/>
              <w:right w:val="dashed" w:sz="8" w:space="0" w:color="4AACC5"/>
            </w:tcBorders>
            <w:shd w:val="clear" w:color="auto" w:fill="D2EAF0"/>
          </w:tcPr>
          <w:p w14:paraId="095B7487" w14:textId="77777777" w:rsidR="00C81834" w:rsidRPr="00CF0F96" w:rsidRDefault="00C81834" w:rsidP="00C81834">
            <w:pPr>
              <w:pStyle w:val="TableParagraph"/>
              <w:rPr>
                <w:rFonts w:ascii="Arial" w:hAnsi="Arial" w:cs="Arial"/>
                <w:i/>
                <w:sz w:val="21"/>
              </w:rPr>
            </w:pPr>
            <w:r w:rsidRPr="00CF0F96">
              <w:rPr>
                <w:rFonts w:ascii="Arial" w:hAnsi="Arial" w:cs="Arial"/>
                <w:i/>
                <w:sz w:val="21"/>
              </w:rPr>
              <w:t>Megalops atlanticus</w:t>
            </w:r>
          </w:p>
        </w:tc>
        <w:tc>
          <w:tcPr>
            <w:tcW w:w="1372" w:type="dxa"/>
            <w:tcBorders>
              <w:left w:val="dashed" w:sz="8" w:space="0" w:color="4AACC5"/>
              <w:right w:val="dashed" w:sz="8" w:space="0" w:color="4AACC5"/>
            </w:tcBorders>
            <w:shd w:val="clear" w:color="auto" w:fill="D2EAF0"/>
          </w:tcPr>
          <w:p w14:paraId="14921585"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3379ED6A" w14:textId="77777777" w:rsidTr="00C81834">
        <w:trPr>
          <w:trHeight w:val="369"/>
          <w:jc w:val="center"/>
        </w:trPr>
        <w:tc>
          <w:tcPr>
            <w:tcW w:w="1804" w:type="dxa"/>
            <w:tcBorders>
              <w:left w:val="dashed" w:sz="8" w:space="0" w:color="4AACC5"/>
              <w:right w:val="dashed" w:sz="8" w:space="0" w:color="4AACC5"/>
            </w:tcBorders>
          </w:tcPr>
          <w:p w14:paraId="796CD3EC"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Actinopterygii</w:t>
            </w:r>
          </w:p>
        </w:tc>
        <w:tc>
          <w:tcPr>
            <w:tcW w:w="1879" w:type="dxa"/>
            <w:tcBorders>
              <w:left w:val="dashed" w:sz="8" w:space="0" w:color="4AACC5"/>
              <w:right w:val="dashed" w:sz="8" w:space="0" w:color="4AACC5"/>
            </w:tcBorders>
          </w:tcPr>
          <w:p w14:paraId="5F0B084F"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Molidae</w:t>
            </w:r>
          </w:p>
        </w:tc>
        <w:tc>
          <w:tcPr>
            <w:tcW w:w="3204" w:type="dxa"/>
            <w:tcBorders>
              <w:left w:val="dashed" w:sz="8" w:space="0" w:color="4AACC5"/>
              <w:right w:val="dashed" w:sz="8" w:space="0" w:color="4AACC5"/>
            </w:tcBorders>
          </w:tcPr>
          <w:p w14:paraId="454A970A" w14:textId="77777777" w:rsidR="00C81834" w:rsidRPr="00CF0F96" w:rsidRDefault="00C81834" w:rsidP="00C81834">
            <w:pPr>
              <w:pStyle w:val="TableParagraph"/>
              <w:rPr>
                <w:rFonts w:ascii="Arial" w:hAnsi="Arial" w:cs="Arial"/>
                <w:i/>
                <w:sz w:val="21"/>
              </w:rPr>
            </w:pPr>
            <w:r w:rsidRPr="00CF0F96">
              <w:rPr>
                <w:rFonts w:ascii="Arial" w:hAnsi="Arial" w:cs="Arial"/>
                <w:i/>
                <w:sz w:val="21"/>
              </w:rPr>
              <w:t>Mola mola</w:t>
            </w:r>
          </w:p>
        </w:tc>
        <w:tc>
          <w:tcPr>
            <w:tcW w:w="1372" w:type="dxa"/>
            <w:tcBorders>
              <w:left w:val="dashed" w:sz="8" w:space="0" w:color="4AACC5"/>
              <w:right w:val="dashed" w:sz="8" w:space="0" w:color="4AACC5"/>
            </w:tcBorders>
          </w:tcPr>
          <w:p w14:paraId="59913A64"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0FED8402" w14:textId="77777777" w:rsidTr="00C81834">
        <w:trPr>
          <w:trHeight w:val="369"/>
          <w:jc w:val="center"/>
        </w:trPr>
        <w:tc>
          <w:tcPr>
            <w:tcW w:w="1804" w:type="dxa"/>
            <w:tcBorders>
              <w:left w:val="dashed" w:sz="8" w:space="0" w:color="4AACC5"/>
              <w:right w:val="dashed" w:sz="8" w:space="0" w:color="4AACC5"/>
            </w:tcBorders>
            <w:shd w:val="clear" w:color="auto" w:fill="D2EAF0"/>
          </w:tcPr>
          <w:p w14:paraId="6795C23D"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Actinopterygii</w:t>
            </w:r>
          </w:p>
        </w:tc>
        <w:tc>
          <w:tcPr>
            <w:tcW w:w="1879" w:type="dxa"/>
            <w:tcBorders>
              <w:left w:val="dashed" w:sz="8" w:space="0" w:color="4AACC5"/>
              <w:right w:val="dashed" w:sz="8" w:space="0" w:color="4AACC5"/>
            </w:tcBorders>
            <w:shd w:val="clear" w:color="auto" w:fill="D2EAF0"/>
          </w:tcPr>
          <w:p w14:paraId="774989FB"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Syngnathidae</w:t>
            </w:r>
          </w:p>
        </w:tc>
        <w:tc>
          <w:tcPr>
            <w:tcW w:w="3204" w:type="dxa"/>
            <w:tcBorders>
              <w:left w:val="dashed" w:sz="8" w:space="0" w:color="4AACC5"/>
              <w:right w:val="dashed" w:sz="8" w:space="0" w:color="4AACC5"/>
            </w:tcBorders>
            <w:shd w:val="clear" w:color="auto" w:fill="D2EAF0"/>
          </w:tcPr>
          <w:p w14:paraId="5B3F4AA2" w14:textId="77777777" w:rsidR="00C81834" w:rsidRPr="00CF0F96" w:rsidRDefault="00C81834" w:rsidP="00C81834">
            <w:pPr>
              <w:pStyle w:val="TableParagraph"/>
              <w:rPr>
                <w:rFonts w:ascii="Arial" w:hAnsi="Arial" w:cs="Arial"/>
                <w:i/>
                <w:sz w:val="21"/>
              </w:rPr>
            </w:pPr>
            <w:r w:rsidRPr="00CF0F96">
              <w:rPr>
                <w:rFonts w:ascii="Arial" w:hAnsi="Arial" w:cs="Arial"/>
                <w:i/>
                <w:sz w:val="21"/>
              </w:rPr>
              <w:t>Hippocampus erectus</w:t>
            </w:r>
          </w:p>
        </w:tc>
        <w:tc>
          <w:tcPr>
            <w:tcW w:w="1372" w:type="dxa"/>
            <w:tcBorders>
              <w:left w:val="dashed" w:sz="8" w:space="0" w:color="4AACC5"/>
              <w:right w:val="dashed" w:sz="8" w:space="0" w:color="4AACC5"/>
            </w:tcBorders>
            <w:shd w:val="clear" w:color="auto" w:fill="D2EAF0"/>
          </w:tcPr>
          <w:p w14:paraId="261F0AC9"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75C02C36" w14:textId="77777777" w:rsidTr="00C81834">
        <w:trPr>
          <w:trHeight w:val="369"/>
          <w:jc w:val="center"/>
        </w:trPr>
        <w:tc>
          <w:tcPr>
            <w:tcW w:w="1804" w:type="dxa"/>
            <w:tcBorders>
              <w:left w:val="dashed" w:sz="8" w:space="0" w:color="4AACC5"/>
              <w:right w:val="dashed" w:sz="8" w:space="0" w:color="4AACC5"/>
            </w:tcBorders>
          </w:tcPr>
          <w:p w14:paraId="25EE030A"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Actinopterygii</w:t>
            </w:r>
          </w:p>
        </w:tc>
        <w:tc>
          <w:tcPr>
            <w:tcW w:w="1879" w:type="dxa"/>
            <w:tcBorders>
              <w:left w:val="dashed" w:sz="8" w:space="0" w:color="4AACC5"/>
              <w:right w:val="dashed" w:sz="8" w:space="0" w:color="4AACC5"/>
            </w:tcBorders>
          </w:tcPr>
          <w:p w14:paraId="36F766F5"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Syngnathidae</w:t>
            </w:r>
          </w:p>
        </w:tc>
        <w:tc>
          <w:tcPr>
            <w:tcW w:w="3204" w:type="dxa"/>
            <w:tcBorders>
              <w:left w:val="dashed" w:sz="8" w:space="0" w:color="4AACC5"/>
              <w:right w:val="dashed" w:sz="8" w:space="0" w:color="4AACC5"/>
            </w:tcBorders>
          </w:tcPr>
          <w:p w14:paraId="4C35940E" w14:textId="77777777" w:rsidR="00C81834" w:rsidRPr="00CF0F96" w:rsidRDefault="00C81834" w:rsidP="00C81834">
            <w:pPr>
              <w:pStyle w:val="TableParagraph"/>
              <w:rPr>
                <w:rFonts w:ascii="Arial" w:hAnsi="Arial" w:cs="Arial"/>
                <w:i/>
                <w:sz w:val="21"/>
              </w:rPr>
            </w:pPr>
            <w:r w:rsidRPr="00CF0F96">
              <w:rPr>
                <w:rFonts w:ascii="Arial" w:hAnsi="Arial" w:cs="Arial"/>
                <w:i/>
                <w:sz w:val="21"/>
              </w:rPr>
              <w:t>Hippocampus ingens</w:t>
            </w:r>
          </w:p>
        </w:tc>
        <w:tc>
          <w:tcPr>
            <w:tcW w:w="1372" w:type="dxa"/>
            <w:tcBorders>
              <w:left w:val="dashed" w:sz="8" w:space="0" w:color="4AACC5"/>
              <w:right w:val="dashed" w:sz="8" w:space="0" w:color="4AACC5"/>
            </w:tcBorders>
          </w:tcPr>
          <w:p w14:paraId="3E7DA8C4"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71899832" w14:textId="77777777" w:rsidTr="00C81834">
        <w:trPr>
          <w:trHeight w:val="369"/>
          <w:jc w:val="center"/>
        </w:trPr>
        <w:tc>
          <w:tcPr>
            <w:tcW w:w="1804" w:type="dxa"/>
            <w:tcBorders>
              <w:left w:val="dashed" w:sz="8" w:space="0" w:color="4AACC5"/>
              <w:right w:val="dashed" w:sz="8" w:space="0" w:color="4AACC5"/>
            </w:tcBorders>
            <w:shd w:val="clear" w:color="auto" w:fill="D2EAF0"/>
          </w:tcPr>
          <w:p w14:paraId="686CF89E"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Actinopterygii</w:t>
            </w:r>
          </w:p>
        </w:tc>
        <w:tc>
          <w:tcPr>
            <w:tcW w:w="1879" w:type="dxa"/>
            <w:tcBorders>
              <w:left w:val="dashed" w:sz="8" w:space="0" w:color="4AACC5"/>
              <w:right w:val="dashed" w:sz="8" w:space="0" w:color="4AACC5"/>
            </w:tcBorders>
            <w:shd w:val="clear" w:color="auto" w:fill="D2EAF0"/>
          </w:tcPr>
          <w:p w14:paraId="378ABFE8"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Syngnathidae</w:t>
            </w:r>
          </w:p>
        </w:tc>
        <w:tc>
          <w:tcPr>
            <w:tcW w:w="3204" w:type="dxa"/>
            <w:tcBorders>
              <w:left w:val="dashed" w:sz="8" w:space="0" w:color="4AACC5"/>
              <w:right w:val="dashed" w:sz="8" w:space="0" w:color="4AACC5"/>
            </w:tcBorders>
            <w:shd w:val="clear" w:color="auto" w:fill="D2EAF0"/>
          </w:tcPr>
          <w:p w14:paraId="60F10072" w14:textId="77777777" w:rsidR="00C81834" w:rsidRPr="00CF0F96" w:rsidRDefault="00C81834" w:rsidP="00C81834">
            <w:pPr>
              <w:pStyle w:val="TableParagraph"/>
              <w:rPr>
                <w:rFonts w:ascii="Arial" w:hAnsi="Arial" w:cs="Arial"/>
                <w:i/>
                <w:sz w:val="21"/>
              </w:rPr>
            </w:pPr>
            <w:r w:rsidRPr="00CF0F96">
              <w:rPr>
                <w:rFonts w:ascii="Arial" w:hAnsi="Arial" w:cs="Arial"/>
                <w:i/>
                <w:sz w:val="21"/>
              </w:rPr>
              <w:t>Hippocampus reidi</w:t>
            </w:r>
          </w:p>
        </w:tc>
        <w:tc>
          <w:tcPr>
            <w:tcW w:w="1372" w:type="dxa"/>
            <w:tcBorders>
              <w:left w:val="dashed" w:sz="8" w:space="0" w:color="4AACC5"/>
              <w:right w:val="dashed" w:sz="8" w:space="0" w:color="4AACC5"/>
            </w:tcBorders>
            <w:shd w:val="clear" w:color="auto" w:fill="D2EAF0"/>
          </w:tcPr>
          <w:p w14:paraId="18AAF51A"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134D11D9" w14:textId="77777777" w:rsidTr="00C81834">
        <w:trPr>
          <w:trHeight w:val="369"/>
          <w:jc w:val="center"/>
        </w:trPr>
        <w:tc>
          <w:tcPr>
            <w:tcW w:w="1804" w:type="dxa"/>
            <w:tcBorders>
              <w:left w:val="dashed" w:sz="8" w:space="0" w:color="4AACC5"/>
              <w:right w:val="dashed" w:sz="8" w:space="0" w:color="4AACC5"/>
            </w:tcBorders>
          </w:tcPr>
          <w:p w14:paraId="46A0A761"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Actinopterygii</w:t>
            </w:r>
          </w:p>
        </w:tc>
        <w:tc>
          <w:tcPr>
            <w:tcW w:w="1879" w:type="dxa"/>
            <w:tcBorders>
              <w:left w:val="dashed" w:sz="8" w:space="0" w:color="4AACC5"/>
              <w:right w:val="dashed" w:sz="8" w:space="0" w:color="4AACC5"/>
            </w:tcBorders>
          </w:tcPr>
          <w:p w14:paraId="1C421FC3"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Scombridae</w:t>
            </w:r>
          </w:p>
        </w:tc>
        <w:tc>
          <w:tcPr>
            <w:tcW w:w="3204" w:type="dxa"/>
            <w:tcBorders>
              <w:left w:val="dashed" w:sz="8" w:space="0" w:color="4AACC5"/>
              <w:right w:val="dashed" w:sz="8" w:space="0" w:color="4AACC5"/>
            </w:tcBorders>
          </w:tcPr>
          <w:p w14:paraId="2FC9486B" w14:textId="77777777" w:rsidR="00C81834" w:rsidRPr="00CF0F96" w:rsidRDefault="00C81834" w:rsidP="00C81834">
            <w:pPr>
              <w:pStyle w:val="TableParagraph"/>
              <w:rPr>
                <w:rFonts w:ascii="Arial" w:hAnsi="Arial" w:cs="Arial"/>
                <w:i/>
                <w:sz w:val="21"/>
              </w:rPr>
            </w:pPr>
            <w:r w:rsidRPr="00CF0F96">
              <w:rPr>
                <w:rFonts w:ascii="Arial" w:hAnsi="Arial" w:cs="Arial"/>
                <w:i/>
                <w:sz w:val="21"/>
              </w:rPr>
              <w:t>Thunnus alalunga</w:t>
            </w:r>
          </w:p>
        </w:tc>
        <w:tc>
          <w:tcPr>
            <w:tcW w:w="1372" w:type="dxa"/>
            <w:tcBorders>
              <w:left w:val="dashed" w:sz="8" w:space="0" w:color="4AACC5"/>
              <w:right w:val="dashed" w:sz="8" w:space="0" w:color="4AACC5"/>
            </w:tcBorders>
          </w:tcPr>
          <w:p w14:paraId="57EBFCC6"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36113729" w14:textId="77777777" w:rsidTr="00C81834">
        <w:trPr>
          <w:trHeight w:val="369"/>
          <w:jc w:val="center"/>
        </w:trPr>
        <w:tc>
          <w:tcPr>
            <w:tcW w:w="1804" w:type="dxa"/>
            <w:tcBorders>
              <w:left w:val="dashed" w:sz="8" w:space="0" w:color="4AACC5"/>
              <w:right w:val="dashed" w:sz="8" w:space="0" w:color="4AACC5"/>
            </w:tcBorders>
            <w:shd w:val="clear" w:color="auto" w:fill="D2EAF0"/>
          </w:tcPr>
          <w:p w14:paraId="0EB2641D"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Actinopterygii</w:t>
            </w:r>
          </w:p>
        </w:tc>
        <w:tc>
          <w:tcPr>
            <w:tcW w:w="1879" w:type="dxa"/>
            <w:tcBorders>
              <w:left w:val="dashed" w:sz="8" w:space="0" w:color="4AACC5"/>
              <w:right w:val="dashed" w:sz="8" w:space="0" w:color="4AACC5"/>
            </w:tcBorders>
            <w:shd w:val="clear" w:color="auto" w:fill="D2EAF0"/>
          </w:tcPr>
          <w:p w14:paraId="6CB75B70"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Scombridae</w:t>
            </w:r>
          </w:p>
        </w:tc>
        <w:tc>
          <w:tcPr>
            <w:tcW w:w="3204" w:type="dxa"/>
            <w:tcBorders>
              <w:left w:val="dashed" w:sz="8" w:space="0" w:color="4AACC5"/>
              <w:right w:val="dashed" w:sz="8" w:space="0" w:color="4AACC5"/>
            </w:tcBorders>
            <w:shd w:val="clear" w:color="auto" w:fill="D2EAF0"/>
          </w:tcPr>
          <w:p w14:paraId="513BCCA6" w14:textId="77777777" w:rsidR="00C81834" w:rsidRPr="00CF0F96" w:rsidRDefault="00C81834" w:rsidP="00C81834">
            <w:pPr>
              <w:pStyle w:val="TableParagraph"/>
              <w:rPr>
                <w:rFonts w:ascii="Arial" w:hAnsi="Arial" w:cs="Arial"/>
                <w:i/>
                <w:sz w:val="21"/>
              </w:rPr>
            </w:pPr>
            <w:r w:rsidRPr="00CF0F96">
              <w:rPr>
                <w:rFonts w:ascii="Arial" w:hAnsi="Arial" w:cs="Arial"/>
                <w:i/>
                <w:sz w:val="21"/>
              </w:rPr>
              <w:t>Thunnus albacares</w:t>
            </w:r>
          </w:p>
        </w:tc>
        <w:tc>
          <w:tcPr>
            <w:tcW w:w="1372" w:type="dxa"/>
            <w:tcBorders>
              <w:left w:val="dashed" w:sz="8" w:space="0" w:color="4AACC5"/>
              <w:right w:val="dashed" w:sz="8" w:space="0" w:color="4AACC5"/>
            </w:tcBorders>
            <w:shd w:val="clear" w:color="auto" w:fill="D2EAF0"/>
          </w:tcPr>
          <w:p w14:paraId="7E26EAF8"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71608CAA" w14:textId="77777777" w:rsidTr="00C81834">
        <w:trPr>
          <w:trHeight w:val="369"/>
          <w:jc w:val="center"/>
        </w:trPr>
        <w:tc>
          <w:tcPr>
            <w:tcW w:w="1804" w:type="dxa"/>
            <w:tcBorders>
              <w:left w:val="dashed" w:sz="8" w:space="0" w:color="4AACC5"/>
              <w:right w:val="dashed" w:sz="8" w:space="0" w:color="4AACC5"/>
            </w:tcBorders>
          </w:tcPr>
          <w:p w14:paraId="4D7DFE87"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Actinopterygii</w:t>
            </w:r>
          </w:p>
        </w:tc>
        <w:tc>
          <w:tcPr>
            <w:tcW w:w="1879" w:type="dxa"/>
            <w:tcBorders>
              <w:left w:val="dashed" w:sz="8" w:space="0" w:color="4AACC5"/>
              <w:right w:val="dashed" w:sz="8" w:space="0" w:color="4AACC5"/>
            </w:tcBorders>
          </w:tcPr>
          <w:p w14:paraId="759A6AB0"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Scombridae</w:t>
            </w:r>
          </w:p>
        </w:tc>
        <w:tc>
          <w:tcPr>
            <w:tcW w:w="3204" w:type="dxa"/>
            <w:tcBorders>
              <w:left w:val="dashed" w:sz="8" w:space="0" w:color="4AACC5"/>
              <w:right w:val="dashed" w:sz="8" w:space="0" w:color="4AACC5"/>
            </w:tcBorders>
          </w:tcPr>
          <w:p w14:paraId="3FFBE67C" w14:textId="77777777" w:rsidR="00C81834" w:rsidRPr="00CF0F96" w:rsidRDefault="00C81834" w:rsidP="00C81834">
            <w:pPr>
              <w:pStyle w:val="TableParagraph"/>
              <w:rPr>
                <w:rFonts w:ascii="Arial" w:hAnsi="Arial" w:cs="Arial"/>
                <w:i/>
                <w:sz w:val="21"/>
              </w:rPr>
            </w:pPr>
            <w:r w:rsidRPr="00CF0F96">
              <w:rPr>
                <w:rFonts w:ascii="Arial" w:hAnsi="Arial" w:cs="Arial"/>
                <w:i/>
                <w:sz w:val="21"/>
              </w:rPr>
              <w:t>Thunnus obesus</w:t>
            </w:r>
          </w:p>
        </w:tc>
        <w:tc>
          <w:tcPr>
            <w:tcW w:w="1372" w:type="dxa"/>
            <w:tcBorders>
              <w:left w:val="dashed" w:sz="8" w:space="0" w:color="4AACC5"/>
              <w:right w:val="dashed" w:sz="8" w:space="0" w:color="4AACC5"/>
            </w:tcBorders>
          </w:tcPr>
          <w:p w14:paraId="3DC60953"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2A56D400" w14:textId="77777777" w:rsidTr="00C81834">
        <w:trPr>
          <w:trHeight w:val="369"/>
          <w:jc w:val="center"/>
        </w:trPr>
        <w:tc>
          <w:tcPr>
            <w:tcW w:w="1804" w:type="dxa"/>
            <w:tcBorders>
              <w:left w:val="dashed" w:sz="8" w:space="0" w:color="4AACC5"/>
              <w:right w:val="dashed" w:sz="8" w:space="0" w:color="4AACC5"/>
            </w:tcBorders>
            <w:shd w:val="clear" w:color="auto" w:fill="D2EAF0"/>
          </w:tcPr>
          <w:p w14:paraId="20015BF5"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Actinopterygii</w:t>
            </w:r>
          </w:p>
        </w:tc>
        <w:tc>
          <w:tcPr>
            <w:tcW w:w="1879" w:type="dxa"/>
            <w:tcBorders>
              <w:left w:val="dashed" w:sz="8" w:space="0" w:color="4AACC5"/>
              <w:right w:val="dashed" w:sz="8" w:space="0" w:color="4AACC5"/>
            </w:tcBorders>
            <w:shd w:val="clear" w:color="auto" w:fill="D2EAF0"/>
          </w:tcPr>
          <w:p w14:paraId="6F3185C4"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Scombridae</w:t>
            </w:r>
          </w:p>
        </w:tc>
        <w:tc>
          <w:tcPr>
            <w:tcW w:w="3204" w:type="dxa"/>
            <w:tcBorders>
              <w:left w:val="dashed" w:sz="8" w:space="0" w:color="4AACC5"/>
              <w:right w:val="dashed" w:sz="8" w:space="0" w:color="4AACC5"/>
            </w:tcBorders>
            <w:shd w:val="clear" w:color="auto" w:fill="D2EAF0"/>
          </w:tcPr>
          <w:p w14:paraId="59E5A025" w14:textId="77777777" w:rsidR="00C81834" w:rsidRPr="00CF0F96" w:rsidRDefault="00C81834" w:rsidP="00C81834">
            <w:pPr>
              <w:pStyle w:val="TableParagraph"/>
              <w:rPr>
                <w:rFonts w:ascii="Arial" w:hAnsi="Arial" w:cs="Arial"/>
                <w:i/>
                <w:sz w:val="21"/>
              </w:rPr>
            </w:pPr>
            <w:r w:rsidRPr="00CF0F96">
              <w:rPr>
                <w:rFonts w:ascii="Arial" w:hAnsi="Arial" w:cs="Arial"/>
                <w:i/>
                <w:sz w:val="21"/>
              </w:rPr>
              <w:t>Thunnus thynnus</w:t>
            </w:r>
          </w:p>
        </w:tc>
        <w:tc>
          <w:tcPr>
            <w:tcW w:w="1372" w:type="dxa"/>
            <w:tcBorders>
              <w:left w:val="dashed" w:sz="8" w:space="0" w:color="4AACC5"/>
              <w:right w:val="dashed" w:sz="8" w:space="0" w:color="4AACC5"/>
            </w:tcBorders>
            <w:shd w:val="clear" w:color="auto" w:fill="D2EAF0"/>
          </w:tcPr>
          <w:p w14:paraId="593D93AA"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4D17A9EF" w14:textId="77777777" w:rsidTr="00C81834">
        <w:trPr>
          <w:trHeight w:val="369"/>
          <w:jc w:val="center"/>
        </w:trPr>
        <w:tc>
          <w:tcPr>
            <w:tcW w:w="1804" w:type="dxa"/>
            <w:tcBorders>
              <w:left w:val="dashed" w:sz="8" w:space="0" w:color="4AACC5"/>
              <w:right w:val="dashed" w:sz="8" w:space="0" w:color="4AACC5"/>
            </w:tcBorders>
          </w:tcPr>
          <w:p w14:paraId="600FC569"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tcPr>
          <w:p w14:paraId="58153CF0"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Bufonidae</w:t>
            </w:r>
          </w:p>
        </w:tc>
        <w:tc>
          <w:tcPr>
            <w:tcW w:w="3204" w:type="dxa"/>
            <w:tcBorders>
              <w:left w:val="dashed" w:sz="8" w:space="0" w:color="4AACC5"/>
              <w:right w:val="dashed" w:sz="8" w:space="0" w:color="4AACC5"/>
            </w:tcBorders>
          </w:tcPr>
          <w:p w14:paraId="41CF9D54" w14:textId="77777777" w:rsidR="00C81834" w:rsidRPr="00CF0F96" w:rsidRDefault="00C81834" w:rsidP="00C81834">
            <w:pPr>
              <w:pStyle w:val="TableParagraph"/>
              <w:rPr>
                <w:rFonts w:ascii="Arial" w:hAnsi="Arial" w:cs="Arial"/>
                <w:i/>
                <w:sz w:val="21"/>
              </w:rPr>
            </w:pPr>
            <w:r w:rsidRPr="00CF0F96">
              <w:rPr>
                <w:rFonts w:ascii="Arial" w:hAnsi="Arial" w:cs="Arial"/>
                <w:i/>
                <w:sz w:val="21"/>
              </w:rPr>
              <w:t>Rhinella chrysophora</w:t>
            </w:r>
          </w:p>
        </w:tc>
        <w:tc>
          <w:tcPr>
            <w:tcW w:w="1372" w:type="dxa"/>
            <w:tcBorders>
              <w:left w:val="dashed" w:sz="8" w:space="0" w:color="4AACC5"/>
              <w:right w:val="dashed" w:sz="8" w:space="0" w:color="4AACC5"/>
            </w:tcBorders>
          </w:tcPr>
          <w:p w14:paraId="54D366B2"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202BEBAD" w14:textId="77777777" w:rsidTr="00C81834">
        <w:trPr>
          <w:trHeight w:val="369"/>
          <w:jc w:val="center"/>
        </w:trPr>
        <w:tc>
          <w:tcPr>
            <w:tcW w:w="1804" w:type="dxa"/>
            <w:tcBorders>
              <w:left w:val="dashed" w:sz="8" w:space="0" w:color="4AACC5"/>
              <w:right w:val="dashed" w:sz="8" w:space="0" w:color="4AACC5"/>
            </w:tcBorders>
            <w:shd w:val="clear" w:color="auto" w:fill="D2EAF0"/>
          </w:tcPr>
          <w:p w14:paraId="1FDF058D"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shd w:val="clear" w:color="auto" w:fill="D2EAF0"/>
          </w:tcPr>
          <w:p w14:paraId="49E4AFE3"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Bufonidae</w:t>
            </w:r>
          </w:p>
        </w:tc>
        <w:tc>
          <w:tcPr>
            <w:tcW w:w="3204" w:type="dxa"/>
            <w:tcBorders>
              <w:left w:val="dashed" w:sz="8" w:space="0" w:color="4AACC5"/>
              <w:right w:val="dashed" w:sz="8" w:space="0" w:color="4AACC5"/>
            </w:tcBorders>
            <w:shd w:val="clear" w:color="auto" w:fill="D2EAF0"/>
          </w:tcPr>
          <w:p w14:paraId="653C841C" w14:textId="77777777" w:rsidR="00C81834" w:rsidRPr="00CF0F96" w:rsidRDefault="00C81834" w:rsidP="00C81834">
            <w:pPr>
              <w:pStyle w:val="TableParagraph"/>
              <w:rPr>
                <w:rFonts w:ascii="Arial" w:hAnsi="Arial" w:cs="Arial"/>
                <w:i/>
                <w:sz w:val="21"/>
              </w:rPr>
            </w:pPr>
            <w:r w:rsidRPr="00CF0F96">
              <w:rPr>
                <w:rFonts w:ascii="Arial" w:hAnsi="Arial" w:cs="Arial"/>
                <w:i/>
                <w:sz w:val="21"/>
              </w:rPr>
              <w:t>Incilius campbelli</w:t>
            </w:r>
          </w:p>
        </w:tc>
        <w:tc>
          <w:tcPr>
            <w:tcW w:w="1372" w:type="dxa"/>
            <w:tcBorders>
              <w:left w:val="dashed" w:sz="8" w:space="0" w:color="4AACC5"/>
              <w:right w:val="dashed" w:sz="8" w:space="0" w:color="4AACC5"/>
            </w:tcBorders>
            <w:shd w:val="clear" w:color="auto" w:fill="D2EAF0"/>
          </w:tcPr>
          <w:p w14:paraId="5DA50E8C"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0C3B1682" w14:textId="77777777" w:rsidTr="00C81834">
        <w:trPr>
          <w:trHeight w:val="369"/>
          <w:jc w:val="center"/>
        </w:trPr>
        <w:tc>
          <w:tcPr>
            <w:tcW w:w="1804" w:type="dxa"/>
            <w:tcBorders>
              <w:left w:val="dashed" w:sz="8" w:space="0" w:color="4AACC5"/>
              <w:right w:val="dashed" w:sz="8" w:space="0" w:color="4AACC5"/>
            </w:tcBorders>
          </w:tcPr>
          <w:p w14:paraId="4FFD0504"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tcPr>
          <w:p w14:paraId="38B65AFF"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Bufonidae</w:t>
            </w:r>
          </w:p>
        </w:tc>
        <w:tc>
          <w:tcPr>
            <w:tcW w:w="3204" w:type="dxa"/>
            <w:tcBorders>
              <w:left w:val="dashed" w:sz="8" w:space="0" w:color="4AACC5"/>
              <w:right w:val="dashed" w:sz="8" w:space="0" w:color="4AACC5"/>
            </w:tcBorders>
          </w:tcPr>
          <w:p w14:paraId="46CDBBBB" w14:textId="77777777" w:rsidR="00C81834" w:rsidRPr="00CF0F96" w:rsidRDefault="00C81834" w:rsidP="00C81834">
            <w:pPr>
              <w:pStyle w:val="TableParagraph"/>
              <w:rPr>
                <w:rFonts w:ascii="Arial" w:hAnsi="Arial" w:cs="Arial"/>
                <w:i/>
                <w:sz w:val="21"/>
              </w:rPr>
            </w:pPr>
            <w:r w:rsidRPr="00CF0F96">
              <w:rPr>
                <w:rFonts w:ascii="Arial" w:hAnsi="Arial" w:cs="Arial"/>
                <w:i/>
                <w:sz w:val="21"/>
              </w:rPr>
              <w:t>Incilius ibarrai</w:t>
            </w:r>
          </w:p>
        </w:tc>
        <w:tc>
          <w:tcPr>
            <w:tcW w:w="1372" w:type="dxa"/>
            <w:tcBorders>
              <w:left w:val="dashed" w:sz="8" w:space="0" w:color="4AACC5"/>
              <w:right w:val="dashed" w:sz="8" w:space="0" w:color="4AACC5"/>
            </w:tcBorders>
          </w:tcPr>
          <w:p w14:paraId="5DA7DFA1"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0B51FC56" w14:textId="77777777" w:rsidTr="00C81834">
        <w:trPr>
          <w:trHeight w:val="369"/>
          <w:jc w:val="center"/>
        </w:trPr>
        <w:tc>
          <w:tcPr>
            <w:tcW w:w="1804" w:type="dxa"/>
            <w:tcBorders>
              <w:left w:val="dashed" w:sz="8" w:space="0" w:color="4AACC5"/>
              <w:right w:val="dashed" w:sz="8" w:space="0" w:color="4AACC5"/>
            </w:tcBorders>
            <w:shd w:val="clear" w:color="auto" w:fill="D2EAF0"/>
          </w:tcPr>
          <w:p w14:paraId="51DB25BC"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shd w:val="clear" w:color="auto" w:fill="D2EAF0"/>
          </w:tcPr>
          <w:p w14:paraId="5F437317"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Bufonidae</w:t>
            </w:r>
          </w:p>
        </w:tc>
        <w:tc>
          <w:tcPr>
            <w:tcW w:w="3204" w:type="dxa"/>
            <w:tcBorders>
              <w:left w:val="dashed" w:sz="8" w:space="0" w:color="4AACC5"/>
              <w:right w:val="dashed" w:sz="8" w:space="0" w:color="4AACC5"/>
            </w:tcBorders>
            <w:shd w:val="clear" w:color="auto" w:fill="D2EAF0"/>
          </w:tcPr>
          <w:p w14:paraId="39A3125F" w14:textId="77777777" w:rsidR="00C81834" w:rsidRPr="00CF0F96" w:rsidRDefault="00C81834" w:rsidP="00C81834">
            <w:pPr>
              <w:pStyle w:val="TableParagraph"/>
              <w:rPr>
                <w:rFonts w:ascii="Arial" w:hAnsi="Arial" w:cs="Arial"/>
                <w:i/>
                <w:sz w:val="21"/>
              </w:rPr>
            </w:pPr>
            <w:r w:rsidRPr="00CF0F96">
              <w:rPr>
                <w:rFonts w:ascii="Arial" w:hAnsi="Arial" w:cs="Arial"/>
                <w:i/>
                <w:sz w:val="21"/>
              </w:rPr>
              <w:t>Incilius leucomyos</w:t>
            </w:r>
          </w:p>
        </w:tc>
        <w:tc>
          <w:tcPr>
            <w:tcW w:w="1372" w:type="dxa"/>
            <w:tcBorders>
              <w:left w:val="dashed" w:sz="8" w:space="0" w:color="4AACC5"/>
              <w:right w:val="dashed" w:sz="8" w:space="0" w:color="4AACC5"/>
            </w:tcBorders>
            <w:shd w:val="clear" w:color="auto" w:fill="D2EAF0"/>
          </w:tcPr>
          <w:p w14:paraId="40049842"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4890C05A" w14:textId="77777777" w:rsidTr="00C81834">
        <w:trPr>
          <w:trHeight w:val="369"/>
          <w:jc w:val="center"/>
        </w:trPr>
        <w:tc>
          <w:tcPr>
            <w:tcW w:w="1804" w:type="dxa"/>
            <w:tcBorders>
              <w:left w:val="dashed" w:sz="8" w:space="0" w:color="4AACC5"/>
              <w:right w:val="dashed" w:sz="8" w:space="0" w:color="4AACC5"/>
            </w:tcBorders>
          </w:tcPr>
          <w:p w14:paraId="634A3958"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tcPr>
          <w:p w14:paraId="3186D776"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Craugastoridae</w:t>
            </w:r>
          </w:p>
        </w:tc>
        <w:tc>
          <w:tcPr>
            <w:tcW w:w="3204" w:type="dxa"/>
            <w:tcBorders>
              <w:left w:val="dashed" w:sz="8" w:space="0" w:color="4AACC5"/>
              <w:right w:val="dashed" w:sz="8" w:space="0" w:color="4AACC5"/>
            </w:tcBorders>
          </w:tcPr>
          <w:p w14:paraId="1D049253" w14:textId="77777777" w:rsidR="00C81834" w:rsidRPr="00CF0F96" w:rsidRDefault="00C81834" w:rsidP="00C81834">
            <w:pPr>
              <w:pStyle w:val="TableParagraph"/>
              <w:rPr>
                <w:rFonts w:ascii="Arial" w:hAnsi="Arial" w:cs="Arial"/>
                <w:i/>
                <w:sz w:val="21"/>
              </w:rPr>
            </w:pPr>
            <w:r w:rsidRPr="00CF0F96">
              <w:rPr>
                <w:rFonts w:ascii="Arial" w:hAnsi="Arial" w:cs="Arial"/>
                <w:i/>
                <w:sz w:val="21"/>
              </w:rPr>
              <w:t>Craugastor anciano</w:t>
            </w:r>
          </w:p>
        </w:tc>
        <w:tc>
          <w:tcPr>
            <w:tcW w:w="1372" w:type="dxa"/>
            <w:tcBorders>
              <w:left w:val="dashed" w:sz="8" w:space="0" w:color="4AACC5"/>
              <w:right w:val="dashed" w:sz="8" w:space="0" w:color="4AACC5"/>
            </w:tcBorders>
          </w:tcPr>
          <w:p w14:paraId="536E466E"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696B09DA" w14:textId="77777777" w:rsidTr="00C81834">
        <w:trPr>
          <w:trHeight w:val="369"/>
          <w:jc w:val="center"/>
        </w:trPr>
        <w:tc>
          <w:tcPr>
            <w:tcW w:w="1804" w:type="dxa"/>
            <w:tcBorders>
              <w:left w:val="dashed" w:sz="8" w:space="0" w:color="4AACC5"/>
              <w:right w:val="dashed" w:sz="8" w:space="0" w:color="4AACC5"/>
            </w:tcBorders>
            <w:shd w:val="clear" w:color="auto" w:fill="D2EAF0"/>
          </w:tcPr>
          <w:p w14:paraId="74302717"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shd w:val="clear" w:color="auto" w:fill="D2EAF0"/>
          </w:tcPr>
          <w:p w14:paraId="76589ADB"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Craugastoridae</w:t>
            </w:r>
          </w:p>
        </w:tc>
        <w:tc>
          <w:tcPr>
            <w:tcW w:w="3204" w:type="dxa"/>
            <w:tcBorders>
              <w:left w:val="dashed" w:sz="8" w:space="0" w:color="4AACC5"/>
              <w:right w:val="dashed" w:sz="8" w:space="0" w:color="4AACC5"/>
            </w:tcBorders>
            <w:shd w:val="clear" w:color="auto" w:fill="D2EAF0"/>
          </w:tcPr>
          <w:p w14:paraId="4039CD5A" w14:textId="77777777" w:rsidR="00C81834" w:rsidRPr="00CF0F96" w:rsidRDefault="00C81834" w:rsidP="00C81834">
            <w:pPr>
              <w:pStyle w:val="TableParagraph"/>
              <w:rPr>
                <w:rFonts w:ascii="Arial" w:hAnsi="Arial" w:cs="Arial"/>
                <w:i/>
                <w:sz w:val="21"/>
              </w:rPr>
            </w:pPr>
            <w:r w:rsidRPr="00CF0F96">
              <w:rPr>
                <w:rFonts w:ascii="Arial" w:hAnsi="Arial" w:cs="Arial"/>
                <w:i/>
                <w:sz w:val="21"/>
              </w:rPr>
              <w:t>Craugastor aurilegulus</w:t>
            </w:r>
          </w:p>
        </w:tc>
        <w:tc>
          <w:tcPr>
            <w:tcW w:w="1372" w:type="dxa"/>
            <w:tcBorders>
              <w:left w:val="dashed" w:sz="8" w:space="0" w:color="4AACC5"/>
              <w:right w:val="dashed" w:sz="8" w:space="0" w:color="4AACC5"/>
            </w:tcBorders>
            <w:shd w:val="clear" w:color="auto" w:fill="D2EAF0"/>
          </w:tcPr>
          <w:p w14:paraId="0487D109"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11819FB7" w14:textId="77777777" w:rsidTr="00C81834">
        <w:trPr>
          <w:trHeight w:val="369"/>
          <w:jc w:val="center"/>
        </w:trPr>
        <w:tc>
          <w:tcPr>
            <w:tcW w:w="1804" w:type="dxa"/>
            <w:tcBorders>
              <w:left w:val="dashed" w:sz="8" w:space="0" w:color="4AACC5"/>
              <w:right w:val="dashed" w:sz="8" w:space="0" w:color="4AACC5"/>
            </w:tcBorders>
          </w:tcPr>
          <w:p w14:paraId="4A65EA41"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tcPr>
          <w:p w14:paraId="42D89555"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Craugastoridae</w:t>
            </w:r>
          </w:p>
        </w:tc>
        <w:tc>
          <w:tcPr>
            <w:tcW w:w="3204" w:type="dxa"/>
            <w:tcBorders>
              <w:left w:val="dashed" w:sz="8" w:space="0" w:color="4AACC5"/>
              <w:right w:val="dashed" w:sz="8" w:space="0" w:color="4AACC5"/>
            </w:tcBorders>
          </w:tcPr>
          <w:p w14:paraId="09E5AFEE" w14:textId="77777777" w:rsidR="00C81834" w:rsidRPr="00CF0F96" w:rsidRDefault="00C81834" w:rsidP="00C81834">
            <w:pPr>
              <w:pStyle w:val="TableParagraph"/>
              <w:rPr>
                <w:rFonts w:ascii="Arial" w:hAnsi="Arial" w:cs="Arial"/>
                <w:i/>
                <w:sz w:val="21"/>
              </w:rPr>
            </w:pPr>
            <w:r w:rsidRPr="00CF0F96">
              <w:rPr>
                <w:rFonts w:ascii="Arial" w:hAnsi="Arial" w:cs="Arial"/>
                <w:i/>
                <w:sz w:val="21"/>
              </w:rPr>
              <w:t>Craugastor chac</w:t>
            </w:r>
          </w:p>
        </w:tc>
        <w:tc>
          <w:tcPr>
            <w:tcW w:w="1372" w:type="dxa"/>
            <w:tcBorders>
              <w:left w:val="dashed" w:sz="8" w:space="0" w:color="4AACC5"/>
              <w:right w:val="dashed" w:sz="8" w:space="0" w:color="4AACC5"/>
            </w:tcBorders>
          </w:tcPr>
          <w:p w14:paraId="4B9AECF7"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631BC77F" w14:textId="77777777" w:rsidTr="00C81834">
        <w:trPr>
          <w:trHeight w:val="369"/>
          <w:jc w:val="center"/>
        </w:trPr>
        <w:tc>
          <w:tcPr>
            <w:tcW w:w="1804" w:type="dxa"/>
            <w:tcBorders>
              <w:left w:val="dashed" w:sz="8" w:space="0" w:color="4AACC5"/>
              <w:right w:val="dashed" w:sz="8" w:space="0" w:color="4AACC5"/>
            </w:tcBorders>
            <w:shd w:val="clear" w:color="auto" w:fill="D2EAF0"/>
          </w:tcPr>
          <w:p w14:paraId="34D8FD1B"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shd w:val="clear" w:color="auto" w:fill="D2EAF0"/>
          </w:tcPr>
          <w:p w14:paraId="0372D58C"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Craugastoridae</w:t>
            </w:r>
          </w:p>
        </w:tc>
        <w:tc>
          <w:tcPr>
            <w:tcW w:w="3204" w:type="dxa"/>
            <w:tcBorders>
              <w:left w:val="dashed" w:sz="8" w:space="0" w:color="4AACC5"/>
              <w:right w:val="dashed" w:sz="8" w:space="0" w:color="4AACC5"/>
            </w:tcBorders>
            <w:shd w:val="clear" w:color="auto" w:fill="D2EAF0"/>
          </w:tcPr>
          <w:p w14:paraId="6776FC14" w14:textId="77777777" w:rsidR="00C81834" w:rsidRPr="00CF0F96" w:rsidRDefault="00C81834" w:rsidP="00C81834">
            <w:pPr>
              <w:pStyle w:val="TableParagraph"/>
              <w:rPr>
                <w:rFonts w:ascii="Arial" w:hAnsi="Arial" w:cs="Arial"/>
                <w:i/>
                <w:sz w:val="21"/>
              </w:rPr>
            </w:pPr>
            <w:r w:rsidRPr="00CF0F96">
              <w:rPr>
                <w:rFonts w:ascii="Arial" w:hAnsi="Arial" w:cs="Arial"/>
                <w:i/>
                <w:sz w:val="21"/>
              </w:rPr>
              <w:t>Craugastor charadra</w:t>
            </w:r>
          </w:p>
        </w:tc>
        <w:tc>
          <w:tcPr>
            <w:tcW w:w="1372" w:type="dxa"/>
            <w:tcBorders>
              <w:left w:val="dashed" w:sz="8" w:space="0" w:color="4AACC5"/>
              <w:right w:val="dashed" w:sz="8" w:space="0" w:color="4AACC5"/>
            </w:tcBorders>
            <w:shd w:val="clear" w:color="auto" w:fill="D2EAF0"/>
          </w:tcPr>
          <w:p w14:paraId="5AB16926"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2AB64018" w14:textId="77777777" w:rsidTr="00C81834">
        <w:trPr>
          <w:trHeight w:val="369"/>
          <w:jc w:val="center"/>
        </w:trPr>
        <w:tc>
          <w:tcPr>
            <w:tcW w:w="1804" w:type="dxa"/>
            <w:tcBorders>
              <w:left w:val="dashed" w:sz="8" w:space="0" w:color="4AACC5"/>
              <w:right w:val="dashed" w:sz="8" w:space="0" w:color="4AACC5"/>
            </w:tcBorders>
          </w:tcPr>
          <w:p w14:paraId="3BC1342B"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tcPr>
          <w:p w14:paraId="7DFB3813"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Craugastoridae</w:t>
            </w:r>
          </w:p>
        </w:tc>
        <w:tc>
          <w:tcPr>
            <w:tcW w:w="3204" w:type="dxa"/>
            <w:tcBorders>
              <w:left w:val="dashed" w:sz="8" w:space="0" w:color="4AACC5"/>
              <w:right w:val="dashed" w:sz="8" w:space="0" w:color="4AACC5"/>
            </w:tcBorders>
          </w:tcPr>
          <w:p w14:paraId="29A324AB" w14:textId="77777777" w:rsidR="00C81834" w:rsidRPr="00CF0F96" w:rsidRDefault="00C81834" w:rsidP="00C81834">
            <w:pPr>
              <w:pStyle w:val="TableParagraph"/>
              <w:rPr>
                <w:rFonts w:ascii="Arial" w:hAnsi="Arial" w:cs="Arial"/>
                <w:i/>
                <w:sz w:val="21"/>
              </w:rPr>
            </w:pPr>
            <w:r w:rsidRPr="00CF0F96">
              <w:rPr>
                <w:rFonts w:ascii="Arial" w:hAnsi="Arial" w:cs="Arial"/>
                <w:i/>
                <w:sz w:val="21"/>
              </w:rPr>
              <w:t>Craugastor coffeus</w:t>
            </w:r>
          </w:p>
        </w:tc>
        <w:tc>
          <w:tcPr>
            <w:tcW w:w="1372" w:type="dxa"/>
            <w:tcBorders>
              <w:left w:val="dashed" w:sz="8" w:space="0" w:color="4AACC5"/>
              <w:right w:val="dashed" w:sz="8" w:space="0" w:color="4AACC5"/>
            </w:tcBorders>
          </w:tcPr>
          <w:p w14:paraId="72C28005"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4FE5288A" w14:textId="77777777" w:rsidTr="00C81834">
        <w:trPr>
          <w:trHeight w:val="369"/>
          <w:jc w:val="center"/>
        </w:trPr>
        <w:tc>
          <w:tcPr>
            <w:tcW w:w="1804" w:type="dxa"/>
            <w:tcBorders>
              <w:left w:val="dashed" w:sz="8" w:space="0" w:color="4AACC5"/>
              <w:right w:val="dashed" w:sz="8" w:space="0" w:color="4AACC5"/>
            </w:tcBorders>
            <w:shd w:val="clear" w:color="auto" w:fill="D2EAF0"/>
          </w:tcPr>
          <w:p w14:paraId="2CC5B15C"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shd w:val="clear" w:color="auto" w:fill="D2EAF0"/>
          </w:tcPr>
          <w:p w14:paraId="3731EBB1"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Craugastoridae</w:t>
            </w:r>
          </w:p>
        </w:tc>
        <w:tc>
          <w:tcPr>
            <w:tcW w:w="3204" w:type="dxa"/>
            <w:tcBorders>
              <w:left w:val="dashed" w:sz="8" w:space="0" w:color="4AACC5"/>
              <w:right w:val="dashed" w:sz="8" w:space="0" w:color="4AACC5"/>
            </w:tcBorders>
            <w:shd w:val="clear" w:color="auto" w:fill="D2EAF0"/>
          </w:tcPr>
          <w:p w14:paraId="112BB3E7" w14:textId="77777777" w:rsidR="00C81834" w:rsidRPr="00CF0F96" w:rsidRDefault="00C81834" w:rsidP="00C81834">
            <w:pPr>
              <w:pStyle w:val="TableParagraph"/>
              <w:rPr>
                <w:rFonts w:ascii="Arial" w:hAnsi="Arial" w:cs="Arial"/>
                <w:i/>
                <w:sz w:val="21"/>
              </w:rPr>
            </w:pPr>
            <w:r w:rsidRPr="00CF0F96">
              <w:rPr>
                <w:rFonts w:ascii="Arial" w:hAnsi="Arial" w:cs="Arial"/>
                <w:i/>
                <w:sz w:val="21"/>
              </w:rPr>
              <w:t>Craugastor cruzi</w:t>
            </w:r>
          </w:p>
        </w:tc>
        <w:tc>
          <w:tcPr>
            <w:tcW w:w="1372" w:type="dxa"/>
            <w:tcBorders>
              <w:left w:val="dashed" w:sz="8" w:space="0" w:color="4AACC5"/>
              <w:right w:val="dashed" w:sz="8" w:space="0" w:color="4AACC5"/>
            </w:tcBorders>
            <w:shd w:val="clear" w:color="auto" w:fill="D2EAF0"/>
          </w:tcPr>
          <w:p w14:paraId="54A16D26"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bl>
    <w:p w14:paraId="255118E4" w14:textId="77777777" w:rsidR="00C81834" w:rsidRPr="00FA4B2D" w:rsidRDefault="00C81834" w:rsidP="00C81834">
      <w:pPr>
        <w:tabs>
          <w:tab w:val="left" w:pos="1245"/>
        </w:tabs>
        <w:rPr>
          <w:rFonts w:cs="Arial"/>
        </w:rPr>
      </w:pPr>
    </w:p>
    <w:p w14:paraId="3334A5BD" w14:textId="77777777" w:rsidR="00C81834" w:rsidRPr="00FA4B2D" w:rsidRDefault="00C81834" w:rsidP="00C81834">
      <w:pPr>
        <w:rPr>
          <w:rFonts w:cs="Arial"/>
        </w:rPr>
      </w:pPr>
      <w:r w:rsidRPr="00FA4B2D">
        <w:rPr>
          <w:rFonts w:cs="Arial"/>
        </w:rPr>
        <w:br w:type="page"/>
      </w:r>
    </w:p>
    <w:p w14:paraId="05C7255F" w14:textId="77777777" w:rsidR="00C81834" w:rsidRPr="00FA4B2D" w:rsidRDefault="00C81834" w:rsidP="00C81834">
      <w:pPr>
        <w:tabs>
          <w:tab w:val="left" w:pos="1245"/>
        </w:tabs>
        <w:rPr>
          <w:rFonts w:cs="Arial"/>
        </w:rPr>
      </w:pPr>
    </w:p>
    <w:tbl>
      <w:tblPr>
        <w:tblStyle w:val="TableNormal1"/>
        <w:tblW w:w="0" w:type="auto"/>
        <w:jc w:val="center"/>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1804"/>
        <w:gridCol w:w="1879"/>
        <w:gridCol w:w="3204"/>
        <w:gridCol w:w="1372"/>
      </w:tblGrid>
      <w:tr w:rsidR="00C81834" w:rsidRPr="00FA4B2D" w14:paraId="2F4DB5AF" w14:textId="77777777" w:rsidTr="005D7F0C">
        <w:trPr>
          <w:trHeight w:val="369"/>
          <w:jc w:val="center"/>
        </w:trPr>
        <w:tc>
          <w:tcPr>
            <w:tcW w:w="1804" w:type="dxa"/>
            <w:tcBorders>
              <w:left w:val="dashed" w:sz="8" w:space="0" w:color="4AACC5"/>
              <w:right w:val="dashed" w:sz="8" w:space="0" w:color="4AACC5"/>
            </w:tcBorders>
            <w:shd w:val="clear" w:color="auto" w:fill="5CC5DA"/>
          </w:tcPr>
          <w:p w14:paraId="43F15B98" w14:textId="77777777" w:rsidR="00C81834" w:rsidRPr="00CF0F96" w:rsidRDefault="00C81834" w:rsidP="00D30988">
            <w:pPr>
              <w:pStyle w:val="TableParagraph"/>
              <w:ind w:left="625" w:right="605"/>
              <w:jc w:val="center"/>
              <w:rPr>
                <w:rFonts w:ascii="Arial" w:hAnsi="Arial" w:cs="Arial"/>
                <w:bCs/>
                <w:sz w:val="21"/>
              </w:rPr>
            </w:pPr>
            <w:r w:rsidRPr="00CF0F96">
              <w:rPr>
                <w:rFonts w:ascii="Arial" w:hAnsi="Arial" w:cs="Arial"/>
                <w:bCs/>
                <w:sz w:val="21"/>
              </w:rPr>
              <w:t>Clase</w:t>
            </w:r>
          </w:p>
        </w:tc>
        <w:tc>
          <w:tcPr>
            <w:tcW w:w="1879" w:type="dxa"/>
            <w:tcBorders>
              <w:left w:val="dashed" w:sz="8" w:space="0" w:color="4AACC5"/>
              <w:right w:val="dashed" w:sz="8" w:space="0" w:color="4AACC5"/>
            </w:tcBorders>
            <w:shd w:val="clear" w:color="auto" w:fill="5CC5DA"/>
          </w:tcPr>
          <w:p w14:paraId="1D53A4E5" w14:textId="77777777" w:rsidR="00C81834" w:rsidRPr="00CF0F96" w:rsidRDefault="00C81834" w:rsidP="00CF0F96">
            <w:pPr>
              <w:pStyle w:val="TableParagraph"/>
              <w:jc w:val="center"/>
              <w:rPr>
                <w:rFonts w:ascii="Arial" w:hAnsi="Arial" w:cs="Arial"/>
                <w:bCs/>
                <w:sz w:val="21"/>
              </w:rPr>
            </w:pPr>
            <w:r w:rsidRPr="00CF0F96">
              <w:rPr>
                <w:rFonts w:ascii="Arial" w:hAnsi="Arial" w:cs="Arial"/>
                <w:bCs/>
                <w:sz w:val="21"/>
              </w:rPr>
              <w:t>Familia</w:t>
            </w:r>
          </w:p>
        </w:tc>
        <w:tc>
          <w:tcPr>
            <w:tcW w:w="3204" w:type="dxa"/>
            <w:tcBorders>
              <w:left w:val="dashed" w:sz="8" w:space="0" w:color="4AACC5"/>
              <w:right w:val="dashed" w:sz="8" w:space="0" w:color="4AACC5"/>
            </w:tcBorders>
            <w:shd w:val="clear" w:color="auto" w:fill="5CC5DA"/>
          </w:tcPr>
          <w:p w14:paraId="2CE9B464" w14:textId="77777777" w:rsidR="00C81834" w:rsidRPr="00CF0F96" w:rsidRDefault="00C81834" w:rsidP="00D30988">
            <w:pPr>
              <w:pStyle w:val="TableParagraph"/>
              <w:ind w:left="1165" w:right="1144"/>
              <w:jc w:val="center"/>
              <w:rPr>
                <w:rFonts w:ascii="Arial" w:hAnsi="Arial" w:cs="Arial"/>
                <w:bCs/>
                <w:sz w:val="21"/>
              </w:rPr>
            </w:pPr>
            <w:r w:rsidRPr="00CF0F96">
              <w:rPr>
                <w:rFonts w:ascii="Arial" w:hAnsi="Arial" w:cs="Arial"/>
                <w:bCs/>
                <w:sz w:val="21"/>
              </w:rPr>
              <w:t>Especies</w:t>
            </w:r>
          </w:p>
        </w:tc>
        <w:tc>
          <w:tcPr>
            <w:tcW w:w="1372" w:type="dxa"/>
            <w:tcBorders>
              <w:left w:val="dashed" w:sz="8" w:space="0" w:color="4AACC5"/>
              <w:right w:val="dashed" w:sz="8" w:space="0" w:color="4AACC5"/>
            </w:tcBorders>
            <w:shd w:val="clear" w:color="auto" w:fill="5CC5DA"/>
          </w:tcPr>
          <w:p w14:paraId="1CBA39F2" w14:textId="77777777" w:rsidR="00C81834" w:rsidRPr="00CF0F96" w:rsidRDefault="00C81834" w:rsidP="00CF0F96">
            <w:pPr>
              <w:pStyle w:val="TableParagraph"/>
              <w:ind w:left="281"/>
              <w:rPr>
                <w:rFonts w:ascii="Arial" w:hAnsi="Arial" w:cs="Arial"/>
                <w:bCs/>
                <w:sz w:val="21"/>
              </w:rPr>
            </w:pPr>
            <w:r w:rsidRPr="00CF0F96">
              <w:rPr>
                <w:rFonts w:ascii="Arial" w:hAnsi="Arial" w:cs="Arial"/>
                <w:bCs/>
                <w:w w:val="95"/>
                <w:sz w:val="21"/>
              </w:rPr>
              <w:t>Categoría</w:t>
            </w:r>
          </w:p>
        </w:tc>
      </w:tr>
      <w:tr w:rsidR="00C81834" w:rsidRPr="00FA4B2D" w14:paraId="545E65FB" w14:textId="77777777" w:rsidTr="00C81834">
        <w:trPr>
          <w:trHeight w:val="369"/>
          <w:jc w:val="center"/>
        </w:trPr>
        <w:tc>
          <w:tcPr>
            <w:tcW w:w="1804" w:type="dxa"/>
            <w:tcBorders>
              <w:left w:val="dashed" w:sz="8" w:space="0" w:color="4AACC5"/>
              <w:right w:val="dashed" w:sz="8" w:space="0" w:color="4AACC5"/>
            </w:tcBorders>
          </w:tcPr>
          <w:p w14:paraId="533FB9F6"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tcPr>
          <w:p w14:paraId="4ECE05D5"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Craugastoridae</w:t>
            </w:r>
          </w:p>
        </w:tc>
        <w:tc>
          <w:tcPr>
            <w:tcW w:w="3204" w:type="dxa"/>
            <w:tcBorders>
              <w:left w:val="dashed" w:sz="8" w:space="0" w:color="4AACC5"/>
              <w:right w:val="dashed" w:sz="8" w:space="0" w:color="4AACC5"/>
            </w:tcBorders>
          </w:tcPr>
          <w:p w14:paraId="50C292B2" w14:textId="77777777" w:rsidR="00C81834" w:rsidRPr="00CF0F96" w:rsidRDefault="00C81834" w:rsidP="00C81834">
            <w:pPr>
              <w:pStyle w:val="TableParagraph"/>
              <w:rPr>
                <w:rFonts w:ascii="Arial" w:hAnsi="Arial" w:cs="Arial"/>
                <w:i/>
                <w:sz w:val="21"/>
              </w:rPr>
            </w:pPr>
            <w:r w:rsidRPr="00CF0F96">
              <w:rPr>
                <w:rFonts w:ascii="Arial" w:hAnsi="Arial" w:cs="Arial"/>
                <w:i/>
                <w:sz w:val="21"/>
              </w:rPr>
              <w:t>Craugastor cyanochthebius</w:t>
            </w:r>
          </w:p>
        </w:tc>
        <w:tc>
          <w:tcPr>
            <w:tcW w:w="1372" w:type="dxa"/>
            <w:tcBorders>
              <w:left w:val="dashed" w:sz="8" w:space="0" w:color="4AACC5"/>
              <w:right w:val="dashed" w:sz="8" w:space="0" w:color="4AACC5"/>
            </w:tcBorders>
          </w:tcPr>
          <w:p w14:paraId="53829A18"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5261089D" w14:textId="77777777" w:rsidTr="00C81834">
        <w:trPr>
          <w:trHeight w:val="369"/>
          <w:jc w:val="center"/>
        </w:trPr>
        <w:tc>
          <w:tcPr>
            <w:tcW w:w="1804" w:type="dxa"/>
            <w:tcBorders>
              <w:left w:val="dashed" w:sz="8" w:space="0" w:color="4AACC5"/>
              <w:right w:val="dashed" w:sz="8" w:space="0" w:color="4AACC5"/>
            </w:tcBorders>
            <w:shd w:val="clear" w:color="auto" w:fill="D2EAF0"/>
          </w:tcPr>
          <w:p w14:paraId="447B312A"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shd w:val="clear" w:color="auto" w:fill="D2EAF0"/>
          </w:tcPr>
          <w:p w14:paraId="4519F013"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Craugastoridae</w:t>
            </w:r>
          </w:p>
        </w:tc>
        <w:tc>
          <w:tcPr>
            <w:tcW w:w="3204" w:type="dxa"/>
            <w:tcBorders>
              <w:left w:val="dashed" w:sz="8" w:space="0" w:color="4AACC5"/>
              <w:right w:val="dashed" w:sz="8" w:space="0" w:color="4AACC5"/>
            </w:tcBorders>
            <w:shd w:val="clear" w:color="auto" w:fill="D2EAF0"/>
          </w:tcPr>
          <w:p w14:paraId="0F1BDE40" w14:textId="77777777" w:rsidR="00C81834" w:rsidRPr="00CF0F96" w:rsidRDefault="00C81834" w:rsidP="00C81834">
            <w:pPr>
              <w:pStyle w:val="TableParagraph"/>
              <w:rPr>
                <w:rFonts w:ascii="Arial" w:hAnsi="Arial" w:cs="Arial"/>
                <w:i/>
                <w:sz w:val="21"/>
              </w:rPr>
            </w:pPr>
            <w:r w:rsidRPr="00CF0F96">
              <w:rPr>
                <w:rFonts w:ascii="Arial" w:hAnsi="Arial" w:cs="Arial"/>
                <w:i/>
                <w:sz w:val="21"/>
              </w:rPr>
              <w:t>Craugastor emleni</w:t>
            </w:r>
          </w:p>
        </w:tc>
        <w:tc>
          <w:tcPr>
            <w:tcW w:w="1372" w:type="dxa"/>
            <w:tcBorders>
              <w:left w:val="dashed" w:sz="8" w:space="0" w:color="4AACC5"/>
              <w:right w:val="dashed" w:sz="8" w:space="0" w:color="4AACC5"/>
            </w:tcBorders>
            <w:shd w:val="clear" w:color="auto" w:fill="D2EAF0"/>
          </w:tcPr>
          <w:p w14:paraId="3B29EC75"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55CC4B7F" w14:textId="77777777" w:rsidTr="00C81834">
        <w:trPr>
          <w:trHeight w:val="369"/>
          <w:jc w:val="center"/>
        </w:trPr>
        <w:tc>
          <w:tcPr>
            <w:tcW w:w="1804" w:type="dxa"/>
            <w:tcBorders>
              <w:left w:val="dashed" w:sz="8" w:space="0" w:color="4AACC5"/>
              <w:right w:val="dashed" w:sz="8" w:space="0" w:color="4AACC5"/>
            </w:tcBorders>
          </w:tcPr>
          <w:p w14:paraId="6F944D24"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tcPr>
          <w:p w14:paraId="276063AD"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Craugastoridae</w:t>
            </w:r>
          </w:p>
        </w:tc>
        <w:tc>
          <w:tcPr>
            <w:tcW w:w="3204" w:type="dxa"/>
            <w:tcBorders>
              <w:left w:val="dashed" w:sz="8" w:space="0" w:color="4AACC5"/>
              <w:right w:val="dashed" w:sz="8" w:space="0" w:color="4AACC5"/>
            </w:tcBorders>
          </w:tcPr>
          <w:p w14:paraId="37DCB898" w14:textId="77777777" w:rsidR="00C81834" w:rsidRPr="00CF0F96" w:rsidRDefault="00C81834" w:rsidP="00C81834">
            <w:pPr>
              <w:pStyle w:val="TableParagraph"/>
              <w:rPr>
                <w:rFonts w:ascii="Arial" w:hAnsi="Arial" w:cs="Arial"/>
                <w:i/>
                <w:sz w:val="21"/>
              </w:rPr>
            </w:pPr>
            <w:r w:rsidRPr="00CF0F96">
              <w:rPr>
                <w:rFonts w:ascii="Arial" w:hAnsi="Arial" w:cs="Arial"/>
                <w:i/>
                <w:sz w:val="21"/>
              </w:rPr>
              <w:t>Craugastor epochthidius</w:t>
            </w:r>
          </w:p>
        </w:tc>
        <w:tc>
          <w:tcPr>
            <w:tcW w:w="1372" w:type="dxa"/>
            <w:tcBorders>
              <w:left w:val="dashed" w:sz="8" w:space="0" w:color="4AACC5"/>
              <w:right w:val="dashed" w:sz="8" w:space="0" w:color="4AACC5"/>
            </w:tcBorders>
          </w:tcPr>
          <w:p w14:paraId="29A26368"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256B1E13" w14:textId="77777777" w:rsidTr="00C81834">
        <w:trPr>
          <w:trHeight w:val="369"/>
          <w:jc w:val="center"/>
        </w:trPr>
        <w:tc>
          <w:tcPr>
            <w:tcW w:w="1804" w:type="dxa"/>
            <w:tcBorders>
              <w:left w:val="dashed" w:sz="8" w:space="0" w:color="4AACC5"/>
              <w:right w:val="dashed" w:sz="8" w:space="0" w:color="4AACC5"/>
            </w:tcBorders>
            <w:shd w:val="clear" w:color="auto" w:fill="D2EAF0"/>
          </w:tcPr>
          <w:p w14:paraId="19792241"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shd w:val="clear" w:color="auto" w:fill="D2EAF0"/>
          </w:tcPr>
          <w:p w14:paraId="5723C64B"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Craugastoridae</w:t>
            </w:r>
          </w:p>
        </w:tc>
        <w:tc>
          <w:tcPr>
            <w:tcW w:w="3204" w:type="dxa"/>
            <w:tcBorders>
              <w:left w:val="dashed" w:sz="8" w:space="0" w:color="4AACC5"/>
              <w:right w:val="dashed" w:sz="8" w:space="0" w:color="4AACC5"/>
            </w:tcBorders>
            <w:shd w:val="clear" w:color="auto" w:fill="D2EAF0"/>
          </w:tcPr>
          <w:p w14:paraId="127B0B4F" w14:textId="77777777" w:rsidR="00C81834" w:rsidRPr="00CF0F96" w:rsidRDefault="00C81834" w:rsidP="00C81834">
            <w:pPr>
              <w:pStyle w:val="TableParagraph"/>
              <w:rPr>
                <w:rFonts w:ascii="Arial" w:hAnsi="Arial" w:cs="Arial"/>
                <w:i/>
                <w:sz w:val="21"/>
              </w:rPr>
            </w:pPr>
            <w:r w:rsidRPr="00CF0F96">
              <w:rPr>
                <w:rFonts w:ascii="Arial" w:hAnsi="Arial" w:cs="Arial"/>
                <w:i/>
                <w:sz w:val="21"/>
              </w:rPr>
              <w:t>Craugastor fecundus</w:t>
            </w:r>
          </w:p>
        </w:tc>
        <w:tc>
          <w:tcPr>
            <w:tcW w:w="1372" w:type="dxa"/>
            <w:tcBorders>
              <w:left w:val="dashed" w:sz="8" w:space="0" w:color="4AACC5"/>
              <w:right w:val="dashed" w:sz="8" w:space="0" w:color="4AACC5"/>
            </w:tcBorders>
            <w:shd w:val="clear" w:color="auto" w:fill="D2EAF0"/>
          </w:tcPr>
          <w:p w14:paraId="156D83EF"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3BAE72D4" w14:textId="77777777" w:rsidTr="00C81834">
        <w:trPr>
          <w:trHeight w:val="369"/>
          <w:jc w:val="center"/>
        </w:trPr>
        <w:tc>
          <w:tcPr>
            <w:tcW w:w="1804" w:type="dxa"/>
            <w:tcBorders>
              <w:left w:val="dashed" w:sz="8" w:space="0" w:color="4AACC5"/>
              <w:right w:val="dashed" w:sz="8" w:space="0" w:color="4AACC5"/>
            </w:tcBorders>
          </w:tcPr>
          <w:p w14:paraId="196D85DD"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tcPr>
          <w:p w14:paraId="19B5234A"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Craugastoridae</w:t>
            </w:r>
          </w:p>
        </w:tc>
        <w:tc>
          <w:tcPr>
            <w:tcW w:w="3204" w:type="dxa"/>
            <w:tcBorders>
              <w:left w:val="dashed" w:sz="8" w:space="0" w:color="4AACC5"/>
              <w:right w:val="dashed" w:sz="8" w:space="0" w:color="4AACC5"/>
            </w:tcBorders>
          </w:tcPr>
          <w:p w14:paraId="5517839B" w14:textId="77777777" w:rsidR="00C81834" w:rsidRPr="00CF0F96" w:rsidRDefault="00C81834" w:rsidP="00C81834">
            <w:pPr>
              <w:pStyle w:val="TableParagraph"/>
              <w:rPr>
                <w:rFonts w:ascii="Arial" w:hAnsi="Arial" w:cs="Arial"/>
                <w:i/>
                <w:sz w:val="21"/>
              </w:rPr>
            </w:pPr>
            <w:r w:rsidRPr="00CF0F96">
              <w:rPr>
                <w:rFonts w:ascii="Arial" w:hAnsi="Arial" w:cs="Arial"/>
                <w:i/>
                <w:sz w:val="21"/>
              </w:rPr>
              <w:t>Craugastor laevissimus</w:t>
            </w:r>
          </w:p>
        </w:tc>
        <w:tc>
          <w:tcPr>
            <w:tcW w:w="1372" w:type="dxa"/>
            <w:tcBorders>
              <w:left w:val="dashed" w:sz="8" w:space="0" w:color="4AACC5"/>
              <w:right w:val="dashed" w:sz="8" w:space="0" w:color="4AACC5"/>
            </w:tcBorders>
          </w:tcPr>
          <w:p w14:paraId="0220B438"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40239FE5" w14:textId="77777777" w:rsidTr="00C81834">
        <w:trPr>
          <w:trHeight w:val="369"/>
          <w:jc w:val="center"/>
        </w:trPr>
        <w:tc>
          <w:tcPr>
            <w:tcW w:w="1804" w:type="dxa"/>
            <w:tcBorders>
              <w:left w:val="dashed" w:sz="8" w:space="0" w:color="4AACC5"/>
              <w:right w:val="dashed" w:sz="8" w:space="0" w:color="4AACC5"/>
            </w:tcBorders>
            <w:shd w:val="clear" w:color="auto" w:fill="D2EAF0"/>
          </w:tcPr>
          <w:p w14:paraId="2E78087C"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shd w:val="clear" w:color="auto" w:fill="D2EAF0"/>
          </w:tcPr>
          <w:p w14:paraId="4DEA42E1"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Craugastoridae</w:t>
            </w:r>
          </w:p>
        </w:tc>
        <w:tc>
          <w:tcPr>
            <w:tcW w:w="3204" w:type="dxa"/>
            <w:tcBorders>
              <w:left w:val="dashed" w:sz="8" w:space="0" w:color="4AACC5"/>
              <w:right w:val="dashed" w:sz="8" w:space="0" w:color="4AACC5"/>
            </w:tcBorders>
            <w:shd w:val="clear" w:color="auto" w:fill="D2EAF0"/>
          </w:tcPr>
          <w:p w14:paraId="2F1496AB" w14:textId="77777777" w:rsidR="00C81834" w:rsidRPr="00CF0F96" w:rsidRDefault="00C81834" w:rsidP="00C81834">
            <w:pPr>
              <w:pStyle w:val="TableParagraph"/>
              <w:rPr>
                <w:rFonts w:ascii="Arial" w:hAnsi="Arial" w:cs="Arial"/>
                <w:i/>
                <w:sz w:val="21"/>
              </w:rPr>
            </w:pPr>
            <w:r w:rsidRPr="00CF0F96">
              <w:rPr>
                <w:rFonts w:ascii="Arial" w:hAnsi="Arial" w:cs="Arial"/>
                <w:i/>
                <w:sz w:val="21"/>
              </w:rPr>
              <w:t>Craugastor laticeps</w:t>
            </w:r>
          </w:p>
        </w:tc>
        <w:tc>
          <w:tcPr>
            <w:tcW w:w="1372" w:type="dxa"/>
            <w:tcBorders>
              <w:left w:val="dashed" w:sz="8" w:space="0" w:color="4AACC5"/>
              <w:right w:val="dashed" w:sz="8" w:space="0" w:color="4AACC5"/>
            </w:tcBorders>
            <w:shd w:val="clear" w:color="auto" w:fill="D2EAF0"/>
          </w:tcPr>
          <w:p w14:paraId="43E4EB4C"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70C2452A" w14:textId="77777777" w:rsidTr="00C81834">
        <w:trPr>
          <w:trHeight w:val="369"/>
          <w:jc w:val="center"/>
        </w:trPr>
        <w:tc>
          <w:tcPr>
            <w:tcW w:w="1804" w:type="dxa"/>
            <w:tcBorders>
              <w:left w:val="dashed" w:sz="8" w:space="0" w:color="4AACC5"/>
              <w:right w:val="dashed" w:sz="8" w:space="0" w:color="4AACC5"/>
            </w:tcBorders>
          </w:tcPr>
          <w:p w14:paraId="31B9F380"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tcPr>
          <w:p w14:paraId="45BF5123"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Craugastoridae</w:t>
            </w:r>
          </w:p>
        </w:tc>
        <w:tc>
          <w:tcPr>
            <w:tcW w:w="3204" w:type="dxa"/>
            <w:tcBorders>
              <w:left w:val="dashed" w:sz="8" w:space="0" w:color="4AACC5"/>
              <w:right w:val="dashed" w:sz="8" w:space="0" w:color="4AACC5"/>
            </w:tcBorders>
          </w:tcPr>
          <w:p w14:paraId="57988B2C" w14:textId="77777777" w:rsidR="00C81834" w:rsidRPr="00CF0F96" w:rsidRDefault="00C81834" w:rsidP="00C81834">
            <w:pPr>
              <w:pStyle w:val="TableParagraph"/>
              <w:rPr>
                <w:rFonts w:ascii="Arial" w:hAnsi="Arial" w:cs="Arial"/>
                <w:i/>
                <w:sz w:val="21"/>
              </w:rPr>
            </w:pPr>
            <w:r w:rsidRPr="00CF0F96">
              <w:rPr>
                <w:rFonts w:ascii="Arial" w:hAnsi="Arial" w:cs="Arial"/>
                <w:i/>
                <w:sz w:val="21"/>
              </w:rPr>
              <w:t>Craugastor lauraster</w:t>
            </w:r>
          </w:p>
        </w:tc>
        <w:tc>
          <w:tcPr>
            <w:tcW w:w="1372" w:type="dxa"/>
            <w:tcBorders>
              <w:left w:val="dashed" w:sz="8" w:space="0" w:color="4AACC5"/>
              <w:right w:val="dashed" w:sz="8" w:space="0" w:color="4AACC5"/>
            </w:tcBorders>
          </w:tcPr>
          <w:p w14:paraId="12200090"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208DED7F" w14:textId="77777777" w:rsidTr="00C81834">
        <w:trPr>
          <w:trHeight w:val="369"/>
          <w:jc w:val="center"/>
        </w:trPr>
        <w:tc>
          <w:tcPr>
            <w:tcW w:w="1804" w:type="dxa"/>
            <w:tcBorders>
              <w:left w:val="dashed" w:sz="8" w:space="0" w:color="4AACC5"/>
              <w:right w:val="dashed" w:sz="8" w:space="0" w:color="4AACC5"/>
            </w:tcBorders>
            <w:shd w:val="clear" w:color="auto" w:fill="D2EAF0"/>
          </w:tcPr>
          <w:p w14:paraId="67E44694"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shd w:val="clear" w:color="auto" w:fill="D2EAF0"/>
          </w:tcPr>
          <w:p w14:paraId="3B749261"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Craugastoridae</w:t>
            </w:r>
          </w:p>
        </w:tc>
        <w:tc>
          <w:tcPr>
            <w:tcW w:w="3204" w:type="dxa"/>
            <w:tcBorders>
              <w:left w:val="dashed" w:sz="8" w:space="0" w:color="4AACC5"/>
              <w:right w:val="dashed" w:sz="8" w:space="0" w:color="4AACC5"/>
            </w:tcBorders>
            <w:shd w:val="clear" w:color="auto" w:fill="D2EAF0"/>
          </w:tcPr>
          <w:p w14:paraId="02205B53" w14:textId="77777777" w:rsidR="00C81834" w:rsidRPr="00CF0F96" w:rsidRDefault="00C81834" w:rsidP="00C81834">
            <w:pPr>
              <w:pStyle w:val="TableParagraph"/>
              <w:rPr>
                <w:rFonts w:ascii="Arial" w:hAnsi="Arial" w:cs="Arial"/>
                <w:i/>
                <w:sz w:val="21"/>
              </w:rPr>
            </w:pPr>
            <w:r w:rsidRPr="00CF0F96">
              <w:rPr>
                <w:rFonts w:ascii="Arial" w:hAnsi="Arial" w:cs="Arial"/>
                <w:i/>
                <w:sz w:val="21"/>
              </w:rPr>
              <w:t>Craugastor merendonensis</w:t>
            </w:r>
          </w:p>
        </w:tc>
        <w:tc>
          <w:tcPr>
            <w:tcW w:w="1372" w:type="dxa"/>
            <w:tcBorders>
              <w:left w:val="dashed" w:sz="8" w:space="0" w:color="4AACC5"/>
              <w:right w:val="dashed" w:sz="8" w:space="0" w:color="4AACC5"/>
            </w:tcBorders>
            <w:shd w:val="clear" w:color="auto" w:fill="D2EAF0"/>
          </w:tcPr>
          <w:p w14:paraId="2E5C2897"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29E7E572" w14:textId="77777777" w:rsidTr="00C81834">
        <w:trPr>
          <w:trHeight w:val="369"/>
          <w:jc w:val="center"/>
        </w:trPr>
        <w:tc>
          <w:tcPr>
            <w:tcW w:w="1804" w:type="dxa"/>
            <w:tcBorders>
              <w:left w:val="dashed" w:sz="8" w:space="0" w:color="4AACC5"/>
              <w:right w:val="dashed" w:sz="8" w:space="0" w:color="4AACC5"/>
            </w:tcBorders>
          </w:tcPr>
          <w:p w14:paraId="7FDCD3EF"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tcPr>
          <w:p w14:paraId="55BB7DDF"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Craugastoridae</w:t>
            </w:r>
          </w:p>
        </w:tc>
        <w:tc>
          <w:tcPr>
            <w:tcW w:w="3204" w:type="dxa"/>
            <w:tcBorders>
              <w:left w:val="dashed" w:sz="8" w:space="0" w:color="4AACC5"/>
              <w:right w:val="dashed" w:sz="8" w:space="0" w:color="4AACC5"/>
            </w:tcBorders>
          </w:tcPr>
          <w:p w14:paraId="14D8AC35" w14:textId="77777777" w:rsidR="00C81834" w:rsidRPr="00CF0F96" w:rsidRDefault="00C81834" w:rsidP="00C81834">
            <w:pPr>
              <w:pStyle w:val="TableParagraph"/>
              <w:rPr>
                <w:rFonts w:ascii="Arial" w:hAnsi="Arial" w:cs="Arial"/>
                <w:i/>
                <w:sz w:val="21"/>
              </w:rPr>
            </w:pPr>
            <w:r w:rsidRPr="00CF0F96">
              <w:rPr>
                <w:rFonts w:ascii="Arial" w:hAnsi="Arial" w:cs="Arial"/>
                <w:i/>
                <w:sz w:val="21"/>
              </w:rPr>
              <w:t>Craugastor milesi</w:t>
            </w:r>
          </w:p>
        </w:tc>
        <w:tc>
          <w:tcPr>
            <w:tcW w:w="1372" w:type="dxa"/>
            <w:tcBorders>
              <w:left w:val="dashed" w:sz="8" w:space="0" w:color="4AACC5"/>
              <w:right w:val="dashed" w:sz="8" w:space="0" w:color="4AACC5"/>
            </w:tcBorders>
          </w:tcPr>
          <w:p w14:paraId="575318B6"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5103D9FB" w14:textId="77777777" w:rsidTr="00C81834">
        <w:trPr>
          <w:trHeight w:val="369"/>
          <w:jc w:val="center"/>
        </w:trPr>
        <w:tc>
          <w:tcPr>
            <w:tcW w:w="1804" w:type="dxa"/>
            <w:tcBorders>
              <w:left w:val="dashed" w:sz="8" w:space="0" w:color="4AACC5"/>
              <w:right w:val="dashed" w:sz="8" w:space="0" w:color="4AACC5"/>
            </w:tcBorders>
            <w:shd w:val="clear" w:color="auto" w:fill="D2EAF0"/>
          </w:tcPr>
          <w:p w14:paraId="405A0C66"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shd w:val="clear" w:color="auto" w:fill="D2EAF0"/>
          </w:tcPr>
          <w:p w14:paraId="599A718E"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Craugastoridae</w:t>
            </w:r>
          </w:p>
        </w:tc>
        <w:tc>
          <w:tcPr>
            <w:tcW w:w="3204" w:type="dxa"/>
            <w:tcBorders>
              <w:left w:val="dashed" w:sz="8" w:space="0" w:color="4AACC5"/>
              <w:right w:val="dashed" w:sz="8" w:space="0" w:color="4AACC5"/>
            </w:tcBorders>
            <w:shd w:val="clear" w:color="auto" w:fill="D2EAF0"/>
          </w:tcPr>
          <w:p w14:paraId="15033FE3" w14:textId="77777777" w:rsidR="00C81834" w:rsidRPr="00CF0F96" w:rsidRDefault="00C81834" w:rsidP="00C81834">
            <w:pPr>
              <w:pStyle w:val="TableParagraph"/>
              <w:rPr>
                <w:rFonts w:ascii="Arial" w:hAnsi="Arial" w:cs="Arial"/>
                <w:i/>
                <w:sz w:val="21"/>
              </w:rPr>
            </w:pPr>
            <w:r w:rsidRPr="00CF0F96">
              <w:rPr>
                <w:rFonts w:ascii="Arial" w:hAnsi="Arial" w:cs="Arial"/>
                <w:i/>
                <w:sz w:val="21"/>
              </w:rPr>
              <w:t>Craugastor olanchano</w:t>
            </w:r>
          </w:p>
        </w:tc>
        <w:tc>
          <w:tcPr>
            <w:tcW w:w="1372" w:type="dxa"/>
            <w:tcBorders>
              <w:left w:val="dashed" w:sz="8" w:space="0" w:color="4AACC5"/>
              <w:right w:val="dashed" w:sz="8" w:space="0" w:color="4AACC5"/>
            </w:tcBorders>
            <w:shd w:val="clear" w:color="auto" w:fill="D2EAF0"/>
          </w:tcPr>
          <w:p w14:paraId="38B69F23"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0B4B026F" w14:textId="77777777" w:rsidTr="00C81834">
        <w:trPr>
          <w:trHeight w:val="369"/>
          <w:jc w:val="center"/>
        </w:trPr>
        <w:tc>
          <w:tcPr>
            <w:tcW w:w="1804" w:type="dxa"/>
            <w:tcBorders>
              <w:left w:val="dashed" w:sz="8" w:space="0" w:color="4AACC5"/>
              <w:right w:val="dashed" w:sz="8" w:space="0" w:color="4AACC5"/>
            </w:tcBorders>
          </w:tcPr>
          <w:p w14:paraId="1BCE4AFA"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tcPr>
          <w:p w14:paraId="541F15A9"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Craugastoridae</w:t>
            </w:r>
          </w:p>
        </w:tc>
        <w:tc>
          <w:tcPr>
            <w:tcW w:w="3204" w:type="dxa"/>
            <w:tcBorders>
              <w:left w:val="dashed" w:sz="8" w:space="0" w:color="4AACC5"/>
              <w:right w:val="dashed" w:sz="8" w:space="0" w:color="4AACC5"/>
            </w:tcBorders>
          </w:tcPr>
          <w:p w14:paraId="478EE11E" w14:textId="77777777" w:rsidR="00C81834" w:rsidRPr="00CF0F96" w:rsidRDefault="00C81834" w:rsidP="00C81834">
            <w:pPr>
              <w:pStyle w:val="TableParagraph"/>
              <w:rPr>
                <w:rFonts w:ascii="Arial" w:hAnsi="Arial" w:cs="Arial"/>
                <w:i/>
                <w:sz w:val="21"/>
              </w:rPr>
            </w:pPr>
            <w:r w:rsidRPr="00CF0F96">
              <w:rPr>
                <w:rFonts w:ascii="Arial" w:hAnsi="Arial" w:cs="Arial"/>
                <w:i/>
                <w:sz w:val="21"/>
              </w:rPr>
              <w:t>Craugastor omoaensis</w:t>
            </w:r>
          </w:p>
        </w:tc>
        <w:tc>
          <w:tcPr>
            <w:tcW w:w="1372" w:type="dxa"/>
            <w:tcBorders>
              <w:left w:val="dashed" w:sz="8" w:space="0" w:color="4AACC5"/>
              <w:right w:val="dashed" w:sz="8" w:space="0" w:color="4AACC5"/>
            </w:tcBorders>
          </w:tcPr>
          <w:p w14:paraId="4F5F04E1"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67B9D4F3" w14:textId="77777777" w:rsidTr="00C81834">
        <w:trPr>
          <w:trHeight w:val="369"/>
          <w:jc w:val="center"/>
        </w:trPr>
        <w:tc>
          <w:tcPr>
            <w:tcW w:w="1804" w:type="dxa"/>
            <w:tcBorders>
              <w:left w:val="dashed" w:sz="8" w:space="0" w:color="4AACC5"/>
              <w:right w:val="dashed" w:sz="8" w:space="0" w:color="4AACC5"/>
            </w:tcBorders>
            <w:shd w:val="clear" w:color="auto" w:fill="D2EAF0"/>
          </w:tcPr>
          <w:p w14:paraId="57A915DE"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shd w:val="clear" w:color="auto" w:fill="D2EAF0"/>
          </w:tcPr>
          <w:p w14:paraId="0CB8D2AC"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Craugastoridae</w:t>
            </w:r>
          </w:p>
        </w:tc>
        <w:tc>
          <w:tcPr>
            <w:tcW w:w="3204" w:type="dxa"/>
            <w:tcBorders>
              <w:left w:val="dashed" w:sz="8" w:space="0" w:color="4AACC5"/>
              <w:right w:val="dashed" w:sz="8" w:space="0" w:color="4AACC5"/>
            </w:tcBorders>
            <w:shd w:val="clear" w:color="auto" w:fill="D2EAF0"/>
          </w:tcPr>
          <w:p w14:paraId="2976CEFA" w14:textId="77777777" w:rsidR="00C81834" w:rsidRPr="00CF0F96" w:rsidRDefault="00C81834" w:rsidP="00C81834">
            <w:pPr>
              <w:pStyle w:val="TableParagraph"/>
              <w:rPr>
                <w:rFonts w:ascii="Arial" w:hAnsi="Arial" w:cs="Arial"/>
                <w:i/>
                <w:sz w:val="21"/>
              </w:rPr>
            </w:pPr>
            <w:r w:rsidRPr="00CF0F96">
              <w:rPr>
                <w:rFonts w:ascii="Arial" w:hAnsi="Arial" w:cs="Arial"/>
                <w:i/>
                <w:sz w:val="21"/>
              </w:rPr>
              <w:t>Craugastor pechorum</w:t>
            </w:r>
          </w:p>
        </w:tc>
        <w:tc>
          <w:tcPr>
            <w:tcW w:w="1372" w:type="dxa"/>
            <w:tcBorders>
              <w:left w:val="dashed" w:sz="8" w:space="0" w:color="4AACC5"/>
              <w:right w:val="dashed" w:sz="8" w:space="0" w:color="4AACC5"/>
            </w:tcBorders>
            <w:shd w:val="clear" w:color="auto" w:fill="D2EAF0"/>
          </w:tcPr>
          <w:p w14:paraId="4DEF1307"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62277648" w14:textId="77777777" w:rsidTr="00C81834">
        <w:trPr>
          <w:trHeight w:val="369"/>
          <w:jc w:val="center"/>
        </w:trPr>
        <w:tc>
          <w:tcPr>
            <w:tcW w:w="1804" w:type="dxa"/>
            <w:tcBorders>
              <w:left w:val="dashed" w:sz="8" w:space="0" w:color="4AACC5"/>
              <w:right w:val="dashed" w:sz="8" w:space="0" w:color="4AACC5"/>
            </w:tcBorders>
          </w:tcPr>
          <w:p w14:paraId="5F2B4D36"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tcPr>
          <w:p w14:paraId="1B3DEFC7"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Craugastoridae</w:t>
            </w:r>
          </w:p>
        </w:tc>
        <w:tc>
          <w:tcPr>
            <w:tcW w:w="3204" w:type="dxa"/>
            <w:tcBorders>
              <w:left w:val="dashed" w:sz="8" w:space="0" w:color="4AACC5"/>
              <w:right w:val="dashed" w:sz="8" w:space="0" w:color="4AACC5"/>
            </w:tcBorders>
          </w:tcPr>
          <w:p w14:paraId="322472FF" w14:textId="77777777" w:rsidR="00C81834" w:rsidRPr="00CF0F96" w:rsidRDefault="00C81834" w:rsidP="00C81834">
            <w:pPr>
              <w:pStyle w:val="TableParagraph"/>
              <w:rPr>
                <w:rFonts w:ascii="Arial" w:hAnsi="Arial" w:cs="Arial"/>
                <w:i/>
                <w:sz w:val="21"/>
              </w:rPr>
            </w:pPr>
            <w:r w:rsidRPr="00CF0F96">
              <w:rPr>
                <w:rFonts w:ascii="Arial" w:hAnsi="Arial" w:cs="Arial"/>
                <w:i/>
                <w:sz w:val="21"/>
              </w:rPr>
              <w:t>Craugastor rostralis</w:t>
            </w:r>
          </w:p>
        </w:tc>
        <w:tc>
          <w:tcPr>
            <w:tcW w:w="1372" w:type="dxa"/>
            <w:tcBorders>
              <w:left w:val="dashed" w:sz="8" w:space="0" w:color="4AACC5"/>
              <w:right w:val="dashed" w:sz="8" w:space="0" w:color="4AACC5"/>
            </w:tcBorders>
          </w:tcPr>
          <w:p w14:paraId="3B5C61FA"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3D3EABA7" w14:textId="77777777" w:rsidTr="00C81834">
        <w:trPr>
          <w:trHeight w:val="369"/>
          <w:jc w:val="center"/>
        </w:trPr>
        <w:tc>
          <w:tcPr>
            <w:tcW w:w="1804" w:type="dxa"/>
            <w:tcBorders>
              <w:left w:val="dashed" w:sz="8" w:space="0" w:color="4AACC5"/>
              <w:right w:val="dashed" w:sz="8" w:space="0" w:color="4AACC5"/>
            </w:tcBorders>
            <w:shd w:val="clear" w:color="auto" w:fill="D2EAF0"/>
          </w:tcPr>
          <w:p w14:paraId="1EF1866B"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shd w:val="clear" w:color="auto" w:fill="D2EAF0"/>
          </w:tcPr>
          <w:p w14:paraId="32BE7DAE"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Craugastoridae</w:t>
            </w:r>
          </w:p>
        </w:tc>
        <w:tc>
          <w:tcPr>
            <w:tcW w:w="3204" w:type="dxa"/>
            <w:tcBorders>
              <w:left w:val="dashed" w:sz="8" w:space="0" w:color="4AACC5"/>
              <w:right w:val="dashed" w:sz="8" w:space="0" w:color="4AACC5"/>
            </w:tcBorders>
            <w:shd w:val="clear" w:color="auto" w:fill="D2EAF0"/>
          </w:tcPr>
          <w:p w14:paraId="50E848A3" w14:textId="77777777" w:rsidR="00C81834" w:rsidRPr="00CF0F96" w:rsidRDefault="00C81834" w:rsidP="00C81834">
            <w:pPr>
              <w:pStyle w:val="TableParagraph"/>
              <w:rPr>
                <w:rFonts w:ascii="Arial" w:hAnsi="Arial" w:cs="Arial"/>
                <w:i/>
                <w:sz w:val="21"/>
              </w:rPr>
            </w:pPr>
            <w:r w:rsidRPr="00CF0F96">
              <w:rPr>
                <w:rFonts w:ascii="Arial" w:hAnsi="Arial" w:cs="Arial"/>
                <w:i/>
                <w:sz w:val="21"/>
              </w:rPr>
              <w:t>Craugastor saltuarius</w:t>
            </w:r>
          </w:p>
        </w:tc>
        <w:tc>
          <w:tcPr>
            <w:tcW w:w="1372" w:type="dxa"/>
            <w:tcBorders>
              <w:left w:val="dashed" w:sz="8" w:space="0" w:color="4AACC5"/>
              <w:right w:val="dashed" w:sz="8" w:space="0" w:color="4AACC5"/>
            </w:tcBorders>
            <w:shd w:val="clear" w:color="auto" w:fill="D2EAF0"/>
          </w:tcPr>
          <w:p w14:paraId="7A37798A"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5C5904F9" w14:textId="77777777" w:rsidTr="00C81834">
        <w:trPr>
          <w:trHeight w:val="369"/>
          <w:jc w:val="center"/>
        </w:trPr>
        <w:tc>
          <w:tcPr>
            <w:tcW w:w="1804" w:type="dxa"/>
            <w:tcBorders>
              <w:left w:val="dashed" w:sz="8" w:space="0" w:color="4AACC5"/>
              <w:right w:val="dashed" w:sz="8" w:space="0" w:color="4AACC5"/>
            </w:tcBorders>
          </w:tcPr>
          <w:p w14:paraId="284BFDB6"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tcPr>
          <w:p w14:paraId="0650F302"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Craugastoridae</w:t>
            </w:r>
          </w:p>
        </w:tc>
        <w:tc>
          <w:tcPr>
            <w:tcW w:w="3204" w:type="dxa"/>
            <w:tcBorders>
              <w:left w:val="dashed" w:sz="8" w:space="0" w:color="4AACC5"/>
              <w:right w:val="dashed" w:sz="8" w:space="0" w:color="4AACC5"/>
            </w:tcBorders>
          </w:tcPr>
          <w:p w14:paraId="6A873691" w14:textId="77777777" w:rsidR="00C81834" w:rsidRPr="00CF0F96" w:rsidRDefault="00C81834" w:rsidP="00C81834">
            <w:pPr>
              <w:pStyle w:val="TableParagraph"/>
              <w:rPr>
                <w:rFonts w:ascii="Arial" w:hAnsi="Arial" w:cs="Arial"/>
                <w:i/>
                <w:sz w:val="21"/>
              </w:rPr>
            </w:pPr>
            <w:r w:rsidRPr="00CF0F96">
              <w:rPr>
                <w:rFonts w:ascii="Arial" w:hAnsi="Arial" w:cs="Arial"/>
                <w:i/>
                <w:sz w:val="21"/>
              </w:rPr>
              <w:t>Craugastor stadelmani</w:t>
            </w:r>
          </w:p>
        </w:tc>
        <w:tc>
          <w:tcPr>
            <w:tcW w:w="1372" w:type="dxa"/>
            <w:tcBorders>
              <w:left w:val="dashed" w:sz="8" w:space="0" w:color="4AACC5"/>
              <w:right w:val="dashed" w:sz="8" w:space="0" w:color="4AACC5"/>
            </w:tcBorders>
          </w:tcPr>
          <w:p w14:paraId="60454445"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2C6A1BBE" w14:textId="77777777" w:rsidTr="00C81834">
        <w:trPr>
          <w:trHeight w:val="369"/>
          <w:jc w:val="center"/>
        </w:trPr>
        <w:tc>
          <w:tcPr>
            <w:tcW w:w="1804" w:type="dxa"/>
            <w:tcBorders>
              <w:left w:val="dashed" w:sz="8" w:space="0" w:color="4AACC5"/>
              <w:right w:val="dashed" w:sz="8" w:space="0" w:color="4AACC5"/>
            </w:tcBorders>
            <w:shd w:val="clear" w:color="auto" w:fill="D2EAF0"/>
          </w:tcPr>
          <w:p w14:paraId="5E20B29A"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shd w:val="clear" w:color="auto" w:fill="D2EAF0"/>
          </w:tcPr>
          <w:p w14:paraId="2770983C"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Hylidae</w:t>
            </w:r>
          </w:p>
        </w:tc>
        <w:tc>
          <w:tcPr>
            <w:tcW w:w="3204" w:type="dxa"/>
            <w:tcBorders>
              <w:left w:val="dashed" w:sz="8" w:space="0" w:color="4AACC5"/>
              <w:right w:val="dashed" w:sz="8" w:space="0" w:color="4AACC5"/>
            </w:tcBorders>
            <w:shd w:val="clear" w:color="auto" w:fill="D2EAF0"/>
          </w:tcPr>
          <w:p w14:paraId="258D0AEB" w14:textId="77777777" w:rsidR="00C81834" w:rsidRPr="00CF0F96" w:rsidRDefault="00C81834" w:rsidP="00C81834">
            <w:pPr>
              <w:pStyle w:val="TableParagraph"/>
              <w:rPr>
                <w:rFonts w:ascii="Arial" w:hAnsi="Arial" w:cs="Arial"/>
                <w:i/>
                <w:sz w:val="21"/>
              </w:rPr>
            </w:pPr>
            <w:r w:rsidRPr="00CF0F96">
              <w:rPr>
                <w:rFonts w:ascii="Arial" w:hAnsi="Arial" w:cs="Arial"/>
                <w:i/>
                <w:sz w:val="21"/>
              </w:rPr>
              <w:t>Duellmanohyla soralia</w:t>
            </w:r>
          </w:p>
        </w:tc>
        <w:tc>
          <w:tcPr>
            <w:tcW w:w="1372" w:type="dxa"/>
            <w:tcBorders>
              <w:left w:val="dashed" w:sz="8" w:space="0" w:color="4AACC5"/>
              <w:right w:val="dashed" w:sz="8" w:space="0" w:color="4AACC5"/>
            </w:tcBorders>
            <w:shd w:val="clear" w:color="auto" w:fill="D2EAF0"/>
          </w:tcPr>
          <w:p w14:paraId="2EE89A09"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69FD1491" w14:textId="77777777" w:rsidTr="00C81834">
        <w:trPr>
          <w:trHeight w:val="369"/>
          <w:jc w:val="center"/>
        </w:trPr>
        <w:tc>
          <w:tcPr>
            <w:tcW w:w="1804" w:type="dxa"/>
            <w:tcBorders>
              <w:left w:val="dashed" w:sz="8" w:space="0" w:color="4AACC5"/>
              <w:right w:val="dashed" w:sz="8" w:space="0" w:color="4AACC5"/>
            </w:tcBorders>
          </w:tcPr>
          <w:p w14:paraId="7DB72502"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tcPr>
          <w:p w14:paraId="7613A786"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Hylidae</w:t>
            </w:r>
          </w:p>
        </w:tc>
        <w:tc>
          <w:tcPr>
            <w:tcW w:w="3204" w:type="dxa"/>
            <w:tcBorders>
              <w:left w:val="dashed" w:sz="8" w:space="0" w:color="4AACC5"/>
              <w:right w:val="dashed" w:sz="8" w:space="0" w:color="4AACC5"/>
            </w:tcBorders>
          </w:tcPr>
          <w:p w14:paraId="6B0EABCD" w14:textId="77777777" w:rsidR="00C81834" w:rsidRPr="00CF0F96" w:rsidRDefault="00C81834" w:rsidP="00C81834">
            <w:pPr>
              <w:pStyle w:val="TableParagraph"/>
              <w:rPr>
                <w:rFonts w:ascii="Arial" w:hAnsi="Arial" w:cs="Arial"/>
                <w:i/>
                <w:sz w:val="21"/>
              </w:rPr>
            </w:pPr>
            <w:r w:rsidRPr="00CF0F96">
              <w:rPr>
                <w:rFonts w:ascii="Arial" w:hAnsi="Arial" w:cs="Arial"/>
                <w:i/>
                <w:sz w:val="21"/>
              </w:rPr>
              <w:t>Duellmanohyla salvavida</w:t>
            </w:r>
          </w:p>
        </w:tc>
        <w:tc>
          <w:tcPr>
            <w:tcW w:w="1372" w:type="dxa"/>
            <w:tcBorders>
              <w:left w:val="dashed" w:sz="8" w:space="0" w:color="4AACC5"/>
              <w:right w:val="dashed" w:sz="8" w:space="0" w:color="4AACC5"/>
            </w:tcBorders>
          </w:tcPr>
          <w:p w14:paraId="2CE1B582"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016EA49E" w14:textId="77777777" w:rsidTr="00C81834">
        <w:trPr>
          <w:trHeight w:val="369"/>
          <w:jc w:val="center"/>
        </w:trPr>
        <w:tc>
          <w:tcPr>
            <w:tcW w:w="1804" w:type="dxa"/>
            <w:tcBorders>
              <w:left w:val="dashed" w:sz="8" w:space="0" w:color="4AACC5"/>
              <w:right w:val="dashed" w:sz="8" w:space="0" w:color="4AACC5"/>
            </w:tcBorders>
            <w:shd w:val="clear" w:color="auto" w:fill="D2EAF0"/>
          </w:tcPr>
          <w:p w14:paraId="2D0ADE70"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shd w:val="clear" w:color="auto" w:fill="D2EAF0"/>
          </w:tcPr>
          <w:p w14:paraId="15042769"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Hylidae</w:t>
            </w:r>
          </w:p>
        </w:tc>
        <w:tc>
          <w:tcPr>
            <w:tcW w:w="3204" w:type="dxa"/>
            <w:tcBorders>
              <w:left w:val="dashed" w:sz="8" w:space="0" w:color="4AACC5"/>
              <w:right w:val="dashed" w:sz="8" w:space="0" w:color="4AACC5"/>
            </w:tcBorders>
            <w:shd w:val="clear" w:color="auto" w:fill="D2EAF0"/>
          </w:tcPr>
          <w:p w14:paraId="5B68ADE0" w14:textId="77777777" w:rsidR="00C81834" w:rsidRPr="00CF0F96" w:rsidRDefault="00C81834" w:rsidP="00C81834">
            <w:pPr>
              <w:pStyle w:val="TableParagraph"/>
              <w:rPr>
                <w:rFonts w:ascii="Arial" w:hAnsi="Arial" w:cs="Arial"/>
                <w:i/>
                <w:sz w:val="21"/>
              </w:rPr>
            </w:pPr>
            <w:r w:rsidRPr="00CF0F96">
              <w:rPr>
                <w:rFonts w:ascii="Arial" w:hAnsi="Arial" w:cs="Arial"/>
                <w:i/>
                <w:sz w:val="21"/>
              </w:rPr>
              <w:t>Ecnomiohyla miliaria</w:t>
            </w:r>
          </w:p>
        </w:tc>
        <w:tc>
          <w:tcPr>
            <w:tcW w:w="1372" w:type="dxa"/>
            <w:tcBorders>
              <w:left w:val="dashed" w:sz="8" w:space="0" w:color="4AACC5"/>
              <w:right w:val="dashed" w:sz="8" w:space="0" w:color="4AACC5"/>
            </w:tcBorders>
            <w:shd w:val="clear" w:color="auto" w:fill="D2EAF0"/>
          </w:tcPr>
          <w:p w14:paraId="59E35632"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61B104F0" w14:textId="77777777" w:rsidTr="00C81834">
        <w:trPr>
          <w:trHeight w:val="369"/>
          <w:jc w:val="center"/>
        </w:trPr>
        <w:tc>
          <w:tcPr>
            <w:tcW w:w="1804" w:type="dxa"/>
            <w:tcBorders>
              <w:left w:val="dashed" w:sz="8" w:space="0" w:color="4AACC5"/>
              <w:right w:val="dashed" w:sz="8" w:space="0" w:color="4AACC5"/>
            </w:tcBorders>
          </w:tcPr>
          <w:p w14:paraId="0CADFCD2"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tcPr>
          <w:p w14:paraId="09C8B958"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Hylidae</w:t>
            </w:r>
          </w:p>
        </w:tc>
        <w:tc>
          <w:tcPr>
            <w:tcW w:w="3204" w:type="dxa"/>
            <w:tcBorders>
              <w:left w:val="dashed" w:sz="8" w:space="0" w:color="4AACC5"/>
              <w:right w:val="dashed" w:sz="8" w:space="0" w:color="4AACC5"/>
            </w:tcBorders>
          </w:tcPr>
          <w:p w14:paraId="747B14A8" w14:textId="77777777" w:rsidR="00C81834" w:rsidRPr="00CF0F96" w:rsidRDefault="00C81834" w:rsidP="00C81834">
            <w:pPr>
              <w:pStyle w:val="TableParagraph"/>
              <w:rPr>
                <w:rFonts w:ascii="Arial" w:hAnsi="Arial" w:cs="Arial"/>
                <w:i/>
                <w:sz w:val="21"/>
              </w:rPr>
            </w:pPr>
            <w:r w:rsidRPr="00CF0F96">
              <w:rPr>
                <w:rFonts w:ascii="Arial" w:hAnsi="Arial" w:cs="Arial"/>
                <w:i/>
                <w:sz w:val="21"/>
              </w:rPr>
              <w:t>Ecnomiohyla salvaje</w:t>
            </w:r>
          </w:p>
        </w:tc>
        <w:tc>
          <w:tcPr>
            <w:tcW w:w="1372" w:type="dxa"/>
            <w:tcBorders>
              <w:left w:val="dashed" w:sz="8" w:space="0" w:color="4AACC5"/>
              <w:right w:val="dashed" w:sz="8" w:space="0" w:color="4AACC5"/>
            </w:tcBorders>
          </w:tcPr>
          <w:p w14:paraId="30D4759E"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752FE197" w14:textId="77777777" w:rsidTr="00C81834">
        <w:trPr>
          <w:trHeight w:val="369"/>
          <w:jc w:val="center"/>
        </w:trPr>
        <w:tc>
          <w:tcPr>
            <w:tcW w:w="1804" w:type="dxa"/>
            <w:tcBorders>
              <w:left w:val="dashed" w:sz="8" w:space="0" w:color="4AACC5"/>
              <w:right w:val="dashed" w:sz="8" w:space="0" w:color="4AACC5"/>
            </w:tcBorders>
            <w:shd w:val="clear" w:color="auto" w:fill="D2EAF0"/>
          </w:tcPr>
          <w:p w14:paraId="5F176385"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shd w:val="clear" w:color="auto" w:fill="D2EAF0"/>
          </w:tcPr>
          <w:p w14:paraId="1F51DA95"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Hylidae</w:t>
            </w:r>
          </w:p>
        </w:tc>
        <w:tc>
          <w:tcPr>
            <w:tcW w:w="3204" w:type="dxa"/>
            <w:tcBorders>
              <w:left w:val="dashed" w:sz="8" w:space="0" w:color="4AACC5"/>
              <w:right w:val="dashed" w:sz="8" w:space="0" w:color="4AACC5"/>
            </w:tcBorders>
            <w:shd w:val="clear" w:color="auto" w:fill="D2EAF0"/>
          </w:tcPr>
          <w:p w14:paraId="223B43DF" w14:textId="77777777" w:rsidR="00C81834" w:rsidRPr="00CF0F96" w:rsidRDefault="00C81834" w:rsidP="00C81834">
            <w:pPr>
              <w:pStyle w:val="TableParagraph"/>
              <w:rPr>
                <w:rFonts w:ascii="Arial" w:hAnsi="Arial" w:cs="Arial"/>
                <w:i/>
                <w:sz w:val="21"/>
              </w:rPr>
            </w:pPr>
            <w:r w:rsidRPr="00CF0F96">
              <w:rPr>
                <w:rFonts w:ascii="Arial" w:hAnsi="Arial" w:cs="Arial"/>
                <w:i/>
                <w:sz w:val="21"/>
              </w:rPr>
              <w:t>Exerodonta catracha</w:t>
            </w:r>
          </w:p>
        </w:tc>
        <w:tc>
          <w:tcPr>
            <w:tcW w:w="1372" w:type="dxa"/>
            <w:tcBorders>
              <w:left w:val="dashed" w:sz="8" w:space="0" w:color="4AACC5"/>
              <w:right w:val="dashed" w:sz="8" w:space="0" w:color="4AACC5"/>
            </w:tcBorders>
            <w:shd w:val="clear" w:color="auto" w:fill="D2EAF0"/>
          </w:tcPr>
          <w:p w14:paraId="56A78F43"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3EC296CA" w14:textId="77777777" w:rsidTr="00C81834">
        <w:trPr>
          <w:trHeight w:val="369"/>
          <w:jc w:val="center"/>
        </w:trPr>
        <w:tc>
          <w:tcPr>
            <w:tcW w:w="1804" w:type="dxa"/>
            <w:tcBorders>
              <w:left w:val="dashed" w:sz="8" w:space="0" w:color="4AACC5"/>
              <w:right w:val="dashed" w:sz="8" w:space="0" w:color="4AACC5"/>
            </w:tcBorders>
          </w:tcPr>
          <w:p w14:paraId="48EE5F68"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tcPr>
          <w:p w14:paraId="7BCEF4DD"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Hylidae</w:t>
            </w:r>
          </w:p>
        </w:tc>
        <w:tc>
          <w:tcPr>
            <w:tcW w:w="3204" w:type="dxa"/>
            <w:tcBorders>
              <w:left w:val="dashed" w:sz="8" w:space="0" w:color="4AACC5"/>
              <w:right w:val="dashed" w:sz="8" w:space="0" w:color="4AACC5"/>
            </w:tcBorders>
          </w:tcPr>
          <w:p w14:paraId="4D94CB8E" w14:textId="77777777" w:rsidR="00C81834" w:rsidRPr="00CF0F96" w:rsidRDefault="00C81834" w:rsidP="00C81834">
            <w:pPr>
              <w:pStyle w:val="TableParagraph"/>
              <w:rPr>
                <w:rFonts w:ascii="Arial" w:hAnsi="Arial" w:cs="Arial"/>
                <w:i/>
                <w:sz w:val="21"/>
              </w:rPr>
            </w:pPr>
            <w:r w:rsidRPr="00CF0F96">
              <w:rPr>
                <w:rFonts w:ascii="Arial" w:hAnsi="Arial" w:cs="Arial"/>
                <w:i/>
                <w:sz w:val="21"/>
              </w:rPr>
              <w:t>Isthmohyla insolita</w:t>
            </w:r>
          </w:p>
        </w:tc>
        <w:tc>
          <w:tcPr>
            <w:tcW w:w="1372" w:type="dxa"/>
            <w:tcBorders>
              <w:left w:val="dashed" w:sz="8" w:space="0" w:color="4AACC5"/>
              <w:right w:val="dashed" w:sz="8" w:space="0" w:color="4AACC5"/>
            </w:tcBorders>
          </w:tcPr>
          <w:p w14:paraId="6051D76F"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5D11705B" w14:textId="77777777" w:rsidTr="00C81834">
        <w:trPr>
          <w:trHeight w:val="369"/>
          <w:jc w:val="center"/>
        </w:trPr>
        <w:tc>
          <w:tcPr>
            <w:tcW w:w="1804" w:type="dxa"/>
            <w:tcBorders>
              <w:left w:val="dashed" w:sz="8" w:space="0" w:color="4AACC5"/>
              <w:right w:val="dashed" w:sz="8" w:space="0" w:color="4AACC5"/>
            </w:tcBorders>
            <w:shd w:val="clear" w:color="auto" w:fill="D2EAF0"/>
          </w:tcPr>
          <w:p w14:paraId="4A1F9893"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shd w:val="clear" w:color="auto" w:fill="D2EAF0"/>
          </w:tcPr>
          <w:p w14:paraId="392D2D66"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Hylidae</w:t>
            </w:r>
          </w:p>
        </w:tc>
        <w:tc>
          <w:tcPr>
            <w:tcW w:w="3204" w:type="dxa"/>
            <w:tcBorders>
              <w:left w:val="dashed" w:sz="8" w:space="0" w:color="4AACC5"/>
              <w:right w:val="dashed" w:sz="8" w:space="0" w:color="4AACC5"/>
            </w:tcBorders>
            <w:shd w:val="clear" w:color="auto" w:fill="D2EAF0"/>
          </w:tcPr>
          <w:p w14:paraId="15336E69" w14:textId="77777777" w:rsidR="00C81834" w:rsidRPr="00CF0F96" w:rsidRDefault="00C81834" w:rsidP="00C81834">
            <w:pPr>
              <w:pStyle w:val="TableParagraph"/>
              <w:rPr>
                <w:rFonts w:ascii="Arial" w:hAnsi="Arial" w:cs="Arial"/>
                <w:i/>
                <w:sz w:val="21"/>
              </w:rPr>
            </w:pPr>
            <w:r w:rsidRPr="00CF0F96">
              <w:rPr>
                <w:rFonts w:ascii="Arial" w:hAnsi="Arial" w:cs="Arial"/>
                <w:i/>
                <w:sz w:val="21"/>
              </w:rPr>
              <w:t>Isthmohyla melacaena</w:t>
            </w:r>
          </w:p>
        </w:tc>
        <w:tc>
          <w:tcPr>
            <w:tcW w:w="1372" w:type="dxa"/>
            <w:tcBorders>
              <w:left w:val="dashed" w:sz="8" w:space="0" w:color="4AACC5"/>
              <w:right w:val="dashed" w:sz="8" w:space="0" w:color="4AACC5"/>
            </w:tcBorders>
            <w:shd w:val="clear" w:color="auto" w:fill="D2EAF0"/>
          </w:tcPr>
          <w:p w14:paraId="711F6924"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5B380F9D" w14:textId="77777777" w:rsidTr="00C81834">
        <w:trPr>
          <w:trHeight w:val="369"/>
          <w:jc w:val="center"/>
        </w:trPr>
        <w:tc>
          <w:tcPr>
            <w:tcW w:w="1804" w:type="dxa"/>
            <w:tcBorders>
              <w:left w:val="dashed" w:sz="8" w:space="0" w:color="4AACC5"/>
              <w:right w:val="dashed" w:sz="8" w:space="0" w:color="4AACC5"/>
            </w:tcBorders>
          </w:tcPr>
          <w:p w14:paraId="01102AA7"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tcPr>
          <w:p w14:paraId="6441091B"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Hylidae</w:t>
            </w:r>
          </w:p>
        </w:tc>
        <w:tc>
          <w:tcPr>
            <w:tcW w:w="3204" w:type="dxa"/>
            <w:tcBorders>
              <w:left w:val="dashed" w:sz="8" w:space="0" w:color="4AACC5"/>
              <w:right w:val="dashed" w:sz="8" w:space="0" w:color="4AACC5"/>
            </w:tcBorders>
          </w:tcPr>
          <w:p w14:paraId="2E0732BE" w14:textId="77777777" w:rsidR="00C81834" w:rsidRPr="00CF0F96" w:rsidRDefault="00C81834" w:rsidP="00C81834">
            <w:pPr>
              <w:pStyle w:val="TableParagraph"/>
              <w:rPr>
                <w:rFonts w:ascii="Arial" w:hAnsi="Arial" w:cs="Arial"/>
                <w:i/>
                <w:sz w:val="21"/>
              </w:rPr>
            </w:pPr>
            <w:r w:rsidRPr="00CF0F96">
              <w:rPr>
                <w:rFonts w:ascii="Arial" w:hAnsi="Arial" w:cs="Arial"/>
                <w:i/>
                <w:sz w:val="21"/>
              </w:rPr>
              <w:t>Plectrohyla psiloderma</w:t>
            </w:r>
          </w:p>
        </w:tc>
        <w:tc>
          <w:tcPr>
            <w:tcW w:w="1372" w:type="dxa"/>
            <w:tcBorders>
              <w:left w:val="dashed" w:sz="8" w:space="0" w:color="4AACC5"/>
              <w:right w:val="dashed" w:sz="8" w:space="0" w:color="4AACC5"/>
            </w:tcBorders>
          </w:tcPr>
          <w:p w14:paraId="65327179"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79B3B259" w14:textId="77777777" w:rsidTr="00C81834">
        <w:trPr>
          <w:trHeight w:val="369"/>
          <w:jc w:val="center"/>
        </w:trPr>
        <w:tc>
          <w:tcPr>
            <w:tcW w:w="1804" w:type="dxa"/>
            <w:tcBorders>
              <w:left w:val="dashed" w:sz="8" w:space="0" w:color="4AACC5"/>
              <w:right w:val="dashed" w:sz="8" w:space="0" w:color="4AACC5"/>
            </w:tcBorders>
            <w:shd w:val="clear" w:color="auto" w:fill="D2EAF0"/>
          </w:tcPr>
          <w:p w14:paraId="10BBE004"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shd w:val="clear" w:color="auto" w:fill="D2EAF0"/>
          </w:tcPr>
          <w:p w14:paraId="128DB519"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Hylidae</w:t>
            </w:r>
          </w:p>
        </w:tc>
        <w:tc>
          <w:tcPr>
            <w:tcW w:w="3204" w:type="dxa"/>
            <w:tcBorders>
              <w:left w:val="dashed" w:sz="8" w:space="0" w:color="4AACC5"/>
              <w:right w:val="dashed" w:sz="8" w:space="0" w:color="4AACC5"/>
            </w:tcBorders>
            <w:shd w:val="clear" w:color="auto" w:fill="D2EAF0"/>
          </w:tcPr>
          <w:p w14:paraId="61694A09" w14:textId="77777777" w:rsidR="00C81834" w:rsidRPr="00CF0F96" w:rsidRDefault="00C81834" w:rsidP="00C81834">
            <w:pPr>
              <w:pStyle w:val="TableParagraph"/>
              <w:rPr>
                <w:rFonts w:ascii="Arial" w:hAnsi="Arial" w:cs="Arial"/>
                <w:i/>
                <w:sz w:val="21"/>
              </w:rPr>
            </w:pPr>
            <w:r w:rsidRPr="00CF0F96">
              <w:rPr>
                <w:rFonts w:ascii="Arial" w:hAnsi="Arial" w:cs="Arial"/>
                <w:i/>
                <w:sz w:val="21"/>
              </w:rPr>
              <w:t>Plectrohyla guatemalensis</w:t>
            </w:r>
          </w:p>
        </w:tc>
        <w:tc>
          <w:tcPr>
            <w:tcW w:w="1372" w:type="dxa"/>
            <w:tcBorders>
              <w:left w:val="dashed" w:sz="8" w:space="0" w:color="4AACC5"/>
              <w:right w:val="dashed" w:sz="8" w:space="0" w:color="4AACC5"/>
            </w:tcBorders>
            <w:shd w:val="clear" w:color="auto" w:fill="D2EAF0"/>
          </w:tcPr>
          <w:p w14:paraId="1F4A1FD3"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619F981B" w14:textId="77777777" w:rsidTr="00C81834">
        <w:trPr>
          <w:trHeight w:val="369"/>
          <w:jc w:val="center"/>
        </w:trPr>
        <w:tc>
          <w:tcPr>
            <w:tcW w:w="1804" w:type="dxa"/>
            <w:tcBorders>
              <w:left w:val="dashed" w:sz="8" w:space="0" w:color="4AACC5"/>
              <w:right w:val="dashed" w:sz="8" w:space="0" w:color="4AACC5"/>
            </w:tcBorders>
          </w:tcPr>
          <w:p w14:paraId="7DCDF238"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tcPr>
          <w:p w14:paraId="60D25224"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Hylidae</w:t>
            </w:r>
          </w:p>
        </w:tc>
        <w:tc>
          <w:tcPr>
            <w:tcW w:w="3204" w:type="dxa"/>
            <w:tcBorders>
              <w:left w:val="dashed" w:sz="8" w:space="0" w:color="4AACC5"/>
              <w:right w:val="dashed" w:sz="8" w:space="0" w:color="4AACC5"/>
            </w:tcBorders>
          </w:tcPr>
          <w:p w14:paraId="7FA61C65" w14:textId="77777777" w:rsidR="00C81834" w:rsidRPr="00CF0F96" w:rsidRDefault="00C81834" w:rsidP="00C81834">
            <w:pPr>
              <w:pStyle w:val="TableParagraph"/>
              <w:rPr>
                <w:rFonts w:ascii="Arial" w:hAnsi="Arial" w:cs="Arial"/>
                <w:i/>
                <w:sz w:val="21"/>
              </w:rPr>
            </w:pPr>
            <w:r w:rsidRPr="00CF0F96">
              <w:rPr>
                <w:rFonts w:ascii="Arial" w:hAnsi="Arial" w:cs="Arial"/>
                <w:i/>
                <w:sz w:val="21"/>
              </w:rPr>
              <w:t>Plectrohyla exquisita</w:t>
            </w:r>
          </w:p>
        </w:tc>
        <w:tc>
          <w:tcPr>
            <w:tcW w:w="1372" w:type="dxa"/>
            <w:tcBorders>
              <w:left w:val="dashed" w:sz="8" w:space="0" w:color="4AACC5"/>
              <w:right w:val="dashed" w:sz="8" w:space="0" w:color="4AACC5"/>
            </w:tcBorders>
          </w:tcPr>
          <w:p w14:paraId="229C4F6C"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74879380" w14:textId="77777777" w:rsidTr="00C81834">
        <w:trPr>
          <w:trHeight w:val="369"/>
          <w:jc w:val="center"/>
        </w:trPr>
        <w:tc>
          <w:tcPr>
            <w:tcW w:w="1804" w:type="dxa"/>
            <w:tcBorders>
              <w:left w:val="dashed" w:sz="8" w:space="0" w:color="4AACC5"/>
              <w:right w:val="dashed" w:sz="8" w:space="0" w:color="4AACC5"/>
            </w:tcBorders>
            <w:shd w:val="clear" w:color="auto" w:fill="D2EAF0"/>
          </w:tcPr>
          <w:p w14:paraId="429B34A7"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shd w:val="clear" w:color="auto" w:fill="D2EAF0"/>
          </w:tcPr>
          <w:p w14:paraId="573FB346"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Hylidae</w:t>
            </w:r>
          </w:p>
        </w:tc>
        <w:tc>
          <w:tcPr>
            <w:tcW w:w="3204" w:type="dxa"/>
            <w:tcBorders>
              <w:left w:val="dashed" w:sz="8" w:space="0" w:color="4AACC5"/>
              <w:right w:val="dashed" w:sz="8" w:space="0" w:color="4AACC5"/>
            </w:tcBorders>
            <w:shd w:val="clear" w:color="auto" w:fill="D2EAF0"/>
          </w:tcPr>
          <w:p w14:paraId="41CD5EA5" w14:textId="77777777" w:rsidR="00C81834" w:rsidRPr="00CF0F96" w:rsidRDefault="00C81834" w:rsidP="00C81834">
            <w:pPr>
              <w:pStyle w:val="TableParagraph"/>
              <w:rPr>
                <w:rFonts w:ascii="Arial" w:hAnsi="Arial" w:cs="Arial"/>
                <w:i/>
                <w:sz w:val="21"/>
              </w:rPr>
            </w:pPr>
            <w:r w:rsidRPr="00CF0F96">
              <w:rPr>
                <w:rFonts w:ascii="Arial" w:hAnsi="Arial" w:cs="Arial"/>
                <w:i/>
                <w:sz w:val="21"/>
              </w:rPr>
              <w:t>Plectrohyla dasypus</w:t>
            </w:r>
          </w:p>
        </w:tc>
        <w:tc>
          <w:tcPr>
            <w:tcW w:w="1372" w:type="dxa"/>
            <w:tcBorders>
              <w:left w:val="dashed" w:sz="8" w:space="0" w:color="4AACC5"/>
              <w:right w:val="dashed" w:sz="8" w:space="0" w:color="4AACC5"/>
            </w:tcBorders>
            <w:shd w:val="clear" w:color="auto" w:fill="D2EAF0"/>
          </w:tcPr>
          <w:p w14:paraId="7EB4AE17"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57425370" w14:textId="77777777" w:rsidTr="00C81834">
        <w:trPr>
          <w:trHeight w:val="369"/>
          <w:jc w:val="center"/>
        </w:trPr>
        <w:tc>
          <w:tcPr>
            <w:tcW w:w="1804" w:type="dxa"/>
            <w:tcBorders>
              <w:left w:val="dashed" w:sz="8" w:space="0" w:color="4AACC5"/>
              <w:right w:val="dashed" w:sz="8" w:space="0" w:color="4AACC5"/>
            </w:tcBorders>
          </w:tcPr>
          <w:p w14:paraId="10328C1D"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tcPr>
          <w:p w14:paraId="7E35FCB0"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Hylidae</w:t>
            </w:r>
          </w:p>
        </w:tc>
        <w:tc>
          <w:tcPr>
            <w:tcW w:w="3204" w:type="dxa"/>
            <w:tcBorders>
              <w:left w:val="dashed" w:sz="8" w:space="0" w:color="4AACC5"/>
              <w:right w:val="dashed" w:sz="8" w:space="0" w:color="4AACC5"/>
            </w:tcBorders>
          </w:tcPr>
          <w:p w14:paraId="782BE911" w14:textId="77777777" w:rsidR="00C81834" w:rsidRPr="00CF0F96" w:rsidRDefault="00C81834" w:rsidP="00C81834">
            <w:pPr>
              <w:pStyle w:val="TableParagraph"/>
              <w:rPr>
                <w:rFonts w:ascii="Arial" w:hAnsi="Arial" w:cs="Arial"/>
                <w:i/>
                <w:sz w:val="21"/>
              </w:rPr>
            </w:pPr>
            <w:r w:rsidRPr="00CF0F96">
              <w:rPr>
                <w:rFonts w:ascii="Arial" w:hAnsi="Arial" w:cs="Arial"/>
                <w:i/>
                <w:sz w:val="21"/>
              </w:rPr>
              <w:t>Plectrohyla chrysopleura</w:t>
            </w:r>
          </w:p>
        </w:tc>
        <w:tc>
          <w:tcPr>
            <w:tcW w:w="1372" w:type="dxa"/>
            <w:tcBorders>
              <w:left w:val="dashed" w:sz="8" w:space="0" w:color="4AACC5"/>
              <w:right w:val="dashed" w:sz="8" w:space="0" w:color="4AACC5"/>
            </w:tcBorders>
          </w:tcPr>
          <w:p w14:paraId="47991834"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5276B9CD" w14:textId="77777777" w:rsidTr="00C81834">
        <w:trPr>
          <w:trHeight w:val="369"/>
          <w:jc w:val="center"/>
        </w:trPr>
        <w:tc>
          <w:tcPr>
            <w:tcW w:w="1804" w:type="dxa"/>
            <w:tcBorders>
              <w:left w:val="dashed" w:sz="8" w:space="0" w:color="4AACC5"/>
              <w:right w:val="dashed" w:sz="8" w:space="0" w:color="4AACC5"/>
            </w:tcBorders>
            <w:shd w:val="clear" w:color="auto" w:fill="D2EAF0"/>
          </w:tcPr>
          <w:p w14:paraId="2687D3A5"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shd w:val="clear" w:color="auto" w:fill="D2EAF0"/>
          </w:tcPr>
          <w:p w14:paraId="43CF2042"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Hylidae</w:t>
            </w:r>
          </w:p>
        </w:tc>
        <w:tc>
          <w:tcPr>
            <w:tcW w:w="3204" w:type="dxa"/>
            <w:tcBorders>
              <w:left w:val="dashed" w:sz="8" w:space="0" w:color="4AACC5"/>
              <w:right w:val="dashed" w:sz="8" w:space="0" w:color="4AACC5"/>
            </w:tcBorders>
            <w:shd w:val="clear" w:color="auto" w:fill="D2EAF0"/>
          </w:tcPr>
          <w:p w14:paraId="7C154A1B" w14:textId="77777777" w:rsidR="00C81834" w:rsidRPr="00CF0F96" w:rsidRDefault="00C81834" w:rsidP="00C81834">
            <w:pPr>
              <w:pStyle w:val="TableParagraph"/>
              <w:rPr>
                <w:rFonts w:ascii="Arial" w:hAnsi="Arial" w:cs="Arial"/>
                <w:i/>
                <w:sz w:val="21"/>
              </w:rPr>
            </w:pPr>
            <w:r w:rsidRPr="00CF0F96">
              <w:rPr>
                <w:rFonts w:ascii="Arial" w:hAnsi="Arial" w:cs="Arial"/>
                <w:i/>
                <w:sz w:val="21"/>
              </w:rPr>
              <w:t>Ptychohyla spinipollex</w:t>
            </w:r>
          </w:p>
        </w:tc>
        <w:tc>
          <w:tcPr>
            <w:tcW w:w="1372" w:type="dxa"/>
            <w:tcBorders>
              <w:left w:val="dashed" w:sz="8" w:space="0" w:color="4AACC5"/>
              <w:right w:val="dashed" w:sz="8" w:space="0" w:color="4AACC5"/>
            </w:tcBorders>
            <w:shd w:val="clear" w:color="auto" w:fill="D2EAF0"/>
          </w:tcPr>
          <w:p w14:paraId="57C8EE9C"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2C6FFAAF" w14:textId="77777777" w:rsidTr="00C81834">
        <w:trPr>
          <w:trHeight w:val="369"/>
          <w:jc w:val="center"/>
        </w:trPr>
        <w:tc>
          <w:tcPr>
            <w:tcW w:w="1804" w:type="dxa"/>
            <w:tcBorders>
              <w:left w:val="dashed" w:sz="8" w:space="0" w:color="4AACC5"/>
              <w:right w:val="dashed" w:sz="8" w:space="0" w:color="4AACC5"/>
            </w:tcBorders>
          </w:tcPr>
          <w:p w14:paraId="2FC2D33A"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tcPr>
          <w:p w14:paraId="602E252B"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Hylidae</w:t>
            </w:r>
          </w:p>
        </w:tc>
        <w:tc>
          <w:tcPr>
            <w:tcW w:w="3204" w:type="dxa"/>
            <w:tcBorders>
              <w:left w:val="dashed" w:sz="8" w:space="0" w:color="4AACC5"/>
              <w:right w:val="dashed" w:sz="8" w:space="0" w:color="4AACC5"/>
            </w:tcBorders>
          </w:tcPr>
          <w:p w14:paraId="6554DF4D" w14:textId="77777777" w:rsidR="00C81834" w:rsidRPr="00CF0F96" w:rsidRDefault="00C81834" w:rsidP="00C81834">
            <w:pPr>
              <w:pStyle w:val="TableParagraph"/>
              <w:rPr>
                <w:rFonts w:ascii="Arial" w:hAnsi="Arial" w:cs="Arial"/>
                <w:i/>
                <w:sz w:val="21"/>
              </w:rPr>
            </w:pPr>
            <w:r w:rsidRPr="00CF0F96">
              <w:rPr>
                <w:rFonts w:ascii="Arial" w:hAnsi="Arial" w:cs="Arial"/>
                <w:i/>
                <w:sz w:val="21"/>
              </w:rPr>
              <w:t>Ptychohyla salvadorensis</w:t>
            </w:r>
          </w:p>
        </w:tc>
        <w:tc>
          <w:tcPr>
            <w:tcW w:w="1372" w:type="dxa"/>
            <w:tcBorders>
              <w:left w:val="dashed" w:sz="8" w:space="0" w:color="4AACC5"/>
              <w:right w:val="dashed" w:sz="8" w:space="0" w:color="4AACC5"/>
            </w:tcBorders>
          </w:tcPr>
          <w:p w14:paraId="04077068"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bl>
    <w:p w14:paraId="5EF0C831" w14:textId="77777777" w:rsidR="00C81834" w:rsidRPr="00FA4B2D" w:rsidRDefault="00C81834" w:rsidP="00C81834">
      <w:pPr>
        <w:tabs>
          <w:tab w:val="left" w:pos="1245"/>
        </w:tabs>
        <w:rPr>
          <w:rFonts w:cs="Arial"/>
        </w:rPr>
      </w:pPr>
    </w:p>
    <w:tbl>
      <w:tblPr>
        <w:tblStyle w:val="TableNormal1"/>
        <w:tblpPr w:leftFromText="141" w:rightFromText="141" w:vertAnchor="page" w:horzAnchor="margin" w:tblpXSpec="center" w:tblpY="1771"/>
        <w:tblW w:w="0" w:type="auto"/>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1804"/>
        <w:gridCol w:w="1879"/>
        <w:gridCol w:w="3204"/>
        <w:gridCol w:w="1372"/>
      </w:tblGrid>
      <w:tr w:rsidR="00CF0F96" w:rsidRPr="00CF0F96" w14:paraId="37220271" w14:textId="77777777" w:rsidTr="005D7F0C">
        <w:trPr>
          <w:trHeight w:val="369"/>
        </w:trPr>
        <w:tc>
          <w:tcPr>
            <w:tcW w:w="1804" w:type="dxa"/>
            <w:tcBorders>
              <w:left w:val="dashed" w:sz="8" w:space="0" w:color="4AACC5"/>
              <w:right w:val="dashed" w:sz="8" w:space="0" w:color="4AACC5"/>
            </w:tcBorders>
            <w:shd w:val="clear" w:color="auto" w:fill="5CC5DA"/>
          </w:tcPr>
          <w:p w14:paraId="563CD79E" w14:textId="77777777" w:rsidR="00C81834" w:rsidRPr="00CF0F96" w:rsidRDefault="00C81834" w:rsidP="00C81834">
            <w:pPr>
              <w:pStyle w:val="TableParagraph"/>
              <w:ind w:left="625" w:right="605"/>
              <w:jc w:val="center"/>
              <w:rPr>
                <w:rFonts w:ascii="Arial" w:hAnsi="Arial" w:cs="Arial"/>
                <w:bCs/>
                <w:sz w:val="21"/>
              </w:rPr>
            </w:pPr>
            <w:r w:rsidRPr="00CF0F96">
              <w:rPr>
                <w:rFonts w:ascii="Arial" w:hAnsi="Arial" w:cs="Arial"/>
                <w:bCs/>
                <w:sz w:val="21"/>
              </w:rPr>
              <w:lastRenderedPageBreak/>
              <w:t>Clase</w:t>
            </w:r>
          </w:p>
        </w:tc>
        <w:tc>
          <w:tcPr>
            <w:tcW w:w="1879" w:type="dxa"/>
            <w:tcBorders>
              <w:left w:val="dashed" w:sz="8" w:space="0" w:color="4AACC5"/>
              <w:right w:val="dashed" w:sz="8" w:space="0" w:color="4AACC5"/>
            </w:tcBorders>
            <w:shd w:val="clear" w:color="auto" w:fill="5CC5DA"/>
          </w:tcPr>
          <w:p w14:paraId="77289DBD" w14:textId="77777777" w:rsidR="00C81834" w:rsidRPr="00CF0F96" w:rsidRDefault="00C81834" w:rsidP="00C81834">
            <w:pPr>
              <w:pStyle w:val="TableParagraph"/>
              <w:ind w:left="627"/>
              <w:rPr>
                <w:rFonts w:ascii="Arial" w:hAnsi="Arial" w:cs="Arial"/>
                <w:bCs/>
                <w:sz w:val="21"/>
              </w:rPr>
            </w:pPr>
            <w:r w:rsidRPr="00CF0F96">
              <w:rPr>
                <w:rFonts w:ascii="Arial" w:hAnsi="Arial" w:cs="Arial"/>
                <w:bCs/>
                <w:sz w:val="21"/>
              </w:rPr>
              <w:t>Familia</w:t>
            </w:r>
          </w:p>
        </w:tc>
        <w:tc>
          <w:tcPr>
            <w:tcW w:w="3204" w:type="dxa"/>
            <w:tcBorders>
              <w:left w:val="dashed" w:sz="8" w:space="0" w:color="4AACC5"/>
              <w:right w:val="dashed" w:sz="8" w:space="0" w:color="4AACC5"/>
            </w:tcBorders>
            <w:shd w:val="clear" w:color="auto" w:fill="5CC5DA"/>
          </w:tcPr>
          <w:p w14:paraId="6C385797" w14:textId="77777777" w:rsidR="00C81834" w:rsidRPr="00CF0F96" w:rsidRDefault="00C81834" w:rsidP="00C81834">
            <w:pPr>
              <w:pStyle w:val="TableParagraph"/>
              <w:ind w:left="1165" w:right="1144"/>
              <w:jc w:val="center"/>
              <w:rPr>
                <w:rFonts w:ascii="Arial" w:hAnsi="Arial" w:cs="Arial"/>
                <w:bCs/>
                <w:sz w:val="21"/>
              </w:rPr>
            </w:pPr>
            <w:r w:rsidRPr="00CF0F96">
              <w:rPr>
                <w:rFonts w:ascii="Arial" w:hAnsi="Arial" w:cs="Arial"/>
                <w:bCs/>
                <w:sz w:val="21"/>
              </w:rPr>
              <w:t>Especies</w:t>
            </w:r>
          </w:p>
        </w:tc>
        <w:tc>
          <w:tcPr>
            <w:tcW w:w="1372" w:type="dxa"/>
            <w:tcBorders>
              <w:left w:val="dashed" w:sz="8" w:space="0" w:color="4AACC5"/>
              <w:right w:val="dashed" w:sz="8" w:space="0" w:color="4AACC5"/>
            </w:tcBorders>
            <w:shd w:val="clear" w:color="auto" w:fill="5CC5DA"/>
          </w:tcPr>
          <w:p w14:paraId="4885267A" w14:textId="77777777" w:rsidR="00C81834" w:rsidRPr="00CF0F96" w:rsidRDefault="00C81834" w:rsidP="00C81834">
            <w:pPr>
              <w:pStyle w:val="TableParagraph"/>
              <w:ind w:left="281"/>
              <w:rPr>
                <w:rFonts w:ascii="Arial" w:hAnsi="Arial" w:cs="Arial"/>
                <w:bCs/>
                <w:sz w:val="21"/>
              </w:rPr>
            </w:pPr>
            <w:r w:rsidRPr="00CF0F96">
              <w:rPr>
                <w:rFonts w:ascii="Arial" w:hAnsi="Arial" w:cs="Arial"/>
                <w:bCs/>
                <w:w w:val="95"/>
                <w:sz w:val="21"/>
              </w:rPr>
              <w:t>Categoría</w:t>
            </w:r>
          </w:p>
        </w:tc>
      </w:tr>
      <w:tr w:rsidR="00CF0F96" w:rsidRPr="00CF0F96" w14:paraId="7A7B2C34" w14:textId="77777777" w:rsidTr="00C81834">
        <w:trPr>
          <w:trHeight w:val="369"/>
        </w:trPr>
        <w:tc>
          <w:tcPr>
            <w:tcW w:w="1804" w:type="dxa"/>
            <w:tcBorders>
              <w:left w:val="dashed" w:sz="8" w:space="0" w:color="4AACC5"/>
              <w:right w:val="dashed" w:sz="8" w:space="0" w:color="4AACC5"/>
            </w:tcBorders>
            <w:shd w:val="clear" w:color="auto" w:fill="D2EAF0"/>
          </w:tcPr>
          <w:p w14:paraId="2EC48703" w14:textId="77777777" w:rsidR="00C81834" w:rsidRPr="00CF0F96" w:rsidRDefault="00C81834" w:rsidP="00D30988">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shd w:val="clear" w:color="auto" w:fill="D2EAF0"/>
          </w:tcPr>
          <w:p w14:paraId="447C4F63" w14:textId="77777777" w:rsidR="00C81834" w:rsidRPr="00CF0F96" w:rsidRDefault="00C81834" w:rsidP="00D30988">
            <w:pPr>
              <w:pStyle w:val="TableParagraph"/>
              <w:spacing w:before="54"/>
              <w:rPr>
                <w:rFonts w:ascii="Arial" w:hAnsi="Arial" w:cs="Arial"/>
                <w:bCs/>
                <w:sz w:val="21"/>
              </w:rPr>
            </w:pPr>
            <w:r w:rsidRPr="00CF0F96">
              <w:rPr>
                <w:rFonts w:ascii="Arial" w:hAnsi="Arial" w:cs="Arial"/>
                <w:bCs/>
                <w:sz w:val="21"/>
              </w:rPr>
              <w:t>Leptodactylidae</w:t>
            </w:r>
          </w:p>
        </w:tc>
        <w:tc>
          <w:tcPr>
            <w:tcW w:w="3204" w:type="dxa"/>
            <w:tcBorders>
              <w:left w:val="dashed" w:sz="8" w:space="0" w:color="4AACC5"/>
              <w:right w:val="dashed" w:sz="8" w:space="0" w:color="4AACC5"/>
            </w:tcBorders>
            <w:shd w:val="clear" w:color="auto" w:fill="D2EAF0"/>
          </w:tcPr>
          <w:p w14:paraId="6FFE65E0" w14:textId="77777777" w:rsidR="00C81834" w:rsidRPr="00CF0F96" w:rsidRDefault="00C81834" w:rsidP="00D30988">
            <w:pPr>
              <w:pStyle w:val="TableParagraph"/>
              <w:rPr>
                <w:rFonts w:ascii="Arial" w:hAnsi="Arial" w:cs="Arial"/>
                <w:bCs/>
                <w:i/>
                <w:sz w:val="21"/>
              </w:rPr>
            </w:pPr>
            <w:r w:rsidRPr="00CF0F96">
              <w:rPr>
                <w:rFonts w:ascii="Arial" w:hAnsi="Arial" w:cs="Arial"/>
                <w:bCs/>
                <w:i/>
                <w:sz w:val="21"/>
              </w:rPr>
              <w:t>Leptodactylus silvanimbus</w:t>
            </w:r>
          </w:p>
        </w:tc>
        <w:tc>
          <w:tcPr>
            <w:tcW w:w="1372" w:type="dxa"/>
            <w:tcBorders>
              <w:left w:val="dashed" w:sz="8" w:space="0" w:color="4AACC5"/>
              <w:right w:val="dashed" w:sz="8" w:space="0" w:color="4AACC5"/>
            </w:tcBorders>
            <w:shd w:val="clear" w:color="auto" w:fill="D2EAF0"/>
          </w:tcPr>
          <w:p w14:paraId="0D972535"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F0F96" w:rsidRPr="00CF0F96" w14:paraId="43D32F48" w14:textId="77777777" w:rsidTr="00C81834">
        <w:trPr>
          <w:trHeight w:val="369"/>
        </w:trPr>
        <w:tc>
          <w:tcPr>
            <w:tcW w:w="1804" w:type="dxa"/>
            <w:tcBorders>
              <w:left w:val="dashed" w:sz="8" w:space="0" w:color="4AACC5"/>
              <w:right w:val="dashed" w:sz="8" w:space="0" w:color="4AACC5"/>
            </w:tcBorders>
          </w:tcPr>
          <w:p w14:paraId="625BD1CE" w14:textId="77777777" w:rsidR="00C81834" w:rsidRPr="00CF0F96" w:rsidRDefault="00C81834" w:rsidP="00D30988">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tcPr>
          <w:p w14:paraId="778CC30B" w14:textId="77777777" w:rsidR="00C81834" w:rsidRPr="00CF0F96" w:rsidRDefault="00C81834" w:rsidP="00D30988">
            <w:pPr>
              <w:pStyle w:val="TableParagraph"/>
              <w:spacing w:before="54"/>
              <w:rPr>
                <w:rFonts w:ascii="Arial" w:hAnsi="Arial" w:cs="Arial"/>
                <w:bCs/>
                <w:sz w:val="21"/>
              </w:rPr>
            </w:pPr>
            <w:r w:rsidRPr="00CF0F96">
              <w:rPr>
                <w:rFonts w:ascii="Arial" w:hAnsi="Arial" w:cs="Arial"/>
                <w:bCs/>
                <w:sz w:val="21"/>
              </w:rPr>
              <w:t>Microhylidae</w:t>
            </w:r>
          </w:p>
        </w:tc>
        <w:tc>
          <w:tcPr>
            <w:tcW w:w="3204" w:type="dxa"/>
            <w:tcBorders>
              <w:left w:val="dashed" w:sz="8" w:space="0" w:color="4AACC5"/>
              <w:right w:val="dashed" w:sz="8" w:space="0" w:color="4AACC5"/>
            </w:tcBorders>
          </w:tcPr>
          <w:p w14:paraId="6E237CD2" w14:textId="77777777" w:rsidR="00C81834" w:rsidRPr="00CF0F96" w:rsidRDefault="00C81834" w:rsidP="00D30988">
            <w:pPr>
              <w:pStyle w:val="TableParagraph"/>
              <w:rPr>
                <w:rFonts w:ascii="Arial" w:hAnsi="Arial" w:cs="Arial"/>
                <w:bCs/>
                <w:i/>
                <w:sz w:val="21"/>
              </w:rPr>
            </w:pPr>
            <w:r w:rsidRPr="00CF0F96">
              <w:rPr>
                <w:rFonts w:ascii="Arial" w:hAnsi="Arial" w:cs="Arial"/>
                <w:bCs/>
                <w:i/>
                <w:sz w:val="21"/>
              </w:rPr>
              <w:t>Hypopachus barberi</w:t>
            </w:r>
          </w:p>
        </w:tc>
        <w:tc>
          <w:tcPr>
            <w:tcW w:w="1372" w:type="dxa"/>
            <w:tcBorders>
              <w:left w:val="dashed" w:sz="8" w:space="0" w:color="4AACC5"/>
              <w:right w:val="dashed" w:sz="8" w:space="0" w:color="4AACC5"/>
            </w:tcBorders>
          </w:tcPr>
          <w:p w14:paraId="62787FFE"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F0F96" w:rsidRPr="00CF0F96" w14:paraId="623D9230" w14:textId="77777777" w:rsidTr="00C81834">
        <w:trPr>
          <w:trHeight w:val="369"/>
        </w:trPr>
        <w:tc>
          <w:tcPr>
            <w:tcW w:w="1804" w:type="dxa"/>
            <w:tcBorders>
              <w:left w:val="dashed" w:sz="8" w:space="0" w:color="4AACC5"/>
              <w:right w:val="dashed" w:sz="8" w:space="0" w:color="4AACC5"/>
            </w:tcBorders>
            <w:shd w:val="clear" w:color="auto" w:fill="D2EAF0"/>
          </w:tcPr>
          <w:p w14:paraId="17C9A83D" w14:textId="77777777" w:rsidR="00C81834" w:rsidRPr="00CF0F96" w:rsidRDefault="00C81834" w:rsidP="00D30988">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shd w:val="clear" w:color="auto" w:fill="D2EAF0"/>
          </w:tcPr>
          <w:p w14:paraId="2E47DFCA" w14:textId="77777777" w:rsidR="00C81834" w:rsidRPr="00CF0F96" w:rsidRDefault="00C81834" w:rsidP="00D30988">
            <w:pPr>
              <w:pStyle w:val="TableParagraph"/>
              <w:spacing w:before="54"/>
              <w:rPr>
                <w:rFonts w:ascii="Arial" w:hAnsi="Arial" w:cs="Arial"/>
                <w:bCs/>
                <w:sz w:val="21"/>
              </w:rPr>
            </w:pPr>
            <w:r w:rsidRPr="00CF0F96">
              <w:rPr>
                <w:rFonts w:ascii="Arial" w:hAnsi="Arial" w:cs="Arial"/>
                <w:bCs/>
                <w:sz w:val="21"/>
              </w:rPr>
              <w:t>Plethodontidae</w:t>
            </w:r>
          </w:p>
        </w:tc>
        <w:tc>
          <w:tcPr>
            <w:tcW w:w="3204" w:type="dxa"/>
            <w:tcBorders>
              <w:left w:val="dashed" w:sz="8" w:space="0" w:color="4AACC5"/>
              <w:right w:val="dashed" w:sz="8" w:space="0" w:color="4AACC5"/>
            </w:tcBorders>
            <w:shd w:val="clear" w:color="auto" w:fill="D2EAF0"/>
          </w:tcPr>
          <w:p w14:paraId="166101A2" w14:textId="77777777" w:rsidR="00C81834" w:rsidRPr="00CF0F96" w:rsidRDefault="00C81834" w:rsidP="00D30988">
            <w:pPr>
              <w:pStyle w:val="TableParagraph"/>
              <w:rPr>
                <w:rFonts w:ascii="Arial" w:hAnsi="Arial" w:cs="Arial"/>
                <w:bCs/>
                <w:i/>
                <w:sz w:val="21"/>
              </w:rPr>
            </w:pPr>
            <w:r w:rsidRPr="00CF0F96">
              <w:rPr>
                <w:rFonts w:ascii="Arial" w:hAnsi="Arial" w:cs="Arial"/>
                <w:bCs/>
                <w:i/>
                <w:sz w:val="21"/>
              </w:rPr>
              <w:t>Bolitoglossa oresbia</w:t>
            </w:r>
          </w:p>
        </w:tc>
        <w:tc>
          <w:tcPr>
            <w:tcW w:w="1372" w:type="dxa"/>
            <w:tcBorders>
              <w:left w:val="dashed" w:sz="8" w:space="0" w:color="4AACC5"/>
              <w:right w:val="dashed" w:sz="8" w:space="0" w:color="4AACC5"/>
            </w:tcBorders>
            <w:shd w:val="clear" w:color="auto" w:fill="D2EAF0"/>
          </w:tcPr>
          <w:p w14:paraId="22884EA3"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F0F96" w:rsidRPr="00CF0F96" w14:paraId="5B579D67" w14:textId="77777777" w:rsidTr="00C81834">
        <w:trPr>
          <w:trHeight w:val="369"/>
        </w:trPr>
        <w:tc>
          <w:tcPr>
            <w:tcW w:w="1804" w:type="dxa"/>
            <w:tcBorders>
              <w:left w:val="dashed" w:sz="8" w:space="0" w:color="4AACC5"/>
              <w:right w:val="dashed" w:sz="8" w:space="0" w:color="4AACC5"/>
            </w:tcBorders>
          </w:tcPr>
          <w:p w14:paraId="6F1E2682" w14:textId="77777777" w:rsidR="00C81834" w:rsidRPr="00CF0F96" w:rsidRDefault="00C81834" w:rsidP="00D30988">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tcPr>
          <w:p w14:paraId="72B838B8" w14:textId="77777777" w:rsidR="00C81834" w:rsidRPr="00CF0F96" w:rsidRDefault="00C81834" w:rsidP="00D30988">
            <w:pPr>
              <w:pStyle w:val="TableParagraph"/>
              <w:spacing w:before="54"/>
              <w:rPr>
                <w:rFonts w:ascii="Arial" w:hAnsi="Arial" w:cs="Arial"/>
                <w:bCs/>
                <w:sz w:val="21"/>
              </w:rPr>
            </w:pPr>
            <w:r w:rsidRPr="00CF0F96">
              <w:rPr>
                <w:rFonts w:ascii="Arial" w:hAnsi="Arial" w:cs="Arial"/>
                <w:bCs/>
                <w:sz w:val="21"/>
              </w:rPr>
              <w:t>Plethodontidae</w:t>
            </w:r>
          </w:p>
        </w:tc>
        <w:tc>
          <w:tcPr>
            <w:tcW w:w="3204" w:type="dxa"/>
            <w:tcBorders>
              <w:left w:val="dashed" w:sz="8" w:space="0" w:color="4AACC5"/>
              <w:right w:val="dashed" w:sz="8" w:space="0" w:color="4AACC5"/>
            </w:tcBorders>
          </w:tcPr>
          <w:p w14:paraId="2064CF7A" w14:textId="77777777" w:rsidR="00C81834" w:rsidRPr="00CF0F96" w:rsidRDefault="00C81834" w:rsidP="00D30988">
            <w:pPr>
              <w:pStyle w:val="TableParagraph"/>
              <w:rPr>
                <w:rFonts w:ascii="Arial" w:hAnsi="Arial" w:cs="Arial"/>
                <w:bCs/>
                <w:i/>
                <w:sz w:val="21"/>
              </w:rPr>
            </w:pPr>
            <w:r w:rsidRPr="00CF0F96">
              <w:rPr>
                <w:rFonts w:ascii="Arial" w:hAnsi="Arial" w:cs="Arial"/>
                <w:bCs/>
                <w:i/>
                <w:sz w:val="21"/>
              </w:rPr>
              <w:t>Bolitoglossa heiroreias</w:t>
            </w:r>
          </w:p>
        </w:tc>
        <w:tc>
          <w:tcPr>
            <w:tcW w:w="1372" w:type="dxa"/>
            <w:tcBorders>
              <w:left w:val="dashed" w:sz="8" w:space="0" w:color="4AACC5"/>
              <w:right w:val="dashed" w:sz="8" w:space="0" w:color="4AACC5"/>
            </w:tcBorders>
          </w:tcPr>
          <w:p w14:paraId="56782CB2"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F0F96" w:rsidRPr="00CF0F96" w14:paraId="2D4C55D8" w14:textId="77777777" w:rsidTr="00C81834">
        <w:trPr>
          <w:trHeight w:val="369"/>
        </w:trPr>
        <w:tc>
          <w:tcPr>
            <w:tcW w:w="1804" w:type="dxa"/>
            <w:tcBorders>
              <w:left w:val="dashed" w:sz="8" w:space="0" w:color="4AACC5"/>
              <w:right w:val="dashed" w:sz="8" w:space="0" w:color="4AACC5"/>
            </w:tcBorders>
            <w:shd w:val="clear" w:color="auto" w:fill="D2EAF0"/>
          </w:tcPr>
          <w:p w14:paraId="4B3E521B" w14:textId="77777777" w:rsidR="00C81834" w:rsidRPr="00CF0F96" w:rsidRDefault="00C81834" w:rsidP="00D30988">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shd w:val="clear" w:color="auto" w:fill="D2EAF0"/>
          </w:tcPr>
          <w:p w14:paraId="30E0BFE9" w14:textId="77777777" w:rsidR="00C81834" w:rsidRPr="00CF0F96" w:rsidRDefault="00C81834" w:rsidP="00D30988">
            <w:pPr>
              <w:pStyle w:val="TableParagraph"/>
              <w:spacing w:before="54"/>
              <w:rPr>
                <w:rFonts w:ascii="Arial" w:hAnsi="Arial" w:cs="Arial"/>
                <w:bCs/>
                <w:sz w:val="21"/>
              </w:rPr>
            </w:pPr>
            <w:r w:rsidRPr="00CF0F96">
              <w:rPr>
                <w:rFonts w:ascii="Arial" w:hAnsi="Arial" w:cs="Arial"/>
                <w:bCs/>
                <w:sz w:val="21"/>
              </w:rPr>
              <w:t>Plethodontidae</w:t>
            </w:r>
          </w:p>
        </w:tc>
        <w:tc>
          <w:tcPr>
            <w:tcW w:w="3204" w:type="dxa"/>
            <w:tcBorders>
              <w:left w:val="dashed" w:sz="8" w:space="0" w:color="4AACC5"/>
              <w:right w:val="dashed" w:sz="8" w:space="0" w:color="4AACC5"/>
            </w:tcBorders>
            <w:shd w:val="clear" w:color="auto" w:fill="D2EAF0"/>
          </w:tcPr>
          <w:p w14:paraId="392F08EA" w14:textId="77777777" w:rsidR="00C81834" w:rsidRPr="00CF0F96" w:rsidRDefault="00C81834" w:rsidP="00D30988">
            <w:pPr>
              <w:pStyle w:val="TableParagraph"/>
              <w:rPr>
                <w:rFonts w:ascii="Arial" w:hAnsi="Arial" w:cs="Arial"/>
                <w:bCs/>
                <w:i/>
                <w:sz w:val="21"/>
              </w:rPr>
            </w:pPr>
            <w:r w:rsidRPr="00CF0F96">
              <w:rPr>
                <w:rFonts w:ascii="Arial" w:hAnsi="Arial" w:cs="Arial"/>
                <w:bCs/>
                <w:i/>
                <w:sz w:val="21"/>
              </w:rPr>
              <w:t>Bolitoglossa synoria</w:t>
            </w:r>
          </w:p>
        </w:tc>
        <w:tc>
          <w:tcPr>
            <w:tcW w:w="1372" w:type="dxa"/>
            <w:tcBorders>
              <w:left w:val="dashed" w:sz="8" w:space="0" w:color="4AACC5"/>
              <w:right w:val="dashed" w:sz="8" w:space="0" w:color="4AACC5"/>
            </w:tcBorders>
            <w:shd w:val="clear" w:color="auto" w:fill="D2EAF0"/>
          </w:tcPr>
          <w:p w14:paraId="5C75C67B"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F0F96" w:rsidRPr="00CF0F96" w14:paraId="110215F4" w14:textId="77777777" w:rsidTr="00C81834">
        <w:trPr>
          <w:trHeight w:val="369"/>
        </w:trPr>
        <w:tc>
          <w:tcPr>
            <w:tcW w:w="1804" w:type="dxa"/>
            <w:tcBorders>
              <w:left w:val="dashed" w:sz="8" w:space="0" w:color="4AACC5"/>
              <w:right w:val="dashed" w:sz="8" w:space="0" w:color="4AACC5"/>
            </w:tcBorders>
          </w:tcPr>
          <w:p w14:paraId="64860E4B" w14:textId="77777777" w:rsidR="00C81834" w:rsidRPr="00CF0F96" w:rsidRDefault="00C81834" w:rsidP="00D30988">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tcPr>
          <w:p w14:paraId="05DF3063" w14:textId="77777777" w:rsidR="00C81834" w:rsidRPr="00CF0F96" w:rsidRDefault="00C81834" w:rsidP="00D30988">
            <w:pPr>
              <w:pStyle w:val="TableParagraph"/>
              <w:spacing w:before="54"/>
              <w:rPr>
                <w:rFonts w:ascii="Arial" w:hAnsi="Arial" w:cs="Arial"/>
                <w:bCs/>
                <w:sz w:val="21"/>
              </w:rPr>
            </w:pPr>
            <w:r w:rsidRPr="00CF0F96">
              <w:rPr>
                <w:rFonts w:ascii="Arial" w:hAnsi="Arial" w:cs="Arial"/>
                <w:bCs/>
                <w:sz w:val="21"/>
              </w:rPr>
              <w:t>Plethodontidae</w:t>
            </w:r>
          </w:p>
        </w:tc>
        <w:tc>
          <w:tcPr>
            <w:tcW w:w="3204" w:type="dxa"/>
            <w:tcBorders>
              <w:left w:val="dashed" w:sz="8" w:space="0" w:color="4AACC5"/>
              <w:right w:val="dashed" w:sz="8" w:space="0" w:color="4AACC5"/>
            </w:tcBorders>
          </w:tcPr>
          <w:p w14:paraId="5E4FF0F9" w14:textId="77777777" w:rsidR="00C81834" w:rsidRPr="00CF0F96" w:rsidRDefault="00C81834" w:rsidP="00D30988">
            <w:pPr>
              <w:pStyle w:val="TableParagraph"/>
              <w:rPr>
                <w:rFonts w:ascii="Arial" w:hAnsi="Arial" w:cs="Arial"/>
                <w:bCs/>
                <w:i/>
                <w:sz w:val="21"/>
              </w:rPr>
            </w:pPr>
            <w:r w:rsidRPr="00CF0F96">
              <w:rPr>
                <w:rFonts w:ascii="Arial" w:hAnsi="Arial" w:cs="Arial"/>
                <w:bCs/>
                <w:i/>
                <w:sz w:val="21"/>
              </w:rPr>
              <w:t>Bolitoglossa porrasorum</w:t>
            </w:r>
          </w:p>
        </w:tc>
        <w:tc>
          <w:tcPr>
            <w:tcW w:w="1372" w:type="dxa"/>
            <w:tcBorders>
              <w:left w:val="dashed" w:sz="8" w:space="0" w:color="4AACC5"/>
              <w:right w:val="dashed" w:sz="8" w:space="0" w:color="4AACC5"/>
            </w:tcBorders>
          </w:tcPr>
          <w:p w14:paraId="3BDC6456"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F0F96" w:rsidRPr="00CF0F96" w14:paraId="740E2E5D" w14:textId="77777777" w:rsidTr="00C81834">
        <w:trPr>
          <w:trHeight w:val="369"/>
        </w:trPr>
        <w:tc>
          <w:tcPr>
            <w:tcW w:w="1804" w:type="dxa"/>
            <w:tcBorders>
              <w:left w:val="dashed" w:sz="8" w:space="0" w:color="4AACC5"/>
              <w:right w:val="dashed" w:sz="8" w:space="0" w:color="4AACC5"/>
            </w:tcBorders>
            <w:shd w:val="clear" w:color="auto" w:fill="D2EAF0"/>
          </w:tcPr>
          <w:p w14:paraId="1810FBE6" w14:textId="77777777" w:rsidR="00C81834" w:rsidRPr="00CF0F96" w:rsidRDefault="00C81834" w:rsidP="00D30988">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shd w:val="clear" w:color="auto" w:fill="D2EAF0"/>
          </w:tcPr>
          <w:p w14:paraId="5E9C5A41" w14:textId="77777777" w:rsidR="00C81834" w:rsidRPr="00CF0F96" w:rsidRDefault="00C81834" w:rsidP="00D30988">
            <w:pPr>
              <w:pStyle w:val="TableParagraph"/>
              <w:spacing w:before="54"/>
              <w:rPr>
                <w:rFonts w:ascii="Arial" w:hAnsi="Arial" w:cs="Arial"/>
                <w:bCs/>
                <w:sz w:val="21"/>
              </w:rPr>
            </w:pPr>
            <w:r w:rsidRPr="00CF0F96">
              <w:rPr>
                <w:rFonts w:ascii="Arial" w:hAnsi="Arial" w:cs="Arial"/>
                <w:bCs/>
                <w:sz w:val="21"/>
              </w:rPr>
              <w:t>Plethodontidae</w:t>
            </w:r>
          </w:p>
        </w:tc>
        <w:tc>
          <w:tcPr>
            <w:tcW w:w="3204" w:type="dxa"/>
            <w:tcBorders>
              <w:left w:val="dashed" w:sz="8" w:space="0" w:color="4AACC5"/>
              <w:right w:val="dashed" w:sz="8" w:space="0" w:color="4AACC5"/>
            </w:tcBorders>
            <w:shd w:val="clear" w:color="auto" w:fill="D2EAF0"/>
          </w:tcPr>
          <w:p w14:paraId="2F3F5631" w14:textId="77777777" w:rsidR="00C81834" w:rsidRPr="00CF0F96" w:rsidRDefault="00C81834" w:rsidP="00D30988">
            <w:pPr>
              <w:pStyle w:val="TableParagraph"/>
              <w:rPr>
                <w:rFonts w:ascii="Arial" w:hAnsi="Arial" w:cs="Arial"/>
                <w:bCs/>
                <w:i/>
                <w:sz w:val="21"/>
              </w:rPr>
            </w:pPr>
            <w:r w:rsidRPr="00CF0F96">
              <w:rPr>
                <w:rFonts w:ascii="Arial" w:hAnsi="Arial" w:cs="Arial"/>
                <w:bCs/>
                <w:i/>
                <w:sz w:val="21"/>
              </w:rPr>
              <w:t>Bolitoglossa longissima</w:t>
            </w:r>
          </w:p>
        </w:tc>
        <w:tc>
          <w:tcPr>
            <w:tcW w:w="1372" w:type="dxa"/>
            <w:tcBorders>
              <w:left w:val="dashed" w:sz="8" w:space="0" w:color="4AACC5"/>
              <w:right w:val="dashed" w:sz="8" w:space="0" w:color="4AACC5"/>
            </w:tcBorders>
            <w:shd w:val="clear" w:color="auto" w:fill="D2EAF0"/>
          </w:tcPr>
          <w:p w14:paraId="2BDA62D4"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F0F96" w:rsidRPr="00CF0F96" w14:paraId="6ECD7541" w14:textId="77777777" w:rsidTr="00C81834">
        <w:trPr>
          <w:trHeight w:val="369"/>
        </w:trPr>
        <w:tc>
          <w:tcPr>
            <w:tcW w:w="1804" w:type="dxa"/>
            <w:tcBorders>
              <w:left w:val="dashed" w:sz="8" w:space="0" w:color="4AACC5"/>
              <w:right w:val="dashed" w:sz="8" w:space="0" w:color="4AACC5"/>
            </w:tcBorders>
          </w:tcPr>
          <w:p w14:paraId="5F158D56" w14:textId="77777777" w:rsidR="00C81834" w:rsidRPr="00CF0F96" w:rsidRDefault="00C81834" w:rsidP="00D30988">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tcPr>
          <w:p w14:paraId="58DBF747" w14:textId="77777777" w:rsidR="00C81834" w:rsidRPr="00CF0F96" w:rsidRDefault="00C81834" w:rsidP="00D30988">
            <w:pPr>
              <w:pStyle w:val="TableParagraph"/>
              <w:spacing w:before="54"/>
              <w:rPr>
                <w:rFonts w:ascii="Arial" w:hAnsi="Arial" w:cs="Arial"/>
                <w:bCs/>
                <w:sz w:val="21"/>
              </w:rPr>
            </w:pPr>
            <w:r w:rsidRPr="00CF0F96">
              <w:rPr>
                <w:rFonts w:ascii="Arial" w:hAnsi="Arial" w:cs="Arial"/>
                <w:bCs/>
                <w:sz w:val="21"/>
              </w:rPr>
              <w:t>Plethodontidae</w:t>
            </w:r>
          </w:p>
        </w:tc>
        <w:tc>
          <w:tcPr>
            <w:tcW w:w="3204" w:type="dxa"/>
            <w:tcBorders>
              <w:left w:val="dashed" w:sz="8" w:space="0" w:color="4AACC5"/>
              <w:right w:val="dashed" w:sz="8" w:space="0" w:color="4AACC5"/>
            </w:tcBorders>
          </w:tcPr>
          <w:p w14:paraId="09AA533C" w14:textId="77777777" w:rsidR="00C81834" w:rsidRPr="00CF0F96" w:rsidRDefault="00C81834" w:rsidP="00D30988">
            <w:pPr>
              <w:pStyle w:val="TableParagraph"/>
              <w:rPr>
                <w:rFonts w:ascii="Arial" w:hAnsi="Arial" w:cs="Arial"/>
                <w:bCs/>
                <w:i/>
                <w:sz w:val="21"/>
              </w:rPr>
            </w:pPr>
            <w:r w:rsidRPr="00CF0F96">
              <w:rPr>
                <w:rFonts w:ascii="Arial" w:hAnsi="Arial" w:cs="Arial"/>
                <w:bCs/>
                <w:i/>
                <w:sz w:val="21"/>
              </w:rPr>
              <w:t>Bolitoglossa dunni</w:t>
            </w:r>
          </w:p>
        </w:tc>
        <w:tc>
          <w:tcPr>
            <w:tcW w:w="1372" w:type="dxa"/>
            <w:tcBorders>
              <w:left w:val="dashed" w:sz="8" w:space="0" w:color="4AACC5"/>
              <w:right w:val="dashed" w:sz="8" w:space="0" w:color="4AACC5"/>
            </w:tcBorders>
          </w:tcPr>
          <w:p w14:paraId="6647E29C"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F0F96" w:rsidRPr="00CF0F96" w14:paraId="0969EC9A" w14:textId="77777777" w:rsidTr="00C81834">
        <w:trPr>
          <w:trHeight w:val="369"/>
        </w:trPr>
        <w:tc>
          <w:tcPr>
            <w:tcW w:w="1804" w:type="dxa"/>
            <w:tcBorders>
              <w:left w:val="dashed" w:sz="8" w:space="0" w:color="4AACC5"/>
              <w:right w:val="dashed" w:sz="8" w:space="0" w:color="4AACC5"/>
            </w:tcBorders>
            <w:shd w:val="clear" w:color="auto" w:fill="D2EAF0"/>
          </w:tcPr>
          <w:p w14:paraId="5B181EBF" w14:textId="77777777" w:rsidR="00C81834" w:rsidRPr="00CF0F96" w:rsidRDefault="00C81834" w:rsidP="00D30988">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shd w:val="clear" w:color="auto" w:fill="D2EAF0"/>
          </w:tcPr>
          <w:p w14:paraId="47606106" w14:textId="77777777" w:rsidR="00C81834" w:rsidRPr="00CF0F96" w:rsidRDefault="00C81834" w:rsidP="00D30988">
            <w:pPr>
              <w:pStyle w:val="TableParagraph"/>
              <w:spacing w:before="54"/>
              <w:rPr>
                <w:rFonts w:ascii="Arial" w:hAnsi="Arial" w:cs="Arial"/>
                <w:bCs/>
                <w:sz w:val="21"/>
              </w:rPr>
            </w:pPr>
            <w:r w:rsidRPr="00CF0F96">
              <w:rPr>
                <w:rFonts w:ascii="Arial" w:hAnsi="Arial" w:cs="Arial"/>
                <w:bCs/>
                <w:sz w:val="21"/>
              </w:rPr>
              <w:t>Plethodontidae</w:t>
            </w:r>
          </w:p>
        </w:tc>
        <w:tc>
          <w:tcPr>
            <w:tcW w:w="3204" w:type="dxa"/>
            <w:tcBorders>
              <w:left w:val="dashed" w:sz="8" w:space="0" w:color="4AACC5"/>
              <w:right w:val="dashed" w:sz="8" w:space="0" w:color="4AACC5"/>
            </w:tcBorders>
            <w:shd w:val="clear" w:color="auto" w:fill="D2EAF0"/>
          </w:tcPr>
          <w:p w14:paraId="577702A3" w14:textId="77777777" w:rsidR="00C81834" w:rsidRPr="00CF0F96" w:rsidRDefault="00C81834" w:rsidP="00D30988">
            <w:pPr>
              <w:pStyle w:val="TableParagraph"/>
              <w:rPr>
                <w:rFonts w:ascii="Arial" w:hAnsi="Arial" w:cs="Arial"/>
                <w:bCs/>
                <w:i/>
                <w:sz w:val="21"/>
              </w:rPr>
            </w:pPr>
            <w:r w:rsidRPr="00CF0F96">
              <w:rPr>
                <w:rFonts w:ascii="Arial" w:hAnsi="Arial" w:cs="Arial"/>
                <w:bCs/>
                <w:i/>
                <w:sz w:val="21"/>
              </w:rPr>
              <w:t>Bolitoglossa diaphora</w:t>
            </w:r>
          </w:p>
        </w:tc>
        <w:tc>
          <w:tcPr>
            <w:tcW w:w="1372" w:type="dxa"/>
            <w:tcBorders>
              <w:left w:val="dashed" w:sz="8" w:space="0" w:color="4AACC5"/>
              <w:right w:val="dashed" w:sz="8" w:space="0" w:color="4AACC5"/>
            </w:tcBorders>
            <w:shd w:val="clear" w:color="auto" w:fill="D2EAF0"/>
          </w:tcPr>
          <w:p w14:paraId="0BAD10CB"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F0F96" w:rsidRPr="00CF0F96" w14:paraId="0BE202EC" w14:textId="77777777" w:rsidTr="00C81834">
        <w:trPr>
          <w:trHeight w:val="369"/>
        </w:trPr>
        <w:tc>
          <w:tcPr>
            <w:tcW w:w="1804" w:type="dxa"/>
            <w:tcBorders>
              <w:left w:val="dashed" w:sz="8" w:space="0" w:color="4AACC5"/>
              <w:right w:val="dashed" w:sz="8" w:space="0" w:color="4AACC5"/>
            </w:tcBorders>
          </w:tcPr>
          <w:p w14:paraId="3FA693E8" w14:textId="77777777" w:rsidR="00C81834" w:rsidRPr="00CF0F96" w:rsidRDefault="00C81834" w:rsidP="00D30988">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tcPr>
          <w:p w14:paraId="7484FB74" w14:textId="77777777" w:rsidR="00C81834" w:rsidRPr="00CF0F96" w:rsidRDefault="00C81834" w:rsidP="00D30988">
            <w:pPr>
              <w:pStyle w:val="TableParagraph"/>
              <w:spacing w:before="54"/>
              <w:rPr>
                <w:rFonts w:ascii="Arial" w:hAnsi="Arial" w:cs="Arial"/>
                <w:bCs/>
                <w:sz w:val="21"/>
              </w:rPr>
            </w:pPr>
            <w:r w:rsidRPr="00CF0F96">
              <w:rPr>
                <w:rFonts w:ascii="Arial" w:hAnsi="Arial" w:cs="Arial"/>
                <w:bCs/>
                <w:sz w:val="21"/>
              </w:rPr>
              <w:t>Plethodontidae</w:t>
            </w:r>
          </w:p>
        </w:tc>
        <w:tc>
          <w:tcPr>
            <w:tcW w:w="3204" w:type="dxa"/>
            <w:tcBorders>
              <w:left w:val="dashed" w:sz="8" w:space="0" w:color="4AACC5"/>
              <w:right w:val="dashed" w:sz="8" w:space="0" w:color="4AACC5"/>
            </w:tcBorders>
          </w:tcPr>
          <w:p w14:paraId="2CAF789E" w14:textId="77777777" w:rsidR="00C81834" w:rsidRPr="00CF0F96" w:rsidRDefault="00C81834" w:rsidP="00D30988">
            <w:pPr>
              <w:pStyle w:val="TableParagraph"/>
              <w:rPr>
                <w:rFonts w:ascii="Arial" w:hAnsi="Arial" w:cs="Arial"/>
                <w:bCs/>
                <w:i/>
                <w:sz w:val="21"/>
              </w:rPr>
            </w:pPr>
            <w:r w:rsidRPr="00CF0F96">
              <w:rPr>
                <w:rFonts w:ascii="Arial" w:hAnsi="Arial" w:cs="Arial"/>
                <w:bCs/>
                <w:i/>
                <w:sz w:val="21"/>
              </w:rPr>
              <w:t>Bolitoglossa decora</w:t>
            </w:r>
          </w:p>
        </w:tc>
        <w:tc>
          <w:tcPr>
            <w:tcW w:w="1372" w:type="dxa"/>
            <w:tcBorders>
              <w:left w:val="dashed" w:sz="8" w:space="0" w:color="4AACC5"/>
              <w:right w:val="dashed" w:sz="8" w:space="0" w:color="4AACC5"/>
            </w:tcBorders>
          </w:tcPr>
          <w:p w14:paraId="62B31964"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F0F96" w:rsidRPr="00CF0F96" w14:paraId="0B9DED17" w14:textId="77777777" w:rsidTr="00C81834">
        <w:trPr>
          <w:trHeight w:val="369"/>
        </w:trPr>
        <w:tc>
          <w:tcPr>
            <w:tcW w:w="1804" w:type="dxa"/>
            <w:tcBorders>
              <w:left w:val="dashed" w:sz="8" w:space="0" w:color="4AACC5"/>
              <w:right w:val="dashed" w:sz="8" w:space="0" w:color="4AACC5"/>
            </w:tcBorders>
            <w:shd w:val="clear" w:color="auto" w:fill="D2EAF0"/>
          </w:tcPr>
          <w:p w14:paraId="7896D94B" w14:textId="77777777" w:rsidR="00C81834" w:rsidRPr="00CF0F96" w:rsidRDefault="00C81834" w:rsidP="00D30988">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shd w:val="clear" w:color="auto" w:fill="D2EAF0"/>
          </w:tcPr>
          <w:p w14:paraId="4E1B0FFA" w14:textId="77777777" w:rsidR="00C81834" w:rsidRPr="00CF0F96" w:rsidRDefault="00C81834" w:rsidP="00D30988">
            <w:pPr>
              <w:pStyle w:val="TableParagraph"/>
              <w:spacing w:before="54"/>
              <w:rPr>
                <w:rFonts w:ascii="Arial" w:hAnsi="Arial" w:cs="Arial"/>
                <w:bCs/>
                <w:sz w:val="21"/>
              </w:rPr>
            </w:pPr>
            <w:r w:rsidRPr="00CF0F96">
              <w:rPr>
                <w:rFonts w:ascii="Arial" w:hAnsi="Arial" w:cs="Arial"/>
                <w:bCs/>
                <w:sz w:val="21"/>
              </w:rPr>
              <w:t>Plethodontidae</w:t>
            </w:r>
          </w:p>
        </w:tc>
        <w:tc>
          <w:tcPr>
            <w:tcW w:w="3204" w:type="dxa"/>
            <w:tcBorders>
              <w:left w:val="dashed" w:sz="8" w:space="0" w:color="4AACC5"/>
              <w:right w:val="dashed" w:sz="8" w:space="0" w:color="4AACC5"/>
            </w:tcBorders>
            <w:shd w:val="clear" w:color="auto" w:fill="D2EAF0"/>
          </w:tcPr>
          <w:p w14:paraId="7F40BBDD" w14:textId="77777777" w:rsidR="00C81834" w:rsidRPr="00CF0F96" w:rsidRDefault="00C81834" w:rsidP="00D30988">
            <w:pPr>
              <w:pStyle w:val="TableParagraph"/>
              <w:spacing w:before="53"/>
              <w:rPr>
                <w:rFonts w:ascii="Arial" w:hAnsi="Arial" w:cs="Arial"/>
                <w:bCs/>
                <w:i/>
                <w:sz w:val="21"/>
              </w:rPr>
            </w:pPr>
            <w:r w:rsidRPr="00CF0F96">
              <w:rPr>
                <w:rFonts w:ascii="Arial" w:hAnsi="Arial" w:cs="Arial"/>
                <w:bCs/>
                <w:i/>
                <w:w w:val="95"/>
                <w:sz w:val="21"/>
              </w:rPr>
              <w:t>Bolitoglossa dofleini</w:t>
            </w:r>
          </w:p>
        </w:tc>
        <w:tc>
          <w:tcPr>
            <w:tcW w:w="1372" w:type="dxa"/>
            <w:tcBorders>
              <w:left w:val="dashed" w:sz="8" w:space="0" w:color="4AACC5"/>
              <w:right w:val="dashed" w:sz="8" w:space="0" w:color="4AACC5"/>
            </w:tcBorders>
            <w:shd w:val="clear" w:color="auto" w:fill="D2EAF0"/>
          </w:tcPr>
          <w:p w14:paraId="71740983"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F0F96" w:rsidRPr="00CF0F96" w14:paraId="45307E73" w14:textId="77777777" w:rsidTr="00C81834">
        <w:trPr>
          <w:trHeight w:val="369"/>
        </w:trPr>
        <w:tc>
          <w:tcPr>
            <w:tcW w:w="1804" w:type="dxa"/>
            <w:tcBorders>
              <w:left w:val="dashed" w:sz="8" w:space="0" w:color="4AACC5"/>
              <w:right w:val="dashed" w:sz="8" w:space="0" w:color="4AACC5"/>
            </w:tcBorders>
          </w:tcPr>
          <w:p w14:paraId="449D40A1" w14:textId="77777777" w:rsidR="00C81834" w:rsidRPr="00CF0F96" w:rsidRDefault="00C81834" w:rsidP="00D30988">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tcPr>
          <w:p w14:paraId="5FC53FF2" w14:textId="77777777" w:rsidR="00C81834" w:rsidRPr="00CF0F96" w:rsidRDefault="00C81834" w:rsidP="00D30988">
            <w:pPr>
              <w:pStyle w:val="TableParagraph"/>
              <w:spacing w:before="54"/>
              <w:rPr>
                <w:rFonts w:ascii="Arial" w:hAnsi="Arial" w:cs="Arial"/>
                <w:bCs/>
                <w:sz w:val="21"/>
              </w:rPr>
            </w:pPr>
            <w:r w:rsidRPr="00CF0F96">
              <w:rPr>
                <w:rFonts w:ascii="Arial" w:hAnsi="Arial" w:cs="Arial"/>
                <w:bCs/>
                <w:sz w:val="21"/>
              </w:rPr>
              <w:t>Plethodontidae</w:t>
            </w:r>
          </w:p>
        </w:tc>
        <w:tc>
          <w:tcPr>
            <w:tcW w:w="3204" w:type="dxa"/>
            <w:tcBorders>
              <w:left w:val="dashed" w:sz="8" w:space="0" w:color="4AACC5"/>
              <w:right w:val="dashed" w:sz="8" w:space="0" w:color="4AACC5"/>
            </w:tcBorders>
          </w:tcPr>
          <w:p w14:paraId="2D33107D" w14:textId="77777777" w:rsidR="00C81834" w:rsidRPr="00CF0F96" w:rsidRDefault="00C81834" w:rsidP="00D30988">
            <w:pPr>
              <w:pStyle w:val="TableParagraph"/>
              <w:rPr>
                <w:rFonts w:ascii="Arial" w:hAnsi="Arial" w:cs="Arial"/>
                <w:bCs/>
                <w:i/>
                <w:sz w:val="21"/>
              </w:rPr>
            </w:pPr>
            <w:r w:rsidRPr="00CF0F96">
              <w:rPr>
                <w:rFonts w:ascii="Arial" w:hAnsi="Arial" w:cs="Arial"/>
                <w:bCs/>
                <w:i/>
                <w:sz w:val="21"/>
              </w:rPr>
              <w:t>Bolitoglossa conanti</w:t>
            </w:r>
          </w:p>
        </w:tc>
        <w:tc>
          <w:tcPr>
            <w:tcW w:w="1372" w:type="dxa"/>
            <w:tcBorders>
              <w:left w:val="dashed" w:sz="8" w:space="0" w:color="4AACC5"/>
              <w:right w:val="dashed" w:sz="8" w:space="0" w:color="4AACC5"/>
            </w:tcBorders>
          </w:tcPr>
          <w:p w14:paraId="1B0C62A1"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F0F96" w:rsidRPr="00CF0F96" w14:paraId="16FD0FFC" w14:textId="77777777" w:rsidTr="00C81834">
        <w:trPr>
          <w:trHeight w:val="369"/>
        </w:trPr>
        <w:tc>
          <w:tcPr>
            <w:tcW w:w="1804" w:type="dxa"/>
            <w:tcBorders>
              <w:left w:val="dashed" w:sz="8" w:space="0" w:color="4AACC5"/>
              <w:right w:val="dashed" w:sz="8" w:space="0" w:color="4AACC5"/>
            </w:tcBorders>
            <w:shd w:val="clear" w:color="auto" w:fill="D2EAF0"/>
          </w:tcPr>
          <w:p w14:paraId="706FD1F3" w14:textId="77777777" w:rsidR="00C81834" w:rsidRPr="00CF0F96" w:rsidRDefault="00C81834" w:rsidP="00D30988">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shd w:val="clear" w:color="auto" w:fill="D2EAF0"/>
          </w:tcPr>
          <w:p w14:paraId="0CD63EC2" w14:textId="77777777" w:rsidR="00C81834" w:rsidRPr="00CF0F96" w:rsidRDefault="00C81834" w:rsidP="00D30988">
            <w:pPr>
              <w:pStyle w:val="TableParagraph"/>
              <w:spacing w:before="54"/>
              <w:rPr>
                <w:rFonts w:ascii="Arial" w:hAnsi="Arial" w:cs="Arial"/>
                <w:sz w:val="21"/>
              </w:rPr>
            </w:pPr>
            <w:r w:rsidRPr="00CF0F96">
              <w:rPr>
                <w:rFonts w:ascii="Arial" w:hAnsi="Arial" w:cs="Arial"/>
                <w:sz w:val="21"/>
              </w:rPr>
              <w:t>Plethodontidae</w:t>
            </w:r>
          </w:p>
        </w:tc>
        <w:tc>
          <w:tcPr>
            <w:tcW w:w="3204" w:type="dxa"/>
            <w:tcBorders>
              <w:left w:val="dashed" w:sz="8" w:space="0" w:color="4AACC5"/>
              <w:right w:val="dashed" w:sz="8" w:space="0" w:color="4AACC5"/>
            </w:tcBorders>
            <w:shd w:val="clear" w:color="auto" w:fill="D2EAF0"/>
          </w:tcPr>
          <w:p w14:paraId="1232461C" w14:textId="77777777" w:rsidR="00C81834" w:rsidRPr="00CF0F96" w:rsidRDefault="00C81834" w:rsidP="00D30988">
            <w:pPr>
              <w:pStyle w:val="TableParagraph"/>
              <w:rPr>
                <w:rFonts w:ascii="Arial" w:hAnsi="Arial" w:cs="Arial"/>
                <w:i/>
                <w:sz w:val="21"/>
              </w:rPr>
            </w:pPr>
            <w:r w:rsidRPr="00CF0F96">
              <w:rPr>
                <w:rFonts w:ascii="Arial" w:hAnsi="Arial" w:cs="Arial"/>
                <w:i/>
                <w:sz w:val="21"/>
              </w:rPr>
              <w:t>Bolitoglossa celaque</w:t>
            </w:r>
          </w:p>
        </w:tc>
        <w:tc>
          <w:tcPr>
            <w:tcW w:w="1372" w:type="dxa"/>
            <w:tcBorders>
              <w:left w:val="dashed" w:sz="8" w:space="0" w:color="4AACC5"/>
              <w:right w:val="dashed" w:sz="8" w:space="0" w:color="4AACC5"/>
            </w:tcBorders>
            <w:shd w:val="clear" w:color="auto" w:fill="D2EAF0"/>
          </w:tcPr>
          <w:p w14:paraId="2DB86B67"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F0F96" w:rsidRPr="00CF0F96" w14:paraId="0CBA046C" w14:textId="77777777" w:rsidTr="00C81834">
        <w:trPr>
          <w:trHeight w:val="369"/>
        </w:trPr>
        <w:tc>
          <w:tcPr>
            <w:tcW w:w="1804" w:type="dxa"/>
            <w:tcBorders>
              <w:left w:val="dashed" w:sz="8" w:space="0" w:color="4AACC5"/>
              <w:right w:val="dashed" w:sz="8" w:space="0" w:color="4AACC5"/>
            </w:tcBorders>
          </w:tcPr>
          <w:p w14:paraId="055AE78E" w14:textId="77777777" w:rsidR="00C81834" w:rsidRPr="00CF0F96" w:rsidRDefault="00C81834" w:rsidP="00D30988">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tcPr>
          <w:p w14:paraId="0B71DE1F" w14:textId="77777777" w:rsidR="00C81834" w:rsidRPr="00CF0F96" w:rsidRDefault="00C81834" w:rsidP="00D30988">
            <w:pPr>
              <w:pStyle w:val="TableParagraph"/>
              <w:spacing w:before="54"/>
              <w:rPr>
                <w:rFonts w:ascii="Arial" w:hAnsi="Arial" w:cs="Arial"/>
                <w:sz w:val="21"/>
              </w:rPr>
            </w:pPr>
            <w:r w:rsidRPr="00CF0F96">
              <w:rPr>
                <w:rFonts w:ascii="Arial" w:hAnsi="Arial" w:cs="Arial"/>
                <w:sz w:val="21"/>
              </w:rPr>
              <w:t>Plethodontidae</w:t>
            </w:r>
          </w:p>
        </w:tc>
        <w:tc>
          <w:tcPr>
            <w:tcW w:w="3204" w:type="dxa"/>
            <w:tcBorders>
              <w:left w:val="dashed" w:sz="8" w:space="0" w:color="4AACC5"/>
              <w:right w:val="dashed" w:sz="8" w:space="0" w:color="4AACC5"/>
            </w:tcBorders>
          </w:tcPr>
          <w:p w14:paraId="2A631332" w14:textId="77777777" w:rsidR="00C81834" w:rsidRPr="00CF0F96" w:rsidRDefault="00C81834" w:rsidP="00D30988">
            <w:pPr>
              <w:pStyle w:val="TableParagraph"/>
              <w:rPr>
                <w:rFonts w:ascii="Arial" w:hAnsi="Arial" w:cs="Arial"/>
                <w:i/>
                <w:sz w:val="21"/>
              </w:rPr>
            </w:pPr>
            <w:r w:rsidRPr="00CF0F96">
              <w:rPr>
                <w:rFonts w:ascii="Arial" w:hAnsi="Arial" w:cs="Arial"/>
                <w:i/>
                <w:sz w:val="21"/>
              </w:rPr>
              <w:t>Bolitoglossa carri</w:t>
            </w:r>
          </w:p>
        </w:tc>
        <w:tc>
          <w:tcPr>
            <w:tcW w:w="1372" w:type="dxa"/>
            <w:tcBorders>
              <w:left w:val="dashed" w:sz="8" w:space="0" w:color="4AACC5"/>
              <w:right w:val="dashed" w:sz="8" w:space="0" w:color="4AACC5"/>
            </w:tcBorders>
          </w:tcPr>
          <w:p w14:paraId="35E42707"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F0F96" w:rsidRPr="00CF0F96" w14:paraId="0FE2CDEC" w14:textId="77777777" w:rsidTr="00C81834">
        <w:trPr>
          <w:trHeight w:val="369"/>
        </w:trPr>
        <w:tc>
          <w:tcPr>
            <w:tcW w:w="1804" w:type="dxa"/>
            <w:tcBorders>
              <w:left w:val="dashed" w:sz="8" w:space="0" w:color="4AACC5"/>
              <w:right w:val="dashed" w:sz="8" w:space="0" w:color="4AACC5"/>
            </w:tcBorders>
            <w:shd w:val="clear" w:color="auto" w:fill="D2EAF0"/>
          </w:tcPr>
          <w:p w14:paraId="574864A5" w14:textId="77777777" w:rsidR="00C81834" w:rsidRPr="00CF0F96" w:rsidRDefault="00C81834" w:rsidP="00D30988">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shd w:val="clear" w:color="auto" w:fill="D2EAF0"/>
          </w:tcPr>
          <w:p w14:paraId="0F49FDBD" w14:textId="77777777" w:rsidR="00C81834" w:rsidRPr="00CF0F96" w:rsidRDefault="00C81834" w:rsidP="00D30988">
            <w:pPr>
              <w:pStyle w:val="TableParagraph"/>
              <w:spacing w:before="54"/>
              <w:rPr>
                <w:rFonts w:ascii="Arial" w:hAnsi="Arial" w:cs="Arial"/>
                <w:sz w:val="21"/>
              </w:rPr>
            </w:pPr>
            <w:r w:rsidRPr="00CF0F96">
              <w:rPr>
                <w:rFonts w:ascii="Arial" w:hAnsi="Arial" w:cs="Arial"/>
                <w:sz w:val="21"/>
              </w:rPr>
              <w:t>Plethodontidae</w:t>
            </w:r>
          </w:p>
        </w:tc>
        <w:tc>
          <w:tcPr>
            <w:tcW w:w="3204" w:type="dxa"/>
            <w:tcBorders>
              <w:left w:val="dashed" w:sz="8" w:space="0" w:color="4AACC5"/>
              <w:right w:val="dashed" w:sz="8" w:space="0" w:color="4AACC5"/>
            </w:tcBorders>
            <w:shd w:val="clear" w:color="auto" w:fill="D2EAF0"/>
          </w:tcPr>
          <w:p w14:paraId="2497EF70" w14:textId="77777777" w:rsidR="00C81834" w:rsidRPr="00CF0F96" w:rsidRDefault="00C81834" w:rsidP="00D30988">
            <w:pPr>
              <w:pStyle w:val="TableParagraph"/>
              <w:rPr>
                <w:rFonts w:ascii="Arial" w:hAnsi="Arial" w:cs="Arial"/>
                <w:i/>
                <w:sz w:val="21"/>
              </w:rPr>
            </w:pPr>
            <w:r w:rsidRPr="00CF0F96">
              <w:rPr>
                <w:rFonts w:ascii="Arial" w:hAnsi="Arial" w:cs="Arial"/>
                <w:i/>
                <w:sz w:val="21"/>
              </w:rPr>
              <w:t>Cryptotriton nasalis</w:t>
            </w:r>
          </w:p>
        </w:tc>
        <w:tc>
          <w:tcPr>
            <w:tcW w:w="1372" w:type="dxa"/>
            <w:tcBorders>
              <w:left w:val="dashed" w:sz="8" w:space="0" w:color="4AACC5"/>
              <w:right w:val="dashed" w:sz="8" w:space="0" w:color="4AACC5"/>
            </w:tcBorders>
            <w:shd w:val="clear" w:color="auto" w:fill="D2EAF0"/>
          </w:tcPr>
          <w:p w14:paraId="73C962DE"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F0F96" w:rsidRPr="00CF0F96" w14:paraId="1C950336" w14:textId="77777777" w:rsidTr="00C81834">
        <w:trPr>
          <w:trHeight w:val="369"/>
        </w:trPr>
        <w:tc>
          <w:tcPr>
            <w:tcW w:w="1804" w:type="dxa"/>
            <w:tcBorders>
              <w:left w:val="dashed" w:sz="8" w:space="0" w:color="4AACC5"/>
              <w:right w:val="dashed" w:sz="8" w:space="0" w:color="4AACC5"/>
            </w:tcBorders>
          </w:tcPr>
          <w:p w14:paraId="0B02802C" w14:textId="77777777" w:rsidR="00C81834" w:rsidRPr="00CF0F96" w:rsidRDefault="00C81834" w:rsidP="00D30988">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tcPr>
          <w:p w14:paraId="79FBDC9E" w14:textId="77777777" w:rsidR="00C81834" w:rsidRPr="00CF0F96" w:rsidRDefault="00C81834" w:rsidP="00D30988">
            <w:pPr>
              <w:pStyle w:val="TableParagraph"/>
              <w:spacing w:before="54"/>
              <w:rPr>
                <w:rFonts w:ascii="Arial" w:hAnsi="Arial" w:cs="Arial"/>
                <w:sz w:val="21"/>
              </w:rPr>
            </w:pPr>
            <w:r w:rsidRPr="00CF0F96">
              <w:rPr>
                <w:rFonts w:ascii="Arial" w:hAnsi="Arial" w:cs="Arial"/>
                <w:sz w:val="21"/>
              </w:rPr>
              <w:t>Plethodontidae</w:t>
            </w:r>
          </w:p>
        </w:tc>
        <w:tc>
          <w:tcPr>
            <w:tcW w:w="3204" w:type="dxa"/>
            <w:tcBorders>
              <w:left w:val="dashed" w:sz="8" w:space="0" w:color="4AACC5"/>
              <w:right w:val="dashed" w:sz="8" w:space="0" w:color="4AACC5"/>
            </w:tcBorders>
          </w:tcPr>
          <w:p w14:paraId="4E4B81EC" w14:textId="77777777" w:rsidR="00C81834" w:rsidRPr="00CF0F96" w:rsidRDefault="00C81834" w:rsidP="00D30988">
            <w:pPr>
              <w:pStyle w:val="TableParagraph"/>
              <w:rPr>
                <w:rFonts w:ascii="Arial" w:hAnsi="Arial" w:cs="Arial"/>
                <w:i/>
                <w:sz w:val="21"/>
              </w:rPr>
            </w:pPr>
            <w:r w:rsidRPr="00CF0F96">
              <w:rPr>
                <w:rFonts w:ascii="Arial" w:hAnsi="Arial" w:cs="Arial"/>
                <w:i/>
                <w:sz w:val="21"/>
              </w:rPr>
              <w:t>Dendrotriton sanctibarbarus</w:t>
            </w:r>
          </w:p>
        </w:tc>
        <w:tc>
          <w:tcPr>
            <w:tcW w:w="1372" w:type="dxa"/>
            <w:tcBorders>
              <w:left w:val="dashed" w:sz="8" w:space="0" w:color="4AACC5"/>
              <w:right w:val="dashed" w:sz="8" w:space="0" w:color="4AACC5"/>
            </w:tcBorders>
          </w:tcPr>
          <w:p w14:paraId="41C4238F"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F0F96" w:rsidRPr="00CF0F96" w14:paraId="6545997E" w14:textId="77777777" w:rsidTr="00C81834">
        <w:trPr>
          <w:trHeight w:val="369"/>
        </w:trPr>
        <w:tc>
          <w:tcPr>
            <w:tcW w:w="1804" w:type="dxa"/>
            <w:tcBorders>
              <w:left w:val="dashed" w:sz="8" w:space="0" w:color="4AACC5"/>
              <w:right w:val="dashed" w:sz="8" w:space="0" w:color="4AACC5"/>
            </w:tcBorders>
            <w:shd w:val="clear" w:color="auto" w:fill="D2EAF0"/>
          </w:tcPr>
          <w:p w14:paraId="1BA8F56D" w14:textId="77777777" w:rsidR="00C81834" w:rsidRPr="00CF0F96" w:rsidRDefault="00C81834" w:rsidP="00D30988">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shd w:val="clear" w:color="auto" w:fill="D2EAF0"/>
          </w:tcPr>
          <w:p w14:paraId="3BDC2306" w14:textId="77777777" w:rsidR="00C81834" w:rsidRPr="00CF0F96" w:rsidRDefault="00C81834" w:rsidP="00D30988">
            <w:pPr>
              <w:pStyle w:val="TableParagraph"/>
              <w:spacing w:before="54"/>
              <w:rPr>
                <w:rFonts w:ascii="Arial" w:hAnsi="Arial" w:cs="Arial"/>
                <w:sz w:val="21"/>
              </w:rPr>
            </w:pPr>
            <w:r w:rsidRPr="00CF0F96">
              <w:rPr>
                <w:rFonts w:ascii="Arial" w:hAnsi="Arial" w:cs="Arial"/>
                <w:sz w:val="21"/>
              </w:rPr>
              <w:t>Plethodontidae</w:t>
            </w:r>
          </w:p>
        </w:tc>
        <w:tc>
          <w:tcPr>
            <w:tcW w:w="3204" w:type="dxa"/>
            <w:tcBorders>
              <w:left w:val="dashed" w:sz="8" w:space="0" w:color="4AACC5"/>
              <w:right w:val="dashed" w:sz="8" w:space="0" w:color="4AACC5"/>
            </w:tcBorders>
            <w:shd w:val="clear" w:color="auto" w:fill="D2EAF0"/>
          </w:tcPr>
          <w:p w14:paraId="07388183" w14:textId="77777777" w:rsidR="00C81834" w:rsidRPr="00CF0F96" w:rsidRDefault="00C81834" w:rsidP="00D30988">
            <w:pPr>
              <w:pStyle w:val="TableParagraph"/>
              <w:rPr>
                <w:rFonts w:ascii="Arial" w:hAnsi="Arial" w:cs="Arial"/>
                <w:i/>
                <w:sz w:val="21"/>
              </w:rPr>
            </w:pPr>
            <w:r w:rsidRPr="00CF0F96">
              <w:rPr>
                <w:rFonts w:ascii="Arial" w:hAnsi="Arial" w:cs="Arial"/>
                <w:i/>
                <w:w w:val="95"/>
                <w:sz w:val="21"/>
              </w:rPr>
              <w:t>Nototriton barbouri</w:t>
            </w:r>
          </w:p>
        </w:tc>
        <w:tc>
          <w:tcPr>
            <w:tcW w:w="1372" w:type="dxa"/>
            <w:tcBorders>
              <w:left w:val="dashed" w:sz="8" w:space="0" w:color="4AACC5"/>
              <w:right w:val="dashed" w:sz="8" w:space="0" w:color="4AACC5"/>
            </w:tcBorders>
            <w:shd w:val="clear" w:color="auto" w:fill="D2EAF0"/>
          </w:tcPr>
          <w:p w14:paraId="1DCD3A63"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F0F96" w:rsidRPr="00CF0F96" w14:paraId="3A5F0D0D" w14:textId="77777777" w:rsidTr="00C81834">
        <w:trPr>
          <w:trHeight w:val="369"/>
        </w:trPr>
        <w:tc>
          <w:tcPr>
            <w:tcW w:w="1804" w:type="dxa"/>
            <w:tcBorders>
              <w:left w:val="dashed" w:sz="8" w:space="0" w:color="4AACC5"/>
              <w:right w:val="dashed" w:sz="8" w:space="0" w:color="4AACC5"/>
            </w:tcBorders>
          </w:tcPr>
          <w:p w14:paraId="3A1E5316" w14:textId="77777777" w:rsidR="00C81834" w:rsidRPr="00CF0F96" w:rsidRDefault="00C81834" w:rsidP="00D30988">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tcPr>
          <w:p w14:paraId="38664471" w14:textId="77777777" w:rsidR="00C81834" w:rsidRPr="00CF0F96" w:rsidRDefault="00C81834" w:rsidP="00D30988">
            <w:pPr>
              <w:pStyle w:val="TableParagraph"/>
              <w:spacing w:before="54"/>
              <w:rPr>
                <w:rFonts w:ascii="Arial" w:hAnsi="Arial" w:cs="Arial"/>
                <w:sz w:val="21"/>
              </w:rPr>
            </w:pPr>
            <w:r w:rsidRPr="00CF0F96">
              <w:rPr>
                <w:rFonts w:ascii="Arial" w:hAnsi="Arial" w:cs="Arial"/>
                <w:sz w:val="21"/>
              </w:rPr>
              <w:t>Plethodontidae</w:t>
            </w:r>
          </w:p>
        </w:tc>
        <w:tc>
          <w:tcPr>
            <w:tcW w:w="3204" w:type="dxa"/>
            <w:tcBorders>
              <w:left w:val="dashed" w:sz="8" w:space="0" w:color="4AACC5"/>
              <w:right w:val="dashed" w:sz="8" w:space="0" w:color="4AACC5"/>
            </w:tcBorders>
          </w:tcPr>
          <w:p w14:paraId="465C6789" w14:textId="77777777" w:rsidR="00C81834" w:rsidRPr="00CF0F96" w:rsidRDefault="00C81834" w:rsidP="00D30988">
            <w:pPr>
              <w:pStyle w:val="TableParagraph"/>
              <w:rPr>
                <w:rFonts w:ascii="Arial" w:hAnsi="Arial" w:cs="Arial"/>
                <w:i/>
                <w:sz w:val="21"/>
              </w:rPr>
            </w:pPr>
            <w:r w:rsidRPr="00CF0F96">
              <w:rPr>
                <w:rFonts w:ascii="Arial" w:hAnsi="Arial" w:cs="Arial"/>
                <w:i/>
                <w:w w:val="95"/>
                <w:sz w:val="21"/>
              </w:rPr>
              <w:t>Nototriton brodiei</w:t>
            </w:r>
          </w:p>
        </w:tc>
        <w:tc>
          <w:tcPr>
            <w:tcW w:w="1372" w:type="dxa"/>
            <w:tcBorders>
              <w:left w:val="dashed" w:sz="8" w:space="0" w:color="4AACC5"/>
              <w:right w:val="dashed" w:sz="8" w:space="0" w:color="4AACC5"/>
            </w:tcBorders>
          </w:tcPr>
          <w:p w14:paraId="61FCCD5B"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F0F96" w:rsidRPr="00CF0F96" w14:paraId="6C2A18CE" w14:textId="77777777" w:rsidTr="00C81834">
        <w:trPr>
          <w:trHeight w:val="369"/>
        </w:trPr>
        <w:tc>
          <w:tcPr>
            <w:tcW w:w="1804" w:type="dxa"/>
            <w:tcBorders>
              <w:left w:val="dashed" w:sz="8" w:space="0" w:color="4AACC5"/>
              <w:right w:val="dashed" w:sz="8" w:space="0" w:color="4AACC5"/>
            </w:tcBorders>
            <w:shd w:val="clear" w:color="auto" w:fill="D2EAF0"/>
          </w:tcPr>
          <w:p w14:paraId="6B848243" w14:textId="77777777" w:rsidR="00C81834" w:rsidRPr="00CF0F96" w:rsidRDefault="00C81834" w:rsidP="00D30988">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shd w:val="clear" w:color="auto" w:fill="D2EAF0"/>
          </w:tcPr>
          <w:p w14:paraId="55863CAC" w14:textId="77777777" w:rsidR="00C81834" w:rsidRPr="00CF0F96" w:rsidRDefault="00C81834" w:rsidP="00D30988">
            <w:pPr>
              <w:pStyle w:val="TableParagraph"/>
              <w:spacing w:before="54"/>
              <w:rPr>
                <w:rFonts w:ascii="Arial" w:hAnsi="Arial" w:cs="Arial"/>
                <w:sz w:val="21"/>
              </w:rPr>
            </w:pPr>
            <w:r w:rsidRPr="00CF0F96">
              <w:rPr>
                <w:rFonts w:ascii="Arial" w:hAnsi="Arial" w:cs="Arial"/>
                <w:sz w:val="21"/>
              </w:rPr>
              <w:t>Plethodontidae</w:t>
            </w:r>
          </w:p>
        </w:tc>
        <w:tc>
          <w:tcPr>
            <w:tcW w:w="3204" w:type="dxa"/>
            <w:tcBorders>
              <w:left w:val="dashed" w:sz="8" w:space="0" w:color="4AACC5"/>
              <w:right w:val="dashed" w:sz="8" w:space="0" w:color="4AACC5"/>
            </w:tcBorders>
            <w:shd w:val="clear" w:color="auto" w:fill="D2EAF0"/>
          </w:tcPr>
          <w:p w14:paraId="19D287E6" w14:textId="77777777" w:rsidR="00C81834" w:rsidRPr="00CF0F96" w:rsidRDefault="00C81834" w:rsidP="00D30988">
            <w:pPr>
              <w:pStyle w:val="TableParagraph"/>
              <w:rPr>
                <w:rFonts w:ascii="Arial" w:hAnsi="Arial" w:cs="Arial"/>
                <w:i/>
                <w:sz w:val="21"/>
              </w:rPr>
            </w:pPr>
            <w:r w:rsidRPr="00CF0F96">
              <w:rPr>
                <w:rFonts w:ascii="Arial" w:hAnsi="Arial" w:cs="Arial"/>
                <w:i/>
                <w:sz w:val="21"/>
              </w:rPr>
              <w:t>Nototriton lignicola</w:t>
            </w:r>
          </w:p>
        </w:tc>
        <w:tc>
          <w:tcPr>
            <w:tcW w:w="1372" w:type="dxa"/>
            <w:tcBorders>
              <w:left w:val="dashed" w:sz="8" w:space="0" w:color="4AACC5"/>
              <w:right w:val="dashed" w:sz="8" w:space="0" w:color="4AACC5"/>
            </w:tcBorders>
            <w:shd w:val="clear" w:color="auto" w:fill="D2EAF0"/>
          </w:tcPr>
          <w:p w14:paraId="3CB44E3C"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F0F96" w:rsidRPr="00CF0F96" w14:paraId="42A940EB" w14:textId="77777777" w:rsidTr="00C81834">
        <w:trPr>
          <w:trHeight w:val="369"/>
        </w:trPr>
        <w:tc>
          <w:tcPr>
            <w:tcW w:w="1804" w:type="dxa"/>
            <w:tcBorders>
              <w:left w:val="dashed" w:sz="8" w:space="0" w:color="4AACC5"/>
              <w:right w:val="dashed" w:sz="8" w:space="0" w:color="4AACC5"/>
            </w:tcBorders>
          </w:tcPr>
          <w:p w14:paraId="26067BD7" w14:textId="77777777" w:rsidR="00C81834" w:rsidRPr="00CF0F96" w:rsidRDefault="00C81834" w:rsidP="00D30988">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tcPr>
          <w:p w14:paraId="61C9BB40" w14:textId="77777777" w:rsidR="00C81834" w:rsidRPr="00CF0F96" w:rsidRDefault="00C81834" w:rsidP="00D30988">
            <w:pPr>
              <w:pStyle w:val="TableParagraph"/>
              <w:spacing w:before="54"/>
              <w:rPr>
                <w:rFonts w:ascii="Arial" w:hAnsi="Arial" w:cs="Arial"/>
                <w:sz w:val="21"/>
              </w:rPr>
            </w:pPr>
            <w:r w:rsidRPr="00CF0F96">
              <w:rPr>
                <w:rFonts w:ascii="Arial" w:hAnsi="Arial" w:cs="Arial"/>
                <w:sz w:val="21"/>
              </w:rPr>
              <w:t>Plethodontidae</w:t>
            </w:r>
          </w:p>
        </w:tc>
        <w:tc>
          <w:tcPr>
            <w:tcW w:w="3204" w:type="dxa"/>
            <w:tcBorders>
              <w:left w:val="dashed" w:sz="8" w:space="0" w:color="4AACC5"/>
              <w:right w:val="dashed" w:sz="8" w:space="0" w:color="4AACC5"/>
            </w:tcBorders>
          </w:tcPr>
          <w:p w14:paraId="13215F6B" w14:textId="77777777" w:rsidR="00C81834" w:rsidRPr="00CF0F96" w:rsidRDefault="00C81834" w:rsidP="00D30988">
            <w:pPr>
              <w:pStyle w:val="TableParagraph"/>
              <w:rPr>
                <w:rFonts w:ascii="Arial" w:hAnsi="Arial" w:cs="Arial"/>
                <w:i/>
                <w:sz w:val="21"/>
              </w:rPr>
            </w:pPr>
            <w:r w:rsidRPr="00CF0F96">
              <w:rPr>
                <w:rFonts w:ascii="Arial" w:hAnsi="Arial" w:cs="Arial"/>
                <w:i/>
                <w:sz w:val="21"/>
              </w:rPr>
              <w:t>Nototriton limnospectator</w:t>
            </w:r>
          </w:p>
        </w:tc>
        <w:tc>
          <w:tcPr>
            <w:tcW w:w="1372" w:type="dxa"/>
            <w:tcBorders>
              <w:left w:val="dashed" w:sz="8" w:space="0" w:color="4AACC5"/>
              <w:right w:val="dashed" w:sz="8" w:space="0" w:color="4AACC5"/>
            </w:tcBorders>
          </w:tcPr>
          <w:p w14:paraId="02564532"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F0F96" w:rsidRPr="00CF0F96" w14:paraId="3211AC20" w14:textId="77777777" w:rsidTr="00C81834">
        <w:trPr>
          <w:trHeight w:val="369"/>
        </w:trPr>
        <w:tc>
          <w:tcPr>
            <w:tcW w:w="1804" w:type="dxa"/>
            <w:tcBorders>
              <w:left w:val="dashed" w:sz="8" w:space="0" w:color="4AACC5"/>
              <w:right w:val="dashed" w:sz="8" w:space="0" w:color="4AACC5"/>
            </w:tcBorders>
            <w:shd w:val="clear" w:color="auto" w:fill="D2EAF0"/>
          </w:tcPr>
          <w:p w14:paraId="722C4239" w14:textId="77777777" w:rsidR="00C81834" w:rsidRPr="00CF0F96" w:rsidRDefault="00C81834" w:rsidP="00D30988">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shd w:val="clear" w:color="auto" w:fill="D2EAF0"/>
          </w:tcPr>
          <w:p w14:paraId="26F58729" w14:textId="77777777" w:rsidR="00C81834" w:rsidRPr="00CF0F96" w:rsidRDefault="00C81834" w:rsidP="00D30988">
            <w:pPr>
              <w:pStyle w:val="TableParagraph"/>
              <w:spacing w:before="54"/>
              <w:rPr>
                <w:rFonts w:ascii="Arial" w:hAnsi="Arial" w:cs="Arial"/>
                <w:sz w:val="21"/>
              </w:rPr>
            </w:pPr>
            <w:r w:rsidRPr="00CF0F96">
              <w:rPr>
                <w:rFonts w:ascii="Arial" w:hAnsi="Arial" w:cs="Arial"/>
                <w:sz w:val="21"/>
              </w:rPr>
              <w:t>Plethodontidae</w:t>
            </w:r>
          </w:p>
        </w:tc>
        <w:tc>
          <w:tcPr>
            <w:tcW w:w="3204" w:type="dxa"/>
            <w:tcBorders>
              <w:left w:val="dashed" w:sz="8" w:space="0" w:color="4AACC5"/>
              <w:right w:val="dashed" w:sz="8" w:space="0" w:color="4AACC5"/>
            </w:tcBorders>
            <w:shd w:val="clear" w:color="auto" w:fill="D2EAF0"/>
          </w:tcPr>
          <w:p w14:paraId="344EEC83" w14:textId="77777777" w:rsidR="00C81834" w:rsidRPr="00CF0F96" w:rsidRDefault="00C81834" w:rsidP="00D30988">
            <w:pPr>
              <w:pStyle w:val="TableParagraph"/>
              <w:rPr>
                <w:rFonts w:ascii="Arial" w:hAnsi="Arial" w:cs="Arial"/>
                <w:i/>
                <w:sz w:val="21"/>
              </w:rPr>
            </w:pPr>
            <w:r w:rsidRPr="00CF0F96">
              <w:rPr>
                <w:rFonts w:ascii="Arial" w:hAnsi="Arial" w:cs="Arial"/>
                <w:i/>
                <w:sz w:val="21"/>
              </w:rPr>
              <w:t>Oedipina gephyra</w:t>
            </w:r>
          </w:p>
        </w:tc>
        <w:tc>
          <w:tcPr>
            <w:tcW w:w="1372" w:type="dxa"/>
            <w:tcBorders>
              <w:left w:val="dashed" w:sz="8" w:space="0" w:color="4AACC5"/>
              <w:right w:val="dashed" w:sz="8" w:space="0" w:color="4AACC5"/>
            </w:tcBorders>
            <w:shd w:val="clear" w:color="auto" w:fill="D2EAF0"/>
          </w:tcPr>
          <w:p w14:paraId="52D43568"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F0F96" w:rsidRPr="00CF0F96" w14:paraId="16D1F7B6" w14:textId="77777777" w:rsidTr="00C81834">
        <w:trPr>
          <w:trHeight w:val="369"/>
        </w:trPr>
        <w:tc>
          <w:tcPr>
            <w:tcW w:w="1804" w:type="dxa"/>
            <w:tcBorders>
              <w:left w:val="dashed" w:sz="8" w:space="0" w:color="4AACC5"/>
              <w:right w:val="dashed" w:sz="8" w:space="0" w:color="4AACC5"/>
            </w:tcBorders>
          </w:tcPr>
          <w:p w14:paraId="6B051D31" w14:textId="77777777" w:rsidR="00C81834" w:rsidRPr="00CF0F96" w:rsidRDefault="00C81834" w:rsidP="00D30988">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tcPr>
          <w:p w14:paraId="3E3DCB46" w14:textId="77777777" w:rsidR="00C81834" w:rsidRPr="00CF0F96" w:rsidRDefault="00C81834" w:rsidP="00D30988">
            <w:pPr>
              <w:pStyle w:val="TableParagraph"/>
              <w:spacing w:before="54"/>
              <w:rPr>
                <w:rFonts w:ascii="Arial" w:hAnsi="Arial" w:cs="Arial"/>
                <w:sz w:val="21"/>
              </w:rPr>
            </w:pPr>
            <w:r w:rsidRPr="00CF0F96">
              <w:rPr>
                <w:rFonts w:ascii="Arial" w:hAnsi="Arial" w:cs="Arial"/>
                <w:sz w:val="21"/>
              </w:rPr>
              <w:t>Plethodontidae</w:t>
            </w:r>
          </w:p>
        </w:tc>
        <w:tc>
          <w:tcPr>
            <w:tcW w:w="3204" w:type="dxa"/>
            <w:tcBorders>
              <w:left w:val="dashed" w:sz="8" w:space="0" w:color="4AACC5"/>
              <w:right w:val="dashed" w:sz="8" w:space="0" w:color="4AACC5"/>
            </w:tcBorders>
          </w:tcPr>
          <w:p w14:paraId="63AC1A9D" w14:textId="77777777" w:rsidR="00C81834" w:rsidRPr="00CF0F96" w:rsidRDefault="00C81834" w:rsidP="00D30988">
            <w:pPr>
              <w:pStyle w:val="TableParagraph"/>
              <w:rPr>
                <w:rFonts w:ascii="Arial" w:hAnsi="Arial" w:cs="Arial"/>
                <w:i/>
                <w:sz w:val="21"/>
              </w:rPr>
            </w:pPr>
            <w:r w:rsidRPr="00CF0F96">
              <w:rPr>
                <w:rFonts w:ascii="Arial" w:hAnsi="Arial" w:cs="Arial"/>
                <w:i/>
                <w:sz w:val="21"/>
              </w:rPr>
              <w:t>Oedipina tomasi</w:t>
            </w:r>
          </w:p>
        </w:tc>
        <w:tc>
          <w:tcPr>
            <w:tcW w:w="1372" w:type="dxa"/>
            <w:tcBorders>
              <w:left w:val="dashed" w:sz="8" w:space="0" w:color="4AACC5"/>
              <w:right w:val="dashed" w:sz="8" w:space="0" w:color="4AACC5"/>
            </w:tcBorders>
          </w:tcPr>
          <w:p w14:paraId="5C85DF3C"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F0F96" w:rsidRPr="00CF0F96" w14:paraId="52FA799B" w14:textId="77777777" w:rsidTr="00C81834">
        <w:trPr>
          <w:trHeight w:val="369"/>
        </w:trPr>
        <w:tc>
          <w:tcPr>
            <w:tcW w:w="1804" w:type="dxa"/>
            <w:tcBorders>
              <w:left w:val="dashed" w:sz="8" w:space="0" w:color="4AACC5"/>
              <w:right w:val="dashed" w:sz="8" w:space="0" w:color="4AACC5"/>
            </w:tcBorders>
            <w:shd w:val="clear" w:color="auto" w:fill="D2EAF0"/>
          </w:tcPr>
          <w:p w14:paraId="1018BEB6" w14:textId="77777777" w:rsidR="00C81834" w:rsidRPr="00CF0F96" w:rsidRDefault="00C81834" w:rsidP="00D30988">
            <w:pPr>
              <w:pStyle w:val="TableParagraph"/>
              <w:rPr>
                <w:rFonts w:ascii="Arial" w:hAnsi="Arial" w:cs="Arial"/>
                <w:bCs/>
                <w:sz w:val="21"/>
              </w:rPr>
            </w:pPr>
            <w:r w:rsidRPr="00CF0F96">
              <w:rPr>
                <w:rFonts w:ascii="Arial" w:hAnsi="Arial" w:cs="Arial"/>
                <w:bCs/>
                <w:sz w:val="21"/>
              </w:rPr>
              <w:t>Amphibia</w:t>
            </w:r>
          </w:p>
        </w:tc>
        <w:tc>
          <w:tcPr>
            <w:tcW w:w="1879" w:type="dxa"/>
            <w:tcBorders>
              <w:left w:val="dashed" w:sz="8" w:space="0" w:color="4AACC5"/>
              <w:right w:val="dashed" w:sz="8" w:space="0" w:color="4AACC5"/>
            </w:tcBorders>
            <w:shd w:val="clear" w:color="auto" w:fill="D2EAF0"/>
          </w:tcPr>
          <w:p w14:paraId="20590B6F" w14:textId="77777777" w:rsidR="00C81834" w:rsidRPr="00CF0F96" w:rsidRDefault="00C81834" w:rsidP="00D30988">
            <w:pPr>
              <w:pStyle w:val="TableParagraph"/>
              <w:spacing w:before="54"/>
              <w:rPr>
                <w:rFonts w:ascii="Arial" w:hAnsi="Arial" w:cs="Arial"/>
                <w:sz w:val="21"/>
              </w:rPr>
            </w:pPr>
            <w:r w:rsidRPr="00CF0F96">
              <w:rPr>
                <w:rFonts w:ascii="Arial" w:hAnsi="Arial" w:cs="Arial"/>
                <w:sz w:val="21"/>
              </w:rPr>
              <w:t>Dermophiidae</w:t>
            </w:r>
          </w:p>
        </w:tc>
        <w:tc>
          <w:tcPr>
            <w:tcW w:w="3204" w:type="dxa"/>
            <w:tcBorders>
              <w:left w:val="dashed" w:sz="8" w:space="0" w:color="4AACC5"/>
              <w:right w:val="dashed" w:sz="8" w:space="0" w:color="4AACC5"/>
            </w:tcBorders>
            <w:shd w:val="clear" w:color="auto" w:fill="D2EAF0"/>
          </w:tcPr>
          <w:p w14:paraId="13186776" w14:textId="77777777" w:rsidR="00C81834" w:rsidRPr="00CF0F96" w:rsidRDefault="00C81834" w:rsidP="00D30988">
            <w:pPr>
              <w:pStyle w:val="TableParagraph"/>
              <w:rPr>
                <w:rFonts w:ascii="Arial" w:hAnsi="Arial" w:cs="Arial"/>
                <w:i/>
                <w:sz w:val="21"/>
              </w:rPr>
            </w:pPr>
            <w:r w:rsidRPr="00CF0F96">
              <w:rPr>
                <w:rFonts w:ascii="Arial" w:hAnsi="Arial" w:cs="Arial"/>
                <w:i/>
                <w:sz w:val="21"/>
              </w:rPr>
              <w:t>Dermophis mexicanus</w:t>
            </w:r>
          </w:p>
        </w:tc>
        <w:tc>
          <w:tcPr>
            <w:tcW w:w="1372" w:type="dxa"/>
            <w:tcBorders>
              <w:left w:val="dashed" w:sz="8" w:space="0" w:color="4AACC5"/>
              <w:right w:val="dashed" w:sz="8" w:space="0" w:color="4AACC5"/>
            </w:tcBorders>
            <w:shd w:val="clear" w:color="auto" w:fill="D2EAF0"/>
          </w:tcPr>
          <w:p w14:paraId="2A45CDF2"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F0F96" w:rsidRPr="00CF0F96" w14:paraId="2AD99714" w14:textId="77777777" w:rsidTr="00C81834">
        <w:trPr>
          <w:trHeight w:val="369"/>
        </w:trPr>
        <w:tc>
          <w:tcPr>
            <w:tcW w:w="1804" w:type="dxa"/>
            <w:tcBorders>
              <w:left w:val="dashed" w:sz="8" w:space="0" w:color="4AACC5"/>
              <w:right w:val="dashed" w:sz="8" w:space="0" w:color="4AACC5"/>
            </w:tcBorders>
          </w:tcPr>
          <w:p w14:paraId="6E180E17" w14:textId="77777777" w:rsidR="00C81834" w:rsidRPr="00CF0F96" w:rsidRDefault="00C81834" w:rsidP="00D30988">
            <w:pPr>
              <w:pStyle w:val="TableParagraph"/>
              <w:rPr>
                <w:rFonts w:ascii="Arial" w:hAnsi="Arial" w:cs="Arial"/>
                <w:bCs/>
                <w:sz w:val="21"/>
              </w:rPr>
            </w:pPr>
            <w:r w:rsidRPr="00CF0F96">
              <w:rPr>
                <w:rFonts w:ascii="Arial" w:hAnsi="Arial" w:cs="Arial"/>
                <w:bCs/>
                <w:w w:val="95"/>
                <w:sz w:val="21"/>
              </w:rPr>
              <w:t>Reptilia</w:t>
            </w:r>
          </w:p>
        </w:tc>
        <w:tc>
          <w:tcPr>
            <w:tcW w:w="1879" w:type="dxa"/>
            <w:tcBorders>
              <w:left w:val="dashed" w:sz="8" w:space="0" w:color="4AACC5"/>
              <w:right w:val="dashed" w:sz="8" w:space="0" w:color="4AACC5"/>
            </w:tcBorders>
          </w:tcPr>
          <w:p w14:paraId="2BE17FF1" w14:textId="77777777" w:rsidR="00C81834" w:rsidRPr="00CF0F96" w:rsidRDefault="00C81834" w:rsidP="00D30988">
            <w:pPr>
              <w:pStyle w:val="TableParagraph"/>
              <w:spacing w:before="54"/>
              <w:rPr>
                <w:rFonts w:ascii="Arial" w:hAnsi="Arial" w:cs="Arial"/>
                <w:sz w:val="21"/>
              </w:rPr>
            </w:pPr>
            <w:r w:rsidRPr="00CF0F96">
              <w:rPr>
                <w:rFonts w:ascii="Arial" w:hAnsi="Arial" w:cs="Arial"/>
                <w:sz w:val="21"/>
              </w:rPr>
              <w:t>Crocodylidae</w:t>
            </w:r>
          </w:p>
        </w:tc>
        <w:tc>
          <w:tcPr>
            <w:tcW w:w="3204" w:type="dxa"/>
            <w:tcBorders>
              <w:left w:val="dashed" w:sz="8" w:space="0" w:color="4AACC5"/>
              <w:right w:val="dashed" w:sz="8" w:space="0" w:color="4AACC5"/>
            </w:tcBorders>
          </w:tcPr>
          <w:p w14:paraId="04F6167F" w14:textId="77777777" w:rsidR="00C81834" w:rsidRPr="00CF0F96" w:rsidRDefault="00C81834" w:rsidP="00D30988">
            <w:pPr>
              <w:pStyle w:val="TableParagraph"/>
              <w:rPr>
                <w:rFonts w:ascii="Arial" w:hAnsi="Arial" w:cs="Arial"/>
                <w:i/>
                <w:sz w:val="21"/>
              </w:rPr>
            </w:pPr>
            <w:r w:rsidRPr="00CF0F96">
              <w:rPr>
                <w:rFonts w:ascii="Arial" w:hAnsi="Arial" w:cs="Arial"/>
                <w:i/>
                <w:sz w:val="21"/>
              </w:rPr>
              <w:t>Crocodylus acutus</w:t>
            </w:r>
          </w:p>
        </w:tc>
        <w:tc>
          <w:tcPr>
            <w:tcW w:w="1372" w:type="dxa"/>
            <w:tcBorders>
              <w:left w:val="dashed" w:sz="8" w:space="0" w:color="4AACC5"/>
              <w:right w:val="dashed" w:sz="8" w:space="0" w:color="4AACC5"/>
            </w:tcBorders>
          </w:tcPr>
          <w:p w14:paraId="6FC9C6B9"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F0F96" w:rsidRPr="00CF0F96" w14:paraId="31B6EAFA" w14:textId="77777777" w:rsidTr="00C81834">
        <w:trPr>
          <w:trHeight w:val="369"/>
        </w:trPr>
        <w:tc>
          <w:tcPr>
            <w:tcW w:w="1804" w:type="dxa"/>
            <w:tcBorders>
              <w:left w:val="dashed" w:sz="8" w:space="0" w:color="4AACC5"/>
              <w:right w:val="dashed" w:sz="8" w:space="0" w:color="4AACC5"/>
            </w:tcBorders>
            <w:shd w:val="clear" w:color="auto" w:fill="D2EAF0"/>
          </w:tcPr>
          <w:p w14:paraId="78859515" w14:textId="77777777" w:rsidR="00C81834" w:rsidRPr="00CF0F96" w:rsidRDefault="00C81834" w:rsidP="00D30988">
            <w:pPr>
              <w:pStyle w:val="TableParagraph"/>
              <w:rPr>
                <w:rFonts w:ascii="Arial" w:hAnsi="Arial" w:cs="Arial"/>
                <w:bCs/>
                <w:sz w:val="21"/>
              </w:rPr>
            </w:pPr>
            <w:r w:rsidRPr="00CF0F96">
              <w:rPr>
                <w:rFonts w:ascii="Arial" w:hAnsi="Arial" w:cs="Arial"/>
                <w:bCs/>
                <w:w w:val="95"/>
                <w:sz w:val="21"/>
              </w:rPr>
              <w:t>Reptilia</w:t>
            </w:r>
          </w:p>
        </w:tc>
        <w:tc>
          <w:tcPr>
            <w:tcW w:w="1879" w:type="dxa"/>
            <w:tcBorders>
              <w:left w:val="dashed" w:sz="8" w:space="0" w:color="4AACC5"/>
              <w:right w:val="dashed" w:sz="8" w:space="0" w:color="4AACC5"/>
            </w:tcBorders>
            <w:shd w:val="clear" w:color="auto" w:fill="D2EAF0"/>
          </w:tcPr>
          <w:p w14:paraId="37B53706" w14:textId="77777777" w:rsidR="00C81834" w:rsidRPr="00CF0F96" w:rsidRDefault="00C81834" w:rsidP="00D30988">
            <w:pPr>
              <w:pStyle w:val="TableParagraph"/>
              <w:spacing w:before="54"/>
              <w:rPr>
                <w:rFonts w:ascii="Arial" w:hAnsi="Arial" w:cs="Arial"/>
                <w:sz w:val="21"/>
              </w:rPr>
            </w:pPr>
            <w:r w:rsidRPr="00CF0F96">
              <w:rPr>
                <w:rFonts w:ascii="Arial" w:hAnsi="Arial" w:cs="Arial"/>
                <w:sz w:val="21"/>
              </w:rPr>
              <w:t>Anguidae</w:t>
            </w:r>
          </w:p>
        </w:tc>
        <w:tc>
          <w:tcPr>
            <w:tcW w:w="3204" w:type="dxa"/>
            <w:tcBorders>
              <w:left w:val="dashed" w:sz="8" w:space="0" w:color="4AACC5"/>
              <w:right w:val="dashed" w:sz="8" w:space="0" w:color="4AACC5"/>
            </w:tcBorders>
            <w:shd w:val="clear" w:color="auto" w:fill="D2EAF0"/>
          </w:tcPr>
          <w:p w14:paraId="3E0CA657" w14:textId="77777777" w:rsidR="00C81834" w:rsidRPr="00CF0F96" w:rsidRDefault="00C81834" w:rsidP="00D30988">
            <w:pPr>
              <w:pStyle w:val="TableParagraph"/>
              <w:rPr>
                <w:rFonts w:ascii="Arial" w:hAnsi="Arial" w:cs="Arial"/>
                <w:i/>
                <w:sz w:val="21"/>
              </w:rPr>
            </w:pPr>
            <w:r w:rsidRPr="00CF0F96">
              <w:rPr>
                <w:rFonts w:ascii="Arial" w:hAnsi="Arial" w:cs="Arial"/>
                <w:i/>
                <w:sz w:val="21"/>
              </w:rPr>
              <w:t>Abronia montecristoi</w:t>
            </w:r>
          </w:p>
        </w:tc>
        <w:tc>
          <w:tcPr>
            <w:tcW w:w="1372" w:type="dxa"/>
            <w:tcBorders>
              <w:left w:val="dashed" w:sz="8" w:space="0" w:color="4AACC5"/>
              <w:right w:val="dashed" w:sz="8" w:space="0" w:color="4AACC5"/>
            </w:tcBorders>
            <w:shd w:val="clear" w:color="auto" w:fill="D2EAF0"/>
          </w:tcPr>
          <w:p w14:paraId="06562430"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F0F96" w:rsidRPr="00CF0F96" w14:paraId="414BA11D" w14:textId="77777777" w:rsidTr="00C81834">
        <w:trPr>
          <w:trHeight w:val="369"/>
        </w:trPr>
        <w:tc>
          <w:tcPr>
            <w:tcW w:w="1804" w:type="dxa"/>
            <w:tcBorders>
              <w:left w:val="dashed" w:sz="8" w:space="0" w:color="4AACC5"/>
              <w:right w:val="dashed" w:sz="8" w:space="0" w:color="4AACC5"/>
            </w:tcBorders>
          </w:tcPr>
          <w:p w14:paraId="516152BC" w14:textId="77777777" w:rsidR="00C81834" w:rsidRPr="00CF0F96" w:rsidRDefault="00C81834" w:rsidP="00D30988">
            <w:pPr>
              <w:pStyle w:val="TableParagraph"/>
              <w:rPr>
                <w:rFonts w:ascii="Arial" w:hAnsi="Arial" w:cs="Arial"/>
                <w:bCs/>
                <w:sz w:val="21"/>
              </w:rPr>
            </w:pPr>
            <w:r w:rsidRPr="00CF0F96">
              <w:rPr>
                <w:rFonts w:ascii="Arial" w:hAnsi="Arial" w:cs="Arial"/>
                <w:bCs/>
                <w:w w:val="95"/>
                <w:sz w:val="21"/>
              </w:rPr>
              <w:t>Reptilia</w:t>
            </w:r>
          </w:p>
        </w:tc>
        <w:tc>
          <w:tcPr>
            <w:tcW w:w="1879" w:type="dxa"/>
            <w:tcBorders>
              <w:left w:val="dashed" w:sz="8" w:space="0" w:color="4AACC5"/>
              <w:right w:val="dashed" w:sz="8" w:space="0" w:color="4AACC5"/>
            </w:tcBorders>
          </w:tcPr>
          <w:p w14:paraId="1DAFCEF1" w14:textId="77777777" w:rsidR="00C81834" w:rsidRPr="00CF0F96" w:rsidRDefault="00C81834" w:rsidP="00D30988">
            <w:pPr>
              <w:pStyle w:val="TableParagraph"/>
              <w:spacing w:before="54"/>
              <w:rPr>
                <w:rFonts w:ascii="Arial" w:hAnsi="Arial" w:cs="Arial"/>
                <w:sz w:val="21"/>
              </w:rPr>
            </w:pPr>
            <w:r w:rsidRPr="00CF0F96">
              <w:rPr>
                <w:rFonts w:ascii="Arial" w:hAnsi="Arial" w:cs="Arial"/>
                <w:sz w:val="21"/>
              </w:rPr>
              <w:t>Anguidae</w:t>
            </w:r>
          </w:p>
        </w:tc>
        <w:tc>
          <w:tcPr>
            <w:tcW w:w="3204" w:type="dxa"/>
            <w:tcBorders>
              <w:left w:val="dashed" w:sz="8" w:space="0" w:color="4AACC5"/>
              <w:right w:val="dashed" w:sz="8" w:space="0" w:color="4AACC5"/>
            </w:tcBorders>
          </w:tcPr>
          <w:p w14:paraId="7CA2A274" w14:textId="77777777" w:rsidR="00C81834" w:rsidRPr="00CF0F96" w:rsidRDefault="00C81834" w:rsidP="00D30988">
            <w:pPr>
              <w:pStyle w:val="TableParagraph"/>
              <w:rPr>
                <w:rFonts w:ascii="Arial" w:hAnsi="Arial" w:cs="Arial"/>
                <w:i/>
                <w:sz w:val="21"/>
              </w:rPr>
            </w:pPr>
            <w:r w:rsidRPr="00CF0F96">
              <w:rPr>
                <w:rFonts w:ascii="Arial" w:hAnsi="Arial" w:cs="Arial"/>
                <w:i/>
                <w:sz w:val="21"/>
              </w:rPr>
              <w:t>Abronia salvadorensis</w:t>
            </w:r>
          </w:p>
        </w:tc>
        <w:tc>
          <w:tcPr>
            <w:tcW w:w="1372" w:type="dxa"/>
            <w:tcBorders>
              <w:left w:val="dashed" w:sz="8" w:space="0" w:color="4AACC5"/>
              <w:right w:val="dashed" w:sz="8" w:space="0" w:color="4AACC5"/>
            </w:tcBorders>
          </w:tcPr>
          <w:p w14:paraId="063F311C"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F0F96" w:rsidRPr="00CF0F96" w14:paraId="4CFD1894" w14:textId="77777777" w:rsidTr="00C81834">
        <w:trPr>
          <w:trHeight w:val="369"/>
        </w:trPr>
        <w:tc>
          <w:tcPr>
            <w:tcW w:w="1804" w:type="dxa"/>
            <w:tcBorders>
              <w:left w:val="dashed" w:sz="8" w:space="0" w:color="4AACC5"/>
              <w:right w:val="dashed" w:sz="8" w:space="0" w:color="4AACC5"/>
            </w:tcBorders>
            <w:shd w:val="clear" w:color="auto" w:fill="D2EAF0"/>
          </w:tcPr>
          <w:p w14:paraId="0D70BA3E" w14:textId="77777777" w:rsidR="00C81834" w:rsidRPr="00CF0F96" w:rsidRDefault="00C81834" w:rsidP="00D30988">
            <w:pPr>
              <w:pStyle w:val="TableParagraph"/>
              <w:rPr>
                <w:rFonts w:ascii="Arial" w:hAnsi="Arial" w:cs="Arial"/>
                <w:bCs/>
                <w:sz w:val="21"/>
              </w:rPr>
            </w:pPr>
            <w:r w:rsidRPr="00CF0F96">
              <w:rPr>
                <w:rFonts w:ascii="Arial" w:hAnsi="Arial" w:cs="Arial"/>
                <w:bCs/>
                <w:w w:val="95"/>
                <w:sz w:val="21"/>
              </w:rPr>
              <w:t>Reptilia</w:t>
            </w:r>
          </w:p>
        </w:tc>
        <w:tc>
          <w:tcPr>
            <w:tcW w:w="1879" w:type="dxa"/>
            <w:tcBorders>
              <w:left w:val="dashed" w:sz="8" w:space="0" w:color="4AACC5"/>
              <w:right w:val="dashed" w:sz="8" w:space="0" w:color="4AACC5"/>
            </w:tcBorders>
            <w:shd w:val="clear" w:color="auto" w:fill="D2EAF0"/>
          </w:tcPr>
          <w:p w14:paraId="38A594CC" w14:textId="77777777" w:rsidR="00C81834" w:rsidRPr="00CF0F96" w:rsidRDefault="00C81834" w:rsidP="00D30988">
            <w:pPr>
              <w:pStyle w:val="TableParagraph"/>
              <w:spacing w:before="54"/>
              <w:rPr>
                <w:rFonts w:ascii="Arial" w:hAnsi="Arial" w:cs="Arial"/>
                <w:sz w:val="21"/>
              </w:rPr>
            </w:pPr>
            <w:r w:rsidRPr="00CF0F96">
              <w:rPr>
                <w:rFonts w:ascii="Arial" w:hAnsi="Arial" w:cs="Arial"/>
                <w:sz w:val="21"/>
              </w:rPr>
              <w:t>Anguidae</w:t>
            </w:r>
          </w:p>
        </w:tc>
        <w:tc>
          <w:tcPr>
            <w:tcW w:w="3204" w:type="dxa"/>
            <w:tcBorders>
              <w:left w:val="dashed" w:sz="8" w:space="0" w:color="4AACC5"/>
              <w:right w:val="dashed" w:sz="8" w:space="0" w:color="4AACC5"/>
            </w:tcBorders>
            <w:shd w:val="clear" w:color="auto" w:fill="D2EAF0"/>
          </w:tcPr>
          <w:p w14:paraId="434A1965" w14:textId="77777777" w:rsidR="00C81834" w:rsidRPr="00CF0F96" w:rsidRDefault="00C81834" w:rsidP="00D30988">
            <w:pPr>
              <w:pStyle w:val="TableParagraph"/>
              <w:rPr>
                <w:rFonts w:ascii="Arial" w:hAnsi="Arial" w:cs="Arial"/>
                <w:i/>
                <w:sz w:val="21"/>
              </w:rPr>
            </w:pPr>
            <w:r w:rsidRPr="00CF0F96">
              <w:rPr>
                <w:rFonts w:ascii="Arial" w:hAnsi="Arial" w:cs="Arial"/>
                <w:i/>
                <w:sz w:val="21"/>
              </w:rPr>
              <w:t>Celestus bivittatus</w:t>
            </w:r>
          </w:p>
        </w:tc>
        <w:tc>
          <w:tcPr>
            <w:tcW w:w="1372" w:type="dxa"/>
            <w:tcBorders>
              <w:left w:val="dashed" w:sz="8" w:space="0" w:color="4AACC5"/>
              <w:right w:val="dashed" w:sz="8" w:space="0" w:color="4AACC5"/>
            </w:tcBorders>
            <w:shd w:val="clear" w:color="auto" w:fill="D2EAF0"/>
          </w:tcPr>
          <w:p w14:paraId="0CBD15E1"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F0F96" w:rsidRPr="00CF0F96" w14:paraId="66E3C77C" w14:textId="77777777" w:rsidTr="00C81834">
        <w:trPr>
          <w:trHeight w:val="369"/>
        </w:trPr>
        <w:tc>
          <w:tcPr>
            <w:tcW w:w="1804" w:type="dxa"/>
            <w:tcBorders>
              <w:left w:val="dashed" w:sz="8" w:space="0" w:color="4AACC5"/>
              <w:right w:val="dashed" w:sz="8" w:space="0" w:color="4AACC5"/>
            </w:tcBorders>
          </w:tcPr>
          <w:p w14:paraId="24A4B651" w14:textId="77777777" w:rsidR="00C81834" w:rsidRPr="00CF0F96" w:rsidRDefault="00C81834" w:rsidP="00D30988">
            <w:pPr>
              <w:pStyle w:val="TableParagraph"/>
              <w:rPr>
                <w:rFonts w:ascii="Arial" w:hAnsi="Arial" w:cs="Arial"/>
                <w:bCs/>
                <w:sz w:val="21"/>
              </w:rPr>
            </w:pPr>
            <w:r w:rsidRPr="00CF0F96">
              <w:rPr>
                <w:rFonts w:ascii="Arial" w:hAnsi="Arial" w:cs="Arial"/>
                <w:bCs/>
                <w:w w:val="95"/>
                <w:sz w:val="21"/>
              </w:rPr>
              <w:t>Reptilia</w:t>
            </w:r>
          </w:p>
        </w:tc>
        <w:tc>
          <w:tcPr>
            <w:tcW w:w="1879" w:type="dxa"/>
            <w:tcBorders>
              <w:left w:val="dashed" w:sz="8" w:space="0" w:color="4AACC5"/>
              <w:right w:val="dashed" w:sz="8" w:space="0" w:color="4AACC5"/>
            </w:tcBorders>
          </w:tcPr>
          <w:p w14:paraId="5DF2FF04" w14:textId="77777777" w:rsidR="00C81834" w:rsidRPr="00CF0F96" w:rsidRDefault="00C81834" w:rsidP="00D30988">
            <w:pPr>
              <w:pStyle w:val="TableParagraph"/>
              <w:spacing w:before="54"/>
              <w:rPr>
                <w:rFonts w:ascii="Arial" w:hAnsi="Arial" w:cs="Arial"/>
                <w:sz w:val="21"/>
              </w:rPr>
            </w:pPr>
            <w:r w:rsidRPr="00CF0F96">
              <w:rPr>
                <w:rFonts w:ascii="Arial" w:hAnsi="Arial" w:cs="Arial"/>
                <w:sz w:val="21"/>
              </w:rPr>
              <w:t>Anguidae</w:t>
            </w:r>
          </w:p>
        </w:tc>
        <w:tc>
          <w:tcPr>
            <w:tcW w:w="3204" w:type="dxa"/>
            <w:tcBorders>
              <w:left w:val="dashed" w:sz="8" w:space="0" w:color="4AACC5"/>
              <w:right w:val="dashed" w:sz="8" w:space="0" w:color="4AACC5"/>
            </w:tcBorders>
          </w:tcPr>
          <w:p w14:paraId="4E2E2221" w14:textId="77777777" w:rsidR="00C81834" w:rsidRPr="00CF0F96" w:rsidRDefault="00C81834" w:rsidP="00D30988">
            <w:pPr>
              <w:pStyle w:val="TableParagraph"/>
              <w:rPr>
                <w:rFonts w:ascii="Arial" w:hAnsi="Arial" w:cs="Arial"/>
                <w:i/>
                <w:sz w:val="21"/>
              </w:rPr>
            </w:pPr>
            <w:r w:rsidRPr="00CF0F96">
              <w:rPr>
                <w:rFonts w:ascii="Arial" w:hAnsi="Arial" w:cs="Arial"/>
                <w:i/>
                <w:sz w:val="21"/>
              </w:rPr>
              <w:t>Celestus montanus</w:t>
            </w:r>
          </w:p>
        </w:tc>
        <w:tc>
          <w:tcPr>
            <w:tcW w:w="1372" w:type="dxa"/>
            <w:tcBorders>
              <w:left w:val="dashed" w:sz="8" w:space="0" w:color="4AACC5"/>
              <w:right w:val="dashed" w:sz="8" w:space="0" w:color="4AACC5"/>
            </w:tcBorders>
          </w:tcPr>
          <w:p w14:paraId="5AE0387C"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F0F96" w:rsidRPr="00CF0F96" w14:paraId="78C5E07B" w14:textId="77777777" w:rsidTr="00C81834">
        <w:trPr>
          <w:trHeight w:val="369"/>
        </w:trPr>
        <w:tc>
          <w:tcPr>
            <w:tcW w:w="1804" w:type="dxa"/>
            <w:tcBorders>
              <w:left w:val="dashed" w:sz="8" w:space="0" w:color="4AACC5"/>
              <w:right w:val="dashed" w:sz="8" w:space="0" w:color="4AACC5"/>
            </w:tcBorders>
            <w:shd w:val="clear" w:color="auto" w:fill="D2EAF0"/>
          </w:tcPr>
          <w:p w14:paraId="4B68C31A" w14:textId="77777777" w:rsidR="00C81834" w:rsidRPr="00CF0F96" w:rsidRDefault="00C81834" w:rsidP="00D30988">
            <w:pPr>
              <w:pStyle w:val="TableParagraph"/>
              <w:rPr>
                <w:rFonts w:ascii="Arial" w:hAnsi="Arial" w:cs="Arial"/>
                <w:bCs/>
                <w:sz w:val="21"/>
              </w:rPr>
            </w:pPr>
            <w:r w:rsidRPr="00CF0F96">
              <w:rPr>
                <w:rFonts w:ascii="Arial" w:hAnsi="Arial" w:cs="Arial"/>
                <w:bCs/>
                <w:w w:val="95"/>
                <w:sz w:val="21"/>
              </w:rPr>
              <w:t>Reptilia</w:t>
            </w:r>
          </w:p>
        </w:tc>
        <w:tc>
          <w:tcPr>
            <w:tcW w:w="1879" w:type="dxa"/>
            <w:tcBorders>
              <w:left w:val="dashed" w:sz="8" w:space="0" w:color="4AACC5"/>
              <w:right w:val="dashed" w:sz="8" w:space="0" w:color="4AACC5"/>
            </w:tcBorders>
            <w:shd w:val="clear" w:color="auto" w:fill="D2EAF0"/>
          </w:tcPr>
          <w:p w14:paraId="0D119B3C" w14:textId="77777777" w:rsidR="00C81834" w:rsidRPr="00CF0F96" w:rsidRDefault="00C81834" w:rsidP="00D30988">
            <w:pPr>
              <w:pStyle w:val="TableParagraph"/>
              <w:spacing w:before="54"/>
              <w:rPr>
                <w:rFonts w:ascii="Arial" w:hAnsi="Arial" w:cs="Arial"/>
                <w:sz w:val="21"/>
              </w:rPr>
            </w:pPr>
            <w:r w:rsidRPr="00CF0F96">
              <w:rPr>
                <w:rFonts w:ascii="Arial" w:hAnsi="Arial" w:cs="Arial"/>
                <w:sz w:val="21"/>
              </w:rPr>
              <w:t>Anguidae</w:t>
            </w:r>
          </w:p>
        </w:tc>
        <w:tc>
          <w:tcPr>
            <w:tcW w:w="3204" w:type="dxa"/>
            <w:tcBorders>
              <w:left w:val="dashed" w:sz="8" w:space="0" w:color="4AACC5"/>
              <w:right w:val="dashed" w:sz="8" w:space="0" w:color="4AACC5"/>
            </w:tcBorders>
            <w:shd w:val="clear" w:color="auto" w:fill="D2EAF0"/>
          </w:tcPr>
          <w:p w14:paraId="777CF7A7" w14:textId="77777777" w:rsidR="00C81834" w:rsidRPr="00CF0F96" w:rsidRDefault="00C81834" w:rsidP="00D30988">
            <w:pPr>
              <w:pStyle w:val="TableParagraph"/>
              <w:rPr>
                <w:rFonts w:ascii="Arial" w:hAnsi="Arial" w:cs="Arial"/>
                <w:i/>
                <w:sz w:val="21"/>
              </w:rPr>
            </w:pPr>
            <w:r w:rsidRPr="00CF0F96">
              <w:rPr>
                <w:rFonts w:ascii="Arial" w:hAnsi="Arial" w:cs="Arial"/>
                <w:i/>
                <w:sz w:val="21"/>
              </w:rPr>
              <w:t>Celestus scansorius</w:t>
            </w:r>
          </w:p>
        </w:tc>
        <w:tc>
          <w:tcPr>
            <w:tcW w:w="1372" w:type="dxa"/>
            <w:tcBorders>
              <w:left w:val="dashed" w:sz="8" w:space="0" w:color="4AACC5"/>
              <w:right w:val="dashed" w:sz="8" w:space="0" w:color="4AACC5"/>
            </w:tcBorders>
            <w:shd w:val="clear" w:color="auto" w:fill="D2EAF0"/>
          </w:tcPr>
          <w:p w14:paraId="1035BDFA"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F0F96" w:rsidRPr="00CF0F96" w14:paraId="2A3B024E" w14:textId="77777777" w:rsidTr="00C81834">
        <w:trPr>
          <w:trHeight w:val="369"/>
        </w:trPr>
        <w:tc>
          <w:tcPr>
            <w:tcW w:w="1804" w:type="dxa"/>
            <w:tcBorders>
              <w:left w:val="dashed" w:sz="8" w:space="0" w:color="4AACC5"/>
              <w:right w:val="dashed" w:sz="8" w:space="0" w:color="4AACC5"/>
            </w:tcBorders>
          </w:tcPr>
          <w:p w14:paraId="5A41C585" w14:textId="77777777" w:rsidR="00C81834" w:rsidRPr="00CF0F96" w:rsidRDefault="00C81834" w:rsidP="00D30988">
            <w:pPr>
              <w:pStyle w:val="TableParagraph"/>
              <w:rPr>
                <w:rFonts w:ascii="Arial" w:hAnsi="Arial" w:cs="Arial"/>
                <w:bCs/>
                <w:sz w:val="21"/>
              </w:rPr>
            </w:pPr>
            <w:r w:rsidRPr="00CF0F96">
              <w:rPr>
                <w:rFonts w:ascii="Arial" w:hAnsi="Arial" w:cs="Arial"/>
                <w:bCs/>
                <w:w w:val="95"/>
                <w:sz w:val="21"/>
              </w:rPr>
              <w:t>Reptilia</w:t>
            </w:r>
          </w:p>
        </w:tc>
        <w:tc>
          <w:tcPr>
            <w:tcW w:w="1879" w:type="dxa"/>
            <w:tcBorders>
              <w:left w:val="dashed" w:sz="8" w:space="0" w:color="4AACC5"/>
              <w:right w:val="dashed" w:sz="8" w:space="0" w:color="4AACC5"/>
            </w:tcBorders>
          </w:tcPr>
          <w:p w14:paraId="28435C74" w14:textId="77777777" w:rsidR="00C81834" w:rsidRPr="00CF0F96" w:rsidRDefault="00C81834" w:rsidP="00D30988">
            <w:pPr>
              <w:pStyle w:val="TableParagraph"/>
              <w:spacing w:before="54"/>
              <w:rPr>
                <w:rFonts w:ascii="Arial" w:hAnsi="Arial" w:cs="Arial"/>
                <w:sz w:val="21"/>
              </w:rPr>
            </w:pPr>
            <w:r w:rsidRPr="00CF0F96">
              <w:rPr>
                <w:rFonts w:ascii="Arial" w:hAnsi="Arial" w:cs="Arial"/>
                <w:sz w:val="21"/>
              </w:rPr>
              <w:t>Dactyloidae</w:t>
            </w:r>
          </w:p>
        </w:tc>
        <w:tc>
          <w:tcPr>
            <w:tcW w:w="3204" w:type="dxa"/>
            <w:tcBorders>
              <w:left w:val="dashed" w:sz="8" w:space="0" w:color="4AACC5"/>
              <w:right w:val="dashed" w:sz="8" w:space="0" w:color="4AACC5"/>
            </w:tcBorders>
          </w:tcPr>
          <w:p w14:paraId="3B3E9F83" w14:textId="77777777" w:rsidR="00C81834" w:rsidRPr="00CF0F96" w:rsidRDefault="00C81834" w:rsidP="00D30988">
            <w:pPr>
              <w:pStyle w:val="TableParagraph"/>
              <w:rPr>
                <w:rFonts w:ascii="Arial" w:hAnsi="Arial" w:cs="Arial"/>
                <w:i/>
                <w:sz w:val="21"/>
              </w:rPr>
            </w:pPr>
            <w:r w:rsidRPr="00CF0F96">
              <w:rPr>
                <w:rFonts w:ascii="Arial" w:hAnsi="Arial" w:cs="Arial"/>
                <w:i/>
                <w:sz w:val="21"/>
              </w:rPr>
              <w:t>Anolis amplisquamosus</w:t>
            </w:r>
          </w:p>
        </w:tc>
        <w:tc>
          <w:tcPr>
            <w:tcW w:w="1372" w:type="dxa"/>
            <w:tcBorders>
              <w:left w:val="dashed" w:sz="8" w:space="0" w:color="4AACC5"/>
              <w:right w:val="dashed" w:sz="8" w:space="0" w:color="4AACC5"/>
            </w:tcBorders>
          </w:tcPr>
          <w:p w14:paraId="6C7A4878"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bl>
    <w:p w14:paraId="34D43497" w14:textId="77777777" w:rsidR="00C81834" w:rsidRPr="00FA4B2D" w:rsidRDefault="00C81834" w:rsidP="00D30988">
      <w:pPr>
        <w:tabs>
          <w:tab w:val="left" w:pos="1245"/>
        </w:tabs>
        <w:jc w:val="center"/>
        <w:rPr>
          <w:rFonts w:cs="Arial"/>
        </w:rPr>
      </w:pPr>
    </w:p>
    <w:p w14:paraId="4BF25EEB" w14:textId="77777777" w:rsidR="00C81834" w:rsidRPr="00FA4B2D" w:rsidRDefault="00C81834" w:rsidP="00D30988">
      <w:pPr>
        <w:jc w:val="center"/>
        <w:rPr>
          <w:rFonts w:cs="Arial"/>
        </w:rPr>
      </w:pPr>
      <w:r w:rsidRPr="00FA4B2D">
        <w:rPr>
          <w:rFonts w:cs="Arial"/>
        </w:rPr>
        <w:br w:type="page"/>
      </w:r>
    </w:p>
    <w:tbl>
      <w:tblPr>
        <w:tblStyle w:val="TableNormal1"/>
        <w:tblW w:w="0" w:type="auto"/>
        <w:jc w:val="center"/>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1804"/>
        <w:gridCol w:w="1879"/>
        <w:gridCol w:w="3204"/>
        <w:gridCol w:w="1372"/>
      </w:tblGrid>
      <w:tr w:rsidR="00C81834" w:rsidRPr="00FA4B2D" w14:paraId="12772084" w14:textId="77777777" w:rsidTr="005D7F0C">
        <w:trPr>
          <w:trHeight w:val="369"/>
          <w:jc w:val="center"/>
        </w:trPr>
        <w:tc>
          <w:tcPr>
            <w:tcW w:w="1804" w:type="dxa"/>
            <w:tcBorders>
              <w:left w:val="dashed" w:sz="8" w:space="0" w:color="4AACC5"/>
              <w:right w:val="dashed" w:sz="8" w:space="0" w:color="4AACC5"/>
            </w:tcBorders>
            <w:shd w:val="clear" w:color="auto" w:fill="5CC5DA"/>
          </w:tcPr>
          <w:p w14:paraId="2C3043F3" w14:textId="77777777" w:rsidR="00C81834" w:rsidRPr="00CF0F96" w:rsidRDefault="00C81834" w:rsidP="00D30988">
            <w:pPr>
              <w:pStyle w:val="TableParagraph"/>
              <w:ind w:left="625" w:right="605"/>
              <w:jc w:val="center"/>
              <w:rPr>
                <w:rFonts w:ascii="Arial" w:hAnsi="Arial" w:cs="Arial"/>
                <w:bCs/>
                <w:sz w:val="21"/>
              </w:rPr>
            </w:pPr>
            <w:r w:rsidRPr="00CF0F96">
              <w:rPr>
                <w:rFonts w:ascii="Arial" w:hAnsi="Arial" w:cs="Arial"/>
                <w:bCs/>
                <w:sz w:val="21"/>
              </w:rPr>
              <w:lastRenderedPageBreak/>
              <w:t>Clase</w:t>
            </w:r>
          </w:p>
        </w:tc>
        <w:tc>
          <w:tcPr>
            <w:tcW w:w="1879" w:type="dxa"/>
            <w:tcBorders>
              <w:left w:val="dashed" w:sz="8" w:space="0" w:color="4AACC5"/>
              <w:right w:val="dashed" w:sz="8" w:space="0" w:color="4AACC5"/>
            </w:tcBorders>
            <w:shd w:val="clear" w:color="auto" w:fill="5CC5DA"/>
          </w:tcPr>
          <w:p w14:paraId="52AB8E4E" w14:textId="77777777" w:rsidR="00C81834" w:rsidRPr="00CF0F96" w:rsidRDefault="00C81834" w:rsidP="00CF0F96">
            <w:pPr>
              <w:pStyle w:val="TableParagraph"/>
              <w:ind w:left="627"/>
              <w:rPr>
                <w:rFonts w:ascii="Arial" w:hAnsi="Arial" w:cs="Arial"/>
                <w:bCs/>
                <w:sz w:val="21"/>
              </w:rPr>
            </w:pPr>
            <w:r w:rsidRPr="00CF0F96">
              <w:rPr>
                <w:rFonts w:ascii="Arial" w:hAnsi="Arial" w:cs="Arial"/>
                <w:bCs/>
                <w:sz w:val="21"/>
              </w:rPr>
              <w:t>Familia</w:t>
            </w:r>
          </w:p>
        </w:tc>
        <w:tc>
          <w:tcPr>
            <w:tcW w:w="3204" w:type="dxa"/>
            <w:tcBorders>
              <w:left w:val="dashed" w:sz="8" w:space="0" w:color="4AACC5"/>
              <w:right w:val="dashed" w:sz="8" w:space="0" w:color="4AACC5"/>
            </w:tcBorders>
            <w:shd w:val="clear" w:color="auto" w:fill="5CC5DA"/>
          </w:tcPr>
          <w:p w14:paraId="1A7F15B0" w14:textId="77777777" w:rsidR="00C81834" w:rsidRPr="00CF0F96" w:rsidRDefault="00C81834" w:rsidP="00D30988">
            <w:pPr>
              <w:pStyle w:val="TableParagraph"/>
              <w:ind w:left="1165" w:right="1144"/>
              <w:jc w:val="center"/>
              <w:rPr>
                <w:rFonts w:ascii="Arial" w:hAnsi="Arial" w:cs="Arial"/>
                <w:bCs/>
                <w:sz w:val="21"/>
              </w:rPr>
            </w:pPr>
            <w:r w:rsidRPr="00CF0F96">
              <w:rPr>
                <w:rFonts w:ascii="Arial" w:hAnsi="Arial" w:cs="Arial"/>
                <w:bCs/>
                <w:sz w:val="21"/>
              </w:rPr>
              <w:t>Especies</w:t>
            </w:r>
          </w:p>
        </w:tc>
        <w:tc>
          <w:tcPr>
            <w:tcW w:w="1372" w:type="dxa"/>
            <w:tcBorders>
              <w:left w:val="dashed" w:sz="8" w:space="0" w:color="4AACC5"/>
              <w:right w:val="dashed" w:sz="8" w:space="0" w:color="4AACC5"/>
            </w:tcBorders>
            <w:shd w:val="clear" w:color="auto" w:fill="5CC5DA"/>
          </w:tcPr>
          <w:p w14:paraId="186FC221" w14:textId="77777777" w:rsidR="00C81834" w:rsidRPr="00CF0F96" w:rsidRDefault="00C81834" w:rsidP="00CF0F96">
            <w:pPr>
              <w:pStyle w:val="TableParagraph"/>
              <w:ind w:left="281"/>
              <w:rPr>
                <w:rFonts w:ascii="Arial" w:hAnsi="Arial" w:cs="Arial"/>
                <w:bCs/>
                <w:sz w:val="21"/>
              </w:rPr>
            </w:pPr>
            <w:r w:rsidRPr="00CF0F96">
              <w:rPr>
                <w:rFonts w:ascii="Arial" w:hAnsi="Arial" w:cs="Arial"/>
                <w:bCs/>
                <w:w w:val="95"/>
                <w:sz w:val="21"/>
              </w:rPr>
              <w:t>Categoría</w:t>
            </w:r>
          </w:p>
        </w:tc>
      </w:tr>
      <w:tr w:rsidR="00C81834" w:rsidRPr="00FA4B2D" w14:paraId="6E7F8CE7" w14:textId="77777777" w:rsidTr="00C81834">
        <w:trPr>
          <w:trHeight w:val="369"/>
          <w:jc w:val="center"/>
        </w:trPr>
        <w:tc>
          <w:tcPr>
            <w:tcW w:w="1804" w:type="dxa"/>
            <w:tcBorders>
              <w:left w:val="dashed" w:sz="8" w:space="0" w:color="4AACC5"/>
              <w:right w:val="dashed" w:sz="8" w:space="0" w:color="4AACC5"/>
            </w:tcBorders>
            <w:shd w:val="clear" w:color="auto" w:fill="D2EAF0"/>
          </w:tcPr>
          <w:p w14:paraId="7F272817" w14:textId="77777777" w:rsidR="00C81834" w:rsidRPr="00CF0F96" w:rsidRDefault="00C81834" w:rsidP="00D30988">
            <w:pPr>
              <w:pStyle w:val="TableParagraph"/>
              <w:rPr>
                <w:rFonts w:ascii="Arial" w:hAnsi="Arial" w:cs="Arial"/>
                <w:bCs/>
                <w:sz w:val="21"/>
              </w:rPr>
            </w:pPr>
            <w:r w:rsidRPr="00CF0F96">
              <w:rPr>
                <w:rFonts w:ascii="Arial" w:hAnsi="Arial" w:cs="Arial"/>
                <w:bCs/>
                <w:w w:val="95"/>
                <w:sz w:val="21"/>
              </w:rPr>
              <w:t>Reptilia</w:t>
            </w:r>
          </w:p>
        </w:tc>
        <w:tc>
          <w:tcPr>
            <w:tcW w:w="1879" w:type="dxa"/>
            <w:tcBorders>
              <w:left w:val="dashed" w:sz="8" w:space="0" w:color="4AACC5"/>
              <w:right w:val="dashed" w:sz="8" w:space="0" w:color="4AACC5"/>
            </w:tcBorders>
            <w:shd w:val="clear" w:color="auto" w:fill="D2EAF0"/>
          </w:tcPr>
          <w:p w14:paraId="1C39E6C7" w14:textId="77777777" w:rsidR="00C81834" w:rsidRPr="00CF0F96" w:rsidRDefault="00C81834" w:rsidP="00D30988">
            <w:pPr>
              <w:pStyle w:val="TableParagraph"/>
              <w:spacing w:before="54"/>
              <w:rPr>
                <w:rFonts w:ascii="Arial" w:hAnsi="Arial" w:cs="Arial"/>
                <w:bCs/>
                <w:sz w:val="21"/>
              </w:rPr>
            </w:pPr>
            <w:r w:rsidRPr="00CF0F96">
              <w:rPr>
                <w:rFonts w:ascii="Arial" w:hAnsi="Arial" w:cs="Arial"/>
                <w:bCs/>
                <w:sz w:val="21"/>
              </w:rPr>
              <w:t>Dactyloidae</w:t>
            </w:r>
          </w:p>
        </w:tc>
        <w:tc>
          <w:tcPr>
            <w:tcW w:w="3204" w:type="dxa"/>
            <w:tcBorders>
              <w:left w:val="dashed" w:sz="8" w:space="0" w:color="4AACC5"/>
              <w:right w:val="dashed" w:sz="8" w:space="0" w:color="4AACC5"/>
            </w:tcBorders>
            <w:shd w:val="clear" w:color="auto" w:fill="D2EAF0"/>
          </w:tcPr>
          <w:p w14:paraId="745733D6" w14:textId="77777777" w:rsidR="00C81834" w:rsidRPr="00CF0F96" w:rsidRDefault="00C81834" w:rsidP="00D30988">
            <w:pPr>
              <w:pStyle w:val="TableParagraph"/>
              <w:rPr>
                <w:rFonts w:ascii="Arial" w:hAnsi="Arial" w:cs="Arial"/>
                <w:bCs/>
                <w:i/>
                <w:sz w:val="21"/>
              </w:rPr>
            </w:pPr>
            <w:r w:rsidRPr="00CF0F96">
              <w:rPr>
                <w:rFonts w:ascii="Arial" w:hAnsi="Arial" w:cs="Arial"/>
                <w:bCs/>
                <w:i/>
                <w:sz w:val="21"/>
              </w:rPr>
              <w:t>Anolis cusuco</w:t>
            </w:r>
          </w:p>
        </w:tc>
        <w:tc>
          <w:tcPr>
            <w:tcW w:w="1372" w:type="dxa"/>
            <w:tcBorders>
              <w:left w:val="dashed" w:sz="8" w:space="0" w:color="4AACC5"/>
              <w:right w:val="dashed" w:sz="8" w:space="0" w:color="4AACC5"/>
            </w:tcBorders>
            <w:shd w:val="clear" w:color="auto" w:fill="D2EAF0"/>
          </w:tcPr>
          <w:p w14:paraId="506C86E3"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4948D8DF" w14:textId="77777777" w:rsidTr="00C81834">
        <w:trPr>
          <w:trHeight w:val="369"/>
          <w:jc w:val="center"/>
        </w:trPr>
        <w:tc>
          <w:tcPr>
            <w:tcW w:w="1804" w:type="dxa"/>
            <w:tcBorders>
              <w:left w:val="dashed" w:sz="8" w:space="0" w:color="4AACC5"/>
              <w:right w:val="dashed" w:sz="8" w:space="0" w:color="4AACC5"/>
            </w:tcBorders>
          </w:tcPr>
          <w:p w14:paraId="2E4D5CF9" w14:textId="77777777" w:rsidR="00C81834" w:rsidRPr="00CF0F96" w:rsidRDefault="00C81834" w:rsidP="00D30988">
            <w:pPr>
              <w:pStyle w:val="TableParagraph"/>
              <w:rPr>
                <w:rFonts w:ascii="Arial" w:hAnsi="Arial" w:cs="Arial"/>
                <w:bCs/>
                <w:sz w:val="21"/>
              </w:rPr>
            </w:pPr>
            <w:r w:rsidRPr="00CF0F96">
              <w:rPr>
                <w:rFonts w:ascii="Arial" w:hAnsi="Arial" w:cs="Arial"/>
                <w:bCs/>
                <w:w w:val="95"/>
                <w:sz w:val="21"/>
              </w:rPr>
              <w:t>Reptilia</w:t>
            </w:r>
          </w:p>
        </w:tc>
        <w:tc>
          <w:tcPr>
            <w:tcW w:w="1879" w:type="dxa"/>
            <w:tcBorders>
              <w:left w:val="dashed" w:sz="8" w:space="0" w:color="4AACC5"/>
              <w:right w:val="dashed" w:sz="8" w:space="0" w:color="4AACC5"/>
            </w:tcBorders>
          </w:tcPr>
          <w:p w14:paraId="68F49B64" w14:textId="77777777" w:rsidR="00C81834" w:rsidRPr="00CF0F96" w:rsidRDefault="00C81834" w:rsidP="00D30988">
            <w:pPr>
              <w:pStyle w:val="TableParagraph"/>
              <w:spacing w:before="54"/>
              <w:rPr>
                <w:rFonts w:ascii="Arial" w:hAnsi="Arial" w:cs="Arial"/>
                <w:bCs/>
                <w:sz w:val="21"/>
              </w:rPr>
            </w:pPr>
            <w:r w:rsidRPr="00CF0F96">
              <w:rPr>
                <w:rFonts w:ascii="Arial" w:hAnsi="Arial" w:cs="Arial"/>
                <w:bCs/>
                <w:sz w:val="21"/>
              </w:rPr>
              <w:t>Dactyloidae</w:t>
            </w:r>
          </w:p>
        </w:tc>
        <w:tc>
          <w:tcPr>
            <w:tcW w:w="3204" w:type="dxa"/>
            <w:tcBorders>
              <w:left w:val="dashed" w:sz="8" w:space="0" w:color="4AACC5"/>
              <w:right w:val="dashed" w:sz="8" w:space="0" w:color="4AACC5"/>
            </w:tcBorders>
          </w:tcPr>
          <w:p w14:paraId="0AFA2A7E" w14:textId="77777777" w:rsidR="00C81834" w:rsidRPr="00CF0F96" w:rsidRDefault="00C81834" w:rsidP="00D30988">
            <w:pPr>
              <w:pStyle w:val="TableParagraph"/>
              <w:rPr>
                <w:rFonts w:ascii="Arial" w:hAnsi="Arial" w:cs="Arial"/>
                <w:bCs/>
                <w:i/>
                <w:sz w:val="21"/>
              </w:rPr>
            </w:pPr>
            <w:r w:rsidRPr="00CF0F96">
              <w:rPr>
                <w:rFonts w:ascii="Arial" w:hAnsi="Arial" w:cs="Arial"/>
                <w:bCs/>
                <w:i/>
                <w:sz w:val="21"/>
              </w:rPr>
              <w:t>Anolis loveridgei</w:t>
            </w:r>
          </w:p>
        </w:tc>
        <w:tc>
          <w:tcPr>
            <w:tcW w:w="1372" w:type="dxa"/>
            <w:tcBorders>
              <w:left w:val="dashed" w:sz="8" w:space="0" w:color="4AACC5"/>
              <w:right w:val="dashed" w:sz="8" w:space="0" w:color="4AACC5"/>
            </w:tcBorders>
          </w:tcPr>
          <w:p w14:paraId="3A3CCB1D"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3BC67479" w14:textId="77777777" w:rsidTr="00C81834">
        <w:trPr>
          <w:trHeight w:val="369"/>
          <w:jc w:val="center"/>
        </w:trPr>
        <w:tc>
          <w:tcPr>
            <w:tcW w:w="1804" w:type="dxa"/>
            <w:tcBorders>
              <w:left w:val="dashed" w:sz="8" w:space="0" w:color="4AACC5"/>
              <w:right w:val="dashed" w:sz="8" w:space="0" w:color="4AACC5"/>
            </w:tcBorders>
            <w:shd w:val="clear" w:color="auto" w:fill="D2EAF0"/>
          </w:tcPr>
          <w:p w14:paraId="0AB4CBD7" w14:textId="77777777" w:rsidR="00C81834" w:rsidRPr="00CF0F96" w:rsidRDefault="00C81834" w:rsidP="00D30988">
            <w:pPr>
              <w:pStyle w:val="TableParagraph"/>
              <w:rPr>
                <w:rFonts w:ascii="Arial" w:hAnsi="Arial" w:cs="Arial"/>
                <w:bCs/>
                <w:sz w:val="21"/>
              </w:rPr>
            </w:pPr>
            <w:r w:rsidRPr="00CF0F96">
              <w:rPr>
                <w:rFonts w:ascii="Arial" w:hAnsi="Arial" w:cs="Arial"/>
                <w:bCs/>
                <w:w w:val="95"/>
                <w:sz w:val="21"/>
              </w:rPr>
              <w:t>Reptilia</w:t>
            </w:r>
          </w:p>
        </w:tc>
        <w:tc>
          <w:tcPr>
            <w:tcW w:w="1879" w:type="dxa"/>
            <w:tcBorders>
              <w:left w:val="dashed" w:sz="8" w:space="0" w:color="4AACC5"/>
              <w:right w:val="dashed" w:sz="8" w:space="0" w:color="4AACC5"/>
            </w:tcBorders>
            <w:shd w:val="clear" w:color="auto" w:fill="D2EAF0"/>
          </w:tcPr>
          <w:p w14:paraId="54FCAF00" w14:textId="77777777" w:rsidR="00C81834" w:rsidRPr="00CF0F96" w:rsidRDefault="00C81834" w:rsidP="00D30988">
            <w:pPr>
              <w:pStyle w:val="TableParagraph"/>
              <w:spacing w:before="54"/>
              <w:rPr>
                <w:rFonts w:ascii="Arial" w:hAnsi="Arial" w:cs="Arial"/>
                <w:bCs/>
                <w:sz w:val="21"/>
              </w:rPr>
            </w:pPr>
            <w:r w:rsidRPr="00CF0F96">
              <w:rPr>
                <w:rFonts w:ascii="Arial" w:hAnsi="Arial" w:cs="Arial"/>
                <w:bCs/>
                <w:sz w:val="21"/>
              </w:rPr>
              <w:t>Dactyloidae</w:t>
            </w:r>
          </w:p>
        </w:tc>
        <w:tc>
          <w:tcPr>
            <w:tcW w:w="3204" w:type="dxa"/>
            <w:tcBorders>
              <w:left w:val="dashed" w:sz="8" w:space="0" w:color="4AACC5"/>
              <w:right w:val="dashed" w:sz="8" w:space="0" w:color="4AACC5"/>
            </w:tcBorders>
            <w:shd w:val="clear" w:color="auto" w:fill="D2EAF0"/>
          </w:tcPr>
          <w:p w14:paraId="7CD2802B" w14:textId="77777777" w:rsidR="00C81834" w:rsidRPr="00CF0F96" w:rsidRDefault="00C81834" w:rsidP="00D30988">
            <w:pPr>
              <w:pStyle w:val="TableParagraph"/>
              <w:rPr>
                <w:rFonts w:ascii="Arial" w:hAnsi="Arial" w:cs="Arial"/>
                <w:bCs/>
                <w:i/>
                <w:sz w:val="21"/>
              </w:rPr>
            </w:pPr>
            <w:r w:rsidRPr="00CF0F96">
              <w:rPr>
                <w:rFonts w:ascii="Arial" w:hAnsi="Arial" w:cs="Arial"/>
                <w:bCs/>
                <w:i/>
                <w:sz w:val="21"/>
              </w:rPr>
              <w:t>Anolis muralla</w:t>
            </w:r>
          </w:p>
        </w:tc>
        <w:tc>
          <w:tcPr>
            <w:tcW w:w="1372" w:type="dxa"/>
            <w:tcBorders>
              <w:left w:val="dashed" w:sz="8" w:space="0" w:color="4AACC5"/>
              <w:right w:val="dashed" w:sz="8" w:space="0" w:color="4AACC5"/>
            </w:tcBorders>
            <w:shd w:val="clear" w:color="auto" w:fill="D2EAF0"/>
          </w:tcPr>
          <w:p w14:paraId="328BE46A"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0715BA48" w14:textId="77777777" w:rsidTr="00C81834">
        <w:trPr>
          <w:trHeight w:val="369"/>
          <w:jc w:val="center"/>
        </w:trPr>
        <w:tc>
          <w:tcPr>
            <w:tcW w:w="1804" w:type="dxa"/>
            <w:tcBorders>
              <w:left w:val="dashed" w:sz="8" w:space="0" w:color="4AACC5"/>
              <w:right w:val="dashed" w:sz="8" w:space="0" w:color="4AACC5"/>
            </w:tcBorders>
          </w:tcPr>
          <w:p w14:paraId="476F281D" w14:textId="77777777" w:rsidR="00C81834" w:rsidRPr="00CF0F96" w:rsidRDefault="00C81834" w:rsidP="00D30988">
            <w:pPr>
              <w:pStyle w:val="TableParagraph"/>
              <w:rPr>
                <w:rFonts w:ascii="Arial" w:hAnsi="Arial" w:cs="Arial"/>
                <w:bCs/>
                <w:sz w:val="21"/>
              </w:rPr>
            </w:pPr>
            <w:r w:rsidRPr="00CF0F96">
              <w:rPr>
                <w:rFonts w:ascii="Arial" w:hAnsi="Arial" w:cs="Arial"/>
                <w:bCs/>
                <w:w w:val="95"/>
                <w:sz w:val="21"/>
              </w:rPr>
              <w:t>Reptilia</w:t>
            </w:r>
          </w:p>
        </w:tc>
        <w:tc>
          <w:tcPr>
            <w:tcW w:w="1879" w:type="dxa"/>
            <w:tcBorders>
              <w:left w:val="dashed" w:sz="8" w:space="0" w:color="4AACC5"/>
              <w:right w:val="dashed" w:sz="8" w:space="0" w:color="4AACC5"/>
            </w:tcBorders>
          </w:tcPr>
          <w:p w14:paraId="0E62B86E" w14:textId="77777777" w:rsidR="00C81834" w:rsidRPr="00CF0F96" w:rsidRDefault="00C81834" w:rsidP="00D30988">
            <w:pPr>
              <w:pStyle w:val="TableParagraph"/>
              <w:spacing w:before="54"/>
              <w:rPr>
                <w:rFonts w:ascii="Arial" w:hAnsi="Arial" w:cs="Arial"/>
                <w:bCs/>
                <w:sz w:val="21"/>
              </w:rPr>
            </w:pPr>
            <w:r w:rsidRPr="00CF0F96">
              <w:rPr>
                <w:rFonts w:ascii="Arial" w:hAnsi="Arial" w:cs="Arial"/>
                <w:bCs/>
                <w:sz w:val="21"/>
              </w:rPr>
              <w:t>Iguanidae</w:t>
            </w:r>
          </w:p>
        </w:tc>
        <w:tc>
          <w:tcPr>
            <w:tcW w:w="3204" w:type="dxa"/>
            <w:tcBorders>
              <w:left w:val="dashed" w:sz="8" w:space="0" w:color="4AACC5"/>
              <w:right w:val="dashed" w:sz="8" w:space="0" w:color="4AACC5"/>
            </w:tcBorders>
          </w:tcPr>
          <w:p w14:paraId="7C4A09E8" w14:textId="77777777" w:rsidR="00C81834" w:rsidRPr="00CF0F96" w:rsidRDefault="00C81834" w:rsidP="00D30988">
            <w:pPr>
              <w:pStyle w:val="TableParagraph"/>
              <w:spacing w:before="53"/>
              <w:rPr>
                <w:rFonts w:ascii="Arial" w:hAnsi="Arial" w:cs="Arial"/>
                <w:bCs/>
                <w:i/>
                <w:sz w:val="21"/>
              </w:rPr>
            </w:pPr>
            <w:r w:rsidRPr="00CF0F96">
              <w:rPr>
                <w:rFonts w:ascii="Arial" w:hAnsi="Arial" w:cs="Arial"/>
                <w:bCs/>
                <w:i/>
                <w:w w:val="95"/>
                <w:sz w:val="21"/>
              </w:rPr>
              <w:t>Ctenosaura flavidorsalis</w:t>
            </w:r>
          </w:p>
        </w:tc>
        <w:tc>
          <w:tcPr>
            <w:tcW w:w="1372" w:type="dxa"/>
            <w:tcBorders>
              <w:left w:val="dashed" w:sz="8" w:space="0" w:color="4AACC5"/>
              <w:right w:val="dashed" w:sz="8" w:space="0" w:color="4AACC5"/>
            </w:tcBorders>
          </w:tcPr>
          <w:p w14:paraId="3F6B0118"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01B9E6F7" w14:textId="77777777" w:rsidTr="00C81834">
        <w:trPr>
          <w:trHeight w:val="369"/>
          <w:jc w:val="center"/>
        </w:trPr>
        <w:tc>
          <w:tcPr>
            <w:tcW w:w="1804" w:type="dxa"/>
            <w:tcBorders>
              <w:left w:val="dashed" w:sz="8" w:space="0" w:color="4AACC5"/>
              <w:right w:val="dashed" w:sz="8" w:space="0" w:color="4AACC5"/>
            </w:tcBorders>
            <w:shd w:val="clear" w:color="auto" w:fill="D2EAF0"/>
          </w:tcPr>
          <w:p w14:paraId="67981759" w14:textId="77777777" w:rsidR="00C81834" w:rsidRPr="00CF0F96" w:rsidRDefault="00C81834" w:rsidP="00D30988">
            <w:pPr>
              <w:pStyle w:val="TableParagraph"/>
              <w:rPr>
                <w:rFonts w:ascii="Arial" w:hAnsi="Arial" w:cs="Arial"/>
                <w:bCs/>
                <w:sz w:val="21"/>
              </w:rPr>
            </w:pPr>
            <w:r w:rsidRPr="00CF0F96">
              <w:rPr>
                <w:rFonts w:ascii="Arial" w:hAnsi="Arial" w:cs="Arial"/>
                <w:bCs/>
                <w:w w:val="95"/>
                <w:sz w:val="21"/>
              </w:rPr>
              <w:t>Reptilia</w:t>
            </w:r>
          </w:p>
        </w:tc>
        <w:tc>
          <w:tcPr>
            <w:tcW w:w="1879" w:type="dxa"/>
            <w:tcBorders>
              <w:left w:val="dashed" w:sz="8" w:space="0" w:color="4AACC5"/>
              <w:right w:val="dashed" w:sz="8" w:space="0" w:color="4AACC5"/>
            </w:tcBorders>
            <w:shd w:val="clear" w:color="auto" w:fill="D2EAF0"/>
          </w:tcPr>
          <w:p w14:paraId="50C49E34" w14:textId="77777777" w:rsidR="00C81834" w:rsidRPr="00CF0F96" w:rsidRDefault="00C81834" w:rsidP="00D30988">
            <w:pPr>
              <w:pStyle w:val="TableParagraph"/>
              <w:spacing w:before="54"/>
              <w:rPr>
                <w:rFonts w:ascii="Arial" w:hAnsi="Arial" w:cs="Arial"/>
                <w:bCs/>
                <w:sz w:val="21"/>
              </w:rPr>
            </w:pPr>
            <w:r w:rsidRPr="00CF0F96">
              <w:rPr>
                <w:rFonts w:ascii="Arial" w:hAnsi="Arial" w:cs="Arial"/>
                <w:bCs/>
                <w:sz w:val="21"/>
              </w:rPr>
              <w:t>Iguanidae</w:t>
            </w:r>
          </w:p>
        </w:tc>
        <w:tc>
          <w:tcPr>
            <w:tcW w:w="3204" w:type="dxa"/>
            <w:tcBorders>
              <w:left w:val="dashed" w:sz="8" w:space="0" w:color="4AACC5"/>
              <w:right w:val="dashed" w:sz="8" w:space="0" w:color="4AACC5"/>
            </w:tcBorders>
            <w:shd w:val="clear" w:color="auto" w:fill="D2EAF0"/>
          </w:tcPr>
          <w:p w14:paraId="21F607CF" w14:textId="77777777" w:rsidR="00C81834" w:rsidRPr="00CF0F96" w:rsidRDefault="00C81834" w:rsidP="00D30988">
            <w:pPr>
              <w:pStyle w:val="TableParagraph"/>
              <w:rPr>
                <w:rFonts w:ascii="Arial" w:hAnsi="Arial" w:cs="Arial"/>
                <w:bCs/>
                <w:i/>
                <w:sz w:val="21"/>
              </w:rPr>
            </w:pPr>
            <w:r w:rsidRPr="00CF0F96">
              <w:rPr>
                <w:rFonts w:ascii="Arial" w:hAnsi="Arial" w:cs="Arial"/>
                <w:bCs/>
                <w:i/>
                <w:sz w:val="21"/>
              </w:rPr>
              <w:t>Ctenosaura bakeri</w:t>
            </w:r>
          </w:p>
        </w:tc>
        <w:tc>
          <w:tcPr>
            <w:tcW w:w="1372" w:type="dxa"/>
            <w:tcBorders>
              <w:left w:val="dashed" w:sz="8" w:space="0" w:color="4AACC5"/>
              <w:right w:val="dashed" w:sz="8" w:space="0" w:color="4AACC5"/>
            </w:tcBorders>
            <w:shd w:val="clear" w:color="auto" w:fill="D2EAF0"/>
          </w:tcPr>
          <w:p w14:paraId="76965EA5"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3D3E16EB" w14:textId="77777777" w:rsidTr="00C81834">
        <w:trPr>
          <w:trHeight w:val="369"/>
          <w:jc w:val="center"/>
        </w:trPr>
        <w:tc>
          <w:tcPr>
            <w:tcW w:w="1804" w:type="dxa"/>
            <w:tcBorders>
              <w:left w:val="dashed" w:sz="8" w:space="0" w:color="4AACC5"/>
              <w:right w:val="dashed" w:sz="8" w:space="0" w:color="4AACC5"/>
            </w:tcBorders>
          </w:tcPr>
          <w:p w14:paraId="53DE517E" w14:textId="77777777" w:rsidR="00C81834" w:rsidRPr="00CF0F96" w:rsidRDefault="00C81834" w:rsidP="00D30988">
            <w:pPr>
              <w:pStyle w:val="TableParagraph"/>
              <w:rPr>
                <w:rFonts w:ascii="Arial" w:hAnsi="Arial" w:cs="Arial"/>
                <w:bCs/>
                <w:sz w:val="21"/>
              </w:rPr>
            </w:pPr>
            <w:r w:rsidRPr="00CF0F96">
              <w:rPr>
                <w:rFonts w:ascii="Arial" w:hAnsi="Arial" w:cs="Arial"/>
                <w:bCs/>
                <w:w w:val="95"/>
                <w:sz w:val="21"/>
              </w:rPr>
              <w:t>Reptilia</w:t>
            </w:r>
          </w:p>
        </w:tc>
        <w:tc>
          <w:tcPr>
            <w:tcW w:w="1879" w:type="dxa"/>
            <w:tcBorders>
              <w:left w:val="dashed" w:sz="8" w:space="0" w:color="4AACC5"/>
              <w:right w:val="dashed" w:sz="8" w:space="0" w:color="4AACC5"/>
            </w:tcBorders>
          </w:tcPr>
          <w:p w14:paraId="12E93EB9" w14:textId="77777777" w:rsidR="00C81834" w:rsidRPr="00CF0F96" w:rsidRDefault="00C81834" w:rsidP="00D30988">
            <w:pPr>
              <w:pStyle w:val="TableParagraph"/>
              <w:spacing w:before="54"/>
              <w:rPr>
                <w:rFonts w:ascii="Arial" w:hAnsi="Arial" w:cs="Arial"/>
                <w:bCs/>
                <w:sz w:val="21"/>
              </w:rPr>
            </w:pPr>
            <w:r w:rsidRPr="00CF0F96">
              <w:rPr>
                <w:rFonts w:ascii="Arial" w:hAnsi="Arial" w:cs="Arial"/>
                <w:bCs/>
                <w:sz w:val="21"/>
              </w:rPr>
              <w:t>Iguanidae</w:t>
            </w:r>
          </w:p>
        </w:tc>
        <w:tc>
          <w:tcPr>
            <w:tcW w:w="3204" w:type="dxa"/>
            <w:tcBorders>
              <w:left w:val="dashed" w:sz="8" w:space="0" w:color="4AACC5"/>
              <w:right w:val="dashed" w:sz="8" w:space="0" w:color="4AACC5"/>
            </w:tcBorders>
          </w:tcPr>
          <w:p w14:paraId="1917F190" w14:textId="77777777" w:rsidR="00C81834" w:rsidRPr="00CF0F96" w:rsidRDefault="00C81834" w:rsidP="00D30988">
            <w:pPr>
              <w:pStyle w:val="TableParagraph"/>
              <w:rPr>
                <w:rFonts w:ascii="Arial" w:hAnsi="Arial" w:cs="Arial"/>
                <w:bCs/>
                <w:i/>
                <w:sz w:val="21"/>
              </w:rPr>
            </w:pPr>
            <w:r w:rsidRPr="00CF0F96">
              <w:rPr>
                <w:rFonts w:ascii="Arial" w:hAnsi="Arial" w:cs="Arial"/>
                <w:bCs/>
                <w:i/>
                <w:sz w:val="21"/>
              </w:rPr>
              <w:t>Ctenosaura oedirhina</w:t>
            </w:r>
          </w:p>
        </w:tc>
        <w:tc>
          <w:tcPr>
            <w:tcW w:w="1372" w:type="dxa"/>
            <w:tcBorders>
              <w:left w:val="dashed" w:sz="8" w:space="0" w:color="4AACC5"/>
              <w:right w:val="dashed" w:sz="8" w:space="0" w:color="4AACC5"/>
            </w:tcBorders>
          </w:tcPr>
          <w:p w14:paraId="469AD730"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4562D4C9" w14:textId="77777777" w:rsidTr="00C81834">
        <w:trPr>
          <w:trHeight w:val="369"/>
          <w:jc w:val="center"/>
        </w:trPr>
        <w:tc>
          <w:tcPr>
            <w:tcW w:w="1804" w:type="dxa"/>
            <w:tcBorders>
              <w:left w:val="dashed" w:sz="8" w:space="0" w:color="4AACC5"/>
              <w:right w:val="dashed" w:sz="8" w:space="0" w:color="4AACC5"/>
            </w:tcBorders>
            <w:shd w:val="clear" w:color="auto" w:fill="D2EAF0"/>
          </w:tcPr>
          <w:p w14:paraId="1201FDFB" w14:textId="77777777" w:rsidR="00C81834" w:rsidRPr="00CF0F96" w:rsidRDefault="00C81834" w:rsidP="00D30988">
            <w:pPr>
              <w:pStyle w:val="TableParagraph"/>
              <w:rPr>
                <w:rFonts w:ascii="Arial" w:hAnsi="Arial" w:cs="Arial"/>
                <w:bCs/>
                <w:sz w:val="21"/>
              </w:rPr>
            </w:pPr>
            <w:r w:rsidRPr="00CF0F96">
              <w:rPr>
                <w:rFonts w:ascii="Arial" w:hAnsi="Arial" w:cs="Arial"/>
                <w:bCs/>
                <w:w w:val="95"/>
                <w:sz w:val="21"/>
              </w:rPr>
              <w:t>Reptilia</w:t>
            </w:r>
          </w:p>
        </w:tc>
        <w:tc>
          <w:tcPr>
            <w:tcW w:w="1879" w:type="dxa"/>
            <w:tcBorders>
              <w:left w:val="dashed" w:sz="8" w:space="0" w:color="4AACC5"/>
              <w:right w:val="dashed" w:sz="8" w:space="0" w:color="4AACC5"/>
            </w:tcBorders>
            <w:shd w:val="clear" w:color="auto" w:fill="D2EAF0"/>
          </w:tcPr>
          <w:p w14:paraId="71793A08" w14:textId="77777777" w:rsidR="00C81834" w:rsidRPr="00CF0F96" w:rsidRDefault="00C81834" w:rsidP="00D30988">
            <w:pPr>
              <w:pStyle w:val="TableParagraph"/>
              <w:spacing w:before="54"/>
              <w:rPr>
                <w:rFonts w:ascii="Arial" w:hAnsi="Arial" w:cs="Arial"/>
                <w:bCs/>
                <w:sz w:val="21"/>
              </w:rPr>
            </w:pPr>
            <w:r w:rsidRPr="00CF0F96">
              <w:rPr>
                <w:rFonts w:ascii="Arial" w:hAnsi="Arial" w:cs="Arial"/>
                <w:bCs/>
                <w:sz w:val="21"/>
              </w:rPr>
              <w:t>Iguanidae</w:t>
            </w:r>
          </w:p>
        </w:tc>
        <w:tc>
          <w:tcPr>
            <w:tcW w:w="3204" w:type="dxa"/>
            <w:tcBorders>
              <w:left w:val="dashed" w:sz="8" w:space="0" w:color="4AACC5"/>
              <w:right w:val="dashed" w:sz="8" w:space="0" w:color="4AACC5"/>
            </w:tcBorders>
            <w:shd w:val="clear" w:color="auto" w:fill="D2EAF0"/>
          </w:tcPr>
          <w:p w14:paraId="52B4396B" w14:textId="77777777" w:rsidR="00C81834" w:rsidRPr="00CF0F96" w:rsidRDefault="00C81834" w:rsidP="00D30988">
            <w:pPr>
              <w:pStyle w:val="TableParagraph"/>
              <w:rPr>
                <w:rFonts w:ascii="Arial" w:hAnsi="Arial" w:cs="Arial"/>
                <w:bCs/>
                <w:i/>
                <w:sz w:val="21"/>
              </w:rPr>
            </w:pPr>
            <w:r w:rsidRPr="00CF0F96">
              <w:rPr>
                <w:rFonts w:ascii="Arial" w:hAnsi="Arial" w:cs="Arial"/>
                <w:bCs/>
                <w:i/>
                <w:sz w:val="21"/>
              </w:rPr>
              <w:t>Ctenosaura melanosterna</w:t>
            </w:r>
          </w:p>
        </w:tc>
        <w:tc>
          <w:tcPr>
            <w:tcW w:w="1372" w:type="dxa"/>
            <w:tcBorders>
              <w:left w:val="dashed" w:sz="8" w:space="0" w:color="4AACC5"/>
              <w:right w:val="dashed" w:sz="8" w:space="0" w:color="4AACC5"/>
            </w:tcBorders>
            <w:shd w:val="clear" w:color="auto" w:fill="D2EAF0"/>
          </w:tcPr>
          <w:p w14:paraId="670BA917"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0B97BCBA" w14:textId="77777777" w:rsidTr="00C81834">
        <w:trPr>
          <w:trHeight w:val="369"/>
          <w:jc w:val="center"/>
        </w:trPr>
        <w:tc>
          <w:tcPr>
            <w:tcW w:w="1804" w:type="dxa"/>
            <w:tcBorders>
              <w:left w:val="dashed" w:sz="8" w:space="0" w:color="4AACC5"/>
              <w:right w:val="dashed" w:sz="8" w:space="0" w:color="4AACC5"/>
            </w:tcBorders>
          </w:tcPr>
          <w:p w14:paraId="7B89FF67" w14:textId="77777777" w:rsidR="00C81834" w:rsidRPr="00CF0F96" w:rsidRDefault="00C81834" w:rsidP="00D30988">
            <w:pPr>
              <w:pStyle w:val="TableParagraph"/>
              <w:rPr>
                <w:rFonts w:ascii="Arial" w:hAnsi="Arial" w:cs="Arial"/>
                <w:bCs/>
                <w:sz w:val="21"/>
              </w:rPr>
            </w:pPr>
            <w:r w:rsidRPr="00CF0F96">
              <w:rPr>
                <w:rFonts w:ascii="Arial" w:hAnsi="Arial" w:cs="Arial"/>
                <w:bCs/>
                <w:w w:val="95"/>
                <w:sz w:val="21"/>
              </w:rPr>
              <w:t>Reptilia</w:t>
            </w:r>
          </w:p>
        </w:tc>
        <w:tc>
          <w:tcPr>
            <w:tcW w:w="1879" w:type="dxa"/>
            <w:tcBorders>
              <w:left w:val="dashed" w:sz="8" w:space="0" w:color="4AACC5"/>
              <w:right w:val="dashed" w:sz="8" w:space="0" w:color="4AACC5"/>
            </w:tcBorders>
          </w:tcPr>
          <w:p w14:paraId="78181132" w14:textId="77777777" w:rsidR="00C81834" w:rsidRPr="00CF0F96" w:rsidRDefault="00C81834" w:rsidP="00D30988">
            <w:pPr>
              <w:pStyle w:val="TableParagraph"/>
              <w:spacing w:before="54"/>
              <w:rPr>
                <w:rFonts w:ascii="Arial" w:hAnsi="Arial" w:cs="Arial"/>
                <w:bCs/>
                <w:sz w:val="21"/>
              </w:rPr>
            </w:pPr>
            <w:r w:rsidRPr="00CF0F96">
              <w:rPr>
                <w:rFonts w:ascii="Arial" w:hAnsi="Arial" w:cs="Arial"/>
                <w:bCs/>
                <w:sz w:val="21"/>
              </w:rPr>
              <w:t>Scincidae</w:t>
            </w:r>
          </w:p>
        </w:tc>
        <w:tc>
          <w:tcPr>
            <w:tcW w:w="3204" w:type="dxa"/>
            <w:tcBorders>
              <w:left w:val="dashed" w:sz="8" w:space="0" w:color="4AACC5"/>
              <w:right w:val="dashed" w:sz="8" w:space="0" w:color="4AACC5"/>
            </w:tcBorders>
          </w:tcPr>
          <w:p w14:paraId="4E5891E4" w14:textId="77777777" w:rsidR="00C81834" w:rsidRPr="00CF0F96" w:rsidRDefault="00C81834" w:rsidP="00D30988">
            <w:pPr>
              <w:pStyle w:val="TableParagraph"/>
              <w:rPr>
                <w:rFonts w:ascii="Arial" w:hAnsi="Arial" w:cs="Arial"/>
                <w:bCs/>
                <w:i/>
                <w:sz w:val="21"/>
              </w:rPr>
            </w:pPr>
            <w:r w:rsidRPr="00CF0F96">
              <w:rPr>
                <w:rFonts w:ascii="Arial" w:hAnsi="Arial" w:cs="Arial"/>
                <w:bCs/>
                <w:i/>
                <w:sz w:val="21"/>
              </w:rPr>
              <w:t>Marisora roatanae</w:t>
            </w:r>
          </w:p>
        </w:tc>
        <w:tc>
          <w:tcPr>
            <w:tcW w:w="1372" w:type="dxa"/>
            <w:tcBorders>
              <w:left w:val="dashed" w:sz="8" w:space="0" w:color="4AACC5"/>
              <w:right w:val="dashed" w:sz="8" w:space="0" w:color="4AACC5"/>
            </w:tcBorders>
          </w:tcPr>
          <w:p w14:paraId="36E1B2DE"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2B5B546B" w14:textId="77777777" w:rsidTr="00C81834">
        <w:trPr>
          <w:trHeight w:val="369"/>
          <w:jc w:val="center"/>
        </w:trPr>
        <w:tc>
          <w:tcPr>
            <w:tcW w:w="1804" w:type="dxa"/>
            <w:tcBorders>
              <w:left w:val="dashed" w:sz="8" w:space="0" w:color="4AACC5"/>
              <w:right w:val="dashed" w:sz="8" w:space="0" w:color="4AACC5"/>
            </w:tcBorders>
            <w:shd w:val="clear" w:color="auto" w:fill="D2EAF0"/>
          </w:tcPr>
          <w:p w14:paraId="572FE963" w14:textId="77777777" w:rsidR="00C81834" w:rsidRPr="00CF0F96" w:rsidRDefault="00C81834" w:rsidP="00D30988">
            <w:pPr>
              <w:pStyle w:val="TableParagraph"/>
              <w:rPr>
                <w:rFonts w:ascii="Arial" w:hAnsi="Arial" w:cs="Arial"/>
                <w:bCs/>
                <w:sz w:val="21"/>
              </w:rPr>
            </w:pPr>
            <w:r w:rsidRPr="00CF0F96">
              <w:rPr>
                <w:rFonts w:ascii="Arial" w:hAnsi="Arial" w:cs="Arial"/>
                <w:bCs/>
                <w:w w:val="95"/>
                <w:sz w:val="21"/>
              </w:rPr>
              <w:t>Reptilia</w:t>
            </w:r>
          </w:p>
        </w:tc>
        <w:tc>
          <w:tcPr>
            <w:tcW w:w="1879" w:type="dxa"/>
            <w:tcBorders>
              <w:left w:val="dashed" w:sz="8" w:space="0" w:color="4AACC5"/>
              <w:right w:val="dashed" w:sz="8" w:space="0" w:color="4AACC5"/>
            </w:tcBorders>
            <w:shd w:val="clear" w:color="auto" w:fill="D2EAF0"/>
          </w:tcPr>
          <w:p w14:paraId="64194F2F" w14:textId="77777777" w:rsidR="00C81834" w:rsidRPr="00CF0F96" w:rsidRDefault="00C81834" w:rsidP="00D30988">
            <w:pPr>
              <w:pStyle w:val="TableParagraph"/>
              <w:spacing w:before="54"/>
              <w:rPr>
                <w:rFonts w:ascii="Arial" w:hAnsi="Arial" w:cs="Arial"/>
                <w:bCs/>
                <w:sz w:val="21"/>
              </w:rPr>
            </w:pPr>
            <w:r w:rsidRPr="00CF0F96">
              <w:rPr>
                <w:rFonts w:ascii="Arial" w:hAnsi="Arial" w:cs="Arial"/>
                <w:bCs/>
                <w:sz w:val="21"/>
              </w:rPr>
              <w:t>Colubridae</w:t>
            </w:r>
          </w:p>
        </w:tc>
        <w:tc>
          <w:tcPr>
            <w:tcW w:w="3204" w:type="dxa"/>
            <w:tcBorders>
              <w:left w:val="dashed" w:sz="8" w:space="0" w:color="4AACC5"/>
              <w:right w:val="dashed" w:sz="8" w:space="0" w:color="4AACC5"/>
            </w:tcBorders>
            <w:shd w:val="clear" w:color="auto" w:fill="D2EAF0"/>
          </w:tcPr>
          <w:p w14:paraId="39FF9E35" w14:textId="77777777" w:rsidR="00C81834" w:rsidRPr="00CF0F96" w:rsidRDefault="00C81834" w:rsidP="00D30988">
            <w:pPr>
              <w:pStyle w:val="TableParagraph"/>
              <w:rPr>
                <w:rFonts w:ascii="Arial" w:hAnsi="Arial" w:cs="Arial"/>
                <w:bCs/>
                <w:i/>
                <w:sz w:val="21"/>
              </w:rPr>
            </w:pPr>
            <w:r w:rsidRPr="00CF0F96">
              <w:rPr>
                <w:rFonts w:ascii="Arial" w:hAnsi="Arial" w:cs="Arial"/>
                <w:bCs/>
                <w:i/>
                <w:sz w:val="21"/>
              </w:rPr>
              <w:t>Leptophis modestus</w:t>
            </w:r>
          </w:p>
        </w:tc>
        <w:tc>
          <w:tcPr>
            <w:tcW w:w="1372" w:type="dxa"/>
            <w:tcBorders>
              <w:left w:val="dashed" w:sz="8" w:space="0" w:color="4AACC5"/>
              <w:right w:val="dashed" w:sz="8" w:space="0" w:color="4AACC5"/>
            </w:tcBorders>
            <w:shd w:val="clear" w:color="auto" w:fill="D2EAF0"/>
          </w:tcPr>
          <w:p w14:paraId="1E6532D2"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0BED9725" w14:textId="77777777" w:rsidTr="00C81834">
        <w:trPr>
          <w:trHeight w:val="369"/>
          <w:jc w:val="center"/>
        </w:trPr>
        <w:tc>
          <w:tcPr>
            <w:tcW w:w="1804" w:type="dxa"/>
            <w:tcBorders>
              <w:left w:val="dashed" w:sz="8" w:space="0" w:color="4AACC5"/>
              <w:right w:val="dashed" w:sz="8" w:space="0" w:color="4AACC5"/>
            </w:tcBorders>
          </w:tcPr>
          <w:p w14:paraId="69C25433" w14:textId="77777777" w:rsidR="00C81834" w:rsidRPr="00CF0F96" w:rsidRDefault="00C81834" w:rsidP="00D30988">
            <w:pPr>
              <w:pStyle w:val="TableParagraph"/>
              <w:rPr>
                <w:rFonts w:ascii="Arial" w:hAnsi="Arial" w:cs="Arial"/>
                <w:bCs/>
                <w:sz w:val="21"/>
              </w:rPr>
            </w:pPr>
            <w:r w:rsidRPr="00CF0F96">
              <w:rPr>
                <w:rFonts w:ascii="Arial" w:hAnsi="Arial" w:cs="Arial"/>
                <w:bCs/>
                <w:w w:val="95"/>
                <w:sz w:val="21"/>
              </w:rPr>
              <w:t>Reptilia</w:t>
            </w:r>
          </w:p>
        </w:tc>
        <w:tc>
          <w:tcPr>
            <w:tcW w:w="1879" w:type="dxa"/>
            <w:tcBorders>
              <w:left w:val="dashed" w:sz="8" w:space="0" w:color="4AACC5"/>
              <w:right w:val="dashed" w:sz="8" w:space="0" w:color="4AACC5"/>
            </w:tcBorders>
          </w:tcPr>
          <w:p w14:paraId="5F2525BB" w14:textId="77777777" w:rsidR="00C81834" w:rsidRPr="00CF0F96" w:rsidRDefault="00C81834" w:rsidP="00D30988">
            <w:pPr>
              <w:pStyle w:val="TableParagraph"/>
              <w:spacing w:before="54"/>
              <w:rPr>
                <w:rFonts w:ascii="Arial" w:hAnsi="Arial" w:cs="Arial"/>
                <w:bCs/>
                <w:sz w:val="21"/>
              </w:rPr>
            </w:pPr>
            <w:r w:rsidRPr="00CF0F96">
              <w:rPr>
                <w:rFonts w:ascii="Arial" w:hAnsi="Arial" w:cs="Arial"/>
                <w:bCs/>
                <w:sz w:val="21"/>
              </w:rPr>
              <w:t>Colubridae</w:t>
            </w:r>
          </w:p>
        </w:tc>
        <w:tc>
          <w:tcPr>
            <w:tcW w:w="3204" w:type="dxa"/>
            <w:tcBorders>
              <w:left w:val="dashed" w:sz="8" w:space="0" w:color="4AACC5"/>
              <w:right w:val="dashed" w:sz="8" w:space="0" w:color="4AACC5"/>
            </w:tcBorders>
          </w:tcPr>
          <w:p w14:paraId="2F2564C8" w14:textId="77777777" w:rsidR="00C81834" w:rsidRPr="00CF0F96" w:rsidRDefault="00C81834" w:rsidP="00D30988">
            <w:pPr>
              <w:pStyle w:val="TableParagraph"/>
              <w:rPr>
                <w:rFonts w:ascii="Arial" w:hAnsi="Arial" w:cs="Arial"/>
                <w:bCs/>
                <w:i/>
                <w:sz w:val="21"/>
              </w:rPr>
            </w:pPr>
            <w:r w:rsidRPr="00CF0F96">
              <w:rPr>
                <w:rFonts w:ascii="Arial" w:hAnsi="Arial" w:cs="Arial"/>
                <w:bCs/>
                <w:i/>
                <w:sz w:val="21"/>
              </w:rPr>
              <w:t>Oxybelis wilsoni</w:t>
            </w:r>
          </w:p>
        </w:tc>
        <w:tc>
          <w:tcPr>
            <w:tcW w:w="1372" w:type="dxa"/>
            <w:tcBorders>
              <w:left w:val="dashed" w:sz="8" w:space="0" w:color="4AACC5"/>
              <w:right w:val="dashed" w:sz="8" w:space="0" w:color="4AACC5"/>
            </w:tcBorders>
          </w:tcPr>
          <w:p w14:paraId="48980B12"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1E46421E" w14:textId="77777777" w:rsidTr="00C81834">
        <w:trPr>
          <w:trHeight w:val="369"/>
          <w:jc w:val="center"/>
        </w:trPr>
        <w:tc>
          <w:tcPr>
            <w:tcW w:w="1804" w:type="dxa"/>
            <w:tcBorders>
              <w:left w:val="dashed" w:sz="8" w:space="0" w:color="4AACC5"/>
              <w:right w:val="dashed" w:sz="8" w:space="0" w:color="4AACC5"/>
            </w:tcBorders>
            <w:shd w:val="clear" w:color="auto" w:fill="D2EAF0"/>
          </w:tcPr>
          <w:p w14:paraId="34CC259B" w14:textId="77777777" w:rsidR="00C81834" w:rsidRPr="00CF0F96" w:rsidRDefault="00C81834" w:rsidP="00D30988">
            <w:pPr>
              <w:pStyle w:val="TableParagraph"/>
              <w:rPr>
                <w:rFonts w:ascii="Arial" w:hAnsi="Arial" w:cs="Arial"/>
                <w:bCs/>
                <w:sz w:val="21"/>
              </w:rPr>
            </w:pPr>
            <w:r w:rsidRPr="00CF0F96">
              <w:rPr>
                <w:rFonts w:ascii="Arial" w:hAnsi="Arial" w:cs="Arial"/>
                <w:bCs/>
                <w:w w:val="95"/>
                <w:sz w:val="21"/>
              </w:rPr>
              <w:t>Reptilia</w:t>
            </w:r>
          </w:p>
        </w:tc>
        <w:tc>
          <w:tcPr>
            <w:tcW w:w="1879" w:type="dxa"/>
            <w:tcBorders>
              <w:left w:val="dashed" w:sz="8" w:space="0" w:color="4AACC5"/>
              <w:right w:val="dashed" w:sz="8" w:space="0" w:color="4AACC5"/>
            </w:tcBorders>
            <w:shd w:val="clear" w:color="auto" w:fill="D2EAF0"/>
          </w:tcPr>
          <w:p w14:paraId="16CB89DF" w14:textId="77777777" w:rsidR="00C81834" w:rsidRPr="00CF0F96" w:rsidRDefault="00C81834" w:rsidP="00D30988">
            <w:pPr>
              <w:pStyle w:val="TableParagraph"/>
              <w:spacing w:before="54"/>
              <w:rPr>
                <w:rFonts w:ascii="Arial" w:hAnsi="Arial" w:cs="Arial"/>
                <w:bCs/>
                <w:sz w:val="21"/>
              </w:rPr>
            </w:pPr>
            <w:r w:rsidRPr="00CF0F96">
              <w:rPr>
                <w:rFonts w:ascii="Arial" w:hAnsi="Arial" w:cs="Arial"/>
                <w:bCs/>
                <w:sz w:val="21"/>
              </w:rPr>
              <w:t>Colubridae</w:t>
            </w:r>
          </w:p>
        </w:tc>
        <w:tc>
          <w:tcPr>
            <w:tcW w:w="3204" w:type="dxa"/>
            <w:tcBorders>
              <w:left w:val="dashed" w:sz="8" w:space="0" w:color="4AACC5"/>
              <w:right w:val="dashed" w:sz="8" w:space="0" w:color="4AACC5"/>
            </w:tcBorders>
            <w:shd w:val="clear" w:color="auto" w:fill="D2EAF0"/>
          </w:tcPr>
          <w:p w14:paraId="1974EC55" w14:textId="77777777" w:rsidR="00C81834" w:rsidRPr="00CF0F96" w:rsidRDefault="00C81834" w:rsidP="00D30988">
            <w:pPr>
              <w:pStyle w:val="TableParagraph"/>
              <w:rPr>
                <w:rFonts w:ascii="Arial" w:hAnsi="Arial" w:cs="Arial"/>
                <w:bCs/>
                <w:i/>
                <w:sz w:val="21"/>
              </w:rPr>
            </w:pPr>
            <w:r w:rsidRPr="00CF0F96">
              <w:rPr>
                <w:rFonts w:ascii="Arial" w:hAnsi="Arial" w:cs="Arial"/>
                <w:bCs/>
                <w:i/>
                <w:sz w:val="21"/>
              </w:rPr>
              <w:t>Tantilla lempira</w:t>
            </w:r>
          </w:p>
        </w:tc>
        <w:tc>
          <w:tcPr>
            <w:tcW w:w="1372" w:type="dxa"/>
            <w:tcBorders>
              <w:left w:val="dashed" w:sz="8" w:space="0" w:color="4AACC5"/>
              <w:right w:val="dashed" w:sz="8" w:space="0" w:color="4AACC5"/>
            </w:tcBorders>
            <w:shd w:val="clear" w:color="auto" w:fill="D2EAF0"/>
          </w:tcPr>
          <w:p w14:paraId="359B34D3"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5F741E96" w14:textId="77777777" w:rsidTr="00C81834">
        <w:trPr>
          <w:trHeight w:val="369"/>
          <w:jc w:val="center"/>
        </w:trPr>
        <w:tc>
          <w:tcPr>
            <w:tcW w:w="1804" w:type="dxa"/>
            <w:tcBorders>
              <w:left w:val="dashed" w:sz="8" w:space="0" w:color="4AACC5"/>
              <w:right w:val="dashed" w:sz="8" w:space="0" w:color="4AACC5"/>
            </w:tcBorders>
          </w:tcPr>
          <w:p w14:paraId="08634CF9" w14:textId="77777777" w:rsidR="00C81834" w:rsidRPr="00CF0F96" w:rsidRDefault="00C81834" w:rsidP="00D30988">
            <w:pPr>
              <w:pStyle w:val="TableParagraph"/>
              <w:rPr>
                <w:rFonts w:ascii="Arial" w:hAnsi="Arial" w:cs="Arial"/>
                <w:bCs/>
                <w:sz w:val="21"/>
              </w:rPr>
            </w:pPr>
            <w:r w:rsidRPr="00CF0F96">
              <w:rPr>
                <w:rFonts w:ascii="Arial" w:hAnsi="Arial" w:cs="Arial"/>
                <w:bCs/>
                <w:w w:val="95"/>
                <w:sz w:val="21"/>
              </w:rPr>
              <w:t>Reptilia</w:t>
            </w:r>
          </w:p>
        </w:tc>
        <w:tc>
          <w:tcPr>
            <w:tcW w:w="1879" w:type="dxa"/>
            <w:tcBorders>
              <w:left w:val="dashed" w:sz="8" w:space="0" w:color="4AACC5"/>
              <w:right w:val="dashed" w:sz="8" w:space="0" w:color="4AACC5"/>
            </w:tcBorders>
          </w:tcPr>
          <w:p w14:paraId="648C984A" w14:textId="77777777" w:rsidR="00C81834" w:rsidRPr="00CF0F96" w:rsidRDefault="00C81834" w:rsidP="00D30988">
            <w:pPr>
              <w:pStyle w:val="TableParagraph"/>
              <w:spacing w:before="54"/>
              <w:rPr>
                <w:rFonts w:ascii="Arial" w:hAnsi="Arial" w:cs="Arial"/>
                <w:bCs/>
                <w:sz w:val="21"/>
              </w:rPr>
            </w:pPr>
            <w:r w:rsidRPr="00CF0F96">
              <w:rPr>
                <w:rFonts w:ascii="Arial" w:hAnsi="Arial" w:cs="Arial"/>
                <w:bCs/>
                <w:sz w:val="21"/>
              </w:rPr>
              <w:t>Colubridae</w:t>
            </w:r>
          </w:p>
        </w:tc>
        <w:tc>
          <w:tcPr>
            <w:tcW w:w="3204" w:type="dxa"/>
            <w:tcBorders>
              <w:left w:val="dashed" w:sz="8" w:space="0" w:color="4AACC5"/>
              <w:right w:val="dashed" w:sz="8" w:space="0" w:color="4AACC5"/>
            </w:tcBorders>
          </w:tcPr>
          <w:p w14:paraId="00BB32B1" w14:textId="77777777" w:rsidR="00C81834" w:rsidRPr="00CF0F96" w:rsidRDefault="00C81834" w:rsidP="00D30988">
            <w:pPr>
              <w:pStyle w:val="TableParagraph"/>
              <w:rPr>
                <w:rFonts w:ascii="Arial" w:hAnsi="Arial" w:cs="Arial"/>
                <w:bCs/>
                <w:i/>
                <w:sz w:val="21"/>
              </w:rPr>
            </w:pPr>
            <w:r w:rsidRPr="00CF0F96">
              <w:rPr>
                <w:rFonts w:ascii="Arial" w:hAnsi="Arial" w:cs="Arial"/>
                <w:bCs/>
                <w:i/>
                <w:sz w:val="21"/>
              </w:rPr>
              <w:t>Tantilla psittaca</w:t>
            </w:r>
          </w:p>
        </w:tc>
        <w:tc>
          <w:tcPr>
            <w:tcW w:w="1372" w:type="dxa"/>
            <w:tcBorders>
              <w:left w:val="dashed" w:sz="8" w:space="0" w:color="4AACC5"/>
              <w:right w:val="dashed" w:sz="8" w:space="0" w:color="4AACC5"/>
            </w:tcBorders>
          </w:tcPr>
          <w:p w14:paraId="289461AE"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6297BD98" w14:textId="77777777" w:rsidTr="00C81834">
        <w:trPr>
          <w:trHeight w:val="369"/>
          <w:jc w:val="center"/>
        </w:trPr>
        <w:tc>
          <w:tcPr>
            <w:tcW w:w="1804" w:type="dxa"/>
            <w:tcBorders>
              <w:left w:val="dashed" w:sz="8" w:space="0" w:color="4AACC5"/>
              <w:right w:val="dashed" w:sz="8" w:space="0" w:color="4AACC5"/>
            </w:tcBorders>
            <w:shd w:val="clear" w:color="auto" w:fill="D2EAF0"/>
          </w:tcPr>
          <w:p w14:paraId="04C645B0" w14:textId="77777777" w:rsidR="00C81834" w:rsidRPr="00CF0F96" w:rsidRDefault="00C81834" w:rsidP="00D30988">
            <w:pPr>
              <w:pStyle w:val="TableParagraph"/>
              <w:rPr>
                <w:rFonts w:ascii="Arial" w:hAnsi="Arial" w:cs="Arial"/>
                <w:bCs/>
                <w:sz w:val="21"/>
              </w:rPr>
            </w:pPr>
            <w:r w:rsidRPr="00CF0F96">
              <w:rPr>
                <w:rFonts w:ascii="Arial" w:hAnsi="Arial" w:cs="Arial"/>
                <w:bCs/>
                <w:w w:val="95"/>
                <w:sz w:val="21"/>
              </w:rPr>
              <w:t>Reptilia</w:t>
            </w:r>
          </w:p>
        </w:tc>
        <w:tc>
          <w:tcPr>
            <w:tcW w:w="1879" w:type="dxa"/>
            <w:tcBorders>
              <w:left w:val="dashed" w:sz="8" w:space="0" w:color="4AACC5"/>
              <w:right w:val="dashed" w:sz="8" w:space="0" w:color="4AACC5"/>
            </w:tcBorders>
            <w:shd w:val="clear" w:color="auto" w:fill="D2EAF0"/>
          </w:tcPr>
          <w:p w14:paraId="456C1CFF" w14:textId="77777777" w:rsidR="00C81834" w:rsidRPr="00CF0F96" w:rsidRDefault="00C81834" w:rsidP="00D30988">
            <w:pPr>
              <w:pStyle w:val="TableParagraph"/>
              <w:spacing w:before="54"/>
              <w:rPr>
                <w:rFonts w:ascii="Arial" w:hAnsi="Arial" w:cs="Arial"/>
                <w:bCs/>
                <w:sz w:val="21"/>
              </w:rPr>
            </w:pPr>
            <w:r w:rsidRPr="00CF0F96">
              <w:rPr>
                <w:rFonts w:ascii="Arial" w:hAnsi="Arial" w:cs="Arial"/>
                <w:bCs/>
                <w:sz w:val="21"/>
              </w:rPr>
              <w:t>Colubridae</w:t>
            </w:r>
          </w:p>
        </w:tc>
        <w:tc>
          <w:tcPr>
            <w:tcW w:w="3204" w:type="dxa"/>
            <w:tcBorders>
              <w:left w:val="dashed" w:sz="8" w:space="0" w:color="4AACC5"/>
              <w:right w:val="dashed" w:sz="8" w:space="0" w:color="4AACC5"/>
            </w:tcBorders>
            <w:shd w:val="clear" w:color="auto" w:fill="D2EAF0"/>
          </w:tcPr>
          <w:p w14:paraId="5FA134FB" w14:textId="77777777" w:rsidR="00C81834" w:rsidRPr="00CF0F96" w:rsidRDefault="00C81834" w:rsidP="00D30988">
            <w:pPr>
              <w:pStyle w:val="TableParagraph"/>
              <w:rPr>
                <w:rFonts w:ascii="Arial" w:hAnsi="Arial" w:cs="Arial"/>
                <w:bCs/>
                <w:i/>
                <w:sz w:val="21"/>
              </w:rPr>
            </w:pPr>
            <w:r w:rsidRPr="00CF0F96">
              <w:rPr>
                <w:rFonts w:ascii="Arial" w:hAnsi="Arial" w:cs="Arial"/>
                <w:bCs/>
                <w:i/>
                <w:w w:val="95"/>
                <w:sz w:val="21"/>
              </w:rPr>
              <w:t>Tantilla tritaeniata</w:t>
            </w:r>
          </w:p>
        </w:tc>
        <w:tc>
          <w:tcPr>
            <w:tcW w:w="1372" w:type="dxa"/>
            <w:tcBorders>
              <w:left w:val="dashed" w:sz="8" w:space="0" w:color="4AACC5"/>
              <w:right w:val="dashed" w:sz="8" w:space="0" w:color="4AACC5"/>
            </w:tcBorders>
            <w:shd w:val="clear" w:color="auto" w:fill="D2EAF0"/>
          </w:tcPr>
          <w:p w14:paraId="467A72ED"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56FAA6FE" w14:textId="77777777" w:rsidTr="00C81834">
        <w:trPr>
          <w:trHeight w:val="369"/>
          <w:jc w:val="center"/>
        </w:trPr>
        <w:tc>
          <w:tcPr>
            <w:tcW w:w="1804" w:type="dxa"/>
            <w:tcBorders>
              <w:left w:val="dashed" w:sz="8" w:space="0" w:color="4AACC5"/>
              <w:right w:val="dashed" w:sz="8" w:space="0" w:color="4AACC5"/>
            </w:tcBorders>
          </w:tcPr>
          <w:p w14:paraId="725165B4" w14:textId="77777777" w:rsidR="00C81834" w:rsidRPr="00CF0F96" w:rsidRDefault="00C81834" w:rsidP="00D30988">
            <w:pPr>
              <w:pStyle w:val="TableParagraph"/>
              <w:rPr>
                <w:rFonts w:ascii="Arial" w:hAnsi="Arial" w:cs="Arial"/>
                <w:bCs/>
                <w:sz w:val="21"/>
              </w:rPr>
            </w:pPr>
            <w:r w:rsidRPr="00CF0F96">
              <w:rPr>
                <w:rFonts w:ascii="Arial" w:hAnsi="Arial" w:cs="Arial"/>
                <w:bCs/>
                <w:w w:val="95"/>
                <w:sz w:val="21"/>
              </w:rPr>
              <w:t>Reptilia</w:t>
            </w:r>
          </w:p>
        </w:tc>
        <w:tc>
          <w:tcPr>
            <w:tcW w:w="1879" w:type="dxa"/>
            <w:tcBorders>
              <w:left w:val="dashed" w:sz="8" w:space="0" w:color="4AACC5"/>
              <w:right w:val="dashed" w:sz="8" w:space="0" w:color="4AACC5"/>
            </w:tcBorders>
          </w:tcPr>
          <w:p w14:paraId="37B7A367" w14:textId="77777777" w:rsidR="00C81834" w:rsidRPr="00CF0F96" w:rsidRDefault="00C81834" w:rsidP="00D30988">
            <w:pPr>
              <w:pStyle w:val="TableParagraph"/>
              <w:spacing w:before="54"/>
              <w:rPr>
                <w:rFonts w:ascii="Arial" w:hAnsi="Arial" w:cs="Arial"/>
                <w:bCs/>
                <w:sz w:val="21"/>
              </w:rPr>
            </w:pPr>
            <w:r w:rsidRPr="00CF0F96">
              <w:rPr>
                <w:rFonts w:ascii="Arial" w:hAnsi="Arial" w:cs="Arial"/>
                <w:bCs/>
                <w:sz w:val="21"/>
              </w:rPr>
              <w:t>Dipsadidae</w:t>
            </w:r>
          </w:p>
        </w:tc>
        <w:tc>
          <w:tcPr>
            <w:tcW w:w="3204" w:type="dxa"/>
            <w:tcBorders>
              <w:left w:val="dashed" w:sz="8" w:space="0" w:color="4AACC5"/>
              <w:right w:val="dashed" w:sz="8" w:space="0" w:color="4AACC5"/>
            </w:tcBorders>
          </w:tcPr>
          <w:p w14:paraId="1B046762" w14:textId="77777777" w:rsidR="00C81834" w:rsidRPr="00CF0F96" w:rsidRDefault="00C81834" w:rsidP="00D30988">
            <w:pPr>
              <w:pStyle w:val="TableParagraph"/>
              <w:rPr>
                <w:rFonts w:ascii="Arial" w:hAnsi="Arial" w:cs="Arial"/>
                <w:bCs/>
                <w:i/>
                <w:sz w:val="21"/>
              </w:rPr>
            </w:pPr>
            <w:r w:rsidRPr="00CF0F96">
              <w:rPr>
                <w:rFonts w:ascii="Arial" w:hAnsi="Arial" w:cs="Arial"/>
                <w:bCs/>
                <w:i/>
                <w:sz w:val="21"/>
              </w:rPr>
              <w:t>Enulius bifoveatus</w:t>
            </w:r>
          </w:p>
        </w:tc>
        <w:tc>
          <w:tcPr>
            <w:tcW w:w="1372" w:type="dxa"/>
            <w:tcBorders>
              <w:left w:val="dashed" w:sz="8" w:space="0" w:color="4AACC5"/>
              <w:right w:val="dashed" w:sz="8" w:space="0" w:color="4AACC5"/>
            </w:tcBorders>
          </w:tcPr>
          <w:p w14:paraId="12FEE096"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4F8ECE59" w14:textId="77777777" w:rsidTr="00C81834">
        <w:trPr>
          <w:trHeight w:val="369"/>
          <w:jc w:val="center"/>
        </w:trPr>
        <w:tc>
          <w:tcPr>
            <w:tcW w:w="1804" w:type="dxa"/>
            <w:tcBorders>
              <w:left w:val="dashed" w:sz="8" w:space="0" w:color="4AACC5"/>
              <w:right w:val="dashed" w:sz="8" w:space="0" w:color="4AACC5"/>
            </w:tcBorders>
            <w:shd w:val="clear" w:color="auto" w:fill="D2EAF0"/>
          </w:tcPr>
          <w:p w14:paraId="68E54992" w14:textId="77777777" w:rsidR="00C81834" w:rsidRPr="00CF0F96" w:rsidRDefault="00C81834" w:rsidP="00D30988">
            <w:pPr>
              <w:pStyle w:val="TableParagraph"/>
              <w:rPr>
                <w:rFonts w:ascii="Arial" w:hAnsi="Arial" w:cs="Arial"/>
                <w:bCs/>
                <w:sz w:val="21"/>
              </w:rPr>
            </w:pPr>
            <w:r w:rsidRPr="00CF0F96">
              <w:rPr>
                <w:rFonts w:ascii="Arial" w:hAnsi="Arial" w:cs="Arial"/>
                <w:bCs/>
                <w:w w:val="95"/>
                <w:sz w:val="21"/>
              </w:rPr>
              <w:t>Reptilia</w:t>
            </w:r>
          </w:p>
        </w:tc>
        <w:tc>
          <w:tcPr>
            <w:tcW w:w="1879" w:type="dxa"/>
            <w:tcBorders>
              <w:left w:val="dashed" w:sz="8" w:space="0" w:color="4AACC5"/>
              <w:right w:val="dashed" w:sz="8" w:space="0" w:color="4AACC5"/>
            </w:tcBorders>
            <w:shd w:val="clear" w:color="auto" w:fill="D2EAF0"/>
          </w:tcPr>
          <w:p w14:paraId="3F444413" w14:textId="77777777" w:rsidR="00C81834" w:rsidRPr="00CF0F96" w:rsidRDefault="00C81834" w:rsidP="00D30988">
            <w:pPr>
              <w:pStyle w:val="TableParagraph"/>
              <w:spacing w:before="54"/>
              <w:rPr>
                <w:rFonts w:ascii="Arial" w:hAnsi="Arial" w:cs="Arial"/>
                <w:bCs/>
                <w:sz w:val="21"/>
              </w:rPr>
            </w:pPr>
            <w:r w:rsidRPr="00CF0F96">
              <w:rPr>
                <w:rFonts w:ascii="Arial" w:hAnsi="Arial" w:cs="Arial"/>
                <w:bCs/>
                <w:sz w:val="21"/>
              </w:rPr>
              <w:t>Dipsadidae</w:t>
            </w:r>
          </w:p>
        </w:tc>
        <w:tc>
          <w:tcPr>
            <w:tcW w:w="3204" w:type="dxa"/>
            <w:tcBorders>
              <w:left w:val="dashed" w:sz="8" w:space="0" w:color="4AACC5"/>
              <w:right w:val="dashed" w:sz="8" w:space="0" w:color="4AACC5"/>
            </w:tcBorders>
            <w:shd w:val="clear" w:color="auto" w:fill="D2EAF0"/>
          </w:tcPr>
          <w:p w14:paraId="38F4652B" w14:textId="77777777" w:rsidR="00C81834" w:rsidRPr="00CF0F96" w:rsidRDefault="00C81834" w:rsidP="00D30988">
            <w:pPr>
              <w:pStyle w:val="TableParagraph"/>
              <w:rPr>
                <w:rFonts w:ascii="Arial" w:hAnsi="Arial" w:cs="Arial"/>
                <w:bCs/>
                <w:i/>
                <w:sz w:val="21"/>
              </w:rPr>
            </w:pPr>
            <w:r w:rsidRPr="00CF0F96">
              <w:rPr>
                <w:rFonts w:ascii="Arial" w:hAnsi="Arial" w:cs="Arial"/>
                <w:bCs/>
                <w:i/>
                <w:sz w:val="21"/>
              </w:rPr>
              <w:t>Enulius roatenensis</w:t>
            </w:r>
          </w:p>
        </w:tc>
        <w:tc>
          <w:tcPr>
            <w:tcW w:w="1372" w:type="dxa"/>
            <w:tcBorders>
              <w:left w:val="dashed" w:sz="8" w:space="0" w:color="4AACC5"/>
              <w:right w:val="dashed" w:sz="8" w:space="0" w:color="4AACC5"/>
            </w:tcBorders>
            <w:shd w:val="clear" w:color="auto" w:fill="D2EAF0"/>
          </w:tcPr>
          <w:p w14:paraId="12D9FB6A"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166AED7B" w14:textId="77777777" w:rsidTr="00C81834">
        <w:trPr>
          <w:trHeight w:val="369"/>
          <w:jc w:val="center"/>
        </w:trPr>
        <w:tc>
          <w:tcPr>
            <w:tcW w:w="1804" w:type="dxa"/>
            <w:tcBorders>
              <w:left w:val="dashed" w:sz="8" w:space="0" w:color="4AACC5"/>
              <w:right w:val="dashed" w:sz="8" w:space="0" w:color="4AACC5"/>
            </w:tcBorders>
          </w:tcPr>
          <w:p w14:paraId="348F190E" w14:textId="77777777" w:rsidR="00C81834" w:rsidRPr="00CF0F96" w:rsidRDefault="00C81834" w:rsidP="00D30988">
            <w:pPr>
              <w:pStyle w:val="TableParagraph"/>
              <w:rPr>
                <w:rFonts w:ascii="Arial" w:hAnsi="Arial" w:cs="Arial"/>
                <w:bCs/>
                <w:sz w:val="21"/>
              </w:rPr>
            </w:pPr>
            <w:r w:rsidRPr="00CF0F96">
              <w:rPr>
                <w:rFonts w:ascii="Arial" w:hAnsi="Arial" w:cs="Arial"/>
                <w:bCs/>
                <w:w w:val="95"/>
                <w:sz w:val="21"/>
              </w:rPr>
              <w:t>Reptilia</w:t>
            </w:r>
          </w:p>
        </w:tc>
        <w:tc>
          <w:tcPr>
            <w:tcW w:w="1879" w:type="dxa"/>
            <w:tcBorders>
              <w:left w:val="dashed" w:sz="8" w:space="0" w:color="4AACC5"/>
              <w:right w:val="dashed" w:sz="8" w:space="0" w:color="4AACC5"/>
            </w:tcBorders>
          </w:tcPr>
          <w:p w14:paraId="70C0F710" w14:textId="77777777" w:rsidR="00C81834" w:rsidRPr="00CF0F96" w:rsidRDefault="00C81834" w:rsidP="00D30988">
            <w:pPr>
              <w:pStyle w:val="TableParagraph"/>
              <w:spacing w:before="54"/>
              <w:rPr>
                <w:rFonts w:ascii="Arial" w:hAnsi="Arial" w:cs="Arial"/>
                <w:bCs/>
                <w:sz w:val="21"/>
              </w:rPr>
            </w:pPr>
            <w:r w:rsidRPr="00CF0F96">
              <w:rPr>
                <w:rFonts w:ascii="Arial" w:hAnsi="Arial" w:cs="Arial"/>
                <w:bCs/>
                <w:sz w:val="21"/>
              </w:rPr>
              <w:t>Dipsadidae</w:t>
            </w:r>
          </w:p>
        </w:tc>
        <w:tc>
          <w:tcPr>
            <w:tcW w:w="3204" w:type="dxa"/>
            <w:tcBorders>
              <w:left w:val="dashed" w:sz="8" w:space="0" w:color="4AACC5"/>
              <w:right w:val="dashed" w:sz="8" w:space="0" w:color="4AACC5"/>
            </w:tcBorders>
          </w:tcPr>
          <w:p w14:paraId="35D31DDE" w14:textId="77777777" w:rsidR="00C81834" w:rsidRPr="00CF0F96" w:rsidRDefault="00C81834" w:rsidP="00D30988">
            <w:pPr>
              <w:pStyle w:val="TableParagraph"/>
              <w:rPr>
                <w:rFonts w:ascii="Arial" w:hAnsi="Arial" w:cs="Arial"/>
                <w:bCs/>
                <w:i/>
                <w:sz w:val="21"/>
              </w:rPr>
            </w:pPr>
            <w:r w:rsidRPr="00CF0F96">
              <w:rPr>
                <w:rFonts w:ascii="Arial" w:hAnsi="Arial" w:cs="Arial"/>
                <w:bCs/>
                <w:i/>
                <w:sz w:val="21"/>
              </w:rPr>
              <w:t>Geophis damiani</w:t>
            </w:r>
          </w:p>
        </w:tc>
        <w:tc>
          <w:tcPr>
            <w:tcW w:w="1372" w:type="dxa"/>
            <w:tcBorders>
              <w:left w:val="dashed" w:sz="8" w:space="0" w:color="4AACC5"/>
              <w:right w:val="dashed" w:sz="8" w:space="0" w:color="4AACC5"/>
            </w:tcBorders>
          </w:tcPr>
          <w:p w14:paraId="7F2DADA1"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3BF75FFD" w14:textId="77777777" w:rsidTr="00C81834">
        <w:trPr>
          <w:trHeight w:val="369"/>
          <w:jc w:val="center"/>
        </w:trPr>
        <w:tc>
          <w:tcPr>
            <w:tcW w:w="1804" w:type="dxa"/>
            <w:tcBorders>
              <w:left w:val="dashed" w:sz="8" w:space="0" w:color="4AACC5"/>
              <w:right w:val="dashed" w:sz="8" w:space="0" w:color="4AACC5"/>
            </w:tcBorders>
            <w:shd w:val="clear" w:color="auto" w:fill="D2EAF0"/>
          </w:tcPr>
          <w:p w14:paraId="1F25420E" w14:textId="77777777" w:rsidR="00C81834" w:rsidRPr="00CF0F96" w:rsidRDefault="00C81834" w:rsidP="00D30988">
            <w:pPr>
              <w:pStyle w:val="TableParagraph"/>
              <w:rPr>
                <w:rFonts w:ascii="Arial" w:hAnsi="Arial" w:cs="Arial"/>
                <w:bCs/>
                <w:sz w:val="21"/>
              </w:rPr>
            </w:pPr>
            <w:r w:rsidRPr="00CF0F96">
              <w:rPr>
                <w:rFonts w:ascii="Arial" w:hAnsi="Arial" w:cs="Arial"/>
                <w:bCs/>
                <w:w w:val="95"/>
                <w:sz w:val="21"/>
              </w:rPr>
              <w:t>Reptilia</w:t>
            </w:r>
          </w:p>
        </w:tc>
        <w:tc>
          <w:tcPr>
            <w:tcW w:w="1879" w:type="dxa"/>
            <w:tcBorders>
              <w:left w:val="dashed" w:sz="8" w:space="0" w:color="4AACC5"/>
              <w:right w:val="dashed" w:sz="8" w:space="0" w:color="4AACC5"/>
            </w:tcBorders>
            <w:shd w:val="clear" w:color="auto" w:fill="D2EAF0"/>
          </w:tcPr>
          <w:p w14:paraId="7363D9AA" w14:textId="77777777" w:rsidR="00C81834" w:rsidRPr="00CF0F96" w:rsidRDefault="00C81834" w:rsidP="00D30988">
            <w:pPr>
              <w:pStyle w:val="TableParagraph"/>
              <w:spacing w:before="54"/>
              <w:rPr>
                <w:rFonts w:ascii="Arial" w:hAnsi="Arial" w:cs="Arial"/>
                <w:bCs/>
                <w:sz w:val="21"/>
              </w:rPr>
            </w:pPr>
            <w:r w:rsidRPr="00CF0F96">
              <w:rPr>
                <w:rFonts w:ascii="Arial" w:hAnsi="Arial" w:cs="Arial"/>
                <w:bCs/>
                <w:sz w:val="21"/>
              </w:rPr>
              <w:t>Dipsadidae</w:t>
            </w:r>
          </w:p>
        </w:tc>
        <w:tc>
          <w:tcPr>
            <w:tcW w:w="3204" w:type="dxa"/>
            <w:tcBorders>
              <w:left w:val="dashed" w:sz="8" w:space="0" w:color="4AACC5"/>
              <w:right w:val="dashed" w:sz="8" w:space="0" w:color="4AACC5"/>
            </w:tcBorders>
            <w:shd w:val="clear" w:color="auto" w:fill="D2EAF0"/>
          </w:tcPr>
          <w:p w14:paraId="58A25301" w14:textId="77777777" w:rsidR="00C81834" w:rsidRPr="00CF0F96" w:rsidRDefault="00C81834" w:rsidP="00D30988">
            <w:pPr>
              <w:pStyle w:val="TableParagraph"/>
              <w:rPr>
                <w:rFonts w:ascii="Arial" w:hAnsi="Arial" w:cs="Arial"/>
                <w:bCs/>
                <w:i/>
                <w:sz w:val="21"/>
              </w:rPr>
            </w:pPr>
            <w:r w:rsidRPr="00CF0F96">
              <w:rPr>
                <w:rFonts w:ascii="Arial" w:hAnsi="Arial" w:cs="Arial"/>
                <w:bCs/>
                <w:i/>
                <w:sz w:val="21"/>
              </w:rPr>
              <w:t>Geophis fulvoguttatus</w:t>
            </w:r>
          </w:p>
        </w:tc>
        <w:tc>
          <w:tcPr>
            <w:tcW w:w="1372" w:type="dxa"/>
            <w:tcBorders>
              <w:left w:val="dashed" w:sz="8" w:space="0" w:color="4AACC5"/>
              <w:right w:val="dashed" w:sz="8" w:space="0" w:color="4AACC5"/>
            </w:tcBorders>
            <w:shd w:val="clear" w:color="auto" w:fill="D2EAF0"/>
          </w:tcPr>
          <w:p w14:paraId="66573E21"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6701CB96" w14:textId="77777777" w:rsidTr="00C81834">
        <w:trPr>
          <w:trHeight w:val="369"/>
          <w:jc w:val="center"/>
        </w:trPr>
        <w:tc>
          <w:tcPr>
            <w:tcW w:w="1804" w:type="dxa"/>
            <w:tcBorders>
              <w:left w:val="dashed" w:sz="8" w:space="0" w:color="4AACC5"/>
              <w:right w:val="dashed" w:sz="8" w:space="0" w:color="4AACC5"/>
            </w:tcBorders>
          </w:tcPr>
          <w:p w14:paraId="1C2A4B3F" w14:textId="77777777" w:rsidR="00C81834" w:rsidRPr="00CF0F96" w:rsidRDefault="00C81834" w:rsidP="00D30988">
            <w:pPr>
              <w:pStyle w:val="TableParagraph"/>
              <w:rPr>
                <w:rFonts w:ascii="Arial" w:hAnsi="Arial" w:cs="Arial"/>
                <w:bCs/>
                <w:sz w:val="21"/>
              </w:rPr>
            </w:pPr>
            <w:r w:rsidRPr="00CF0F96">
              <w:rPr>
                <w:rFonts w:ascii="Arial" w:hAnsi="Arial" w:cs="Arial"/>
                <w:bCs/>
                <w:w w:val="95"/>
                <w:sz w:val="21"/>
              </w:rPr>
              <w:t>Reptilia</w:t>
            </w:r>
          </w:p>
        </w:tc>
        <w:tc>
          <w:tcPr>
            <w:tcW w:w="1879" w:type="dxa"/>
            <w:tcBorders>
              <w:left w:val="dashed" w:sz="8" w:space="0" w:color="4AACC5"/>
              <w:right w:val="dashed" w:sz="8" w:space="0" w:color="4AACC5"/>
            </w:tcBorders>
          </w:tcPr>
          <w:p w14:paraId="1D957DAA" w14:textId="77777777" w:rsidR="00C81834" w:rsidRPr="00CF0F96" w:rsidRDefault="00C81834" w:rsidP="00D30988">
            <w:pPr>
              <w:pStyle w:val="TableParagraph"/>
              <w:spacing w:before="54"/>
              <w:rPr>
                <w:rFonts w:ascii="Arial" w:hAnsi="Arial" w:cs="Arial"/>
                <w:bCs/>
                <w:sz w:val="21"/>
              </w:rPr>
            </w:pPr>
            <w:r w:rsidRPr="00CF0F96">
              <w:rPr>
                <w:rFonts w:ascii="Arial" w:hAnsi="Arial" w:cs="Arial"/>
                <w:bCs/>
                <w:sz w:val="21"/>
              </w:rPr>
              <w:t>Dipsadidae</w:t>
            </w:r>
          </w:p>
        </w:tc>
        <w:tc>
          <w:tcPr>
            <w:tcW w:w="3204" w:type="dxa"/>
            <w:tcBorders>
              <w:left w:val="dashed" w:sz="8" w:space="0" w:color="4AACC5"/>
              <w:right w:val="dashed" w:sz="8" w:space="0" w:color="4AACC5"/>
            </w:tcBorders>
          </w:tcPr>
          <w:p w14:paraId="0B02AB11" w14:textId="77777777" w:rsidR="00C81834" w:rsidRPr="00CF0F96" w:rsidRDefault="00C81834" w:rsidP="00D30988">
            <w:pPr>
              <w:pStyle w:val="TableParagraph"/>
              <w:rPr>
                <w:rFonts w:ascii="Arial" w:hAnsi="Arial" w:cs="Arial"/>
                <w:bCs/>
                <w:i/>
                <w:sz w:val="21"/>
              </w:rPr>
            </w:pPr>
            <w:r w:rsidRPr="00CF0F96">
              <w:rPr>
                <w:rFonts w:ascii="Arial" w:hAnsi="Arial" w:cs="Arial"/>
                <w:bCs/>
                <w:i/>
                <w:sz w:val="21"/>
              </w:rPr>
              <w:t>Geophis nephodrymus</w:t>
            </w:r>
          </w:p>
        </w:tc>
        <w:tc>
          <w:tcPr>
            <w:tcW w:w="1372" w:type="dxa"/>
            <w:tcBorders>
              <w:left w:val="dashed" w:sz="8" w:space="0" w:color="4AACC5"/>
              <w:right w:val="dashed" w:sz="8" w:space="0" w:color="4AACC5"/>
            </w:tcBorders>
          </w:tcPr>
          <w:p w14:paraId="00696985"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43C4F3F5" w14:textId="77777777" w:rsidTr="00C81834">
        <w:trPr>
          <w:trHeight w:val="369"/>
          <w:jc w:val="center"/>
        </w:trPr>
        <w:tc>
          <w:tcPr>
            <w:tcW w:w="1804" w:type="dxa"/>
            <w:tcBorders>
              <w:left w:val="dashed" w:sz="8" w:space="0" w:color="4AACC5"/>
              <w:right w:val="dashed" w:sz="8" w:space="0" w:color="4AACC5"/>
            </w:tcBorders>
            <w:shd w:val="clear" w:color="auto" w:fill="D2EAF0"/>
          </w:tcPr>
          <w:p w14:paraId="4AEC2324" w14:textId="77777777" w:rsidR="00C81834" w:rsidRPr="00CF0F96" w:rsidRDefault="00C81834" w:rsidP="00D30988">
            <w:pPr>
              <w:pStyle w:val="TableParagraph"/>
              <w:rPr>
                <w:rFonts w:ascii="Arial" w:hAnsi="Arial" w:cs="Arial"/>
                <w:bCs/>
                <w:sz w:val="21"/>
              </w:rPr>
            </w:pPr>
            <w:r w:rsidRPr="00CF0F96">
              <w:rPr>
                <w:rFonts w:ascii="Arial" w:hAnsi="Arial" w:cs="Arial"/>
                <w:bCs/>
                <w:w w:val="95"/>
                <w:sz w:val="21"/>
              </w:rPr>
              <w:t>Reptilia</w:t>
            </w:r>
          </w:p>
        </w:tc>
        <w:tc>
          <w:tcPr>
            <w:tcW w:w="1879" w:type="dxa"/>
            <w:tcBorders>
              <w:left w:val="dashed" w:sz="8" w:space="0" w:color="4AACC5"/>
              <w:right w:val="dashed" w:sz="8" w:space="0" w:color="4AACC5"/>
            </w:tcBorders>
            <w:shd w:val="clear" w:color="auto" w:fill="D2EAF0"/>
          </w:tcPr>
          <w:p w14:paraId="600D08A6" w14:textId="77777777" w:rsidR="00C81834" w:rsidRPr="00CF0F96" w:rsidRDefault="00C81834" w:rsidP="00D30988">
            <w:pPr>
              <w:pStyle w:val="TableParagraph"/>
              <w:spacing w:before="54"/>
              <w:rPr>
                <w:rFonts w:ascii="Arial" w:hAnsi="Arial" w:cs="Arial"/>
                <w:bCs/>
                <w:sz w:val="21"/>
              </w:rPr>
            </w:pPr>
            <w:r w:rsidRPr="00CF0F96">
              <w:rPr>
                <w:rFonts w:ascii="Arial" w:hAnsi="Arial" w:cs="Arial"/>
                <w:bCs/>
                <w:sz w:val="21"/>
              </w:rPr>
              <w:t>Dipsadidae</w:t>
            </w:r>
          </w:p>
        </w:tc>
        <w:tc>
          <w:tcPr>
            <w:tcW w:w="3204" w:type="dxa"/>
            <w:tcBorders>
              <w:left w:val="dashed" w:sz="8" w:space="0" w:color="4AACC5"/>
              <w:right w:val="dashed" w:sz="8" w:space="0" w:color="4AACC5"/>
            </w:tcBorders>
            <w:shd w:val="clear" w:color="auto" w:fill="D2EAF0"/>
          </w:tcPr>
          <w:p w14:paraId="6F11A9B5" w14:textId="77777777" w:rsidR="00C81834" w:rsidRPr="00CF0F96" w:rsidRDefault="00C81834" w:rsidP="00D30988">
            <w:pPr>
              <w:pStyle w:val="TableParagraph"/>
              <w:rPr>
                <w:rFonts w:ascii="Arial" w:hAnsi="Arial" w:cs="Arial"/>
                <w:bCs/>
                <w:i/>
                <w:sz w:val="21"/>
              </w:rPr>
            </w:pPr>
            <w:r w:rsidRPr="00CF0F96">
              <w:rPr>
                <w:rFonts w:ascii="Arial" w:hAnsi="Arial" w:cs="Arial"/>
                <w:bCs/>
                <w:i/>
                <w:sz w:val="21"/>
              </w:rPr>
              <w:t>Ninia espinali</w:t>
            </w:r>
          </w:p>
        </w:tc>
        <w:tc>
          <w:tcPr>
            <w:tcW w:w="1372" w:type="dxa"/>
            <w:tcBorders>
              <w:left w:val="dashed" w:sz="8" w:space="0" w:color="4AACC5"/>
              <w:right w:val="dashed" w:sz="8" w:space="0" w:color="4AACC5"/>
            </w:tcBorders>
            <w:shd w:val="clear" w:color="auto" w:fill="D2EAF0"/>
          </w:tcPr>
          <w:p w14:paraId="13A88A0E"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3AC7CB79" w14:textId="77777777" w:rsidTr="00C81834">
        <w:trPr>
          <w:trHeight w:val="369"/>
          <w:jc w:val="center"/>
        </w:trPr>
        <w:tc>
          <w:tcPr>
            <w:tcW w:w="1804" w:type="dxa"/>
            <w:tcBorders>
              <w:left w:val="dashed" w:sz="8" w:space="0" w:color="4AACC5"/>
              <w:right w:val="dashed" w:sz="8" w:space="0" w:color="4AACC5"/>
            </w:tcBorders>
          </w:tcPr>
          <w:p w14:paraId="75CFD2AB" w14:textId="77777777" w:rsidR="00C81834" w:rsidRPr="00CF0F96" w:rsidRDefault="00C81834" w:rsidP="00D30988">
            <w:pPr>
              <w:pStyle w:val="TableParagraph"/>
              <w:rPr>
                <w:rFonts w:ascii="Arial" w:hAnsi="Arial" w:cs="Arial"/>
                <w:bCs/>
                <w:sz w:val="21"/>
              </w:rPr>
            </w:pPr>
            <w:r w:rsidRPr="00CF0F96">
              <w:rPr>
                <w:rFonts w:ascii="Arial" w:hAnsi="Arial" w:cs="Arial"/>
                <w:bCs/>
                <w:w w:val="95"/>
                <w:sz w:val="21"/>
              </w:rPr>
              <w:t>Reptilia</w:t>
            </w:r>
          </w:p>
        </w:tc>
        <w:tc>
          <w:tcPr>
            <w:tcW w:w="1879" w:type="dxa"/>
            <w:tcBorders>
              <w:left w:val="dashed" w:sz="8" w:space="0" w:color="4AACC5"/>
              <w:right w:val="dashed" w:sz="8" w:space="0" w:color="4AACC5"/>
            </w:tcBorders>
          </w:tcPr>
          <w:p w14:paraId="40D1F410" w14:textId="77777777" w:rsidR="00C81834" w:rsidRPr="00CF0F96" w:rsidRDefault="00C81834" w:rsidP="00D30988">
            <w:pPr>
              <w:pStyle w:val="TableParagraph"/>
              <w:spacing w:before="54"/>
              <w:rPr>
                <w:rFonts w:ascii="Arial" w:hAnsi="Arial" w:cs="Arial"/>
                <w:bCs/>
                <w:sz w:val="21"/>
              </w:rPr>
            </w:pPr>
            <w:r w:rsidRPr="00CF0F96">
              <w:rPr>
                <w:rFonts w:ascii="Arial" w:hAnsi="Arial" w:cs="Arial"/>
                <w:bCs/>
                <w:sz w:val="21"/>
              </w:rPr>
              <w:t>Dipsadidae</w:t>
            </w:r>
          </w:p>
        </w:tc>
        <w:tc>
          <w:tcPr>
            <w:tcW w:w="3204" w:type="dxa"/>
            <w:tcBorders>
              <w:left w:val="dashed" w:sz="8" w:space="0" w:color="4AACC5"/>
              <w:right w:val="dashed" w:sz="8" w:space="0" w:color="4AACC5"/>
            </w:tcBorders>
          </w:tcPr>
          <w:p w14:paraId="518CF316" w14:textId="77777777" w:rsidR="00C81834" w:rsidRPr="00CF0F96" w:rsidRDefault="00C81834" w:rsidP="00D30988">
            <w:pPr>
              <w:pStyle w:val="TableParagraph"/>
              <w:rPr>
                <w:rFonts w:ascii="Arial" w:hAnsi="Arial" w:cs="Arial"/>
                <w:bCs/>
                <w:i/>
                <w:sz w:val="21"/>
              </w:rPr>
            </w:pPr>
            <w:r w:rsidRPr="00CF0F96">
              <w:rPr>
                <w:rFonts w:ascii="Arial" w:hAnsi="Arial" w:cs="Arial"/>
                <w:bCs/>
                <w:i/>
                <w:sz w:val="21"/>
              </w:rPr>
              <w:t>Omoadiphas aurula</w:t>
            </w:r>
          </w:p>
        </w:tc>
        <w:tc>
          <w:tcPr>
            <w:tcW w:w="1372" w:type="dxa"/>
            <w:tcBorders>
              <w:left w:val="dashed" w:sz="8" w:space="0" w:color="4AACC5"/>
              <w:right w:val="dashed" w:sz="8" w:space="0" w:color="4AACC5"/>
            </w:tcBorders>
          </w:tcPr>
          <w:p w14:paraId="275674B3"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7DDC8943" w14:textId="77777777" w:rsidTr="00C81834">
        <w:trPr>
          <w:trHeight w:val="369"/>
          <w:jc w:val="center"/>
        </w:trPr>
        <w:tc>
          <w:tcPr>
            <w:tcW w:w="1804" w:type="dxa"/>
            <w:tcBorders>
              <w:left w:val="dashed" w:sz="8" w:space="0" w:color="4AACC5"/>
              <w:right w:val="dashed" w:sz="8" w:space="0" w:color="4AACC5"/>
            </w:tcBorders>
            <w:shd w:val="clear" w:color="auto" w:fill="D2EAF0"/>
          </w:tcPr>
          <w:p w14:paraId="1DD5AFA2" w14:textId="77777777" w:rsidR="00C81834" w:rsidRPr="00CF0F96" w:rsidRDefault="00C81834" w:rsidP="00D30988">
            <w:pPr>
              <w:pStyle w:val="TableParagraph"/>
              <w:rPr>
                <w:rFonts w:ascii="Arial" w:hAnsi="Arial" w:cs="Arial"/>
                <w:bCs/>
                <w:sz w:val="21"/>
              </w:rPr>
            </w:pPr>
            <w:r w:rsidRPr="00CF0F96">
              <w:rPr>
                <w:rFonts w:ascii="Arial" w:hAnsi="Arial" w:cs="Arial"/>
                <w:bCs/>
                <w:w w:val="95"/>
                <w:sz w:val="21"/>
              </w:rPr>
              <w:t>Reptilia</w:t>
            </w:r>
          </w:p>
        </w:tc>
        <w:tc>
          <w:tcPr>
            <w:tcW w:w="1879" w:type="dxa"/>
            <w:tcBorders>
              <w:left w:val="dashed" w:sz="8" w:space="0" w:color="4AACC5"/>
              <w:right w:val="dashed" w:sz="8" w:space="0" w:color="4AACC5"/>
            </w:tcBorders>
            <w:shd w:val="clear" w:color="auto" w:fill="D2EAF0"/>
          </w:tcPr>
          <w:p w14:paraId="29BFA90D" w14:textId="77777777" w:rsidR="00C81834" w:rsidRPr="00CF0F96" w:rsidRDefault="00C81834" w:rsidP="00D30988">
            <w:pPr>
              <w:pStyle w:val="TableParagraph"/>
              <w:spacing w:before="54"/>
              <w:rPr>
                <w:rFonts w:ascii="Arial" w:hAnsi="Arial" w:cs="Arial"/>
                <w:bCs/>
                <w:sz w:val="21"/>
              </w:rPr>
            </w:pPr>
            <w:r w:rsidRPr="00CF0F96">
              <w:rPr>
                <w:rFonts w:ascii="Arial" w:hAnsi="Arial" w:cs="Arial"/>
                <w:bCs/>
                <w:sz w:val="21"/>
              </w:rPr>
              <w:t>Dipsadidae</w:t>
            </w:r>
          </w:p>
        </w:tc>
        <w:tc>
          <w:tcPr>
            <w:tcW w:w="3204" w:type="dxa"/>
            <w:tcBorders>
              <w:left w:val="dashed" w:sz="8" w:space="0" w:color="4AACC5"/>
              <w:right w:val="dashed" w:sz="8" w:space="0" w:color="4AACC5"/>
            </w:tcBorders>
            <w:shd w:val="clear" w:color="auto" w:fill="D2EAF0"/>
          </w:tcPr>
          <w:p w14:paraId="38C53156" w14:textId="77777777" w:rsidR="00C81834" w:rsidRPr="00CF0F96" w:rsidRDefault="00C81834" w:rsidP="00D30988">
            <w:pPr>
              <w:pStyle w:val="TableParagraph"/>
              <w:rPr>
                <w:rFonts w:ascii="Arial" w:hAnsi="Arial" w:cs="Arial"/>
                <w:bCs/>
                <w:i/>
                <w:sz w:val="21"/>
              </w:rPr>
            </w:pPr>
            <w:r w:rsidRPr="00CF0F96">
              <w:rPr>
                <w:rFonts w:ascii="Arial" w:hAnsi="Arial" w:cs="Arial"/>
                <w:bCs/>
                <w:i/>
                <w:sz w:val="21"/>
              </w:rPr>
              <w:t>Omoadiphas cannula</w:t>
            </w:r>
          </w:p>
        </w:tc>
        <w:tc>
          <w:tcPr>
            <w:tcW w:w="1372" w:type="dxa"/>
            <w:tcBorders>
              <w:left w:val="dashed" w:sz="8" w:space="0" w:color="4AACC5"/>
              <w:right w:val="dashed" w:sz="8" w:space="0" w:color="4AACC5"/>
            </w:tcBorders>
            <w:shd w:val="clear" w:color="auto" w:fill="D2EAF0"/>
          </w:tcPr>
          <w:p w14:paraId="00029360"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355F9CF6" w14:textId="77777777" w:rsidTr="00C81834">
        <w:trPr>
          <w:trHeight w:val="369"/>
          <w:jc w:val="center"/>
        </w:trPr>
        <w:tc>
          <w:tcPr>
            <w:tcW w:w="1804" w:type="dxa"/>
            <w:tcBorders>
              <w:left w:val="dashed" w:sz="8" w:space="0" w:color="4AACC5"/>
              <w:right w:val="dashed" w:sz="8" w:space="0" w:color="4AACC5"/>
            </w:tcBorders>
          </w:tcPr>
          <w:p w14:paraId="108AC2CF" w14:textId="77777777" w:rsidR="00C81834" w:rsidRPr="00CF0F96" w:rsidRDefault="00C81834" w:rsidP="00D30988">
            <w:pPr>
              <w:pStyle w:val="TableParagraph"/>
              <w:rPr>
                <w:rFonts w:ascii="Arial" w:hAnsi="Arial" w:cs="Arial"/>
                <w:bCs/>
                <w:sz w:val="21"/>
              </w:rPr>
            </w:pPr>
            <w:r w:rsidRPr="00CF0F96">
              <w:rPr>
                <w:rFonts w:ascii="Arial" w:hAnsi="Arial" w:cs="Arial"/>
                <w:bCs/>
                <w:w w:val="95"/>
                <w:sz w:val="21"/>
              </w:rPr>
              <w:t>Reptilia</w:t>
            </w:r>
          </w:p>
        </w:tc>
        <w:tc>
          <w:tcPr>
            <w:tcW w:w="1879" w:type="dxa"/>
            <w:tcBorders>
              <w:left w:val="dashed" w:sz="8" w:space="0" w:color="4AACC5"/>
              <w:right w:val="dashed" w:sz="8" w:space="0" w:color="4AACC5"/>
            </w:tcBorders>
          </w:tcPr>
          <w:p w14:paraId="36603D04" w14:textId="77777777" w:rsidR="00C81834" w:rsidRPr="00CF0F96" w:rsidRDefault="00C81834" w:rsidP="00D30988">
            <w:pPr>
              <w:pStyle w:val="TableParagraph"/>
              <w:spacing w:before="54"/>
              <w:rPr>
                <w:rFonts w:ascii="Arial" w:hAnsi="Arial" w:cs="Arial"/>
                <w:bCs/>
                <w:sz w:val="21"/>
              </w:rPr>
            </w:pPr>
            <w:r w:rsidRPr="00CF0F96">
              <w:rPr>
                <w:rFonts w:ascii="Arial" w:hAnsi="Arial" w:cs="Arial"/>
                <w:bCs/>
                <w:sz w:val="21"/>
              </w:rPr>
              <w:t>Dipsadidae</w:t>
            </w:r>
          </w:p>
        </w:tc>
        <w:tc>
          <w:tcPr>
            <w:tcW w:w="3204" w:type="dxa"/>
            <w:tcBorders>
              <w:left w:val="dashed" w:sz="8" w:space="0" w:color="4AACC5"/>
              <w:right w:val="dashed" w:sz="8" w:space="0" w:color="4AACC5"/>
            </w:tcBorders>
          </w:tcPr>
          <w:p w14:paraId="251196AD" w14:textId="77777777" w:rsidR="00C81834" w:rsidRPr="00CF0F96" w:rsidRDefault="00C81834" w:rsidP="00D30988">
            <w:pPr>
              <w:pStyle w:val="TableParagraph"/>
              <w:rPr>
                <w:rFonts w:ascii="Arial" w:hAnsi="Arial" w:cs="Arial"/>
                <w:bCs/>
                <w:i/>
                <w:sz w:val="21"/>
              </w:rPr>
            </w:pPr>
            <w:r w:rsidRPr="00CF0F96">
              <w:rPr>
                <w:rFonts w:ascii="Arial" w:hAnsi="Arial" w:cs="Arial"/>
                <w:bCs/>
                <w:i/>
                <w:sz w:val="21"/>
              </w:rPr>
              <w:t>Omoadiphas texiguatensis</w:t>
            </w:r>
          </w:p>
        </w:tc>
        <w:tc>
          <w:tcPr>
            <w:tcW w:w="1372" w:type="dxa"/>
            <w:tcBorders>
              <w:left w:val="dashed" w:sz="8" w:space="0" w:color="4AACC5"/>
              <w:right w:val="dashed" w:sz="8" w:space="0" w:color="4AACC5"/>
            </w:tcBorders>
          </w:tcPr>
          <w:p w14:paraId="2ECE249E"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7E857B52" w14:textId="77777777" w:rsidTr="00C81834">
        <w:trPr>
          <w:trHeight w:val="369"/>
          <w:jc w:val="center"/>
        </w:trPr>
        <w:tc>
          <w:tcPr>
            <w:tcW w:w="1804" w:type="dxa"/>
            <w:tcBorders>
              <w:left w:val="dashed" w:sz="8" w:space="0" w:color="4AACC5"/>
              <w:right w:val="dashed" w:sz="8" w:space="0" w:color="4AACC5"/>
            </w:tcBorders>
            <w:shd w:val="clear" w:color="auto" w:fill="D2EAF0"/>
          </w:tcPr>
          <w:p w14:paraId="301561DC" w14:textId="77777777" w:rsidR="00C81834" w:rsidRPr="00CF0F96" w:rsidRDefault="00C81834" w:rsidP="00D30988">
            <w:pPr>
              <w:pStyle w:val="TableParagraph"/>
              <w:rPr>
                <w:rFonts w:ascii="Arial" w:hAnsi="Arial" w:cs="Arial"/>
                <w:bCs/>
                <w:sz w:val="21"/>
              </w:rPr>
            </w:pPr>
            <w:r w:rsidRPr="00CF0F96">
              <w:rPr>
                <w:rFonts w:ascii="Arial" w:hAnsi="Arial" w:cs="Arial"/>
                <w:bCs/>
                <w:w w:val="95"/>
                <w:sz w:val="21"/>
              </w:rPr>
              <w:t>Reptilia</w:t>
            </w:r>
          </w:p>
        </w:tc>
        <w:tc>
          <w:tcPr>
            <w:tcW w:w="1879" w:type="dxa"/>
            <w:tcBorders>
              <w:left w:val="dashed" w:sz="8" w:space="0" w:color="4AACC5"/>
              <w:right w:val="dashed" w:sz="8" w:space="0" w:color="4AACC5"/>
            </w:tcBorders>
            <w:shd w:val="clear" w:color="auto" w:fill="D2EAF0"/>
          </w:tcPr>
          <w:p w14:paraId="3F57FC41" w14:textId="77777777" w:rsidR="00C81834" w:rsidRPr="00CF0F96" w:rsidRDefault="00C81834" w:rsidP="00D30988">
            <w:pPr>
              <w:pStyle w:val="TableParagraph"/>
              <w:spacing w:before="54"/>
              <w:rPr>
                <w:rFonts w:ascii="Arial" w:hAnsi="Arial" w:cs="Arial"/>
                <w:bCs/>
                <w:sz w:val="21"/>
              </w:rPr>
            </w:pPr>
            <w:r w:rsidRPr="00CF0F96">
              <w:rPr>
                <w:rFonts w:ascii="Arial" w:hAnsi="Arial" w:cs="Arial"/>
                <w:bCs/>
                <w:sz w:val="21"/>
              </w:rPr>
              <w:t>Dipsadidae</w:t>
            </w:r>
          </w:p>
        </w:tc>
        <w:tc>
          <w:tcPr>
            <w:tcW w:w="3204" w:type="dxa"/>
            <w:tcBorders>
              <w:left w:val="dashed" w:sz="8" w:space="0" w:color="4AACC5"/>
              <w:right w:val="dashed" w:sz="8" w:space="0" w:color="4AACC5"/>
            </w:tcBorders>
            <w:shd w:val="clear" w:color="auto" w:fill="D2EAF0"/>
          </w:tcPr>
          <w:p w14:paraId="2D752075" w14:textId="77777777" w:rsidR="00C81834" w:rsidRPr="00CF0F96" w:rsidRDefault="00C81834" w:rsidP="00D30988">
            <w:pPr>
              <w:pStyle w:val="TableParagraph"/>
              <w:rPr>
                <w:rFonts w:ascii="Arial" w:hAnsi="Arial" w:cs="Arial"/>
                <w:bCs/>
                <w:i/>
                <w:sz w:val="21"/>
              </w:rPr>
            </w:pPr>
            <w:r w:rsidRPr="00CF0F96">
              <w:rPr>
                <w:rFonts w:ascii="Arial" w:hAnsi="Arial" w:cs="Arial"/>
                <w:bCs/>
                <w:i/>
                <w:sz w:val="21"/>
              </w:rPr>
              <w:t>Rhadinella Montecristi</w:t>
            </w:r>
          </w:p>
        </w:tc>
        <w:tc>
          <w:tcPr>
            <w:tcW w:w="1372" w:type="dxa"/>
            <w:tcBorders>
              <w:left w:val="dashed" w:sz="8" w:space="0" w:color="4AACC5"/>
              <w:right w:val="dashed" w:sz="8" w:space="0" w:color="4AACC5"/>
            </w:tcBorders>
            <w:shd w:val="clear" w:color="auto" w:fill="D2EAF0"/>
          </w:tcPr>
          <w:p w14:paraId="016AEFFD"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49F21C39" w14:textId="77777777" w:rsidTr="00C81834">
        <w:trPr>
          <w:trHeight w:val="369"/>
          <w:jc w:val="center"/>
        </w:trPr>
        <w:tc>
          <w:tcPr>
            <w:tcW w:w="1804" w:type="dxa"/>
            <w:tcBorders>
              <w:left w:val="dashed" w:sz="8" w:space="0" w:color="4AACC5"/>
              <w:right w:val="dashed" w:sz="8" w:space="0" w:color="4AACC5"/>
            </w:tcBorders>
          </w:tcPr>
          <w:p w14:paraId="61D904C1" w14:textId="77777777" w:rsidR="00C81834" w:rsidRPr="00CF0F96" w:rsidRDefault="00C81834" w:rsidP="00D30988">
            <w:pPr>
              <w:pStyle w:val="TableParagraph"/>
              <w:rPr>
                <w:rFonts w:ascii="Arial" w:hAnsi="Arial" w:cs="Arial"/>
                <w:bCs/>
                <w:sz w:val="21"/>
              </w:rPr>
            </w:pPr>
            <w:r w:rsidRPr="00CF0F96">
              <w:rPr>
                <w:rFonts w:ascii="Arial" w:hAnsi="Arial" w:cs="Arial"/>
                <w:bCs/>
                <w:w w:val="95"/>
                <w:sz w:val="21"/>
              </w:rPr>
              <w:t>Reptilia</w:t>
            </w:r>
          </w:p>
        </w:tc>
        <w:tc>
          <w:tcPr>
            <w:tcW w:w="1879" w:type="dxa"/>
            <w:tcBorders>
              <w:left w:val="dashed" w:sz="8" w:space="0" w:color="4AACC5"/>
              <w:right w:val="dashed" w:sz="8" w:space="0" w:color="4AACC5"/>
            </w:tcBorders>
          </w:tcPr>
          <w:p w14:paraId="5D98512E" w14:textId="77777777" w:rsidR="00C81834" w:rsidRPr="00CF0F96" w:rsidRDefault="00C81834" w:rsidP="00D30988">
            <w:pPr>
              <w:pStyle w:val="TableParagraph"/>
              <w:spacing w:before="54"/>
              <w:rPr>
                <w:rFonts w:ascii="Arial" w:hAnsi="Arial" w:cs="Arial"/>
                <w:bCs/>
                <w:sz w:val="21"/>
              </w:rPr>
            </w:pPr>
            <w:r w:rsidRPr="00CF0F96">
              <w:rPr>
                <w:rFonts w:ascii="Arial" w:hAnsi="Arial" w:cs="Arial"/>
                <w:bCs/>
                <w:sz w:val="21"/>
              </w:rPr>
              <w:t>Dipsadidae</w:t>
            </w:r>
          </w:p>
        </w:tc>
        <w:tc>
          <w:tcPr>
            <w:tcW w:w="3204" w:type="dxa"/>
            <w:tcBorders>
              <w:left w:val="dashed" w:sz="8" w:space="0" w:color="4AACC5"/>
              <w:right w:val="dashed" w:sz="8" w:space="0" w:color="4AACC5"/>
            </w:tcBorders>
          </w:tcPr>
          <w:p w14:paraId="376F2F39" w14:textId="77777777" w:rsidR="00C81834" w:rsidRPr="00CF0F96" w:rsidRDefault="00C81834" w:rsidP="00D30988">
            <w:pPr>
              <w:pStyle w:val="TableParagraph"/>
              <w:rPr>
                <w:rFonts w:ascii="Arial" w:hAnsi="Arial" w:cs="Arial"/>
                <w:bCs/>
                <w:i/>
                <w:sz w:val="21"/>
              </w:rPr>
            </w:pPr>
            <w:r w:rsidRPr="00CF0F96">
              <w:rPr>
                <w:rFonts w:ascii="Arial" w:hAnsi="Arial" w:cs="Arial"/>
                <w:bCs/>
                <w:i/>
                <w:sz w:val="21"/>
              </w:rPr>
              <w:t>Rhadinella pegosalyta</w:t>
            </w:r>
          </w:p>
        </w:tc>
        <w:tc>
          <w:tcPr>
            <w:tcW w:w="1372" w:type="dxa"/>
            <w:tcBorders>
              <w:left w:val="dashed" w:sz="8" w:space="0" w:color="4AACC5"/>
              <w:right w:val="dashed" w:sz="8" w:space="0" w:color="4AACC5"/>
            </w:tcBorders>
          </w:tcPr>
          <w:p w14:paraId="3F736B8F"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6DFF5C34" w14:textId="77777777" w:rsidTr="00C81834">
        <w:trPr>
          <w:trHeight w:val="369"/>
          <w:jc w:val="center"/>
        </w:trPr>
        <w:tc>
          <w:tcPr>
            <w:tcW w:w="1804" w:type="dxa"/>
            <w:tcBorders>
              <w:left w:val="dashed" w:sz="8" w:space="0" w:color="4AACC5"/>
              <w:right w:val="dashed" w:sz="8" w:space="0" w:color="4AACC5"/>
            </w:tcBorders>
            <w:shd w:val="clear" w:color="auto" w:fill="D2EAF0"/>
          </w:tcPr>
          <w:p w14:paraId="6831974A" w14:textId="77777777" w:rsidR="00C81834" w:rsidRPr="00CF0F96" w:rsidRDefault="00C81834" w:rsidP="00D30988">
            <w:pPr>
              <w:pStyle w:val="TableParagraph"/>
              <w:rPr>
                <w:rFonts w:ascii="Arial" w:hAnsi="Arial" w:cs="Arial"/>
                <w:bCs/>
                <w:sz w:val="21"/>
              </w:rPr>
            </w:pPr>
            <w:r w:rsidRPr="00CF0F96">
              <w:rPr>
                <w:rFonts w:ascii="Arial" w:hAnsi="Arial" w:cs="Arial"/>
                <w:bCs/>
                <w:w w:val="95"/>
                <w:sz w:val="21"/>
              </w:rPr>
              <w:t>Reptilia</w:t>
            </w:r>
          </w:p>
        </w:tc>
        <w:tc>
          <w:tcPr>
            <w:tcW w:w="1879" w:type="dxa"/>
            <w:tcBorders>
              <w:left w:val="dashed" w:sz="8" w:space="0" w:color="4AACC5"/>
              <w:right w:val="dashed" w:sz="8" w:space="0" w:color="4AACC5"/>
            </w:tcBorders>
            <w:shd w:val="clear" w:color="auto" w:fill="D2EAF0"/>
          </w:tcPr>
          <w:p w14:paraId="5185D0E4" w14:textId="77777777" w:rsidR="00C81834" w:rsidRPr="00CF0F96" w:rsidRDefault="00C81834" w:rsidP="00D30988">
            <w:pPr>
              <w:pStyle w:val="TableParagraph"/>
              <w:spacing w:before="54"/>
              <w:rPr>
                <w:rFonts w:ascii="Arial" w:hAnsi="Arial" w:cs="Arial"/>
                <w:bCs/>
                <w:sz w:val="21"/>
              </w:rPr>
            </w:pPr>
            <w:r w:rsidRPr="00CF0F96">
              <w:rPr>
                <w:rFonts w:ascii="Arial" w:hAnsi="Arial" w:cs="Arial"/>
                <w:bCs/>
                <w:sz w:val="21"/>
              </w:rPr>
              <w:t>Dipsadidae</w:t>
            </w:r>
          </w:p>
        </w:tc>
        <w:tc>
          <w:tcPr>
            <w:tcW w:w="3204" w:type="dxa"/>
            <w:tcBorders>
              <w:left w:val="dashed" w:sz="8" w:space="0" w:color="4AACC5"/>
              <w:right w:val="dashed" w:sz="8" w:space="0" w:color="4AACC5"/>
            </w:tcBorders>
            <w:shd w:val="clear" w:color="auto" w:fill="D2EAF0"/>
          </w:tcPr>
          <w:p w14:paraId="15ABA0F5" w14:textId="77777777" w:rsidR="00C81834" w:rsidRPr="00CF0F96" w:rsidRDefault="00C81834" w:rsidP="00D30988">
            <w:pPr>
              <w:pStyle w:val="TableParagraph"/>
              <w:rPr>
                <w:rFonts w:ascii="Arial" w:hAnsi="Arial" w:cs="Arial"/>
                <w:bCs/>
                <w:i/>
                <w:sz w:val="21"/>
              </w:rPr>
            </w:pPr>
            <w:r w:rsidRPr="00CF0F96">
              <w:rPr>
                <w:rFonts w:ascii="Arial" w:hAnsi="Arial" w:cs="Arial"/>
                <w:bCs/>
                <w:i/>
                <w:sz w:val="21"/>
              </w:rPr>
              <w:t>Rhadinella tolpanorum</w:t>
            </w:r>
          </w:p>
        </w:tc>
        <w:tc>
          <w:tcPr>
            <w:tcW w:w="1372" w:type="dxa"/>
            <w:tcBorders>
              <w:left w:val="dashed" w:sz="8" w:space="0" w:color="4AACC5"/>
              <w:right w:val="dashed" w:sz="8" w:space="0" w:color="4AACC5"/>
            </w:tcBorders>
            <w:shd w:val="clear" w:color="auto" w:fill="D2EAF0"/>
          </w:tcPr>
          <w:p w14:paraId="744AA095"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5AA27D49" w14:textId="77777777" w:rsidTr="00C81834">
        <w:trPr>
          <w:trHeight w:val="369"/>
          <w:jc w:val="center"/>
        </w:trPr>
        <w:tc>
          <w:tcPr>
            <w:tcW w:w="1804" w:type="dxa"/>
            <w:tcBorders>
              <w:left w:val="dashed" w:sz="8" w:space="0" w:color="4AACC5"/>
              <w:right w:val="dashed" w:sz="8" w:space="0" w:color="4AACC5"/>
            </w:tcBorders>
          </w:tcPr>
          <w:p w14:paraId="78811C44" w14:textId="77777777" w:rsidR="00C81834" w:rsidRPr="00CF0F96" w:rsidRDefault="00C81834" w:rsidP="00D30988">
            <w:pPr>
              <w:pStyle w:val="TableParagraph"/>
              <w:rPr>
                <w:rFonts w:ascii="Arial" w:hAnsi="Arial" w:cs="Arial"/>
                <w:bCs/>
                <w:sz w:val="21"/>
              </w:rPr>
            </w:pPr>
            <w:r w:rsidRPr="00CF0F96">
              <w:rPr>
                <w:rFonts w:ascii="Arial" w:hAnsi="Arial" w:cs="Arial"/>
                <w:bCs/>
                <w:w w:val="95"/>
                <w:sz w:val="21"/>
              </w:rPr>
              <w:t>Reptilia</w:t>
            </w:r>
          </w:p>
        </w:tc>
        <w:tc>
          <w:tcPr>
            <w:tcW w:w="1879" w:type="dxa"/>
            <w:tcBorders>
              <w:left w:val="dashed" w:sz="8" w:space="0" w:color="4AACC5"/>
              <w:right w:val="dashed" w:sz="8" w:space="0" w:color="4AACC5"/>
            </w:tcBorders>
          </w:tcPr>
          <w:p w14:paraId="0C2653C5" w14:textId="77777777" w:rsidR="00C81834" w:rsidRPr="00CF0F96" w:rsidRDefault="00C81834" w:rsidP="00D30988">
            <w:pPr>
              <w:pStyle w:val="TableParagraph"/>
              <w:spacing w:before="54"/>
              <w:rPr>
                <w:rFonts w:ascii="Arial" w:hAnsi="Arial" w:cs="Arial"/>
                <w:bCs/>
                <w:sz w:val="21"/>
              </w:rPr>
            </w:pPr>
            <w:r w:rsidRPr="00CF0F96">
              <w:rPr>
                <w:rFonts w:ascii="Arial" w:hAnsi="Arial" w:cs="Arial"/>
                <w:bCs/>
                <w:sz w:val="21"/>
              </w:rPr>
              <w:t>Dipsadidae</w:t>
            </w:r>
          </w:p>
        </w:tc>
        <w:tc>
          <w:tcPr>
            <w:tcW w:w="3204" w:type="dxa"/>
            <w:tcBorders>
              <w:left w:val="dashed" w:sz="8" w:space="0" w:color="4AACC5"/>
              <w:right w:val="dashed" w:sz="8" w:space="0" w:color="4AACC5"/>
            </w:tcBorders>
          </w:tcPr>
          <w:p w14:paraId="356851CF" w14:textId="77777777" w:rsidR="00C81834" w:rsidRPr="00CF0F96" w:rsidRDefault="00C81834" w:rsidP="00D30988">
            <w:pPr>
              <w:pStyle w:val="TableParagraph"/>
              <w:rPr>
                <w:rFonts w:ascii="Arial" w:hAnsi="Arial" w:cs="Arial"/>
                <w:bCs/>
                <w:i/>
                <w:sz w:val="21"/>
              </w:rPr>
            </w:pPr>
            <w:r w:rsidRPr="00CF0F96">
              <w:rPr>
                <w:rFonts w:ascii="Arial" w:hAnsi="Arial" w:cs="Arial"/>
                <w:bCs/>
                <w:i/>
                <w:sz w:val="21"/>
              </w:rPr>
              <w:t>Sibon manzanaresi</w:t>
            </w:r>
          </w:p>
        </w:tc>
        <w:tc>
          <w:tcPr>
            <w:tcW w:w="1372" w:type="dxa"/>
            <w:tcBorders>
              <w:left w:val="dashed" w:sz="8" w:space="0" w:color="4AACC5"/>
              <w:right w:val="dashed" w:sz="8" w:space="0" w:color="4AACC5"/>
            </w:tcBorders>
          </w:tcPr>
          <w:p w14:paraId="7E17303D"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0AA1F34B" w14:textId="77777777" w:rsidTr="00C81834">
        <w:trPr>
          <w:trHeight w:val="369"/>
          <w:jc w:val="center"/>
        </w:trPr>
        <w:tc>
          <w:tcPr>
            <w:tcW w:w="1804" w:type="dxa"/>
            <w:tcBorders>
              <w:left w:val="dashed" w:sz="8" w:space="0" w:color="4AACC5"/>
              <w:right w:val="dashed" w:sz="8" w:space="0" w:color="4AACC5"/>
            </w:tcBorders>
            <w:shd w:val="clear" w:color="auto" w:fill="D2EAF0"/>
          </w:tcPr>
          <w:p w14:paraId="26AD2D5E" w14:textId="77777777" w:rsidR="00C81834" w:rsidRPr="00CF0F96" w:rsidRDefault="00C81834" w:rsidP="00D30988">
            <w:pPr>
              <w:pStyle w:val="TableParagraph"/>
              <w:rPr>
                <w:rFonts w:ascii="Arial" w:hAnsi="Arial" w:cs="Arial"/>
                <w:bCs/>
                <w:sz w:val="21"/>
              </w:rPr>
            </w:pPr>
            <w:r w:rsidRPr="00CF0F96">
              <w:rPr>
                <w:rFonts w:ascii="Arial" w:hAnsi="Arial" w:cs="Arial"/>
                <w:bCs/>
                <w:w w:val="95"/>
                <w:sz w:val="21"/>
              </w:rPr>
              <w:t>Reptilia</w:t>
            </w:r>
          </w:p>
        </w:tc>
        <w:tc>
          <w:tcPr>
            <w:tcW w:w="1879" w:type="dxa"/>
            <w:tcBorders>
              <w:left w:val="dashed" w:sz="8" w:space="0" w:color="4AACC5"/>
              <w:right w:val="dashed" w:sz="8" w:space="0" w:color="4AACC5"/>
            </w:tcBorders>
            <w:shd w:val="clear" w:color="auto" w:fill="D2EAF0"/>
          </w:tcPr>
          <w:p w14:paraId="5CB22C70" w14:textId="77777777" w:rsidR="00C81834" w:rsidRPr="00CF0F96" w:rsidRDefault="00C81834" w:rsidP="00D30988">
            <w:pPr>
              <w:pStyle w:val="TableParagraph"/>
              <w:spacing w:before="54"/>
              <w:rPr>
                <w:rFonts w:ascii="Arial" w:hAnsi="Arial" w:cs="Arial"/>
                <w:bCs/>
                <w:sz w:val="21"/>
              </w:rPr>
            </w:pPr>
            <w:r w:rsidRPr="00CF0F96">
              <w:rPr>
                <w:rFonts w:ascii="Arial" w:hAnsi="Arial" w:cs="Arial"/>
                <w:bCs/>
                <w:sz w:val="21"/>
              </w:rPr>
              <w:t>Dipsadidae</w:t>
            </w:r>
          </w:p>
        </w:tc>
        <w:tc>
          <w:tcPr>
            <w:tcW w:w="3204" w:type="dxa"/>
            <w:tcBorders>
              <w:left w:val="dashed" w:sz="8" w:space="0" w:color="4AACC5"/>
              <w:right w:val="dashed" w:sz="8" w:space="0" w:color="4AACC5"/>
            </w:tcBorders>
            <w:shd w:val="clear" w:color="auto" w:fill="D2EAF0"/>
          </w:tcPr>
          <w:p w14:paraId="3A5FB4DB" w14:textId="77777777" w:rsidR="00C81834" w:rsidRPr="00CF0F96" w:rsidRDefault="00C81834" w:rsidP="00D30988">
            <w:pPr>
              <w:pStyle w:val="TableParagraph"/>
              <w:rPr>
                <w:rFonts w:ascii="Arial" w:hAnsi="Arial" w:cs="Arial"/>
                <w:bCs/>
                <w:i/>
                <w:sz w:val="21"/>
              </w:rPr>
            </w:pPr>
            <w:r w:rsidRPr="00CF0F96">
              <w:rPr>
                <w:rFonts w:ascii="Arial" w:hAnsi="Arial" w:cs="Arial"/>
                <w:bCs/>
                <w:i/>
                <w:sz w:val="21"/>
              </w:rPr>
              <w:t>Sibon miskitus</w:t>
            </w:r>
          </w:p>
        </w:tc>
        <w:tc>
          <w:tcPr>
            <w:tcW w:w="1372" w:type="dxa"/>
            <w:tcBorders>
              <w:left w:val="dashed" w:sz="8" w:space="0" w:color="4AACC5"/>
              <w:right w:val="dashed" w:sz="8" w:space="0" w:color="4AACC5"/>
            </w:tcBorders>
            <w:shd w:val="clear" w:color="auto" w:fill="D2EAF0"/>
          </w:tcPr>
          <w:p w14:paraId="04AA0C2E"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6BE59B02" w14:textId="77777777" w:rsidTr="00C81834">
        <w:trPr>
          <w:trHeight w:val="369"/>
          <w:jc w:val="center"/>
        </w:trPr>
        <w:tc>
          <w:tcPr>
            <w:tcW w:w="1804" w:type="dxa"/>
            <w:tcBorders>
              <w:left w:val="dashed" w:sz="8" w:space="0" w:color="4AACC5"/>
              <w:right w:val="dashed" w:sz="8" w:space="0" w:color="4AACC5"/>
            </w:tcBorders>
          </w:tcPr>
          <w:p w14:paraId="01FF28AA" w14:textId="77777777" w:rsidR="00C81834" w:rsidRPr="00CF0F96" w:rsidRDefault="00C81834" w:rsidP="00D30988">
            <w:pPr>
              <w:pStyle w:val="TableParagraph"/>
              <w:rPr>
                <w:rFonts w:ascii="Arial" w:hAnsi="Arial" w:cs="Arial"/>
                <w:bCs/>
                <w:sz w:val="21"/>
              </w:rPr>
            </w:pPr>
            <w:r w:rsidRPr="00CF0F96">
              <w:rPr>
                <w:rFonts w:ascii="Arial" w:hAnsi="Arial" w:cs="Arial"/>
                <w:bCs/>
                <w:w w:val="95"/>
                <w:sz w:val="21"/>
              </w:rPr>
              <w:t>Reptilia</w:t>
            </w:r>
          </w:p>
        </w:tc>
        <w:tc>
          <w:tcPr>
            <w:tcW w:w="1879" w:type="dxa"/>
            <w:tcBorders>
              <w:left w:val="dashed" w:sz="8" w:space="0" w:color="4AACC5"/>
              <w:right w:val="dashed" w:sz="8" w:space="0" w:color="4AACC5"/>
            </w:tcBorders>
          </w:tcPr>
          <w:p w14:paraId="34C7BFE0" w14:textId="77777777" w:rsidR="00C81834" w:rsidRPr="00CF0F96" w:rsidRDefault="00C81834" w:rsidP="00D30988">
            <w:pPr>
              <w:pStyle w:val="TableParagraph"/>
              <w:spacing w:before="54"/>
              <w:rPr>
                <w:rFonts w:ascii="Arial" w:hAnsi="Arial" w:cs="Arial"/>
                <w:bCs/>
                <w:sz w:val="21"/>
              </w:rPr>
            </w:pPr>
            <w:r w:rsidRPr="00CF0F96">
              <w:rPr>
                <w:rFonts w:ascii="Arial" w:hAnsi="Arial" w:cs="Arial"/>
                <w:bCs/>
                <w:sz w:val="21"/>
              </w:rPr>
              <w:t>Elapidae</w:t>
            </w:r>
          </w:p>
        </w:tc>
        <w:tc>
          <w:tcPr>
            <w:tcW w:w="3204" w:type="dxa"/>
            <w:tcBorders>
              <w:left w:val="dashed" w:sz="8" w:space="0" w:color="4AACC5"/>
              <w:right w:val="dashed" w:sz="8" w:space="0" w:color="4AACC5"/>
            </w:tcBorders>
          </w:tcPr>
          <w:p w14:paraId="6E18BE1B" w14:textId="77777777" w:rsidR="00C81834" w:rsidRPr="00CF0F96" w:rsidRDefault="00C81834" w:rsidP="00D30988">
            <w:pPr>
              <w:pStyle w:val="TableParagraph"/>
              <w:rPr>
                <w:rFonts w:ascii="Arial" w:hAnsi="Arial" w:cs="Arial"/>
                <w:bCs/>
                <w:i/>
                <w:sz w:val="21"/>
              </w:rPr>
            </w:pPr>
            <w:r w:rsidRPr="00CF0F96">
              <w:rPr>
                <w:rFonts w:ascii="Arial" w:hAnsi="Arial" w:cs="Arial"/>
                <w:bCs/>
                <w:i/>
                <w:sz w:val="21"/>
              </w:rPr>
              <w:t>Micrurus ruatanus</w:t>
            </w:r>
          </w:p>
        </w:tc>
        <w:tc>
          <w:tcPr>
            <w:tcW w:w="1372" w:type="dxa"/>
            <w:tcBorders>
              <w:left w:val="dashed" w:sz="8" w:space="0" w:color="4AACC5"/>
              <w:right w:val="dashed" w:sz="8" w:space="0" w:color="4AACC5"/>
            </w:tcBorders>
          </w:tcPr>
          <w:p w14:paraId="4641F876"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1B396C17" w14:textId="77777777" w:rsidTr="00C81834">
        <w:trPr>
          <w:trHeight w:val="369"/>
          <w:jc w:val="center"/>
        </w:trPr>
        <w:tc>
          <w:tcPr>
            <w:tcW w:w="1804" w:type="dxa"/>
            <w:tcBorders>
              <w:left w:val="dashed" w:sz="8" w:space="0" w:color="4AACC5"/>
              <w:right w:val="dashed" w:sz="8" w:space="0" w:color="4AACC5"/>
            </w:tcBorders>
            <w:shd w:val="clear" w:color="auto" w:fill="D2EAF0"/>
          </w:tcPr>
          <w:p w14:paraId="62789B41" w14:textId="77777777" w:rsidR="00C81834" w:rsidRPr="00CF0F96" w:rsidRDefault="00C81834" w:rsidP="00D30988">
            <w:pPr>
              <w:pStyle w:val="TableParagraph"/>
              <w:rPr>
                <w:rFonts w:ascii="Arial" w:hAnsi="Arial" w:cs="Arial"/>
                <w:bCs/>
                <w:sz w:val="21"/>
              </w:rPr>
            </w:pPr>
            <w:r w:rsidRPr="00CF0F96">
              <w:rPr>
                <w:rFonts w:ascii="Arial" w:hAnsi="Arial" w:cs="Arial"/>
                <w:bCs/>
                <w:w w:val="95"/>
                <w:sz w:val="21"/>
              </w:rPr>
              <w:t>Reptilia</w:t>
            </w:r>
          </w:p>
        </w:tc>
        <w:tc>
          <w:tcPr>
            <w:tcW w:w="1879" w:type="dxa"/>
            <w:tcBorders>
              <w:left w:val="dashed" w:sz="8" w:space="0" w:color="4AACC5"/>
              <w:right w:val="dashed" w:sz="8" w:space="0" w:color="4AACC5"/>
            </w:tcBorders>
            <w:shd w:val="clear" w:color="auto" w:fill="D2EAF0"/>
          </w:tcPr>
          <w:p w14:paraId="47E8EC72" w14:textId="77777777" w:rsidR="00C81834" w:rsidRPr="00CF0F96" w:rsidRDefault="00C81834" w:rsidP="00D30988">
            <w:pPr>
              <w:pStyle w:val="TableParagraph"/>
              <w:spacing w:before="54"/>
              <w:rPr>
                <w:rFonts w:ascii="Arial" w:hAnsi="Arial" w:cs="Arial"/>
                <w:bCs/>
                <w:sz w:val="21"/>
              </w:rPr>
            </w:pPr>
            <w:r w:rsidRPr="00CF0F96">
              <w:rPr>
                <w:rFonts w:ascii="Arial" w:hAnsi="Arial" w:cs="Arial"/>
                <w:bCs/>
                <w:sz w:val="21"/>
              </w:rPr>
              <w:t>Typhlopidae</w:t>
            </w:r>
          </w:p>
        </w:tc>
        <w:tc>
          <w:tcPr>
            <w:tcW w:w="3204" w:type="dxa"/>
            <w:tcBorders>
              <w:left w:val="dashed" w:sz="8" w:space="0" w:color="4AACC5"/>
              <w:right w:val="dashed" w:sz="8" w:space="0" w:color="4AACC5"/>
            </w:tcBorders>
            <w:shd w:val="clear" w:color="auto" w:fill="D2EAF0"/>
          </w:tcPr>
          <w:p w14:paraId="4DC3B777" w14:textId="77777777" w:rsidR="00C81834" w:rsidRPr="00CF0F96" w:rsidRDefault="00C81834" w:rsidP="00D30988">
            <w:pPr>
              <w:pStyle w:val="TableParagraph"/>
              <w:rPr>
                <w:rFonts w:ascii="Arial" w:hAnsi="Arial" w:cs="Arial"/>
                <w:bCs/>
                <w:i/>
                <w:sz w:val="21"/>
              </w:rPr>
            </w:pPr>
            <w:r w:rsidRPr="00CF0F96">
              <w:rPr>
                <w:rFonts w:ascii="Arial" w:hAnsi="Arial" w:cs="Arial"/>
                <w:bCs/>
                <w:i/>
                <w:sz w:val="21"/>
              </w:rPr>
              <w:t>Amerotyphlops stadelmani</w:t>
            </w:r>
          </w:p>
        </w:tc>
        <w:tc>
          <w:tcPr>
            <w:tcW w:w="1372" w:type="dxa"/>
            <w:tcBorders>
              <w:left w:val="dashed" w:sz="8" w:space="0" w:color="4AACC5"/>
              <w:right w:val="dashed" w:sz="8" w:space="0" w:color="4AACC5"/>
            </w:tcBorders>
            <w:shd w:val="clear" w:color="auto" w:fill="D2EAF0"/>
          </w:tcPr>
          <w:p w14:paraId="68623934"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71516333" w14:textId="77777777" w:rsidTr="00C81834">
        <w:trPr>
          <w:trHeight w:val="369"/>
          <w:jc w:val="center"/>
        </w:trPr>
        <w:tc>
          <w:tcPr>
            <w:tcW w:w="1804" w:type="dxa"/>
            <w:tcBorders>
              <w:left w:val="dashed" w:sz="8" w:space="0" w:color="4AACC5"/>
              <w:right w:val="dashed" w:sz="8" w:space="0" w:color="4AACC5"/>
            </w:tcBorders>
          </w:tcPr>
          <w:p w14:paraId="04F46CED" w14:textId="77777777" w:rsidR="00C81834" w:rsidRPr="00CF0F96" w:rsidRDefault="00C81834" w:rsidP="00D30988">
            <w:pPr>
              <w:pStyle w:val="TableParagraph"/>
              <w:rPr>
                <w:rFonts w:ascii="Arial" w:hAnsi="Arial" w:cs="Arial"/>
                <w:bCs/>
                <w:sz w:val="21"/>
              </w:rPr>
            </w:pPr>
            <w:r w:rsidRPr="00CF0F96">
              <w:rPr>
                <w:rFonts w:ascii="Arial" w:hAnsi="Arial" w:cs="Arial"/>
                <w:bCs/>
                <w:w w:val="95"/>
                <w:sz w:val="21"/>
              </w:rPr>
              <w:t>Reptilia</w:t>
            </w:r>
          </w:p>
        </w:tc>
        <w:tc>
          <w:tcPr>
            <w:tcW w:w="1879" w:type="dxa"/>
            <w:tcBorders>
              <w:left w:val="dashed" w:sz="8" w:space="0" w:color="4AACC5"/>
              <w:right w:val="dashed" w:sz="8" w:space="0" w:color="4AACC5"/>
            </w:tcBorders>
          </w:tcPr>
          <w:p w14:paraId="300366E9" w14:textId="77777777" w:rsidR="00C81834" w:rsidRPr="00CF0F96" w:rsidRDefault="00C81834" w:rsidP="00D30988">
            <w:pPr>
              <w:pStyle w:val="TableParagraph"/>
              <w:spacing w:before="54"/>
              <w:rPr>
                <w:rFonts w:ascii="Arial" w:hAnsi="Arial" w:cs="Arial"/>
                <w:bCs/>
                <w:sz w:val="21"/>
              </w:rPr>
            </w:pPr>
            <w:r w:rsidRPr="00CF0F96">
              <w:rPr>
                <w:rFonts w:ascii="Arial" w:hAnsi="Arial" w:cs="Arial"/>
                <w:bCs/>
                <w:sz w:val="21"/>
              </w:rPr>
              <w:t>Typhlopidae</w:t>
            </w:r>
          </w:p>
        </w:tc>
        <w:tc>
          <w:tcPr>
            <w:tcW w:w="3204" w:type="dxa"/>
            <w:tcBorders>
              <w:left w:val="dashed" w:sz="8" w:space="0" w:color="4AACC5"/>
              <w:right w:val="dashed" w:sz="8" w:space="0" w:color="4AACC5"/>
            </w:tcBorders>
          </w:tcPr>
          <w:p w14:paraId="0D8FD5EF" w14:textId="77777777" w:rsidR="00C81834" w:rsidRPr="00CF0F96" w:rsidRDefault="00C81834" w:rsidP="00D30988">
            <w:pPr>
              <w:pStyle w:val="TableParagraph"/>
              <w:rPr>
                <w:rFonts w:ascii="Arial" w:hAnsi="Arial" w:cs="Arial"/>
                <w:bCs/>
                <w:i/>
                <w:sz w:val="21"/>
              </w:rPr>
            </w:pPr>
            <w:r w:rsidRPr="00CF0F96">
              <w:rPr>
                <w:rFonts w:ascii="Arial" w:hAnsi="Arial" w:cs="Arial"/>
                <w:bCs/>
                <w:i/>
                <w:sz w:val="21"/>
              </w:rPr>
              <w:t>Amerotyphlops tycherus</w:t>
            </w:r>
          </w:p>
        </w:tc>
        <w:tc>
          <w:tcPr>
            <w:tcW w:w="1372" w:type="dxa"/>
            <w:tcBorders>
              <w:left w:val="dashed" w:sz="8" w:space="0" w:color="4AACC5"/>
              <w:right w:val="dashed" w:sz="8" w:space="0" w:color="4AACC5"/>
            </w:tcBorders>
          </w:tcPr>
          <w:p w14:paraId="620EEAC5"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bl>
    <w:p w14:paraId="5A57A159" w14:textId="77777777" w:rsidR="00C81834" w:rsidRPr="00FA4B2D" w:rsidRDefault="00C81834" w:rsidP="00C81834">
      <w:pPr>
        <w:tabs>
          <w:tab w:val="left" w:pos="1245"/>
        </w:tabs>
        <w:rPr>
          <w:rFonts w:cs="Arial"/>
        </w:rPr>
      </w:pPr>
    </w:p>
    <w:p w14:paraId="6ED5BD0E" w14:textId="77777777" w:rsidR="00C81834" w:rsidRPr="00FA4B2D" w:rsidRDefault="00C81834" w:rsidP="00C81834">
      <w:pPr>
        <w:tabs>
          <w:tab w:val="left" w:pos="1245"/>
        </w:tabs>
        <w:rPr>
          <w:rFonts w:cs="Arial"/>
        </w:rPr>
      </w:pPr>
    </w:p>
    <w:tbl>
      <w:tblPr>
        <w:tblStyle w:val="TableNormal1"/>
        <w:tblW w:w="0" w:type="auto"/>
        <w:tblInd w:w="-10"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1804"/>
        <w:gridCol w:w="1879"/>
        <w:gridCol w:w="3204"/>
        <w:gridCol w:w="1372"/>
      </w:tblGrid>
      <w:tr w:rsidR="00C81834" w:rsidRPr="00FA4B2D" w14:paraId="3F8F5F20" w14:textId="77777777" w:rsidTr="005D7F0C">
        <w:trPr>
          <w:trHeight w:val="369"/>
        </w:trPr>
        <w:tc>
          <w:tcPr>
            <w:tcW w:w="1804" w:type="dxa"/>
            <w:tcBorders>
              <w:left w:val="dashed" w:sz="8" w:space="0" w:color="4AACC5"/>
              <w:right w:val="dashed" w:sz="8" w:space="0" w:color="4AACC5"/>
            </w:tcBorders>
            <w:shd w:val="clear" w:color="auto" w:fill="5CC5DA"/>
          </w:tcPr>
          <w:p w14:paraId="18C2A73E" w14:textId="77777777" w:rsidR="00C81834" w:rsidRPr="00CF0F96" w:rsidRDefault="00C81834" w:rsidP="00D30988">
            <w:pPr>
              <w:pStyle w:val="TableParagraph"/>
              <w:ind w:left="625" w:right="605"/>
              <w:jc w:val="center"/>
              <w:rPr>
                <w:rFonts w:ascii="Arial" w:hAnsi="Arial" w:cs="Arial"/>
                <w:bCs/>
                <w:sz w:val="21"/>
              </w:rPr>
            </w:pPr>
            <w:r w:rsidRPr="00CF0F96">
              <w:rPr>
                <w:rFonts w:ascii="Arial" w:hAnsi="Arial" w:cs="Arial"/>
                <w:bCs/>
                <w:sz w:val="21"/>
              </w:rPr>
              <w:lastRenderedPageBreak/>
              <w:t>Clase</w:t>
            </w:r>
          </w:p>
        </w:tc>
        <w:tc>
          <w:tcPr>
            <w:tcW w:w="1879" w:type="dxa"/>
            <w:tcBorders>
              <w:left w:val="dashed" w:sz="8" w:space="0" w:color="4AACC5"/>
              <w:right w:val="dashed" w:sz="8" w:space="0" w:color="4AACC5"/>
            </w:tcBorders>
            <w:shd w:val="clear" w:color="auto" w:fill="5CC5DA"/>
          </w:tcPr>
          <w:p w14:paraId="7E96B163" w14:textId="77777777" w:rsidR="00C81834" w:rsidRPr="00CF0F96" w:rsidRDefault="00C81834" w:rsidP="00D30988">
            <w:pPr>
              <w:pStyle w:val="TableParagraph"/>
              <w:ind w:left="627"/>
              <w:jc w:val="center"/>
              <w:rPr>
                <w:rFonts w:ascii="Arial" w:hAnsi="Arial" w:cs="Arial"/>
                <w:bCs/>
                <w:sz w:val="21"/>
              </w:rPr>
            </w:pPr>
            <w:r w:rsidRPr="00CF0F96">
              <w:rPr>
                <w:rFonts w:ascii="Arial" w:hAnsi="Arial" w:cs="Arial"/>
                <w:bCs/>
                <w:sz w:val="21"/>
              </w:rPr>
              <w:t>Familia</w:t>
            </w:r>
          </w:p>
        </w:tc>
        <w:tc>
          <w:tcPr>
            <w:tcW w:w="3204" w:type="dxa"/>
            <w:tcBorders>
              <w:left w:val="dashed" w:sz="8" w:space="0" w:color="4AACC5"/>
              <w:right w:val="dashed" w:sz="8" w:space="0" w:color="4AACC5"/>
            </w:tcBorders>
            <w:shd w:val="clear" w:color="auto" w:fill="5CC5DA"/>
          </w:tcPr>
          <w:p w14:paraId="7620282F" w14:textId="77777777" w:rsidR="00C81834" w:rsidRPr="00CF0F96" w:rsidRDefault="00C81834" w:rsidP="00D30988">
            <w:pPr>
              <w:pStyle w:val="TableParagraph"/>
              <w:ind w:left="1165" w:right="1144"/>
              <w:jc w:val="center"/>
              <w:rPr>
                <w:rFonts w:ascii="Arial" w:hAnsi="Arial" w:cs="Arial"/>
                <w:bCs/>
                <w:sz w:val="21"/>
              </w:rPr>
            </w:pPr>
            <w:r w:rsidRPr="00CF0F96">
              <w:rPr>
                <w:rFonts w:ascii="Arial" w:hAnsi="Arial" w:cs="Arial"/>
                <w:bCs/>
                <w:sz w:val="21"/>
              </w:rPr>
              <w:t>Especies</w:t>
            </w:r>
          </w:p>
        </w:tc>
        <w:tc>
          <w:tcPr>
            <w:tcW w:w="1372" w:type="dxa"/>
            <w:tcBorders>
              <w:left w:val="dashed" w:sz="8" w:space="0" w:color="4AACC5"/>
              <w:right w:val="dashed" w:sz="8" w:space="0" w:color="4AACC5"/>
            </w:tcBorders>
            <w:shd w:val="clear" w:color="auto" w:fill="5CC5DA"/>
          </w:tcPr>
          <w:p w14:paraId="4AB291C7" w14:textId="77777777" w:rsidR="00C81834" w:rsidRPr="00CF0F96" w:rsidRDefault="00C81834" w:rsidP="00D30988">
            <w:pPr>
              <w:pStyle w:val="TableParagraph"/>
              <w:ind w:left="281"/>
              <w:jc w:val="center"/>
              <w:rPr>
                <w:rFonts w:ascii="Arial" w:hAnsi="Arial" w:cs="Arial"/>
                <w:bCs/>
                <w:sz w:val="21"/>
              </w:rPr>
            </w:pPr>
            <w:r w:rsidRPr="00CF0F96">
              <w:rPr>
                <w:rFonts w:ascii="Arial" w:hAnsi="Arial" w:cs="Arial"/>
                <w:bCs/>
                <w:w w:val="95"/>
                <w:sz w:val="21"/>
              </w:rPr>
              <w:t>Categoría</w:t>
            </w:r>
          </w:p>
        </w:tc>
      </w:tr>
      <w:tr w:rsidR="00C81834" w:rsidRPr="00FA4B2D" w14:paraId="3FDDC3E3" w14:textId="77777777" w:rsidTr="00C81834">
        <w:trPr>
          <w:trHeight w:val="369"/>
        </w:trPr>
        <w:tc>
          <w:tcPr>
            <w:tcW w:w="1804" w:type="dxa"/>
            <w:tcBorders>
              <w:left w:val="dashed" w:sz="8" w:space="0" w:color="4AACC5"/>
              <w:right w:val="dashed" w:sz="8" w:space="0" w:color="4AACC5"/>
            </w:tcBorders>
            <w:shd w:val="clear" w:color="auto" w:fill="D2EAF0"/>
          </w:tcPr>
          <w:p w14:paraId="7A4134AD" w14:textId="77777777" w:rsidR="00C81834" w:rsidRPr="00CF0F96" w:rsidRDefault="00C81834" w:rsidP="00D30988">
            <w:pPr>
              <w:pStyle w:val="TableParagraph"/>
              <w:rPr>
                <w:rFonts w:ascii="Arial" w:hAnsi="Arial" w:cs="Arial"/>
                <w:bCs/>
                <w:sz w:val="21"/>
              </w:rPr>
            </w:pPr>
            <w:r w:rsidRPr="00CF0F96">
              <w:rPr>
                <w:rFonts w:ascii="Arial" w:hAnsi="Arial" w:cs="Arial"/>
                <w:bCs/>
                <w:w w:val="95"/>
                <w:sz w:val="21"/>
              </w:rPr>
              <w:t>Reptilia</w:t>
            </w:r>
          </w:p>
        </w:tc>
        <w:tc>
          <w:tcPr>
            <w:tcW w:w="1879" w:type="dxa"/>
            <w:tcBorders>
              <w:left w:val="dashed" w:sz="8" w:space="0" w:color="4AACC5"/>
              <w:right w:val="dashed" w:sz="8" w:space="0" w:color="4AACC5"/>
            </w:tcBorders>
            <w:shd w:val="clear" w:color="auto" w:fill="D2EAF0"/>
          </w:tcPr>
          <w:p w14:paraId="328EB9D3"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Viperidae</w:t>
            </w:r>
          </w:p>
        </w:tc>
        <w:tc>
          <w:tcPr>
            <w:tcW w:w="3204" w:type="dxa"/>
            <w:tcBorders>
              <w:left w:val="dashed" w:sz="8" w:space="0" w:color="4AACC5"/>
              <w:right w:val="dashed" w:sz="8" w:space="0" w:color="4AACC5"/>
            </w:tcBorders>
            <w:shd w:val="clear" w:color="auto" w:fill="D2EAF0"/>
          </w:tcPr>
          <w:p w14:paraId="287B9990" w14:textId="77777777" w:rsidR="00C81834" w:rsidRPr="00CF0F96" w:rsidRDefault="00C81834" w:rsidP="00C81834">
            <w:pPr>
              <w:pStyle w:val="TableParagraph"/>
              <w:rPr>
                <w:rFonts w:ascii="Arial" w:hAnsi="Arial" w:cs="Arial"/>
                <w:i/>
                <w:sz w:val="21"/>
              </w:rPr>
            </w:pPr>
            <w:r w:rsidRPr="00CF0F96">
              <w:rPr>
                <w:rFonts w:ascii="Arial" w:hAnsi="Arial" w:cs="Arial"/>
                <w:i/>
                <w:sz w:val="21"/>
              </w:rPr>
              <w:t>Agkistrodon bilineatus</w:t>
            </w:r>
          </w:p>
        </w:tc>
        <w:tc>
          <w:tcPr>
            <w:tcW w:w="1372" w:type="dxa"/>
            <w:tcBorders>
              <w:left w:val="dashed" w:sz="8" w:space="0" w:color="4AACC5"/>
              <w:right w:val="dashed" w:sz="8" w:space="0" w:color="4AACC5"/>
            </w:tcBorders>
            <w:shd w:val="clear" w:color="auto" w:fill="D2EAF0"/>
          </w:tcPr>
          <w:p w14:paraId="28BEEED9"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45559D32" w14:textId="77777777" w:rsidTr="00C81834">
        <w:trPr>
          <w:trHeight w:val="369"/>
        </w:trPr>
        <w:tc>
          <w:tcPr>
            <w:tcW w:w="1804" w:type="dxa"/>
            <w:tcBorders>
              <w:left w:val="dashed" w:sz="8" w:space="0" w:color="4AACC5"/>
              <w:right w:val="dashed" w:sz="8" w:space="0" w:color="4AACC5"/>
            </w:tcBorders>
          </w:tcPr>
          <w:p w14:paraId="39B0B920"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Reptilia</w:t>
            </w:r>
          </w:p>
        </w:tc>
        <w:tc>
          <w:tcPr>
            <w:tcW w:w="1879" w:type="dxa"/>
            <w:tcBorders>
              <w:left w:val="dashed" w:sz="8" w:space="0" w:color="4AACC5"/>
              <w:right w:val="dashed" w:sz="8" w:space="0" w:color="4AACC5"/>
            </w:tcBorders>
          </w:tcPr>
          <w:p w14:paraId="4BBADC69"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Viperidae</w:t>
            </w:r>
          </w:p>
        </w:tc>
        <w:tc>
          <w:tcPr>
            <w:tcW w:w="3204" w:type="dxa"/>
            <w:tcBorders>
              <w:left w:val="dashed" w:sz="8" w:space="0" w:color="4AACC5"/>
              <w:right w:val="dashed" w:sz="8" w:space="0" w:color="4AACC5"/>
            </w:tcBorders>
          </w:tcPr>
          <w:p w14:paraId="5AA6958A" w14:textId="77777777" w:rsidR="00C81834" w:rsidRPr="00CF0F96" w:rsidRDefault="00C81834" w:rsidP="00C81834">
            <w:pPr>
              <w:pStyle w:val="TableParagraph"/>
              <w:rPr>
                <w:rFonts w:ascii="Arial" w:hAnsi="Arial" w:cs="Arial"/>
                <w:i/>
                <w:sz w:val="21"/>
              </w:rPr>
            </w:pPr>
            <w:r w:rsidRPr="00CF0F96">
              <w:rPr>
                <w:rFonts w:ascii="Arial" w:hAnsi="Arial" w:cs="Arial"/>
                <w:i/>
                <w:sz w:val="21"/>
              </w:rPr>
              <w:t>Atropoides indomitus</w:t>
            </w:r>
          </w:p>
        </w:tc>
        <w:tc>
          <w:tcPr>
            <w:tcW w:w="1372" w:type="dxa"/>
            <w:tcBorders>
              <w:left w:val="dashed" w:sz="8" w:space="0" w:color="4AACC5"/>
              <w:right w:val="dashed" w:sz="8" w:space="0" w:color="4AACC5"/>
            </w:tcBorders>
          </w:tcPr>
          <w:p w14:paraId="43C3B077"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0E68B439" w14:textId="77777777" w:rsidTr="00C81834">
        <w:trPr>
          <w:trHeight w:val="369"/>
        </w:trPr>
        <w:tc>
          <w:tcPr>
            <w:tcW w:w="1804" w:type="dxa"/>
            <w:tcBorders>
              <w:left w:val="dashed" w:sz="8" w:space="0" w:color="4AACC5"/>
              <w:right w:val="dashed" w:sz="8" w:space="0" w:color="4AACC5"/>
            </w:tcBorders>
            <w:shd w:val="clear" w:color="auto" w:fill="D2EAF0"/>
          </w:tcPr>
          <w:p w14:paraId="007C6A73"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Reptilia</w:t>
            </w:r>
          </w:p>
        </w:tc>
        <w:tc>
          <w:tcPr>
            <w:tcW w:w="1879" w:type="dxa"/>
            <w:tcBorders>
              <w:left w:val="dashed" w:sz="8" w:space="0" w:color="4AACC5"/>
              <w:right w:val="dashed" w:sz="8" w:space="0" w:color="4AACC5"/>
            </w:tcBorders>
            <w:shd w:val="clear" w:color="auto" w:fill="D2EAF0"/>
          </w:tcPr>
          <w:p w14:paraId="400C64BE"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Viperidae</w:t>
            </w:r>
          </w:p>
        </w:tc>
        <w:tc>
          <w:tcPr>
            <w:tcW w:w="3204" w:type="dxa"/>
            <w:tcBorders>
              <w:left w:val="dashed" w:sz="8" w:space="0" w:color="4AACC5"/>
              <w:right w:val="dashed" w:sz="8" w:space="0" w:color="4AACC5"/>
            </w:tcBorders>
            <w:shd w:val="clear" w:color="auto" w:fill="D2EAF0"/>
          </w:tcPr>
          <w:p w14:paraId="368191E2" w14:textId="77777777" w:rsidR="00C81834" w:rsidRPr="00CF0F96" w:rsidRDefault="00C81834" w:rsidP="00C81834">
            <w:pPr>
              <w:pStyle w:val="TableParagraph"/>
              <w:rPr>
                <w:rFonts w:ascii="Arial" w:hAnsi="Arial" w:cs="Arial"/>
                <w:i/>
                <w:sz w:val="21"/>
              </w:rPr>
            </w:pPr>
            <w:r w:rsidRPr="00CF0F96">
              <w:rPr>
                <w:rFonts w:ascii="Arial" w:hAnsi="Arial" w:cs="Arial"/>
                <w:i/>
                <w:sz w:val="21"/>
              </w:rPr>
              <w:t>Bothriechis marchi</w:t>
            </w:r>
          </w:p>
        </w:tc>
        <w:tc>
          <w:tcPr>
            <w:tcW w:w="1372" w:type="dxa"/>
            <w:tcBorders>
              <w:left w:val="dashed" w:sz="8" w:space="0" w:color="4AACC5"/>
              <w:right w:val="dashed" w:sz="8" w:space="0" w:color="4AACC5"/>
            </w:tcBorders>
            <w:shd w:val="clear" w:color="auto" w:fill="D2EAF0"/>
          </w:tcPr>
          <w:p w14:paraId="23C66DA2"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1ED2C5B3" w14:textId="77777777" w:rsidTr="00C81834">
        <w:trPr>
          <w:trHeight w:val="369"/>
        </w:trPr>
        <w:tc>
          <w:tcPr>
            <w:tcW w:w="1804" w:type="dxa"/>
            <w:tcBorders>
              <w:left w:val="dashed" w:sz="8" w:space="0" w:color="4AACC5"/>
              <w:right w:val="dashed" w:sz="8" w:space="0" w:color="4AACC5"/>
            </w:tcBorders>
          </w:tcPr>
          <w:p w14:paraId="61D6B669"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Reptilia</w:t>
            </w:r>
          </w:p>
        </w:tc>
        <w:tc>
          <w:tcPr>
            <w:tcW w:w="1879" w:type="dxa"/>
            <w:tcBorders>
              <w:left w:val="dashed" w:sz="8" w:space="0" w:color="4AACC5"/>
              <w:right w:val="dashed" w:sz="8" w:space="0" w:color="4AACC5"/>
            </w:tcBorders>
          </w:tcPr>
          <w:p w14:paraId="0520D3D5"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Chelydridae</w:t>
            </w:r>
          </w:p>
        </w:tc>
        <w:tc>
          <w:tcPr>
            <w:tcW w:w="3204" w:type="dxa"/>
            <w:tcBorders>
              <w:left w:val="dashed" w:sz="8" w:space="0" w:color="4AACC5"/>
              <w:right w:val="dashed" w:sz="8" w:space="0" w:color="4AACC5"/>
            </w:tcBorders>
          </w:tcPr>
          <w:p w14:paraId="576B4541" w14:textId="77777777" w:rsidR="00C81834" w:rsidRPr="00CF0F96" w:rsidRDefault="00C81834" w:rsidP="00C81834">
            <w:pPr>
              <w:pStyle w:val="TableParagraph"/>
              <w:rPr>
                <w:rFonts w:ascii="Arial" w:hAnsi="Arial" w:cs="Arial"/>
                <w:i/>
                <w:sz w:val="21"/>
              </w:rPr>
            </w:pPr>
            <w:r w:rsidRPr="00CF0F96">
              <w:rPr>
                <w:rFonts w:ascii="Arial" w:hAnsi="Arial" w:cs="Arial"/>
                <w:i/>
                <w:sz w:val="21"/>
              </w:rPr>
              <w:t>Chelydra rossignonii</w:t>
            </w:r>
          </w:p>
        </w:tc>
        <w:tc>
          <w:tcPr>
            <w:tcW w:w="1372" w:type="dxa"/>
            <w:tcBorders>
              <w:left w:val="dashed" w:sz="8" w:space="0" w:color="4AACC5"/>
              <w:right w:val="dashed" w:sz="8" w:space="0" w:color="4AACC5"/>
            </w:tcBorders>
          </w:tcPr>
          <w:p w14:paraId="494CB544"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484E15FC" w14:textId="77777777" w:rsidTr="00C81834">
        <w:trPr>
          <w:trHeight w:val="369"/>
        </w:trPr>
        <w:tc>
          <w:tcPr>
            <w:tcW w:w="1804" w:type="dxa"/>
            <w:tcBorders>
              <w:left w:val="dashed" w:sz="8" w:space="0" w:color="4AACC5"/>
              <w:right w:val="dashed" w:sz="8" w:space="0" w:color="4AACC5"/>
            </w:tcBorders>
            <w:shd w:val="clear" w:color="auto" w:fill="D2EAF0"/>
          </w:tcPr>
          <w:p w14:paraId="16F72F42"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Reptilia</w:t>
            </w:r>
          </w:p>
        </w:tc>
        <w:tc>
          <w:tcPr>
            <w:tcW w:w="1879" w:type="dxa"/>
            <w:tcBorders>
              <w:left w:val="dashed" w:sz="8" w:space="0" w:color="4AACC5"/>
              <w:right w:val="dashed" w:sz="8" w:space="0" w:color="4AACC5"/>
            </w:tcBorders>
            <w:shd w:val="clear" w:color="auto" w:fill="D2EAF0"/>
          </w:tcPr>
          <w:p w14:paraId="23DCB88A"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Cheloniidae</w:t>
            </w:r>
          </w:p>
        </w:tc>
        <w:tc>
          <w:tcPr>
            <w:tcW w:w="3204" w:type="dxa"/>
            <w:tcBorders>
              <w:left w:val="dashed" w:sz="8" w:space="0" w:color="4AACC5"/>
              <w:right w:val="dashed" w:sz="8" w:space="0" w:color="4AACC5"/>
            </w:tcBorders>
            <w:shd w:val="clear" w:color="auto" w:fill="D2EAF0"/>
          </w:tcPr>
          <w:p w14:paraId="65A05D7F" w14:textId="77777777" w:rsidR="00C81834" w:rsidRPr="00CF0F96" w:rsidRDefault="00C81834" w:rsidP="00C81834">
            <w:pPr>
              <w:pStyle w:val="TableParagraph"/>
              <w:rPr>
                <w:rFonts w:ascii="Arial" w:hAnsi="Arial" w:cs="Arial"/>
                <w:i/>
                <w:sz w:val="21"/>
              </w:rPr>
            </w:pPr>
            <w:r w:rsidRPr="00CF0F96">
              <w:rPr>
                <w:rFonts w:ascii="Arial" w:hAnsi="Arial" w:cs="Arial"/>
                <w:i/>
                <w:w w:val="95"/>
                <w:sz w:val="21"/>
              </w:rPr>
              <w:t>Caretta caretta</w:t>
            </w:r>
          </w:p>
        </w:tc>
        <w:tc>
          <w:tcPr>
            <w:tcW w:w="1372" w:type="dxa"/>
            <w:tcBorders>
              <w:left w:val="dashed" w:sz="8" w:space="0" w:color="4AACC5"/>
              <w:right w:val="dashed" w:sz="8" w:space="0" w:color="4AACC5"/>
            </w:tcBorders>
            <w:shd w:val="clear" w:color="auto" w:fill="D2EAF0"/>
          </w:tcPr>
          <w:p w14:paraId="542FC965"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3ABD6D27" w14:textId="77777777" w:rsidTr="00C81834">
        <w:trPr>
          <w:trHeight w:val="369"/>
        </w:trPr>
        <w:tc>
          <w:tcPr>
            <w:tcW w:w="1804" w:type="dxa"/>
            <w:tcBorders>
              <w:left w:val="dashed" w:sz="8" w:space="0" w:color="4AACC5"/>
              <w:right w:val="dashed" w:sz="8" w:space="0" w:color="4AACC5"/>
            </w:tcBorders>
          </w:tcPr>
          <w:p w14:paraId="76AE4CC5"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Reptilia</w:t>
            </w:r>
          </w:p>
        </w:tc>
        <w:tc>
          <w:tcPr>
            <w:tcW w:w="1879" w:type="dxa"/>
            <w:tcBorders>
              <w:left w:val="dashed" w:sz="8" w:space="0" w:color="4AACC5"/>
              <w:right w:val="dashed" w:sz="8" w:space="0" w:color="4AACC5"/>
            </w:tcBorders>
          </w:tcPr>
          <w:p w14:paraId="17C414CF"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Cheloniidae</w:t>
            </w:r>
          </w:p>
        </w:tc>
        <w:tc>
          <w:tcPr>
            <w:tcW w:w="3204" w:type="dxa"/>
            <w:tcBorders>
              <w:left w:val="dashed" w:sz="8" w:space="0" w:color="4AACC5"/>
              <w:right w:val="dashed" w:sz="8" w:space="0" w:color="4AACC5"/>
            </w:tcBorders>
          </w:tcPr>
          <w:p w14:paraId="585F0AC3" w14:textId="77777777" w:rsidR="00C81834" w:rsidRPr="00CF0F96" w:rsidRDefault="00C81834" w:rsidP="00C81834">
            <w:pPr>
              <w:pStyle w:val="TableParagraph"/>
              <w:rPr>
                <w:rFonts w:ascii="Arial" w:hAnsi="Arial" w:cs="Arial"/>
                <w:i/>
                <w:sz w:val="21"/>
              </w:rPr>
            </w:pPr>
            <w:r w:rsidRPr="00CF0F96">
              <w:rPr>
                <w:rFonts w:ascii="Arial" w:hAnsi="Arial" w:cs="Arial"/>
                <w:i/>
                <w:sz w:val="21"/>
              </w:rPr>
              <w:t>Eretmochelys imbricata</w:t>
            </w:r>
          </w:p>
        </w:tc>
        <w:tc>
          <w:tcPr>
            <w:tcW w:w="1372" w:type="dxa"/>
            <w:tcBorders>
              <w:left w:val="dashed" w:sz="8" w:space="0" w:color="4AACC5"/>
              <w:right w:val="dashed" w:sz="8" w:space="0" w:color="4AACC5"/>
            </w:tcBorders>
          </w:tcPr>
          <w:p w14:paraId="512CB235"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14BD07E3" w14:textId="77777777" w:rsidTr="00C81834">
        <w:trPr>
          <w:trHeight w:val="369"/>
        </w:trPr>
        <w:tc>
          <w:tcPr>
            <w:tcW w:w="1804" w:type="dxa"/>
            <w:tcBorders>
              <w:left w:val="dashed" w:sz="8" w:space="0" w:color="4AACC5"/>
              <w:right w:val="dashed" w:sz="8" w:space="0" w:color="4AACC5"/>
            </w:tcBorders>
            <w:shd w:val="clear" w:color="auto" w:fill="D2EAF0"/>
          </w:tcPr>
          <w:p w14:paraId="1011391A"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Reptilia</w:t>
            </w:r>
          </w:p>
        </w:tc>
        <w:tc>
          <w:tcPr>
            <w:tcW w:w="1879" w:type="dxa"/>
            <w:tcBorders>
              <w:left w:val="dashed" w:sz="8" w:space="0" w:color="4AACC5"/>
              <w:right w:val="dashed" w:sz="8" w:space="0" w:color="4AACC5"/>
            </w:tcBorders>
            <w:shd w:val="clear" w:color="auto" w:fill="D2EAF0"/>
          </w:tcPr>
          <w:p w14:paraId="7FC85C4E"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Cheloniidae</w:t>
            </w:r>
          </w:p>
        </w:tc>
        <w:tc>
          <w:tcPr>
            <w:tcW w:w="3204" w:type="dxa"/>
            <w:tcBorders>
              <w:left w:val="dashed" w:sz="8" w:space="0" w:color="4AACC5"/>
              <w:right w:val="dashed" w:sz="8" w:space="0" w:color="4AACC5"/>
            </w:tcBorders>
            <w:shd w:val="clear" w:color="auto" w:fill="D2EAF0"/>
          </w:tcPr>
          <w:p w14:paraId="448A0F93" w14:textId="77777777" w:rsidR="00C81834" w:rsidRPr="00CF0F96" w:rsidRDefault="00C81834" w:rsidP="00C81834">
            <w:pPr>
              <w:pStyle w:val="TableParagraph"/>
              <w:rPr>
                <w:rFonts w:ascii="Arial" w:hAnsi="Arial" w:cs="Arial"/>
                <w:i/>
                <w:sz w:val="21"/>
              </w:rPr>
            </w:pPr>
            <w:r w:rsidRPr="00CF0F96">
              <w:rPr>
                <w:rFonts w:ascii="Arial" w:hAnsi="Arial" w:cs="Arial"/>
                <w:i/>
                <w:sz w:val="21"/>
              </w:rPr>
              <w:t>Lepidochelys olivácea</w:t>
            </w:r>
          </w:p>
        </w:tc>
        <w:tc>
          <w:tcPr>
            <w:tcW w:w="1372" w:type="dxa"/>
            <w:tcBorders>
              <w:left w:val="dashed" w:sz="8" w:space="0" w:color="4AACC5"/>
              <w:right w:val="dashed" w:sz="8" w:space="0" w:color="4AACC5"/>
            </w:tcBorders>
            <w:shd w:val="clear" w:color="auto" w:fill="D2EAF0"/>
          </w:tcPr>
          <w:p w14:paraId="7F846253"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40E94DF2" w14:textId="77777777" w:rsidTr="00C81834">
        <w:trPr>
          <w:trHeight w:val="369"/>
        </w:trPr>
        <w:tc>
          <w:tcPr>
            <w:tcW w:w="1804" w:type="dxa"/>
            <w:tcBorders>
              <w:left w:val="dashed" w:sz="8" w:space="0" w:color="4AACC5"/>
              <w:right w:val="dashed" w:sz="8" w:space="0" w:color="4AACC5"/>
            </w:tcBorders>
          </w:tcPr>
          <w:p w14:paraId="32E43B26"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Reptilia</w:t>
            </w:r>
          </w:p>
        </w:tc>
        <w:tc>
          <w:tcPr>
            <w:tcW w:w="1879" w:type="dxa"/>
            <w:tcBorders>
              <w:left w:val="dashed" w:sz="8" w:space="0" w:color="4AACC5"/>
              <w:right w:val="dashed" w:sz="8" w:space="0" w:color="4AACC5"/>
            </w:tcBorders>
          </w:tcPr>
          <w:p w14:paraId="78BDF6AB"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Dermochelyidae</w:t>
            </w:r>
          </w:p>
        </w:tc>
        <w:tc>
          <w:tcPr>
            <w:tcW w:w="3204" w:type="dxa"/>
            <w:tcBorders>
              <w:left w:val="dashed" w:sz="8" w:space="0" w:color="4AACC5"/>
              <w:right w:val="dashed" w:sz="8" w:space="0" w:color="4AACC5"/>
            </w:tcBorders>
          </w:tcPr>
          <w:p w14:paraId="2AAD0478" w14:textId="77777777" w:rsidR="00C81834" w:rsidRPr="00CF0F96" w:rsidRDefault="00C81834" w:rsidP="00C81834">
            <w:pPr>
              <w:pStyle w:val="TableParagraph"/>
              <w:rPr>
                <w:rFonts w:ascii="Arial" w:hAnsi="Arial" w:cs="Arial"/>
                <w:i/>
                <w:sz w:val="21"/>
              </w:rPr>
            </w:pPr>
            <w:r w:rsidRPr="00CF0F96">
              <w:rPr>
                <w:rFonts w:ascii="Arial" w:hAnsi="Arial" w:cs="Arial"/>
                <w:i/>
                <w:sz w:val="21"/>
              </w:rPr>
              <w:t>Dermochelys coriácea</w:t>
            </w:r>
          </w:p>
        </w:tc>
        <w:tc>
          <w:tcPr>
            <w:tcW w:w="1372" w:type="dxa"/>
            <w:tcBorders>
              <w:left w:val="dashed" w:sz="8" w:space="0" w:color="4AACC5"/>
              <w:right w:val="dashed" w:sz="8" w:space="0" w:color="4AACC5"/>
            </w:tcBorders>
          </w:tcPr>
          <w:p w14:paraId="4A913D4B"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3739AAEF" w14:textId="77777777" w:rsidTr="00C81834">
        <w:trPr>
          <w:trHeight w:val="369"/>
        </w:trPr>
        <w:tc>
          <w:tcPr>
            <w:tcW w:w="1804" w:type="dxa"/>
            <w:tcBorders>
              <w:left w:val="dashed" w:sz="8" w:space="0" w:color="4AACC5"/>
              <w:right w:val="dashed" w:sz="8" w:space="0" w:color="4AACC5"/>
            </w:tcBorders>
            <w:shd w:val="clear" w:color="auto" w:fill="D2EAF0"/>
          </w:tcPr>
          <w:p w14:paraId="516025BD"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Reptilia</w:t>
            </w:r>
          </w:p>
        </w:tc>
        <w:tc>
          <w:tcPr>
            <w:tcW w:w="1879" w:type="dxa"/>
            <w:tcBorders>
              <w:left w:val="dashed" w:sz="8" w:space="0" w:color="4AACC5"/>
              <w:right w:val="dashed" w:sz="8" w:space="0" w:color="4AACC5"/>
            </w:tcBorders>
            <w:shd w:val="clear" w:color="auto" w:fill="D2EAF0"/>
          </w:tcPr>
          <w:p w14:paraId="7094A1EB"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Geoemydidae</w:t>
            </w:r>
          </w:p>
        </w:tc>
        <w:tc>
          <w:tcPr>
            <w:tcW w:w="3204" w:type="dxa"/>
            <w:tcBorders>
              <w:left w:val="dashed" w:sz="8" w:space="0" w:color="4AACC5"/>
              <w:right w:val="dashed" w:sz="8" w:space="0" w:color="4AACC5"/>
            </w:tcBorders>
            <w:shd w:val="clear" w:color="auto" w:fill="D2EAF0"/>
          </w:tcPr>
          <w:p w14:paraId="1114A18B" w14:textId="77777777" w:rsidR="00C81834" w:rsidRPr="00CF0F96" w:rsidRDefault="00C81834" w:rsidP="00C81834">
            <w:pPr>
              <w:pStyle w:val="TableParagraph"/>
              <w:rPr>
                <w:rFonts w:ascii="Arial" w:hAnsi="Arial" w:cs="Arial"/>
                <w:i/>
                <w:sz w:val="21"/>
              </w:rPr>
            </w:pPr>
            <w:r w:rsidRPr="00CF0F96">
              <w:rPr>
                <w:rFonts w:ascii="Arial" w:hAnsi="Arial" w:cs="Arial"/>
                <w:i/>
                <w:sz w:val="21"/>
              </w:rPr>
              <w:t>Rhinoclemmys annulata</w:t>
            </w:r>
          </w:p>
        </w:tc>
        <w:tc>
          <w:tcPr>
            <w:tcW w:w="1372" w:type="dxa"/>
            <w:tcBorders>
              <w:left w:val="dashed" w:sz="8" w:space="0" w:color="4AACC5"/>
              <w:right w:val="dashed" w:sz="8" w:space="0" w:color="4AACC5"/>
            </w:tcBorders>
            <w:shd w:val="clear" w:color="auto" w:fill="D2EAF0"/>
          </w:tcPr>
          <w:p w14:paraId="5F861DFF"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7A666805" w14:textId="77777777" w:rsidTr="00C81834">
        <w:trPr>
          <w:trHeight w:val="369"/>
        </w:trPr>
        <w:tc>
          <w:tcPr>
            <w:tcW w:w="1804" w:type="dxa"/>
            <w:tcBorders>
              <w:left w:val="dashed" w:sz="8" w:space="0" w:color="4AACC5"/>
              <w:right w:val="dashed" w:sz="8" w:space="0" w:color="4AACC5"/>
            </w:tcBorders>
          </w:tcPr>
          <w:p w14:paraId="3A5F70DC"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Reptilia</w:t>
            </w:r>
          </w:p>
        </w:tc>
        <w:tc>
          <w:tcPr>
            <w:tcW w:w="1879" w:type="dxa"/>
            <w:tcBorders>
              <w:left w:val="dashed" w:sz="8" w:space="0" w:color="4AACC5"/>
              <w:right w:val="dashed" w:sz="8" w:space="0" w:color="4AACC5"/>
            </w:tcBorders>
          </w:tcPr>
          <w:p w14:paraId="7A79802F"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Geoemydidae</w:t>
            </w:r>
          </w:p>
        </w:tc>
        <w:tc>
          <w:tcPr>
            <w:tcW w:w="3204" w:type="dxa"/>
            <w:tcBorders>
              <w:left w:val="dashed" w:sz="8" w:space="0" w:color="4AACC5"/>
              <w:right w:val="dashed" w:sz="8" w:space="0" w:color="4AACC5"/>
            </w:tcBorders>
          </w:tcPr>
          <w:p w14:paraId="22378A3B" w14:textId="77777777" w:rsidR="00C81834" w:rsidRPr="00CF0F96" w:rsidRDefault="00C81834" w:rsidP="00C81834">
            <w:pPr>
              <w:pStyle w:val="TableParagraph"/>
              <w:rPr>
                <w:rFonts w:ascii="Arial" w:hAnsi="Arial" w:cs="Arial"/>
                <w:i/>
                <w:sz w:val="21"/>
              </w:rPr>
            </w:pPr>
            <w:r w:rsidRPr="00CF0F96">
              <w:rPr>
                <w:rFonts w:ascii="Arial" w:hAnsi="Arial" w:cs="Arial"/>
                <w:i/>
                <w:sz w:val="21"/>
              </w:rPr>
              <w:t>Rhinoclemmys areolata</w:t>
            </w:r>
          </w:p>
        </w:tc>
        <w:tc>
          <w:tcPr>
            <w:tcW w:w="1372" w:type="dxa"/>
            <w:tcBorders>
              <w:left w:val="dashed" w:sz="8" w:space="0" w:color="4AACC5"/>
              <w:right w:val="dashed" w:sz="8" w:space="0" w:color="4AACC5"/>
            </w:tcBorders>
          </w:tcPr>
          <w:p w14:paraId="47BEB65A"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327F1EAA" w14:textId="77777777" w:rsidTr="00C81834">
        <w:trPr>
          <w:trHeight w:val="369"/>
        </w:trPr>
        <w:tc>
          <w:tcPr>
            <w:tcW w:w="1804" w:type="dxa"/>
            <w:tcBorders>
              <w:left w:val="dashed" w:sz="8" w:space="0" w:color="4AACC5"/>
              <w:right w:val="dashed" w:sz="8" w:space="0" w:color="4AACC5"/>
            </w:tcBorders>
            <w:shd w:val="clear" w:color="auto" w:fill="D2EAF0"/>
          </w:tcPr>
          <w:p w14:paraId="45B1730A"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Reptilia</w:t>
            </w:r>
          </w:p>
        </w:tc>
        <w:tc>
          <w:tcPr>
            <w:tcW w:w="1879" w:type="dxa"/>
            <w:tcBorders>
              <w:left w:val="dashed" w:sz="8" w:space="0" w:color="4AACC5"/>
              <w:right w:val="dashed" w:sz="8" w:space="0" w:color="4AACC5"/>
            </w:tcBorders>
            <w:shd w:val="clear" w:color="auto" w:fill="D2EAF0"/>
          </w:tcPr>
          <w:p w14:paraId="43971DC6"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Geoemydidae</w:t>
            </w:r>
          </w:p>
        </w:tc>
        <w:tc>
          <w:tcPr>
            <w:tcW w:w="3204" w:type="dxa"/>
            <w:tcBorders>
              <w:left w:val="dashed" w:sz="8" w:space="0" w:color="4AACC5"/>
              <w:right w:val="dashed" w:sz="8" w:space="0" w:color="4AACC5"/>
            </w:tcBorders>
            <w:shd w:val="clear" w:color="auto" w:fill="D2EAF0"/>
          </w:tcPr>
          <w:p w14:paraId="175E184A" w14:textId="77777777" w:rsidR="00C81834" w:rsidRPr="00CF0F96" w:rsidRDefault="00C81834" w:rsidP="00C81834">
            <w:pPr>
              <w:pStyle w:val="TableParagraph"/>
              <w:rPr>
                <w:rFonts w:ascii="Arial" w:hAnsi="Arial" w:cs="Arial"/>
                <w:i/>
                <w:sz w:val="21"/>
              </w:rPr>
            </w:pPr>
            <w:r w:rsidRPr="00CF0F96">
              <w:rPr>
                <w:rFonts w:ascii="Arial" w:hAnsi="Arial" w:cs="Arial"/>
                <w:i/>
                <w:sz w:val="21"/>
              </w:rPr>
              <w:t>Rhinoclemmys funérea</w:t>
            </w:r>
          </w:p>
        </w:tc>
        <w:tc>
          <w:tcPr>
            <w:tcW w:w="1372" w:type="dxa"/>
            <w:tcBorders>
              <w:left w:val="dashed" w:sz="8" w:space="0" w:color="4AACC5"/>
              <w:right w:val="dashed" w:sz="8" w:space="0" w:color="4AACC5"/>
            </w:tcBorders>
            <w:shd w:val="clear" w:color="auto" w:fill="D2EAF0"/>
          </w:tcPr>
          <w:p w14:paraId="0FD67CD1"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777CF7CC" w14:textId="77777777" w:rsidTr="00C81834">
        <w:trPr>
          <w:trHeight w:val="369"/>
        </w:trPr>
        <w:tc>
          <w:tcPr>
            <w:tcW w:w="1804" w:type="dxa"/>
            <w:tcBorders>
              <w:left w:val="dashed" w:sz="8" w:space="0" w:color="4AACC5"/>
              <w:right w:val="dashed" w:sz="8" w:space="0" w:color="4AACC5"/>
            </w:tcBorders>
          </w:tcPr>
          <w:p w14:paraId="51C83733" w14:textId="77777777" w:rsidR="00C81834" w:rsidRPr="00CF0F96" w:rsidRDefault="00C81834" w:rsidP="00C81834">
            <w:pPr>
              <w:pStyle w:val="TableParagraph"/>
              <w:rPr>
                <w:rFonts w:ascii="Arial" w:hAnsi="Arial" w:cs="Arial"/>
                <w:bCs/>
                <w:sz w:val="21"/>
              </w:rPr>
            </w:pPr>
            <w:r w:rsidRPr="00CF0F96">
              <w:rPr>
                <w:rFonts w:ascii="Arial" w:hAnsi="Arial" w:cs="Arial"/>
                <w:bCs/>
                <w:w w:val="95"/>
                <w:sz w:val="21"/>
              </w:rPr>
              <w:t>Reptilia</w:t>
            </w:r>
          </w:p>
        </w:tc>
        <w:tc>
          <w:tcPr>
            <w:tcW w:w="1879" w:type="dxa"/>
            <w:tcBorders>
              <w:left w:val="dashed" w:sz="8" w:space="0" w:color="4AACC5"/>
              <w:right w:val="dashed" w:sz="8" w:space="0" w:color="4AACC5"/>
            </w:tcBorders>
          </w:tcPr>
          <w:p w14:paraId="08FA7865"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Kinosternidae</w:t>
            </w:r>
          </w:p>
        </w:tc>
        <w:tc>
          <w:tcPr>
            <w:tcW w:w="3204" w:type="dxa"/>
            <w:tcBorders>
              <w:left w:val="dashed" w:sz="8" w:space="0" w:color="4AACC5"/>
              <w:right w:val="dashed" w:sz="8" w:space="0" w:color="4AACC5"/>
            </w:tcBorders>
          </w:tcPr>
          <w:p w14:paraId="0BE97E81" w14:textId="77777777" w:rsidR="00C81834" w:rsidRPr="00CF0F96" w:rsidRDefault="00C81834" w:rsidP="00C81834">
            <w:pPr>
              <w:pStyle w:val="TableParagraph"/>
              <w:rPr>
                <w:rFonts w:ascii="Arial" w:hAnsi="Arial" w:cs="Arial"/>
                <w:i/>
                <w:sz w:val="21"/>
              </w:rPr>
            </w:pPr>
            <w:r w:rsidRPr="00CF0F96">
              <w:rPr>
                <w:rFonts w:ascii="Arial" w:hAnsi="Arial" w:cs="Arial"/>
                <w:i/>
                <w:sz w:val="21"/>
              </w:rPr>
              <w:t>Staurotypus triporcatus</w:t>
            </w:r>
          </w:p>
        </w:tc>
        <w:tc>
          <w:tcPr>
            <w:tcW w:w="1372" w:type="dxa"/>
            <w:tcBorders>
              <w:left w:val="dashed" w:sz="8" w:space="0" w:color="4AACC5"/>
              <w:right w:val="dashed" w:sz="8" w:space="0" w:color="4AACC5"/>
            </w:tcBorders>
          </w:tcPr>
          <w:p w14:paraId="17A6DD1A"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47875D93" w14:textId="77777777" w:rsidTr="00C81834">
        <w:trPr>
          <w:trHeight w:val="369"/>
        </w:trPr>
        <w:tc>
          <w:tcPr>
            <w:tcW w:w="1804" w:type="dxa"/>
            <w:tcBorders>
              <w:left w:val="dashed" w:sz="8" w:space="0" w:color="4AACC5"/>
              <w:right w:val="dashed" w:sz="8" w:space="0" w:color="4AACC5"/>
            </w:tcBorders>
            <w:shd w:val="clear" w:color="auto" w:fill="D2EAF0"/>
          </w:tcPr>
          <w:p w14:paraId="103B46A5"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Aves</w:t>
            </w:r>
          </w:p>
        </w:tc>
        <w:tc>
          <w:tcPr>
            <w:tcW w:w="1879" w:type="dxa"/>
            <w:tcBorders>
              <w:left w:val="dashed" w:sz="8" w:space="0" w:color="4AACC5"/>
              <w:right w:val="dashed" w:sz="8" w:space="0" w:color="4AACC5"/>
            </w:tcBorders>
            <w:shd w:val="clear" w:color="auto" w:fill="D2EAF0"/>
          </w:tcPr>
          <w:p w14:paraId="4D11F365"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Ardeidae</w:t>
            </w:r>
          </w:p>
        </w:tc>
        <w:tc>
          <w:tcPr>
            <w:tcW w:w="3204" w:type="dxa"/>
            <w:tcBorders>
              <w:left w:val="dashed" w:sz="8" w:space="0" w:color="4AACC5"/>
              <w:right w:val="dashed" w:sz="8" w:space="0" w:color="4AACC5"/>
            </w:tcBorders>
            <w:shd w:val="clear" w:color="auto" w:fill="D2EAF0"/>
          </w:tcPr>
          <w:p w14:paraId="44B34029" w14:textId="77777777" w:rsidR="00C81834" w:rsidRPr="00CF0F96" w:rsidRDefault="00C81834" w:rsidP="00C81834">
            <w:pPr>
              <w:pStyle w:val="TableParagraph"/>
              <w:rPr>
                <w:rFonts w:ascii="Arial" w:hAnsi="Arial" w:cs="Arial"/>
                <w:i/>
                <w:sz w:val="21"/>
              </w:rPr>
            </w:pPr>
            <w:r w:rsidRPr="00CF0F96">
              <w:rPr>
                <w:rFonts w:ascii="Arial" w:hAnsi="Arial" w:cs="Arial"/>
                <w:i/>
                <w:sz w:val="21"/>
              </w:rPr>
              <w:t>Agamia agami</w:t>
            </w:r>
          </w:p>
        </w:tc>
        <w:tc>
          <w:tcPr>
            <w:tcW w:w="1372" w:type="dxa"/>
            <w:tcBorders>
              <w:left w:val="dashed" w:sz="8" w:space="0" w:color="4AACC5"/>
              <w:right w:val="dashed" w:sz="8" w:space="0" w:color="4AACC5"/>
            </w:tcBorders>
            <w:shd w:val="clear" w:color="auto" w:fill="D2EAF0"/>
          </w:tcPr>
          <w:p w14:paraId="2BB12FE6"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28BA4A06" w14:textId="77777777" w:rsidTr="00C81834">
        <w:trPr>
          <w:trHeight w:val="369"/>
        </w:trPr>
        <w:tc>
          <w:tcPr>
            <w:tcW w:w="1804" w:type="dxa"/>
            <w:tcBorders>
              <w:left w:val="dashed" w:sz="8" w:space="0" w:color="4AACC5"/>
              <w:right w:val="dashed" w:sz="8" w:space="0" w:color="4AACC5"/>
            </w:tcBorders>
          </w:tcPr>
          <w:p w14:paraId="2F1DB422"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Aves</w:t>
            </w:r>
          </w:p>
        </w:tc>
        <w:tc>
          <w:tcPr>
            <w:tcW w:w="1879" w:type="dxa"/>
            <w:tcBorders>
              <w:left w:val="dashed" w:sz="8" w:space="0" w:color="4AACC5"/>
              <w:right w:val="dashed" w:sz="8" w:space="0" w:color="4AACC5"/>
            </w:tcBorders>
          </w:tcPr>
          <w:p w14:paraId="21944D20"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Ardeidae</w:t>
            </w:r>
          </w:p>
        </w:tc>
        <w:tc>
          <w:tcPr>
            <w:tcW w:w="3204" w:type="dxa"/>
            <w:tcBorders>
              <w:left w:val="dashed" w:sz="8" w:space="0" w:color="4AACC5"/>
              <w:right w:val="dashed" w:sz="8" w:space="0" w:color="4AACC5"/>
            </w:tcBorders>
          </w:tcPr>
          <w:p w14:paraId="515F971F" w14:textId="77777777" w:rsidR="00C81834" w:rsidRPr="00CF0F96" w:rsidRDefault="00C81834" w:rsidP="00C81834">
            <w:pPr>
              <w:pStyle w:val="TableParagraph"/>
              <w:rPr>
                <w:rFonts w:ascii="Arial" w:hAnsi="Arial" w:cs="Arial"/>
                <w:i/>
                <w:sz w:val="21"/>
              </w:rPr>
            </w:pPr>
            <w:r w:rsidRPr="00CF0F96">
              <w:rPr>
                <w:rFonts w:ascii="Arial" w:hAnsi="Arial" w:cs="Arial"/>
                <w:i/>
                <w:sz w:val="21"/>
              </w:rPr>
              <w:t>Egretta rufescens</w:t>
            </w:r>
          </w:p>
        </w:tc>
        <w:tc>
          <w:tcPr>
            <w:tcW w:w="1372" w:type="dxa"/>
            <w:tcBorders>
              <w:left w:val="dashed" w:sz="8" w:space="0" w:color="4AACC5"/>
              <w:right w:val="dashed" w:sz="8" w:space="0" w:color="4AACC5"/>
            </w:tcBorders>
          </w:tcPr>
          <w:p w14:paraId="5B355993"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172EB3B5" w14:textId="77777777" w:rsidTr="00C81834">
        <w:trPr>
          <w:trHeight w:val="369"/>
        </w:trPr>
        <w:tc>
          <w:tcPr>
            <w:tcW w:w="1804" w:type="dxa"/>
            <w:tcBorders>
              <w:left w:val="dashed" w:sz="8" w:space="0" w:color="4AACC5"/>
              <w:right w:val="dashed" w:sz="8" w:space="0" w:color="4AACC5"/>
            </w:tcBorders>
            <w:shd w:val="clear" w:color="auto" w:fill="D2EAF0"/>
          </w:tcPr>
          <w:p w14:paraId="0DB6980F"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Aves</w:t>
            </w:r>
          </w:p>
        </w:tc>
        <w:tc>
          <w:tcPr>
            <w:tcW w:w="1879" w:type="dxa"/>
            <w:tcBorders>
              <w:left w:val="dashed" w:sz="8" w:space="0" w:color="4AACC5"/>
              <w:right w:val="dashed" w:sz="8" w:space="0" w:color="4AACC5"/>
            </w:tcBorders>
            <w:shd w:val="clear" w:color="auto" w:fill="D2EAF0"/>
          </w:tcPr>
          <w:p w14:paraId="30F41CB1"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Charadriidae</w:t>
            </w:r>
          </w:p>
        </w:tc>
        <w:tc>
          <w:tcPr>
            <w:tcW w:w="3204" w:type="dxa"/>
            <w:tcBorders>
              <w:left w:val="dashed" w:sz="8" w:space="0" w:color="4AACC5"/>
              <w:right w:val="dashed" w:sz="8" w:space="0" w:color="4AACC5"/>
            </w:tcBorders>
            <w:shd w:val="clear" w:color="auto" w:fill="D2EAF0"/>
          </w:tcPr>
          <w:p w14:paraId="1FFD7058" w14:textId="77777777" w:rsidR="00C81834" w:rsidRPr="00CF0F96" w:rsidRDefault="00C81834" w:rsidP="00C81834">
            <w:pPr>
              <w:pStyle w:val="TableParagraph"/>
              <w:rPr>
                <w:rFonts w:ascii="Arial" w:hAnsi="Arial" w:cs="Arial"/>
                <w:i/>
                <w:sz w:val="21"/>
              </w:rPr>
            </w:pPr>
            <w:r w:rsidRPr="00CF0F96">
              <w:rPr>
                <w:rFonts w:ascii="Arial" w:hAnsi="Arial" w:cs="Arial"/>
                <w:i/>
                <w:sz w:val="21"/>
              </w:rPr>
              <w:t>Charadrius nivosus</w:t>
            </w:r>
          </w:p>
        </w:tc>
        <w:tc>
          <w:tcPr>
            <w:tcW w:w="1372" w:type="dxa"/>
            <w:tcBorders>
              <w:left w:val="dashed" w:sz="8" w:space="0" w:color="4AACC5"/>
              <w:right w:val="dashed" w:sz="8" w:space="0" w:color="4AACC5"/>
            </w:tcBorders>
            <w:shd w:val="clear" w:color="auto" w:fill="D2EAF0"/>
          </w:tcPr>
          <w:p w14:paraId="58CBA2BB"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46442DE3" w14:textId="77777777" w:rsidTr="00C81834">
        <w:trPr>
          <w:trHeight w:val="369"/>
        </w:trPr>
        <w:tc>
          <w:tcPr>
            <w:tcW w:w="1804" w:type="dxa"/>
            <w:tcBorders>
              <w:left w:val="dashed" w:sz="8" w:space="0" w:color="4AACC5"/>
              <w:right w:val="dashed" w:sz="8" w:space="0" w:color="4AACC5"/>
            </w:tcBorders>
          </w:tcPr>
          <w:p w14:paraId="75B0DD13"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Aves</w:t>
            </w:r>
          </w:p>
        </w:tc>
        <w:tc>
          <w:tcPr>
            <w:tcW w:w="1879" w:type="dxa"/>
            <w:tcBorders>
              <w:left w:val="dashed" w:sz="8" w:space="0" w:color="4AACC5"/>
              <w:right w:val="dashed" w:sz="8" w:space="0" w:color="4AACC5"/>
            </w:tcBorders>
          </w:tcPr>
          <w:p w14:paraId="1D1E1632"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Scolopacidae</w:t>
            </w:r>
          </w:p>
        </w:tc>
        <w:tc>
          <w:tcPr>
            <w:tcW w:w="3204" w:type="dxa"/>
            <w:tcBorders>
              <w:left w:val="dashed" w:sz="8" w:space="0" w:color="4AACC5"/>
              <w:right w:val="dashed" w:sz="8" w:space="0" w:color="4AACC5"/>
            </w:tcBorders>
          </w:tcPr>
          <w:p w14:paraId="26462C0C" w14:textId="77777777" w:rsidR="00C81834" w:rsidRPr="00CF0F96" w:rsidRDefault="00C81834" w:rsidP="00C81834">
            <w:pPr>
              <w:pStyle w:val="TableParagraph"/>
              <w:rPr>
                <w:rFonts w:ascii="Arial" w:hAnsi="Arial" w:cs="Arial"/>
                <w:i/>
                <w:sz w:val="21"/>
              </w:rPr>
            </w:pPr>
            <w:r w:rsidRPr="00CF0F96">
              <w:rPr>
                <w:rFonts w:ascii="Arial" w:hAnsi="Arial" w:cs="Arial"/>
                <w:i/>
                <w:sz w:val="21"/>
              </w:rPr>
              <w:t>Calidris canutus</w:t>
            </w:r>
          </w:p>
        </w:tc>
        <w:tc>
          <w:tcPr>
            <w:tcW w:w="1372" w:type="dxa"/>
            <w:tcBorders>
              <w:left w:val="dashed" w:sz="8" w:space="0" w:color="4AACC5"/>
              <w:right w:val="dashed" w:sz="8" w:space="0" w:color="4AACC5"/>
            </w:tcBorders>
          </w:tcPr>
          <w:p w14:paraId="6D147E75"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30161CEC" w14:textId="77777777" w:rsidTr="00C81834">
        <w:trPr>
          <w:trHeight w:val="369"/>
        </w:trPr>
        <w:tc>
          <w:tcPr>
            <w:tcW w:w="1804" w:type="dxa"/>
            <w:tcBorders>
              <w:left w:val="dashed" w:sz="8" w:space="0" w:color="4AACC5"/>
              <w:right w:val="dashed" w:sz="8" w:space="0" w:color="4AACC5"/>
            </w:tcBorders>
            <w:shd w:val="clear" w:color="auto" w:fill="D2EAF0"/>
          </w:tcPr>
          <w:p w14:paraId="40A14025"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Aves</w:t>
            </w:r>
          </w:p>
        </w:tc>
        <w:tc>
          <w:tcPr>
            <w:tcW w:w="1879" w:type="dxa"/>
            <w:tcBorders>
              <w:left w:val="dashed" w:sz="8" w:space="0" w:color="4AACC5"/>
              <w:right w:val="dashed" w:sz="8" w:space="0" w:color="4AACC5"/>
            </w:tcBorders>
            <w:shd w:val="clear" w:color="auto" w:fill="D2EAF0"/>
          </w:tcPr>
          <w:p w14:paraId="0526ADC0"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Scolopacidae</w:t>
            </w:r>
          </w:p>
        </w:tc>
        <w:tc>
          <w:tcPr>
            <w:tcW w:w="3204" w:type="dxa"/>
            <w:tcBorders>
              <w:left w:val="dashed" w:sz="8" w:space="0" w:color="4AACC5"/>
              <w:right w:val="dashed" w:sz="8" w:space="0" w:color="4AACC5"/>
            </w:tcBorders>
            <w:shd w:val="clear" w:color="auto" w:fill="D2EAF0"/>
          </w:tcPr>
          <w:p w14:paraId="37E45E37" w14:textId="77777777" w:rsidR="00C81834" w:rsidRPr="00CF0F96" w:rsidRDefault="00C81834" w:rsidP="00C81834">
            <w:pPr>
              <w:pStyle w:val="TableParagraph"/>
              <w:rPr>
                <w:rFonts w:ascii="Arial" w:hAnsi="Arial" w:cs="Arial"/>
                <w:i/>
                <w:sz w:val="21"/>
              </w:rPr>
            </w:pPr>
            <w:r w:rsidRPr="00CF0F96">
              <w:rPr>
                <w:rFonts w:ascii="Arial" w:hAnsi="Arial" w:cs="Arial"/>
                <w:i/>
                <w:sz w:val="21"/>
              </w:rPr>
              <w:t>Calidris pusilla</w:t>
            </w:r>
          </w:p>
        </w:tc>
        <w:tc>
          <w:tcPr>
            <w:tcW w:w="1372" w:type="dxa"/>
            <w:tcBorders>
              <w:left w:val="dashed" w:sz="8" w:space="0" w:color="4AACC5"/>
              <w:right w:val="dashed" w:sz="8" w:space="0" w:color="4AACC5"/>
            </w:tcBorders>
            <w:shd w:val="clear" w:color="auto" w:fill="D2EAF0"/>
          </w:tcPr>
          <w:p w14:paraId="4EFF380D"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35D6E5DC" w14:textId="77777777" w:rsidTr="00C81834">
        <w:trPr>
          <w:trHeight w:val="369"/>
        </w:trPr>
        <w:tc>
          <w:tcPr>
            <w:tcW w:w="1804" w:type="dxa"/>
            <w:tcBorders>
              <w:left w:val="dashed" w:sz="8" w:space="0" w:color="4AACC5"/>
              <w:right w:val="dashed" w:sz="8" w:space="0" w:color="4AACC5"/>
            </w:tcBorders>
          </w:tcPr>
          <w:p w14:paraId="5B60472D"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Aves</w:t>
            </w:r>
          </w:p>
        </w:tc>
        <w:tc>
          <w:tcPr>
            <w:tcW w:w="1879" w:type="dxa"/>
            <w:tcBorders>
              <w:left w:val="dashed" w:sz="8" w:space="0" w:color="4AACC5"/>
              <w:right w:val="dashed" w:sz="8" w:space="0" w:color="4AACC5"/>
            </w:tcBorders>
          </w:tcPr>
          <w:p w14:paraId="17976117"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Scolopacidae</w:t>
            </w:r>
          </w:p>
        </w:tc>
        <w:tc>
          <w:tcPr>
            <w:tcW w:w="3204" w:type="dxa"/>
            <w:tcBorders>
              <w:left w:val="dashed" w:sz="8" w:space="0" w:color="4AACC5"/>
              <w:right w:val="dashed" w:sz="8" w:space="0" w:color="4AACC5"/>
            </w:tcBorders>
          </w:tcPr>
          <w:p w14:paraId="25747DBB" w14:textId="77777777" w:rsidR="00C81834" w:rsidRPr="00CF0F96" w:rsidRDefault="00C81834" w:rsidP="00C81834">
            <w:pPr>
              <w:pStyle w:val="TableParagraph"/>
              <w:spacing w:before="53"/>
              <w:rPr>
                <w:rFonts w:ascii="Arial" w:hAnsi="Arial" w:cs="Arial"/>
                <w:i/>
                <w:sz w:val="21"/>
              </w:rPr>
            </w:pPr>
            <w:r w:rsidRPr="00CF0F96">
              <w:rPr>
                <w:rFonts w:ascii="Arial" w:hAnsi="Arial" w:cs="Arial"/>
                <w:i/>
                <w:sz w:val="21"/>
              </w:rPr>
              <w:t>Calidris subruficollis</w:t>
            </w:r>
          </w:p>
        </w:tc>
        <w:tc>
          <w:tcPr>
            <w:tcW w:w="1372" w:type="dxa"/>
            <w:tcBorders>
              <w:left w:val="dashed" w:sz="8" w:space="0" w:color="4AACC5"/>
              <w:right w:val="dashed" w:sz="8" w:space="0" w:color="4AACC5"/>
            </w:tcBorders>
          </w:tcPr>
          <w:p w14:paraId="010848A0"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1A13724C" w14:textId="77777777" w:rsidTr="00C81834">
        <w:trPr>
          <w:trHeight w:val="369"/>
        </w:trPr>
        <w:tc>
          <w:tcPr>
            <w:tcW w:w="1804" w:type="dxa"/>
            <w:tcBorders>
              <w:left w:val="dashed" w:sz="8" w:space="0" w:color="4AACC5"/>
              <w:right w:val="dashed" w:sz="8" w:space="0" w:color="4AACC5"/>
            </w:tcBorders>
            <w:shd w:val="clear" w:color="auto" w:fill="D2EAF0"/>
          </w:tcPr>
          <w:p w14:paraId="103D0A8F"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Aves</w:t>
            </w:r>
          </w:p>
        </w:tc>
        <w:tc>
          <w:tcPr>
            <w:tcW w:w="1879" w:type="dxa"/>
            <w:tcBorders>
              <w:left w:val="dashed" w:sz="8" w:space="0" w:color="4AACC5"/>
              <w:right w:val="dashed" w:sz="8" w:space="0" w:color="4AACC5"/>
            </w:tcBorders>
            <w:shd w:val="clear" w:color="auto" w:fill="D2EAF0"/>
          </w:tcPr>
          <w:p w14:paraId="10CAC287"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Hydrobatidae</w:t>
            </w:r>
          </w:p>
        </w:tc>
        <w:tc>
          <w:tcPr>
            <w:tcW w:w="3204" w:type="dxa"/>
            <w:tcBorders>
              <w:left w:val="dashed" w:sz="8" w:space="0" w:color="4AACC5"/>
              <w:right w:val="dashed" w:sz="8" w:space="0" w:color="4AACC5"/>
            </w:tcBorders>
            <w:shd w:val="clear" w:color="auto" w:fill="D2EAF0"/>
          </w:tcPr>
          <w:p w14:paraId="4D957FD2" w14:textId="77777777" w:rsidR="00C81834" w:rsidRPr="00CF0F96" w:rsidRDefault="00C81834" w:rsidP="00C81834">
            <w:pPr>
              <w:pStyle w:val="TableParagraph"/>
              <w:rPr>
                <w:rFonts w:ascii="Arial" w:hAnsi="Arial" w:cs="Arial"/>
                <w:i/>
                <w:sz w:val="21"/>
              </w:rPr>
            </w:pPr>
            <w:r w:rsidRPr="00CF0F96">
              <w:rPr>
                <w:rFonts w:ascii="Arial" w:hAnsi="Arial" w:cs="Arial"/>
                <w:i/>
                <w:sz w:val="21"/>
              </w:rPr>
              <w:t>Hydrobates leucorhous</w:t>
            </w:r>
          </w:p>
        </w:tc>
        <w:tc>
          <w:tcPr>
            <w:tcW w:w="1372" w:type="dxa"/>
            <w:tcBorders>
              <w:left w:val="dashed" w:sz="8" w:space="0" w:color="4AACC5"/>
              <w:right w:val="dashed" w:sz="8" w:space="0" w:color="4AACC5"/>
            </w:tcBorders>
            <w:shd w:val="clear" w:color="auto" w:fill="D2EAF0"/>
          </w:tcPr>
          <w:p w14:paraId="7B557FC4"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6E8D920D" w14:textId="77777777" w:rsidTr="00C81834">
        <w:trPr>
          <w:trHeight w:val="369"/>
        </w:trPr>
        <w:tc>
          <w:tcPr>
            <w:tcW w:w="1804" w:type="dxa"/>
            <w:tcBorders>
              <w:left w:val="dashed" w:sz="8" w:space="0" w:color="4AACC5"/>
              <w:right w:val="dashed" w:sz="8" w:space="0" w:color="4AACC5"/>
            </w:tcBorders>
          </w:tcPr>
          <w:p w14:paraId="77149D41"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Aves</w:t>
            </w:r>
          </w:p>
        </w:tc>
        <w:tc>
          <w:tcPr>
            <w:tcW w:w="1879" w:type="dxa"/>
            <w:tcBorders>
              <w:left w:val="dashed" w:sz="8" w:space="0" w:color="4AACC5"/>
              <w:right w:val="dashed" w:sz="8" w:space="0" w:color="4AACC5"/>
            </w:tcBorders>
          </w:tcPr>
          <w:p w14:paraId="6CE1CA09"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Cracidae</w:t>
            </w:r>
          </w:p>
        </w:tc>
        <w:tc>
          <w:tcPr>
            <w:tcW w:w="3204" w:type="dxa"/>
            <w:tcBorders>
              <w:left w:val="dashed" w:sz="8" w:space="0" w:color="4AACC5"/>
              <w:right w:val="dashed" w:sz="8" w:space="0" w:color="4AACC5"/>
            </w:tcBorders>
          </w:tcPr>
          <w:p w14:paraId="2D10AC30" w14:textId="77777777" w:rsidR="00C81834" w:rsidRPr="00CF0F96" w:rsidRDefault="00C81834" w:rsidP="00C81834">
            <w:pPr>
              <w:pStyle w:val="TableParagraph"/>
              <w:rPr>
                <w:rFonts w:ascii="Arial" w:hAnsi="Arial" w:cs="Arial"/>
                <w:i/>
                <w:sz w:val="21"/>
              </w:rPr>
            </w:pPr>
            <w:r w:rsidRPr="00CF0F96">
              <w:rPr>
                <w:rFonts w:ascii="Arial" w:hAnsi="Arial" w:cs="Arial"/>
                <w:i/>
                <w:w w:val="95"/>
                <w:sz w:val="21"/>
              </w:rPr>
              <w:t>Crax rubra</w:t>
            </w:r>
          </w:p>
        </w:tc>
        <w:tc>
          <w:tcPr>
            <w:tcW w:w="1372" w:type="dxa"/>
            <w:tcBorders>
              <w:left w:val="dashed" w:sz="8" w:space="0" w:color="4AACC5"/>
              <w:right w:val="dashed" w:sz="8" w:space="0" w:color="4AACC5"/>
            </w:tcBorders>
          </w:tcPr>
          <w:p w14:paraId="73AA7D15"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0ECED81E" w14:textId="77777777" w:rsidTr="00C81834">
        <w:trPr>
          <w:trHeight w:val="369"/>
        </w:trPr>
        <w:tc>
          <w:tcPr>
            <w:tcW w:w="1804" w:type="dxa"/>
            <w:tcBorders>
              <w:left w:val="dashed" w:sz="8" w:space="0" w:color="4AACC5"/>
              <w:right w:val="dashed" w:sz="8" w:space="0" w:color="4AACC5"/>
            </w:tcBorders>
            <w:shd w:val="clear" w:color="auto" w:fill="D2EAF0"/>
          </w:tcPr>
          <w:p w14:paraId="4828EDA4"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Aves</w:t>
            </w:r>
          </w:p>
        </w:tc>
        <w:tc>
          <w:tcPr>
            <w:tcW w:w="1879" w:type="dxa"/>
            <w:tcBorders>
              <w:left w:val="dashed" w:sz="8" w:space="0" w:color="4AACC5"/>
              <w:right w:val="dashed" w:sz="8" w:space="0" w:color="4AACC5"/>
            </w:tcBorders>
            <w:shd w:val="clear" w:color="auto" w:fill="D2EAF0"/>
          </w:tcPr>
          <w:p w14:paraId="65317C3A"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Cracidae</w:t>
            </w:r>
          </w:p>
        </w:tc>
        <w:tc>
          <w:tcPr>
            <w:tcW w:w="3204" w:type="dxa"/>
            <w:tcBorders>
              <w:left w:val="dashed" w:sz="8" w:space="0" w:color="4AACC5"/>
              <w:right w:val="dashed" w:sz="8" w:space="0" w:color="4AACC5"/>
            </w:tcBorders>
            <w:shd w:val="clear" w:color="auto" w:fill="D2EAF0"/>
          </w:tcPr>
          <w:p w14:paraId="36779A22" w14:textId="77777777" w:rsidR="00C81834" w:rsidRPr="00CF0F96" w:rsidRDefault="00C81834" w:rsidP="00C81834">
            <w:pPr>
              <w:pStyle w:val="TableParagraph"/>
              <w:rPr>
                <w:rFonts w:ascii="Arial" w:hAnsi="Arial" w:cs="Arial"/>
                <w:i/>
                <w:sz w:val="21"/>
              </w:rPr>
            </w:pPr>
            <w:r w:rsidRPr="00CF0F96">
              <w:rPr>
                <w:rFonts w:ascii="Arial" w:hAnsi="Arial" w:cs="Arial"/>
                <w:i/>
                <w:sz w:val="21"/>
              </w:rPr>
              <w:t>Penelopina nigra</w:t>
            </w:r>
          </w:p>
        </w:tc>
        <w:tc>
          <w:tcPr>
            <w:tcW w:w="1372" w:type="dxa"/>
            <w:tcBorders>
              <w:left w:val="dashed" w:sz="8" w:space="0" w:color="4AACC5"/>
              <w:right w:val="dashed" w:sz="8" w:space="0" w:color="4AACC5"/>
            </w:tcBorders>
            <w:shd w:val="clear" w:color="auto" w:fill="D2EAF0"/>
          </w:tcPr>
          <w:p w14:paraId="2560D4C2"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1A766116" w14:textId="77777777" w:rsidTr="00C81834">
        <w:trPr>
          <w:trHeight w:val="369"/>
        </w:trPr>
        <w:tc>
          <w:tcPr>
            <w:tcW w:w="1804" w:type="dxa"/>
            <w:tcBorders>
              <w:left w:val="dashed" w:sz="8" w:space="0" w:color="4AACC5"/>
              <w:right w:val="dashed" w:sz="8" w:space="0" w:color="4AACC5"/>
            </w:tcBorders>
          </w:tcPr>
          <w:p w14:paraId="3045AEDF"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Aves</w:t>
            </w:r>
          </w:p>
        </w:tc>
        <w:tc>
          <w:tcPr>
            <w:tcW w:w="1879" w:type="dxa"/>
            <w:tcBorders>
              <w:left w:val="dashed" w:sz="8" w:space="0" w:color="4AACC5"/>
              <w:right w:val="dashed" w:sz="8" w:space="0" w:color="4AACC5"/>
            </w:tcBorders>
          </w:tcPr>
          <w:p w14:paraId="7C526EC9"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Tinamidae</w:t>
            </w:r>
          </w:p>
        </w:tc>
        <w:tc>
          <w:tcPr>
            <w:tcW w:w="3204" w:type="dxa"/>
            <w:tcBorders>
              <w:left w:val="dashed" w:sz="8" w:space="0" w:color="4AACC5"/>
              <w:right w:val="dashed" w:sz="8" w:space="0" w:color="4AACC5"/>
            </w:tcBorders>
          </w:tcPr>
          <w:p w14:paraId="017103B1" w14:textId="77777777" w:rsidR="00C81834" w:rsidRPr="00CF0F96" w:rsidRDefault="00C81834" w:rsidP="00C81834">
            <w:pPr>
              <w:pStyle w:val="TableParagraph"/>
              <w:rPr>
                <w:rFonts w:ascii="Arial" w:hAnsi="Arial" w:cs="Arial"/>
                <w:i/>
                <w:sz w:val="21"/>
              </w:rPr>
            </w:pPr>
            <w:r w:rsidRPr="00CF0F96">
              <w:rPr>
                <w:rFonts w:ascii="Arial" w:hAnsi="Arial" w:cs="Arial"/>
                <w:i/>
                <w:sz w:val="21"/>
              </w:rPr>
              <w:t>Tinamus major</w:t>
            </w:r>
          </w:p>
        </w:tc>
        <w:tc>
          <w:tcPr>
            <w:tcW w:w="1372" w:type="dxa"/>
            <w:tcBorders>
              <w:left w:val="dashed" w:sz="8" w:space="0" w:color="4AACC5"/>
              <w:right w:val="dashed" w:sz="8" w:space="0" w:color="4AACC5"/>
            </w:tcBorders>
          </w:tcPr>
          <w:p w14:paraId="67A75BB7"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7024E9AF" w14:textId="77777777" w:rsidTr="00C81834">
        <w:trPr>
          <w:trHeight w:val="369"/>
        </w:trPr>
        <w:tc>
          <w:tcPr>
            <w:tcW w:w="1804" w:type="dxa"/>
            <w:tcBorders>
              <w:left w:val="dashed" w:sz="8" w:space="0" w:color="4AACC5"/>
              <w:right w:val="dashed" w:sz="8" w:space="0" w:color="4AACC5"/>
            </w:tcBorders>
            <w:shd w:val="clear" w:color="auto" w:fill="D2EAF0"/>
          </w:tcPr>
          <w:p w14:paraId="4A77539F"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Aves</w:t>
            </w:r>
          </w:p>
        </w:tc>
        <w:tc>
          <w:tcPr>
            <w:tcW w:w="1879" w:type="dxa"/>
            <w:tcBorders>
              <w:left w:val="dashed" w:sz="8" w:space="0" w:color="4AACC5"/>
              <w:right w:val="dashed" w:sz="8" w:space="0" w:color="4AACC5"/>
            </w:tcBorders>
            <w:shd w:val="clear" w:color="auto" w:fill="D2EAF0"/>
          </w:tcPr>
          <w:p w14:paraId="5ECFD14D"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Odontophoridae</w:t>
            </w:r>
          </w:p>
        </w:tc>
        <w:tc>
          <w:tcPr>
            <w:tcW w:w="3204" w:type="dxa"/>
            <w:tcBorders>
              <w:left w:val="dashed" w:sz="8" w:space="0" w:color="4AACC5"/>
              <w:right w:val="dashed" w:sz="8" w:space="0" w:color="4AACC5"/>
            </w:tcBorders>
            <w:shd w:val="clear" w:color="auto" w:fill="D2EAF0"/>
          </w:tcPr>
          <w:p w14:paraId="659D6F4E" w14:textId="77777777" w:rsidR="00C81834" w:rsidRPr="00CF0F96" w:rsidRDefault="00C81834" w:rsidP="00C81834">
            <w:pPr>
              <w:pStyle w:val="TableParagraph"/>
              <w:rPr>
                <w:rFonts w:ascii="Arial" w:hAnsi="Arial" w:cs="Arial"/>
                <w:i/>
                <w:sz w:val="21"/>
              </w:rPr>
            </w:pPr>
            <w:r w:rsidRPr="00CF0F96">
              <w:rPr>
                <w:rFonts w:ascii="Arial" w:hAnsi="Arial" w:cs="Arial"/>
                <w:i/>
                <w:sz w:val="21"/>
              </w:rPr>
              <w:t>Cyrtonyx ocellatus</w:t>
            </w:r>
          </w:p>
        </w:tc>
        <w:tc>
          <w:tcPr>
            <w:tcW w:w="1372" w:type="dxa"/>
            <w:tcBorders>
              <w:left w:val="dashed" w:sz="8" w:space="0" w:color="4AACC5"/>
              <w:right w:val="dashed" w:sz="8" w:space="0" w:color="4AACC5"/>
            </w:tcBorders>
            <w:shd w:val="clear" w:color="auto" w:fill="D2EAF0"/>
          </w:tcPr>
          <w:p w14:paraId="63C3F899"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4D05FA1D" w14:textId="77777777" w:rsidTr="00C81834">
        <w:trPr>
          <w:trHeight w:val="369"/>
        </w:trPr>
        <w:tc>
          <w:tcPr>
            <w:tcW w:w="1804" w:type="dxa"/>
            <w:tcBorders>
              <w:left w:val="dashed" w:sz="8" w:space="0" w:color="4AACC5"/>
              <w:right w:val="dashed" w:sz="8" w:space="0" w:color="4AACC5"/>
            </w:tcBorders>
          </w:tcPr>
          <w:p w14:paraId="5325D230"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Aves</w:t>
            </w:r>
          </w:p>
        </w:tc>
        <w:tc>
          <w:tcPr>
            <w:tcW w:w="1879" w:type="dxa"/>
            <w:tcBorders>
              <w:left w:val="dashed" w:sz="8" w:space="0" w:color="4AACC5"/>
              <w:right w:val="dashed" w:sz="8" w:space="0" w:color="4AACC5"/>
            </w:tcBorders>
          </w:tcPr>
          <w:p w14:paraId="6CFD5FC4"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Rallidae</w:t>
            </w:r>
          </w:p>
        </w:tc>
        <w:tc>
          <w:tcPr>
            <w:tcW w:w="3204" w:type="dxa"/>
            <w:tcBorders>
              <w:left w:val="dashed" w:sz="8" w:space="0" w:color="4AACC5"/>
              <w:right w:val="dashed" w:sz="8" w:space="0" w:color="4AACC5"/>
            </w:tcBorders>
          </w:tcPr>
          <w:p w14:paraId="4F4FC45C" w14:textId="77777777" w:rsidR="00C81834" w:rsidRPr="00CF0F96" w:rsidRDefault="00C81834" w:rsidP="00C81834">
            <w:pPr>
              <w:pStyle w:val="TableParagraph"/>
              <w:rPr>
                <w:rFonts w:ascii="Arial" w:hAnsi="Arial" w:cs="Arial"/>
                <w:i/>
                <w:sz w:val="21"/>
              </w:rPr>
            </w:pPr>
            <w:r w:rsidRPr="00CF0F96">
              <w:rPr>
                <w:rFonts w:ascii="Arial" w:hAnsi="Arial" w:cs="Arial"/>
                <w:i/>
                <w:sz w:val="21"/>
              </w:rPr>
              <w:t>Laterallus jamaicensis</w:t>
            </w:r>
          </w:p>
        </w:tc>
        <w:tc>
          <w:tcPr>
            <w:tcW w:w="1372" w:type="dxa"/>
            <w:tcBorders>
              <w:left w:val="dashed" w:sz="8" w:space="0" w:color="4AACC5"/>
              <w:right w:val="dashed" w:sz="8" w:space="0" w:color="4AACC5"/>
            </w:tcBorders>
          </w:tcPr>
          <w:p w14:paraId="422CD576"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40F77A15" w14:textId="77777777" w:rsidTr="00C81834">
        <w:trPr>
          <w:trHeight w:val="369"/>
        </w:trPr>
        <w:tc>
          <w:tcPr>
            <w:tcW w:w="1804" w:type="dxa"/>
            <w:tcBorders>
              <w:left w:val="dashed" w:sz="8" w:space="0" w:color="4AACC5"/>
              <w:right w:val="dashed" w:sz="8" w:space="0" w:color="4AACC5"/>
            </w:tcBorders>
            <w:shd w:val="clear" w:color="auto" w:fill="D2EAF0"/>
          </w:tcPr>
          <w:p w14:paraId="79591A1A"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Aves</w:t>
            </w:r>
          </w:p>
        </w:tc>
        <w:tc>
          <w:tcPr>
            <w:tcW w:w="1879" w:type="dxa"/>
            <w:tcBorders>
              <w:left w:val="dashed" w:sz="8" w:space="0" w:color="4AACC5"/>
              <w:right w:val="dashed" w:sz="8" w:space="0" w:color="4AACC5"/>
            </w:tcBorders>
            <w:shd w:val="clear" w:color="auto" w:fill="D2EAF0"/>
          </w:tcPr>
          <w:p w14:paraId="6A4B430A"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Accipitridae</w:t>
            </w:r>
          </w:p>
        </w:tc>
        <w:tc>
          <w:tcPr>
            <w:tcW w:w="3204" w:type="dxa"/>
            <w:tcBorders>
              <w:left w:val="dashed" w:sz="8" w:space="0" w:color="4AACC5"/>
              <w:right w:val="dashed" w:sz="8" w:space="0" w:color="4AACC5"/>
            </w:tcBorders>
            <w:shd w:val="clear" w:color="auto" w:fill="D2EAF0"/>
          </w:tcPr>
          <w:p w14:paraId="6457D08A" w14:textId="77777777" w:rsidR="00C81834" w:rsidRPr="00CF0F96" w:rsidRDefault="00C81834" w:rsidP="00C81834">
            <w:pPr>
              <w:pStyle w:val="TableParagraph"/>
              <w:rPr>
                <w:rFonts w:ascii="Arial" w:hAnsi="Arial" w:cs="Arial"/>
                <w:i/>
                <w:sz w:val="21"/>
              </w:rPr>
            </w:pPr>
            <w:r w:rsidRPr="00CF0F96">
              <w:rPr>
                <w:rFonts w:ascii="Arial" w:hAnsi="Arial" w:cs="Arial"/>
                <w:i/>
                <w:sz w:val="21"/>
              </w:rPr>
              <w:t>Buteogallus solitarius</w:t>
            </w:r>
          </w:p>
        </w:tc>
        <w:tc>
          <w:tcPr>
            <w:tcW w:w="1372" w:type="dxa"/>
            <w:tcBorders>
              <w:left w:val="dashed" w:sz="8" w:space="0" w:color="4AACC5"/>
              <w:right w:val="dashed" w:sz="8" w:space="0" w:color="4AACC5"/>
            </w:tcBorders>
            <w:shd w:val="clear" w:color="auto" w:fill="D2EAF0"/>
          </w:tcPr>
          <w:p w14:paraId="17E82C48"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2E928350" w14:textId="77777777" w:rsidTr="00C81834">
        <w:trPr>
          <w:trHeight w:val="369"/>
        </w:trPr>
        <w:tc>
          <w:tcPr>
            <w:tcW w:w="1804" w:type="dxa"/>
            <w:tcBorders>
              <w:left w:val="dashed" w:sz="8" w:space="0" w:color="4AACC5"/>
              <w:right w:val="dashed" w:sz="8" w:space="0" w:color="4AACC5"/>
            </w:tcBorders>
          </w:tcPr>
          <w:p w14:paraId="71134CBF"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Aves</w:t>
            </w:r>
          </w:p>
        </w:tc>
        <w:tc>
          <w:tcPr>
            <w:tcW w:w="1879" w:type="dxa"/>
            <w:tcBorders>
              <w:left w:val="dashed" w:sz="8" w:space="0" w:color="4AACC5"/>
              <w:right w:val="dashed" w:sz="8" w:space="0" w:color="4AACC5"/>
            </w:tcBorders>
          </w:tcPr>
          <w:p w14:paraId="0C74226B"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Accipitridae</w:t>
            </w:r>
          </w:p>
        </w:tc>
        <w:tc>
          <w:tcPr>
            <w:tcW w:w="3204" w:type="dxa"/>
            <w:tcBorders>
              <w:left w:val="dashed" w:sz="8" w:space="0" w:color="4AACC5"/>
              <w:right w:val="dashed" w:sz="8" w:space="0" w:color="4AACC5"/>
            </w:tcBorders>
          </w:tcPr>
          <w:p w14:paraId="5E590D0E" w14:textId="77777777" w:rsidR="00C81834" w:rsidRPr="00CF0F96" w:rsidRDefault="00C81834" w:rsidP="00C81834">
            <w:pPr>
              <w:pStyle w:val="TableParagraph"/>
              <w:rPr>
                <w:rFonts w:ascii="Arial" w:hAnsi="Arial" w:cs="Arial"/>
                <w:i/>
                <w:sz w:val="21"/>
              </w:rPr>
            </w:pPr>
            <w:r w:rsidRPr="00CF0F96">
              <w:rPr>
                <w:rFonts w:ascii="Arial" w:hAnsi="Arial" w:cs="Arial"/>
                <w:i/>
                <w:sz w:val="21"/>
              </w:rPr>
              <w:t>Harpia harpyja</w:t>
            </w:r>
          </w:p>
        </w:tc>
        <w:tc>
          <w:tcPr>
            <w:tcW w:w="1372" w:type="dxa"/>
            <w:tcBorders>
              <w:left w:val="dashed" w:sz="8" w:space="0" w:color="4AACC5"/>
              <w:right w:val="dashed" w:sz="8" w:space="0" w:color="4AACC5"/>
            </w:tcBorders>
          </w:tcPr>
          <w:p w14:paraId="1956B60B"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270CB73E" w14:textId="77777777" w:rsidTr="00C81834">
        <w:trPr>
          <w:trHeight w:val="369"/>
        </w:trPr>
        <w:tc>
          <w:tcPr>
            <w:tcW w:w="1804" w:type="dxa"/>
            <w:tcBorders>
              <w:left w:val="dashed" w:sz="8" w:space="0" w:color="4AACC5"/>
              <w:right w:val="dashed" w:sz="8" w:space="0" w:color="4AACC5"/>
            </w:tcBorders>
            <w:shd w:val="clear" w:color="auto" w:fill="D2EAF0"/>
          </w:tcPr>
          <w:p w14:paraId="45C45A32"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Aves</w:t>
            </w:r>
          </w:p>
        </w:tc>
        <w:tc>
          <w:tcPr>
            <w:tcW w:w="1879" w:type="dxa"/>
            <w:tcBorders>
              <w:left w:val="dashed" w:sz="8" w:space="0" w:color="4AACC5"/>
              <w:right w:val="dashed" w:sz="8" w:space="0" w:color="4AACC5"/>
            </w:tcBorders>
            <w:shd w:val="clear" w:color="auto" w:fill="D2EAF0"/>
          </w:tcPr>
          <w:p w14:paraId="18C50A9B"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Accipitridae</w:t>
            </w:r>
          </w:p>
        </w:tc>
        <w:tc>
          <w:tcPr>
            <w:tcW w:w="3204" w:type="dxa"/>
            <w:tcBorders>
              <w:left w:val="dashed" w:sz="8" w:space="0" w:color="4AACC5"/>
              <w:right w:val="dashed" w:sz="8" w:space="0" w:color="4AACC5"/>
            </w:tcBorders>
            <w:shd w:val="clear" w:color="auto" w:fill="D2EAF0"/>
          </w:tcPr>
          <w:p w14:paraId="5A349900" w14:textId="77777777" w:rsidR="00C81834" w:rsidRPr="00CF0F96" w:rsidRDefault="00C81834" w:rsidP="00C81834">
            <w:pPr>
              <w:pStyle w:val="TableParagraph"/>
              <w:rPr>
                <w:rFonts w:ascii="Arial" w:hAnsi="Arial" w:cs="Arial"/>
                <w:i/>
                <w:sz w:val="21"/>
              </w:rPr>
            </w:pPr>
            <w:r w:rsidRPr="00CF0F96">
              <w:rPr>
                <w:rFonts w:ascii="Arial" w:hAnsi="Arial" w:cs="Arial"/>
                <w:i/>
                <w:sz w:val="21"/>
              </w:rPr>
              <w:t>Morphnus guianensis</w:t>
            </w:r>
          </w:p>
        </w:tc>
        <w:tc>
          <w:tcPr>
            <w:tcW w:w="1372" w:type="dxa"/>
            <w:tcBorders>
              <w:left w:val="dashed" w:sz="8" w:space="0" w:color="4AACC5"/>
              <w:right w:val="dashed" w:sz="8" w:space="0" w:color="4AACC5"/>
            </w:tcBorders>
            <w:shd w:val="clear" w:color="auto" w:fill="D2EAF0"/>
          </w:tcPr>
          <w:p w14:paraId="2EDE73C9"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1EA71570" w14:textId="77777777" w:rsidTr="00C81834">
        <w:trPr>
          <w:trHeight w:val="369"/>
        </w:trPr>
        <w:tc>
          <w:tcPr>
            <w:tcW w:w="1804" w:type="dxa"/>
            <w:tcBorders>
              <w:left w:val="dashed" w:sz="8" w:space="0" w:color="4AACC5"/>
              <w:right w:val="dashed" w:sz="8" w:space="0" w:color="4AACC5"/>
            </w:tcBorders>
          </w:tcPr>
          <w:p w14:paraId="2DDE9B78"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Aves</w:t>
            </w:r>
          </w:p>
        </w:tc>
        <w:tc>
          <w:tcPr>
            <w:tcW w:w="1879" w:type="dxa"/>
            <w:tcBorders>
              <w:left w:val="dashed" w:sz="8" w:space="0" w:color="4AACC5"/>
              <w:right w:val="dashed" w:sz="8" w:space="0" w:color="4AACC5"/>
            </w:tcBorders>
          </w:tcPr>
          <w:p w14:paraId="4FFF0B2E"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Accipitridae</w:t>
            </w:r>
          </w:p>
        </w:tc>
        <w:tc>
          <w:tcPr>
            <w:tcW w:w="3204" w:type="dxa"/>
            <w:tcBorders>
              <w:left w:val="dashed" w:sz="8" w:space="0" w:color="4AACC5"/>
              <w:right w:val="dashed" w:sz="8" w:space="0" w:color="4AACC5"/>
            </w:tcBorders>
          </w:tcPr>
          <w:p w14:paraId="065CD395" w14:textId="77777777" w:rsidR="00C81834" w:rsidRPr="00CF0F96" w:rsidRDefault="00C81834" w:rsidP="00C81834">
            <w:pPr>
              <w:pStyle w:val="TableParagraph"/>
              <w:rPr>
                <w:rFonts w:ascii="Arial" w:hAnsi="Arial" w:cs="Arial"/>
                <w:i/>
                <w:sz w:val="21"/>
              </w:rPr>
            </w:pPr>
            <w:r w:rsidRPr="00CF0F96">
              <w:rPr>
                <w:rFonts w:ascii="Arial" w:hAnsi="Arial" w:cs="Arial"/>
                <w:i/>
                <w:sz w:val="21"/>
              </w:rPr>
              <w:t>Spizaetus ornatus</w:t>
            </w:r>
          </w:p>
        </w:tc>
        <w:tc>
          <w:tcPr>
            <w:tcW w:w="1372" w:type="dxa"/>
            <w:tcBorders>
              <w:left w:val="dashed" w:sz="8" w:space="0" w:color="4AACC5"/>
              <w:right w:val="dashed" w:sz="8" w:space="0" w:color="4AACC5"/>
            </w:tcBorders>
          </w:tcPr>
          <w:p w14:paraId="322DB5E0"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0D8AD45E" w14:textId="77777777" w:rsidTr="00C81834">
        <w:trPr>
          <w:trHeight w:val="369"/>
        </w:trPr>
        <w:tc>
          <w:tcPr>
            <w:tcW w:w="1804" w:type="dxa"/>
            <w:tcBorders>
              <w:left w:val="dashed" w:sz="8" w:space="0" w:color="4AACC5"/>
              <w:right w:val="dashed" w:sz="8" w:space="0" w:color="4AACC5"/>
            </w:tcBorders>
            <w:shd w:val="clear" w:color="auto" w:fill="D2EAF0"/>
          </w:tcPr>
          <w:p w14:paraId="0AEE32F9"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Aves</w:t>
            </w:r>
          </w:p>
        </w:tc>
        <w:tc>
          <w:tcPr>
            <w:tcW w:w="1879" w:type="dxa"/>
            <w:tcBorders>
              <w:left w:val="dashed" w:sz="8" w:space="0" w:color="4AACC5"/>
              <w:right w:val="dashed" w:sz="8" w:space="0" w:color="4AACC5"/>
            </w:tcBorders>
            <w:shd w:val="clear" w:color="auto" w:fill="D2EAF0"/>
          </w:tcPr>
          <w:p w14:paraId="6F26204B"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Falconidae</w:t>
            </w:r>
          </w:p>
        </w:tc>
        <w:tc>
          <w:tcPr>
            <w:tcW w:w="3204" w:type="dxa"/>
            <w:tcBorders>
              <w:left w:val="dashed" w:sz="8" w:space="0" w:color="4AACC5"/>
              <w:right w:val="dashed" w:sz="8" w:space="0" w:color="4AACC5"/>
            </w:tcBorders>
            <w:shd w:val="clear" w:color="auto" w:fill="D2EAF0"/>
          </w:tcPr>
          <w:p w14:paraId="24B1D309" w14:textId="77777777" w:rsidR="00C81834" w:rsidRPr="00CF0F96" w:rsidRDefault="00C81834" w:rsidP="00C81834">
            <w:pPr>
              <w:pStyle w:val="TableParagraph"/>
              <w:rPr>
                <w:rFonts w:ascii="Arial" w:hAnsi="Arial" w:cs="Arial"/>
                <w:i/>
                <w:sz w:val="21"/>
              </w:rPr>
            </w:pPr>
            <w:r w:rsidRPr="00CF0F96">
              <w:rPr>
                <w:rFonts w:ascii="Arial" w:hAnsi="Arial" w:cs="Arial"/>
                <w:i/>
                <w:sz w:val="21"/>
              </w:rPr>
              <w:t>Falco deiroleucus</w:t>
            </w:r>
          </w:p>
        </w:tc>
        <w:tc>
          <w:tcPr>
            <w:tcW w:w="1372" w:type="dxa"/>
            <w:tcBorders>
              <w:left w:val="dashed" w:sz="8" w:space="0" w:color="4AACC5"/>
              <w:right w:val="dashed" w:sz="8" w:space="0" w:color="4AACC5"/>
            </w:tcBorders>
            <w:shd w:val="clear" w:color="auto" w:fill="D2EAF0"/>
          </w:tcPr>
          <w:p w14:paraId="54F9C86D"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22DAF088" w14:textId="77777777" w:rsidTr="00C81834">
        <w:trPr>
          <w:trHeight w:val="369"/>
        </w:trPr>
        <w:tc>
          <w:tcPr>
            <w:tcW w:w="1804" w:type="dxa"/>
            <w:tcBorders>
              <w:left w:val="dashed" w:sz="8" w:space="0" w:color="4AACC5"/>
              <w:right w:val="dashed" w:sz="8" w:space="0" w:color="4AACC5"/>
            </w:tcBorders>
          </w:tcPr>
          <w:p w14:paraId="2201DAAA"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Aves</w:t>
            </w:r>
          </w:p>
        </w:tc>
        <w:tc>
          <w:tcPr>
            <w:tcW w:w="1879" w:type="dxa"/>
            <w:tcBorders>
              <w:left w:val="dashed" w:sz="8" w:space="0" w:color="4AACC5"/>
              <w:right w:val="dashed" w:sz="8" w:space="0" w:color="4AACC5"/>
            </w:tcBorders>
          </w:tcPr>
          <w:p w14:paraId="3C2E6E4B"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Apodidae</w:t>
            </w:r>
          </w:p>
        </w:tc>
        <w:tc>
          <w:tcPr>
            <w:tcW w:w="3204" w:type="dxa"/>
            <w:tcBorders>
              <w:left w:val="dashed" w:sz="8" w:space="0" w:color="4AACC5"/>
              <w:right w:val="dashed" w:sz="8" w:space="0" w:color="4AACC5"/>
            </w:tcBorders>
          </w:tcPr>
          <w:p w14:paraId="5C4A1879" w14:textId="77777777" w:rsidR="00C81834" w:rsidRPr="00CF0F96" w:rsidRDefault="00C81834" w:rsidP="00C81834">
            <w:pPr>
              <w:pStyle w:val="TableParagraph"/>
              <w:rPr>
                <w:rFonts w:ascii="Arial" w:hAnsi="Arial" w:cs="Arial"/>
                <w:i/>
                <w:sz w:val="21"/>
              </w:rPr>
            </w:pPr>
            <w:r w:rsidRPr="00CF0F96">
              <w:rPr>
                <w:rFonts w:ascii="Arial" w:hAnsi="Arial" w:cs="Arial"/>
                <w:i/>
                <w:sz w:val="21"/>
              </w:rPr>
              <w:t>Chaetura pelagica</w:t>
            </w:r>
          </w:p>
        </w:tc>
        <w:tc>
          <w:tcPr>
            <w:tcW w:w="1372" w:type="dxa"/>
            <w:tcBorders>
              <w:left w:val="dashed" w:sz="8" w:space="0" w:color="4AACC5"/>
              <w:right w:val="dashed" w:sz="8" w:space="0" w:color="4AACC5"/>
            </w:tcBorders>
          </w:tcPr>
          <w:p w14:paraId="2199C302"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bl>
    <w:p w14:paraId="444A4BDA" w14:textId="77777777" w:rsidR="00C81834" w:rsidRPr="00FA4B2D" w:rsidRDefault="00C81834" w:rsidP="00C81834">
      <w:pPr>
        <w:tabs>
          <w:tab w:val="left" w:pos="1245"/>
        </w:tabs>
        <w:rPr>
          <w:rFonts w:cs="Arial"/>
        </w:rPr>
      </w:pPr>
    </w:p>
    <w:p w14:paraId="714CB7BE" w14:textId="77777777" w:rsidR="00C81834" w:rsidRPr="00FA4B2D" w:rsidRDefault="00C81834" w:rsidP="00C81834">
      <w:pPr>
        <w:tabs>
          <w:tab w:val="left" w:pos="1245"/>
        </w:tabs>
        <w:rPr>
          <w:rFonts w:cs="Arial"/>
        </w:rPr>
      </w:pPr>
    </w:p>
    <w:tbl>
      <w:tblPr>
        <w:tblStyle w:val="TableNormal1"/>
        <w:tblW w:w="0" w:type="auto"/>
        <w:tblInd w:w="-10"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1804"/>
        <w:gridCol w:w="1879"/>
        <w:gridCol w:w="3204"/>
        <w:gridCol w:w="1372"/>
      </w:tblGrid>
      <w:tr w:rsidR="00C81834" w:rsidRPr="00FA4B2D" w14:paraId="4D97D116" w14:textId="77777777" w:rsidTr="005D7F0C">
        <w:trPr>
          <w:trHeight w:val="369"/>
        </w:trPr>
        <w:tc>
          <w:tcPr>
            <w:tcW w:w="1804" w:type="dxa"/>
            <w:tcBorders>
              <w:left w:val="dashed" w:sz="8" w:space="0" w:color="4AACC5"/>
              <w:right w:val="dashed" w:sz="8" w:space="0" w:color="4AACC5"/>
            </w:tcBorders>
            <w:shd w:val="clear" w:color="auto" w:fill="5CC5DA"/>
          </w:tcPr>
          <w:p w14:paraId="2731F427" w14:textId="77777777" w:rsidR="00C81834" w:rsidRPr="00CF0F96" w:rsidRDefault="00C81834" w:rsidP="00C81834">
            <w:pPr>
              <w:pStyle w:val="TableParagraph"/>
              <w:ind w:left="625" w:right="605"/>
              <w:jc w:val="center"/>
              <w:rPr>
                <w:rFonts w:ascii="Arial" w:hAnsi="Arial" w:cs="Arial"/>
                <w:bCs/>
                <w:sz w:val="21"/>
              </w:rPr>
            </w:pPr>
            <w:r w:rsidRPr="00CF0F96">
              <w:rPr>
                <w:rFonts w:ascii="Arial" w:hAnsi="Arial" w:cs="Arial"/>
                <w:bCs/>
                <w:sz w:val="21"/>
              </w:rPr>
              <w:lastRenderedPageBreak/>
              <w:t>Clase</w:t>
            </w:r>
          </w:p>
        </w:tc>
        <w:tc>
          <w:tcPr>
            <w:tcW w:w="1879" w:type="dxa"/>
            <w:tcBorders>
              <w:left w:val="dashed" w:sz="8" w:space="0" w:color="4AACC5"/>
              <w:right w:val="dashed" w:sz="8" w:space="0" w:color="4AACC5"/>
            </w:tcBorders>
            <w:shd w:val="clear" w:color="auto" w:fill="5CC5DA"/>
          </w:tcPr>
          <w:p w14:paraId="42704706" w14:textId="77777777" w:rsidR="00C81834" w:rsidRPr="00CF0F96" w:rsidRDefault="00C81834" w:rsidP="00C81834">
            <w:pPr>
              <w:pStyle w:val="TableParagraph"/>
              <w:ind w:left="627"/>
              <w:rPr>
                <w:rFonts w:ascii="Arial" w:hAnsi="Arial" w:cs="Arial"/>
                <w:bCs/>
                <w:sz w:val="21"/>
              </w:rPr>
            </w:pPr>
            <w:r w:rsidRPr="00CF0F96">
              <w:rPr>
                <w:rFonts w:ascii="Arial" w:hAnsi="Arial" w:cs="Arial"/>
                <w:bCs/>
                <w:sz w:val="21"/>
              </w:rPr>
              <w:t>Familia</w:t>
            </w:r>
          </w:p>
        </w:tc>
        <w:tc>
          <w:tcPr>
            <w:tcW w:w="3204" w:type="dxa"/>
            <w:tcBorders>
              <w:left w:val="dashed" w:sz="8" w:space="0" w:color="4AACC5"/>
              <w:right w:val="dashed" w:sz="8" w:space="0" w:color="4AACC5"/>
            </w:tcBorders>
            <w:shd w:val="clear" w:color="auto" w:fill="5CC5DA"/>
          </w:tcPr>
          <w:p w14:paraId="68617643" w14:textId="77777777" w:rsidR="00C81834" w:rsidRPr="00CF0F96" w:rsidRDefault="00C81834" w:rsidP="00C81834">
            <w:pPr>
              <w:pStyle w:val="TableParagraph"/>
              <w:ind w:left="1165" w:right="1144"/>
              <w:jc w:val="center"/>
              <w:rPr>
                <w:rFonts w:ascii="Arial" w:hAnsi="Arial" w:cs="Arial"/>
                <w:bCs/>
                <w:sz w:val="21"/>
              </w:rPr>
            </w:pPr>
            <w:r w:rsidRPr="00CF0F96">
              <w:rPr>
                <w:rFonts w:ascii="Arial" w:hAnsi="Arial" w:cs="Arial"/>
                <w:bCs/>
                <w:sz w:val="21"/>
              </w:rPr>
              <w:t>Especies</w:t>
            </w:r>
          </w:p>
        </w:tc>
        <w:tc>
          <w:tcPr>
            <w:tcW w:w="1372" w:type="dxa"/>
            <w:tcBorders>
              <w:left w:val="dashed" w:sz="8" w:space="0" w:color="4AACC5"/>
              <w:right w:val="dashed" w:sz="8" w:space="0" w:color="4AACC5"/>
            </w:tcBorders>
            <w:shd w:val="clear" w:color="auto" w:fill="5CC5DA"/>
          </w:tcPr>
          <w:p w14:paraId="7E02D44F" w14:textId="77777777" w:rsidR="00C81834" w:rsidRPr="00CF0F96" w:rsidRDefault="00C81834" w:rsidP="00C81834">
            <w:pPr>
              <w:pStyle w:val="TableParagraph"/>
              <w:ind w:left="281"/>
              <w:rPr>
                <w:rFonts w:ascii="Arial" w:hAnsi="Arial" w:cs="Arial"/>
                <w:bCs/>
                <w:sz w:val="21"/>
              </w:rPr>
            </w:pPr>
            <w:r w:rsidRPr="00CF0F96">
              <w:rPr>
                <w:rFonts w:ascii="Arial" w:hAnsi="Arial" w:cs="Arial"/>
                <w:bCs/>
                <w:w w:val="95"/>
                <w:sz w:val="21"/>
              </w:rPr>
              <w:t>Categoría</w:t>
            </w:r>
          </w:p>
        </w:tc>
      </w:tr>
      <w:tr w:rsidR="00C81834" w:rsidRPr="00FA4B2D" w14:paraId="1B61041E" w14:textId="77777777" w:rsidTr="00C81834">
        <w:trPr>
          <w:trHeight w:val="369"/>
        </w:trPr>
        <w:tc>
          <w:tcPr>
            <w:tcW w:w="1804" w:type="dxa"/>
            <w:tcBorders>
              <w:left w:val="dashed" w:sz="8" w:space="0" w:color="4AACC5"/>
              <w:right w:val="dashed" w:sz="8" w:space="0" w:color="4AACC5"/>
            </w:tcBorders>
            <w:shd w:val="clear" w:color="auto" w:fill="D2EAF0"/>
          </w:tcPr>
          <w:p w14:paraId="543D1288"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Aves</w:t>
            </w:r>
          </w:p>
        </w:tc>
        <w:tc>
          <w:tcPr>
            <w:tcW w:w="1879" w:type="dxa"/>
            <w:tcBorders>
              <w:left w:val="dashed" w:sz="8" w:space="0" w:color="4AACC5"/>
              <w:right w:val="dashed" w:sz="8" w:space="0" w:color="4AACC5"/>
            </w:tcBorders>
            <w:shd w:val="clear" w:color="auto" w:fill="D2EAF0"/>
          </w:tcPr>
          <w:p w14:paraId="45FCC791"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Columbidae</w:t>
            </w:r>
          </w:p>
        </w:tc>
        <w:tc>
          <w:tcPr>
            <w:tcW w:w="3204" w:type="dxa"/>
            <w:tcBorders>
              <w:left w:val="dashed" w:sz="8" w:space="0" w:color="4AACC5"/>
              <w:right w:val="dashed" w:sz="8" w:space="0" w:color="4AACC5"/>
            </w:tcBorders>
            <w:shd w:val="clear" w:color="auto" w:fill="D2EAF0"/>
          </w:tcPr>
          <w:p w14:paraId="0D80EF8E" w14:textId="77777777" w:rsidR="00C81834" w:rsidRPr="00CF0F96" w:rsidRDefault="00C81834" w:rsidP="00C81834">
            <w:pPr>
              <w:pStyle w:val="TableParagraph"/>
              <w:rPr>
                <w:rFonts w:ascii="Arial" w:hAnsi="Arial" w:cs="Arial"/>
                <w:i/>
                <w:sz w:val="21"/>
              </w:rPr>
            </w:pPr>
            <w:r w:rsidRPr="00CF0F96">
              <w:rPr>
                <w:rFonts w:ascii="Arial" w:hAnsi="Arial" w:cs="Arial"/>
                <w:i/>
                <w:sz w:val="21"/>
              </w:rPr>
              <w:t>Patagioenas leucocephala</w:t>
            </w:r>
          </w:p>
        </w:tc>
        <w:tc>
          <w:tcPr>
            <w:tcW w:w="1372" w:type="dxa"/>
            <w:tcBorders>
              <w:left w:val="dashed" w:sz="8" w:space="0" w:color="4AACC5"/>
              <w:right w:val="dashed" w:sz="8" w:space="0" w:color="4AACC5"/>
            </w:tcBorders>
            <w:shd w:val="clear" w:color="auto" w:fill="D2EAF0"/>
          </w:tcPr>
          <w:p w14:paraId="2672C0F3"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4DDD36AB" w14:textId="77777777" w:rsidTr="00C81834">
        <w:trPr>
          <w:trHeight w:val="369"/>
        </w:trPr>
        <w:tc>
          <w:tcPr>
            <w:tcW w:w="1804" w:type="dxa"/>
            <w:tcBorders>
              <w:left w:val="dashed" w:sz="8" w:space="0" w:color="4AACC5"/>
              <w:right w:val="dashed" w:sz="8" w:space="0" w:color="4AACC5"/>
            </w:tcBorders>
          </w:tcPr>
          <w:p w14:paraId="73E7C491"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Aves</w:t>
            </w:r>
          </w:p>
        </w:tc>
        <w:tc>
          <w:tcPr>
            <w:tcW w:w="1879" w:type="dxa"/>
            <w:tcBorders>
              <w:left w:val="dashed" w:sz="8" w:space="0" w:color="4AACC5"/>
              <w:right w:val="dashed" w:sz="8" w:space="0" w:color="4AACC5"/>
            </w:tcBorders>
          </w:tcPr>
          <w:p w14:paraId="1D6CEE6E"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Psittacidae</w:t>
            </w:r>
          </w:p>
        </w:tc>
        <w:tc>
          <w:tcPr>
            <w:tcW w:w="3204" w:type="dxa"/>
            <w:tcBorders>
              <w:left w:val="dashed" w:sz="8" w:space="0" w:color="4AACC5"/>
              <w:right w:val="dashed" w:sz="8" w:space="0" w:color="4AACC5"/>
            </w:tcBorders>
          </w:tcPr>
          <w:p w14:paraId="7703C042" w14:textId="77777777" w:rsidR="00C81834" w:rsidRPr="00CF0F96" w:rsidRDefault="00C81834" w:rsidP="00C81834">
            <w:pPr>
              <w:pStyle w:val="TableParagraph"/>
              <w:rPr>
                <w:rFonts w:ascii="Arial" w:hAnsi="Arial" w:cs="Arial"/>
                <w:i/>
                <w:sz w:val="21"/>
              </w:rPr>
            </w:pPr>
            <w:r w:rsidRPr="00CF0F96">
              <w:rPr>
                <w:rFonts w:ascii="Arial" w:hAnsi="Arial" w:cs="Arial"/>
                <w:i/>
                <w:sz w:val="21"/>
              </w:rPr>
              <w:t>Amazona auropalliata</w:t>
            </w:r>
          </w:p>
        </w:tc>
        <w:tc>
          <w:tcPr>
            <w:tcW w:w="1372" w:type="dxa"/>
            <w:tcBorders>
              <w:left w:val="dashed" w:sz="8" w:space="0" w:color="4AACC5"/>
              <w:right w:val="dashed" w:sz="8" w:space="0" w:color="4AACC5"/>
            </w:tcBorders>
          </w:tcPr>
          <w:p w14:paraId="65F39D0F"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5D362210" w14:textId="77777777" w:rsidTr="00C81834">
        <w:trPr>
          <w:trHeight w:val="369"/>
        </w:trPr>
        <w:tc>
          <w:tcPr>
            <w:tcW w:w="1804" w:type="dxa"/>
            <w:tcBorders>
              <w:left w:val="dashed" w:sz="8" w:space="0" w:color="4AACC5"/>
              <w:right w:val="dashed" w:sz="8" w:space="0" w:color="4AACC5"/>
            </w:tcBorders>
            <w:shd w:val="clear" w:color="auto" w:fill="D2EAF0"/>
          </w:tcPr>
          <w:p w14:paraId="3A871F61"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Aves</w:t>
            </w:r>
          </w:p>
        </w:tc>
        <w:tc>
          <w:tcPr>
            <w:tcW w:w="1879" w:type="dxa"/>
            <w:tcBorders>
              <w:left w:val="dashed" w:sz="8" w:space="0" w:color="4AACC5"/>
              <w:right w:val="dashed" w:sz="8" w:space="0" w:color="4AACC5"/>
            </w:tcBorders>
            <w:shd w:val="clear" w:color="auto" w:fill="D2EAF0"/>
          </w:tcPr>
          <w:p w14:paraId="6CCB9D3C"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Psittacidae</w:t>
            </w:r>
          </w:p>
        </w:tc>
        <w:tc>
          <w:tcPr>
            <w:tcW w:w="3204" w:type="dxa"/>
            <w:tcBorders>
              <w:left w:val="dashed" w:sz="8" w:space="0" w:color="4AACC5"/>
              <w:right w:val="dashed" w:sz="8" w:space="0" w:color="4AACC5"/>
            </w:tcBorders>
            <w:shd w:val="clear" w:color="auto" w:fill="D2EAF0"/>
          </w:tcPr>
          <w:p w14:paraId="5A5BEE32" w14:textId="77777777" w:rsidR="00C81834" w:rsidRPr="00CF0F96" w:rsidRDefault="00C81834" w:rsidP="00C81834">
            <w:pPr>
              <w:pStyle w:val="TableParagraph"/>
              <w:rPr>
                <w:rFonts w:ascii="Arial" w:hAnsi="Arial" w:cs="Arial"/>
                <w:i/>
                <w:sz w:val="21"/>
              </w:rPr>
            </w:pPr>
            <w:r w:rsidRPr="00CF0F96">
              <w:rPr>
                <w:rFonts w:ascii="Arial" w:hAnsi="Arial" w:cs="Arial"/>
                <w:i/>
                <w:sz w:val="21"/>
              </w:rPr>
              <w:t>Amazona guatemalae</w:t>
            </w:r>
          </w:p>
        </w:tc>
        <w:tc>
          <w:tcPr>
            <w:tcW w:w="1372" w:type="dxa"/>
            <w:tcBorders>
              <w:left w:val="dashed" w:sz="8" w:space="0" w:color="4AACC5"/>
              <w:right w:val="dashed" w:sz="8" w:space="0" w:color="4AACC5"/>
            </w:tcBorders>
            <w:shd w:val="clear" w:color="auto" w:fill="D2EAF0"/>
          </w:tcPr>
          <w:p w14:paraId="13CDE77B"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1E18F713" w14:textId="77777777" w:rsidTr="00C81834">
        <w:trPr>
          <w:trHeight w:val="369"/>
        </w:trPr>
        <w:tc>
          <w:tcPr>
            <w:tcW w:w="1804" w:type="dxa"/>
            <w:tcBorders>
              <w:left w:val="dashed" w:sz="8" w:space="0" w:color="4AACC5"/>
              <w:right w:val="dashed" w:sz="8" w:space="0" w:color="4AACC5"/>
            </w:tcBorders>
          </w:tcPr>
          <w:p w14:paraId="00C5AB7D"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Aves</w:t>
            </w:r>
          </w:p>
        </w:tc>
        <w:tc>
          <w:tcPr>
            <w:tcW w:w="1879" w:type="dxa"/>
            <w:tcBorders>
              <w:left w:val="dashed" w:sz="8" w:space="0" w:color="4AACC5"/>
              <w:right w:val="dashed" w:sz="8" w:space="0" w:color="4AACC5"/>
            </w:tcBorders>
          </w:tcPr>
          <w:p w14:paraId="3A508E90"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Psittacidae</w:t>
            </w:r>
          </w:p>
        </w:tc>
        <w:tc>
          <w:tcPr>
            <w:tcW w:w="3204" w:type="dxa"/>
            <w:tcBorders>
              <w:left w:val="dashed" w:sz="8" w:space="0" w:color="4AACC5"/>
              <w:right w:val="dashed" w:sz="8" w:space="0" w:color="4AACC5"/>
            </w:tcBorders>
          </w:tcPr>
          <w:p w14:paraId="3F79EDF9" w14:textId="77777777" w:rsidR="00C81834" w:rsidRPr="00CF0F96" w:rsidRDefault="00C81834" w:rsidP="00C81834">
            <w:pPr>
              <w:pStyle w:val="TableParagraph"/>
              <w:rPr>
                <w:rFonts w:ascii="Arial" w:hAnsi="Arial" w:cs="Arial"/>
                <w:i/>
                <w:sz w:val="21"/>
              </w:rPr>
            </w:pPr>
            <w:r w:rsidRPr="00CF0F96">
              <w:rPr>
                <w:rFonts w:ascii="Arial" w:hAnsi="Arial" w:cs="Arial"/>
                <w:i/>
                <w:sz w:val="21"/>
              </w:rPr>
              <w:t>Ara ambiguus</w:t>
            </w:r>
          </w:p>
        </w:tc>
        <w:tc>
          <w:tcPr>
            <w:tcW w:w="1372" w:type="dxa"/>
            <w:tcBorders>
              <w:left w:val="dashed" w:sz="8" w:space="0" w:color="4AACC5"/>
              <w:right w:val="dashed" w:sz="8" w:space="0" w:color="4AACC5"/>
            </w:tcBorders>
          </w:tcPr>
          <w:p w14:paraId="43AB4F96"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4E0173FF" w14:textId="77777777" w:rsidTr="00C81834">
        <w:trPr>
          <w:trHeight w:val="369"/>
        </w:trPr>
        <w:tc>
          <w:tcPr>
            <w:tcW w:w="1804" w:type="dxa"/>
            <w:tcBorders>
              <w:left w:val="dashed" w:sz="8" w:space="0" w:color="4AACC5"/>
              <w:right w:val="dashed" w:sz="8" w:space="0" w:color="4AACC5"/>
            </w:tcBorders>
            <w:shd w:val="clear" w:color="auto" w:fill="D2EAF0"/>
          </w:tcPr>
          <w:p w14:paraId="3ECB559D"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Aves</w:t>
            </w:r>
          </w:p>
        </w:tc>
        <w:tc>
          <w:tcPr>
            <w:tcW w:w="1879" w:type="dxa"/>
            <w:tcBorders>
              <w:left w:val="dashed" w:sz="8" w:space="0" w:color="4AACC5"/>
              <w:right w:val="dashed" w:sz="8" w:space="0" w:color="4AACC5"/>
            </w:tcBorders>
            <w:shd w:val="clear" w:color="auto" w:fill="D2EAF0"/>
          </w:tcPr>
          <w:p w14:paraId="19A04D57"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Trogonidae</w:t>
            </w:r>
          </w:p>
        </w:tc>
        <w:tc>
          <w:tcPr>
            <w:tcW w:w="3204" w:type="dxa"/>
            <w:tcBorders>
              <w:left w:val="dashed" w:sz="8" w:space="0" w:color="4AACC5"/>
              <w:right w:val="dashed" w:sz="8" w:space="0" w:color="4AACC5"/>
            </w:tcBorders>
            <w:shd w:val="clear" w:color="auto" w:fill="D2EAF0"/>
          </w:tcPr>
          <w:p w14:paraId="35C3CC43" w14:textId="77777777" w:rsidR="00C81834" w:rsidRPr="00CF0F96" w:rsidRDefault="00C81834" w:rsidP="00C81834">
            <w:pPr>
              <w:pStyle w:val="TableParagraph"/>
              <w:rPr>
                <w:rFonts w:ascii="Arial" w:hAnsi="Arial" w:cs="Arial"/>
                <w:i/>
                <w:sz w:val="21"/>
              </w:rPr>
            </w:pPr>
            <w:r w:rsidRPr="00CF0F96">
              <w:rPr>
                <w:rFonts w:ascii="Arial" w:hAnsi="Arial" w:cs="Arial"/>
                <w:i/>
                <w:sz w:val="21"/>
              </w:rPr>
              <w:t>Pharomachrus mocinno</w:t>
            </w:r>
          </w:p>
        </w:tc>
        <w:tc>
          <w:tcPr>
            <w:tcW w:w="1372" w:type="dxa"/>
            <w:tcBorders>
              <w:left w:val="dashed" w:sz="8" w:space="0" w:color="4AACC5"/>
              <w:right w:val="dashed" w:sz="8" w:space="0" w:color="4AACC5"/>
            </w:tcBorders>
            <w:shd w:val="clear" w:color="auto" w:fill="D2EAF0"/>
          </w:tcPr>
          <w:p w14:paraId="337FEF05"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59CE895E" w14:textId="77777777" w:rsidTr="00C81834">
        <w:trPr>
          <w:trHeight w:val="369"/>
        </w:trPr>
        <w:tc>
          <w:tcPr>
            <w:tcW w:w="1804" w:type="dxa"/>
            <w:tcBorders>
              <w:left w:val="dashed" w:sz="8" w:space="0" w:color="4AACC5"/>
              <w:right w:val="dashed" w:sz="8" w:space="0" w:color="4AACC5"/>
            </w:tcBorders>
          </w:tcPr>
          <w:p w14:paraId="28CBEE08"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Aves</w:t>
            </w:r>
          </w:p>
        </w:tc>
        <w:tc>
          <w:tcPr>
            <w:tcW w:w="1879" w:type="dxa"/>
            <w:tcBorders>
              <w:left w:val="dashed" w:sz="8" w:space="0" w:color="4AACC5"/>
              <w:right w:val="dashed" w:sz="8" w:space="0" w:color="4AACC5"/>
            </w:tcBorders>
          </w:tcPr>
          <w:p w14:paraId="32776E11"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Ramphastidae</w:t>
            </w:r>
          </w:p>
        </w:tc>
        <w:tc>
          <w:tcPr>
            <w:tcW w:w="3204" w:type="dxa"/>
            <w:tcBorders>
              <w:left w:val="dashed" w:sz="8" w:space="0" w:color="4AACC5"/>
              <w:right w:val="dashed" w:sz="8" w:space="0" w:color="4AACC5"/>
            </w:tcBorders>
          </w:tcPr>
          <w:p w14:paraId="2AC64EC1" w14:textId="77777777" w:rsidR="00C81834" w:rsidRPr="00CF0F96" w:rsidRDefault="00C81834" w:rsidP="00C81834">
            <w:pPr>
              <w:pStyle w:val="TableParagraph"/>
              <w:rPr>
                <w:rFonts w:ascii="Arial" w:hAnsi="Arial" w:cs="Arial"/>
                <w:i/>
                <w:sz w:val="21"/>
              </w:rPr>
            </w:pPr>
            <w:r w:rsidRPr="00CF0F96">
              <w:rPr>
                <w:rFonts w:ascii="Arial" w:hAnsi="Arial" w:cs="Arial"/>
                <w:i/>
                <w:sz w:val="21"/>
              </w:rPr>
              <w:t>Ramphastos ambiguus</w:t>
            </w:r>
          </w:p>
        </w:tc>
        <w:tc>
          <w:tcPr>
            <w:tcW w:w="1372" w:type="dxa"/>
            <w:tcBorders>
              <w:left w:val="dashed" w:sz="8" w:space="0" w:color="4AACC5"/>
              <w:right w:val="dashed" w:sz="8" w:space="0" w:color="4AACC5"/>
            </w:tcBorders>
          </w:tcPr>
          <w:p w14:paraId="14C80E05"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52C46658" w14:textId="77777777" w:rsidTr="00C81834">
        <w:trPr>
          <w:trHeight w:val="369"/>
        </w:trPr>
        <w:tc>
          <w:tcPr>
            <w:tcW w:w="1804" w:type="dxa"/>
            <w:tcBorders>
              <w:left w:val="dashed" w:sz="8" w:space="0" w:color="4AACC5"/>
              <w:right w:val="dashed" w:sz="8" w:space="0" w:color="4AACC5"/>
            </w:tcBorders>
            <w:shd w:val="clear" w:color="auto" w:fill="D2EAF0"/>
          </w:tcPr>
          <w:p w14:paraId="6378B3C9"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Aves</w:t>
            </w:r>
          </w:p>
        </w:tc>
        <w:tc>
          <w:tcPr>
            <w:tcW w:w="1879" w:type="dxa"/>
            <w:tcBorders>
              <w:left w:val="dashed" w:sz="8" w:space="0" w:color="4AACC5"/>
              <w:right w:val="dashed" w:sz="8" w:space="0" w:color="4AACC5"/>
            </w:tcBorders>
            <w:shd w:val="clear" w:color="auto" w:fill="D2EAF0"/>
          </w:tcPr>
          <w:p w14:paraId="289621A7"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Trochilidae</w:t>
            </w:r>
          </w:p>
        </w:tc>
        <w:tc>
          <w:tcPr>
            <w:tcW w:w="3204" w:type="dxa"/>
            <w:tcBorders>
              <w:left w:val="dashed" w:sz="8" w:space="0" w:color="4AACC5"/>
              <w:right w:val="dashed" w:sz="8" w:space="0" w:color="4AACC5"/>
            </w:tcBorders>
            <w:shd w:val="clear" w:color="auto" w:fill="D2EAF0"/>
          </w:tcPr>
          <w:p w14:paraId="2295D245" w14:textId="77777777" w:rsidR="00C81834" w:rsidRPr="00CF0F96" w:rsidRDefault="00C81834" w:rsidP="00C81834">
            <w:pPr>
              <w:pStyle w:val="TableParagraph"/>
              <w:rPr>
                <w:rFonts w:ascii="Arial" w:hAnsi="Arial" w:cs="Arial"/>
                <w:i/>
                <w:sz w:val="21"/>
              </w:rPr>
            </w:pPr>
            <w:r w:rsidRPr="00CF0F96">
              <w:rPr>
                <w:rFonts w:ascii="Arial" w:hAnsi="Arial" w:cs="Arial"/>
                <w:i/>
                <w:sz w:val="21"/>
              </w:rPr>
              <w:t>Amazilia luciae</w:t>
            </w:r>
          </w:p>
        </w:tc>
        <w:tc>
          <w:tcPr>
            <w:tcW w:w="1372" w:type="dxa"/>
            <w:tcBorders>
              <w:left w:val="dashed" w:sz="8" w:space="0" w:color="4AACC5"/>
              <w:right w:val="dashed" w:sz="8" w:space="0" w:color="4AACC5"/>
            </w:tcBorders>
            <w:shd w:val="clear" w:color="auto" w:fill="D2EAF0"/>
          </w:tcPr>
          <w:p w14:paraId="68B0694C"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0767249C" w14:textId="77777777" w:rsidTr="00C81834">
        <w:trPr>
          <w:trHeight w:val="369"/>
        </w:trPr>
        <w:tc>
          <w:tcPr>
            <w:tcW w:w="1804" w:type="dxa"/>
            <w:tcBorders>
              <w:left w:val="dashed" w:sz="8" w:space="0" w:color="4AACC5"/>
              <w:right w:val="dashed" w:sz="8" w:space="0" w:color="4AACC5"/>
            </w:tcBorders>
          </w:tcPr>
          <w:p w14:paraId="539720B9"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Aves</w:t>
            </w:r>
          </w:p>
        </w:tc>
        <w:tc>
          <w:tcPr>
            <w:tcW w:w="1879" w:type="dxa"/>
            <w:tcBorders>
              <w:left w:val="dashed" w:sz="8" w:space="0" w:color="4AACC5"/>
              <w:right w:val="dashed" w:sz="8" w:space="0" w:color="4AACC5"/>
            </w:tcBorders>
          </w:tcPr>
          <w:p w14:paraId="67CF427B"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Momotidae</w:t>
            </w:r>
          </w:p>
        </w:tc>
        <w:tc>
          <w:tcPr>
            <w:tcW w:w="3204" w:type="dxa"/>
            <w:tcBorders>
              <w:left w:val="dashed" w:sz="8" w:space="0" w:color="4AACC5"/>
              <w:right w:val="dashed" w:sz="8" w:space="0" w:color="4AACC5"/>
            </w:tcBorders>
          </w:tcPr>
          <w:p w14:paraId="15364A65" w14:textId="77777777" w:rsidR="00C81834" w:rsidRPr="00CF0F96" w:rsidRDefault="00C81834" w:rsidP="00C81834">
            <w:pPr>
              <w:pStyle w:val="TableParagraph"/>
              <w:rPr>
                <w:rFonts w:ascii="Arial" w:hAnsi="Arial" w:cs="Arial"/>
                <w:i/>
                <w:sz w:val="21"/>
              </w:rPr>
            </w:pPr>
            <w:r w:rsidRPr="00CF0F96">
              <w:rPr>
                <w:rFonts w:ascii="Arial" w:hAnsi="Arial" w:cs="Arial"/>
                <w:i/>
                <w:sz w:val="21"/>
              </w:rPr>
              <w:t>Electron carinatum</w:t>
            </w:r>
          </w:p>
        </w:tc>
        <w:tc>
          <w:tcPr>
            <w:tcW w:w="1372" w:type="dxa"/>
            <w:tcBorders>
              <w:left w:val="dashed" w:sz="8" w:space="0" w:color="4AACC5"/>
              <w:right w:val="dashed" w:sz="8" w:space="0" w:color="4AACC5"/>
            </w:tcBorders>
          </w:tcPr>
          <w:p w14:paraId="5ED0B2C5"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5858E953" w14:textId="77777777" w:rsidTr="00C81834">
        <w:trPr>
          <w:trHeight w:val="369"/>
        </w:trPr>
        <w:tc>
          <w:tcPr>
            <w:tcW w:w="1804" w:type="dxa"/>
            <w:tcBorders>
              <w:left w:val="dashed" w:sz="8" w:space="0" w:color="4AACC5"/>
              <w:right w:val="dashed" w:sz="8" w:space="0" w:color="4AACC5"/>
            </w:tcBorders>
            <w:shd w:val="clear" w:color="auto" w:fill="D2EAF0"/>
          </w:tcPr>
          <w:p w14:paraId="1AF41D83"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Aves</w:t>
            </w:r>
          </w:p>
        </w:tc>
        <w:tc>
          <w:tcPr>
            <w:tcW w:w="1879" w:type="dxa"/>
            <w:tcBorders>
              <w:left w:val="dashed" w:sz="8" w:space="0" w:color="4AACC5"/>
              <w:right w:val="dashed" w:sz="8" w:space="0" w:color="4AACC5"/>
            </w:tcBorders>
            <w:shd w:val="clear" w:color="auto" w:fill="D2EAF0"/>
          </w:tcPr>
          <w:p w14:paraId="221CDDD8"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Emberizidae</w:t>
            </w:r>
          </w:p>
        </w:tc>
        <w:tc>
          <w:tcPr>
            <w:tcW w:w="3204" w:type="dxa"/>
            <w:tcBorders>
              <w:left w:val="dashed" w:sz="8" w:space="0" w:color="4AACC5"/>
              <w:right w:val="dashed" w:sz="8" w:space="0" w:color="4AACC5"/>
            </w:tcBorders>
            <w:shd w:val="clear" w:color="auto" w:fill="D2EAF0"/>
          </w:tcPr>
          <w:p w14:paraId="4877643C" w14:textId="77777777" w:rsidR="00C81834" w:rsidRPr="00CF0F96" w:rsidRDefault="00C81834" w:rsidP="00C81834">
            <w:pPr>
              <w:pStyle w:val="TableParagraph"/>
              <w:rPr>
                <w:rFonts w:ascii="Arial" w:hAnsi="Arial" w:cs="Arial"/>
                <w:i/>
                <w:sz w:val="21"/>
              </w:rPr>
            </w:pPr>
            <w:r w:rsidRPr="00CF0F96">
              <w:rPr>
                <w:rFonts w:ascii="Arial" w:hAnsi="Arial" w:cs="Arial"/>
                <w:i/>
                <w:sz w:val="21"/>
              </w:rPr>
              <w:t>Passerina ciris</w:t>
            </w:r>
          </w:p>
        </w:tc>
        <w:tc>
          <w:tcPr>
            <w:tcW w:w="1372" w:type="dxa"/>
            <w:tcBorders>
              <w:left w:val="dashed" w:sz="8" w:space="0" w:color="4AACC5"/>
              <w:right w:val="dashed" w:sz="8" w:space="0" w:color="4AACC5"/>
            </w:tcBorders>
            <w:shd w:val="clear" w:color="auto" w:fill="D2EAF0"/>
          </w:tcPr>
          <w:p w14:paraId="274D378D"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376313CC" w14:textId="77777777" w:rsidTr="00C81834">
        <w:trPr>
          <w:trHeight w:val="369"/>
        </w:trPr>
        <w:tc>
          <w:tcPr>
            <w:tcW w:w="1804" w:type="dxa"/>
            <w:tcBorders>
              <w:left w:val="dashed" w:sz="8" w:space="0" w:color="4AACC5"/>
              <w:right w:val="dashed" w:sz="8" w:space="0" w:color="4AACC5"/>
            </w:tcBorders>
          </w:tcPr>
          <w:p w14:paraId="65FBEB78"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Aves</w:t>
            </w:r>
          </w:p>
        </w:tc>
        <w:tc>
          <w:tcPr>
            <w:tcW w:w="1879" w:type="dxa"/>
            <w:tcBorders>
              <w:left w:val="dashed" w:sz="8" w:space="0" w:color="4AACC5"/>
              <w:right w:val="dashed" w:sz="8" w:space="0" w:color="4AACC5"/>
            </w:tcBorders>
          </w:tcPr>
          <w:p w14:paraId="0C853E07"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Mimidaae</w:t>
            </w:r>
          </w:p>
        </w:tc>
        <w:tc>
          <w:tcPr>
            <w:tcW w:w="3204" w:type="dxa"/>
            <w:tcBorders>
              <w:left w:val="dashed" w:sz="8" w:space="0" w:color="4AACC5"/>
              <w:right w:val="dashed" w:sz="8" w:space="0" w:color="4AACC5"/>
            </w:tcBorders>
          </w:tcPr>
          <w:p w14:paraId="6EA94771" w14:textId="77777777" w:rsidR="00C81834" w:rsidRPr="00CF0F96" w:rsidRDefault="00C81834" w:rsidP="00C81834">
            <w:pPr>
              <w:pStyle w:val="TableParagraph"/>
              <w:rPr>
                <w:rFonts w:ascii="Arial" w:hAnsi="Arial" w:cs="Arial"/>
                <w:i/>
                <w:sz w:val="21"/>
              </w:rPr>
            </w:pPr>
            <w:r w:rsidRPr="00CF0F96">
              <w:rPr>
                <w:rFonts w:ascii="Arial" w:hAnsi="Arial" w:cs="Arial"/>
                <w:i/>
                <w:sz w:val="21"/>
              </w:rPr>
              <w:t>Melanoptila glabrirostris</w:t>
            </w:r>
          </w:p>
        </w:tc>
        <w:tc>
          <w:tcPr>
            <w:tcW w:w="1372" w:type="dxa"/>
            <w:tcBorders>
              <w:left w:val="dashed" w:sz="8" w:space="0" w:color="4AACC5"/>
              <w:right w:val="dashed" w:sz="8" w:space="0" w:color="4AACC5"/>
            </w:tcBorders>
          </w:tcPr>
          <w:p w14:paraId="6F269D07"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5B1F66A1" w14:textId="77777777" w:rsidTr="00C81834">
        <w:trPr>
          <w:trHeight w:val="369"/>
        </w:trPr>
        <w:tc>
          <w:tcPr>
            <w:tcW w:w="1804" w:type="dxa"/>
            <w:tcBorders>
              <w:left w:val="dashed" w:sz="8" w:space="0" w:color="4AACC5"/>
              <w:right w:val="dashed" w:sz="8" w:space="0" w:color="4AACC5"/>
            </w:tcBorders>
            <w:shd w:val="clear" w:color="auto" w:fill="D2EAF0"/>
          </w:tcPr>
          <w:p w14:paraId="6EFB557E"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Aves</w:t>
            </w:r>
          </w:p>
        </w:tc>
        <w:tc>
          <w:tcPr>
            <w:tcW w:w="1879" w:type="dxa"/>
            <w:tcBorders>
              <w:left w:val="dashed" w:sz="8" w:space="0" w:color="4AACC5"/>
              <w:right w:val="dashed" w:sz="8" w:space="0" w:color="4AACC5"/>
            </w:tcBorders>
            <w:shd w:val="clear" w:color="auto" w:fill="D2EAF0"/>
          </w:tcPr>
          <w:p w14:paraId="3B0BC18D"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Cotingidae</w:t>
            </w:r>
          </w:p>
        </w:tc>
        <w:tc>
          <w:tcPr>
            <w:tcW w:w="3204" w:type="dxa"/>
            <w:tcBorders>
              <w:left w:val="dashed" w:sz="8" w:space="0" w:color="4AACC5"/>
              <w:right w:val="dashed" w:sz="8" w:space="0" w:color="4AACC5"/>
            </w:tcBorders>
            <w:shd w:val="clear" w:color="auto" w:fill="D2EAF0"/>
          </w:tcPr>
          <w:p w14:paraId="4D0D24F3" w14:textId="77777777" w:rsidR="00C81834" w:rsidRPr="00CF0F96" w:rsidRDefault="00C81834" w:rsidP="00C81834">
            <w:pPr>
              <w:pStyle w:val="TableParagraph"/>
              <w:rPr>
                <w:rFonts w:ascii="Arial" w:hAnsi="Arial" w:cs="Arial"/>
                <w:i/>
                <w:sz w:val="21"/>
              </w:rPr>
            </w:pPr>
            <w:r w:rsidRPr="00CF0F96">
              <w:rPr>
                <w:rFonts w:ascii="Arial" w:hAnsi="Arial" w:cs="Arial"/>
                <w:i/>
                <w:sz w:val="21"/>
              </w:rPr>
              <w:t>Procnias tricarunculatus</w:t>
            </w:r>
          </w:p>
        </w:tc>
        <w:tc>
          <w:tcPr>
            <w:tcW w:w="1372" w:type="dxa"/>
            <w:tcBorders>
              <w:left w:val="dashed" w:sz="8" w:space="0" w:color="4AACC5"/>
              <w:right w:val="dashed" w:sz="8" w:space="0" w:color="4AACC5"/>
            </w:tcBorders>
            <w:shd w:val="clear" w:color="auto" w:fill="D2EAF0"/>
          </w:tcPr>
          <w:p w14:paraId="0C4F593E"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3CF8457E" w14:textId="77777777" w:rsidTr="00C81834">
        <w:trPr>
          <w:trHeight w:val="369"/>
        </w:trPr>
        <w:tc>
          <w:tcPr>
            <w:tcW w:w="1804" w:type="dxa"/>
            <w:tcBorders>
              <w:left w:val="dashed" w:sz="8" w:space="0" w:color="4AACC5"/>
              <w:right w:val="dashed" w:sz="8" w:space="0" w:color="4AACC5"/>
            </w:tcBorders>
          </w:tcPr>
          <w:p w14:paraId="5EB116C9"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Aves</w:t>
            </w:r>
          </w:p>
        </w:tc>
        <w:tc>
          <w:tcPr>
            <w:tcW w:w="1879" w:type="dxa"/>
            <w:tcBorders>
              <w:left w:val="dashed" w:sz="8" w:space="0" w:color="4AACC5"/>
              <w:right w:val="dashed" w:sz="8" w:space="0" w:color="4AACC5"/>
            </w:tcBorders>
          </w:tcPr>
          <w:p w14:paraId="4AC4173A"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Parulidae</w:t>
            </w:r>
          </w:p>
        </w:tc>
        <w:tc>
          <w:tcPr>
            <w:tcW w:w="3204" w:type="dxa"/>
            <w:tcBorders>
              <w:left w:val="dashed" w:sz="8" w:space="0" w:color="4AACC5"/>
              <w:right w:val="dashed" w:sz="8" w:space="0" w:color="4AACC5"/>
            </w:tcBorders>
          </w:tcPr>
          <w:p w14:paraId="5FBBEFB9" w14:textId="77777777" w:rsidR="00C81834" w:rsidRPr="00CF0F96" w:rsidRDefault="00C81834" w:rsidP="00C81834">
            <w:pPr>
              <w:pStyle w:val="TableParagraph"/>
              <w:rPr>
                <w:rFonts w:ascii="Arial" w:hAnsi="Arial" w:cs="Arial"/>
                <w:i/>
                <w:sz w:val="21"/>
              </w:rPr>
            </w:pPr>
            <w:r w:rsidRPr="00CF0F96">
              <w:rPr>
                <w:rFonts w:ascii="Arial" w:hAnsi="Arial" w:cs="Arial"/>
                <w:i/>
                <w:sz w:val="21"/>
              </w:rPr>
              <w:t>Setophaga vitellina</w:t>
            </w:r>
          </w:p>
        </w:tc>
        <w:tc>
          <w:tcPr>
            <w:tcW w:w="1372" w:type="dxa"/>
            <w:tcBorders>
              <w:left w:val="dashed" w:sz="8" w:space="0" w:color="4AACC5"/>
              <w:right w:val="dashed" w:sz="8" w:space="0" w:color="4AACC5"/>
            </w:tcBorders>
          </w:tcPr>
          <w:p w14:paraId="47E87C60"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5ED26D72" w14:textId="77777777" w:rsidTr="00C81834">
        <w:trPr>
          <w:trHeight w:val="369"/>
        </w:trPr>
        <w:tc>
          <w:tcPr>
            <w:tcW w:w="1804" w:type="dxa"/>
            <w:tcBorders>
              <w:left w:val="dashed" w:sz="8" w:space="0" w:color="4AACC5"/>
              <w:right w:val="dashed" w:sz="8" w:space="0" w:color="4AACC5"/>
            </w:tcBorders>
            <w:shd w:val="clear" w:color="auto" w:fill="D2EAF0"/>
          </w:tcPr>
          <w:p w14:paraId="1B8ECBB7"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Aves</w:t>
            </w:r>
          </w:p>
        </w:tc>
        <w:tc>
          <w:tcPr>
            <w:tcW w:w="1879" w:type="dxa"/>
            <w:tcBorders>
              <w:left w:val="dashed" w:sz="8" w:space="0" w:color="4AACC5"/>
              <w:right w:val="dashed" w:sz="8" w:space="0" w:color="4AACC5"/>
            </w:tcBorders>
            <w:shd w:val="clear" w:color="auto" w:fill="D2EAF0"/>
          </w:tcPr>
          <w:p w14:paraId="5029F642"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Parulidae</w:t>
            </w:r>
          </w:p>
        </w:tc>
        <w:tc>
          <w:tcPr>
            <w:tcW w:w="3204" w:type="dxa"/>
            <w:tcBorders>
              <w:left w:val="dashed" w:sz="8" w:space="0" w:color="4AACC5"/>
              <w:right w:val="dashed" w:sz="8" w:space="0" w:color="4AACC5"/>
            </w:tcBorders>
            <w:shd w:val="clear" w:color="auto" w:fill="D2EAF0"/>
          </w:tcPr>
          <w:p w14:paraId="74D92674" w14:textId="77777777" w:rsidR="00C81834" w:rsidRPr="00CF0F96" w:rsidRDefault="00C81834" w:rsidP="00C81834">
            <w:pPr>
              <w:pStyle w:val="TableParagraph"/>
              <w:rPr>
                <w:rFonts w:ascii="Arial" w:hAnsi="Arial" w:cs="Arial"/>
                <w:i/>
                <w:sz w:val="21"/>
              </w:rPr>
            </w:pPr>
            <w:r w:rsidRPr="00CF0F96">
              <w:rPr>
                <w:rFonts w:ascii="Arial" w:hAnsi="Arial" w:cs="Arial"/>
                <w:i/>
                <w:sz w:val="21"/>
              </w:rPr>
              <w:t>Setophaga cerúlea</w:t>
            </w:r>
          </w:p>
        </w:tc>
        <w:tc>
          <w:tcPr>
            <w:tcW w:w="1372" w:type="dxa"/>
            <w:tcBorders>
              <w:left w:val="dashed" w:sz="8" w:space="0" w:color="4AACC5"/>
              <w:right w:val="dashed" w:sz="8" w:space="0" w:color="4AACC5"/>
            </w:tcBorders>
            <w:shd w:val="clear" w:color="auto" w:fill="D2EAF0"/>
          </w:tcPr>
          <w:p w14:paraId="49A5203C"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7386DFA1" w14:textId="77777777" w:rsidTr="00C81834">
        <w:trPr>
          <w:trHeight w:val="369"/>
        </w:trPr>
        <w:tc>
          <w:tcPr>
            <w:tcW w:w="1804" w:type="dxa"/>
            <w:tcBorders>
              <w:left w:val="dashed" w:sz="8" w:space="0" w:color="4AACC5"/>
              <w:right w:val="dashed" w:sz="8" w:space="0" w:color="4AACC5"/>
            </w:tcBorders>
          </w:tcPr>
          <w:p w14:paraId="49BD8B7A"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Aves</w:t>
            </w:r>
          </w:p>
        </w:tc>
        <w:tc>
          <w:tcPr>
            <w:tcW w:w="1879" w:type="dxa"/>
            <w:tcBorders>
              <w:left w:val="dashed" w:sz="8" w:space="0" w:color="4AACC5"/>
              <w:right w:val="dashed" w:sz="8" w:space="0" w:color="4AACC5"/>
            </w:tcBorders>
          </w:tcPr>
          <w:p w14:paraId="079C91BA"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Parulidae</w:t>
            </w:r>
          </w:p>
        </w:tc>
        <w:tc>
          <w:tcPr>
            <w:tcW w:w="3204" w:type="dxa"/>
            <w:tcBorders>
              <w:left w:val="dashed" w:sz="8" w:space="0" w:color="4AACC5"/>
              <w:right w:val="dashed" w:sz="8" w:space="0" w:color="4AACC5"/>
            </w:tcBorders>
          </w:tcPr>
          <w:p w14:paraId="1C8F4E36" w14:textId="77777777" w:rsidR="00C81834" w:rsidRPr="00CF0F96" w:rsidRDefault="00C81834" w:rsidP="00C81834">
            <w:pPr>
              <w:pStyle w:val="TableParagraph"/>
              <w:rPr>
                <w:rFonts w:ascii="Arial" w:hAnsi="Arial" w:cs="Arial"/>
                <w:i/>
                <w:sz w:val="21"/>
              </w:rPr>
            </w:pPr>
            <w:r w:rsidRPr="00CF0F96">
              <w:rPr>
                <w:rFonts w:ascii="Arial" w:hAnsi="Arial" w:cs="Arial"/>
                <w:i/>
                <w:sz w:val="21"/>
              </w:rPr>
              <w:t>Setophaga chrysoparia</w:t>
            </w:r>
          </w:p>
        </w:tc>
        <w:tc>
          <w:tcPr>
            <w:tcW w:w="1372" w:type="dxa"/>
            <w:tcBorders>
              <w:left w:val="dashed" w:sz="8" w:space="0" w:color="4AACC5"/>
              <w:right w:val="dashed" w:sz="8" w:space="0" w:color="4AACC5"/>
            </w:tcBorders>
          </w:tcPr>
          <w:p w14:paraId="40B82597"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46531D0F" w14:textId="77777777" w:rsidTr="00C81834">
        <w:trPr>
          <w:trHeight w:val="369"/>
        </w:trPr>
        <w:tc>
          <w:tcPr>
            <w:tcW w:w="1804" w:type="dxa"/>
            <w:tcBorders>
              <w:left w:val="dashed" w:sz="8" w:space="0" w:color="4AACC5"/>
              <w:right w:val="dashed" w:sz="8" w:space="0" w:color="4AACC5"/>
            </w:tcBorders>
            <w:shd w:val="clear" w:color="auto" w:fill="D2EAF0"/>
          </w:tcPr>
          <w:p w14:paraId="183E1229"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Aves</w:t>
            </w:r>
          </w:p>
        </w:tc>
        <w:tc>
          <w:tcPr>
            <w:tcW w:w="1879" w:type="dxa"/>
            <w:tcBorders>
              <w:left w:val="dashed" w:sz="8" w:space="0" w:color="4AACC5"/>
              <w:right w:val="dashed" w:sz="8" w:space="0" w:color="4AACC5"/>
            </w:tcBorders>
            <w:shd w:val="clear" w:color="auto" w:fill="D2EAF0"/>
          </w:tcPr>
          <w:p w14:paraId="204B6D50"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Parulidae</w:t>
            </w:r>
          </w:p>
        </w:tc>
        <w:tc>
          <w:tcPr>
            <w:tcW w:w="3204" w:type="dxa"/>
            <w:tcBorders>
              <w:left w:val="dashed" w:sz="8" w:space="0" w:color="4AACC5"/>
              <w:right w:val="dashed" w:sz="8" w:space="0" w:color="4AACC5"/>
            </w:tcBorders>
            <w:shd w:val="clear" w:color="auto" w:fill="D2EAF0"/>
          </w:tcPr>
          <w:p w14:paraId="08AD554E" w14:textId="77777777" w:rsidR="00C81834" w:rsidRPr="00CF0F96" w:rsidRDefault="00C81834" w:rsidP="00C81834">
            <w:pPr>
              <w:pStyle w:val="TableParagraph"/>
              <w:rPr>
                <w:rFonts w:ascii="Arial" w:hAnsi="Arial" w:cs="Arial"/>
                <w:i/>
                <w:sz w:val="21"/>
              </w:rPr>
            </w:pPr>
            <w:r w:rsidRPr="00CF0F96">
              <w:rPr>
                <w:rFonts w:ascii="Arial" w:hAnsi="Arial" w:cs="Arial"/>
                <w:i/>
                <w:sz w:val="21"/>
              </w:rPr>
              <w:t>Vermivora chrysoptera</w:t>
            </w:r>
          </w:p>
        </w:tc>
        <w:tc>
          <w:tcPr>
            <w:tcW w:w="1372" w:type="dxa"/>
            <w:tcBorders>
              <w:left w:val="dashed" w:sz="8" w:space="0" w:color="4AACC5"/>
              <w:right w:val="dashed" w:sz="8" w:space="0" w:color="4AACC5"/>
            </w:tcBorders>
            <w:shd w:val="clear" w:color="auto" w:fill="D2EAF0"/>
          </w:tcPr>
          <w:p w14:paraId="7CAE507F"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5B445B52" w14:textId="77777777" w:rsidTr="00C81834">
        <w:trPr>
          <w:trHeight w:val="369"/>
        </w:trPr>
        <w:tc>
          <w:tcPr>
            <w:tcW w:w="1804" w:type="dxa"/>
            <w:tcBorders>
              <w:left w:val="dashed" w:sz="8" w:space="0" w:color="4AACC5"/>
              <w:right w:val="dashed" w:sz="8" w:space="0" w:color="4AACC5"/>
            </w:tcBorders>
          </w:tcPr>
          <w:p w14:paraId="7D8EAB47"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Aves</w:t>
            </w:r>
          </w:p>
        </w:tc>
        <w:tc>
          <w:tcPr>
            <w:tcW w:w="1879" w:type="dxa"/>
            <w:tcBorders>
              <w:left w:val="dashed" w:sz="8" w:space="0" w:color="4AACC5"/>
              <w:right w:val="dashed" w:sz="8" w:space="0" w:color="4AACC5"/>
            </w:tcBorders>
          </w:tcPr>
          <w:p w14:paraId="654DB309"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Tyrannidae</w:t>
            </w:r>
          </w:p>
        </w:tc>
        <w:tc>
          <w:tcPr>
            <w:tcW w:w="3204" w:type="dxa"/>
            <w:tcBorders>
              <w:left w:val="dashed" w:sz="8" w:space="0" w:color="4AACC5"/>
              <w:right w:val="dashed" w:sz="8" w:space="0" w:color="4AACC5"/>
            </w:tcBorders>
          </w:tcPr>
          <w:p w14:paraId="70DA3E01" w14:textId="77777777" w:rsidR="00C81834" w:rsidRPr="00CF0F96" w:rsidRDefault="00C81834" w:rsidP="00C81834">
            <w:pPr>
              <w:pStyle w:val="TableParagraph"/>
              <w:rPr>
                <w:rFonts w:ascii="Arial" w:hAnsi="Arial" w:cs="Arial"/>
                <w:i/>
                <w:sz w:val="21"/>
              </w:rPr>
            </w:pPr>
            <w:r w:rsidRPr="00CF0F96">
              <w:rPr>
                <w:rFonts w:ascii="Arial" w:hAnsi="Arial" w:cs="Arial"/>
                <w:i/>
                <w:sz w:val="21"/>
              </w:rPr>
              <w:t>Contopus cooperi</w:t>
            </w:r>
          </w:p>
        </w:tc>
        <w:tc>
          <w:tcPr>
            <w:tcW w:w="1372" w:type="dxa"/>
            <w:tcBorders>
              <w:left w:val="dashed" w:sz="8" w:space="0" w:color="4AACC5"/>
              <w:right w:val="dashed" w:sz="8" w:space="0" w:color="4AACC5"/>
            </w:tcBorders>
          </w:tcPr>
          <w:p w14:paraId="7F898F1D"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546212E3" w14:textId="77777777" w:rsidTr="00C81834">
        <w:trPr>
          <w:trHeight w:val="369"/>
        </w:trPr>
        <w:tc>
          <w:tcPr>
            <w:tcW w:w="1804" w:type="dxa"/>
            <w:tcBorders>
              <w:left w:val="dashed" w:sz="8" w:space="0" w:color="4AACC5"/>
              <w:right w:val="dashed" w:sz="8" w:space="0" w:color="4AACC5"/>
            </w:tcBorders>
            <w:shd w:val="clear" w:color="auto" w:fill="D2EAF0"/>
          </w:tcPr>
          <w:p w14:paraId="68704881"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Aves</w:t>
            </w:r>
          </w:p>
        </w:tc>
        <w:tc>
          <w:tcPr>
            <w:tcW w:w="1879" w:type="dxa"/>
            <w:tcBorders>
              <w:left w:val="dashed" w:sz="8" w:space="0" w:color="4AACC5"/>
              <w:right w:val="dashed" w:sz="8" w:space="0" w:color="4AACC5"/>
            </w:tcBorders>
            <w:shd w:val="clear" w:color="auto" w:fill="D2EAF0"/>
          </w:tcPr>
          <w:p w14:paraId="369A7666"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Turdidae</w:t>
            </w:r>
          </w:p>
        </w:tc>
        <w:tc>
          <w:tcPr>
            <w:tcW w:w="3204" w:type="dxa"/>
            <w:tcBorders>
              <w:left w:val="dashed" w:sz="8" w:space="0" w:color="4AACC5"/>
              <w:right w:val="dashed" w:sz="8" w:space="0" w:color="4AACC5"/>
            </w:tcBorders>
            <w:shd w:val="clear" w:color="auto" w:fill="D2EAF0"/>
          </w:tcPr>
          <w:p w14:paraId="5EBCF25B" w14:textId="77777777" w:rsidR="00C81834" w:rsidRPr="00CF0F96" w:rsidRDefault="00C81834" w:rsidP="00C81834">
            <w:pPr>
              <w:pStyle w:val="TableParagraph"/>
              <w:rPr>
                <w:rFonts w:ascii="Arial" w:hAnsi="Arial" w:cs="Arial"/>
                <w:i/>
                <w:sz w:val="21"/>
              </w:rPr>
            </w:pPr>
            <w:r w:rsidRPr="00CF0F96">
              <w:rPr>
                <w:rFonts w:ascii="Arial" w:hAnsi="Arial" w:cs="Arial"/>
                <w:i/>
                <w:sz w:val="21"/>
              </w:rPr>
              <w:t>Hylocichla mustelina</w:t>
            </w:r>
          </w:p>
        </w:tc>
        <w:tc>
          <w:tcPr>
            <w:tcW w:w="1372" w:type="dxa"/>
            <w:tcBorders>
              <w:left w:val="dashed" w:sz="8" w:space="0" w:color="4AACC5"/>
              <w:right w:val="dashed" w:sz="8" w:space="0" w:color="4AACC5"/>
            </w:tcBorders>
            <w:shd w:val="clear" w:color="auto" w:fill="D2EAF0"/>
          </w:tcPr>
          <w:p w14:paraId="11AA7BF5"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3056E01C" w14:textId="77777777" w:rsidTr="00C81834">
        <w:trPr>
          <w:trHeight w:val="369"/>
        </w:trPr>
        <w:tc>
          <w:tcPr>
            <w:tcW w:w="1804" w:type="dxa"/>
            <w:tcBorders>
              <w:left w:val="dashed" w:sz="8" w:space="0" w:color="4AACC5"/>
              <w:right w:val="dashed" w:sz="8" w:space="0" w:color="4AACC5"/>
            </w:tcBorders>
          </w:tcPr>
          <w:p w14:paraId="517B60BC"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Aves</w:t>
            </w:r>
          </w:p>
        </w:tc>
        <w:tc>
          <w:tcPr>
            <w:tcW w:w="1879" w:type="dxa"/>
            <w:tcBorders>
              <w:left w:val="dashed" w:sz="8" w:space="0" w:color="4AACC5"/>
              <w:right w:val="dashed" w:sz="8" w:space="0" w:color="4AACC5"/>
            </w:tcBorders>
          </w:tcPr>
          <w:p w14:paraId="053AF713"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Vireonidae</w:t>
            </w:r>
          </w:p>
        </w:tc>
        <w:tc>
          <w:tcPr>
            <w:tcW w:w="3204" w:type="dxa"/>
            <w:tcBorders>
              <w:left w:val="dashed" w:sz="8" w:space="0" w:color="4AACC5"/>
              <w:right w:val="dashed" w:sz="8" w:space="0" w:color="4AACC5"/>
            </w:tcBorders>
          </w:tcPr>
          <w:p w14:paraId="42254129" w14:textId="77777777" w:rsidR="00C81834" w:rsidRPr="00CF0F96" w:rsidRDefault="00C81834" w:rsidP="00C81834">
            <w:pPr>
              <w:pStyle w:val="TableParagraph"/>
              <w:rPr>
                <w:rFonts w:ascii="Arial" w:hAnsi="Arial" w:cs="Arial"/>
                <w:i/>
                <w:sz w:val="21"/>
              </w:rPr>
            </w:pPr>
            <w:r w:rsidRPr="00CF0F96">
              <w:rPr>
                <w:rFonts w:ascii="Arial" w:hAnsi="Arial" w:cs="Arial"/>
                <w:i/>
                <w:w w:val="95"/>
                <w:sz w:val="21"/>
              </w:rPr>
              <w:t>Vireo bellii</w:t>
            </w:r>
          </w:p>
        </w:tc>
        <w:tc>
          <w:tcPr>
            <w:tcW w:w="1372" w:type="dxa"/>
            <w:tcBorders>
              <w:left w:val="dashed" w:sz="8" w:space="0" w:color="4AACC5"/>
              <w:right w:val="dashed" w:sz="8" w:space="0" w:color="4AACC5"/>
            </w:tcBorders>
          </w:tcPr>
          <w:p w14:paraId="2A4190A5"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2B70E6BF" w14:textId="77777777" w:rsidTr="00C81834">
        <w:trPr>
          <w:trHeight w:val="369"/>
        </w:trPr>
        <w:tc>
          <w:tcPr>
            <w:tcW w:w="1804" w:type="dxa"/>
            <w:tcBorders>
              <w:left w:val="dashed" w:sz="8" w:space="0" w:color="4AACC5"/>
              <w:right w:val="dashed" w:sz="8" w:space="0" w:color="4AACC5"/>
            </w:tcBorders>
            <w:shd w:val="clear" w:color="auto" w:fill="D2EAF0"/>
          </w:tcPr>
          <w:p w14:paraId="0FE067AB"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Mammalia</w:t>
            </w:r>
          </w:p>
        </w:tc>
        <w:tc>
          <w:tcPr>
            <w:tcW w:w="1879" w:type="dxa"/>
            <w:tcBorders>
              <w:left w:val="dashed" w:sz="8" w:space="0" w:color="4AACC5"/>
              <w:right w:val="dashed" w:sz="8" w:space="0" w:color="4AACC5"/>
            </w:tcBorders>
            <w:shd w:val="clear" w:color="auto" w:fill="D2EAF0"/>
          </w:tcPr>
          <w:p w14:paraId="2EF5C844"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Phyllostomidae</w:t>
            </w:r>
          </w:p>
        </w:tc>
        <w:tc>
          <w:tcPr>
            <w:tcW w:w="3204" w:type="dxa"/>
            <w:tcBorders>
              <w:left w:val="dashed" w:sz="8" w:space="0" w:color="4AACC5"/>
              <w:right w:val="dashed" w:sz="8" w:space="0" w:color="4AACC5"/>
            </w:tcBorders>
            <w:shd w:val="clear" w:color="auto" w:fill="D2EAF0"/>
          </w:tcPr>
          <w:p w14:paraId="26109493" w14:textId="77777777" w:rsidR="00C81834" w:rsidRPr="00CF0F96" w:rsidRDefault="00C81834" w:rsidP="00C81834">
            <w:pPr>
              <w:pStyle w:val="TableParagraph"/>
              <w:rPr>
                <w:rFonts w:ascii="Arial" w:hAnsi="Arial" w:cs="Arial"/>
                <w:i/>
                <w:sz w:val="21"/>
              </w:rPr>
            </w:pPr>
            <w:r w:rsidRPr="00CF0F96">
              <w:rPr>
                <w:rFonts w:ascii="Arial" w:hAnsi="Arial" w:cs="Arial"/>
                <w:i/>
                <w:sz w:val="21"/>
              </w:rPr>
              <w:t>Choeronycteris mexicana</w:t>
            </w:r>
          </w:p>
        </w:tc>
        <w:tc>
          <w:tcPr>
            <w:tcW w:w="1372" w:type="dxa"/>
            <w:tcBorders>
              <w:left w:val="dashed" w:sz="8" w:space="0" w:color="4AACC5"/>
              <w:right w:val="dashed" w:sz="8" w:space="0" w:color="4AACC5"/>
            </w:tcBorders>
            <w:shd w:val="clear" w:color="auto" w:fill="D2EAF0"/>
          </w:tcPr>
          <w:p w14:paraId="652083E5"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60698691" w14:textId="77777777" w:rsidTr="00C81834">
        <w:trPr>
          <w:trHeight w:val="369"/>
        </w:trPr>
        <w:tc>
          <w:tcPr>
            <w:tcW w:w="1804" w:type="dxa"/>
            <w:tcBorders>
              <w:left w:val="dashed" w:sz="8" w:space="0" w:color="4AACC5"/>
              <w:right w:val="dashed" w:sz="8" w:space="0" w:color="4AACC5"/>
            </w:tcBorders>
          </w:tcPr>
          <w:p w14:paraId="2550FF36"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Mammalia</w:t>
            </w:r>
          </w:p>
        </w:tc>
        <w:tc>
          <w:tcPr>
            <w:tcW w:w="1879" w:type="dxa"/>
            <w:tcBorders>
              <w:left w:val="dashed" w:sz="8" w:space="0" w:color="4AACC5"/>
              <w:right w:val="dashed" w:sz="8" w:space="0" w:color="4AACC5"/>
            </w:tcBorders>
          </w:tcPr>
          <w:p w14:paraId="2F5B7B95"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Phyllostomidae</w:t>
            </w:r>
          </w:p>
        </w:tc>
        <w:tc>
          <w:tcPr>
            <w:tcW w:w="3204" w:type="dxa"/>
            <w:tcBorders>
              <w:left w:val="dashed" w:sz="8" w:space="0" w:color="4AACC5"/>
              <w:right w:val="dashed" w:sz="8" w:space="0" w:color="4AACC5"/>
            </w:tcBorders>
          </w:tcPr>
          <w:p w14:paraId="63A0C91C" w14:textId="77777777" w:rsidR="00C81834" w:rsidRPr="00CF0F96" w:rsidRDefault="00C81834" w:rsidP="00C81834">
            <w:pPr>
              <w:pStyle w:val="TableParagraph"/>
              <w:rPr>
                <w:rFonts w:ascii="Arial" w:hAnsi="Arial" w:cs="Arial"/>
                <w:i/>
                <w:sz w:val="21"/>
              </w:rPr>
            </w:pPr>
            <w:r w:rsidRPr="00CF0F96">
              <w:rPr>
                <w:rFonts w:ascii="Arial" w:hAnsi="Arial" w:cs="Arial"/>
                <w:i/>
                <w:sz w:val="21"/>
              </w:rPr>
              <w:t>Ectophylla alba</w:t>
            </w:r>
          </w:p>
        </w:tc>
        <w:tc>
          <w:tcPr>
            <w:tcW w:w="1372" w:type="dxa"/>
            <w:tcBorders>
              <w:left w:val="dashed" w:sz="8" w:space="0" w:color="4AACC5"/>
              <w:right w:val="dashed" w:sz="8" w:space="0" w:color="4AACC5"/>
            </w:tcBorders>
          </w:tcPr>
          <w:p w14:paraId="2A502A0A"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2B18D521" w14:textId="77777777" w:rsidTr="00C81834">
        <w:trPr>
          <w:trHeight w:val="369"/>
        </w:trPr>
        <w:tc>
          <w:tcPr>
            <w:tcW w:w="1804" w:type="dxa"/>
            <w:tcBorders>
              <w:left w:val="dashed" w:sz="8" w:space="0" w:color="4AACC5"/>
              <w:right w:val="dashed" w:sz="8" w:space="0" w:color="4AACC5"/>
            </w:tcBorders>
            <w:shd w:val="clear" w:color="auto" w:fill="D2EAF0"/>
          </w:tcPr>
          <w:p w14:paraId="4B5C46B6"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Mammalia</w:t>
            </w:r>
          </w:p>
        </w:tc>
        <w:tc>
          <w:tcPr>
            <w:tcW w:w="1879" w:type="dxa"/>
            <w:tcBorders>
              <w:left w:val="dashed" w:sz="8" w:space="0" w:color="4AACC5"/>
              <w:right w:val="dashed" w:sz="8" w:space="0" w:color="4AACC5"/>
            </w:tcBorders>
            <w:shd w:val="clear" w:color="auto" w:fill="D2EAF0"/>
          </w:tcPr>
          <w:p w14:paraId="2E118C62"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Phyllostomidae</w:t>
            </w:r>
          </w:p>
        </w:tc>
        <w:tc>
          <w:tcPr>
            <w:tcW w:w="3204" w:type="dxa"/>
            <w:tcBorders>
              <w:left w:val="dashed" w:sz="8" w:space="0" w:color="4AACC5"/>
              <w:right w:val="dashed" w:sz="8" w:space="0" w:color="4AACC5"/>
            </w:tcBorders>
            <w:shd w:val="clear" w:color="auto" w:fill="D2EAF0"/>
          </w:tcPr>
          <w:p w14:paraId="72436464" w14:textId="77777777" w:rsidR="00C81834" w:rsidRPr="00CF0F96" w:rsidRDefault="00C81834" w:rsidP="00C81834">
            <w:pPr>
              <w:pStyle w:val="TableParagraph"/>
              <w:rPr>
                <w:rFonts w:ascii="Arial" w:hAnsi="Arial" w:cs="Arial"/>
                <w:i/>
                <w:sz w:val="21"/>
              </w:rPr>
            </w:pPr>
            <w:r w:rsidRPr="00CF0F96">
              <w:rPr>
                <w:rFonts w:ascii="Arial" w:hAnsi="Arial" w:cs="Arial"/>
                <w:i/>
                <w:sz w:val="21"/>
              </w:rPr>
              <w:t>Leptonycteris yerbabuenae</w:t>
            </w:r>
          </w:p>
        </w:tc>
        <w:tc>
          <w:tcPr>
            <w:tcW w:w="1372" w:type="dxa"/>
            <w:tcBorders>
              <w:left w:val="dashed" w:sz="8" w:space="0" w:color="4AACC5"/>
              <w:right w:val="dashed" w:sz="8" w:space="0" w:color="4AACC5"/>
            </w:tcBorders>
            <w:shd w:val="clear" w:color="auto" w:fill="D2EAF0"/>
          </w:tcPr>
          <w:p w14:paraId="1E6F3389"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2AB053A5" w14:textId="77777777" w:rsidTr="00C81834">
        <w:trPr>
          <w:trHeight w:val="369"/>
        </w:trPr>
        <w:tc>
          <w:tcPr>
            <w:tcW w:w="1804" w:type="dxa"/>
            <w:tcBorders>
              <w:left w:val="dashed" w:sz="8" w:space="0" w:color="4AACC5"/>
              <w:right w:val="dashed" w:sz="8" w:space="0" w:color="4AACC5"/>
            </w:tcBorders>
          </w:tcPr>
          <w:p w14:paraId="72B51BF7"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Mammalia</w:t>
            </w:r>
          </w:p>
        </w:tc>
        <w:tc>
          <w:tcPr>
            <w:tcW w:w="1879" w:type="dxa"/>
            <w:tcBorders>
              <w:left w:val="dashed" w:sz="8" w:space="0" w:color="4AACC5"/>
              <w:right w:val="dashed" w:sz="8" w:space="0" w:color="4AACC5"/>
            </w:tcBorders>
          </w:tcPr>
          <w:p w14:paraId="28FECFCA"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Phyllostomidae</w:t>
            </w:r>
          </w:p>
        </w:tc>
        <w:tc>
          <w:tcPr>
            <w:tcW w:w="3204" w:type="dxa"/>
            <w:tcBorders>
              <w:left w:val="dashed" w:sz="8" w:space="0" w:color="4AACC5"/>
              <w:right w:val="dashed" w:sz="8" w:space="0" w:color="4AACC5"/>
            </w:tcBorders>
          </w:tcPr>
          <w:p w14:paraId="52763200" w14:textId="77777777" w:rsidR="00C81834" w:rsidRPr="00CF0F96" w:rsidRDefault="00C81834" w:rsidP="00C81834">
            <w:pPr>
              <w:pStyle w:val="TableParagraph"/>
              <w:rPr>
                <w:rFonts w:ascii="Arial" w:hAnsi="Arial" w:cs="Arial"/>
                <w:i/>
                <w:sz w:val="21"/>
              </w:rPr>
            </w:pPr>
            <w:r w:rsidRPr="00CF0F96">
              <w:rPr>
                <w:rFonts w:ascii="Arial" w:hAnsi="Arial" w:cs="Arial"/>
                <w:i/>
                <w:sz w:val="21"/>
              </w:rPr>
              <w:t>Vampyrum spectrum</w:t>
            </w:r>
          </w:p>
        </w:tc>
        <w:tc>
          <w:tcPr>
            <w:tcW w:w="1372" w:type="dxa"/>
            <w:tcBorders>
              <w:left w:val="dashed" w:sz="8" w:space="0" w:color="4AACC5"/>
              <w:right w:val="dashed" w:sz="8" w:space="0" w:color="4AACC5"/>
            </w:tcBorders>
          </w:tcPr>
          <w:p w14:paraId="1B691DFE"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4A300E26" w14:textId="77777777" w:rsidTr="00C81834">
        <w:trPr>
          <w:trHeight w:val="369"/>
        </w:trPr>
        <w:tc>
          <w:tcPr>
            <w:tcW w:w="1804" w:type="dxa"/>
            <w:tcBorders>
              <w:left w:val="dashed" w:sz="8" w:space="0" w:color="4AACC5"/>
              <w:right w:val="dashed" w:sz="8" w:space="0" w:color="4AACC5"/>
            </w:tcBorders>
            <w:shd w:val="clear" w:color="auto" w:fill="D2EAF0"/>
          </w:tcPr>
          <w:p w14:paraId="4985A786"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Mammalia</w:t>
            </w:r>
          </w:p>
        </w:tc>
        <w:tc>
          <w:tcPr>
            <w:tcW w:w="1879" w:type="dxa"/>
            <w:tcBorders>
              <w:left w:val="dashed" w:sz="8" w:space="0" w:color="4AACC5"/>
              <w:right w:val="dashed" w:sz="8" w:space="0" w:color="4AACC5"/>
            </w:tcBorders>
            <w:shd w:val="clear" w:color="auto" w:fill="D2EAF0"/>
          </w:tcPr>
          <w:p w14:paraId="27789D91"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Vespertilionidae</w:t>
            </w:r>
          </w:p>
        </w:tc>
        <w:tc>
          <w:tcPr>
            <w:tcW w:w="3204" w:type="dxa"/>
            <w:tcBorders>
              <w:left w:val="dashed" w:sz="8" w:space="0" w:color="4AACC5"/>
              <w:right w:val="dashed" w:sz="8" w:space="0" w:color="4AACC5"/>
            </w:tcBorders>
            <w:shd w:val="clear" w:color="auto" w:fill="D2EAF0"/>
          </w:tcPr>
          <w:p w14:paraId="59418E01" w14:textId="77777777" w:rsidR="00C81834" w:rsidRPr="00CF0F96" w:rsidRDefault="00C81834" w:rsidP="00C81834">
            <w:pPr>
              <w:pStyle w:val="TableParagraph"/>
              <w:rPr>
                <w:rFonts w:ascii="Arial" w:hAnsi="Arial" w:cs="Arial"/>
                <w:i/>
                <w:sz w:val="21"/>
              </w:rPr>
            </w:pPr>
            <w:r w:rsidRPr="00CF0F96">
              <w:rPr>
                <w:rFonts w:ascii="Arial" w:hAnsi="Arial" w:cs="Arial"/>
                <w:i/>
                <w:sz w:val="21"/>
              </w:rPr>
              <w:t>Bauerus dubiaquercus</w:t>
            </w:r>
          </w:p>
        </w:tc>
        <w:tc>
          <w:tcPr>
            <w:tcW w:w="1372" w:type="dxa"/>
            <w:tcBorders>
              <w:left w:val="dashed" w:sz="8" w:space="0" w:color="4AACC5"/>
              <w:right w:val="dashed" w:sz="8" w:space="0" w:color="4AACC5"/>
            </w:tcBorders>
            <w:shd w:val="clear" w:color="auto" w:fill="D2EAF0"/>
          </w:tcPr>
          <w:p w14:paraId="42F19D65"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20410227" w14:textId="77777777" w:rsidTr="00C81834">
        <w:trPr>
          <w:trHeight w:val="369"/>
        </w:trPr>
        <w:tc>
          <w:tcPr>
            <w:tcW w:w="1804" w:type="dxa"/>
            <w:tcBorders>
              <w:left w:val="dashed" w:sz="8" w:space="0" w:color="4AACC5"/>
              <w:right w:val="dashed" w:sz="8" w:space="0" w:color="4AACC5"/>
            </w:tcBorders>
          </w:tcPr>
          <w:p w14:paraId="309B9535"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Mammalia</w:t>
            </w:r>
          </w:p>
        </w:tc>
        <w:tc>
          <w:tcPr>
            <w:tcW w:w="1879" w:type="dxa"/>
            <w:tcBorders>
              <w:left w:val="dashed" w:sz="8" w:space="0" w:color="4AACC5"/>
              <w:right w:val="dashed" w:sz="8" w:space="0" w:color="4AACC5"/>
            </w:tcBorders>
          </w:tcPr>
          <w:p w14:paraId="5BB7DE14" w14:textId="77777777" w:rsidR="00C81834" w:rsidRPr="00CF0F96" w:rsidRDefault="00C81834" w:rsidP="00C81834">
            <w:pPr>
              <w:pStyle w:val="TableParagraph"/>
              <w:spacing w:before="54"/>
              <w:rPr>
                <w:rFonts w:ascii="Arial" w:hAnsi="Arial" w:cs="Arial"/>
                <w:sz w:val="21"/>
              </w:rPr>
            </w:pPr>
            <w:r w:rsidRPr="00CF0F96">
              <w:rPr>
                <w:rFonts w:ascii="Arial" w:hAnsi="Arial" w:cs="Arial"/>
                <w:w w:val="95"/>
                <w:sz w:val="21"/>
              </w:rPr>
              <w:t>Myrmecophagidae</w:t>
            </w:r>
          </w:p>
        </w:tc>
        <w:tc>
          <w:tcPr>
            <w:tcW w:w="3204" w:type="dxa"/>
            <w:tcBorders>
              <w:left w:val="dashed" w:sz="8" w:space="0" w:color="4AACC5"/>
              <w:right w:val="dashed" w:sz="8" w:space="0" w:color="4AACC5"/>
            </w:tcBorders>
          </w:tcPr>
          <w:p w14:paraId="37CF9E93" w14:textId="77777777" w:rsidR="00C81834" w:rsidRPr="00CF0F96" w:rsidRDefault="00C81834" w:rsidP="00C81834">
            <w:pPr>
              <w:pStyle w:val="TableParagraph"/>
              <w:rPr>
                <w:rFonts w:ascii="Arial" w:hAnsi="Arial" w:cs="Arial"/>
                <w:i/>
                <w:sz w:val="21"/>
              </w:rPr>
            </w:pPr>
            <w:r w:rsidRPr="00CF0F96">
              <w:rPr>
                <w:rFonts w:ascii="Arial" w:hAnsi="Arial" w:cs="Arial"/>
                <w:i/>
                <w:sz w:val="21"/>
              </w:rPr>
              <w:t>Myrmecophaga tridactyla</w:t>
            </w:r>
          </w:p>
        </w:tc>
        <w:tc>
          <w:tcPr>
            <w:tcW w:w="1372" w:type="dxa"/>
            <w:tcBorders>
              <w:left w:val="dashed" w:sz="8" w:space="0" w:color="4AACC5"/>
              <w:right w:val="dashed" w:sz="8" w:space="0" w:color="4AACC5"/>
            </w:tcBorders>
          </w:tcPr>
          <w:p w14:paraId="33034A2A"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6AAD0D5D" w14:textId="77777777" w:rsidTr="00C81834">
        <w:trPr>
          <w:trHeight w:val="369"/>
        </w:trPr>
        <w:tc>
          <w:tcPr>
            <w:tcW w:w="1804" w:type="dxa"/>
            <w:tcBorders>
              <w:left w:val="dashed" w:sz="8" w:space="0" w:color="4AACC5"/>
              <w:right w:val="dashed" w:sz="8" w:space="0" w:color="4AACC5"/>
            </w:tcBorders>
            <w:shd w:val="clear" w:color="auto" w:fill="D2EAF0"/>
          </w:tcPr>
          <w:p w14:paraId="78FC6449"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Mammalia</w:t>
            </w:r>
          </w:p>
        </w:tc>
        <w:tc>
          <w:tcPr>
            <w:tcW w:w="1879" w:type="dxa"/>
            <w:tcBorders>
              <w:left w:val="dashed" w:sz="8" w:space="0" w:color="4AACC5"/>
              <w:right w:val="dashed" w:sz="8" w:space="0" w:color="4AACC5"/>
            </w:tcBorders>
            <w:shd w:val="clear" w:color="auto" w:fill="D2EAF0"/>
          </w:tcPr>
          <w:p w14:paraId="05A047B9"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Felidae</w:t>
            </w:r>
          </w:p>
        </w:tc>
        <w:tc>
          <w:tcPr>
            <w:tcW w:w="3204" w:type="dxa"/>
            <w:tcBorders>
              <w:left w:val="dashed" w:sz="8" w:space="0" w:color="4AACC5"/>
              <w:right w:val="dashed" w:sz="8" w:space="0" w:color="4AACC5"/>
            </w:tcBorders>
            <w:shd w:val="clear" w:color="auto" w:fill="D2EAF0"/>
          </w:tcPr>
          <w:p w14:paraId="70EC39C7" w14:textId="77777777" w:rsidR="00C81834" w:rsidRPr="00CF0F96" w:rsidRDefault="00C81834" w:rsidP="00C81834">
            <w:pPr>
              <w:pStyle w:val="TableParagraph"/>
              <w:rPr>
                <w:rFonts w:ascii="Arial" w:hAnsi="Arial" w:cs="Arial"/>
                <w:i/>
                <w:sz w:val="21"/>
              </w:rPr>
            </w:pPr>
            <w:r w:rsidRPr="00CF0F96">
              <w:rPr>
                <w:rFonts w:ascii="Arial" w:hAnsi="Arial" w:cs="Arial"/>
                <w:i/>
                <w:sz w:val="21"/>
              </w:rPr>
              <w:t>Leopardus wiedii</w:t>
            </w:r>
          </w:p>
        </w:tc>
        <w:tc>
          <w:tcPr>
            <w:tcW w:w="1372" w:type="dxa"/>
            <w:tcBorders>
              <w:left w:val="dashed" w:sz="8" w:space="0" w:color="4AACC5"/>
              <w:right w:val="dashed" w:sz="8" w:space="0" w:color="4AACC5"/>
            </w:tcBorders>
            <w:shd w:val="clear" w:color="auto" w:fill="D2EAF0"/>
          </w:tcPr>
          <w:p w14:paraId="317182A0"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27832F6C" w14:textId="77777777" w:rsidTr="00C81834">
        <w:trPr>
          <w:trHeight w:val="369"/>
        </w:trPr>
        <w:tc>
          <w:tcPr>
            <w:tcW w:w="1804" w:type="dxa"/>
            <w:tcBorders>
              <w:left w:val="dashed" w:sz="8" w:space="0" w:color="4AACC5"/>
              <w:right w:val="dashed" w:sz="8" w:space="0" w:color="4AACC5"/>
            </w:tcBorders>
          </w:tcPr>
          <w:p w14:paraId="0BE68F71"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Mammalia</w:t>
            </w:r>
          </w:p>
        </w:tc>
        <w:tc>
          <w:tcPr>
            <w:tcW w:w="1879" w:type="dxa"/>
            <w:tcBorders>
              <w:left w:val="dashed" w:sz="8" w:space="0" w:color="4AACC5"/>
              <w:right w:val="dashed" w:sz="8" w:space="0" w:color="4AACC5"/>
            </w:tcBorders>
          </w:tcPr>
          <w:p w14:paraId="27198FAF"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Felidae</w:t>
            </w:r>
          </w:p>
        </w:tc>
        <w:tc>
          <w:tcPr>
            <w:tcW w:w="3204" w:type="dxa"/>
            <w:tcBorders>
              <w:left w:val="dashed" w:sz="8" w:space="0" w:color="4AACC5"/>
              <w:right w:val="dashed" w:sz="8" w:space="0" w:color="4AACC5"/>
            </w:tcBorders>
          </w:tcPr>
          <w:p w14:paraId="1AA9F7CE" w14:textId="77777777" w:rsidR="00C81834" w:rsidRPr="00CF0F96" w:rsidRDefault="00C81834" w:rsidP="00C81834">
            <w:pPr>
              <w:pStyle w:val="TableParagraph"/>
              <w:rPr>
                <w:rFonts w:ascii="Arial" w:hAnsi="Arial" w:cs="Arial"/>
                <w:i/>
                <w:sz w:val="21"/>
              </w:rPr>
            </w:pPr>
            <w:r w:rsidRPr="00CF0F96">
              <w:rPr>
                <w:rFonts w:ascii="Arial" w:hAnsi="Arial" w:cs="Arial"/>
                <w:i/>
                <w:sz w:val="21"/>
              </w:rPr>
              <w:t>Panthera onca</w:t>
            </w:r>
          </w:p>
        </w:tc>
        <w:tc>
          <w:tcPr>
            <w:tcW w:w="1372" w:type="dxa"/>
            <w:tcBorders>
              <w:left w:val="dashed" w:sz="8" w:space="0" w:color="4AACC5"/>
              <w:right w:val="dashed" w:sz="8" w:space="0" w:color="4AACC5"/>
            </w:tcBorders>
          </w:tcPr>
          <w:p w14:paraId="05945B67"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03ECB21A" w14:textId="77777777" w:rsidTr="00C81834">
        <w:trPr>
          <w:trHeight w:val="369"/>
        </w:trPr>
        <w:tc>
          <w:tcPr>
            <w:tcW w:w="1804" w:type="dxa"/>
            <w:tcBorders>
              <w:left w:val="dashed" w:sz="8" w:space="0" w:color="4AACC5"/>
              <w:right w:val="dashed" w:sz="8" w:space="0" w:color="4AACC5"/>
            </w:tcBorders>
            <w:shd w:val="clear" w:color="auto" w:fill="D2EAF0"/>
          </w:tcPr>
          <w:p w14:paraId="6EBF1421"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Mammalia</w:t>
            </w:r>
          </w:p>
        </w:tc>
        <w:tc>
          <w:tcPr>
            <w:tcW w:w="1879" w:type="dxa"/>
            <w:tcBorders>
              <w:left w:val="dashed" w:sz="8" w:space="0" w:color="4AACC5"/>
              <w:right w:val="dashed" w:sz="8" w:space="0" w:color="4AACC5"/>
            </w:tcBorders>
            <w:shd w:val="clear" w:color="auto" w:fill="D2EAF0"/>
          </w:tcPr>
          <w:p w14:paraId="33742449"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Mustelidae</w:t>
            </w:r>
          </w:p>
        </w:tc>
        <w:tc>
          <w:tcPr>
            <w:tcW w:w="3204" w:type="dxa"/>
            <w:tcBorders>
              <w:left w:val="dashed" w:sz="8" w:space="0" w:color="4AACC5"/>
              <w:right w:val="dashed" w:sz="8" w:space="0" w:color="4AACC5"/>
            </w:tcBorders>
            <w:shd w:val="clear" w:color="auto" w:fill="D2EAF0"/>
          </w:tcPr>
          <w:p w14:paraId="09A0C663" w14:textId="77777777" w:rsidR="00C81834" w:rsidRPr="00CF0F96" w:rsidRDefault="00C81834" w:rsidP="00C81834">
            <w:pPr>
              <w:pStyle w:val="TableParagraph"/>
              <w:rPr>
                <w:rFonts w:ascii="Arial" w:hAnsi="Arial" w:cs="Arial"/>
                <w:i/>
                <w:sz w:val="21"/>
              </w:rPr>
            </w:pPr>
            <w:r w:rsidRPr="00CF0F96">
              <w:rPr>
                <w:rFonts w:ascii="Arial" w:hAnsi="Arial" w:cs="Arial"/>
                <w:i/>
                <w:sz w:val="21"/>
              </w:rPr>
              <w:t>Lontra longicaudis</w:t>
            </w:r>
          </w:p>
        </w:tc>
        <w:tc>
          <w:tcPr>
            <w:tcW w:w="1372" w:type="dxa"/>
            <w:tcBorders>
              <w:left w:val="dashed" w:sz="8" w:space="0" w:color="4AACC5"/>
              <w:right w:val="dashed" w:sz="8" w:space="0" w:color="4AACC5"/>
            </w:tcBorders>
            <w:shd w:val="clear" w:color="auto" w:fill="D2EAF0"/>
          </w:tcPr>
          <w:p w14:paraId="77E76A7A"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65C97EED" w14:textId="77777777" w:rsidTr="00C81834">
        <w:trPr>
          <w:trHeight w:val="369"/>
        </w:trPr>
        <w:tc>
          <w:tcPr>
            <w:tcW w:w="1804" w:type="dxa"/>
            <w:tcBorders>
              <w:left w:val="dashed" w:sz="8" w:space="0" w:color="4AACC5"/>
              <w:right w:val="dashed" w:sz="8" w:space="0" w:color="4AACC5"/>
            </w:tcBorders>
          </w:tcPr>
          <w:p w14:paraId="2A793297"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Mammalia</w:t>
            </w:r>
          </w:p>
        </w:tc>
        <w:tc>
          <w:tcPr>
            <w:tcW w:w="1879" w:type="dxa"/>
            <w:tcBorders>
              <w:left w:val="dashed" w:sz="8" w:space="0" w:color="4AACC5"/>
              <w:right w:val="dashed" w:sz="8" w:space="0" w:color="4AACC5"/>
            </w:tcBorders>
          </w:tcPr>
          <w:p w14:paraId="0696859A"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Atelidae</w:t>
            </w:r>
          </w:p>
        </w:tc>
        <w:tc>
          <w:tcPr>
            <w:tcW w:w="3204" w:type="dxa"/>
            <w:tcBorders>
              <w:left w:val="dashed" w:sz="8" w:space="0" w:color="4AACC5"/>
              <w:right w:val="dashed" w:sz="8" w:space="0" w:color="4AACC5"/>
            </w:tcBorders>
          </w:tcPr>
          <w:p w14:paraId="57902801" w14:textId="77777777" w:rsidR="00C81834" w:rsidRPr="00CF0F96" w:rsidRDefault="00C81834" w:rsidP="00C81834">
            <w:pPr>
              <w:pStyle w:val="TableParagraph"/>
              <w:rPr>
                <w:rFonts w:ascii="Arial" w:hAnsi="Arial" w:cs="Arial"/>
                <w:i/>
                <w:sz w:val="21"/>
              </w:rPr>
            </w:pPr>
            <w:r w:rsidRPr="00CF0F96">
              <w:rPr>
                <w:rFonts w:ascii="Arial" w:hAnsi="Arial" w:cs="Arial"/>
                <w:i/>
                <w:w w:val="95"/>
                <w:sz w:val="21"/>
              </w:rPr>
              <w:t>Ateles geoffroyi</w:t>
            </w:r>
          </w:p>
        </w:tc>
        <w:tc>
          <w:tcPr>
            <w:tcW w:w="1372" w:type="dxa"/>
            <w:tcBorders>
              <w:left w:val="dashed" w:sz="8" w:space="0" w:color="4AACC5"/>
              <w:right w:val="dashed" w:sz="8" w:space="0" w:color="4AACC5"/>
            </w:tcBorders>
          </w:tcPr>
          <w:p w14:paraId="505B9E01"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6D4E6C29" w14:textId="77777777" w:rsidTr="00C81834">
        <w:trPr>
          <w:trHeight w:val="369"/>
        </w:trPr>
        <w:tc>
          <w:tcPr>
            <w:tcW w:w="1804" w:type="dxa"/>
            <w:tcBorders>
              <w:left w:val="dashed" w:sz="8" w:space="0" w:color="4AACC5"/>
              <w:right w:val="dashed" w:sz="8" w:space="0" w:color="4AACC5"/>
            </w:tcBorders>
            <w:shd w:val="clear" w:color="auto" w:fill="D2EAF0"/>
          </w:tcPr>
          <w:p w14:paraId="7E173FE2"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Mammalia</w:t>
            </w:r>
          </w:p>
        </w:tc>
        <w:tc>
          <w:tcPr>
            <w:tcW w:w="1879" w:type="dxa"/>
            <w:tcBorders>
              <w:left w:val="dashed" w:sz="8" w:space="0" w:color="4AACC5"/>
              <w:right w:val="dashed" w:sz="8" w:space="0" w:color="4AACC5"/>
            </w:tcBorders>
            <w:shd w:val="clear" w:color="auto" w:fill="D2EAF0"/>
          </w:tcPr>
          <w:p w14:paraId="5CFAAF9F"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Tapiridae</w:t>
            </w:r>
          </w:p>
        </w:tc>
        <w:tc>
          <w:tcPr>
            <w:tcW w:w="3204" w:type="dxa"/>
            <w:tcBorders>
              <w:left w:val="dashed" w:sz="8" w:space="0" w:color="4AACC5"/>
              <w:right w:val="dashed" w:sz="8" w:space="0" w:color="4AACC5"/>
            </w:tcBorders>
            <w:shd w:val="clear" w:color="auto" w:fill="D2EAF0"/>
          </w:tcPr>
          <w:p w14:paraId="18303D9B" w14:textId="77777777" w:rsidR="00C81834" w:rsidRPr="00CF0F96" w:rsidRDefault="00C81834" w:rsidP="00C81834">
            <w:pPr>
              <w:pStyle w:val="TableParagraph"/>
              <w:rPr>
                <w:rFonts w:ascii="Arial" w:hAnsi="Arial" w:cs="Arial"/>
                <w:i/>
                <w:sz w:val="21"/>
              </w:rPr>
            </w:pPr>
            <w:r w:rsidRPr="00CF0F96">
              <w:rPr>
                <w:rFonts w:ascii="Arial" w:hAnsi="Arial" w:cs="Arial"/>
                <w:i/>
                <w:sz w:val="21"/>
              </w:rPr>
              <w:t>Tapirus bairdii</w:t>
            </w:r>
          </w:p>
        </w:tc>
        <w:tc>
          <w:tcPr>
            <w:tcW w:w="1372" w:type="dxa"/>
            <w:tcBorders>
              <w:left w:val="dashed" w:sz="8" w:space="0" w:color="4AACC5"/>
              <w:right w:val="dashed" w:sz="8" w:space="0" w:color="4AACC5"/>
            </w:tcBorders>
            <w:shd w:val="clear" w:color="auto" w:fill="D2EAF0"/>
          </w:tcPr>
          <w:p w14:paraId="0DB82ACB"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64A86501" w14:textId="77777777" w:rsidTr="00C81834">
        <w:trPr>
          <w:trHeight w:val="369"/>
        </w:trPr>
        <w:tc>
          <w:tcPr>
            <w:tcW w:w="1804" w:type="dxa"/>
            <w:tcBorders>
              <w:left w:val="dashed" w:sz="8" w:space="0" w:color="4AACC5"/>
              <w:right w:val="dashed" w:sz="8" w:space="0" w:color="4AACC5"/>
            </w:tcBorders>
          </w:tcPr>
          <w:p w14:paraId="7498467F"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Mammalia</w:t>
            </w:r>
          </w:p>
        </w:tc>
        <w:tc>
          <w:tcPr>
            <w:tcW w:w="1879" w:type="dxa"/>
            <w:tcBorders>
              <w:left w:val="dashed" w:sz="8" w:space="0" w:color="4AACC5"/>
              <w:right w:val="dashed" w:sz="8" w:space="0" w:color="4AACC5"/>
            </w:tcBorders>
          </w:tcPr>
          <w:p w14:paraId="10D55BAB"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Tayassuidae</w:t>
            </w:r>
          </w:p>
        </w:tc>
        <w:tc>
          <w:tcPr>
            <w:tcW w:w="3204" w:type="dxa"/>
            <w:tcBorders>
              <w:left w:val="dashed" w:sz="8" w:space="0" w:color="4AACC5"/>
              <w:right w:val="dashed" w:sz="8" w:space="0" w:color="4AACC5"/>
            </w:tcBorders>
          </w:tcPr>
          <w:p w14:paraId="642A6764" w14:textId="77777777" w:rsidR="00C81834" w:rsidRPr="00CF0F96" w:rsidRDefault="00C81834" w:rsidP="00C81834">
            <w:pPr>
              <w:pStyle w:val="TableParagraph"/>
              <w:rPr>
                <w:rFonts w:ascii="Arial" w:hAnsi="Arial" w:cs="Arial"/>
                <w:i/>
                <w:sz w:val="21"/>
              </w:rPr>
            </w:pPr>
            <w:r w:rsidRPr="00CF0F96">
              <w:rPr>
                <w:rFonts w:ascii="Arial" w:hAnsi="Arial" w:cs="Arial"/>
                <w:i/>
                <w:sz w:val="21"/>
              </w:rPr>
              <w:t>Tayassu pecari</w:t>
            </w:r>
          </w:p>
        </w:tc>
        <w:tc>
          <w:tcPr>
            <w:tcW w:w="1372" w:type="dxa"/>
            <w:tcBorders>
              <w:left w:val="dashed" w:sz="8" w:space="0" w:color="4AACC5"/>
              <w:right w:val="dashed" w:sz="8" w:space="0" w:color="4AACC5"/>
            </w:tcBorders>
          </w:tcPr>
          <w:p w14:paraId="49CD50FA"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bl>
    <w:p w14:paraId="2B37BD91" w14:textId="77777777" w:rsidR="00C81834" w:rsidRPr="00FA4B2D" w:rsidRDefault="00C81834" w:rsidP="00C81834">
      <w:pPr>
        <w:tabs>
          <w:tab w:val="left" w:pos="1245"/>
        </w:tabs>
        <w:rPr>
          <w:rFonts w:cs="Arial"/>
        </w:rPr>
      </w:pPr>
    </w:p>
    <w:p w14:paraId="1470343A" w14:textId="77777777" w:rsidR="00C81834" w:rsidRPr="00FA4B2D" w:rsidRDefault="00C81834" w:rsidP="00C81834">
      <w:pPr>
        <w:tabs>
          <w:tab w:val="left" w:pos="1245"/>
        </w:tabs>
        <w:rPr>
          <w:rFonts w:cs="Arial"/>
        </w:rPr>
      </w:pPr>
    </w:p>
    <w:p w14:paraId="2F9052AA" w14:textId="77777777" w:rsidR="00C81834" w:rsidRPr="00FA4B2D" w:rsidRDefault="00C81834" w:rsidP="00C81834">
      <w:pPr>
        <w:tabs>
          <w:tab w:val="left" w:pos="1245"/>
        </w:tabs>
        <w:rPr>
          <w:rFonts w:cs="Arial"/>
        </w:rPr>
      </w:pPr>
    </w:p>
    <w:tbl>
      <w:tblPr>
        <w:tblStyle w:val="TableNormal1"/>
        <w:tblW w:w="0" w:type="auto"/>
        <w:jc w:val="center"/>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1804"/>
        <w:gridCol w:w="1879"/>
        <w:gridCol w:w="3204"/>
        <w:gridCol w:w="1372"/>
      </w:tblGrid>
      <w:tr w:rsidR="00C81834" w:rsidRPr="00FA4B2D" w14:paraId="644B36FB" w14:textId="77777777" w:rsidTr="005D7F0C">
        <w:trPr>
          <w:trHeight w:val="369"/>
          <w:jc w:val="center"/>
        </w:trPr>
        <w:tc>
          <w:tcPr>
            <w:tcW w:w="1804" w:type="dxa"/>
            <w:tcBorders>
              <w:left w:val="dashed" w:sz="8" w:space="0" w:color="4AACC5"/>
              <w:right w:val="dashed" w:sz="8" w:space="0" w:color="4AACC5"/>
            </w:tcBorders>
            <w:shd w:val="clear" w:color="auto" w:fill="5CC5DA"/>
          </w:tcPr>
          <w:p w14:paraId="4EC00312" w14:textId="77777777" w:rsidR="00C81834" w:rsidRPr="00CF0F96" w:rsidRDefault="00C81834" w:rsidP="00D30988">
            <w:pPr>
              <w:pStyle w:val="TableParagraph"/>
              <w:ind w:left="625" w:right="605"/>
              <w:jc w:val="center"/>
              <w:rPr>
                <w:rFonts w:ascii="Arial" w:hAnsi="Arial" w:cs="Arial"/>
                <w:bCs/>
                <w:sz w:val="21"/>
              </w:rPr>
            </w:pPr>
            <w:r w:rsidRPr="00CF0F96">
              <w:rPr>
                <w:rFonts w:ascii="Arial" w:hAnsi="Arial" w:cs="Arial"/>
                <w:bCs/>
                <w:sz w:val="21"/>
              </w:rPr>
              <w:lastRenderedPageBreak/>
              <w:t>Clase</w:t>
            </w:r>
          </w:p>
        </w:tc>
        <w:tc>
          <w:tcPr>
            <w:tcW w:w="1879" w:type="dxa"/>
            <w:tcBorders>
              <w:left w:val="dashed" w:sz="8" w:space="0" w:color="4AACC5"/>
              <w:right w:val="dashed" w:sz="8" w:space="0" w:color="4AACC5"/>
            </w:tcBorders>
            <w:shd w:val="clear" w:color="auto" w:fill="5CC5DA"/>
          </w:tcPr>
          <w:p w14:paraId="3742B609" w14:textId="77777777" w:rsidR="00C81834" w:rsidRPr="00CF0F96" w:rsidRDefault="00C81834" w:rsidP="00CF0F96">
            <w:pPr>
              <w:pStyle w:val="TableParagraph"/>
              <w:ind w:left="627"/>
              <w:rPr>
                <w:rFonts w:ascii="Arial" w:hAnsi="Arial" w:cs="Arial"/>
                <w:bCs/>
                <w:sz w:val="21"/>
              </w:rPr>
            </w:pPr>
            <w:r w:rsidRPr="00CF0F96">
              <w:rPr>
                <w:rFonts w:ascii="Arial" w:hAnsi="Arial" w:cs="Arial"/>
                <w:bCs/>
                <w:sz w:val="21"/>
              </w:rPr>
              <w:t>Familia</w:t>
            </w:r>
          </w:p>
        </w:tc>
        <w:tc>
          <w:tcPr>
            <w:tcW w:w="3204" w:type="dxa"/>
            <w:tcBorders>
              <w:left w:val="dashed" w:sz="8" w:space="0" w:color="4AACC5"/>
              <w:right w:val="dashed" w:sz="8" w:space="0" w:color="4AACC5"/>
            </w:tcBorders>
            <w:shd w:val="clear" w:color="auto" w:fill="5CC5DA"/>
          </w:tcPr>
          <w:p w14:paraId="154E51B6" w14:textId="77777777" w:rsidR="00C81834" w:rsidRPr="00CF0F96" w:rsidRDefault="00C81834" w:rsidP="00D30988">
            <w:pPr>
              <w:pStyle w:val="TableParagraph"/>
              <w:ind w:left="1165" w:right="1144"/>
              <w:jc w:val="center"/>
              <w:rPr>
                <w:rFonts w:ascii="Arial" w:hAnsi="Arial" w:cs="Arial"/>
                <w:bCs/>
                <w:sz w:val="21"/>
              </w:rPr>
            </w:pPr>
            <w:r w:rsidRPr="00CF0F96">
              <w:rPr>
                <w:rFonts w:ascii="Arial" w:hAnsi="Arial" w:cs="Arial"/>
                <w:bCs/>
                <w:sz w:val="21"/>
              </w:rPr>
              <w:t>Especies</w:t>
            </w:r>
          </w:p>
        </w:tc>
        <w:tc>
          <w:tcPr>
            <w:tcW w:w="1372" w:type="dxa"/>
            <w:tcBorders>
              <w:left w:val="dashed" w:sz="8" w:space="0" w:color="4AACC5"/>
              <w:right w:val="dashed" w:sz="8" w:space="0" w:color="4AACC5"/>
            </w:tcBorders>
            <w:shd w:val="clear" w:color="auto" w:fill="5CC5DA"/>
          </w:tcPr>
          <w:p w14:paraId="78A16FCE" w14:textId="77777777" w:rsidR="00C81834" w:rsidRPr="00CF0F96" w:rsidRDefault="00C81834" w:rsidP="00CF0F96">
            <w:pPr>
              <w:pStyle w:val="TableParagraph"/>
              <w:ind w:left="281"/>
              <w:rPr>
                <w:rFonts w:ascii="Arial" w:hAnsi="Arial" w:cs="Arial"/>
                <w:bCs/>
                <w:sz w:val="21"/>
              </w:rPr>
            </w:pPr>
            <w:r w:rsidRPr="00CF0F96">
              <w:rPr>
                <w:rFonts w:ascii="Arial" w:hAnsi="Arial" w:cs="Arial"/>
                <w:bCs/>
                <w:w w:val="95"/>
                <w:sz w:val="21"/>
              </w:rPr>
              <w:t>Categoría</w:t>
            </w:r>
          </w:p>
        </w:tc>
      </w:tr>
      <w:tr w:rsidR="00C81834" w:rsidRPr="00FA4B2D" w14:paraId="2D82B775" w14:textId="77777777" w:rsidTr="00C81834">
        <w:trPr>
          <w:trHeight w:val="369"/>
          <w:jc w:val="center"/>
        </w:trPr>
        <w:tc>
          <w:tcPr>
            <w:tcW w:w="1804" w:type="dxa"/>
            <w:tcBorders>
              <w:left w:val="dashed" w:sz="8" w:space="0" w:color="4AACC5"/>
              <w:right w:val="dashed" w:sz="8" w:space="0" w:color="4AACC5"/>
            </w:tcBorders>
            <w:shd w:val="clear" w:color="auto" w:fill="D2EAF0"/>
          </w:tcPr>
          <w:p w14:paraId="348932D8"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Mammalia</w:t>
            </w:r>
          </w:p>
        </w:tc>
        <w:tc>
          <w:tcPr>
            <w:tcW w:w="1879" w:type="dxa"/>
            <w:tcBorders>
              <w:left w:val="dashed" w:sz="8" w:space="0" w:color="4AACC5"/>
              <w:right w:val="dashed" w:sz="8" w:space="0" w:color="4AACC5"/>
            </w:tcBorders>
            <w:shd w:val="clear" w:color="auto" w:fill="D2EAF0"/>
          </w:tcPr>
          <w:p w14:paraId="0E706562"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Cricetidae</w:t>
            </w:r>
          </w:p>
        </w:tc>
        <w:tc>
          <w:tcPr>
            <w:tcW w:w="3204" w:type="dxa"/>
            <w:tcBorders>
              <w:left w:val="dashed" w:sz="8" w:space="0" w:color="4AACC5"/>
              <w:right w:val="dashed" w:sz="8" w:space="0" w:color="4AACC5"/>
            </w:tcBorders>
            <w:shd w:val="clear" w:color="auto" w:fill="D2EAF0"/>
          </w:tcPr>
          <w:p w14:paraId="08EE1D13" w14:textId="77777777" w:rsidR="00C81834" w:rsidRPr="00CF0F96" w:rsidRDefault="00C81834" w:rsidP="00C81834">
            <w:pPr>
              <w:pStyle w:val="TableParagraph"/>
              <w:rPr>
                <w:rFonts w:ascii="Arial" w:hAnsi="Arial" w:cs="Arial"/>
                <w:i/>
                <w:sz w:val="21"/>
              </w:rPr>
            </w:pPr>
            <w:r w:rsidRPr="00CF0F96">
              <w:rPr>
                <w:rFonts w:ascii="Arial" w:hAnsi="Arial" w:cs="Arial"/>
                <w:i/>
                <w:sz w:val="21"/>
              </w:rPr>
              <w:t>Handleyomys saturatior</w:t>
            </w:r>
          </w:p>
        </w:tc>
        <w:tc>
          <w:tcPr>
            <w:tcW w:w="1372" w:type="dxa"/>
            <w:tcBorders>
              <w:left w:val="dashed" w:sz="8" w:space="0" w:color="4AACC5"/>
              <w:right w:val="dashed" w:sz="8" w:space="0" w:color="4AACC5"/>
            </w:tcBorders>
            <w:shd w:val="clear" w:color="auto" w:fill="D2EAF0"/>
          </w:tcPr>
          <w:p w14:paraId="31DE056B"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7B030DD1" w14:textId="77777777" w:rsidTr="00C81834">
        <w:trPr>
          <w:trHeight w:val="369"/>
          <w:jc w:val="center"/>
        </w:trPr>
        <w:tc>
          <w:tcPr>
            <w:tcW w:w="1804" w:type="dxa"/>
            <w:tcBorders>
              <w:left w:val="dashed" w:sz="8" w:space="0" w:color="4AACC5"/>
              <w:right w:val="dashed" w:sz="8" w:space="0" w:color="4AACC5"/>
            </w:tcBorders>
          </w:tcPr>
          <w:p w14:paraId="0AC4D854"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Mammalia</w:t>
            </w:r>
          </w:p>
        </w:tc>
        <w:tc>
          <w:tcPr>
            <w:tcW w:w="1879" w:type="dxa"/>
            <w:tcBorders>
              <w:left w:val="dashed" w:sz="8" w:space="0" w:color="4AACC5"/>
              <w:right w:val="dashed" w:sz="8" w:space="0" w:color="4AACC5"/>
            </w:tcBorders>
          </w:tcPr>
          <w:p w14:paraId="3CABB34E"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Cricetidae</w:t>
            </w:r>
          </w:p>
        </w:tc>
        <w:tc>
          <w:tcPr>
            <w:tcW w:w="3204" w:type="dxa"/>
            <w:tcBorders>
              <w:left w:val="dashed" w:sz="8" w:space="0" w:color="4AACC5"/>
              <w:right w:val="dashed" w:sz="8" w:space="0" w:color="4AACC5"/>
            </w:tcBorders>
          </w:tcPr>
          <w:p w14:paraId="220A984C" w14:textId="77777777" w:rsidR="00C81834" w:rsidRPr="00CF0F96" w:rsidRDefault="00C81834" w:rsidP="00C81834">
            <w:pPr>
              <w:pStyle w:val="TableParagraph"/>
              <w:rPr>
                <w:rFonts w:ascii="Arial" w:hAnsi="Arial" w:cs="Arial"/>
                <w:i/>
                <w:sz w:val="21"/>
              </w:rPr>
            </w:pPr>
            <w:r w:rsidRPr="00CF0F96">
              <w:rPr>
                <w:rFonts w:ascii="Arial" w:hAnsi="Arial" w:cs="Arial"/>
                <w:i/>
                <w:sz w:val="21"/>
              </w:rPr>
              <w:t>Rheomys thomasi</w:t>
            </w:r>
          </w:p>
        </w:tc>
        <w:tc>
          <w:tcPr>
            <w:tcW w:w="1372" w:type="dxa"/>
            <w:tcBorders>
              <w:left w:val="dashed" w:sz="8" w:space="0" w:color="4AACC5"/>
              <w:right w:val="dashed" w:sz="8" w:space="0" w:color="4AACC5"/>
            </w:tcBorders>
          </w:tcPr>
          <w:p w14:paraId="0B8150BD"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113874FF" w14:textId="77777777" w:rsidTr="00C81834">
        <w:trPr>
          <w:trHeight w:val="369"/>
          <w:jc w:val="center"/>
        </w:trPr>
        <w:tc>
          <w:tcPr>
            <w:tcW w:w="1804" w:type="dxa"/>
            <w:tcBorders>
              <w:left w:val="dashed" w:sz="8" w:space="0" w:color="4AACC5"/>
              <w:right w:val="dashed" w:sz="8" w:space="0" w:color="4AACC5"/>
            </w:tcBorders>
            <w:shd w:val="clear" w:color="auto" w:fill="D2EAF0"/>
          </w:tcPr>
          <w:p w14:paraId="3F35FCBE"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Mammalia</w:t>
            </w:r>
          </w:p>
        </w:tc>
        <w:tc>
          <w:tcPr>
            <w:tcW w:w="1879" w:type="dxa"/>
            <w:tcBorders>
              <w:left w:val="dashed" w:sz="8" w:space="0" w:color="4AACC5"/>
              <w:right w:val="dashed" w:sz="8" w:space="0" w:color="4AACC5"/>
            </w:tcBorders>
            <w:shd w:val="clear" w:color="auto" w:fill="D2EAF0"/>
          </w:tcPr>
          <w:p w14:paraId="152DDB92"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Dasyproctidae</w:t>
            </w:r>
          </w:p>
        </w:tc>
        <w:tc>
          <w:tcPr>
            <w:tcW w:w="3204" w:type="dxa"/>
            <w:tcBorders>
              <w:left w:val="dashed" w:sz="8" w:space="0" w:color="4AACC5"/>
              <w:right w:val="dashed" w:sz="8" w:space="0" w:color="4AACC5"/>
            </w:tcBorders>
            <w:shd w:val="clear" w:color="auto" w:fill="D2EAF0"/>
          </w:tcPr>
          <w:p w14:paraId="1B4D1BA6" w14:textId="77777777" w:rsidR="00C81834" w:rsidRPr="00CF0F96" w:rsidRDefault="00C81834" w:rsidP="00C81834">
            <w:pPr>
              <w:pStyle w:val="TableParagraph"/>
              <w:rPr>
                <w:rFonts w:ascii="Arial" w:hAnsi="Arial" w:cs="Arial"/>
                <w:i/>
                <w:sz w:val="21"/>
              </w:rPr>
            </w:pPr>
            <w:r w:rsidRPr="00CF0F96">
              <w:rPr>
                <w:rFonts w:ascii="Arial" w:hAnsi="Arial" w:cs="Arial"/>
                <w:i/>
                <w:sz w:val="21"/>
              </w:rPr>
              <w:t>Dasyprocta ruatanica</w:t>
            </w:r>
          </w:p>
        </w:tc>
        <w:tc>
          <w:tcPr>
            <w:tcW w:w="1372" w:type="dxa"/>
            <w:tcBorders>
              <w:left w:val="dashed" w:sz="8" w:space="0" w:color="4AACC5"/>
              <w:right w:val="dashed" w:sz="8" w:space="0" w:color="4AACC5"/>
            </w:tcBorders>
            <w:shd w:val="clear" w:color="auto" w:fill="D2EAF0"/>
          </w:tcPr>
          <w:p w14:paraId="782A7E33"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01CBE650" w14:textId="77777777" w:rsidTr="00C81834">
        <w:trPr>
          <w:trHeight w:val="369"/>
          <w:jc w:val="center"/>
        </w:trPr>
        <w:tc>
          <w:tcPr>
            <w:tcW w:w="1804" w:type="dxa"/>
            <w:tcBorders>
              <w:left w:val="dashed" w:sz="8" w:space="0" w:color="4AACC5"/>
              <w:right w:val="dashed" w:sz="8" w:space="0" w:color="4AACC5"/>
            </w:tcBorders>
          </w:tcPr>
          <w:p w14:paraId="3DED27E3"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Mammalia</w:t>
            </w:r>
          </w:p>
        </w:tc>
        <w:tc>
          <w:tcPr>
            <w:tcW w:w="1879" w:type="dxa"/>
            <w:tcBorders>
              <w:left w:val="dashed" w:sz="8" w:space="0" w:color="4AACC5"/>
              <w:right w:val="dashed" w:sz="8" w:space="0" w:color="4AACC5"/>
            </w:tcBorders>
          </w:tcPr>
          <w:p w14:paraId="4E2013B8"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Trichechidae</w:t>
            </w:r>
          </w:p>
        </w:tc>
        <w:tc>
          <w:tcPr>
            <w:tcW w:w="3204" w:type="dxa"/>
            <w:tcBorders>
              <w:left w:val="dashed" w:sz="8" w:space="0" w:color="4AACC5"/>
              <w:right w:val="dashed" w:sz="8" w:space="0" w:color="4AACC5"/>
            </w:tcBorders>
          </w:tcPr>
          <w:p w14:paraId="3FA15508" w14:textId="77777777" w:rsidR="00C81834" w:rsidRPr="00CF0F96" w:rsidRDefault="00C81834" w:rsidP="00C81834">
            <w:pPr>
              <w:pStyle w:val="TableParagraph"/>
              <w:rPr>
                <w:rFonts w:ascii="Arial" w:hAnsi="Arial" w:cs="Arial"/>
                <w:i/>
                <w:sz w:val="21"/>
              </w:rPr>
            </w:pPr>
            <w:r w:rsidRPr="00CF0F96">
              <w:rPr>
                <w:rFonts w:ascii="Arial" w:hAnsi="Arial" w:cs="Arial"/>
                <w:i/>
                <w:sz w:val="21"/>
              </w:rPr>
              <w:t>Trichechus manatus</w:t>
            </w:r>
          </w:p>
        </w:tc>
        <w:tc>
          <w:tcPr>
            <w:tcW w:w="1372" w:type="dxa"/>
            <w:tcBorders>
              <w:left w:val="dashed" w:sz="8" w:space="0" w:color="4AACC5"/>
              <w:right w:val="dashed" w:sz="8" w:space="0" w:color="4AACC5"/>
            </w:tcBorders>
          </w:tcPr>
          <w:p w14:paraId="2B47EFEB"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3141BF8F" w14:textId="77777777" w:rsidTr="00C81834">
        <w:trPr>
          <w:trHeight w:val="369"/>
          <w:jc w:val="center"/>
        </w:trPr>
        <w:tc>
          <w:tcPr>
            <w:tcW w:w="1804" w:type="dxa"/>
            <w:tcBorders>
              <w:left w:val="dashed" w:sz="8" w:space="0" w:color="4AACC5"/>
              <w:right w:val="dashed" w:sz="8" w:space="0" w:color="4AACC5"/>
            </w:tcBorders>
            <w:shd w:val="clear" w:color="auto" w:fill="D2EAF0"/>
          </w:tcPr>
          <w:p w14:paraId="064F39AC"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Mammalia</w:t>
            </w:r>
          </w:p>
        </w:tc>
        <w:tc>
          <w:tcPr>
            <w:tcW w:w="1879" w:type="dxa"/>
            <w:tcBorders>
              <w:left w:val="dashed" w:sz="8" w:space="0" w:color="4AACC5"/>
              <w:right w:val="dashed" w:sz="8" w:space="0" w:color="4AACC5"/>
            </w:tcBorders>
            <w:shd w:val="clear" w:color="auto" w:fill="D2EAF0"/>
          </w:tcPr>
          <w:p w14:paraId="28642E37"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Physeteridae</w:t>
            </w:r>
          </w:p>
        </w:tc>
        <w:tc>
          <w:tcPr>
            <w:tcW w:w="3204" w:type="dxa"/>
            <w:tcBorders>
              <w:left w:val="dashed" w:sz="8" w:space="0" w:color="4AACC5"/>
              <w:right w:val="dashed" w:sz="8" w:space="0" w:color="4AACC5"/>
            </w:tcBorders>
            <w:shd w:val="clear" w:color="auto" w:fill="D2EAF0"/>
          </w:tcPr>
          <w:p w14:paraId="264DBD54" w14:textId="77777777" w:rsidR="00C81834" w:rsidRPr="00CF0F96" w:rsidRDefault="00C81834" w:rsidP="00C81834">
            <w:pPr>
              <w:pStyle w:val="TableParagraph"/>
              <w:rPr>
                <w:rFonts w:ascii="Arial" w:hAnsi="Arial" w:cs="Arial"/>
                <w:i/>
                <w:sz w:val="21"/>
              </w:rPr>
            </w:pPr>
            <w:r w:rsidRPr="00CF0F96">
              <w:rPr>
                <w:rFonts w:ascii="Arial" w:hAnsi="Arial" w:cs="Arial"/>
                <w:i/>
                <w:sz w:val="21"/>
              </w:rPr>
              <w:t>Physeter macrocephalus</w:t>
            </w:r>
          </w:p>
        </w:tc>
        <w:tc>
          <w:tcPr>
            <w:tcW w:w="1372" w:type="dxa"/>
            <w:tcBorders>
              <w:left w:val="dashed" w:sz="8" w:space="0" w:color="4AACC5"/>
              <w:right w:val="dashed" w:sz="8" w:space="0" w:color="4AACC5"/>
            </w:tcBorders>
            <w:shd w:val="clear" w:color="auto" w:fill="D2EAF0"/>
          </w:tcPr>
          <w:p w14:paraId="0F650371"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293AB003" w14:textId="77777777" w:rsidTr="00C81834">
        <w:trPr>
          <w:trHeight w:val="369"/>
          <w:jc w:val="center"/>
        </w:trPr>
        <w:tc>
          <w:tcPr>
            <w:tcW w:w="1804" w:type="dxa"/>
            <w:tcBorders>
              <w:left w:val="dashed" w:sz="8" w:space="0" w:color="4AACC5"/>
              <w:right w:val="dashed" w:sz="8" w:space="0" w:color="4AACC5"/>
            </w:tcBorders>
          </w:tcPr>
          <w:p w14:paraId="425EA74E"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División</w:t>
            </w:r>
          </w:p>
        </w:tc>
        <w:tc>
          <w:tcPr>
            <w:tcW w:w="1879" w:type="dxa"/>
            <w:tcBorders>
              <w:left w:val="dashed" w:sz="8" w:space="0" w:color="4AACC5"/>
              <w:right w:val="dashed" w:sz="8" w:space="0" w:color="4AACC5"/>
            </w:tcBorders>
          </w:tcPr>
          <w:p w14:paraId="44452F12"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Familia</w:t>
            </w:r>
          </w:p>
        </w:tc>
        <w:tc>
          <w:tcPr>
            <w:tcW w:w="3204" w:type="dxa"/>
            <w:tcBorders>
              <w:left w:val="dashed" w:sz="8" w:space="0" w:color="4AACC5"/>
              <w:right w:val="dashed" w:sz="8" w:space="0" w:color="4AACC5"/>
            </w:tcBorders>
          </w:tcPr>
          <w:p w14:paraId="2D2B8B86" w14:textId="77777777" w:rsidR="00C81834" w:rsidRPr="00CF0F96" w:rsidRDefault="00C81834" w:rsidP="00C81834">
            <w:pPr>
              <w:pStyle w:val="TableParagraph"/>
              <w:rPr>
                <w:rFonts w:ascii="Arial" w:hAnsi="Arial" w:cs="Arial"/>
                <w:i/>
                <w:sz w:val="21"/>
              </w:rPr>
            </w:pPr>
            <w:r w:rsidRPr="00CF0F96">
              <w:rPr>
                <w:rFonts w:ascii="Arial" w:hAnsi="Arial" w:cs="Arial"/>
                <w:i/>
                <w:sz w:val="21"/>
              </w:rPr>
              <w:t>Especie</w:t>
            </w:r>
          </w:p>
        </w:tc>
        <w:tc>
          <w:tcPr>
            <w:tcW w:w="1372" w:type="dxa"/>
            <w:tcBorders>
              <w:left w:val="dashed" w:sz="8" w:space="0" w:color="4AACC5"/>
              <w:right w:val="dashed" w:sz="8" w:space="0" w:color="4AACC5"/>
            </w:tcBorders>
          </w:tcPr>
          <w:p w14:paraId="7A94602E"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Categoría</w:t>
            </w:r>
          </w:p>
        </w:tc>
      </w:tr>
      <w:tr w:rsidR="00C81834" w:rsidRPr="00FA4B2D" w14:paraId="0AF92EBE" w14:textId="77777777" w:rsidTr="00C81834">
        <w:trPr>
          <w:trHeight w:val="369"/>
          <w:jc w:val="center"/>
        </w:trPr>
        <w:tc>
          <w:tcPr>
            <w:tcW w:w="1804" w:type="dxa"/>
            <w:tcBorders>
              <w:left w:val="dashed" w:sz="8" w:space="0" w:color="4AACC5"/>
              <w:right w:val="dashed" w:sz="8" w:space="0" w:color="4AACC5"/>
            </w:tcBorders>
            <w:shd w:val="clear" w:color="auto" w:fill="D2EAF0"/>
          </w:tcPr>
          <w:p w14:paraId="4B7F1AC3"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Cycadopsida</w:t>
            </w:r>
          </w:p>
        </w:tc>
        <w:tc>
          <w:tcPr>
            <w:tcW w:w="1879" w:type="dxa"/>
            <w:tcBorders>
              <w:left w:val="dashed" w:sz="8" w:space="0" w:color="4AACC5"/>
              <w:right w:val="dashed" w:sz="8" w:space="0" w:color="4AACC5"/>
            </w:tcBorders>
            <w:shd w:val="clear" w:color="auto" w:fill="D2EAF0"/>
          </w:tcPr>
          <w:p w14:paraId="6632831A"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Zamiaceae</w:t>
            </w:r>
          </w:p>
        </w:tc>
        <w:tc>
          <w:tcPr>
            <w:tcW w:w="3204" w:type="dxa"/>
            <w:tcBorders>
              <w:left w:val="dashed" w:sz="8" w:space="0" w:color="4AACC5"/>
              <w:right w:val="dashed" w:sz="8" w:space="0" w:color="4AACC5"/>
            </w:tcBorders>
            <w:shd w:val="clear" w:color="auto" w:fill="D2EAF0"/>
          </w:tcPr>
          <w:p w14:paraId="3ADC7B99" w14:textId="77777777" w:rsidR="00C81834" w:rsidRPr="00CF0F96" w:rsidRDefault="00C81834" w:rsidP="00C81834">
            <w:pPr>
              <w:pStyle w:val="TableParagraph"/>
              <w:rPr>
                <w:rFonts w:ascii="Arial" w:hAnsi="Arial" w:cs="Arial"/>
                <w:i/>
                <w:sz w:val="21"/>
              </w:rPr>
            </w:pPr>
            <w:r w:rsidRPr="00CF0F96">
              <w:rPr>
                <w:rFonts w:ascii="Arial" w:hAnsi="Arial" w:cs="Arial"/>
                <w:i/>
                <w:sz w:val="21"/>
              </w:rPr>
              <w:t>Zamia oreillyi</w:t>
            </w:r>
          </w:p>
        </w:tc>
        <w:tc>
          <w:tcPr>
            <w:tcW w:w="1372" w:type="dxa"/>
            <w:tcBorders>
              <w:left w:val="dashed" w:sz="8" w:space="0" w:color="4AACC5"/>
              <w:right w:val="dashed" w:sz="8" w:space="0" w:color="4AACC5"/>
            </w:tcBorders>
            <w:shd w:val="clear" w:color="auto" w:fill="D2EAF0"/>
          </w:tcPr>
          <w:p w14:paraId="377E7FCA"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06A22C1A" w14:textId="77777777" w:rsidTr="00C81834">
        <w:trPr>
          <w:trHeight w:val="369"/>
          <w:jc w:val="center"/>
        </w:trPr>
        <w:tc>
          <w:tcPr>
            <w:tcW w:w="1804" w:type="dxa"/>
            <w:tcBorders>
              <w:left w:val="dashed" w:sz="8" w:space="0" w:color="4AACC5"/>
              <w:right w:val="dashed" w:sz="8" w:space="0" w:color="4AACC5"/>
            </w:tcBorders>
          </w:tcPr>
          <w:p w14:paraId="1482F802"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Cycadopsida</w:t>
            </w:r>
          </w:p>
        </w:tc>
        <w:tc>
          <w:tcPr>
            <w:tcW w:w="1879" w:type="dxa"/>
            <w:tcBorders>
              <w:left w:val="dashed" w:sz="8" w:space="0" w:color="4AACC5"/>
              <w:right w:val="dashed" w:sz="8" w:space="0" w:color="4AACC5"/>
            </w:tcBorders>
          </w:tcPr>
          <w:p w14:paraId="7F71150D"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Zamiaceae</w:t>
            </w:r>
          </w:p>
        </w:tc>
        <w:tc>
          <w:tcPr>
            <w:tcW w:w="3204" w:type="dxa"/>
            <w:tcBorders>
              <w:left w:val="dashed" w:sz="8" w:space="0" w:color="4AACC5"/>
              <w:right w:val="dashed" w:sz="8" w:space="0" w:color="4AACC5"/>
            </w:tcBorders>
          </w:tcPr>
          <w:p w14:paraId="304199FF" w14:textId="77777777" w:rsidR="00C81834" w:rsidRPr="00CF0F96" w:rsidRDefault="00C81834" w:rsidP="00C81834">
            <w:pPr>
              <w:pStyle w:val="TableParagraph"/>
              <w:rPr>
                <w:rFonts w:ascii="Arial" w:hAnsi="Arial" w:cs="Arial"/>
                <w:i/>
                <w:sz w:val="21"/>
              </w:rPr>
            </w:pPr>
            <w:r w:rsidRPr="00CF0F96">
              <w:rPr>
                <w:rFonts w:ascii="Arial" w:hAnsi="Arial" w:cs="Arial"/>
                <w:i/>
                <w:sz w:val="21"/>
              </w:rPr>
              <w:t>Zamia sandovalii</w:t>
            </w:r>
          </w:p>
        </w:tc>
        <w:tc>
          <w:tcPr>
            <w:tcW w:w="1372" w:type="dxa"/>
            <w:tcBorders>
              <w:left w:val="dashed" w:sz="8" w:space="0" w:color="4AACC5"/>
              <w:right w:val="dashed" w:sz="8" w:space="0" w:color="4AACC5"/>
            </w:tcBorders>
          </w:tcPr>
          <w:p w14:paraId="5FBD924B"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376D299F" w14:textId="77777777" w:rsidTr="00C81834">
        <w:trPr>
          <w:trHeight w:val="369"/>
          <w:jc w:val="center"/>
        </w:trPr>
        <w:tc>
          <w:tcPr>
            <w:tcW w:w="1804" w:type="dxa"/>
            <w:tcBorders>
              <w:left w:val="dashed" w:sz="8" w:space="0" w:color="4AACC5"/>
              <w:right w:val="dashed" w:sz="8" w:space="0" w:color="4AACC5"/>
            </w:tcBorders>
            <w:shd w:val="clear" w:color="auto" w:fill="D2EAF0"/>
          </w:tcPr>
          <w:p w14:paraId="1682A7A8"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Cycadopsida</w:t>
            </w:r>
          </w:p>
        </w:tc>
        <w:tc>
          <w:tcPr>
            <w:tcW w:w="1879" w:type="dxa"/>
            <w:tcBorders>
              <w:left w:val="dashed" w:sz="8" w:space="0" w:color="4AACC5"/>
              <w:right w:val="dashed" w:sz="8" w:space="0" w:color="4AACC5"/>
            </w:tcBorders>
            <w:shd w:val="clear" w:color="auto" w:fill="D2EAF0"/>
          </w:tcPr>
          <w:p w14:paraId="2D669314"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Zamiaceae</w:t>
            </w:r>
          </w:p>
        </w:tc>
        <w:tc>
          <w:tcPr>
            <w:tcW w:w="3204" w:type="dxa"/>
            <w:tcBorders>
              <w:left w:val="dashed" w:sz="8" w:space="0" w:color="4AACC5"/>
              <w:right w:val="dashed" w:sz="8" w:space="0" w:color="4AACC5"/>
            </w:tcBorders>
            <w:shd w:val="clear" w:color="auto" w:fill="D2EAF0"/>
          </w:tcPr>
          <w:p w14:paraId="53251ED6" w14:textId="77777777" w:rsidR="00C81834" w:rsidRPr="00CF0F96" w:rsidRDefault="00C81834" w:rsidP="00C81834">
            <w:pPr>
              <w:pStyle w:val="TableParagraph"/>
              <w:rPr>
                <w:rFonts w:ascii="Arial" w:hAnsi="Arial" w:cs="Arial"/>
                <w:i/>
                <w:sz w:val="21"/>
              </w:rPr>
            </w:pPr>
            <w:r w:rsidRPr="00CF0F96">
              <w:rPr>
                <w:rFonts w:ascii="Arial" w:hAnsi="Arial" w:cs="Arial"/>
                <w:i/>
                <w:sz w:val="21"/>
              </w:rPr>
              <w:t>Zamia variegata</w:t>
            </w:r>
          </w:p>
        </w:tc>
        <w:tc>
          <w:tcPr>
            <w:tcW w:w="1372" w:type="dxa"/>
            <w:tcBorders>
              <w:left w:val="dashed" w:sz="8" w:space="0" w:color="4AACC5"/>
              <w:right w:val="dashed" w:sz="8" w:space="0" w:color="4AACC5"/>
            </w:tcBorders>
            <w:shd w:val="clear" w:color="auto" w:fill="D2EAF0"/>
          </w:tcPr>
          <w:p w14:paraId="521CD6E6"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4A5D44A7" w14:textId="77777777" w:rsidTr="00C81834">
        <w:trPr>
          <w:trHeight w:val="369"/>
          <w:jc w:val="center"/>
        </w:trPr>
        <w:tc>
          <w:tcPr>
            <w:tcW w:w="1804" w:type="dxa"/>
            <w:tcBorders>
              <w:left w:val="dashed" w:sz="8" w:space="0" w:color="4AACC5"/>
              <w:right w:val="dashed" w:sz="8" w:space="0" w:color="4AACC5"/>
            </w:tcBorders>
          </w:tcPr>
          <w:p w14:paraId="71E27A19"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Cycadopsida</w:t>
            </w:r>
          </w:p>
        </w:tc>
        <w:tc>
          <w:tcPr>
            <w:tcW w:w="1879" w:type="dxa"/>
            <w:tcBorders>
              <w:left w:val="dashed" w:sz="8" w:space="0" w:color="4AACC5"/>
              <w:right w:val="dashed" w:sz="8" w:space="0" w:color="4AACC5"/>
            </w:tcBorders>
          </w:tcPr>
          <w:p w14:paraId="1872F9E9"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Zamiaceae</w:t>
            </w:r>
          </w:p>
        </w:tc>
        <w:tc>
          <w:tcPr>
            <w:tcW w:w="3204" w:type="dxa"/>
            <w:tcBorders>
              <w:left w:val="dashed" w:sz="8" w:space="0" w:color="4AACC5"/>
              <w:right w:val="dashed" w:sz="8" w:space="0" w:color="4AACC5"/>
            </w:tcBorders>
          </w:tcPr>
          <w:p w14:paraId="0DEA179F" w14:textId="77777777" w:rsidR="00C81834" w:rsidRPr="00CF0F96" w:rsidRDefault="00C81834" w:rsidP="00C81834">
            <w:pPr>
              <w:pStyle w:val="TableParagraph"/>
              <w:rPr>
                <w:rFonts w:ascii="Arial" w:hAnsi="Arial" w:cs="Arial"/>
                <w:i/>
                <w:sz w:val="21"/>
              </w:rPr>
            </w:pPr>
            <w:r w:rsidRPr="00CF0F96">
              <w:rPr>
                <w:rFonts w:ascii="Arial" w:hAnsi="Arial" w:cs="Arial"/>
                <w:i/>
                <w:sz w:val="21"/>
              </w:rPr>
              <w:t>Zamia herrerae</w:t>
            </w:r>
          </w:p>
        </w:tc>
        <w:tc>
          <w:tcPr>
            <w:tcW w:w="1372" w:type="dxa"/>
            <w:tcBorders>
              <w:left w:val="dashed" w:sz="8" w:space="0" w:color="4AACC5"/>
              <w:right w:val="dashed" w:sz="8" w:space="0" w:color="4AACC5"/>
            </w:tcBorders>
          </w:tcPr>
          <w:p w14:paraId="6898D62C"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467D4160" w14:textId="77777777" w:rsidTr="00C81834">
        <w:trPr>
          <w:trHeight w:val="369"/>
          <w:jc w:val="center"/>
        </w:trPr>
        <w:tc>
          <w:tcPr>
            <w:tcW w:w="1804" w:type="dxa"/>
            <w:tcBorders>
              <w:left w:val="dashed" w:sz="8" w:space="0" w:color="4AACC5"/>
              <w:right w:val="dashed" w:sz="8" w:space="0" w:color="4AACC5"/>
            </w:tcBorders>
            <w:shd w:val="clear" w:color="auto" w:fill="D2EAF0"/>
          </w:tcPr>
          <w:p w14:paraId="771F9F5E"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Cycadopsida</w:t>
            </w:r>
          </w:p>
        </w:tc>
        <w:tc>
          <w:tcPr>
            <w:tcW w:w="1879" w:type="dxa"/>
            <w:tcBorders>
              <w:left w:val="dashed" w:sz="8" w:space="0" w:color="4AACC5"/>
              <w:right w:val="dashed" w:sz="8" w:space="0" w:color="4AACC5"/>
            </w:tcBorders>
            <w:shd w:val="clear" w:color="auto" w:fill="D2EAF0"/>
          </w:tcPr>
          <w:p w14:paraId="1331DE26"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Zamiaceae</w:t>
            </w:r>
          </w:p>
        </w:tc>
        <w:tc>
          <w:tcPr>
            <w:tcW w:w="3204" w:type="dxa"/>
            <w:tcBorders>
              <w:left w:val="dashed" w:sz="8" w:space="0" w:color="4AACC5"/>
              <w:right w:val="dashed" w:sz="8" w:space="0" w:color="4AACC5"/>
            </w:tcBorders>
            <w:shd w:val="clear" w:color="auto" w:fill="D2EAF0"/>
          </w:tcPr>
          <w:p w14:paraId="7B241B29" w14:textId="77777777" w:rsidR="00C81834" w:rsidRPr="00CF0F96" w:rsidRDefault="00C81834" w:rsidP="00C81834">
            <w:pPr>
              <w:pStyle w:val="TableParagraph"/>
              <w:rPr>
                <w:rFonts w:ascii="Arial" w:hAnsi="Arial" w:cs="Arial"/>
                <w:i/>
                <w:sz w:val="21"/>
              </w:rPr>
            </w:pPr>
            <w:r w:rsidRPr="00CF0F96">
              <w:rPr>
                <w:rFonts w:ascii="Arial" w:hAnsi="Arial" w:cs="Arial"/>
                <w:i/>
                <w:sz w:val="21"/>
              </w:rPr>
              <w:t>Zamia standleyi</w:t>
            </w:r>
          </w:p>
        </w:tc>
        <w:tc>
          <w:tcPr>
            <w:tcW w:w="1372" w:type="dxa"/>
            <w:tcBorders>
              <w:left w:val="dashed" w:sz="8" w:space="0" w:color="4AACC5"/>
              <w:right w:val="dashed" w:sz="8" w:space="0" w:color="4AACC5"/>
            </w:tcBorders>
            <w:shd w:val="clear" w:color="auto" w:fill="D2EAF0"/>
          </w:tcPr>
          <w:p w14:paraId="3332FF6A"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79280BD2" w14:textId="77777777" w:rsidTr="00C81834">
        <w:trPr>
          <w:trHeight w:val="369"/>
          <w:jc w:val="center"/>
        </w:trPr>
        <w:tc>
          <w:tcPr>
            <w:tcW w:w="1804" w:type="dxa"/>
            <w:tcBorders>
              <w:left w:val="dashed" w:sz="8" w:space="0" w:color="4AACC5"/>
              <w:right w:val="dashed" w:sz="8" w:space="0" w:color="4AACC5"/>
            </w:tcBorders>
          </w:tcPr>
          <w:p w14:paraId="4E41DEBC"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Liliopsida</w:t>
            </w:r>
          </w:p>
        </w:tc>
        <w:tc>
          <w:tcPr>
            <w:tcW w:w="1879" w:type="dxa"/>
            <w:tcBorders>
              <w:left w:val="dashed" w:sz="8" w:space="0" w:color="4AACC5"/>
              <w:right w:val="dashed" w:sz="8" w:space="0" w:color="4AACC5"/>
            </w:tcBorders>
          </w:tcPr>
          <w:p w14:paraId="500AAA7D"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Orchidaceae</w:t>
            </w:r>
          </w:p>
        </w:tc>
        <w:tc>
          <w:tcPr>
            <w:tcW w:w="3204" w:type="dxa"/>
            <w:tcBorders>
              <w:left w:val="dashed" w:sz="8" w:space="0" w:color="4AACC5"/>
              <w:right w:val="dashed" w:sz="8" w:space="0" w:color="4AACC5"/>
            </w:tcBorders>
          </w:tcPr>
          <w:p w14:paraId="443B4F3B" w14:textId="77777777" w:rsidR="00C81834" w:rsidRPr="00CF0F96" w:rsidRDefault="00C81834" w:rsidP="00C81834">
            <w:pPr>
              <w:pStyle w:val="TableParagraph"/>
              <w:rPr>
                <w:rFonts w:ascii="Arial" w:hAnsi="Arial" w:cs="Arial"/>
                <w:i/>
                <w:sz w:val="21"/>
              </w:rPr>
            </w:pPr>
            <w:r w:rsidRPr="00CF0F96">
              <w:rPr>
                <w:rFonts w:ascii="Arial" w:hAnsi="Arial" w:cs="Arial"/>
                <w:i/>
                <w:sz w:val="21"/>
              </w:rPr>
              <w:t>Anathallis comayaguensis</w:t>
            </w:r>
          </w:p>
        </w:tc>
        <w:tc>
          <w:tcPr>
            <w:tcW w:w="1372" w:type="dxa"/>
            <w:tcBorders>
              <w:left w:val="dashed" w:sz="8" w:space="0" w:color="4AACC5"/>
              <w:right w:val="dashed" w:sz="8" w:space="0" w:color="4AACC5"/>
            </w:tcBorders>
          </w:tcPr>
          <w:p w14:paraId="325B71C3"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467A1F16" w14:textId="77777777" w:rsidTr="00C81834">
        <w:trPr>
          <w:trHeight w:val="369"/>
          <w:jc w:val="center"/>
        </w:trPr>
        <w:tc>
          <w:tcPr>
            <w:tcW w:w="1804" w:type="dxa"/>
            <w:tcBorders>
              <w:left w:val="dashed" w:sz="8" w:space="0" w:color="4AACC5"/>
              <w:right w:val="dashed" w:sz="8" w:space="0" w:color="4AACC5"/>
            </w:tcBorders>
            <w:shd w:val="clear" w:color="auto" w:fill="D2EAF0"/>
          </w:tcPr>
          <w:p w14:paraId="105A6A28"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Liliopsida</w:t>
            </w:r>
          </w:p>
        </w:tc>
        <w:tc>
          <w:tcPr>
            <w:tcW w:w="1879" w:type="dxa"/>
            <w:tcBorders>
              <w:left w:val="dashed" w:sz="8" w:space="0" w:color="4AACC5"/>
              <w:right w:val="dashed" w:sz="8" w:space="0" w:color="4AACC5"/>
            </w:tcBorders>
            <w:shd w:val="clear" w:color="auto" w:fill="D2EAF0"/>
          </w:tcPr>
          <w:p w14:paraId="77A7458A"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Orchidaceae</w:t>
            </w:r>
          </w:p>
        </w:tc>
        <w:tc>
          <w:tcPr>
            <w:tcW w:w="3204" w:type="dxa"/>
            <w:tcBorders>
              <w:left w:val="dashed" w:sz="8" w:space="0" w:color="4AACC5"/>
              <w:right w:val="dashed" w:sz="8" w:space="0" w:color="4AACC5"/>
            </w:tcBorders>
            <w:shd w:val="clear" w:color="auto" w:fill="D2EAF0"/>
          </w:tcPr>
          <w:p w14:paraId="6723A422" w14:textId="77777777" w:rsidR="00C81834" w:rsidRPr="00CF0F96" w:rsidRDefault="00C81834" w:rsidP="00C81834">
            <w:pPr>
              <w:pStyle w:val="TableParagraph"/>
              <w:rPr>
                <w:rFonts w:ascii="Arial" w:hAnsi="Arial" w:cs="Arial"/>
                <w:i/>
                <w:sz w:val="21"/>
              </w:rPr>
            </w:pPr>
            <w:r w:rsidRPr="00CF0F96">
              <w:rPr>
                <w:rFonts w:ascii="Arial" w:hAnsi="Arial" w:cs="Arial"/>
                <w:i/>
                <w:sz w:val="21"/>
              </w:rPr>
              <w:t>Cypripedium dickinsonianum</w:t>
            </w:r>
          </w:p>
        </w:tc>
        <w:tc>
          <w:tcPr>
            <w:tcW w:w="1372" w:type="dxa"/>
            <w:tcBorders>
              <w:left w:val="dashed" w:sz="8" w:space="0" w:color="4AACC5"/>
              <w:right w:val="dashed" w:sz="8" w:space="0" w:color="4AACC5"/>
            </w:tcBorders>
            <w:shd w:val="clear" w:color="auto" w:fill="D2EAF0"/>
          </w:tcPr>
          <w:p w14:paraId="5D5CA6DC"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59B3163E" w14:textId="77777777" w:rsidTr="00C81834">
        <w:trPr>
          <w:trHeight w:val="369"/>
          <w:jc w:val="center"/>
        </w:trPr>
        <w:tc>
          <w:tcPr>
            <w:tcW w:w="1804" w:type="dxa"/>
            <w:tcBorders>
              <w:left w:val="dashed" w:sz="8" w:space="0" w:color="4AACC5"/>
              <w:right w:val="dashed" w:sz="8" w:space="0" w:color="4AACC5"/>
            </w:tcBorders>
          </w:tcPr>
          <w:p w14:paraId="56076EAD"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Liliopsida</w:t>
            </w:r>
          </w:p>
        </w:tc>
        <w:tc>
          <w:tcPr>
            <w:tcW w:w="1879" w:type="dxa"/>
            <w:tcBorders>
              <w:left w:val="dashed" w:sz="8" w:space="0" w:color="4AACC5"/>
              <w:right w:val="dashed" w:sz="8" w:space="0" w:color="4AACC5"/>
            </w:tcBorders>
          </w:tcPr>
          <w:p w14:paraId="762DBAF6"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Orchidaceae</w:t>
            </w:r>
          </w:p>
        </w:tc>
        <w:tc>
          <w:tcPr>
            <w:tcW w:w="3204" w:type="dxa"/>
            <w:tcBorders>
              <w:left w:val="dashed" w:sz="8" w:space="0" w:color="4AACC5"/>
              <w:right w:val="dashed" w:sz="8" w:space="0" w:color="4AACC5"/>
            </w:tcBorders>
          </w:tcPr>
          <w:p w14:paraId="536A6095" w14:textId="77777777" w:rsidR="00C81834" w:rsidRPr="00CF0F96" w:rsidRDefault="00C81834" w:rsidP="00C81834">
            <w:pPr>
              <w:pStyle w:val="TableParagraph"/>
              <w:rPr>
                <w:rFonts w:ascii="Arial" w:hAnsi="Arial" w:cs="Arial"/>
                <w:i/>
                <w:sz w:val="21"/>
              </w:rPr>
            </w:pPr>
            <w:r w:rsidRPr="00CF0F96">
              <w:rPr>
                <w:rFonts w:ascii="Arial" w:hAnsi="Arial" w:cs="Arial"/>
                <w:i/>
                <w:sz w:val="21"/>
              </w:rPr>
              <w:t>Cypripedium irapeanum</w:t>
            </w:r>
          </w:p>
        </w:tc>
        <w:tc>
          <w:tcPr>
            <w:tcW w:w="1372" w:type="dxa"/>
            <w:tcBorders>
              <w:left w:val="dashed" w:sz="8" w:space="0" w:color="4AACC5"/>
              <w:right w:val="dashed" w:sz="8" w:space="0" w:color="4AACC5"/>
            </w:tcBorders>
          </w:tcPr>
          <w:p w14:paraId="33081FA7"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0BEF09EB" w14:textId="77777777" w:rsidTr="00C81834">
        <w:trPr>
          <w:trHeight w:val="369"/>
          <w:jc w:val="center"/>
        </w:trPr>
        <w:tc>
          <w:tcPr>
            <w:tcW w:w="1804" w:type="dxa"/>
            <w:tcBorders>
              <w:left w:val="dashed" w:sz="8" w:space="0" w:color="4AACC5"/>
              <w:right w:val="dashed" w:sz="8" w:space="0" w:color="4AACC5"/>
            </w:tcBorders>
            <w:shd w:val="clear" w:color="auto" w:fill="D2EAF0"/>
          </w:tcPr>
          <w:p w14:paraId="46693ACA"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Liliopsida</w:t>
            </w:r>
          </w:p>
        </w:tc>
        <w:tc>
          <w:tcPr>
            <w:tcW w:w="1879" w:type="dxa"/>
            <w:tcBorders>
              <w:left w:val="dashed" w:sz="8" w:space="0" w:color="4AACC5"/>
              <w:right w:val="dashed" w:sz="8" w:space="0" w:color="4AACC5"/>
            </w:tcBorders>
            <w:shd w:val="clear" w:color="auto" w:fill="D2EAF0"/>
          </w:tcPr>
          <w:p w14:paraId="4E01314C"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Orchidaceae</w:t>
            </w:r>
          </w:p>
        </w:tc>
        <w:tc>
          <w:tcPr>
            <w:tcW w:w="3204" w:type="dxa"/>
            <w:tcBorders>
              <w:left w:val="dashed" w:sz="8" w:space="0" w:color="4AACC5"/>
              <w:right w:val="dashed" w:sz="8" w:space="0" w:color="4AACC5"/>
            </w:tcBorders>
            <w:shd w:val="clear" w:color="auto" w:fill="D2EAF0"/>
          </w:tcPr>
          <w:p w14:paraId="1ECD0940" w14:textId="77777777" w:rsidR="00C81834" w:rsidRPr="00CF0F96" w:rsidRDefault="00C81834" w:rsidP="00C81834">
            <w:pPr>
              <w:pStyle w:val="TableParagraph"/>
              <w:rPr>
                <w:rFonts w:ascii="Arial" w:hAnsi="Arial" w:cs="Arial"/>
                <w:i/>
                <w:sz w:val="21"/>
              </w:rPr>
            </w:pPr>
            <w:r w:rsidRPr="00CF0F96">
              <w:rPr>
                <w:rFonts w:ascii="Arial" w:hAnsi="Arial" w:cs="Arial"/>
                <w:i/>
                <w:w w:val="95"/>
                <w:sz w:val="21"/>
              </w:rPr>
              <w:t>Phragmipedium warscewiczianum</w:t>
            </w:r>
          </w:p>
        </w:tc>
        <w:tc>
          <w:tcPr>
            <w:tcW w:w="1372" w:type="dxa"/>
            <w:tcBorders>
              <w:left w:val="dashed" w:sz="8" w:space="0" w:color="4AACC5"/>
              <w:right w:val="dashed" w:sz="8" w:space="0" w:color="4AACC5"/>
            </w:tcBorders>
            <w:shd w:val="clear" w:color="auto" w:fill="D2EAF0"/>
          </w:tcPr>
          <w:p w14:paraId="3AE8B185"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08C720F7" w14:textId="77777777" w:rsidTr="00C81834">
        <w:trPr>
          <w:trHeight w:val="369"/>
          <w:jc w:val="center"/>
        </w:trPr>
        <w:tc>
          <w:tcPr>
            <w:tcW w:w="1804" w:type="dxa"/>
            <w:tcBorders>
              <w:left w:val="dashed" w:sz="8" w:space="0" w:color="4AACC5"/>
              <w:right w:val="dashed" w:sz="8" w:space="0" w:color="4AACC5"/>
            </w:tcBorders>
          </w:tcPr>
          <w:p w14:paraId="6C5C4499"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Liliopsida</w:t>
            </w:r>
          </w:p>
        </w:tc>
        <w:tc>
          <w:tcPr>
            <w:tcW w:w="1879" w:type="dxa"/>
            <w:tcBorders>
              <w:left w:val="dashed" w:sz="8" w:space="0" w:color="4AACC5"/>
              <w:right w:val="dashed" w:sz="8" w:space="0" w:color="4AACC5"/>
            </w:tcBorders>
          </w:tcPr>
          <w:p w14:paraId="2AC0A5AF"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Orchidaceae</w:t>
            </w:r>
          </w:p>
        </w:tc>
        <w:tc>
          <w:tcPr>
            <w:tcW w:w="3204" w:type="dxa"/>
            <w:tcBorders>
              <w:left w:val="dashed" w:sz="8" w:space="0" w:color="4AACC5"/>
              <w:right w:val="dashed" w:sz="8" w:space="0" w:color="4AACC5"/>
            </w:tcBorders>
          </w:tcPr>
          <w:p w14:paraId="3BA0E70B" w14:textId="77777777" w:rsidR="00C81834" w:rsidRPr="00CF0F96" w:rsidRDefault="00C81834" w:rsidP="00C81834">
            <w:pPr>
              <w:pStyle w:val="TableParagraph"/>
              <w:rPr>
                <w:rFonts w:ascii="Arial" w:hAnsi="Arial" w:cs="Arial"/>
                <w:i/>
                <w:sz w:val="21"/>
              </w:rPr>
            </w:pPr>
            <w:r w:rsidRPr="00CF0F96">
              <w:rPr>
                <w:rFonts w:ascii="Arial" w:hAnsi="Arial" w:cs="Arial"/>
                <w:i/>
                <w:sz w:val="21"/>
              </w:rPr>
              <w:t>Vanilla cribbiana</w:t>
            </w:r>
          </w:p>
        </w:tc>
        <w:tc>
          <w:tcPr>
            <w:tcW w:w="1372" w:type="dxa"/>
            <w:tcBorders>
              <w:left w:val="dashed" w:sz="8" w:space="0" w:color="4AACC5"/>
              <w:right w:val="dashed" w:sz="8" w:space="0" w:color="4AACC5"/>
            </w:tcBorders>
          </w:tcPr>
          <w:p w14:paraId="26CC5AE1"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2D81763F" w14:textId="77777777" w:rsidTr="00C81834">
        <w:trPr>
          <w:trHeight w:val="369"/>
          <w:jc w:val="center"/>
        </w:trPr>
        <w:tc>
          <w:tcPr>
            <w:tcW w:w="1804" w:type="dxa"/>
            <w:tcBorders>
              <w:left w:val="dashed" w:sz="8" w:space="0" w:color="4AACC5"/>
              <w:right w:val="dashed" w:sz="8" w:space="0" w:color="4AACC5"/>
            </w:tcBorders>
            <w:shd w:val="clear" w:color="auto" w:fill="D2EAF0"/>
          </w:tcPr>
          <w:p w14:paraId="5A48522F"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Liliopsida</w:t>
            </w:r>
          </w:p>
        </w:tc>
        <w:tc>
          <w:tcPr>
            <w:tcW w:w="1879" w:type="dxa"/>
            <w:tcBorders>
              <w:left w:val="dashed" w:sz="8" w:space="0" w:color="4AACC5"/>
              <w:right w:val="dashed" w:sz="8" w:space="0" w:color="4AACC5"/>
            </w:tcBorders>
            <w:shd w:val="clear" w:color="auto" w:fill="D2EAF0"/>
          </w:tcPr>
          <w:p w14:paraId="2385C698"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Orchidaceae</w:t>
            </w:r>
          </w:p>
        </w:tc>
        <w:tc>
          <w:tcPr>
            <w:tcW w:w="3204" w:type="dxa"/>
            <w:tcBorders>
              <w:left w:val="dashed" w:sz="8" w:space="0" w:color="4AACC5"/>
              <w:right w:val="dashed" w:sz="8" w:space="0" w:color="4AACC5"/>
            </w:tcBorders>
            <w:shd w:val="clear" w:color="auto" w:fill="D2EAF0"/>
          </w:tcPr>
          <w:p w14:paraId="5E206FD0" w14:textId="77777777" w:rsidR="00C81834" w:rsidRPr="00CF0F96" w:rsidRDefault="00C81834" w:rsidP="00C81834">
            <w:pPr>
              <w:pStyle w:val="TableParagraph"/>
              <w:rPr>
                <w:rFonts w:ascii="Arial" w:hAnsi="Arial" w:cs="Arial"/>
                <w:i/>
                <w:sz w:val="21"/>
              </w:rPr>
            </w:pPr>
            <w:r w:rsidRPr="00CF0F96">
              <w:rPr>
                <w:rFonts w:ascii="Arial" w:hAnsi="Arial" w:cs="Arial"/>
                <w:i/>
                <w:w w:val="95"/>
                <w:sz w:val="21"/>
              </w:rPr>
              <w:t>Vanilla hartii</w:t>
            </w:r>
          </w:p>
        </w:tc>
        <w:tc>
          <w:tcPr>
            <w:tcW w:w="1372" w:type="dxa"/>
            <w:tcBorders>
              <w:left w:val="dashed" w:sz="8" w:space="0" w:color="4AACC5"/>
              <w:right w:val="dashed" w:sz="8" w:space="0" w:color="4AACC5"/>
            </w:tcBorders>
            <w:shd w:val="clear" w:color="auto" w:fill="D2EAF0"/>
          </w:tcPr>
          <w:p w14:paraId="1D6E5A0D"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48B8DDB4" w14:textId="77777777" w:rsidTr="00C81834">
        <w:trPr>
          <w:trHeight w:val="369"/>
          <w:jc w:val="center"/>
        </w:trPr>
        <w:tc>
          <w:tcPr>
            <w:tcW w:w="1804" w:type="dxa"/>
            <w:tcBorders>
              <w:left w:val="dashed" w:sz="8" w:space="0" w:color="4AACC5"/>
              <w:right w:val="dashed" w:sz="8" w:space="0" w:color="4AACC5"/>
            </w:tcBorders>
          </w:tcPr>
          <w:p w14:paraId="5AA21A57"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Liliopsida</w:t>
            </w:r>
          </w:p>
        </w:tc>
        <w:tc>
          <w:tcPr>
            <w:tcW w:w="1879" w:type="dxa"/>
            <w:tcBorders>
              <w:left w:val="dashed" w:sz="8" w:space="0" w:color="4AACC5"/>
              <w:right w:val="dashed" w:sz="8" w:space="0" w:color="4AACC5"/>
            </w:tcBorders>
          </w:tcPr>
          <w:p w14:paraId="17D95213"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Orchidaceae</w:t>
            </w:r>
          </w:p>
        </w:tc>
        <w:tc>
          <w:tcPr>
            <w:tcW w:w="3204" w:type="dxa"/>
            <w:tcBorders>
              <w:left w:val="dashed" w:sz="8" w:space="0" w:color="4AACC5"/>
              <w:right w:val="dashed" w:sz="8" w:space="0" w:color="4AACC5"/>
            </w:tcBorders>
          </w:tcPr>
          <w:p w14:paraId="072E6DE9" w14:textId="77777777" w:rsidR="00C81834" w:rsidRPr="00CF0F96" w:rsidRDefault="00C81834" w:rsidP="00C81834">
            <w:pPr>
              <w:pStyle w:val="TableParagraph"/>
              <w:rPr>
                <w:rFonts w:ascii="Arial" w:hAnsi="Arial" w:cs="Arial"/>
                <w:i/>
                <w:sz w:val="21"/>
              </w:rPr>
            </w:pPr>
            <w:r w:rsidRPr="00CF0F96">
              <w:rPr>
                <w:rFonts w:ascii="Arial" w:hAnsi="Arial" w:cs="Arial"/>
                <w:i/>
                <w:sz w:val="21"/>
              </w:rPr>
              <w:t>Vanilla inodora</w:t>
            </w:r>
          </w:p>
        </w:tc>
        <w:tc>
          <w:tcPr>
            <w:tcW w:w="1372" w:type="dxa"/>
            <w:tcBorders>
              <w:left w:val="dashed" w:sz="8" w:space="0" w:color="4AACC5"/>
              <w:right w:val="dashed" w:sz="8" w:space="0" w:color="4AACC5"/>
            </w:tcBorders>
          </w:tcPr>
          <w:p w14:paraId="1B3B304E"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7665B61B" w14:textId="77777777" w:rsidTr="00C81834">
        <w:trPr>
          <w:trHeight w:val="369"/>
          <w:jc w:val="center"/>
        </w:trPr>
        <w:tc>
          <w:tcPr>
            <w:tcW w:w="1804" w:type="dxa"/>
            <w:tcBorders>
              <w:left w:val="dashed" w:sz="8" w:space="0" w:color="4AACC5"/>
              <w:right w:val="dashed" w:sz="8" w:space="0" w:color="4AACC5"/>
            </w:tcBorders>
            <w:shd w:val="clear" w:color="auto" w:fill="D2EAF0"/>
          </w:tcPr>
          <w:p w14:paraId="771E1329"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Liliopsida</w:t>
            </w:r>
          </w:p>
        </w:tc>
        <w:tc>
          <w:tcPr>
            <w:tcW w:w="1879" w:type="dxa"/>
            <w:tcBorders>
              <w:left w:val="dashed" w:sz="8" w:space="0" w:color="4AACC5"/>
              <w:right w:val="dashed" w:sz="8" w:space="0" w:color="4AACC5"/>
            </w:tcBorders>
            <w:shd w:val="clear" w:color="auto" w:fill="D2EAF0"/>
          </w:tcPr>
          <w:p w14:paraId="57D204C1"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Orchidaceae</w:t>
            </w:r>
          </w:p>
        </w:tc>
        <w:tc>
          <w:tcPr>
            <w:tcW w:w="3204" w:type="dxa"/>
            <w:tcBorders>
              <w:left w:val="dashed" w:sz="8" w:space="0" w:color="4AACC5"/>
              <w:right w:val="dashed" w:sz="8" w:space="0" w:color="4AACC5"/>
            </w:tcBorders>
            <w:shd w:val="clear" w:color="auto" w:fill="D2EAF0"/>
          </w:tcPr>
          <w:p w14:paraId="2F0D3981" w14:textId="77777777" w:rsidR="00C81834" w:rsidRPr="00CF0F96" w:rsidRDefault="00C81834" w:rsidP="00C81834">
            <w:pPr>
              <w:pStyle w:val="TableParagraph"/>
              <w:rPr>
                <w:rFonts w:ascii="Arial" w:hAnsi="Arial" w:cs="Arial"/>
                <w:i/>
                <w:sz w:val="21"/>
              </w:rPr>
            </w:pPr>
            <w:r w:rsidRPr="00CF0F96">
              <w:rPr>
                <w:rFonts w:ascii="Arial" w:hAnsi="Arial" w:cs="Arial"/>
                <w:i/>
                <w:sz w:val="21"/>
              </w:rPr>
              <w:t>Vanilla insignis</w:t>
            </w:r>
          </w:p>
        </w:tc>
        <w:tc>
          <w:tcPr>
            <w:tcW w:w="1372" w:type="dxa"/>
            <w:tcBorders>
              <w:left w:val="dashed" w:sz="8" w:space="0" w:color="4AACC5"/>
              <w:right w:val="dashed" w:sz="8" w:space="0" w:color="4AACC5"/>
            </w:tcBorders>
            <w:shd w:val="clear" w:color="auto" w:fill="D2EAF0"/>
          </w:tcPr>
          <w:p w14:paraId="2963D817"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1D22CD4A" w14:textId="77777777" w:rsidTr="00C81834">
        <w:trPr>
          <w:trHeight w:val="369"/>
          <w:jc w:val="center"/>
        </w:trPr>
        <w:tc>
          <w:tcPr>
            <w:tcW w:w="1804" w:type="dxa"/>
            <w:tcBorders>
              <w:left w:val="dashed" w:sz="8" w:space="0" w:color="4AACC5"/>
              <w:right w:val="dashed" w:sz="8" w:space="0" w:color="4AACC5"/>
            </w:tcBorders>
          </w:tcPr>
          <w:p w14:paraId="37081C26"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Liliopsida</w:t>
            </w:r>
          </w:p>
        </w:tc>
        <w:tc>
          <w:tcPr>
            <w:tcW w:w="1879" w:type="dxa"/>
            <w:tcBorders>
              <w:left w:val="dashed" w:sz="8" w:space="0" w:color="4AACC5"/>
              <w:right w:val="dashed" w:sz="8" w:space="0" w:color="4AACC5"/>
            </w:tcBorders>
          </w:tcPr>
          <w:p w14:paraId="4D2CBED6"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Orchidaceae</w:t>
            </w:r>
          </w:p>
        </w:tc>
        <w:tc>
          <w:tcPr>
            <w:tcW w:w="3204" w:type="dxa"/>
            <w:tcBorders>
              <w:left w:val="dashed" w:sz="8" w:space="0" w:color="4AACC5"/>
              <w:right w:val="dashed" w:sz="8" w:space="0" w:color="4AACC5"/>
            </w:tcBorders>
          </w:tcPr>
          <w:p w14:paraId="48A1FA33" w14:textId="77777777" w:rsidR="00C81834" w:rsidRPr="00CF0F96" w:rsidRDefault="00C81834" w:rsidP="00C81834">
            <w:pPr>
              <w:pStyle w:val="TableParagraph"/>
              <w:rPr>
                <w:rFonts w:ascii="Arial" w:hAnsi="Arial" w:cs="Arial"/>
                <w:i/>
                <w:sz w:val="21"/>
              </w:rPr>
            </w:pPr>
            <w:r w:rsidRPr="00CF0F96">
              <w:rPr>
                <w:rFonts w:ascii="Arial" w:hAnsi="Arial" w:cs="Arial"/>
                <w:i/>
                <w:sz w:val="21"/>
              </w:rPr>
              <w:t>Vanilla odorata</w:t>
            </w:r>
          </w:p>
        </w:tc>
        <w:tc>
          <w:tcPr>
            <w:tcW w:w="1372" w:type="dxa"/>
            <w:tcBorders>
              <w:left w:val="dashed" w:sz="8" w:space="0" w:color="4AACC5"/>
              <w:right w:val="dashed" w:sz="8" w:space="0" w:color="4AACC5"/>
            </w:tcBorders>
          </w:tcPr>
          <w:p w14:paraId="090843EF"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2850A7CA" w14:textId="77777777" w:rsidTr="00C81834">
        <w:trPr>
          <w:trHeight w:val="369"/>
          <w:jc w:val="center"/>
        </w:trPr>
        <w:tc>
          <w:tcPr>
            <w:tcW w:w="1804" w:type="dxa"/>
            <w:tcBorders>
              <w:left w:val="dashed" w:sz="8" w:space="0" w:color="4AACC5"/>
              <w:right w:val="dashed" w:sz="8" w:space="0" w:color="4AACC5"/>
            </w:tcBorders>
            <w:shd w:val="clear" w:color="auto" w:fill="D2EAF0"/>
          </w:tcPr>
          <w:p w14:paraId="5B2A62D4"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Liliopsida</w:t>
            </w:r>
          </w:p>
        </w:tc>
        <w:tc>
          <w:tcPr>
            <w:tcW w:w="1879" w:type="dxa"/>
            <w:tcBorders>
              <w:left w:val="dashed" w:sz="8" w:space="0" w:color="4AACC5"/>
              <w:right w:val="dashed" w:sz="8" w:space="0" w:color="4AACC5"/>
            </w:tcBorders>
            <w:shd w:val="clear" w:color="auto" w:fill="D2EAF0"/>
          </w:tcPr>
          <w:p w14:paraId="041E3BC8"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Palmae</w:t>
            </w:r>
          </w:p>
        </w:tc>
        <w:tc>
          <w:tcPr>
            <w:tcW w:w="3204" w:type="dxa"/>
            <w:tcBorders>
              <w:left w:val="dashed" w:sz="8" w:space="0" w:color="4AACC5"/>
              <w:right w:val="dashed" w:sz="8" w:space="0" w:color="4AACC5"/>
            </w:tcBorders>
            <w:shd w:val="clear" w:color="auto" w:fill="D2EAF0"/>
          </w:tcPr>
          <w:p w14:paraId="16E81631" w14:textId="77777777" w:rsidR="00C81834" w:rsidRPr="00CF0F96" w:rsidRDefault="00C81834" w:rsidP="00C81834">
            <w:pPr>
              <w:pStyle w:val="TableParagraph"/>
              <w:rPr>
                <w:rFonts w:ascii="Arial" w:hAnsi="Arial" w:cs="Arial"/>
                <w:i/>
                <w:sz w:val="21"/>
              </w:rPr>
            </w:pPr>
            <w:r w:rsidRPr="00CF0F96">
              <w:rPr>
                <w:rFonts w:ascii="Arial" w:hAnsi="Arial" w:cs="Arial"/>
                <w:i/>
                <w:sz w:val="21"/>
              </w:rPr>
              <w:t>Chamaedorea oblongata</w:t>
            </w:r>
          </w:p>
        </w:tc>
        <w:tc>
          <w:tcPr>
            <w:tcW w:w="1372" w:type="dxa"/>
            <w:tcBorders>
              <w:left w:val="dashed" w:sz="8" w:space="0" w:color="4AACC5"/>
              <w:right w:val="dashed" w:sz="8" w:space="0" w:color="4AACC5"/>
            </w:tcBorders>
            <w:shd w:val="clear" w:color="auto" w:fill="D2EAF0"/>
          </w:tcPr>
          <w:p w14:paraId="60A8018F"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044F5059" w14:textId="77777777" w:rsidTr="00C81834">
        <w:trPr>
          <w:trHeight w:val="369"/>
          <w:jc w:val="center"/>
        </w:trPr>
        <w:tc>
          <w:tcPr>
            <w:tcW w:w="1804" w:type="dxa"/>
            <w:tcBorders>
              <w:left w:val="dashed" w:sz="8" w:space="0" w:color="4AACC5"/>
              <w:right w:val="dashed" w:sz="8" w:space="0" w:color="4AACC5"/>
            </w:tcBorders>
          </w:tcPr>
          <w:p w14:paraId="3941A5E2"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Liliopsida</w:t>
            </w:r>
          </w:p>
        </w:tc>
        <w:tc>
          <w:tcPr>
            <w:tcW w:w="1879" w:type="dxa"/>
            <w:tcBorders>
              <w:left w:val="dashed" w:sz="8" w:space="0" w:color="4AACC5"/>
              <w:right w:val="dashed" w:sz="8" w:space="0" w:color="4AACC5"/>
            </w:tcBorders>
          </w:tcPr>
          <w:p w14:paraId="26859D1B"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Palmae</w:t>
            </w:r>
          </w:p>
        </w:tc>
        <w:tc>
          <w:tcPr>
            <w:tcW w:w="3204" w:type="dxa"/>
            <w:tcBorders>
              <w:left w:val="dashed" w:sz="8" w:space="0" w:color="4AACC5"/>
              <w:right w:val="dashed" w:sz="8" w:space="0" w:color="4AACC5"/>
            </w:tcBorders>
          </w:tcPr>
          <w:p w14:paraId="6EE8CBA7" w14:textId="77777777" w:rsidR="00C81834" w:rsidRPr="00CF0F96" w:rsidRDefault="00C81834" w:rsidP="00C81834">
            <w:pPr>
              <w:pStyle w:val="TableParagraph"/>
              <w:rPr>
                <w:rFonts w:ascii="Arial" w:hAnsi="Arial" w:cs="Arial"/>
                <w:i/>
                <w:sz w:val="21"/>
              </w:rPr>
            </w:pPr>
            <w:r w:rsidRPr="00CF0F96">
              <w:rPr>
                <w:rFonts w:ascii="Arial" w:hAnsi="Arial" w:cs="Arial"/>
                <w:i/>
                <w:sz w:val="21"/>
              </w:rPr>
              <w:t>Cryosophila williamsii</w:t>
            </w:r>
          </w:p>
        </w:tc>
        <w:tc>
          <w:tcPr>
            <w:tcW w:w="1372" w:type="dxa"/>
            <w:tcBorders>
              <w:left w:val="dashed" w:sz="8" w:space="0" w:color="4AACC5"/>
              <w:right w:val="dashed" w:sz="8" w:space="0" w:color="4AACC5"/>
            </w:tcBorders>
          </w:tcPr>
          <w:p w14:paraId="73D9C45E"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EW</w:t>
            </w:r>
          </w:p>
        </w:tc>
      </w:tr>
      <w:tr w:rsidR="00C81834" w:rsidRPr="00FA4B2D" w14:paraId="7BAF55DC" w14:textId="77777777" w:rsidTr="00C81834">
        <w:trPr>
          <w:trHeight w:val="369"/>
          <w:jc w:val="center"/>
        </w:trPr>
        <w:tc>
          <w:tcPr>
            <w:tcW w:w="1804" w:type="dxa"/>
            <w:tcBorders>
              <w:left w:val="dashed" w:sz="8" w:space="0" w:color="4AACC5"/>
              <w:right w:val="dashed" w:sz="8" w:space="0" w:color="4AACC5"/>
            </w:tcBorders>
            <w:shd w:val="clear" w:color="auto" w:fill="D2EAF0"/>
          </w:tcPr>
          <w:p w14:paraId="71CA2618"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Liliopsida</w:t>
            </w:r>
          </w:p>
        </w:tc>
        <w:tc>
          <w:tcPr>
            <w:tcW w:w="1879" w:type="dxa"/>
            <w:tcBorders>
              <w:left w:val="dashed" w:sz="8" w:space="0" w:color="4AACC5"/>
              <w:right w:val="dashed" w:sz="8" w:space="0" w:color="4AACC5"/>
            </w:tcBorders>
            <w:shd w:val="clear" w:color="auto" w:fill="D2EAF0"/>
          </w:tcPr>
          <w:p w14:paraId="732456A9"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Palmae</w:t>
            </w:r>
          </w:p>
        </w:tc>
        <w:tc>
          <w:tcPr>
            <w:tcW w:w="3204" w:type="dxa"/>
            <w:tcBorders>
              <w:left w:val="dashed" w:sz="8" w:space="0" w:color="4AACC5"/>
              <w:right w:val="dashed" w:sz="8" w:space="0" w:color="4AACC5"/>
            </w:tcBorders>
            <w:shd w:val="clear" w:color="auto" w:fill="D2EAF0"/>
          </w:tcPr>
          <w:p w14:paraId="541D799E" w14:textId="77777777" w:rsidR="00C81834" w:rsidRPr="00CF0F96" w:rsidRDefault="00C81834" w:rsidP="00C81834">
            <w:pPr>
              <w:pStyle w:val="TableParagraph"/>
              <w:rPr>
                <w:rFonts w:ascii="Arial" w:hAnsi="Arial" w:cs="Arial"/>
                <w:i/>
                <w:sz w:val="21"/>
              </w:rPr>
            </w:pPr>
            <w:r w:rsidRPr="00CF0F96">
              <w:rPr>
                <w:rFonts w:ascii="Arial" w:hAnsi="Arial" w:cs="Arial"/>
                <w:i/>
                <w:sz w:val="21"/>
              </w:rPr>
              <w:t>Roystonea dunlapiana</w:t>
            </w:r>
          </w:p>
        </w:tc>
        <w:tc>
          <w:tcPr>
            <w:tcW w:w="1372" w:type="dxa"/>
            <w:tcBorders>
              <w:left w:val="dashed" w:sz="8" w:space="0" w:color="4AACC5"/>
              <w:right w:val="dashed" w:sz="8" w:space="0" w:color="4AACC5"/>
            </w:tcBorders>
            <w:shd w:val="clear" w:color="auto" w:fill="D2EAF0"/>
          </w:tcPr>
          <w:p w14:paraId="09CF95B7"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58943EEB" w14:textId="77777777" w:rsidTr="00C81834">
        <w:trPr>
          <w:trHeight w:val="369"/>
          <w:jc w:val="center"/>
        </w:trPr>
        <w:tc>
          <w:tcPr>
            <w:tcW w:w="1804" w:type="dxa"/>
            <w:tcBorders>
              <w:left w:val="dashed" w:sz="8" w:space="0" w:color="4AACC5"/>
              <w:right w:val="dashed" w:sz="8" w:space="0" w:color="4AACC5"/>
            </w:tcBorders>
          </w:tcPr>
          <w:p w14:paraId="107DC499"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43EBD5CF"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Anacardiaceae</w:t>
            </w:r>
          </w:p>
        </w:tc>
        <w:tc>
          <w:tcPr>
            <w:tcW w:w="3204" w:type="dxa"/>
            <w:tcBorders>
              <w:left w:val="dashed" w:sz="8" w:space="0" w:color="4AACC5"/>
              <w:right w:val="dashed" w:sz="8" w:space="0" w:color="4AACC5"/>
            </w:tcBorders>
          </w:tcPr>
          <w:p w14:paraId="497630D4" w14:textId="77777777" w:rsidR="00C81834" w:rsidRPr="00CF0F96" w:rsidRDefault="00C81834" w:rsidP="00C81834">
            <w:pPr>
              <w:pStyle w:val="TableParagraph"/>
              <w:rPr>
                <w:rFonts w:ascii="Arial" w:hAnsi="Arial" w:cs="Arial"/>
                <w:i/>
                <w:sz w:val="21"/>
              </w:rPr>
            </w:pPr>
            <w:r w:rsidRPr="00CF0F96">
              <w:rPr>
                <w:rFonts w:ascii="Arial" w:hAnsi="Arial" w:cs="Arial"/>
                <w:i/>
                <w:sz w:val="21"/>
              </w:rPr>
              <w:t>Pistacia mexicana</w:t>
            </w:r>
          </w:p>
        </w:tc>
        <w:tc>
          <w:tcPr>
            <w:tcW w:w="1372" w:type="dxa"/>
            <w:tcBorders>
              <w:left w:val="dashed" w:sz="8" w:space="0" w:color="4AACC5"/>
              <w:right w:val="dashed" w:sz="8" w:space="0" w:color="4AACC5"/>
            </w:tcBorders>
          </w:tcPr>
          <w:p w14:paraId="563C0B8F"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77F864D5" w14:textId="77777777" w:rsidTr="00C81834">
        <w:trPr>
          <w:trHeight w:val="369"/>
          <w:jc w:val="center"/>
        </w:trPr>
        <w:tc>
          <w:tcPr>
            <w:tcW w:w="1804" w:type="dxa"/>
            <w:tcBorders>
              <w:left w:val="dashed" w:sz="8" w:space="0" w:color="4AACC5"/>
              <w:right w:val="dashed" w:sz="8" w:space="0" w:color="4AACC5"/>
            </w:tcBorders>
            <w:shd w:val="clear" w:color="auto" w:fill="D2EAF0"/>
          </w:tcPr>
          <w:p w14:paraId="4A3EB2A2"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shd w:val="clear" w:color="auto" w:fill="D2EAF0"/>
          </w:tcPr>
          <w:p w14:paraId="6257D4F4"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Annonaceae</w:t>
            </w:r>
          </w:p>
        </w:tc>
        <w:tc>
          <w:tcPr>
            <w:tcW w:w="3204" w:type="dxa"/>
            <w:tcBorders>
              <w:left w:val="dashed" w:sz="8" w:space="0" w:color="4AACC5"/>
              <w:right w:val="dashed" w:sz="8" w:space="0" w:color="4AACC5"/>
            </w:tcBorders>
            <w:shd w:val="clear" w:color="auto" w:fill="D2EAF0"/>
          </w:tcPr>
          <w:p w14:paraId="5E918841" w14:textId="77777777" w:rsidR="00C81834" w:rsidRPr="00CF0F96" w:rsidRDefault="00C81834" w:rsidP="00C81834">
            <w:pPr>
              <w:pStyle w:val="TableParagraph"/>
              <w:rPr>
                <w:rFonts w:ascii="Arial" w:hAnsi="Arial" w:cs="Arial"/>
                <w:i/>
                <w:sz w:val="21"/>
              </w:rPr>
            </w:pPr>
            <w:r w:rsidRPr="00CF0F96">
              <w:rPr>
                <w:rFonts w:ascii="Arial" w:hAnsi="Arial" w:cs="Arial"/>
                <w:i/>
                <w:sz w:val="21"/>
              </w:rPr>
              <w:t>Anaxagorea phaeocarpa</w:t>
            </w:r>
          </w:p>
        </w:tc>
        <w:tc>
          <w:tcPr>
            <w:tcW w:w="1372" w:type="dxa"/>
            <w:tcBorders>
              <w:left w:val="dashed" w:sz="8" w:space="0" w:color="4AACC5"/>
              <w:right w:val="dashed" w:sz="8" w:space="0" w:color="4AACC5"/>
            </w:tcBorders>
            <w:shd w:val="clear" w:color="auto" w:fill="D2EAF0"/>
          </w:tcPr>
          <w:p w14:paraId="102509DF"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4A86900B" w14:textId="77777777" w:rsidTr="00C81834">
        <w:trPr>
          <w:trHeight w:val="369"/>
          <w:jc w:val="center"/>
        </w:trPr>
        <w:tc>
          <w:tcPr>
            <w:tcW w:w="1804" w:type="dxa"/>
            <w:tcBorders>
              <w:left w:val="dashed" w:sz="8" w:space="0" w:color="4AACC5"/>
              <w:right w:val="dashed" w:sz="8" w:space="0" w:color="4AACC5"/>
            </w:tcBorders>
          </w:tcPr>
          <w:p w14:paraId="0F4141C2"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5584650D"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Annonaceae</w:t>
            </w:r>
          </w:p>
        </w:tc>
        <w:tc>
          <w:tcPr>
            <w:tcW w:w="3204" w:type="dxa"/>
            <w:tcBorders>
              <w:left w:val="dashed" w:sz="8" w:space="0" w:color="4AACC5"/>
              <w:right w:val="dashed" w:sz="8" w:space="0" w:color="4AACC5"/>
            </w:tcBorders>
          </w:tcPr>
          <w:p w14:paraId="532578B1" w14:textId="77777777" w:rsidR="00C81834" w:rsidRPr="00CF0F96" w:rsidRDefault="00C81834" w:rsidP="00C81834">
            <w:pPr>
              <w:pStyle w:val="TableParagraph"/>
              <w:rPr>
                <w:rFonts w:ascii="Arial" w:hAnsi="Arial" w:cs="Arial"/>
                <w:i/>
                <w:sz w:val="21"/>
              </w:rPr>
            </w:pPr>
            <w:r w:rsidRPr="00CF0F96">
              <w:rPr>
                <w:rFonts w:ascii="Arial" w:hAnsi="Arial" w:cs="Arial"/>
                <w:i/>
                <w:sz w:val="21"/>
              </w:rPr>
              <w:t>Cymbopetalum mayanum</w:t>
            </w:r>
          </w:p>
        </w:tc>
        <w:tc>
          <w:tcPr>
            <w:tcW w:w="1372" w:type="dxa"/>
            <w:tcBorders>
              <w:left w:val="dashed" w:sz="8" w:space="0" w:color="4AACC5"/>
              <w:right w:val="dashed" w:sz="8" w:space="0" w:color="4AACC5"/>
            </w:tcBorders>
          </w:tcPr>
          <w:p w14:paraId="5F93F764"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06C80238" w14:textId="77777777" w:rsidTr="00C81834">
        <w:trPr>
          <w:trHeight w:val="369"/>
          <w:jc w:val="center"/>
        </w:trPr>
        <w:tc>
          <w:tcPr>
            <w:tcW w:w="1804" w:type="dxa"/>
            <w:tcBorders>
              <w:left w:val="dashed" w:sz="8" w:space="0" w:color="4AACC5"/>
              <w:right w:val="dashed" w:sz="8" w:space="0" w:color="4AACC5"/>
            </w:tcBorders>
            <w:shd w:val="clear" w:color="auto" w:fill="D2EAF0"/>
          </w:tcPr>
          <w:p w14:paraId="2750D23C"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shd w:val="clear" w:color="auto" w:fill="D2EAF0"/>
          </w:tcPr>
          <w:p w14:paraId="629E1246"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Annonaceae</w:t>
            </w:r>
          </w:p>
        </w:tc>
        <w:tc>
          <w:tcPr>
            <w:tcW w:w="3204" w:type="dxa"/>
            <w:tcBorders>
              <w:left w:val="dashed" w:sz="8" w:space="0" w:color="4AACC5"/>
              <w:right w:val="dashed" w:sz="8" w:space="0" w:color="4AACC5"/>
            </w:tcBorders>
            <w:shd w:val="clear" w:color="auto" w:fill="D2EAF0"/>
          </w:tcPr>
          <w:p w14:paraId="652FF666" w14:textId="77777777" w:rsidR="00C81834" w:rsidRPr="00CF0F96" w:rsidRDefault="00C81834" w:rsidP="00C81834">
            <w:pPr>
              <w:pStyle w:val="TableParagraph"/>
              <w:rPr>
                <w:rFonts w:ascii="Arial" w:hAnsi="Arial" w:cs="Arial"/>
                <w:i/>
                <w:sz w:val="21"/>
              </w:rPr>
            </w:pPr>
            <w:r w:rsidRPr="00CF0F96">
              <w:rPr>
                <w:rFonts w:ascii="Arial" w:hAnsi="Arial" w:cs="Arial"/>
                <w:i/>
                <w:sz w:val="21"/>
              </w:rPr>
              <w:t>Desmopsis dolichopetala</w:t>
            </w:r>
          </w:p>
        </w:tc>
        <w:tc>
          <w:tcPr>
            <w:tcW w:w="1372" w:type="dxa"/>
            <w:tcBorders>
              <w:left w:val="dashed" w:sz="8" w:space="0" w:color="4AACC5"/>
              <w:right w:val="dashed" w:sz="8" w:space="0" w:color="4AACC5"/>
            </w:tcBorders>
            <w:shd w:val="clear" w:color="auto" w:fill="D2EAF0"/>
          </w:tcPr>
          <w:p w14:paraId="7C0C8144"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52C746C0" w14:textId="77777777" w:rsidTr="00C81834">
        <w:trPr>
          <w:trHeight w:val="369"/>
          <w:jc w:val="center"/>
        </w:trPr>
        <w:tc>
          <w:tcPr>
            <w:tcW w:w="1804" w:type="dxa"/>
            <w:tcBorders>
              <w:left w:val="dashed" w:sz="8" w:space="0" w:color="4AACC5"/>
              <w:right w:val="dashed" w:sz="8" w:space="0" w:color="4AACC5"/>
            </w:tcBorders>
          </w:tcPr>
          <w:p w14:paraId="4209E334"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105E18F6"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Apocynaceae</w:t>
            </w:r>
          </w:p>
        </w:tc>
        <w:tc>
          <w:tcPr>
            <w:tcW w:w="3204" w:type="dxa"/>
            <w:tcBorders>
              <w:left w:val="dashed" w:sz="8" w:space="0" w:color="4AACC5"/>
              <w:right w:val="dashed" w:sz="8" w:space="0" w:color="4AACC5"/>
            </w:tcBorders>
          </w:tcPr>
          <w:p w14:paraId="04F04B65" w14:textId="77777777" w:rsidR="00C81834" w:rsidRPr="00CF0F96" w:rsidRDefault="00C81834" w:rsidP="00C81834">
            <w:pPr>
              <w:pStyle w:val="TableParagraph"/>
              <w:rPr>
                <w:rFonts w:ascii="Arial" w:hAnsi="Arial" w:cs="Arial"/>
                <w:i/>
                <w:sz w:val="21"/>
              </w:rPr>
            </w:pPr>
            <w:r w:rsidRPr="00CF0F96">
              <w:rPr>
                <w:rFonts w:ascii="Arial" w:hAnsi="Arial" w:cs="Arial"/>
                <w:i/>
                <w:sz w:val="21"/>
              </w:rPr>
              <w:t>Aspidosperma megalocarpon</w:t>
            </w:r>
          </w:p>
        </w:tc>
        <w:tc>
          <w:tcPr>
            <w:tcW w:w="1372" w:type="dxa"/>
            <w:tcBorders>
              <w:left w:val="dashed" w:sz="8" w:space="0" w:color="4AACC5"/>
              <w:right w:val="dashed" w:sz="8" w:space="0" w:color="4AACC5"/>
            </w:tcBorders>
          </w:tcPr>
          <w:p w14:paraId="118913BF"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bl>
    <w:p w14:paraId="41F20EB7" w14:textId="77777777" w:rsidR="00C81834" w:rsidRPr="00FA4B2D" w:rsidRDefault="00C81834" w:rsidP="00C81834">
      <w:pPr>
        <w:tabs>
          <w:tab w:val="left" w:pos="1245"/>
        </w:tabs>
        <w:rPr>
          <w:rFonts w:cs="Arial"/>
        </w:rPr>
      </w:pPr>
    </w:p>
    <w:p w14:paraId="7E2B4995" w14:textId="77777777" w:rsidR="00C81834" w:rsidRPr="00FA4B2D" w:rsidRDefault="00C81834" w:rsidP="00C81834">
      <w:pPr>
        <w:rPr>
          <w:rFonts w:cs="Arial"/>
        </w:rPr>
      </w:pPr>
      <w:r w:rsidRPr="00FA4B2D">
        <w:rPr>
          <w:rFonts w:cs="Arial"/>
        </w:rPr>
        <w:br w:type="page"/>
      </w:r>
    </w:p>
    <w:p w14:paraId="5DB2E7CA" w14:textId="77777777" w:rsidR="00C81834" w:rsidRPr="00FA4B2D" w:rsidRDefault="00C81834" w:rsidP="00C81834">
      <w:pPr>
        <w:tabs>
          <w:tab w:val="left" w:pos="1245"/>
        </w:tabs>
        <w:rPr>
          <w:rFonts w:cs="Arial"/>
        </w:rPr>
      </w:pPr>
    </w:p>
    <w:tbl>
      <w:tblPr>
        <w:tblStyle w:val="TableNormal1"/>
        <w:tblW w:w="0" w:type="auto"/>
        <w:jc w:val="center"/>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1804"/>
        <w:gridCol w:w="1879"/>
        <w:gridCol w:w="3204"/>
        <w:gridCol w:w="1372"/>
      </w:tblGrid>
      <w:tr w:rsidR="00C81834" w:rsidRPr="00FA4B2D" w14:paraId="556805A3" w14:textId="77777777" w:rsidTr="005D7F0C">
        <w:trPr>
          <w:trHeight w:val="369"/>
          <w:jc w:val="center"/>
        </w:trPr>
        <w:tc>
          <w:tcPr>
            <w:tcW w:w="1804" w:type="dxa"/>
            <w:tcBorders>
              <w:left w:val="dashed" w:sz="8" w:space="0" w:color="4AACC5"/>
              <w:right w:val="dashed" w:sz="8" w:space="0" w:color="4AACC5"/>
            </w:tcBorders>
            <w:shd w:val="clear" w:color="auto" w:fill="5CC5DA"/>
          </w:tcPr>
          <w:p w14:paraId="33732A98" w14:textId="77777777" w:rsidR="00C81834" w:rsidRPr="00CF0F96" w:rsidRDefault="00C81834" w:rsidP="00C81834">
            <w:pPr>
              <w:pStyle w:val="TableParagraph"/>
              <w:ind w:left="625" w:right="605"/>
              <w:jc w:val="center"/>
              <w:rPr>
                <w:rFonts w:ascii="Arial" w:hAnsi="Arial" w:cs="Arial"/>
                <w:bCs/>
                <w:sz w:val="21"/>
              </w:rPr>
            </w:pPr>
            <w:r w:rsidRPr="00CF0F96">
              <w:rPr>
                <w:rFonts w:ascii="Arial" w:hAnsi="Arial" w:cs="Arial"/>
                <w:bCs/>
                <w:sz w:val="21"/>
              </w:rPr>
              <w:t>Clase</w:t>
            </w:r>
          </w:p>
        </w:tc>
        <w:tc>
          <w:tcPr>
            <w:tcW w:w="1879" w:type="dxa"/>
            <w:tcBorders>
              <w:left w:val="dashed" w:sz="8" w:space="0" w:color="4AACC5"/>
              <w:right w:val="dashed" w:sz="8" w:space="0" w:color="4AACC5"/>
            </w:tcBorders>
            <w:shd w:val="clear" w:color="auto" w:fill="5CC5DA"/>
          </w:tcPr>
          <w:p w14:paraId="6435C682" w14:textId="77777777" w:rsidR="00C81834" w:rsidRPr="00CF0F96" w:rsidRDefault="00C81834" w:rsidP="00C81834">
            <w:pPr>
              <w:pStyle w:val="TableParagraph"/>
              <w:ind w:left="627"/>
              <w:rPr>
                <w:rFonts w:ascii="Arial" w:hAnsi="Arial" w:cs="Arial"/>
                <w:bCs/>
                <w:sz w:val="21"/>
              </w:rPr>
            </w:pPr>
            <w:r w:rsidRPr="00CF0F96">
              <w:rPr>
                <w:rFonts w:ascii="Arial" w:hAnsi="Arial" w:cs="Arial"/>
                <w:bCs/>
                <w:sz w:val="21"/>
              </w:rPr>
              <w:t>Familia</w:t>
            </w:r>
          </w:p>
        </w:tc>
        <w:tc>
          <w:tcPr>
            <w:tcW w:w="3204" w:type="dxa"/>
            <w:tcBorders>
              <w:left w:val="dashed" w:sz="8" w:space="0" w:color="4AACC5"/>
              <w:right w:val="dashed" w:sz="8" w:space="0" w:color="4AACC5"/>
            </w:tcBorders>
            <w:shd w:val="clear" w:color="auto" w:fill="5CC5DA"/>
          </w:tcPr>
          <w:p w14:paraId="7E0D5964" w14:textId="77777777" w:rsidR="00C81834" w:rsidRPr="00CF0F96" w:rsidRDefault="00C81834" w:rsidP="00C81834">
            <w:pPr>
              <w:pStyle w:val="TableParagraph"/>
              <w:ind w:left="1165" w:right="1144"/>
              <w:jc w:val="center"/>
              <w:rPr>
                <w:rFonts w:ascii="Arial" w:hAnsi="Arial" w:cs="Arial"/>
                <w:bCs/>
                <w:sz w:val="21"/>
              </w:rPr>
            </w:pPr>
            <w:r w:rsidRPr="00CF0F96">
              <w:rPr>
                <w:rFonts w:ascii="Arial" w:hAnsi="Arial" w:cs="Arial"/>
                <w:bCs/>
                <w:sz w:val="21"/>
              </w:rPr>
              <w:t>Especies</w:t>
            </w:r>
          </w:p>
        </w:tc>
        <w:tc>
          <w:tcPr>
            <w:tcW w:w="1372" w:type="dxa"/>
            <w:tcBorders>
              <w:left w:val="dashed" w:sz="8" w:space="0" w:color="4AACC5"/>
              <w:right w:val="dashed" w:sz="8" w:space="0" w:color="4AACC5"/>
            </w:tcBorders>
            <w:shd w:val="clear" w:color="auto" w:fill="5CC5DA"/>
          </w:tcPr>
          <w:p w14:paraId="612B4E4F" w14:textId="77777777" w:rsidR="00C81834" w:rsidRPr="00CF0F96" w:rsidRDefault="00C81834" w:rsidP="00CF0F96">
            <w:pPr>
              <w:pStyle w:val="TableParagraph"/>
              <w:jc w:val="center"/>
              <w:rPr>
                <w:rFonts w:ascii="Arial" w:hAnsi="Arial" w:cs="Arial"/>
                <w:bCs/>
                <w:sz w:val="21"/>
              </w:rPr>
            </w:pPr>
            <w:r w:rsidRPr="00CF0F96">
              <w:rPr>
                <w:rFonts w:ascii="Arial" w:hAnsi="Arial" w:cs="Arial"/>
                <w:bCs/>
                <w:w w:val="95"/>
                <w:sz w:val="21"/>
              </w:rPr>
              <w:t>Categoría</w:t>
            </w:r>
          </w:p>
        </w:tc>
      </w:tr>
      <w:tr w:rsidR="00C81834" w:rsidRPr="00FA4B2D" w14:paraId="6A7837F5" w14:textId="77777777" w:rsidTr="00C81834">
        <w:trPr>
          <w:trHeight w:val="369"/>
          <w:jc w:val="center"/>
        </w:trPr>
        <w:tc>
          <w:tcPr>
            <w:tcW w:w="1804" w:type="dxa"/>
            <w:tcBorders>
              <w:left w:val="dashed" w:sz="8" w:space="0" w:color="4AACC5"/>
              <w:right w:val="dashed" w:sz="8" w:space="0" w:color="4AACC5"/>
            </w:tcBorders>
            <w:shd w:val="clear" w:color="auto" w:fill="D2EAF0"/>
          </w:tcPr>
          <w:p w14:paraId="12AD2F5C"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shd w:val="clear" w:color="auto" w:fill="D2EAF0"/>
          </w:tcPr>
          <w:p w14:paraId="18FE9A8A"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Aquifoliaceae</w:t>
            </w:r>
          </w:p>
        </w:tc>
        <w:tc>
          <w:tcPr>
            <w:tcW w:w="3204" w:type="dxa"/>
            <w:tcBorders>
              <w:left w:val="dashed" w:sz="8" w:space="0" w:color="4AACC5"/>
              <w:right w:val="dashed" w:sz="8" w:space="0" w:color="4AACC5"/>
            </w:tcBorders>
            <w:shd w:val="clear" w:color="auto" w:fill="D2EAF0"/>
          </w:tcPr>
          <w:p w14:paraId="7A7B69DC" w14:textId="77777777" w:rsidR="00C81834" w:rsidRPr="00CF0F96" w:rsidRDefault="00C81834" w:rsidP="00C81834">
            <w:pPr>
              <w:pStyle w:val="TableParagraph"/>
              <w:rPr>
                <w:rFonts w:ascii="Arial" w:hAnsi="Arial" w:cs="Arial"/>
                <w:i/>
                <w:sz w:val="21"/>
              </w:rPr>
            </w:pPr>
            <w:r w:rsidRPr="00CF0F96">
              <w:rPr>
                <w:rFonts w:ascii="Arial" w:hAnsi="Arial" w:cs="Arial"/>
                <w:i/>
                <w:sz w:val="21"/>
              </w:rPr>
              <w:t>Ilex williamsii</w:t>
            </w:r>
          </w:p>
        </w:tc>
        <w:tc>
          <w:tcPr>
            <w:tcW w:w="1372" w:type="dxa"/>
            <w:tcBorders>
              <w:left w:val="dashed" w:sz="8" w:space="0" w:color="4AACC5"/>
              <w:right w:val="dashed" w:sz="8" w:space="0" w:color="4AACC5"/>
            </w:tcBorders>
            <w:shd w:val="clear" w:color="auto" w:fill="D2EAF0"/>
          </w:tcPr>
          <w:p w14:paraId="6B9912EE"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2311E5A4" w14:textId="77777777" w:rsidTr="00C81834">
        <w:trPr>
          <w:trHeight w:val="369"/>
          <w:jc w:val="center"/>
        </w:trPr>
        <w:tc>
          <w:tcPr>
            <w:tcW w:w="1804" w:type="dxa"/>
            <w:tcBorders>
              <w:left w:val="dashed" w:sz="8" w:space="0" w:color="4AACC5"/>
              <w:right w:val="dashed" w:sz="8" w:space="0" w:color="4AACC5"/>
            </w:tcBorders>
          </w:tcPr>
          <w:p w14:paraId="2107A9D1"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3E0A7B69"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Araliaceae</w:t>
            </w:r>
          </w:p>
        </w:tc>
        <w:tc>
          <w:tcPr>
            <w:tcW w:w="3204" w:type="dxa"/>
            <w:tcBorders>
              <w:left w:val="dashed" w:sz="8" w:space="0" w:color="4AACC5"/>
              <w:right w:val="dashed" w:sz="8" w:space="0" w:color="4AACC5"/>
            </w:tcBorders>
          </w:tcPr>
          <w:p w14:paraId="332D45BC" w14:textId="77777777" w:rsidR="00C81834" w:rsidRPr="00CF0F96" w:rsidRDefault="00C81834" w:rsidP="00C81834">
            <w:pPr>
              <w:pStyle w:val="TableParagraph"/>
              <w:rPr>
                <w:rFonts w:ascii="Arial" w:hAnsi="Arial" w:cs="Arial"/>
                <w:i/>
                <w:sz w:val="21"/>
              </w:rPr>
            </w:pPr>
            <w:r w:rsidRPr="00CF0F96">
              <w:rPr>
                <w:rFonts w:ascii="Arial" w:hAnsi="Arial" w:cs="Arial"/>
                <w:i/>
                <w:sz w:val="21"/>
              </w:rPr>
              <w:t>Dendropanax hondurensis</w:t>
            </w:r>
          </w:p>
        </w:tc>
        <w:tc>
          <w:tcPr>
            <w:tcW w:w="1372" w:type="dxa"/>
            <w:tcBorders>
              <w:left w:val="dashed" w:sz="8" w:space="0" w:color="4AACC5"/>
              <w:right w:val="dashed" w:sz="8" w:space="0" w:color="4AACC5"/>
            </w:tcBorders>
          </w:tcPr>
          <w:p w14:paraId="6AD907EC"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55E76ED3" w14:textId="77777777" w:rsidTr="00C81834">
        <w:trPr>
          <w:trHeight w:val="369"/>
          <w:jc w:val="center"/>
        </w:trPr>
        <w:tc>
          <w:tcPr>
            <w:tcW w:w="1804" w:type="dxa"/>
            <w:tcBorders>
              <w:left w:val="dashed" w:sz="8" w:space="0" w:color="4AACC5"/>
              <w:right w:val="dashed" w:sz="8" w:space="0" w:color="4AACC5"/>
            </w:tcBorders>
            <w:shd w:val="clear" w:color="auto" w:fill="D2EAF0"/>
          </w:tcPr>
          <w:p w14:paraId="00A396A1"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shd w:val="clear" w:color="auto" w:fill="D2EAF0"/>
          </w:tcPr>
          <w:p w14:paraId="1ED64DFF"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Araliaceae</w:t>
            </w:r>
          </w:p>
        </w:tc>
        <w:tc>
          <w:tcPr>
            <w:tcW w:w="3204" w:type="dxa"/>
            <w:tcBorders>
              <w:left w:val="dashed" w:sz="8" w:space="0" w:color="4AACC5"/>
              <w:right w:val="dashed" w:sz="8" w:space="0" w:color="4AACC5"/>
            </w:tcBorders>
            <w:shd w:val="clear" w:color="auto" w:fill="D2EAF0"/>
          </w:tcPr>
          <w:p w14:paraId="1E7AE943" w14:textId="77777777" w:rsidR="00C81834" w:rsidRPr="00CF0F96" w:rsidRDefault="00C81834" w:rsidP="00C81834">
            <w:pPr>
              <w:pStyle w:val="TableParagraph"/>
              <w:rPr>
                <w:rFonts w:ascii="Arial" w:hAnsi="Arial" w:cs="Arial"/>
                <w:i/>
                <w:sz w:val="21"/>
              </w:rPr>
            </w:pPr>
            <w:r w:rsidRPr="00CF0F96">
              <w:rPr>
                <w:rFonts w:ascii="Arial" w:hAnsi="Arial" w:cs="Arial"/>
                <w:i/>
                <w:sz w:val="21"/>
              </w:rPr>
              <w:t>Oreopanax echinops</w:t>
            </w:r>
          </w:p>
        </w:tc>
        <w:tc>
          <w:tcPr>
            <w:tcW w:w="1372" w:type="dxa"/>
            <w:tcBorders>
              <w:left w:val="dashed" w:sz="8" w:space="0" w:color="4AACC5"/>
              <w:right w:val="dashed" w:sz="8" w:space="0" w:color="4AACC5"/>
            </w:tcBorders>
            <w:shd w:val="clear" w:color="auto" w:fill="D2EAF0"/>
          </w:tcPr>
          <w:p w14:paraId="6C53621A"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5B85801C" w14:textId="77777777" w:rsidTr="00C81834">
        <w:trPr>
          <w:trHeight w:val="369"/>
          <w:jc w:val="center"/>
        </w:trPr>
        <w:tc>
          <w:tcPr>
            <w:tcW w:w="1804" w:type="dxa"/>
            <w:tcBorders>
              <w:left w:val="dashed" w:sz="8" w:space="0" w:color="4AACC5"/>
              <w:right w:val="dashed" w:sz="8" w:space="0" w:color="4AACC5"/>
            </w:tcBorders>
          </w:tcPr>
          <w:p w14:paraId="2A938220"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77F3C78F"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Araliaceae</w:t>
            </w:r>
          </w:p>
        </w:tc>
        <w:tc>
          <w:tcPr>
            <w:tcW w:w="3204" w:type="dxa"/>
            <w:tcBorders>
              <w:left w:val="dashed" w:sz="8" w:space="0" w:color="4AACC5"/>
              <w:right w:val="dashed" w:sz="8" w:space="0" w:color="4AACC5"/>
            </w:tcBorders>
          </w:tcPr>
          <w:p w14:paraId="5E3BB328" w14:textId="77777777" w:rsidR="00C81834" w:rsidRPr="00CF0F96" w:rsidRDefault="00C81834" w:rsidP="00C81834">
            <w:pPr>
              <w:pStyle w:val="TableParagraph"/>
              <w:rPr>
                <w:rFonts w:ascii="Arial" w:hAnsi="Arial" w:cs="Arial"/>
                <w:i/>
                <w:sz w:val="21"/>
              </w:rPr>
            </w:pPr>
            <w:r w:rsidRPr="00CF0F96">
              <w:rPr>
                <w:rFonts w:ascii="Arial" w:hAnsi="Arial" w:cs="Arial"/>
                <w:i/>
                <w:sz w:val="21"/>
              </w:rPr>
              <w:t>Oreopanax lempiranus</w:t>
            </w:r>
          </w:p>
        </w:tc>
        <w:tc>
          <w:tcPr>
            <w:tcW w:w="1372" w:type="dxa"/>
            <w:tcBorders>
              <w:left w:val="dashed" w:sz="8" w:space="0" w:color="4AACC5"/>
              <w:right w:val="dashed" w:sz="8" w:space="0" w:color="4AACC5"/>
            </w:tcBorders>
          </w:tcPr>
          <w:p w14:paraId="3354E943"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5BA81CE9" w14:textId="77777777" w:rsidTr="00C81834">
        <w:trPr>
          <w:trHeight w:val="369"/>
          <w:jc w:val="center"/>
        </w:trPr>
        <w:tc>
          <w:tcPr>
            <w:tcW w:w="1804" w:type="dxa"/>
            <w:tcBorders>
              <w:left w:val="dashed" w:sz="8" w:space="0" w:color="4AACC5"/>
              <w:right w:val="dashed" w:sz="8" w:space="0" w:color="4AACC5"/>
            </w:tcBorders>
            <w:shd w:val="clear" w:color="auto" w:fill="D2EAF0"/>
          </w:tcPr>
          <w:p w14:paraId="2B90AB08"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shd w:val="clear" w:color="auto" w:fill="D2EAF0"/>
          </w:tcPr>
          <w:p w14:paraId="67FE2B38"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Araliaceae</w:t>
            </w:r>
          </w:p>
        </w:tc>
        <w:tc>
          <w:tcPr>
            <w:tcW w:w="3204" w:type="dxa"/>
            <w:tcBorders>
              <w:left w:val="dashed" w:sz="8" w:space="0" w:color="4AACC5"/>
              <w:right w:val="dashed" w:sz="8" w:space="0" w:color="4AACC5"/>
            </w:tcBorders>
            <w:shd w:val="clear" w:color="auto" w:fill="D2EAF0"/>
          </w:tcPr>
          <w:p w14:paraId="1CCCF0F7" w14:textId="77777777" w:rsidR="00C81834" w:rsidRPr="00CF0F96" w:rsidRDefault="00C81834" w:rsidP="00C81834">
            <w:pPr>
              <w:pStyle w:val="TableParagraph"/>
              <w:rPr>
                <w:rFonts w:ascii="Arial" w:hAnsi="Arial" w:cs="Arial"/>
                <w:i/>
                <w:sz w:val="21"/>
              </w:rPr>
            </w:pPr>
            <w:r w:rsidRPr="00CF0F96">
              <w:rPr>
                <w:rFonts w:ascii="Arial" w:hAnsi="Arial" w:cs="Arial"/>
                <w:i/>
                <w:sz w:val="21"/>
              </w:rPr>
              <w:t>Oreopanax sanderianus</w:t>
            </w:r>
          </w:p>
        </w:tc>
        <w:tc>
          <w:tcPr>
            <w:tcW w:w="1372" w:type="dxa"/>
            <w:tcBorders>
              <w:left w:val="dashed" w:sz="8" w:space="0" w:color="4AACC5"/>
              <w:right w:val="dashed" w:sz="8" w:space="0" w:color="4AACC5"/>
            </w:tcBorders>
            <w:shd w:val="clear" w:color="auto" w:fill="D2EAF0"/>
          </w:tcPr>
          <w:p w14:paraId="7D45039A"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7C4AFE54" w14:textId="77777777" w:rsidTr="00C81834">
        <w:trPr>
          <w:trHeight w:val="369"/>
          <w:jc w:val="center"/>
        </w:trPr>
        <w:tc>
          <w:tcPr>
            <w:tcW w:w="1804" w:type="dxa"/>
            <w:tcBorders>
              <w:left w:val="dashed" w:sz="8" w:space="0" w:color="4AACC5"/>
              <w:right w:val="dashed" w:sz="8" w:space="0" w:color="4AACC5"/>
            </w:tcBorders>
          </w:tcPr>
          <w:p w14:paraId="5B69FB1F"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0BD3C45C"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Avicenniaceae</w:t>
            </w:r>
          </w:p>
        </w:tc>
        <w:tc>
          <w:tcPr>
            <w:tcW w:w="3204" w:type="dxa"/>
            <w:tcBorders>
              <w:left w:val="dashed" w:sz="8" w:space="0" w:color="4AACC5"/>
              <w:right w:val="dashed" w:sz="8" w:space="0" w:color="4AACC5"/>
            </w:tcBorders>
          </w:tcPr>
          <w:p w14:paraId="5620A6B5" w14:textId="77777777" w:rsidR="00C81834" w:rsidRPr="00CF0F96" w:rsidRDefault="00C81834" w:rsidP="00C81834">
            <w:pPr>
              <w:pStyle w:val="TableParagraph"/>
              <w:rPr>
                <w:rFonts w:ascii="Arial" w:hAnsi="Arial" w:cs="Arial"/>
                <w:i/>
                <w:sz w:val="21"/>
              </w:rPr>
            </w:pPr>
            <w:r w:rsidRPr="00CF0F96">
              <w:rPr>
                <w:rFonts w:ascii="Arial" w:hAnsi="Arial" w:cs="Arial"/>
                <w:i/>
                <w:sz w:val="21"/>
              </w:rPr>
              <w:t>Avicennia bicolor</w:t>
            </w:r>
          </w:p>
        </w:tc>
        <w:tc>
          <w:tcPr>
            <w:tcW w:w="1372" w:type="dxa"/>
            <w:tcBorders>
              <w:left w:val="dashed" w:sz="8" w:space="0" w:color="4AACC5"/>
              <w:right w:val="dashed" w:sz="8" w:space="0" w:color="4AACC5"/>
            </w:tcBorders>
          </w:tcPr>
          <w:p w14:paraId="3DA84AD1"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69E1CCBB" w14:textId="77777777" w:rsidTr="00C81834">
        <w:trPr>
          <w:trHeight w:val="369"/>
          <w:jc w:val="center"/>
        </w:trPr>
        <w:tc>
          <w:tcPr>
            <w:tcW w:w="1804" w:type="dxa"/>
            <w:tcBorders>
              <w:left w:val="dashed" w:sz="8" w:space="0" w:color="4AACC5"/>
              <w:right w:val="dashed" w:sz="8" w:space="0" w:color="4AACC5"/>
            </w:tcBorders>
            <w:shd w:val="clear" w:color="auto" w:fill="D2EAF0"/>
          </w:tcPr>
          <w:p w14:paraId="640BC484"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shd w:val="clear" w:color="auto" w:fill="D2EAF0"/>
          </w:tcPr>
          <w:p w14:paraId="327EDA4A"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Bignoniaceae</w:t>
            </w:r>
          </w:p>
        </w:tc>
        <w:tc>
          <w:tcPr>
            <w:tcW w:w="3204" w:type="dxa"/>
            <w:tcBorders>
              <w:left w:val="dashed" w:sz="8" w:space="0" w:color="4AACC5"/>
              <w:right w:val="dashed" w:sz="8" w:space="0" w:color="4AACC5"/>
            </w:tcBorders>
            <w:shd w:val="clear" w:color="auto" w:fill="D2EAF0"/>
          </w:tcPr>
          <w:p w14:paraId="478916A9" w14:textId="77777777" w:rsidR="00C81834" w:rsidRPr="00CF0F96" w:rsidRDefault="00C81834" w:rsidP="00C81834">
            <w:pPr>
              <w:pStyle w:val="TableParagraph"/>
              <w:rPr>
                <w:rFonts w:ascii="Arial" w:hAnsi="Arial" w:cs="Arial"/>
                <w:i/>
                <w:sz w:val="21"/>
              </w:rPr>
            </w:pPr>
            <w:r w:rsidRPr="00CF0F96">
              <w:rPr>
                <w:rFonts w:ascii="Arial" w:hAnsi="Arial" w:cs="Arial"/>
                <w:i/>
                <w:sz w:val="21"/>
              </w:rPr>
              <w:t>Amphitecna molinae</w:t>
            </w:r>
          </w:p>
        </w:tc>
        <w:tc>
          <w:tcPr>
            <w:tcW w:w="1372" w:type="dxa"/>
            <w:tcBorders>
              <w:left w:val="dashed" w:sz="8" w:space="0" w:color="4AACC5"/>
              <w:right w:val="dashed" w:sz="8" w:space="0" w:color="4AACC5"/>
            </w:tcBorders>
            <w:shd w:val="clear" w:color="auto" w:fill="D2EAF0"/>
          </w:tcPr>
          <w:p w14:paraId="713719B3"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528B5CF6" w14:textId="77777777" w:rsidTr="00C81834">
        <w:trPr>
          <w:trHeight w:val="369"/>
          <w:jc w:val="center"/>
        </w:trPr>
        <w:tc>
          <w:tcPr>
            <w:tcW w:w="1804" w:type="dxa"/>
            <w:tcBorders>
              <w:left w:val="dashed" w:sz="8" w:space="0" w:color="4AACC5"/>
              <w:right w:val="dashed" w:sz="8" w:space="0" w:color="4AACC5"/>
            </w:tcBorders>
          </w:tcPr>
          <w:p w14:paraId="16780092"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14BAA454"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Bignoniaceae</w:t>
            </w:r>
          </w:p>
        </w:tc>
        <w:tc>
          <w:tcPr>
            <w:tcW w:w="3204" w:type="dxa"/>
            <w:tcBorders>
              <w:left w:val="dashed" w:sz="8" w:space="0" w:color="4AACC5"/>
              <w:right w:val="dashed" w:sz="8" w:space="0" w:color="4AACC5"/>
            </w:tcBorders>
          </w:tcPr>
          <w:p w14:paraId="573EE256" w14:textId="77777777" w:rsidR="00C81834" w:rsidRPr="00CF0F96" w:rsidRDefault="00C81834" w:rsidP="00C81834">
            <w:pPr>
              <w:pStyle w:val="TableParagraph"/>
              <w:rPr>
                <w:rFonts w:ascii="Arial" w:hAnsi="Arial" w:cs="Arial"/>
                <w:i/>
                <w:sz w:val="21"/>
              </w:rPr>
            </w:pPr>
            <w:r w:rsidRPr="00CF0F96">
              <w:rPr>
                <w:rFonts w:ascii="Arial" w:hAnsi="Arial" w:cs="Arial"/>
                <w:i/>
                <w:sz w:val="21"/>
              </w:rPr>
              <w:t>Chodanthus montecillensis</w:t>
            </w:r>
          </w:p>
        </w:tc>
        <w:tc>
          <w:tcPr>
            <w:tcW w:w="1372" w:type="dxa"/>
            <w:tcBorders>
              <w:left w:val="dashed" w:sz="8" w:space="0" w:color="4AACC5"/>
              <w:right w:val="dashed" w:sz="8" w:space="0" w:color="4AACC5"/>
            </w:tcBorders>
          </w:tcPr>
          <w:p w14:paraId="227DE372"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1726F2C9" w14:textId="77777777" w:rsidTr="00C81834">
        <w:trPr>
          <w:trHeight w:val="369"/>
          <w:jc w:val="center"/>
        </w:trPr>
        <w:tc>
          <w:tcPr>
            <w:tcW w:w="1804" w:type="dxa"/>
            <w:tcBorders>
              <w:left w:val="dashed" w:sz="8" w:space="0" w:color="4AACC5"/>
              <w:right w:val="dashed" w:sz="8" w:space="0" w:color="4AACC5"/>
            </w:tcBorders>
            <w:shd w:val="clear" w:color="auto" w:fill="D2EAF0"/>
          </w:tcPr>
          <w:p w14:paraId="477A2D52"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shd w:val="clear" w:color="auto" w:fill="D2EAF0"/>
          </w:tcPr>
          <w:p w14:paraId="35298878"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Boraginaceae</w:t>
            </w:r>
          </w:p>
        </w:tc>
        <w:tc>
          <w:tcPr>
            <w:tcW w:w="3204" w:type="dxa"/>
            <w:tcBorders>
              <w:left w:val="dashed" w:sz="8" w:space="0" w:color="4AACC5"/>
              <w:right w:val="dashed" w:sz="8" w:space="0" w:color="4AACC5"/>
            </w:tcBorders>
            <w:shd w:val="clear" w:color="auto" w:fill="D2EAF0"/>
          </w:tcPr>
          <w:p w14:paraId="156529BB" w14:textId="77777777" w:rsidR="00C81834" w:rsidRPr="00CF0F96" w:rsidRDefault="00C81834" w:rsidP="00C81834">
            <w:pPr>
              <w:pStyle w:val="TableParagraph"/>
              <w:rPr>
                <w:rFonts w:ascii="Arial" w:hAnsi="Arial" w:cs="Arial"/>
                <w:i/>
                <w:sz w:val="21"/>
              </w:rPr>
            </w:pPr>
            <w:r w:rsidRPr="00CF0F96">
              <w:rPr>
                <w:rFonts w:ascii="Arial" w:hAnsi="Arial" w:cs="Arial"/>
                <w:i/>
                <w:sz w:val="21"/>
              </w:rPr>
              <w:t>Varronia urticacea</w:t>
            </w:r>
          </w:p>
        </w:tc>
        <w:tc>
          <w:tcPr>
            <w:tcW w:w="1372" w:type="dxa"/>
            <w:tcBorders>
              <w:left w:val="dashed" w:sz="8" w:space="0" w:color="4AACC5"/>
              <w:right w:val="dashed" w:sz="8" w:space="0" w:color="4AACC5"/>
            </w:tcBorders>
            <w:shd w:val="clear" w:color="auto" w:fill="D2EAF0"/>
          </w:tcPr>
          <w:p w14:paraId="64FE9F02"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3A98D1BC" w14:textId="77777777" w:rsidTr="00C81834">
        <w:trPr>
          <w:trHeight w:val="369"/>
          <w:jc w:val="center"/>
        </w:trPr>
        <w:tc>
          <w:tcPr>
            <w:tcW w:w="1804" w:type="dxa"/>
            <w:tcBorders>
              <w:left w:val="dashed" w:sz="8" w:space="0" w:color="4AACC5"/>
              <w:right w:val="dashed" w:sz="8" w:space="0" w:color="4AACC5"/>
            </w:tcBorders>
          </w:tcPr>
          <w:p w14:paraId="4C3CC171"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51D5DD46"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Cactaceae</w:t>
            </w:r>
          </w:p>
        </w:tc>
        <w:tc>
          <w:tcPr>
            <w:tcW w:w="3204" w:type="dxa"/>
            <w:tcBorders>
              <w:left w:val="dashed" w:sz="8" w:space="0" w:color="4AACC5"/>
              <w:right w:val="dashed" w:sz="8" w:space="0" w:color="4AACC5"/>
            </w:tcBorders>
          </w:tcPr>
          <w:p w14:paraId="14969C60" w14:textId="77777777" w:rsidR="00C81834" w:rsidRPr="00CF0F96" w:rsidRDefault="00C81834" w:rsidP="00C81834">
            <w:pPr>
              <w:pStyle w:val="TableParagraph"/>
              <w:spacing w:before="53"/>
              <w:rPr>
                <w:rFonts w:ascii="Arial" w:hAnsi="Arial" w:cs="Arial"/>
                <w:i/>
                <w:sz w:val="21"/>
              </w:rPr>
            </w:pPr>
            <w:r w:rsidRPr="00CF0F96">
              <w:rPr>
                <w:rFonts w:ascii="Arial" w:hAnsi="Arial" w:cs="Arial"/>
                <w:i/>
                <w:sz w:val="21"/>
              </w:rPr>
              <w:t>Hylocereus minutiflorus</w:t>
            </w:r>
          </w:p>
        </w:tc>
        <w:tc>
          <w:tcPr>
            <w:tcW w:w="1372" w:type="dxa"/>
            <w:tcBorders>
              <w:left w:val="dashed" w:sz="8" w:space="0" w:color="4AACC5"/>
              <w:right w:val="dashed" w:sz="8" w:space="0" w:color="4AACC5"/>
            </w:tcBorders>
          </w:tcPr>
          <w:p w14:paraId="70F9CF76"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7CB2556E" w14:textId="77777777" w:rsidTr="00C81834">
        <w:trPr>
          <w:trHeight w:val="369"/>
          <w:jc w:val="center"/>
        </w:trPr>
        <w:tc>
          <w:tcPr>
            <w:tcW w:w="1804" w:type="dxa"/>
            <w:tcBorders>
              <w:left w:val="dashed" w:sz="8" w:space="0" w:color="4AACC5"/>
              <w:right w:val="dashed" w:sz="8" w:space="0" w:color="4AACC5"/>
            </w:tcBorders>
            <w:shd w:val="clear" w:color="auto" w:fill="D2EAF0"/>
          </w:tcPr>
          <w:p w14:paraId="13B2FA7B"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shd w:val="clear" w:color="auto" w:fill="D2EAF0"/>
          </w:tcPr>
          <w:p w14:paraId="54400AB6"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Cactaceae</w:t>
            </w:r>
          </w:p>
        </w:tc>
        <w:tc>
          <w:tcPr>
            <w:tcW w:w="3204" w:type="dxa"/>
            <w:tcBorders>
              <w:left w:val="dashed" w:sz="8" w:space="0" w:color="4AACC5"/>
              <w:right w:val="dashed" w:sz="8" w:space="0" w:color="4AACC5"/>
            </w:tcBorders>
            <w:shd w:val="clear" w:color="auto" w:fill="D2EAF0"/>
          </w:tcPr>
          <w:p w14:paraId="37E7D3A4" w14:textId="77777777" w:rsidR="00C81834" w:rsidRPr="00CF0F96" w:rsidRDefault="00C81834" w:rsidP="00C81834">
            <w:pPr>
              <w:pStyle w:val="TableParagraph"/>
              <w:rPr>
                <w:rFonts w:ascii="Arial" w:hAnsi="Arial" w:cs="Arial"/>
                <w:i/>
                <w:sz w:val="21"/>
              </w:rPr>
            </w:pPr>
            <w:r w:rsidRPr="00CF0F96">
              <w:rPr>
                <w:rFonts w:ascii="Arial" w:hAnsi="Arial" w:cs="Arial"/>
                <w:i/>
                <w:sz w:val="21"/>
              </w:rPr>
              <w:t>Mammillaria eichlamii</w:t>
            </w:r>
          </w:p>
        </w:tc>
        <w:tc>
          <w:tcPr>
            <w:tcW w:w="1372" w:type="dxa"/>
            <w:tcBorders>
              <w:left w:val="dashed" w:sz="8" w:space="0" w:color="4AACC5"/>
              <w:right w:val="dashed" w:sz="8" w:space="0" w:color="4AACC5"/>
            </w:tcBorders>
            <w:shd w:val="clear" w:color="auto" w:fill="D2EAF0"/>
          </w:tcPr>
          <w:p w14:paraId="53AF0727"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5EC11B5B" w14:textId="77777777" w:rsidTr="00C81834">
        <w:trPr>
          <w:trHeight w:val="369"/>
          <w:jc w:val="center"/>
        </w:trPr>
        <w:tc>
          <w:tcPr>
            <w:tcW w:w="1804" w:type="dxa"/>
            <w:tcBorders>
              <w:left w:val="dashed" w:sz="8" w:space="0" w:color="4AACC5"/>
              <w:right w:val="dashed" w:sz="8" w:space="0" w:color="4AACC5"/>
            </w:tcBorders>
          </w:tcPr>
          <w:p w14:paraId="60845D3D"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50F9C5CD"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Cactaceae</w:t>
            </w:r>
          </w:p>
        </w:tc>
        <w:tc>
          <w:tcPr>
            <w:tcW w:w="3204" w:type="dxa"/>
            <w:tcBorders>
              <w:left w:val="dashed" w:sz="8" w:space="0" w:color="4AACC5"/>
              <w:right w:val="dashed" w:sz="8" w:space="0" w:color="4AACC5"/>
            </w:tcBorders>
          </w:tcPr>
          <w:p w14:paraId="19261EBE" w14:textId="77777777" w:rsidR="00C81834" w:rsidRPr="00CF0F96" w:rsidRDefault="00C81834" w:rsidP="00C81834">
            <w:pPr>
              <w:pStyle w:val="TableParagraph"/>
              <w:rPr>
                <w:rFonts w:ascii="Arial" w:hAnsi="Arial" w:cs="Arial"/>
                <w:i/>
                <w:sz w:val="21"/>
              </w:rPr>
            </w:pPr>
            <w:r w:rsidRPr="00CF0F96">
              <w:rPr>
                <w:rFonts w:ascii="Arial" w:hAnsi="Arial" w:cs="Arial"/>
                <w:i/>
                <w:sz w:val="21"/>
              </w:rPr>
              <w:t>Pachycereus lepidanthus</w:t>
            </w:r>
          </w:p>
        </w:tc>
        <w:tc>
          <w:tcPr>
            <w:tcW w:w="1372" w:type="dxa"/>
            <w:tcBorders>
              <w:left w:val="dashed" w:sz="8" w:space="0" w:color="4AACC5"/>
              <w:right w:val="dashed" w:sz="8" w:space="0" w:color="4AACC5"/>
            </w:tcBorders>
          </w:tcPr>
          <w:p w14:paraId="66762D9F"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443D6E88" w14:textId="77777777" w:rsidTr="00C81834">
        <w:trPr>
          <w:trHeight w:val="369"/>
          <w:jc w:val="center"/>
        </w:trPr>
        <w:tc>
          <w:tcPr>
            <w:tcW w:w="1804" w:type="dxa"/>
            <w:tcBorders>
              <w:left w:val="dashed" w:sz="8" w:space="0" w:color="4AACC5"/>
              <w:right w:val="dashed" w:sz="8" w:space="0" w:color="4AACC5"/>
            </w:tcBorders>
            <w:shd w:val="clear" w:color="auto" w:fill="D2EAF0"/>
          </w:tcPr>
          <w:p w14:paraId="31434FCC"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shd w:val="clear" w:color="auto" w:fill="D2EAF0"/>
          </w:tcPr>
          <w:p w14:paraId="7E590180"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Cactaceae</w:t>
            </w:r>
          </w:p>
        </w:tc>
        <w:tc>
          <w:tcPr>
            <w:tcW w:w="3204" w:type="dxa"/>
            <w:tcBorders>
              <w:left w:val="dashed" w:sz="8" w:space="0" w:color="4AACC5"/>
              <w:right w:val="dashed" w:sz="8" w:space="0" w:color="4AACC5"/>
            </w:tcBorders>
            <w:shd w:val="clear" w:color="auto" w:fill="D2EAF0"/>
          </w:tcPr>
          <w:p w14:paraId="379B74C6" w14:textId="77777777" w:rsidR="00C81834" w:rsidRPr="00CF0F96" w:rsidRDefault="00C81834" w:rsidP="00C81834">
            <w:pPr>
              <w:pStyle w:val="TableParagraph"/>
              <w:rPr>
                <w:rFonts w:ascii="Arial" w:hAnsi="Arial" w:cs="Arial"/>
                <w:i/>
                <w:sz w:val="21"/>
              </w:rPr>
            </w:pPr>
            <w:r w:rsidRPr="00CF0F96">
              <w:rPr>
                <w:rFonts w:ascii="Arial" w:hAnsi="Arial" w:cs="Arial"/>
                <w:i/>
                <w:sz w:val="21"/>
              </w:rPr>
              <w:t>Peniocereus chiapensis</w:t>
            </w:r>
          </w:p>
        </w:tc>
        <w:tc>
          <w:tcPr>
            <w:tcW w:w="1372" w:type="dxa"/>
            <w:tcBorders>
              <w:left w:val="dashed" w:sz="8" w:space="0" w:color="4AACC5"/>
              <w:right w:val="dashed" w:sz="8" w:space="0" w:color="4AACC5"/>
            </w:tcBorders>
            <w:shd w:val="clear" w:color="auto" w:fill="D2EAF0"/>
          </w:tcPr>
          <w:p w14:paraId="61DBB1B6"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5A273CDB" w14:textId="77777777" w:rsidTr="00C81834">
        <w:trPr>
          <w:trHeight w:val="369"/>
          <w:jc w:val="center"/>
        </w:trPr>
        <w:tc>
          <w:tcPr>
            <w:tcW w:w="1804" w:type="dxa"/>
            <w:tcBorders>
              <w:left w:val="dashed" w:sz="8" w:space="0" w:color="4AACC5"/>
              <w:right w:val="dashed" w:sz="8" w:space="0" w:color="4AACC5"/>
            </w:tcBorders>
          </w:tcPr>
          <w:p w14:paraId="03C621F7"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6311A9F0"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Caprifoliaceae</w:t>
            </w:r>
          </w:p>
        </w:tc>
        <w:tc>
          <w:tcPr>
            <w:tcW w:w="3204" w:type="dxa"/>
            <w:tcBorders>
              <w:left w:val="dashed" w:sz="8" w:space="0" w:color="4AACC5"/>
              <w:right w:val="dashed" w:sz="8" w:space="0" w:color="4AACC5"/>
            </w:tcBorders>
          </w:tcPr>
          <w:p w14:paraId="37B158A5" w14:textId="77777777" w:rsidR="00C81834" w:rsidRPr="00CF0F96" w:rsidRDefault="00C81834" w:rsidP="00C81834">
            <w:pPr>
              <w:pStyle w:val="TableParagraph"/>
              <w:rPr>
                <w:rFonts w:ascii="Arial" w:hAnsi="Arial" w:cs="Arial"/>
                <w:i/>
                <w:sz w:val="21"/>
              </w:rPr>
            </w:pPr>
            <w:r w:rsidRPr="00CF0F96">
              <w:rPr>
                <w:rFonts w:ascii="Arial" w:hAnsi="Arial" w:cs="Arial"/>
                <w:i/>
                <w:sz w:val="21"/>
              </w:rPr>
              <w:t>Viburnum hondurense</w:t>
            </w:r>
          </w:p>
        </w:tc>
        <w:tc>
          <w:tcPr>
            <w:tcW w:w="1372" w:type="dxa"/>
            <w:tcBorders>
              <w:left w:val="dashed" w:sz="8" w:space="0" w:color="4AACC5"/>
              <w:right w:val="dashed" w:sz="8" w:space="0" w:color="4AACC5"/>
            </w:tcBorders>
          </w:tcPr>
          <w:p w14:paraId="29A28078"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33EFD774" w14:textId="77777777" w:rsidTr="00C81834">
        <w:trPr>
          <w:trHeight w:val="369"/>
          <w:jc w:val="center"/>
        </w:trPr>
        <w:tc>
          <w:tcPr>
            <w:tcW w:w="1804" w:type="dxa"/>
            <w:tcBorders>
              <w:left w:val="dashed" w:sz="8" w:space="0" w:color="4AACC5"/>
              <w:right w:val="dashed" w:sz="8" w:space="0" w:color="4AACC5"/>
            </w:tcBorders>
            <w:shd w:val="clear" w:color="auto" w:fill="D2EAF0"/>
          </w:tcPr>
          <w:p w14:paraId="2E567F6B"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shd w:val="clear" w:color="auto" w:fill="D2EAF0"/>
          </w:tcPr>
          <w:p w14:paraId="4762E7E3"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Caprifoliaceae</w:t>
            </w:r>
          </w:p>
        </w:tc>
        <w:tc>
          <w:tcPr>
            <w:tcW w:w="3204" w:type="dxa"/>
            <w:tcBorders>
              <w:left w:val="dashed" w:sz="8" w:space="0" w:color="4AACC5"/>
              <w:right w:val="dashed" w:sz="8" w:space="0" w:color="4AACC5"/>
            </w:tcBorders>
            <w:shd w:val="clear" w:color="auto" w:fill="D2EAF0"/>
          </w:tcPr>
          <w:p w14:paraId="3866DC43" w14:textId="77777777" w:rsidR="00C81834" w:rsidRPr="00CF0F96" w:rsidRDefault="00C81834" w:rsidP="00C81834">
            <w:pPr>
              <w:pStyle w:val="TableParagraph"/>
              <w:rPr>
                <w:rFonts w:ascii="Arial" w:hAnsi="Arial" w:cs="Arial"/>
                <w:i/>
                <w:sz w:val="21"/>
              </w:rPr>
            </w:pPr>
            <w:r w:rsidRPr="00CF0F96">
              <w:rPr>
                <w:rFonts w:ascii="Arial" w:hAnsi="Arial" w:cs="Arial"/>
                <w:i/>
                <w:sz w:val="21"/>
              </w:rPr>
              <w:t>Viburnum molinae</w:t>
            </w:r>
          </w:p>
        </w:tc>
        <w:tc>
          <w:tcPr>
            <w:tcW w:w="1372" w:type="dxa"/>
            <w:tcBorders>
              <w:left w:val="dashed" w:sz="8" w:space="0" w:color="4AACC5"/>
              <w:right w:val="dashed" w:sz="8" w:space="0" w:color="4AACC5"/>
            </w:tcBorders>
            <w:shd w:val="clear" w:color="auto" w:fill="D2EAF0"/>
          </w:tcPr>
          <w:p w14:paraId="5D1CC649"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05FBA85A" w14:textId="77777777" w:rsidTr="00C81834">
        <w:trPr>
          <w:trHeight w:val="369"/>
          <w:jc w:val="center"/>
        </w:trPr>
        <w:tc>
          <w:tcPr>
            <w:tcW w:w="1804" w:type="dxa"/>
            <w:tcBorders>
              <w:left w:val="dashed" w:sz="8" w:space="0" w:color="4AACC5"/>
              <w:right w:val="dashed" w:sz="8" w:space="0" w:color="4AACC5"/>
            </w:tcBorders>
          </w:tcPr>
          <w:p w14:paraId="13295D6D"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34F1E1BC"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Caprifoliaceae</w:t>
            </w:r>
          </w:p>
        </w:tc>
        <w:tc>
          <w:tcPr>
            <w:tcW w:w="3204" w:type="dxa"/>
            <w:tcBorders>
              <w:left w:val="dashed" w:sz="8" w:space="0" w:color="4AACC5"/>
              <w:right w:val="dashed" w:sz="8" w:space="0" w:color="4AACC5"/>
            </w:tcBorders>
          </w:tcPr>
          <w:p w14:paraId="3E6DB98C" w14:textId="77777777" w:rsidR="00C81834" w:rsidRPr="00CF0F96" w:rsidRDefault="00C81834" w:rsidP="00C81834">
            <w:pPr>
              <w:pStyle w:val="TableParagraph"/>
              <w:rPr>
                <w:rFonts w:ascii="Arial" w:hAnsi="Arial" w:cs="Arial"/>
                <w:i/>
                <w:sz w:val="21"/>
              </w:rPr>
            </w:pPr>
            <w:r w:rsidRPr="00CF0F96">
              <w:rPr>
                <w:rFonts w:ascii="Arial" w:hAnsi="Arial" w:cs="Arial"/>
                <w:i/>
                <w:sz w:val="21"/>
              </w:rPr>
              <w:t>Viburnum subpubescens</w:t>
            </w:r>
          </w:p>
        </w:tc>
        <w:tc>
          <w:tcPr>
            <w:tcW w:w="1372" w:type="dxa"/>
            <w:tcBorders>
              <w:left w:val="dashed" w:sz="8" w:space="0" w:color="4AACC5"/>
              <w:right w:val="dashed" w:sz="8" w:space="0" w:color="4AACC5"/>
            </w:tcBorders>
          </w:tcPr>
          <w:p w14:paraId="1273F7F2"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7CD2861E" w14:textId="77777777" w:rsidTr="00C81834">
        <w:trPr>
          <w:trHeight w:val="369"/>
          <w:jc w:val="center"/>
        </w:trPr>
        <w:tc>
          <w:tcPr>
            <w:tcW w:w="1804" w:type="dxa"/>
            <w:tcBorders>
              <w:left w:val="dashed" w:sz="8" w:space="0" w:color="4AACC5"/>
              <w:right w:val="dashed" w:sz="8" w:space="0" w:color="4AACC5"/>
            </w:tcBorders>
            <w:shd w:val="clear" w:color="auto" w:fill="D2EAF0"/>
          </w:tcPr>
          <w:p w14:paraId="22764955"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shd w:val="clear" w:color="auto" w:fill="D2EAF0"/>
          </w:tcPr>
          <w:p w14:paraId="2EE8040B"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Celastraceae</w:t>
            </w:r>
          </w:p>
        </w:tc>
        <w:tc>
          <w:tcPr>
            <w:tcW w:w="3204" w:type="dxa"/>
            <w:tcBorders>
              <w:left w:val="dashed" w:sz="8" w:space="0" w:color="4AACC5"/>
              <w:right w:val="dashed" w:sz="8" w:space="0" w:color="4AACC5"/>
            </w:tcBorders>
            <w:shd w:val="clear" w:color="auto" w:fill="D2EAF0"/>
          </w:tcPr>
          <w:p w14:paraId="15EFDC63" w14:textId="77777777" w:rsidR="00C81834" w:rsidRPr="00CF0F96" w:rsidRDefault="00C81834" w:rsidP="00C81834">
            <w:pPr>
              <w:pStyle w:val="TableParagraph"/>
              <w:rPr>
                <w:rFonts w:ascii="Arial" w:hAnsi="Arial" w:cs="Arial"/>
                <w:i/>
                <w:sz w:val="21"/>
              </w:rPr>
            </w:pPr>
            <w:r w:rsidRPr="00CF0F96">
              <w:rPr>
                <w:rFonts w:ascii="Arial" w:hAnsi="Arial" w:cs="Arial"/>
                <w:i/>
                <w:sz w:val="21"/>
              </w:rPr>
              <w:t>Maytenus williamsii</w:t>
            </w:r>
          </w:p>
        </w:tc>
        <w:tc>
          <w:tcPr>
            <w:tcW w:w="1372" w:type="dxa"/>
            <w:tcBorders>
              <w:left w:val="dashed" w:sz="8" w:space="0" w:color="4AACC5"/>
              <w:right w:val="dashed" w:sz="8" w:space="0" w:color="4AACC5"/>
            </w:tcBorders>
            <w:shd w:val="clear" w:color="auto" w:fill="D2EAF0"/>
          </w:tcPr>
          <w:p w14:paraId="2DE672E5"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2105DB0D" w14:textId="77777777" w:rsidTr="00C81834">
        <w:trPr>
          <w:trHeight w:val="369"/>
          <w:jc w:val="center"/>
        </w:trPr>
        <w:tc>
          <w:tcPr>
            <w:tcW w:w="1804" w:type="dxa"/>
            <w:tcBorders>
              <w:left w:val="dashed" w:sz="8" w:space="0" w:color="4AACC5"/>
              <w:right w:val="dashed" w:sz="8" w:space="0" w:color="4AACC5"/>
            </w:tcBorders>
          </w:tcPr>
          <w:p w14:paraId="33701F51"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6F6E27FC"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Celastraceae</w:t>
            </w:r>
          </w:p>
        </w:tc>
        <w:tc>
          <w:tcPr>
            <w:tcW w:w="3204" w:type="dxa"/>
            <w:tcBorders>
              <w:left w:val="dashed" w:sz="8" w:space="0" w:color="4AACC5"/>
              <w:right w:val="dashed" w:sz="8" w:space="0" w:color="4AACC5"/>
            </w:tcBorders>
          </w:tcPr>
          <w:p w14:paraId="7000EC46" w14:textId="77777777" w:rsidR="00C81834" w:rsidRPr="00CF0F96" w:rsidRDefault="00C81834" w:rsidP="00C81834">
            <w:pPr>
              <w:pStyle w:val="TableParagraph"/>
              <w:rPr>
                <w:rFonts w:ascii="Arial" w:hAnsi="Arial" w:cs="Arial"/>
                <w:i/>
                <w:sz w:val="21"/>
              </w:rPr>
            </w:pPr>
            <w:r w:rsidRPr="00CF0F96">
              <w:rPr>
                <w:rFonts w:ascii="Arial" w:hAnsi="Arial" w:cs="Arial"/>
                <w:i/>
                <w:sz w:val="21"/>
              </w:rPr>
              <w:t>Tontelea hondurensis</w:t>
            </w:r>
          </w:p>
        </w:tc>
        <w:tc>
          <w:tcPr>
            <w:tcW w:w="1372" w:type="dxa"/>
            <w:tcBorders>
              <w:left w:val="dashed" w:sz="8" w:space="0" w:color="4AACC5"/>
              <w:right w:val="dashed" w:sz="8" w:space="0" w:color="4AACC5"/>
            </w:tcBorders>
          </w:tcPr>
          <w:p w14:paraId="6E7531D6"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68692735" w14:textId="77777777" w:rsidTr="00C81834">
        <w:trPr>
          <w:trHeight w:val="369"/>
          <w:jc w:val="center"/>
        </w:trPr>
        <w:tc>
          <w:tcPr>
            <w:tcW w:w="1804" w:type="dxa"/>
            <w:tcBorders>
              <w:left w:val="dashed" w:sz="8" w:space="0" w:color="4AACC5"/>
              <w:right w:val="dashed" w:sz="8" w:space="0" w:color="4AACC5"/>
            </w:tcBorders>
            <w:shd w:val="clear" w:color="auto" w:fill="D2EAF0"/>
          </w:tcPr>
          <w:p w14:paraId="78B14262"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shd w:val="clear" w:color="auto" w:fill="D2EAF0"/>
          </w:tcPr>
          <w:p w14:paraId="434CA070"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Combretaceae</w:t>
            </w:r>
          </w:p>
        </w:tc>
        <w:tc>
          <w:tcPr>
            <w:tcW w:w="3204" w:type="dxa"/>
            <w:tcBorders>
              <w:left w:val="dashed" w:sz="8" w:space="0" w:color="4AACC5"/>
              <w:right w:val="dashed" w:sz="8" w:space="0" w:color="4AACC5"/>
            </w:tcBorders>
            <w:shd w:val="clear" w:color="auto" w:fill="D2EAF0"/>
          </w:tcPr>
          <w:p w14:paraId="6DB3C5D2" w14:textId="77777777" w:rsidR="00C81834" w:rsidRPr="00CF0F96" w:rsidRDefault="00C81834" w:rsidP="00C81834">
            <w:pPr>
              <w:pStyle w:val="TableParagraph"/>
              <w:rPr>
                <w:rFonts w:ascii="Arial" w:hAnsi="Arial" w:cs="Arial"/>
                <w:i/>
                <w:sz w:val="21"/>
              </w:rPr>
            </w:pPr>
            <w:r w:rsidRPr="00CF0F96">
              <w:rPr>
                <w:rFonts w:ascii="Arial" w:hAnsi="Arial" w:cs="Arial"/>
                <w:i/>
                <w:sz w:val="21"/>
              </w:rPr>
              <w:t>Terminalia bucidoides</w:t>
            </w:r>
          </w:p>
        </w:tc>
        <w:tc>
          <w:tcPr>
            <w:tcW w:w="1372" w:type="dxa"/>
            <w:tcBorders>
              <w:left w:val="dashed" w:sz="8" w:space="0" w:color="4AACC5"/>
              <w:right w:val="dashed" w:sz="8" w:space="0" w:color="4AACC5"/>
            </w:tcBorders>
            <w:shd w:val="clear" w:color="auto" w:fill="D2EAF0"/>
          </w:tcPr>
          <w:p w14:paraId="24B90107"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2CB509E9" w14:textId="77777777" w:rsidTr="00C81834">
        <w:trPr>
          <w:trHeight w:val="369"/>
          <w:jc w:val="center"/>
        </w:trPr>
        <w:tc>
          <w:tcPr>
            <w:tcW w:w="1804" w:type="dxa"/>
            <w:tcBorders>
              <w:left w:val="dashed" w:sz="8" w:space="0" w:color="4AACC5"/>
              <w:right w:val="dashed" w:sz="8" w:space="0" w:color="4AACC5"/>
            </w:tcBorders>
          </w:tcPr>
          <w:p w14:paraId="251208E7"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3FEC47EE"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Connaraceae</w:t>
            </w:r>
          </w:p>
        </w:tc>
        <w:tc>
          <w:tcPr>
            <w:tcW w:w="3204" w:type="dxa"/>
            <w:tcBorders>
              <w:left w:val="dashed" w:sz="8" w:space="0" w:color="4AACC5"/>
              <w:right w:val="dashed" w:sz="8" w:space="0" w:color="4AACC5"/>
            </w:tcBorders>
          </w:tcPr>
          <w:p w14:paraId="66905046" w14:textId="77777777" w:rsidR="00C81834" w:rsidRPr="00CF0F96" w:rsidRDefault="00C81834" w:rsidP="00C81834">
            <w:pPr>
              <w:pStyle w:val="TableParagraph"/>
              <w:rPr>
                <w:rFonts w:ascii="Arial" w:hAnsi="Arial" w:cs="Arial"/>
                <w:i/>
                <w:sz w:val="21"/>
              </w:rPr>
            </w:pPr>
            <w:r w:rsidRPr="00CF0F96">
              <w:rPr>
                <w:rFonts w:ascii="Arial" w:hAnsi="Arial" w:cs="Arial"/>
                <w:i/>
                <w:sz w:val="21"/>
              </w:rPr>
              <w:t>Connarus brachybotryosus</w:t>
            </w:r>
          </w:p>
        </w:tc>
        <w:tc>
          <w:tcPr>
            <w:tcW w:w="1372" w:type="dxa"/>
            <w:tcBorders>
              <w:left w:val="dashed" w:sz="8" w:space="0" w:color="4AACC5"/>
              <w:right w:val="dashed" w:sz="8" w:space="0" w:color="4AACC5"/>
            </w:tcBorders>
          </w:tcPr>
          <w:p w14:paraId="49646CF7"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178B39E0" w14:textId="77777777" w:rsidTr="00C81834">
        <w:trPr>
          <w:trHeight w:val="369"/>
          <w:jc w:val="center"/>
        </w:trPr>
        <w:tc>
          <w:tcPr>
            <w:tcW w:w="1804" w:type="dxa"/>
            <w:tcBorders>
              <w:left w:val="dashed" w:sz="8" w:space="0" w:color="4AACC5"/>
              <w:right w:val="dashed" w:sz="8" w:space="0" w:color="4AACC5"/>
            </w:tcBorders>
            <w:shd w:val="clear" w:color="auto" w:fill="D2EAF0"/>
          </w:tcPr>
          <w:p w14:paraId="384A02BE"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shd w:val="clear" w:color="auto" w:fill="D2EAF0"/>
          </w:tcPr>
          <w:p w14:paraId="0A57F75D"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Connaraceae</w:t>
            </w:r>
          </w:p>
        </w:tc>
        <w:tc>
          <w:tcPr>
            <w:tcW w:w="3204" w:type="dxa"/>
            <w:tcBorders>
              <w:left w:val="dashed" w:sz="8" w:space="0" w:color="4AACC5"/>
              <w:right w:val="dashed" w:sz="8" w:space="0" w:color="4AACC5"/>
            </w:tcBorders>
            <w:shd w:val="clear" w:color="auto" w:fill="D2EAF0"/>
          </w:tcPr>
          <w:p w14:paraId="6BB95112" w14:textId="77777777" w:rsidR="00C81834" w:rsidRPr="00CF0F96" w:rsidRDefault="00C81834" w:rsidP="00C81834">
            <w:pPr>
              <w:pStyle w:val="TableParagraph"/>
              <w:rPr>
                <w:rFonts w:ascii="Arial" w:hAnsi="Arial" w:cs="Arial"/>
                <w:i/>
                <w:sz w:val="21"/>
              </w:rPr>
            </w:pPr>
            <w:r w:rsidRPr="00CF0F96">
              <w:rPr>
                <w:rFonts w:ascii="Arial" w:hAnsi="Arial" w:cs="Arial"/>
                <w:i/>
                <w:sz w:val="21"/>
              </w:rPr>
              <w:t>Connarus popenoei</w:t>
            </w:r>
          </w:p>
        </w:tc>
        <w:tc>
          <w:tcPr>
            <w:tcW w:w="1372" w:type="dxa"/>
            <w:tcBorders>
              <w:left w:val="dashed" w:sz="8" w:space="0" w:color="4AACC5"/>
              <w:right w:val="dashed" w:sz="8" w:space="0" w:color="4AACC5"/>
            </w:tcBorders>
            <w:shd w:val="clear" w:color="auto" w:fill="D2EAF0"/>
          </w:tcPr>
          <w:p w14:paraId="3F6818C6"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36C13940" w14:textId="77777777" w:rsidTr="00C81834">
        <w:trPr>
          <w:trHeight w:val="369"/>
          <w:jc w:val="center"/>
        </w:trPr>
        <w:tc>
          <w:tcPr>
            <w:tcW w:w="1804" w:type="dxa"/>
            <w:tcBorders>
              <w:left w:val="dashed" w:sz="8" w:space="0" w:color="4AACC5"/>
              <w:right w:val="dashed" w:sz="8" w:space="0" w:color="4AACC5"/>
            </w:tcBorders>
          </w:tcPr>
          <w:p w14:paraId="533806F6"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276FFB3D"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Cornaceae</w:t>
            </w:r>
          </w:p>
        </w:tc>
        <w:tc>
          <w:tcPr>
            <w:tcW w:w="3204" w:type="dxa"/>
            <w:tcBorders>
              <w:left w:val="dashed" w:sz="8" w:space="0" w:color="4AACC5"/>
              <w:right w:val="dashed" w:sz="8" w:space="0" w:color="4AACC5"/>
            </w:tcBorders>
          </w:tcPr>
          <w:p w14:paraId="0E060DE8" w14:textId="77777777" w:rsidR="00C81834" w:rsidRPr="00CF0F96" w:rsidRDefault="00C81834" w:rsidP="00C81834">
            <w:pPr>
              <w:pStyle w:val="TableParagraph"/>
              <w:spacing w:before="53"/>
              <w:rPr>
                <w:rFonts w:ascii="Arial" w:hAnsi="Arial" w:cs="Arial"/>
                <w:i/>
                <w:sz w:val="21"/>
              </w:rPr>
            </w:pPr>
            <w:r w:rsidRPr="00CF0F96">
              <w:rPr>
                <w:rFonts w:ascii="Arial" w:hAnsi="Arial" w:cs="Arial"/>
                <w:i/>
                <w:w w:val="95"/>
                <w:sz w:val="21"/>
              </w:rPr>
              <w:t>Cornus disciflora</w:t>
            </w:r>
          </w:p>
        </w:tc>
        <w:tc>
          <w:tcPr>
            <w:tcW w:w="1372" w:type="dxa"/>
            <w:tcBorders>
              <w:left w:val="dashed" w:sz="8" w:space="0" w:color="4AACC5"/>
              <w:right w:val="dashed" w:sz="8" w:space="0" w:color="4AACC5"/>
            </w:tcBorders>
          </w:tcPr>
          <w:p w14:paraId="19504058"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39EE6B30" w14:textId="77777777" w:rsidTr="00C81834">
        <w:trPr>
          <w:trHeight w:val="369"/>
          <w:jc w:val="center"/>
        </w:trPr>
        <w:tc>
          <w:tcPr>
            <w:tcW w:w="1804" w:type="dxa"/>
            <w:tcBorders>
              <w:left w:val="dashed" w:sz="8" w:space="0" w:color="4AACC5"/>
              <w:right w:val="dashed" w:sz="8" w:space="0" w:color="4AACC5"/>
            </w:tcBorders>
            <w:shd w:val="clear" w:color="auto" w:fill="D2EAF0"/>
          </w:tcPr>
          <w:p w14:paraId="2DBE1874"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shd w:val="clear" w:color="auto" w:fill="D2EAF0"/>
          </w:tcPr>
          <w:p w14:paraId="70BCE990"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Elaeocarpaceae</w:t>
            </w:r>
          </w:p>
        </w:tc>
        <w:tc>
          <w:tcPr>
            <w:tcW w:w="3204" w:type="dxa"/>
            <w:tcBorders>
              <w:left w:val="dashed" w:sz="8" w:space="0" w:color="4AACC5"/>
              <w:right w:val="dashed" w:sz="8" w:space="0" w:color="4AACC5"/>
            </w:tcBorders>
            <w:shd w:val="clear" w:color="auto" w:fill="D2EAF0"/>
          </w:tcPr>
          <w:p w14:paraId="1A5927D6" w14:textId="77777777" w:rsidR="00C81834" w:rsidRPr="00CF0F96" w:rsidRDefault="00C81834" w:rsidP="00C81834">
            <w:pPr>
              <w:pStyle w:val="TableParagraph"/>
              <w:rPr>
                <w:rFonts w:ascii="Arial" w:hAnsi="Arial" w:cs="Arial"/>
                <w:i/>
                <w:sz w:val="21"/>
              </w:rPr>
            </w:pPr>
            <w:r w:rsidRPr="00CF0F96">
              <w:rPr>
                <w:rFonts w:ascii="Arial" w:hAnsi="Arial" w:cs="Arial"/>
                <w:i/>
                <w:sz w:val="21"/>
              </w:rPr>
              <w:t>Sloanea shankii</w:t>
            </w:r>
          </w:p>
        </w:tc>
        <w:tc>
          <w:tcPr>
            <w:tcW w:w="1372" w:type="dxa"/>
            <w:tcBorders>
              <w:left w:val="dashed" w:sz="8" w:space="0" w:color="4AACC5"/>
              <w:right w:val="dashed" w:sz="8" w:space="0" w:color="4AACC5"/>
            </w:tcBorders>
            <w:shd w:val="clear" w:color="auto" w:fill="D2EAF0"/>
          </w:tcPr>
          <w:p w14:paraId="6959ED38"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3AA2F789" w14:textId="77777777" w:rsidTr="00C81834">
        <w:trPr>
          <w:trHeight w:val="369"/>
          <w:jc w:val="center"/>
        </w:trPr>
        <w:tc>
          <w:tcPr>
            <w:tcW w:w="1804" w:type="dxa"/>
            <w:tcBorders>
              <w:left w:val="dashed" w:sz="8" w:space="0" w:color="4AACC5"/>
              <w:right w:val="dashed" w:sz="8" w:space="0" w:color="4AACC5"/>
            </w:tcBorders>
          </w:tcPr>
          <w:p w14:paraId="0A92F538"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42D62495"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Euphorbiaceae</w:t>
            </w:r>
          </w:p>
        </w:tc>
        <w:tc>
          <w:tcPr>
            <w:tcW w:w="3204" w:type="dxa"/>
            <w:tcBorders>
              <w:left w:val="dashed" w:sz="8" w:space="0" w:color="4AACC5"/>
              <w:right w:val="dashed" w:sz="8" w:space="0" w:color="4AACC5"/>
            </w:tcBorders>
          </w:tcPr>
          <w:p w14:paraId="2C464DA9" w14:textId="77777777" w:rsidR="00C81834" w:rsidRPr="00CF0F96" w:rsidRDefault="00C81834" w:rsidP="00C81834">
            <w:pPr>
              <w:pStyle w:val="TableParagraph"/>
              <w:rPr>
                <w:rFonts w:ascii="Arial" w:hAnsi="Arial" w:cs="Arial"/>
                <w:i/>
                <w:sz w:val="21"/>
              </w:rPr>
            </w:pPr>
            <w:r w:rsidRPr="00CF0F96">
              <w:rPr>
                <w:rFonts w:ascii="Arial" w:hAnsi="Arial" w:cs="Arial"/>
                <w:i/>
                <w:sz w:val="21"/>
              </w:rPr>
              <w:t>Tetrorchidium brevifolium</w:t>
            </w:r>
          </w:p>
        </w:tc>
        <w:tc>
          <w:tcPr>
            <w:tcW w:w="1372" w:type="dxa"/>
            <w:tcBorders>
              <w:left w:val="dashed" w:sz="8" w:space="0" w:color="4AACC5"/>
              <w:right w:val="dashed" w:sz="8" w:space="0" w:color="4AACC5"/>
            </w:tcBorders>
          </w:tcPr>
          <w:p w14:paraId="201E0498"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1B9C7EC2" w14:textId="77777777" w:rsidTr="00C81834">
        <w:trPr>
          <w:trHeight w:val="369"/>
          <w:jc w:val="center"/>
        </w:trPr>
        <w:tc>
          <w:tcPr>
            <w:tcW w:w="1804" w:type="dxa"/>
            <w:tcBorders>
              <w:left w:val="dashed" w:sz="8" w:space="0" w:color="4AACC5"/>
              <w:right w:val="dashed" w:sz="8" w:space="0" w:color="4AACC5"/>
            </w:tcBorders>
            <w:shd w:val="clear" w:color="auto" w:fill="D2EAF0"/>
          </w:tcPr>
          <w:p w14:paraId="18FF2514"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shd w:val="clear" w:color="auto" w:fill="D2EAF0"/>
          </w:tcPr>
          <w:p w14:paraId="0F3E2FBC"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Fabaceae</w:t>
            </w:r>
          </w:p>
        </w:tc>
        <w:tc>
          <w:tcPr>
            <w:tcW w:w="3204" w:type="dxa"/>
            <w:tcBorders>
              <w:left w:val="dashed" w:sz="8" w:space="0" w:color="4AACC5"/>
              <w:right w:val="dashed" w:sz="8" w:space="0" w:color="4AACC5"/>
            </w:tcBorders>
            <w:shd w:val="clear" w:color="auto" w:fill="D2EAF0"/>
          </w:tcPr>
          <w:p w14:paraId="5FB9ED00" w14:textId="77777777" w:rsidR="00C81834" w:rsidRPr="00CF0F96" w:rsidRDefault="00C81834" w:rsidP="00C81834">
            <w:pPr>
              <w:pStyle w:val="TableParagraph"/>
              <w:rPr>
                <w:rFonts w:ascii="Arial" w:hAnsi="Arial" w:cs="Arial"/>
                <w:i/>
                <w:sz w:val="21"/>
              </w:rPr>
            </w:pPr>
            <w:r w:rsidRPr="00CF0F96">
              <w:rPr>
                <w:rFonts w:ascii="Arial" w:hAnsi="Arial" w:cs="Arial"/>
                <w:i/>
                <w:sz w:val="21"/>
              </w:rPr>
              <w:t>Abarema oxyphyllidia</w:t>
            </w:r>
          </w:p>
        </w:tc>
        <w:tc>
          <w:tcPr>
            <w:tcW w:w="1372" w:type="dxa"/>
            <w:tcBorders>
              <w:left w:val="dashed" w:sz="8" w:space="0" w:color="4AACC5"/>
              <w:right w:val="dashed" w:sz="8" w:space="0" w:color="4AACC5"/>
            </w:tcBorders>
            <w:shd w:val="clear" w:color="auto" w:fill="D2EAF0"/>
          </w:tcPr>
          <w:p w14:paraId="7AC6118E"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1B652E92" w14:textId="77777777" w:rsidTr="00C81834">
        <w:trPr>
          <w:trHeight w:val="369"/>
          <w:jc w:val="center"/>
        </w:trPr>
        <w:tc>
          <w:tcPr>
            <w:tcW w:w="1804" w:type="dxa"/>
            <w:tcBorders>
              <w:left w:val="dashed" w:sz="8" w:space="0" w:color="4AACC5"/>
              <w:right w:val="dashed" w:sz="8" w:space="0" w:color="4AACC5"/>
            </w:tcBorders>
          </w:tcPr>
          <w:p w14:paraId="5DB789DA"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653064EF"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Fabaceae</w:t>
            </w:r>
          </w:p>
        </w:tc>
        <w:tc>
          <w:tcPr>
            <w:tcW w:w="3204" w:type="dxa"/>
            <w:tcBorders>
              <w:left w:val="dashed" w:sz="8" w:space="0" w:color="4AACC5"/>
              <w:right w:val="dashed" w:sz="8" w:space="0" w:color="4AACC5"/>
            </w:tcBorders>
          </w:tcPr>
          <w:p w14:paraId="0C9CFE84" w14:textId="77777777" w:rsidR="00C81834" w:rsidRPr="00CF0F96" w:rsidRDefault="00C81834" w:rsidP="00C81834">
            <w:pPr>
              <w:pStyle w:val="TableParagraph"/>
              <w:rPr>
                <w:rFonts w:ascii="Arial" w:hAnsi="Arial" w:cs="Arial"/>
                <w:i/>
                <w:sz w:val="21"/>
              </w:rPr>
            </w:pPr>
            <w:r w:rsidRPr="00CF0F96">
              <w:rPr>
                <w:rFonts w:ascii="Arial" w:hAnsi="Arial" w:cs="Arial"/>
                <w:i/>
                <w:sz w:val="21"/>
              </w:rPr>
              <w:t>Dalbergia glomerata</w:t>
            </w:r>
          </w:p>
        </w:tc>
        <w:tc>
          <w:tcPr>
            <w:tcW w:w="1372" w:type="dxa"/>
            <w:tcBorders>
              <w:left w:val="dashed" w:sz="8" w:space="0" w:color="4AACC5"/>
              <w:right w:val="dashed" w:sz="8" w:space="0" w:color="4AACC5"/>
            </w:tcBorders>
          </w:tcPr>
          <w:p w14:paraId="7DDCD1AF"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54E904DF" w14:textId="77777777" w:rsidTr="00C81834">
        <w:trPr>
          <w:trHeight w:val="369"/>
          <w:jc w:val="center"/>
        </w:trPr>
        <w:tc>
          <w:tcPr>
            <w:tcW w:w="1804" w:type="dxa"/>
            <w:tcBorders>
              <w:left w:val="dashed" w:sz="8" w:space="0" w:color="4AACC5"/>
              <w:right w:val="dashed" w:sz="8" w:space="0" w:color="4AACC5"/>
            </w:tcBorders>
            <w:shd w:val="clear" w:color="auto" w:fill="D2EAF0"/>
          </w:tcPr>
          <w:p w14:paraId="13B86498"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shd w:val="clear" w:color="auto" w:fill="D2EAF0"/>
          </w:tcPr>
          <w:p w14:paraId="23F7CE9F"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Fabaceae</w:t>
            </w:r>
          </w:p>
        </w:tc>
        <w:tc>
          <w:tcPr>
            <w:tcW w:w="3204" w:type="dxa"/>
            <w:tcBorders>
              <w:left w:val="dashed" w:sz="8" w:space="0" w:color="4AACC5"/>
              <w:right w:val="dashed" w:sz="8" w:space="0" w:color="4AACC5"/>
            </w:tcBorders>
            <w:shd w:val="clear" w:color="auto" w:fill="D2EAF0"/>
          </w:tcPr>
          <w:p w14:paraId="74BE7476" w14:textId="77777777" w:rsidR="00C81834" w:rsidRPr="00CF0F96" w:rsidRDefault="00C81834" w:rsidP="00C81834">
            <w:pPr>
              <w:pStyle w:val="TableParagraph"/>
              <w:rPr>
                <w:rFonts w:ascii="Arial" w:hAnsi="Arial" w:cs="Arial"/>
                <w:i/>
                <w:sz w:val="21"/>
              </w:rPr>
            </w:pPr>
            <w:r w:rsidRPr="00CF0F96">
              <w:rPr>
                <w:rFonts w:ascii="Arial" w:hAnsi="Arial" w:cs="Arial"/>
                <w:i/>
                <w:sz w:val="21"/>
              </w:rPr>
              <w:t>Dalbergia intibucana</w:t>
            </w:r>
          </w:p>
        </w:tc>
        <w:tc>
          <w:tcPr>
            <w:tcW w:w="1372" w:type="dxa"/>
            <w:tcBorders>
              <w:left w:val="dashed" w:sz="8" w:space="0" w:color="4AACC5"/>
              <w:right w:val="dashed" w:sz="8" w:space="0" w:color="4AACC5"/>
            </w:tcBorders>
            <w:shd w:val="clear" w:color="auto" w:fill="D2EAF0"/>
          </w:tcPr>
          <w:p w14:paraId="4986D6BE"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74CF0C92" w14:textId="77777777" w:rsidTr="00C81834">
        <w:trPr>
          <w:trHeight w:val="369"/>
          <w:jc w:val="center"/>
        </w:trPr>
        <w:tc>
          <w:tcPr>
            <w:tcW w:w="1804" w:type="dxa"/>
            <w:tcBorders>
              <w:left w:val="dashed" w:sz="8" w:space="0" w:color="4AACC5"/>
              <w:right w:val="dashed" w:sz="8" w:space="0" w:color="4AACC5"/>
            </w:tcBorders>
          </w:tcPr>
          <w:p w14:paraId="0A6CD4A7"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0C26C4E4"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Fabaceae</w:t>
            </w:r>
          </w:p>
        </w:tc>
        <w:tc>
          <w:tcPr>
            <w:tcW w:w="3204" w:type="dxa"/>
            <w:tcBorders>
              <w:left w:val="dashed" w:sz="8" w:space="0" w:color="4AACC5"/>
              <w:right w:val="dashed" w:sz="8" w:space="0" w:color="4AACC5"/>
            </w:tcBorders>
          </w:tcPr>
          <w:p w14:paraId="465C1779" w14:textId="77777777" w:rsidR="00C81834" w:rsidRPr="00CF0F96" w:rsidRDefault="00C81834" w:rsidP="00C81834">
            <w:pPr>
              <w:pStyle w:val="TableParagraph"/>
              <w:rPr>
                <w:rFonts w:ascii="Arial" w:hAnsi="Arial" w:cs="Arial"/>
                <w:i/>
                <w:sz w:val="21"/>
              </w:rPr>
            </w:pPr>
            <w:r w:rsidRPr="00CF0F96">
              <w:rPr>
                <w:rFonts w:ascii="Arial" w:hAnsi="Arial" w:cs="Arial"/>
                <w:i/>
                <w:sz w:val="21"/>
              </w:rPr>
              <w:t>Dalbergia retusa</w:t>
            </w:r>
          </w:p>
        </w:tc>
        <w:tc>
          <w:tcPr>
            <w:tcW w:w="1372" w:type="dxa"/>
            <w:tcBorders>
              <w:left w:val="dashed" w:sz="8" w:space="0" w:color="4AACC5"/>
              <w:right w:val="dashed" w:sz="8" w:space="0" w:color="4AACC5"/>
            </w:tcBorders>
          </w:tcPr>
          <w:p w14:paraId="55FD6315"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6CA9ABB3" w14:textId="77777777" w:rsidTr="00C81834">
        <w:trPr>
          <w:trHeight w:val="369"/>
          <w:jc w:val="center"/>
        </w:trPr>
        <w:tc>
          <w:tcPr>
            <w:tcW w:w="1804" w:type="dxa"/>
            <w:tcBorders>
              <w:left w:val="dashed" w:sz="8" w:space="0" w:color="4AACC5"/>
              <w:right w:val="dashed" w:sz="8" w:space="0" w:color="4AACC5"/>
            </w:tcBorders>
            <w:shd w:val="clear" w:color="auto" w:fill="D2EAF0"/>
          </w:tcPr>
          <w:p w14:paraId="4622251D"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shd w:val="clear" w:color="auto" w:fill="D2EAF0"/>
          </w:tcPr>
          <w:p w14:paraId="26F6AEEA"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Fabaceae</w:t>
            </w:r>
          </w:p>
        </w:tc>
        <w:tc>
          <w:tcPr>
            <w:tcW w:w="3204" w:type="dxa"/>
            <w:tcBorders>
              <w:left w:val="dashed" w:sz="8" w:space="0" w:color="4AACC5"/>
              <w:right w:val="dashed" w:sz="8" w:space="0" w:color="4AACC5"/>
            </w:tcBorders>
            <w:shd w:val="clear" w:color="auto" w:fill="D2EAF0"/>
          </w:tcPr>
          <w:p w14:paraId="60A117A1" w14:textId="77777777" w:rsidR="00C81834" w:rsidRPr="00CF0F96" w:rsidRDefault="00C81834" w:rsidP="00C81834">
            <w:pPr>
              <w:pStyle w:val="TableParagraph"/>
              <w:rPr>
                <w:rFonts w:ascii="Arial" w:hAnsi="Arial" w:cs="Arial"/>
                <w:i/>
                <w:sz w:val="21"/>
              </w:rPr>
            </w:pPr>
            <w:r w:rsidRPr="00CF0F96">
              <w:rPr>
                <w:rFonts w:ascii="Arial" w:hAnsi="Arial" w:cs="Arial"/>
                <w:i/>
                <w:sz w:val="21"/>
              </w:rPr>
              <w:t>Leucaena lempirana</w:t>
            </w:r>
          </w:p>
        </w:tc>
        <w:tc>
          <w:tcPr>
            <w:tcW w:w="1372" w:type="dxa"/>
            <w:tcBorders>
              <w:left w:val="dashed" w:sz="8" w:space="0" w:color="4AACC5"/>
              <w:right w:val="dashed" w:sz="8" w:space="0" w:color="4AACC5"/>
            </w:tcBorders>
            <w:shd w:val="clear" w:color="auto" w:fill="D2EAF0"/>
          </w:tcPr>
          <w:p w14:paraId="1F14666A"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208F10DF" w14:textId="77777777" w:rsidTr="00C81834">
        <w:trPr>
          <w:trHeight w:val="369"/>
          <w:jc w:val="center"/>
        </w:trPr>
        <w:tc>
          <w:tcPr>
            <w:tcW w:w="1804" w:type="dxa"/>
            <w:tcBorders>
              <w:left w:val="dashed" w:sz="8" w:space="0" w:color="4AACC5"/>
              <w:right w:val="dashed" w:sz="8" w:space="0" w:color="4AACC5"/>
            </w:tcBorders>
          </w:tcPr>
          <w:p w14:paraId="442CDEE6"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086FF48D"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Fabaceae</w:t>
            </w:r>
          </w:p>
        </w:tc>
        <w:tc>
          <w:tcPr>
            <w:tcW w:w="3204" w:type="dxa"/>
            <w:tcBorders>
              <w:left w:val="dashed" w:sz="8" w:space="0" w:color="4AACC5"/>
              <w:right w:val="dashed" w:sz="8" w:space="0" w:color="4AACC5"/>
            </w:tcBorders>
          </w:tcPr>
          <w:p w14:paraId="4A057447" w14:textId="77777777" w:rsidR="00C81834" w:rsidRPr="00CF0F96" w:rsidRDefault="00C81834" w:rsidP="00C81834">
            <w:pPr>
              <w:pStyle w:val="TableParagraph"/>
              <w:rPr>
                <w:rFonts w:ascii="Arial" w:hAnsi="Arial" w:cs="Arial"/>
                <w:i/>
                <w:sz w:val="21"/>
              </w:rPr>
            </w:pPr>
            <w:r w:rsidRPr="00CF0F96">
              <w:rPr>
                <w:rFonts w:ascii="Arial" w:hAnsi="Arial" w:cs="Arial"/>
                <w:i/>
                <w:sz w:val="21"/>
              </w:rPr>
              <w:t>Lonchocarpus molinae</w:t>
            </w:r>
          </w:p>
        </w:tc>
        <w:tc>
          <w:tcPr>
            <w:tcW w:w="1372" w:type="dxa"/>
            <w:tcBorders>
              <w:left w:val="dashed" w:sz="8" w:space="0" w:color="4AACC5"/>
              <w:right w:val="dashed" w:sz="8" w:space="0" w:color="4AACC5"/>
            </w:tcBorders>
          </w:tcPr>
          <w:p w14:paraId="4E4AA454"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bl>
    <w:p w14:paraId="2B86F322" w14:textId="77777777" w:rsidR="00C81834" w:rsidRPr="00FA4B2D" w:rsidRDefault="00C81834" w:rsidP="00C81834">
      <w:pPr>
        <w:tabs>
          <w:tab w:val="left" w:pos="1245"/>
        </w:tabs>
        <w:rPr>
          <w:rFonts w:cs="Arial"/>
        </w:rPr>
      </w:pPr>
    </w:p>
    <w:p w14:paraId="732A3B10" w14:textId="77777777" w:rsidR="00C81834" w:rsidRPr="00FA4B2D" w:rsidRDefault="00C81834" w:rsidP="00C81834">
      <w:pPr>
        <w:tabs>
          <w:tab w:val="left" w:pos="1245"/>
        </w:tabs>
        <w:rPr>
          <w:rFonts w:cs="Arial"/>
        </w:rPr>
      </w:pPr>
    </w:p>
    <w:tbl>
      <w:tblPr>
        <w:tblStyle w:val="TableNormal1"/>
        <w:tblW w:w="8259" w:type="dxa"/>
        <w:tblInd w:w="-10"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1804"/>
        <w:gridCol w:w="1879"/>
        <w:gridCol w:w="3204"/>
        <w:gridCol w:w="1372"/>
      </w:tblGrid>
      <w:tr w:rsidR="00C81834" w:rsidRPr="00FA4B2D" w14:paraId="6309BC3B" w14:textId="77777777" w:rsidTr="005D7F0C">
        <w:trPr>
          <w:trHeight w:val="369"/>
        </w:trPr>
        <w:tc>
          <w:tcPr>
            <w:tcW w:w="1804" w:type="dxa"/>
            <w:tcBorders>
              <w:left w:val="dashed" w:sz="8" w:space="0" w:color="4AACC5"/>
              <w:right w:val="dashed" w:sz="8" w:space="0" w:color="4AACC5"/>
            </w:tcBorders>
            <w:shd w:val="clear" w:color="auto" w:fill="5CC5DA"/>
          </w:tcPr>
          <w:p w14:paraId="3628BB3E" w14:textId="77777777" w:rsidR="00C81834" w:rsidRPr="00CF0F96" w:rsidRDefault="00C81834" w:rsidP="00C81834">
            <w:pPr>
              <w:pStyle w:val="TableParagraph"/>
              <w:ind w:left="625" w:right="605"/>
              <w:jc w:val="center"/>
              <w:rPr>
                <w:rFonts w:ascii="Arial" w:hAnsi="Arial" w:cs="Arial"/>
                <w:bCs/>
                <w:sz w:val="21"/>
              </w:rPr>
            </w:pPr>
            <w:r w:rsidRPr="00CF0F96">
              <w:rPr>
                <w:rFonts w:ascii="Arial" w:hAnsi="Arial" w:cs="Arial"/>
                <w:bCs/>
                <w:sz w:val="21"/>
              </w:rPr>
              <w:lastRenderedPageBreak/>
              <w:t>Clase</w:t>
            </w:r>
          </w:p>
        </w:tc>
        <w:tc>
          <w:tcPr>
            <w:tcW w:w="1879" w:type="dxa"/>
            <w:tcBorders>
              <w:left w:val="dashed" w:sz="8" w:space="0" w:color="4AACC5"/>
              <w:right w:val="dashed" w:sz="8" w:space="0" w:color="4AACC5"/>
            </w:tcBorders>
            <w:shd w:val="clear" w:color="auto" w:fill="5CC5DA"/>
          </w:tcPr>
          <w:p w14:paraId="53A3F8B0" w14:textId="77777777" w:rsidR="00C81834" w:rsidRPr="00CF0F96" w:rsidRDefault="00C81834" w:rsidP="00C81834">
            <w:pPr>
              <w:pStyle w:val="TableParagraph"/>
              <w:ind w:left="627"/>
              <w:rPr>
                <w:rFonts w:ascii="Arial" w:hAnsi="Arial" w:cs="Arial"/>
                <w:bCs/>
                <w:sz w:val="21"/>
              </w:rPr>
            </w:pPr>
            <w:r w:rsidRPr="00CF0F96">
              <w:rPr>
                <w:rFonts w:ascii="Arial" w:hAnsi="Arial" w:cs="Arial"/>
                <w:bCs/>
                <w:sz w:val="21"/>
              </w:rPr>
              <w:t>Familia</w:t>
            </w:r>
          </w:p>
        </w:tc>
        <w:tc>
          <w:tcPr>
            <w:tcW w:w="3204" w:type="dxa"/>
            <w:tcBorders>
              <w:left w:val="dashed" w:sz="8" w:space="0" w:color="4AACC5"/>
              <w:right w:val="dashed" w:sz="8" w:space="0" w:color="4AACC5"/>
            </w:tcBorders>
            <w:shd w:val="clear" w:color="auto" w:fill="5CC5DA"/>
          </w:tcPr>
          <w:p w14:paraId="5488567F" w14:textId="77777777" w:rsidR="00C81834" w:rsidRPr="00CF0F96" w:rsidRDefault="00C81834" w:rsidP="00C81834">
            <w:pPr>
              <w:pStyle w:val="TableParagraph"/>
              <w:ind w:left="1165" w:right="1144"/>
              <w:jc w:val="center"/>
              <w:rPr>
                <w:rFonts w:ascii="Arial" w:hAnsi="Arial" w:cs="Arial"/>
                <w:bCs/>
                <w:sz w:val="21"/>
              </w:rPr>
            </w:pPr>
            <w:r w:rsidRPr="00CF0F96">
              <w:rPr>
                <w:rFonts w:ascii="Arial" w:hAnsi="Arial" w:cs="Arial"/>
                <w:bCs/>
                <w:sz w:val="21"/>
              </w:rPr>
              <w:t>Especies</w:t>
            </w:r>
          </w:p>
        </w:tc>
        <w:tc>
          <w:tcPr>
            <w:tcW w:w="1372" w:type="dxa"/>
            <w:tcBorders>
              <w:left w:val="dashed" w:sz="8" w:space="0" w:color="4AACC5"/>
              <w:right w:val="dashed" w:sz="8" w:space="0" w:color="4AACC5"/>
            </w:tcBorders>
            <w:shd w:val="clear" w:color="auto" w:fill="5CC5DA"/>
          </w:tcPr>
          <w:p w14:paraId="0D6B28D2" w14:textId="77777777" w:rsidR="00C81834" w:rsidRPr="00CF0F96" w:rsidRDefault="00C81834" w:rsidP="00C81834">
            <w:pPr>
              <w:pStyle w:val="TableParagraph"/>
              <w:ind w:left="281"/>
              <w:rPr>
                <w:rFonts w:ascii="Arial" w:hAnsi="Arial" w:cs="Arial"/>
                <w:bCs/>
                <w:sz w:val="21"/>
              </w:rPr>
            </w:pPr>
            <w:r w:rsidRPr="00CF0F96">
              <w:rPr>
                <w:rFonts w:ascii="Arial" w:hAnsi="Arial" w:cs="Arial"/>
                <w:bCs/>
                <w:w w:val="95"/>
                <w:sz w:val="21"/>
              </w:rPr>
              <w:t>Categoría</w:t>
            </w:r>
          </w:p>
        </w:tc>
      </w:tr>
      <w:tr w:rsidR="00C81834" w:rsidRPr="00FA4B2D" w14:paraId="15B6D9E3" w14:textId="77777777" w:rsidTr="00C81834">
        <w:trPr>
          <w:trHeight w:val="369"/>
        </w:trPr>
        <w:tc>
          <w:tcPr>
            <w:tcW w:w="1804" w:type="dxa"/>
            <w:tcBorders>
              <w:left w:val="dashed" w:sz="8" w:space="0" w:color="4AACC5"/>
              <w:right w:val="dashed" w:sz="8" w:space="0" w:color="4AACC5"/>
            </w:tcBorders>
            <w:shd w:val="clear" w:color="auto" w:fill="D2EAF0"/>
          </w:tcPr>
          <w:p w14:paraId="07870944"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shd w:val="clear" w:color="auto" w:fill="D2EAF0"/>
          </w:tcPr>
          <w:p w14:paraId="627B2368"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Fabaceae</w:t>
            </w:r>
          </w:p>
        </w:tc>
        <w:tc>
          <w:tcPr>
            <w:tcW w:w="3204" w:type="dxa"/>
            <w:tcBorders>
              <w:left w:val="dashed" w:sz="8" w:space="0" w:color="4AACC5"/>
              <w:right w:val="dashed" w:sz="8" w:space="0" w:color="4AACC5"/>
            </w:tcBorders>
            <w:shd w:val="clear" w:color="auto" w:fill="D2EAF0"/>
          </w:tcPr>
          <w:p w14:paraId="290A4558" w14:textId="77777777" w:rsidR="00C81834" w:rsidRPr="00CF0F96" w:rsidRDefault="00C81834" w:rsidP="00C81834">
            <w:pPr>
              <w:pStyle w:val="TableParagraph"/>
              <w:rPr>
                <w:rFonts w:ascii="Arial" w:hAnsi="Arial" w:cs="Arial"/>
                <w:i/>
                <w:sz w:val="21"/>
              </w:rPr>
            </w:pPr>
            <w:r w:rsidRPr="00CF0F96">
              <w:rPr>
                <w:rFonts w:ascii="Arial" w:hAnsi="Arial" w:cs="Arial"/>
                <w:i/>
                <w:sz w:val="21"/>
              </w:rPr>
              <w:t>Lonchocarpus phaseolifolius</w:t>
            </w:r>
          </w:p>
        </w:tc>
        <w:tc>
          <w:tcPr>
            <w:tcW w:w="1372" w:type="dxa"/>
            <w:tcBorders>
              <w:left w:val="dashed" w:sz="8" w:space="0" w:color="4AACC5"/>
              <w:right w:val="dashed" w:sz="8" w:space="0" w:color="4AACC5"/>
            </w:tcBorders>
            <w:shd w:val="clear" w:color="auto" w:fill="D2EAF0"/>
          </w:tcPr>
          <w:p w14:paraId="0A12FE6A"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574B5BEC" w14:textId="77777777" w:rsidTr="00C81834">
        <w:trPr>
          <w:trHeight w:val="369"/>
        </w:trPr>
        <w:tc>
          <w:tcPr>
            <w:tcW w:w="1804" w:type="dxa"/>
            <w:tcBorders>
              <w:left w:val="dashed" w:sz="8" w:space="0" w:color="4AACC5"/>
              <w:right w:val="dashed" w:sz="8" w:space="0" w:color="4AACC5"/>
            </w:tcBorders>
          </w:tcPr>
          <w:p w14:paraId="22D1A7D8"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6020BCCB"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Fabaceae</w:t>
            </w:r>
          </w:p>
        </w:tc>
        <w:tc>
          <w:tcPr>
            <w:tcW w:w="3204" w:type="dxa"/>
            <w:tcBorders>
              <w:left w:val="dashed" w:sz="8" w:space="0" w:color="4AACC5"/>
              <w:right w:val="dashed" w:sz="8" w:space="0" w:color="4AACC5"/>
            </w:tcBorders>
          </w:tcPr>
          <w:p w14:paraId="62F7A1D8" w14:textId="77777777" w:rsidR="00C81834" w:rsidRPr="00CF0F96" w:rsidRDefault="00C81834" w:rsidP="00C81834">
            <w:pPr>
              <w:pStyle w:val="TableParagraph"/>
              <w:rPr>
                <w:rFonts w:ascii="Arial" w:hAnsi="Arial" w:cs="Arial"/>
                <w:i/>
                <w:sz w:val="21"/>
              </w:rPr>
            </w:pPr>
            <w:r w:rsidRPr="00CF0F96">
              <w:rPr>
                <w:rFonts w:ascii="Arial" w:hAnsi="Arial" w:cs="Arial"/>
                <w:i/>
                <w:sz w:val="21"/>
              </w:rPr>
              <w:t>Lonchocarpus phlebophyllus</w:t>
            </w:r>
          </w:p>
        </w:tc>
        <w:tc>
          <w:tcPr>
            <w:tcW w:w="1372" w:type="dxa"/>
            <w:tcBorders>
              <w:left w:val="dashed" w:sz="8" w:space="0" w:color="4AACC5"/>
              <w:right w:val="dashed" w:sz="8" w:space="0" w:color="4AACC5"/>
            </w:tcBorders>
          </w:tcPr>
          <w:p w14:paraId="5108BD19"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512F392C" w14:textId="77777777" w:rsidTr="00C81834">
        <w:trPr>
          <w:trHeight w:val="369"/>
        </w:trPr>
        <w:tc>
          <w:tcPr>
            <w:tcW w:w="1804" w:type="dxa"/>
            <w:tcBorders>
              <w:left w:val="dashed" w:sz="8" w:space="0" w:color="4AACC5"/>
              <w:right w:val="dashed" w:sz="8" w:space="0" w:color="4AACC5"/>
            </w:tcBorders>
            <w:shd w:val="clear" w:color="auto" w:fill="D2EAF0"/>
          </w:tcPr>
          <w:p w14:paraId="01123F89"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shd w:val="clear" w:color="auto" w:fill="D2EAF0"/>
          </w:tcPr>
          <w:p w14:paraId="341C133B"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Fabaceae</w:t>
            </w:r>
          </w:p>
        </w:tc>
        <w:tc>
          <w:tcPr>
            <w:tcW w:w="3204" w:type="dxa"/>
            <w:tcBorders>
              <w:left w:val="dashed" w:sz="8" w:space="0" w:color="4AACC5"/>
              <w:right w:val="dashed" w:sz="8" w:space="0" w:color="4AACC5"/>
            </w:tcBorders>
            <w:shd w:val="clear" w:color="auto" w:fill="D2EAF0"/>
          </w:tcPr>
          <w:p w14:paraId="341A9B92" w14:textId="77777777" w:rsidR="00C81834" w:rsidRPr="00CF0F96" w:rsidRDefault="00C81834" w:rsidP="00C81834">
            <w:pPr>
              <w:pStyle w:val="TableParagraph"/>
              <w:rPr>
                <w:rFonts w:ascii="Arial" w:hAnsi="Arial" w:cs="Arial"/>
                <w:i/>
                <w:sz w:val="21"/>
              </w:rPr>
            </w:pPr>
            <w:r w:rsidRPr="00CF0F96">
              <w:rPr>
                <w:rFonts w:ascii="Arial" w:hAnsi="Arial" w:cs="Arial"/>
                <w:i/>
                <w:sz w:val="21"/>
              </w:rPr>
              <w:t>Lonchocarpus retiferus</w:t>
            </w:r>
          </w:p>
        </w:tc>
        <w:tc>
          <w:tcPr>
            <w:tcW w:w="1372" w:type="dxa"/>
            <w:tcBorders>
              <w:left w:val="dashed" w:sz="8" w:space="0" w:color="4AACC5"/>
              <w:right w:val="dashed" w:sz="8" w:space="0" w:color="4AACC5"/>
            </w:tcBorders>
            <w:shd w:val="clear" w:color="auto" w:fill="D2EAF0"/>
          </w:tcPr>
          <w:p w14:paraId="7BCF0CE9"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6BB35878" w14:textId="77777777" w:rsidTr="00C81834">
        <w:trPr>
          <w:trHeight w:val="369"/>
        </w:trPr>
        <w:tc>
          <w:tcPr>
            <w:tcW w:w="1804" w:type="dxa"/>
            <w:tcBorders>
              <w:left w:val="dashed" w:sz="8" w:space="0" w:color="4AACC5"/>
              <w:right w:val="dashed" w:sz="8" w:space="0" w:color="4AACC5"/>
            </w:tcBorders>
          </w:tcPr>
          <w:p w14:paraId="1BB12C39"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76FA3502"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Fabaceae</w:t>
            </w:r>
          </w:p>
        </w:tc>
        <w:tc>
          <w:tcPr>
            <w:tcW w:w="3204" w:type="dxa"/>
            <w:tcBorders>
              <w:left w:val="dashed" w:sz="8" w:space="0" w:color="4AACC5"/>
              <w:right w:val="dashed" w:sz="8" w:space="0" w:color="4AACC5"/>
            </w:tcBorders>
          </w:tcPr>
          <w:p w14:paraId="77D097AB" w14:textId="77777777" w:rsidR="00C81834" w:rsidRPr="00CF0F96" w:rsidRDefault="00C81834" w:rsidP="00C81834">
            <w:pPr>
              <w:pStyle w:val="TableParagraph"/>
              <w:rPr>
                <w:rFonts w:ascii="Arial" w:hAnsi="Arial" w:cs="Arial"/>
                <w:i/>
                <w:sz w:val="21"/>
              </w:rPr>
            </w:pPr>
            <w:r w:rsidRPr="00CF0F96">
              <w:rPr>
                <w:rFonts w:ascii="Arial" w:hAnsi="Arial" w:cs="Arial"/>
                <w:i/>
                <w:sz w:val="21"/>
              </w:rPr>
              <w:t>Lonchocarpus sanctuarii</w:t>
            </w:r>
          </w:p>
        </w:tc>
        <w:tc>
          <w:tcPr>
            <w:tcW w:w="1372" w:type="dxa"/>
            <w:tcBorders>
              <w:left w:val="dashed" w:sz="8" w:space="0" w:color="4AACC5"/>
              <w:right w:val="dashed" w:sz="8" w:space="0" w:color="4AACC5"/>
            </w:tcBorders>
          </w:tcPr>
          <w:p w14:paraId="18576466"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004916FF" w14:textId="77777777" w:rsidTr="00C81834">
        <w:trPr>
          <w:trHeight w:val="369"/>
        </w:trPr>
        <w:tc>
          <w:tcPr>
            <w:tcW w:w="1804" w:type="dxa"/>
            <w:tcBorders>
              <w:left w:val="dashed" w:sz="8" w:space="0" w:color="4AACC5"/>
              <w:right w:val="dashed" w:sz="8" w:space="0" w:color="4AACC5"/>
            </w:tcBorders>
            <w:shd w:val="clear" w:color="auto" w:fill="D2EAF0"/>
          </w:tcPr>
          <w:p w14:paraId="5A55F55E"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shd w:val="clear" w:color="auto" w:fill="D2EAF0"/>
          </w:tcPr>
          <w:p w14:paraId="2EB30811"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Fabaceae</w:t>
            </w:r>
          </w:p>
        </w:tc>
        <w:tc>
          <w:tcPr>
            <w:tcW w:w="3204" w:type="dxa"/>
            <w:tcBorders>
              <w:left w:val="dashed" w:sz="8" w:space="0" w:color="4AACC5"/>
              <w:right w:val="dashed" w:sz="8" w:space="0" w:color="4AACC5"/>
            </w:tcBorders>
            <w:shd w:val="clear" w:color="auto" w:fill="D2EAF0"/>
          </w:tcPr>
          <w:p w14:paraId="254943C0" w14:textId="77777777" w:rsidR="00C81834" w:rsidRPr="00CF0F96" w:rsidRDefault="00C81834" w:rsidP="00C81834">
            <w:pPr>
              <w:pStyle w:val="TableParagraph"/>
              <w:rPr>
                <w:rFonts w:ascii="Arial" w:hAnsi="Arial" w:cs="Arial"/>
                <w:i/>
                <w:sz w:val="21"/>
              </w:rPr>
            </w:pPr>
            <w:r w:rsidRPr="00CF0F96">
              <w:rPr>
                <w:rFonts w:ascii="Arial" w:hAnsi="Arial" w:cs="Arial"/>
                <w:i/>
                <w:sz w:val="21"/>
              </w:rPr>
              <w:t>Lonchocarpus trifolius</w:t>
            </w:r>
          </w:p>
        </w:tc>
        <w:tc>
          <w:tcPr>
            <w:tcW w:w="1372" w:type="dxa"/>
            <w:tcBorders>
              <w:left w:val="dashed" w:sz="8" w:space="0" w:color="4AACC5"/>
              <w:right w:val="dashed" w:sz="8" w:space="0" w:color="4AACC5"/>
            </w:tcBorders>
            <w:shd w:val="clear" w:color="auto" w:fill="D2EAF0"/>
          </w:tcPr>
          <w:p w14:paraId="06B8F2D9"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1BE1CDC6" w14:textId="77777777" w:rsidTr="00C81834">
        <w:trPr>
          <w:trHeight w:val="369"/>
        </w:trPr>
        <w:tc>
          <w:tcPr>
            <w:tcW w:w="1804" w:type="dxa"/>
            <w:tcBorders>
              <w:left w:val="dashed" w:sz="8" w:space="0" w:color="4AACC5"/>
              <w:right w:val="dashed" w:sz="8" w:space="0" w:color="4AACC5"/>
            </w:tcBorders>
          </w:tcPr>
          <w:p w14:paraId="0F03F5E7"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25FD5A6A"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Fabaceae</w:t>
            </w:r>
          </w:p>
        </w:tc>
        <w:tc>
          <w:tcPr>
            <w:tcW w:w="3204" w:type="dxa"/>
            <w:tcBorders>
              <w:left w:val="dashed" w:sz="8" w:space="0" w:color="4AACC5"/>
              <w:right w:val="dashed" w:sz="8" w:space="0" w:color="4AACC5"/>
            </w:tcBorders>
          </w:tcPr>
          <w:p w14:paraId="03825EE6" w14:textId="77777777" w:rsidR="00C81834" w:rsidRPr="00CF0F96" w:rsidRDefault="00C81834" w:rsidP="00C81834">
            <w:pPr>
              <w:pStyle w:val="TableParagraph"/>
              <w:rPr>
                <w:rFonts w:ascii="Arial" w:hAnsi="Arial" w:cs="Arial"/>
                <w:i/>
                <w:sz w:val="21"/>
              </w:rPr>
            </w:pPr>
            <w:r w:rsidRPr="00CF0F96">
              <w:rPr>
                <w:rFonts w:ascii="Arial" w:hAnsi="Arial" w:cs="Arial"/>
                <w:i/>
                <w:sz w:val="21"/>
              </w:rPr>
              <w:t>Lonchocarpus yoroensis</w:t>
            </w:r>
          </w:p>
        </w:tc>
        <w:tc>
          <w:tcPr>
            <w:tcW w:w="1372" w:type="dxa"/>
            <w:tcBorders>
              <w:left w:val="dashed" w:sz="8" w:space="0" w:color="4AACC5"/>
              <w:right w:val="dashed" w:sz="8" w:space="0" w:color="4AACC5"/>
            </w:tcBorders>
          </w:tcPr>
          <w:p w14:paraId="3B7F40B2"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1694D05C" w14:textId="77777777" w:rsidTr="00C81834">
        <w:trPr>
          <w:trHeight w:val="369"/>
        </w:trPr>
        <w:tc>
          <w:tcPr>
            <w:tcW w:w="1804" w:type="dxa"/>
            <w:tcBorders>
              <w:left w:val="dashed" w:sz="8" w:space="0" w:color="4AACC5"/>
              <w:right w:val="dashed" w:sz="8" w:space="0" w:color="4AACC5"/>
            </w:tcBorders>
            <w:shd w:val="clear" w:color="auto" w:fill="D2EAF0"/>
          </w:tcPr>
          <w:p w14:paraId="409FE7FE"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shd w:val="clear" w:color="auto" w:fill="D2EAF0"/>
          </w:tcPr>
          <w:p w14:paraId="5193C48D"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Fabaceae</w:t>
            </w:r>
          </w:p>
        </w:tc>
        <w:tc>
          <w:tcPr>
            <w:tcW w:w="3204" w:type="dxa"/>
            <w:tcBorders>
              <w:left w:val="dashed" w:sz="8" w:space="0" w:color="4AACC5"/>
              <w:right w:val="dashed" w:sz="8" w:space="0" w:color="4AACC5"/>
            </w:tcBorders>
            <w:shd w:val="clear" w:color="auto" w:fill="D2EAF0"/>
          </w:tcPr>
          <w:p w14:paraId="2CE847CA" w14:textId="77777777" w:rsidR="00C81834" w:rsidRPr="00CF0F96" w:rsidRDefault="00C81834" w:rsidP="00C81834">
            <w:pPr>
              <w:pStyle w:val="TableParagraph"/>
              <w:rPr>
                <w:rFonts w:ascii="Arial" w:hAnsi="Arial" w:cs="Arial"/>
                <w:i/>
                <w:sz w:val="21"/>
              </w:rPr>
            </w:pPr>
            <w:r w:rsidRPr="00CF0F96">
              <w:rPr>
                <w:rFonts w:ascii="Arial" w:hAnsi="Arial" w:cs="Arial"/>
                <w:i/>
                <w:sz w:val="21"/>
              </w:rPr>
              <w:t>Machaerium nicaraguense</w:t>
            </w:r>
          </w:p>
        </w:tc>
        <w:tc>
          <w:tcPr>
            <w:tcW w:w="1372" w:type="dxa"/>
            <w:tcBorders>
              <w:left w:val="dashed" w:sz="8" w:space="0" w:color="4AACC5"/>
              <w:right w:val="dashed" w:sz="8" w:space="0" w:color="4AACC5"/>
            </w:tcBorders>
            <w:shd w:val="clear" w:color="auto" w:fill="D2EAF0"/>
          </w:tcPr>
          <w:p w14:paraId="6616DFCE"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09B6E259" w14:textId="77777777" w:rsidTr="00C81834">
        <w:trPr>
          <w:trHeight w:val="369"/>
        </w:trPr>
        <w:tc>
          <w:tcPr>
            <w:tcW w:w="1804" w:type="dxa"/>
            <w:tcBorders>
              <w:left w:val="dashed" w:sz="8" w:space="0" w:color="4AACC5"/>
              <w:right w:val="dashed" w:sz="8" w:space="0" w:color="4AACC5"/>
            </w:tcBorders>
          </w:tcPr>
          <w:p w14:paraId="660A09D3"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2A27CA88"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Fabaceae</w:t>
            </w:r>
          </w:p>
        </w:tc>
        <w:tc>
          <w:tcPr>
            <w:tcW w:w="3204" w:type="dxa"/>
            <w:tcBorders>
              <w:left w:val="dashed" w:sz="8" w:space="0" w:color="4AACC5"/>
              <w:right w:val="dashed" w:sz="8" w:space="0" w:color="4AACC5"/>
            </w:tcBorders>
          </w:tcPr>
          <w:p w14:paraId="539185F1" w14:textId="77777777" w:rsidR="00C81834" w:rsidRPr="00CF0F96" w:rsidRDefault="00C81834" w:rsidP="00C81834">
            <w:pPr>
              <w:pStyle w:val="TableParagraph"/>
              <w:rPr>
                <w:rFonts w:ascii="Arial" w:hAnsi="Arial" w:cs="Arial"/>
                <w:i/>
                <w:sz w:val="21"/>
              </w:rPr>
            </w:pPr>
            <w:r w:rsidRPr="00CF0F96">
              <w:rPr>
                <w:rFonts w:ascii="Arial" w:hAnsi="Arial" w:cs="Arial"/>
                <w:i/>
                <w:sz w:val="21"/>
              </w:rPr>
              <w:t>Pithecellobium johansenii</w:t>
            </w:r>
          </w:p>
        </w:tc>
        <w:tc>
          <w:tcPr>
            <w:tcW w:w="1372" w:type="dxa"/>
            <w:tcBorders>
              <w:left w:val="dashed" w:sz="8" w:space="0" w:color="4AACC5"/>
              <w:right w:val="dashed" w:sz="8" w:space="0" w:color="4AACC5"/>
            </w:tcBorders>
          </w:tcPr>
          <w:p w14:paraId="10CC53C8"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2ADD717E" w14:textId="77777777" w:rsidTr="00C81834">
        <w:trPr>
          <w:trHeight w:val="369"/>
        </w:trPr>
        <w:tc>
          <w:tcPr>
            <w:tcW w:w="1804" w:type="dxa"/>
            <w:tcBorders>
              <w:left w:val="dashed" w:sz="8" w:space="0" w:color="4AACC5"/>
              <w:right w:val="dashed" w:sz="8" w:space="0" w:color="4AACC5"/>
            </w:tcBorders>
            <w:shd w:val="clear" w:color="auto" w:fill="D2EAF0"/>
          </w:tcPr>
          <w:p w14:paraId="481616C5"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shd w:val="clear" w:color="auto" w:fill="D2EAF0"/>
          </w:tcPr>
          <w:p w14:paraId="12746460"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Fabaceae</w:t>
            </w:r>
          </w:p>
        </w:tc>
        <w:tc>
          <w:tcPr>
            <w:tcW w:w="3204" w:type="dxa"/>
            <w:tcBorders>
              <w:left w:val="dashed" w:sz="8" w:space="0" w:color="4AACC5"/>
              <w:right w:val="dashed" w:sz="8" w:space="0" w:color="4AACC5"/>
            </w:tcBorders>
            <w:shd w:val="clear" w:color="auto" w:fill="D2EAF0"/>
          </w:tcPr>
          <w:p w14:paraId="163B846E" w14:textId="77777777" w:rsidR="00C81834" w:rsidRPr="00CF0F96" w:rsidRDefault="00C81834" w:rsidP="00C81834">
            <w:pPr>
              <w:pStyle w:val="TableParagraph"/>
              <w:rPr>
                <w:rFonts w:ascii="Arial" w:hAnsi="Arial" w:cs="Arial"/>
                <w:i/>
                <w:sz w:val="21"/>
              </w:rPr>
            </w:pPr>
            <w:r w:rsidRPr="00CF0F96">
              <w:rPr>
                <w:rFonts w:ascii="Arial" w:hAnsi="Arial" w:cs="Arial"/>
                <w:i/>
                <w:sz w:val="21"/>
              </w:rPr>
              <w:t>Pithecellobium saxosum</w:t>
            </w:r>
          </w:p>
        </w:tc>
        <w:tc>
          <w:tcPr>
            <w:tcW w:w="1372" w:type="dxa"/>
            <w:tcBorders>
              <w:left w:val="dashed" w:sz="8" w:space="0" w:color="4AACC5"/>
              <w:right w:val="dashed" w:sz="8" w:space="0" w:color="4AACC5"/>
            </w:tcBorders>
            <w:shd w:val="clear" w:color="auto" w:fill="D2EAF0"/>
          </w:tcPr>
          <w:p w14:paraId="0454235E"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22F0BE08" w14:textId="77777777" w:rsidTr="00C81834">
        <w:trPr>
          <w:trHeight w:val="369"/>
        </w:trPr>
        <w:tc>
          <w:tcPr>
            <w:tcW w:w="1804" w:type="dxa"/>
            <w:tcBorders>
              <w:left w:val="dashed" w:sz="8" w:space="0" w:color="4AACC5"/>
              <w:right w:val="dashed" w:sz="8" w:space="0" w:color="4AACC5"/>
            </w:tcBorders>
          </w:tcPr>
          <w:p w14:paraId="0C57A5ED"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19851C96"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Fabaceae</w:t>
            </w:r>
          </w:p>
        </w:tc>
        <w:tc>
          <w:tcPr>
            <w:tcW w:w="3204" w:type="dxa"/>
            <w:tcBorders>
              <w:left w:val="dashed" w:sz="8" w:space="0" w:color="4AACC5"/>
              <w:right w:val="dashed" w:sz="8" w:space="0" w:color="4AACC5"/>
            </w:tcBorders>
          </w:tcPr>
          <w:p w14:paraId="22A675C5" w14:textId="77777777" w:rsidR="00C81834" w:rsidRPr="00CF0F96" w:rsidRDefault="00C81834" w:rsidP="00C81834">
            <w:pPr>
              <w:pStyle w:val="TableParagraph"/>
              <w:rPr>
                <w:rFonts w:ascii="Arial" w:hAnsi="Arial" w:cs="Arial"/>
                <w:i/>
                <w:sz w:val="21"/>
              </w:rPr>
            </w:pPr>
            <w:r w:rsidRPr="00CF0F96">
              <w:rPr>
                <w:rFonts w:ascii="Arial" w:hAnsi="Arial" w:cs="Arial"/>
                <w:i/>
                <w:sz w:val="21"/>
              </w:rPr>
              <w:t>Pithecellobium stevensonii</w:t>
            </w:r>
          </w:p>
        </w:tc>
        <w:tc>
          <w:tcPr>
            <w:tcW w:w="1372" w:type="dxa"/>
            <w:tcBorders>
              <w:left w:val="dashed" w:sz="8" w:space="0" w:color="4AACC5"/>
              <w:right w:val="dashed" w:sz="8" w:space="0" w:color="4AACC5"/>
            </w:tcBorders>
          </w:tcPr>
          <w:p w14:paraId="6700C0C9"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03139118" w14:textId="77777777" w:rsidTr="00C81834">
        <w:trPr>
          <w:trHeight w:val="369"/>
        </w:trPr>
        <w:tc>
          <w:tcPr>
            <w:tcW w:w="1804" w:type="dxa"/>
            <w:tcBorders>
              <w:left w:val="dashed" w:sz="8" w:space="0" w:color="4AACC5"/>
              <w:right w:val="dashed" w:sz="8" w:space="0" w:color="4AACC5"/>
            </w:tcBorders>
            <w:shd w:val="clear" w:color="auto" w:fill="D2EAF0"/>
          </w:tcPr>
          <w:p w14:paraId="08B6F8AD"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shd w:val="clear" w:color="auto" w:fill="D2EAF0"/>
          </w:tcPr>
          <w:p w14:paraId="6E6EA810"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Fabaceae</w:t>
            </w:r>
          </w:p>
        </w:tc>
        <w:tc>
          <w:tcPr>
            <w:tcW w:w="3204" w:type="dxa"/>
            <w:tcBorders>
              <w:left w:val="dashed" w:sz="8" w:space="0" w:color="4AACC5"/>
              <w:right w:val="dashed" w:sz="8" w:space="0" w:color="4AACC5"/>
            </w:tcBorders>
            <w:shd w:val="clear" w:color="auto" w:fill="D2EAF0"/>
          </w:tcPr>
          <w:p w14:paraId="263255E4" w14:textId="77777777" w:rsidR="00C81834" w:rsidRPr="00CF0F96" w:rsidRDefault="00C81834" w:rsidP="00C81834">
            <w:pPr>
              <w:pStyle w:val="TableParagraph"/>
              <w:rPr>
                <w:rFonts w:ascii="Arial" w:hAnsi="Arial" w:cs="Arial"/>
                <w:i/>
                <w:sz w:val="21"/>
              </w:rPr>
            </w:pPr>
            <w:r w:rsidRPr="00CF0F96">
              <w:rPr>
                <w:rFonts w:ascii="Arial" w:hAnsi="Arial" w:cs="Arial"/>
                <w:i/>
                <w:sz w:val="21"/>
              </w:rPr>
              <w:t>Platymiscium albertinae</w:t>
            </w:r>
          </w:p>
        </w:tc>
        <w:tc>
          <w:tcPr>
            <w:tcW w:w="1372" w:type="dxa"/>
            <w:tcBorders>
              <w:left w:val="dashed" w:sz="8" w:space="0" w:color="4AACC5"/>
              <w:right w:val="dashed" w:sz="8" w:space="0" w:color="4AACC5"/>
            </w:tcBorders>
            <w:shd w:val="clear" w:color="auto" w:fill="D2EAF0"/>
          </w:tcPr>
          <w:p w14:paraId="7415CAD7"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01D4AB16" w14:textId="77777777" w:rsidTr="00C81834">
        <w:trPr>
          <w:trHeight w:val="369"/>
        </w:trPr>
        <w:tc>
          <w:tcPr>
            <w:tcW w:w="1804" w:type="dxa"/>
            <w:tcBorders>
              <w:left w:val="dashed" w:sz="8" w:space="0" w:color="4AACC5"/>
              <w:right w:val="dashed" w:sz="8" w:space="0" w:color="4AACC5"/>
            </w:tcBorders>
          </w:tcPr>
          <w:p w14:paraId="20B20A48"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6941275A"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Fabaceae</w:t>
            </w:r>
          </w:p>
        </w:tc>
        <w:tc>
          <w:tcPr>
            <w:tcW w:w="3204" w:type="dxa"/>
            <w:tcBorders>
              <w:left w:val="dashed" w:sz="8" w:space="0" w:color="4AACC5"/>
              <w:right w:val="dashed" w:sz="8" w:space="0" w:color="4AACC5"/>
            </w:tcBorders>
          </w:tcPr>
          <w:p w14:paraId="038F8536" w14:textId="77777777" w:rsidR="00C81834" w:rsidRPr="00CF0F96" w:rsidRDefault="00C81834" w:rsidP="00C81834">
            <w:pPr>
              <w:pStyle w:val="TableParagraph"/>
              <w:rPr>
                <w:rFonts w:ascii="Arial" w:hAnsi="Arial" w:cs="Arial"/>
                <w:i/>
                <w:sz w:val="21"/>
              </w:rPr>
            </w:pPr>
            <w:r w:rsidRPr="00CF0F96">
              <w:rPr>
                <w:rFonts w:ascii="Arial" w:hAnsi="Arial" w:cs="Arial"/>
                <w:i/>
                <w:sz w:val="21"/>
              </w:rPr>
              <w:t>Terua vallicola</w:t>
            </w:r>
          </w:p>
        </w:tc>
        <w:tc>
          <w:tcPr>
            <w:tcW w:w="1372" w:type="dxa"/>
            <w:tcBorders>
              <w:left w:val="dashed" w:sz="8" w:space="0" w:color="4AACC5"/>
              <w:right w:val="dashed" w:sz="8" w:space="0" w:color="4AACC5"/>
            </w:tcBorders>
          </w:tcPr>
          <w:p w14:paraId="33F6101B"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3FA02A4F" w14:textId="77777777" w:rsidTr="00C81834">
        <w:trPr>
          <w:trHeight w:val="369"/>
        </w:trPr>
        <w:tc>
          <w:tcPr>
            <w:tcW w:w="1804" w:type="dxa"/>
            <w:tcBorders>
              <w:left w:val="dashed" w:sz="8" w:space="0" w:color="4AACC5"/>
              <w:right w:val="dashed" w:sz="8" w:space="0" w:color="4AACC5"/>
            </w:tcBorders>
            <w:shd w:val="clear" w:color="auto" w:fill="D2EAF0"/>
          </w:tcPr>
          <w:p w14:paraId="56B42536"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shd w:val="clear" w:color="auto" w:fill="D2EAF0"/>
          </w:tcPr>
          <w:p w14:paraId="580467A1"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Fagaceae</w:t>
            </w:r>
          </w:p>
        </w:tc>
        <w:tc>
          <w:tcPr>
            <w:tcW w:w="3204" w:type="dxa"/>
            <w:tcBorders>
              <w:left w:val="dashed" w:sz="8" w:space="0" w:color="4AACC5"/>
              <w:right w:val="dashed" w:sz="8" w:space="0" w:color="4AACC5"/>
            </w:tcBorders>
            <w:shd w:val="clear" w:color="auto" w:fill="D2EAF0"/>
          </w:tcPr>
          <w:p w14:paraId="3C086241" w14:textId="77777777" w:rsidR="00C81834" w:rsidRPr="00CF0F96" w:rsidRDefault="00C81834" w:rsidP="00C81834">
            <w:pPr>
              <w:pStyle w:val="TableParagraph"/>
              <w:rPr>
                <w:rFonts w:ascii="Arial" w:hAnsi="Arial" w:cs="Arial"/>
                <w:i/>
                <w:sz w:val="21"/>
              </w:rPr>
            </w:pPr>
            <w:r w:rsidRPr="00CF0F96">
              <w:rPr>
                <w:rFonts w:ascii="Arial" w:hAnsi="Arial" w:cs="Arial"/>
                <w:i/>
                <w:sz w:val="21"/>
              </w:rPr>
              <w:t>Quercus acutifolia</w:t>
            </w:r>
          </w:p>
        </w:tc>
        <w:tc>
          <w:tcPr>
            <w:tcW w:w="1372" w:type="dxa"/>
            <w:tcBorders>
              <w:left w:val="dashed" w:sz="8" w:space="0" w:color="4AACC5"/>
              <w:right w:val="dashed" w:sz="8" w:space="0" w:color="4AACC5"/>
            </w:tcBorders>
            <w:shd w:val="clear" w:color="auto" w:fill="D2EAF0"/>
          </w:tcPr>
          <w:p w14:paraId="28AE3E7E"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52EF8B3B" w14:textId="77777777" w:rsidTr="00C81834">
        <w:trPr>
          <w:trHeight w:val="369"/>
        </w:trPr>
        <w:tc>
          <w:tcPr>
            <w:tcW w:w="1804" w:type="dxa"/>
            <w:tcBorders>
              <w:left w:val="dashed" w:sz="8" w:space="0" w:color="4AACC5"/>
              <w:right w:val="dashed" w:sz="8" w:space="0" w:color="4AACC5"/>
            </w:tcBorders>
          </w:tcPr>
          <w:p w14:paraId="7E83FDED"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28B15626"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Fagaceae</w:t>
            </w:r>
          </w:p>
        </w:tc>
        <w:tc>
          <w:tcPr>
            <w:tcW w:w="3204" w:type="dxa"/>
            <w:tcBorders>
              <w:left w:val="dashed" w:sz="8" w:space="0" w:color="4AACC5"/>
              <w:right w:val="dashed" w:sz="8" w:space="0" w:color="4AACC5"/>
            </w:tcBorders>
          </w:tcPr>
          <w:p w14:paraId="3642BCC2" w14:textId="77777777" w:rsidR="00C81834" w:rsidRPr="00CF0F96" w:rsidRDefault="00C81834" w:rsidP="00C81834">
            <w:pPr>
              <w:pStyle w:val="TableParagraph"/>
              <w:rPr>
                <w:rFonts w:ascii="Arial" w:hAnsi="Arial" w:cs="Arial"/>
                <w:i/>
                <w:sz w:val="21"/>
              </w:rPr>
            </w:pPr>
            <w:r w:rsidRPr="00CF0F96">
              <w:rPr>
                <w:rFonts w:ascii="Arial" w:hAnsi="Arial" w:cs="Arial"/>
                <w:i/>
                <w:sz w:val="21"/>
              </w:rPr>
              <w:t>Quercus bumelioides</w:t>
            </w:r>
          </w:p>
        </w:tc>
        <w:tc>
          <w:tcPr>
            <w:tcW w:w="1372" w:type="dxa"/>
            <w:tcBorders>
              <w:left w:val="dashed" w:sz="8" w:space="0" w:color="4AACC5"/>
              <w:right w:val="dashed" w:sz="8" w:space="0" w:color="4AACC5"/>
            </w:tcBorders>
          </w:tcPr>
          <w:p w14:paraId="395026DC"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3A9C743E" w14:textId="77777777" w:rsidTr="00C81834">
        <w:trPr>
          <w:trHeight w:val="369"/>
        </w:trPr>
        <w:tc>
          <w:tcPr>
            <w:tcW w:w="1804" w:type="dxa"/>
            <w:tcBorders>
              <w:left w:val="dashed" w:sz="8" w:space="0" w:color="4AACC5"/>
              <w:right w:val="dashed" w:sz="8" w:space="0" w:color="4AACC5"/>
            </w:tcBorders>
            <w:shd w:val="clear" w:color="auto" w:fill="D2EAF0"/>
          </w:tcPr>
          <w:p w14:paraId="4ABD30F2"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shd w:val="clear" w:color="auto" w:fill="D2EAF0"/>
          </w:tcPr>
          <w:p w14:paraId="570B9DF0"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Fagaceae</w:t>
            </w:r>
          </w:p>
        </w:tc>
        <w:tc>
          <w:tcPr>
            <w:tcW w:w="3204" w:type="dxa"/>
            <w:tcBorders>
              <w:left w:val="dashed" w:sz="8" w:space="0" w:color="4AACC5"/>
              <w:right w:val="dashed" w:sz="8" w:space="0" w:color="4AACC5"/>
            </w:tcBorders>
            <w:shd w:val="clear" w:color="auto" w:fill="D2EAF0"/>
          </w:tcPr>
          <w:p w14:paraId="73B6DAD9" w14:textId="77777777" w:rsidR="00C81834" w:rsidRPr="00CF0F96" w:rsidRDefault="00C81834" w:rsidP="00C81834">
            <w:pPr>
              <w:pStyle w:val="TableParagraph"/>
              <w:rPr>
                <w:rFonts w:ascii="Arial" w:hAnsi="Arial" w:cs="Arial"/>
                <w:i/>
                <w:sz w:val="21"/>
              </w:rPr>
            </w:pPr>
            <w:r w:rsidRPr="00CF0F96">
              <w:rPr>
                <w:rFonts w:ascii="Arial" w:hAnsi="Arial" w:cs="Arial"/>
                <w:i/>
                <w:sz w:val="21"/>
              </w:rPr>
              <w:t>Quercus purulhana</w:t>
            </w:r>
          </w:p>
        </w:tc>
        <w:tc>
          <w:tcPr>
            <w:tcW w:w="1372" w:type="dxa"/>
            <w:tcBorders>
              <w:left w:val="dashed" w:sz="8" w:space="0" w:color="4AACC5"/>
              <w:right w:val="dashed" w:sz="8" w:space="0" w:color="4AACC5"/>
            </w:tcBorders>
            <w:shd w:val="clear" w:color="auto" w:fill="D2EAF0"/>
          </w:tcPr>
          <w:p w14:paraId="48F6AECB"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69CAEA0A" w14:textId="77777777" w:rsidTr="00C81834">
        <w:trPr>
          <w:trHeight w:val="369"/>
        </w:trPr>
        <w:tc>
          <w:tcPr>
            <w:tcW w:w="1804" w:type="dxa"/>
            <w:tcBorders>
              <w:left w:val="dashed" w:sz="8" w:space="0" w:color="4AACC5"/>
              <w:right w:val="dashed" w:sz="8" w:space="0" w:color="4AACC5"/>
            </w:tcBorders>
          </w:tcPr>
          <w:p w14:paraId="1F2447D7"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4DE4CA5D"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Fagaceae</w:t>
            </w:r>
          </w:p>
        </w:tc>
        <w:tc>
          <w:tcPr>
            <w:tcW w:w="3204" w:type="dxa"/>
            <w:tcBorders>
              <w:left w:val="dashed" w:sz="8" w:space="0" w:color="4AACC5"/>
              <w:right w:val="dashed" w:sz="8" w:space="0" w:color="4AACC5"/>
            </w:tcBorders>
          </w:tcPr>
          <w:p w14:paraId="5D3421A8" w14:textId="77777777" w:rsidR="00C81834" w:rsidRPr="00CF0F96" w:rsidRDefault="00C81834" w:rsidP="00C81834">
            <w:pPr>
              <w:pStyle w:val="TableParagraph"/>
              <w:rPr>
                <w:rFonts w:ascii="Arial" w:hAnsi="Arial" w:cs="Arial"/>
                <w:i/>
                <w:sz w:val="21"/>
              </w:rPr>
            </w:pPr>
            <w:r w:rsidRPr="00CF0F96">
              <w:rPr>
                <w:rFonts w:ascii="Arial" w:hAnsi="Arial" w:cs="Arial"/>
                <w:i/>
                <w:sz w:val="21"/>
              </w:rPr>
              <w:t>Quercus skinneri</w:t>
            </w:r>
          </w:p>
        </w:tc>
        <w:tc>
          <w:tcPr>
            <w:tcW w:w="1372" w:type="dxa"/>
            <w:tcBorders>
              <w:left w:val="dashed" w:sz="8" w:space="0" w:color="4AACC5"/>
              <w:right w:val="dashed" w:sz="8" w:space="0" w:color="4AACC5"/>
            </w:tcBorders>
          </w:tcPr>
          <w:p w14:paraId="33FC1C00"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09894AC3" w14:textId="77777777" w:rsidTr="00C81834">
        <w:trPr>
          <w:trHeight w:val="369"/>
        </w:trPr>
        <w:tc>
          <w:tcPr>
            <w:tcW w:w="1804" w:type="dxa"/>
            <w:tcBorders>
              <w:left w:val="dashed" w:sz="8" w:space="0" w:color="4AACC5"/>
              <w:right w:val="dashed" w:sz="8" w:space="0" w:color="4AACC5"/>
            </w:tcBorders>
            <w:shd w:val="clear" w:color="auto" w:fill="D2EAF0"/>
          </w:tcPr>
          <w:p w14:paraId="28816AC2"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shd w:val="clear" w:color="auto" w:fill="D2EAF0"/>
          </w:tcPr>
          <w:p w14:paraId="07E96840"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Flacourtiaceae</w:t>
            </w:r>
          </w:p>
        </w:tc>
        <w:tc>
          <w:tcPr>
            <w:tcW w:w="3204" w:type="dxa"/>
            <w:tcBorders>
              <w:left w:val="dashed" w:sz="8" w:space="0" w:color="4AACC5"/>
              <w:right w:val="dashed" w:sz="8" w:space="0" w:color="4AACC5"/>
            </w:tcBorders>
            <w:shd w:val="clear" w:color="auto" w:fill="D2EAF0"/>
          </w:tcPr>
          <w:p w14:paraId="20511593" w14:textId="77777777" w:rsidR="00C81834" w:rsidRPr="00CF0F96" w:rsidRDefault="00C81834" w:rsidP="00C81834">
            <w:pPr>
              <w:pStyle w:val="TableParagraph"/>
              <w:rPr>
                <w:rFonts w:ascii="Arial" w:hAnsi="Arial" w:cs="Arial"/>
                <w:i/>
                <w:sz w:val="21"/>
              </w:rPr>
            </w:pPr>
            <w:r w:rsidRPr="00CF0F96">
              <w:rPr>
                <w:rFonts w:ascii="Arial" w:hAnsi="Arial" w:cs="Arial"/>
                <w:i/>
                <w:sz w:val="21"/>
              </w:rPr>
              <w:t>Casearia williamsiana</w:t>
            </w:r>
          </w:p>
        </w:tc>
        <w:tc>
          <w:tcPr>
            <w:tcW w:w="1372" w:type="dxa"/>
            <w:tcBorders>
              <w:left w:val="dashed" w:sz="8" w:space="0" w:color="4AACC5"/>
              <w:right w:val="dashed" w:sz="8" w:space="0" w:color="4AACC5"/>
            </w:tcBorders>
            <w:shd w:val="clear" w:color="auto" w:fill="D2EAF0"/>
          </w:tcPr>
          <w:p w14:paraId="61B57653"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3EF831A2" w14:textId="77777777" w:rsidTr="00C81834">
        <w:trPr>
          <w:trHeight w:val="369"/>
        </w:trPr>
        <w:tc>
          <w:tcPr>
            <w:tcW w:w="1804" w:type="dxa"/>
            <w:tcBorders>
              <w:left w:val="dashed" w:sz="8" w:space="0" w:color="4AACC5"/>
              <w:right w:val="dashed" w:sz="8" w:space="0" w:color="4AACC5"/>
            </w:tcBorders>
          </w:tcPr>
          <w:p w14:paraId="7305D0EF"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412D6692"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Hamamelidaceae</w:t>
            </w:r>
          </w:p>
        </w:tc>
        <w:tc>
          <w:tcPr>
            <w:tcW w:w="3204" w:type="dxa"/>
            <w:tcBorders>
              <w:left w:val="dashed" w:sz="8" w:space="0" w:color="4AACC5"/>
              <w:right w:val="dashed" w:sz="8" w:space="0" w:color="4AACC5"/>
            </w:tcBorders>
          </w:tcPr>
          <w:p w14:paraId="05C4D1B9" w14:textId="77777777" w:rsidR="00C81834" w:rsidRPr="00CF0F96" w:rsidRDefault="00C81834" w:rsidP="00C81834">
            <w:pPr>
              <w:pStyle w:val="TableParagraph"/>
              <w:rPr>
                <w:rFonts w:ascii="Arial" w:hAnsi="Arial" w:cs="Arial"/>
                <w:i/>
                <w:sz w:val="21"/>
              </w:rPr>
            </w:pPr>
            <w:r w:rsidRPr="00CF0F96">
              <w:rPr>
                <w:rFonts w:ascii="Arial" w:hAnsi="Arial" w:cs="Arial"/>
                <w:i/>
                <w:sz w:val="21"/>
              </w:rPr>
              <w:t>Molinadendron hondurense</w:t>
            </w:r>
          </w:p>
        </w:tc>
        <w:tc>
          <w:tcPr>
            <w:tcW w:w="1372" w:type="dxa"/>
            <w:tcBorders>
              <w:left w:val="dashed" w:sz="8" w:space="0" w:color="4AACC5"/>
              <w:right w:val="dashed" w:sz="8" w:space="0" w:color="4AACC5"/>
            </w:tcBorders>
          </w:tcPr>
          <w:p w14:paraId="6AAE6226"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1FCBCBCB" w14:textId="77777777" w:rsidTr="00C81834">
        <w:trPr>
          <w:trHeight w:val="369"/>
        </w:trPr>
        <w:tc>
          <w:tcPr>
            <w:tcW w:w="1804" w:type="dxa"/>
            <w:tcBorders>
              <w:left w:val="dashed" w:sz="8" w:space="0" w:color="4AACC5"/>
              <w:right w:val="dashed" w:sz="8" w:space="0" w:color="4AACC5"/>
            </w:tcBorders>
            <w:shd w:val="clear" w:color="auto" w:fill="D2EAF0"/>
          </w:tcPr>
          <w:p w14:paraId="5294E7EC"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shd w:val="clear" w:color="auto" w:fill="D2EAF0"/>
          </w:tcPr>
          <w:p w14:paraId="35921AEF"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Hernandiaceae</w:t>
            </w:r>
          </w:p>
        </w:tc>
        <w:tc>
          <w:tcPr>
            <w:tcW w:w="3204" w:type="dxa"/>
            <w:tcBorders>
              <w:left w:val="dashed" w:sz="8" w:space="0" w:color="4AACC5"/>
              <w:right w:val="dashed" w:sz="8" w:space="0" w:color="4AACC5"/>
            </w:tcBorders>
            <w:shd w:val="clear" w:color="auto" w:fill="D2EAF0"/>
          </w:tcPr>
          <w:p w14:paraId="41200044" w14:textId="77777777" w:rsidR="00C81834" w:rsidRPr="00CF0F96" w:rsidRDefault="00C81834" w:rsidP="00C81834">
            <w:pPr>
              <w:pStyle w:val="TableParagraph"/>
              <w:rPr>
                <w:rFonts w:ascii="Arial" w:hAnsi="Arial" w:cs="Arial"/>
                <w:i/>
                <w:sz w:val="21"/>
              </w:rPr>
            </w:pPr>
            <w:r w:rsidRPr="00CF0F96">
              <w:rPr>
                <w:rFonts w:ascii="Arial" w:hAnsi="Arial" w:cs="Arial"/>
                <w:i/>
                <w:sz w:val="21"/>
              </w:rPr>
              <w:t>Hernandia didymantha</w:t>
            </w:r>
          </w:p>
        </w:tc>
        <w:tc>
          <w:tcPr>
            <w:tcW w:w="1372" w:type="dxa"/>
            <w:tcBorders>
              <w:left w:val="dashed" w:sz="8" w:space="0" w:color="4AACC5"/>
              <w:right w:val="dashed" w:sz="8" w:space="0" w:color="4AACC5"/>
            </w:tcBorders>
            <w:shd w:val="clear" w:color="auto" w:fill="D2EAF0"/>
          </w:tcPr>
          <w:p w14:paraId="03B70873"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0935FB80" w14:textId="77777777" w:rsidTr="00C81834">
        <w:trPr>
          <w:trHeight w:val="369"/>
        </w:trPr>
        <w:tc>
          <w:tcPr>
            <w:tcW w:w="1804" w:type="dxa"/>
            <w:tcBorders>
              <w:left w:val="dashed" w:sz="8" w:space="0" w:color="4AACC5"/>
              <w:right w:val="dashed" w:sz="8" w:space="0" w:color="4AACC5"/>
            </w:tcBorders>
          </w:tcPr>
          <w:p w14:paraId="6855DE12"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413542A3"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Juglandaceae</w:t>
            </w:r>
          </w:p>
        </w:tc>
        <w:tc>
          <w:tcPr>
            <w:tcW w:w="3204" w:type="dxa"/>
            <w:tcBorders>
              <w:left w:val="dashed" w:sz="8" w:space="0" w:color="4AACC5"/>
              <w:right w:val="dashed" w:sz="8" w:space="0" w:color="4AACC5"/>
            </w:tcBorders>
          </w:tcPr>
          <w:p w14:paraId="334A48D9" w14:textId="77777777" w:rsidR="00C81834" w:rsidRPr="00CF0F96" w:rsidRDefault="00C81834" w:rsidP="00C81834">
            <w:pPr>
              <w:pStyle w:val="TableParagraph"/>
              <w:rPr>
                <w:rFonts w:ascii="Arial" w:hAnsi="Arial" w:cs="Arial"/>
                <w:i/>
                <w:sz w:val="21"/>
              </w:rPr>
            </w:pPr>
            <w:r w:rsidRPr="00CF0F96">
              <w:rPr>
                <w:rFonts w:ascii="Arial" w:hAnsi="Arial" w:cs="Arial"/>
                <w:i/>
                <w:sz w:val="21"/>
              </w:rPr>
              <w:t>Alfaroa hondurensis</w:t>
            </w:r>
          </w:p>
        </w:tc>
        <w:tc>
          <w:tcPr>
            <w:tcW w:w="1372" w:type="dxa"/>
            <w:tcBorders>
              <w:left w:val="dashed" w:sz="8" w:space="0" w:color="4AACC5"/>
              <w:right w:val="dashed" w:sz="8" w:space="0" w:color="4AACC5"/>
            </w:tcBorders>
          </w:tcPr>
          <w:p w14:paraId="43D97A4F"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2ABF7F73" w14:textId="77777777" w:rsidTr="00C81834">
        <w:trPr>
          <w:trHeight w:val="369"/>
        </w:trPr>
        <w:tc>
          <w:tcPr>
            <w:tcW w:w="1804" w:type="dxa"/>
            <w:tcBorders>
              <w:left w:val="dashed" w:sz="8" w:space="0" w:color="4AACC5"/>
              <w:right w:val="dashed" w:sz="8" w:space="0" w:color="4AACC5"/>
            </w:tcBorders>
            <w:shd w:val="clear" w:color="auto" w:fill="D2EAF0"/>
          </w:tcPr>
          <w:p w14:paraId="76FE05F5"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shd w:val="clear" w:color="auto" w:fill="D2EAF0"/>
          </w:tcPr>
          <w:p w14:paraId="0A378B82"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Juglandaceae</w:t>
            </w:r>
          </w:p>
        </w:tc>
        <w:tc>
          <w:tcPr>
            <w:tcW w:w="3204" w:type="dxa"/>
            <w:tcBorders>
              <w:left w:val="dashed" w:sz="8" w:space="0" w:color="4AACC5"/>
              <w:right w:val="dashed" w:sz="8" w:space="0" w:color="4AACC5"/>
            </w:tcBorders>
            <w:shd w:val="clear" w:color="auto" w:fill="D2EAF0"/>
          </w:tcPr>
          <w:p w14:paraId="0FEFA550" w14:textId="77777777" w:rsidR="00C81834" w:rsidRPr="00CF0F96" w:rsidRDefault="00C81834" w:rsidP="00C81834">
            <w:pPr>
              <w:pStyle w:val="TableParagraph"/>
              <w:rPr>
                <w:rFonts w:ascii="Arial" w:hAnsi="Arial" w:cs="Arial"/>
                <w:i/>
                <w:sz w:val="21"/>
              </w:rPr>
            </w:pPr>
            <w:r w:rsidRPr="00CF0F96">
              <w:rPr>
                <w:rFonts w:ascii="Arial" w:hAnsi="Arial" w:cs="Arial"/>
                <w:i/>
                <w:sz w:val="21"/>
              </w:rPr>
              <w:t>Juglans olanchana</w:t>
            </w:r>
          </w:p>
        </w:tc>
        <w:tc>
          <w:tcPr>
            <w:tcW w:w="1372" w:type="dxa"/>
            <w:tcBorders>
              <w:left w:val="dashed" w:sz="8" w:space="0" w:color="4AACC5"/>
              <w:right w:val="dashed" w:sz="8" w:space="0" w:color="4AACC5"/>
            </w:tcBorders>
            <w:shd w:val="clear" w:color="auto" w:fill="D2EAF0"/>
          </w:tcPr>
          <w:p w14:paraId="77A5B28B"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7CF92926" w14:textId="77777777" w:rsidTr="00C81834">
        <w:trPr>
          <w:trHeight w:val="369"/>
        </w:trPr>
        <w:tc>
          <w:tcPr>
            <w:tcW w:w="1804" w:type="dxa"/>
            <w:tcBorders>
              <w:left w:val="dashed" w:sz="8" w:space="0" w:color="4AACC5"/>
              <w:right w:val="dashed" w:sz="8" w:space="0" w:color="4AACC5"/>
            </w:tcBorders>
          </w:tcPr>
          <w:p w14:paraId="0F89297C"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1C093132"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Lauraceae</w:t>
            </w:r>
          </w:p>
        </w:tc>
        <w:tc>
          <w:tcPr>
            <w:tcW w:w="3204" w:type="dxa"/>
            <w:tcBorders>
              <w:left w:val="dashed" w:sz="8" w:space="0" w:color="4AACC5"/>
              <w:right w:val="dashed" w:sz="8" w:space="0" w:color="4AACC5"/>
            </w:tcBorders>
          </w:tcPr>
          <w:p w14:paraId="27B11904" w14:textId="77777777" w:rsidR="00C81834" w:rsidRPr="00CF0F96" w:rsidRDefault="00C81834" w:rsidP="00C81834">
            <w:pPr>
              <w:pStyle w:val="TableParagraph"/>
              <w:rPr>
                <w:rFonts w:ascii="Arial" w:hAnsi="Arial" w:cs="Arial"/>
                <w:i/>
                <w:sz w:val="21"/>
              </w:rPr>
            </w:pPr>
            <w:r w:rsidRPr="00CF0F96">
              <w:rPr>
                <w:rFonts w:ascii="Arial" w:hAnsi="Arial" w:cs="Arial"/>
                <w:i/>
                <w:sz w:val="21"/>
              </w:rPr>
              <w:t>Ocotea jorge-escobarii</w:t>
            </w:r>
          </w:p>
        </w:tc>
        <w:tc>
          <w:tcPr>
            <w:tcW w:w="1372" w:type="dxa"/>
            <w:tcBorders>
              <w:left w:val="dashed" w:sz="8" w:space="0" w:color="4AACC5"/>
              <w:right w:val="dashed" w:sz="8" w:space="0" w:color="4AACC5"/>
            </w:tcBorders>
          </w:tcPr>
          <w:p w14:paraId="50197DBA"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73DDDBAE" w14:textId="77777777" w:rsidTr="00C81834">
        <w:trPr>
          <w:trHeight w:val="369"/>
        </w:trPr>
        <w:tc>
          <w:tcPr>
            <w:tcW w:w="1804" w:type="dxa"/>
            <w:tcBorders>
              <w:left w:val="dashed" w:sz="8" w:space="0" w:color="4AACC5"/>
              <w:right w:val="dashed" w:sz="8" w:space="0" w:color="4AACC5"/>
            </w:tcBorders>
            <w:shd w:val="clear" w:color="auto" w:fill="D2EAF0"/>
          </w:tcPr>
          <w:p w14:paraId="7DAC9C2C"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shd w:val="clear" w:color="auto" w:fill="D2EAF0"/>
          </w:tcPr>
          <w:p w14:paraId="61F05079"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Lauraceae</w:t>
            </w:r>
          </w:p>
        </w:tc>
        <w:tc>
          <w:tcPr>
            <w:tcW w:w="3204" w:type="dxa"/>
            <w:tcBorders>
              <w:left w:val="dashed" w:sz="8" w:space="0" w:color="4AACC5"/>
              <w:right w:val="dashed" w:sz="8" w:space="0" w:color="4AACC5"/>
            </w:tcBorders>
            <w:shd w:val="clear" w:color="auto" w:fill="D2EAF0"/>
          </w:tcPr>
          <w:p w14:paraId="5B4C21F9" w14:textId="77777777" w:rsidR="00C81834" w:rsidRPr="00CF0F96" w:rsidRDefault="00C81834" w:rsidP="00C81834">
            <w:pPr>
              <w:pStyle w:val="TableParagraph"/>
              <w:rPr>
                <w:rFonts w:ascii="Arial" w:hAnsi="Arial" w:cs="Arial"/>
                <w:i/>
                <w:sz w:val="21"/>
              </w:rPr>
            </w:pPr>
            <w:r w:rsidRPr="00CF0F96">
              <w:rPr>
                <w:rFonts w:ascii="Arial" w:hAnsi="Arial" w:cs="Arial"/>
                <w:i/>
                <w:sz w:val="21"/>
              </w:rPr>
              <w:t>Persea albida</w:t>
            </w:r>
          </w:p>
        </w:tc>
        <w:tc>
          <w:tcPr>
            <w:tcW w:w="1372" w:type="dxa"/>
            <w:tcBorders>
              <w:left w:val="dashed" w:sz="8" w:space="0" w:color="4AACC5"/>
              <w:right w:val="dashed" w:sz="8" w:space="0" w:color="4AACC5"/>
            </w:tcBorders>
            <w:shd w:val="clear" w:color="auto" w:fill="D2EAF0"/>
          </w:tcPr>
          <w:p w14:paraId="12C03C81"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2AF6CA1F" w14:textId="77777777" w:rsidTr="00C81834">
        <w:trPr>
          <w:trHeight w:val="369"/>
        </w:trPr>
        <w:tc>
          <w:tcPr>
            <w:tcW w:w="1804" w:type="dxa"/>
            <w:tcBorders>
              <w:left w:val="dashed" w:sz="8" w:space="0" w:color="4AACC5"/>
              <w:right w:val="dashed" w:sz="8" w:space="0" w:color="4AACC5"/>
            </w:tcBorders>
          </w:tcPr>
          <w:p w14:paraId="2141929B"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6BA20977"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Lauraceae</w:t>
            </w:r>
          </w:p>
        </w:tc>
        <w:tc>
          <w:tcPr>
            <w:tcW w:w="3204" w:type="dxa"/>
            <w:tcBorders>
              <w:left w:val="dashed" w:sz="8" w:space="0" w:color="4AACC5"/>
              <w:right w:val="dashed" w:sz="8" w:space="0" w:color="4AACC5"/>
            </w:tcBorders>
          </w:tcPr>
          <w:p w14:paraId="42520D2C" w14:textId="77777777" w:rsidR="00C81834" w:rsidRPr="00CF0F96" w:rsidRDefault="00C81834" w:rsidP="00C81834">
            <w:pPr>
              <w:pStyle w:val="TableParagraph"/>
              <w:rPr>
                <w:rFonts w:ascii="Arial" w:hAnsi="Arial" w:cs="Arial"/>
                <w:i/>
                <w:sz w:val="21"/>
              </w:rPr>
            </w:pPr>
            <w:r w:rsidRPr="00CF0F96">
              <w:rPr>
                <w:rFonts w:ascii="Arial" w:hAnsi="Arial" w:cs="Arial"/>
                <w:i/>
                <w:sz w:val="21"/>
              </w:rPr>
              <w:t>Persea donnell-smithii</w:t>
            </w:r>
          </w:p>
        </w:tc>
        <w:tc>
          <w:tcPr>
            <w:tcW w:w="1372" w:type="dxa"/>
            <w:tcBorders>
              <w:left w:val="dashed" w:sz="8" w:space="0" w:color="4AACC5"/>
              <w:right w:val="dashed" w:sz="8" w:space="0" w:color="4AACC5"/>
            </w:tcBorders>
          </w:tcPr>
          <w:p w14:paraId="60D01D09"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2FA78A6F" w14:textId="77777777" w:rsidTr="00C81834">
        <w:trPr>
          <w:trHeight w:val="369"/>
        </w:trPr>
        <w:tc>
          <w:tcPr>
            <w:tcW w:w="1804" w:type="dxa"/>
            <w:tcBorders>
              <w:left w:val="dashed" w:sz="8" w:space="0" w:color="4AACC5"/>
              <w:right w:val="dashed" w:sz="8" w:space="0" w:color="4AACC5"/>
            </w:tcBorders>
            <w:shd w:val="clear" w:color="auto" w:fill="D2EAF0"/>
          </w:tcPr>
          <w:p w14:paraId="58B4D7A9"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shd w:val="clear" w:color="auto" w:fill="D2EAF0"/>
          </w:tcPr>
          <w:p w14:paraId="2CC2446A"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Lauraceae</w:t>
            </w:r>
          </w:p>
        </w:tc>
        <w:tc>
          <w:tcPr>
            <w:tcW w:w="3204" w:type="dxa"/>
            <w:tcBorders>
              <w:left w:val="dashed" w:sz="8" w:space="0" w:color="4AACC5"/>
              <w:right w:val="dashed" w:sz="8" w:space="0" w:color="4AACC5"/>
            </w:tcBorders>
            <w:shd w:val="clear" w:color="auto" w:fill="D2EAF0"/>
          </w:tcPr>
          <w:p w14:paraId="33C75E11" w14:textId="77777777" w:rsidR="00C81834" w:rsidRPr="00CF0F96" w:rsidRDefault="00C81834" w:rsidP="00C81834">
            <w:pPr>
              <w:pStyle w:val="TableParagraph"/>
              <w:rPr>
                <w:rFonts w:ascii="Arial" w:hAnsi="Arial" w:cs="Arial"/>
                <w:i/>
                <w:sz w:val="21"/>
              </w:rPr>
            </w:pPr>
            <w:r w:rsidRPr="00CF0F96">
              <w:rPr>
                <w:rFonts w:ascii="Arial" w:hAnsi="Arial" w:cs="Arial"/>
                <w:i/>
                <w:sz w:val="21"/>
              </w:rPr>
              <w:t>Persea schiedeana</w:t>
            </w:r>
          </w:p>
        </w:tc>
        <w:tc>
          <w:tcPr>
            <w:tcW w:w="1372" w:type="dxa"/>
            <w:tcBorders>
              <w:left w:val="dashed" w:sz="8" w:space="0" w:color="4AACC5"/>
              <w:right w:val="dashed" w:sz="8" w:space="0" w:color="4AACC5"/>
            </w:tcBorders>
            <w:shd w:val="clear" w:color="auto" w:fill="D2EAF0"/>
          </w:tcPr>
          <w:p w14:paraId="02707790"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7C0B38B7" w14:textId="77777777" w:rsidTr="00C81834">
        <w:trPr>
          <w:trHeight w:val="369"/>
        </w:trPr>
        <w:tc>
          <w:tcPr>
            <w:tcW w:w="1804" w:type="dxa"/>
            <w:tcBorders>
              <w:left w:val="dashed" w:sz="8" w:space="0" w:color="4AACC5"/>
              <w:right w:val="dashed" w:sz="8" w:space="0" w:color="4AACC5"/>
            </w:tcBorders>
          </w:tcPr>
          <w:p w14:paraId="497683DE"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62ADA753"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Lauraceae</w:t>
            </w:r>
          </w:p>
        </w:tc>
        <w:tc>
          <w:tcPr>
            <w:tcW w:w="3204" w:type="dxa"/>
            <w:tcBorders>
              <w:left w:val="dashed" w:sz="8" w:space="0" w:color="4AACC5"/>
              <w:right w:val="dashed" w:sz="8" w:space="0" w:color="4AACC5"/>
            </w:tcBorders>
          </w:tcPr>
          <w:p w14:paraId="3AF90686" w14:textId="77777777" w:rsidR="00C81834" w:rsidRPr="00CF0F96" w:rsidRDefault="00C81834" w:rsidP="00C81834">
            <w:pPr>
              <w:pStyle w:val="TableParagraph"/>
              <w:rPr>
                <w:rFonts w:ascii="Arial" w:hAnsi="Arial" w:cs="Arial"/>
                <w:i/>
                <w:sz w:val="21"/>
              </w:rPr>
            </w:pPr>
            <w:r w:rsidRPr="00CF0F96">
              <w:rPr>
                <w:rFonts w:ascii="Arial" w:hAnsi="Arial" w:cs="Arial"/>
                <w:i/>
                <w:sz w:val="21"/>
              </w:rPr>
              <w:t>Pleurothyrium roberto-andinoi</w:t>
            </w:r>
          </w:p>
        </w:tc>
        <w:tc>
          <w:tcPr>
            <w:tcW w:w="1372" w:type="dxa"/>
            <w:tcBorders>
              <w:left w:val="dashed" w:sz="8" w:space="0" w:color="4AACC5"/>
              <w:right w:val="dashed" w:sz="8" w:space="0" w:color="4AACC5"/>
            </w:tcBorders>
          </w:tcPr>
          <w:p w14:paraId="7E7C27AE"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573D9F8F" w14:textId="77777777" w:rsidTr="00C81834">
        <w:trPr>
          <w:trHeight w:val="369"/>
        </w:trPr>
        <w:tc>
          <w:tcPr>
            <w:tcW w:w="1804" w:type="dxa"/>
            <w:tcBorders>
              <w:left w:val="dashed" w:sz="8" w:space="0" w:color="4AACC5"/>
              <w:right w:val="dashed" w:sz="8" w:space="0" w:color="4AACC5"/>
            </w:tcBorders>
            <w:shd w:val="clear" w:color="auto" w:fill="D2EAF0"/>
          </w:tcPr>
          <w:p w14:paraId="558BC415"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shd w:val="clear" w:color="auto" w:fill="D2EAF0"/>
          </w:tcPr>
          <w:p w14:paraId="6DEE405A"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Magnoliaceae</w:t>
            </w:r>
          </w:p>
        </w:tc>
        <w:tc>
          <w:tcPr>
            <w:tcW w:w="3204" w:type="dxa"/>
            <w:tcBorders>
              <w:left w:val="dashed" w:sz="8" w:space="0" w:color="4AACC5"/>
              <w:right w:val="dashed" w:sz="8" w:space="0" w:color="4AACC5"/>
            </w:tcBorders>
            <w:shd w:val="clear" w:color="auto" w:fill="D2EAF0"/>
          </w:tcPr>
          <w:p w14:paraId="6827BE05" w14:textId="77777777" w:rsidR="00C81834" w:rsidRPr="00CF0F96" w:rsidRDefault="00C81834" w:rsidP="00C81834">
            <w:pPr>
              <w:pStyle w:val="TableParagraph"/>
              <w:rPr>
                <w:rFonts w:ascii="Arial" w:hAnsi="Arial" w:cs="Arial"/>
                <w:i/>
                <w:sz w:val="21"/>
              </w:rPr>
            </w:pPr>
            <w:r w:rsidRPr="00CF0F96">
              <w:rPr>
                <w:rFonts w:ascii="Arial" w:hAnsi="Arial" w:cs="Arial"/>
                <w:i/>
                <w:sz w:val="21"/>
              </w:rPr>
              <w:t>Magnolia yoroconte</w:t>
            </w:r>
          </w:p>
        </w:tc>
        <w:tc>
          <w:tcPr>
            <w:tcW w:w="1372" w:type="dxa"/>
            <w:tcBorders>
              <w:left w:val="dashed" w:sz="8" w:space="0" w:color="4AACC5"/>
              <w:right w:val="dashed" w:sz="8" w:space="0" w:color="4AACC5"/>
            </w:tcBorders>
            <w:shd w:val="clear" w:color="auto" w:fill="D2EAF0"/>
          </w:tcPr>
          <w:p w14:paraId="57B1B36F"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4D92486E" w14:textId="77777777" w:rsidTr="00C81834">
        <w:trPr>
          <w:trHeight w:val="369"/>
        </w:trPr>
        <w:tc>
          <w:tcPr>
            <w:tcW w:w="1804" w:type="dxa"/>
            <w:tcBorders>
              <w:left w:val="dashed" w:sz="8" w:space="0" w:color="4AACC5"/>
              <w:right w:val="dashed" w:sz="8" w:space="0" w:color="4AACC5"/>
            </w:tcBorders>
          </w:tcPr>
          <w:p w14:paraId="721F22EA"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2F8B4F6A"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Malvaceae</w:t>
            </w:r>
          </w:p>
        </w:tc>
        <w:tc>
          <w:tcPr>
            <w:tcW w:w="3204" w:type="dxa"/>
            <w:tcBorders>
              <w:left w:val="dashed" w:sz="8" w:space="0" w:color="4AACC5"/>
              <w:right w:val="dashed" w:sz="8" w:space="0" w:color="4AACC5"/>
            </w:tcBorders>
          </w:tcPr>
          <w:p w14:paraId="0E725846" w14:textId="77777777" w:rsidR="00C81834" w:rsidRPr="00CF0F96" w:rsidRDefault="00C81834" w:rsidP="00C81834">
            <w:pPr>
              <w:pStyle w:val="TableParagraph"/>
              <w:rPr>
                <w:rFonts w:ascii="Arial" w:hAnsi="Arial" w:cs="Arial"/>
                <w:i/>
                <w:sz w:val="21"/>
              </w:rPr>
            </w:pPr>
            <w:r w:rsidRPr="00CF0F96">
              <w:rPr>
                <w:rFonts w:ascii="Arial" w:hAnsi="Arial" w:cs="Arial"/>
                <w:i/>
                <w:sz w:val="21"/>
              </w:rPr>
              <w:t>Hampea sphaerocarpa</w:t>
            </w:r>
          </w:p>
        </w:tc>
        <w:tc>
          <w:tcPr>
            <w:tcW w:w="1372" w:type="dxa"/>
            <w:tcBorders>
              <w:left w:val="dashed" w:sz="8" w:space="0" w:color="4AACC5"/>
              <w:right w:val="dashed" w:sz="8" w:space="0" w:color="4AACC5"/>
            </w:tcBorders>
          </w:tcPr>
          <w:p w14:paraId="53B122D6"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bl>
    <w:p w14:paraId="6CAAE7B4" w14:textId="77777777" w:rsidR="00C81834" w:rsidRPr="00FA4B2D" w:rsidRDefault="00C81834" w:rsidP="00C81834">
      <w:pPr>
        <w:tabs>
          <w:tab w:val="left" w:pos="1245"/>
        </w:tabs>
        <w:rPr>
          <w:rFonts w:cs="Arial"/>
        </w:rPr>
      </w:pPr>
    </w:p>
    <w:p w14:paraId="5A16604D" w14:textId="77777777" w:rsidR="00D30988" w:rsidRPr="00FA4B2D" w:rsidRDefault="00D30988" w:rsidP="00C81834">
      <w:pPr>
        <w:tabs>
          <w:tab w:val="left" w:pos="1245"/>
        </w:tabs>
        <w:rPr>
          <w:rFonts w:cs="Arial"/>
        </w:rPr>
      </w:pPr>
    </w:p>
    <w:p w14:paraId="73E60051" w14:textId="77777777" w:rsidR="00D30988" w:rsidRPr="00FA4B2D" w:rsidRDefault="00D30988" w:rsidP="00C81834">
      <w:pPr>
        <w:tabs>
          <w:tab w:val="left" w:pos="1245"/>
        </w:tabs>
        <w:rPr>
          <w:rFonts w:cs="Arial"/>
        </w:rPr>
      </w:pPr>
    </w:p>
    <w:p w14:paraId="78DE4DF6" w14:textId="77777777" w:rsidR="00D30988" w:rsidRPr="00FA4B2D" w:rsidRDefault="00D30988" w:rsidP="00C81834">
      <w:pPr>
        <w:tabs>
          <w:tab w:val="left" w:pos="1245"/>
        </w:tabs>
        <w:rPr>
          <w:rFonts w:cs="Arial"/>
        </w:rPr>
      </w:pPr>
    </w:p>
    <w:p w14:paraId="59972633" w14:textId="77777777" w:rsidR="00D30988" w:rsidRPr="00FA4B2D" w:rsidRDefault="00D30988" w:rsidP="00C81834">
      <w:pPr>
        <w:tabs>
          <w:tab w:val="left" w:pos="1245"/>
        </w:tabs>
        <w:rPr>
          <w:rFonts w:cs="Arial"/>
        </w:rPr>
      </w:pPr>
    </w:p>
    <w:tbl>
      <w:tblPr>
        <w:tblStyle w:val="TableNormal1"/>
        <w:tblW w:w="0" w:type="auto"/>
        <w:tblInd w:w="-10"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1804"/>
        <w:gridCol w:w="1879"/>
        <w:gridCol w:w="3204"/>
        <w:gridCol w:w="1372"/>
      </w:tblGrid>
      <w:tr w:rsidR="00C81834" w:rsidRPr="00FA4B2D" w14:paraId="1E701A2C" w14:textId="77777777" w:rsidTr="005D7F0C">
        <w:trPr>
          <w:trHeight w:val="369"/>
        </w:trPr>
        <w:tc>
          <w:tcPr>
            <w:tcW w:w="1804" w:type="dxa"/>
            <w:tcBorders>
              <w:left w:val="dashed" w:sz="8" w:space="0" w:color="4AACC5"/>
              <w:right w:val="dashed" w:sz="8" w:space="0" w:color="4AACC5"/>
            </w:tcBorders>
            <w:shd w:val="clear" w:color="auto" w:fill="5CC5DA"/>
          </w:tcPr>
          <w:p w14:paraId="7387E74A" w14:textId="77777777" w:rsidR="00C81834" w:rsidRPr="00CF0F96" w:rsidRDefault="00C81834" w:rsidP="00C81834">
            <w:pPr>
              <w:pStyle w:val="TableParagraph"/>
              <w:ind w:left="625" w:right="605"/>
              <w:jc w:val="center"/>
              <w:rPr>
                <w:rFonts w:ascii="Arial" w:hAnsi="Arial" w:cs="Arial"/>
                <w:bCs/>
                <w:sz w:val="21"/>
              </w:rPr>
            </w:pPr>
            <w:r w:rsidRPr="00CF0F96">
              <w:rPr>
                <w:rFonts w:ascii="Arial" w:hAnsi="Arial" w:cs="Arial"/>
                <w:bCs/>
                <w:sz w:val="21"/>
              </w:rPr>
              <w:t>Clase</w:t>
            </w:r>
          </w:p>
        </w:tc>
        <w:tc>
          <w:tcPr>
            <w:tcW w:w="1879" w:type="dxa"/>
            <w:tcBorders>
              <w:left w:val="dashed" w:sz="8" w:space="0" w:color="4AACC5"/>
              <w:right w:val="dashed" w:sz="8" w:space="0" w:color="4AACC5"/>
            </w:tcBorders>
            <w:shd w:val="clear" w:color="auto" w:fill="5CC5DA"/>
          </w:tcPr>
          <w:p w14:paraId="3FC0E84F" w14:textId="77777777" w:rsidR="00C81834" w:rsidRPr="00CF0F96" w:rsidRDefault="00C81834" w:rsidP="00C81834">
            <w:pPr>
              <w:pStyle w:val="TableParagraph"/>
              <w:ind w:left="627"/>
              <w:rPr>
                <w:rFonts w:ascii="Arial" w:hAnsi="Arial" w:cs="Arial"/>
                <w:bCs/>
                <w:sz w:val="21"/>
              </w:rPr>
            </w:pPr>
            <w:r w:rsidRPr="00CF0F96">
              <w:rPr>
                <w:rFonts w:ascii="Arial" w:hAnsi="Arial" w:cs="Arial"/>
                <w:bCs/>
                <w:sz w:val="21"/>
              </w:rPr>
              <w:t>Familia</w:t>
            </w:r>
          </w:p>
        </w:tc>
        <w:tc>
          <w:tcPr>
            <w:tcW w:w="3204" w:type="dxa"/>
            <w:tcBorders>
              <w:left w:val="dashed" w:sz="8" w:space="0" w:color="4AACC5"/>
              <w:right w:val="dashed" w:sz="8" w:space="0" w:color="4AACC5"/>
            </w:tcBorders>
            <w:shd w:val="clear" w:color="auto" w:fill="5CC5DA"/>
          </w:tcPr>
          <w:p w14:paraId="669D043A" w14:textId="77777777" w:rsidR="00C81834" w:rsidRPr="00CF0F96" w:rsidRDefault="00C81834" w:rsidP="00C81834">
            <w:pPr>
              <w:pStyle w:val="TableParagraph"/>
              <w:ind w:left="1165" w:right="1144"/>
              <w:jc w:val="center"/>
              <w:rPr>
                <w:rFonts w:ascii="Arial" w:hAnsi="Arial" w:cs="Arial"/>
                <w:bCs/>
                <w:sz w:val="21"/>
              </w:rPr>
            </w:pPr>
            <w:r w:rsidRPr="00CF0F96">
              <w:rPr>
                <w:rFonts w:ascii="Arial" w:hAnsi="Arial" w:cs="Arial"/>
                <w:bCs/>
                <w:sz w:val="21"/>
              </w:rPr>
              <w:t>Especies</w:t>
            </w:r>
          </w:p>
        </w:tc>
        <w:tc>
          <w:tcPr>
            <w:tcW w:w="1372" w:type="dxa"/>
            <w:tcBorders>
              <w:left w:val="dashed" w:sz="8" w:space="0" w:color="4AACC5"/>
              <w:right w:val="dashed" w:sz="8" w:space="0" w:color="4AACC5"/>
            </w:tcBorders>
            <w:shd w:val="clear" w:color="auto" w:fill="5CC5DA"/>
          </w:tcPr>
          <w:p w14:paraId="30B803A2" w14:textId="77777777" w:rsidR="00C81834" w:rsidRPr="00CF0F96" w:rsidRDefault="00C81834" w:rsidP="00C81834">
            <w:pPr>
              <w:pStyle w:val="TableParagraph"/>
              <w:ind w:left="281"/>
              <w:rPr>
                <w:rFonts w:ascii="Arial" w:hAnsi="Arial" w:cs="Arial"/>
                <w:bCs/>
                <w:sz w:val="21"/>
              </w:rPr>
            </w:pPr>
            <w:r w:rsidRPr="00CF0F96">
              <w:rPr>
                <w:rFonts w:ascii="Arial" w:hAnsi="Arial" w:cs="Arial"/>
                <w:bCs/>
                <w:w w:val="95"/>
                <w:sz w:val="21"/>
              </w:rPr>
              <w:t>Categoría</w:t>
            </w:r>
          </w:p>
        </w:tc>
      </w:tr>
      <w:tr w:rsidR="00C81834" w:rsidRPr="00FA4B2D" w14:paraId="521086BB" w14:textId="77777777" w:rsidTr="00C81834">
        <w:trPr>
          <w:trHeight w:val="369"/>
        </w:trPr>
        <w:tc>
          <w:tcPr>
            <w:tcW w:w="1804" w:type="dxa"/>
            <w:tcBorders>
              <w:left w:val="dashed" w:sz="8" w:space="0" w:color="4AACC5"/>
              <w:right w:val="dashed" w:sz="8" w:space="0" w:color="4AACC5"/>
            </w:tcBorders>
            <w:shd w:val="clear" w:color="auto" w:fill="D2EAF0"/>
          </w:tcPr>
          <w:p w14:paraId="4DA8C5ED"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shd w:val="clear" w:color="auto" w:fill="D2EAF0"/>
          </w:tcPr>
          <w:p w14:paraId="5EBDFAEC"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Malvaceae</w:t>
            </w:r>
          </w:p>
        </w:tc>
        <w:tc>
          <w:tcPr>
            <w:tcW w:w="3204" w:type="dxa"/>
            <w:tcBorders>
              <w:left w:val="dashed" w:sz="8" w:space="0" w:color="4AACC5"/>
              <w:right w:val="dashed" w:sz="8" w:space="0" w:color="4AACC5"/>
            </w:tcBorders>
            <w:shd w:val="clear" w:color="auto" w:fill="D2EAF0"/>
          </w:tcPr>
          <w:p w14:paraId="39502A2B" w14:textId="77777777" w:rsidR="00C81834" w:rsidRPr="00CF0F96" w:rsidRDefault="00C81834" w:rsidP="00C81834">
            <w:pPr>
              <w:pStyle w:val="TableParagraph"/>
              <w:rPr>
                <w:rFonts w:ascii="Arial" w:hAnsi="Arial" w:cs="Arial"/>
                <w:i/>
                <w:sz w:val="21"/>
              </w:rPr>
            </w:pPr>
            <w:r w:rsidRPr="00CF0F96">
              <w:rPr>
                <w:rFonts w:ascii="Arial" w:hAnsi="Arial" w:cs="Arial"/>
                <w:i/>
                <w:sz w:val="21"/>
              </w:rPr>
              <w:t>Bombacopsis quinata</w:t>
            </w:r>
          </w:p>
        </w:tc>
        <w:tc>
          <w:tcPr>
            <w:tcW w:w="1372" w:type="dxa"/>
            <w:tcBorders>
              <w:left w:val="dashed" w:sz="8" w:space="0" w:color="4AACC5"/>
              <w:right w:val="dashed" w:sz="8" w:space="0" w:color="4AACC5"/>
            </w:tcBorders>
            <w:shd w:val="clear" w:color="auto" w:fill="D2EAF0"/>
          </w:tcPr>
          <w:p w14:paraId="536E85D1"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20982904" w14:textId="77777777" w:rsidTr="00C81834">
        <w:trPr>
          <w:trHeight w:val="369"/>
        </w:trPr>
        <w:tc>
          <w:tcPr>
            <w:tcW w:w="1804" w:type="dxa"/>
            <w:tcBorders>
              <w:left w:val="dashed" w:sz="8" w:space="0" w:color="4AACC5"/>
              <w:right w:val="dashed" w:sz="8" w:space="0" w:color="4AACC5"/>
            </w:tcBorders>
          </w:tcPr>
          <w:p w14:paraId="5F0D8BAC"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25B43A39"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Malvacea</w:t>
            </w:r>
          </w:p>
        </w:tc>
        <w:tc>
          <w:tcPr>
            <w:tcW w:w="3204" w:type="dxa"/>
            <w:tcBorders>
              <w:left w:val="dashed" w:sz="8" w:space="0" w:color="4AACC5"/>
              <w:right w:val="dashed" w:sz="8" w:space="0" w:color="4AACC5"/>
            </w:tcBorders>
          </w:tcPr>
          <w:p w14:paraId="0E2A7666" w14:textId="77777777" w:rsidR="00C81834" w:rsidRPr="00CF0F96" w:rsidRDefault="00C81834" w:rsidP="00C81834">
            <w:pPr>
              <w:pStyle w:val="TableParagraph"/>
              <w:rPr>
                <w:rFonts w:ascii="Arial" w:hAnsi="Arial" w:cs="Arial"/>
                <w:i/>
                <w:sz w:val="21"/>
              </w:rPr>
            </w:pPr>
            <w:r w:rsidRPr="00CF0F96">
              <w:rPr>
                <w:rFonts w:ascii="Arial" w:hAnsi="Arial" w:cs="Arial"/>
                <w:i/>
                <w:sz w:val="21"/>
              </w:rPr>
              <w:t>Quararibea yunckeri</w:t>
            </w:r>
          </w:p>
        </w:tc>
        <w:tc>
          <w:tcPr>
            <w:tcW w:w="1372" w:type="dxa"/>
            <w:tcBorders>
              <w:left w:val="dashed" w:sz="8" w:space="0" w:color="4AACC5"/>
              <w:right w:val="dashed" w:sz="8" w:space="0" w:color="4AACC5"/>
            </w:tcBorders>
          </w:tcPr>
          <w:p w14:paraId="0E0CEACB"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39E1C10B" w14:textId="77777777" w:rsidTr="00C81834">
        <w:trPr>
          <w:trHeight w:val="369"/>
        </w:trPr>
        <w:tc>
          <w:tcPr>
            <w:tcW w:w="1804" w:type="dxa"/>
            <w:tcBorders>
              <w:left w:val="dashed" w:sz="8" w:space="0" w:color="4AACC5"/>
              <w:right w:val="dashed" w:sz="8" w:space="0" w:color="4AACC5"/>
            </w:tcBorders>
            <w:shd w:val="clear" w:color="auto" w:fill="D2EAF0"/>
          </w:tcPr>
          <w:p w14:paraId="086A4BEF"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shd w:val="clear" w:color="auto" w:fill="D2EAF0"/>
          </w:tcPr>
          <w:p w14:paraId="70EFBC41"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Melastomataceae</w:t>
            </w:r>
          </w:p>
        </w:tc>
        <w:tc>
          <w:tcPr>
            <w:tcW w:w="3204" w:type="dxa"/>
            <w:tcBorders>
              <w:left w:val="dashed" w:sz="8" w:space="0" w:color="4AACC5"/>
              <w:right w:val="dashed" w:sz="8" w:space="0" w:color="4AACC5"/>
            </w:tcBorders>
            <w:shd w:val="clear" w:color="auto" w:fill="D2EAF0"/>
          </w:tcPr>
          <w:p w14:paraId="3815FECD" w14:textId="77777777" w:rsidR="00C81834" w:rsidRPr="00CF0F96" w:rsidRDefault="00C81834" w:rsidP="00C81834">
            <w:pPr>
              <w:pStyle w:val="TableParagraph"/>
              <w:rPr>
                <w:rFonts w:ascii="Arial" w:hAnsi="Arial" w:cs="Arial"/>
                <w:i/>
                <w:sz w:val="21"/>
              </w:rPr>
            </w:pPr>
            <w:r w:rsidRPr="00CF0F96">
              <w:rPr>
                <w:rFonts w:ascii="Arial" w:hAnsi="Arial" w:cs="Arial"/>
                <w:i/>
                <w:sz w:val="21"/>
              </w:rPr>
              <w:t>Blakea brunnea</w:t>
            </w:r>
          </w:p>
        </w:tc>
        <w:tc>
          <w:tcPr>
            <w:tcW w:w="1372" w:type="dxa"/>
            <w:tcBorders>
              <w:left w:val="dashed" w:sz="8" w:space="0" w:color="4AACC5"/>
              <w:right w:val="dashed" w:sz="8" w:space="0" w:color="4AACC5"/>
            </w:tcBorders>
            <w:shd w:val="clear" w:color="auto" w:fill="D2EAF0"/>
          </w:tcPr>
          <w:p w14:paraId="3EDCDB9C"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08462EDC" w14:textId="77777777" w:rsidTr="00C81834">
        <w:trPr>
          <w:trHeight w:val="369"/>
        </w:trPr>
        <w:tc>
          <w:tcPr>
            <w:tcW w:w="1804" w:type="dxa"/>
            <w:tcBorders>
              <w:left w:val="dashed" w:sz="8" w:space="0" w:color="4AACC5"/>
              <w:right w:val="dashed" w:sz="8" w:space="0" w:color="4AACC5"/>
            </w:tcBorders>
          </w:tcPr>
          <w:p w14:paraId="24B7A6E1"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3489BE16"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Meliaceae</w:t>
            </w:r>
          </w:p>
        </w:tc>
        <w:tc>
          <w:tcPr>
            <w:tcW w:w="3204" w:type="dxa"/>
            <w:tcBorders>
              <w:left w:val="dashed" w:sz="8" w:space="0" w:color="4AACC5"/>
              <w:right w:val="dashed" w:sz="8" w:space="0" w:color="4AACC5"/>
            </w:tcBorders>
          </w:tcPr>
          <w:p w14:paraId="234E1C40" w14:textId="77777777" w:rsidR="00C81834" w:rsidRPr="00CF0F96" w:rsidRDefault="00C81834" w:rsidP="00C81834">
            <w:pPr>
              <w:pStyle w:val="TableParagraph"/>
              <w:rPr>
                <w:rFonts w:ascii="Arial" w:hAnsi="Arial" w:cs="Arial"/>
                <w:i/>
                <w:sz w:val="21"/>
              </w:rPr>
            </w:pPr>
            <w:r w:rsidRPr="00CF0F96">
              <w:rPr>
                <w:rFonts w:ascii="Arial" w:hAnsi="Arial" w:cs="Arial"/>
                <w:i/>
                <w:sz w:val="21"/>
              </w:rPr>
              <w:t>Cedrela odorata</w:t>
            </w:r>
          </w:p>
        </w:tc>
        <w:tc>
          <w:tcPr>
            <w:tcW w:w="1372" w:type="dxa"/>
            <w:tcBorders>
              <w:left w:val="dashed" w:sz="8" w:space="0" w:color="4AACC5"/>
              <w:right w:val="dashed" w:sz="8" w:space="0" w:color="4AACC5"/>
            </w:tcBorders>
          </w:tcPr>
          <w:p w14:paraId="069E76F4"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69A400DF" w14:textId="77777777" w:rsidTr="00C81834">
        <w:trPr>
          <w:trHeight w:val="369"/>
        </w:trPr>
        <w:tc>
          <w:tcPr>
            <w:tcW w:w="1804" w:type="dxa"/>
            <w:tcBorders>
              <w:left w:val="dashed" w:sz="8" w:space="0" w:color="4AACC5"/>
              <w:right w:val="dashed" w:sz="8" w:space="0" w:color="4AACC5"/>
            </w:tcBorders>
            <w:shd w:val="clear" w:color="auto" w:fill="D2EAF0"/>
          </w:tcPr>
          <w:p w14:paraId="07805497"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shd w:val="clear" w:color="auto" w:fill="D2EAF0"/>
          </w:tcPr>
          <w:p w14:paraId="6139CDD7"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Meliaceae</w:t>
            </w:r>
          </w:p>
        </w:tc>
        <w:tc>
          <w:tcPr>
            <w:tcW w:w="3204" w:type="dxa"/>
            <w:tcBorders>
              <w:left w:val="dashed" w:sz="8" w:space="0" w:color="4AACC5"/>
              <w:right w:val="dashed" w:sz="8" w:space="0" w:color="4AACC5"/>
            </w:tcBorders>
            <w:shd w:val="clear" w:color="auto" w:fill="D2EAF0"/>
          </w:tcPr>
          <w:p w14:paraId="019A98A9" w14:textId="77777777" w:rsidR="00C81834" w:rsidRPr="00CF0F96" w:rsidRDefault="00C81834" w:rsidP="00C81834">
            <w:pPr>
              <w:pStyle w:val="TableParagraph"/>
              <w:rPr>
                <w:rFonts w:ascii="Arial" w:hAnsi="Arial" w:cs="Arial"/>
                <w:i/>
                <w:sz w:val="21"/>
              </w:rPr>
            </w:pPr>
            <w:r w:rsidRPr="00CF0F96">
              <w:rPr>
                <w:rFonts w:ascii="Arial" w:hAnsi="Arial" w:cs="Arial"/>
                <w:i/>
                <w:sz w:val="21"/>
              </w:rPr>
              <w:t>Swietenia humilis</w:t>
            </w:r>
          </w:p>
        </w:tc>
        <w:tc>
          <w:tcPr>
            <w:tcW w:w="1372" w:type="dxa"/>
            <w:tcBorders>
              <w:left w:val="dashed" w:sz="8" w:space="0" w:color="4AACC5"/>
              <w:right w:val="dashed" w:sz="8" w:space="0" w:color="4AACC5"/>
            </w:tcBorders>
            <w:shd w:val="clear" w:color="auto" w:fill="D2EAF0"/>
          </w:tcPr>
          <w:p w14:paraId="22DF3FEC"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4ACA296D" w14:textId="77777777" w:rsidTr="00C81834">
        <w:trPr>
          <w:trHeight w:val="369"/>
        </w:trPr>
        <w:tc>
          <w:tcPr>
            <w:tcW w:w="1804" w:type="dxa"/>
            <w:tcBorders>
              <w:left w:val="dashed" w:sz="8" w:space="0" w:color="4AACC5"/>
              <w:right w:val="dashed" w:sz="8" w:space="0" w:color="4AACC5"/>
            </w:tcBorders>
          </w:tcPr>
          <w:p w14:paraId="53C262EF"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635A4CFA"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Meliaceae</w:t>
            </w:r>
          </w:p>
        </w:tc>
        <w:tc>
          <w:tcPr>
            <w:tcW w:w="3204" w:type="dxa"/>
            <w:tcBorders>
              <w:left w:val="dashed" w:sz="8" w:space="0" w:color="4AACC5"/>
              <w:right w:val="dashed" w:sz="8" w:space="0" w:color="4AACC5"/>
            </w:tcBorders>
          </w:tcPr>
          <w:p w14:paraId="1A481114" w14:textId="77777777" w:rsidR="00C81834" w:rsidRPr="00CF0F96" w:rsidRDefault="00C81834" w:rsidP="00C81834">
            <w:pPr>
              <w:pStyle w:val="TableParagraph"/>
              <w:rPr>
                <w:rFonts w:ascii="Arial" w:hAnsi="Arial" w:cs="Arial"/>
                <w:i/>
                <w:sz w:val="21"/>
              </w:rPr>
            </w:pPr>
            <w:r w:rsidRPr="00CF0F96">
              <w:rPr>
                <w:rFonts w:ascii="Arial" w:hAnsi="Arial" w:cs="Arial"/>
                <w:i/>
                <w:sz w:val="21"/>
              </w:rPr>
              <w:t>Swietenia macrophylla</w:t>
            </w:r>
          </w:p>
        </w:tc>
        <w:tc>
          <w:tcPr>
            <w:tcW w:w="1372" w:type="dxa"/>
            <w:tcBorders>
              <w:left w:val="dashed" w:sz="8" w:space="0" w:color="4AACC5"/>
              <w:right w:val="dashed" w:sz="8" w:space="0" w:color="4AACC5"/>
            </w:tcBorders>
          </w:tcPr>
          <w:p w14:paraId="59C3E236"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192106E6" w14:textId="77777777" w:rsidTr="00C81834">
        <w:trPr>
          <w:trHeight w:val="369"/>
        </w:trPr>
        <w:tc>
          <w:tcPr>
            <w:tcW w:w="1804" w:type="dxa"/>
            <w:tcBorders>
              <w:left w:val="dashed" w:sz="8" w:space="0" w:color="4AACC5"/>
              <w:right w:val="dashed" w:sz="8" w:space="0" w:color="4AACC5"/>
            </w:tcBorders>
            <w:shd w:val="clear" w:color="auto" w:fill="D2EAF0"/>
          </w:tcPr>
          <w:p w14:paraId="48A42572"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shd w:val="clear" w:color="auto" w:fill="D2EAF0"/>
          </w:tcPr>
          <w:p w14:paraId="5C3D6100"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Meliaceae</w:t>
            </w:r>
          </w:p>
        </w:tc>
        <w:tc>
          <w:tcPr>
            <w:tcW w:w="3204" w:type="dxa"/>
            <w:tcBorders>
              <w:left w:val="dashed" w:sz="8" w:space="0" w:color="4AACC5"/>
              <w:right w:val="dashed" w:sz="8" w:space="0" w:color="4AACC5"/>
            </w:tcBorders>
            <w:shd w:val="clear" w:color="auto" w:fill="D2EAF0"/>
          </w:tcPr>
          <w:p w14:paraId="39BF2DFE" w14:textId="77777777" w:rsidR="00C81834" w:rsidRPr="00CF0F96" w:rsidRDefault="00C81834" w:rsidP="00C81834">
            <w:pPr>
              <w:pStyle w:val="TableParagraph"/>
              <w:spacing w:before="53"/>
              <w:rPr>
                <w:rFonts w:ascii="Arial" w:hAnsi="Arial" w:cs="Arial"/>
                <w:i/>
                <w:sz w:val="21"/>
              </w:rPr>
            </w:pPr>
            <w:r w:rsidRPr="00CF0F96">
              <w:rPr>
                <w:rFonts w:ascii="Arial" w:hAnsi="Arial" w:cs="Arial"/>
                <w:i/>
                <w:sz w:val="21"/>
              </w:rPr>
              <w:t>Trichilia breviflora</w:t>
            </w:r>
          </w:p>
        </w:tc>
        <w:tc>
          <w:tcPr>
            <w:tcW w:w="1372" w:type="dxa"/>
            <w:tcBorders>
              <w:left w:val="dashed" w:sz="8" w:space="0" w:color="4AACC5"/>
              <w:right w:val="dashed" w:sz="8" w:space="0" w:color="4AACC5"/>
            </w:tcBorders>
            <w:shd w:val="clear" w:color="auto" w:fill="D2EAF0"/>
          </w:tcPr>
          <w:p w14:paraId="76543FD0"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1056CE06" w14:textId="77777777" w:rsidTr="00C81834">
        <w:trPr>
          <w:trHeight w:val="369"/>
        </w:trPr>
        <w:tc>
          <w:tcPr>
            <w:tcW w:w="1804" w:type="dxa"/>
            <w:tcBorders>
              <w:left w:val="dashed" w:sz="8" w:space="0" w:color="4AACC5"/>
              <w:right w:val="dashed" w:sz="8" w:space="0" w:color="4AACC5"/>
            </w:tcBorders>
          </w:tcPr>
          <w:p w14:paraId="2312749B"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161029FD"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Monimiaceae</w:t>
            </w:r>
          </w:p>
        </w:tc>
        <w:tc>
          <w:tcPr>
            <w:tcW w:w="3204" w:type="dxa"/>
            <w:tcBorders>
              <w:left w:val="dashed" w:sz="8" w:space="0" w:color="4AACC5"/>
              <w:right w:val="dashed" w:sz="8" w:space="0" w:color="4AACC5"/>
            </w:tcBorders>
          </w:tcPr>
          <w:p w14:paraId="052793EC" w14:textId="77777777" w:rsidR="00C81834" w:rsidRPr="00CF0F96" w:rsidRDefault="00C81834" w:rsidP="00C81834">
            <w:pPr>
              <w:pStyle w:val="TableParagraph"/>
              <w:rPr>
                <w:rFonts w:ascii="Arial" w:hAnsi="Arial" w:cs="Arial"/>
                <w:i/>
                <w:sz w:val="21"/>
              </w:rPr>
            </w:pPr>
            <w:r w:rsidRPr="00CF0F96">
              <w:rPr>
                <w:rFonts w:ascii="Arial" w:hAnsi="Arial" w:cs="Arial"/>
                <w:i/>
                <w:sz w:val="21"/>
              </w:rPr>
              <w:t>Mollinedia butleriana</w:t>
            </w:r>
          </w:p>
        </w:tc>
        <w:tc>
          <w:tcPr>
            <w:tcW w:w="1372" w:type="dxa"/>
            <w:tcBorders>
              <w:left w:val="dashed" w:sz="8" w:space="0" w:color="4AACC5"/>
              <w:right w:val="dashed" w:sz="8" w:space="0" w:color="4AACC5"/>
            </w:tcBorders>
          </w:tcPr>
          <w:p w14:paraId="5A628360"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0E84E66D" w14:textId="77777777" w:rsidTr="00C81834">
        <w:trPr>
          <w:trHeight w:val="369"/>
        </w:trPr>
        <w:tc>
          <w:tcPr>
            <w:tcW w:w="1804" w:type="dxa"/>
            <w:tcBorders>
              <w:left w:val="dashed" w:sz="8" w:space="0" w:color="4AACC5"/>
              <w:right w:val="dashed" w:sz="8" w:space="0" w:color="4AACC5"/>
            </w:tcBorders>
            <w:shd w:val="clear" w:color="auto" w:fill="D2EAF0"/>
          </w:tcPr>
          <w:p w14:paraId="6D2A6EFB"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shd w:val="clear" w:color="auto" w:fill="D2EAF0"/>
          </w:tcPr>
          <w:p w14:paraId="0FF072DF"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Monimiaceae</w:t>
            </w:r>
          </w:p>
        </w:tc>
        <w:tc>
          <w:tcPr>
            <w:tcW w:w="3204" w:type="dxa"/>
            <w:tcBorders>
              <w:left w:val="dashed" w:sz="8" w:space="0" w:color="4AACC5"/>
              <w:right w:val="dashed" w:sz="8" w:space="0" w:color="4AACC5"/>
            </w:tcBorders>
            <w:shd w:val="clear" w:color="auto" w:fill="D2EAF0"/>
          </w:tcPr>
          <w:p w14:paraId="167386D8" w14:textId="77777777" w:rsidR="00C81834" w:rsidRPr="00CF0F96" w:rsidRDefault="00C81834" w:rsidP="00C81834">
            <w:pPr>
              <w:pStyle w:val="TableParagraph"/>
              <w:rPr>
                <w:rFonts w:ascii="Arial" w:hAnsi="Arial" w:cs="Arial"/>
                <w:i/>
                <w:sz w:val="21"/>
              </w:rPr>
            </w:pPr>
            <w:r w:rsidRPr="00CF0F96">
              <w:rPr>
                <w:rFonts w:ascii="Arial" w:hAnsi="Arial" w:cs="Arial"/>
                <w:i/>
                <w:sz w:val="21"/>
              </w:rPr>
              <w:t>Mollinedia ruae</w:t>
            </w:r>
          </w:p>
        </w:tc>
        <w:tc>
          <w:tcPr>
            <w:tcW w:w="1372" w:type="dxa"/>
            <w:tcBorders>
              <w:left w:val="dashed" w:sz="8" w:space="0" w:color="4AACC5"/>
              <w:right w:val="dashed" w:sz="8" w:space="0" w:color="4AACC5"/>
            </w:tcBorders>
            <w:shd w:val="clear" w:color="auto" w:fill="D2EAF0"/>
          </w:tcPr>
          <w:p w14:paraId="6908B7ED"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28B0165A" w14:textId="77777777" w:rsidTr="00C81834">
        <w:trPr>
          <w:trHeight w:val="369"/>
        </w:trPr>
        <w:tc>
          <w:tcPr>
            <w:tcW w:w="1804" w:type="dxa"/>
            <w:tcBorders>
              <w:left w:val="dashed" w:sz="8" w:space="0" w:color="4AACC5"/>
              <w:right w:val="dashed" w:sz="8" w:space="0" w:color="4AACC5"/>
            </w:tcBorders>
          </w:tcPr>
          <w:p w14:paraId="1B88A995"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64DE85A1"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Myrsinaceae</w:t>
            </w:r>
          </w:p>
        </w:tc>
        <w:tc>
          <w:tcPr>
            <w:tcW w:w="3204" w:type="dxa"/>
            <w:tcBorders>
              <w:left w:val="dashed" w:sz="8" w:space="0" w:color="4AACC5"/>
              <w:right w:val="dashed" w:sz="8" w:space="0" w:color="4AACC5"/>
            </w:tcBorders>
          </w:tcPr>
          <w:p w14:paraId="47B95CC9" w14:textId="77777777" w:rsidR="00C81834" w:rsidRPr="00CF0F96" w:rsidRDefault="00C81834" w:rsidP="00C81834">
            <w:pPr>
              <w:pStyle w:val="TableParagraph"/>
              <w:rPr>
                <w:rFonts w:ascii="Arial" w:hAnsi="Arial" w:cs="Arial"/>
                <w:i/>
                <w:sz w:val="21"/>
              </w:rPr>
            </w:pPr>
            <w:r w:rsidRPr="00CF0F96">
              <w:rPr>
                <w:rFonts w:ascii="Arial" w:hAnsi="Arial" w:cs="Arial"/>
                <w:i/>
                <w:sz w:val="21"/>
              </w:rPr>
              <w:t>Gentlea molinae</w:t>
            </w:r>
          </w:p>
        </w:tc>
        <w:tc>
          <w:tcPr>
            <w:tcW w:w="1372" w:type="dxa"/>
            <w:tcBorders>
              <w:left w:val="dashed" w:sz="8" w:space="0" w:color="4AACC5"/>
              <w:right w:val="dashed" w:sz="8" w:space="0" w:color="4AACC5"/>
            </w:tcBorders>
          </w:tcPr>
          <w:p w14:paraId="2D29690E"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59A6AA61" w14:textId="77777777" w:rsidTr="00C81834">
        <w:trPr>
          <w:trHeight w:val="369"/>
        </w:trPr>
        <w:tc>
          <w:tcPr>
            <w:tcW w:w="1804" w:type="dxa"/>
            <w:tcBorders>
              <w:left w:val="dashed" w:sz="8" w:space="0" w:color="4AACC5"/>
              <w:right w:val="dashed" w:sz="8" w:space="0" w:color="4AACC5"/>
            </w:tcBorders>
            <w:shd w:val="clear" w:color="auto" w:fill="D2EAF0"/>
          </w:tcPr>
          <w:p w14:paraId="0656537D"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shd w:val="clear" w:color="auto" w:fill="D2EAF0"/>
          </w:tcPr>
          <w:p w14:paraId="38CD9F41"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Myrsinaceae</w:t>
            </w:r>
          </w:p>
        </w:tc>
        <w:tc>
          <w:tcPr>
            <w:tcW w:w="3204" w:type="dxa"/>
            <w:tcBorders>
              <w:left w:val="dashed" w:sz="8" w:space="0" w:color="4AACC5"/>
              <w:right w:val="dashed" w:sz="8" w:space="0" w:color="4AACC5"/>
            </w:tcBorders>
            <w:shd w:val="clear" w:color="auto" w:fill="D2EAF0"/>
          </w:tcPr>
          <w:p w14:paraId="436346F9" w14:textId="77777777" w:rsidR="00C81834" w:rsidRPr="00CF0F96" w:rsidRDefault="00C81834" w:rsidP="00C81834">
            <w:pPr>
              <w:pStyle w:val="TableParagraph"/>
              <w:rPr>
                <w:rFonts w:ascii="Arial" w:hAnsi="Arial" w:cs="Arial"/>
                <w:i/>
                <w:sz w:val="21"/>
              </w:rPr>
            </w:pPr>
            <w:r w:rsidRPr="00CF0F96">
              <w:rPr>
                <w:rFonts w:ascii="Arial" w:hAnsi="Arial" w:cs="Arial"/>
                <w:i/>
                <w:sz w:val="21"/>
              </w:rPr>
              <w:t>Parathesis vulgata</w:t>
            </w:r>
          </w:p>
        </w:tc>
        <w:tc>
          <w:tcPr>
            <w:tcW w:w="1372" w:type="dxa"/>
            <w:tcBorders>
              <w:left w:val="dashed" w:sz="8" w:space="0" w:color="4AACC5"/>
              <w:right w:val="dashed" w:sz="8" w:space="0" w:color="4AACC5"/>
            </w:tcBorders>
            <w:shd w:val="clear" w:color="auto" w:fill="D2EAF0"/>
          </w:tcPr>
          <w:p w14:paraId="52A68770"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1C14C4EB" w14:textId="77777777" w:rsidTr="00C81834">
        <w:trPr>
          <w:trHeight w:val="369"/>
        </w:trPr>
        <w:tc>
          <w:tcPr>
            <w:tcW w:w="1804" w:type="dxa"/>
            <w:tcBorders>
              <w:left w:val="dashed" w:sz="8" w:space="0" w:color="4AACC5"/>
              <w:right w:val="dashed" w:sz="8" w:space="0" w:color="4AACC5"/>
            </w:tcBorders>
          </w:tcPr>
          <w:p w14:paraId="69E32B25"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4AFB1776"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Myrtaceae</w:t>
            </w:r>
          </w:p>
        </w:tc>
        <w:tc>
          <w:tcPr>
            <w:tcW w:w="3204" w:type="dxa"/>
            <w:tcBorders>
              <w:left w:val="dashed" w:sz="8" w:space="0" w:color="4AACC5"/>
              <w:right w:val="dashed" w:sz="8" w:space="0" w:color="4AACC5"/>
            </w:tcBorders>
          </w:tcPr>
          <w:p w14:paraId="1DBFEEB9" w14:textId="77777777" w:rsidR="00C81834" w:rsidRPr="00CF0F96" w:rsidRDefault="00C81834" w:rsidP="00C81834">
            <w:pPr>
              <w:pStyle w:val="TableParagraph"/>
              <w:rPr>
                <w:rFonts w:ascii="Arial" w:hAnsi="Arial" w:cs="Arial"/>
                <w:i/>
                <w:sz w:val="21"/>
              </w:rPr>
            </w:pPr>
            <w:r w:rsidRPr="00CF0F96">
              <w:rPr>
                <w:rFonts w:ascii="Arial" w:hAnsi="Arial" w:cs="Arial"/>
                <w:i/>
                <w:sz w:val="21"/>
              </w:rPr>
              <w:t>Eugenia coyolensis</w:t>
            </w:r>
          </w:p>
        </w:tc>
        <w:tc>
          <w:tcPr>
            <w:tcW w:w="1372" w:type="dxa"/>
            <w:tcBorders>
              <w:left w:val="dashed" w:sz="8" w:space="0" w:color="4AACC5"/>
              <w:right w:val="dashed" w:sz="8" w:space="0" w:color="4AACC5"/>
            </w:tcBorders>
          </w:tcPr>
          <w:p w14:paraId="6735F56A"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737301F2" w14:textId="77777777" w:rsidTr="00C81834">
        <w:trPr>
          <w:trHeight w:val="369"/>
        </w:trPr>
        <w:tc>
          <w:tcPr>
            <w:tcW w:w="1804" w:type="dxa"/>
            <w:tcBorders>
              <w:left w:val="dashed" w:sz="8" w:space="0" w:color="4AACC5"/>
              <w:right w:val="dashed" w:sz="8" w:space="0" w:color="4AACC5"/>
            </w:tcBorders>
            <w:shd w:val="clear" w:color="auto" w:fill="D2EAF0"/>
          </w:tcPr>
          <w:p w14:paraId="63D323F1"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shd w:val="clear" w:color="auto" w:fill="D2EAF0"/>
          </w:tcPr>
          <w:p w14:paraId="3616B3B6"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Myrtaceae</w:t>
            </w:r>
          </w:p>
        </w:tc>
        <w:tc>
          <w:tcPr>
            <w:tcW w:w="3204" w:type="dxa"/>
            <w:tcBorders>
              <w:left w:val="dashed" w:sz="8" w:space="0" w:color="4AACC5"/>
              <w:right w:val="dashed" w:sz="8" w:space="0" w:color="4AACC5"/>
            </w:tcBorders>
            <w:shd w:val="clear" w:color="auto" w:fill="D2EAF0"/>
          </w:tcPr>
          <w:p w14:paraId="1FF91AD2" w14:textId="77777777" w:rsidR="00C81834" w:rsidRPr="00CF0F96" w:rsidRDefault="00C81834" w:rsidP="00C81834">
            <w:pPr>
              <w:pStyle w:val="TableParagraph"/>
              <w:rPr>
                <w:rFonts w:ascii="Arial" w:hAnsi="Arial" w:cs="Arial"/>
                <w:i/>
                <w:sz w:val="21"/>
              </w:rPr>
            </w:pPr>
            <w:r w:rsidRPr="00CF0F96">
              <w:rPr>
                <w:rFonts w:ascii="Arial" w:hAnsi="Arial" w:cs="Arial"/>
                <w:i/>
                <w:sz w:val="21"/>
              </w:rPr>
              <w:t>Eugenia lancetillae</w:t>
            </w:r>
          </w:p>
        </w:tc>
        <w:tc>
          <w:tcPr>
            <w:tcW w:w="1372" w:type="dxa"/>
            <w:tcBorders>
              <w:left w:val="dashed" w:sz="8" w:space="0" w:color="4AACC5"/>
              <w:right w:val="dashed" w:sz="8" w:space="0" w:color="4AACC5"/>
            </w:tcBorders>
            <w:shd w:val="clear" w:color="auto" w:fill="D2EAF0"/>
          </w:tcPr>
          <w:p w14:paraId="3286ABA1"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1A932D5E" w14:textId="77777777" w:rsidTr="00C81834">
        <w:trPr>
          <w:trHeight w:val="369"/>
        </w:trPr>
        <w:tc>
          <w:tcPr>
            <w:tcW w:w="1804" w:type="dxa"/>
            <w:tcBorders>
              <w:left w:val="dashed" w:sz="8" w:space="0" w:color="4AACC5"/>
              <w:right w:val="dashed" w:sz="8" w:space="0" w:color="4AACC5"/>
            </w:tcBorders>
          </w:tcPr>
          <w:p w14:paraId="1E1EA58A"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18C16618"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Myrtaceae</w:t>
            </w:r>
          </w:p>
        </w:tc>
        <w:tc>
          <w:tcPr>
            <w:tcW w:w="3204" w:type="dxa"/>
            <w:tcBorders>
              <w:left w:val="dashed" w:sz="8" w:space="0" w:color="4AACC5"/>
              <w:right w:val="dashed" w:sz="8" w:space="0" w:color="4AACC5"/>
            </w:tcBorders>
          </w:tcPr>
          <w:p w14:paraId="4E765AB8" w14:textId="77777777" w:rsidR="00C81834" w:rsidRPr="00CF0F96" w:rsidRDefault="00C81834" w:rsidP="00C81834">
            <w:pPr>
              <w:pStyle w:val="TableParagraph"/>
              <w:rPr>
                <w:rFonts w:ascii="Arial" w:hAnsi="Arial" w:cs="Arial"/>
                <w:i/>
                <w:sz w:val="21"/>
              </w:rPr>
            </w:pPr>
            <w:r w:rsidRPr="00CF0F96">
              <w:rPr>
                <w:rFonts w:ascii="Arial" w:hAnsi="Arial" w:cs="Arial"/>
                <w:i/>
                <w:sz w:val="21"/>
              </w:rPr>
              <w:t>Eugenia salamensis</w:t>
            </w:r>
          </w:p>
        </w:tc>
        <w:tc>
          <w:tcPr>
            <w:tcW w:w="1372" w:type="dxa"/>
            <w:tcBorders>
              <w:left w:val="dashed" w:sz="8" w:space="0" w:color="4AACC5"/>
              <w:right w:val="dashed" w:sz="8" w:space="0" w:color="4AACC5"/>
            </w:tcBorders>
          </w:tcPr>
          <w:p w14:paraId="2D8320EF"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77E8BBF7" w14:textId="77777777" w:rsidTr="00C81834">
        <w:trPr>
          <w:trHeight w:val="369"/>
        </w:trPr>
        <w:tc>
          <w:tcPr>
            <w:tcW w:w="1804" w:type="dxa"/>
            <w:tcBorders>
              <w:left w:val="dashed" w:sz="8" w:space="0" w:color="4AACC5"/>
              <w:right w:val="dashed" w:sz="8" w:space="0" w:color="4AACC5"/>
            </w:tcBorders>
            <w:shd w:val="clear" w:color="auto" w:fill="D2EAF0"/>
          </w:tcPr>
          <w:p w14:paraId="1B404000"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shd w:val="clear" w:color="auto" w:fill="D2EAF0"/>
          </w:tcPr>
          <w:p w14:paraId="0AE3F31B"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Nyctaginaceae</w:t>
            </w:r>
          </w:p>
        </w:tc>
        <w:tc>
          <w:tcPr>
            <w:tcW w:w="3204" w:type="dxa"/>
            <w:tcBorders>
              <w:left w:val="dashed" w:sz="8" w:space="0" w:color="4AACC5"/>
              <w:right w:val="dashed" w:sz="8" w:space="0" w:color="4AACC5"/>
            </w:tcBorders>
            <w:shd w:val="clear" w:color="auto" w:fill="D2EAF0"/>
          </w:tcPr>
          <w:p w14:paraId="65F201A3" w14:textId="77777777" w:rsidR="00C81834" w:rsidRPr="00CF0F96" w:rsidRDefault="00C81834" w:rsidP="00C81834">
            <w:pPr>
              <w:pStyle w:val="TableParagraph"/>
              <w:rPr>
                <w:rFonts w:ascii="Arial" w:hAnsi="Arial" w:cs="Arial"/>
                <w:i/>
                <w:sz w:val="21"/>
              </w:rPr>
            </w:pPr>
            <w:r w:rsidRPr="00CF0F96">
              <w:rPr>
                <w:rFonts w:ascii="Arial" w:hAnsi="Arial" w:cs="Arial"/>
                <w:i/>
                <w:sz w:val="21"/>
              </w:rPr>
              <w:t>Neea acuminatissima</w:t>
            </w:r>
          </w:p>
        </w:tc>
        <w:tc>
          <w:tcPr>
            <w:tcW w:w="1372" w:type="dxa"/>
            <w:tcBorders>
              <w:left w:val="dashed" w:sz="8" w:space="0" w:color="4AACC5"/>
              <w:right w:val="dashed" w:sz="8" w:space="0" w:color="4AACC5"/>
            </w:tcBorders>
            <w:shd w:val="clear" w:color="auto" w:fill="D2EAF0"/>
          </w:tcPr>
          <w:p w14:paraId="1035B836"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1507F792" w14:textId="77777777" w:rsidTr="00C81834">
        <w:trPr>
          <w:trHeight w:val="369"/>
        </w:trPr>
        <w:tc>
          <w:tcPr>
            <w:tcW w:w="1804" w:type="dxa"/>
            <w:tcBorders>
              <w:left w:val="dashed" w:sz="8" w:space="0" w:color="4AACC5"/>
              <w:right w:val="dashed" w:sz="8" w:space="0" w:color="4AACC5"/>
            </w:tcBorders>
          </w:tcPr>
          <w:p w14:paraId="367FF675"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661EA691"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Ochnaceae</w:t>
            </w:r>
          </w:p>
        </w:tc>
        <w:tc>
          <w:tcPr>
            <w:tcW w:w="3204" w:type="dxa"/>
            <w:tcBorders>
              <w:left w:val="dashed" w:sz="8" w:space="0" w:color="4AACC5"/>
              <w:right w:val="dashed" w:sz="8" w:space="0" w:color="4AACC5"/>
            </w:tcBorders>
          </w:tcPr>
          <w:p w14:paraId="40E8EE21" w14:textId="77777777" w:rsidR="00C81834" w:rsidRPr="00CF0F96" w:rsidRDefault="00C81834" w:rsidP="00C81834">
            <w:pPr>
              <w:pStyle w:val="TableParagraph"/>
              <w:rPr>
                <w:rFonts w:ascii="Arial" w:hAnsi="Arial" w:cs="Arial"/>
                <w:i/>
                <w:sz w:val="21"/>
              </w:rPr>
            </w:pPr>
            <w:r w:rsidRPr="00CF0F96">
              <w:rPr>
                <w:rFonts w:ascii="Arial" w:hAnsi="Arial" w:cs="Arial"/>
                <w:i/>
                <w:sz w:val="21"/>
              </w:rPr>
              <w:t>Ouratea insulae</w:t>
            </w:r>
          </w:p>
        </w:tc>
        <w:tc>
          <w:tcPr>
            <w:tcW w:w="1372" w:type="dxa"/>
            <w:tcBorders>
              <w:left w:val="dashed" w:sz="8" w:space="0" w:color="4AACC5"/>
              <w:right w:val="dashed" w:sz="8" w:space="0" w:color="4AACC5"/>
            </w:tcBorders>
          </w:tcPr>
          <w:p w14:paraId="43043F94"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3FFC0519" w14:textId="77777777" w:rsidTr="00C81834">
        <w:trPr>
          <w:trHeight w:val="369"/>
        </w:trPr>
        <w:tc>
          <w:tcPr>
            <w:tcW w:w="1804" w:type="dxa"/>
            <w:tcBorders>
              <w:left w:val="dashed" w:sz="8" w:space="0" w:color="4AACC5"/>
              <w:right w:val="dashed" w:sz="8" w:space="0" w:color="4AACC5"/>
            </w:tcBorders>
            <w:shd w:val="clear" w:color="auto" w:fill="D2EAF0"/>
          </w:tcPr>
          <w:p w14:paraId="6DB1579B"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shd w:val="clear" w:color="auto" w:fill="D2EAF0"/>
          </w:tcPr>
          <w:p w14:paraId="477ABEA8"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Oleaceae</w:t>
            </w:r>
          </w:p>
        </w:tc>
        <w:tc>
          <w:tcPr>
            <w:tcW w:w="3204" w:type="dxa"/>
            <w:tcBorders>
              <w:left w:val="dashed" w:sz="8" w:space="0" w:color="4AACC5"/>
              <w:right w:val="dashed" w:sz="8" w:space="0" w:color="4AACC5"/>
            </w:tcBorders>
            <w:shd w:val="clear" w:color="auto" w:fill="D2EAF0"/>
          </w:tcPr>
          <w:p w14:paraId="4AF11BDB" w14:textId="77777777" w:rsidR="00C81834" w:rsidRPr="00CF0F96" w:rsidRDefault="00C81834" w:rsidP="00C81834">
            <w:pPr>
              <w:pStyle w:val="TableParagraph"/>
              <w:rPr>
                <w:rFonts w:ascii="Arial" w:hAnsi="Arial" w:cs="Arial"/>
                <w:i/>
                <w:sz w:val="21"/>
              </w:rPr>
            </w:pPr>
            <w:r w:rsidRPr="00CF0F96">
              <w:rPr>
                <w:rFonts w:ascii="Arial" w:hAnsi="Arial" w:cs="Arial"/>
                <w:i/>
                <w:sz w:val="21"/>
              </w:rPr>
              <w:t>Forestiera hondurensis</w:t>
            </w:r>
          </w:p>
        </w:tc>
        <w:tc>
          <w:tcPr>
            <w:tcW w:w="1372" w:type="dxa"/>
            <w:tcBorders>
              <w:left w:val="dashed" w:sz="8" w:space="0" w:color="4AACC5"/>
              <w:right w:val="dashed" w:sz="8" w:space="0" w:color="4AACC5"/>
            </w:tcBorders>
            <w:shd w:val="clear" w:color="auto" w:fill="D2EAF0"/>
          </w:tcPr>
          <w:p w14:paraId="1EC67ED2"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2D73E510" w14:textId="77777777" w:rsidTr="00C81834">
        <w:trPr>
          <w:trHeight w:val="369"/>
        </w:trPr>
        <w:tc>
          <w:tcPr>
            <w:tcW w:w="1804" w:type="dxa"/>
            <w:tcBorders>
              <w:left w:val="dashed" w:sz="8" w:space="0" w:color="4AACC5"/>
              <w:right w:val="dashed" w:sz="8" w:space="0" w:color="4AACC5"/>
            </w:tcBorders>
          </w:tcPr>
          <w:p w14:paraId="425C5C82"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6C55CB8E"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Oleaceae</w:t>
            </w:r>
          </w:p>
        </w:tc>
        <w:tc>
          <w:tcPr>
            <w:tcW w:w="3204" w:type="dxa"/>
            <w:tcBorders>
              <w:left w:val="dashed" w:sz="8" w:space="0" w:color="4AACC5"/>
              <w:right w:val="dashed" w:sz="8" w:space="0" w:color="4AACC5"/>
            </w:tcBorders>
          </w:tcPr>
          <w:p w14:paraId="326EE8BE" w14:textId="77777777" w:rsidR="00C81834" w:rsidRPr="00CF0F96" w:rsidRDefault="00C81834" w:rsidP="00C81834">
            <w:pPr>
              <w:pStyle w:val="TableParagraph"/>
              <w:rPr>
                <w:rFonts w:ascii="Arial" w:hAnsi="Arial" w:cs="Arial"/>
                <w:i/>
                <w:sz w:val="21"/>
              </w:rPr>
            </w:pPr>
            <w:r w:rsidRPr="00CF0F96">
              <w:rPr>
                <w:rFonts w:ascii="Arial" w:hAnsi="Arial" w:cs="Arial"/>
                <w:i/>
                <w:sz w:val="21"/>
              </w:rPr>
              <w:t>Fraxinus hondurensis</w:t>
            </w:r>
          </w:p>
        </w:tc>
        <w:tc>
          <w:tcPr>
            <w:tcW w:w="1372" w:type="dxa"/>
            <w:tcBorders>
              <w:left w:val="dashed" w:sz="8" w:space="0" w:color="4AACC5"/>
              <w:right w:val="dashed" w:sz="8" w:space="0" w:color="4AACC5"/>
            </w:tcBorders>
          </w:tcPr>
          <w:p w14:paraId="63E39910"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61BFB41E" w14:textId="77777777" w:rsidTr="00C81834">
        <w:trPr>
          <w:trHeight w:val="369"/>
        </w:trPr>
        <w:tc>
          <w:tcPr>
            <w:tcW w:w="1804" w:type="dxa"/>
            <w:tcBorders>
              <w:left w:val="dashed" w:sz="8" w:space="0" w:color="4AACC5"/>
              <w:right w:val="dashed" w:sz="8" w:space="0" w:color="4AACC5"/>
            </w:tcBorders>
            <w:shd w:val="clear" w:color="auto" w:fill="D2EAF0"/>
          </w:tcPr>
          <w:p w14:paraId="52276004"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shd w:val="clear" w:color="auto" w:fill="D2EAF0"/>
          </w:tcPr>
          <w:p w14:paraId="4B9B650D"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Opiliaceae</w:t>
            </w:r>
          </w:p>
        </w:tc>
        <w:tc>
          <w:tcPr>
            <w:tcW w:w="3204" w:type="dxa"/>
            <w:tcBorders>
              <w:left w:val="dashed" w:sz="8" w:space="0" w:color="4AACC5"/>
              <w:right w:val="dashed" w:sz="8" w:space="0" w:color="4AACC5"/>
            </w:tcBorders>
            <w:shd w:val="clear" w:color="auto" w:fill="D2EAF0"/>
          </w:tcPr>
          <w:p w14:paraId="23807745" w14:textId="77777777" w:rsidR="00C81834" w:rsidRPr="00CF0F96" w:rsidRDefault="00C81834" w:rsidP="00C81834">
            <w:pPr>
              <w:pStyle w:val="TableParagraph"/>
              <w:rPr>
                <w:rFonts w:ascii="Arial" w:hAnsi="Arial" w:cs="Arial"/>
                <w:i/>
                <w:sz w:val="21"/>
              </w:rPr>
            </w:pPr>
            <w:r w:rsidRPr="00CF0F96">
              <w:rPr>
                <w:rFonts w:ascii="Arial" w:hAnsi="Arial" w:cs="Arial"/>
                <w:i/>
                <w:sz w:val="21"/>
              </w:rPr>
              <w:t>Agonandra loranthoides</w:t>
            </w:r>
          </w:p>
        </w:tc>
        <w:tc>
          <w:tcPr>
            <w:tcW w:w="1372" w:type="dxa"/>
            <w:tcBorders>
              <w:left w:val="dashed" w:sz="8" w:space="0" w:color="4AACC5"/>
              <w:right w:val="dashed" w:sz="8" w:space="0" w:color="4AACC5"/>
            </w:tcBorders>
            <w:shd w:val="clear" w:color="auto" w:fill="D2EAF0"/>
          </w:tcPr>
          <w:p w14:paraId="126C59DA"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21152CAE" w14:textId="77777777" w:rsidTr="00C81834">
        <w:trPr>
          <w:trHeight w:val="369"/>
        </w:trPr>
        <w:tc>
          <w:tcPr>
            <w:tcW w:w="1804" w:type="dxa"/>
            <w:tcBorders>
              <w:left w:val="dashed" w:sz="8" w:space="0" w:color="4AACC5"/>
              <w:right w:val="dashed" w:sz="8" w:space="0" w:color="4AACC5"/>
            </w:tcBorders>
          </w:tcPr>
          <w:p w14:paraId="126DDE62"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1BF91644"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Opiliaceae</w:t>
            </w:r>
          </w:p>
        </w:tc>
        <w:tc>
          <w:tcPr>
            <w:tcW w:w="3204" w:type="dxa"/>
            <w:tcBorders>
              <w:left w:val="dashed" w:sz="8" w:space="0" w:color="4AACC5"/>
              <w:right w:val="dashed" w:sz="8" w:space="0" w:color="4AACC5"/>
            </w:tcBorders>
          </w:tcPr>
          <w:p w14:paraId="3DD7FF2D" w14:textId="77777777" w:rsidR="00C81834" w:rsidRPr="00CF0F96" w:rsidRDefault="00C81834" w:rsidP="00C81834">
            <w:pPr>
              <w:pStyle w:val="TableParagraph"/>
              <w:rPr>
                <w:rFonts w:ascii="Arial" w:hAnsi="Arial" w:cs="Arial"/>
                <w:i/>
                <w:sz w:val="21"/>
              </w:rPr>
            </w:pPr>
            <w:r w:rsidRPr="00CF0F96">
              <w:rPr>
                <w:rFonts w:ascii="Arial" w:hAnsi="Arial" w:cs="Arial"/>
                <w:i/>
                <w:sz w:val="21"/>
              </w:rPr>
              <w:t>Agonandra macrocarpa</w:t>
            </w:r>
          </w:p>
        </w:tc>
        <w:tc>
          <w:tcPr>
            <w:tcW w:w="1372" w:type="dxa"/>
            <w:tcBorders>
              <w:left w:val="dashed" w:sz="8" w:space="0" w:color="4AACC5"/>
              <w:right w:val="dashed" w:sz="8" w:space="0" w:color="4AACC5"/>
            </w:tcBorders>
          </w:tcPr>
          <w:p w14:paraId="22653E56"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7924566B" w14:textId="77777777" w:rsidTr="00C81834">
        <w:trPr>
          <w:trHeight w:val="369"/>
        </w:trPr>
        <w:tc>
          <w:tcPr>
            <w:tcW w:w="1804" w:type="dxa"/>
            <w:tcBorders>
              <w:left w:val="dashed" w:sz="8" w:space="0" w:color="4AACC5"/>
              <w:right w:val="dashed" w:sz="8" w:space="0" w:color="4AACC5"/>
            </w:tcBorders>
            <w:shd w:val="clear" w:color="auto" w:fill="D2EAF0"/>
          </w:tcPr>
          <w:p w14:paraId="445FD4F8"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shd w:val="clear" w:color="auto" w:fill="D2EAF0"/>
          </w:tcPr>
          <w:p w14:paraId="2B7A0C0E"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Polygonaceae</w:t>
            </w:r>
          </w:p>
        </w:tc>
        <w:tc>
          <w:tcPr>
            <w:tcW w:w="3204" w:type="dxa"/>
            <w:tcBorders>
              <w:left w:val="dashed" w:sz="8" w:space="0" w:color="4AACC5"/>
              <w:right w:val="dashed" w:sz="8" w:space="0" w:color="4AACC5"/>
            </w:tcBorders>
            <w:shd w:val="clear" w:color="auto" w:fill="D2EAF0"/>
          </w:tcPr>
          <w:p w14:paraId="042D4663" w14:textId="77777777" w:rsidR="00C81834" w:rsidRPr="00CF0F96" w:rsidRDefault="00C81834" w:rsidP="00C81834">
            <w:pPr>
              <w:pStyle w:val="TableParagraph"/>
              <w:rPr>
                <w:rFonts w:ascii="Arial" w:hAnsi="Arial" w:cs="Arial"/>
                <w:i/>
                <w:sz w:val="21"/>
              </w:rPr>
            </w:pPr>
            <w:r w:rsidRPr="00CF0F96">
              <w:rPr>
                <w:rFonts w:ascii="Arial" w:hAnsi="Arial" w:cs="Arial"/>
                <w:i/>
                <w:sz w:val="21"/>
              </w:rPr>
              <w:t>Coccoloba cholutecensis</w:t>
            </w:r>
          </w:p>
        </w:tc>
        <w:tc>
          <w:tcPr>
            <w:tcW w:w="1372" w:type="dxa"/>
            <w:tcBorders>
              <w:left w:val="dashed" w:sz="8" w:space="0" w:color="4AACC5"/>
              <w:right w:val="dashed" w:sz="8" w:space="0" w:color="4AACC5"/>
            </w:tcBorders>
            <w:shd w:val="clear" w:color="auto" w:fill="D2EAF0"/>
          </w:tcPr>
          <w:p w14:paraId="57F1FA83"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3592E151" w14:textId="77777777" w:rsidTr="00C81834">
        <w:trPr>
          <w:trHeight w:val="369"/>
        </w:trPr>
        <w:tc>
          <w:tcPr>
            <w:tcW w:w="1804" w:type="dxa"/>
            <w:tcBorders>
              <w:left w:val="dashed" w:sz="8" w:space="0" w:color="4AACC5"/>
              <w:right w:val="dashed" w:sz="8" w:space="0" w:color="4AACC5"/>
            </w:tcBorders>
          </w:tcPr>
          <w:p w14:paraId="0214371E"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5C933145"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Polygonaceae</w:t>
            </w:r>
          </w:p>
        </w:tc>
        <w:tc>
          <w:tcPr>
            <w:tcW w:w="3204" w:type="dxa"/>
            <w:tcBorders>
              <w:left w:val="dashed" w:sz="8" w:space="0" w:color="4AACC5"/>
              <w:right w:val="dashed" w:sz="8" w:space="0" w:color="4AACC5"/>
            </w:tcBorders>
          </w:tcPr>
          <w:p w14:paraId="15D606D4" w14:textId="77777777" w:rsidR="00C81834" w:rsidRPr="00CF0F96" w:rsidRDefault="00C81834" w:rsidP="00C81834">
            <w:pPr>
              <w:pStyle w:val="TableParagraph"/>
              <w:rPr>
                <w:rFonts w:ascii="Arial" w:hAnsi="Arial" w:cs="Arial"/>
                <w:i/>
                <w:sz w:val="21"/>
              </w:rPr>
            </w:pPr>
            <w:r w:rsidRPr="00CF0F96">
              <w:rPr>
                <w:rFonts w:ascii="Arial" w:hAnsi="Arial" w:cs="Arial"/>
                <w:i/>
                <w:sz w:val="21"/>
              </w:rPr>
              <w:t>Coccoloba lindaviana</w:t>
            </w:r>
          </w:p>
        </w:tc>
        <w:tc>
          <w:tcPr>
            <w:tcW w:w="1372" w:type="dxa"/>
            <w:tcBorders>
              <w:left w:val="dashed" w:sz="8" w:space="0" w:color="4AACC5"/>
              <w:right w:val="dashed" w:sz="8" w:space="0" w:color="4AACC5"/>
            </w:tcBorders>
          </w:tcPr>
          <w:p w14:paraId="4ED0A691"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48046AB4" w14:textId="77777777" w:rsidTr="00C81834">
        <w:trPr>
          <w:trHeight w:val="369"/>
        </w:trPr>
        <w:tc>
          <w:tcPr>
            <w:tcW w:w="1804" w:type="dxa"/>
            <w:tcBorders>
              <w:left w:val="dashed" w:sz="8" w:space="0" w:color="4AACC5"/>
              <w:right w:val="dashed" w:sz="8" w:space="0" w:color="4AACC5"/>
            </w:tcBorders>
            <w:shd w:val="clear" w:color="auto" w:fill="D2EAF0"/>
          </w:tcPr>
          <w:p w14:paraId="5EDAB5B1"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shd w:val="clear" w:color="auto" w:fill="D2EAF0"/>
          </w:tcPr>
          <w:p w14:paraId="07793C45"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Quiinaceae</w:t>
            </w:r>
          </w:p>
        </w:tc>
        <w:tc>
          <w:tcPr>
            <w:tcW w:w="3204" w:type="dxa"/>
            <w:tcBorders>
              <w:left w:val="dashed" w:sz="8" w:space="0" w:color="4AACC5"/>
              <w:right w:val="dashed" w:sz="8" w:space="0" w:color="4AACC5"/>
            </w:tcBorders>
            <w:shd w:val="clear" w:color="auto" w:fill="D2EAF0"/>
          </w:tcPr>
          <w:p w14:paraId="5109C4EF" w14:textId="77777777" w:rsidR="00C81834" w:rsidRPr="00CF0F96" w:rsidRDefault="00C81834" w:rsidP="00C81834">
            <w:pPr>
              <w:pStyle w:val="TableParagraph"/>
              <w:rPr>
                <w:rFonts w:ascii="Arial" w:hAnsi="Arial" w:cs="Arial"/>
                <w:i/>
                <w:sz w:val="21"/>
              </w:rPr>
            </w:pPr>
            <w:r w:rsidRPr="00CF0F96">
              <w:rPr>
                <w:rFonts w:ascii="Arial" w:hAnsi="Arial" w:cs="Arial"/>
                <w:i/>
                <w:sz w:val="21"/>
              </w:rPr>
              <w:t>Lacunaria panamensis</w:t>
            </w:r>
          </w:p>
        </w:tc>
        <w:tc>
          <w:tcPr>
            <w:tcW w:w="1372" w:type="dxa"/>
            <w:tcBorders>
              <w:left w:val="dashed" w:sz="8" w:space="0" w:color="4AACC5"/>
              <w:right w:val="dashed" w:sz="8" w:space="0" w:color="4AACC5"/>
            </w:tcBorders>
            <w:shd w:val="clear" w:color="auto" w:fill="D2EAF0"/>
          </w:tcPr>
          <w:p w14:paraId="7ED4E28E"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13DE7167" w14:textId="77777777" w:rsidTr="00C81834">
        <w:trPr>
          <w:trHeight w:val="369"/>
        </w:trPr>
        <w:tc>
          <w:tcPr>
            <w:tcW w:w="1804" w:type="dxa"/>
            <w:tcBorders>
              <w:left w:val="dashed" w:sz="8" w:space="0" w:color="4AACC5"/>
              <w:right w:val="dashed" w:sz="8" w:space="0" w:color="4AACC5"/>
            </w:tcBorders>
          </w:tcPr>
          <w:p w14:paraId="6C7E64D0"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47EE6F35"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Quiinaceae</w:t>
            </w:r>
          </w:p>
        </w:tc>
        <w:tc>
          <w:tcPr>
            <w:tcW w:w="3204" w:type="dxa"/>
            <w:tcBorders>
              <w:left w:val="dashed" w:sz="8" w:space="0" w:color="4AACC5"/>
              <w:right w:val="dashed" w:sz="8" w:space="0" w:color="4AACC5"/>
            </w:tcBorders>
          </w:tcPr>
          <w:p w14:paraId="212D109C" w14:textId="77777777" w:rsidR="00C81834" w:rsidRPr="00CF0F96" w:rsidRDefault="00C81834" w:rsidP="00C81834">
            <w:pPr>
              <w:pStyle w:val="TableParagraph"/>
              <w:rPr>
                <w:rFonts w:ascii="Arial" w:hAnsi="Arial" w:cs="Arial"/>
                <w:i/>
                <w:sz w:val="21"/>
              </w:rPr>
            </w:pPr>
            <w:r w:rsidRPr="00CF0F96">
              <w:rPr>
                <w:rFonts w:ascii="Arial" w:hAnsi="Arial" w:cs="Arial"/>
                <w:i/>
                <w:sz w:val="21"/>
              </w:rPr>
              <w:t>Quiina schippii</w:t>
            </w:r>
          </w:p>
        </w:tc>
        <w:tc>
          <w:tcPr>
            <w:tcW w:w="1372" w:type="dxa"/>
            <w:tcBorders>
              <w:left w:val="dashed" w:sz="8" w:space="0" w:color="4AACC5"/>
              <w:right w:val="dashed" w:sz="8" w:space="0" w:color="4AACC5"/>
            </w:tcBorders>
          </w:tcPr>
          <w:p w14:paraId="58E2E7AB"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1BE77738" w14:textId="77777777" w:rsidTr="00C81834">
        <w:trPr>
          <w:trHeight w:val="369"/>
        </w:trPr>
        <w:tc>
          <w:tcPr>
            <w:tcW w:w="1804" w:type="dxa"/>
            <w:tcBorders>
              <w:left w:val="dashed" w:sz="8" w:space="0" w:color="4AACC5"/>
              <w:right w:val="dashed" w:sz="8" w:space="0" w:color="4AACC5"/>
            </w:tcBorders>
            <w:shd w:val="clear" w:color="auto" w:fill="D2EAF0"/>
          </w:tcPr>
          <w:p w14:paraId="57B12D92"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shd w:val="clear" w:color="auto" w:fill="D2EAF0"/>
          </w:tcPr>
          <w:p w14:paraId="432E19DF"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Rhamnaceae</w:t>
            </w:r>
          </w:p>
        </w:tc>
        <w:tc>
          <w:tcPr>
            <w:tcW w:w="3204" w:type="dxa"/>
            <w:tcBorders>
              <w:left w:val="dashed" w:sz="8" w:space="0" w:color="4AACC5"/>
              <w:right w:val="dashed" w:sz="8" w:space="0" w:color="4AACC5"/>
            </w:tcBorders>
            <w:shd w:val="clear" w:color="auto" w:fill="D2EAF0"/>
          </w:tcPr>
          <w:p w14:paraId="5AA36610" w14:textId="77777777" w:rsidR="00C81834" w:rsidRPr="00CF0F96" w:rsidRDefault="00C81834" w:rsidP="00C81834">
            <w:pPr>
              <w:pStyle w:val="TableParagraph"/>
              <w:rPr>
                <w:rFonts w:ascii="Arial" w:hAnsi="Arial" w:cs="Arial"/>
                <w:i/>
                <w:sz w:val="21"/>
              </w:rPr>
            </w:pPr>
            <w:r w:rsidRPr="00CF0F96">
              <w:rPr>
                <w:rFonts w:ascii="Arial" w:hAnsi="Arial" w:cs="Arial"/>
                <w:i/>
                <w:sz w:val="21"/>
              </w:rPr>
              <w:t>Colubrina hondurensis</w:t>
            </w:r>
          </w:p>
        </w:tc>
        <w:tc>
          <w:tcPr>
            <w:tcW w:w="1372" w:type="dxa"/>
            <w:tcBorders>
              <w:left w:val="dashed" w:sz="8" w:space="0" w:color="4AACC5"/>
              <w:right w:val="dashed" w:sz="8" w:space="0" w:color="4AACC5"/>
            </w:tcBorders>
            <w:shd w:val="clear" w:color="auto" w:fill="D2EAF0"/>
          </w:tcPr>
          <w:p w14:paraId="498F5CC9"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540BECC1" w14:textId="77777777" w:rsidTr="00C81834">
        <w:trPr>
          <w:trHeight w:val="369"/>
        </w:trPr>
        <w:tc>
          <w:tcPr>
            <w:tcW w:w="1804" w:type="dxa"/>
            <w:tcBorders>
              <w:left w:val="dashed" w:sz="8" w:space="0" w:color="4AACC5"/>
              <w:right w:val="dashed" w:sz="8" w:space="0" w:color="4AACC5"/>
            </w:tcBorders>
          </w:tcPr>
          <w:p w14:paraId="19D55DE9"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298080D3"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Rhizophoraceae</w:t>
            </w:r>
          </w:p>
        </w:tc>
        <w:tc>
          <w:tcPr>
            <w:tcW w:w="3204" w:type="dxa"/>
            <w:tcBorders>
              <w:left w:val="dashed" w:sz="8" w:space="0" w:color="4AACC5"/>
              <w:right w:val="dashed" w:sz="8" w:space="0" w:color="4AACC5"/>
            </w:tcBorders>
          </w:tcPr>
          <w:p w14:paraId="41DAD593" w14:textId="77777777" w:rsidR="00C81834" w:rsidRPr="00CF0F96" w:rsidRDefault="00C81834" w:rsidP="00C81834">
            <w:pPr>
              <w:pStyle w:val="TableParagraph"/>
              <w:rPr>
                <w:rFonts w:ascii="Arial" w:hAnsi="Arial" w:cs="Arial"/>
                <w:i/>
                <w:sz w:val="21"/>
              </w:rPr>
            </w:pPr>
            <w:r w:rsidRPr="00CF0F96">
              <w:rPr>
                <w:rFonts w:ascii="Arial" w:hAnsi="Arial" w:cs="Arial"/>
                <w:i/>
                <w:sz w:val="21"/>
              </w:rPr>
              <w:t>Rhizophora samoensis</w:t>
            </w:r>
          </w:p>
        </w:tc>
        <w:tc>
          <w:tcPr>
            <w:tcW w:w="1372" w:type="dxa"/>
            <w:tcBorders>
              <w:left w:val="dashed" w:sz="8" w:space="0" w:color="4AACC5"/>
              <w:right w:val="dashed" w:sz="8" w:space="0" w:color="4AACC5"/>
            </w:tcBorders>
          </w:tcPr>
          <w:p w14:paraId="034047B7"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1290D9D4" w14:textId="77777777" w:rsidTr="00C81834">
        <w:trPr>
          <w:trHeight w:val="369"/>
        </w:trPr>
        <w:tc>
          <w:tcPr>
            <w:tcW w:w="1804" w:type="dxa"/>
            <w:tcBorders>
              <w:left w:val="dashed" w:sz="8" w:space="0" w:color="4AACC5"/>
              <w:right w:val="dashed" w:sz="8" w:space="0" w:color="4AACC5"/>
            </w:tcBorders>
            <w:shd w:val="clear" w:color="auto" w:fill="D2EAF0"/>
          </w:tcPr>
          <w:p w14:paraId="68868792"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shd w:val="clear" w:color="auto" w:fill="D2EAF0"/>
          </w:tcPr>
          <w:p w14:paraId="0C0BEC9F"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Rubiaceae</w:t>
            </w:r>
          </w:p>
        </w:tc>
        <w:tc>
          <w:tcPr>
            <w:tcW w:w="3204" w:type="dxa"/>
            <w:tcBorders>
              <w:left w:val="dashed" w:sz="8" w:space="0" w:color="4AACC5"/>
              <w:right w:val="dashed" w:sz="8" w:space="0" w:color="4AACC5"/>
            </w:tcBorders>
            <w:shd w:val="clear" w:color="auto" w:fill="D2EAF0"/>
          </w:tcPr>
          <w:p w14:paraId="4081378D" w14:textId="77777777" w:rsidR="00C81834" w:rsidRPr="00CF0F96" w:rsidRDefault="00C81834" w:rsidP="00C81834">
            <w:pPr>
              <w:pStyle w:val="TableParagraph"/>
              <w:rPr>
                <w:rFonts w:ascii="Arial" w:hAnsi="Arial" w:cs="Arial"/>
                <w:i/>
                <w:sz w:val="21"/>
              </w:rPr>
            </w:pPr>
            <w:r w:rsidRPr="00CF0F96">
              <w:rPr>
                <w:rFonts w:ascii="Arial" w:hAnsi="Arial" w:cs="Arial"/>
                <w:i/>
                <w:sz w:val="21"/>
              </w:rPr>
              <w:t>Allenanthus hondurensis</w:t>
            </w:r>
          </w:p>
        </w:tc>
        <w:tc>
          <w:tcPr>
            <w:tcW w:w="1372" w:type="dxa"/>
            <w:tcBorders>
              <w:left w:val="dashed" w:sz="8" w:space="0" w:color="4AACC5"/>
              <w:right w:val="dashed" w:sz="8" w:space="0" w:color="4AACC5"/>
            </w:tcBorders>
            <w:shd w:val="clear" w:color="auto" w:fill="D2EAF0"/>
          </w:tcPr>
          <w:p w14:paraId="383CE102"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2E3D3210" w14:textId="77777777" w:rsidTr="00C81834">
        <w:trPr>
          <w:trHeight w:val="369"/>
        </w:trPr>
        <w:tc>
          <w:tcPr>
            <w:tcW w:w="1804" w:type="dxa"/>
            <w:tcBorders>
              <w:left w:val="dashed" w:sz="8" w:space="0" w:color="4AACC5"/>
              <w:right w:val="dashed" w:sz="8" w:space="0" w:color="4AACC5"/>
            </w:tcBorders>
          </w:tcPr>
          <w:p w14:paraId="5A015429"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000680F1"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Rubiaceae</w:t>
            </w:r>
          </w:p>
        </w:tc>
        <w:tc>
          <w:tcPr>
            <w:tcW w:w="3204" w:type="dxa"/>
            <w:tcBorders>
              <w:left w:val="dashed" w:sz="8" w:space="0" w:color="4AACC5"/>
              <w:right w:val="dashed" w:sz="8" w:space="0" w:color="4AACC5"/>
            </w:tcBorders>
          </w:tcPr>
          <w:p w14:paraId="148D3B13" w14:textId="77777777" w:rsidR="00C81834" w:rsidRPr="00CF0F96" w:rsidRDefault="00C81834" w:rsidP="00C81834">
            <w:pPr>
              <w:pStyle w:val="TableParagraph"/>
              <w:rPr>
                <w:rFonts w:ascii="Arial" w:hAnsi="Arial" w:cs="Arial"/>
                <w:i/>
                <w:sz w:val="21"/>
              </w:rPr>
            </w:pPr>
            <w:r w:rsidRPr="00CF0F96">
              <w:rPr>
                <w:rFonts w:ascii="Arial" w:hAnsi="Arial" w:cs="Arial"/>
                <w:i/>
                <w:sz w:val="21"/>
              </w:rPr>
              <w:t>Blepharidium guatemalense</w:t>
            </w:r>
          </w:p>
        </w:tc>
        <w:tc>
          <w:tcPr>
            <w:tcW w:w="1372" w:type="dxa"/>
            <w:tcBorders>
              <w:left w:val="dashed" w:sz="8" w:space="0" w:color="4AACC5"/>
              <w:right w:val="dashed" w:sz="8" w:space="0" w:color="4AACC5"/>
            </w:tcBorders>
          </w:tcPr>
          <w:p w14:paraId="0920111D"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65A1D2CF" w14:textId="77777777" w:rsidTr="00C81834">
        <w:trPr>
          <w:trHeight w:val="369"/>
        </w:trPr>
        <w:tc>
          <w:tcPr>
            <w:tcW w:w="1804" w:type="dxa"/>
            <w:tcBorders>
              <w:left w:val="dashed" w:sz="8" w:space="0" w:color="4AACC5"/>
              <w:right w:val="dashed" w:sz="8" w:space="0" w:color="4AACC5"/>
            </w:tcBorders>
            <w:shd w:val="clear" w:color="auto" w:fill="D2EAF0"/>
          </w:tcPr>
          <w:p w14:paraId="7CB65DC1"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shd w:val="clear" w:color="auto" w:fill="D2EAF0"/>
          </w:tcPr>
          <w:p w14:paraId="7B37A9D9"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Rubiaceae</w:t>
            </w:r>
          </w:p>
        </w:tc>
        <w:tc>
          <w:tcPr>
            <w:tcW w:w="3204" w:type="dxa"/>
            <w:tcBorders>
              <w:left w:val="dashed" w:sz="8" w:space="0" w:color="4AACC5"/>
              <w:right w:val="dashed" w:sz="8" w:space="0" w:color="4AACC5"/>
            </w:tcBorders>
            <w:shd w:val="clear" w:color="auto" w:fill="D2EAF0"/>
          </w:tcPr>
          <w:p w14:paraId="217BEA09" w14:textId="77777777" w:rsidR="00C81834" w:rsidRPr="00CF0F96" w:rsidRDefault="00C81834" w:rsidP="00C81834">
            <w:pPr>
              <w:pStyle w:val="TableParagraph"/>
              <w:rPr>
                <w:rFonts w:ascii="Arial" w:hAnsi="Arial" w:cs="Arial"/>
                <w:i/>
                <w:sz w:val="21"/>
              </w:rPr>
            </w:pPr>
            <w:r w:rsidRPr="00CF0F96">
              <w:rPr>
                <w:rFonts w:ascii="Arial" w:hAnsi="Arial" w:cs="Arial"/>
                <w:i/>
                <w:w w:val="95"/>
                <w:sz w:val="21"/>
              </w:rPr>
              <w:t>Tocoyena pittieri</w:t>
            </w:r>
          </w:p>
        </w:tc>
        <w:tc>
          <w:tcPr>
            <w:tcW w:w="1372" w:type="dxa"/>
            <w:tcBorders>
              <w:left w:val="dashed" w:sz="8" w:space="0" w:color="4AACC5"/>
              <w:right w:val="dashed" w:sz="8" w:space="0" w:color="4AACC5"/>
            </w:tcBorders>
            <w:shd w:val="clear" w:color="auto" w:fill="D2EAF0"/>
          </w:tcPr>
          <w:p w14:paraId="29CE2D05"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bl>
    <w:p w14:paraId="0C213FAC" w14:textId="77777777" w:rsidR="00C81834" w:rsidRPr="00FA4B2D" w:rsidRDefault="00C81834" w:rsidP="00C81834">
      <w:pPr>
        <w:tabs>
          <w:tab w:val="left" w:pos="1245"/>
        </w:tabs>
        <w:rPr>
          <w:rFonts w:cs="Arial"/>
        </w:rPr>
      </w:pPr>
    </w:p>
    <w:p w14:paraId="72944F3F" w14:textId="77777777" w:rsidR="00C81834" w:rsidRPr="00FA4B2D" w:rsidRDefault="00C81834" w:rsidP="00C81834">
      <w:pPr>
        <w:rPr>
          <w:rFonts w:cs="Arial"/>
        </w:rPr>
      </w:pPr>
      <w:r w:rsidRPr="00FA4B2D">
        <w:rPr>
          <w:rFonts w:cs="Arial"/>
        </w:rPr>
        <w:br w:type="page"/>
      </w:r>
    </w:p>
    <w:p w14:paraId="3EB112B5" w14:textId="77777777" w:rsidR="00C81834" w:rsidRPr="00FA4B2D" w:rsidRDefault="00C81834" w:rsidP="00C81834">
      <w:pPr>
        <w:tabs>
          <w:tab w:val="left" w:pos="1245"/>
        </w:tabs>
        <w:rPr>
          <w:rFonts w:cs="Arial"/>
        </w:rPr>
      </w:pPr>
    </w:p>
    <w:tbl>
      <w:tblPr>
        <w:tblStyle w:val="TableNormal1"/>
        <w:tblW w:w="8259" w:type="dxa"/>
        <w:tblInd w:w="-10"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1804"/>
        <w:gridCol w:w="1879"/>
        <w:gridCol w:w="3204"/>
        <w:gridCol w:w="1372"/>
      </w:tblGrid>
      <w:tr w:rsidR="00C81834" w:rsidRPr="00FA4B2D" w14:paraId="4671775F" w14:textId="77777777" w:rsidTr="00C81834">
        <w:trPr>
          <w:trHeight w:val="369"/>
        </w:trPr>
        <w:tc>
          <w:tcPr>
            <w:tcW w:w="1804" w:type="dxa"/>
            <w:tcBorders>
              <w:left w:val="dashed" w:sz="8" w:space="0" w:color="4AACC5"/>
              <w:right w:val="dashed" w:sz="8" w:space="0" w:color="4AACC5"/>
            </w:tcBorders>
            <w:shd w:val="clear" w:color="auto" w:fill="5CC5DA"/>
          </w:tcPr>
          <w:p w14:paraId="2A27761C" w14:textId="77777777" w:rsidR="00C81834" w:rsidRPr="00CF0F96" w:rsidRDefault="00C81834" w:rsidP="00C81834">
            <w:pPr>
              <w:pStyle w:val="TableParagraph"/>
              <w:ind w:left="625" w:right="605"/>
              <w:jc w:val="center"/>
              <w:rPr>
                <w:rFonts w:ascii="Arial" w:hAnsi="Arial" w:cs="Arial"/>
                <w:bCs/>
                <w:sz w:val="21"/>
              </w:rPr>
            </w:pPr>
            <w:r w:rsidRPr="00CF0F96">
              <w:rPr>
                <w:rFonts w:ascii="Arial" w:hAnsi="Arial" w:cs="Arial"/>
                <w:bCs/>
                <w:sz w:val="21"/>
              </w:rPr>
              <w:t>Clase</w:t>
            </w:r>
          </w:p>
        </w:tc>
        <w:tc>
          <w:tcPr>
            <w:tcW w:w="1879" w:type="dxa"/>
            <w:tcBorders>
              <w:left w:val="dashed" w:sz="8" w:space="0" w:color="4AACC5"/>
              <w:right w:val="dashed" w:sz="8" w:space="0" w:color="4AACC5"/>
            </w:tcBorders>
            <w:shd w:val="clear" w:color="auto" w:fill="5CC5DA"/>
          </w:tcPr>
          <w:p w14:paraId="46EAC72B" w14:textId="77777777" w:rsidR="00C81834" w:rsidRPr="00CF0F96" w:rsidRDefault="00C81834" w:rsidP="00C81834">
            <w:pPr>
              <w:pStyle w:val="TableParagraph"/>
              <w:ind w:left="627"/>
              <w:rPr>
                <w:rFonts w:ascii="Arial" w:hAnsi="Arial" w:cs="Arial"/>
                <w:bCs/>
                <w:sz w:val="21"/>
              </w:rPr>
            </w:pPr>
            <w:r w:rsidRPr="00CF0F96">
              <w:rPr>
                <w:rFonts w:ascii="Arial" w:hAnsi="Arial" w:cs="Arial"/>
                <w:bCs/>
                <w:sz w:val="21"/>
              </w:rPr>
              <w:t>Familia</w:t>
            </w:r>
          </w:p>
        </w:tc>
        <w:tc>
          <w:tcPr>
            <w:tcW w:w="3204" w:type="dxa"/>
            <w:tcBorders>
              <w:left w:val="dashed" w:sz="8" w:space="0" w:color="4AACC5"/>
              <w:right w:val="dashed" w:sz="8" w:space="0" w:color="4AACC5"/>
            </w:tcBorders>
            <w:shd w:val="clear" w:color="auto" w:fill="5CC5DA"/>
          </w:tcPr>
          <w:p w14:paraId="37E7A2E6" w14:textId="77777777" w:rsidR="00C81834" w:rsidRPr="00CF0F96" w:rsidRDefault="00C81834" w:rsidP="00C81834">
            <w:pPr>
              <w:pStyle w:val="TableParagraph"/>
              <w:ind w:left="1165" w:right="1144"/>
              <w:jc w:val="center"/>
              <w:rPr>
                <w:rFonts w:ascii="Arial" w:hAnsi="Arial" w:cs="Arial"/>
                <w:bCs/>
                <w:sz w:val="21"/>
              </w:rPr>
            </w:pPr>
            <w:r w:rsidRPr="00CF0F96">
              <w:rPr>
                <w:rFonts w:ascii="Arial" w:hAnsi="Arial" w:cs="Arial"/>
                <w:bCs/>
                <w:sz w:val="21"/>
              </w:rPr>
              <w:t>Especies</w:t>
            </w:r>
          </w:p>
        </w:tc>
        <w:tc>
          <w:tcPr>
            <w:tcW w:w="1372" w:type="dxa"/>
            <w:tcBorders>
              <w:left w:val="dashed" w:sz="8" w:space="0" w:color="4AACC5"/>
              <w:right w:val="dashed" w:sz="8" w:space="0" w:color="4AACC5"/>
            </w:tcBorders>
            <w:shd w:val="clear" w:color="auto" w:fill="5CC5DA"/>
          </w:tcPr>
          <w:p w14:paraId="4C612912" w14:textId="77777777" w:rsidR="00C81834" w:rsidRPr="00CF0F96" w:rsidRDefault="00C81834" w:rsidP="00C81834">
            <w:pPr>
              <w:pStyle w:val="TableParagraph"/>
              <w:ind w:left="281"/>
              <w:rPr>
                <w:rFonts w:ascii="Arial" w:hAnsi="Arial" w:cs="Arial"/>
                <w:bCs/>
                <w:sz w:val="21"/>
              </w:rPr>
            </w:pPr>
            <w:r w:rsidRPr="00CF0F96">
              <w:rPr>
                <w:rFonts w:ascii="Arial" w:hAnsi="Arial" w:cs="Arial"/>
                <w:bCs/>
                <w:w w:val="95"/>
                <w:sz w:val="21"/>
              </w:rPr>
              <w:t>Categoría</w:t>
            </w:r>
          </w:p>
        </w:tc>
      </w:tr>
      <w:tr w:rsidR="00C81834" w:rsidRPr="00FA4B2D" w14:paraId="34881052" w14:textId="77777777" w:rsidTr="00C81834">
        <w:trPr>
          <w:trHeight w:val="369"/>
        </w:trPr>
        <w:tc>
          <w:tcPr>
            <w:tcW w:w="1804" w:type="dxa"/>
            <w:tcBorders>
              <w:left w:val="dashed" w:sz="8" w:space="0" w:color="4AACC5"/>
              <w:right w:val="dashed" w:sz="8" w:space="0" w:color="4AACC5"/>
            </w:tcBorders>
          </w:tcPr>
          <w:p w14:paraId="09FD5D91"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57FB4649"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Rutaceae</w:t>
            </w:r>
          </w:p>
        </w:tc>
        <w:tc>
          <w:tcPr>
            <w:tcW w:w="3204" w:type="dxa"/>
            <w:tcBorders>
              <w:left w:val="dashed" w:sz="8" w:space="0" w:color="4AACC5"/>
              <w:right w:val="dashed" w:sz="8" w:space="0" w:color="4AACC5"/>
            </w:tcBorders>
          </w:tcPr>
          <w:p w14:paraId="5DC44AB7" w14:textId="77777777" w:rsidR="00C81834" w:rsidRPr="00CF0F96" w:rsidRDefault="00C81834" w:rsidP="00C81834">
            <w:pPr>
              <w:pStyle w:val="TableParagraph"/>
              <w:rPr>
                <w:rFonts w:ascii="Arial" w:hAnsi="Arial" w:cs="Arial"/>
                <w:i/>
                <w:sz w:val="21"/>
              </w:rPr>
            </w:pPr>
            <w:r w:rsidRPr="00CF0F96">
              <w:rPr>
                <w:rFonts w:ascii="Arial" w:hAnsi="Arial" w:cs="Arial"/>
                <w:i/>
                <w:sz w:val="21"/>
              </w:rPr>
              <w:t>Decatropis paucijuga</w:t>
            </w:r>
          </w:p>
        </w:tc>
        <w:tc>
          <w:tcPr>
            <w:tcW w:w="1372" w:type="dxa"/>
            <w:tcBorders>
              <w:left w:val="dashed" w:sz="8" w:space="0" w:color="4AACC5"/>
              <w:right w:val="dashed" w:sz="8" w:space="0" w:color="4AACC5"/>
            </w:tcBorders>
          </w:tcPr>
          <w:p w14:paraId="4E733369"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586DAF1D" w14:textId="77777777" w:rsidTr="00C81834">
        <w:trPr>
          <w:trHeight w:val="369"/>
        </w:trPr>
        <w:tc>
          <w:tcPr>
            <w:tcW w:w="1804" w:type="dxa"/>
            <w:tcBorders>
              <w:left w:val="dashed" w:sz="8" w:space="0" w:color="4AACC5"/>
              <w:right w:val="dashed" w:sz="8" w:space="0" w:color="4AACC5"/>
            </w:tcBorders>
            <w:shd w:val="clear" w:color="auto" w:fill="D2EAF0"/>
          </w:tcPr>
          <w:p w14:paraId="62E6F713"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shd w:val="clear" w:color="auto" w:fill="D2EAF0"/>
          </w:tcPr>
          <w:p w14:paraId="51A17336"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Rutaceae</w:t>
            </w:r>
          </w:p>
        </w:tc>
        <w:tc>
          <w:tcPr>
            <w:tcW w:w="3204" w:type="dxa"/>
            <w:tcBorders>
              <w:left w:val="dashed" w:sz="8" w:space="0" w:color="4AACC5"/>
              <w:right w:val="dashed" w:sz="8" w:space="0" w:color="4AACC5"/>
            </w:tcBorders>
            <w:shd w:val="clear" w:color="auto" w:fill="D2EAF0"/>
          </w:tcPr>
          <w:p w14:paraId="39CDBA41" w14:textId="77777777" w:rsidR="00C81834" w:rsidRPr="00CF0F96" w:rsidRDefault="00C81834" w:rsidP="00C81834">
            <w:pPr>
              <w:pStyle w:val="TableParagraph"/>
              <w:rPr>
                <w:rFonts w:ascii="Arial" w:hAnsi="Arial" w:cs="Arial"/>
                <w:i/>
                <w:sz w:val="21"/>
              </w:rPr>
            </w:pPr>
            <w:r w:rsidRPr="00CF0F96">
              <w:rPr>
                <w:rFonts w:ascii="Arial" w:hAnsi="Arial" w:cs="Arial"/>
                <w:i/>
                <w:sz w:val="21"/>
              </w:rPr>
              <w:t>Decazyx esparzae</w:t>
            </w:r>
          </w:p>
        </w:tc>
        <w:tc>
          <w:tcPr>
            <w:tcW w:w="1372" w:type="dxa"/>
            <w:tcBorders>
              <w:left w:val="dashed" w:sz="8" w:space="0" w:color="4AACC5"/>
              <w:right w:val="dashed" w:sz="8" w:space="0" w:color="4AACC5"/>
            </w:tcBorders>
            <w:shd w:val="clear" w:color="auto" w:fill="D2EAF0"/>
          </w:tcPr>
          <w:p w14:paraId="246F2F13"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1829F854" w14:textId="77777777" w:rsidTr="00C81834">
        <w:trPr>
          <w:trHeight w:val="369"/>
        </w:trPr>
        <w:tc>
          <w:tcPr>
            <w:tcW w:w="1804" w:type="dxa"/>
            <w:tcBorders>
              <w:left w:val="dashed" w:sz="8" w:space="0" w:color="4AACC5"/>
              <w:right w:val="dashed" w:sz="8" w:space="0" w:color="4AACC5"/>
            </w:tcBorders>
          </w:tcPr>
          <w:p w14:paraId="02E3C2C1"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76B32A12"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Rutaceae</w:t>
            </w:r>
          </w:p>
        </w:tc>
        <w:tc>
          <w:tcPr>
            <w:tcW w:w="3204" w:type="dxa"/>
            <w:tcBorders>
              <w:left w:val="dashed" w:sz="8" w:space="0" w:color="4AACC5"/>
              <w:right w:val="dashed" w:sz="8" w:space="0" w:color="4AACC5"/>
            </w:tcBorders>
          </w:tcPr>
          <w:p w14:paraId="5261EB14" w14:textId="77777777" w:rsidR="00C81834" w:rsidRPr="00CF0F96" w:rsidRDefault="00C81834" w:rsidP="00C81834">
            <w:pPr>
              <w:pStyle w:val="TableParagraph"/>
              <w:rPr>
                <w:rFonts w:ascii="Arial" w:hAnsi="Arial" w:cs="Arial"/>
                <w:i/>
                <w:sz w:val="21"/>
              </w:rPr>
            </w:pPr>
            <w:r w:rsidRPr="00CF0F96">
              <w:rPr>
                <w:rFonts w:ascii="Arial" w:hAnsi="Arial" w:cs="Arial"/>
                <w:i/>
                <w:sz w:val="21"/>
              </w:rPr>
              <w:t>Decazyx macrophyllus</w:t>
            </w:r>
          </w:p>
        </w:tc>
        <w:tc>
          <w:tcPr>
            <w:tcW w:w="1372" w:type="dxa"/>
            <w:tcBorders>
              <w:left w:val="dashed" w:sz="8" w:space="0" w:color="4AACC5"/>
              <w:right w:val="dashed" w:sz="8" w:space="0" w:color="4AACC5"/>
            </w:tcBorders>
          </w:tcPr>
          <w:p w14:paraId="11843676"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6590EF7B" w14:textId="77777777" w:rsidTr="00C81834">
        <w:trPr>
          <w:trHeight w:val="369"/>
        </w:trPr>
        <w:tc>
          <w:tcPr>
            <w:tcW w:w="1804" w:type="dxa"/>
            <w:tcBorders>
              <w:left w:val="dashed" w:sz="8" w:space="0" w:color="4AACC5"/>
              <w:right w:val="dashed" w:sz="8" w:space="0" w:color="4AACC5"/>
            </w:tcBorders>
            <w:shd w:val="clear" w:color="auto" w:fill="D2EAF0"/>
          </w:tcPr>
          <w:p w14:paraId="1D286F7B"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shd w:val="clear" w:color="auto" w:fill="D2EAF0"/>
          </w:tcPr>
          <w:p w14:paraId="334987AB"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Rutaceae</w:t>
            </w:r>
          </w:p>
        </w:tc>
        <w:tc>
          <w:tcPr>
            <w:tcW w:w="3204" w:type="dxa"/>
            <w:tcBorders>
              <w:left w:val="dashed" w:sz="8" w:space="0" w:color="4AACC5"/>
              <w:right w:val="dashed" w:sz="8" w:space="0" w:color="4AACC5"/>
            </w:tcBorders>
            <w:shd w:val="clear" w:color="auto" w:fill="D2EAF0"/>
          </w:tcPr>
          <w:p w14:paraId="26E677A0" w14:textId="77777777" w:rsidR="00C81834" w:rsidRPr="00CF0F96" w:rsidRDefault="00C81834" w:rsidP="00C81834">
            <w:pPr>
              <w:pStyle w:val="TableParagraph"/>
              <w:rPr>
                <w:rFonts w:ascii="Arial" w:hAnsi="Arial" w:cs="Arial"/>
                <w:i/>
                <w:sz w:val="21"/>
              </w:rPr>
            </w:pPr>
            <w:r w:rsidRPr="00CF0F96">
              <w:rPr>
                <w:rFonts w:ascii="Arial" w:hAnsi="Arial" w:cs="Arial"/>
                <w:i/>
                <w:sz w:val="21"/>
              </w:rPr>
              <w:t>Zanthoxylum belizense</w:t>
            </w:r>
          </w:p>
        </w:tc>
        <w:tc>
          <w:tcPr>
            <w:tcW w:w="1372" w:type="dxa"/>
            <w:tcBorders>
              <w:left w:val="dashed" w:sz="8" w:space="0" w:color="4AACC5"/>
              <w:right w:val="dashed" w:sz="8" w:space="0" w:color="4AACC5"/>
            </w:tcBorders>
            <w:shd w:val="clear" w:color="auto" w:fill="D2EAF0"/>
          </w:tcPr>
          <w:p w14:paraId="7287FA0E"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649B9AA4" w14:textId="77777777" w:rsidTr="00C81834">
        <w:trPr>
          <w:trHeight w:val="369"/>
        </w:trPr>
        <w:tc>
          <w:tcPr>
            <w:tcW w:w="1804" w:type="dxa"/>
            <w:tcBorders>
              <w:left w:val="dashed" w:sz="8" w:space="0" w:color="4AACC5"/>
              <w:right w:val="dashed" w:sz="8" w:space="0" w:color="4AACC5"/>
            </w:tcBorders>
          </w:tcPr>
          <w:p w14:paraId="04404064"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2FF2F5B9"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Rutaceae</w:t>
            </w:r>
          </w:p>
        </w:tc>
        <w:tc>
          <w:tcPr>
            <w:tcW w:w="3204" w:type="dxa"/>
            <w:tcBorders>
              <w:left w:val="dashed" w:sz="8" w:space="0" w:color="4AACC5"/>
              <w:right w:val="dashed" w:sz="8" w:space="0" w:color="4AACC5"/>
            </w:tcBorders>
          </w:tcPr>
          <w:p w14:paraId="16C9994B" w14:textId="77777777" w:rsidR="00C81834" w:rsidRPr="00CF0F96" w:rsidRDefault="00C81834" w:rsidP="00C81834">
            <w:pPr>
              <w:pStyle w:val="TableParagraph"/>
              <w:rPr>
                <w:rFonts w:ascii="Arial" w:hAnsi="Arial" w:cs="Arial"/>
                <w:i/>
                <w:sz w:val="21"/>
              </w:rPr>
            </w:pPr>
            <w:r w:rsidRPr="00CF0F96">
              <w:rPr>
                <w:rFonts w:ascii="Arial" w:hAnsi="Arial" w:cs="Arial"/>
                <w:i/>
                <w:sz w:val="21"/>
              </w:rPr>
              <w:t>Zanthoxylum ferrugineum</w:t>
            </w:r>
          </w:p>
        </w:tc>
        <w:tc>
          <w:tcPr>
            <w:tcW w:w="1372" w:type="dxa"/>
            <w:tcBorders>
              <w:left w:val="dashed" w:sz="8" w:space="0" w:color="4AACC5"/>
              <w:right w:val="dashed" w:sz="8" w:space="0" w:color="4AACC5"/>
            </w:tcBorders>
          </w:tcPr>
          <w:p w14:paraId="4F0A98FA"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65724F15" w14:textId="77777777" w:rsidTr="00C81834">
        <w:trPr>
          <w:trHeight w:val="369"/>
        </w:trPr>
        <w:tc>
          <w:tcPr>
            <w:tcW w:w="1804" w:type="dxa"/>
            <w:tcBorders>
              <w:left w:val="dashed" w:sz="8" w:space="0" w:color="4AACC5"/>
              <w:right w:val="dashed" w:sz="8" w:space="0" w:color="4AACC5"/>
            </w:tcBorders>
            <w:shd w:val="clear" w:color="auto" w:fill="D2EAF0"/>
          </w:tcPr>
          <w:p w14:paraId="40886E07"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shd w:val="clear" w:color="auto" w:fill="D2EAF0"/>
          </w:tcPr>
          <w:p w14:paraId="4CF1E453"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Rutaceae</w:t>
            </w:r>
          </w:p>
        </w:tc>
        <w:tc>
          <w:tcPr>
            <w:tcW w:w="3204" w:type="dxa"/>
            <w:tcBorders>
              <w:left w:val="dashed" w:sz="8" w:space="0" w:color="4AACC5"/>
              <w:right w:val="dashed" w:sz="8" w:space="0" w:color="4AACC5"/>
            </w:tcBorders>
            <w:shd w:val="clear" w:color="auto" w:fill="D2EAF0"/>
          </w:tcPr>
          <w:p w14:paraId="76D11F90" w14:textId="77777777" w:rsidR="00C81834" w:rsidRPr="00CF0F96" w:rsidRDefault="00C81834" w:rsidP="00C81834">
            <w:pPr>
              <w:pStyle w:val="TableParagraph"/>
              <w:spacing w:before="53"/>
              <w:rPr>
                <w:rFonts w:ascii="Arial" w:hAnsi="Arial" w:cs="Arial"/>
                <w:i/>
                <w:sz w:val="21"/>
              </w:rPr>
            </w:pPr>
            <w:r w:rsidRPr="00CF0F96">
              <w:rPr>
                <w:rFonts w:ascii="Arial" w:hAnsi="Arial" w:cs="Arial"/>
                <w:i/>
                <w:w w:val="95"/>
                <w:sz w:val="21"/>
              </w:rPr>
              <w:t>Zanthoxylum flavum</w:t>
            </w:r>
          </w:p>
        </w:tc>
        <w:tc>
          <w:tcPr>
            <w:tcW w:w="1372" w:type="dxa"/>
            <w:tcBorders>
              <w:left w:val="dashed" w:sz="8" w:space="0" w:color="4AACC5"/>
              <w:right w:val="dashed" w:sz="8" w:space="0" w:color="4AACC5"/>
            </w:tcBorders>
            <w:shd w:val="clear" w:color="auto" w:fill="D2EAF0"/>
          </w:tcPr>
          <w:p w14:paraId="4FB4C83B"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2D4EE16D" w14:textId="77777777" w:rsidTr="00C81834">
        <w:trPr>
          <w:trHeight w:val="369"/>
        </w:trPr>
        <w:tc>
          <w:tcPr>
            <w:tcW w:w="1804" w:type="dxa"/>
            <w:tcBorders>
              <w:left w:val="dashed" w:sz="8" w:space="0" w:color="4AACC5"/>
              <w:right w:val="dashed" w:sz="8" w:space="0" w:color="4AACC5"/>
            </w:tcBorders>
          </w:tcPr>
          <w:p w14:paraId="6D50B5B0"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4C5711B4"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Rutaceae</w:t>
            </w:r>
          </w:p>
        </w:tc>
        <w:tc>
          <w:tcPr>
            <w:tcW w:w="3204" w:type="dxa"/>
            <w:tcBorders>
              <w:left w:val="dashed" w:sz="8" w:space="0" w:color="4AACC5"/>
              <w:right w:val="dashed" w:sz="8" w:space="0" w:color="4AACC5"/>
            </w:tcBorders>
          </w:tcPr>
          <w:p w14:paraId="434F0E77" w14:textId="77777777" w:rsidR="00C81834" w:rsidRPr="00CF0F96" w:rsidRDefault="00C81834" w:rsidP="00C81834">
            <w:pPr>
              <w:pStyle w:val="TableParagraph"/>
              <w:rPr>
                <w:rFonts w:ascii="Arial" w:hAnsi="Arial" w:cs="Arial"/>
                <w:i/>
                <w:sz w:val="21"/>
              </w:rPr>
            </w:pPr>
            <w:r w:rsidRPr="00CF0F96">
              <w:rPr>
                <w:rFonts w:ascii="Arial" w:hAnsi="Arial" w:cs="Arial"/>
                <w:i/>
                <w:sz w:val="21"/>
              </w:rPr>
              <w:t>Zanthoxylum gentlei</w:t>
            </w:r>
          </w:p>
        </w:tc>
        <w:tc>
          <w:tcPr>
            <w:tcW w:w="1372" w:type="dxa"/>
            <w:tcBorders>
              <w:left w:val="dashed" w:sz="8" w:space="0" w:color="4AACC5"/>
              <w:right w:val="dashed" w:sz="8" w:space="0" w:color="4AACC5"/>
            </w:tcBorders>
          </w:tcPr>
          <w:p w14:paraId="4AEAD088"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069FBEA4" w14:textId="77777777" w:rsidTr="00C81834">
        <w:trPr>
          <w:trHeight w:val="369"/>
        </w:trPr>
        <w:tc>
          <w:tcPr>
            <w:tcW w:w="1804" w:type="dxa"/>
            <w:tcBorders>
              <w:left w:val="dashed" w:sz="8" w:space="0" w:color="4AACC5"/>
              <w:right w:val="dashed" w:sz="8" w:space="0" w:color="4AACC5"/>
            </w:tcBorders>
            <w:shd w:val="clear" w:color="auto" w:fill="D2EAF0"/>
          </w:tcPr>
          <w:p w14:paraId="462ADB47"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shd w:val="clear" w:color="auto" w:fill="D2EAF0"/>
          </w:tcPr>
          <w:p w14:paraId="752B13F9"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Rutaceae</w:t>
            </w:r>
          </w:p>
        </w:tc>
        <w:tc>
          <w:tcPr>
            <w:tcW w:w="3204" w:type="dxa"/>
            <w:tcBorders>
              <w:left w:val="dashed" w:sz="8" w:space="0" w:color="4AACC5"/>
              <w:right w:val="dashed" w:sz="8" w:space="0" w:color="4AACC5"/>
            </w:tcBorders>
            <w:shd w:val="clear" w:color="auto" w:fill="D2EAF0"/>
          </w:tcPr>
          <w:p w14:paraId="10AA27DA" w14:textId="77777777" w:rsidR="00C81834" w:rsidRPr="00CF0F96" w:rsidRDefault="00C81834" w:rsidP="00C81834">
            <w:pPr>
              <w:pStyle w:val="TableParagraph"/>
              <w:rPr>
                <w:rFonts w:ascii="Arial" w:hAnsi="Arial" w:cs="Arial"/>
                <w:i/>
                <w:sz w:val="21"/>
              </w:rPr>
            </w:pPr>
            <w:r w:rsidRPr="00CF0F96">
              <w:rPr>
                <w:rFonts w:ascii="Arial" w:hAnsi="Arial" w:cs="Arial"/>
                <w:i/>
                <w:sz w:val="21"/>
              </w:rPr>
              <w:t>Zanthoxylum panamense</w:t>
            </w:r>
          </w:p>
        </w:tc>
        <w:tc>
          <w:tcPr>
            <w:tcW w:w="1372" w:type="dxa"/>
            <w:tcBorders>
              <w:left w:val="dashed" w:sz="8" w:space="0" w:color="4AACC5"/>
              <w:right w:val="dashed" w:sz="8" w:space="0" w:color="4AACC5"/>
            </w:tcBorders>
            <w:shd w:val="clear" w:color="auto" w:fill="D2EAF0"/>
          </w:tcPr>
          <w:p w14:paraId="6AC79B5A"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53EA0D3B" w14:textId="77777777" w:rsidTr="00C81834">
        <w:trPr>
          <w:trHeight w:val="369"/>
        </w:trPr>
        <w:tc>
          <w:tcPr>
            <w:tcW w:w="1804" w:type="dxa"/>
            <w:tcBorders>
              <w:left w:val="dashed" w:sz="8" w:space="0" w:color="4AACC5"/>
              <w:right w:val="dashed" w:sz="8" w:space="0" w:color="4AACC5"/>
            </w:tcBorders>
          </w:tcPr>
          <w:p w14:paraId="39613F45"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62C4FB8D"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Rutaceae</w:t>
            </w:r>
          </w:p>
        </w:tc>
        <w:tc>
          <w:tcPr>
            <w:tcW w:w="3204" w:type="dxa"/>
            <w:tcBorders>
              <w:left w:val="dashed" w:sz="8" w:space="0" w:color="4AACC5"/>
              <w:right w:val="dashed" w:sz="8" w:space="0" w:color="4AACC5"/>
            </w:tcBorders>
          </w:tcPr>
          <w:p w14:paraId="39F346FC" w14:textId="77777777" w:rsidR="00C81834" w:rsidRPr="00CF0F96" w:rsidRDefault="00C81834" w:rsidP="00C81834">
            <w:pPr>
              <w:pStyle w:val="TableParagraph"/>
              <w:rPr>
                <w:rFonts w:ascii="Arial" w:hAnsi="Arial" w:cs="Arial"/>
                <w:i/>
                <w:sz w:val="21"/>
              </w:rPr>
            </w:pPr>
            <w:r w:rsidRPr="00CF0F96">
              <w:rPr>
                <w:rFonts w:ascii="Arial" w:hAnsi="Arial" w:cs="Arial"/>
                <w:i/>
                <w:sz w:val="21"/>
              </w:rPr>
              <w:t>Zanthoxylum procerum</w:t>
            </w:r>
          </w:p>
        </w:tc>
        <w:tc>
          <w:tcPr>
            <w:tcW w:w="1372" w:type="dxa"/>
            <w:tcBorders>
              <w:left w:val="dashed" w:sz="8" w:space="0" w:color="4AACC5"/>
              <w:right w:val="dashed" w:sz="8" w:space="0" w:color="4AACC5"/>
            </w:tcBorders>
          </w:tcPr>
          <w:p w14:paraId="44F70791"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6A804D09" w14:textId="77777777" w:rsidTr="00C81834">
        <w:trPr>
          <w:trHeight w:val="369"/>
        </w:trPr>
        <w:tc>
          <w:tcPr>
            <w:tcW w:w="1804" w:type="dxa"/>
            <w:tcBorders>
              <w:left w:val="dashed" w:sz="8" w:space="0" w:color="4AACC5"/>
              <w:right w:val="dashed" w:sz="8" w:space="0" w:color="4AACC5"/>
            </w:tcBorders>
            <w:shd w:val="clear" w:color="auto" w:fill="D2EAF0"/>
          </w:tcPr>
          <w:p w14:paraId="550A7C2E"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shd w:val="clear" w:color="auto" w:fill="D2EAF0"/>
          </w:tcPr>
          <w:p w14:paraId="0E4AD232"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Solanaceae</w:t>
            </w:r>
          </w:p>
        </w:tc>
        <w:tc>
          <w:tcPr>
            <w:tcW w:w="3204" w:type="dxa"/>
            <w:tcBorders>
              <w:left w:val="dashed" w:sz="8" w:space="0" w:color="4AACC5"/>
              <w:right w:val="dashed" w:sz="8" w:space="0" w:color="4AACC5"/>
            </w:tcBorders>
            <w:shd w:val="clear" w:color="auto" w:fill="D2EAF0"/>
          </w:tcPr>
          <w:p w14:paraId="676E87B4" w14:textId="77777777" w:rsidR="00C81834" w:rsidRPr="00CF0F96" w:rsidRDefault="00C81834" w:rsidP="00C81834">
            <w:pPr>
              <w:pStyle w:val="TableParagraph"/>
              <w:rPr>
                <w:rFonts w:ascii="Arial" w:hAnsi="Arial" w:cs="Arial"/>
                <w:i/>
                <w:sz w:val="21"/>
              </w:rPr>
            </w:pPr>
            <w:r w:rsidRPr="00CF0F96">
              <w:rPr>
                <w:rFonts w:ascii="Arial" w:hAnsi="Arial" w:cs="Arial"/>
                <w:i/>
                <w:sz w:val="21"/>
              </w:rPr>
              <w:t>Capsicum lanceolatum</w:t>
            </w:r>
          </w:p>
        </w:tc>
        <w:tc>
          <w:tcPr>
            <w:tcW w:w="1372" w:type="dxa"/>
            <w:tcBorders>
              <w:left w:val="dashed" w:sz="8" w:space="0" w:color="4AACC5"/>
              <w:right w:val="dashed" w:sz="8" w:space="0" w:color="4AACC5"/>
            </w:tcBorders>
            <w:shd w:val="clear" w:color="auto" w:fill="D2EAF0"/>
          </w:tcPr>
          <w:p w14:paraId="1658DF6E"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3903AEA1" w14:textId="77777777" w:rsidTr="00C81834">
        <w:trPr>
          <w:trHeight w:val="369"/>
        </w:trPr>
        <w:tc>
          <w:tcPr>
            <w:tcW w:w="1804" w:type="dxa"/>
            <w:tcBorders>
              <w:left w:val="dashed" w:sz="8" w:space="0" w:color="4AACC5"/>
              <w:right w:val="dashed" w:sz="8" w:space="0" w:color="4AACC5"/>
            </w:tcBorders>
          </w:tcPr>
          <w:p w14:paraId="57183673"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56EDADFF"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Sapotaceae</w:t>
            </w:r>
          </w:p>
        </w:tc>
        <w:tc>
          <w:tcPr>
            <w:tcW w:w="3204" w:type="dxa"/>
            <w:tcBorders>
              <w:left w:val="dashed" w:sz="8" w:space="0" w:color="4AACC5"/>
              <w:right w:val="dashed" w:sz="8" w:space="0" w:color="4AACC5"/>
            </w:tcBorders>
          </w:tcPr>
          <w:p w14:paraId="7738EFC4" w14:textId="77777777" w:rsidR="00C81834" w:rsidRPr="00CF0F96" w:rsidRDefault="00C81834" w:rsidP="00C81834">
            <w:pPr>
              <w:pStyle w:val="TableParagraph"/>
              <w:rPr>
                <w:rFonts w:ascii="Arial" w:hAnsi="Arial" w:cs="Arial"/>
                <w:i/>
                <w:sz w:val="21"/>
              </w:rPr>
            </w:pPr>
            <w:r w:rsidRPr="00CF0F96">
              <w:rPr>
                <w:rFonts w:ascii="Arial" w:hAnsi="Arial" w:cs="Arial"/>
                <w:i/>
                <w:sz w:val="21"/>
              </w:rPr>
              <w:t>Pouteria izabalensis</w:t>
            </w:r>
          </w:p>
        </w:tc>
        <w:tc>
          <w:tcPr>
            <w:tcW w:w="1372" w:type="dxa"/>
            <w:tcBorders>
              <w:left w:val="dashed" w:sz="8" w:space="0" w:color="4AACC5"/>
              <w:right w:val="dashed" w:sz="8" w:space="0" w:color="4AACC5"/>
            </w:tcBorders>
          </w:tcPr>
          <w:p w14:paraId="5E533421"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2A993DD8" w14:textId="77777777" w:rsidTr="00C81834">
        <w:trPr>
          <w:trHeight w:val="369"/>
        </w:trPr>
        <w:tc>
          <w:tcPr>
            <w:tcW w:w="1804" w:type="dxa"/>
            <w:tcBorders>
              <w:left w:val="dashed" w:sz="8" w:space="0" w:color="4AACC5"/>
              <w:right w:val="dashed" w:sz="8" w:space="0" w:color="4AACC5"/>
            </w:tcBorders>
            <w:shd w:val="clear" w:color="auto" w:fill="D2EAF0"/>
          </w:tcPr>
          <w:p w14:paraId="5D4F2BC1"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shd w:val="clear" w:color="auto" w:fill="D2EAF0"/>
          </w:tcPr>
          <w:p w14:paraId="414E8014"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Sapotaceae</w:t>
            </w:r>
          </w:p>
        </w:tc>
        <w:tc>
          <w:tcPr>
            <w:tcW w:w="3204" w:type="dxa"/>
            <w:tcBorders>
              <w:left w:val="dashed" w:sz="8" w:space="0" w:color="4AACC5"/>
              <w:right w:val="dashed" w:sz="8" w:space="0" w:color="4AACC5"/>
            </w:tcBorders>
            <w:shd w:val="clear" w:color="auto" w:fill="D2EAF0"/>
          </w:tcPr>
          <w:p w14:paraId="7B94477E" w14:textId="77777777" w:rsidR="00C81834" w:rsidRPr="00CF0F96" w:rsidRDefault="00C81834" w:rsidP="00C81834">
            <w:pPr>
              <w:pStyle w:val="TableParagraph"/>
              <w:rPr>
                <w:rFonts w:ascii="Arial" w:hAnsi="Arial" w:cs="Arial"/>
                <w:i/>
                <w:sz w:val="21"/>
              </w:rPr>
            </w:pPr>
            <w:r w:rsidRPr="00CF0F96">
              <w:rPr>
                <w:rFonts w:ascii="Arial" w:hAnsi="Arial" w:cs="Arial"/>
                <w:i/>
                <w:w w:val="95"/>
                <w:sz w:val="21"/>
              </w:rPr>
              <w:t>Sideroxylon retinerve</w:t>
            </w:r>
          </w:p>
        </w:tc>
        <w:tc>
          <w:tcPr>
            <w:tcW w:w="1372" w:type="dxa"/>
            <w:tcBorders>
              <w:left w:val="dashed" w:sz="8" w:space="0" w:color="4AACC5"/>
              <w:right w:val="dashed" w:sz="8" w:space="0" w:color="4AACC5"/>
            </w:tcBorders>
            <w:shd w:val="clear" w:color="auto" w:fill="D2EAF0"/>
          </w:tcPr>
          <w:p w14:paraId="0287B0E0"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7AA185D8" w14:textId="77777777" w:rsidTr="00C81834">
        <w:trPr>
          <w:trHeight w:val="369"/>
        </w:trPr>
        <w:tc>
          <w:tcPr>
            <w:tcW w:w="1804" w:type="dxa"/>
            <w:tcBorders>
              <w:left w:val="dashed" w:sz="8" w:space="0" w:color="4AACC5"/>
              <w:right w:val="dashed" w:sz="8" w:space="0" w:color="4AACC5"/>
            </w:tcBorders>
          </w:tcPr>
          <w:p w14:paraId="53E65159"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45CBB7EC"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Symplocaceae</w:t>
            </w:r>
          </w:p>
        </w:tc>
        <w:tc>
          <w:tcPr>
            <w:tcW w:w="3204" w:type="dxa"/>
            <w:tcBorders>
              <w:left w:val="dashed" w:sz="8" w:space="0" w:color="4AACC5"/>
              <w:right w:val="dashed" w:sz="8" w:space="0" w:color="4AACC5"/>
            </w:tcBorders>
          </w:tcPr>
          <w:p w14:paraId="335BA47D" w14:textId="77777777" w:rsidR="00C81834" w:rsidRPr="00CF0F96" w:rsidRDefault="00C81834" w:rsidP="00C81834">
            <w:pPr>
              <w:pStyle w:val="TableParagraph"/>
              <w:rPr>
                <w:rFonts w:ascii="Arial" w:hAnsi="Arial" w:cs="Arial"/>
                <w:i/>
                <w:sz w:val="21"/>
              </w:rPr>
            </w:pPr>
            <w:r w:rsidRPr="00CF0F96">
              <w:rPr>
                <w:rFonts w:ascii="Arial" w:hAnsi="Arial" w:cs="Arial"/>
                <w:i/>
                <w:sz w:val="21"/>
              </w:rPr>
              <w:t>Symplocos molinae</w:t>
            </w:r>
          </w:p>
        </w:tc>
        <w:tc>
          <w:tcPr>
            <w:tcW w:w="1372" w:type="dxa"/>
            <w:tcBorders>
              <w:left w:val="dashed" w:sz="8" w:space="0" w:color="4AACC5"/>
              <w:right w:val="dashed" w:sz="8" w:space="0" w:color="4AACC5"/>
            </w:tcBorders>
          </w:tcPr>
          <w:p w14:paraId="5DC21B63"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1193F2AA" w14:textId="77777777" w:rsidTr="00C81834">
        <w:trPr>
          <w:trHeight w:val="369"/>
        </w:trPr>
        <w:tc>
          <w:tcPr>
            <w:tcW w:w="1804" w:type="dxa"/>
            <w:tcBorders>
              <w:left w:val="dashed" w:sz="8" w:space="0" w:color="4AACC5"/>
              <w:right w:val="dashed" w:sz="8" w:space="0" w:color="4AACC5"/>
            </w:tcBorders>
            <w:shd w:val="clear" w:color="auto" w:fill="D2EAF0"/>
          </w:tcPr>
          <w:p w14:paraId="2198AA5A"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shd w:val="clear" w:color="auto" w:fill="D2EAF0"/>
          </w:tcPr>
          <w:p w14:paraId="78CC1456"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Theaceae</w:t>
            </w:r>
          </w:p>
        </w:tc>
        <w:tc>
          <w:tcPr>
            <w:tcW w:w="3204" w:type="dxa"/>
            <w:tcBorders>
              <w:left w:val="dashed" w:sz="8" w:space="0" w:color="4AACC5"/>
              <w:right w:val="dashed" w:sz="8" w:space="0" w:color="4AACC5"/>
            </w:tcBorders>
            <w:shd w:val="clear" w:color="auto" w:fill="D2EAF0"/>
          </w:tcPr>
          <w:p w14:paraId="483518AF" w14:textId="77777777" w:rsidR="00C81834" w:rsidRPr="00CF0F96" w:rsidRDefault="00C81834" w:rsidP="00C81834">
            <w:pPr>
              <w:pStyle w:val="TableParagraph"/>
              <w:rPr>
                <w:rFonts w:ascii="Arial" w:hAnsi="Arial" w:cs="Arial"/>
                <w:i/>
                <w:sz w:val="21"/>
              </w:rPr>
            </w:pPr>
            <w:r w:rsidRPr="00CF0F96">
              <w:rPr>
                <w:rFonts w:ascii="Arial" w:hAnsi="Arial" w:cs="Arial"/>
                <w:i/>
                <w:sz w:val="21"/>
              </w:rPr>
              <w:t>Ternstroemia landae</w:t>
            </w:r>
          </w:p>
        </w:tc>
        <w:tc>
          <w:tcPr>
            <w:tcW w:w="1372" w:type="dxa"/>
            <w:tcBorders>
              <w:left w:val="dashed" w:sz="8" w:space="0" w:color="4AACC5"/>
              <w:right w:val="dashed" w:sz="8" w:space="0" w:color="4AACC5"/>
            </w:tcBorders>
            <w:shd w:val="clear" w:color="auto" w:fill="D2EAF0"/>
          </w:tcPr>
          <w:p w14:paraId="3800CBB7"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5B920637" w14:textId="77777777" w:rsidTr="00C81834">
        <w:trPr>
          <w:trHeight w:val="369"/>
        </w:trPr>
        <w:tc>
          <w:tcPr>
            <w:tcW w:w="1804" w:type="dxa"/>
            <w:tcBorders>
              <w:left w:val="dashed" w:sz="8" w:space="0" w:color="4AACC5"/>
              <w:right w:val="dashed" w:sz="8" w:space="0" w:color="4AACC5"/>
            </w:tcBorders>
          </w:tcPr>
          <w:p w14:paraId="73D12CA9"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3AAB457B"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Ticodendraceae</w:t>
            </w:r>
          </w:p>
        </w:tc>
        <w:tc>
          <w:tcPr>
            <w:tcW w:w="3204" w:type="dxa"/>
            <w:tcBorders>
              <w:left w:val="dashed" w:sz="8" w:space="0" w:color="4AACC5"/>
              <w:right w:val="dashed" w:sz="8" w:space="0" w:color="4AACC5"/>
            </w:tcBorders>
          </w:tcPr>
          <w:p w14:paraId="579563B6" w14:textId="77777777" w:rsidR="00C81834" w:rsidRPr="00CF0F96" w:rsidRDefault="00C81834" w:rsidP="00C81834">
            <w:pPr>
              <w:pStyle w:val="TableParagraph"/>
              <w:rPr>
                <w:rFonts w:ascii="Arial" w:hAnsi="Arial" w:cs="Arial"/>
                <w:i/>
                <w:sz w:val="21"/>
              </w:rPr>
            </w:pPr>
            <w:r w:rsidRPr="00CF0F96">
              <w:rPr>
                <w:rFonts w:ascii="Arial" w:hAnsi="Arial" w:cs="Arial"/>
                <w:i/>
                <w:sz w:val="21"/>
              </w:rPr>
              <w:t>Ticodendron incognitum</w:t>
            </w:r>
          </w:p>
        </w:tc>
        <w:tc>
          <w:tcPr>
            <w:tcW w:w="1372" w:type="dxa"/>
            <w:tcBorders>
              <w:left w:val="dashed" w:sz="8" w:space="0" w:color="4AACC5"/>
              <w:right w:val="dashed" w:sz="8" w:space="0" w:color="4AACC5"/>
            </w:tcBorders>
          </w:tcPr>
          <w:p w14:paraId="191F29C4"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3924BD04" w14:textId="77777777" w:rsidTr="00C81834">
        <w:trPr>
          <w:trHeight w:val="369"/>
        </w:trPr>
        <w:tc>
          <w:tcPr>
            <w:tcW w:w="1804" w:type="dxa"/>
            <w:tcBorders>
              <w:left w:val="dashed" w:sz="8" w:space="0" w:color="4AACC5"/>
              <w:right w:val="dashed" w:sz="8" w:space="0" w:color="4AACC5"/>
            </w:tcBorders>
            <w:shd w:val="clear" w:color="auto" w:fill="D2EAF0"/>
          </w:tcPr>
          <w:p w14:paraId="0C0546CC"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shd w:val="clear" w:color="auto" w:fill="D2EAF0"/>
          </w:tcPr>
          <w:p w14:paraId="4179B948"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Verbenaceae</w:t>
            </w:r>
          </w:p>
        </w:tc>
        <w:tc>
          <w:tcPr>
            <w:tcW w:w="3204" w:type="dxa"/>
            <w:tcBorders>
              <w:left w:val="dashed" w:sz="8" w:space="0" w:color="4AACC5"/>
              <w:right w:val="dashed" w:sz="8" w:space="0" w:color="4AACC5"/>
            </w:tcBorders>
            <w:shd w:val="clear" w:color="auto" w:fill="D2EAF0"/>
          </w:tcPr>
          <w:p w14:paraId="75C5C955" w14:textId="77777777" w:rsidR="00C81834" w:rsidRPr="00CF0F96" w:rsidRDefault="00C81834" w:rsidP="00C81834">
            <w:pPr>
              <w:pStyle w:val="TableParagraph"/>
              <w:rPr>
                <w:rFonts w:ascii="Arial" w:hAnsi="Arial" w:cs="Arial"/>
                <w:i/>
                <w:sz w:val="21"/>
              </w:rPr>
            </w:pPr>
            <w:r w:rsidRPr="00CF0F96">
              <w:rPr>
                <w:rFonts w:ascii="Arial" w:hAnsi="Arial" w:cs="Arial"/>
                <w:i/>
                <w:sz w:val="21"/>
              </w:rPr>
              <w:t>Aegiphila fasciculata</w:t>
            </w:r>
          </w:p>
        </w:tc>
        <w:tc>
          <w:tcPr>
            <w:tcW w:w="1372" w:type="dxa"/>
            <w:tcBorders>
              <w:left w:val="dashed" w:sz="8" w:space="0" w:color="4AACC5"/>
              <w:right w:val="dashed" w:sz="8" w:space="0" w:color="4AACC5"/>
            </w:tcBorders>
            <w:shd w:val="clear" w:color="auto" w:fill="D2EAF0"/>
          </w:tcPr>
          <w:p w14:paraId="3FC9BB57"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6841810A" w14:textId="77777777" w:rsidTr="00C81834">
        <w:trPr>
          <w:trHeight w:val="369"/>
        </w:trPr>
        <w:tc>
          <w:tcPr>
            <w:tcW w:w="1804" w:type="dxa"/>
            <w:tcBorders>
              <w:left w:val="dashed" w:sz="8" w:space="0" w:color="4AACC5"/>
              <w:right w:val="dashed" w:sz="8" w:space="0" w:color="4AACC5"/>
            </w:tcBorders>
          </w:tcPr>
          <w:p w14:paraId="51741613"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6D7FA5A6"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Verbenaceae</w:t>
            </w:r>
          </w:p>
        </w:tc>
        <w:tc>
          <w:tcPr>
            <w:tcW w:w="3204" w:type="dxa"/>
            <w:tcBorders>
              <w:left w:val="dashed" w:sz="8" w:space="0" w:color="4AACC5"/>
              <w:right w:val="dashed" w:sz="8" w:space="0" w:color="4AACC5"/>
            </w:tcBorders>
          </w:tcPr>
          <w:p w14:paraId="5502CDD6" w14:textId="77777777" w:rsidR="00C81834" w:rsidRPr="00CF0F96" w:rsidRDefault="00C81834" w:rsidP="00C81834">
            <w:pPr>
              <w:pStyle w:val="TableParagraph"/>
              <w:rPr>
                <w:rFonts w:ascii="Arial" w:hAnsi="Arial" w:cs="Arial"/>
                <w:i/>
                <w:sz w:val="21"/>
              </w:rPr>
            </w:pPr>
            <w:r w:rsidRPr="00CF0F96">
              <w:rPr>
                <w:rFonts w:ascii="Arial" w:hAnsi="Arial" w:cs="Arial"/>
                <w:i/>
                <w:sz w:val="21"/>
              </w:rPr>
              <w:t>Aegiphila monstrosa</w:t>
            </w:r>
          </w:p>
        </w:tc>
        <w:tc>
          <w:tcPr>
            <w:tcW w:w="1372" w:type="dxa"/>
            <w:tcBorders>
              <w:left w:val="dashed" w:sz="8" w:space="0" w:color="4AACC5"/>
              <w:right w:val="dashed" w:sz="8" w:space="0" w:color="4AACC5"/>
            </w:tcBorders>
          </w:tcPr>
          <w:p w14:paraId="679F6062"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5CFBE225" w14:textId="77777777" w:rsidTr="00C81834">
        <w:trPr>
          <w:trHeight w:val="369"/>
        </w:trPr>
        <w:tc>
          <w:tcPr>
            <w:tcW w:w="1804" w:type="dxa"/>
            <w:tcBorders>
              <w:left w:val="dashed" w:sz="8" w:space="0" w:color="4AACC5"/>
              <w:right w:val="dashed" w:sz="8" w:space="0" w:color="4AACC5"/>
            </w:tcBorders>
            <w:shd w:val="clear" w:color="auto" w:fill="D2EAF0"/>
          </w:tcPr>
          <w:p w14:paraId="34005CFC"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shd w:val="clear" w:color="auto" w:fill="D2EAF0"/>
          </w:tcPr>
          <w:p w14:paraId="0CFC0F29"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Verbenaceae</w:t>
            </w:r>
          </w:p>
        </w:tc>
        <w:tc>
          <w:tcPr>
            <w:tcW w:w="3204" w:type="dxa"/>
            <w:tcBorders>
              <w:left w:val="dashed" w:sz="8" w:space="0" w:color="4AACC5"/>
              <w:right w:val="dashed" w:sz="8" w:space="0" w:color="4AACC5"/>
            </w:tcBorders>
            <w:shd w:val="clear" w:color="auto" w:fill="D2EAF0"/>
          </w:tcPr>
          <w:p w14:paraId="3CDE42AE" w14:textId="77777777" w:rsidR="00C81834" w:rsidRPr="00CF0F96" w:rsidRDefault="00C81834" w:rsidP="00C81834">
            <w:pPr>
              <w:pStyle w:val="TableParagraph"/>
              <w:rPr>
                <w:rFonts w:ascii="Arial" w:hAnsi="Arial" w:cs="Arial"/>
                <w:i/>
                <w:sz w:val="21"/>
              </w:rPr>
            </w:pPr>
            <w:r w:rsidRPr="00CF0F96">
              <w:rPr>
                <w:rFonts w:ascii="Arial" w:hAnsi="Arial" w:cs="Arial"/>
                <w:i/>
                <w:sz w:val="21"/>
              </w:rPr>
              <w:t>Aegiphila panamensis</w:t>
            </w:r>
          </w:p>
        </w:tc>
        <w:tc>
          <w:tcPr>
            <w:tcW w:w="1372" w:type="dxa"/>
            <w:tcBorders>
              <w:left w:val="dashed" w:sz="8" w:space="0" w:color="4AACC5"/>
              <w:right w:val="dashed" w:sz="8" w:space="0" w:color="4AACC5"/>
            </w:tcBorders>
            <w:shd w:val="clear" w:color="auto" w:fill="D2EAF0"/>
          </w:tcPr>
          <w:p w14:paraId="35B0DC30"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54D4521F" w14:textId="77777777" w:rsidTr="00C81834">
        <w:trPr>
          <w:trHeight w:val="369"/>
        </w:trPr>
        <w:tc>
          <w:tcPr>
            <w:tcW w:w="1804" w:type="dxa"/>
            <w:tcBorders>
              <w:left w:val="dashed" w:sz="8" w:space="0" w:color="4AACC5"/>
              <w:right w:val="dashed" w:sz="8" w:space="0" w:color="4AACC5"/>
            </w:tcBorders>
          </w:tcPr>
          <w:p w14:paraId="461F94EF"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44A17974"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Verbenaceae</w:t>
            </w:r>
          </w:p>
        </w:tc>
        <w:tc>
          <w:tcPr>
            <w:tcW w:w="3204" w:type="dxa"/>
            <w:tcBorders>
              <w:left w:val="dashed" w:sz="8" w:space="0" w:color="4AACC5"/>
              <w:right w:val="dashed" w:sz="8" w:space="0" w:color="4AACC5"/>
            </w:tcBorders>
          </w:tcPr>
          <w:p w14:paraId="01BD2ED0" w14:textId="77777777" w:rsidR="00C81834" w:rsidRPr="00CF0F96" w:rsidRDefault="00C81834" w:rsidP="00C81834">
            <w:pPr>
              <w:pStyle w:val="TableParagraph"/>
              <w:rPr>
                <w:rFonts w:ascii="Arial" w:hAnsi="Arial" w:cs="Arial"/>
                <w:i/>
                <w:sz w:val="21"/>
              </w:rPr>
            </w:pPr>
            <w:r w:rsidRPr="00CF0F96">
              <w:rPr>
                <w:rFonts w:ascii="Arial" w:hAnsi="Arial" w:cs="Arial"/>
                <w:i/>
                <w:sz w:val="21"/>
              </w:rPr>
              <w:t>Aegiphila skutchii</w:t>
            </w:r>
          </w:p>
        </w:tc>
        <w:tc>
          <w:tcPr>
            <w:tcW w:w="1372" w:type="dxa"/>
            <w:tcBorders>
              <w:left w:val="dashed" w:sz="8" w:space="0" w:color="4AACC5"/>
              <w:right w:val="dashed" w:sz="8" w:space="0" w:color="4AACC5"/>
            </w:tcBorders>
          </w:tcPr>
          <w:p w14:paraId="51B9829B"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7174C065" w14:textId="77777777" w:rsidTr="00C81834">
        <w:trPr>
          <w:trHeight w:val="369"/>
        </w:trPr>
        <w:tc>
          <w:tcPr>
            <w:tcW w:w="1804" w:type="dxa"/>
            <w:tcBorders>
              <w:left w:val="dashed" w:sz="8" w:space="0" w:color="4AACC5"/>
              <w:right w:val="dashed" w:sz="8" w:space="0" w:color="4AACC5"/>
            </w:tcBorders>
            <w:shd w:val="clear" w:color="auto" w:fill="D2EAF0"/>
          </w:tcPr>
          <w:p w14:paraId="705F499F"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shd w:val="clear" w:color="auto" w:fill="D2EAF0"/>
          </w:tcPr>
          <w:p w14:paraId="12985B37"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Verbenaceae</w:t>
            </w:r>
          </w:p>
        </w:tc>
        <w:tc>
          <w:tcPr>
            <w:tcW w:w="3204" w:type="dxa"/>
            <w:tcBorders>
              <w:left w:val="dashed" w:sz="8" w:space="0" w:color="4AACC5"/>
              <w:right w:val="dashed" w:sz="8" w:space="0" w:color="4AACC5"/>
            </w:tcBorders>
            <w:shd w:val="clear" w:color="auto" w:fill="D2EAF0"/>
          </w:tcPr>
          <w:p w14:paraId="79F00998" w14:textId="77777777" w:rsidR="00C81834" w:rsidRPr="00CF0F96" w:rsidRDefault="00C81834" w:rsidP="00C81834">
            <w:pPr>
              <w:pStyle w:val="TableParagraph"/>
              <w:rPr>
                <w:rFonts w:ascii="Arial" w:hAnsi="Arial" w:cs="Arial"/>
                <w:i/>
                <w:sz w:val="21"/>
              </w:rPr>
            </w:pPr>
            <w:r w:rsidRPr="00CF0F96">
              <w:rPr>
                <w:rFonts w:ascii="Arial" w:hAnsi="Arial" w:cs="Arial"/>
                <w:i/>
                <w:w w:val="95"/>
                <w:sz w:val="21"/>
              </w:rPr>
              <w:t>Vitex cooperi</w:t>
            </w:r>
          </w:p>
        </w:tc>
        <w:tc>
          <w:tcPr>
            <w:tcW w:w="1372" w:type="dxa"/>
            <w:tcBorders>
              <w:left w:val="dashed" w:sz="8" w:space="0" w:color="4AACC5"/>
              <w:right w:val="dashed" w:sz="8" w:space="0" w:color="4AACC5"/>
            </w:tcBorders>
            <w:shd w:val="clear" w:color="auto" w:fill="D2EAF0"/>
          </w:tcPr>
          <w:p w14:paraId="08AD0A67"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2E555B07" w14:textId="77777777" w:rsidTr="00C81834">
        <w:trPr>
          <w:trHeight w:val="369"/>
        </w:trPr>
        <w:tc>
          <w:tcPr>
            <w:tcW w:w="1804" w:type="dxa"/>
            <w:tcBorders>
              <w:left w:val="dashed" w:sz="8" w:space="0" w:color="4AACC5"/>
              <w:right w:val="dashed" w:sz="8" w:space="0" w:color="4AACC5"/>
            </w:tcBorders>
          </w:tcPr>
          <w:p w14:paraId="2705DEA0"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273A6463"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Verbenaceae</w:t>
            </w:r>
          </w:p>
        </w:tc>
        <w:tc>
          <w:tcPr>
            <w:tcW w:w="3204" w:type="dxa"/>
            <w:tcBorders>
              <w:left w:val="dashed" w:sz="8" w:space="0" w:color="4AACC5"/>
              <w:right w:val="dashed" w:sz="8" w:space="0" w:color="4AACC5"/>
            </w:tcBorders>
          </w:tcPr>
          <w:p w14:paraId="0629EFA7" w14:textId="77777777" w:rsidR="00C81834" w:rsidRPr="00CF0F96" w:rsidRDefault="00C81834" w:rsidP="00C81834">
            <w:pPr>
              <w:pStyle w:val="TableParagraph"/>
              <w:rPr>
                <w:rFonts w:ascii="Arial" w:hAnsi="Arial" w:cs="Arial"/>
                <w:i/>
                <w:sz w:val="21"/>
              </w:rPr>
            </w:pPr>
            <w:r w:rsidRPr="00CF0F96">
              <w:rPr>
                <w:rFonts w:ascii="Arial" w:hAnsi="Arial" w:cs="Arial"/>
                <w:i/>
                <w:sz w:val="21"/>
              </w:rPr>
              <w:t>Vitex gaumeri</w:t>
            </w:r>
          </w:p>
        </w:tc>
        <w:tc>
          <w:tcPr>
            <w:tcW w:w="1372" w:type="dxa"/>
            <w:tcBorders>
              <w:left w:val="dashed" w:sz="8" w:space="0" w:color="4AACC5"/>
              <w:right w:val="dashed" w:sz="8" w:space="0" w:color="4AACC5"/>
            </w:tcBorders>
          </w:tcPr>
          <w:p w14:paraId="11DB8A4D"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58165AFD" w14:textId="77777777" w:rsidTr="00C81834">
        <w:trPr>
          <w:trHeight w:val="369"/>
        </w:trPr>
        <w:tc>
          <w:tcPr>
            <w:tcW w:w="1804" w:type="dxa"/>
            <w:tcBorders>
              <w:left w:val="dashed" w:sz="8" w:space="0" w:color="4AACC5"/>
              <w:right w:val="dashed" w:sz="8" w:space="0" w:color="4AACC5"/>
            </w:tcBorders>
            <w:shd w:val="clear" w:color="auto" w:fill="D2EAF0"/>
          </w:tcPr>
          <w:p w14:paraId="1B91F815"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shd w:val="clear" w:color="auto" w:fill="D2EAF0"/>
          </w:tcPr>
          <w:p w14:paraId="49E6FD9E"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Verbenaceae</w:t>
            </w:r>
          </w:p>
        </w:tc>
        <w:tc>
          <w:tcPr>
            <w:tcW w:w="3204" w:type="dxa"/>
            <w:tcBorders>
              <w:left w:val="dashed" w:sz="8" w:space="0" w:color="4AACC5"/>
              <w:right w:val="dashed" w:sz="8" w:space="0" w:color="4AACC5"/>
            </w:tcBorders>
            <w:shd w:val="clear" w:color="auto" w:fill="D2EAF0"/>
          </w:tcPr>
          <w:p w14:paraId="3D9C74E2" w14:textId="77777777" w:rsidR="00C81834" w:rsidRPr="00CF0F96" w:rsidRDefault="00C81834" w:rsidP="00C81834">
            <w:pPr>
              <w:pStyle w:val="TableParagraph"/>
              <w:rPr>
                <w:rFonts w:ascii="Arial" w:hAnsi="Arial" w:cs="Arial"/>
                <w:i/>
                <w:sz w:val="21"/>
              </w:rPr>
            </w:pPr>
            <w:r w:rsidRPr="00CF0F96">
              <w:rPr>
                <w:rFonts w:ascii="Arial" w:hAnsi="Arial" w:cs="Arial"/>
                <w:i/>
                <w:sz w:val="21"/>
              </w:rPr>
              <w:t>Vitex kuylenii</w:t>
            </w:r>
          </w:p>
        </w:tc>
        <w:tc>
          <w:tcPr>
            <w:tcW w:w="1372" w:type="dxa"/>
            <w:tcBorders>
              <w:left w:val="dashed" w:sz="8" w:space="0" w:color="4AACC5"/>
              <w:right w:val="dashed" w:sz="8" w:space="0" w:color="4AACC5"/>
            </w:tcBorders>
            <w:shd w:val="clear" w:color="auto" w:fill="D2EAF0"/>
          </w:tcPr>
          <w:p w14:paraId="363CDDD1"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2DFA8089" w14:textId="77777777" w:rsidTr="00C81834">
        <w:trPr>
          <w:trHeight w:val="369"/>
        </w:trPr>
        <w:tc>
          <w:tcPr>
            <w:tcW w:w="1804" w:type="dxa"/>
            <w:tcBorders>
              <w:left w:val="dashed" w:sz="8" w:space="0" w:color="4AACC5"/>
              <w:right w:val="dashed" w:sz="8" w:space="0" w:color="4AACC5"/>
            </w:tcBorders>
          </w:tcPr>
          <w:p w14:paraId="6CAD815C"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5748A460"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Verbenaceae</w:t>
            </w:r>
          </w:p>
        </w:tc>
        <w:tc>
          <w:tcPr>
            <w:tcW w:w="3204" w:type="dxa"/>
            <w:tcBorders>
              <w:left w:val="dashed" w:sz="8" w:space="0" w:color="4AACC5"/>
              <w:right w:val="dashed" w:sz="8" w:space="0" w:color="4AACC5"/>
            </w:tcBorders>
          </w:tcPr>
          <w:p w14:paraId="18D6DDC1" w14:textId="77777777" w:rsidR="00C81834" w:rsidRPr="00CF0F96" w:rsidRDefault="00C81834" w:rsidP="00C81834">
            <w:pPr>
              <w:pStyle w:val="TableParagraph"/>
              <w:rPr>
                <w:rFonts w:ascii="Arial" w:hAnsi="Arial" w:cs="Arial"/>
                <w:i/>
                <w:sz w:val="21"/>
              </w:rPr>
            </w:pPr>
            <w:r w:rsidRPr="00CF0F96">
              <w:rPr>
                <w:rFonts w:ascii="Arial" w:hAnsi="Arial" w:cs="Arial"/>
                <w:i/>
                <w:sz w:val="21"/>
              </w:rPr>
              <w:t>Xolocotzia asperifolia</w:t>
            </w:r>
          </w:p>
        </w:tc>
        <w:tc>
          <w:tcPr>
            <w:tcW w:w="1372" w:type="dxa"/>
            <w:tcBorders>
              <w:left w:val="dashed" w:sz="8" w:space="0" w:color="4AACC5"/>
              <w:right w:val="dashed" w:sz="8" w:space="0" w:color="4AACC5"/>
            </w:tcBorders>
          </w:tcPr>
          <w:p w14:paraId="0605F7A7"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4B6897CC" w14:textId="77777777" w:rsidTr="00C81834">
        <w:trPr>
          <w:trHeight w:val="369"/>
        </w:trPr>
        <w:tc>
          <w:tcPr>
            <w:tcW w:w="1804" w:type="dxa"/>
            <w:tcBorders>
              <w:left w:val="dashed" w:sz="8" w:space="0" w:color="4AACC5"/>
              <w:right w:val="dashed" w:sz="8" w:space="0" w:color="4AACC5"/>
            </w:tcBorders>
            <w:shd w:val="clear" w:color="auto" w:fill="D2EAF0"/>
          </w:tcPr>
          <w:p w14:paraId="7E21CA74"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shd w:val="clear" w:color="auto" w:fill="D2EAF0"/>
          </w:tcPr>
          <w:p w14:paraId="7160B74D"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Violaceae</w:t>
            </w:r>
          </w:p>
        </w:tc>
        <w:tc>
          <w:tcPr>
            <w:tcW w:w="3204" w:type="dxa"/>
            <w:tcBorders>
              <w:left w:val="dashed" w:sz="8" w:space="0" w:color="4AACC5"/>
              <w:right w:val="dashed" w:sz="8" w:space="0" w:color="4AACC5"/>
            </w:tcBorders>
            <w:shd w:val="clear" w:color="auto" w:fill="D2EAF0"/>
          </w:tcPr>
          <w:p w14:paraId="26650C38" w14:textId="77777777" w:rsidR="00C81834" w:rsidRPr="00CF0F96" w:rsidRDefault="00C81834" w:rsidP="00C81834">
            <w:pPr>
              <w:pStyle w:val="TableParagraph"/>
              <w:rPr>
                <w:rFonts w:ascii="Arial" w:hAnsi="Arial" w:cs="Arial"/>
                <w:i/>
                <w:sz w:val="21"/>
              </w:rPr>
            </w:pPr>
            <w:r w:rsidRPr="00CF0F96">
              <w:rPr>
                <w:rFonts w:ascii="Arial" w:hAnsi="Arial" w:cs="Arial"/>
                <w:i/>
                <w:sz w:val="21"/>
              </w:rPr>
              <w:t>Gloeospermum boreale</w:t>
            </w:r>
          </w:p>
        </w:tc>
        <w:tc>
          <w:tcPr>
            <w:tcW w:w="1372" w:type="dxa"/>
            <w:tcBorders>
              <w:left w:val="dashed" w:sz="8" w:space="0" w:color="4AACC5"/>
              <w:right w:val="dashed" w:sz="8" w:space="0" w:color="4AACC5"/>
            </w:tcBorders>
            <w:shd w:val="clear" w:color="auto" w:fill="D2EAF0"/>
          </w:tcPr>
          <w:p w14:paraId="0D9294F1"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0328BC07" w14:textId="77777777" w:rsidTr="00C81834">
        <w:trPr>
          <w:trHeight w:val="369"/>
        </w:trPr>
        <w:tc>
          <w:tcPr>
            <w:tcW w:w="1804" w:type="dxa"/>
            <w:tcBorders>
              <w:left w:val="dashed" w:sz="8" w:space="0" w:color="4AACC5"/>
              <w:right w:val="dashed" w:sz="8" w:space="0" w:color="4AACC5"/>
            </w:tcBorders>
          </w:tcPr>
          <w:p w14:paraId="06945A6F"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045E0854"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Violaceae</w:t>
            </w:r>
          </w:p>
        </w:tc>
        <w:tc>
          <w:tcPr>
            <w:tcW w:w="3204" w:type="dxa"/>
            <w:tcBorders>
              <w:left w:val="dashed" w:sz="8" w:space="0" w:color="4AACC5"/>
              <w:right w:val="dashed" w:sz="8" w:space="0" w:color="4AACC5"/>
            </w:tcBorders>
          </w:tcPr>
          <w:p w14:paraId="2672343E" w14:textId="77777777" w:rsidR="00C81834" w:rsidRPr="00CF0F96" w:rsidRDefault="00C81834" w:rsidP="00C81834">
            <w:pPr>
              <w:pStyle w:val="TableParagraph"/>
              <w:rPr>
                <w:rFonts w:ascii="Arial" w:hAnsi="Arial" w:cs="Arial"/>
                <w:i/>
                <w:sz w:val="21"/>
              </w:rPr>
            </w:pPr>
            <w:r w:rsidRPr="00CF0F96">
              <w:rPr>
                <w:rFonts w:ascii="Arial" w:hAnsi="Arial" w:cs="Arial"/>
                <w:i/>
                <w:sz w:val="21"/>
              </w:rPr>
              <w:t>Rinorea squamata</w:t>
            </w:r>
          </w:p>
        </w:tc>
        <w:tc>
          <w:tcPr>
            <w:tcW w:w="1372" w:type="dxa"/>
            <w:tcBorders>
              <w:left w:val="dashed" w:sz="8" w:space="0" w:color="4AACC5"/>
              <w:right w:val="dashed" w:sz="8" w:space="0" w:color="4AACC5"/>
            </w:tcBorders>
          </w:tcPr>
          <w:p w14:paraId="064AEB12"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NT</w:t>
            </w:r>
          </w:p>
        </w:tc>
      </w:tr>
      <w:tr w:rsidR="00C81834" w:rsidRPr="00FA4B2D" w14:paraId="7602E95E" w14:textId="77777777" w:rsidTr="00C81834">
        <w:trPr>
          <w:trHeight w:val="369"/>
        </w:trPr>
        <w:tc>
          <w:tcPr>
            <w:tcW w:w="1804" w:type="dxa"/>
            <w:tcBorders>
              <w:left w:val="dashed" w:sz="8" w:space="0" w:color="4AACC5"/>
              <w:right w:val="dashed" w:sz="8" w:space="0" w:color="4AACC5"/>
            </w:tcBorders>
            <w:shd w:val="clear" w:color="auto" w:fill="D2EAF0"/>
          </w:tcPr>
          <w:p w14:paraId="4CC20BA5"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shd w:val="clear" w:color="auto" w:fill="D2EAF0"/>
          </w:tcPr>
          <w:p w14:paraId="4B458E23"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Vochysiaceae</w:t>
            </w:r>
          </w:p>
        </w:tc>
        <w:tc>
          <w:tcPr>
            <w:tcW w:w="3204" w:type="dxa"/>
            <w:tcBorders>
              <w:left w:val="dashed" w:sz="8" w:space="0" w:color="4AACC5"/>
              <w:right w:val="dashed" w:sz="8" w:space="0" w:color="4AACC5"/>
            </w:tcBorders>
            <w:shd w:val="clear" w:color="auto" w:fill="D2EAF0"/>
          </w:tcPr>
          <w:p w14:paraId="466AB359" w14:textId="77777777" w:rsidR="00C81834" w:rsidRPr="00CF0F96" w:rsidRDefault="00C81834" w:rsidP="00C81834">
            <w:pPr>
              <w:pStyle w:val="TableParagraph"/>
              <w:rPr>
                <w:rFonts w:ascii="Arial" w:hAnsi="Arial" w:cs="Arial"/>
                <w:i/>
                <w:sz w:val="21"/>
              </w:rPr>
            </w:pPr>
            <w:r w:rsidRPr="00CF0F96">
              <w:rPr>
                <w:rFonts w:ascii="Arial" w:hAnsi="Arial" w:cs="Arial"/>
                <w:i/>
                <w:sz w:val="21"/>
              </w:rPr>
              <w:t>Vochysia aurifera</w:t>
            </w:r>
          </w:p>
        </w:tc>
        <w:tc>
          <w:tcPr>
            <w:tcW w:w="1372" w:type="dxa"/>
            <w:tcBorders>
              <w:left w:val="dashed" w:sz="8" w:space="0" w:color="4AACC5"/>
              <w:right w:val="dashed" w:sz="8" w:space="0" w:color="4AACC5"/>
            </w:tcBorders>
            <w:shd w:val="clear" w:color="auto" w:fill="D2EAF0"/>
          </w:tcPr>
          <w:p w14:paraId="066F46FC"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CR</w:t>
            </w:r>
          </w:p>
        </w:tc>
      </w:tr>
      <w:tr w:rsidR="00C81834" w:rsidRPr="00FA4B2D" w14:paraId="55798C22" w14:textId="77777777" w:rsidTr="00C81834">
        <w:trPr>
          <w:trHeight w:val="369"/>
        </w:trPr>
        <w:tc>
          <w:tcPr>
            <w:tcW w:w="1804" w:type="dxa"/>
            <w:tcBorders>
              <w:left w:val="dashed" w:sz="8" w:space="0" w:color="4AACC5"/>
              <w:right w:val="dashed" w:sz="8" w:space="0" w:color="4AACC5"/>
            </w:tcBorders>
          </w:tcPr>
          <w:p w14:paraId="68BFA159"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Magnoliopsida</w:t>
            </w:r>
          </w:p>
        </w:tc>
        <w:tc>
          <w:tcPr>
            <w:tcW w:w="1879" w:type="dxa"/>
            <w:tcBorders>
              <w:left w:val="dashed" w:sz="8" w:space="0" w:color="4AACC5"/>
              <w:right w:val="dashed" w:sz="8" w:space="0" w:color="4AACC5"/>
            </w:tcBorders>
          </w:tcPr>
          <w:p w14:paraId="1A9DCA3F"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Zygophyllaceae</w:t>
            </w:r>
          </w:p>
        </w:tc>
        <w:tc>
          <w:tcPr>
            <w:tcW w:w="3204" w:type="dxa"/>
            <w:tcBorders>
              <w:left w:val="dashed" w:sz="8" w:space="0" w:color="4AACC5"/>
              <w:right w:val="dashed" w:sz="8" w:space="0" w:color="4AACC5"/>
            </w:tcBorders>
          </w:tcPr>
          <w:p w14:paraId="3264907B" w14:textId="77777777" w:rsidR="00C81834" w:rsidRPr="00CF0F96" w:rsidRDefault="00C81834" w:rsidP="00C81834">
            <w:pPr>
              <w:pStyle w:val="TableParagraph"/>
              <w:rPr>
                <w:rFonts w:ascii="Arial" w:hAnsi="Arial" w:cs="Arial"/>
                <w:i/>
                <w:sz w:val="21"/>
              </w:rPr>
            </w:pPr>
            <w:r w:rsidRPr="00CF0F96">
              <w:rPr>
                <w:rFonts w:ascii="Arial" w:hAnsi="Arial" w:cs="Arial"/>
                <w:i/>
                <w:sz w:val="21"/>
              </w:rPr>
              <w:t>Guaiacum sanctum</w:t>
            </w:r>
          </w:p>
        </w:tc>
        <w:tc>
          <w:tcPr>
            <w:tcW w:w="1372" w:type="dxa"/>
            <w:tcBorders>
              <w:left w:val="dashed" w:sz="8" w:space="0" w:color="4AACC5"/>
              <w:right w:val="dashed" w:sz="8" w:space="0" w:color="4AACC5"/>
            </w:tcBorders>
          </w:tcPr>
          <w:p w14:paraId="57077DFF"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2A6A16A8" w14:textId="77777777" w:rsidTr="00C81834">
        <w:trPr>
          <w:trHeight w:val="369"/>
        </w:trPr>
        <w:tc>
          <w:tcPr>
            <w:tcW w:w="1804" w:type="dxa"/>
            <w:tcBorders>
              <w:left w:val="dashed" w:sz="8" w:space="0" w:color="4AACC5"/>
              <w:right w:val="dashed" w:sz="8" w:space="0" w:color="4AACC5"/>
            </w:tcBorders>
            <w:shd w:val="clear" w:color="auto" w:fill="D2EAF0"/>
          </w:tcPr>
          <w:p w14:paraId="3301CECB"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Pinopsida</w:t>
            </w:r>
          </w:p>
        </w:tc>
        <w:tc>
          <w:tcPr>
            <w:tcW w:w="1879" w:type="dxa"/>
            <w:tcBorders>
              <w:left w:val="dashed" w:sz="8" w:space="0" w:color="4AACC5"/>
              <w:right w:val="dashed" w:sz="8" w:space="0" w:color="4AACC5"/>
            </w:tcBorders>
            <w:shd w:val="clear" w:color="auto" w:fill="D2EAF0"/>
          </w:tcPr>
          <w:p w14:paraId="6766FE70"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Pinaceae</w:t>
            </w:r>
          </w:p>
        </w:tc>
        <w:tc>
          <w:tcPr>
            <w:tcW w:w="3204" w:type="dxa"/>
            <w:tcBorders>
              <w:left w:val="dashed" w:sz="8" w:space="0" w:color="4AACC5"/>
              <w:right w:val="dashed" w:sz="8" w:space="0" w:color="4AACC5"/>
            </w:tcBorders>
            <w:shd w:val="clear" w:color="auto" w:fill="D2EAF0"/>
          </w:tcPr>
          <w:p w14:paraId="753BED78" w14:textId="77777777" w:rsidR="00C81834" w:rsidRPr="00CF0F96" w:rsidRDefault="00C81834" w:rsidP="00C81834">
            <w:pPr>
              <w:pStyle w:val="TableParagraph"/>
              <w:rPr>
                <w:rFonts w:ascii="Arial" w:hAnsi="Arial" w:cs="Arial"/>
                <w:i/>
                <w:sz w:val="21"/>
              </w:rPr>
            </w:pPr>
            <w:r w:rsidRPr="00CF0F96">
              <w:rPr>
                <w:rFonts w:ascii="Arial" w:hAnsi="Arial" w:cs="Arial"/>
                <w:i/>
                <w:sz w:val="21"/>
              </w:rPr>
              <w:t>Abies guatemalensis</w:t>
            </w:r>
          </w:p>
        </w:tc>
        <w:tc>
          <w:tcPr>
            <w:tcW w:w="1372" w:type="dxa"/>
            <w:tcBorders>
              <w:left w:val="dashed" w:sz="8" w:space="0" w:color="4AACC5"/>
              <w:right w:val="dashed" w:sz="8" w:space="0" w:color="4AACC5"/>
            </w:tcBorders>
            <w:shd w:val="clear" w:color="auto" w:fill="D2EAF0"/>
          </w:tcPr>
          <w:p w14:paraId="17120C2F"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r w:rsidR="00C81834" w:rsidRPr="00FA4B2D" w14:paraId="31267E68" w14:textId="77777777" w:rsidTr="00C81834">
        <w:trPr>
          <w:trHeight w:val="369"/>
        </w:trPr>
        <w:tc>
          <w:tcPr>
            <w:tcW w:w="1804" w:type="dxa"/>
            <w:tcBorders>
              <w:left w:val="dashed" w:sz="8" w:space="0" w:color="4AACC5"/>
              <w:right w:val="dashed" w:sz="8" w:space="0" w:color="4AACC5"/>
            </w:tcBorders>
          </w:tcPr>
          <w:p w14:paraId="42F3EB9F"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Pinopsida</w:t>
            </w:r>
          </w:p>
        </w:tc>
        <w:tc>
          <w:tcPr>
            <w:tcW w:w="1879" w:type="dxa"/>
            <w:tcBorders>
              <w:left w:val="dashed" w:sz="8" w:space="0" w:color="4AACC5"/>
              <w:right w:val="dashed" w:sz="8" w:space="0" w:color="4AACC5"/>
            </w:tcBorders>
          </w:tcPr>
          <w:p w14:paraId="22A2FC45"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Pinaceae</w:t>
            </w:r>
          </w:p>
        </w:tc>
        <w:tc>
          <w:tcPr>
            <w:tcW w:w="3204" w:type="dxa"/>
            <w:tcBorders>
              <w:left w:val="dashed" w:sz="8" w:space="0" w:color="4AACC5"/>
              <w:right w:val="dashed" w:sz="8" w:space="0" w:color="4AACC5"/>
            </w:tcBorders>
          </w:tcPr>
          <w:p w14:paraId="61B49DCF" w14:textId="77777777" w:rsidR="00C81834" w:rsidRPr="00CF0F96" w:rsidRDefault="00C81834" w:rsidP="00C81834">
            <w:pPr>
              <w:pStyle w:val="TableParagraph"/>
              <w:rPr>
                <w:rFonts w:ascii="Arial" w:hAnsi="Arial" w:cs="Arial"/>
                <w:i/>
                <w:sz w:val="21"/>
              </w:rPr>
            </w:pPr>
            <w:r w:rsidRPr="00CF0F96">
              <w:rPr>
                <w:rFonts w:ascii="Arial" w:hAnsi="Arial" w:cs="Arial"/>
                <w:i/>
                <w:sz w:val="21"/>
              </w:rPr>
              <w:t>Pinus tecunumanii</w:t>
            </w:r>
          </w:p>
        </w:tc>
        <w:tc>
          <w:tcPr>
            <w:tcW w:w="1372" w:type="dxa"/>
            <w:tcBorders>
              <w:left w:val="dashed" w:sz="8" w:space="0" w:color="4AACC5"/>
              <w:right w:val="dashed" w:sz="8" w:space="0" w:color="4AACC5"/>
            </w:tcBorders>
          </w:tcPr>
          <w:p w14:paraId="6916F79F"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11A5F181" w14:textId="77777777" w:rsidTr="00C81834">
        <w:trPr>
          <w:trHeight w:val="369"/>
        </w:trPr>
        <w:tc>
          <w:tcPr>
            <w:tcW w:w="1804" w:type="dxa"/>
            <w:tcBorders>
              <w:left w:val="dashed" w:sz="8" w:space="0" w:color="4AACC5"/>
              <w:right w:val="dashed" w:sz="8" w:space="0" w:color="4AACC5"/>
            </w:tcBorders>
            <w:shd w:val="clear" w:color="auto" w:fill="D2EAF0"/>
          </w:tcPr>
          <w:p w14:paraId="2CCC27FC"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Pinopsida</w:t>
            </w:r>
          </w:p>
        </w:tc>
        <w:tc>
          <w:tcPr>
            <w:tcW w:w="1879" w:type="dxa"/>
            <w:tcBorders>
              <w:left w:val="dashed" w:sz="8" w:space="0" w:color="4AACC5"/>
              <w:right w:val="dashed" w:sz="8" w:space="0" w:color="4AACC5"/>
            </w:tcBorders>
            <w:shd w:val="clear" w:color="auto" w:fill="D2EAF0"/>
          </w:tcPr>
          <w:p w14:paraId="2F26BDF9"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Podocarpacieae</w:t>
            </w:r>
          </w:p>
        </w:tc>
        <w:tc>
          <w:tcPr>
            <w:tcW w:w="3204" w:type="dxa"/>
            <w:tcBorders>
              <w:left w:val="dashed" w:sz="8" w:space="0" w:color="4AACC5"/>
              <w:right w:val="dashed" w:sz="8" w:space="0" w:color="4AACC5"/>
            </w:tcBorders>
            <w:shd w:val="clear" w:color="auto" w:fill="D2EAF0"/>
          </w:tcPr>
          <w:p w14:paraId="7C52C19C" w14:textId="77777777" w:rsidR="00C81834" w:rsidRPr="00CF0F96" w:rsidRDefault="00C81834" w:rsidP="00C81834">
            <w:pPr>
              <w:pStyle w:val="TableParagraph"/>
              <w:rPr>
                <w:rFonts w:ascii="Arial" w:hAnsi="Arial" w:cs="Arial"/>
                <w:i/>
                <w:sz w:val="21"/>
              </w:rPr>
            </w:pPr>
            <w:r w:rsidRPr="00CF0F96">
              <w:rPr>
                <w:rFonts w:ascii="Arial" w:hAnsi="Arial" w:cs="Arial"/>
                <w:i/>
                <w:sz w:val="21"/>
              </w:rPr>
              <w:t>Podocarpus matudae</w:t>
            </w:r>
          </w:p>
        </w:tc>
        <w:tc>
          <w:tcPr>
            <w:tcW w:w="1372" w:type="dxa"/>
            <w:tcBorders>
              <w:left w:val="dashed" w:sz="8" w:space="0" w:color="4AACC5"/>
              <w:right w:val="dashed" w:sz="8" w:space="0" w:color="4AACC5"/>
            </w:tcBorders>
            <w:shd w:val="clear" w:color="auto" w:fill="D2EAF0"/>
          </w:tcPr>
          <w:p w14:paraId="0DDA7ACE"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VU</w:t>
            </w:r>
          </w:p>
        </w:tc>
      </w:tr>
      <w:tr w:rsidR="00C81834" w:rsidRPr="00FA4B2D" w14:paraId="4C4912AD" w14:textId="77777777" w:rsidTr="00C81834">
        <w:trPr>
          <w:trHeight w:val="369"/>
        </w:trPr>
        <w:tc>
          <w:tcPr>
            <w:tcW w:w="1804" w:type="dxa"/>
            <w:tcBorders>
              <w:left w:val="dashed" w:sz="8" w:space="0" w:color="4AACC5"/>
              <w:right w:val="dashed" w:sz="8" w:space="0" w:color="4AACC5"/>
            </w:tcBorders>
          </w:tcPr>
          <w:p w14:paraId="262E8BFA" w14:textId="77777777" w:rsidR="00C81834" w:rsidRPr="00CF0F96" w:rsidRDefault="00C81834" w:rsidP="00C81834">
            <w:pPr>
              <w:pStyle w:val="TableParagraph"/>
              <w:rPr>
                <w:rFonts w:ascii="Arial" w:hAnsi="Arial" w:cs="Arial"/>
                <w:bCs/>
                <w:sz w:val="21"/>
              </w:rPr>
            </w:pPr>
            <w:r w:rsidRPr="00CF0F96">
              <w:rPr>
                <w:rFonts w:ascii="Arial" w:hAnsi="Arial" w:cs="Arial"/>
                <w:bCs/>
                <w:sz w:val="21"/>
              </w:rPr>
              <w:t>Pinopsida</w:t>
            </w:r>
          </w:p>
        </w:tc>
        <w:tc>
          <w:tcPr>
            <w:tcW w:w="1879" w:type="dxa"/>
            <w:tcBorders>
              <w:left w:val="dashed" w:sz="8" w:space="0" w:color="4AACC5"/>
              <w:right w:val="dashed" w:sz="8" w:space="0" w:color="4AACC5"/>
            </w:tcBorders>
          </w:tcPr>
          <w:p w14:paraId="62BCAC71" w14:textId="77777777" w:rsidR="00C81834" w:rsidRPr="00CF0F96" w:rsidRDefault="00C81834" w:rsidP="00C81834">
            <w:pPr>
              <w:pStyle w:val="TableParagraph"/>
              <w:spacing w:before="54"/>
              <w:rPr>
                <w:rFonts w:ascii="Arial" w:hAnsi="Arial" w:cs="Arial"/>
                <w:sz w:val="21"/>
              </w:rPr>
            </w:pPr>
            <w:r w:rsidRPr="00CF0F96">
              <w:rPr>
                <w:rFonts w:ascii="Arial" w:hAnsi="Arial" w:cs="Arial"/>
                <w:sz w:val="21"/>
              </w:rPr>
              <w:t>Taxaceae</w:t>
            </w:r>
          </w:p>
        </w:tc>
        <w:tc>
          <w:tcPr>
            <w:tcW w:w="3204" w:type="dxa"/>
            <w:tcBorders>
              <w:left w:val="dashed" w:sz="8" w:space="0" w:color="4AACC5"/>
              <w:right w:val="dashed" w:sz="8" w:space="0" w:color="4AACC5"/>
            </w:tcBorders>
          </w:tcPr>
          <w:p w14:paraId="7B3054D9" w14:textId="77777777" w:rsidR="00C81834" w:rsidRPr="00CF0F96" w:rsidRDefault="00C81834" w:rsidP="00C81834">
            <w:pPr>
              <w:pStyle w:val="TableParagraph"/>
              <w:rPr>
                <w:rFonts w:ascii="Arial" w:hAnsi="Arial" w:cs="Arial"/>
                <w:i/>
                <w:sz w:val="21"/>
              </w:rPr>
            </w:pPr>
            <w:r w:rsidRPr="00CF0F96">
              <w:rPr>
                <w:rFonts w:ascii="Arial" w:hAnsi="Arial" w:cs="Arial"/>
                <w:i/>
                <w:sz w:val="21"/>
              </w:rPr>
              <w:t>Taxus globosa</w:t>
            </w:r>
          </w:p>
        </w:tc>
        <w:tc>
          <w:tcPr>
            <w:tcW w:w="1372" w:type="dxa"/>
            <w:tcBorders>
              <w:left w:val="dashed" w:sz="8" w:space="0" w:color="4AACC5"/>
              <w:right w:val="dashed" w:sz="8" w:space="0" w:color="4AACC5"/>
            </w:tcBorders>
          </w:tcPr>
          <w:p w14:paraId="0833F4F5" w14:textId="77777777" w:rsidR="00C81834" w:rsidRPr="00CF0F96" w:rsidRDefault="00C81834" w:rsidP="00D30988">
            <w:pPr>
              <w:pStyle w:val="TableParagraph"/>
              <w:spacing w:before="54"/>
              <w:jc w:val="center"/>
              <w:rPr>
                <w:rFonts w:ascii="Arial" w:hAnsi="Arial" w:cs="Arial"/>
                <w:sz w:val="21"/>
              </w:rPr>
            </w:pPr>
            <w:r w:rsidRPr="00CF0F96">
              <w:rPr>
                <w:rFonts w:ascii="Arial" w:hAnsi="Arial" w:cs="Arial"/>
                <w:sz w:val="21"/>
              </w:rPr>
              <w:t>EN</w:t>
            </w:r>
          </w:p>
        </w:tc>
      </w:tr>
    </w:tbl>
    <w:p w14:paraId="12B50204" w14:textId="763A79C7" w:rsidR="006A3DBC" w:rsidRPr="00FA4B2D" w:rsidRDefault="00626B86" w:rsidP="00811897">
      <w:pPr>
        <w:pStyle w:val="Ttulo1"/>
        <w:rPr>
          <w:rFonts w:ascii="Arial" w:hAnsi="Arial" w:cs="Arial"/>
          <w:color w:val="767171" w:themeColor="background2" w:themeShade="80"/>
        </w:rPr>
      </w:pPr>
      <w:bookmarkStart w:id="1552" w:name="_Toc202456991"/>
      <w:r w:rsidRPr="00FA4B2D">
        <w:rPr>
          <w:rFonts w:ascii="Arial" w:hAnsi="Arial" w:cs="Arial"/>
          <w:b/>
          <w:color w:val="767171" w:themeColor="background2" w:themeShade="80"/>
          <w:sz w:val="22"/>
          <w:szCs w:val="22"/>
        </w:rPr>
        <w:lastRenderedPageBreak/>
        <w:t>14.</w:t>
      </w:r>
      <w:r w:rsidRPr="00FA4B2D">
        <w:rPr>
          <w:rFonts w:ascii="Arial" w:hAnsi="Arial" w:cs="Arial"/>
          <w:b/>
          <w:color w:val="767171" w:themeColor="background2" w:themeShade="80"/>
          <w:sz w:val="22"/>
          <w:szCs w:val="22"/>
        </w:rPr>
        <w:tab/>
      </w:r>
      <w:r w:rsidR="006A3DBC" w:rsidRPr="00FA4B2D">
        <w:rPr>
          <w:rFonts w:ascii="Arial" w:hAnsi="Arial" w:cs="Arial"/>
          <w:b/>
          <w:color w:val="767171" w:themeColor="background2" w:themeShade="80"/>
          <w:sz w:val="22"/>
          <w:szCs w:val="22"/>
        </w:rPr>
        <w:t>Anexo III - Normas de calidad para la descarga de aguas residuales a cuerpos receptores y alcantarillado sanitario</w:t>
      </w:r>
      <w:bookmarkEnd w:id="1549"/>
      <w:bookmarkEnd w:id="1550"/>
      <w:bookmarkEnd w:id="1552"/>
    </w:p>
    <w:p w14:paraId="451B0129" w14:textId="77777777" w:rsidR="006A3DBC" w:rsidRPr="00FA4B2D" w:rsidRDefault="006A3DBC" w:rsidP="006A3DBC">
      <w:pPr>
        <w:jc w:val="center"/>
        <w:rPr>
          <w:rFonts w:cs="Arial"/>
        </w:rPr>
      </w:pPr>
      <w:r w:rsidRPr="00FA4B2D">
        <w:rPr>
          <w:rFonts w:cs="Arial"/>
          <w:noProof/>
          <w:lang w:val="es-HN" w:eastAsia="es-HN"/>
        </w:rPr>
        <w:drawing>
          <wp:inline distT="0" distB="0" distL="0" distR="0" wp14:anchorId="27B5EACF" wp14:editId="08FDC65E">
            <wp:extent cx="3745382" cy="1751873"/>
            <wp:effectExtent l="0" t="0" r="762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95">
                      <a:extLst>
                        <a:ext uri="{28A0092B-C50C-407E-A947-70E740481C1C}">
                          <a14:useLocalDpi xmlns:a14="http://schemas.microsoft.com/office/drawing/2010/main" val="0"/>
                        </a:ext>
                      </a:extLst>
                    </a:blip>
                    <a:stretch>
                      <a:fillRect/>
                    </a:stretch>
                  </pic:blipFill>
                  <pic:spPr>
                    <a:xfrm>
                      <a:off x="0" y="0"/>
                      <a:ext cx="3745382" cy="1751873"/>
                    </a:xfrm>
                    <a:prstGeom prst="rect">
                      <a:avLst/>
                    </a:prstGeom>
                  </pic:spPr>
                </pic:pic>
              </a:graphicData>
            </a:graphic>
          </wp:inline>
        </w:drawing>
      </w:r>
    </w:p>
    <w:p w14:paraId="38085417" w14:textId="77777777" w:rsidR="006A3DBC" w:rsidRPr="00FA4B2D" w:rsidRDefault="006A3DBC" w:rsidP="006A3DBC">
      <w:pPr>
        <w:jc w:val="center"/>
        <w:rPr>
          <w:rFonts w:cs="Arial"/>
        </w:rPr>
      </w:pPr>
      <w:r w:rsidRPr="00FA4B2D">
        <w:rPr>
          <w:rFonts w:cs="Arial"/>
          <w:noProof/>
          <w:lang w:val="es-HN" w:eastAsia="es-HN"/>
        </w:rPr>
        <w:drawing>
          <wp:inline distT="0" distB="0" distL="0" distR="0" wp14:anchorId="0AAFBC59" wp14:editId="12D95EA7">
            <wp:extent cx="3491354" cy="4528108"/>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96">
                      <a:extLst>
                        <a:ext uri="{28A0092B-C50C-407E-A947-70E740481C1C}">
                          <a14:useLocalDpi xmlns:a14="http://schemas.microsoft.com/office/drawing/2010/main" val="0"/>
                        </a:ext>
                      </a:extLst>
                    </a:blip>
                    <a:stretch>
                      <a:fillRect/>
                    </a:stretch>
                  </pic:blipFill>
                  <pic:spPr>
                    <a:xfrm>
                      <a:off x="0" y="0"/>
                      <a:ext cx="3491354" cy="4528108"/>
                    </a:xfrm>
                    <a:prstGeom prst="rect">
                      <a:avLst/>
                    </a:prstGeom>
                  </pic:spPr>
                </pic:pic>
              </a:graphicData>
            </a:graphic>
          </wp:inline>
        </w:drawing>
      </w:r>
    </w:p>
    <w:p w14:paraId="328EDA29" w14:textId="77777777" w:rsidR="006A3DBC" w:rsidRPr="00FA4B2D" w:rsidRDefault="006A3DBC" w:rsidP="006A3DBC">
      <w:pPr>
        <w:rPr>
          <w:rFonts w:cs="Arial"/>
        </w:rPr>
      </w:pPr>
    </w:p>
    <w:p w14:paraId="2D542EA3" w14:textId="77777777" w:rsidR="006A3DBC" w:rsidRPr="00FA4B2D" w:rsidRDefault="006A3DBC" w:rsidP="006A3DBC">
      <w:pPr>
        <w:rPr>
          <w:rFonts w:cs="Arial"/>
        </w:rPr>
      </w:pPr>
    </w:p>
    <w:p w14:paraId="118DF198" w14:textId="77777777" w:rsidR="006A3DBC" w:rsidRPr="00FA4B2D" w:rsidRDefault="006A3DBC" w:rsidP="006A3DBC">
      <w:pPr>
        <w:rPr>
          <w:rFonts w:cs="Arial"/>
        </w:rPr>
      </w:pPr>
    </w:p>
    <w:p w14:paraId="0D7A078C" w14:textId="77777777" w:rsidR="006A3DBC" w:rsidRPr="00FA4B2D" w:rsidRDefault="006A3DBC" w:rsidP="006A3DBC">
      <w:pPr>
        <w:jc w:val="center"/>
        <w:rPr>
          <w:rFonts w:cs="Arial"/>
        </w:rPr>
      </w:pPr>
      <w:r w:rsidRPr="00FA4B2D">
        <w:rPr>
          <w:rFonts w:cs="Arial"/>
          <w:noProof/>
          <w:lang w:val="es-HN" w:eastAsia="es-HN"/>
        </w:rPr>
        <w:lastRenderedPageBreak/>
        <w:drawing>
          <wp:inline distT="0" distB="0" distL="0" distR="0" wp14:anchorId="3810E89D" wp14:editId="7BB88E7F">
            <wp:extent cx="3913505" cy="43376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97">
                      <a:extLst>
                        <a:ext uri="{28A0092B-C50C-407E-A947-70E740481C1C}">
                          <a14:useLocalDpi xmlns:a14="http://schemas.microsoft.com/office/drawing/2010/main" val="0"/>
                        </a:ext>
                      </a:extLst>
                    </a:blip>
                    <a:stretch>
                      <a:fillRect/>
                    </a:stretch>
                  </pic:blipFill>
                  <pic:spPr>
                    <a:xfrm>
                      <a:off x="0" y="0"/>
                      <a:ext cx="3913505" cy="4337685"/>
                    </a:xfrm>
                    <a:prstGeom prst="rect">
                      <a:avLst/>
                    </a:prstGeom>
                  </pic:spPr>
                </pic:pic>
              </a:graphicData>
            </a:graphic>
          </wp:inline>
        </w:drawing>
      </w:r>
      <w:r w:rsidRPr="00FA4B2D">
        <w:rPr>
          <w:rFonts w:cs="Arial"/>
          <w:noProof/>
          <w:lang w:val="es-HN" w:eastAsia="es-HN"/>
        </w:rPr>
        <w:lastRenderedPageBreak/>
        <w:drawing>
          <wp:inline distT="0" distB="0" distL="0" distR="0" wp14:anchorId="723F9891" wp14:editId="0CCCEB64">
            <wp:extent cx="3914775" cy="43338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97">
                      <a:extLst>
                        <a:ext uri="{28A0092B-C50C-407E-A947-70E740481C1C}">
                          <a14:useLocalDpi xmlns:a14="http://schemas.microsoft.com/office/drawing/2010/main" val="0"/>
                        </a:ext>
                      </a:extLst>
                    </a:blip>
                    <a:stretch>
                      <a:fillRect/>
                    </a:stretch>
                  </pic:blipFill>
                  <pic:spPr>
                    <a:xfrm>
                      <a:off x="0" y="0"/>
                      <a:ext cx="3914775" cy="4333875"/>
                    </a:xfrm>
                    <a:prstGeom prst="rect">
                      <a:avLst/>
                    </a:prstGeom>
                  </pic:spPr>
                </pic:pic>
              </a:graphicData>
            </a:graphic>
          </wp:inline>
        </w:drawing>
      </w:r>
    </w:p>
    <w:p w14:paraId="1D804999" w14:textId="77777777" w:rsidR="006A3DBC" w:rsidRPr="00FA4B2D" w:rsidRDefault="006A3DBC" w:rsidP="006A3DBC">
      <w:pPr>
        <w:rPr>
          <w:rFonts w:cs="Arial"/>
        </w:rPr>
      </w:pPr>
    </w:p>
    <w:p w14:paraId="5D942DD9" w14:textId="77777777" w:rsidR="006A3DBC" w:rsidRPr="00FA4B2D" w:rsidRDefault="006A3DBC" w:rsidP="006A3DBC">
      <w:pPr>
        <w:rPr>
          <w:rFonts w:cs="Arial"/>
        </w:rPr>
      </w:pPr>
    </w:p>
    <w:p w14:paraId="18AFD1AD" w14:textId="77777777" w:rsidR="006A3DBC" w:rsidRPr="00FA4B2D" w:rsidRDefault="006A3DBC" w:rsidP="006A3DBC">
      <w:pPr>
        <w:rPr>
          <w:rFonts w:cs="Arial"/>
        </w:rPr>
      </w:pPr>
    </w:p>
    <w:p w14:paraId="2C0B8648" w14:textId="77777777" w:rsidR="006A3DBC" w:rsidRPr="00FA4B2D" w:rsidRDefault="006A3DBC" w:rsidP="006A3DBC">
      <w:pPr>
        <w:rPr>
          <w:rFonts w:cs="Arial"/>
        </w:rPr>
      </w:pPr>
    </w:p>
    <w:p w14:paraId="512B46FB" w14:textId="77777777" w:rsidR="006A3DBC" w:rsidRPr="00FA4B2D" w:rsidRDefault="006A3DBC" w:rsidP="006A3DBC">
      <w:pPr>
        <w:rPr>
          <w:rFonts w:cs="Arial"/>
        </w:rPr>
      </w:pPr>
    </w:p>
    <w:p w14:paraId="044EE853" w14:textId="77777777" w:rsidR="006A3DBC" w:rsidRPr="00FA4B2D" w:rsidRDefault="006A3DBC" w:rsidP="006A3DBC">
      <w:pPr>
        <w:rPr>
          <w:rFonts w:cs="Arial"/>
        </w:rPr>
      </w:pPr>
    </w:p>
    <w:p w14:paraId="62336329" w14:textId="77777777" w:rsidR="006A3DBC" w:rsidRPr="00FA4B2D" w:rsidRDefault="006A3DBC" w:rsidP="006A3DBC">
      <w:pPr>
        <w:rPr>
          <w:rFonts w:cs="Arial"/>
        </w:rPr>
      </w:pPr>
    </w:p>
    <w:p w14:paraId="686FFFC6" w14:textId="77777777" w:rsidR="006A3DBC" w:rsidRPr="00FA4B2D" w:rsidRDefault="006A3DBC" w:rsidP="006A3DBC">
      <w:pPr>
        <w:rPr>
          <w:rFonts w:cs="Arial"/>
        </w:rPr>
      </w:pPr>
    </w:p>
    <w:p w14:paraId="2BB42DA4" w14:textId="77777777" w:rsidR="006A3DBC" w:rsidRPr="00FA4B2D" w:rsidRDefault="006A3DBC" w:rsidP="006A3DBC">
      <w:pPr>
        <w:rPr>
          <w:rFonts w:cs="Arial"/>
        </w:rPr>
      </w:pPr>
    </w:p>
    <w:p w14:paraId="3A47B6D5" w14:textId="77777777" w:rsidR="006A3DBC" w:rsidRPr="00FA4B2D" w:rsidRDefault="006A3DBC" w:rsidP="006A3DBC">
      <w:pPr>
        <w:rPr>
          <w:rFonts w:cs="Arial"/>
        </w:rPr>
      </w:pPr>
    </w:p>
    <w:p w14:paraId="6C3DE371" w14:textId="77777777" w:rsidR="006A3DBC" w:rsidRPr="00FA4B2D" w:rsidRDefault="006A3DBC" w:rsidP="006A3DBC">
      <w:pPr>
        <w:rPr>
          <w:rFonts w:cs="Arial"/>
        </w:rPr>
      </w:pPr>
    </w:p>
    <w:p w14:paraId="1D4B4CA1" w14:textId="77777777" w:rsidR="006A3DBC" w:rsidRPr="00FA4B2D" w:rsidRDefault="006A3DBC" w:rsidP="006A3DBC">
      <w:pPr>
        <w:rPr>
          <w:rFonts w:cs="Arial"/>
        </w:rPr>
      </w:pPr>
    </w:p>
    <w:p w14:paraId="6CC78996" w14:textId="77777777" w:rsidR="006A3DBC" w:rsidRPr="00FA4B2D" w:rsidRDefault="006A3DBC" w:rsidP="006A3DBC">
      <w:pPr>
        <w:rPr>
          <w:rFonts w:cs="Arial"/>
        </w:rPr>
      </w:pPr>
    </w:p>
    <w:p w14:paraId="3DF63C2C" w14:textId="77777777" w:rsidR="006A3DBC" w:rsidRPr="00FA4B2D" w:rsidRDefault="006A3DBC" w:rsidP="006A3DBC">
      <w:pPr>
        <w:jc w:val="center"/>
        <w:rPr>
          <w:rFonts w:cs="Arial"/>
        </w:rPr>
      </w:pPr>
      <w:r w:rsidRPr="00FA4B2D">
        <w:rPr>
          <w:rFonts w:cs="Arial"/>
          <w:noProof/>
          <w:lang w:val="es-HN" w:eastAsia="es-HN"/>
        </w:rPr>
        <w:lastRenderedPageBreak/>
        <w:drawing>
          <wp:inline distT="0" distB="0" distL="0" distR="0" wp14:anchorId="2C6F006B" wp14:editId="396FDF57">
            <wp:extent cx="3950385" cy="378107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98">
                      <a:extLst>
                        <a:ext uri="{28A0092B-C50C-407E-A947-70E740481C1C}">
                          <a14:useLocalDpi xmlns:a14="http://schemas.microsoft.com/office/drawing/2010/main" val="0"/>
                        </a:ext>
                      </a:extLst>
                    </a:blip>
                    <a:stretch>
                      <a:fillRect/>
                    </a:stretch>
                  </pic:blipFill>
                  <pic:spPr>
                    <a:xfrm>
                      <a:off x="0" y="0"/>
                      <a:ext cx="3950385" cy="3781074"/>
                    </a:xfrm>
                    <a:prstGeom prst="rect">
                      <a:avLst/>
                    </a:prstGeom>
                  </pic:spPr>
                </pic:pic>
              </a:graphicData>
            </a:graphic>
          </wp:inline>
        </w:drawing>
      </w:r>
    </w:p>
    <w:p w14:paraId="2A6F476A" w14:textId="77777777" w:rsidR="006A3DBC" w:rsidRPr="00FA4B2D" w:rsidRDefault="006A3DBC" w:rsidP="006A3DBC">
      <w:pPr>
        <w:rPr>
          <w:rFonts w:cs="Arial"/>
        </w:rPr>
      </w:pPr>
    </w:p>
    <w:p w14:paraId="0A1388C6" w14:textId="77777777" w:rsidR="006A3DBC" w:rsidRPr="00FA4B2D" w:rsidRDefault="006A3DBC" w:rsidP="006A3DBC">
      <w:pPr>
        <w:tabs>
          <w:tab w:val="left" w:pos="2811"/>
        </w:tabs>
        <w:jc w:val="center"/>
        <w:rPr>
          <w:rFonts w:cs="Arial"/>
        </w:rPr>
      </w:pPr>
      <w:r w:rsidRPr="00FA4B2D">
        <w:rPr>
          <w:rFonts w:cs="Arial"/>
          <w:noProof/>
          <w:lang w:val="es-HN" w:eastAsia="es-HN"/>
        </w:rPr>
        <w:drawing>
          <wp:inline distT="0" distB="0" distL="0" distR="0" wp14:anchorId="13D7D79D" wp14:editId="5A774EB1">
            <wp:extent cx="3716020" cy="12877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99">
                      <a:extLst>
                        <a:ext uri="{28A0092B-C50C-407E-A947-70E740481C1C}">
                          <a14:useLocalDpi xmlns:a14="http://schemas.microsoft.com/office/drawing/2010/main" val="0"/>
                        </a:ext>
                      </a:extLst>
                    </a:blip>
                    <a:stretch>
                      <a:fillRect/>
                    </a:stretch>
                  </pic:blipFill>
                  <pic:spPr>
                    <a:xfrm>
                      <a:off x="0" y="0"/>
                      <a:ext cx="3716020" cy="1287780"/>
                    </a:xfrm>
                    <a:prstGeom prst="rect">
                      <a:avLst/>
                    </a:prstGeom>
                  </pic:spPr>
                </pic:pic>
              </a:graphicData>
            </a:graphic>
          </wp:inline>
        </w:drawing>
      </w:r>
    </w:p>
    <w:p w14:paraId="2A72D08C" w14:textId="77777777" w:rsidR="006A3DBC" w:rsidRPr="00FA4B2D" w:rsidRDefault="006A3DBC" w:rsidP="006A3DBC">
      <w:pPr>
        <w:rPr>
          <w:rFonts w:cs="Arial"/>
        </w:rPr>
      </w:pPr>
    </w:p>
    <w:p w14:paraId="11B762AE" w14:textId="77777777" w:rsidR="006A3DBC" w:rsidRPr="00FA4B2D" w:rsidRDefault="006A3DBC" w:rsidP="006A3DBC">
      <w:pPr>
        <w:rPr>
          <w:rFonts w:cs="Arial"/>
        </w:rPr>
      </w:pPr>
    </w:p>
    <w:p w14:paraId="43515C31" w14:textId="77777777" w:rsidR="006A3DBC" w:rsidRPr="00FA4B2D" w:rsidRDefault="006A3DBC" w:rsidP="006A3DBC">
      <w:pPr>
        <w:rPr>
          <w:rFonts w:cs="Arial"/>
        </w:rPr>
      </w:pPr>
    </w:p>
    <w:p w14:paraId="234A995F" w14:textId="77777777" w:rsidR="006A3DBC" w:rsidRPr="00FA4B2D" w:rsidRDefault="006A3DBC" w:rsidP="006A3DBC">
      <w:pPr>
        <w:rPr>
          <w:rFonts w:cs="Arial"/>
        </w:rPr>
      </w:pPr>
    </w:p>
    <w:p w14:paraId="7FEA959E" w14:textId="77777777" w:rsidR="006A3DBC" w:rsidRPr="00FA4B2D" w:rsidRDefault="006A3DBC" w:rsidP="006A3DBC">
      <w:pPr>
        <w:rPr>
          <w:rFonts w:cs="Arial"/>
        </w:rPr>
      </w:pPr>
    </w:p>
    <w:p w14:paraId="657AD2DF" w14:textId="77777777" w:rsidR="006A3DBC" w:rsidRPr="00FA4B2D" w:rsidRDefault="006A3DBC" w:rsidP="006A3DBC">
      <w:pPr>
        <w:rPr>
          <w:rFonts w:cs="Arial"/>
        </w:rPr>
      </w:pPr>
    </w:p>
    <w:p w14:paraId="33F8943F" w14:textId="77777777" w:rsidR="006A3DBC" w:rsidRPr="00FA4B2D" w:rsidRDefault="006A3DBC" w:rsidP="006A3DBC">
      <w:pPr>
        <w:rPr>
          <w:rFonts w:cs="Arial"/>
        </w:rPr>
      </w:pPr>
    </w:p>
    <w:p w14:paraId="625C098E" w14:textId="77777777" w:rsidR="006A3DBC" w:rsidRPr="00FA4B2D" w:rsidRDefault="006A3DBC" w:rsidP="006A3DBC">
      <w:pPr>
        <w:rPr>
          <w:rFonts w:cs="Arial"/>
        </w:rPr>
      </w:pPr>
    </w:p>
    <w:p w14:paraId="7FE77029" w14:textId="77777777" w:rsidR="006A3DBC" w:rsidRPr="00FA4B2D" w:rsidRDefault="006A3DBC" w:rsidP="006A3DBC">
      <w:pPr>
        <w:rPr>
          <w:rFonts w:cs="Arial"/>
        </w:rPr>
      </w:pPr>
    </w:p>
    <w:p w14:paraId="6CC6E474" w14:textId="3C5EB2BE" w:rsidR="006A3DBC" w:rsidRPr="00FA4B2D" w:rsidRDefault="00626B86" w:rsidP="00811897">
      <w:pPr>
        <w:pStyle w:val="Ttulo1"/>
        <w:rPr>
          <w:rFonts w:ascii="Arial" w:hAnsi="Arial" w:cs="Arial"/>
          <w:b/>
          <w:color w:val="767171" w:themeColor="background2" w:themeShade="80"/>
          <w:sz w:val="22"/>
          <w:szCs w:val="22"/>
        </w:rPr>
      </w:pPr>
      <w:bookmarkStart w:id="1553" w:name="_Toc67573462"/>
      <w:bookmarkStart w:id="1554" w:name="_Toc202456992"/>
      <w:r w:rsidRPr="00FA4B2D">
        <w:rPr>
          <w:rFonts w:ascii="Arial" w:hAnsi="Arial" w:cs="Arial"/>
          <w:b/>
          <w:color w:val="767171" w:themeColor="background2" w:themeShade="80"/>
          <w:sz w:val="22"/>
          <w:szCs w:val="22"/>
        </w:rPr>
        <w:lastRenderedPageBreak/>
        <w:t>14.</w:t>
      </w:r>
      <w:r w:rsidRPr="00FA4B2D">
        <w:rPr>
          <w:rFonts w:ascii="Arial" w:hAnsi="Arial" w:cs="Arial"/>
          <w:b/>
          <w:color w:val="767171" w:themeColor="background2" w:themeShade="80"/>
          <w:sz w:val="22"/>
          <w:szCs w:val="22"/>
        </w:rPr>
        <w:tab/>
      </w:r>
      <w:r w:rsidR="006A3DBC" w:rsidRPr="00FA4B2D">
        <w:rPr>
          <w:rFonts w:ascii="Arial" w:hAnsi="Arial" w:cs="Arial"/>
          <w:b/>
          <w:color w:val="767171" w:themeColor="background2" w:themeShade="80"/>
          <w:sz w:val="22"/>
          <w:szCs w:val="22"/>
        </w:rPr>
        <w:t>Anexo IV - Áreas ambientalmente frágiles</w:t>
      </w:r>
      <w:bookmarkEnd w:id="1553"/>
      <w:bookmarkEnd w:id="1554"/>
      <w:r w:rsidR="006A3DBC" w:rsidRPr="00FA4B2D">
        <w:rPr>
          <w:rFonts w:ascii="Arial" w:hAnsi="Arial" w:cs="Arial"/>
          <w:b/>
          <w:color w:val="767171" w:themeColor="background2" w:themeShade="80"/>
          <w:sz w:val="22"/>
          <w:szCs w:val="22"/>
        </w:rPr>
        <w:t xml:space="preserve"> </w:t>
      </w:r>
    </w:p>
    <w:p w14:paraId="2537373E" w14:textId="77777777" w:rsidR="006A3DBC" w:rsidRPr="00FA4B2D" w:rsidRDefault="006A3DBC" w:rsidP="006A3DBC">
      <w:pPr>
        <w:rPr>
          <w:rFonts w:cs="Arial"/>
        </w:rPr>
      </w:pPr>
    </w:p>
    <w:p w14:paraId="524F1E2A" w14:textId="77777777" w:rsidR="006A3DBC" w:rsidRPr="00FA4B2D" w:rsidRDefault="006A3DBC" w:rsidP="006A3DBC">
      <w:pPr>
        <w:spacing w:after="0" w:line="120" w:lineRule="auto"/>
        <w:jc w:val="center"/>
        <w:rPr>
          <w:rFonts w:cs="Arial"/>
        </w:rPr>
      </w:pPr>
      <w:r w:rsidRPr="00FA4B2D">
        <w:rPr>
          <w:rFonts w:cs="Arial"/>
          <w:noProof/>
          <w:lang w:val="es-HN" w:eastAsia="es-HN"/>
        </w:rPr>
        <w:drawing>
          <wp:inline distT="0" distB="0" distL="0" distR="0" wp14:anchorId="2E12C008" wp14:editId="205DC3AE">
            <wp:extent cx="3208826" cy="3867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00">
                      <a:extLst>
                        <a:ext uri="{28A0092B-C50C-407E-A947-70E740481C1C}">
                          <a14:useLocalDpi xmlns:a14="http://schemas.microsoft.com/office/drawing/2010/main" val="0"/>
                        </a:ext>
                      </a:extLst>
                    </a:blip>
                    <a:stretch>
                      <a:fillRect/>
                    </a:stretch>
                  </pic:blipFill>
                  <pic:spPr>
                    <a:xfrm>
                      <a:off x="0" y="0"/>
                      <a:ext cx="3208826" cy="3867150"/>
                    </a:xfrm>
                    <a:prstGeom prst="rect">
                      <a:avLst/>
                    </a:prstGeom>
                  </pic:spPr>
                </pic:pic>
              </a:graphicData>
            </a:graphic>
          </wp:inline>
        </w:drawing>
      </w:r>
      <w:r w:rsidRPr="00FA4B2D">
        <w:rPr>
          <w:rFonts w:cs="Arial"/>
          <w:noProof/>
          <w:lang w:val="es-HN" w:eastAsia="es-HN"/>
        </w:rPr>
        <w:drawing>
          <wp:inline distT="0" distB="0" distL="0" distR="0" wp14:anchorId="4828BCB5" wp14:editId="0DA7956C">
            <wp:extent cx="3206750" cy="3162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01">
                      <a:extLst>
                        <a:ext uri="{28A0092B-C50C-407E-A947-70E740481C1C}">
                          <a14:useLocalDpi xmlns:a14="http://schemas.microsoft.com/office/drawing/2010/main" val="0"/>
                        </a:ext>
                      </a:extLst>
                    </a:blip>
                    <a:stretch>
                      <a:fillRect/>
                    </a:stretch>
                  </pic:blipFill>
                  <pic:spPr>
                    <a:xfrm>
                      <a:off x="0" y="0"/>
                      <a:ext cx="3207067" cy="3162613"/>
                    </a:xfrm>
                    <a:prstGeom prst="rect">
                      <a:avLst/>
                    </a:prstGeom>
                  </pic:spPr>
                </pic:pic>
              </a:graphicData>
            </a:graphic>
          </wp:inline>
        </w:drawing>
      </w:r>
    </w:p>
    <w:p w14:paraId="40450687" w14:textId="77777777" w:rsidR="006A3DBC" w:rsidRPr="00FA4B2D" w:rsidRDefault="006A3DBC" w:rsidP="006A3DBC">
      <w:pPr>
        <w:spacing w:after="0" w:line="120" w:lineRule="auto"/>
        <w:jc w:val="center"/>
        <w:rPr>
          <w:rFonts w:cs="Arial"/>
        </w:rPr>
      </w:pPr>
    </w:p>
    <w:p w14:paraId="331837A5" w14:textId="77777777" w:rsidR="006A3DBC" w:rsidRPr="00FA4B2D" w:rsidRDefault="006A3DBC" w:rsidP="006A3DBC">
      <w:pPr>
        <w:spacing w:after="0" w:line="120" w:lineRule="auto"/>
        <w:jc w:val="center"/>
        <w:rPr>
          <w:rFonts w:cs="Arial"/>
        </w:rPr>
      </w:pPr>
    </w:p>
    <w:p w14:paraId="431B7D2C" w14:textId="77777777" w:rsidR="006A3DBC" w:rsidRPr="00FA4B2D" w:rsidRDefault="006A3DBC" w:rsidP="006A3DBC">
      <w:pPr>
        <w:spacing w:after="0" w:line="120" w:lineRule="auto"/>
        <w:jc w:val="center"/>
        <w:rPr>
          <w:rFonts w:cs="Arial"/>
        </w:rPr>
      </w:pPr>
    </w:p>
    <w:p w14:paraId="109DDEB9" w14:textId="77777777" w:rsidR="006A3DBC" w:rsidRPr="00FA4B2D" w:rsidRDefault="006A3DBC" w:rsidP="006A3DBC">
      <w:pPr>
        <w:spacing w:after="0" w:line="120" w:lineRule="auto"/>
        <w:jc w:val="center"/>
        <w:rPr>
          <w:rFonts w:cs="Arial"/>
        </w:rPr>
      </w:pPr>
    </w:p>
    <w:p w14:paraId="13761B9A" w14:textId="77777777" w:rsidR="006A3DBC" w:rsidRPr="00FA4B2D" w:rsidRDefault="006A3DBC" w:rsidP="006A3DBC">
      <w:pPr>
        <w:spacing w:after="0" w:line="120" w:lineRule="auto"/>
        <w:jc w:val="center"/>
        <w:rPr>
          <w:rFonts w:cs="Arial"/>
        </w:rPr>
      </w:pPr>
    </w:p>
    <w:p w14:paraId="350DA5DB" w14:textId="77777777" w:rsidR="006A3DBC" w:rsidRPr="00FA4B2D" w:rsidRDefault="006A3DBC" w:rsidP="006A3DBC">
      <w:pPr>
        <w:spacing w:after="0" w:line="120" w:lineRule="auto"/>
        <w:jc w:val="center"/>
        <w:rPr>
          <w:rFonts w:cs="Arial"/>
        </w:rPr>
      </w:pPr>
    </w:p>
    <w:p w14:paraId="67A0A443" w14:textId="77777777" w:rsidR="006A3DBC" w:rsidRPr="00FA4B2D" w:rsidRDefault="006A3DBC" w:rsidP="006A3DBC">
      <w:pPr>
        <w:jc w:val="center"/>
        <w:rPr>
          <w:rFonts w:cs="Arial"/>
        </w:rPr>
      </w:pPr>
      <w:r w:rsidRPr="00FA4B2D">
        <w:rPr>
          <w:rFonts w:cs="Arial"/>
        </w:rPr>
        <w:t xml:space="preserve">Fuente: Anexo 2 de la Tabla de Categorización Ambiental, Acuerdo Ministerial No. 0740-2019 </w:t>
      </w:r>
    </w:p>
    <w:p w14:paraId="4034C3AC" w14:textId="71407FC2" w:rsidR="005D7F0C" w:rsidRPr="00FA4B2D" w:rsidRDefault="005D7F0C" w:rsidP="005D7F0C">
      <w:pPr>
        <w:pStyle w:val="Ttulo1"/>
        <w:rPr>
          <w:rFonts w:ascii="Arial" w:hAnsi="Arial" w:cs="Arial"/>
        </w:rPr>
      </w:pPr>
    </w:p>
    <w:p w14:paraId="434376CD" w14:textId="52723AC6" w:rsidR="005D7F0C" w:rsidRPr="00FA4B2D" w:rsidRDefault="005D7F0C" w:rsidP="005D7F0C">
      <w:pPr>
        <w:spacing w:after="0" w:line="120" w:lineRule="auto"/>
        <w:jc w:val="center"/>
        <w:rPr>
          <w:rFonts w:cs="Arial"/>
        </w:rPr>
      </w:pPr>
      <w:r w:rsidRPr="00FA4B2D">
        <w:rPr>
          <w:rFonts w:cs="Arial"/>
          <w:noProof/>
          <w:lang w:val="es-HN" w:eastAsia="es-HN"/>
        </w:rPr>
        <w:drawing>
          <wp:inline distT="0" distB="0" distL="0" distR="0" wp14:anchorId="65ACF679" wp14:editId="37787093">
            <wp:extent cx="3207067" cy="3541395"/>
            <wp:effectExtent l="0" t="0" r="0" b="1905"/>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01">
                      <a:extLst>
                        <a:ext uri="{28A0092B-C50C-407E-A947-70E740481C1C}">
                          <a14:useLocalDpi xmlns:a14="http://schemas.microsoft.com/office/drawing/2010/main" val="0"/>
                        </a:ext>
                      </a:extLst>
                    </a:blip>
                    <a:stretch>
                      <a:fillRect/>
                    </a:stretch>
                  </pic:blipFill>
                  <pic:spPr>
                    <a:xfrm>
                      <a:off x="0" y="0"/>
                      <a:ext cx="3207067" cy="3541395"/>
                    </a:xfrm>
                    <a:prstGeom prst="rect">
                      <a:avLst/>
                    </a:prstGeom>
                  </pic:spPr>
                </pic:pic>
              </a:graphicData>
            </a:graphic>
          </wp:inline>
        </w:drawing>
      </w:r>
    </w:p>
    <w:p w14:paraId="0E315DBC" w14:textId="77777777" w:rsidR="005D7F0C" w:rsidRPr="00FA4B2D" w:rsidRDefault="005D7F0C" w:rsidP="005D7F0C">
      <w:pPr>
        <w:spacing w:after="0" w:line="120" w:lineRule="auto"/>
        <w:jc w:val="center"/>
        <w:rPr>
          <w:rFonts w:cs="Arial"/>
        </w:rPr>
      </w:pPr>
    </w:p>
    <w:p w14:paraId="283B7720" w14:textId="4C194674" w:rsidR="005D7F0C" w:rsidRPr="00CF0F96" w:rsidRDefault="00256AF3" w:rsidP="00811897">
      <w:pPr>
        <w:pStyle w:val="Ttulo1"/>
        <w:rPr>
          <w:rFonts w:ascii="Arial" w:hAnsi="Arial" w:cs="Arial"/>
          <w:b/>
          <w:bCs/>
          <w:color w:val="767171" w:themeColor="background2" w:themeShade="80"/>
          <w:sz w:val="22"/>
          <w:szCs w:val="22"/>
        </w:rPr>
      </w:pPr>
      <w:bookmarkStart w:id="1555" w:name="_Toc168469532"/>
      <w:bookmarkStart w:id="1556" w:name="_Toc202456993"/>
      <w:r w:rsidRPr="00CF0F96">
        <w:rPr>
          <w:rFonts w:ascii="Arial" w:hAnsi="Arial" w:cs="Arial"/>
          <w:b/>
          <w:bCs/>
          <w:color w:val="767171" w:themeColor="background2" w:themeShade="80"/>
          <w:sz w:val="22"/>
          <w:szCs w:val="22"/>
        </w:rPr>
        <w:t xml:space="preserve">14.  </w:t>
      </w:r>
      <w:r w:rsidR="005D7F0C" w:rsidRPr="00CF0F96">
        <w:rPr>
          <w:rFonts w:ascii="Arial" w:hAnsi="Arial" w:cs="Arial"/>
          <w:b/>
          <w:bCs/>
          <w:color w:val="767171" w:themeColor="background2" w:themeShade="80"/>
          <w:sz w:val="22"/>
          <w:szCs w:val="22"/>
        </w:rPr>
        <w:t>Anexo V – Formato del P</w:t>
      </w:r>
      <w:r w:rsidR="00626B86" w:rsidRPr="00CF0F96">
        <w:rPr>
          <w:rFonts w:ascii="Arial" w:hAnsi="Arial" w:cs="Arial"/>
          <w:b/>
          <w:bCs/>
          <w:color w:val="767171" w:themeColor="background2" w:themeShade="80"/>
          <w:sz w:val="22"/>
          <w:szCs w:val="22"/>
        </w:rPr>
        <w:t>erfil</w:t>
      </w:r>
      <w:r w:rsidR="005D7F0C" w:rsidRPr="00CF0F96">
        <w:rPr>
          <w:rFonts w:ascii="Arial" w:hAnsi="Arial" w:cs="Arial"/>
          <w:b/>
          <w:bCs/>
          <w:color w:val="767171" w:themeColor="background2" w:themeShade="80"/>
          <w:sz w:val="22"/>
          <w:szCs w:val="22"/>
        </w:rPr>
        <w:t xml:space="preserve"> de Negocios (PdN)</w:t>
      </w:r>
      <w:bookmarkEnd w:id="1555"/>
      <w:bookmarkEnd w:id="1556"/>
    </w:p>
    <w:p w14:paraId="54EA4E67" w14:textId="77777777" w:rsidR="005D7F0C" w:rsidRPr="00CF0F96" w:rsidRDefault="005D7F0C" w:rsidP="005D7F0C">
      <w:pPr>
        <w:rPr>
          <w:rFonts w:cs="Arial"/>
          <w:b/>
          <w:bCs/>
          <w:caps/>
          <w:sz w:val="20"/>
          <w:szCs w:val="20"/>
        </w:rPr>
      </w:pPr>
      <w:bookmarkStart w:id="1557" w:name="_Toc506905770"/>
      <w:bookmarkStart w:id="1558" w:name="_Toc63264836"/>
      <w:r w:rsidRPr="00CF0F96">
        <w:rPr>
          <w:rFonts w:cs="Arial"/>
          <w:b/>
          <w:bCs/>
          <w:sz w:val="20"/>
          <w:szCs w:val="20"/>
        </w:rPr>
        <w:t>FORMATO DEL PERFIL DE NEGOCIO</w:t>
      </w:r>
      <w:bookmarkEnd w:id="1557"/>
      <w:bookmarkEnd w:id="1558"/>
    </w:p>
    <w:p w14:paraId="3BCEA7A6" w14:textId="77777777" w:rsidR="005D7F0C" w:rsidRPr="00CF0F96" w:rsidRDefault="005D7F0C" w:rsidP="005D7F0C">
      <w:pPr>
        <w:rPr>
          <w:rFonts w:cs="Arial"/>
          <w:b/>
          <w:bCs/>
          <w:sz w:val="20"/>
          <w:szCs w:val="20"/>
        </w:rPr>
      </w:pPr>
      <w:bookmarkStart w:id="1559" w:name="_Toc63264837"/>
      <w:r w:rsidRPr="00CF0F96">
        <w:rPr>
          <w:rFonts w:cs="Arial"/>
          <w:b/>
          <w:bCs/>
          <w:sz w:val="20"/>
          <w:szCs w:val="20"/>
        </w:rPr>
        <w:t>SECCIÓN A. INFORMACIÓN GENERAL DE LA ORGANIZACIÓN</w:t>
      </w:r>
      <w:bookmarkEnd w:id="1559"/>
    </w:p>
    <w:p w14:paraId="02026A2B" w14:textId="77777777" w:rsidR="005D7F0C" w:rsidRPr="00CF0F96" w:rsidRDefault="005D7F0C" w:rsidP="005D7F0C">
      <w:pPr>
        <w:pStyle w:val="Prrafodelista"/>
        <w:numPr>
          <w:ilvl w:val="0"/>
          <w:numId w:val="45"/>
        </w:numPr>
        <w:spacing w:after="0" w:line="276" w:lineRule="auto"/>
        <w:contextualSpacing w:val="0"/>
        <w:jc w:val="both"/>
        <w:rPr>
          <w:rFonts w:cs="Arial"/>
          <w:sz w:val="20"/>
          <w:szCs w:val="20"/>
        </w:rPr>
      </w:pPr>
      <w:r w:rsidRPr="00CF0F96">
        <w:rPr>
          <w:rFonts w:cs="Arial"/>
          <w:b/>
          <w:bCs/>
          <w:sz w:val="20"/>
          <w:szCs w:val="20"/>
        </w:rPr>
        <w:t>Nombre o razón social (siglas o acrónimo)</w:t>
      </w:r>
    </w:p>
    <w:p w14:paraId="31AFA573" w14:textId="77777777" w:rsidR="005D7F0C" w:rsidRPr="00CF0F96" w:rsidRDefault="005D7F0C" w:rsidP="1A2345D5">
      <w:pPr>
        <w:pStyle w:val="Prrafodelista"/>
        <w:spacing w:after="0" w:line="276" w:lineRule="auto"/>
        <w:ind w:left="360"/>
        <w:jc w:val="both"/>
        <w:rPr>
          <w:rFonts w:cs="Arial"/>
          <w:sz w:val="20"/>
          <w:szCs w:val="20"/>
        </w:rPr>
      </w:pPr>
    </w:p>
    <w:p w14:paraId="3A6AFE9A" w14:textId="77777777" w:rsidR="005D7F0C" w:rsidRPr="00CF0F96" w:rsidRDefault="005D7F0C" w:rsidP="005D7F0C">
      <w:pPr>
        <w:pStyle w:val="Prrafodelista"/>
        <w:numPr>
          <w:ilvl w:val="0"/>
          <w:numId w:val="45"/>
        </w:numPr>
        <w:spacing w:after="0" w:line="276" w:lineRule="auto"/>
        <w:contextualSpacing w:val="0"/>
        <w:jc w:val="both"/>
        <w:rPr>
          <w:rFonts w:cs="Arial"/>
          <w:sz w:val="20"/>
          <w:szCs w:val="20"/>
        </w:rPr>
      </w:pPr>
      <w:r w:rsidRPr="00CF0F96">
        <w:rPr>
          <w:rFonts w:cs="Arial"/>
          <w:b/>
          <w:bCs/>
          <w:sz w:val="20"/>
          <w:szCs w:val="20"/>
        </w:rPr>
        <w:t>Dirección exacta de la sede de la Organización de Productores Rurales (OPR) (aldea, municipio y departamento)</w:t>
      </w:r>
    </w:p>
    <w:tbl>
      <w:tblPr>
        <w:tblStyle w:val="Tablaconcuadrcula"/>
        <w:tblW w:w="9639" w:type="dxa"/>
        <w:tblInd w:w="-5" w:type="dxa"/>
        <w:tblLayout w:type="fixed"/>
        <w:tblLook w:val="04A0" w:firstRow="1" w:lastRow="0" w:firstColumn="1" w:lastColumn="0" w:noHBand="0" w:noVBand="1"/>
      </w:tblPr>
      <w:tblGrid>
        <w:gridCol w:w="3402"/>
        <w:gridCol w:w="6237"/>
      </w:tblGrid>
      <w:tr w:rsidR="00CF0F96" w:rsidRPr="00CF0F96" w14:paraId="5135436C" w14:textId="77777777" w:rsidTr="37B44ACB">
        <w:trPr>
          <w:trHeight w:val="226"/>
        </w:trPr>
        <w:tc>
          <w:tcPr>
            <w:tcW w:w="3402" w:type="dxa"/>
          </w:tcPr>
          <w:p w14:paraId="35B631E9" w14:textId="77777777" w:rsidR="005D7F0C" w:rsidRPr="00CF0F96" w:rsidRDefault="2664BE3D">
            <w:pPr>
              <w:pStyle w:val="Prrafodelista"/>
              <w:spacing w:after="160" w:line="259" w:lineRule="auto"/>
              <w:ind w:left="0"/>
              <w:contextualSpacing w:val="0"/>
              <w:rPr>
                <w:rFonts w:cs="Arial"/>
                <w:sz w:val="20"/>
                <w:szCs w:val="20"/>
              </w:rPr>
            </w:pPr>
            <w:r w:rsidRPr="00CF0F96">
              <w:rPr>
                <w:rFonts w:cs="Arial"/>
                <w:sz w:val="20"/>
                <w:szCs w:val="20"/>
              </w:rPr>
              <w:t>Aldea</w:t>
            </w:r>
            <w:r w:rsidR="005D7F0C" w:rsidRPr="00CF0F96">
              <w:rPr>
                <w:rStyle w:val="Refdenotaalpie"/>
                <w:rFonts w:cs="Arial"/>
              </w:rPr>
              <w:footnoteReference w:id="66"/>
            </w:r>
          </w:p>
        </w:tc>
        <w:tc>
          <w:tcPr>
            <w:tcW w:w="6237" w:type="dxa"/>
          </w:tcPr>
          <w:p w14:paraId="29A59AED" w14:textId="77777777" w:rsidR="005D7F0C" w:rsidRPr="00CF0F96" w:rsidRDefault="005D7F0C">
            <w:pPr>
              <w:pStyle w:val="Prrafodelista"/>
              <w:spacing w:after="160" w:line="259" w:lineRule="auto"/>
              <w:ind w:left="0"/>
              <w:contextualSpacing w:val="0"/>
              <w:rPr>
                <w:rFonts w:cs="Arial"/>
                <w:sz w:val="20"/>
                <w:szCs w:val="20"/>
              </w:rPr>
            </w:pPr>
          </w:p>
        </w:tc>
      </w:tr>
      <w:tr w:rsidR="00CF0F96" w:rsidRPr="00CF0F96" w14:paraId="0EB2F96E" w14:textId="77777777" w:rsidTr="37B44ACB">
        <w:trPr>
          <w:trHeight w:val="226"/>
        </w:trPr>
        <w:tc>
          <w:tcPr>
            <w:tcW w:w="3402" w:type="dxa"/>
          </w:tcPr>
          <w:p w14:paraId="03687176" w14:textId="77777777" w:rsidR="005D7F0C" w:rsidRPr="00CF0F96" w:rsidRDefault="005D7F0C">
            <w:pPr>
              <w:pStyle w:val="Prrafodelista"/>
              <w:spacing w:after="160" w:line="259" w:lineRule="auto"/>
              <w:ind w:left="0"/>
              <w:contextualSpacing w:val="0"/>
              <w:rPr>
                <w:rFonts w:cs="Arial"/>
                <w:sz w:val="20"/>
                <w:szCs w:val="20"/>
              </w:rPr>
            </w:pPr>
            <w:r w:rsidRPr="00CF0F96">
              <w:rPr>
                <w:rFonts w:cs="Arial"/>
                <w:sz w:val="20"/>
                <w:szCs w:val="20"/>
              </w:rPr>
              <w:t>Municipio</w:t>
            </w:r>
          </w:p>
        </w:tc>
        <w:tc>
          <w:tcPr>
            <w:tcW w:w="6237" w:type="dxa"/>
          </w:tcPr>
          <w:p w14:paraId="58D56C92" w14:textId="77777777" w:rsidR="005D7F0C" w:rsidRPr="00CF0F96" w:rsidRDefault="005D7F0C">
            <w:pPr>
              <w:pStyle w:val="Prrafodelista"/>
              <w:spacing w:after="160" w:line="259" w:lineRule="auto"/>
              <w:ind w:left="0"/>
              <w:contextualSpacing w:val="0"/>
              <w:rPr>
                <w:rFonts w:cs="Arial"/>
                <w:sz w:val="20"/>
                <w:szCs w:val="20"/>
              </w:rPr>
            </w:pPr>
          </w:p>
        </w:tc>
      </w:tr>
      <w:tr w:rsidR="00CF0F96" w:rsidRPr="00CF0F96" w14:paraId="68217CE4" w14:textId="77777777" w:rsidTr="37B44ACB">
        <w:trPr>
          <w:trHeight w:val="226"/>
        </w:trPr>
        <w:tc>
          <w:tcPr>
            <w:tcW w:w="3402" w:type="dxa"/>
          </w:tcPr>
          <w:p w14:paraId="0317A304" w14:textId="77777777" w:rsidR="005D7F0C" w:rsidRPr="00CF0F96" w:rsidRDefault="005D7F0C">
            <w:pPr>
              <w:pStyle w:val="Prrafodelista"/>
              <w:spacing w:after="160" w:line="259" w:lineRule="auto"/>
              <w:ind w:left="0"/>
              <w:contextualSpacing w:val="0"/>
              <w:rPr>
                <w:rFonts w:cs="Arial"/>
                <w:sz w:val="20"/>
                <w:szCs w:val="20"/>
              </w:rPr>
            </w:pPr>
            <w:r w:rsidRPr="00CF0F96">
              <w:rPr>
                <w:rFonts w:cs="Arial"/>
                <w:sz w:val="20"/>
                <w:szCs w:val="20"/>
              </w:rPr>
              <w:t>Departamento</w:t>
            </w:r>
          </w:p>
        </w:tc>
        <w:tc>
          <w:tcPr>
            <w:tcW w:w="6237" w:type="dxa"/>
          </w:tcPr>
          <w:p w14:paraId="3CD590D1" w14:textId="77777777" w:rsidR="005D7F0C" w:rsidRPr="00CF0F96" w:rsidRDefault="005D7F0C">
            <w:pPr>
              <w:pStyle w:val="Prrafodelista"/>
              <w:spacing w:after="160" w:line="259" w:lineRule="auto"/>
              <w:ind w:left="0"/>
              <w:contextualSpacing w:val="0"/>
              <w:rPr>
                <w:rFonts w:cs="Arial"/>
                <w:sz w:val="20"/>
                <w:szCs w:val="20"/>
              </w:rPr>
            </w:pPr>
          </w:p>
        </w:tc>
      </w:tr>
      <w:tr w:rsidR="00CF0F96" w:rsidRPr="00CF0F96" w14:paraId="29FB75E8" w14:textId="77777777" w:rsidTr="37B44ACB">
        <w:trPr>
          <w:trHeight w:val="226"/>
        </w:trPr>
        <w:tc>
          <w:tcPr>
            <w:tcW w:w="3402" w:type="dxa"/>
          </w:tcPr>
          <w:p w14:paraId="67C114F0" w14:textId="77777777" w:rsidR="005D7F0C" w:rsidRPr="00CF0F96" w:rsidRDefault="005D7F0C">
            <w:pPr>
              <w:pStyle w:val="Prrafodelista"/>
              <w:spacing w:after="160" w:line="259" w:lineRule="auto"/>
              <w:ind w:left="0"/>
              <w:contextualSpacing w:val="0"/>
              <w:rPr>
                <w:rFonts w:cs="Arial"/>
                <w:sz w:val="20"/>
                <w:szCs w:val="20"/>
              </w:rPr>
            </w:pPr>
            <w:r w:rsidRPr="00CF0F96">
              <w:rPr>
                <w:rFonts w:cs="Arial"/>
                <w:sz w:val="20"/>
                <w:szCs w:val="20"/>
              </w:rPr>
              <w:t>Coordenadas GPS del área de intervención</w:t>
            </w:r>
          </w:p>
        </w:tc>
        <w:tc>
          <w:tcPr>
            <w:tcW w:w="6237" w:type="dxa"/>
          </w:tcPr>
          <w:p w14:paraId="754D1A6B" w14:textId="77777777" w:rsidR="005D7F0C" w:rsidRPr="00CF0F96" w:rsidRDefault="005D7F0C">
            <w:pPr>
              <w:pStyle w:val="Prrafodelista"/>
              <w:spacing w:after="160" w:line="259" w:lineRule="auto"/>
              <w:ind w:left="0"/>
              <w:contextualSpacing w:val="0"/>
              <w:rPr>
                <w:rFonts w:cs="Arial"/>
                <w:sz w:val="20"/>
                <w:szCs w:val="20"/>
              </w:rPr>
            </w:pPr>
          </w:p>
        </w:tc>
      </w:tr>
      <w:tr w:rsidR="00CF0F96" w:rsidRPr="00CF0F96" w14:paraId="6DE1B0C2" w14:textId="77777777" w:rsidTr="37B44ACB">
        <w:trPr>
          <w:trHeight w:val="226"/>
        </w:trPr>
        <w:tc>
          <w:tcPr>
            <w:tcW w:w="3402" w:type="dxa"/>
          </w:tcPr>
          <w:p w14:paraId="2EE702A6" w14:textId="77777777" w:rsidR="005D7F0C" w:rsidRPr="00CF0F96" w:rsidRDefault="005D7F0C">
            <w:pPr>
              <w:pStyle w:val="Prrafodelista"/>
              <w:spacing w:line="259" w:lineRule="auto"/>
              <w:ind w:left="0"/>
              <w:rPr>
                <w:rFonts w:cs="Arial"/>
                <w:sz w:val="20"/>
                <w:szCs w:val="20"/>
              </w:rPr>
            </w:pPr>
            <w:r w:rsidRPr="00CF0F96">
              <w:rPr>
                <w:rFonts w:cs="Arial"/>
                <w:sz w:val="20"/>
                <w:szCs w:val="20"/>
              </w:rPr>
              <w:t>Coordenadas de la sede OPR</w:t>
            </w:r>
          </w:p>
        </w:tc>
        <w:tc>
          <w:tcPr>
            <w:tcW w:w="6237" w:type="dxa"/>
          </w:tcPr>
          <w:p w14:paraId="6F5D6B13" w14:textId="77777777" w:rsidR="005D7F0C" w:rsidRPr="00CF0F96" w:rsidRDefault="005D7F0C">
            <w:pPr>
              <w:pStyle w:val="Prrafodelista"/>
              <w:rPr>
                <w:rFonts w:cs="Arial"/>
                <w:sz w:val="20"/>
                <w:szCs w:val="20"/>
              </w:rPr>
            </w:pPr>
          </w:p>
        </w:tc>
      </w:tr>
      <w:tr w:rsidR="00CF0F96" w:rsidRPr="00CF0F96" w14:paraId="00BE8206" w14:textId="77777777" w:rsidTr="37B44ACB">
        <w:trPr>
          <w:trHeight w:val="226"/>
        </w:trPr>
        <w:tc>
          <w:tcPr>
            <w:tcW w:w="3402" w:type="dxa"/>
          </w:tcPr>
          <w:p w14:paraId="0647023C" w14:textId="77777777" w:rsidR="005D7F0C" w:rsidRPr="00CF0F96" w:rsidRDefault="005D7F0C">
            <w:pPr>
              <w:pStyle w:val="Prrafodelista"/>
              <w:spacing w:after="160" w:line="259" w:lineRule="auto"/>
              <w:ind w:left="0"/>
              <w:contextualSpacing w:val="0"/>
              <w:rPr>
                <w:rFonts w:cs="Arial"/>
                <w:sz w:val="20"/>
                <w:szCs w:val="20"/>
              </w:rPr>
            </w:pPr>
            <w:r w:rsidRPr="00CF0F96">
              <w:rPr>
                <w:rFonts w:cs="Arial"/>
                <w:sz w:val="20"/>
                <w:szCs w:val="20"/>
              </w:rPr>
              <w:t xml:space="preserve">Teléfono </w:t>
            </w:r>
          </w:p>
        </w:tc>
        <w:tc>
          <w:tcPr>
            <w:tcW w:w="6237" w:type="dxa"/>
          </w:tcPr>
          <w:p w14:paraId="6D2D5FBB" w14:textId="77777777" w:rsidR="005D7F0C" w:rsidRPr="00CF0F96" w:rsidRDefault="005D7F0C">
            <w:pPr>
              <w:pStyle w:val="Prrafodelista"/>
              <w:spacing w:after="160" w:line="259" w:lineRule="auto"/>
              <w:ind w:left="0"/>
              <w:contextualSpacing w:val="0"/>
              <w:rPr>
                <w:rFonts w:cs="Arial"/>
                <w:sz w:val="20"/>
                <w:szCs w:val="20"/>
              </w:rPr>
            </w:pPr>
          </w:p>
        </w:tc>
      </w:tr>
      <w:tr w:rsidR="00CF0F96" w:rsidRPr="00CF0F96" w14:paraId="27908986" w14:textId="77777777" w:rsidTr="37B44ACB">
        <w:trPr>
          <w:trHeight w:val="226"/>
        </w:trPr>
        <w:tc>
          <w:tcPr>
            <w:tcW w:w="3402" w:type="dxa"/>
          </w:tcPr>
          <w:p w14:paraId="278EC1AD" w14:textId="77777777" w:rsidR="005D7F0C" w:rsidRPr="00CF0F96" w:rsidRDefault="005D7F0C">
            <w:pPr>
              <w:pStyle w:val="Prrafodelista"/>
              <w:spacing w:after="160" w:line="259" w:lineRule="auto"/>
              <w:ind w:left="0"/>
              <w:contextualSpacing w:val="0"/>
              <w:rPr>
                <w:rFonts w:cs="Arial"/>
                <w:sz w:val="20"/>
                <w:szCs w:val="20"/>
              </w:rPr>
            </w:pPr>
            <w:r w:rsidRPr="00CF0F96">
              <w:rPr>
                <w:rFonts w:cs="Arial"/>
                <w:sz w:val="20"/>
                <w:szCs w:val="20"/>
              </w:rPr>
              <w:t>Correo electrónico</w:t>
            </w:r>
          </w:p>
        </w:tc>
        <w:tc>
          <w:tcPr>
            <w:tcW w:w="6237" w:type="dxa"/>
          </w:tcPr>
          <w:p w14:paraId="2AA8C4BE" w14:textId="77777777" w:rsidR="005D7F0C" w:rsidRPr="00CF0F96" w:rsidRDefault="005D7F0C">
            <w:pPr>
              <w:pStyle w:val="Prrafodelista"/>
              <w:spacing w:after="160" w:line="259" w:lineRule="auto"/>
              <w:ind w:left="0"/>
              <w:contextualSpacing w:val="0"/>
              <w:rPr>
                <w:rFonts w:cs="Arial"/>
                <w:sz w:val="20"/>
                <w:szCs w:val="20"/>
              </w:rPr>
            </w:pPr>
          </w:p>
        </w:tc>
      </w:tr>
    </w:tbl>
    <w:p w14:paraId="6EF8A95D" w14:textId="77777777" w:rsidR="005D7F0C" w:rsidRPr="00CF0F96" w:rsidRDefault="005D7F0C" w:rsidP="005D7F0C">
      <w:pPr>
        <w:spacing w:after="0" w:line="276" w:lineRule="auto"/>
        <w:jc w:val="both"/>
        <w:rPr>
          <w:rFonts w:cs="Arial"/>
          <w:sz w:val="20"/>
          <w:szCs w:val="20"/>
        </w:rPr>
      </w:pPr>
    </w:p>
    <w:p w14:paraId="54864883" w14:textId="77777777" w:rsidR="005D7F0C" w:rsidRPr="00CF0F96" w:rsidRDefault="005D7F0C" w:rsidP="005D7F0C">
      <w:pPr>
        <w:pStyle w:val="Prrafodelista"/>
        <w:numPr>
          <w:ilvl w:val="0"/>
          <w:numId w:val="45"/>
        </w:numPr>
        <w:spacing w:after="0" w:line="276" w:lineRule="auto"/>
        <w:contextualSpacing w:val="0"/>
        <w:jc w:val="both"/>
        <w:rPr>
          <w:rFonts w:cs="Arial"/>
          <w:sz w:val="20"/>
          <w:szCs w:val="20"/>
        </w:rPr>
      </w:pPr>
      <w:r w:rsidRPr="00CF0F96">
        <w:rPr>
          <w:rFonts w:cs="Arial"/>
          <w:b/>
          <w:bCs/>
          <w:sz w:val="20"/>
          <w:szCs w:val="20"/>
        </w:rPr>
        <w:t>Datos del contacto de la OPR</w:t>
      </w:r>
    </w:p>
    <w:tbl>
      <w:tblPr>
        <w:tblStyle w:val="Tablaconcuadrcula"/>
        <w:tblW w:w="9639" w:type="dxa"/>
        <w:tblInd w:w="-5" w:type="dxa"/>
        <w:tblLayout w:type="fixed"/>
        <w:tblLook w:val="04A0" w:firstRow="1" w:lastRow="0" w:firstColumn="1" w:lastColumn="0" w:noHBand="0" w:noVBand="1"/>
      </w:tblPr>
      <w:tblGrid>
        <w:gridCol w:w="3402"/>
        <w:gridCol w:w="6237"/>
      </w:tblGrid>
      <w:tr w:rsidR="00CF0F96" w:rsidRPr="00CF0F96" w14:paraId="1801019F" w14:textId="77777777">
        <w:trPr>
          <w:trHeight w:val="226"/>
        </w:trPr>
        <w:tc>
          <w:tcPr>
            <w:tcW w:w="3402" w:type="dxa"/>
          </w:tcPr>
          <w:p w14:paraId="3E98A53A" w14:textId="77777777" w:rsidR="005D7F0C" w:rsidRPr="00CF0F96" w:rsidRDefault="005D7F0C">
            <w:pPr>
              <w:pStyle w:val="Prrafodelista"/>
              <w:spacing w:after="160" w:line="259" w:lineRule="auto"/>
              <w:ind w:left="0"/>
              <w:contextualSpacing w:val="0"/>
              <w:rPr>
                <w:rFonts w:cs="Arial"/>
                <w:sz w:val="20"/>
                <w:szCs w:val="20"/>
              </w:rPr>
            </w:pPr>
            <w:r w:rsidRPr="00CF0F96">
              <w:rPr>
                <w:rFonts w:cs="Arial"/>
                <w:sz w:val="20"/>
                <w:szCs w:val="20"/>
              </w:rPr>
              <w:t xml:space="preserve">Nombre </w:t>
            </w:r>
          </w:p>
        </w:tc>
        <w:tc>
          <w:tcPr>
            <w:tcW w:w="6237" w:type="dxa"/>
          </w:tcPr>
          <w:p w14:paraId="01078188" w14:textId="77777777" w:rsidR="005D7F0C" w:rsidRPr="00CF0F96" w:rsidRDefault="005D7F0C">
            <w:pPr>
              <w:pStyle w:val="Prrafodelista"/>
              <w:spacing w:after="160" w:line="259" w:lineRule="auto"/>
              <w:ind w:left="0"/>
              <w:contextualSpacing w:val="0"/>
              <w:rPr>
                <w:rFonts w:cs="Arial"/>
                <w:sz w:val="20"/>
                <w:szCs w:val="20"/>
              </w:rPr>
            </w:pPr>
          </w:p>
        </w:tc>
      </w:tr>
      <w:tr w:rsidR="00CF0F96" w:rsidRPr="00CF0F96" w14:paraId="36C38BDB" w14:textId="77777777">
        <w:trPr>
          <w:trHeight w:val="226"/>
        </w:trPr>
        <w:tc>
          <w:tcPr>
            <w:tcW w:w="3402" w:type="dxa"/>
          </w:tcPr>
          <w:p w14:paraId="79A7E19D" w14:textId="77777777" w:rsidR="005D7F0C" w:rsidRPr="00CF0F96" w:rsidRDefault="005D7F0C">
            <w:pPr>
              <w:pStyle w:val="Prrafodelista"/>
              <w:spacing w:after="160" w:line="259" w:lineRule="auto"/>
              <w:ind w:left="0"/>
              <w:contextualSpacing w:val="0"/>
              <w:rPr>
                <w:rFonts w:cs="Arial"/>
                <w:sz w:val="20"/>
                <w:szCs w:val="20"/>
              </w:rPr>
            </w:pPr>
            <w:r w:rsidRPr="00CF0F96">
              <w:rPr>
                <w:rFonts w:cs="Arial"/>
                <w:sz w:val="20"/>
                <w:szCs w:val="20"/>
              </w:rPr>
              <w:lastRenderedPageBreak/>
              <w:t>Cargo</w:t>
            </w:r>
          </w:p>
        </w:tc>
        <w:tc>
          <w:tcPr>
            <w:tcW w:w="6237" w:type="dxa"/>
          </w:tcPr>
          <w:p w14:paraId="388739DC" w14:textId="77777777" w:rsidR="005D7F0C" w:rsidRPr="00CF0F96" w:rsidRDefault="005D7F0C">
            <w:pPr>
              <w:pStyle w:val="Prrafodelista"/>
              <w:spacing w:after="160" w:line="259" w:lineRule="auto"/>
              <w:ind w:left="0"/>
              <w:contextualSpacing w:val="0"/>
              <w:rPr>
                <w:rFonts w:cs="Arial"/>
                <w:sz w:val="20"/>
                <w:szCs w:val="20"/>
              </w:rPr>
            </w:pPr>
          </w:p>
        </w:tc>
      </w:tr>
      <w:tr w:rsidR="00CF0F96" w:rsidRPr="00CF0F96" w14:paraId="40458332" w14:textId="77777777">
        <w:trPr>
          <w:trHeight w:val="226"/>
        </w:trPr>
        <w:tc>
          <w:tcPr>
            <w:tcW w:w="3402" w:type="dxa"/>
          </w:tcPr>
          <w:p w14:paraId="06D92FB9" w14:textId="77777777" w:rsidR="005D7F0C" w:rsidRPr="00CF0F96" w:rsidRDefault="005D7F0C">
            <w:pPr>
              <w:pStyle w:val="Prrafodelista"/>
              <w:spacing w:after="160" w:line="259" w:lineRule="auto"/>
              <w:ind w:left="0"/>
              <w:contextualSpacing w:val="0"/>
              <w:rPr>
                <w:rFonts w:cs="Arial"/>
                <w:sz w:val="20"/>
                <w:szCs w:val="20"/>
              </w:rPr>
            </w:pPr>
            <w:r w:rsidRPr="00CF0F96">
              <w:rPr>
                <w:rFonts w:cs="Arial"/>
                <w:sz w:val="20"/>
                <w:szCs w:val="20"/>
              </w:rPr>
              <w:t xml:space="preserve">Teléfono </w:t>
            </w:r>
          </w:p>
        </w:tc>
        <w:tc>
          <w:tcPr>
            <w:tcW w:w="6237" w:type="dxa"/>
          </w:tcPr>
          <w:p w14:paraId="5508738B" w14:textId="77777777" w:rsidR="005D7F0C" w:rsidRPr="00CF0F96" w:rsidRDefault="005D7F0C">
            <w:pPr>
              <w:pStyle w:val="Prrafodelista"/>
              <w:spacing w:after="160" w:line="259" w:lineRule="auto"/>
              <w:ind w:left="0"/>
              <w:contextualSpacing w:val="0"/>
              <w:rPr>
                <w:rFonts w:cs="Arial"/>
                <w:sz w:val="20"/>
                <w:szCs w:val="20"/>
              </w:rPr>
            </w:pPr>
          </w:p>
        </w:tc>
      </w:tr>
      <w:tr w:rsidR="00CF0F96" w:rsidRPr="00CF0F96" w14:paraId="7B3BABCA" w14:textId="77777777">
        <w:trPr>
          <w:trHeight w:val="226"/>
        </w:trPr>
        <w:tc>
          <w:tcPr>
            <w:tcW w:w="3402" w:type="dxa"/>
          </w:tcPr>
          <w:p w14:paraId="45C6FDFD" w14:textId="77777777" w:rsidR="005D7F0C" w:rsidRPr="00CF0F96" w:rsidRDefault="005D7F0C">
            <w:pPr>
              <w:pStyle w:val="Prrafodelista"/>
              <w:spacing w:after="160" w:line="259" w:lineRule="auto"/>
              <w:ind w:left="0" w:right="-111"/>
              <w:contextualSpacing w:val="0"/>
              <w:rPr>
                <w:rFonts w:cs="Arial"/>
                <w:sz w:val="20"/>
                <w:szCs w:val="20"/>
              </w:rPr>
            </w:pPr>
            <w:r w:rsidRPr="00CF0F96">
              <w:rPr>
                <w:rFonts w:cs="Arial"/>
                <w:sz w:val="20"/>
                <w:szCs w:val="20"/>
              </w:rPr>
              <w:t xml:space="preserve">Correo electrónico </w:t>
            </w:r>
          </w:p>
        </w:tc>
        <w:tc>
          <w:tcPr>
            <w:tcW w:w="6237" w:type="dxa"/>
          </w:tcPr>
          <w:p w14:paraId="7E0AB12B" w14:textId="77777777" w:rsidR="005D7F0C" w:rsidRPr="00CF0F96" w:rsidRDefault="005D7F0C">
            <w:pPr>
              <w:pStyle w:val="Prrafodelista"/>
              <w:spacing w:after="160" w:line="259" w:lineRule="auto"/>
              <w:ind w:left="0"/>
              <w:contextualSpacing w:val="0"/>
              <w:rPr>
                <w:rFonts w:cs="Arial"/>
                <w:sz w:val="20"/>
                <w:szCs w:val="20"/>
              </w:rPr>
            </w:pPr>
          </w:p>
        </w:tc>
      </w:tr>
    </w:tbl>
    <w:p w14:paraId="3B3A5740" w14:textId="77777777" w:rsidR="005D7F0C" w:rsidRPr="00CF0F96" w:rsidRDefault="005D7F0C" w:rsidP="005D7F0C">
      <w:pPr>
        <w:spacing w:after="0" w:line="276" w:lineRule="auto"/>
        <w:jc w:val="both"/>
        <w:rPr>
          <w:rFonts w:cs="Arial"/>
          <w:sz w:val="20"/>
          <w:szCs w:val="20"/>
        </w:rPr>
      </w:pPr>
    </w:p>
    <w:p w14:paraId="4831F742" w14:textId="77777777" w:rsidR="005D7F0C" w:rsidRPr="00CF0F96" w:rsidRDefault="005D7F0C" w:rsidP="005D7F0C">
      <w:pPr>
        <w:pStyle w:val="Prrafodelista"/>
        <w:numPr>
          <w:ilvl w:val="0"/>
          <w:numId w:val="45"/>
        </w:numPr>
        <w:spacing w:after="0" w:line="276" w:lineRule="auto"/>
        <w:contextualSpacing w:val="0"/>
        <w:jc w:val="both"/>
        <w:rPr>
          <w:rFonts w:cs="Arial"/>
          <w:sz w:val="20"/>
          <w:szCs w:val="20"/>
        </w:rPr>
      </w:pPr>
      <w:r w:rsidRPr="00CF0F96">
        <w:rPr>
          <w:rFonts w:cs="Arial"/>
          <w:b/>
          <w:bCs/>
          <w:sz w:val="20"/>
          <w:szCs w:val="20"/>
        </w:rPr>
        <w:t>Datos del representante legal de la OPR</w:t>
      </w:r>
    </w:p>
    <w:tbl>
      <w:tblPr>
        <w:tblStyle w:val="Tablaconcuadrcula"/>
        <w:tblW w:w="9639" w:type="dxa"/>
        <w:tblInd w:w="-5" w:type="dxa"/>
        <w:tblLayout w:type="fixed"/>
        <w:tblLook w:val="04A0" w:firstRow="1" w:lastRow="0" w:firstColumn="1" w:lastColumn="0" w:noHBand="0" w:noVBand="1"/>
      </w:tblPr>
      <w:tblGrid>
        <w:gridCol w:w="3402"/>
        <w:gridCol w:w="6237"/>
      </w:tblGrid>
      <w:tr w:rsidR="00CF0F96" w:rsidRPr="00CF0F96" w14:paraId="4EAF57AE" w14:textId="77777777">
        <w:trPr>
          <w:trHeight w:val="226"/>
        </w:trPr>
        <w:tc>
          <w:tcPr>
            <w:tcW w:w="3402" w:type="dxa"/>
          </w:tcPr>
          <w:p w14:paraId="3FE783FB" w14:textId="77777777" w:rsidR="005D7F0C" w:rsidRPr="00CF0F96" w:rsidRDefault="005D7F0C">
            <w:pPr>
              <w:pStyle w:val="Prrafodelista"/>
              <w:spacing w:after="160" w:line="259" w:lineRule="auto"/>
              <w:ind w:left="0"/>
              <w:contextualSpacing w:val="0"/>
              <w:rPr>
                <w:rFonts w:cs="Arial"/>
                <w:sz w:val="20"/>
                <w:szCs w:val="20"/>
              </w:rPr>
            </w:pPr>
            <w:r w:rsidRPr="00CF0F96">
              <w:rPr>
                <w:rFonts w:cs="Arial"/>
                <w:sz w:val="20"/>
                <w:szCs w:val="20"/>
              </w:rPr>
              <w:t>Nombre</w:t>
            </w:r>
          </w:p>
        </w:tc>
        <w:tc>
          <w:tcPr>
            <w:tcW w:w="6237" w:type="dxa"/>
          </w:tcPr>
          <w:p w14:paraId="2FBF0854" w14:textId="77777777" w:rsidR="005D7F0C" w:rsidRPr="00CF0F96" w:rsidRDefault="005D7F0C">
            <w:pPr>
              <w:pStyle w:val="Prrafodelista"/>
              <w:spacing w:after="160" w:line="259" w:lineRule="auto"/>
              <w:ind w:left="0"/>
              <w:contextualSpacing w:val="0"/>
              <w:rPr>
                <w:rFonts w:cs="Arial"/>
                <w:sz w:val="20"/>
                <w:szCs w:val="20"/>
              </w:rPr>
            </w:pPr>
          </w:p>
        </w:tc>
      </w:tr>
      <w:tr w:rsidR="00CF0F96" w:rsidRPr="00CF0F96" w14:paraId="55F33B8D" w14:textId="77777777">
        <w:trPr>
          <w:trHeight w:val="226"/>
        </w:trPr>
        <w:tc>
          <w:tcPr>
            <w:tcW w:w="3402" w:type="dxa"/>
          </w:tcPr>
          <w:p w14:paraId="37C38DE5" w14:textId="77777777" w:rsidR="005D7F0C" w:rsidRPr="00CF0F96" w:rsidRDefault="005D7F0C">
            <w:pPr>
              <w:pStyle w:val="Prrafodelista"/>
              <w:spacing w:after="160" w:line="259" w:lineRule="auto"/>
              <w:ind w:left="0"/>
              <w:contextualSpacing w:val="0"/>
              <w:rPr>
                <w:rFonts w:cs="Arial"/>
                <w:sz w:val="20"/>
                <w:szCs w:val="20"/>
              </w:rPr>
            </w:pPr>
            <w:r w:rsidRPr="00CF0F96">
              <w:rPr>
                <w:rFonts w:cs="Arial"/>
                <w:sz w:val="20"/>
                <w:szCs w:val="20"/>
              </w:rPr>
              <w:t>Teléfono</w:t>
            </w:r>
          </w:p>
        </w:tc>
        <w:tc>
          <w:tcPr>
            <w:tcW w:w="6237" w:type="dxa"/>
          </w:tcPr>
          <w:p w14:paraId="6427624E" w14:textId="77777777" w:rsidR="005D7F0C" w:rsidRPr="00CF0F96" w:rsidRDefault="005D7F0C">
            <w:pPr>
              <w:pStyle w:val="Prrafodelista"/>
              <w:spacing w:after="160" w:line="259" w:lineRule="auto"/>
              <w:ind w:left="0"/>
              <w:contextualSpacing w:val="0"/>
              <w:rPr>
                <w:rFonts w:cs="Arial"/>
                <w:sz w:val="20"/>
                <w:szCs w:val="20"/>
              </w:rPr>
            </w:pPr>
          </w:p>
        </w:tc>
      </w:tr>
      <w:tr w:rsidR="00CF0F96" w:rsidRPr="00CF0F96" w14:paraId="6A48D7D1" w14:textId="77777777">
        <w:trPr>
          <w:trHeight w:val="226"/>
        </w:trPr>
        <w:tc>
          <w:tcPr>
            <w:tcW w:w="3402" w:type="dxa"/>
          </w:tcPr>
          <w:p w14:paraId="6F407BAB" w14:textId="77777777" w:rsidR="005D7F0C" w:rsidRPr="00CF0F96" w:rsidRDefault="005D7F0C">
            <w:pPr>
              <w:pStyle w:val="Prrafodelista"/>
              <w:spacing w:after="160" w:line="259" w:lineRule="auto"/>
              <w:ind w:left="0" w:right="-111"/>
              <w:contextualSpacing w:val="0"/>
              <w:rPr>
                <w:rFonts w:cs="Arial"/>
                <w:sz w:val="20"/>
                <w:szCs w:val="20"/>
              </w:rPr>
            </w:pPr>
            <w:r w:rsidRPr="00CF0F96">
              <w:rPr>
                <w:rFonts w:cs="Arial"/>
                <w:sz w:val="20"/>
                <w:szCs w:val="20"/>
              </w:rPr>
              <w:t>Correo electrónico</w:t>
            </w:r>
          </w:p>
        </w:tc>
        <w:tc>
          <w:tcPr>
            <w:tcW w:w="6237" w:type="dxa"/>
          </w:tcPr>
          <w:p w14:paraId="17D53B18" w14:textId="77777777" w:rsidR="005D7F0C" w:rsidRPr="00CF0F96" w:rsidRDefault="005D7F0C">
            <w:pPr>
              <w:pStyle w:val="Prrafodelista"/>
              <w:spacing w:after="160" w:line="259" w:lineRule="auto"/>
              <w:ind w:left="0"/>
              <w:contextualSpacing w:val="0"/>
              <w:rPr>
                <w:rFonts w:cs="Arial"/>
                <w:sz w:val="20"/>
                <w:szCs w:val="20"/>
              </w:rPr>
            </w:pPr>
          </w:p>
        </w:tc>
      </w:tr>
    </w:tbl>
    <w:p w14:paraId="078C4D70" w14:textId="77777777" w:rsidR="005D7F0C" w:rsidRPr="00CF0F96" w:rsidRDefault="005D7F0C" w:rsidP="005D7F0C">
      <w:pPr>
        <w:spacing w:after="0" w:line="276" w:lineRule="auto"/>
        <w:jc w:val="both"/>
        <w:rPr>
          <w:rFonts w:cs="Arial"/>
          <w:sz w:val="20"/>
          <w:szCs w:val="20"/>
        </w:rPr>
      </w:pPr>
    </w:p>
    <w:p w14:paraId="2C83735E" w14:textId="77777777" w:rsidR="005D7F0C" w:rsidRPr="00CF0F96" w:rsidRDefault="005D7F0C" w:rsidP="005D7F0C">
      <w:pPr>
        <w:pStyle w:val="Prrafodelista"/>
        <w:numPr>
          <w:ilvl w:val="0"/>
          <w:numId w:val="45"/>
        </w:numPr>
        <w:spacing w:after="120" w:line="276" w:lineRule="auto"/>
        <w:ind w:left="357" w:hanging="357"/>
        <w:contextualSpacing w:val="0"/>
        <w:rPr>
          <w:rFonts w:cs="Arial"/>
          <w:b/>
          <w:bCs/>
          <w:sz w:val="20"/>
          <w:szCs w:val="20"/>
        </w:rPr>
      </w:pPr>
      <w:r w:rsidRPr="00CF0F96">
        <w:rPr>
          <w:rFonts w:cs="Arial"/>
          <w:b/>
          <w:bCs/>
          <w:sz w:val="20"/>
          <w:szCs w:val="20"/>
        </w:rPr>
        <w:t>Número de miembros de la OPR participantes en el Plan de Negocios (PdN)</w:t>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18"/>
        <w:gridCol w:w="1276"/>
        <w:gridCol w:w="1220"/>
        <w:gridCol w:w="1511"/>
        <w:gridCol w:w="1511"/>
        <w:gridCol w:w="2889"/>
      </w:tblGrid>
      <w:tr w:rsidR="00CF0F96" w:rsidRPr="00CF0F96" w14:paraId="5D924EC6" w14:textId="77777777">
        <w:trPr>
          <w:trHeight w:val="300"/>
          <w:jc w:val="center"/>
        </w:trPr>
        <w:tc>
          <w:tcPr>
            <w:tcW w:w="1618" w:type="dxa"/>
            <w:shd w:val="clear" w:color="auto" w:fill="auto"/>
            <w:noWrap/>
            <w:vAlign w:val="center"/>
            <w:hideMark/>
          </w:tcPr>
          <w:p w14:paraId="49EDA108" w14:textId="77777777" w:rsidR="005D7F0C" w:rsidRPr="00CF0F96" w:rsidRDefault="005D7F0C">
            <w:pPr>
              <w:spacing w:after="80"/>
              <w:jc w:val="center"/>
              <w:rPr>
                <w:rFonts w:cs="Arial"/>
                <w:b/>
                <w:bCs/>
                <w:sz w:val="20"/>
                <w:szCs w:val="20"/>
                <w:lang w:eastAsia="es-HN"/>
              </w:rPr>
            </w:pPr>
            <w:r w:rsidRPr="00CF0F96">
              <w:rPr>
                <w:rFonts w:cs="Arial"/>
                <w:b/>
                <w:bCs/>
                <w:sz w:val="20"/>
                <w:szCs w:val="20"/>
                <w:lang w:eastAsia="es-HN"/>
              </w:rPr>
              <w:t>Total, de participantes</w:t>
            </w:r>
          </w:p>
        </w:tc>
        <w:tc>
          <w:tcPr>
            <w:tcW w:w="1276" w:type="dxa"/>
            <w:shd w:val="clear" w:color="auto" w:fill="auto"/>
            <w:noWrap/>
            <w:vAlign w:val="center"/>
            <w:hideMark/>
          </w:tcPr>
          <w:p w14:paraId="3C479F7A" w14:textId="77777777" w:rsidR="005D7F0C" w:rsidRPr="00CF0F96" w:rsidRDefault="005D7F0C">
            <w:pPr>
              <w:spacing w:after="80"/>
              <w:jc w:val="center"/>
              <w:rPr>
                <w:rFonts w:cs="Arial"/>
                <w:b/>
                <w:bCs/>
                <w:sz w:val="20"/>
                <w:szCs w:val="20"/>
                <w:lang w:eastAsia="es-HN"/>
              </w:rPr>
            </w:pPr>
            <w:r w:rsidRPr="00CF0F96">
              <w:rPr>
                <w:rFonts w:cs="Arial"/>
                <w:b/>
                <w:bCs/>
                <w:sz w:val="20"/>
                <w:szCs w:val="20"/>
                <w:lang w:eastAsia="es-HN"/>
              </w:rPr>
              <w:t>Hombres</w:t>
            </w:r>
          </w:p>
        </w:tc>
        <w:tc>
          <w:tcPr>
            <w:tcW w:w="1220" w:type="dxa"/>
            <w:shd w:val="clear" w:color="auto" w:fill="auto"/>
            <w:noWrap/>
            <w:vAlign w:val="center"/>
            <w:hideMark/>
          </w:tcPr>
          <w:p w14:paraId="22BDD08E" w14:textId="77777777" w:rsidR="005D7F0C" w:rsidRPr="00CF0F96" w:rsidRDefault="005D7F0C">
            <w:pPr>
              <w:spacing w:after="80"/>
              <w:jc w:val="center"/>
              <w:rPr>
                <w:rFonts w:cs="Arial"/>
                <w:b/>
                <w:bCs/>
                <w:sz w:val="20"/>
                <w:szCs w:val="20"/>
                <w:lang w:eastAsia="es-HN"/>
              </w:rPr>
            </w:pPr>
            <w:r w:rsidRPr="00CF0F96">
              <w:rPr>
                <w:rFonts w:cs="Arial"/>
                <w:b/>
                <w:bCs/>
                <w:sz w:val="20"/>
                <w:szCs w:val="20"/>
                <w:lang w:eastAsia="es-HN"/>
              </w:rPr>
              <w:t>Mujeres</w:t>
            </w:r>
          </w:p>
        </w:tc>
        <w:tc>
          <w:tcPr>
            <w:tcW w:w="1511" w:type="dxa"/>
            <w:shd w:val="clear" w:color="auto" w:fill="auto"/>
          </w:tcPr>
          <w:p w14:paraId="66F6AB21" w14:textId="77777777" w:rsidR="005D7F0C" w:rsidRPr="00CF0F96" w:rsidRDefault="005D7F0C">
            <w:pPr>
              <w:spacing w:after="80"/>
              <w:jc w:val="center"/>
              <w:rPr>
                <w:rFonts w:cs="Arial"/>
                <w:b/>
                <w:bCs/>
                <w:sz w:val="20"/>
                <w:szCs w:val="20"/>
                <w:lang w:eastAsia="es-HN"/>
              </w:rPr>
            </w:pPr>
            <w:r w:rsidRPr="00CF0F96">
              <w:rPr>
                <w:rFonts w:cs="Arial"/>
                <w:b/>
                <w:bCs/>
                <w:sz w:val="20"/>
                <w:szCs w:val="20"/>
                <w:lang w:eastAsia="es-HN"/>
              </w:rPr>
              <w:t>Jóvenes</w:t>
            </w:r>
          </w:p>
          <w:p w14:paraId="200FFF23" w14:textId="77777777" w:rsidR="005D7F0C" w:rsidRPr="00CF0F96" w:rsidRDefault="005D7F0C">
            <w:pPr>
              <w:spacing w:after="80"/>
              <w:jc w:val="center"/>
              <w:rPr>
                <w:rFonts w:cs="Arial"/>
                <w:b/>
                <w:bCs/>
                <w:sz w:val="20"/>
                <w:szCs w:val="20"/>
                <w:lang w:eastAsia="es-HN"/>
              </w:rPr>
            </w:pPr>
            <w:r w:rsidRPr="00CF0F96">
              <w:rPr>
                <w:rFonts w:cs="Arial"/>
                <w:b/>
                <w:bCs/>
                <w:sz w:val="20"/>
                <w:szCs w:val="20"/>
                <w:lang w:eastAsia="es-HN"/>
              </w:rPr>
              <w:t>(hombres)</w:t>
            </w:r>
            <w:r w:rsidRPr="00CF0F96">
              <w:rPr>
                <w:rFonts w:cs="Arial"/>
                <w:b/>
                <w:bCs/>
                <w:sz w:val="20"/>
                <w:szCs w:val="20"/>
              </w:rPr>
              <w:br/>
            </w:r>
            <w:r w:rsidRPr="00CF0F96">
              <w:rPr>
                <w:rFonts w:cs="Arial"/>
                <w:b/>
                <w:bCs/>
                <w:sz w:val="20"/>
                <w:szCs w:val="20"/>
                <w:lang w:eastAsia="es-HN"/>
              </w:rPr>
              <w:t>(18-29 años)</w:t>
            </w:r>
          </w:p>
        </w:tc>
        <w:tc>
          <w:tcPr>
            <w:tcW w:w="1511" w:type="dxa"/>
            <w:shd w:val="clear" w:color="auto" w:fill="auto"/>
            <w:vAlign w:val="center"/>
          </w:tcPr>
          <w:p w14:paraId="20BB95A4" w14:textId="77777777" w:rsidR="005D7F0C" w:rsidRPr="00CF0F96" w:rsidRDefault="005D7F0C">
            <w:pPr>
              <w:spacing w:after="80"/>
              <w:jc w:val="center"/>
              <w:rPr>
                <w:rFonts w:cs="Arial"/>
                <w:b/>
                <w:bCs/>
                <w:sz w:val="20"/>
                <w:szCs w:val="20"/>
                <w:lang w:eastAsia="es-HN"/>
              </w:rPr>
            </w:pPr>
            <w:r w:rsidRPr="00CF0F96">
              <w:rPr>
                <w:rFonts w:cs="Arial"/>
                <w:b/>
                <w:bCs/>
                <w:sz w:val="20"/>
                <w:szCs w:val="20"/>
                <w:lang w:eastAsia="es-HN"/>
              </w:rPr>
              <w:t>Jóvenes</w:t>
            </w:r>
          </w:p>
          <w:p w14:paraId="576889B2" w14:textId="77777777" w:rsidR="005D7F0C" w:rsidRPr="00CF0F96" w:rsidRDefault="005D7F0C">
            <w:pPr>
              <w:spacing w:after="80"/>
              <w:jc w:val="center"/>
              <w:rPr>
                <w:rFonts w:cs="Arial"/>
                <w:b/>
                <w:bCs/>
                <w:sz w:val="20"/>
                <w:szCs w:val="20"/>
                <w:lang w:eastAsia="es-HN"/>
              </w:rPr>
            </w:pPr>
            <w:r w:rsidRPr="00CF0F96">
              <w:rPr>
                <w:rFonts w:cs="Arial"/>
                <w:b/>
                <w:bCs/>
                <w:sz w:val="20"/>
                <w:szCs w:val="20"/>
                <w:lang w:eastAsia="es-HN"/>
              </w:rPr>
              <w:t>(mujeres)</w:t>
            </w:r>
            <w:r w:rsidRPr="00CF0F96">
              <w:rPr>
                <w:rFonts w:cs="Arial"/>
                <w:b/>
                <w:bCs/>
                <w:sz w:val="20"/>
                <w:szCs w:val="20"/>
              </w:rPr>
              <w:br/>
            </w:r>
            <w:r w:rsidRPr="00CF0F96">
              <w:rPr>
                <w:rFonts w:cs="Arial"/>
                <w:b/>
                <w:bCs/>
                <w:sz w:val="20"/>
                <w:szCs w:val="20"/>
                <w:lang w:eastAsia="es-HN"/>
              </w:rPr>
              <w:t>(18-29 años)</w:t>
            </w:r>
          </w:p>
        </w:tc>
        <w:tc>
          <w:tcPr>
            <w:tcW w:w="2889" w:type="dxa"/>
            <w:vAlign w:val="center"/>
          </w:tcPr>
          <w:p w14:paraId="607758B0" w14:textId="77777777" w:rsidR="005D7F0C" w:rsidRPr="00CF0F96" w:rsidRDefault="005D7F0C">
            <w:pPr>
              <w:spacing w:after="80"/>
              <w:jc w:val="center"/>
              <w:rPr>
                <w:rFonts w:cs="Arial"/>
                <w:bCs/>
                <w:sz w:val="20"/>
                <w:szCs w:val="20"/>
                <w:lang w:eastAsia="es-HN"/>
              </w:rPr>
            </w:pPr>
            <w:r w:rsidRPr="00CF0F96">
              <w:rPr>
                <w:rFonts w:cs="Arial"/>
                <w:b/>
                <w:bCs/>
                <w:sz w:val="20"/>
                <w:szCs w:val="20"/>
                <w:lang w:eastAsia="es-HN"/>
              </w:rPr>
              <w:t>Pertenencia a pueblos indígenas o afrodescendientes</w:t>
            </w:r>
          </w:p>
        </w:tc>
      </w:tr>
      <w:tr w:rsidR="005D7F0C" w:rsidRPr="00CF0F96" w14:paraId="62C9652C" w14:textId="77777777">
        <w:trPr>
          <w:trHeight w:val="298"/>
          <w:jc w:val="center"/>
        </w:trPr>
        <w:tc>
          <w:tcPr>
            <w:tcW w:w="1618" w:type="dxa"/>
            <w:shd w:val="clear" w:color="auto" w:fill="auto"/>
            <w:noWrap/>
            <w:vAlign w:val="center"/>
          </w:tcPr>
          <w:p w14:paraId="50E4DEEA" w14:textId="77777777" w:rsidR="005D7F0C" w:rsidRPr="00CF0F96" w:rsidRDefault="005D7F0C">
            <w:pPr>
              <w:spacing w:before="40" w:afterLines="40" w:after="96" w:line="240" w:lineRule="auto"/>
              <w:ind w:right="263"/>
              <w:jc w:val="right"/>
              <w:rPr>
                <w:rFonts w:cs="Arial"/>
                <w:sz w:val="20"/>
                <w:szCs w:val="20"/>
                <w:lang w:eastAsia="es-HN"/>
              </w:rPr>
            </w:pPr>
          </w:p>
        </w:tc>
        <w:tc>
          <w:tcPr>
            <w:tcW w:w="1276" w:type="dxa"/>
            <w:shd w:val="clear" w:color="auto" w:fill="auto"/>
            <w:noWrap/>
            <w:vAlign w:val="center"/>
          </w:tcPr>
          <w:p w14:paraId="7748A0CE" w14:textId="77777777" w:rsidR="005D7F0C" w:rsidRPr="00CF0F96" w:rsidRDefault="005D7F0C">
            <w:pPr>
              <w:spacing w:before="40" w:afterLines="40" w:after="96"/>
              <w:ind w:right="128"/>
              <w:jc w:val="right"/>
              <w:rPr>
                <w:rFonts w:cs="Arial"/>
                <w:sz w:val="20"/>
                <w:szCs w:val="20"/>
                <w:highlight w:val="yellow"/>
                <w:lang w:eastAsia="es-HN"/>
              </w:rPr>
            </w:pPr>
          </w:p>
        </w:tc>
        <w:tc>
          <w:tcPr>
            <w:tcW w:w="1220" w:type="dxa"/>
            <w:shd w:val="clear" w:color="auto" w:fill="auto"/>
            <w:noWrap/>
            <w:vAlign w:val="center"/>
          </w:tcPr>
          <w:p w14:paraId="384DEAF5" w14:textId="77777777" w:rsidR="005D7F0C" w:rsidRPr="00CF0F96" w:rsidRDefault="005D7F0C">
            <w:pPr>
              <w:spacing w:before="40" w:afterLines="40" w:after="96"/>
              <w:ind w:right="115"/>
              <w:jc w:val="right"/>
              <w:rPr>
                <w:rFonts w:cs="Arial"/>
                <w:sz w:val="20"/>
                <w:szCs w:val="20"/>
                <w:highlight w:val="yellow"/>
                <w:lang w:eastAsia="es-HN"/>
              </w:rPr>
            </w:pPr>
          </w:p>
        </w:tc>
        <w:tc>
          <w:tcPr>
            <w:tcW w:w="1511" w:type="dxa"/>
            <w:shd w:val="clear" w:color="auto" w:fill="auto"/>
          </w:tcPr>
          <w:p w14:paraId="203B970B" w14:textId="77777777" w:rsidR="005D7F0C" w:rsidRPr="00CF0F96" w:rsidRDefault="005D7F0C">
            <w:pPr>
              <w:spacing w:before="40" w:afterLines="40" w:after="96"/>
              <w:ind w:right="92"/>
              <w:jc w:val="right"/>
              <w:rPr>
                <w:rFonts w:cs="Arial"/>
                <w:sz w:val="20"/>
                <w:szCs w:val="20"/>
                <w:highlight w:val="yellow"/>
                <w:lang w:eastAsia="es-HN"/>
              </w:rPr>
            </w:pPr>
          </w:p>
        </w:tc>
        <w:tc>
          <w:tcPr>
            <w:tcW w:w="1511" w:type="dxa"/>
            <w:shd w:val="clear" w:color="auto" w:fill="auto"/>
            <w:vAlign w:val="center"/>
          </w:tcPr>
          <w:p w14:paraId="291E32E6" w14:textId="77777777" w:rsidR="005D7F0C" w:rsidRPr="00CF0F96" w:rsidRDefault="005D7F0C">
            <w:pPr>
              <w:spacing w:before="40" w:afterLines="40" w:after="96"/>
              <w:ind w:right="92"/>
              <w:jc w:val="right"/>
              <w:rPr>
                <w:rFonts w:cs="Arial"/>
                <w:sz w:val="20"/>
                <w:szCs w:val="20"/>
                <w:highlight w:val="yellow"/>
                <w:lang w:eastAsia="es-HN"/>
              </w:rPr>
            </w:pPr>
          </w:p>
        </w:tc>
        <w:tc>
          <w:tcPr>
            <w:tcW w:w="2889" w:type="dxa"/>
            <w:vAlign w:val="center"/>
          </w:tcPr>
          <w:p w14:paraId="06937A59" w14:textId="77777777" w:rsidR="005D7F0C" w:rsidRPr="00CF0F96" w:rsidRDefault="005D7F0C">
            <w:pPr>
              <w:spacing w:before="40" w:afterLines="40" w:after="96"/>
              <w:jc w:val="center"/>
              <w:rPr>
                <w:rFonts w:cs="Arial"/>
                <w:sz w:val="20"/>
                <w:szCs w:val="20"/>
                <w:highlight w:val="yellow"/>
                <w:lang w:eastAsia="es-HN"/>
              </w:rPr>
            </w:pPr>
          </w:p>
        </w:tc>
      </w:tr>
    </w:tbl>
    <w:p w14:paraId="633B35B4" w14:textId="77777777" w:rsidR="005D7F0C" w:rsidRPr="00CF0F96" w:rsidRDefault="005D7F0C" w:rsidP="005D7F0C">
      <w:pPr>
        <w:spacing w:after="0" w:line="276" w:lineRule="auto"/>
        <w:jc w:val="both"/>
        <w:rPr>
          <w:rFonts w:cs="Arial"/>
          <w:sz w:val="20"/>
          <w:szCs w:val="20"/>
        </w:rPr>
      </w:pPr>
    </w:p>
    <w:p w14:paraId="718829BB" w14:textId="77777777" w:rsidR="005D7F0C" w:rsidRPr="00CF0F96" w:rsidRDefault="005D7F0C" w:rsidP="005D7F0C">
      <w:pPr>
        <w:pStyle w:val="Prrafodelista"/>
        <w:numPr>
          <w:ilvl w:val="0"/>
          <w:numId w:val="45"/>
        </w:numPr>
        <w:spacing w:after="120" w:line="276" w:lineRule="auto"/>
        <w:ind w:left="357" w:hanging="357"/>
        <w:contextualSpacing w:val="0"/>
        <w:rPr>
          <w:rFonts w:cs="Arial"/>
          <w:sz w:val="20"/>
          <w:szCs w:val="20"/>
        </w:rPr>
      </w:pPr>
      <w:r w:rsidRPr="00CF0F96">
        <w:rPr>
          <w:rFonts w:cs="Arial"/>
          <w:b/>
          <w:bCs/>
          <w:sz w:val="20"/>
          <w:szCs w:val="20"/>
        </w:rPr>
        <w:t>Número de años de trabajar como organización</w:t>
      </w:r>
    </w:p>
    <w:p w14:paraId="0FB5E7FE" w14:textId="77777777" w:rsidR="005D7F0C" w:rsidRPr="00CF0F96" w:rsidRDefault="005D7F0C" w:rsidP="005D7F0C">
      <w:pPr>
        <w:pStyle w:val="Prrafodelista"/>
        <w:spacing w:after="120" w:line="276" w:lineRule="auto"/>
        <w:ind w:left="357"/>
        <w:contextualSpacing w:val="0"/>
        <w:rPr>
          <w:rFonts w:cs="Arial"/>
          <w:sz w:val="20"/>
          <w:szCs w:val="20"/>
        </w:rPr>
      </w:pPr>
    </w:p>
    <w:p w14:paraId="5091B4E5" w14:textId="77777777" w:rsidR="005D7F0C" w:rsidRPr="00CF0F96" w:rsidRDefault="005D7F0C" w:rsidP="005D7F0C">
      <w:pPr>
        <w:pStyle w:val="Prrafodelista"/>
        <w:numPr>
          <w:ilvl w:val="0"/>
          <w:numId w:val="45"/>
        </w:numPr>
        <w:spacing w:after="120" w:line="276" w:lineRule="auto"/>
        <w:ind w:left="357" w:hanging="357"/>
        <w:contextualSpacing w:val="0"/>
        <w:rPr>
          <w:rFonts w:cs="Arial"/>
          <w:b/>
          <w:bCs/>
          <w:sz w:val="20"/>
          <w:szCs w:val="20"/>
        </w:rPr>
      </w:pPr>
      <w:r w:rsidRPr="00CF0F96">
        <w:rPr>
          <w:rFonts w:cs="Arial"/>
          <w:b/>
          <w:bCs/>
          <w:sz w:val="20"/>
          <w:szCs w:val="20"/>
        </w:rPr>
        <w:t xml:space="preserve">Breve descripción de las actividades económicas desarrolladas por la OPR </w:t>
      </w:r>
    </w:p>
    <w:p w14:paraId="00D582D2" w14:textId="77777777" w:rsidR="005D7F0C" w:rsidRPr="00CF0F96" w:rsidRDefault="005D7F0C" w:rsidP="005D7F0C">
      <w:pPr>
        <w:spacing w:after="120" w:line="276" w:lineRule="auto"/>
        <w:rPr>
          <w:rFonts w:cs="Arial"/>
          <w:sz w:val="20"/>
          <w:szCs w:val="20"/>
        </w:rPr>
      </w:pPr>
      <w:r w:rsidRPr="00CF0F96">
        <w:rPr>
          <w:rFonts w:cs="Arial"/>
          <w:sz w:val="20"/>
          <w:szCs w:val="20"/>
        </w:rPr>
        <w:t>Detallar las actividades, indicar área de producción, productividad promedio, volumen de producción, comercialización, etc.</w:t>
      </w:r>
    </w:p>
    <w:p w14:paraId="1A086CA9" w14:textId="77777777" w:rsidR="005D7F0C" w:rsidRPr="00CF0F96" w:rsidRDefault="005D7F0C" w:rsidP="005D7F0C">
      <w:pPr>
        <w:rPr>
          <w:rFonts w:cs="Arial"/>
          <w:b/>
          <w:bCs/>
          <w:sz w:val="20"/>
          <w:szCs w:val="20"/>
        </w:rPr>
      </w:pPr>
      <w:bookmarkStart w:id="1560" w:name="_Toc50535677"/>
      <w:bookmarkStart w:id="1561" w:name="_Toc50536933"/>
      <w:bookmarkStart w:id="1562" w:name="_Toc63264838"/>
      <w:bookmarkEnd w:id="1560"/>
      <w:bookmarkEnd w:id="1561"/>
    </w:p>
    <w:p w14:paraId="503D55FA" w14:textId="77777777" w:rsidR="005D7F0C" w:rsidRPr="00CF0F96" w:rsidRDefault="005D7F0C" w:rsidP="005D7F0C">
      <w:pPr>
        <w:rPr>
          <w:rFonts w:cs="Arial"/>
          <w:b/>
          <w:bCs/>
          <w:sz w:val="20"/>
          <w:szCs w:val="20"/>
        </w:rPr>
      </w:pPr>
      <w:r w:rsidRPr="00CF0F96">
        <w:rPr>
          <w:rFonts w:cs="Arial"/>
          <w:b/>
          <w:bCs/>
          <w:sz w:val="20"/>
          <w:szCs w:val="20"/>
        </w:rPr>
        <w:t>SECCION B. DESARROLLO DEL PERFIL DE NEGOCIOS</w:t>
      </w:r>
      <w:bookmarkEnd w:id="1562"/>
    </w:p>
    <w:p w14:paraId="5C184135" w14:textId="77777777" w:rsidR="005D7F0C" w:rsidRPr="00CF0F96" w:rsidRDefault="005D7F0C" w:rsidP="005D7F0C">
      <w:pPr>
        <w:pStyle w:val="Prrafodelista"/>
        <w:numPr>
          <w:ilvl w:val="0"/>
          <w:numId w:val="47"/>
        </w:numPr>
        <w:tabs>
          <w:tab w:val="left" w:pos="1545"/>
        </w:tabs>
        <w:spacing w:after="180" w:line="276" w:lineRule="auto"/>
        <w:contextualSpacing w:val="0"/>
        <w:jc w:val="both"/>
        <w:rPr>
          <w:rFonts w:cs="Arial"/>
          <w:sz w:val="20"/>
          <w:szCs w:val="20"/>
        </w:rPr>
      </w:pPr>
      <w:r w:rsidRPr="00CF0F96">
        <w:rPr>
          <w:rFonts w:cs="Arial"/>
          <w:b/>
          <w:bCs/>
          <w:sz w:val="20"/>
          <w:szCs w:val="20"/>
        </w:rPr>
        <w:t>Nombre de la iniciativa del negocio</w:t>
      </w:r>
      <w:r w:rsidRPr="00CF0F96">
        <w:rPr>
          <w:rFonts w:cs="Arial"/>
          <w:sz w:val="20"/>
          <w:szCs w:val="20"/>
        </w:rPr>
        <w:tab/>
      </w:r>
    </w:p>
    <w:p w14:paraId="298A6745" w14:textId="77777777" w:rsidR="005D7F0C" w:rsidRPr="00CF0F96" w:rsidRDefault="005D7F0C" w:rsidP="005D7F0C">
      <w:pPr>
        <w:pStyle w:val="Prrafodelista"/>
        <w:numPr>
          <w:ilvl w:val="0"/>
          <w:numId w:val="47"/>
        </w:numPr>
        <w:spacing w:after="0" w:line="276" w:lineRule="auto"/>
        <w:contextualSpacing w:val="0"/>
        <w:jc w:val="both"/>
        <w:rPr>
          <w:rFonts w:cs="Arial"/>
          <w:b/>
          <w:bCs/>
          <w:sz w:val="20"/>
          <w:szCs w:val="20"/>
        </w:rPr>
      </w:pPr>
      <w:r w:rsidRPr="00CF0F96">
        <w:rPr>
          <w:rFonts w:cs="Arial"/>
          <w:b/>
          <w:bCs/>
          <w:sz w:val="20"/>
          <w:szCs w:val="20"/>
        </w:rPr>
        <w:t xml:space="preserve">Cadena valor </w:t>
      </w:r>
    </w:p>
    <w:p w14:paraId="3DA893D0" w14:textId="77777777" w:rsidR="005D7F0C" w:rsidRPr="00CF0F96" w:rsidRDefault="005D7F0C" w:rsidP="005D7F0C">
      <w:pPr>
        <w:spacing w:line="240" w:lineRule="auto"/>
        <w:jc w:val="both"/>
        <w:rPr>
          <w:rFonts w:cs="Arial"/>
          <w:sz w:val="20"/>
          <w:szCs w:val="20"/>
        </w:rPr>
      </w:pPr>
      <w:r w:rsidRPr="00CF0F96">
        <w:rPr>
          <w:rFonts w:cs="Arial"/>
          <w:sz w:val="20"/>
          <w:szCs w:val="20"/>
        </w:rPr>
        <w:t>Especificar la cadena a la que pertenece el negocio, (en el caso de que incluya más de una cadena, colocar en orden de mayor importancia). Asimismo, agregar el o los productos a comercializar con el negocio.</w:t>
      </w:r>
    </w:p>
    <w:p w14:paraId="073B72ED" w14:textId="77777777" w:rsidR="005D7F0C" w:rsidRPr="00CF0F96" w:rsidRDefault="005D7F0C" w:rsidP="005D7F0C">
      <w:pPr>
        <w:pStyle w:val="Prrafodelista"/>
        <w:numPr>
          <w:ilvl w:val="0"/>
          <w:numId w:val="47"/>
        </w:numPr>
        <w:spacing w:after="0" w:line="276" w:lineRule="auto"/>
        <w:contextualSpacing w:val="0"/>
        <w:jc w:val="both"/>
        <w:rPr>
          <w:rFonts w:cs="Arial"/>
          <w:sz w:val="20"/>
          <w:szCs w:val="20"/>
        </w:rPr>
      </w:pPr>
      <w:r w:rsidRPr="00CF0F96">
        <w:rPr>
          <w:rFonts w:cs="Arial"/>
          <w:b/>
          <w:bCs/>
          <w:sz w:val="20"/>
          <w:szCs w:val="20"/>
        </w:rPr>
        <w:t>Descripción de la situación y problemática actual</w:t>
      </w:r>
      <w:r w:rsidRPr="00CF0F96">
        <w:rPr>
          <w:rFonts w:cs="Arial"/>
          <w:sz w:val="20"/>
          <w:szCs w:val="20"/>
        </w:rPr>
        <w:t xml:space="preserve"> (máximo 400 palabras)</w:t>
      </w:r>
    </w:p>
    <w:p w14:paraId="0EB491D7" w14:textId="77777777" w:rsidR="005D7F0C" w:rsidRPr="00CF0F96" w:rsidRDefault="005D7F0C" w:rsidP="005D7F0C">
      <w:pPr>
        <w:pStyle w:val="Prrafodelista"/>
        <w:spacing w:after="0" w:line="276" w:lineRule="auto"/>
        <w:ind w:left="360"/>
        <w:contextualSpacing w:val="0"/>
        <w:jc w:val="both"/>
        <w:rPr>
          <w:rFonts w:cs="Arial"/>
          <w:sz w:val="20"/>
          <w:szCs w:val="20"/>
        </w:rPr>
      </w:pPr>
      <w:r w:rsidRPr="00CF0F96">
        <w:rPr>
          <w:rFonts w:cs="Arial"/>
          <w:sz w:val="20"/>
          <w:szCs w:val="20"/>
        </w:rPr>
        <w:t>Se deben describir cuales son los cuellos de botella que impiden el desarrollo y crecimiento empresarial y productivo de la organización que incluye los siguientes aspectos:</w:t>
      </w:r>
    </w:p>
    <w:p w14:paraId="404BB13C" w14:textId="77777777" w:rsidR="005D7F0C" w:rsidRPr="00CF0F96" w:rsidRDefault="005D7F0C" w:rsidP="005D7F0C">
      <w:pPr>
        <w:pStyle w:val="Prrafodelista"/>
        <w:numPr>
          <w:ilvl w:val="1"/>
          <w:numId w:val="47"/>
        </w:numPr>
        <w:spacing w:after="0" w:line="276" w:lineRule="auto"/>
        <w:ind w:left="731" w:hanging="284"/>
        <w:contextualSpacing w:val="0"/>
        <w:jc w:val="both"/>
        <w:rPr>
          <w:rFonts w:cs="Arial"/>
          <w:sz w:val="20"/>
          <w:szCs w:val="20"/>
        </w:rPr>
      </w:pPr>
      <w:r w:rsidRPr="00CF0F96">
        <w:rPr>
          <w:rFonts w:cs="Arial"/>
          <w:sz w:val="20"/>
          <w:szCs w:val="20"/>
        </w:rPr>
        <w:t>A nivel de producción, productividad, incorporación de valor agregado, acceso a financiamiento, acceso a mercados, entre otros.</w:t>
      </w:r>
    </w:p>
    <w:p w14:paraId="32DB1341" w14:textId="77777777" w:rsidR="005D7F0C" w:rsidRPr="00CF0F96" w:rsidRDefault="005D7F0C" w:rsidP="005D7F0C">
      <w:pPr>
        <w:pStyle w:val="Prrafodelista"/>
        <w:numPr>
          <w:ilvl w:val="1"/>
          <w:numId w:val="47"/>
        </w:numPr>
        <w:spacing w:after="0" w:line="276" w:lineRule="auto"/>
        <w:ind w:left="731" w:hanging="284"/>
        <w:contextualSpacing w:val="0"/>
        <w:jc w:val="both"/>
        <w:rPr>
          <w:rFonts w:cs="Arial"/>
          <w:sz w:val="20"/>
          <w:szCs w:val="20"/>
        </w:rPr>
      </w:pPr>
      <w:r w:rsidRPr="00CF0F96">
        <w:rPr>
          <w:rFonts w:cs="Arial"/>
          <w:sz w:val="20"/>
          <w:szCs w:val="20"/>
        </w:rPr>
        <w:t>Fortalecimiento de capacidades.</w:t>
      </w:r>
    </w:p>
    <w:p w14:paraId="197E70E5" w14:textId="77777777" w:rsidR="005D7F0C" w:rsidRPr="00CF0F96" w:rsidRDefault="005D7F0C" w:rsidP="005D7F0C">
      <w:pPr>
        <w:pStyle w:val="Prrafodelista"/>
        <w:numPr>
          <w:ilvl w:val="1"/>
          <w:numId w:val="47"/>
        </w:numPr>
        <w:spacing w:after="0" w:line="276" w:lineRule="auto"/>
        <w:ind w:left="731" w:hanging="284"/>
        <w:contextualSpacing w:val="0"/>
        <w:jc w:val="both"/>
        <w:rPr>
          <w:rFonts w:cs="Arial"/>
          <w:sz w:val="20"/>
          <w:szCs w:val="20"/>
        </w:rPr>
      </w:pPr>
      <w:r w:rsidRPr="00CF0F96">
        <w:rPr>
          <w:rFonts w:cs="Arial"/>
          <w:sz w:val="20"/>
          <w:szCs w:val="20"/>
        </w:rPr>
        <w:t>Incorporación de mujeres y jóvenes en los órganos de dirección y gestión de la organización.</w:t>
      </w:r>
    </w:p>
    <w:p w14:paraId="22BDB139" w14:textId="77777777" w:rsidR="005D7F0C" w:rsidRPr="00CF0F96" w:rsidRDefault="005D7F0C" w:rsidP="005D7F0C">
      <w:pPr>
        <w:pStyle w:val="Prrafodelista"/>
        <w:numPr>
          <w:ilvl w:val="1"/>
          <w:numId w:val="47"/>
        </w:numPr>
        <w:spacing w:after="0" w:line="276" w:lineRule="auto"/>
        <w:ind w:left="731" w:hanging="284"/>
        <w:contextualSpacing w:val="0"/>
        <w:jc w:val="both"/>
        <w:rPr>
          <w:rFonts w:cs="Arial"/>
          <w:sz w:val="20"/>
          <w:szCs w:val="20"/>
        </w:rPr>
      </w:pPr>
      <w:r w:rsidRPr="00CF0F96">
        <w:rPr>
          <w:rFonts w:cs="Arial"/>
          <w:sz w:val="20"/>
          <w:szCs w:val="20"/>
        </w:rPr>
        <w:t>Implementación de medidas ambientales.</w:t>
      </w:r>
    </w:p>
    <w:p w14:paraId="62449BBD" w14:textId="77777777" w:rsidR="005D7F0C" w:rsidRPr="00CF0F96" w:rsidRDefault="005D7F0C" w:rsidP="005D7F0C">
      <w:pPr>
        <w:pStyle w:val="Prrafodelista"/>
        <w:spacing w:after="0" w:line="276" w:lineRule="auto"/>
        <w:ind w:left="731"/>
        <w:contextualSpacing w:val="0"/>
        <w:jc w:val="both"/>
        <w:rPr>
          <w:rFonts w:cs="Arial"/>
          <w:sz w:val="20"/>
          <w:szCs w:val="20"/>
        </w:rPr>
      </w:pPr>
    </w:p>
    <w:p w14:paraId="7D179F29" w14:textId="77777777" w:rsidR="005D7F0C" w:rsidRPr="00CF0F96" w:rsidRDefault="005D7F0C" w:rsidP="005D7F0C">
      <w:pPr>
        <w:pStyle w:val="Prrafodelista"/>
        <w:numPr>
          <w:ilvl w:val="0"/>
          <w:numId w:val="47"/>
        </w:numPr>
        <w:spacing w:after="0" w:line="276" w:lineRule="auto"/>
        <w:contextualSpacing w:val="0"/>
        <w:jc w:val="both"/>
        <w:rPr>
          <w:rFonts w:cs="Arial"/>
          <w:b/>
          <w:bCs/>
          <w:sz w:val="20"/>
          <w:szCs w:val="20"/>
        </w:rPr>
      </w:pPr>
      <w:r w:rsidRPr="00CF0F96">
        <w:rPr>
          <w:rFonts w:cs="Arial"/>
          <w:b/>
          <w:bCs/>
          <w:sz w:val="20"/>
          <w:szCs w:val="20"/>
        </w:rPr>
        <w:t>Objetivo general</w:t>
      </w:r>
    </w:p>
    <w:p w14:paraId="0E41F19E" w14:textId="77777777" w:rsidR="005D7F0C" w:rsidRPr="00CF0F96" w:rsidRDefault="005D7F0C" w:rsidP="005D7F0C">
      <w:pPr>
        <w:spacing w:line="276" w:lineRule="auto"/>
        <w:jc w:val="both"/>
        <w:rPr>
          <w:rFonts w:cs="Arial"/>
          <w:sz w:val="20"/>
          <w:szCs w:val="20"/>
        </w:rPr>
      </w:pPr>
      <w:r w:rsidRPr="00CF0F96">
        <w:rPr>
          <w:rFonts w:cs="Arial"/>
          <w:sz w:val="20"/>
          <w:szCs w:val="20"/>
        </w:rPr>
        <w:t>El objetivo general es un enunciado de lo que se pretende lograr con el PdN, por lo que, en término generales, está muy vinculado o relacionado con la propuesta o planteamiento de negocio a emprender.</w:t>
      </w:r>
    </w:p>
    <w:p w14:paraId="12DEE87C" w14:textId="77777777" w:rsidR="005D7F0C" w:rsidRPr="00CF0F96" w:rsidRDefault="005D7F0C" w:rsidP="005D7F0C">
      <w:pPr>
        <w:pStyle w:val="Prrafodelista"/>
        <w:numPr>
          <w:ilvl w:val="0"/>
          <w:numId w:val="47"/>
        </w:numPr>
        <w:spacing w:after="0" w:line="276" w:lineRule="auto"/>
        <w:contextualSpacing w:val="0"/>
        <w:jc w:val="both"/>
        <w:rPr>
          <w:rFonts w:cs="Arial"/>
          <w:sz w:val="20"/>
          <w:szCs w:val="20"/>
        </w:rPr>
      </w:pPr>
      <w:r w:rsidRPr="00CF0F96">
        <w:rPr>
          <w:rFonts w:cs="Arial"/>
          <w:b/>
          <w:bCs/>
          <w:sz w:val="20"/>
          <w:szCs w:val="20"/>
        </w:rPr>
        <w:t>Descripción del planteamiento del negocio a emprender</w:t>
      </w:r>
      <w:r w:rsidRPr="00CF0F96">
        <w:rPr>
          <w:rFonts w:cs="Arial"/>
          <w:sz w:val="20"/>
          <w:szCs w:val="20"/>
        </w:rPr>
        <w:t xml:space="preserve"> (máximo 400 palabras): </w:t>
      </w:r>
    </w:p>
    <w:p w14:paraId="0C89855D" w14:textId="77777777" w:rsidR="005D7F0C" w:rsidRPr="00CF0F96" w:rsidRDefault="005D7F0C" w:rsidP="005D7F0C">
      <w:pPr>
        <w:spacing w:after="0" w:line="276" w:lineRule="auto"/>
        <w:jc w:val="both"/>
        <w:rPr>
          <w:rFonts w:cs="Arial"/>
          <w:sz w:val="20"/>
          <w:szCs w:val="20"/>
        </w:rPr>
      </w:pPr>
      <w:r w:rsidRPr="00CF0F96">
        <w:rPr>
          <w:rFonts w:cs="Arial"/>
          <w:sz w:val="20"/>
          <w:szCs w:val="20"/>
        </w:rPr>
        <w:t>Describir claramente en que consiste el negocio, que incluyan los siguientes aspectos:</w:t>
      </w:r>
    </w:p>
    <w:p w14:paraId="12CDE9A0" w14:textId="77777777" w:rsidR="005D7F0C" w:rsidRPr="00CF0F96" w:rsidRDefault="005D7F0C" w:rsidP="005D7F0C">
      <w:pPr>
        <w:pStyle w:val="Prrafodelista"/>
        <w:numPr>
          <w:ilvl w:val="1"/>
          <w:numId w:val="47"/>
        </w:numPr>
        <w:spacing w:after="0" w:line="276" w:lineRule="auto"/>
        <w:ind w:left="731" w:hanging="284"/>
        <w:contextualSpacing w:val="0"/>
        <w:jc w:val="both"/>
        <w:rPr>
          <w:rFonts w:cs="Arial"/>
          <w:sz w:val="20"/>
          <w:szCs w:val="20"/>
        </w:rPr>
      </w:pPr>
      <w:r w:rsidRPr="00CF0F96">
        <w:rPr>
          <w:rFonts w:cs="Arial"/>
          <w:sz w:val="20"/>
          <w:szCs w:val="20"/>
        </w:rPr>
        <w:lastRenderedPageBreak/>
        <w:t>Los productos para ofertar y la diferenciación de estos.</w:t>
      </w:r>
    </w:p>
    <w:p w14:paraId="00885261" w14:textId="77777777" w:rsidR="005D7F0C" w:rsidRPr="00CF0F96" w:rsidRDefault="005D7F0C" w:rsidP="005D7F0C">
      <w:pPr>
        <w:pStyle w:val="Prrafodelista"/>
        <w:numPr>
          <w:ilvl w:val="1"/>
          <w:numId w:val="47"/>
        </w:numPr>
        <w:spacing w:after="0" w:line="276" w:lineRule="auto"/>
        <w:ind w:left="731" w:hanging="284"/>
        <w:contextualSpacing w:val="0"/>
        <w:jc w:val="both"/>
        <w:rPr>
          <w:rFonts w:cs="Arial"/>
          <w:sz w:val="20"/>
          <w:szCs w:val="20"/>
        </w:rPr>
      </w:pPr>
      <w:r w:rsidRPr="00CF0F96">
        <w:rPr>
          <w:rFonts w:cs="Arial"/>
          <w:sz w:val="20"/>
          <w:szCs w:val="20"/>
        </w:rPr>
        <w:t xml:space="preserve">Identificación del mercado potencial, los aliados comerciales, las oportunidades de mercado para los productos/servicios propuestos, nichos de mercados y la competencia. </w:t>
      </w:r>
    </w:p>
    <w:p w14:paraId="08CD1002" w14:textId="77777777" w:rsidR="005D7F0C" w:rsidRPr="00CF0F96" w:rsidRDefault="005D7F0C" w:rsidP="005D7F0C">
      <w:pPr>
        <w:pStyle w:val="Prrafodelista"/>
        <w:numPr>
          <w:ilvl w:val="1"/>
          <w:numId w:val="47"/>
        </w:numPr>
        <w:spacing w:after="0" w:line="276" w:lineRule="auto"/>
        <w:ind w:left="731" w:hanging="284"/>
        <w:contextualSpacing w:val="0"/>
        <w:jc w:val="both"/>
        <w:rPr>
          <w:rFonts w:cs="Arial"/>
          <w:sz w:val="20"/>
          <w:szCs w:val="20"/>
        </w:rPr>
      </w:pPr>
      <w:r w:rsidRPr="00CF0F96">
        <w:rPr>
          <w:rFonts w:cs="Arial"/>
          <w:sz w:val="20"/>
          <w:szCs w:val="20"/>
        </w:rPr>
        <w:t>Definición de elementos innovadores como parte de la estrategia comercial.</w:t>
      </w:r>
    </w:p>
    <w:p w14:paraId="3DEBDC1E" w14:textId="77777777" w:rsidR="005D7F0C" w:rsidRPr="00CF0F96" w:rsidRDefault="005D7F0C" w:rsidP="005D7F0C">
      <w:pPr>
        <w:pStyle w:val="Prrafodelista"/>
        <w:numPr>
          <w:ilvl w:val="1"/>
          <w:numId w:val="47"/>
        </w:numPr>
        <w:spacing w:after="0" w:line="276" w:lineRule="auto"/>
        <w:ind w:left="731" w:hanging="284"/>
        <w:contextualSpacing w:val="0"/>
        <w:jc w:val="both"/>
        <w:rPr>
          <w:rFonts w:cs="Arial"/>
          <w:sz w:val="20"/>
          <w:szCs w:val="20"/>
        </w:rPr>
      </w:pPr>
      <w:r w:rsidRPr="00CF0F96">
        <w:rPr>
          <w:rFonts w:cs="Arial"/>
          <w:sz w:val="20"/>
          <w:szCs w:val="20"/>
        </w:rPr>
        <w:t>Producción primaria, como se pretende incrementar la producción y productividad y que elementos innovadores se proponen para lograrlo.</w:t>
      </w:r>
    </w:p>
    <w:p w14:paraId="1C684381" w14:textId="77777777" w:rsidR="005D7F0C" w:rsidRPr="00CF0F96" w:rsidRDefault="005D7F0C" w:rsidP="005D7F0C">
      <w:pPr>
        <w:pStyle w:val="Prrafodelista"/>
        <w:numPr>
          <w:ilvl w:val="1"/>
          <w:numId w:val="47"/>
        </w:numPr>
        <w:spacing w:after="0" w:line="276" w:lineRule="auto"/>
        <w:ind w:left="731" w:hanging="284"/>
        <w:contextualSpacing w:val="0"/>
        <w:jc w:val="both"/>
        <w:rPr>
          <w:rFonts w:cs="Arial"/>
          <w:sz w:val="20"/>
          <w:szCs w:val="20"/>
        </w:rPr>
      </w:pPr>
      <w:r w:rsidRPr="00CF0F96">
        <w:rPr>
          <w:rFonts w:cs="Arial"/>
          <w:sz w:val="20"/>
          <w:szCs w:val="20"/>
        </w:rPr>
        <w:t>Inclusión de valor agregado y transformación de los productos.</w:t>
      </w:r>
    </w:p>
    <w:p w14:paraId="66F26A80" w14:textId="77777777" w:rsidR="005D7F0C" w:rsidRPr="00CF0F96" w:rsidRDefault="005D7F0C" w:rsidP="005D7F0C">
      <w:pPr>
        <w:pStyle w:val="Prrafodelista"/>
        <w:numPr>
          <w:ilvl w:val="1"/>
          <w:numId w:val="47"/>
        </w:numPr>
        <w:spacing w:after="0" w:line="276" w:lineRule="auto"/>
        <w:ind w:left="731" w:hanging="284"/>
        <w:contextualSpacing w:val="0"/>
        <w:jc w:val="both"/>
        <w:rPr>
          <w:rFonts w:cs="Arial"/>
          <w:sz w:val="20"/>
          <w:szCs w:val="20"/>
        </w:rPr>
      </w:pPr>
      <w:r w:rsidRPr="00CF0F96">
        <w:rPr>
          <w:rFonts w:cs="Arial"/>
          <w:sz w:val="20"/>
          <w:szCs w:val="20"/>
        </w:rPr>
        <w:t>Desarrollo de nuevos productos para la Organización.</w:t>
      </w:r>
    </w:p>
    <w:p w14:paraId="7CECAB01" w14:textId="77777777" w:rsidR="005D7F0C" w:rsidRPr="00CF0F96" w:rsidRDefault="2664BE3D" w:rsidP="005D7F0C">
      <w:pPr>
        <w:pStyle w:val="Prrafodelista"/>
        <w:numPr>
          <w:ilvl w:val="1"/>
          <w:numId w:val="47"/>
        </w:numPr>
        <w:spacing w:after="0" w:line="276" w:lineRule="auto"/>
        <w:ind w:left="731" w:hanging="284"/>
        <w:contextualSpacing w:val="0"/>
        <w:jc w:val="both"/>
        <w:rPr>
          <w:rFonts w:cs="Arial"/>
          <w:sz w:val="20"/>
          <w:szCs w:val="20"/>
        </w:rPr>
      </w:pPr>
      <w:r w:rsidRPr="00CF0F96">
        <w:rPr>
          <w:rFonts w:cs="Arial"/>
          <w:sz w:val="20"/>
          <w:szCs w:val="20"/>
        </w:rPr>
        <w:t>Se identifican elementos de promoción de negocios verdes</w:t>
      </w:r>
      <w:r w:rsidR="005D7F0C" w:rsidRPr="00CF0F96">
        <w:rPr>
          <w:rStyle w:val="Refdenotaalpie"/>
          <w:rFonts w:cs="Arial"/>
        </w:rPr>
        <w:footnoteReference w:id="67"/>
      </w:r>
      <w:r w:rsidRPr="00CF0F96">
        <w:rPr>
          <w:rFonts w:cs="Arial"/>
          <w:sz w:val="20"/>
          <w:szCs w:val="20"/>
        </w:rPr>
        <w:t>.</w:t>
      </w:r>
    </w:p>
    <w:p w14:paraId="1E6944E5" w14:textId="77777777" w:rsidR="005D7F0C" w:rsidRPr="00CF0F96" w:rsidRDefault="005D7F0C" w:rsidP="005D7F0C">
      <w:pPr>
        <w:pStyle w:val="Prrafodelista"/>
        <w:numPr>
          <w:ilvl w:val="1"/>
          <w:numId w:val="47"/>
        </w:numPr>
        <w:spacing w:after="0" w:line="276" w:lineRule="auto"/>
        <w:ind w:left="731" w:hanging="284"/>
        <w:contextualSpacing w:val="0"/>
        <w:jc w:val="both"/>
        <w:rPr>
          <w:rFonts w:cs="Arial"/>
          <w:sz w:val="20"/>
          <w:szCs w:val="20"/>
        </w:rPr>
      </w:pPr>
      <w:r w:rsidRPr="00CF0F96">
        <w:rPr>
          <w:rFonts w:cs="Arial"/>
          <w:sz w:val="20"/>
          <w:szCs w:val="20"/>
        </w:rPr>
        <w:t>Plantean acciones para la promoción o conversión a la producción orgánica.</w:t>
      </w:r>
    </w:p>
    <w:p w14:paraId="4784BEA9" w14:textId="77777777" w:rsidR="005D7F0C" w:rsidRPr="00CF0F96" w:rsidRDefault="005D7F0C" w:rsidP="005D7F0C">
      <w:pPr>
        <w:spacing w:after="0" w:line="276" w:lineRule="auto"/>
        <w:jc w:val="both"/>
        <w:rPr>
          <w:rFonts w:cs="Arial"/>
          <w:sz w:val="20"/>
          <w:szCs w:val="20"/>
        </w:rPr>
      </w:pPr>
    </w:p>
    <w:p w14:paraId="4A933F72" w14:textId="77777777" w:rsidR="005D7F0C" w:rsidRPr="00CF0F96" w:rsidRDefault="005D7F0C" w:rsidP="005D7F0C">
      <w:pPr>
        <w:pStyle w:val="Prrafodelista"/>
        <w:numPr>
          <w:ilvl w:val="0"/>
          <w:numId w:val="47"/>
        </w:numPr>
        <w:spacing w:after="0" w:line="276" w:lineRule="auto"/>
        <w:contextualSpacing w:val="0"/>
        <w:jc w:val="both"/>
        <w:rPr>
          <w:rFonts w:cs="Arial"/>
          <w:sz w:val="20"/>
          <w:szCs w:val="20"/>
        </w:rPr>
      </w:pPr>
      <w:r w:rsidRPr="00CF0F96">
        <w:rPr>
          <w:rFonts w:cs="Arial"/>
          <w:b/>
          <w:bCs/>
          <w:sz w:val="20"/>
          <w:szCs w:val="20"/>
        </w:rPr>
        <w:t>Descripción preliminar de las alianzas</w:t>
      </w:r>
    </w:p>
    <w:p w14:paraId="0DF5E164" w14:textId="77777777" w:rsidR="005D7F0C" w:rsidRPr="00CF0F96" w:rsidRDefault="005D7F0C" w:rsidP="005D7F0C">
      <w:pPr>
        <w:pStyle w:val="Prrafodelista"/>
        <w:numPr>
          <w:ilvl w:val="1"/>
          <w:numId w:val="47"/>
        </w:numPr>
        <w:spacing w:after="0" w:line="276" w:lineRule="auto"/>
        <w:ind w:left="731" w:hanging="284"/>
        <w:contextualSpacing w:val="0"/>
        <w:jc w:val="both"/>
        <w:rPr>
          <w:rFonts w:cs="Arial"/>
          <w:sz w:val="20"/>
          <w:szCs w:val="20"/>
        </w:rPr>
      </w:pPr>
      <w:r w:rsidRPr="00CF0F96">
        <w:rPr>
          <w:rFonts w:cs="Arial"/>
          <w:sz w:val="20"/>
          <w:szCs w:val="20"/>
        </w:rPr>
        <w:t>Con el o los potenciales Aliados Financieros Privados (AFPs), describir las condiciones previstas para co-financiamiento privado de los planes de negocios, montos, inversiones a financiar, tasa de interés, plazo, periodo de gracia, entre otros.</w:t>
      </w:r>
    </w:p>
    <w:p w14:paraId="2CD47F2A" w14:textId="77777777" w:rsidR="005D7F0C" w:rsidRPr="00CF0F96" w:rsidRDefault="005D7F0C" w:rsidP="005D7F0C">
      <w:pPr>
        <w:pStyle w:val="Prrafodelista"/>
        <w:numPr>
          <w:ilvl w:val="1"/>
          <w:numId w:val="47"/>
        </w:numPr>
        <w:spacing w:after="0" w:line="276" w:lineRule="auto"/>
        <w:ind w:left="731" w:hanging="284"/>
        <w:contextualSpacing w:val="0"/>
        <w:jc w:val="both"/>
        <w:rPr>
          <w:rFonts w:cs="Arial"/>
          <w:sz w:val="20"/>
          <w:szCs w:val="20"/>
        </w:rPr>
      </w:pPr>
      <w:r w:rsidRPr="00CF0F96">
        <w:rPr>
          <w:rFonts w:cs="Arial"/>
          <w:sz w:val="20"/>
          <w:szCs w:val="20"/>
        </w:rPr>
        <w:t>Con el o los socios comerciales, describir el o los productos/servicios, volúmenes, estándares de calidad, frecuencias de entrega, políticas de pago, logística de distribución y elementos de sostenibilidad de la alianza.</w:t>
      </w:r>
    </w:p>
    <w:p w14:paraId="6F1F2CD2" w14:textId="77777777" w:rsidR="005D7F0C" w:rsidRPr="00CF0F96" w:rsidRDefault="005D7F0C" w:rsidP="005D7F0C">
      <w:pPr>
        <w:pStyle w:val="Prrafodelista"/>
        <w:numPr>
          <w:ilvl w:val="1"/>
          <w:numId w:val="47"/>
        </w:numPr>
        <w:tabs>
          <w:tab w:val="left" w:pos="3780"/>
        </w:tabs>
        <w:spacing w:after="0" w:line="276" w:lineRule="auto"/>
        <w:ind w:left="731" w:hanging="284"/>
        <w:contextualSpacing w:val="0"/>
        <w:jc w:val="both"/>
        <w:rPr>
          <w:rFonts w:cs="Arial"/>
          <w:sz w:val="20"/>
          <w:szCs w:val="20"/>
        </w:rPr>
      </w:pPr>
      <w:r w:rsidRPr="00CF0F96">
        <w:rPr>
          <w:rFonts w:cs="Arial"/>
          <w:sz w:val="20"/>
          <w:szCs w:val="20"/>
        </w:rPr>
        <w:t>Incorporar la información de los aliados identificados.</w:t>
      </w:r>
    </w:p>
    <w:p w14:paraId="1A0767D5" w14:textId="77777777" w:rsidR="005D7F0C" w:rsidRPr="00CF0F96" w:rsidRDefault="005D7F0C" w:rsidP="005D7F0C">
      <w:pPr>
        <w:spacing w:after="0" w:line="276" w:lineRule="auto"/>
        <w:jc w:val="both"/>
        <w:rPr>
          <w:rFonts w:cs="Arial"/>
          <w:sz w:val="20"/>
          <w:szCs w:val="20"/>
        </w:rPr>
      </w:pPr>
    </w:p>
    <w:tbl>
      <w:tblPr>
        <w:tblW w:w="96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2392"/>
        <w:gridCol w:w="2386"/>
        <w:gridCol w:w="4856"/>
      </w:tblGrid>
      <w:tr w:rsidR="00CF0F96" w:rsidRPr="00CF0F96" w14:paraId="25738E9D" w14:textId="77777777" w:rsidTr="37B44ACB">
        <w:trPr>
          <w:trHeight w:val="360"/>
        </w:trPr>
        <w:tc>
          <w:tcPr>
            <w:tcW w:w="23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CC5DA"/>
          </w:tcPr>
          <w:p w14:paraId="29270D74" w14:textId="77777777" w:rsidR="005D7F0C" w:rsidRPr="00CF0F96" w:rsidRDefault="005D7F0C">
            <w:pPr>
              <w:spacing w:after="0" w:line="276" w:lineRule="auto"/>
              <w:jc w:val="both"/>
              <w:rPr>
                <w:rFonts w:cs="Arial"/>
                <w:b/>
                <w:bCs/>
                <w:sz w:val="18"/>
                <w:szCs w:val="18"/>
              </w:rPr>
            </w:pPr>
            <w:r w:rsidRPr="00CF0F96">
              <w:rPr>
                <w:rFonts w:cs="Arial"/>
                <w:b/>
                <w:bCs/>
                <w:sz w:val="18"/>
                <w:szCs w:val="18"/>
              </w:rPr>
              <w:t>Aliado Financiero Privado (AFP):</w:t>
            </w: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A3BE206" w14:textId="77777777" w:rsidR="005D7F0C" w:rsidRPr="00CF0F96" w:rsidRDefault="005D7F0C">
            <w:pPr>
              <w:spacing w:after="0" w:line="276" w:lineRule="auto"/>
              <w:jc w:val="both"/>
              <w:rPr>
                <w:rFonts w:cs="Arial"/>
                <w:sz w:val="18"/>
                <w:szCs w:val="18"/>
              </w:rPr>
            </w:pPr>
            <w:r w:rsidRPr="00CF0F96">
              <w:rPr>
                <w:rFonts w:cs="Arial"/>
                <w:sz w:val="18"/>
                <w:szCs w:val="18"/>
              </w:rPr>
              <w:t>Nombre:</w:t>
            </w:r>
          </w:p>
        </w:tc>
        <w:tc>
          <w:tcPr>
            <w:tcW w:w="48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65AD393" w14:textId="77777777" w:rsidR="005D7F0C" w:rsidRPr="00CF0F96" w:rsidRDefault="005D7F0C">
            <w:pPr>
              <w:spacing w:after="0" w:line="276" w:lineRule="auto"/>
              <w:jc w:val="both"/>
              <w:rPr>
                <w:rFonts w:cs="Arial"/>
                <w:sz w:val="18"/>
                <w:szCs w:val="18"/>
              </w:rPr>
            </w:pPr>
          </w:p>
        </w:tc>
      </w:tr>
      <w:tr w:rsidR="00CF0F96" w:rsidRPr="00CF0F96" w14:paraId="599EFDAE" w14:textId="77777777" w:rsidTr="37B44ACB">
        <w:trPr>
          <w:trHeight w:val="182"/>
        </w:trPr>
        <w:tc>
          <w:tcPr>
            <w:tcW w:w="2392" w:type="dxa"/>
            <w:vMerge/>
          </w:tcPr>
          <w:p w14:paraId="5D32D933" w14:textId="77777777" w:rsidR="005D7F0C" w:rsidRPr="00CF0F96" w:rsidRDefault="005D7F0C">
            <w:pPr>
              <w:spacing w:after="0" w:line="276" w:lineRule="auto"/>
              <w:jc w:val="both"/>
              <w:rPr>
                <w:rFonts w:cs="Arial"/>
                <w:sz w:val="18"/>
                <w:szCs w:val="18"/>
              </w:rPr>
            </w:pP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2C37444" w14:textId="77777777" w:rsidR="005D7F0C" w:rsidRPr="00CF0F96" w:rsidRDefault="005D7F0C">
            <w:pPr>
              <w:spacing w:after="0" w:line="276" w:lineRule="auto"/>
              <w:jc w:val="both"/>
              <w:rPr>
                <w:rFonts w:cs="Arial"/>
                <w:sz w:val="18"/>
                <w:szCs w:val="18"/>
              </w:rPr>
            </w:pPr>
            <w:r w:rsidRPr="00CF0F96">
              <w:rPr>
                <w:rFonts w:cs="Arial"/>
                <w:sz w:val="18"/>
                <w:szCs w:val="18"/>
              </w:rPr>
              <w:t>Nombre del contacto:</w:t>
            </w:r>
          </w:p>
        </w:tc>
        <w:tc>
          <w:tcPr>
            <w:tcW w:w="48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F4FF60C" w14:textId="77777777" w:rsidR="005D7F0C" w:rsidRPr="00CF0F96" w:rsidRDefault="005D7F0C">
            <w:pPr>
              <w:spacing w:after="0" w:line="276" w:lineRule="auto"/>
              <w:jc w:val="both"/>
              <w:rPr>
                <w:rFonts w:cs="Arial"/>
                <w:sz w:val="18"/>
                <w:szCs w:val="18"/>
              </w:rPr>
            </w:pPr>
          </w:p>
        </w:tc>
      </w:tr>
      <w:tr w:rsidR="00CF0F96" w:rsidRPr="00CF0F96" w14:paraId="61923E7B" w14:textId="77777777" w:rsidTr="37B44ACB">
        <w:trPr>
          <w:trHeight w:val="182"/>
        </w:trPr>
        <w:tc>
          <w:tcPr>
            <w:tcW w:w="2392" w:type="dxa"/>
            <w:vMerge/>
          </w:tcPr>
          <w:p w14:paraId="4376EC74" w14:textId="77777777" w:rsidR="005D7F0C" w:rsidRPr="00CF0F96" w:rsidRDefault="005D7F0C">
            <w:pPr>
              <w:spacing w:after="0" w:line="276" w:lineRule="auto"/>
              <w:jc w:val="both"/>
              <w:rPr>
                <w:rFonts w:cs="Arial"/>
                <w:sz w:val="18"/>
                <w:szCs w:val="18"/>
              </w:rPr>
            </w:pP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459FBBA" w14:textId="77777777" w:rsidR="005D7F0C" w:rsidRPr="00CF0F96" w:rsidRDefault="005D7F0C">
            <w:pPr>
              <w:spacing w:after="0" w:line="276" w:lineRule="auto"/>
              <w:jc w:val="both"/>
              <w:rPr>
                <w:rFonts w:cs="Arial"/>
                <w:sz w:val="18"/>
                <w:szCs w:val="18"/>
              </w:rPr>
            </w:pPr>
            <w:r w:rsidRPr="00CF0F96">
              <w:rPr>
                <w:rFonts w:cs="Arial"/>
                <w:sz w:val="18"/>
                <w:szCs w:val="18"/>
              </w:rPr>
              <w:t>Dirección:</w:t>
            </w:r>
          </w:p>
        </w:tc>
        <w:tc>
          <w:tcPr>
            <w:tcW w:w="48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B1AE364" w14:textId="77777777" w:rsidR="005D7F0C" w:rsidRPr="00CF0F96" w:rsidRDefault="005D7F0C">
            <w:pPr>
              <w:spacing w:after="0" w:line="276" w:lineRule="auto"/>
              <w:jc w:val="both"/>
              <w:rPr>
                <w:rFonts w:cs="Arial"/>
                <w:sz w:val="18"/>
                <w:szCs w:val="18"/>
              </w:rPr>
            </w:pPr>
          </w:p>
        </w:tc>
      </w:tr>
      <w:tr w:rsidR="00CF0F96" w:rsidRPr="00CF0F96" w14:paraId="558CB77B" w14:textId="77777777" w:rsidTr="37B44ACB">
        <w:trPr>
          <w:trHeight w:val="182"/>
        </w:trPr>
        <w:tc>
          <w:tcPr>
            <w:tcW w:w="2392" w:type="dxa"/>
            <w:vMerge/>
          </w:tcPr>
          <w:p w14:paraId="4273D5A4" w14:textId="77777777" w:rsidR="005D7F0C" w:rsidRPr="00CF0F96" w:rsidRDefault="005D7F0C">
            <w:pPr>
              <w:spacing w:after="0" w:line="276" w:lineRule="auto"/>
              <w:jc w:val="both"/>
              <w:rPr>
                <w:rFonts w:cs="Arial"/>
                <w:sz w:val="18"/>
                <w:szCs w:val="18"/>
              </w:rPr>
            </w:pP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0D7D010" w14:textId="77777777" w:rsidR="005D7F0C" w:rsidRPr="00CF0F96" w:rsidRDefault="005D7F0C">
            <w:pPr>
              <w:spacing w:after="0" w:line="276" w:lineRule="auto"/>
              <w:jc w:val="both"/>
              <w:rPr>
                <w:rFonts w:cs="Arial"/>
                <w:sz w:val="18"/>
                <w:szCs w:val="18"/>
              </w:rPr>
            </w:pPr>
            <w:r w:rsidRPr="00CF0F96">
              <w:rPr>
                <w:rFonts w:cs="Arial"/>
                <w:sz w:val="18"/>
                <w:szCs w:val="18"/>
              </w:rPr>
              <w:t>Teléfono:</w:t>
            </w:r>
          </w:p>
        </w:tc>
        <w:tc>
          <w:tcPr>
            <w:tcW w:w="48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255EDB3" w14:textId="77777777" w:rsidR="005D7F0C" w:rsidRPr="00CF0F96" w:rsidRDefault="005D7F0C">
            <w:pPr>
              <w:spacing w:after="0" w:line="276" w:lineRule="auto"/>
              <w:jc w:val="both"/>
              <w:rPr>
                <w:rFonts w:cs="Arial"/>
                <w:sz w:val="18"/>
                <w:szCs w:val="18"/>
              </w:rPr>
            </w:pPr>
          </w:p>
        </w:tc>
      </w:tr>
      <w:tr w:rsidR="00CF0F96" w:rsidRPr="00CF0F96" w14:paraId="1DFCA418" w14:textId="77777777" w:rsidTr="37B44ACB">
        <w:trPr>
          <w:trHeight w:val="182"/>
        </w:trPr>
        <w:tc>
          <w:tcPr>
            <w:tcW w:w="2392" w:type="dxa"/>
            <w:vMerge/>
          </w:tcPr>
          <w:p w14:paraId="1267C027" w14:textId="77777777" w:rsidR="005D7F0C" w:rsidRPr="00CF0F96" w:rsidRDefault="005D7F0C">
            <w:pPr>
              <w:spacing w:after="0" w:line="276" w:lineRule="auto"/>
              <w:jc w:val="both"/>
              <w:rPr>
                <w:rFonts w:cs="Arial"/>
                <w:sz w:val="18"/>
                <w:szCs w:val="18"/>
              </w:rPr>
            </w:pP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143632C" w14:textId="77777777" w:rsidR="005D7F0C" w:rsidRPr="00CF0F96" w:rsidRDefault="005D7F0C">
            <w:pPr>
              <w:spacing w:after="0" w:line="276" w:lineRule="auto"/>
              <w:jc w:val="both"/>
              <w:rPr>
                <w:rFonts w:cs="Arial"/>
                <w:sz w:val="18"/>
                <w:szCs w:val="18"/>
              </w:rPr>
            </w:pPr>
            <w:r w:rsidRPr="00CF0F96">
              <w:rPr>
                <w:rFonts w:cs="Arial"/>
                <w:sz w:val="18"/>
                <w:szCs w:val="18"/>
              </w:rPr>
              <w:t>Correo electrónico:</w:t>
            </w:r>
          </w:p>
        </w:tc>
        <w:tc>
          <w:tcPr>
            <w:tcW w:w="48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1406202" w14:textId="77777777" w:rsidR="005D7F0C" w:rsidRPr="00CF0F96" w:rsidRDefault="005D7F0C">
            <w:pPr>
              <w:spacing w:after="0" w:line="276" w:lineRule="auto"/>
              <w:jc w:val="both"/>
              <w:rPr>
                <w:rFonts w:cs="Arial"/>
                <w:sz w:val="18"/>
                <w:szCs w:val="18"/>
              </w:rPr>
            </w:pPr>
          </w:p>
        </w:tc>
      </w:tr>
      <w:tr w:rsidR="00CF0F96" w:rsidRPr="00CF0F96" w14:paraId="0840B86D" w14:textId="77777777" w:rsidTr="37B44ACB">
        <w:trPr>
          <w:trHeight w:val="182"/>
        </w:trPr>
        <w:tc>
          <w:tcPr>
            <w:tcW w:w="2392" w:type="dxa"/>
            <w:vMerge w:val="restart"/>
            <w:tcBorders>
              <w:top w:val="single" w:sz="4" w:space="0" w:color="000000" w:themeColor="text1"/>
              <w:left w:val="single" w:sz="4" w:space="0" w:color="000000" w:themeColor="text1"/>
              <w:right w:val="single" w:sz="4" w:space="0" w:color="000000" w:themeColor="text1"/>
            </w:tcBorders>
            <w:shd w:val="clear" w:color="auto" w:fill="5CC5DA"/>
          </w:tcPr>
          <w:p w14:paraId="002FFD7F" w14:textId="77777777" w:rsidR="005D7F0C" w:rsidRPr="00CF0F96" w:rsidRDefault="005D7F0C">
            <w:pPr>
              <w:spacing w:after="0" w:line="276" w:lineRule="auto"/>
              <w:jc w:val="both"/>
              <w:rPr>
                <w:rFonts w:cs="Arial"/>
                <w:sz w:val="18"/>
                <w:szCs w:val="18"/>
              </w:rPr>
            </w:pPr>
            <w:r w:rsidRPr="00CF0F96">
              <w:rPr>
                <w:rFonts w:cs="Arial"/>
                <w:b/>
                <w:sz w:val="18"/>
                <w:szCs w:val="18"/>
              </w:rPr>
              <w:t xml:space="preserve">Aliado </w:t>
            </w:r>
            <w:r w:rsidRPr="00CF0F96">
              <w:rPr>
                <w:rFonts w:cs="Arial"/>
                <w:b/>
                <w:bCs/>
                <w:sz w:val="18"/>
                <w:szCs w:val="18"/>
              </w:rPr>
              <w:t>comercial</w:t>
            </w:r>
            <w:r w:rsidRPr="00CF0F96">
              <w:rPr>
                <w:rFonts w:cs="Arial"/>
                <w:b/>
                <w:sz w:val="18"/>
                <w:szCs w:val="18"/>
              </w:rPr>
              <w:t>:</w:t>
            </w: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C1CA8C5" w14:textId="77777777" w:rsidR="005D7F0C" w:rsidRPr="00CF0F96" w:rsidRDefault="005D7F0C">
            <w:pPr>
              <w:spacing w:after="0" w:line="276" w:lineRule="auto"/>
              <w:jc w:val="both"/>
              <w:rPr>
                <w:rFonts w:cs="Arial"/>
                <w:sz w:val="18"/>
                <w:szCs w:val="18"/>
              </w:rPr>
            </w:pPr>
            <w:r w:rsidRPr="00CF0F96">
              <w:rPr>
                <w:rFonts w:cs="Arial"/>
                <w:sz w:val="18"/>
                <w:szCs w:val="18"/>
              </w:rPr>
              <w:t>Nombre:</w:t>
            </w:r>
          </w:p>
        </w:tc>
        <w:tc>
          <w:tcPr>
            <w:tcW w:w="48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2837589" w14:textId="77777777" w:rsidR="005D7F0C" w:rsidRPr="00CF0F96" w:rsidRDefault="005D7F0C">
            <w:pPr>
              <w:spacing w:after="0" w:line="276" w:lineRule="auto"/>
              <w:jc w:val="both"/>
              <w:rPr>
                <w:rFonts w:cs="Arial"/>
                <w:sz w:val="18"/>
                <w:szCs w:val="18"/>
              </w:rPr>
            </w:pPr>
          </w:p>
        </w:tc>
      </w:tr>
      <w:tr w:rsidR="00CF0F96" w:rsidRPr="00CF0F96" w14:paraId="56E78A8F" w14:textId="77777777" w:rsidTr="37B44ACB">
        <w:trPr>
          <w:trHeight w:val="182"/>
        </w:trPr>
        <w:tc>
          <w:tcPr>
            <w:tcW w:w="2392" w:type="dxa"/>
            <w:vMerge/>
          </w:tcPr>
          <w:p w14:paraId="35EFF528" w14:textId="77777777" w:rsidR="005D7F0C" w:rsidRPr="00CF0F96" w:rsidRDefault="005D7F0C">
            <w:pPr>
              <w:spacing w:after="0" w:line="276" w:lineRule="auto"/>
              <w:jc w:val="both"/>
              <w:rPr>
                <w:rFonts w:cs="Arial"/>
                <w:sz w:val="18"/>
                <w:szCs w:val="18"/>
              </w:rPr>
            </w:pP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19CDBE8" w14:textId="77777777" w:rsidR="005D7F0C" w:rsidRPr="00CF0F96" w:rsidRDefault="005D7F0C">
            <w:pPr>
              <w:spacing w:after="0" w:line="276" w:lineRule="auto"/>
              <w:jc w:val="both"/>
              <w:rPr>
                <w:rFonts w:cs="Arial"/>
                <w:sz w:val="18"/>
                <w:szCs w:val="18"/>
              </w:rPr>
            </w:pPr>
            <w:r w:rsidRPr="00CF0F96">
              <w:rPr>
                <w:rFonts w:cs="Arial"/>
                <w:sz w:val="18"/>
                <w:szCs w:val="18"/>
              </w:rPr>
              <w:t>Nombre del contacto:</w:t>
            </w:r>
          </w:p>
        </w:tc>
        <w:tc>
          <w:tcPr>
            <w:tcW w:w="48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9AD42C7" w14:textId="77777777" w:rsidR="005D7F0C" w:rsidRPr="00CF0F96" w:rsidRDefault="005D7F0C">
            <w:pPr>
              <w:spacing w:after="0" w:line="276" w:lineRule="auto"/>
              <w:jc w:val="both"/>
              <w:rPr>
                <w:rFonts w:cs="Arial"/>
                <w:sz w:val="18"/>
                <w:szCs w:val="18"/>
              </w:rPr>
            </w:pPr>
          </w:p>
        </w:tc>
      </w:tr>
      <w:tr w:rsidR="00CF0F96" w:rsidRPr="00CF0F96" w14:paraId="455506AA" w14:textId="77777777" w:rsidTr="37B44ACB">
        <w:trPr>
          <w:trHeight w:val="182"/>
        </w:trPr>
        <w:tc>
          <w:tcPr>
            <w:tcW w:w="2392" w:type="dxa"/>
            <w:vMerge/>
          </w:tcPr>
          <w:p w14:paraId="0BBB679E" w14:textId="77777777" w:rsidR="005D7F0C" w:rsidRPr="00CF0F96" w:rsidRDefault="005D7F0C">
            <w:pPr>
              <w:spacing w:after="0" w:line="276" w:lineRule="auto"/>
              <w:jc w:val="both"/>
              <w:rPr>
                <w:rFonts w:cs="Arial"/>
                <w:sz w:val="18"/>
                <w:szCs w:val="18"/>
              </w:rPr>
            </w:pP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F82DFCE" w14:textId="77777777" w:rsidR="005D7F0C" w:rsidRPr="00CF0F96" w:rsidRDefault="005D7F0C">
            <w:pPr>
              <w:spacing w:after="0" w:line="276" w:lineRule="auto"/>
              <w:jc w:val="both"/>
              <w:rPr>
                <w:rFonts w:cs="Arial"/>
                <w:sz w:val="18"/>
                <w:szCs w:val="18"/>
              </w:rPr>
            </w:pPr>
            <w:r w:rsidRPr="00CF0F96">
              <w:rPr>
                <w:rFonts w:cs="Arial"/>
                <w:sz w:val="18"/>
                <w:szCs w:val="18"/>
              </w:rPr>
              <w:t>Dirección:</w:t>
            </w:r>
          </w:p>
        </w:tc>
        <w:tc>
          <w:tcPr>
            <w:tcW w:w="48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AD0BFA5" w14:textId="77777777" w:rsidR="005D7F0C" w:rsidRPr="00CF0F96" w:rsidRDefault="005D7F0C">
            <w:pPr>
              <w:spacing w:after="0" w:line="276" w:lineRule="auto"/>
              <w:jc w:val="both"/>
              <w:rPr>
                <w:rFonts w:cs="Arial"/>
                <w:sz w:val="18"/>
                <w:szCs w:val="18"/>
              </w:rPr>
            </w:pPr>
          </w:p>
        </w:tc>
      </w:tr>
      <w:tr w:rsidR="00CF0F96" w:rsidRPr="00CF0F96" w14:paraId="642E9A34" w14:textId="77777777" w:rsidTr="37B44ACB">
        <w:trPr>
          <w:trHeight w:val="182"/>
        </w:trPr>
        <w:tc>
          <w:tcPr>
            <w:tcW w:w="2392" w:type="dxa"/>
            <w:vMerge/>
          </w:tcPr>
          <w:p w14:paraId="69ED8CE9" w14:textId="77777777" w:rsidR="005D7F0C" w:rsidRPr="00CF0F96" w:rsidRDefault="005D7F0C">
            <w:pPr>
              <w:spacing w:after="0" w:line="276" w:lineRule="auto"/>
              <w:jc w:val="both"/>
              <w:rPr>
                <w:rFonts w:cs="Arial"/>
                <w:sz w:val="18"/>
                <w:szCs w:val="18"/>
              </w:rPr>
            </w:pP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943A8B9" w14:textId="77777777" w:rsidR="005D7F0C" w:rsidRPr="00CF0F96" w:rsidRDefault="005D7F0C">
            <w:pPr>
              <w:spacing w:after="0" w:line="276" w:lineRule="auto"/>
              <w:jc w:val="both"/>
              <w:rPr>
                <w:rFonts w:cs="Arial"/>
                <w:sz w:val="18"/>
                <w:szCs w:val="18"/>
              </w:rPr>
            </w:pPr>
            <w:r w:rsidRPr="00CF0F96">
              <w:rPr>
                <w:rFonts w:cs="Arial"/>
                <w:sz w:val="18"/>
                <w:szCs w:val="18"/>
              </w:rPr>
              <w:t>Teléfono:</w:t>
            </w:r>
          </w:p>
        </w:tc>
        <w:tc>
          <w:tcPr>
            <w:tcW w:w="48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3ACB87F" w14:textId="77777777" w:rsidR="005D7F0C" w:rsidRPr="00CF0F96" w:rsidRDefault="005D7F0C">
            <w:pPr>
              <w:spacing w:after="0" w:line="276" w:lineRule="auto"/>
              <w:jc w:val="both"/>
              <w:rPr>
                <w:rFonts w:cs="Arial"/>
                <w:sz w:val="18"/>
                <w:szCs w:val="18"/>
              </w:rPr>
            </w:pPr>
          </w:p>
        </w:tc>
      </w:tr>
      <w:tr w:rsidR="00CF0F96" w:rsidRPr="00CF0F96" w14:paraId="692BE54A" w14:textId="77777777" w:rsidTr="37B44ACB">
        <w:trPr>
          <w:trHeight w:val="182"/>
        </w:trPr>
        <w:tc>
          <w:tcPr>
            <w:tcW w:w="2392" w:type="dxa"/>
            <w:vMerge/>
          </w:tcPr>
          <w:p w14:paraId="6ADEB453" w14:textId="77777777" w:rsidR="005D7F0C" w:rsidRPr="00CF0F96" w:rsidRDefault="005D7F0C">
            <w:pPr>
              <w:spacing w:after="0" w:line="276" w:lineRule="auto"/>
              <w:jc w:val="both"/>
              <w:rPr>
                <w:rFonts w:cs="Arial"/>
                <w:sz w:val="18"/>
                <w:szCs w:val="18"/>
              </w:rPr>
            </w:pP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CB8C285" w14:textId="77777777" w:rsidR="005D7F0C" w:rsidRPr="00CF0F96" w:rsidRDefault="005D7F0C">
            <w:pPr>
              <w:spacing w:after="0" w:line="276" w:lineRule="auto"/>
              <w:jc w:val="both"/>
              <w:rPr>
                <w:rFonts w:cs="Arial"/>
                <w:sz w:val="18"/>
                <w:szCs w:val="18"/>
              </w:rPr>
            </w:pPr>
            <w:r w:rsidRPr="00CF0F96">
              <w:rPr>
                <w:rFonts w:cs="Arial"/>
                <w:sz w:val="18"/>
                <w:szCs w:val="18"/>
              </w:rPr>
              <w:t>Correo electrónico:</w:t>
            </w:r>
          </w:p>
        </w:tc>
        <w:tc>
          <w:tcPr>
            <w:tcW w:w="48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70B5795" w14:textId="77777777" w:rsidR="005D7F0C" w:rsidRPr="00CF0F96" w:rsidRDefault="005D7F0C">
            <w:pPr>
              <w:spacing w:after="0" w:line="276" w:lineRule="auto"/>
              <w:jc w:val="both"/>
              <w:rPr>
                <w:rFonts w:cs="Arial"/>
                <w:sz w:val="18"/>
                <w:szCs w:val="18"/>
              </w:rPr>
            </w:pPr>
          </w:p>
        </w:tc>
      </w:tr>
      <w:tr w:rsidR="00CF0F96" w:rsidRPr="00CF0F96" w14:paraId="3F6D2AA6" w14:textId="77777777" w:rsidTr="37B44ACB">
        <w:trPr>
          <w:trHeight w:val="182"/>
        </w:trPr>
        <w:tc>
          <w:tcPr>
            <w:tcW w:w="2392" w:type="dxa"/>
            <w:vMerge/>
          </w:tcPr>
          <w:p w14:paraId="540832E1" w14:textId="77777777" w:rsidR="005D7F0C" w:rsidRPr="00CF0F96" w:rsidRDefault="005D7F0C">
            <w:pPr>
              <w:spacing w:after="0" w:line="276" w:lineRule="auto"/>
              <w:jc w:val="both"/>
              <w:rPr>
                <w:rFonts w:cs="Arial"/>
                <w:sz w:val="18"/>
                <w:szCs w:val="18"/>
              </w:rPr>
            </w:pP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994CA43" w14:textId="77777777" w:rsidR="005D7F0C" w:rsidRPr="00CF0F96" w:rsidRDefault="005D7F0C">
            <w:pPr>
              <w:spacing w:after="0" w:line="276" w:lineRule="auto"/>
              <w:rPr>
                <w:rFonts w:cs="Arial"/>
                <w:sz w:val="18"/>
                <w:szCs w:val="18"/>
              </w:rPr>
            </w:pPr>
            <w:r w:rsidRPr="00CF0F96">
              <w:rPr>
                <w:rFonts w:cs="Arial"/>
                <w:sz w:val="18"/>
                <w:szCs w:val="18"/>
              </w:rPr>
              <w:t>Años de experiencia en el rubro:</w:t>
            </w:r>
          </w:p>
        </w:tc>
        <w:tc>
          <w:tcPr>
            <w:tcW w:w="48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C205517" w14:textId="77777777" w:rsidR="005D7F0C" w:rsidRPr="00CF0F96" w:rsidRDefault="005D7F0C">
            <w:pPr>
              <w:spacing w:after="0" w:line="276" w:lineRule="auto"/>
              <w:jc w:val="both"/>
              <w:rPr>
                <w:rFonts w:cs="Arial"/>
                <w:sz w:val="18"/>
                <w:szCs w:val="18"/>
              </w:rPr>
            </w:pPr>
          </w:p>
        </w:tc>
      </w:tr>
      <w:tr w:rsidR="00CF0F96" w:rsidRPr="00CF0F96" w14:paraId="6388B7F8" w14:textId="77777777" w:rsidTr="37B44ACB">
        <w:trPr>
          <w:trHeight w:val="182"/>
        </w:trPr>
        <w:tc>
          <w:tcPr>
            <w:tcW w:w="2392" w:type="dxa"/>
            <w:vMerge/>
          </w:tcPr>
          <w:p w14:paraId="5A09ED3B" w14:textId="77777777" w:rsidR="005D7F0C" w:rsidRPr="00CF0F96" w:rsidRDefault="005D7F0C">
            <w:pPr>
              <w:spacing w:after="0" w:line="276" w:lineRule="auto"/>
              <w:jc w:val="both"/>
              <w:rPr>
                <w:rFonts w:cs="Arial"/>
                <w:sz w:val="18"/>
                <w:szCs w:val="18"/>
              </w:rPr>
            </w:pP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9DEE2D9" w14:textId="77777777" w:rsidR="005D7F0C" w:rsidRPr="00CF0F96" w:rsidRDefault="2664BE3D">
            <w:pPr>
              <w:spacing w:after="0" w:line="276" w:lineRule="auto"/>
              <w:jc w:val="both"/>
              <w:rPr>
                <w:rFonts w:cs="Arial"/>
                <w:sz w:val="18"/>
                <w:szCs w:val="18"/>
              </w:rPr>
            </w:pPr>
            <w:r w:rsidRPr="00CF0F96">
              <w:rPr>
                <w:rFonts w:cs="Arial"/>
                <w:sz w:val="18"/>
                <w:szCs w:val="18"/>
              </w:rPr>
              <w:t>Tipología</w:t>
            </w:r>
            <w:r w:rsidR="005D7F0C" w:rsidRPr="00CF0F96">
              <w:rPr>
                <w:rStyle w:val="Refdenotaalpie"/>
                <w:rFonts w:cs="Arial"/>
                <w:sz w:val="18"/>
                <w:szCs w:val="18"/>
              </w:rPr>
              <w:footnoteReference w:id="68"/>
            </w:r>
            <w:r w:rsidRPr="00CF0F96">
              <w:rPr>
                <w:rFonts w:cs="Arial"/>
                <w:sz w:val="18"/>
                <w:szCs w:val="18"/>
              </w:rPr>
              <w:t>:</w:t>
            </w:r>
          </w:p>
        </w:tc>
        <w:tc>
          <w:tcPr>
            <w:tcW w:w="48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6B186B0" w14:textId="77777777" w:rsidR="005D7F0C" w:rsidRPr="00CF0F96" w:rsidRDefault="005D7F0C">
            <w:pPr>
              <w:spacing w:after="0" w:line="276" w:lineRule="auto"/>
              <w:jc w:val="both"/>
              <w:rPr>
                <w:rFonts w:cs="Arial"/>
                <w:sz w:val="18"/>
                <w:szCs w:val="18"/>
              </w:rPr>
            </w:pPr>
          </w:p>
        </w:tc>
      </w:tr>
    </w:tbl>
    <w:p w14:paraId="0F06A17A" w14:textId="77777777" w:rsidR="005D7F0C" w:rsidRPr="00CF0F96" w:rsidRDefault="005D7F0C" w:rsidP="005D7F0C">
      <w:pPr>
        <w:rPr>
          <w:rFonts w:cs="Arial"/>
        </w:rPr>
      </w:pPr>
      <w:bookmarkStart w:id="1563" w:name="_Toc41236891"/>
      <w:bookmarkStart w:id="1564" w:name="_Toc300330005"/>
      <w:bookmarkStart w:id="1565" w:name="_Toc300554298"/>
      <w:bookmarkEnd w:id="1563"/>
    </w:p>
    <w:p w14:paraId="0C6D8CE1" w14:textId="77777777" w:rsidR="005D7F0C" w:rsidRPr="00CF0F96" w:rsidRDefault="005D7F0C" w:rsidP="005D7F0C">
      <w:pPr>
        <w:pStyle w:val="Prrafodelista"/>
        <w:numPr>
          <w:ilvl w:val="0"/>
          <w:numId w:val="45"/>
        </w:numPr>
        <w:spacing w:after="0" w:line="276" w:lineRule="auto"/>
        <w:contextualSpacing w:val="0"/>
        <w:jc w:val="both"/>
        <w:rPr>
          <w:rFonts w:cs="Arial"/>
          <w:sz w:val="20"/>
          <w:szCs w:val="20"/>
        </w:rPr>
      </w:pPr>
      <w:r w:rsidRPr="00CF0F96">
        <w:rPr>
          <w:rFonts w:cs="Arial"/>
          <w:b/>
          <w:bCs/>
          <w:sz w:val="20"/>
          <w:szCs w:val="20"/>
        </w:rPr>
        <w:t>Resumen de aspectos ambientales</w:t>
      </w:r>
      <w:r w:rsidRPr="00CF0F96">
        <w:rPr>
          <w:rFonts w:cs="Arial"/>
          <w:sz w:val="20"/>
          <w:szCs w:val="20"/>
        </w:rPr>
        <w:t xml:space="preserve"> (máximo 400 palabras)</w:t>
      </w:r>
    </w:p>
    <w:p w14:paraId="61C2591F" w14:textId="77777777" w:rsidR="005D7F0C" w:rsidRPr="00CF0F96" w:rsidRDefault="005D7F0C" w:rsidP="005D7F0C">
      <w:pPr>
        <w:pStyle w:val="Prrafodelista"/>
        <w:numPr>
          <w:ilvl w:val="1"/>
          <w:numId w:val="45"/>
        </w:numPr>
        <w:spacing w:after="0" w:line="276" w:lineRule="auto"/>
        <w:ind w:left="731" w:hanging="284"/>
        <w:contextualSpacing w:val="0"/>
        <w:jc w:val="both"/>
        <w:rPr>
          <w:rFonts w:cs="Arial"/>
          <w:sz w:val="20"/>
          <w:szCs w:val="20"/>
        </w:rPr>
      </w:pPr>
      <w:r w:rsidRPr="00CF0F96">
        <w:rPr>
          <w:rFonts w:cs="Arial"/>
          <w:sz w:val="20"/>
          <w:szCs w:val="20"/>
        </w:rPr>
        <w:t>Identificación de potenciales impactos ambientales negativos/positivos generados por la implementación del PdN, a nivel de producción primaria y a nivel de procesamiento.</w:t>
      </w:r>
    </w:p>
    <w:p w14:paraId="77E1DBBE" w14:textId="77777777" w:rsidR="005D7F0C" w:rsidRPr="00CF0F96" w:rsidRDefault="005D7F0C" w:rsidP="005D7F0C">
      <w:pPr>
        <w:pStyle w:val="Prrafodelista"/>
        <w:numPr>
          <w:ilvl w:val="1"/>
          <w:numId w:val="45"/>
        </w:numPr>
        <w:spacing w:after="0" w:line="276" w:lineRule="auto"/>
        <w:ind w:left="731" w:hanging="284"/>
        <w:contextualSpacing w:val="0"/>
        <w:jc w:val="both"/>
        <w:rPr>
          <w:rFonts w:cs="Arial"/>
          <w:sz w:val="20"/>
          <w:szCs w:val="20"/>
        </w:rPr>
      </w:pPr>
      <w:r w:rsidRPr="00CF0F96">
        <w:rPr>
          <w:rFonts w:cs="Arial"/>
          <w:sz w:val="20"/>
          <w:szCs w:val="20"/>
        </w:rPr>
        <w:t>Identificación de riesgo climático, que puedan afectar el negocio.</w:t>
      </w:r>
    </w:p>
    <w:p w14:paraId="2EB7EDED" w14:textId="77777777" w:rsidR="005D7F0C" w:rsidRPr="00CF0F96" w:rsidRDefault="005D7F0C" w:rsidP="005D7F0C">
      <w:pPr>
        <w:pStyle w:val="Prrafodelista"/>
        <w:numPr>
          <w:ilvl w:val="1"/>
          <w:numId w:val="45"/>
        </w:numPr>
        <w:spacing w:after="0" w:line="276" w:lineRule="auto"/>
        <w:ind w:left="731" w:hanging="284"/>
        <w:contextualSpacing w:val="0"/>
        <w:jc w:val="both"/>
        <w:rPr>
          <w:rFonts w:cs="Arial"/>
          <w:sz w:val="20"/>
          <w:szCs w:val="20"/>
        </w:rPr>
      </w:pPr>
      <w:r w:rsidRPr="00CF0F96">
        <w:rPr>
          <w:rFonts w:cs="Arial"/>
          <w:sz w:val="20"/>
          <w:szCs w:val="20"/>
        </w:rPr>
        <w:t xml:space="preserve">Descripción de buenas prácticas ambientales, incluyendo buenas prácticas agrícolas o de manufactura que serán implementadas. </w:t>
      </w:r>
    </w:p>
    <w:p w14:paraId="612F7822" w14:textId="77777777" w:rsidR="005D7F0C" w:rsidRPr="00CF0F96" w:rsidRDefault="005D7F0C" w:rsidP="005D7F0C">
      <w:pPr>
        <w:pStyle w:val="Prrafodelista"/>
        <w:numPr>
          <w:ilvl w:val="0"/>
          <w:numId w:val="45"/>
        </w:numPr>
        <w:spacing w:after="0" w:line="276" w:lineRule="auto"/>
        <w:contextualSpacing w:val="0"/>
        <w:jc w:val="both"/>
        <w:rPr>
          <w:rFonts w:cs="Arial"/>
          <w:sz w:val="20"/>
          <w:szCs w:val="20"/>
        </w:rPr>
      </w:pPr>
      <w:r w:rsidRPr="00CF0F96">
        <w:rPr>
          <w:rFonts w:cs="Arial"/>
          <w:b/>
          <w:bCs/>
          <w:sz w:val="20"/>
          <w:szCs w:val="20"/>
        </w:rPr>
        <w:t xml:space="preserve">Resumen de aspectos sociales </w:t>
      </w:r>
      <w:r w:rsidRPr="00CF0F96">
        <w:rPr>
          <w:rFonts w:cs="Arial"/>
          <w:sz w:val="20"/>
          <w:szCs w:val="20"/>
        </w:rPr>
        <w:t xml:space="preserve">(máximo 400 palabras). </w:t>
      </w:r>
    </w:p>
    <w:p w14:paraId="7520A4CA" w14:textId="77777777" w:rsidR="005D7F0C" w:rsidRPr="00CF0F96" w:rsidRDefault="005D7F0C" w:rsidP="005D7F0C">
      <w:pPr>
        <w:pStyle w:val="Prrafodelista"/>
        <w:numPr>
          <w:ilvl w:val="1"/>
          <w:numId w:val="45"/>
        </w:numPr>
        <w:spacing w:after="0" w:line="276" w:lineRule="auto"/>
        <w:ind w:left="731" w:hanging="284"/>
        <w:contextualSpacing w:val="0"/>
        <w:jc w:val="both"/>
        <w:rPr>
          <w:rFonts w:cs="Arial"/>
          <w:sz w:val="20"/>
          <w:szCs w:val="20"/>
        </w:rPr>
      </w:pPr>
      <w:r w:rsidRPr="00CF0F96">
        <w:rPr>
          <w:rFonts w:cs="Arial"/>
          <w:sz w:val="20"/>
          <w:szCs w:val="20"/>
        </w:rPr>
        <w:lastRenderedPageBreak/>
        <w:t xml:space="preserve">Identificación de acciones que promoverán la incorporación y/o participación de mujeres, jóvenes e indígenas/afrodescendientes (estimando el porcentaje incremental de la membresía de la OPR). </w:t>
      </w:r>
    </w:p>
    <w:p w14:paraId="005EBD91" w14:textId="77777777" w:rsidR="005D7F0C" w:rsidRPr="00CF0F96" w:rsidRDefault="005D7F0C" w:rsidP="005D7F0C">
      <w:pPr>
        <w:pStyle w:val="Prrafodelista"/>
        <w:numPr>
          <w:ilvl w:val="1"/>
          <w:numId w:val="45"/>
        </w:numPr>
        <w:spacing w:after="0" w:line="276" w:lineRule="auto"/>
        <w:ind w:left="731" w:hanging="284"/>
        <w:contextualSpacing w:val="0"/>
        <w:jc w:val="both"/>
        <w:rPr>
          <w:rFonts w:cs="Arial"/>
          <w:sz w:val="20"/>
          <w:szCs w:val="20"/>
        </w:rPr>
      </w:pPr>
      <w:r w:rsidRPr="00CF0F96">
        <w:rPr>
          <w:rFonts w:cs="Arial"/>
          <w:sz w:val="20"/>
          <w:szCs w:val="20"/>
        </w:rPr>
        <w:t xml:space="preserve">Describir las acciones o iniciativas de proyección social que la OPR realiza o proyectan realizar para con sus socios y la comunidad. </w:t>
      </w:r>
    </w:p>
    <w:p w14:paraId="4D9B119B" w14:textId="77777777" w:rsidR="005D7F0C" w:rsidRPr="00CF0F96" w:rsidRDefault="005D7F0C" w:rsidP="005D7F0C">
      <w:pPr>
        <w:pStyle w:val="Prrafodelista"/>
        <w:numPr>
          <w:ilvl w:val="1"/>
          <w:numId w:val="45"/>
        </w:numPr>
        <w:spacing w:after="0" w:line="276" w:lineRule="auto"/>
        <w:ind w:left="731" w:hanging="284"/>
        <w:contextualSpacing w:val="0"/>
        <w:jc w:val="both"/>
        <w:rPr>
          <w:rFonts w:cs="Arial"/>
          <w:sz w:val="20"/>
          <w:szCs w:val="20"/>
        </w:rPr>
      </w:pPr>
      <w:r w:rsidRPr="00CF0F96">
        <w:rPr>
          <w:rFonts w:cs="Arial"/>
          <w:sz w:val="20"/>
          <w:szCs w:val="20"/>
        </w:rPr>
        <w:t>Identificar las acciones que están implementando y consideran implementar frente a la nueva realidad del COVID-19, en lo relativo a las medidas de bioseguridad para proteger a sus miembros y la comunidad.</w:t>
      </w:r>
    </w:p>
    <w:p w14:paraId="50FF4E69" w14:textId="77777777" w:rsidR="005D7F0C" w:rsidRPr="00CF0F96" w:rsidRDefault="005D7F0C" w:rsidP="005D7F0C">
      <w:pPr>
        <w:pStyle w:val="Prrafodelista"/>
        <w:numPr>
          <w:ilvl w:val="1"/>
          <w:numId w:val="45"/>
        </w:numPr>
        <w:spacing w:after="0" w:line="276" w:lineRule="auto"/>
        <w:ind w:left="731" w:hanging="284"/>
        <w:contextualSpacing w:val="0"/>
        <w:jc w:val="both"/>
        <w:rPr>
          <w:rFonts w:cs="Arial"/>
          <w:sz w:val="20"/>
          <w:szCs w:val="20"/>
        </w:rPr>
      </w:pPr>
      <w:r w:rsidRPr="00CF0F96">
        <w:rPr>
          <w:rFonts w:cs="Arial"/>
          <w:sz w:val="20"/>
          <w:szCs w:val="20"/>
        </w:rPr>
        <w:t>Informar sobre la existencia de un mecanismo de quejas, reclamos o sugerencias y su funcionamiento.</w:t>
      </w:r>
    </w:p>
    <w:tbl>
      <w:tblPr>
        <w:tblStyle w:val="Tablaconcuadrcula"/>
        <w:tblW w:w="0" w:type="auto"/>
        <w:jc w:val="center"/>
        <w:tblLook w:val="04A0" w:firstRow="1" w:lastRow="0" w:firstColumn="1" w:lastColumn="0" w:noHBand="0" w:noVBand="1"/>
      </w:tblPr>
      <w:tblGrid>
        <w:gridCol w:w="4673"/>
        <w:gridCol w:w="1184"/>
        <w:gridCol w:w="2268"/>
      </w:tblGrid>
      <w:tr w:rsidR="00CF0F96" w:rsidRPr="00CF0F96" w14:paraId="2F2A563A" w14:textId="77777777" w:rsidTr="00811897">
        <w:trPr>
          <w:tblHeader/>
          <w:jc w:val="center"/>
        </w:trPr>
        <w:tc>
          <w:tcPr>
            <w:tcW w:w="4673" w:type="dxa"/>
          </w:tcPr>
          <w:p w14:paraId="6BC6A962" w14:textId="77777777" w:rsidR="00C3565C" w:rsidRPr="00CF0F96" w:rsidRDefault="00C3565C" w:rsidP="001C5CB3">
            <w:pPr>
              <w:jc w:val="center"/>
              <w:rPr>
                <w:rFonts w:cs="Arial"/>
                <w:b/>
                <w:bCs/>
                <w:sz w:val="20"/>
                <w:szCs w:val="20"/>
              </w:rPr>
            </w:pPr>
            <w:r w:rsidRPr="00CF0F96">
              <w:rPr>
                <w:rFonts w:cs="Arial"/>
                <w:b/>
                <w:bCs/>
                <w:sz w:val="20"/>
                <w:szCs w:val="20"/>
              </w:rPr>
              <w:t>Participantes en el PNs</w:t>
            </w:r>
          </w:p>
        </w:tc>
        <w:tc>
          <w:tcPr>
            <w:tcW w:w="1184" w:type="dxa"/>
          </w:tcPr>
          <w:p w14:paraId="3F5D006C" w14:textId="77777777" w:rsidR="00C3565C" w:rsidRPr="00CF0F96" w:rsidRDefault="37F48E34" w:rsidP="001C5CB3">
            <w:pPr>
              <w:jc w:val="center"/>
              <w:rPr>
                <w:rFonts w:cs="Arial"/>
                <w:b/>
                <w:bCs/>
                <w:sz w:val="20"/>
                <w:szCs w:val="20"/>
              </w:rPr>
            </w:pPr>
            <w:r w:rsidRPr="00CF0F96">
              <w:rPr>
                <w:rFonts w:cs="Arial"/>
                <w:b/>
                <w:bCs/>
                <w:sz w:val="20"/>
                <w:szCs w:val="20"/>
              </w:rPr>
              <w:t>Número</w:t>
            </w:r>
            <w:r w:rsidR="00C3565C" w:rsidRPr="00CF0F96">
              <w:rPr>
                <w:rStyle w:val="Refdenotaalpie"/>
                <w:rFonts w:cs="Arial"/>
                <w:b/>
                <w:bCs/>
                <w:sz w:val="20"/>
                <w:szCs w:val="20"/>
              </w:rPr>
              <w:footnoteReference w:id="69"/>
            </w:r>
          </w:p>
        </w:tc>
        <w:tc>
          <w:tcPr>
            <w:tcW w:w="2268" w:type="dxa"/>
          </w:tcPr>
          <w:p w14:paraId="6DE617C2" w14:textId="77777777" w:rsidR="00C3565C" w:rsidRPr="00CF0F96" w:rsidRDefault="37F48E34" w:rsidP="001C5CB3">
            <w:pPr>
              <w:jc w:val="center"/>
              <w:rPr>
                <w:rFonts w:cs="Arial"/>
                <w:b/>
                <w:bCs/>
                <w:sz w:val="20"/>
                <w:szCs w:val="20"/>
              </w:rPr>
            </w:pPr>
            <w:r w:rsidRPr="00CF0F96">
              <w:rPr>
                <w:rFonts w:cs="Arial"/>
                <w:b/>
                <w:bCs/>
                <w:sz w:val="20"/>
                <w:szCs w:val="20"/>
              </w:rPr>
              <w:t>Porcentaje (%)</w:t>
            </w:r>
            <w:r w:rsidR="00C3565C" w:rsidRPr="00CF0F96">
              <w:rPr>
                <w:rStyle w:val="Refdenotaalpie"/>
                <w:rFonts w:cs="Arial"/>
                <w:b/>
                <w:bCs/>
                <w:sz w:val="20"/>
                <w:szCs w:val="20"/>
              </w:rPr>
              <w:footnoteReference w:id="70"/>
            </w:r>
          </w:p>
        </w:tc>
      </w:tr>
      <w:tr w:rsidR="00CF0F96" w:rsidRPr="00CF0F96" w14:paraId="7CCA29A9" w14:textId="77777777" w:rsidTr="00811897">
        <w:trPr>
          <w:jc w:val="center"/>
        </w:trPr>
        <w:tc>
          <w:tcPr>
            <w:tcW w:w="4673" w:type="dxa"/>
          </w:tcPr>
          <w:p w14:paraId="063AC684" w14:textId="77777777" w:rsidR="00C3565C" w:rsidRPr="00CF0F96" w:rsidRDefault="00C3565C" w:rsidP="001C5CB3">
            <w:pPr>
              <w:rPr>
                <w:rFonts w:cs="Arial"/>
                <w:b/>
                <w:bCs/>
                <w:sz w:val="20"/>
                <w:szCs w:val="20"/>
              </w:rPr>
            </w:pPr>
            <w:r w:rsidRPr="00CF0F96">
              <w:rPr>
                <w:rFonts w:cs="Arial"/>
                <w:b/>
                <w:bCs/>
                <w:sz w:val="20"/>
                <w:szCs w:val="20"/>
              </w:rPr>
              <w:t>Mujeres</w:t>
            </w:r>
          </w:p>
        </w:tc>
        <w:tc>
          <w:tcPr>
            <w:tcW w:w="1184" w:type="dxa"/>
          </w:tcPr>
          <w:p w14:paraId="17DE6875" w14:textId="77777777" w:rsidR="00C3565C" w:rsidRPr="00CF0F96" w:rsidRDefault="00C3565C" w:rsidP="001C5CB3">
            <w:pPr>
              <w:jc w:val="center"/>
              <w:rPr>
                <w:rFonts w:cs="Arial"/>
                <w:b/>
                <w:bCs/>
                <w:sz w:val="20"/>
                <w:szCs w:val="20"/>
              </w:rPr>
            </w:pPr>
          </w:p>
        </w:tc>
        <w:tc>
          <w:tcPr>
            <w:tcW w:w="2268" w:type="dxa"/>
          </w:tcPr>
          <w:p w14:paraId="4A5A1450" w14:textId="77777777" w:rsidR="00C3565C" w:rsidRPr="00CF0F96" w:rsidRDefault="00C3565C" w:rsidP="001C5CB3">
            <w:pPr>
              <w:jc w:val="center"/>
              <w:rPr>
                <w:rFonts w:cs="Arial"/>
                <w:b/>
                <w:bCs/>
                <w:sz w:val="20"/>
                <w:szCs w:val="20"/>
              </w:rPr>
            </w:pPr>
          </w:p>
        </w:tc>
      </w:tr>
      <w:tr w:rsidR="00CF0F96" w:rsidRPr="00CF0F96" w14:paraId="52963BD1" w14:textId="77777777" w:rsidTr="00811897">
        <w:trPr>
          <w:jc w:val="center"/>
        </w:trPr>
        <w:tc>
          <w:tcPr>
            <w:tcW w:w="4673" w:type="dxa"/>
          </w:tcPr>
          <w:p w14:paraId="72AD281C" w14:textId="77777777" w:rsidR="00C3565C" w:rsidRPr="00CF0F96" w:rsidRDefault="00C3565C" w:rsidP="001C5CB3">
            <w:pPr>
              <w:rPr>
                <w:rFonts w:cs="Arial"/>
                <w:sz w:val="20"/>
                <w:szCs w:val="20"/>
              </w:rPr>
            </w:pPr>
            <w:r w:rsidRPr="00CF0F96">
              <w:rPr>
                <w:rFonts w:cs="Arial"/>
                <w:sz w:val="20"/>
                <w:szCs w:val="20"/>
              </w:rPr>
              <w:t>En Membresía de la Organización</w:t>
            </w:r>
          </w:p>
        </w:tc>
        <w:tc>
          <w:tcPr>
            <w:tcW w:w="1184" w:type="dxa"/>
          </w:tcPr>
          <w:p w14:paraId="77E8B3C7" w14:textId="77777777" w:rsidR="00C3565C" w:rsidRPr="00CF0F96" w:rsidRDefault="00C3565C" w:rsidP="001C5CB3">
            <w:pPr>
              <w:rPr>
                <w:rFonts w:cs="Arial"/>
                <w:sz w:val="20"/>
                <w:szCs w:val="20"/>
              </w:rPr>
            </w:pPr>
          </w:p>
        </w:tc>
        <w:tc>
          <w:tcPr>
            <w:tcW w:w="2268" w:type="dxa"/>
          </w:tcPr>
          <w:p w14:paraId="3545D201" w14:textId="77777777" w:rsidR="00C3565C" w:rsidRPr="00CF0F96" w:rsidRDefault="00C3565C" w:rsidP="001C5CB3">
            <w:pPr>
              <w:rPr>
                <w:rFonts w:cs="Arial"/>
                <w:sz w:val="20"/>
                <w:szCs w:val="20"/>
              </w:rPr>
            </w:pPr>
          </w:p>
        </w:tc>
      </w:tr>
      <w:tr w:rsidR="00CF0F96" w:rsidRPr="00CF0F96" w14:paraId="4CC0484E" w14:textId="77777777" w:rsidTr="00811897">
        <w:trPr>
          <w:jc w:val="center"/>
        </w:trPr>
        <w:tc>
          <w:tcPr>
            <w:tcW w:w="4673" w:type="dxa"/>
          </w:tcPr>
          <w:p w14:paraId="68819764" w14:textId="77777777" w:rsidR="00C3565C" w:rsidRPr="00CF0F96" w:rsidRDefault="00C3565C" w:rsidP="001C5CB3">
            <w:pPr>
              <w:rPr>
                <w:rFonts w:cs="Arial"/>
                <w:sz w:val="20"/>
                <w:szCs w:val="20"/>
              </w:rPr>
            </w:pPr>
            <w:r w:rsidRPr="00CF0F96">
              <w:rPr>
                <w:rFonts w:cs="Arial"/>
                <w:sz w:val="20"/>
                <w:szCs w:val="20"/>
              </w:rPr>
              <w:t>Participantes en Plan de Negocio</w:t>
            </w:r>
          </w:p>
        </w:tc>
        <w:tc>
          <w:tcPr>
            <w:tcW w:w="1184" w:type="dxa"/>
          </w:tcPr>
          <w:p w14:paraId="4E99C8B2" w14:textId="77777777" w:rsidR="00C3565C" w:rsidRPr="00CF0F96" w:rsidRDefault="00C3565C" w:rsidP="001C5CB3">
            <w:pPr>
              <w:rPr>
                <w:rFonts w:cs="Arial"/>
                <w:sz w:val="20"/>
                <w:szCs w:val="20"/>
              </w:rPr>
            </w:pPr>
          </w:p>
        </w:tc>
        <w:tc>
          <w:tcPr>
            <w:tcW w:w="2268" w:type="dxa"/>
          </w:tcPr>
          <w:p w14:paraId="7CB527AE" w14:textId="77777777" w:rsidR="00C3565C" w:rsidRPr="00CF0F96" w:rsidRDefault="00C3565C" w:rsidP="001C5CB3">
            <w:pPr>
              <w:rPr>
                <w:rFonts w:cs="Arial"/>
                <w:sz w:val="20"/>
                <w:szCs w:val="20"/>
              </w:rPr>
            </w:pPr>
          </w:p>
        </w:tc>
      </w:tr>
      <w:tr w:rsidR="00CF0F96" w:rsidRPr="00CF0F96" w14:paraId="02DF4627" w14:textId="77777777" w:rsidTr="00811897">
        <w:trPr>
          <w:jc w:val="center"/>
        </w:trPr>
        <w:tc>
          <w:tcPr>
            <w:tcW w:w="4673" w:type="dxa"/>
          </w:tcPr>
          <w:p w14:paraId="07A2A930" w14:textId="77777777" w:rsidR="00C3565C" w:rsidRPr="00CF0F96" w:rsidRDefault="00C3565C" w:rsidP="001C5CB3">
            <w:pPr>
              <w:rPr>
                <w:rFonts w:cs="Arial"/>
                <w:sz w:val="20"/>
                <w:szCs w:val="20"/>
              </w:rPr>
            </w:pPr>
            <w:r w:rsidRPr="00CF0F96">
              <w:rPr>
                <w:rFonts w:cs="Arial"/>
                <w:sz w:val="20"/>
                <w:szCs w:val="20"/>
              </w:rPr>
              <w:t>Participación en Junta Directiva y Vigilancia</w:t>
            </w:r>
          </w:p>
        </w:tc>
        <w:tc>
          <w:tcPr>
            <w:tcW w:w="1184" w:type="dxa"/>
          </w:tcPr>
          <w:p w14:paraId="0641498B" w14:textId="77777777" w:rsidR="00C3565C" w:rsidRPr="00CF0F96" w:rsidRDefault="00C3565C" w:rsidP="001C5CB3">
            <w:pPr>
              <w:rPr>
                <w:rFonts w:cs="Arial"/>
                <w:sz w:val="20"/>
                <w:szCs w:val="20"/>
              </w:rPr>
            </w:pPr>
          </w:p>
        </w:tc>
        <w:tc>
          <w:tcPr>
            <w:tcW w:w="2268" w:type="dxa"/>
          </w:tcPr>
          <w:p w14:paraId="11AF0854" w14:textId="77777777" w:rsidR="00C3565C" w:rsidRPr="00CF0F96" w:rsidRDefault="00C3565C" w:rsidP="001C5CB3">
            <w:pPr>
              <w:rPr>
                <w:rFonts w:cs="Arial"/>
                <w:sz w:val="20"/>
                <w:szCs w:val="20"/>
              </w:rPr>
            </w:pPr>
          </w:p>
        </w:tc>
      </w:tr>
      <w:tr w:rsidR="00CF0F96" w:rsidRPr="00CF0F96" w14:paraId="4EDE179F" w14:textId="77777777" w:rsidTr="00811897">
        <w:trPr>
          <w:jc w:val="center"/>
        </w:trPr>
        <w:tc>
          <w:tcPr>
            <w:tcW w:w="4673" w:type="dxa"/>
          </w:tcPr>
          <w:p w14:paraId="4A92EC28" w14:textId="77777777" w:rsidR="00C3565C" w:rsidRPr="00CF0F96" w:rsidRDefault="00C3565C" w:rsidP="001C5CB3">
            <w:pPr>
              <w:rPr>
                <w:rFonts w:cs="Arial"/>
                <w:b/>
                <w:bCs/>
                <w:sz w:val="20"/>
                <w:szCs w:val="20"/>
              </w:rPr>
            </w:pPr>
            <w:r w:rsidRPr="00CF0F96">
              <w:rPr>
                <w:rFonts w:cs="Arial"/>
                <w:b/>
                <w:bCs/>
                <w:sz w:val="20"/>
                <w:szCs w:val="20"/>
              </w:rPr>
              <w:t xml:space="preserve">Jóvenes </w:t>
            </w:r>
          </w:p>
        </w:tc>
        <w:tc>
          <w:tcPr>
            <w:tcW w:w="1184" w:type="dxa"/>
          </w:tcPr>
          <w:p w14:paraId="017A97E6" w14:textId="77777777" w:rsidR="00C3565C" w:rsidRPr="00CF0F96" w:rsidRDefault="00C3565C" w:rsidP="001C5CB3">
            <w:pPr>
              <w:rPr>
                <w:rFonts w:cs="Arial"/>
                <w:b/>
                <w:bCs/>
                <w:sz w:val="20"/>
                <w:szCs w:val="20"/>
              </w:rPr>
            </w:pPr>
          </w:p>
        </w:tc>
        <w:tc>
          <w:tcPr>
            <w:tcW w:w="2268" w:type="dxa"/>
          </w:tcPr>
          <w:p w14:paraId="5722031B" w14:textId="77777777" w:rsidR="00C3565C" w:rsidRPr="00CF0F96" w:rsidRDefault="00C3565C" w:rsidP="001C5CB3">
            <w:pPr>
              <w:rPr>
                <w:rFonts w:cs="Arial"/>
                <w:b/>
                <w:bCs/>
                <w:sz w:val="20"/>
                <w:szCs w:val="20"/>
              </w:rPr>
            </w:pPr>
          </w:p>
        </w:tc>
      </w:tr>
      <w:tr w:rsidR="00CF0F96" w:rsidRPr="00CF0F96" w14:paraId="16C12829" w14:textId="77777777" w:rsidTr="00811897">
        <w:trPr>
          <w:jc w:val="center"/>
        </w:trPr>
        <w:tc>
          <w:tcPr>
            <w:tcW w:w="4673" w:type="dxa"/>
          </w:tcPr>
          <w:p w14:paraId="393D1AE2" w14:textId="77777777" w:rsidR="00C3565C" w:rsidRPr="00CF0F96" w:rsidRDefault="00C3565C" w:rsidP="001C5CB3">
            <w:pPr>
              <w:rPr>
                <w:rFonts w:cs="Arial"/>
                <w:sz w:val="20"/>
                <w:szCs w:val="20"/>
              </w:rPr>
            </w:pPr>
            <w:r w:rsidRPr="00CF0F96">
              <w:rPr>
                <w:rFonts w:cs="Arial"/>
                <w:sz w:val="20"/>
                <w:szCs w:val="20"/>
              </w:rPr>
              <w:t>En Membresía de la Organización</w:t>
            </w:r>
          </w:p>
        </w:tc>
        <w:tc>
          <w:tcPr>
            <w:tcW w:w="1184" w:type="dxa"/>
          </w:tcPr>
          <w:p w14:paraId="783D2E0F" w14:textId="77777777" w:rsidR="00C3565C" w:rsidRPr="00CF0F96" w:rsidRDefault="00C3565C" w:rsidP="001C5CB3">
            <w:pPr>
              <w:rPr>
                <w:rFonts w:cs="Arial"/>
                <w:sz w:val="20"/>
                <w:szCs w:val="20"/>
              </w:rPr>
            </w:pPr>
          </w:p>
        </w:tc>
        <w:tc>
          <w:tcPr>
            <w:tcW w:w="2268" w:type="dxa"/>
          </w:tcPr>
          <w:p w14:paraId="5E1CED1C" w14:textId="77777777" w:rsidR="00C3565C" w:rsidRPr="00CF0F96" w:rsidRDefault="00C3565C" w:rsidP="001C5CB3">
            <w:pPr>
              <w:rPr>
                <w:rFonts w:cs="Arial"/>
                <w:sz w:val="20"/>
                <w:szCs w:val="20"/>
              </w:rPr>
            </w:pPr>
          </w:p>
        </w:tc>
      </w:tr>
      <w:tr w:rsidR="00CF0F96" w:rsidRPr="00CF0F96" w14:paraId="6A2B10A5" w14:textId="77777777" w:rsidTr="00811897">
        <w:trPr>
          <w:jc w:val="center"/>
        </w:trPr>
        <w:tc>
          <w:tcPr>
            <w:tcW w:w="4673" w:type="dxa"/>
          </w:tcPr>
          <w:p w14:paraId="0B2E7055" w14:textId="77777777" w:rsidR="00C3565C" w:rsidRPr="00CF0F96" w:rsidRDefault="00C3565C" w:rsidP="001C5CB3">
            <w:pPr>
              <w:rPr>
                <w:rFonts w:cs="Arial"/>
                <w:sz w:val="20"/>
                <w:szCs w:val="20"/>
              </w:rPr>
            </w:pPr>
            <w:r w:rsidRPr="00CF0F96">
              <w:rPr>
                <w:rFonts w:cs="Arial"/>
                <w:sz w:val="20"/>
                <w:szCs w:val="20"/>
              </w:rPr>
              <w:t>Participantes en Plan de Negocio</w:t>
            </w:r>
          </w:p>
        </w:tc>
        <w:tc>
          <w:tcPr>
            <w:tcW w:w="1184" w:type="dxa"/>
          </w:tcPr>
          <w:p w14:paraId="0F9832A4" w14:textId="77777777" w:rsidR="00C3565C" w:rsidRPr="00CF0F96" w:rsidRDefault="00C3565C" w:rsidP="001C5CB3">
            <w:pPr>
              <w:rPr>
                <w:rFonts w:cs="Arial"/>
                <w:sz w:val="20"/>
                <w:szCs w:val="20"/>
              </w:rPr>
            </w:pPr>
          </w:p>
        </w:tc>
        <w:tc>
          <w:tcPr>
            <w:tcW w:w="2268" w:type="dxa"/>
          </w:tcPr>
          <w:p w14:paraId="5CDB752C" w14:textId="77777777" w:rsidR="00C3565C" w:rsidRPr="00CF0F96" w:rsidRDefault="00C3565C" w:rsidP="001C5CB3">
            <w:pPr>
              <w:rPr>
                <w:rFonts w:cs="Arial"/>
                <w:sz w:val="20"/>
                <w:szCs w:val="20"/>
              </w:rPr>
            </w:pPr>
          </w:p>
        </w:tc>
      </w:tr>
      <w:tr w:rsidR="00CF0F96" w:rsidRPr="00CF0F96" w14:paraId="6F0646D1" w14:textId="77777777" w:rsidTr="00811897">
        <w:trPr>
          <w:jc w:val="center"/>
        </w:trPr>
        <w:tc>
          <w:tcPr>
            <w:tcW w:w="4673" w:type="dxa"/>
          </w:tcPr>
          <w:p w14:paraId="112A66DB" w14:textId="77777777" w:rsidR="00C3565C" w:rsidRPr="00CF0F96" w:rsidRDefault="00C3565C" w:rsidP="001C5CB3">
            <w:pPr>
              <w:rPr>
                <w:rFonts w:cs="Arial"/>
                <w:sz w:val="20"/>
                <w:szCs w:val="20"/>
              </w:rPr>
            </w:pPr>
            <w:r w:rsidRPr="00CF0F96">
              <w:rPr>
                <w:rFonts w:cs="Arial"/>
                <w:sz w:val="20"/>
                <w:szCs w:val="20"/>
              </w:rPr>
              <w:t>Participación en Junta Directiva y Vigilancia</w:t>
            </w:r>
          </w:p>
        </w:tc>
        <w:tc>
          <w:tcPr>
            <w:tcW w:w="1184" w:type="dxa"/>
          </w:tcPr>
          <w:p w14:paraId="22B89C07" w14:textId="77777777" w:rsidR="00C3565C" w:rsidRPr="00CF0F96" w:rsidRDefault="00C3565C" w:rsidP="001C5CB3">
            <w:pPr>
              <w:rPr>
                <w:rFonts w:cs="Arial"/>
                <w:sz w:val="20"/>
                <w:szCs w:val="20"/>
              </w:rPr>
            </w:pPr>
          </w:p>
        </w:tc>
        <w:tc>
          <w:tcPr>
            <w:tcW w:w="2268" w:type="dxa"/>
          </w:tcPr>
          <w:p w14:paraId="1F46826D" w14:textId="77777777" w:rsidR="00C3565C" w:rsidRPr="00CF0F96" w:rsidRDefault="00C3565C" w:rsidP="001C5CB3">
            <w:pPr>
              <w:rPr>
                <w:rFonts w:cs="Arial"/>
                <w:sz w:val="20"/>
                <w:szCs w:val="20"/>
              </w:rPr>
            </w:pPr>
          </w:p>
        </w:tc>
      </w:tr>
      <w:tr w:rsidR="00CF0F96" w:rsidRPr="00CF0F96" w14:paraId="48B7C6A9" w14:textId="77777777" w:rsidTr="00811897">
        <w:trPr>
          <w:jc w:val="center"/>
        </w:trPr>
        <w:tc>
          <w:tcPr>
            <w:tcW w:w="4673" w:type="dxa"/>
          </w:tcPr>
          <w:p w14:paraId="5ED7BB1B" w14:textId="77777777" w:rsidR="00C3565C" w:rsidRPr="00CF0F96" w:rsidRDefault="37F48E34" w:rsidP="001C5CB3">
            <w:pPr>
              <w:rPr>
                <w:rFonts w:cs="Arial"/>
                <w:b/>
                <w:bCs/>
                <w:sz w:val="20"/>
                <w:szCs w:val="20"/>
              </w:rPr>
            </w:pPr>
            <w:r w:rsidRPr="00CF0F96">
              <w:rPr>
                <w:rFonts w:cs="Arial"/>
                <w:b/>
                <w:bCs/>
                <w:sz w:val="20"/>
                <w:szCs w:val="20"/>
              </w:rPr>
              <w:t>Pueblos Indígenas / Afrodescendientes</w:t>
            </w:r>
            <w:r w:rsidR="00C3565C" w:rsidRPr="00CF0F96">
              <w:rPr>
                <w:rStyle w:val="Refdenotaalpie"/>
                <w:rFonts w:cs="Arial"/>
                <w:b/>
                <w:bCs/>
                <w:sz w:val="20"/>
                <w:szCs w:val="20"/>
              </w:rPr>
              <w:footnoteReference w:id="71"/>
            </w:r>
          </w:p>
        </w:tc>
        <w:tc>
          <w:tcPr>
            <w:tcW w:w="1184" w:type="dxa"/>
          </w:tcPr>
          <w:p w14:paraId="1531EC54" w14:textId="77777777" w:rsidR="00C3565C" w:rsidRPr="00CF0F96" w:rsidRDefault="00C3565C" w:rsidP="001C5CB3">
            <w:pPr>
              <w:rPr>
                <w:rFonts w:cs="Arial"/>
                <w:b/>
                <w:bCs/>
                <w:sz w:val="20"/>
                <w:szCs w:val="20"/>
              </w:rPr>
            </w:pPr>
          </w:p>
        </w:tc>
        <w:tc>
          <w:tcPr>
            <w:tcW w:w="2268" w:type="dxa"/>
          </w:tcPr>
          <w:p w14:paraId="37440D1C" w14:textId="77777777" w:rsidR="00C3565C" w:rsidRPr="00CF0F96" w:rsidRDefault="00C3565C" w:rsidP="001C5CB3">
            <w:pPr>
              <w:rPr>
                <w:rFonts w:cs="Arial"/>
                <w:b/>
                <w:bCs/>
                <w:sz w:val="20"/>
                <w:szCs w:val="20"/>
              </w:rPr>
            </w:pPr>
          </w:p>
        </w:tc>
      </w:tr>
      <w:tr w:rsidR="00CF0F96" w:rsidRPr="00CF0F96" w14:paraId="6A52DD43" w14:textId="77777777" w:rsidTr="00811897">
        <w:trPr>
          <w:jc w:val="center"/>
        </w:trPr>
        <w:tc>
          <w:tcPr>
            <w:tcW w:w="4673" w:type="dxa"/>
          </w:tcPr>
          <w:p w14:paraId="4D4D12EB" w14:textId="77777777" w:rsidR="00C3565C" w:rsidRPr="00CF0F96" w:rsidRDefault="00C3565C" w:rsidP="001C5CB3">
            <w:pPr>
              <w:rPr>
                <w:rFonts w:cs="Arial"/>
                <w:sz w:val="20"/>
                <w:szCs w:val="20"/>
              </w:rPr>
            </w:pPr>
            <w:r w:rsidRPr="00CF0F96">
              <w:rPr>
                <w:rFonts w:cs="Arial"/>
                <w:sz w:val="20"/>
                <w:szCs w:val="20"/>
              </w:rPr>
              <w:t>En Membresía de la Organización</w:t>
            </w:r>
          </w:p>
        </w:tc>
        <w:tc>
          <w:tcPr>
            <w:tcW w:w="1184" w:type="dxa"/>
          </w:tcPr>
          <w:p w14:paraId="20DB8CD3" w14:textId="77777777" w:rsidR="00C3565C" w:rsidRPr="00CF0F96" w:rsidRDefault="00C3565C" w:rsidP="001C5CB3">
            <w:pPr>
              <w:rPr>
                <w:rFonts w:cs="Arial"/>
                <w:sz w:val="20"/>
                <w:szCs w:val="20"/>
              </w:rPr>
            </w:pPr>
          </w:p>
        </w:tc>
        <w:tc>
          <w:tcPr>
            <w:tcW w:w="2268" w:type="dxa"/>
          </w:tcPr>
          <w:p w14:paraId="21B6511F" w14:textId="77777777" w:rsidR="00C3565C" w:rsidRPr="00CF0F96" w:rsidRDefault="00C3565C" w:rsidP="001C5CB3">
            <w:pPr>
              <w:rPr>
                <w:rFonts w:cs="Arial"/>
                <w:sz w:val="20"/>
                <w:szCs w:val="20"/>
              </w:rPr>
            </w:pPr>
          </w:p>
        </w:tc>
      </w:tr>
      <w:tr w:rsidR="00CF0F96" w:rsidRPr="00CF0F96" w14:paraId="2ADEF2DD" w14:textId="77777777" w:rsidTr="00811897">
        <w:trPr>
          <w:jc w:val="center"/>
        </w:trPr>
        <w:tc>
          <w:tcPr>
            <w:tcW w:w="4673" w:type="dxa"/>
          </w:tcPr>
          <w:p w14:paraId="07FF4CBA" w14:textId="77777777" w:rsidR="00C3565C" w:rsidRPr="00CF0F96" w:rsidRDefault="00C3565C" w:rsidP="001C5CB3">
            <w:pPr>
              <w:rPr>
                <w:rFonts w:cs="Arial"/>
                <w:sz w:val="20"/>
                <w:szCs w:val="20"/>
              </w:rPr>
            </w:pPr>
            <w:r w:rsidRPr="00CF0F96">
              <w:rPr>
                <w:rFonts w:cs="Arial"/>
                <w:sz w:val="20"/>
                <w:szCs w:val="20"/>
              </w:rPr>
              <w:t>Participantes en Plan de Negocio</w:t>
            </w:r>
          </w:p>
        </w:tc>
        <w:tc>
          <w:tcPr>
            <w:tcW w:w="1184" w:type="dxa"/>
          </w:tcPr>
          <w:p w14:paraId="682F38EF" w14:textId="77777777" w:rsidR="00C3565C" w:rsidRPr="00CF0F96" w:rsidRDefault="00C3565C" w:rsidP="001C5CB3">
            <w:pPr>
              <w:rPr>
                <w:rFonts w:cs="Arial"/>
                <w:sz w:val="20"/>
                <w:szCs w:val="20"/>
              </w:rPr>
            </w:pPr>
          </w:p>
        </w:tc>
        <w:tc>
          <w:tcPr>
            <w:tcW w:w="2268" w:type="dxa"/>
          </w:tcPr>
          <w:p w14:paraId="76A81FF5" w14:textId="77777777" w:rsidR="00C3565C" w:rsidRPr="00CF0F96" w:rsidRDefault="00C3565C" w:rsidP="001C5CB3">
            <w:pPr>
              <w:rPr>
                <w:rFonts w:cs="Arial"/>
                <w:sz w:val="20"/>
                <w:szCs w:val="20"/>
              </w:rPr>
            </w:pPr>
          </w:p>
        </w:tc>
      </w:tr>
      <w:tr w:rsidR="00C3565C" w:rsidRPr="00CF0F96" w14:paraId="29E3C503" w14:textId="77777777" w:rsidTr="00811897">
        <w:trPr>
          <w:jc w:val="center"/>
        </w:trPr>
        <w:tc>
          <w:tcPr>
            <w:tcW w:w="4673" w:type="dxa"/>
          </w:tcPr>
          <w:p w14:paraId="4617E1AD" w14:textId="77777777" w:rsidR="00C3565C" w:rsidRPr="00CF0F96" w:rsidRDefault="00C3565C" w:rsidP="001C5CB3">
            <w:pPr>
              <w:rPr>
                <w:rFonts w:cs="Arial"/>
                <w:sz w:val="20"/>
                <w:szCs w:val="20"/>
              </w:rPr>
            </w:pPr>
            <w:r w:rsidRPr="00CF0F96">
              <w:rPr>
                <w:rFonts w:cs="Arial"/>
                <w:sz w:val="20"/>
                <w:szCs w:val="20"/>
              </w:rPr>
              <w:t>Participación en Junta Directiva y Vigilancia</w:t>
            </w:r>
          </w:p>
        </w:tc>
        <w:tc>
          <w:tcPr>
            <w:tcW w:w="1184" w:type="dxa"/>
          </w:tcPr>
          <w:p w14:paraId="1D397813" w14:textId="77777777" w:rsidR="00C3565C" w:rsidRPr="00CF0F96" w:rsidRDefault="00C3565C" w:rsidP="001C5CB3">
            <w:pPr>
              <w:rPr>
                <w:rFonts w:cs="Arial"/>
                <w:sz w:val="20"/>
                <w:szCs w:val="20"/>
              </w:rPr>
            </w:pPr>
          </w:p>
        </w:tc>
        <w:tc>
          <w:tcPr>
            <w:tcW w:w="2268" w:type="dxa"/>
          </w:tcPr>
          <w:p w14:paraId="40C03CA8" w14:textId="77777777" w:rsidR="00C3565C" w:rsidRPr="00CF0F96" w:rsidRDefault="00C3565C" w:rsidP="001C5CB3">
            <w:pPr>
              <w:rPr>
                <w:rFonts w:cs="Arial"/>
                <w:sz w:val="20"/>
                <w:szCs w:val="20"/>
              </w:rPr>
            </w:pPr>
          </w:p>
        </w:tc>
      </w:tr>
    </w:tbl>
    <w:p w14:paraId="45C866EC" w14:textId="77777777" w:rsidR="00C3565C" w:rsidRPr="00CF0F96" w:rsidRDefault="00C3565C" w:rsidP="005D7F0C">
      <w:pPr>
        <w:rPr>
          <w:rFonts w:cs="Arial"/>
          <w:sz w:val="20"/>
          <w:szCs w:val="20"/>
        </w:rPr>
      </w:pPr>
    </w:p>
    <w:p w14:paraId="7B88DF86" w14:textId="77777777" w:rsidR="005D7F0C" w:rsidRPr="00CF0F96" w:rsidRDefault="005D7F0C" w:rsidP="005D7F0C">
      <w:pPr>
        <w:pStyle w:val="Prrafodelista"/>
        <w:numPr>
          <w:ilvl w:val="0"/>
          <w:numId w:val="45"/>
        </w:numPr>
        <w:spacing w:after="0" w:line="276" w:lineRule="auto"/>
        <w:contextualSpacing w:val="0"/>
        <w:jc w:val="both"/>
        <w:rPr>
          <w:rFonts w:cs="Arial"/>
          <w:sz w:val="20"/>
          <w:szCs w:val="20"/>
        </w:rPr>
      </w:pPr>
      <w:r w:rsidRPr="00CF0F96">
        <w:rPr>
          <w:rFonts w:cs="Arial"/>
          <w:b/>
          <w:bCs/>
          <w:sz w:val="20"/>
          <w:szCs w:val="20"/>
        </w:rPr>
        <w:t>Estimación de inversión requerida para el financiamiento del PdN</w:t>
      </w:r>
    </w:p>
    <w:p w14:paraId="4A2597C8" w14:textId="77777777" w:rsidR="005D7F0C" w:rsidRPr="00CF0F96" w:rsidRDefault="005D7F0C" w:rsidP="005D7F0C">
      <w:pPr>
        <w:pStyle w:val="Prrafodelista"/>
        <w:spacing w:after="0" w:line="276" w:lineRule="auto"/>
        <w:ind w:left="360"/>
        <w:contextualSpacing w:val="0"/>
        <w:jc w:val="both"/>
        <w:rPr>
          <w:rFonts w:cs="Arial"/>
          <w:sz w:val="20"/>
          <w:szCs w:val="20"/>
        </w:rPr>
      </w:pPr>
      <w:r w:rsidRPr="00CF0F96">
        <w:rPr>
          <w:rFonts w:cs="Arial"/>
          <w:sz w:val="20"/>
          <w:szCs w:val="20"/>
        </w:rPr>
        <w:t>Se debe incluir la descripción de las inversiones propuestas, que responde a un análisis estratégico y prioritario para la viabilidad del negocio, tomando en cuenta la nueva normalidad del país, como producto del COVID-19. (</w:t>
      </w:r>
      <w:r w:rsidRPr="00CF0F96">
        <w:rPr>
          <w:rFonts w:cs="Arial"/>
          <w:bCs/>
          <w:sz w:val="20"/>
          <w:szCs w:val="20"/>
        </w:rPr>
        <w:t>se debe anexar memoria de cálculo en archivo de Excel</w:t>
      </w:r>
      <w:r w:rsidRPr="00CF0F96">
        <w:rPr>
          <w:rFonts w:cs="Arial"/>
          <w:sz w:val="20"/>
          <w:szCs w:val="20"/>
        </w:rPr>
        <w:t>).</w:t>
      </w:r>
    </w:p>
    <w:p w14:paraId="1F3CAA20" w14:textId="77777777" w:rsidR="005D7F0C" w:rsidRPr="00CF0F96" w:rsidRDefault="005D7F0C" w:rsidP="005D7F0C">
      <w:pPr>
        <w:pStyle w:val="Prrafodelista"/>
        <w:spacing w:after="0" w:line="276" w:lineRule="auto"/>
        <w:ind w:left="360"/>
        <w:contextualSpacing w:val="0"/>
        <w:jc w:val="both"/>
        <w:rPr>
          <w:rFonts w:cs="Arial"/>
          <w:sz w:val="20"/>
          <w:szCs w:val="20"/>
        </w:rPr>
      </w:pPr>
    </w:p>
    <w:tbl>
      <w:tblPr>
        <w:tblStyle w:val="Tablaconcuadrcula"/>
        <w:tblW w:w="9621" w:type="dxa"/>
        <w:tblLook w:val="04A0" w:firstRow="1" w:lastRow="0" w:firstColumn="1" w:lastColumn="0" w:noHBand="0" w:noVBand="1"/>
      </w:tblPr>
      <w:tblGrid>
        <w:gridCol w:w="2253"/>
        <w:gridCol w:w="1766"/>
        <w:gridCol w:w="1472"/>
        <w:gridCol w:w="4130"/>
      </w:tblGrid>
      <w:tr w:rsidR="00CF0F96" w:rsidRPr="00CF0F96" w14:paraId="494A14CA" w14:textId="77777777" w:rsidTr="005D7F0C">
        <w:tc>
          <w:tcPr>
            <w:tcW w:w="2253" w:type="dxa"/>
            <w:shd w:val="clear" w:color="auto" w:fill="5CC5DA"/>
          </w:tcPr>
          <w:p w14:paraId="755758A0" w14:textId="77777777" w:rsidR="005D7F0C" w:rsidRPr="00CF0F96" w:rsidRDefault="005D7F0C">
            <w:pPr>
              <w:spacing w:after="120" w:line="276" w:lineRule="auto"/>
              <w:jc w:val="center"/>
              <w:rPr>
                <w:rFonts w:cs="Arial"/>
                <w:sz w:val="18"/>
                <w:szCs w:val="18"/>
              </w:rPr>
            </w:pPr>
            <w:r w:rsidRPr="00CF0F96">
              <w:rPr>
                <w:rFonts w:cs="Arial"/>
                <w:b/>
                <w:bCs/>
                <w:sz w:val="18"/>
                <w:szCs w:val="18"/>
              </w:rPr>
              <w:t>Fuente de recursos</w:t>
            </w:r>
          </w:p>
        </w:tc>
        <w:tc>
          <w:tcPr>
            <w:tcW w:w="1766" w:type="dxa"/>
            <w:shd w:val="clear" w:color="auto" w:fill="5CC5DA"/>
          </w:tcPr>
          <w:p w14:paraId="32EFEB83" w14:textId="77777777" w:rsidR="005D7F0C" w:rsidRPr="00CF0F96" w:rsidRDefault="005D7F0C">
            <w:pPr>
              <w:spacing w:line="276" w:lineRule="auto"/>
              <w:jc w:val="center"/>
              <w:rPr>
                <w:rFonts w:cs="Arial"/>
                <w:sz w:val="18"/>
                <w:szCs w:val="18"/>
              </w:rPr>
            </w:pPr>
            <w:r w:rsidRPr="00CF0F96">
              <w:rPr>
                <w:rFonts w:cs="Arial"/>
                <w:b/>
                <w:bCs/>
                <w:sz w:val="18"/>
                <w:szCs w:val="18"/>
              </w:rPr>
              <w:t>Monto (L.)</w:t>
            </w:r>
          </w:p>
        </w:tc>
        <w:tc>
          <w:tcPr>
            <w:tcW w:w="1472" w:type="dxa"/>
            <w:shd w:val="clear" w:color="auto" w:fill="5CC5DA"/>
          </w:tcPr>
          <w:p w14:paraId="392ABDF5" w14:textId="77777777" w:rsidR="005D7F0C" w:rsidRPr="00CF0F96" w:rsidRDefault="005D7F0C">
            <w:pPr>
              <w:spacing w:after="120" w:line="276" w:lineRule="auto"/>
              <w:jc w:val="center"/>
              <w:rPr>
                <w:rFonts w:cs="Arial"/>
                <w:b/>
                <w:bCs/>
                <w:sz w:val="18"/>
                <w:szCs w:val="18"/>
              </w:rPr>
            </w:pPr>
            <w:r w:rsidRPr="00CF0F96">
              <w:rPr>
                <w:rFonts w:cs="Arial"/>
                <w:b/>
                <w:bCs/>
                <w:sz w:val="18"/>
                <w:szCs w:val="18"/>
              </w:rPr>
              <w:t>Participación</w:t>
            </w:r>
            <w:r w:rsidRPr="00CF0F96">
              <w:rPr>
                <w:rFonts w:cs="Arial"/>
                <w:b/>
                <w:bCs/>
                <w:sz w:val="18"/>
                <w:szCs w:val="18"/>
              </w:rPr>
              <w:br/>
              <w:t>%</w:t>
            </w:r>
          </w:p>
        </w:tc>
        <w:tc>
          <w:tcPr>
            <w:tcW w:w="4130" w:type="dxa"/>
            <w:shd w:val="clear" w:color="auto" w:fill="5CC5DA"/>
          </w:tcPr>
          <w:p w14:paraId="37C630C7" w14:textId="77777777" w:rsidR="005D7F0C" w:rsidRPr="00CF0F96" w:rsidRDefault="005D7F0C">
            <w:pPr>
              <w:spacing w:after="120" w:line="276" w:lineRule="auto"/>
              <w:ind w:right="-113"/>
              <w:jc w:val="center"/>
              <w:rPr>
                <w:rFonts w:cs="Arial"/>
                <w:sz w:val="18"/>
                <w:szCs w:val="18"/>
              </w:rPr>
            </w:pPr>
            <w:r w:rsidRPr="00CF0F96">
              <w:rPr>
                <w:rFonts w:cs="Arial"/>
                <w:b/>
                <w:bCs/>
                <w:sz w:val="18"/>
                <w:szCs w:val="18"/>
              </w:rPr>
              <w:t>Describir tipo de inversión</w:t>
            </w:r>
            <w:r w:rsidRPr="00CF0F96">
              <w:rPr>
                <w:rFonts w:cs="Arial"/>
                <w:sz w:val="18"/>
                <w:szCs w:val="18"/>
              </w:rPr>
              <w:t xml:space="preserve"> (hacía que vaya dirigido cada uno de los montos)</w:t>
            </w:r>
          </w:p>
        </w:tc>
      </w:tr>
      <w:tr w:rsidR="00CF0F96" w:rsidRPr="00CF0F96" w14:paraId="2D975BA7" w14:textId="77777777">
        <w:tc>
          <w:tcPr>
            <w:tcW w:w="2253" w:type="dxa"/>
          </w:tcPr>
          <w:p w14:paraId="3A0C62B3" w14:textId="77777777" w:rsidR="005D7F0C" w:rsidRPr="00CF0F96" w:rsidRDefault="005D7F0C">
            <w:pPr>
              <w:spacing w:after="120" w:line="276" w:lineRule="auto"/>
              <w:rPr>
                <w:rFonts w:cs="Arial"/>
                <w:sz w:val="18"/>
                <w:szCs w:val="18"/>
              </w:rPr>
            </w:pPr>
            <w:r w:rsidRPr="00CF0F96">
              <w:rPr>
                <w:rFonts w:cs="Arial"/>
                <w:sz w:val="18"/>
                <w:szCs w:val="18"/>
              </w:rPr>
              <w:t xml:space="preserve">COMRURAL l III </w:t>
            </w:r>
          </w:p>
        </w:tc>
        <w:tc>
          <w:tcPr>
            <w:tcW w:w="1766" w:type="dxa"/>
          </w:tcPr>
          <w:p w14:paraId="0833344A" w14:textId="77777777" w:rsidR="005D7F0C" w:rsidRPr="00CF0F96" w:rsidRDefault="005D7F0C">
            <w:pPr>
              <w:spacing w:line="276" w:lineRule="auto"/>
              <w:jc w:val="both"/>
              <w:rPr>
                <w:rFonts w:cs="Arial"/>
                <w:sz w:val="18"/>
                <w:szCs w:val="18"/>
              </w:rPr>
            </w:pPr>
          </w:p>
        </w:tc>
        <w:tc>
          <w:tcPr>
            <w:tcW w:w="1472" w:type="dxa"/>
          </w:tcPr>
          <w:p w14:paraId="2F69A465" w14:textId="77777777" w:rsidR="005D7F0C" w:rsidRPr="00CF0F96" w:rsidRDefault="005D7F0C">
            <w:pPr>
              <w:spacing w:line="276" w:lineRule="auto"/>
              <w:jc w:val="both"/>
              <w:rPr>
                <w:rFonts w:cs="Arial"/>
                <w:sz w:val="18"/>
                <w:szCs w:val="18"/>
              </w:rPr>
            </w:pPr>
          </w:p>
        </w:tc>
        <w:tc>
          <w:tcPr>
            <w:tcW w:w="4130" w:type="dxa"/>
          </w:tcPr>
          <w:p w14:paraId="02D4824C" w14:textId="77777777" w:rsidR="005D7F0C" w:rsidRPr="00CF0F96" w:rsidRDefault="005D7F0C">
            <w:pPr>
              <w:spacing w:line="276" w:lineRule="auto"/>
              <w:jc w:val="both"/>
              <w:rPr>
                <w:rFonts w:cs="Arial"/>
                <w:sz w:val="18"/>
                <w:szCs w:val="18"/>
              </w:rPr>
            </w:pPr>
          </w:p>
        </w:tc>
      </w:tr>
      <w:tr w:rsidR="00CF0F96" w:rsidRPr="00CF0F96" w14:paraId="39C94D6F" w14:textId="77777777">
        <w:tc>
          <w:tcPr>
            <w:tcW w:w="2253" w:type="dxa"/>
          </w:tcPr>
          <w:p w14:paraId="22A3D86F" w14:textId="77777777" w:rsidR="005D7F0C" w:rsidRPr="00CF0F96" w:rsidRDefault="005D7F0C">
            <w:pPr>
              <w:spacing w:after="120" w:line="276" w:lineRule="auto"/>
              <w:rPr>
                <w:rFonts w:cs="Arial"/>
                <w:sz w:val="18"/>
                <w:szCs w:val="18"/>
              </w:rPr>
            </w:pPr>
            <w:r w:rsidRPr="00CF0F96">
              <w:rPr>
                <w:rFonts w:cs="Arial"/>
                <w:sz w:val="18"/>
                <w:szCs w:val="18"/>
              </w:rPr>
              <w:t>AFP</w:t>
            </w:r>
            <w:r w:rsidRPr="00CF0F96" w:rsidDel="006A119C">
              <w:rPr>
                <w:rFonts w:cs="Arial"/>
                <w:sz w:val="18"/>
                <w:szCs w:val="18"/>
              </w:rPr>
              <w:t xml:space="preserve"> </w:t>
            </w:r>
          </w:p>
        </w:tc>
        <w:tc>
          <w:tcPr>
            <w:tcW w:w="1766" w:type="dxa"/>
          </w:tcPr>
          <w:p w14:paraId="02B2DEBD" w14:textId="77777777" w:rsidR="005D7F0C" w:rsidRPr="00CF0F96" w:rsidRDefault="005D7F0C">
            <w:pPr>
              <w:spacing w:line="276" w:lineRule="auto"/>
              <w:jc w:val="both"/>
              <w:rPr>
                <w:rFonts w:cs="Arial"/>
                <w:sz w:val="18"/>
                <w:szCs w:val="18"/>
              </w:rPr>
            </w:pPr>
          </w:p>
        </w:tc>
        <w:tc>
          <w:tcPr>
            <w:tcW w:w="1472" w:type="dxa"/>
          </w:tcPr>
          <w:p w14:paraId="2317A5EB" w14:textId="77777777" w:rsidR="005D7F0C" w:rsidRPr="00CF0F96" w:rsidRDefault="005D7F0C">
            <w:pPr>
              <w:spacing w:line="276" w:lineRule="auto"/>
              <w:jc w:val="both"/>
              <w:rPr>
                <w:rFonts w:cs="Arial"/>
                <w:sz w:val="18"/>
                <w:szCs w:val="18"/>
              </w:rPr>
            </w:pPr>
          </w:p>
        </w:tc>
        <w:tc>
          <w:tcPr>
            <w:tcW w:w="4130" w:type="dxa"/>
          </w:tcPr>
          <w:p w14:paraId="5D44F71F" w14:textId="77777777" w:rsidR="005D7F0C" w:rsidRPr="00CF0F96" w:rsidRDefault="005D7F0C">
            <w:pPr>
              <w:spacing w:line="276" w:lineRule="auto"/>
              <w:jc w:val="both"/>
              <w:rPr>
                <w:rFonts w:cs="Arial"/>
                <w:sz w:val="18"/>
                <w:szCs w:val="18"/>
              </w:rPr>
            </w:pPr>
          </w:p>
        </w:tc>
      </w:tr>
      <w:tr w:rsidR="00CF0F96" w:rsidRPr="00CF0F96" w14:paraId="2053AED4" w14:textId="77777777">
        <w:tc>
          <w:tcPr>
            <w:tcW w:w="2253" w:type="dxa"/>
          </w:tcPr>
          <w:p w14:paraId="7AAC67BF" w14:textId="77777777" w:rsidR="005D7F0C" w:rsidRPr="00CF0F96" w:rsidRDefault="005D7F0C">
            <w:pPr>
              <w:spacing w:after="120" w:line="276" w:lineRule="auto"/>
              <w:rPr>
                <w:rFonts w:cs="Arial"/>
                <w:sz w:val="18"/>
                <w:szCs w:val="18"/>
              </w:rPr>
            </w:pPr>
            <w:r w:rsidRPr="00CF0F96">
              <w:rPr>
                <w:rFonts w:cs="Arial"/>
                <w:sz w:val="18"/>
                <w:szCs w:val="18"/>
              </w:rPr>
              <w:t>Aporte de la OPR</w:t>
            </w:r>
          </w:p>
        </w:tc>
        <w:tc>
          <w:tcPr>
            <w:tcW w:w="1766" w:type="dxa"/>
          </w:tcPr>
          <w:p w14:paraId="43151514" w14:textId="77777777" w:rsidR="005D7F0C" w:rsidRPr="00CF0F96" w:rsidRDefault="005D7F0C">
            <w:pPr>
              <w:spacing w:line="276" w:lineRule="auto"/>
              <w:jc w:val="both"/>
              <w:rPr>
                <w:rFonts w:cs="Arial"/>
                <w:sz w:val="18"/>
                <w:szCs w:val="18"/>
              </w:rPr>
            </w:pPr>
          </w:p>
        </w:tc>
        <w:tc>
          <w:tcPr>
            <w:tcW w:w="1472" w:type="dxa"/>
          </w:tcPr>
          <w:p w14:paraId="1AD68280" w14:textId="77777777" w:rsidR="005D7F0C" w:rsidRPr="00CF0F96" w:rsidRDefault="005D7F0C">
            <w:pPr>
              <w:spacing w:line="276" w:lineRule="auto"/>
              <w:jc w:val="both"/>
              <w:rPr>
                <w:rFonts w:cs="Arial"/>
                <w:sz w:val="18"/>
                <w:szCs w:val="18"/>
              </w:rPr>
            </w:pPr>
          </w:p>
        </w:tc>
        <w:tc>
          <w:tcPr>
            <w:tcW w:w="4130" w:type="dxa"/>
          </w:tcPr>
          <w:p w14:paraId="325920FF" w14:textId="77777777" w:rsidR="005D7F0C" w:rsidRPr="00CF0F96" w:rsidRDefault="005D7F0C">
            <w:pPr>
              <w:spacing w:line="276" w:lineRule="auto"/>
              <w:jc w:val="both"/>
              <w:rPr>
                <w:rFonts w:cs="Arial"/>
                <w:sz w:val="18"/>
                <w:szCs w:val="18"/>
              </w:rPr>
            </w:pPr>
          </w:p>
        </w:tc>
      </w:tr>
      <w:tr w:rsidR="00CF0F96" w:rsidRPr="00CF0F96" w14:paraId="74922E01" w14:textId="77777777">
        <w:tc>
          <w:tcPr>
            <w:tcW w:w="2253" w:type="dxa"/>
          </w:tcPr>
          <w:p w14:paraId="4566CCD6" w14:textId="77777777" w:rsidR="005D7F0C" w:rsidRPr="00CF0F96" w:rsidRDefault="005D7F0C">
            <w:pPr>
              <w:spacing w:after="120" w:line="276" w:lineRule="auto"/>
              <w:rPr>
                <w:rFonts w:cs="Arial"/>
                <w:sz w:val="18"/>
                <w:szCs w:val="18"/>
              </w:rPr>
            </w:pPr>
            <w:r w:rsidRPr="00CF0F96">
              <w:rPr>
                <w:rFonts w:cs="Arial"/>
                <w:sz w:val="18"/>
                <w:szCs w:val="18"/>
              </w:rPr>
              <w:t>Otros aportantes (especificar nombre)</w:t>
            </w:r>
          </w:p>
        </w:tc>
        <w:tc>
          <w:tcPr>
            <w:tcW w:w="1766" w:type="dxa"/>
          </w:tcPr>
          <w:p w14:paraId="13CD1512" w14:textId="77777777" w:rsidR="005D7F0C" w:rsidRPr="00CF0F96" w:rsidRDefault="005D7F0C">
            <w:pPr>
              <w:spacing w:line="276" w:lineRule="auto"/>
              <w:jc w:val="both"/>
              <w:rPr>
                <w:rFonts w:cs="Arial"/>
                <w:sz w:val="18"/>
                <w:szCs w:val="18"/>
              </w:rPr>
            </w:pPr>
          </w:p>
        </w:tc>
        <w:tc>
          <w:tcPr>
            <w:tcW w:w="1472" w:type="dxa"/>
          </w:tcPr>
          <w:p w14:paraId="3DAE1986" w14:textId="77777777" w:rsidR="005D7F0C" w:rsidRPr="00CF0F96" w:rsidRDefault="005D7F0C">
            <w:pPr>
              <w:spacing w:line="276" w:lineRule="auto"/>
              <w:jc w:val="both"/>
              <w:rPr>
                <w:rFonts w:cs="Arial"/>
                <w:sz w:val="18"/>
                <w:szCs w:val="18"/>
              </w:rPr>
            </w:pPr>
          </w:p>
        </w:tc>
        <w:tc>
          <w:tcPr>
            <w:tcW w:w="4130" w:type="dxa"/>
          </w:tcPr>
          <w:p w14:paraId="5B15F62E" w14:textId="77777777" w:rsidR="005D7F0C" w:rsidRPr="00CF0F96" w:rsidRDefault="005D7F0C">
            <w:pPr>
              <w:spacing w:line="276" w:lineRule="auto"/>
              <w:jc w:val="both"/>
              <w:rPr>
                <w:rFonts w:cs="Arial"/>
                <w:sz w:val="18"/>
                <w:szCs w:val="18"/>
              </w:rPr>
            </w:pPr>
          </w:p>
        </w:tc>
      </w:tr>
      <w:tr w:rsidR="00CF0F96" w:rsidRPr="00CF0F96" w14:paraId="32CD24F2" w14:textId="77777777">
        <w:tc>
          <w:tcPr>
            <w:tcW w:w="2253" w:type="dxa"/>
          </w:tcPr>
          <w:p w14:paraId="26FBE0C3" w14:textId="77777777" w:rsidR="005D7F0C" w:rsidRPr="00CF0F96" w:rsidRDefault="005D7F0C">
            <w:pPr>
              <w:spacing w:after="120" w:line="276" w:lineRule="auto"/>
              <w:rPr>
                <w:rFonts w:cs="Arial"/>
                <w:sz w:val="18"/>
                <w:szCs w:val="18"/>
              </w:rPr>
            </w:pPr>
            <w:r w:rsidRPr="00CF0F96">
              <w:rPr>
                <w:rFonts w:cs="Arial"/>
                <w:sz w:val="18"/>
                <w:szCs w:val="18"/>
              </w:rPr>
              <w:t>Otras donaciones (especificar nombre)</w:t>
            </w:r>
          </w:p>
        </w:tc>
        <w:tc>
          <w:tcPr>
            <w:tcW w:w="1766" w:type="dxa"/>
          </w:tcPr>
          <w:p w14:paraId="27EA712F" w14:textId="77777777" w:rsidR="005D7F0C" w:rsidRPr="00CF0F96" w:rsidRDefault="005D7F0C">
            <w:pPr>
              <w:spacing w:line="276" w:lineRule="auto"/>
              <w:jc w:val="both"/>
              <w:rPr>
                <w:rFonts w:cs="Arial"/>
                <w:sz w:val="18"/>
                <w:szCs w:val="18"/>
              </w:rPr>
            </w:pPr>
          </w:p>
        </w:tc>
        <w:tc>
          <w:tcPr>
            <w:tcW w:w="1472" w:type="dxa"/>
          </w:tcPr>
          <w:p w14:paraId="6804D178" w14:textId="77777777" w:rsidR="005D7F0C" w:rsidRPr="00CF0F96" w:rsidRDefault="005D7F0C">
            <w:pPr>
              <w:spacing w:line="276" w:lineRule="auto"/>
              <w:jc w:val="both"/>
              <w:rPr>
                <w:rFonts w:cs="Arial"/>
                <w:sz w:val="18"/>
                <w:szCs w:val="18"/>
              </w:rPr>
            </w:pPr>
          </w:p>
        </w:tc>
        <w:tc>
          <w:tcPr>
            <w:tcW w:w="4130" w:type="dxa"/>
          </w:tcPr>
          <w:p w14:paraId="1BE4C7AE" w14:textId="77777777" w:rsidR="005D7F0C" w:rsidRPr="00CF0F96" w:rsidRDefault="005D7F0C">
            <w:pPr>
              <w:spacing w:line="276" w:lineRule="auto"/>
              <w:jc w:val="both"/>
              <w:rPr>
                <w:rFonts w:cs="Arial"/>
                <w:sz w:val="18"/>
                <w:szCs w:val="18"/>
              </w:rPr>
            </w:pPr>
          </w:p>
        </w:tc>
      </w:tr>
      <w:tr w:rsidR="00CF0F96" w:rsidRPr="00CF0F96" w14:paraId="65EE3831" w14:textId="77777777">
        <w:tc>
          <w:tcPr>
            <w:tcW w:w="2253" w:type="dxa"/>
          </w:tcPr>
          <w:p w14:paraId="030F1D60" w14:textId="77777777" w:rsidR="005D7F0C" w:rsidRPr="00CF0F96" w:rsidRDefault="005D7F0C">
            <w:pPr>
              <w:spacing w:after="120" w:line="276" w:lineRule="auto"/>
              <w:rPr>
                <w:rFonts w:cs="Arial"/>
                <w:b/>
                <w:bCs/>
                <w:sz w:val="18"/>
                <w:szCs w:val="18"/>
              </w:rPr>
            </w:pPr>
            <w:r w:rsidRPr="00CF0F96">
              <w:rPr>
                <w:rFonts w:cs="Arial"/>
                <w:b/>
                <w:bCs/>
                <w:sz w:val="18"/>
                <w:szCs w:val="18"/>
              </w:rPr>
              <w:t>Total, de inversión</w:t>
            </w:r>
          </w:p>
        </w:tc>
        <w:tc>
          <w:tcPr>
            <w:tcW w:w="1766" w:type="dxa"/>
          </w:tcPr>
          <w:p w14:paraId="75E6ADF5" w14:textId="77777777" w:rsidR="005D7F0C" w:rsidRPr="00CF0F96" w:rsidRDefault="005D7F0C">
            <w:pPr>
              <w:spacing w:line="276" w:lineRule="auto"/>
              <w:jc w:val="both"/>
              <w:rPr>
                <w:rFonts w:cs="Arial"/>
                <w:b/>
                <w:bCs/>
                <w:sz w:val="18"/>
                <w:szCs w:val="18"/>
              </w:rPr>
            </w:pPr>
          </w:p>
        </w:tc>
        <w:tc>
          <w:tcPr>
            <w:tcW w:w="1472" w:type="dxa"/>
          </w:tcPr>
          <w:p w14:paraId="2DAC9827" w14:textId="77777777" w:rsidR="005D7F0C" w:rsidRPr="00CF0F96" w:rsidRDefault="005D7F0C">
            <w:pPr>
              <w:spacing w:line="276" w:lineRule="auto"/>
              <w:jc w:val="both"/>
              <w:rPr>
                <w:rFonts w:cs="Arial"/>
                <w:b/>
                <w:bCs/>
                <w:sz w:val="18"/>
                <w:szCs w:val="18"/>
              </w:rPr>
            </w:pPr>
          </w:p>
        </w:tc>
        <w:tc>
          <w:tcPr>
            <w:tcW w:w="4130" w:type="dxa"/>
          </w:tcPr>
          <w:p w14:paraId="5155DC38" w14:textId="77777777" w:rsidR="005D7F0C" w:rsidRPr="00CF0F96" w:rsidRDefault="005D7F0C">
            <w:pPr>
              <w:spacing w:line="276" w:lineRule="auto"/>
              <w:jc w:val="both"/>
              <w:rPr>
                <w:rFonts w:cs="Arial"/>
                <w:b/>
                <w:bCs/>
                <w:sz w:val="18"/>
                <w:szCs w:val="18"/>
              </w:rPr>
            </w:pPr>
          </w:p>
        </w:tc>
      </w:tr>
    </w:tbl>
    <w:p w14:paraId="2478B855" w14:textId="77777777" w:rsidR="005D7F0C" w:rsidRPr="00CF0F96" w:rsidRDefault="005D7F0C" w:rsidP="005D7F0C">
      <w:pPr>
        <w:jc w:val="both"/>
        <w:rPr>
          <w:rFonts w:cs="Arial"/>
          <w:sz w:val="20"/>
          <w:szCs w:val="20"/>
          <w:lang w:val="es-HN"/>
        </w:rPr>
      </w:pPr>
      <w:r w:rsidRPr="00CF0F96">
        <w:rPr>
          <w:rFonts w:cs="Arial"/>
          <w:sz w:val="20"/>
          <w:szCs w:val="20"/>
          <w:lang w:val="es-HN"/>
        </w:rPr>
        <w:t xml:space="preserve">Los perfiles de negocios que incluyan los siguientes aspectos, obtendrán puntos adicionales a los 100 establecidos en la tabla de calificación: </w:t>
      </w:r>
    </w:p>
    <w:p w14:paraId="46445C6F" w14:textId="6C82D395" w:rsidR="005D7F0C" w:rsidRPr="00CF0F96" w:rsidRDefault="005D7F0C" w:rsidP="005D7F0C">
      <w:pPr>
        <w:pStyle w:val="Prrafodelista"/>
        <w:numPr>
          <w:ilvl w:val="0"/>
          <w:numId w:val="48"/>
        </w:numPr>
        <w:jc w:val="both"/>
        <w:rPr>
          <w:rFonts w:cs="Arial"/>
          <w:sz w:val="20"/>
          <w:szCs w:val="20"/>
          <w:lang w:val="es-HN"/>
        </w:rPr>
      </w:pPr>
      <w:r w:rsidRPr="00CF0F96">
        <w:rPr>
          <w:rFonts w:cs="Arial"/>
          <w:sz w:val="20"/>
          <w:szCs w:val="20"/>
          <w:lang w:val="es-HN"/>
        </w:rPr>
        <w:t xml:space="preserve">Estén constituidas en un 100% por mujeres, </w:t>
      </w:r>
      <w:r w:rsidR="00626B86" w:rsidRPr="00CF0F96">
        <w:rPr>
          <w:rFonts w:cs="Arial"/>
          <w:sz w:val="20"/>
          <w:szCs w:val="20"/>
          <w:lang w:val="es-HN"/>
        </w:rPr>
        <w:t>población indígena o joven</w:t>
      </w:r>
      <w:r w:rsidRPr="00CF0F96">
        <w:rPr>
          <w:rFonts w:cs="Arial"/>
          <w:sz w:val="20"/>
          <w:szCs w:val="20"/>
          <w:lang w:val="es-HN"/>
        </w:rPr>
        <w:t>.</w:t>
      </w:r>
    </w:p>
    <w:p w14:paraId="479AFA12" w14:textId="77777777" w:rsidR="005D7F0C" w:rsidRPr="00CF0F96" w:rsidRDefault="005D7F0C" w:rsidP="005D7F0C">
      <w:pPr>
        <w:pStyle w:val="Prrafodelista"/>
        <w:numPr>
          <w:ilvl w:val="0"/>
          <w:numId w:val="48"/>
        </w:numPr>
        <w:jc w:val="both"/>
        <w:rPr>
          <w:rFonts w:cs="Arial"/>
          <w:sz w:val="20"/>
          <w:szCs w:val="20"/>
          <w:lang w:val="es-HN"/>
        </w:rPr>
      </w:pPr>
      <w:r w:rsidRPr="00CF0F96">
        <w:rPr>
          <w:rFonts w:cs="Arial"/>
          <w:sz w:val="20"/>
          <w:szCs w:val="20"/>
          <w:lang w:val="es-HN"/>
        </w:rPr>
        <w:t>Incorporen innovaciones para la agricultura indígena tradicional.</w:t>
      </w:r>
    </w:p>
    <w:p w14:paraId="1F786606" w14:textId="77777777" w:rsidR="005D7F0C" w:rsidRPr="00CF0F96" w:rsidRDefault="005D7F0C" w:rsidP="005D7F0C">
      <w:pPr>
        <w:pStyle w:val="Prrafodelista"/>
        <w:numPr>
          <w:ilvl w:val="0"/>
          <w:numId w:val="48"/>
        </w:numPr>
        <w:jc w:val="both"/>
        <w:rPr>
          <w:rFonts w:cs="Arial"/>
          <w:sz w:val="20"/>
          <w:szCs w:val="20"/>
        </w:rPr>
      </w:pPr>
      <w:r w:rsidRPr="00CF0F96">
        <w:rPr>
          <w:rFonts w:eastAsia="Times New Roman" w:cs="Arial"/>
          <w:sz w:val="20"/>
          <w:szCs w:val="20"/>
          <w:lang w:val="es-HN" w:eastAsia="es-HN"/>
        </w:rPr>
        <w:lastRenderedPageBreak/>
        <w:t>Propongan inversión en sistemas de riego para instalar, ampliar o mejorar infraestructura ya existente</w:t>
      </w:r>
      <w:r w:rsidRPr="00CF0F96">
        <w:rPr>
          <w:rFonts w:cs="Arial"/>
          <w:sz w:val="20"/>
          <w:szCs w:val="20"/>
        </w:rPr>
        <w:t>, utilizando agua de fuentes que no afecten a comunidades aguas abajo o que no se encuentren ubicados en cuencas hidrográficas compartidas con otros países.</w:t>
      </w:r>
    </w:p>
    <w:p w14:paraId="68EEB3B7" w14:textId="77777777" w:rsidR="005D7F0C" w:rsidRPr="00CF0F96" w:rsidRDefault="005D7F0C" w:rsidP="005D7F0C">
      <w:pPr>
        <w:pStyle w:val="Prrafodelista"/>
        <w:numPr>
          <w:ilvl w:val="0"/>
          <w:numId w:val="48"/>
        </w:numPr>
        <w:jc w:val="both"/>
        <w:rPr>
          <w:rFonts w:eastAsia="Times New Roman" w:cs="Arial"/>
          <w:sz w:val="20"/>
          <w:szCs w:val="20"/>
          <w:lang w:val="es-HN" w:eastAsia="es-HN"/>
        </w:rPr>
      </w:pPr>
      <w:r w:rsidRPr="00CF0F96">
        <w:rPr>
          <w:rFonts w:eastAsia="Times New Roman" w:cs="Arial"/>
          <w:sz w:val="20"/>
          <w:szCs w:val="20"/>
          <w:lang w:val="es-HN" w:eastAsia="es-HN"/>
        </w:rPr>
        <w:t>Describan actividades propuestas que contribuyen a reducir la emisión Gases de Efecto Invernadero (GEI), a la fijación de carbono o la protección de fuentes de agua.</w:t>
      </w:r>
    </w:p>
    <w:p w14:paraId="287174E2" w14:textId="77777777" w:rsidR="005D7F0C" w:rsidRPr="00CF0F96" w:rsidRDefault="005D7F0C" w:rsidP="005D7F0C">
      <w:pPr>
        <w:pStyle w:val="Prrafodelista"/>
        <w:numPr>
          <w:ilvl w:val="0"/>
          <w:numId w:val="48"/>
        </w:numPr>
        <w:jc w:val="both"/>
        <w:rPr>
          <w:rFonts w:eastAsia="Times New Roman" w:cs="Arial"/>
          <w:sz w:val="20"/>
          <w:szCs w:val="20"/>
          <w:lang w:val="es-HN" w:eastAsia="es-HN"/>
        </w:rPr>
      </w:pPr>
      <w:r w:rsidRPr="00CF0F96">
        <w:rPr>
          <w:rFonts w:eastAsia="Times New Roman" w:cs="Arial"/>
          <w:sz w:val="20"/>
          <w:szCs w:val="20"/>
          <w:lang w:val="es-HN" w:eastAsia="es-HN"/>
        </w:rPr>
        <w:t>Plantean acciones para la promoción o conversión a la producción orgánica.</w:t>
      </w:r>
    </w:p>
    <w:p w14:paraId="239DD02E" w14:textId="77777777" w:rsidR="005D7F0C" w:rsidRPr="00CF0F96" w:rsidRDefault="005D7F0C" w:rsidP="005D7F0C">
      <w:pPr>
        <w:jc w:val="both"/>
        <w:rPr>
          <w:rFonts w:cs="Arial"/>
          <w:sz w:val="20"/>
          <w:szCs w:val="20"/>
          <w:lang w:val="es-HN" w:eastAsia="es-ES"/>
        </w:rPr>
      </w:pPr>
    </w:p>
    <w:p w14:paraId="78483286" w14:textId="77777777" w:rsidR="005D7F0C" w:rsidRPr="00CF0F96" w:rsidRDefault="005D7F0C" w:rsidP="005D7F0C">
      <w:pPr>
        <w:spacing w:after="200" w:line="276" w:lineRule="auto"/>
        <w:rPr>
          <w:rFonts w:cs="Arial"/>
          <w:b/>
          <w:bCs/>
          <w:sz w:val="20"/>
          <w:szCs w:val="20"/>
        </w:rPr>
      </w:pPr>
      <w:bookmarkStart w:id="1566" w:name="_Toc63264839"/>
      <w:r w:rsidRPr="00CF0F96">
        <w:rPr>
          <w:rFonts w:cs="Arial"/>
          <w:b/>
          <w:bCs/>
          <w:sz w:val="20"/>
          <w:szCs w:val="20"/>
        </w:rPr>
        <w:t>SECCION C. DOCUMENTOS ADJUNTOS AL PERFIL DE NEGOCIOS</w:t>
      </w:r>
      <w:bookmarkEnd w:id="1564"/>
      <w:bookmarkEnd w:id="1565"/>
      <w:bookmarkEnd w:id="1566"/>
    </w:p>
    <w:p w14:paraId="04C73944" w14:textId="77777777" w:rsidR="005D7F0C" w:rsidRPr="00CF0F96" w:rsidRDefault="005D7F0C" w:rsidP="005D7F0C">
      <w:pPr>
        <w:pStyle w:val="Prrafodelista"/>
        <w:numPr>
          <w:ilvl w:val="0"/>
          <w:numId w:val="46"/>
        </w:numPr>
        <w:contextualSpacing w:val="0"/>
        <w:jc w:val="both"/>
        <w:rPr>
          <w:rFonts w:cs="Arial"/>
          <w:sz w:val="20"/>
          <w:szCs w:val="20"/>
          <w:lang w:eastAsia="es-ES"/>
        </w:rPr>
      </w:pPr>
      <w:r w:rsidRPr="00CF0F96">
        <w:rPr>
          <w:rFonts w:eastAsia="Times New Roman" w:cs="Arial"/>
          <w:sz w:val="20"/>
          <w:szCs w:val="20"/>
          <w:lang w:eastAsia="es-ES"/>
        </w:rPr>
        <w:t>Copia de la personalidad jurídica o escritura de constitución y copia de las reformas si tuviere. (</w:t>
      </w:r>
      <w:r w:rsidRPr="00CF0F96">
        <w:rPr>
          <w:rFonts w:eastAsia="Times New Roman" w:cs="Arial"/>
          <w:b/>
          <w:bCs/>
          <w:sz w:val="20"/>
          <w:szCs w:val="20"/>
          <w:lang w:eastAsia="es-ES"/>
        </w:rPr>
        <w:t>presentación obligatoria</w:t>
      </w:r>
      <w:r w:rsidRPr="00CF0F96">
        <w:rPr>
          <w:rFonts w:eastAsia="Times New Roman" w:cs="Arial"/>
          <w:sz w:val="20"/>
          <w:szCs w:val="20"/>
          <w:lang w:eastAsia="es-ES"/>
        </w:rPr>
        <w:t>).</w:t>
      </w:r>
    </w:p>
    <w:p w14:paraId="69EC9F78" w14:textId="77777777" w:rsidR="005D7F0C" w:rsidRPr="00CF0F96" w:rsidRDefault="005D7F0C" w:rsidP="005D7F0C">
      <w:pPr>
        <w:pStyle w:val="Prrafodelista"/>
        <w:numPr>
          <w:ilvl w:val="0"/>
          <w:numId w:val="46"/>
        </w:numPr>
        <w:contextualSpacing w:val="0"/>
        <w:jc w:val="both"/>
        <w:rPr>
          <w:rFonts w:cs="Arial"/>
          <w:sz w:val="20"/>
          <w:szCs w:val="20"/>
          <w:lang w:eastAsia="es-ES"/>
        </w:rPr>
      </w:pPr>
      <w:r w:rsidRPr="00CF0F96">
        <w:rPr>
          <w:rFonts w:eastAsia="Times New Roman" w:cs="Arial"/>
          <w:sz w:val="20"/>
          <w:szCs w:val="20"/>
          <w:lang w:eastAsia="es-ES"/>
        </w:rPr>
        <w:t>Listado de los participantes con nombre completo, número de tarjeta de identidad, edad, sexo, fecha de nacimiento y pertenencia cultural. (</w:t>
      </w:r>
      <w:r w:rsidRPr="00CF0F96">
        <w:rPr>
          <w:rFonts w:eastAsia="Times New Roman" w:cs="Arial"/>
          <w:b/>
          <w:bCs/>
          <w:sz w:val="20"/>
          <w:szCs w:val="20"/>
          <w:lang w:eastAsia="es-ES"/>
        </w:rPr>
        <w:t>presentación obligatoria</w:t>
      </w:r>
      <w:r w:rsidRPr="00CF0F96">
        <w:rPr>
          <w:rFonts w:eastAsia="Times New Roman" w:cs="Arial"/>
          <w:sz w:val="20"/>
          <w:szCs w:val="20"/>
          <w:lang w:eastAsia="es-ES"/>
        </w:rPr>
        <w:t>).</w:t>
      </w:r>
    </w:p>
    <w:p w14:paraId="35AEC085" w14:textId="77777777" w:rsidR="005D7F0C" w:rsidRPr="00CF0F96" w:rsidRDefault="005D7F0C" w:rsidP="005D7F0C">
      <w:pPr>
        <w:pStyle w:val="Prrafodelista"/>
        <w:numPr>
          <w:ilvl w:val="0"/>
          <w:numId w:val="46"/>
        </w:numPr>
        <w:contextualSpacing w:val="0"/>
        <w:jc w:val="both"/>
        <w:rPr>
          <w:rFonts w:cs="Arial"/>
          <w:sz w:val="20"/>
          <w:szCs w:val="20"/>
        </w:rPr>
      </w:pPr>
      <w:r w:rsidRPr="00CF0F96">
        <w:rPr>
          <w:rFonts w:eastAsia="Times New Roman" w:cs="Arial"/>
          <w:sz w:val="20"/>
          <w:szCs w:val="20"/>
          <w:lang w:eastAsia="es-ES"/>
        </w:rPr>
        <w:t>Certificación de punto de acta de la reunión de Junta Directiva, dónde expresan</w:t>
      </w:r>
      <w:r w:rsidRPr="00CF0F96">
        <w:rPr>
          <w:rFonts w:cs="Arial"/>
          <w:sz w:val="20"/>
          <w:szCs w:val="20"/>
        </w:rPr>
        <w:t xml:space="preserve"> contar por lo menos con un (1) año de experiencia organizativa a la fecha de presentar el perfil de negocios.</w:t>
      </w:r>
      <w:r w:rsidRPr="00CF0F96">
        <w:rPr>
          <w:rFonts w:eastAsia="Times New Roman" w:cs="Arial"/>
          <w:sz w:val="20"/>
          <w:szCs w:val="20"/>
          <w:lang w:eastAsia="es-ES"/>
        </w:rPr>
        <w:t xml:space="preserve"> (</w:t>
      </w:r>
      <w:r w:rsidRPr="00CF0F96">
        <w:rPr>
          <w:rFonts w:eastAsia="Times New Roman" w:cs="Arial"/>
          <w:b/>
          <w:bCs/>
          <w:sz w:val="20"/>
          <w:szCs w:val="20"/>
          <w:lang w:eastAsia="es-ES"/>
        </w:rPr>
        <w:t>presentación obligatoria</w:t>
      </w:r>
      <w:r w:rsidRPr="00CF0F96">
        <w:rPr>
          <w:rFonts w:eastAsia="Times New Roman" w:cs="Arial"/>
          <w:sz w:val="20"/>
          <w:szCs w:val="20"/>
          <w:lang w:eastAsia="es-ES"/>
        </w:rPr>
        <w:t>).</w:t>
      </w:r>
    </w:p>
    <w:p w14:paraId="0C1C86CF" w14:textId="77777777" w:rsidR="005D7F0C" w:rsidRPr="00CF0F96" w:rsidRDefault="005D7F0C" w:rsidP="005D7F0C">
      <w:pPr>
        <w:pStyle w:val="Prrafodelista"/>
        <w:numPr>
          <w:ilvl w:val="0"/>
          <w:numId w:val="46"/>
        </w:numPr>
        <w:contextualSpacing w:val="0"/>
        <w:jc w:val="both"/>
        <w:rPr>
          <w:rFonts w:cs="Arial"/>
          <w:sz w:val="20"/>
          <w:szCs w:val="20"/>
        </w:rPr>
      </w:pPr>
      <w:r w:rsidRPr="00CF0F96">
        <w:rPr>
          <w:rFonts w:cs="Arial"/>
          <w:sz w:val="20"/>
          <w:szCs w:val="20"/>
        </w:rPr>
        <w:t>Certificación de punto de acta de la reunión de Junta Directiva, dónde expresan estar de acuerdo con: i) el contenido del perfil presentado</w:t>
      </w:r>
      <w:r w:rsidRPr="00CF0F96">
        <w:rPr>
          <w:rFonts w:eastAsia="Times New Roman" w:cs="Arial"/>
          <w:sz w:val="20"/>
          <w:szCs w:val="20"/>
          <w:lang w:eastAsia="es-ES"/>
        </w:rPr>
        <w:t xml:space="preserve"> y las obligaciones que este implica</w:t>
      </w:r>
      <w:r w:rsidRPr="00CF0F96">
        <w:rPr>
          <w:rFonts w:cs="Arial"/>
          <w:sz w:val="20"/>
          <w:szCs w:val="20"/>
        </w:rPr>
        <w:t>; ii) que sus miembros participantes cumplen con los requisitos de elegibilidad para participar en el Proyecto.</w:t>
      </w:r>
      <w:r w:rsidRPr="00CF0F96">
        <w:rPr>
          <w:rFonts w:eastAsia="Times New Roman" w:cs="Arial"/>
          <w:sz w:val="20"/>
          <w:szCs w:val="20"/>
          <w:lang w:eastAsia="es-ES"/>
        </w:rPr>
        <w:t xml:space="preserve"> (</w:t>
      </w:r>
      <w:r w:rsidRPr="00CF0F96">
        <w:rPr>
          <w:rFonts w:eastAsia="Times New Roman" w:cs="Arial"/>
          <w:b/>
          <w:bCs/>
          <w:sz w:val="20"/>
          <w:szCs w:val="20"/>
          <w:lang w:eastAsia="es-ES"/>
        </w:rPr>
        <w:t>presentación obligatoria</w:t>
      </w:r>
      <w:r w:rsidRPr="00CF0F96">
        <w:rPr>
          <w:rFonts w:eastAsia="Times New Roman" w:cs="Arial"/>
          <w:sz w:val="20"/>
          <w:szCs w:val="20"/>
          <w:lang w:eastAsia="es-ES"/>
        </w:rPr>
        <w:t>).</w:t>
      </w:r>
    </w:p>
    <w:p w14:paraId="3D6C7A88" w14:textId="77777777" w:rsidR="005D7F0C" w:rsidRPr="00CF0F96" w:rsidRDefault="005D7F0C" w:rsidP="005D7F0C">
      <w:pPr>
        <w:pStyle w:val="Prrafodelista"/>
        <w:numPr>
          <w:ilvl w:val="0"/>
          <w:numId w:val="46"/>
        </w:numPr>
        <w:contextualSpacing w:val="0"/>
        <w:jc w:val="both"/>
        <w:rPr>
          <w:rFonts w:eastAsia="Times New Roman" w:cs="Arial"/>
          <w:sz w:val="20"/>
          <w:szCs w:val="20"/>
          <w:lang w:eastAsia="es-ES"/>
        </w:rPr>
      </w:pPr>
      <w:r w:rsidRPr="00CF0F96">
        <w:rPr>
          <w:rFonts w:cs="Arial"/>
          <w:sz w:val="20"/>
          <w:szCs w:val="20"/>
        </w:rPr>
        <w:t xml:space="preserve">Nota </w:t>
      </w:r>
      <w:r w:rsidRPr="00CF0F96">
        <w:rPr>
          <w:rFonts w:cs="Arial"/>
          <w:sz w:val="20"/>
          <w:szCs w:val="20"/>
          <w:lang w:eastAsia="es-ES"/>
        </w:rPr>
        <w:t xml:space="preserve">o constancia extendida por el o los aliados comerciales, donde manifiestan el interés </w:t>
      </w:r>
      <w:r w:rsidRPr="00CF0F96">
        <w:rPr>
          <w:rFonts w:cs="Arial"/>
          <w:sz w:val="20"/>
          <w:szCs w:val="20"/>
        </w:rPr>
        <w:t xml:space="preserve">de </w:t>
      </w:r>
      <w:r w:rsidRPr="00CF0F96">
        <w:rPr>
          <w:rFonts w:cs="Arial"/>
          <w:sz w:val="20"/>
          <w:szCs w:val="20"/>
          <w:lang w:eastAsia="es-ES"/>
        </w:rPr>
        <w:t>establecer</w:t>
      </w:r>
      <w:r w:rsidRPr="00CF0F96">
        <w:rPr>
          <w:rFonts w:cs="Arial"/>
          <w:sz w:val="20"/>
          <w:szCs w:val="20"/>
        </w:rPr>
        <w:t xml:space="preserve"> la </w:t>
      </w:r>
      <w:r w:rsidRPr="00CF0F96">
        <w:rPr>
          <w:rFonts w:cs="Arial"/>
          <w:sz w:val="20"/>
          <w:szCs w:val="20"/>
          <w:lang w:eastAsia="es-ES"/>
        </w:rPr>
        <w:t>alianza comercial.</w:t>
      </w:r>
    </w:p>
    <w:p w14:paraId="05A58A41" w14:textId="77777777" w:rsidR="005D7F0C" w:rsidRPr="00CF0F96" w:rsidRDefault="005D7F0C" w:rsidP="005D7F0C">
      <w:pPr>
        <w:pStyle w:val="Prrafodelista"/>
        <w:numPr>
          <w:ilvl w:val="0"/>
          <w:numId w:val="46"/>
        </w:numPr>
        <w:contextualSpacing w:val="0"/>
        <w:jc w:val="both"/>
        <w:rPr>
          <w:rFonts w:eastAsia="Times New Roman" w:cs="Arial"/>
          <w:sz w:val="20"/>
          <w:szCs w:val="20"/>
          <w:lang w:eastAsia="es-ES"/>
        </w:rPr>
      </w:pPr>
      <w:r w:rsidRPr="00CF0F96">
        <w:rPr>
          <w:rFonts w:cs="Arial"/>
          <w:sz w:val="20"/>
          <w:szCs w:val="20"/>
          <w:lang w:eastAsia="es-ES"/>
        </w:rPr>
        <w:t>Nota o constancia del o los aliados financieros, donde manifiestan el interés de co-financiar el plan de negocios que la OPR propondrá a ComRural.</w:t>
      </w:r>
    </w:p>
    <w:p w14:paraId="3AB580BB" w14:textId="77777777" w:rsidR="005D7F0C" w:rsidRPr="00CF0F96" w:rsidRDefault="005D7F0C" w:rsidP="005D7F0C">
      <w:pPr>
        <w:pStyle w:val="Prrafodelista"/>
        <w:numPr>
          <w:ilvl w:val="0"/>
          <w:numId w:val="46"/>
        </w:numPr>
        <w:spacing w:before="120" w:after="120" w:line="276" w:lineRule="auto"/>
        <w:jc w:val="both"/>
        <w:rPr>
          <w:rFonts w:cs="Arial"/>
          <w:sz w:val="20"/>
          <w:szCs w:val="20"/>
        </w:rPr>
      </w:pPr>
      <w:r w:rsidRPr="00CF0F96">
        <w:rPr>
          <w:rFonts w:cs="Arial"/>
          <w:sz w:val="20"/>
          <w:szCs w:val="20"/>
        </w:rPr>
        <w:t xml:space="preserve">Estados Financieros (Estados de Resultados y Balance General) del último año firmado por un perito o contador colegiado. </w:t>
      </w:r>
    </w:p>
    <w:p w14:paraId="60186AB6" w14:textId="77777777" w:rsidR="005D7F0C" w:rsidRPr="00CF0F96" w:rsidRDefault="005D7F0C" w:rsidP="005D7F0C">
      <w:pPr>
        <w:pStyle w:val="Prrafodelista"/>
        <w:numPr>
          <w:ilvl w:val="0"/>
          <w:numId w:val="46"/>
        </w:numPr>
        <w:spacing w:before="120" w:after="120" w:line="276" w:lineRule="auto"/>
        <w:jc w:val="both"/>
        <w:rPr>
          <w:rFonts w:cs="Arial"/>
          <w:sz w:val="20"/>
          <w:szCs w:val="20"/>
        </w:rPr>
      </w:pPr>
      <w:r w:rsidRPr="00CF0F96">
        <w:rPr>
          <w:rFonts w:cs="Arial"/>
          <w:sz w:val="20"/>
          <w:szCs w:val="20"/>
        </w:rPr>
        <w:t>Licenciamiento ambiental: De acuerdo con la situación actual de la OPR presentar uno de los siguientes documentos:</w:t>
      </w:r>
    </w:p>
    <w:p w14:paraId="23C2ADB9" w14:textId="77777777" w:rsidR="005D7F0C" w:rsidRPr="00CF0F96" w:rsidRDefault="005D7F0C" w:rsidP="005D7F0C">
      <w:pPr>
        <w:pStyle w:val="Prrafodelista"/>
        <w:numPr>
          <w:ilvl w:val="1"/>
          <w:numId w:val="46"/>
        </w:numPr>
        <w:spacing w:before="120" w:after="120" w:line="276" w:lineRule="auto"/>
        <w:jc w:val="both"/>
        <w:rPr>
          <w:rFonts w:cs="Arial"/>
          <w:sz w:val="20"/>
          <w:szCs w:val="20"/>
        </w:rPr>
      </w:pPr>
      <w:r w:rsidRPr="00CF0F96">
        <w:rPr>
          <w:rFonts w:cs="Arial"/>
          <w:sz w:val="20"/>
          <w:szCs w:val="20"/>
        </w:rPr>
        <w:t>Copia de la licencia ambiental vigente (si tiene).</w:t>
      </w:r>
    </w:p>
    <w:p w14:paraId="7E8F515E" w14:textId="77777777" w:rsidR="005D7F0C" w:rsidRPr="00CF0F96" w:rsidRDefault="005D7F0C" w:rsidP="005D7F0C">
      <w:pPr>
        <w:pStyle w:val="Prrafodelista"/>
        <w:numPr>
          <w:ilvl w:val="1"/>
          <w:numId w:val="46"/>
        </w:numPr>
        <w:spacing w:before="120" w:after="120" w:line="276" w:lineRule="auto"/>
        <w:jc w:val="both"/>
        <w:rPr>
          <w:rFonts w:cs="Arial"/>
          <w:sz w:val="20"/>
          <w:szCs w:val="20"/>
        </w:rPr>
      </w:pPr>
      <w:r w:rsidRPr="00CF0F96">
        <w:rPr>
          <w:rFonts w:cs="Arial"/>
          <w:sz w:val="20"/>
          <w:szCs w:val="20"/>
        </w:rPr>
        <w:t>Copia de la constancia de no requerir licencia ambiental (si tiene).</w:t>
      </w:r>
    </w:p>
    <w:p w14:paraId="5B318812" w14:textId="77777777" w:rsidR="005D7F0C" w:rsidRPr="00CF0F96" w:rsidRDefault="005D7F0C" w:rsidP="005D7F0C">
      <w:pPr>
        <w:pStyle w:val="Prrafodelista"/>
        <w:numPr>
          <w:ilvl w:val="1"/>
          <w:numId w:val="46"/>
        </w:numPr>
        <w:spacing w:before="120" w:after="120" w:line="276" w:lineRule="auto"/>
        <w:jc w:val="both"/>
        <w:rPr>
          <w:rFonts w:cs="Arial"/>
          <w:sz w:val="20"/>
          <w:szCs w:val="20"/>
        </w:rPr>
      </w:pPr>
      <w:r w:rsidRPr="00CF0F96">
        <w:rPr>
          <w:rFonts w:cs="Arial"/>
          <w:sz w:val="20"/>
          <w:szCs w:val="20"/>
        </w:rPr>
        <w:t>Si no tiene nada de lo anterior, certificación de punto de acta de la reunión de Junta Directiva, dónde expresan compromiso de iniciar el proceso de licenciamiento ambiental en el marco de la ejecución del PdN.</w:t>
      </w:r>
    </w:p>
    <w:p w14:paraId="163DFD5F" w14:textId="77777777" w:rsidR="005D7F0C" w:rsidRPr="00CF0F96" w:rsidRDefault="005D7F0C" w:rsidP="005D7F0C">
      <w:pPr>
        <w:pStyle w:val="Prrafodelista"/>
        <w:numPr>
          <w:ilvl w:val="0"/>
          <w:numId w:val="46"/>
        </w:numPr>
        <w:contextualSpacing w:val="0"/>
        <w:jc w:val="both"/>
        <w:rPr>
          <w:rFonts w:cs="Arial"/>
          <w:b/>
          <w:sz w:val="20"/>
          <w:szCs w:val="20"/>
        </w:rPr>
      </w:pPr>
      <w:r w:rsidRPr="00CF0F96">
        <w:rPr>
          <w:rFonts w:cs="Arial"/>
          <w:sz w:val="20"/>
          <w:szCs w:val="20"/>
        </w:rPr>
        <w:t xml:space="preserve">Copia de la escritura </w:t>
      </w:r>
      <w:r w:rsidRPr="00CF0F96">
        <w:rPr>
          <w:rFonts w:eastAsia="Times New Roman" w:cs="Arial"/>
          <w:sz w:val="20"/>
          <w:szCs w:val="20"/>
          <w:lang w:eastAsia="es-ES"/>
        </w:rPr>
        <w:t xml:space="preserve">pública </w:t>
      </w:r>
      <w:r w:rsidRPr="00CF0F96">
        <w:rPr>
          <w:rFonts w:cs="Arial"/>
          <w:sz w:val="20"/>
          <w:szCs w:val="20"/>
        </w:rPr>
        <w:t xml:space="preserve">o título </w:t>
      </w:r>
      <w:r w:rsidRPr="00CF0F96">
        <w:rPr>
          <w:rFonts w:eastAsia="Times New Roman" w:cs="Arial"/>
          <w:sz w:val="20"/>
          <w:szCs w:val="20"/>
          <w:lang w:eastAsia="es-ES"/>
        </w:rPr>
        <w:t xml:space="preserve">en dominio pleno </w:t>
      </w:r>
      <w:r w:rsidRPr="00CF0F96">
        <w:rPr>
          <w:rFonts w:cs="Arial"/>
          <w:sz w:val="20"/>
          <w:szCs w:val="20"/>
        </w:rPr>
        <w:t>de o las propiedades de la organización</w:t>
      </w:r>
      <w:r w:rsidRPr="00CF0F96">
        <w:rPr>
          <w:rFonts w:eastAsia="Times New Roman" w:cs="Arial"/>
          <w:sz w:val="20"/>
          <w:szCs w:val="20"/>
          <w:lang w:eastAsia="es-ES"/>
        </w:rPr>
        <w:t xml:space="preserve"> en donde se propone realizar las inversiones fijas con el PdN</w:t>
      </w:r>
      <w:r w:rsidRPr="00CF0F96">
        <w:rPr>
          <w:rFonts w:cs="Arial"/>
          <w:sz w:val="20"/>
          <w:szCs w:val="20"/>
        </w:rPr>
        <w:t>, debidamente inscrita ante el Registro de la Propiedad Inmueble y Mercantil del Instituto de la Propiedad del Departamento correspondiente.</w:t>
      </w:r>
      <w:bookmarkStart w:id="1567" w:name="_Toc41236893"/>
      <w:bookmarkStart w:id="1568" w:name="_Toc41747493"/>
      <w:bookmarkStart w:id="1569" w:name="_Toc41747515"/>
      <w:bookmarkStart w:id="1570" w:name="_Toc41747537"/>
      <w:bookmarkStart w:id="1571" w:name="_Toc41747559"/>
      <w:bookmarkStart w:id="1572" w:name="_Toc41236894"/>
      <w:bookmarkStart w:id="1573" w:name="_Toc41747494"/>
      <w:bookmarkStart w:id="1574" w:name="_Toc41747516"/>
      <w:bookmarkStart w:id="1575" w:name="_Toc41747538"/>
      <w:bookmarkStart w:id="1576" w:name="_Toc41747560"/>
      <w:bookmarkStart w:id="1577" w:name="_Toc41236895"/>
      <w:bookmarkStart w:id="1578" w:name="_Toc41747495"/>
      <w:bookmarkStart w:id="1579" w:name="_Toc41747517"/>
      <w:bookmarkStart w:id="1580" w:name="_Toc41747539"/>
      <w:bookmarkStart w:id="1581" w:name="_Toc41747561"/>
      <w:bookmarkStart w:id="1582" w:name="_Toc41236896"/>
      <w:bookmarkStart w:id="1583" w:name="_Toc41747496"/>
      <w:bookmarkStart w:id="1584" w:name="_Toc41747518"/>
      <w:bookmarkStart w:id="1585" w:name="_Toc41747540"/>
      <w:bookmarkStart w:id="1586" w:name="_Toc41747562"/>
      <w:bookmarkStart w:id="1587" w:name="_Toc41236897"/>
      <w:bookmarkStart w:id="1588" w:name="_Toc41747497"/>
      <w:bookmarkStart w:id="1589" w:name="_Toc41747519"/>
      <w:bookmarkStart w:id="1590" w:name="_Toc41747541"/>
      <w:bookmarkStart w:id="1591" w:name="_Toc41747563"/>
      <w:bookmarkStart w:id="1592" w:name="_Toc41236898"/>
      <w:bookmarkStart w:id="1593" w:name="_Toc41747498"/>
      <w:bookmarkStart w:id="1594" w:name="_Toc41747520"/>
      <w:bookmarkStart w:id="1595" w:name="_Toc41747542"/>
      <w:bookmarkStart w:id="1596" w:name="_Toc41747564"/>
      <w:bookmarkStart w:id="1597" w:name="_Toc41236899"/>
      <w:bookmarkStart w:id="1598" w:name="_Toc41747499"/>
      <w:bookmarkStart w:id="1599" w:name="_Toc41747521"/>
      <w:bookmarkStart w:id="1600" w:name="_Toc41747543"/>
      <w:bookmarkStart w:id="1601" w:name="_Toc41747565"/>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p>
    <w:p w14:paraId="632DEF64" w14:textId="77777777" w:rsidR="005D7F0C" w:rsidRPr="00CF0F96" w:rsidRDefault="005D7F0C" w:rsidP="005D7F0C">
      <w:pPr>
        <w:pStyle w:val="Prrafodelista"/>
        <w:numPr>
          <w:ilvl w:val="0"/>
          <w:numId w:val="46"/>
        </w:numPr>
        <w:contextualSpacing w:val="0"/>
        <w:jc w:val="both"/>
        <w:rPr>
          <w:rFonts w:cs="Arial"/>
          <w:b/>
          <w:sz w:val="20"/>
          <w:szCs w:val="20"/>
        </w:rPr>
      </w:pPr>
      <w:r w:rsidRPr="00CF0F96">
        <w:rPr>
          <w:rFonts w:cs="Arial"/>
          <w:sz w:val="20"/>
          <w:szCs w:val="20"/>
        </w:rPr>
        <w:t>Constancia de registro de la membresía actualizada o evidencia de que se ha iniciado el proceso de inscripción de la membresía en el órgano correspondiente.</w:t>
      </w:r>
    </w:p>
    <w:p w14:paraId="11AFE7DE" w14:textId="77777777" w:rsidR="00CF0F96" w:rsidRDefault="00CF0F96" w:rsidP="00CF0F96">
      <w:pPr>
        <w:jc w:val="both"/>
        <w:rPr>
          <w:rFonts w:cs="Arial"/>
          <w:b/>
          <w:sz w:val="20"/>
          <w:szCs w:val="20"/>
        </w:rPr>
      </w:pPr>
    </w:p>
    <w:p w14:paraId="1FA2A7DB" w14:textId="77777777" w:rsidR="00CF0F96" w:rsidRDefault="00CF0F96" w:rsidP="00CF0F96">
      <w:pPr>
        <w:jc w:val="both"/>
        <w:rPr>
          <w:rFonts w:cs="Arial"/>
          <w:b/>
          <w:sz w:val="20"/>
          <w:szCs w:val="20"/>
        </w:rPr>
      </w:pPr>
    </w:p>
    <w:p w14:paraId="415E3A8E" w14:textId="77777777" w:rsidR="00CF0F96" w:rsidRDefault="00CF0F96" w:rsidP="00CF0F96">
      <w:pPr>
        <w:jc w:val="both"/>
        <w:rPr>
          <w:rFonts w:cs="Arial"/>
          <w:b/>
          <w:sz w:val="20"/>
          <w:szCs w:val="20"/>
        </w:rPr>
      </w:pPr>
    </w:p>
    <w:p w14:paraId="2F4B2463" w14:textId="77777777" w:rsidR="00CF0F96" w:rsidRDefault="00CF0F96" w:rsidP="00CF0F96">
      <w:pPr>
        <w:jc w:val="both"/>
        <w:rPr>
          <w:rFonts w:cs="Arial"/>
          <w:b/>
          <w:sz w:val="20"/>
          <w:szCs w:val="20"/>
        </w:rPr>
      </w:pPr>
    </w:p>
    <w:p w14:paraId="0415D20F" w14:textId="77777777" w:rsidR="00CF0F96" w:rsidRPr="00CF0F96" w:rsidRDefault="00CF0F96" w:rsidP="00CF0F96">
      <w:pPr>
        <w:jc w:val="both"/>
        <w:rPr>
          <w:rFonts w:cs="Arial"/>
          <w:b/>
          <w:sz w:val="20"/>
          <w:szCs w:val="20"/>
        </w:rPr>
      </w:pPr>
    </w:p>
    <w:p w14:paraId="1F0BCB95" w14:textId="718FD40C" w:rsidR="005D7F0C" w:rsidRPr="00FA4B2D" w:rsidRDefault="37F48E34" w:rsidP="37B44ACB">
      <w:pPr>
        <w:rPr>
          <w:rFonts w:cs="Arial"/>
          <w:b/>
          <w:bCs/>
        </w:rPr>
      </w:pPr>
      <w:r w:rsidRPr="00FA4B2D">
        <w:rPr>
          <w:rFonts w:cs="Arial"/>
          <w:b/>
          <w:bCs/>
        </w:rPr>
        <w:lastRenderedPageBreak/>
        <w:t>14.</w:t>
      </w:r>
      <w:r w:rsidR="00C3565C" w:rsidRPr="00FA4B2D">
        <w:rPr>
          <w:rFonts w:cs="Arial"/>
        </w:rPr>
        <w:tab/>
      </w:r>
      <w:r w:rsidRPr="00FA4B2D">
        <w:rPr>
          <w:rFonts w:cs="Arial"/>
          <w:b/>
          <w:bCs/>
        </w:rPr>
        <w:t xml:space="preserve">Anexo VI Plantilla de Plan de </w:t>
      </w:r>
      <w:r w:rsidR="55147427" w:rsidRPr="00FA4B2D">
        <w:rPr>
          <w:rFonts w:cs="Arial"/>
          <w:b/>
          <w:bCs/>
        </w:rPr>
        <w:t>Gestión</w:t>
      </w:r>
      <w:r w:rsidR="00570785" w:rsidRPr="00FA4B2D">
        <w:rPr>
          <w:rFonts w:cs="Arial"/>
          <w:b/>
          <w:bCs/>
        </w:rPr>
        <w:t xml:space="preserve"> Ambiental y Social</w:t>
      </w:r>
      <w:r w:rsidRPr="00FA4B2D">
        <w:rPr>
          <w:rFonts w:cs="Arial"/>
          <w:b/>
          <w:bCs/>
        </w:rPr>
        <w:t>:</w:t>
      </w:r>
    </w:p>
    <w:p w14:paraId="1AFB319F" w14:textId="6F12A3FD" w:rsidR="00696341" w:rsidRPr="00FA4B2D" w:rsidRDefault="00696341" w:rsidP="00811897">
      <w:pPr>
        <w:jc w:val="both"/>
        <w:rPr>
          <w:rFonts w:eastAsia="Calibri" w:cs="Arial"/>
        </w:rPr>
      </w:pPr>
      <w:r w:rsidRPr="00FA4B2D">
        <w:rPr>
          <w:rFonts w:eastAsia="Calibri" w:cs="Arial"/>
        </w:rPr>
        <w:t xml:space="preserve">El presente formulario es un ejemplo de guía indicativa para elaborar los </w:t>
      </w:r>
      <w:r w:rsidR="00BB4887" w:rsidRPr="00FA4B2D">
        <w:rPr>
          <w:rFonts w:eastAsia="Calibri" w:cs="Arial"/>
        </w:rPr>
        <w:t xml:space="preserve">Planes de Gestión Ambiental y Social </w:t>
      </w:r>
      <w:r w:rsidR="002E1B0A" w:rsidRPr="00FA4B2D">
        <w:rPr>
          <w:rFonts w:eastAsia="Calibri" w:cs="Arial"/>
        </w:rPr>
        <w:t>(</w:t>
      </w:r>
      <w:r w:rsidRPr="00FA4B2D">
        <w:rPr>
          <w:rFonts w:eastAsia="Calibri" w:cs="Arial"/>
        </w:rPr>
        <w:t>PGAS</w:t>
      </w:r>
      <w:r w:rsidR="002E1B0A" w:rsidRPr="00FA4B2D">
        <w:rPr>
          <w:rFonts w:eastAsia="Calibri" w:cs="Arial"/>
        </w:rPr>
        <w:t>)</w:t>
      </w:r>
      <w:r w:rsidRPr="00FA4B2D">
        <w:rPr>
          <w:rFonts w:eastAsia="Calibri" w:cs="Arial"/>
        </w:rPr>
        <w:t xml:space="preserve"> de los subproyectos, cuando así se indique.</w:t>
      </w:r>
    </w:p>
    <w:p w14:paraId="31AB59EF" w14:textId="77777777" w:rsidR="00696341" w:rsidRPr="00FA4B2D" w:rsidRDefault="00696341" w:rsidP="00811897">
      <w:pPr>
        <w:jc w:val="both"/>
        <w:rPr>
          <w:rFonts w:eastAsia="Calibri" w:cs="Arial"/>
        </w:rPr>
      </w:pPr>
      <w:r w:rsidRPr="00FA4B2D">
        <w:rPr>
          <w:rFonts w:eastAsia="Calibri" w:cs="Arial"/>
        </w:rPr>
        <w:t>Los riesgos e impactos ambientales y sociales están estrechamente vinculados a la ubicación del subproyecto y al alcance de las actividades. Este PGAS debe adaptarse a la ubicación y a las actividades de cada subproyecto específico.</w:t>
      </w:r>
    </w:p>
    <w:p w14:paraId="15A5F002" w14:textId="2672BF1D" w:rsidR="00696341" w:rsidRPr="00FA4B2D" w:rsidRDefault="00696341">
      <w:pPr>
        <w:jc w:val="both"/>
        <w:rPr>
          <w:rFonts w:cs="Arial"/>
        </w:rPr>
      </w:pPr>
      <w:r w:rsidRPr="00FA4B2D">
        <w:rPr>
          <w:rFonts w:cs="Arial"/>
        </w:rPr>
        <w:t xml:space="preserve">Considerando la información y los lineamientos establecidos en el </w:t>
      </w:r>
      <w:r w:rsidR="002E1B0A" w:rsidRPr="00FA4B2D">
        <w:rPr>
          <w:rFonts w:cs="Arial"/>
        </w:rPr>
        <w:t>Marco de Gestión Ambiental y Social (</w:t>
      </w:r>
      <w:r w:rsidRPr="00FA4B2D">
        <w:rPr>
          <w:rFonts w:cs="Arial"/>
        </w:rPr>
        <w:t>MGAS</w:t>
      </w:r>
      <w:r w:rsidR="002E1B0A" w:rsidRPr="00FA4B2D">
        <w:rPr>
          <w:rFonts w:cs="Arial"/>
        </w:rPr>
        <w:t>)</w:t>
      </w:r>
      <w:r w:rsidRPr="00FA4B2D">
        <w:rPr>
          <w:rFonts w:cs="Arial"/>
        </w:rPr>
        <w:t xml:space="preserve"> del Proyecto </w:t>
      </w:r>
      <w:r w:rsidR="002E1B0A" w:rsidRPr="00FA4B2D">
        <w:rPr>
          <w:rFonts w:cs="Arial"/>
        </w:rPr>
        <w:t xml:space="preserve">Comrural III </w:t>
      </w:r>
      <w:r w:rsidRPr="00FA4B2D">
        <w:rPr>
          <w:rFonts w:cs="Arial"/>
        </w:rPr>
        <w:t xml:space="preserve">y con base en la estructura propuesta </w:t>
      </w:r>
      <w:r w:rsidR="00BB4887" w:rsidRPr="00FA4B2D">
        <w:rPr>
          <w:rFonts w:cs="Arial"/>
        </w:rPr>
        <w:t xml:space="preserve">según </w:t>
      </w:r>
      <w:r w:rsidRPr="00FA4B2D">
        <w:rPr>
          <w:rFonts w:cs="Arial"/>
        </w:rPr>
        <w:t xml:space="preserve">el esquema indicativo para la elaboración de un PGAS </w:t>
      </w:r>
      <w:r w:rsidR="00BB4887" w:rsidRPr="00FA4B2D">
        <w:rPr>
          <w:rFonts w:cs="Arial"/>
        </w:rPr>
        <w:t>detallado</w:t>
      </w:r>
      <w:r w:rsidRPr="00FA4B2D">
        <w:rPr>
          <w:rFonts w:cs="Arial"/>
        </w:rPr>
        <w:t xml:space="preserve"> en el Anexo 1 del </w:t>
      </w:r>
      <w:r w:rsidR="002E1B0A" w:rsidRPr="00FA4B2D">
        <w:rPr>
          <w:rFonts w:cs="Arial"/>
        </w:rPr>
        <w:t>Estándar Ambiental y Social (</w:t>
      </w:r>
      <w:r w:rsidRPr="00FA4B2D">
        <w:rPr>
          <w:rFonts w:cs="Arial"/>
        </w:rPr>
        <w:t>EAS</w:t>
      </w:r>
      <w:r w:rsidR="002E1B0A" w:rsidRPr="00FA4B2D">
        <w:rPr>
          <w:rFonts w:cs="Arial"/>
        </w:rPr>
        <w:t>)</w:t>
      </w:r>
      <w:r w:rsidRPr="00FA4B2D">
        <w:rPr>
          <w:rFonts w:cs="Arial"/>
        </w:rPr>
        <w:t xml:space="preserve"> 1 del </w:t>
      </w:r>
      <w:r w:rsidR="002E1B0A" w:rsidRPr="00FA4B2D">
        <w:rPr>
          <w:rFonts w:cs="Arial"/>
        </w:rPr>
        <w:t>Marco Ambiental y Social (</w:t>
      </w:r>
      <w:r w:rsidRPr="00FA4B2D">
        <w:rPr>
          <w:rFonts w:cs="Arial"/>
        </w:rPr>
        <w:t>MAS</w:t>
      </w:r>
      <w:r w:rsidR="002E1B0A" w:rsidRPr="00FA4B2D">
        <w:rPr>
          <w:rFonts w:cs="Arial"/>
        </w:rPr>
        <w:t>)</w:t>
      </w:r>
      <w:r w:rsidRPr="00FA4B2D">
        <w:rPr>
          <w:rFonts w:cs="Arial"/>
        </w:rPr>
        <w:t xml:space="preserve"> del </w:t>
      </w:r>
      <w:r w:rsidR="002E1B0A" w:rsidRPr="00FA4B2D">
        <w:rPr>
          <w:rFonts w:cs="Arial"/>
        </w:rPr>
        <w:t>Banco Mundial (</w:t>
      </w:r>
      <w:r w:rsidRPr="00FA4B2D">
        <w:rPr>
          <w:rFonts w:cs="Arial"/>
        </w:rPr>
        <w:t>BM</w:t>
      </w:r>
      <w:r w:rsidR="002E1B0A" w:rsidRPr="00FA4B2D">
        <w:rPr>
          <w:rFonts w:cs="Arial"/>
        </w:rPr>
        <w:t>)</w:t>
      </w:r>
      <w:r w:rsidRPr="00FA4B2D">
        <w:rPr>
          <w:rFonts w:cs="Arial"/>
        </w:rPr>
        <w:t xml:space="preserve">, se </w:t>
      </w:r>
      <w:r w:rsidR="002E1B0A" w:rsidRPr="00FA4B2D">
        <w:rPr>
          <w:rFonts w:cs="Arial"/>
        </w:rPr>
        <w:t>p</w:t>
      </w:r>
      <w:r w:rsidRPr="00FA4B2D">
        <w:rPr>
          <w:rFonts w:cs="Arial"/>
        </w:rPr>
        <w:t>ropone el siguiente contenido</w:t>
      </w:r>
      <w:r w:rsidR="002E1B0A" w:rsidRPr="00FA4B2D">
        <w:rPr>
          <w:rFonts w:cs="Arial"/>
        </w:rPr>
        <w:t xml:space="preserve"> mínimo:</w:t>
      </w:r>
    </w:p>
    <w:p w14:paraId="7B5787D1" w14:textId="77777777" w:rsidR="00DE046C" w:rsidRDefault="00DE046C" w:rsidP="00DE046C">
      <w:pPr>
        <w:pStyle w:val="Prrafodelista"/>
        <w:numPr>
          <w:ilvl w:val="0"/>
          <w:numId w:val="128"/>
        </w:numPr>
        <w:spacing w:line="279" w:lineRule="auto"/>
        <w:ind w:left="720"/>
        <w:rPr>
          <w:rFonts w:ascii="Calibri" w:eastAsia="Calibri" w:hAnsi="Calibri" w:cs="Calibri"/>
          <w:sz w:val="22"/>
        </w:rPr>
      </w:pPr>
      <w:r w:rsidRPr="06B3F0F6">
        <w:rPr>
          <w:rFonts w:ascii="Calibri" w:eastAsia="Calibri" w:hAnsi="Calibri" w:cs="Calibri"/>
          <w:sz w:val="22"/>
        </w:rPr>
        <w:t xml:space="preserve">Siglas y Acrónimos. </w:t>
      </w:r>
    </w:p>
    <w:p w14:paraId="680266CB" w14:textId="77777777" w:rsidR="00DE046C" w:rsidRDefault="00DE046C" w:rsidP="00DE046C">
      <w:pPr>
        <w:pStyle w:val="Prrafodelista"/>
        <w:numPr>
          <w:ilvl w:val="0"/>
          <w:numId w:val="128"/>
        </w:numPr>
        <w:spacing w:line="279" w:lineRule="auto"/>
        <w:ind w:left="720"/>
        <w:rPr>
          <w:rFonts w:ascii="Calibri" w:eastAsia="Calibri" w:hAnsi="Calibri" w:cs="Calibri"/>
          <w:sz w:val="22"/>
        </w:rPr>
      </w:pPr>
      <w:r w:rsidRPr="06B3F0F6">
        <w:rPr>
          <w:rFonts w:ascii="Calibri" w:eastAsia="Calibri" w:hAnsi="Calibri" w:cs="Calibri"/>
          <w:sz w:val="22"/>
        </w:rPr>
        <w:t>Introducción.</w:t>
      </w:r>
    </w:p>
    <w:p w14:paraId="3F2E5BFA" w14:textId="77777777" w:rsidR="00DE046C" w:rsidRPr="00A23F29" w:rsidRDefault="00DE046C" w:rsidP="00DE046C">
      <w:pPr>
        <w:pStyle w:val="Prrafodelista"/>
        <w:numPr>
          <w:ilvl w:val="0"/>
          <w:numId w:val="128"/>
        </w:numPr>
        <w:spacing w:line="279" w:lineRule="auto"/>
        <w:ind w:left="720"/>
        <w:rPr>
          <w:rFonts w:ascii="Calibri" w:eastAsia="Calibri" w:hAnsi="Calibri" w:cs="Calibri"/>
          <w:sz w:val="22"/>
          <w:lang w:val="es-HN"/>
        </w:rPr>
      </w:pPr>
      <w:r w:rsidRPr="06B3F0F6">
        <w:rPr>
          <w:rFonts w:ascii="Calibri" w:eastAsia="Calibri" w:hAnsi="Calibri" w:cs="Calibri"/>
          <w:sz w:val="22"/>
        </w:rPr>
        <w:t xml:space="preserve">Ficha técnica de datos del </w:t>
      </w:r>
      <w:r>
        <w:rPr>
          <w:rFonts w:ascii="Calibri" w:eastAsia="Calibri" w:hAnsi="Calibri" w:cs="Calibri"/>
          <w:sz w:val="22"/>
        </w:rPr>
        <w:t>plan de negocio</w:t>
      </w:r>
      <w:r w:rsidRPr="06B3F0F6">
        <w:rPr>
          <w:rFonts w:ascii="Calibri" w:eastAsia="Calibri" w:hAnsi="Calibri" w:cs="Calibri"/>
          <w:sz w:val="22"/>
        </w:rPr>
        <w:t xml:space="preserve"> y la organización. </w:t>
      </w:r>
    </w:p>
    <w:p w14:paraId="708B64AD" w14:textId="77777777" w:rsidR="00DE046C" w:rsidRPr="00AA07EE" w:rsidRDefault="00DE046C" w:rsidP="00DE046C">
      <w:pPr>
        <w:pStyle w:val="Prrafodelista"/>
        <w:numPr>
          <w:ilvl w:val="0"/>
          <w:numId w:val="128"/>
        </w:numPr>
        <w:spacing w:line="279" w:lineRule="auto"/>
        <w:ind w:left="720"/>
        <w:rPr>
          <w:rFonts w:ascii="Calibri" w:eastAsia="Calibri" w:hAnsi="Calibri" w:cs="Calibri"/>
          <w:sz w:val="22"/>
          <w:lang w:val="es-HN"/>
        </w:rPr>
      </w:pPr>
      <w:r w:rsidRPr="06B3F0F6">
        <w:rPr>
          <w:rFonts w:ascii="Calibri" w:eastAsia="Calibri" w:hAnsi="Calibri" w:cs="Calibri"/>
          <w:sz w:val="22"/>
        </w:rPr>
        <w:t>Descripción y actividades del subproyecto.</w:t>
      </w:r>
    </w:p>
    <w:p w14:paraId="2EA23F67" w14:textId="77777777" w:rsidR="00DE046C" w:rsidRPr="00A23F29" w:rsidRDefault="00DE046C" w:rsidP="00DE046C">
      <w:pPr>
        <w:pStyle w:val="Prrafodelista"/>
        <w:numPr>
          <w:ilvl w:val="0"/>
          <w:numId w:val="128"/>
        </w:numPr>
        <w:spacing w:line="279" w:lineRule="auto"/>
        <w:ind w:left="720"/>
        <w:rPr>
          <w:rFonts w:ascii="Calibri" w:eastAsia="Calibri" w:hAnsi="Calibri" w:cs="Calibri"/>
          <w:sz w:val="22"/>
          <w:lang w:val="es-HN"/>
        </w:rPr>
      </w:pPr>
      <w:r>
        <w:rPr>
          <w:rFonts w:ascii="Calibri" w:eastAsia="Calibri" w:hAnsi="Calibri" w:cs="Calibri"/>
          <w:sz w:val="22"/>
        </w:rPr>
        <w:t>Fases del Plan de Negocio</w:t>
      </w:r>
    </w:p>
    <w:p w14:paraId="21672451" w14:textId="77777777" w:rsidR="00DE046C" w:rsidRDefault="00DE046C" w:rsidP="00DE046C">
      <w:pPr>
        <w:pStyle w:val="Prrafodelista"/>
        <w:numPr>
          <w:ilvl w:val="0"/>
          <w:numId w:val="128"/>
        </w:numPr>
        <w:spacing w:line="279" w:lineRule="auto"/>
        <w:ind w:left="720"/>
        <w:rPr>
          <w:rFonts w:ascii="Calibri" w:eastAsia="Calibri" w:hAnsi="Calibri" w:cs="Calibri"/>
          <w:sz w:val="22"/>
        </w:rPr>
      </w:pPr>
      <w:r w:rsidRPr="06B3F0F6">
        <w:rPr>
          <w:rFonts w:ascii="Calibri" w:eastAsia="Calibri" w:hAnsi="Calibri" w:cs="Calibri"/>
          <w:sz w:val="22"/>
        </w:rPr>
        <w:t xml:space="preserve">Contexto Ambiental y Social. </w:t>
      </w:r>
    </w:p>
    <w:p w14:paraId="0CE8FF5C" w14:textId="77777777" w:rsidR="00DE046C" w:rsidRPr="00A23F29" w:rsidRDefault="00DE046C" w:rsidP="00DE046C">
      <w:pPr>
        <w:pStyle w:val="Prrafodelista"/>
        <w:numPr>
          <w:ilvl w:val="0"/>
          <w:numId w:val="128"/>
        </w:numPr>
        <w:spacing w:line="279" w:lineRule="auto"/>
        <w:ind w:left="720"/>
        <w:rPr>
          <w:rFonts w:ascii="Calibri" w:eastAsia="Calibri" w:hAnsi="Calibri" w:cs="Calibri"/>
          <w:sz w:val="22"/>
          <w:lang w:val="es-HN"/>
        </w:rPr>
      </w:pPr>
      <w:r w:rsidRPr="06B3F0F6">
        <w:rPr>
          <w:rFonts w:ascii="Calibri" w:eastAsia="Calibri" w:hAnsi="Calibri" w:cs="Calibri"/>
          <w:sz w:val="22"/>
        </w:rPr>
        <w:t xml:space="preserve">Resumen de actividades participativas realizadas. </w:t>
      </w:r>
    </w:p>
    <w:p w14:paraId="61992E48" w14:textId="77777777" w:rsidR="00DE046C" w:rsidRPr="00960724" w:rsidRDefault="00DE046C" w:rsidP="00DE046C">
      <w:pPr>
        <w:pStyle w:val="Prrafodelista"/>
        <w:numPr>
          <w:ilvl w:val="0"/>
          <w:numId w:val="128"/>
        </w:numPr>
        <w:spacing w:line="279" w:lineRule="auto"/>
        <w:ind w:left="720"/>
        <w:rPr>
          <w:rFonts w:ascii="Calibri" w:eastAsia="Calibri" w:hAnsi="Calibri" w:cs="Calibri"/>
          <w:sz w:val="22"/>
          <w:lang w:val="es-HN"/>
        </w:rPr>
      </w:pPr>
      <w:r w:rsidRPr="06B3F0F6">
        <w:rPr>
          <w:rFonts w:ascii="Calibri" w:eastAsia="Calibri" w:hAnsi="Calibri" w:cs="Calibri"/>
          <w:sz w:val="22"/>
        </w:rPr>
        <w:t>Matriz del PGAS: Riesgos e impactos, mitigación, seguimiento.</w:t>
      </w:r>
    </w:p>
    <w:p w14:paraId="4C917365" w14:textId="77777777" w:rsidR="00DE046C" w:rsidRPr="00960724" w:rsidRDefault="00DE046C" w:rsidP="00DE046C">
      <w:pPr>
        <w:pStyle w:val="Prrafodelista"/>
        <w:numPr>
          <w:ilvl w:val="0"/>
          <w:numId w:val="128"/>
        </w:numPr>
        <w:spacing w:line="279" w:lineRule="auto"/>
        <w:ind w:left="720"/>
        <w:rPr>
          <w:rFonts w:ascii="Calibri" w:eastAsia="Calibri" w:hAnsi="Calibri" w:cs="Calibri"/>
          <w:sz w:val="22"/>
          <w:lang w:val="es-HN"/>
        </w:rPr>
      </w:pPr>
      <w:r>
        <w:rPr>
          <w:rFonts w:ascii="Calibri" w:eastAsia="Calibri" w:hAnsi="Calibri" w:cs="Calibri"/>
          <w:sz w:val="22"/>
        </w:rPr>
        <w:t>Mecanismo de Sugerencias, Quejas y Reclamos</w:t>
      </w:r>
    </w:p>
    <w:p w14:paraId="0304D179" w14:textId="77777777" w:rsidR="00DE046C" w:rsidRPr="00AA07EE" w:rsidRDefault="00DE046C" w:rsidP="00DE046C">
      <w:pPr>
        <w:pStyle w:val="Prrafodelista"/>
        <w:numPr>
          <w:ilvl w:val="0"/>
          <w:numId w:val="128"/>
        </w:numPr>
        <w:spacing w:line="279" w:lineRule="auto"/>
        <w:ind w:left="720"/>
        <w:rPr>
          <w:rFonts w:ascii="Calibri" w:eastAsia="Calibri" w:hAnsi="Calibri" w:cs="Calibri"/>
          <w:sz w:val="22"/>
          <w:lang w:val="es-HN"/>
        </w:rPr>
      </w:pPr>
      <w:r>
        <w:rPr>
          <w:rFonts w:ascii="Calibri" w:eastAsia="Calibri" w:hAnsi="Calibri" w:cs="Calibri"/>
          <w:sz w:val="22"/>
        </w:rPr>
        <w:t>Estrategia de Comunicación</w:t>
      </w:r>
    </w:p>
    <w:p w14:paraId="6AE4B205" w14:textId="77777777" w:rsidR="00DE046C" w:rsidRPr="00960724" w:rsidRDefault="00DE046C" w:rsidP="00DE046C">
      <w:pPr>
        <w:pStyle w:val="Prrafodelista"/>
        <w:numPr>
          <w:ilvl w:val="0"/>
          <w:numId w:val="128"/>
        </w:numPr>
        <w:spacing w:line="279" w:lineRule="auto"/>
        <w:ind w:left="720"/>
        <w:rPr>
          <w:rFonts w:ascii="Calibri" w:eastAsia="Calibri" w:hAnsi="Calibri" w:cs="Calibri"/>
          <w:sz w:val="22"/>
          <w:lang w:val="es-HN"/>
        </w:rPr>
      </w:pPr>
      <w:r w:rsidRPr="06B3F0F6">
        <w:rPr>
          <w:rFonts w:ascii="Calibri" w:eastAsia="Calibri" w:hAnsi="Calibri" w:cs="Calibri"/>
          <w:sz w:val="22"/>
        </w:rPr>
        <w:t xml:space="preserve">Cronograma de implementación y estimación de costos. </w:t>
      </w:r>
    </w:p>
    <w:p w14:paraId="628E6A52" w14:textId="77777777" w:rsidR="00DE046C" w:rsidRDefault="00DE046C" w:rsidP="00DE046C">
      <w:pPr>
        <w:pStyle w:val="Prrafodelista"/>
        <w:spacing w:line="279" w:lineRule="auto"/>
        <w:rPr>
          <w:rFonts w:ascii="Calibri" w:eastAsia="Calibri" w:hAnsi="Calibri" w:cs="Calibri"/>
          <w:sz w:val="22"/>
          <w:lang w:val="es-HN"/>
        </w:rPr>
      </w:pPr>
      <w:r>
        <w:rPr>
          <w:rFonts w:ascii="Calibri" w:eastAsia="Calibri" w:hAnsi="Calibri" w:cs="Calibri"/>
          <w:sz w:val="22"/>
          <w:lang w:val="es-HN"/>
        </w:rPr>
        <w:t>11.1 Cronograma de Implementación</w:t>
      </w:r>
    </w:p>
    <w:p w14:paraId="0C91A9FA" w14:textId="77777777" w:rsidR="00DE046C" w:rsidRDefault="00DE046C" w:rsidP="00DE046C">
      <w:pPr>
        <w:pStyle w:val="Prrafodelista"/>
        <w:spacing w:line="279" w:lineRule="auto"/>
        <w:rPr>
          <w:rFonts w:ascii="Calibri" w:eastAsia="Calibri" w:hAnsi="Calibri" w:cs="Calibri"/>
          <w:sz w:val="22"/>
          <w:lang w:val="es-HN"/>
        </w:rPr>
      </w:pPr>
      <w:r>
        <w:rPr>
          <w:rFonts w:ascii="Calibri" w:eastAsia="Calibri" w:hAnsi="Calibri" w:cs="Calibri"/>
          <w:sz w:val="22"/>
          <w:lang w:val="es-HN"/>
        </w:rPr>
        <w:t>11.2 Estimación de costos de implementación</w:t>
      </w:r>
    </w:p>
    <w:p w14:paraId="4B329BA9" w14:textId="77777777" w:rsidR="00DE046C" w:rsidRPr="00960724" w:rsidRDefault="00DE046C" w:rsidP="00DE046C">
      <w:pPr>
        <w:pStyle w:val="Prrafodelista"/>
        <w:spacing w:line="279" w:lineRule="auto"/>
        <w:rPr>
          <w:rFonts w:ascii="Calibri" w:eastAsia="Calibri" w:hAnsi="Calibri" w:cs="Calibri"/>
          <w:sz w:val="22"/>
          <w:lang w:val="es-HN"/>
        </w:rPr>
      </w:pPr>
      <w:r>
        <w:rPr>
          <w:rFonts w:ascii="Calibri" w:eastAsia="Calibri" w:hAnsi="Calibri" w:cs="Calibri"/>
          <w:sz w:val="22"/>
          <w:lang w:val="es-HN"/>
        </w:rPr>
        <w:t>11.3 Total estimado de costos</w:t>
      </w:r>
    </w:p>
    <w:p w14:paraId="6F8A72F1" w14:textId="77777777" w:rsidR="00DE046C" w:rsidRDefault="00DE046C" w:rsidP="00DE046C">
      <w:pPr>
        <w:pStyle w:val="Prrafodelista"/>
        <w:numPr>
          <w:ilvl w:val="0"/>
          <w:numId w:val="128"/>
        </w:numPr>
        <w:spacing w:line="279" w:lineRule="auto"/>
        <w:ind w:left="720"/>
        <w:rPr>
          <w:rFonts w:ascii="Calibri" w:eastAsia="Calibri" w:hAnsi="Calibri" w:cs="Calibri"/>
          <w:sz w:val="22"/>
        </w:rPr>
      </w:pPr>
      <w:r w:rsidRPr="06B3F0F6">
        <w:rPr>
          <w:rFonts w:ascii="Calibri" w:eastAsia="Calibri" w:hAnsi="Calibri" w:cs="Calibri"/>
          <w:sz w:val="22"/>
        </w:rPr>
        <w:t>Anexos</w:t>
      </w:r>
      <w:r>
        <w:rPr>
          <w:rFonts w:ascii="Calibri" w:eastAsia="Calibri" w:hAnsi="Calibri" w:cs="Calibri"/>
          <w:sz w:val="22"/>
        </w:rPr>
        <w:t xml:space="preserve"> al PGAS</w:t>
      </w:r>
    </w:p>
    <w:p w14:paraId="18293CEF" w14:textId="77777777" w:rsidR="00DE046C" w:rsidRDefault="00DE046C" w:rsidP="00DE046C">
      <w:pPr>
        <w:pStyle w:val="Prrafodelista"/>
        <w:spacing w:line="279" w:lineRule="auto"/>
        <w:rPr>
          <w:rFonts w:ascii="Calibri" w:eastAsia="Calibri" w:hAnsi="Calibri" w:cs="Calibri"/>
          <w:sz w:val="22"/>
        </w:rPr>
      </w:pPr>
    </w:p>
    <w:p w14:paraId="0B48D1EB" w14:textId="77777777" w:rsidR="00DE046C" w:rsidRPr="00DE046C" w:rsidRDefault="00DE046C" w:rsidP="00DE046C">
      <w:pPr>
        <w:rPr>
          <w:rFonts w:ascii="Calibri" w:eastAsia="Calibri" w:hAnsi="Calibri" w:cs="Calibri"/>
          <w:b/>
          <w:bCs/>
          <w:sz w:val="28"/>
          <w:szCs w:val="28"/>
        </w:rPr>
      </w:pPr>
      <w:r w:rsidRPr="00DE046C">
        <w:rPr>
          <w:rFonts w:ascii="Calibri" w:eastAsia="Calibri" w:hAnsi="Calibri" w:cs="Calibri"/>
          <w:b/>
          <w:bCs/>
          <w:sz w:val="28"/>
          <w:szCs w:val="28"/>
        </w:rPr>
        <w:t>Elementos del Contenido:</w:t>
      </w:r>
    </w:p>
    <w:p w14:paraId="03A9D5AE" w14:textId="77777777" w:rsidR="00DE046C" w:rsidRPr="00DE046C" w:rsidRDefault="00DE046C" w:rsidP="00DE046C">
      <w:pPr>
        <w:pStyle w:val="Ttulo1"/>
        <w:rPr>
          <w:rFonts w:ascii="Calibri" w:eastAsia="Calibri" w:hAnsi="Calibri" w:cs="Calibri"/>
          <w:b/>
          <w:color w:val="000000" w:themeColor="text1"/>
          <w:sz w:val="22"/>
          <w:szCs w:val="22"/>
          <w:lang w:val="es-MX"/>
        </w:rPr>
      </w:pPr>
      <w:r w:rsidRPr="00DE046C">
        <w:rPr>
          <w:rFonts w:ascii="Calibri" w:eastAsia="Calibri" w:hAnsi="Calibri" w:cs="Calibri"/>
          <w:b/>
          <w:color w:val="000000" w:themeColor="text1"/>
          <w:sz w:val="22"/>
          <w:szCs w:val="22"/>
        </w:rPr>
        <w:t xml:space="preserve">1. </w:t>
      </w:r>
      <w:bookmarkStart w:id="1602" w:name="_Toc202189047"/>
      <w:bookmarkStart w:id="1603" w:name="_Toc202189064"/>
      <w:r w:rsidRPr="00DE046C">
        <w:rPr>
          <w:rFonts w:ascii="Calibri" w:eastAsia="Calibri" w:hAnsi="Calibri" w:cs="Calibri"/>
          <w:b/>
          <w:color w:val="000000" w:themeColor="text1"/>
          <w:sz w:val="22"/>
          <w:szCs w:val="22"/>
        </w:rPr>
        <w:t xml:space="preserve">Siglas </w:t>
      </w:r>
      <w:r w:rsidRPr="00DE046C">
        <w:rPr>
          <w:rFonts w:ascii="Calibri" w:eastAsia="Calibri" w:hAnsi="Calibri" w:cs="Calibri"/>
          <w:b/>
          <w:caps/>
          <w:color w:val="000000" w:themeColor="text1"/>
          <w:sz w:val="22"/>
          <w:szCs w:val="22"/>
        </w:rPr>
        <w:t>y</w:t>
      </w:r>
      <w:r w:rsidRPr="00DE046C">
        <w:rPr>
          <w:rFonts w:ascii="Calibri" w:eastAsia="Calibri" w:hAnsi="Calibri" w:cs="Calibri"/>
          <w:b/>
          <w:color w:val="000000" w:themeColor="text1"/>
          <w:sz w:val="22"/>
          <w:szCs w:val="22"/>
        </w:rPr>
        <w:t xml:space="preserve"> Acrónimos</w:t>
      </w:r>
      <w:bookmarkEnd w:id="1602"/>
      <w:bookmarkEnd w:id="1603"/>
    </w:p>
    <w:p w14:paraId="25771542" w14:textId="6899EAE5" w:rsidR="00DE046C" w:rsidRPr="00DE046C" w:rsidRDefault="00DE046C" w:rsidP="00DE046C">
      <w:pPr>
        <w:pStyle w:val="Ttulo1"/>
        <w:rPr>
          <w:rFonts w:ascii="Calibri" w:eastAsia="Calibri" w:hAnsi="Calibri" w:cs="Calibri"/>
          <w:b/>
          <w:caps/>
          <w:color w:val="000000" w:themeColor="text1"/>
          <w:sz w:val="22"/>
          <w:szCs w:val="22"/>
        </w:rPr>
      </w:pPr>
      <w:bookmarkStart w:id="1604" w:name="_Toc202189048"/>
      <w:bookmarkStart w:id="1605" w:name="_Toc202189065"/>
      <w:r w:rsidRPr="00DE046C">
        <w:rPr>
          <w:rFonts w:ascii="Calibri" w:eastAsia="Calibri" w:hAnsi="Calibri" w:cs="Calibri"/>
          <w:b/>
          <w:color w:val="000000" w:themeColor="text1"/>
          <w:sz w:val="22"/>
          <w:szCs w:val="22"/>
        </w:rPr>
        <w:t>2. Introducción</w:t>
      </w:r>
      <w:bookmarkEnd w:id="1604"/>
      <w:bookmarkEnd w:id="1605"/>
    </w:p>
    <w:p w14:paraId="64773C6C" w14:textId="73D540BC" w:rsidR="00DE046C" w:rsidRPr="00DE046C" w:rsidRDefault="00DE046C" w:rsidP="00DE046C">
      <w:pPr>
        <w:rPr>
          <w:rFonts w:ascii="Calibri" w:eastAsia="Calibri" w:hAnsi="Calibri" w:cs="Calibri"/>
          <w:i/>
          <w:iCs/>
          <w:color w:val="2E74B5" w:themeColor="accent1" w:themeShade="BF"/>
          <w:sz w:val="22"/>
        </w:rPr>
      </w:pPr>
      <w:r w:rsidRPr="00DE046C">
        <w:rPr>
          <w:rFonts w:ascii="Calibri" w:eastAsia="Calibri" w:hAnsi="Calibri" w:cs="Calibri"/>
          <w:i/>
          <w:iCs/>
          <w:color w:val="2E74B5" w:themeColor="accent1" w:themeShade="BF"/>
          <w:sz w:val="22"/>
        </w:rPr>
        <w:t>Presentación resumida del contenido y sus objetivos.</w:t>
      </w:r>
    </w:p>
    <w:p w14:paraId="4D55E4F5" w14:textId="73D540BC" w:rsidR="00DE046C" w:rsidRPr="00DE046C" w:rsidRDefault="00DE046C" w:rsidP="00DE046C">
      <w:pPr>
        <w:pStyle w:val="Ttulo1"/>
        <w:rPr>
          <w:rFonts w:ascii="Calibri" w:eastAsia="Calibri" w:hAnsi="Calibri" w:cs="Calibri"/>
          <w:b/>
          <w:color w:val="000000" w:themeColor="text1"/>
          <w:sz w:val="22"/>
          <w:szCs w:val="22"/>
        </w:rPr>
      </w:pPr>
      <w:bookmarkStart w:id="1606" w:name="_Toc202189049"/>
      <w:bookmarkStart w:id="1607" w:name="_Toc202189066"/>
      <w:r w:rsidRPr="00DE046C">
        <w:rPr>
          <w:rFonts w:ascii="Calibri" w:eastAsia="Calibri" w:hAnsi="Calibri" w:cs="Calibri"/>
          <w:b/>
          <w:color w:val="000000" w:themeColor="text1"/>
          <w:sz w:val="22"/>
          <w:szCs w:val="22"/>
        </w:rPr>
        <w:t>3. Ficha técnica de datos del plan de negocios y La OPR</w:t>
      </w:r>
      <w:bookmarkEnd w:id="1606"/>
      <w:bookmarkEnd w:id="1607"/>
    </w:p>
    <w:p w14:paraId="733D7028" w14:textId="77777777" w:rsidR="00DE046C" w:rsidRPr="003B4BA7" w:rsidRDefault="00DE046C" w:rsidP="00DE046C">
      <w:pPr>
        <w:pStyle w:val="Prrafodelista"/>
        <w:ind w:left="786"/>
      </w:pPr>
    </w:p>
    <w:tbl>
      <w:tblPr>
        <w:tblStyle w:val="Tablaconcuadrcula"/>
        <w:tblW w:w="9446" w:type="dxa"/>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1870"/>
        <w:gridCol w:w="1870"/>
        <w:gridCol w:w="2853"/>
        <w:gridCol w:w="2853"/>
      </w:tblGrid>
      <w:tr w:rsidR="00DE046C" w:rsidRPr="005C1E4A" w14:paraId="3D37224F" w14:textId="77777777" w:rsidTr="00453510">
        <w:trPr>
          <w:trHeight w:val="300"/>
        </w:trPr>
        <w:tc>
          <w:tcPr>
            <w:tcW w:w="3740" w:type="dxa"/>
            <w:gridSpan w:val="2"/>
            <w:tcBorders>
              <w:top w:val="single" w:sz="6" w:space="0" w:color="auto"/>
              <w:left w:val="single" w:sz="6" w:space="0" w:color="auto"/>
            </w:tcBorders>
            <w:tcMar>
              <w:left w:w="90" w:type="dxa"/>
              <w:right w:w="90" w:type="dxa"/>
            </w:tcMar>
          </w:tcPr>
          <w:p w14:paraId="1704909D" w14:textId="77777777" w:rsidR="00DE046C" w:rsidRDefault="00DE046C" w:rsidP="00453510">
            <w:pPr>
              <w:spacing w:after="120" w:line="252" w:lineRule="auto"/>
              <w:rPr>
                <w:rFonts w:ascii="Calibri" w:eastAsia="Calibri" w:hAnsi="Calibri" w:cs="Calibri"/>
                <w:sz w:val="22"/>
              </w:rPr>
            </w:pPr>
            <w:r w:rsidRPr="15638443">
              <w:rPr>
                <w:rFonts w:ascii="Calibri" w:eastAsia="Calibri" w:hAnsi="Calibri" w:cs="Calibri"/>
                <w:b/>
                <w:bCs/>
                <w:sz w:val="22"/>
              </w:rPr>
              <w:t>Datos Generales:</w:t>
            </w:r>
          </w:p>
        </w:tc>
        <w:tc>
          <w:tcPr>
            <w:tcW w:w="5706" w:type="dxa"/>
            <w:gridSpan w:val="2"/>
            <w:tcBorders>
              <w:top w:val="single" w:sz="6" w:space="0" w:color="auto"/>
              <w:right w:val="single" w:sz="6" w:space="0" w:color="auto"/>
            </w:tcBorders>
            <w:tcMar>
              <w:left w:w="90" w:type="dxa"/>
              <w:right w:w="90" w:type="dxa"/>
            </w:tcMar>
          </w:tcPr>
          <w:p w14:paraId="252CA809" w14:textId="77777777" w:rsidR="00DE046C" w:rsidRPr="005C1E4A" w:rsidRDefault="00DE046C" w:rsidP="00453510">
            <w:pPr>
              <w:spacing w:after="120" w:line="252" w:lineRule="auto"/>
              <w:rPr>
                <w:rFonts w:ascii="Calibri" w:eastAsia="Calibri" w:hAnsi="Calibri" w:cs="Calibri"/>
                <w:sz w:val="22"/>
                <w:lang w:val="es-MX"/>
              </w:rPr>
            </w:pPr>
          </w:p>
        </w:tc>
      </w:tr>
      <w:tr w:rsidR="00DE046C" w:rsidRPr="005C1E4A" w14:paraId="72D79007" w14:textId="77777777" w:rsidTr="00453510">
        <w:trPr>
          <w:trHeight w:val="300"/>
        </w:trPr>
        <w:tc>
          <w:tcPr>
            <w:tcW w:w="3740" w:type="dxa"/>
            <w:gridSpan w:val="2"/>
            <w:tcBorders>
              <w:top w:val="single" w:sz="6" w:space="0" w:color="auto"/>
              <w:left w:val="single" w:sz="6" w:space="0" w:color="auto"/>
            </w:tcBorders>
            <w:tcMar>
              <w:left w:w="90" w:type="dxa"/>
              <w:right w:w="90" w:type="dxa"/>
            </w:tcMar>
          </w:tcPr>
          <w:p w14:paraId="072BFDA8" w14:textId="77777777" w:rsidR="00DE046C" w:rsidRPr="005C1E4A" w:rsidRDefault="00DE046C" w:rsidP="00453510">
            <w:pPr>
              <w:spacing w:after="120" w:line="252" w:lineRule="auto"/>
              <w:rPr>
                <w:rFonts w:ascii="Calibri" w:eastAsia="Calibri" w:hAnsi="Calibri" w:cs="Calibri"/>
                <w:sz w:val="22"/>
                <w:lang w:val="es-MX"/>
              </w:rPr>
            </w:pPr>
            <w:r w:rsidRPr="15638443">
              <w:rPr>
                <w:rFonts w:ascii="Calibri" w:eastAsia="Calibri" w:hAnsi="Calibri" w:cs="Calibri"/>
                <w:sz w:val="22"/>
              </w:rPr>
              <w:t>Nombre del Plan de Negocio</w:t>
            </w:r>
          </w:p>
        </w:tc>
        <w:tc>
          <w:tcPr>
            <w:tcW w:w="5706" w:type="dxa"/>
            <w:gridSpan w:val="2"/>
            <w:tcBorders>
              <w:top w:val="single" w:sz="6" w:space="0" w:color="auto"/>
              <w:right w:val="single" w:sz="6" w:space="0" w:color="auto"/>
            </w:tcBorders>
            <w:tcMar>
              <w:left w:w="90" w:type="dxa"/>
              <w:right w:w="90" w:type="dxa"/>
            </w:tcMar>
          </w:tcPr>
          <w:p w14:paraId="3DAEB80D" w14:textId="77777777" w:rsidR="00DE046C" w:rsidRPr="005C1E4A" w:rsidRDefault="00DE046C" w:rsidP="00453510">
            <w:pPr>
              <w:spacing w:after="120" w:line="252" w:lineRule="auto"/>
              <w:rPr>
                <w:rFonts w:ascii="Calibri" w:eastAsia="Calibri" w:hAnsi="Calibri" w:cs="Calibri"/>
                <w:sz w:val="22"/>
                <w:lang w:val="es-MX"/>
              </w:rPr>
            </w:pPr>
          </w:p>
        </w:tc>
      </w:tr>
      <w:tr w:rsidR="00DE046C" w14:paraId="67F61ADA" w14:textId="77777777" w:rsidTr="00453510">
        <w:trPr>
          <w:trHeight w:val="300"/>
        </w:trPr>
        <w:tc>
          <w:tcPr>
            <w:tcW w:w="3740" w:type="dxa"/>
            <w:gridSpan w:val="2"/>
            <w:tcBorders>
              <w:left w:val="single" w:sz="6" w:space="0" w:color="auto"/>
            </w:tcBorders>
            <w:tcMar>
              <w:left w:w="90" w:type="dxa"/>
              <w:right w:w="90" w:type="dxa"/>
            </w:tcMar>
          </w:tcPr>
          <w:p w14:paraId="52BD5D6B" w14:textId="77777777" w:rsidR="00DE046C" w:rsidRDefault="00DE046C" w:rsidP="00453510">
            <w:pPr>
              <w:spacing w:after="120" w:line="252" w:lineRule="auto"/>
              <w:rPr>
                <w:rFonts w:ascii="Calibri" w:eastAsia="Calibri" w:hAnsi="Calibri" w:cs="Calibri"/>
                <w:sz w:val="22"/>
              </w:rPr>
            </w:pPr>
            <w:r w:rsidRPr="15638443">
              <w:rPr>
                <w:rFonts w:ascii="Calibri" w:eastAsia="Calibri" w:hAnsi="Calibri" w:cs="Calibri"/>
                <w:sz w:val="22"/>
              </w:rPr>
              <w:t>Fecha Presentación</w:t>
            </w:r>
          </w:p>
        </w:tc>
        <w:tc>
          <w:tcPr>
            <w:tcW w:w="5706" w:type="dxa"/>
            <w:gridSpan w:val="2"/>
            <w:tcBorders>
              <w:right w:val="single" w:sz="6" w:space="0" w:color="auto"/>
            </w:tcBorders>
            <w:tcMar>
              <w:left w:w="90" w:type="dxa"/>
              <w:right w:w="90" w:type="dxa"/>
            </w:tcMar>
          </w:tcPr>
          <w:p w14:paraId="45B5BBE5" w14:textId="77777777" w:rsidR="00DE046C" w:rsidRDefault="00DE046C" w:rsidP="00453510">
            <w:pPr>
              <w:spacing w:after="120" w:line="252" w:lineRule="auto"/>
              <w:rPr>
                <w:rFonts w:ascii="Calibri" w:eastAsia="Calibri" w:hAnsi="Calibri" w:cs="Calibri"/>
                <w:sz w:val="22"/>
              </w:rPr>
            </w:pPr>
          </w:p>
        </w:tc>
      </w:tr>
      <w:tr w:rsidR="00DE046C" w:rsidRPr="005C1E4A" w14:paraId="1B316FFD" w14:textId="77777777" w:rsidTr="00453510">
        <w:trPr>
          <w:trHeight w:val="300"/>
        </w:trPr>
        <w:tc>
          <w:tcPr>
            <w:tcW w:w="3740" w:type="dxa"/>
            <w:gridSpan w:val="2"/>
            <w:tcBorders>
              <w:left w:val="single" w:sz="6" w:space="0" w:color="auto"/>
            </w:tcBorders>
            <w:tcMar>
              <w:left w:w="90" w:type="dxa"/>
              <w:right w:w="90" w:type="dxa"/>
            </w:tcMar>
          </w:tcPr>
          <w:p w14:paraId="67711527" w14:textId="77777777" w:rsidR="00DE046C" w:rsidRDefault="00DE046C" w:rsidP="00453510">
            <w:pPr>
              <w:spacing w:after="120" w:line="252" w:lineRule="auto"/>
              <w:rPr>
                <w:rFonts w:ascii="Calibri" w:eastAsia="Calibri" w:hAnsi="Calibri" w:cs="Calibri"/>
                <w:sz w:val="22"/>
              </w:rPr>
            </w:pPr>
            <w:r w:rsidRPr="15638443">
              <w:rPr>
                <w:rFonts w:ascii="Calibri" w:eastAsia="Calibri" w:hAnsi="Calibri" w:cs="Calibri"/>
                <w:sz w:val="22"/>
              </w:rPr>
              <w:lastRenderedPageBreak/>
              <w:t>Nombre de la Organización</w:t>
            </w:r>
          </w:p>
        </w:tc>
        <w:tc>
          <w:tcPr>
            <w:tcW w:w="5706" w:type="dxa"/>
            <w:gridSpan w:val="2"/>
            <w:tcBorders>
              <w:right w:val="single" w:sz="6" w:space="0" w:color="auto"/>
            </w:tcBorders>
            <w:tcMar>
              <w:left w:w="90" w:type="dxa"/>
              <w:right w:w="90" w:type="dxa"/>
            </w:tcMar>
          </w:tcPr>
          <w:p w14:paraId="784571F3" w14:textId="77777777" w:rsidR="00DE046C" w:rsidRPr="005C1E4A" w:rsidRDefault="00DE046C" w:rsidP="00453510">
            <w:pPr>
              <w:spacing w:after="120" w:line="252" w:lineRule="auto"/>
              <w:rPr>
                <w:rFonts w:ascii="Calibri" w:eastAsia="Calibri" w:hAnsi="Calibri" w:cs="Calibri"/>
                <w:sz w:val="22"/>
                <w:lang w:val="es-MX"/>
              </w:rPr>
            </w:pPr>
          </w:p>
        </w:tc>
      </w:tr>
      <w:tr w:rsidR="00DE046C" w14:paraId="6654BE9D" w14:textId="77777777" w:rsidTr="00453510">
        <w:trPr>
          <w:trHeight w:val="300"/>
        </w:trPr>
        <w:tc>
          <w:tcPr>
            <w:tcW w:w="3740" w:type="dxa"/>
            <w:gridSpan w:val="2"/>
            <w:tcBorders>
              <w:left w:val="single" w:sz="6" w:space="0" w:color="auto"/>
            </w:tcBorders>
            <w:tcMar>
              <w:left w:w="90" w:type="dxa"/>
              <w:right w:w="90" w:type="dxa"/>
            </w:tcMar>
          </w:tcPr>
          <w:p w14:paraId="52A2085D" w14:textId="77777777" w:rsidR="00DE046C" w:rsidRDefault="00DE046C" w:rsidP="00453510">
            <w:pPr>
              <w:spacing w:after="120" w:line="252" w:lineRule="auto"/>
              <w:rPr>
                <w:rFonts w:ascii="Calibri" w:eastAsia="Calibri" w:hAnsi="Calibri" w:cs="Calibri"/>
                <w:sz w:val="22"/>
              </w:rPr>
            </w:pPr>
            <w:r w:rsidRPr="15638443">
              <w:rPr>
                <w:rFonts w:ascii="Calibri" w:eastAsia="Calibri" w:hAnsi="Calibri" w:cs="Calibri"/>
                <w:sz w:val="22"/>
              </w:rPr>
              <w:t>Representante Legal</w:t>
            </w:r>
          </w:p>
        </w:tc>
        <w:tc>
          <w:tcPr>
            <w:tcW w:w="5706" w:type="dxa"/>
            <w:gridSpan w:val="2"/>
            <w:tcBorders>
              <w:right w:val="single" w:sz="6" w:space="0" w:color="auto"/>
            </w:tcBorders>
            <w:tcMar>
              <w:left w:w="90" w:type="dxa"/>
              <w:right w:w="90" w:type="dxa"/>
            </w:tcMar>
          </w:tcPr>
          <w:p w14:paraId="2D27AE41" w14:textId="77777777" w:rsidR="00DE046C" w:rsidRDefault="00DE046C" w:rsidP="00453510">
            <w:pPr>
              <w:spacing w:after="120" w:line="252" w:lineRule="auto"/>
              <w:rPr>
                <w:rFonts w:ascii="Calibri" w:eastAsia="Calibri" w:hAnsi="Calibri" w:cs="Calibri"/>
                <w:sz w:val="22"/>
              </w:rPr>
            </w:pPr>
          </w:p>
        </w:tc>
      </w:tr>
      <w:tr w:rsidR="00DE046C" w14:paraId="72532356" w14:textId="77777777" w:rsidTr="00453510">
        <w:trPr>
          <w:trHeight w:val="300"/>
        </w:trPr>
        <w:tc>
          <w:tcPr>
            <w:tcW w:w="1870" w:type="dxa"/>
            <w:vMerge w:val="restart"/>
            <w:tcBorders>
              <w:left w:val="single" w:sz="6" w:space="0" w:color="auto"/>
            </w:tcBorders>
            <w:tcMar>
              <w:left w:w="90" w:type="dxa"/>
              <w:right w:w="90" w:type="dxa"/>
            </w:tcMar>
          </w:tcPr>
          <w:p w14:paraId="5C21866B" w14:textId="77777777" w:rsidR="00DE046C" w:rsidRDefault="00DE046C" w:rsidP="00453510">
            <w:pPr>
              <w:spacing w:after="120" w:line="252" w:lineRule="auto"/>
              <w:rPr>
                <w:rFonts w:ascii="Calibri" w:eastAsia="Calibri" w:hAnsi="Calibri" w:cs="Calibri"/>
                <w:sz w:val="22"/>
              </w:rPr>
            </w:pPr>
            <w:r w:rsidRPr="15638443">
              <w:rPr>
                <w:rFonts w:ascii="Calibri" w:eastAsia="Calibri" w:hAnsi="Calibri" w:cs="Calibri"/>
                <w:sz w:val="22"/>
              </w:rPr>
              <w:t>Ubicación</w:t>
            </w:r>
          </w:p>
        </w:tc>
        <w:tc>
          <w:tcPr>
            <w:tcW w:w="1870" w:type="dxa"/>
            <w:tcMar>
              <w:left w:w="90" w:type="dxa"/>
              <w:right w:w="90" w:type="dxa"/>
            </w:tcMar>
          </w:tcPr>
          <w:p w14:paraId="0D2E9A9B" w14:textId="77777777" w:rsidR="00DE046C" w:rsidRDefault="00DE046C" w:rsidP="00453510">
            <w:pPr>
              <w:spacing w:after="120" w:line="252" w:lineRule="auto"/>
              <w:rPr>
                <w:rFonts w:ascii="Calibri" w:eastAsia="Calibri" w:hAnsi="Calibri" w:cs="Calibri"/>
                <w:sz w:val="22"/>
              </w:rPr>
            </w:pPr>
            <w:r w:rsidRPr="15638443">
              <w:rPr>
                <w:rFonts w:ascii="Calibri" w:eastAsia="Calibri" w:hAnsi="Calibri" w:cs="Calibri"/>
                <w:sz w:val="22"/>
              </w:rPr>
              <w:t>Aldea/Comunidad</w:t>
            </w:r>
          </w:p>
        </w:tc>
        <w:tc>
          <w:tcPr>
            <w:tcW w:w="5706" w:type="dxa"/>
            <w:gridSpan w:val="2"/>
            <w:tcBorders>
              <w:right w:val="single" w:sz="6" w:space="0" w:color="auto"/>
            </w:tcBorders>
            <w:tcMar>
              <w:left w:w="90" w:type="dxa"/>
              <w:right w:w="90" w:type="dxa"/>
            </w:tcMar>
          </w:tcPr>
          <w:p w14:paraId="4FEDD6B8" w14:textId="77777777" w:rsidR="00DE046C" w:rsidRDefault="00DE046C" w:rsidP="00453510">
            <w:pPr>
              <w:spacing w:after="120" w:line="252" w:lineRule="auto"/>
              <w:rPr>
                <w:rFonts w:ascii="Calibri" w:eastAsia="Calibri" w:hAnsi="Calibri" w:cs="Calibri"/>
                <w:sz w:val="22"/>
              </w:rPr>
            </w:pPr>
          </w:p>
        </w:tc>
      </w:tr>
      <w:tr w:rsidR="00DE046C" w14:paraId="7836FE46" w14:textId="77777777" w:rsidTr="00453510">
        <w:trPr>
          <w:trHeight w:val="300"/>
        </w:trPr>
        <w:tc>
          <w:tcPr>
            <w:tcW w:w="1870" w:type="dxa"/>
            <w:vMerge/>
            <w:tcBorders>
              <w:left w:val="single" w:sz="0" w:space="0" w:color="auto"/>
            </w:tcBorders>
            <w:vAlign w:val="center"/>
          </w:tcPr>
          <w:p w14:paraId="7A7F99EB" w14:textId="77777777" w:rsidR="00DE046C" w:rsidRDefault="00DE046C" w:rsidP="00453510"/>
        </w:tc>
        <w:tc>
          <w:tcPr>
            <w:tcW w:w="1870" w:type="dxa"/>
            <w:tcMar>
              <w:left w:w="90" w:type="dxa"/>
              <w:right w:w="90" w:type="dxa"/>
            </w:tcMar>
          </w:tcPr>
          <w:p w14:paraId="0C40B9FF" w14:textId="77777777" w:rsidR="00DE046C" w:rsidRDefault="00DE046C" w:rsidP="00453510">
            <w:pPr>
              <w:spacing w:after="120" w:line="252" w:lineRule="auto"/>
              <w:rPr>
                <w:rFonts w:ascii="Calibri" w:eastAsia="Calibri" w:hAnsi="Calibri" w:cs="Calibri"/>
                <w:sz w:val="22"/>
              </w:rPr>
            </w:pPr>
            <w:r w:rsidRPr="15638443">
              <w:rPr>
                <w:rFonts w:ascii="Calibri" w:eastAsia="Calibri" w:hAnsi="Calibri" w:cs="Calibri"/>
                <w:sz w:val="22"/>
              </w:rPr>
              <w:t>Municipio</w:t>
            </w:r>
          </w:p>
        </w:tc>
        <w:tc>
          <w:tcPr>
            <w:tcW w:w="5706" w:type="dxa"/>
            <w:gridSpan w:val="2"/>
            <w:tcBorders>
              <w:right w:val="single" w:sz="6" w:space="0" w:color="auto"/>
            </w:tcBorders>
            <w:tcMar>
              <w:left w:w="90" w:type="dxa"/>
              <w:right w:w="90" w:type="dxa"/>
            </w:tcMar>
          </w:tcPr>
          <w:p w14:paraId="2A2C1539" w14:textId="77777777" w:rsidR="00DE046C" w:rsidRDefault="00DE046C" w:rsidP="00453510">
            <w:pPr>
              <w:spacing w:after="120" w:line="252" w:lineRule="auto"/>
              <w:rPr>
                <w:rFonts w:ascii="Calibri" w:eastAsia="Calibri" w:hAnsi="Calibri" w:cs="Calibri"/>
                <w:sz w:val="22"/>
              </w:rPr>
            </w:pPr>
          </w:p>
        </w:tc>
      </w:tr>
      <w:tr w:rsidR="00DE046C" w14:paraId="6B52D909" w14:textId="77777777" w:rsidTr="00453510">
        <w:trPr>
          <w:trHeight w:val="300"/>
        </w:trPr>
        <w:tc>
          <w:tcPr>
            <w:tcW w:w="1870" w:type="dxa"/>
            <w:vMerge/>
            <w:tcBorders>
              <w:left w:val="single" w:sz="0" w:space="0" w:color="auto"/>
            </w:tcBorders>
            <w:vAlign w:val="center"/>
          </w:tcPr>
          <w:p w14:paraId="70C5CA13" w14:textId="77777777" w:rsidR="00DE046C" w:rsidRDefault="00DE046C" w:rsidP="00453510"/>
        </w:tc>
        <w:tc>
          <w:tcPr>
            <w:tcW w:w="1870" w:type="dxa"/>
            <w:tcMar>
              <w:left w:w="90" w:type="dxa"/>
              <w:right w:w="90" w:type="dxa"/>
            </w:tcMar>
          </w:tcPr>
          <w:p w14:paraId="6EE62479" w14:textId="77777777" w:rsidR="00DE046C" w:rsidRDefault="00DE046C" w:rsidP="00453510">
            <w:pPr>
              <w:spacing w:after="120" w:line="252" w:lineRule="auto"/>
              <w:rPr>
                <w:rFonts w:ascii="Calibri" w:eastAsia="Calibri" w:hAnsi="Calibri" w:cs="Calibri"/>
                <w:sz w:val="22"/>
              </w:rPr>
            </w:pPr>
            <w:r w:rsidRPr="15638443">
              <w:rPr>
                <w:rFonts w:ascii="Calibri" w:eastAsia="Calibri" w:hAnsi="Calibri" w:cs="Calibri"/>
                <w:sz w:val="22"/>
              </w:rPr>
              <w:t>Departamento</w:t>
            </w:r>
          </w:p>
        </w:tc>
        <w:tc>
          <w:tcPr>
            <w:tcW w:w="5706" w:type="dxa"/>
            <w:gridSpan w:val="2"/>
            <w:tcBorders>
              <w:right w:val="single" w:sz="6" w:space="0" w:color="auto"/>
            </w:tcBorders>
            <w:tcMar>
              <w:left w:w="90" w:type="dxa"/>
              <w:right w:w="90" w:type="dxa"/>
            </w:tcMar>
          </w:tcPr>
          <w:p w14:paraId="0E12339D" w14:textId="77777777" w:rsidR="00DE046C" w:rsidRDefault="00DE046C" w:rsidP="00453510">
            <w:pPr>
              <w:spacing w:after="120" w:line="252" w:lineRule="auto"/>
              <w:rPr>
                <w:rFonts w:ascii="Calibri" w:eastAsia="Calibri" w:hAnsi="Calibri" w:cs="Calibri"/>
                <w:sz w:val="22"/>
              </w:rPr>
            </w:pPr>
          </w:p>
        </w:tc>
      </w:tr>
      <w:tr w:rsidR="00DE046C" w14:paraId="65E82982" w14:textId="77777777" w:rsidTr="00453510">
        <w:trPr>
          <w:trHeight w:val="300"/>
        </w:trPr>
        <w:tc>
          <w:tcPr>
            <w:tcW w:w="3740" w:type="dxa"/>
            <w:gridSpan w:val="2"/>
            <w:vMerge w:val="restart"/>
            <w:tcBorders>
              <w:left w:val="single" w:sz="6" w:space="0" w:color="auto"/>
            </w:tcBorders>
            <w:tcMar>
              <w:left w:w="90" w:type="dxa"/>
              <w:right w:w="90" w:type="dxa"/>
            </w:tcMar>
          </w:tcPr>
          <w:p w14:paraId="645D27A7" w14:textId="77777777" w:rsidR="00DE046C" w:rsidRDefault="00DE046C" w:rsidP="00453510">
            <w:pPr>
              <w:spacing w:after="120" w:line="252" w:lineRule="auto"/>
              <w:rPr>
                <w:rFonts w:ascii="Calibri" w:eastAsia="Calibri" w:hAnsi="Calibri" w:cs="Calibri"/>
                <w:sz w:val="22"/>
              </w:rPr>
            </w:pPr>
            <w:r w:rsidRPr="15638443">
              <w:rPr>
                <w:rFonts w:ascii="Calibri" w:eastAsia="Calibri" w:hAnsi="Calibri" w:cs="Calibri"/>
                <w:sz w:val="22"/>
              </w:rPr>
              <w:t>Ubicación Geográfica</w:t>
            </w:r>
          </w:p>
        </w:tc>
        <w:tc>
          <w:tcPr>
            <w:tcW w:w="2853" w:type="dxa"/>
            <w:tcBorders>
              <w:right w:val="single" w:sz="6" w:space="0" w:color="auto"/>
            </w:tcBorders>
            <w:tcMar>
              <w:left w:w="90" w:type="dxa"/>
              <w:right w:w="90" w:type="dxa"/>
            </w:tcMar>
          </w:tcPr>
          <w:p w14:paraId="64C71565" w14:textId="77777777" w:rsidR="00DE046C" w:rsidRDefault="00DE046C" w:rsidP="00453510">
            <w:pPr>
              <w:spacing w:after="120" w:line="252" w:lineRule="auto"/>
              <w:rPr>
                <w:rFonts w:ascii="Calibri" w:eastAsia="Calibri" w:hAnsi="Calibri" w:cs="Calibri"/>
                <w:sz w:val="22"/>
              </w:rPr>
            </w:pPr>
          </w:p>
        </w:tc>
        <w:tc>
          <w:tcPr>
            <w:tcW w:w="2853" w:type="dxa"/>
            <w:tcBorders>
              <w:right w:val="single" w:sz="6" w:space="0" w:color="auto"/>
            </w:tcBorders>
            <w:tcMar>
              <w:left w:w="90" w:type="dxa"/>
              <w:right w:w="90" w:type="dxa"/>
            </w:tcMar>
          </w:tcPr>
          <w:p w14:paraId="448CBAD4" w14:textId="77777777" w:rsidR="00DE046C" w:rsidRDefault="00DE046C" w:rsidP="00453510">
            <w:pPr>
              <w:spacing w:after="120" w:line="252" w:lineRule="auto"/>
              <w:rPr>
                <w:rFonts w:ascii="Calibri" w:eastAsia="Calibri" w:hAnsi="Calibri" w:cs="Calibri"/>
                <w:sz w:val="22"/>
              </w:rPr>
            </w:pPr>
          </w:p>
        </w:tc>
      </w:tr>
      <w:tr w:rsidR="00DE046C" w14:paraId="45D9DC54" w14:textId="77777777" w:rsidTr="00453510">
        <w:trPr>
          <w:trHeight w:val="300"/>
        </w:trPr>
        <w:tc>
          <w:tcPr>
            <w:tcW w:w="3740" w:type="dxa"/>
            <w:gridSpan w:val="2"/>
            <w:vMerge/>
            <w:tcBorders>
              <w:left w:val="single" w:sz="0" w:space="0" w:color="auto"/>
            </w:tcBorders>
            <w:vAlign w:val="center"/>
          </w:tcPr>
          <w:p w14:paraId="168D5FE8" w14:textId="77777777" w:rsidR="00DE046C" w:rsidRDefault="00DE046C" w:rsidP="00453510"/>
        </w:tc>
        <w:tc>
          <w:tcPr>
            <w:tcW w:w="2853" w:type="dxa"/>
            <w:tcMar>
              <w:left w:w="90" w:type="dxa"/>
              <w:right w:w="90" w:type="dxa"/>
            </w:tcMar>
          </w:tcPr>
          <w:p w14:paraId="48A50E8A" w14:textId="77777777" w:rsidR="00DE046C" w:rsidRDefault="00DE046C" w:rsidP="00453510">
            <w:pPr>
              <w:spacing w:after="120" w:line="252" w:lineRule="auto"/>
              <w:rPr>
                <w:rFonts w:ascii="Calibri" w:eastAsia="Calibri" w:hAnsi="Calibri" w:cs="Calibri"/>
                <w:sz w:val="22"/>
              </w:rPr>
            </w:pPr>
          </w:p>
        </w:tc>
        <w:tc>
          <w:tcPr>
            <w:tcW w:w="2853" w:type="dxa"/>
            <w:tcBorders>
              <w:right w:val="single" w:sz="6" w:space="0" w:color="auto"/>
            </w:tcBorders>
            <w:tcMar>
              <w:left w:w="90" w:type="dxa"/>
              <w:right w:w="90" w:type="dxa"/>
            </w:tcMar>
          </w:tcPr>
          <w:p w14:paraId="7F2B9401" w14:textId="77777777" w:rsidR="00DE046C" w:rsidRDefault="00DE046C" w:rsidP="00453510">
            <w:pPr>
              <w:spacing w:after="120" w:line="252" w:lineRule="auto"/>
              <w:rPr>
                <w:rFonts w:ascii="Calibri" w:eastAsia="Calibri" w:hAnsi="Calibri" w:cs="Calibri"/>
                <w:sz w:val="22"/>
              </w:rPr>
            </w:pPr>
          </w:p>
        </w:tc>
      </w:tr>
      <w:tr w:rsidR="00DE046C" w14:paraId="023E6D0E" w14:textId="77777777" w:rsidTr="00453510">
        <w:trPr>
          <w:trHeight w:val="300"/>
        </w:trPr>
        <w:tc>
          <w:tcPr>
            <w:tcW w:w="9446" w:type="dxa"/>
            <w:gridSpan w:val="4"/>
            <w:tcBorders>
              <w:left w:val="single" w:sz="6" w:space="0" w:color="auto"/>
              <w:bottom w:val="single" w:sz="6" w:space="0" w:color="auto"/>
              <w:right w:val="single" w:sz="6" w:space="0" w:color="auto"/>
            </w:tcBorders>
          </w:tcPr>
          <w:p w14:paraId="51E666FE" w14:textId="77777777" w:rsidR="00DE046C" w:rsidRDefault="00DE046C" w:rsidP="00453510">
            <w:pPr>
              <w:spacing w:after="120" w:line="252" w:lineRule="auto"/>
              <w:rPr>
                <w:rFonts w:ascii="Calibri" w:eastAsia="Calibri" w:hAnsi="Calibri" w:cs="Calibri"/>
                <w:sz w:val="22"/>
              </w:rPr>
            </w:pPr>
            <w:r w:rsidRPr="15638443">
              <w:rPr>
                <w:rFonts w:ascii="Calibri" w:eastAsia="Calibri" w:hAnsi="Calibri" w:cs="Calibri"/>
                <w:sz w:val="22"/>
              </w:rPr>
              <w:t>Participantes en PdN</w:t>
            </w:r>
          </w:p>
          <w:tbl>
            <w:tblPr>
              <w:tblStyle w:val="Tablaconcuadrcula"/>
              <w:tblW w:w="0" w:type="auto"/>
              <w:tblInd w:w="360" w:type="dxa"/>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3023"/>
              <w:gridCol w:w="2964"/>
              <w:gridCol w:w="3248"/>
            </w:tblGrid>
            <w:tr w:rsidR="00DE046C" w14:paraId="1AA5C864" w14:textId="77777777" w:rsidTr="00453510">
              <w:trPr>
                <w:trHeight w:val="300"/>
              </w:trPr>
              <w:tc>
                <w:tcPr>
                  <w:tcW w:w="3023" w:type="dxa"/>
                  <w:tcBorders>
                    <w:top w:val="single" w:sz="6" w:space="0" w:color="auto"/>
                    <w:left w:val="single" w:sz="6" w:space="0" w:color="auto"/>
                  </w:tcBorders>
                  <w:tcMar>
                    <w:left w:w="90" w:type="dxa"/>
                    <w:right w:w="90" w:type="dxa"/>
                  </w:tcMar>
                </w:tcPr>
                <w:p w14:paraId="0F0A0E5F" w14:textId="77777777" w:rsidR="00DE046C" w:rsidRDefault="00DE046C" w:rsidP="00453510">
                  <w:pPr>
                    <w:rPr>
                      <w:rFonts w:ascii="Calibri" w:eastAsia="Calibri" w:hAnsi="Calibri" w:cs="Calibri"/>
                      <w:sz w:val="22"/>
                    </w:rPr>
                  </w:pPr>
                  <w:r w:rsidRPr="15638443">
                    <w:rPr>
                      <w:rFonts w:ascii="Calibri" w:eastAsia="Calibri" w:hAnsi="Calibri" w:cs="Calibri"/>
                      <w:sz w:val="22"/>
                    </w:rPr>
                    <w:t>Total, Participantes en PdN</w:t>
                  </w:r>
                </w:p>
              </w:tc>
              <w:tc>
                <w:tcPr>
                  <w:tcW w:w="2964" w:type="dxa"/>
                  <w:tcBorders>
                    <w:top w:val="single" w:sz="6" w:space="0" w:color="auto"/>
                  </w:tcBorders>
                  <w:tcMar>
                    <w:left w:w="90" w:type="dxa"/>
                    <w:right w:w="90" w:type="dxa"/>
                  </w:tcMar>
                </w:tcPr>
                <w:p w14:paraId="0FD5FBCD" w14:textId="77777777" w:rsidR="00DE046C" w:rsidRDefault="00DE046C" w:rsidP="00453510">
                  <w:pPr>
                    <w:rPr>
                      <w:rFonts w:ascii="Calibri" w:eastAsia="Calibri" w:hAnsi="Calibri" w:cs="Calibri"/>
                      <w:sz w:val="22"/>
                    </w:rPr>
                  </w:pPr>
                  <w:r w:rsidRPr="15638443">
                    <w:rPr>
                      <w:rFonts w:ascii="Calibri" w:eastAsia="Calibri" w:hAnsi="Calibri" w:cs="Calibri"/>
                      <w:sz w:val="22"/>
                    </w:rPr>
                    <w:t>Jóvenes</w:t>
                  </w:r>
                </w:p>
              </w:tc>
              <w:tc>
                <w:tcPr>
                  <w:tcW w:w="3248" w:type="dxa"/>
                  <w:tcBorders>
                    <w:top w:val="single" w:sz="6" w:space="0" w:color="auto"/>
                    <w:right w:val="single" w:sz="6" w:space="0" w:color="auto"/>
                  </w:tcBorders>
                  <w:tcMar>
                    <w:left w:w="90" w:type="dxa"/>
                    <w:right w:w="90" w:type="dxa"/>
                  </w:tcMar>
                </w:tcPr>
                <w:p w14:paraId="1F299E2C" w14:textId="77777777" w:rsidR="00DE046C" w:rsidRDefault="00DE046C" w:rsidP="00453510">
                  <w:pPr>
                    <w:rPr>
                      <w:rFonts w:ascii="Calibri" w:eastAsia="Calibri" w:hAnsi="Calibri" w:cs="Calibri"/>
                      <w:sz w:val="22"/>
                    </w:rPr>
                  </w:pPr>
                  <w:r w:rsidRPr="15638443">
                    <w:rPr>
                      <w:rFonts w:ascii="Calibri" w:eastAsia="Calibri" w:hAnsi="Calibri" w:cs="Calibri"/>
                      <w:sz w:val="22"/>
                    </w:rPr>
                    <w:t>Indígenas/Afrodescendientes</w:t>
                  </w:r>
                </w:p>
              </w:tc>
            </w:tr>
            <w:tr w:rsidR="00DE046C" w14:paraId="720218F2" w14:textId="77777777" w:rsidTr="00453510">
              <w:trPr>
                <w:trHeight w:val="300"/>
              </w:trPr>
              <w:tc>
                <w:tcPr>
                  <w:tcW w:w="3023" w:type="dxa"/>
                  <w:tcBorders>
                    <w:left w:val="single" w:sz="6" w:space="0" w:color="auto"/>
                  </w:tcBorders>
                  <w:tcMar>
                    <w:left w:w="90" w:type="dxa"/>
                    <w:right w:w="90" w:type="dxa"/>
                  </w:tcMar>
                </w:tcPr>
                <w:p w14:paraId="650565F7" w14:textId="77777777" w:rsidR="00DE046C" w:rsidRDefault="00DE046C" w:rsidP="00453510">
                  <w:pPr>
                    <w:rPr>
                      <w:rFonts w:ascii="Calibri" w:eastAsia="Calibri" w:hAnsi="Calibri" w:cs="Calibri"/>
                      <w:sz w:val="22"/>
                    </w:rPr>
                  </w:pPr>
                  <w:r w:rsidRPr="15638443">
                    <w:rPr>
                      <w:rFonts w:ascii="Calibri" w:eastAsia="Calibri" w:hAnsi="Calibri" w:cs="Calibri"/>
                      <w:sz w:val="22"/>
                    </w:rPr>
                    <w:t>Hombres:</w:t>
                  </w:r>
                </w:p>
              </w:tc>
              <w:tc>
                <w:tcPr>
                  <w:tcW w:w="2964" w:type="dxa"/>
                  <w:tcMar>
                    <w:left w:w="90" w:type="dxa"/>
                    <w:right w:w="90" w:type="dxa"/>
                  </w:tcMar>
                </w:tcPr>
                <w:p w14:paraId="1B259311" w14:textId="77777777" w:rsidR="00DE046C" w:rsidRDefault="00DE046C" w:rsidP="00453510">
                  <w:pPr>
                    <w:rPr>
                      <w:rFonts w:ascii="Calibri" w:eastAsia="Calibri" w:hAnsi="Calibri" w:cs="Calibri"/>
                      <w:sz w:val="22"/>
                    </w:rPr>
                  </w:pPr>
                </w:p>
              </w:tc>
              <w:tc>
                <w:tcPr>
                  <w:tcW w:w="3248" w:type="dxa"/>
                  <w:tcBorders>
                    <w:right w:val="single" w:sz="6" w:space="0" w:color="auto"/>
                  </w:tcBorders>
                  <w:tcMar>
                    <w:left w:w="90" w:type="dxa"/>
                    <w:right w:w="90" w:type="dxa"/>
                  </w:tcMar>
                </w:tcPr>
                <w:p w14:paraId="0B87C0F4" w14:textId="77777777" w:rsidR="00DE046C" w:rsidRDefault="00DE046C" w:rsidP="00453510">
                  <w:pPr>
                    <w:rPr>
                      <w:rFonts w:ascii="Calibri" w:eastAsia="Calibri" w:hAnsi="Calibri" w:cs="Calibri"/>
                      <w:sz w:val="22"/>
                    </w:rPr>
                  </w:pPr>
                </w:p>
              </w:tc>
            </w:tr>
            <w:tr w:rsidR="00DE046C" w14:paraId="190B9DC6" w14:textId="77777777" w:rsidTr="00453510">
              <w:trPr>
                <w:trHeight w:val="300"/>
              </w:trPr>
              <w:tc>
                <w:tcPr>
                  <w:tcW w:w="3023" w:type="dxa"/>
                  <w:tcBorders>
                    <w:left w:val="single" w:sz="6" w:space="0" w:color="auto"/>
                  </w:tcBorders>
                  <w:tcMar>
                    <w:left w:w="90" w:type="dxa"/>
                    <w:right w:w="90" w:type="dxa"/>
                  </w:tcMar>
                </w:tcPr>
                <w:p w14:paraId="5583E09E" w14:textId="77777777" w:rsidR="00DE046C" w:rsidRDefault="00DE046C" w:rsidP="00453510">
                  <w:pPr>
                    <w:rPr>
                      <w:rFonts w:ascii="Calibri" w:eastAsia="Calibri" w:hAnsi="Calibri" w:cs="Calibri"/>
                      <w:sz w:val="22"/>
                    </w:rPr>
                  </w:pPr>
                  <w:r w:rsidRPr="15638443">
                    <w:rPr>
                      <w:rFonts w:ascii="Calibri" w:eastAsia="Calibri" w:hAnsi="Calibri" w:cs="Calibri"/>
                      <w:sz w:val="22"/>
                    </w:rPr>
                    <w:t>Mujeres:</w:t>
                  </w:r>
                </w:p>
              </w:tc>
              <w:tc>
                <w:tcPr>
                  <w:tcW w:w="2964" w:type="dxa"/>
                  <w:tcMar>
                    <w:left w:w="90" w:type="dxa"/>
                    <w:right w:w="90" w:type="dxa"/>
                  </w:tcMar>
                </w:tcPr>
                <w:p w14:paraId="3F4CEC09" w14:textId="77777777" w:rsidR="00DE046C" w:rsidRDefault="00DE046C" w:rsidP="00453510">
                  <w:pPr>
                    <w:rPr>
                      <w:rFonts w:ascii="Calibri" w:eastAsia="Calibri" w:hAnsi="Calibri" w:cs="Calibri"/>
                      <w:sz w:val="22"/>
                    </w:rPr>
                  </w:pPr>
                </w:p>
              </w:tc>
              <w:tc>
                <w:tcPr>
                  <w:tcW w:w="3248" w:type="dxa"/>
                  <w:tcBorders>
                    <w:right w:val="single" w:sz="6" w:space="0" w:color="auto"/>
                  </w:tcBorders>
                  <w:tcMar>
                    <w:left w:w="90" w:type="dxa"/>
                    <w:right w:w="90" w:type="dxa"/>
                  </w:tcMar>
                </w:tcPr>
                <w:p w14:paraId="0507D88F" w14:textId="77777777" w:rsidR="00DE046C" w:rsidRDefault="00DE046C" w:rsidP="00453510">
                  <w:pPr>
                    <w:rPr>
                      <w:rFonts w:ascii="Calibri" w:eastAsia="Calibri" w:hAnsi="Calibri" w:cs="Calibri"/>
                      <w:sz w:val="22"/>
                    </w:rPr>
                  </w:pPr>
                </w:p>
              </w:tc>
            </w:tr>
            <w:tr w:rsidR="00DE046C" w14:paraId="5A1B16F5" w14:textId="77777777" w:rsidTr="00453510">
              <w:trPr>
                <w:trHeight w:val="300"/>
              </w:trPr>
              <w:tc>
                <w:tcPr>
                  <w:tcW w:w="3023" w:type="dxa"/>
                  <w:tcBorders>
                    <w:left w:val="single" w:sz="6" w:space="0" w:color="auto"/>
                    <w:bottom w:val="single" w:sz="6" w:space="0" w:color="auto"/>
                  </w:tcBorders>
                  <w:tcMar>
                    <w:left w:w="90" w:type="dxa"/>
                    <w:right w:w="90" w:type="dxa"/>
                  </w:tcMar>
                </w:tcPr>
                <w:p w14:paraId="6DB074C4" w14:textId="77777777" w:rsidR="00DE046C" w:rsidRDefault="00DE046C" w:rsidP="00453510">
                  <w:pPr>
                    <w:rPr>
                      <w:rFonts w:ascii="Calibri" w:eastAsia="Calibri" w:hAnsi="Calibri" w:cs="Calibri"/>
                      <w:sz w:val="22"/>
                    </w:rPr>
                  </w:pPr>
                  <w:r w:rsidRPr="15638443">
                    <w:rPr>
                      <w:rFonts w:ascii="Calibri" w:eastAsia="Calibri" w:hAnsi="Calibri" w:cs="Calibri"/>
                      <w:sz w:val="22"/>
                    </w:rPr>
                    <w:t>Total:</w:t>
                  </w:r>
                </w:p>
              </w:tc>
              <w:tc>
                <w:tcPr>
                  <w:tcW w:w="2964" w:type="dxa"/>
                  <w:tcBorders>
                    <w:bottom w:val="single" w:sz="6" w:space="0" w:color="auto"/>
                  </w:tcBorders>
                  <w:tcMar>
                    <w:left w:w="90" w:type="dxa"/>
                    <w:right w:w="90" w:type="dxa"/>
                  </w:tcMar>
                </w:tcPr>
                <w:p w14:paraId="257C7A1E" w14:textId="77777777" w:rsidR="00DE046C" w:rsidRDefault="00DE046C" w:rsidP="00453510">
                  <w:pPr>
                    <w:rPr>
                      <w:rFonts w:ascii="Calibri" w:eastAsia="Calibri" w:hAnsi="Calibri" w:cs="Calibri"/>
                      <w:sz w:val="22"/>
                    </w:rPr>
                  </w:pPr>
                </w:p>
              </w:tc>
              <w:tc>
                <w:tcPr>
                  <w:tcW w:w="3248" w:type="dxa"/>
                  <w:tcBorders>
                    <w:bottom w:val="single" w:sz="6" w:space="0" w:color="auto"/>
                    <w:right w:val="single" w:sz="6" w:space="0" w:color="auto"/>
                  </w:tcBorders>
                  <w:tcMar>
                    <w:left w:w="90" w:type="dxa"/>
                    <w:right w:w="90" w:type="dxa"/>
                  </w:tcMar>
                </w:tcPr>
                <w:p w14:paraId="33658E91" w14:textId="77777777" w:rsidR="00DE046C" w:rsidRDefault="00DE046C" w:rsidP="00453510">
                  <w:pPr>
                    <w:rPr>
                      <w:rFonts w:ascii="Calibri" w:eastAsia="Calibri" w:hAnsi="Calibri" w:cs="Calibri"/>
                      <w:sz w:val="22"/>
                    </w:rPr>
                  </w:pPr>
                </w:p>
              </w:tc>
            </w:tr>
          </w:tbl>
          <w:p w14:paraId="5C4C9D61" w14:textId="77777777" w:rsidR="00DE046C" w:rsidRDefault="00DE046C" w:rsidP="00453510">
            <w:pPr>
              <w:ind w:left="360"/>
              <w:rPr>
                <w:rFonts w:ascii="Calibri" w:eastAsia="Calibri" w:hAnsi="Calibri" w:cs="Calibri"/>
                <w:sz w:val="22"/>
              </w:rPr>
            </w:pPr>
          </w:p>
        </w:tc>
      </w:tr>
    </w:tbl>
    <w:p w14:paraId="2FEA6B42" w14:textId="77777777" w:rsidR="00DE046C" w:rsidRPr="00DE046C" w:rsidRDefault="00DE046C" w:rsidP="00DE046C">
      <w:pPr>
        <w:pStyle w:val="Prrafodelista"/>
        <w:ind w:left="786"/>
        <w:rPr>
          <w:rFonts w:ascii="Calibri" w:eastAsia="Calibri" w:hAnsi="Calibri" w:cs="Calibri"/>
          <w:color w:val="0078D4"/>
          <w:sz w:val="22"/>
        </w:rPr>
      </w:pPr>
    </w:p>
    <w:p w14:paraId="4F218D28" w14:textId="77777777" w:rsidR="00DE046C" w:rsidRPr="00DE046C" w:rsidRDefault="00DE046C" w:rsidP="00DE046C">
      <w:pPr>
        <w:pStyle w:val="Ttulo1"/>
        <w:rPr>
          <w:rFonts w:ascii="Calibri" w:eastAsia="Calibri" w:hAnsi="Calibri" w:cs="Calibri"/>
          <w:b/>
          <w:caps/>
          <w:color w:val="000000" w:themeColor="text1"/>
          <w:sz w:val="22"/>
          <w:szCs w:val="22"/>
        </w:rPr>
      </w:pPr>
      <w:bookmarkStart w:id="1608" w:name="_Toc202189050"/>
      <w:bookmarkStart w:id="1609" w:name="_Toc202189067"/>
      <w:r w:rsidRPr="00DE046C">
        <w:rPr>
          <w:rFonts w:ascii="Calibri" w:eastAsia="Calibri" w:hAnsi="Calibri" w:cs="Calibri"/>
          <w:b/>
          <w:color w:val="000000" w:themeColor="text1"/>
          <w:sz w:val="22"/>
          <w:szCs w:val="22"/>
        </w:rPr>
        <w:t>4. Descripción de actividades del subproyecto</w:t>
      </w:r>
      <w:bookmarkEnd w:id="1608"/>
      <w:bookmarkEnd w:id="1609"/>
    </w:p>
    <w:p w14:paraId="553121A1" w14:textId="3A4C69D8" w:rsidR="00DE046C" w:rsidRPr="00DE046C" w:rsidRDefault="00DE046C" w:rsidP="00DE046C">
      <w:pPr>
        <w:rPr>
          <w:rFonts w:ascii="Calibri" w:eastAsia="Calibri" w:hAnsi="Calibri" w:cs="Calibri"/>
          <w:i/>
          <w:iCs/>
          <w:color w:val="2E74B5" w:themeColor="accent1" w:themeShade="BF"/>
          <w:sz w:val="22"/>
        </w:rPr>
      </w:pPr>
      <w:r w:rsidRPr="00DE046C">
        <w:rPr>
          <w:rFonts w:ascii="Calibri" w:eastAsia="Calibri" w:hAnsi="Calibri" w:cs="Calibri"/>
          <w:b/>
          <w:bCs/>
          <w:i/>
          <w:iCs/>
          <w:color w:val="2E74B5" w:themeColor="accent1" w:themeShade="BF"/>
          <w:sz w:val="22"/>
        </w:rPr>
        <w:t>(</w:t>
      </w:r>
      <w:r w:rsidRPr="00DE046C">
        <w:rPr>
          <w:rFonts w:ascii="Calibri" w:eastAsia="Calibri" w:hAnsi="Calibri" w:cs="Calibri"/>
          <w:i/>
          <w:iCs/>
          <w:color w:val="2E74B5" w:themeColor="accent1" w:themeShade="BF"/>
          <w:sz w:val="22"/>
        </w:rPr>
        <w:t>En esta sección se enumeran todas las actividades que se llevarán a cabo en el marco del plan de negocios, incluidas las actividades asociadas (como la construcción de caminos de acceso, suministro de agua u otras obras complementarias).</w:t>
      </w:r>
      <w:r>
        <w:rPr>
          <w:rStyle w:val="Refdenotaalpie"/>
          <w:rFonts w:ascii="Calibri" w:eastAsia="Calibri" w:hAnsi="Calibri"/>
          <w:i/>
          <w:iCs/>
          <w:color w:val="2E74B5" w:themeColor="accent1" w:themeShade="BF"/>
          <w:sz w:val="22"/>
        </w:rPr>
        <w:footnoteReference w:id="72"/>
      </w:r>
    </w:p>
    <w:p w14:paraId="58E3FF1E" w14:textId="77777777" w:rsidR="00DE046C" w:rsidRPr="00DE046C" w:rsidRDefault="00DE046C" w:rsidP="00DE046C">
      <w:pPr>
        <w:ind w:left="426"/>
        <w:rPr>
          <w:rFonts w:ascii="Calibri" w:eastAsia="Calibri" w:hAnsi="Calibri" w:cs="Calibri"/>
          <w:color w:val="000000" w:themeColor="text1"/>
          <w:sz w:val="22"/>
          <w:lang w:val="es-MX"/>
        </w:rPr>
      </w:pPr>
    </w:p>
    <w:p w14:paraId="3DBF15BD" w14:textId="77777777" w:rsidR="00DE046C" w:rsidRPr="00DE046C" w:rsidRDefault="00DE046C" w:rsidP="00DE046C">
      <w:pPr>
        <w:pStyle w:val="Ttulo1"/>
        <w:rPr>
          <w:rFonts w:ascii="Calibri" w:eastAsia="Calibri" w:hAnsi="Calibri" w:cs="Calibri"/>
          <w:b/>
          <w:caps/>
          <w:color w:val="000000" w:themeColor="text1"/>
          <w:sz w:val="22"/>
          <w:szCs w:val="22"/>
        </w:rPr>
      </w:pPr>
      <w:bookmarkStart w:id="1610" w:name="_Toc202189051"/>
      <w:bookmarkStart w:id="1611" w:name="_Toc202189068"/>
      <w:r w:rsidRPr="00DE046C">
        <w:rPr>
          <w:rFonts w:ascii="Calibri" w:eastAsia="Calibri" w:hAnsi="Calibri" w:cs="Calibri"/>
          <w:b/>
          <w:color w:val="000000" w:themeColor="text1"/>
          <w:sz w:val="22"/>
          <w:szCs w:val="22"/>
        </w:rPr>
        <w:t>5.Fases del plan de negocios</w:t>
      </w:r>
      <w:bookmarkEnd w:id="1610"/>
      <w:bookmarkEnd w:id="1611"/>
    </w:p>
    <w:p w14:paraId="2E7E3456" w14:textId="3AAA8210" w:rsidR="00DE046C" w:rsidRDefault="00DE046C" w:rsidP="00DE046C">
      <w:pPr>
        <w:rPr>
          <w:rFonts w:ascii="Calibri" w:eastAsia="Calibri" w:hAnsi="Calibri" w:cs="Calibri"/>
          <w:i/>
          <w:iCs/>
          <w:color w:val="2E74B5" w:themeColor="accent1" w:themeShade="BF"/>
          <w:sz w:val="22"/>
        </w:rPr>
      </w:pPr>
      <w:r w:rsidRPr="00DE046C">
        <w:rPr>
          <w:rFonts w:ascii="Calibri" w:eastAsia="Calibri" w:hAnsi="Calibri" w:cs="Calibri"/>
          <w:b/>
          <w:bCs/>
          <w:i/>
          <w:iCs/>
          <w:color w:val="2E74B5" w:themeColor="accent1" w:themeShade="BF"/>
          <w:sz w:val="22"/>
        </w:rPr>
        <w:t>(</w:t>
      </w:r>
      <w:r w:rsidRPr="00DE046C">
        <w:rPr>
          <w:rFonts w:ascii="Calibri" w:eastAsia="Calibri" w:hAnsi="Calibri" w:cs="Calibri"/>
          <w:i/>
          <w:iCs/>
          <w:color w:val="2E74B5" w:themeColor="accent1" w:themeShade="BF"/>
          <w:sz w:val="22"/>
        </w:rPr>
        <w:t>Detallar las actividades en cada fase</w:t>
      </w:r>
      <w:r w:rsidRPr="009604DD">
        <w:footnoteReference w:id="73"/>
      </w:r>
      <w:r w:rsidRPr="00DE046C">
        <w:rPr>
          <w:rFonts w:ascii="Calibri" w:eastAsia="Calibri" w:hAnsi="Calibri" w:cs="Calibri"/>
          <w:i/>
          <w:iCs/>
          <w:color w:val="2E74B5" w:themeColor="accent1" w:themeShade="BF"/>
          <w:sz w:val="22"/>
        </w:rPr>
        <w:t>)</w:t>
      </w:r>
    </w:p>
    <w:p w14:paraId="4D174554" w14:textId="484231D3" w:rsidR="00DE046C" w:rsidRPr="00DE046C" w:rsidRDefault="00DE046C" w:rsidP="00DE046C">
      <w:pPr>
        <w:rPr>
          <w:rFonts w:ascii="Calibri" w:eastAsia="Calibri" w:hAnsi="Calibri" w:cs="Calibri"/>
          <w:i/>
          <w:iCs/>
          <w:color w:val="2E74B5" w:themeColor="accent1" w:themeShade="BF"/>
          <w:sz w:val="22"/>
        </w:rPr>
      </w:pPr>
      <w:r w:rsidRPr="00DE046C">
        <w:rPr>
          <w:rFonts w:ascii="Calibri" w:eastAsia="Calibri" w:hAnsi="Calibri" w:cs="Calibri"/>
          <w:i/>
          <w:iCs/>
          <w:color w:val="2E74B5" w:themeColor="accent1" w:themeShade="BF"/>
          <w:sz w:val="22"/>
        </w:rPr>
        <w:t xml:space="preserve">5.1. Diseño, formulación y aprobación: </w:t>
      </w:r>
    </w:p>
    <w:p w14:paraId="10CB84A8" w14:textId="77777777" w:rsidR="00DE046C" w:rsidRPr="00DE046C" w:rsidRDefault="00DE046C" w:rsidP="00DE046C">
      <w:pPr>
        <w:rPr>
          <w:rFonts w:ascii="Calibri" w:eastAsia="Calibri" w:hAnsi="Calibri" w:cs="Calibri"/>
          <w:i/>
          <w:iCs/>
          <w:color w:val="2E74B5" w:themeColor="accent1" w:themeShade="BF"/>
          <w:sz w:val="22"/>
        </w:rPr>
      </w:pPr>
      <w:r w:rsidRPr="00DE046C">
        <w:rPr>
          <w:rFonts w:ascii="Calibri" w:eastAsia="Calibri" w:hAnsi="Calibri" w:cs="Calibri"/>
          <w:i/>
          <w:iCs/>
          <w:color w:val="2E74B5" w:themeColor="accent1" w:themeShade="BF"/>
          <w:sz w:val="22"/>
        </w:rPr>
        <w:t xml:space="preserve">5.2. Construcción e implementación </w:t>
      </w:r>
    </w:p>
    <w:p w14:paraId="6AACCC0A" w14:textId="77777777" w:rsidR="00DE046C" w:rsidRPr="00DE046C" w:rsidRDefault="00DE046C" w:rsidP="00DE046C">
      <w:pPr>
        <w:rPr>
          <w:rFonts w:ascii="Calibri" w:eastAsia="Calibri" w:hAnsi="Calibri" w:cs="Calibri"/>
          <w:i/>
          <w:iCs/>
          <w:color w:val="2E74B5" w:themeColor="accent1" w:themeShade="BF"/>
          <w:sz w:val="22"/>
        </w:rPr>
      </w:pPr>
      <w:r w:rsidRPr="00DE046C">
        <w:rPr>
          <w:rFonts w:ascii="Calibri" w:eastAsia="Calibri" w:hAnsi="Calibri" w:cs="Calibri"/>
          <w:i/>
          <w:iCs/>
          <w:color w:val="2E74B5" w:themeColor="accent1" w:themeShade="BF"/>
          <w:sz w:val="22"/>
        </w:rPr>
        <w:t>5.3. Sostenibilidad</w:t>
      </w:r>
    </w:p>
    <w:p w14:paraId="021C7F84" w14:textId="77777777" w:rsidR="00DE046C" w:rsidRPr="00DE046C" w:rsidRDefault="00DE046C" w:rsidP="00DE046C">
      <w:pPr>
        <w:pStyle w:val="Ttulo1"/>
        <w:rPr>
          <w:rFonts w:ascii="Calibri" w:eastAsia="Calibri" w:hAnsi="Calibri" w:cs="Calibri"/>
          <w:b/>
          <w:caps/>
          <w:color w:val="000000" w:themeColor="text1"/>
          <w:sz w:val="22"/>
          <w:szCs w:val="22"/>
        </w:rPr>
      </w:pPr>
      <w:bookmarkStart w:id="1612" w:name="_Toc202189052"/>
      <w:bookmarkStart w:id="1613" w:name="_Toc202189069"/>
      <w:r w:rsidRPr="00DE046C">
        <w:rPr>
          <w:rFonts w:ascii="Calibri" w:eastAsia="Calibri" w:hAnsi="Calibri" w:cs="Calibri"/>
          <w:b/>
          <w:color w:val="000000" w:themeColor="text1"/>
          <w:sz w:val="22"/>
          <w:szCs w:val="22"/>
        </w:rPr>
        <w:t>6. Contexto ambiental y social</w:t>
      </w:r>
      <w:bookmarkEnd w:id="1612"/>
      <w:bookmarkEnd w:id="1613"/>
    </w:p>
    <w:p w14:paraId="1A54A34D" w14:textId="77777777" w:rsidR="00DE046C" w:rsidRPr="00DE046C" w:rsidRDefault="00DE046C" w:rsidP="00DE046C">
      <w:pPr>
        <w:pStyle w:val="Prrafodelista"/>
        <w:spacing w:after="0" w:line="240" w:lineRule="auto"/>
        <w:ind w:left="786"/>
        <w:rPr>
          <w:rFonts w:ascii="Calibri" w:eastAsia="Calibri" w:hAnsi="Calibri" w:cs="Calibri"/>
          <w:color w:val="0078D4"/>
          <w:sz w:val="22"/>
        </w:rPr>
      </w:pPr>
    </w:p>
    <w:tbl>
      <w:tblPr>
        <w:tblStyle w:val="Tablaconcuadrcula"/>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9075"/>
      </w:tblGrid>
      <w:tr w:rsidR="00DE046C" w:rsidRPr="005C1E4A" w14:paraId="67BD8C06" w14:textId="77777777" w:rsidTr="00453510">
        <w:trPr>
          <w:trHeight w:val="300"/>
        </w:trPr>
        <w:tc>
          <w:tcPr>
            <w:tcW w:w="9075" w:type="dxa"/>
            <w:tcBorders>
              <w:top w:val="single" w:sz="6" w:space="0" w:color="auto"/>
              <w:left w:val="single" w:sz="6" w:space="0" w:color="auto"/>
              <w:right w:val="single" w:sz="6" w:space="0" w:color="auto"/>
            </w:tcBorders>
            <w:tcMar>
              <w:left w:w="90" w:type="dxa"/>
              <w:right w:w="90" w:type="dxa"/>
            </w:tcMar>
          </w:tcPr>
          <w:p w14:paraId="3C098B3B" w14:textId="77777777" w:rsidR="00DE046C" w:rsidRPr="005C1E4A" w:rsidRDefault="00DE046C" w:rsidP="00453510">
            <w:pPr>
              <w:rPr>
                <w:rFonts w:ascii="Calibri" w:eastAsia="Calibri" w:hAnsi="Calibri" w:cs="Calibri"/>
                <w:sz w:val="22"/>
                <w:lang w:val="es-MX"/>
              </w:rPr>
            </w:pPr>
            <w:r w:rsidRPr="15638443">
              <w:rPr>
                <w:rFonts w:ascii="Calibri" w:eastAsia="Calibri" w:hAnsi="Calibri" w:cs="Calibri"/>
                <w:b/>
                <w:bCs/>
                <w:sz w:val="22"/>
              </w:rPr>
              <w:t>Contexto del Sitio</w:t>
            </w:r>
          </w:p>
          <w:p w14:paraId="552F2123" w14:textId="77777777" w:rsidR="00DE046C" w:rsidRPr="00AC217F" w:rsidRDefault="00DE046C" w:rsidP="00453510">
            <w:pPr>
              <w:rPr>
                <w:i/>
                <w:iCs/>
                <w:color w:val="2E74B5" w:themeColor="accent1" w:themeShade="BF"/>
              </w:rPr>
            </w:pPr>
            <w:r w:rsidRPr="00AC217F">
              <w:rPr>
                <w:rFonts w:ascii="Calibri" w:eastAsia="Calibri" w:hAnsi="Calibri" w:cs="Calibri"/>
                <w:i/>
                <w:iCs/>
                <w:color w:val="2E74B5" w:themeColor="accent1" w:themeShade="BF"/>
                <w:sz w:val="22"/>
              </w:rPr>
              <w:t>Su contexto geográfico, ecológico, social y temporal.</w:t>
            </w:r>
            <w:r w:rsidRPr="00AC217F">
              <w:rPr>
                <w:i/>
                <w:iCs/>
                <w:color w:val="2E74B5" w:themeColor="accent1" w:themeShade="BF"/>
              </w:rPr>
              <w:t xml:space="preserve"> </w:t>
            </w:r>
            <w:r w:rsidRPr="00AC217F">
              <w:rPr>
                <w:rStyle w:val="Refdenotaalpie"/>
                <w:i/>
                <w:iCs/>
                <w:color w:val="2E74B5" w:themeColor="accent1" w:themeShade="BF"/>
              </w:rPr>
              <w:footnoteReference w:id="74"/>
            </w:r>
          </w:p>
          <w:p w14:paraId="0C17193B" w14:textId="77777777" w:rsidR="00DE046C" w:rsidRPr="009B3F01" w:rsidRDefault="00DE046C" w:rsidP="00453510">
            <w:pPr>
              <w:rPr>
                <w:rFonts w:ascii="Calibri" w:eastAsia="Calibri" w:hAnsi="Calibri" w:cs="Calibri"/>
                <w:b/>
                <w:bCs/>
                <w:sz w:val="22"/>
              </w:rPr>
            </w:pPr>
            <w:r>
              <w:rPr>
                <w:rFonts w:ascii="Calibri" w:eastAsia="Calibri" w:hAnsi="Calibri" w:cs="Calibri"/>
                <w:b/>
                <w:bCs/>
                <w:sz w:val="22"/>
              </w:rPr>
              <w:t xml:space="preserve">6.1. </w:t>
            </w:r>
            <w:r w:rsidRPr="0085783D">
              <w:rPr>
                <w:rFonts w:ascii="Calibri" w:eastAsia="Calibri" w:hAnsi="Calibri" w:cs="Calibri"/>
                <w:b/>
                <w:bCs/>
                <w:sz w:val="22"/>
              </w:rPr>
              <w:t>Geográfico</w:t>
            </w:r>
          </w:p>
          <w:p w14:paraId="6D2F93EB" w14:textId="77777777" w:rsidR="00DE046C" w:rsidRPr="009B3F01" w:rsidRDefault="00DE046C" w:rsidP="00453510">
            <w:pPr>
              <w:rPr>
                <w:rFonts w:ascii="Calibri" w:eastAsia="Calibri" w:hAnsi="Calibri" w:cs="Calibri"/>
                <w:b/>
                <w:bCs/>
                <w:sz w:val="22"/>
              </w:rPr>
            </w:pPr>
            <w:r>
              <w:rPr>
                <w:rFonts w:ascii="Calibri" w:eastAsia="Calibri" w:hAnsi="Calibri" w:cs="Calibri"/>
                <w:b/>
                <w:bCs/>
                <w:sz w:val="22"/>
              </w:rPr>
              <w:t xml:space="preserve">6.2. </w:t>
            </w:r>
            <w:r w:rsidRPr="0085783D">
              <w:rPr>
                <w:rFonts w:ascii="Calibri" w:eastAsia="Calibri" w:hAnsi="Calibri" w:cs="Calibri"/>
                <w:b/>
                <w:bCs/>
                <w:sz w:val="22"/>
              </w:rPr>
              <w:t>Ecológico</w:t>
            </w:r>
          </w:p>
          <w:p w14:paraId="554A9402" w14:textId="77777777" w:rsidR="00DE046C" w:rsidRPr="009338AD" w:rsidRDefault="00DE046C" w:rsidP="00453510">
            <w:pPr>
              <w:rPr>
                <w:rFonts w:ascii="Calibri" w:eastAsia="Calibri" w:hAnsi="Calibri" w:cs="Calibri"/>
                <w:b/>
                <w:bCs/>
                <w:i/>
                <w:iCs/>
                <w:color w:val="000000" w:themeColor="text1"/>
                <w:sz w:val="22"/>
              </w:rPr>
            </w:pPr>
            <w:r>
              <w:rPr>
                <w:rFonts w:ascii="Calibri" w:eastAsia="Calibri" w:hAnsi="Calibri" w:cs="Calibri"/>
                <w:b/>
                <w:bCs/>
                <w:color w:val="000000" w:themeColor="text1"/>
                <w:sz w:val="22"/>
              </w:rPr>
              <w:t xml:space="preserve">6.3. </w:t>
            </w:r>
            <w:r w:rsidRPr="009338AD">
              <w:rPr>
                <w:rFonts w:ascii="Calibri" w:eastAsia="Calibri" w:hAnsi="Calibri" w:cs="Calibri"/>
                <w:b/>
                <w:bCs/>
                <w:color w:val="000000" w:themeColor="text1"/>
                <w:sz w:val="22"/>
              </w:rPr>
              <w:t xml:space="preserve">Social: </w:t>
            </w:r>
          </w:p>
          <w:p w14:paraId="291CF176" w14:textId="77777777" w:rsidR="00DE046C" w:rsidRPr="00913C93" w:rsidRDefault="00DE046C" w:rsidP="00453510">
            <w:pPr>
              <w:rPr>
                <w:rFonts w:ascii="Calibri" w:eastAsia="Calibri" w:hAnsi="Calibri" w:cs="Calibri"/>
                <w:b/>
                <w:bCs/>
                <w:i/>
                <w:iCs/>
                <w:color w:val="2E74B5" w:themeColor="accent1" w:themeShade="BF"/>
                <w:sz w:val="22"/>
              </w:rPr>
            </w:pPr>
            <w:r w:rsidRPr="009338AD">
              <w:rPr>
                <w:rFonts w:ascii="Calibri" w:eastAsia="Calibri" w:hAnsi="Calibri" w:cs="Calibri"/>
                <w:b/>
                <w:bCs/>
                <w:i/>
                <w:iCs/>
                <w:color w:val="2E74B5" w:themeColor="accent1" w:themeShade="BF"/>
                <w:sz w:val="22"/>
              </w:rPr>
              <w:t>(</w:t>
            </w:r>
            <w:r w:rsidRPr="009338AD">
              <w:rPr>
                <w:rFonts w:ascii="Calibri" w:eastAsia="Calibri" w:hAnsi="Calibri" w:cs="Calibri"/>
                <w:i/>
                <w:iCs/>
                <w:color w:val="2E74B5" w:themeColor="accent1" w:themeShade="BF"/>
                <w:sz w:val="22"/>
              </w:rPr>
              <w:t xml:space="preserve">La información que se incluya en esta sección será la línea base que permita cuantificar a las personas a beneficiar por género, edad, discapacidad, etnia o similar de manera que también se </w:t>
            </w:r>
            <w:r w:rsidRPr="009338AD">
              <w:rPr>
                <w:rFonts w:ascii="Calibri" w:eastAsia="Calibri" w:hAnsi="Calibri" w:cs="Calibri"/>
                <w:i/>
                <w:iCs/>
                <w:color w:val="2E74B5" w:themeColor="accent1" w:themeShade="BF"/>
                <w:sz w:val="22"/>
              </w:rPr>
              <w:lastRenderedPageBreak/>
              <w:t>tomen en cuenta los riesgos de exclusión que regularmente tienen estas poblaciones y los potenciales riesgos e impactos)</w:t>
            </w:r>
          </w:p>
          <w:p w14:paraId="56680273" w14:textId="77777777" w:rsidR="00DE046C" w:rsidRDefault="00DE046C" w:rsidP="00453510">
            <w:pPr>
              <w:rPr>
                <w:rFonts w:ascii="Calibri" w:eastAsia="Calibri" w:hAnsi="Calibri" w:cs="Calibri"/>
                <w:b/>
                <w:bCs/>
                <w:sz w:val="22"/>
              </w:rPr>
            </w:pPr>
            <w:r>
              <w:rPr>
                <w:rFonts w:ascii="Calibri" w:eastAsia="Calibri" w:hAnsi="Calibri" w:cs="Calibri"/>
                <w:b/>
                <w:bCs/>
                <w:sz w:val="22"/>
              </w:rPr>
              <w:t xml:space="preserve">6.4. </w:t>
            </w:r>
            <w:r w:rsidRPr="0085783D">
              <w:rPr>
                <w:rFonts w:ascii="Calibri" w:eastAsia="Calibri" w:hAnsi="Calibri" w:cs="Calibri"/>
                <w:b/>
                <w:bCs/>
                <w:sz w:val="22"/>
              </w:rPr>
              <w:t>Evaluación de la tenencia de la tierra</w:t>
            </w:r>
          </w:p>
          <w:p w14:paraId="6F32D3A9" w14:textId="77777777" w:rsidR="00DE046C" w:rsidRPr="009338AD" w:rsidRDefault="00DE046C" w:rsidP="00453510">
            <w:pPr>
              <w:rPr>
                <w:rFonts w:ascii="Calibri" w:eastAsia="Calibri" w:hAnsi="Calibri" w:cs="Calibri"/>
                <w:b/>
                <w:bCs/>
                <w:sz w:val="22"/>
              </w:rPr>
            </w:pPr>
            <w:r w:rsidRPr="009338AD">
              <w:rPr>
                <w:rFonts w:ascii="Calibri" w:eastAsia="Calibri" w:hAnsi="Calibri" w:cs="Calibri"/>
                <w:b/>
                <w:bCs/>
                <w:sz w:val="22"/>
              </w:rPr>
              <w:t xml:space="preserve"> </w:t>
            </w:r>
            <w:r w:rsidRPr="009338AD">
              <w:rPr>
                <w:rFonts w:ascii="Calibri" w:eastAsia="Calibri" w:hAnsi="Calibri" w:cs="Calibri"/>
                <w:b/>
                <w:bCs/>
                <w:i/>
                <w:iCs/>
                <w:color w:val="2E74B5" w:themeColor="accent1" w:themeShade="BF"/>
                <w:sz w:val="22"/>
              </w:rPr>
              <w:t>(P</w:t>
            </w:r>
            <w:r w:rsidRPr="009338AD">
              <w:rPr>
                <w:rFonts w:ascii="Calibri" w:eastAsia="Calibri" w:hAnsi="Calibri" w:cs="Calibri"/>
                <w:i/>
                <w:iCs/>
                <w:color w:val="2E74B5" w:themeColor="accent1" w:themeShade="BF"/>
                <w:sz w:val="22"/>
              </w:rPr>
              <w:t>resentar documentos que demuestren los derechos o posesión de la tenencia del terreno que se va a afectar con el Subproyecto, incluyendo un resumen de su situación jurídica, uso actual, existencia de conflictos o disputas, y confirmación de que se cuenta con todos los documentos de autorización que sean necesarios, incluyendo de parte de los usuarios actuales. El objetivo es confirmar que el proyecto no causará afectaciones involuntarias relacionadas con el uso del terreno.)</w:t>
            </w:r>
            <w:r>
              <w:rPr>
                <w:rStyle w:val="Refdenotaalpie"/>
                <w:rFonts w:ascii="Calibri" w:eastAsia="Calibri" w:hAnsi="Calibri"/>
                <w:i/>
                <w:iCs/>
                <w:color w:val="2E74B5" w:themeColor="accent1" w:themeShade="BF"/>
                <w:sz w:val="22"/>
              </w:rPr>
              <w:footnoteReference w:id="75"/>
            </w:r>
          </w:p>
          <w:p w14:paraId="0BEEEB17" w14:textId="77777777" w:rsidR="00DE046C" w:rsidRPr="00F474E4" w:rsidRDefault="00DE046C" w:rsidP="00453510">
            <w:pPr>
              <w:rPr>
                <w:rFonts w:ascii="Calibri" w:eastAsia="Calibri" w:hAnsi="Calibri" w:cs="Calibri"/>
                <w:sz w:val="22"/>
              </w:rPr>
            </w:pPr>
          </w:p>
        </w:tc>
      </w:tr>
    </w:tbl>
    <w:p w14:paraId="1B116C0D" w14:textId="77777777" w:rsidR="00DE046C" w:rsidRPr="00DE046C" w:rsidRDefault="00DE046C" w:rsidP="006D2612">
      <w:pPr>
        <w:pStyle w:val="Ttulo1"/>
        <w:numPr>
          <w:ilvl w:val="0"/>
          <w:numId w:val="47"/>
        </w:numPr>
        <w:rPr>
          <w:rFonts w:ascii="Calibri" w:eastAsia="Calibri" w:hAnsi="Calibri" w:cs="Calibri"/>
          <w:b/>
          <w:bCs/>
          <w:caps/>
          <w:color w:val="000000" w:themeColor="text1"/>
          <w:sz w:val="22"/>
          <w:szCs w:val="22"/>
        </w:rPr>
      </w:pPr>
      <w:bookmarkStart w:id="1614" w:name="_Toc202189053"/>
      <w:bookmarkStart w:id="1615" w:name="_Toc202189070"/>
      <w:r w:rsidRPr="00DE046C">
        <w:rPr>
          <w:rFonts w:ascii="Calibri" w:eastAsia="Calibri" w:hAnsi="Calibri" w:cs="Calibri"/>
          <w:b/>
          <w:color w:val="000000" w:themeColor="text1"/>
          <w:sz w:val="22"/>
          <w:szCs w:val="22"/>
        </w:rPr>
        <w:lastRenderedPageBreak/>
        <w:t>Resumen de actividades participativas realizadas</w:t>
      </w:r>
      <w:bookmarkEnd w:id="1614"/>
      <w:bookmarkEnd w:id="1615"/>
    </w:p>
    <w:p w14:paraId="5305CE9D" w14:textId="4D218C55" w:rsidR="00DE046C" w:rsidRPr="00DE046C" w:rsidRDefault="00DE046C" w:rsidP="00DE046C">
      <w:pPr>
        <w:pStyle w:val="Ttulo1"/>
        <w:rPr>
          <w:rFonts w:ascii="Calibri" w:eastAsia="Calibri" w:hAnsi="Calibri" w:cs="Calibri"/>
          <w:b/>
          <w:bCs/>
          <w:caps/>
          <w:color w:val="000000" w:themeColor="text1"/>
          <w:sz w:val="22"/>
          <w:szCs w:val="22"/>
        </w:rPr>
        <w:sectPr w:rsidR="00DE046C" w:rsidRPr="00DE046C" w:rsidSect="00F9076B">
          <w:pgSz w:w="12240" w:h="15840" w:code="1"/>
          <w:pgMar w:top="1276" w:right="1041" w:bottom="1276" w:left="1701" w:header="709" w:footer="400" w:gutter="0"/>
          <w:pgNumType w:start="1"/>
          <w:cols w:space="708"/>
          <w:titlePg/>
          <w:docGrid w:linePitch="360"/>
        </w:sectPr>
      </w:pPr>
      <w:r w:rsidRPr="00DE046C">
        <w:rPr>
          <w:rFonts w:ascii="Calibri" w:eastAsia="Calibri" w:hAnsi="Calibri" w:cs="Calibri"/>
          <w:b/>
          <w:bCs/>
          <w:color w:val="000000" w:themeColor="text1"/>
          <w:sz w:val="22"/>
        </w:rPr>
        <w:t xml:space="preserve"> </w:t>
      </w:r>
      <w:r w:rsidRPr="00DE046C">
        <w:rPr>
          <w:rFonts w:ascii="Calibri" w:eastAsia="Calibri" w:hAnsi="Calibri" w:cs="Calibri"/>
          <w:b/>
          <w:bCs/>
          <w:i/>
          <w:iCs/>
          <w:sz w:val="22"/>
        </w:rPr>
        <w:t>(</w:t>
      </w:r>
      <w:r w:rsidRPr="00DE046C">
        <w:rPr>
          <w:rFonts w:ascii="Calibri" w:eastAsia="Calibri" w:hAnsi="Calibri" w:cs="Calibri"/>
          <w:i/>
          <w:iCs/>
          <w:sz w:val="22"/>
        </w:rPr>
        <w:t xml:space="preserve">En esta sección se resumen las actividades participativas, incluyendo divulgación de información, consultas y talleres participativos realizados con las comunidades u organizaciones participantes en el subproyecto específico. Dichas actividades deben ser las requeridas por el PPPI, manual de subproyectos u otros. Por favor incluir la fecha de realización (o rango de fechas), los temas de discusión, el número de personas que participaron desagregadas por género y su rol (miembros de OPRs, personas de la comunidad, representantes de gobierno, etc.). También incluir por favor, de ser relevante, un resumen de cómo estas actividades han contribuido al diseño del proyecto).   Hacer referencia de ver anexos de perfil y plan de negocios </w:t>
      </w:r>
      <w:r>
        <w:rPr>
          <w:rStyle w:val="Refdenotaalpie"/>
          <w:rFonts w:ascii="Calibri" w:eastAsia="Calibri" w:hAnsi="Calibri"/>
          <w:i/>
          <w:iCs/>
          <w:sz w:val="22"/>
          <w:szCs w:val="22"/>
        </w:rPr>
        <w:footnoteReference w:id="76"/>
      </w:r>
    </w:p>
    <w:p w14:paraId="20D44F4E" w14:textId="77777777" w:rsidR="00DE046C" w:rsidRPr="00DE046C" w:rsidRDefault="00DE046C" w:rsidP="00DE046C">
      <w:pPr>
        <w:pStyle w:val="Ttulo1"/>
        <w:ind w:left="786"/>
        <w:rPr>
          <w:rFonts w:ascii="Calibri" w:eastAsia="Calibri" w:hAnsi="Calibri" w:cs="Calibri"/>
          <w:b/>
          <w:caps/>
          <w:color w:val="000000" w:themeColor="text1"/>
          <w:sz w:val="22"/>
          <w:szCs w:val="22"/>
        </w:rPr>
      </w:pPr>
      <w:bookmarkStart w:id="1616" w:name="_Toc202189054"/>
      <w:bookmarkStart w:id="1617" w:name="_Toc202189071"/>
      <w:r w:rsidRPr="00DE046C">
        <w:rPr>
          <w:rFonts w:ascii="Calibri" w:eastAsia="Calibri" w:hAnsi="Calibri" w:cs="Calibri"/>
          <w:b/>
          <w:color w:val="000000" w:themeColor="text1"/>
          <w:sz w:val="22"/>
          <w:szCs w:val="22"/>
        </w:rPr>
        <w:lastRenderedPageBreak/>
        <w:t>8. Matriz de identificación de Riesgos e impactos, mitigación, seguimiento</w:t>
      </w:r>
      <w:bookmarkEnd w:id="1616"/>
      <w:bookmarkEnd w:id="1617"/>
      <w:r w:rsidRPr="00DE046C">
        <w:rPr>
          <w:rStyle w:val="Refdenotaalpie"/>
          <w:rFonts w:ascii="Calibri" w:eastAsia="Calibri" w:hAnsi="Calibri"/>
          <w:b/>
          <w:color w:val="000000" w:themeColor="text1"/>
          <w:sz w:val="22"/>
          <w:szCs w:val="22"/>
        </w:rPr>
        <w:footnoteReference w:id="77"/>
      </w:r>
    </w:p>
    <w:p w14:paraId="0BF316E4" w14:textId="77777777" w:rsidR="00DE046C" w:rsidRPr="00DE046C" w:rsidRDefault="00DE046C" w:rsidP="00DE046C">
      <w:pPr>
        <w:pStyle w:val="Prrafodelista"/>
        <w:ind w:left="786"/>
        <w:rPr>
          <w:rFonts w:ascii="Calibri" w:eastAsia="Calibri" w:hAnsi="Calibri" w:cs="Calibri"/>
          <w:b/>
          <w:bCs/>
          <w:i/>
          <w:iCs/>
          <w:color w:val="2E74B5" w:themeColor="accent1" w:themeShade="BF"/>
          <w:sz w:val="22"/>
        </w:rPr>
      </w:pPr>
      <w:r w:rsidRPr="00DE046C">
        <w:rPr>
          <w:rFonts w:ascii="Calibri" w:eastAsia="Calibri" w:hAnsi="Calibri" w:cs="Calibri"/>
          <w:b/>
          <w:bCs/>
          <w:color w:val="000000" w:themeColor="text1"/>
          <w:sz w:val="22"/>
        </w:rPr>
        <w:t xml:space="preserve"> </w:t>
      </w:r>
      <w:r w:rsidRPr="00DE046C">
        <w:rPr>
          <w:rFonts w:ascii="Calibri" w:eastAsia="Calibri" w:hAnsi="Calibri" w:cs="Calibri"/>
          <w:i/>
          <w:iCs/>
          <w:color w:val="2E74B5" w:themeColor="accent1" w:themeShade="BF"/>
          <w:sz w:val="22"/>
        </w:rPr>
        <w:t>(En esta sección, en formato de matriz, se deben identificar los riesgos e impactos ambientales y sociales61 adversos específicos del subproyecto describir las medidas de mitigación destinadas a abordar estos riesgos e impactos, y enumerar las medidas de seguimiento necesarias para garantizar la implementación eficaz de las medidas de mitigación.), también hacer referencia a otros planes de mitigación requeridos para el proyecto (por ejemplo, si fuera necesario medidas de mitigación por restricciones de acceso a recursos naturales en áreas protegidas, o si se afecta el patrimonio cultural. Las medidas de mitigación y control de riesgos pueden estar agrupadas en planes específicos, hacer referencia en la matriz a dichos planes, y presentarlos como anexo del documento. (Plan de manejo de residuos, plan de manejo de agroquímicos, plan de creación de capacidades, etc.)</w:t>
      </w:r>
    </w:p>
    <w:tbl>
      <w:tblPr>
        <w:tblW w:w="134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94"/>
        <w:gridCol w:w="1174"/>
        <w:gridCol w:w="2120"/>
        <w:gridCol w:w="2264"/>
        <w:gridCol w:w="1638"/>
        <w:gridCol w:w="1289"/>
        <w:gridCol w:w="2264"/>
        <w:gridCol w:w="1638"/>
      </w:tblGrid>
      <w:tr w:rsidR="00DE046C" w:rsidRPr="008D23E5" w14:paraId="5BFDC943" w14:textId="77777777" w:rsidTr="00453510">
        <w:trPr>
          <w:trHeight w:val="264"/>
          <w:tblHeader/>
        </w:trPr>
        <w:tc>
          <w:tcPr>
            <w:tcW w:w="1094" w:type="dxa"/>
            <w:vMerge w:val="restart"/>
            <w:shd w:val="clear" w:color="auto" w:fill="D9E2F3" w:themeFill="accent5" w:themeFillTint="33"/>
            <w:vAlign w:val="center"/>
          </w:tcPr>
          <w:p w14:paraId="07C1DB1C" w14:textId="77777777" w:rsidR="00DE046C" w:rsidRPr="004116BD" w:rsidRDefault="00DE046C" w:rsidP="00453510">
            <w:pPr>
              <w:spacing w:after="0" w:line="240" w:lineRule="auto"/>
              <w:jc w:val="center"/>
              <w:rPr>
                <w:rFonts w:ascii="Calibri" w:eastAsia="Calibri" w:hAnsi="Calibri" w:cs="Calibri"/>
                <w:b/>
                <w:bCs/>
                <w:color w:val="000000" w:themeColor="text1"/>
                <w:sz w:val="22"/>
              </w:rPr>
            </w:pPr>
            <w:r w:rsidRPr="004116BD">
              <w:rPr>
                <w:rFonts w:ascii="Calibri" w:eastAsia="Calibri" w:hAnsi="Calibri" w:cs="Calibri"/>
                <w:b/>
                <w:bCs/>
                <w:color w:val="000000" w:themeColor="text1"/>
                <w:sz w:val="22"/>
              </w:rPr>
              <w:t xml:space="preserve">Estándar Ambiental o Socios </w:t>
            </w:r>
          </w:p>
        </w:tc>
        <w:tc>
          <w:tcPr>
            <w:tcW w:w="1174" w:type="dxa"/>
            <w:vMerge w:val="restart"/>
            <w:shd w:val="clear" w:color="auto" w:fill="D9E2F3" w:themeFill="accent5" w:themeFillTint="33"/>
            <w:noWrap/>
            <w:vAlign w:val="center"/>
            <w:hideMark/>
          </w:tcPr>
          <w:p w14:paraId="32FF7014" w14:textId="77777777" w:rsidR="00DE046C" w:rsidRDefault="00DE046C" w:rsidP="00453510">
            <w:pPr>
              <w:spacing w:after="0" w:line="240" w:lineRule="auto"/>
              <w:rPr>
                <w:rFonts w:ascii="Calibri" w:eastAsia="Calibri" w:hAnsi="Calibri" w:cs="Calibri"/>
                <w:b/>
                <w:bCs/>
                <w:color w:val="000000" w:themeColor="text1"/>
                <w:sz w:val="22"/>
              </w:rPr>
            </w:pPr>
            <w:r w:rsidRPr="004116BD">
              <w:rPr>
                <w:rFonts w:ascii="Calibri" w:eastAsia="Calibri" w:hAnsi="Calibri" w:cs="Calibri"/>
                <w:b/>
                <w:bCs/>
                <w:color w:val="000000" w:themeColor="text1"/>
                <w:sz w:val="22"/>
              </w:rPr>
              <w:t>Aspecto</w:t>
            </w:r>
          </w:p>
          <w:p w14:paraId="0C7B7DDE" w14:textId="77777777" w:rsidR="00DE046C" w:rsidRPr="004116BD" w:rsidRDefault="00DE046C" w:rsidP="00453510">
            <w:pPr>
              <w:spacing w:after="0" w:line="240" w:lineRule="auto"/>
              <w:rPr>
                <w:rFonts w:ascii="Calibri" w:eastAsia="Calibri" w:hAnsi="Calibri" w:cs="Calibri"/>
                <w:b/>
                <w:bCs/>
                <w:color w:val="000000" w:themeColor="text1"/>
                <w:sz w:val="22"/>
              </w:rPr>
            </w:pPr>
            <w:r>
              <w:rPr>
                <w:rFonts w:ascii="Calibri" w:eastAsia="Calibri" w:hAnsi="Calibri" w:cs="Calibri"/>
                <w:b/>
                <w:bCs/>
                <w:color w:val="000000" w:themeColor="text1"/>
                <w:sz w:val="22"/>
              </w:rPr>
              <w:t xml:space="preserve">(Ambiental o Social) </w:t>
            </w:r>
          </w:p>
        </w:tc>
        <w:tc>
          <w:tcPr>
            <w:tcW w:w="2120" w:type="dxa"/>
            <w:vMerge w:val="restart"/>
            <w:shd w:val="clear" w:color="auto" w:fill="D9E2F3" w:themeFill="accent5" w:themeFillTint="33"/>
            <w:vAlign w:val="center"/>
            <w:hideMark/>
          </w:tcPr>
          <w:p w14:paraId="789875E0" w14:textId="77777777" w:rsidR="00DE046C" w:rsidRPr="004116BD" w:rsidRDefault="00DE046C" w:rsidP="00453510">
            <w:pPr>
              <w:spacing w:after="0" w:line="240" w:lineRule="auto"/>
              <w:rPr>
                <w:rFonts w:ascii="Calibri" w:eastAsia="Calibri" w:hAnsi="Calibri" w:cs="Calibri"/>
                <w:b/>
                <w:bCs/>
                <w:color w:val="000000" w:themeColor="text1"/>
                <w:sz w:val="22"/>
              </w:rPr>
            </w:pPr>
            <w:r w:rsidRPr="004116BD">
              <w:rPr>
                <w:rFonts w:ascii="Calibri" w:eastAsia="Calibri" w:hAnsi="Calibri" w:cs="Calibri"/>
                <w:b/>
                <w:bCs/>
                <w:color w:val="000000" w:themeColor="text1"/>
                <w:sz w:val="22"/>
              </w:rPr>
              <w:t xml:space="preserve">Riesgos e impactos ambientales y sociales previstos </w:t>
            </w:r>
          </w:p>
        </w:tc>
        <w:tc>
          <w:tcPr>
            <w:tcW w:w="2264" w:type="dxa"/>
            <w:vMerge w:val="restart"/>
            <w:shd w:val="clear" w:color="auto" w:fill="D9E2F3" w:themeFill="accent5" w:themeFillTint="33"/>
            <w:vAlign w:val="center"/>
            <w:hideMark/>
          </w:tcPr>
          <w:p w14:paraId="0BEF167A" w14:textId="77777777" w:rsidR="00DE046C" w:rsidRPr="004116BD" w:rsidRDefault="00DE046C" w:rsidP="00453510">
            <w:pPr>
              <w:spacing w:after="0" w:line="240" w:lineRule="auto"/>
              <w:rPr>
                <w:rFonts w:ascii="Calibri" w:eastAsia="Calibri" w:hAnsi="Calibri" w:cs="Calibri"/>
                <w:b/>
                <w:bCs/>
                <w:color w:val="000000" w:themeColor="text1"/>
                <w:sz w:val="22"/>
              </w:rPr>
            </w:pPr>
            <w:r w:rsidRPr="004116BD">
              <w:rPr>
                <w:rFonts w:ascii="Calibri" w:eastAsia="Calibri" w:hAnsi="Calibri" w:cs="Calibri"/>
                <w:b/>
                <w:bCs/>
                <w:color w:val="000000" w:themeColor="text1"/>
                <w:sz w:val="22"/>
              </w:rPr>
              <w:t>Medidas para evitar, minimizar o mitigar el impacto</w:t>
            </w:r>
          </w:p>
        </w:tc>
        <w:tc>
          <w:tcPr>
            <w:tcW w:w="6829" w:type="dxa"/>
            <w:gridSpan w:val="4"/>
            <w:shd w:val="clear" w:color="auto" w:fill="D9E2F3" w:themeFill="accent5" w:themeFillTint="33"/>
            <w:vAlign w:val="center"/>
            <w:hideMark/>
          </w:tcPr>
          <w:p w14:paraId="6E3E02C9" w14:textId="77777777" w:rsidR="00DE046C" w:rsidRPr="004116BD" w:rsidRDefault="00DE046C" w:rsidP="00453510">
            <w:pPr>
              <w:spacing w:after="0" w:line="240" w:lineRule="auto"/>
              <w:jc w:val="center"/>
              <w:rPr>
                <w:rFonts w:ascii="Calibri" w:eastAsia="Calibri" w:hAnsi="Calibri" w:cs="Calibri"/>
                <w:b/>
                <w:bCs/>
                <w:color w:val="000000" w:themeColor="text1"/>
                <w:sz w:val="22"/>
              </w:rPr>
            </w:pPr>
            <w:r w:rsidRPr="004116BD">
              <w:rPr>
                <w:rFonts w:ascii="Calibri" w:eastAsia="Calibri" w:hAnsi="Calibri" w:cs="Calibri"/>
                <w:b/>
                <w:bCs/>
                <w:color w:val="000000" w:themeColor="text1"/>
                <w:sz w:val="22"/>
              </w:rPr>
              <w:t>Seguimiento de las medidas</w:t>
            </w:r>
          </w:p>
        </w:tc>
      </w:tr>
      <w:tr w:rsidR="00DE046C" w:rsidRPr="008D23E5" w14:paraId="2163381F" w14:textId="77777777" w:rsidTr="00453510">
        <w:trPr>
          <w:trHeight w:val="1343"/>
          <w:tblHeader/>
        </w:trPr>
        <w:tc>
          <w:tcPr>
            <w:tcW w:w="1094" w:type="dxa"/>
            <w:vMerge/>
            <w:shd w:val="clear" w:color="auto" w:fill="D9E2F3" w:themeFill="accent5" w:themeFillTint="33"/>
          </w:tcPr>
          <w:p w14:paraId="321EED14" w14:textId="77777777" w:rsidR="00DE046C" w:rsidRPr="004116BD" w:rsidRDefault="00DE046C" w:rsidP="00453510">
            <w:pPr>
              <w:spacing w:after="0" w:line="240" w:lineRule="auto"/>
              <w:rPr>
                <w:rFonts w:ascii="Calibri" w:eastAsia="Calibri" w:hAnsi="Calibri" w:cs="Calibri"/>
                <w:b/>
                <w:bCs/>
                <w:color w:val="000000" w:themeColor="text1"/>
                <w:sz w:val="22"/>
              </w:rPr>
            </w:pPr>
          </w:p>
        </w:tc>
        <w:tc>
          <w:tcPr>
            <w:tcW w:w="1174" w:type="dxa"/>
            <w:vMerge/>
            <w:shd w:val="clear" w:color="auto" w:fill="D9E2F3" w:themeFill="accent5" w:themeFillTint="33"/>
            <w:vAlign w:val="center"/>
            <w:hideMark/>
          </w:tcPr>
          <w:p w14:paraId="6779D4A8" w14:textId="77777777" w:rsidR="00DE046C" w:rsidRPr="004116BD" w:rsidRDefault="00DE046C" w:rsidP="00453510">
            <w:pPr>
              <w:spacing w:after="0" w:line="240" w:lineRule="auto"/>
              <w:rPr>
                <w:rFonts w:ascii="Calibri" w:eastAsia="Calibri" w:hAnsi="Calibri" w:cs="Calibri"/>
                <w:b/>
                <w:bCs/>
                <w:color w:val="000000" w:themeColor="text1"/>
                <w:sz w:val="22"/>
              </w:rPr>
            </w:pPr>
          </w:p>
        </w:tc>
        <w:tc>
          <w:tcPr>
            <w:tcW w:w="2120" w:type="dxa"/>
            <w:vMerge/>
            <w:shd w:val="clear" w:color="auto" w:fill="D9E2F3" w:themeFill="accent5" w:themeFillTint="33"/>
            <w:vAlign w:val="center"/>
            <w:hideMark/>
          </w:tcPr>
          <w:p w14:paraId="47E01A4E" w14:textId="77777777" w:rsidR="00DE046C" w:rsidRPr="004116BD" w:rsidRDefault="00DE046C" w:rsidP="00453510">
            <w:pPr>
              <w:spacing w:after="0" w:line="240" w:lineRule="auto"/>
              <w:rPr>
                <w:rFonts w:ascii="Calibri" w:eastAsia="Calibri" w:hAnsi="Calibri" w:cs="Calibri"/>
                <w:b/>
                <w:bCs/>
                <w:color w:val="000000" w:themeColor="text1"/>
                <w:sz w:val="22"/>
              </w:rPr>
            </w:pPr>
          </w:p>
        </w:tc>
        <w:tc>
          <w:tcPr>
            <w:tcW w:w="2264" w:type="dxa"/>
            <w:vMerge/>
            <w:shd w:val="clear" w:color="auto" w:fill="D9E2F3" w:themeFill="accent5" w:themeFillTint="33"/>
            <w:vAlign w:val="center"/>
            <w:hideMark/>
          </w:tcPr>
          <w:p w14:paraId="7B5E040A" w14:textId="77777777" w:rsidR="00DE046C" w:rsidRPr="004116BD" w:rsidRDefault="00DE046C" w:rsidP="00453510">
            <w:pPr>
              <w:spacing w:after="0" w:line="240" w:lineRule="auto"/>
              <w:rPr>
                <w:rFonts w:ascii="Calibri" w:eastAsia="Calibri" w:hAnsi="Calibri" w:cs="Calibri"/>
                <w:b/>
                <w:bCs/>
                <w:color w:val="000000" w:themeColor="text1"/>
                <w:sz w:val="22"/>
              </w:rPr>
            </w:pPr>
          </w:p>
        </w:tc>
        <w:tc>
          <w:tcPr>
            <w:tcW w:w="1638" w:type="dxa"/>
            <w:shd w:val="clear" w:color="auto" w:fill="D9E2F3" w:themeFill="accent5" w:themeFillTint="33"/>
            <w:vAlign w:val="center"/>
            <w:hideMark/>
          </w:tcPr>
          <w:p w14:paraId="60CDEE70" w14:textId="77777777" w:rsidR="00DE046C" w:rsidRPr="004116BD" w:rsidRDefault="00DE046C" w:rsidP="00453510">
            <w:pPr>
              <w:spacing w:after="0" w:line="240" w:lineRule="auto"/>
              <w:jc w:val="center"/>
              <w:rPr>
                <w:rFonts w:ascii="Calibri" w:eastAsia="Calibri" w:hAnsi="Calibri" w:cs="Calibri"/>
                <w:b/>
                <w:bCs/>
                <w:color w:val="000000" w:themeColor="text1"/>
                <w:sz w:val="22"/>
              </w:rPr>
            </w:pPr>
            <w:r w:rsidRPr="004116BD">
              <w:rPr>
                <w:rFonts w:ascii="Calibri" w:eastAsia="Calibri" w:hAnsi="Calibri" w:cs="Calibri"/>
                <w:b/>
                <w:bCs/>
                <w:color w:val="000000" w:themeColor="text1"/>
                <w:sz w:val="22"/>
              </w:rPr>
              <w:t>Responsabilidad</w:t>
            </w:r>
          </w:p>
        </w:tc>
        <w:tc>
          <w:tcPr>
            <w:tcW w:w="0" w:type="auto"/>
            <w:shd w:val="clear" w:color="auto" w:fill="D9E2F3" w:themeFill="accent5" w:themeFillTint="33"/>
            <w:vAlign w:val="center"/>
            <w:hideMark/>
          </w:tcPr>
          <w:p w14:paraId="574133CD" w14:textId="77777777" w:rsidR="00DE046C" w:rsidRPr="004116BD" w:rsidRDefault="00DE046C" w:rsidP="00453510">
            <w:pPr>
              <w:spacing w:after="0" w:line="240" w:lineRule="auto"/>
              <w:jc w:val="center"/>
              <w:rPr>
                <w:rFonts w:ascii="Calibri" w:eastAsia="Calibri" w:hAnsi="Calibri" w:cs="Calibri"/>
                <w:b/>
                <w:bCs/>
                <w:color w:val="000000" w:themeColor="text1"/>
                <w:sz w:val="22"/>
              </w:rPr>
            </w:pPr>
            <w:r w:rsidRPr="004116BD">
              <w:rPr>
                <w:rFonts w:ascii="Calibri" w:eastAsia="Calibri" w:hAnsi="Calibri" w:cs="Calibri"/>
                <w:b/>
                <w:bCs/>
                <w:color w:val="000000" w:themeColor="text1"/>
                <w:sz w:val="22"/>
              </w:rPr>
              <w:t>Parámetro que se monitoreará</w:t>
            </w:r>
          </w:p>
        </w:tc>
        <w:tc>
          <w:tcPr>
            <w:tcW w:w="2264" w:type="dxa"/>
            <w:shd w:val="clear" w:color="auto" w:fill="D9E2F3" w:themeFill="accent5" w:themeFillTint="33"/>
            <w:vAlign w:val="center"/>
            <w:hideMark/>
          </w:tcPr>
          <w:p w14:paraId="7B6D15A3" w14:textId="77777777" w:rsidR="00DE046C" w:rsidRPr="004116BD" w:rsidRDefault="00DE046C" w:rsidP="00453510">
            <w:pPr>
              <w:spacing w:after="0" w:line="240" w:lineRule="auto"/>
              <w:jc w:val="center"/>
              <w:rPr>
                <w:rFonts w:ascii="Calibri" w:eastAsia="Calibri" w:hAnsi="Calibri" w:cs="Calibri"/>
                <w:b/>
                <w:bCs/>
                <w:color w:val="000000" w:themeColor="text1"/>
                <w:sz w:val="22"/>
              </w:rPr>
            </w:pPr>
            <w:r w:rsidRPr="004116BD">
              <w:rPr>
                <w:rFonts w:ascii="Calibri" w:eastAsia="Calibri" w:hAnsi="Calibri" w:cs="Calibri"/>
                <w:b/>
                <w:bCs/>
                <w:color w:val="000000" w:themeColor="text1"/>
                <w:sz w:val="22"/>
              </w:rPr>
              <w:t>Metodología, incluidas la ubicación y la frecuencia</w:t>
            </w:r>
          </w:p>
        </w:tc>
        <w:tc>
          <w:tcPr>
            <w:tcW w:w="1638" w:type="dxa"/>
            <w:shd w:val="clear" w:color="auto" w:fill="D9E2F3" w:themeFill="accent5" w:themeFillTint="33"/>
            <w:vAlign w:val="center"/>
            <w:hideMark/>
          </w:tcPr>
          <w:p w14:paraId="22E40A13" w14:textId="77777777" w:rsidR="00DE046C" w:rsidRPr="004116BD" w:rsidRDefault="00DE046C" w:rsidP="00453510">
            <w:pPr>
              <w:spacing w:after="0" w:line="240" w:lineRule="auto"/>
              <w:jc w:val="center"/>
              <w:rPr>
                <w:rFonts w:ascii="Calibri" w:eastAsia="Calibri" w:hAnsi="Calibri" w:cs="Calibri"/>
                <w:b/>
                <w:bCs/>
                <w:color w:val="000000" w:themeColor="text1"/>
                <w:sz w:val="22"/>
              </w:rPr>
            </w:pPr>
            <w:r w:rsidRPr="004116BD">
              <w:rPr>
                <w:rFonts w:ascii="Calibri" w:eastAsia="Calibri" w:hAnsi="Calibri" w:cs="Calibri"/>
                <w:b/>
                <w:bCs/>
                <w:color w:val="000000" w:themeColor="text1"/>
                <w:sz w:val="22"/>
              </w:rPr>
              <w:t>Responsabilidad</w:t>
            </w:r>
          </w:p>
        </w:tc>
      </w:tr>
      <w:tr w:rsidR="00DE046C" w:rsidRPr="008D23E5" w14:paraId="59848A76" w14:textId="77777777" w:rsidTr="00453510">
        <w:trPr>
          <w:trHeight w:val="358"/>
        </w:trPr>
        <w:tc>
          <w:tcPr>
            <w:tcW w:w="1094" w:type="dxa"/>
          </w:tcPr>
          <w:p w14:paraId="766CC018" w14:textId="77777777" w:rsidR="00DE046C" w:rsidRPr="008D23E5" w:rsidRDefault="00DE046C" w:rsidP="00453510">
            <w:pPr>
              <w:spacing w:after="0" w:line="240" w:lineRule="auto"/>
              <w:rPr>
                <w:rFonts w:eastAsia="Times New Roman" w:cs="Arial"/>
                <w:color w:val="000000"/>
                <w:sz w:val="22"/>
                <w:lang w:val="es-MX" w:eastAsia="es-MX"/>
              </w:rPr>
            </w:pPr>
          </w:p>
        </w:tc>
        <w:tc>
          <w:tcPr>
            <w:tcW w:w="1174" w:type="dxa"/>
            <w:shd w:val="clear" w:color="auto" w:fill="auto"/>
            <w:noWrap/>
            <w:vAlign w:val="bottom"/>
          </w:tcPr>
          <w:p w14:paraId="451259D2" w14:textId="77777777" w:rsidR="00DE046C" w:rsidRPr="008D23E5" w:rsidRDefault="00DE046C" w:rsidP="00453510">
            <w:pPr>
              <w:spacing w:after="0" w:line="240" w:lineRule="auto"/>
              <w:rPr>
                <w:rFonts w:eastAsia="Times New Roman" w:cs="Arial"/>
                <w:color w:val="000000"/>
                <w:sz w:val="22"/>
                <w:lang w:val="es-MX" w:eastAsia="es-MX"/>
              </w:rPr>
            </w:pPr>
          </w:p>
        </w:tc>
        <w:tc>
          <w:tcPr>
            <w:tcW w:w="2120" w:type="dxa"/>
            <w:shd w:val="clear" w:color="auto" w:fill="auto"/>
            <w:vAlign w:val="center"/>
          </w:tcPr>
          <w:p w14:paraId="6C0CA5ED" w14:textId="77777777" w:rsidR="00DE046C" w:rsidRPr="008D23E5" w:rsidRDefault="00DE046C" w:rsidP="00453510">
            <w:pPr>
              <w:spacing w:after="0" w:line="240" w:lineRule="auto"/>
              <w:rPr>
                <w:rFonts w:ascii="Calibri" w:eastAsia="Times New Roman" w:hAnsi="Calibri" w:cs="Calibri"/>
                <w:color w:val="000000"/>
                <w:sz w:val="22"/>
                <w:lang w:val="es-MX" w:eastAsia="es-MX"/>
              </w:rPr>
            </w:pPr>
          </w:p>
        </w:tc>
        <w:tc>
          <w:tcPr>
            <w:tcW w:w="2264" w:type="dxa"/>
            <w:shd w:val="clear" w:color="auto" w:fill="auto"/>
            <w:vAlign w:val="center"/>
          </w:tcPr>
          <w:p w14:paraId="3C4670BB" w14:textId="77777777" w:rsidR="00DE046C" w:rsidRPr="008D23E5" w:rsidRDefault="00DE046C" w:rsidP="00453510">
            <w:pPr>
              <w:spacing w:after="0" w:line="240" w:lineRule="auto"/>
              <w:rPr>
                <w:rFonts w:ascii="Calibri" w:eastAsia="Times New Roman" w:hAnsi="Calibri" w:cs="Calibri"/>
                <w:color w:val="000000"/>
                <w:sz w:val="22"/>
                <w:lang w:val="es-MX" w:eastAsia="es-MX"/>
              </w:rPr>
            </w:pPr>
          </w:p>
        </w:tc>
        <w:tc>
          <w:tcPr>
            <w:tcW w:w="1638" w:type="dxa"/>
            <w:shd w:val="clear" w:color="auto" w:fill="auto"/>
            <w:noWrap/>
            <w:vAlign w:val="bottom"/>
          </w:tcPr>
          <w:p w14:paraId="755F84AE" w14:textId="77777777" w:rsidR="00DE046C" w:rsidRPr="008D23E5" w:rsidRDefault="00DE046C" w:rsidP="00453510">
            <w:pPr>
              <w:spacing w:after="0" w:line="240" w:lineRule="auto"/>
              <w:rPr>
                <w:rFonts w:eastAsia="Times New Roman" w:cs="Arial"/>
                <w:color w:val="000000"/>
                <w:sz w:val="22"/>
                <w:lang w:val="es-MX" w:eastAsia="es-MX"/>
              </w:rPr>
            </w:pPr>
          </w:p>
        </w:tc>
        <w:tc>
          <w:tcPr>
            <w:tcW w:w="0" w:type="auto"/>
            <w:shd w:val="clear" w:color="auto" w:fill="auto"/>
            <w:noWrap/>
            <w:vAlign w:val="bottom"/>
          </w:tcPr>
          <w:p w14:paraId="6C7203BD" w14:textId="77777777" w:rsidR="00DE046C" w:rsidRPr="008D23E5" w:rsidRDefault="00DE046C" w:rsidP="00453510">
            <w:pPr>
              <w:spacing w:after="0" w:line="240" w:lineRule="auto"/>
              <w:rPr>
                <w:rFonts w:eastAsia="Times New Roman" w:cs="Arial"/>
                <w:color w:val="000000"/>
                <w:sz w:val="22"/>
                <w:lang w:val="es-MX" w:eastAsia="es-MX"/>
              </w:rPr>
            </w:pPr>
          </w:p>
        </w:tc>
        <w:tc>
          <w:tcPr>
            <w:tcW w:w="2264" w:type="dxa"/>
            <w:shd w:val="clear" w:color="auto" w:fill="auto"/>
            <w:noWrap/>
            <w:vAlign w:val="bottom"/>
          </w:tcPr>
          <w:p w14:paraId="6D0665AA" w14:textId="77777777" w:rsidR="00DE046C" w:rsidRPr="008D23E5" w:rsidRDefault="00DE046C" w:rsidP="00453510">
            <w:pPr>
              <w:spacing w:after="0" w:line="240" w:lineRule="auto"/>
              <w:rPr>
                <w:rFonts w:eastAsia="Times New Roman" w:cs="Arial"/>
                <w:color w:val="000000"/>
                <w:sz w:val="22"/>
                <w:lang w:val="es-MX" w:eastAsia="es-MX"/>
              </w:rPr>
            </w:pPr>
          </w:p>
        </w:tc>
        <w:tc>
          <w:tcPr>
            <w:tcW w:w="1638" w:type="dxa"/>
            <w:shd w:val="clear" w:color="auto" w:fill="auto"/>
            <w:noWrap/>
            <w:vAlign w:val="bottom"/>
          </w:tcPr>
          <w:p w14:paraId="29771C47" w14:textId="77777777" w:rsidR="00DE046C" w:rsidRPr="008D23E5" w:rsidRDefault="00DE046C" w:rsidP="00453510">
            <w:pPr>
              <w:spacing w:after="0" w:line="240" w:lineRule="auto"/>
              <w:rPr>
                <w:rFonts w:eastAsia="Times New Roman" w:cs="Arial"/>
                <w:color w:val="000000"/>
                <w:sz w:val="22"/>
                <w:lang w:val="es-MX" w:eastAsia="es-MX"/>
              </w:rPr>
            </w:pPr>
          </w:p>
        </w:tc>
      </w:tr>
      <w:tr w:rsidR="00DE046C" w:rsidRPr="008D23E5" w14:paraId="67305CD7" w14:textId="77777777" w:rsidTr="00453510">
        <w:trPr>
          <w:trHeight w:val="390"/>
        </w:trPr>
        <w:tc>
          <w:tcPr>
            <w:tcW w:w="1094" w:type="dxa"/>
          </w:tcPr>
          <w:p w14:paraId="4CC0B353" w14:textId="77777777" w:rsidR="00DE046C" w:rsidRPr="008D23E5" w:rsidRDefault="00DE046C" w:rsidP="00453510">
            <w:pPr>
              <w:spacing w:after="0" w:line="240" w:lineRule="auto"/>
              <w:rPr>
                <w:rFonts w:eastAsia="Times New Roman" w:cs="Arial"/>
                <w:color w:val="000000"/>
                <w:sz w:val="22"/>
                <w:lang w:val="es-MX" w:eastAsia="es-MX"/>
              </w:rPr>
            </w:pPr>
          </w:p>
        </w:tc>
        <w:tc>
          <w:tcPr>
            <w:tcW w:w="1174" w:type="dxa"/>
            <w:shd w:val="clear" w:color="auto" w:fill="auto"/>
            <w:noWrap/>
            <w:vAlign w:val="bottom"/>
          </w:tcPr>
          <w:p w14:paraId="17AC448E" w14:textId="77777777" w:rsidR="00DE046C" w:rsidRPr="008D23E5" w:rsidRDefault="00DE046C" w:rsidP="00453510">
            <w:pPr>
              <w:spacing w:after="0" w:line="240" w:lineRule="auto"/>
              <w:rPr>
                <w:rFonts w:eastAsia="Times New Roman" w:cs="Arial"/>
                <w:color w:val="000000"/>
                <w:sz w:val="22"/>
                <w:lang w:val="es-MX" w:eastAsia="es-MX"/>
              </w:rPr>
            </w:pPr>
          </w:p>
        </w:tc>
        <w:tc>
          <w:tcPr>
            <w:tcW w:w="2120" w:type="dxa"/>
            <w:shd w:val="clear" w:color="auto" w:fill="auto"/>
            <w:vAlign w:val="center"/>
          </w:tcPr>
          <w:p w14:paraId="46CEC76A" w14:textId="77777777" w:rsidR="00DE046C" w:rsidRPr="008D23E5" w:rsidRDefault="00DE046C" w:rsidP="00453510">
            <w:pPr>
              <w:spacing w:after="0" w:line="240" w:lineRule="auto"/>
              <w:rPr>
                <w:rFonts w:ascii="Calibri" w:eastAsia="Times New Roman" w:hAnsi="Calibri" w:cs="Calibri"/>
                <w:color w:val="000000"/>
                <w:sz w:val="22"/>
                <w:lang w:val="es-MX" w:eastAsia="es-MX"/>
              </w:rPr>
            </w:pPr>
          </w:p>
        </w:tc>
        <w:tc>
          <w:tcPr>
            <w:tcW w:w="2264" w:type="dxa"/>
            <w:shd w:val="clear" w:color="auto" w:fill="auto"/>
            <w:vAlign w:val="center"/>
          </w:tcPr>
          <w:p w14:paraId="05C50075" w14:textId="77777777" w:rsidR="00DE046C" w:rsidRPr="008D23E5" w:rsidRDefault="00DE046C" w:rsidP="00453510">
            <w:pPr>
              <w:spacing w:after="0" w:line="240" w:lineRule="auto"/>
              <w:rPr>
                <w:rFonts w:ascii="Calibri" w:eastAsia="Times New Roman" w:hAnsi="Calibri" w:cs="Calibri"/>
                <w:color w:val="000000"/>
                <w:sz w:val="22"/>
                <w:lang w:val="es-MX" w:eastAsia="es-MX"/>
              </w:rPr>
            </w:pPr>
          </w:p>
        </w:tc>
        <w:tc>
          <w:tcPr>
            <w:tcW w:w="1638" w:type="dxa"/>
            <w:shd w:val="clear" w:color="auto" w:fill="auto"/>
            <w:noWrap/>
            <w:vAlign w:val="bottom"/>
          </w:tcPr>
          <w:p w14:paraId="71AF3EE6" w14:textId="77777777" w:rsidR="00DE046C" w:rsidRPr="008D23E5" w:rsidRDefault="00DE046C" w:rsidP="00453510">
            <w:pPr>
              <w:spacing w:after="0" w:line="240" w:lineRule="auto"/>
              <w:rPr>
                <w:rFonts w:eastAsia="Times New Roman" w:cs="Arial"/>
                <w:color w:val="000000"/>
                <w:sz w:val="22"/>
                <w:lang w:val="es-MX" w:eastAsia="es-MX"/>
              </w:rPr>
            </w:pPr>
          </w:p>
        </w:tc>
        <w:tc>
          <w:tcPr>
            <w:tcW w:w="0" w:type="auto"/>
            <w:shd w:val="clear" w:color="auto" w:fill="auto"/>
            <w:noWrap/>
            <w:vAlign w:val="bottom"/>
          </w:tcPr>
          <w:p w14:paraId="6B0CF8CF" w14:textId="77777777" w:rsidR="00DE046C" w:rsidRPr="008D23E5" w:rsidRDefault="00DE046C" w:rsidP="00453510">
            <w:pPr>
              <w:spacing w:after="0" w:line="240" w:lineRule="auto"/>
              <w:rPr>
                <w:rFonts w:eastAsia="Times New Roman" w:cs="Arial"/>
                <w:color w:val="000000"/>
                <w:sz w:val="22"/>
                <w:lang w:val="es-MX" w:eastAsia="es-MX"/>
              </w:rPr>
            </w:pPr>
          </w:p>
        </w:tc>
        <w:tc>
          <w:tcPr>
            <w:tcW w:w="2264" w:type="dxa"/>
            <w:shd w:val="clear" w:color="auto" w:fill="auto"/>
            <w:noWrap/>
            <w:vAlign w:val="bottom"/>
          </w:tcPr>
          <w:p w14:paraId="6BB215C2" w14:textId="77777777" w:rsidR="00DE046C" w:rsidRPr="008D23E5" w:rsidRDefault="00DE046C" w:rsidP="00453510">
            <w:pPr>
              <w:spacing w:after="0" w:line="240" w:lineRule="auto"/>
              <w:rPr>
                <w:rFonts w:eastAsia="Times New Roman" w:cs="Arial"/>
                <w:color w:val="000000"/>
                <w:sz w:val="22"/>
                <w:lang w:val="es-MX" w:eastAsia="es-MX"/>
              </w:rPr>
            </w:pPr>
          </w:p>
        </w:tc>
        <w:tc>
          <w:tcPr>
            <w:tcW w:w="1638" w:type="dxa"/>
            <w:shd w:val="clear" w:color="auto" w:fill="auto"/>
            <w:noWrap/>
            <w:vAlign w:val="bottom"/>
          </w:tcPr>
          <w:p w14:paraId="29F9975C" w14:textId="77777777" w:rsidR="00DE046C" w:rsidRPr="008D23E5" w:rsidRDefault="00DE046C" w:rsidP="00453510">
            <w:pPr>
              <w:spacing w:after="0" w:line="240" w:lineRule="auto"/>
              <w:rPr>
                <w:rFonts w:eastAsia="Times New Roman" w:cs="Arial"/>
                <w:color w:val="000000"/>
                <w:sz w:val="22"/>
                <w:lang w:val="es-MX" w:eastAsia="es-MX"/>
              </w:rPr>
            </w:pPr>
          </w:p>
        </w:tc>
      </w:tr>
      <w:tr w:rsidR="00DE046C" w:rsidRPr="008D23E5" w14:paraId="6CF6875B" w14:textId="77777777" w:rsidTr="00453510">
        <w:trPr>
          <w:trHeight w:val="390"/>
        </w:trPr>
        <w:tc>
          <w:tcPr>
            <w:tcW w:w="1094" w:type="dxa"/>
          </w:tcPr>
          <w:p w14:paraId="45669BB1" w14:textId="77777777" w:rsidR="00DE046C" w:rsidRPr="008D23E5" w:rsidRDefault="00DE046C" w:rsidP="00453510">
            <w:pPr>
              <w:spacing w:after="0" w:line="240" w:lineRule="auto"/>
              <w:rPr>
                <w:rFonts w:eastAsia="Times New Roman" w:cs="Arial"/>
                <w:color w:val="000000"/>
                <w:sz w:val="22"/>
                <w:lang w:val="es-MX" w:eastAsia="es-MX"/>
              </w:rPr>
            </w:pPr>
          </w:p>
        </w:tc>
        <w:tc>
          <w:tcPr>
            <w:tcW w:w="1174" w:type="dxa"/>
            <w:shd w:val="clear" w:color="auto" w:fill="auto"/>
            <w:noWrap/>
            <w:vAlign w:val="bottom"/>
          </w:tcPr>
          <w:p w14:paraId="0C6FAB3F" w14:textId="77777777" w:rsidR="00DE046C" w:rsidRPr="008D23E5" w:rsidRDefault="00DE046C" w:rsidP="00453510">
            <w:pPr>
              <w:spacing w:after="0" w:line="240" w:lineRule="auto"/>
              <w:rPr>
                <w:rFonts w:eastAsia="Times New Roman" w:cs="Arial"/>
                <w:color w:val="000000"/>
                <w:sz w:val="22"/>
                <w:lang w:val="es-MX" w:eastAsia="es-MX"/>
              </w:rPr>
            </w:pPr>
          </w:p>
        </w:tc>
        <w:tc>
          <w:tcPr>
            <w:tcW w:w="2120" w:type="dxa"/>
            <w:shd w:val="clear" w:color="auto" w:fill="auto"/>
            <w:vAlign w:val="center"/>
          </w:tcPr>
          <w:p w14:paraId="3309507A" w14:textId="77777777" w:rsidR="00DE046C" w:rsidRPr="008D23E5" w:rsidRDefault="00DE046C" w:rsidP="00453510">
            <w:pPr>
              <w:spacing w:after="0" w:line="240" w:lineRule="auto"/>
              <w:rPr>
                <w:rFonts w:ascii="Calibri" w:eastAsia="Times New Roman" w:hAnsi="Calibri" w:cs="Calibri"/>
                <w:color w:val="000000"/>
                <w:sz w:val="22"/>
                <w:lang w:val="es-MX" w:eastAsia="es-MX"/>
              </w:rPr>
            </w:pPr>
          </w:p>
        </w:tc>
        <w:tc>
          <w:tcPr>
            <w:tcW w:w="2264" w:type="dxa"/>
            <w:shd w:val="clear" w:color="auto" w:fill="auto"/>
            <w:vAlign w:val="center"/>
          </w:tcPr>
          <w:p w14:paraId="076121D4" w14:textId="77777777" w:rsidR="00DE046C" w:rsidRPr="008D23E5" w:rsidRDefault="00DE046C" w:rsidP="00453510">
            <w:pPr>
              <w:spacing w:after="0" w:line="240" w:lineRule="auto"/>
              <w:rPr>
                <w:rFonts w:ascii="Calibri" w:eastAsia="Times New Roman" w:hAnsi="Calibri" w:cs="Calibri"/>
                <w:color w:val="000000"/>
                <w:sz w:val="22"/>
                <w:lang w:val="es-MX" w:eastAsia="es-MX"/>
              </w:rPr>
            </w:pPr>
          </w:p>
        </w:tc>
        <w:tc>
          <w:tcPr>
            <w:tcW w:w="1638" w:type="dxa"/>
            <w:shd w:val="clear" w:color="auto" w:fill="auto"/>
            <w:noWrap/>
            <w:vAlign w:val="bottom"/>
          </w:tcPr>
          <w:p w14:paraId="345B7CC3" w14:textId="77777777" w:rsidR="00DE046C" w:rsidRPr="008D23E5" w:rsidRDefault="00DE046C" w:rsidP="00453510">
            <w:pPr>
              <w:spacing w:after="0" w:line="240" w:lineRule="auto"/>
              <w:rPr>
                <w:rFonts w:eastAsia="Times New Roman" w:cs="Arial"/>
                <w:color w:val="000000"/>
                <w:sz w:val="22"/>
                <w:lang w:val="es-MX" w:eastAsia="es-MX"/>
              </w:rPr>
            </w:pPr>
          </w:p>
        </w:tc>
        <w:tc>
          <w:tcPr>
            <w:tcW w:w="0" w:type="auto"/>
            <w:shd w:val="clear" w:color="auto" w:fill="auto"/>
            <w:noWrap/>
            <w:vAlign w:val="bottom"/>
          </w:tcPr>
          <w:p w14:paraId="34CE07E7" w14:textId="77777777" w:rsidR="00DE046C" w:rsidRPr="008D23E5" w:rsidRDefault="00DE046C" w:rsidP="00453510">
            <w:pPr>
              <w:spacing w:after="0" w:line="240" w:lineRule="auto"/>
              <w:rPr>
                <w:rFonts w:eastAsia="Times New Roman" w:cs="Arial"/>
                <w:color w:val="000000"/>
                <w:sz w:val="22"/>
                <w:lang w:val="es-MX" w:eastAsia="es-MX"/>
              </w:rPr>
            </w:pPr>
          </w:p>
        </w:tc>
        <w:tc>
          <w:tcPr>
            <w:tcW w:w="2264" w:type="dxa"/>
            <w:shd w:val="clear" w:color="auto" w:fill="auto"/>
            <w:noWrap/>
            <w:vAlign w:val="bottom"/>
          </w:tcPr>
          <w:p w14:paraId="5F11F232" w14:textId="77777777" w:rsidR="00DE046C" w:rsidRPr="008D23E5" w:rsidRDefault="00DE046C" w:rsidP="00453510">
            <w:pPr>
              <w:spacing w:after="0" w:line="240" w:lineRule="auto"/>
              <w:rPr>
                <w:rFonts w:eastAsia="Times New Roman" w:cs="Arial"/>
                <w:color w:val="000000"/>
                <w:sz w:val="22"/>
                <w:lang w:val="es-MX" w:eastAsia="es-MX"/>
              </w:rPr>
            </w:pPr>
          </w:p>
        </w:tc>
        <w:tc>
          <w:tcPr>
            <w:tcW w:w="1638" w:type="dxa"/>
            <w:shd w:val="clear" w:color="auto" w:fill="auto"/>
            <w:noWrap/>
            <w:vAlign w:val="bottom"/>
          </w:tcPr>
          <w:p w14:paraId="4E855ABB" w14:textId="77777777" w:rsidR="00DE046C" w:rsidRPr="008D23E5" w:rsidRDefault="00DE046C" w:rsidP="00453510">
            <w:pPr>
              <w:spacing w:after="0" w:line="240" w:lineRule="auto"/>
              <w:rPr>
                <w:rFonts w:eastAsia="Times New Roman" w:cs="Arial"/>
                <w:color w:val="000000"/>
                <w:sz w:val="22"/>
                <w:lang w:val="es-MX" w:eastAsia="es-MX"/>
              </w:rPr>
            </w:pPr>
          </w:p>
        </w:tc>
      </w:tr>
      <w:tr w:rsidR="00DE046C" w:rsidRPr="008D23E5" w14:paraId="49CAB933" w14:textId="77777777" w:rsidTr="00453510">
        <w:trPr>
          <w:trHeight w:val="390"/>
        </w:trPr>
        <w:tc>
          <w:tcPr>
            <w:tcW w:w="1094" w:type="dxa"/>
          </w:tcPr>
          <w:p w14:paraId="48B39C94" w14:textId="77777777" w:rsidR="00DE046C" w:rsidRPr="008D23E5" w:rsidRDefault="00DE046C" w:rsidP="00453510">
            <w:pPr>
              <w:spacing w:after="0" w:line="240" w:lineRule="auto"/>
              <w:rPr>
                <w:rFonts w:eastAsia="Times New Roman" w:cs="Arial"/>
                <w:color w:val="000000"/>
                <w:sz w:val="22"/>
                <w:lang w:val="es-MX" w:eastAsia="es-MX"/>
              </w:rPr>
            </w:pPr>
          </w:p>
        </w:tc>
        <w:tc>
          <w:tcPr>
            <w:tcW w:w="1174" w:type="dxa"/>
            <w:shd w:val="clear" w:color="auto" w:fill="auto"/>
            <w:noWrap/>
            <w:vAlign w:val="bottom"/>
          </w:tcPr>
          <w:p w14:paraId="2D8AB09C" w14:textId="77777777" w:rsidR="00DE046C" w:rsidRPr="008D23E5" w:rsidRDefault="00DE046C" w:rsidP="00453510">
            <w:pPr>
              <w:spacing w:after="0" w:line="240" w:lineRule="auto"/>
              <w:rPr>
                <w:rFonts w:eastAsia="Times New Roman" w:cs="Arial"/>
                <w:color w:val="000000"/>
                <w:sz w:val="22"/>
                <w:lang w:val="es-MX" w:eastAsia="es-MX"/>
              </w:rPr>
            </w:pPr>
          </w:p>
        </w:tc>
        <w:tc>
          <w:tcPr>
            <w:tcW w:w="2120" w:type="dxa"/>
            <w:shd w:val="clear" w:color="auto" w:fill="auto"/>
            <w:vAlign w:val="center"/>
          </w:tcPr>
          <w:p w14:paraId="3CA61827" w14:textId="77777777" w:rsidR="00DE046C" w:rsidRPr="008D23E5" w:rsidRDefault="00DE046C" w:rsidP="00453510">
            <w:pPr>
              <w:spacing w:after="0" w:line="240" w:lineRule="auto"/>
              <w:rPr>
                <w:rFonts w:ascii="Calibri" w:eastAsia="Times New Roman" w:hAnsi="Calibri" w:cs="Calibri"/>
                <w:color w:val="000000"/>
                <w:sz w:val="22"/>
                <w:lang w:val="es-MX" w:eastAsia="es-MX"/>
              </w:rPr>
            </w:pPr>
          </w:p>
        </w:tc>
        <w:tc>
          <w:tcPr>
            <w:tcW w:w="2264" w:type="dxa"/>
            <w:shd w:val="clear" w:color="auto" w:fill="auto"/>
            <w:vAlign w:val="center"/>
          </w:tcPr>
          <w:p w14:paraId="4AF974F2" w14:textId="77777777" w:rsidR="00DE046C" w:rsidRPr="008D23E5" w:rsidRDefault="00DE046C" w:rsidP="00453510">
            <w:pPr>
              <w:spacing w:after="0" w:line="240" w:lineRule="auto"/>
              <w:rPr>
                <w:rFonts w:ascii="Calibri" w:eastAsia="Times New Roman" w:hAnsi="Calibri" w:cs="Calibri"/>
                <w:color w:val="000000"/>
                <w:sz w:val="22"/>
                <w:lang w:val="es-MX" w:eastAsia="es-MX"/>
              </w:rPr>
            </w:pPr>
          </w:p>
        </w:tc>
        <w:tc>
          <w:tcPr>
            <w:tcW w:w="1638" w:type="dxa"/>
            <w:shd w:val="clear" w:color="auto" w:fill="auto"/>
            <w:noWrap/>
            <w:vAlign w:val="bottom"/>
          </w:tcPr>
          <w:p w14:paraId="5F084D84" w14:textId="77777777" w:rsidR="00DE046C" w:rsidRPr="008D23E5" w:rsidRDefault="00DE046C" w:rsidP="00453510">
            <w:pPr>
              <w:spacing w:after="0" w:line="240" w:lineRule="auto"/>
              <w:rPr>
                <w:rFonts w:eastAsia="Times New Roman" w:cs="Arial"/>
                <w:color w:val="000000"/>
                <w:sz w:val="22"/>
                <w:lang w:val="es-MX" w:eastAsia="es-MX"/>
              </w:rPr>
            </w:pPr>
          </w:p>
        </w:tc>
        <w:tc>
          <w:tcPr>
            <w:tcW w:w="0" w:type="auto"/>
            <w:shd w:val="clear" w:color="auto" w:fill="auto"/>
            <w:noWrap/>
            <w:vAlign w:val="bottom"/>
          </w:tcPr>
          <w:p w14:paraId="5C92A67B" w14:textId="77777777" w:rsidR="00DE046C" w:rsidRPr="008D23E5" w:rsidRDefault="00DE046C" w:rsidP="00453510">
            <w:pPr>
              <w:spacing w:after="0" w:line="240" w:lineRule="auto"/>
              <w:rPr>
                <w:rFonts w:eastAsia="Times New Roman" w:cs="Arial"/>
                <w:color w:val="000000"/>
                <w:sz w:val="22"/>
                <w:lang w:val="es-MX" w:eastAsia="es-MX"/>
              </w:rPr>
            </w:pPr>
          </w:p>
        </w:tc>
        <w:tc>
          <w:tcPr>
            <w:tcW w:w="2264" w:type="dxa"/>
            <w:shd w:val="clear" w:color="auto" w:fill="auto"/>
            <w:noWrap/>
            <w:vAlign w:val="bottom"/>
          </w:tcPr>
          <w:p w14:paraId="01099B3F" w14:textId="77777777" w:rsidR="00DE046C" w:rsidRPr="008D23E5" w:rsidRDefault="00DE046C" w:rsidP="00453510">
            <w:pPr>
              <w:spacing w:after="0" w:line="240" w:lineRule="auto"/>
              <w:rPr>
                <w:rFonts w:eastAsia="Times New Roman" w:cs="Arial"/>
                <w:color w:val="000000"/>
                <w:sz w:val="22"/>
                <w:lang w:val="es-MX" w:eastAsia="es-MX"/>
              </w:rPr>
            </w:pPr>
          </w:p>
        </w:tc>
        <w:tc>
          <w:tcPr>
            <w:tcW w:w="1638" w:type="dxa"/>
            <w:shd w:val="clear" w:color="auto" w:fill="auto"/>
            <w:noWrap/>
            <w:vAlign w:val="bottom"/>
          </w:tcPr>
          <w:p w14:paraId="68957C34" w14:textId="77777777" w:rsidR="00DE046C" w:rsidRPr="008D23E5" w:rsidRDefault="00DE046C" w:rsidP="00453510">
            <w:pPr>
              <w:spacing w:after="0" w:line="240" w:lineRule="auto"/>
              <w:rPr>
                <w:rFonts w:eastAsia="Times New Roman" w:cs="Arial"/>
                <w:color w:val="000000"/>
                <w:sz w:val="22"/>
                <w:lang w:val="es-MX" w:eastAsia="es-MX"/>
              </w:rPr>
            </w:pPr>
          </w:p>
        </w:tc>
      </w:tr>
      <w:tr w:rsidR="00DE046C" w:rsidRPr="008D23E5" w14:paraId="2D1BA1F8" w14:textId="77777777" w:rsidTr="00453510">
        <w:trPr>
          <w:trHeight w:val="390"/>
        </w:trPr>
        <w:tc>
          <w:tcPr>
            <w:tcW w:w="1094" w:type="dxa"/>
          </w:tcPr>
          <w:p w14:paraId="012FA476" w14:textId="77777777" w:rsidR="00DE046C" w:rsidRPr="008D23E5" w:rsidRDefault="00DE046C" w:rsidP="00453510">
            <w:pPr>
              <w:spacing w:after="0" w:line="240" w:lineRule="auto"/>
              <w:rPr>
                <w:rFonts w:eastAsia="Times New Roman" w:cs="Arial"/>
                <w:color w:val="000000"/>
                <w:sz w:val="22"/>
                <w:lang w:val="es-MX" w:eastAsia="es-MX"/>
              </w:rPr>
            </w:pPr>
          </w:p>
        </w:tc>
        <w:tc>
          <w:tcPr>
            <w:tcW w:w="1174" w:type="dxa"/>
            <w:shd w:val="clear" w:color="auto" w:fill="auto"/>
            <w:noWrap/>
            <w:vAlign w:val="bottom"/>
          </w:tcPr>
          <w:p w14:paraId="1BC4E88F" w14:textId="77777777" w:rsidR="00DE046C" w:rsidRPr="008D23E5" w:rsidRDefault="00DE046C" w:rsidP="00453510">
            <w:pPr>
              <w:spacing w:after="0" w:line="240" w:lineRule="auto"/>
              <w:rPr>
                <w:rFonts w:eastAsia="Times New Roman" w:cs="Arial"/>
                <w:color w:val="000000"/>
                <w:sz w:val="22"/>
                <w:lang w:val="es-MX" w:eastAsia="es-MX"/>
              </w:rPr>
            </w:pPr>
          </w:p>
        </w:tc>
        <w:tc>
          <w:tcPr>
            <w:tcW w:w="2120" w:type="dxa"/>
            <w:shd w:val="clear" w:color="auto" w:fill="auto"/>
            <w:vAlign w:val="center"/>
          </w:tcPr>
          <w:p w14:paraId="6C1A776F" w14:textId="77777777" w:rsidR="00DE046C" w:rsidRPr="008D23E5" w:rsidRDefault="00DE046C" w:rsidP="00453510">
            <w:pPr>
              <w:spacing w:after="0" w:line="240" w:lineRule="auto"/>
              <w:rPr>
                <w:rFonts w:ascii="Calibri" w:eastAsia="Times New Roman" w:hAnsi="Calibri" w:cs="Calibri"/>
                <w:color w:val="000000"/>
                <w:sz w:val="22"/>
                <w:lang w:val="es-MX" w:eastAsia="es-MX"/>
              </w:rPr>
            </w:pPr>
          </w:p>
        </w:tc>
        <w:tc>
          <w:tcPr>
            <w:tcW w:w="2264" w:type="dxa"/>
            <w:shd w:val="clear" w:color="auto" w:fill="auto"/>
            <w:vAlign w:val="center"/>
          </w:tcPr>
          <w:p w14:paraId="4E64DF96" w14:textId="77777777" w:rsidR="00DE046C" w:rsidRPr="008D23E5" w:rsidRDefault="00DE046C" w:rsidP="00453510">
            <w:pPr>
              <w:spacing w:after="0" w:line="240" w:lineRule="auto"/>
              <w:rPr>
                <w:rFonts w:ascii="Calibri" w:eastAsia="Times New Roman" w:hAnsi="Calibri" w:cs="Calibri"/>
                <w:color w:val="000000"/>
                <w:sz w:val="22"/>
                <w:lang w:val="es-MX" w:eastAsia="es-MX"/>
              </w:rPr>
            </w:pPr>
          </w:p>
        </w:tc>
        <w:tc>
          <w:tcPr>
            <w:tcW w:w="1638" w:type="dxa"/>
            <w:shd w:val="clear" w:color="auto" w:fill="auto"/>
            <w:noWrap/>
            <w:vAlign w:val="bottom"/>
          </w:tcPr>
          <w:p w14:paraId="0EE26246" w14:textId="77777777" w:rsidR="00DE046C" w:rsidRPr="008D23E5" w:rsidRDefault="00DE046C" w:rsidP="00453510">
            <w:pPr>
              <w:spacing w:after="0" w:line="240" w:lineRule="auto"/>
              <w:rPr>
                <w:rFonts w:eastAsia="Times New Roman" w:cs="Arial"/>
                <w:color w:val="000000"/>
                <w:sz w:val="22"/>
                <w:lang w:val="es-MX" w:eastAsia="es-MX"/>
              </w:rPr>
            </w:pPr>
          </w:p>
        </w:tc>
        <w:tc>
          <w:tcPr>
            <w:tcW w:w="0" w:type="auto"/>
            <w:shd w:val="clear" w:color="auto" w:fill="auto"/>
            <w:noWrap/>
            <w:vAlign w:val="bottom"/>
          </w:tcPr>
          <w:p w14:paraId="1DE0D6AC" w14:textId="77777777" w:rsidR="00DE046C" w:rsidRPr="008D23E5" w:rsidRDefault="00DE046C" w:rsidP="00453510">
            <w:pPr>
              <w:spacing w:after="0" w:line="240" w:lineRule="auto"/>
              <w:rPr>
                <w:rFonts w:eastAsia="Times New Roman" w:cs="Arial"/>
                <w:color w:val="000000"/>
                <w:sz w:val="22"/>
                <w:lang w:val="es-MX" w:eastAsia="es-MX"/>
              </w:rPr>
            </w:pPr>
          </w:p>
        </w:tc>
        <w:tc>
          <w:tcPr>
            <w:tcW w:w="2264" w:type="dxa"/>
            <w:shd w:val="clear" w:color="auto" w:fill="auto"/>
            <w:noWrap/>
            <w:vAlign w:val="bottom"/>
          </w:tcPr>
          <w:p w14:paraId="559843A6" w14:textId="77777777" w:rsidR="00DE046C" w:rsidRPr="008D23E5" w:rsidRDefault="00DE046C" w:rsidP="00453510">
            <w:pPr>
              <w:spacing w:after="0" w:line="240" w:lineRule="auto"/>
              <w:rPr>
                <w:rFonts w:eastAsia="Times New Roman" w:cs="Arial"/>
                <w:color w:val="000000"/>
                <w:sz w:val="22"/>
                <w:lang w:val="es-MX" w:eastAsia="es-MX"/>
              </w:rPr>
            </w:pPr>
          </w:p>
        </w:tc>
        <w:tc>
          <w:tcPr>
            <w:tcW w:w="1638" w:type="dxa"/>
            <w:shd w:val="clear" w:color="auto" w:fill="auto"/>
            <w:noWrap/>
            <w:vAlign w:val="bottom"/>
          </w:tcPr>
          <w:p w14:paraId="4D6815DD" w14:textId="77777777" w:rsidR="00DE046C" w:rsidRPr="008D23E5" w:rsidRDefault="00DE046C" w:rsidP="00453510">
            <w:pPr>
              <w:spacing w:after="0" w:line="240" w:lineRule="auto"/>
              <w:rPr>
                <w:rFonts w:eastAsia="Times New Roman" w:cs="Arial"/>
                <w:color w:val="000000"/>
                <w:sz w:val="22"/>
                <w:lang w:val="es-MX" w:eastAsia="es-MX"/>
              </w:rPr>
            </w:pPr>
          </w:p>
        </w:tc>
      </w:tr>
      <w:tr w:rsidR="00DE046C" w:rsidRPr="008D23E5" w14:paraId="7C445B6D" w14:textId="77777777" w:rsidTr="00453510">
        <w:trPr>
          <w:trHeight w:val="390"/>
        </w:trPr>
        <w:tc>
          <w:tcPr>
            <w:tcW w:w="1094" w:type="dxa"/>
          </w:tcPr>
          <w:p w14:paraId="1821630A" w14:textId="77777777" w:rsidR="00DE046C" w:rsidRPr="008D23E5" w:rsidRDefault="00DE046C" w:rsidP="00453510">
            <w:pPr>
              <w:spacing w:after="0" w:line="240" w:lineRule="auto"/>
              <w:rPr>
                <w:rFonts w:eastAsia="Times New Roman" w:cs="Arial"/>
                <w:color w:val="000000"/>
                <w:sz w:val="22"/>
                <w:lang w:val="es-MX" w:eastAsia="es-MX"/>
              </w:rPr>
            </w:pPr>
          </w:p>
        </w:tc>
        <w:tc>
          <w:tcPr>
            <w:tcW w:w="1174" w:type="dxa"/>
            <w:shd w:val="clear" w:color="auto" w:fill="auto"/>
            <w:noWrap/>
            <w:vAlign w:val="bottom"/>
          </w:tcPr>
          <w:p w14:paraId="53E13619" w14:textId="77777777" w:rsidR="00DE046C" w:rsidRPr="008D23E5" w:rsidRDefault="00DE046C" w:rsidP="00453510">
            <w:pPr>
              <w:spacing w:after="0" w:line="240" w:lineRule="auto"/>
              <w:rPr>
                <w:rFonts w:eastAsia="Times New Roman" w:cs="Arial"/>
                <w:color w:val="000000"/>
                <w:sz w:val="22"/>
                <w:lang w:val="es-MX" w:eastAsia="es-MX"/>
              </w:rPr>
            </w:pPr>
          </w:p>
        </w:tc>
        <w:tc>
          <w:tcPr>
            <w:tcW w:w="2120" w:type="dxa"/>
            <w:shd w:val="clear" w:color="auto" w:fill="auto"/>
            <w:vAlign w:val="center"/>
          </w:tcPr>
          <w:p w14:paraId="01E53128" w14:textId="77777777" w:rsidR="00DE046C" w:rsidRPr="008D23E5" w:rsidRDefault="00DE046C" w:rsidP="00453510">
            <w:pPr>
              <w:spacing w:after="0" w:line="240" w:lineRule="auto"/>
              <w:rPr>
                <w:rFonts w:ascii="Calibri" w:eastAsia="Times New Roman" w:hAnsi="Calibri" w:cs="Calibri"/>
                <w:color w:val="000000"/>
                <w:sz w:val="22"/>
                <w:lang w:val="es-MX" w:eastAsia="es-MX"/>
              </w:rPr>
            </w:pPr>
          </w:p>
        </w:tc>
        <w:tc>
          <w:tcPr>
            <w:tcW w:w="2264" w:type="dxa"/>
            <w:shd w:val="clear" w:color="auto" w:fill="auto"/>
            <w:vAlign w:val="center"/>
          </w:tcPr>
          <w:p w14:paraId="509B775D" w14:textId="77777777" w:rsidR="00DE046C" w:rsidRPr="008D23E5" w:rsidRDefault="00DE046C" w:rsidP="00453510">
            <w:pPr>
              <w:spacing w:after="0" w:line="240" w:lineRule="auto"/>
              <w:rPr>
                <w:rFonts w:ascii="Calibri" w:eastAsia="Times New Roman" w:hAnsi="Calibri" w:cs="Calibri"/>
                <w:color w:val="000000"/>
                <w:sz w:val="22"/>
                <w:lang w:val="es-MX" w:eastAsia="es-MX"/>
              </w:rPr>
            </w:pPr>
          </w:p>
        </w:tc>
        <w:tc>
          <w:tcPr>
            <w:tcW w:w="1638" w:type="dxa"/>
            <w:shd w:val="clear" w:color="auto" w:fill="auto"/>
            <w:noWrap/>
            <w:vAlign w:val="bottom"/>
          </w:tcPr>
          <w:p w14:paraId="773F0E97" w14:textId="77777777" w:rsidR="00DE046C" w:rsidRPr="008D23E5" w:rsidRDefault="00DE046C" w:rsidP="00453510">
            <w:pPr>
              <w:spacing w:after="0" w:line="240" w:lineRule="auto"/>
              <w:rPr>
                <w:rFonts w:eastAsia="Times New Roman" w:cs="Arial"/>
                <w:color w:val="000000"/>
                <w:sz w:val="22"/>
                <w:lang w:val="es-MX" w:eastAsia="es-MX"/>
              </w:rPr>
            </w:pPr>
          </w:p>
        </w:tc>
        <w:tc>
          <w:tcPr>
            <w:tcW w:w="0" w:type="auto"/>
            <w:shd w:val="clear" w:color="auto" w:fill="auto"/>
            <w:noWrap/>
            <w:vAlign w:val="bottom"/>
          </w:tcPr>
          <w:p w14:paraId="491FA599" w14:textId="77777777" w:rsidR="00DE046C" w:rsidRPr="008D23E5" w:rsidRDefault="00DE046C" w:rsidP="00453510">
            <w:pPr>
              <w:spacing w:after="0" w:line="240" w:lineRule="auto"/>
              <w:rPr>
                <w:rFonts w:eastAsia="Times New Roman" w:cs="Arial"/>
                <w:color w:val="000000"/>
                <w:sz w:val="22"/>
                <w:lang w:val="es-MX" w:eastAsia="es-MX"/>
              </w:rPr>
            </w:pPr>
          </w:p>
        </w:tc>
        <w:tc>
          <w:tcPr>
            <w:tcW w:w="2264" w:type="dxa"/>
            <w:shd w:val="clear" w:color="auto" w:fill="auto"/>
            <w:noWrap/>
            <w:vAlign w:val="bottom"/>
          </w:tcPr>
          <w:p w14:paraId="5E20CA67" w14:textId="77777777" w:rsidR="00DE046C" w:rsidRPr="008D23E5" w:rsidRDefault="00DE046C" w:rsidP="00453510">
            <w:pPr>
              <w:spacing w:after="0" w:line="240" w:lineRule="auto"/>
              <w:rPr>
                <w:rFonts w:eastAsia="Times New Roman" w:cs="Arial"/>
                <w:color w:val="000000"/>
                <w:sz w:val="22"/>
                <w:lang w:val="es-MX" w:eastAsia="es-MX"/>
              </w:rPr>
            </w:pPr>
          </w:p>
        </w:tc>
        <w:tc>
          <w:tcPr>
            <w:tcW w:w="1638" w:type="dxa"/>
            <w:shd w:val="clear" w:color="auto" w:fill="auto"/>
            <w:noWrap/>
            <w:vAlign w:val="bottom"/>
          </w:tcPr>
          <w:p w14:paraId="2B01B9DF" w14:textId="77777777" w:rsidR="00DE046C" w:rsidRPr="008D23E5" w:rsidRDefault="00DE046C" w:rsidP="00453510">
            <w:pPr>
              <w:spacing w:after="0" w:line="240" w:lineRule="auto"/>
              <w:rPr>
                <w:rFonts w:eastAsia="Times New Roman" w:cs="Arial"/>
                <w:color w:val="000000"/>
                <w:sz w:val="22"/>
                <w:lang w:val="es-MX" w:eastAsia="es-MX"/>
              </w:rPr>
            </w:pPr>
          </w:p>
        </w:tc>
      </w:tr>
      <w:tr w:rsidR="00DE046C" w:rsidRPr="008D23E5" w14:paraId="4F2EFB2E" w14:textId="77777777" w:rsidTr="00453510">
        <w:trPr>
          <w:trHeight w:val="390"/>
        </w:trPr>
        <w:tc>
          <w:tcPr>
            <w:tcW w:w="1094" w:type="dxa"/>
          </w:tcPr>
          <w:p w14:paraId="6574665F" w14:textId="77777777" w:rsidR="00DE046C" w:rsidRPr="008D23E5" w:rsidRDefault="00DE046C" w:rsidP="00453510">
            <w:pPr>
              <w:spacing w:after="0" w:line="240" w:lineRule="auto"/>
              <w:rPr>
                <w:rFonts w:eastAsia="Times New Roman" w:cs="Arial"/>
                <w:color w:val="000000"/>
                <w:sz w:val="22"/>
                <w:lang w:val="es-MX" w:eastAsia="es-MX"/>
              </w:rPr>
            </w:pPr>
          </w:p>
        </w:tc>
        <w:tc>
          <w:tcPr>
            <w:tcW w:w="1174" w:type="dxa"/>
            <w:shd w:val="clear" w:color="auto" w:fill="auto"/>
            <w:noWrap/>
            <w:vAlign w:val="bottom"/>
          </w:tcPr>
          <w:p w14:paraId="3D883B6E" w14:textId="77777777" w:rsidR="00DE046C" w:rsidRPr="008D23E5" w:rsidRDefault="00DE046C" w:rsidP="00453510">
            <w:pPr>
              <w:spacing w:after="0" w:line="240" w:lineRule="auto"/>
              <w:rPr>
                <w:rFonts w:eastAsia="Times New Roman" w:cs="Arial"/>
                <w:color w:val="000000"/>
                <w:sz w:val="22"/>
                <w:lang w:val="es-MX" w:eastAsia="es-MX"/>
              </w:rPr>
            </w:pPr>
          </w:p>
        </w:tc>
        <w:tc>
          <w:tcPr>
            <w:tcW w:w="2120" w:type="dxa"/>
            <w:shd w:val="clear" w:color="auto" w:fill="auto"/>
            <w:vAlign w:val="center"/>
          </w:tcPr>
          <w:p w14:paraId="2E5CBA89" w14:textId="77777777" w:rsidR="00DE046C" w:rsidRPr="008D23E5" w:rsidRDefault="00DE046C" w:rsidP="00453510">
            <w:pPr>
              <w:spacing w:after="0" w:line="240" w:lineRule="auto"/>
              <w:rPr>
                <w:rFonts w:ascii="Calibri" w:eastAsia="Times New Roman" w:hAnsi="Calibri" w:cs="Calibri"/>
                <w:color w:val="000000"/>
                <w:sz w:val="22"/>
                <w:lang w:val="es-MX" w:eastAsia="es-MX"/>
              </w:rPr>
            </w:pPr>
          </w:p>
        </w:tc>
        <w:tc>
          <w:tcPr>
            <w:tcW w:w="2264" w:type="dxa"/>
            <w:shd w:val="clear" w:color="auto" w:fill="auto"/>
            <w:vAlign w:val="center"/>
          </w:tcPr>
          <w:p w14:paraId="366CEFDD" w14:textId="77777777" w:rsidR="00DE046C" w:rsidRPr="008D23E5" w:rsidRDefault="00DE046C" w:rsidP="00453510">
            <w:pPr>
              <w:spacing w:after="0" w:line="240" w:lineRule="auto"/>
              <w:rPr>
                <w:rFonts w:ascii="Calibri" w:eastAsia="Times New Roman" w:hAnsi="Calibri" w:cs="Calibri"/>
                <w:color w:val="000000"/>
                <w:sz w:val="22"/>
                <w:lang w:val="es-MX" w:eastAsia="es-MX"/>
              </w:rPr>
            </w:pPr>
          </w:p>
        </w:tc>
        <w:tc>
          <w:tcPr>
            <w:tcW w:w="1638" w:type="dxa"/>
            <w:shd w:val="clear" w:color="auto" w:fill="auto"/>
            <w:noWrap/>
            <w:vAlign w:val="bottom"/>
          </w:tcPr>
          <w:p w14:paraId="0C3ABFD0" w14:textId="77777777" w:rsidR="00DE046C" w:rsidRPr="008D23E5" w:rsidRDefault="00DE046C" w:rsidP="00453510">
            <w:pPr>
              <w:spacing w:after="0" w:line="240" w:lineRule="auto"/>
              <w:rPr>
                <w:rFonts w:eastAsia="Times New Roman" w:cs="Arial"/>
                <w:color w:val="000000"/>
                <w:sz w:val="22"/>
                <w:lang w:val="es-MX" w:eastAsia="es-MX"/>
              </w:rPr>
            </w:pPr>
          </w:p>
        </w:tc>
        <w:tc>
          <w:tcPr>
            <w:tcW w:w="0" w:type="auto"/>
            <w:shd w:val="clear" w:color="auto" w:fill="auto"/>
            <w:noWrap/>
            <w:vAlign w:val="bottom"/>
          </w:tcPr>
          <w:p w14:paraId="44DD4FD3" w14:textId="77777777" w:rsidR="00DE046C" w:rsidRPr="008D23E5" w:rsidRDefault="00DE046C" w:rsidP="00453510">
            <w:pPr>
              <w:spacing w:after="0" w:line="240" w:lineRule="auto"/>
              <w:rPr>
                <w:rFonts w:eastAsia="Times New Roman" w:cs="Arial"/>
                <w:color w:val="000000"/>
                <w:sz w:val="22"/>
                <w:lang w:val="es-MX" w:eastAsia="es-MX"/>
              </w:rPr>
            </w:pPr>
          </w:p>
        </w:tc>
        <w:tc>
          <w:tcPr>
            <w:tcW w:w="2264" w:type="dxa"/>
            <w:shd w:val="clear" w:color="auto" w:fill="auto"/>
            <w:noWrap/>
            <w:vAlign w:val="bottom"/>
          </w:tcPr>
          <w:p w14:paraId="794C3381" w14:textId="77777777" w:rsidR="00DE046C" w:rsidRPr="008D23E5" w:rsidRDefault="00DE046C" w:rsidP="00453510">
            <w:pPr>
              <w:spacing w:after="0" w:line="240" w:lineRule="auto"/>
              <w:rPr>
                <w:rFonts w:eastAsia="Times New Roman" w:cs="Arial"/>
                <w:color w:val="000000"/>
                <w:sz w:val="22"/>
                <w:lang w:val="es-MX" w:eastAsia="es-MX"/>
              </w:rPr>
            </w:pPr>
          </w:p>
        </w:tc>
        <w:tc>
          <w:tcPr>
            <w:tcW w:w="1638" w:type="dxa"/>
            <w:shd w:val="clear" w:color="auto" w:fill="auto"/>
            <w:noWrap/>
            <w:vAlign w:val="bottom"/>
          </w:tcPr>
          <w:p w14:paraId="7B60E49B" w14:textId="77777777" w:rsidR="00DE046C" w:rsidRPr="008D23E5" w:rsidRDefault="00DE046C" w:rsidP="00453510">
            <w:pPr>
              <w:spacing w:after="0" w:line="240" w:lineRule="auto"/>
              <w:rPr>
                <w:rFonts w:eastAsia="Times New Roman" w:cs="Arial"/>
                <w:color w:val="000000"/>
                <w:sz w:val="22"/>
                <w:lang w:val="es-MX" w:eastAsia="es-MX"/>
              </w:rPr>
            </w:pPr>
          </w:p>
        </w:tc>
      </w:tr>
      <w:tr w:rsidR="00DE046C" w:rsidRPr="008D23E5" w14:paraId="32D648C4" w14:textId="77777777" w:rsidTr="00453510">
        <w:trPr>
          <w:trHeight w:val="390"/>
        </w:trPr>
        <w:tc>
          <w:tcPr>
            <w:tcW w:w="1094" w:type="dxa"/>
          </w:tcPr>
          <w:p w14:paraId="5866EAB4" w14:textId="77777777" w:rsidR="00DE046C" w:rsidRPr="008D23E5" w:rsidRDefault="00DE046C" w:rsidP="00453510">
            <w:pPr>
              <w:spacing w:after="0" w:line="240" w:lineRule="auto"/>
              <w:rPr>
                <w:rFonts w:eastAsia="Times New Roman" w:cs="Arial"/>
                <w:color w:val="000000"/>
                <w:sz w:val="22"/>
                <w:lang w:val="es-MX" w:eastAsia="es-MX"/>
              </w:rPr>
            </w:pPr>
          </w:p>
        </w:tc>
        <w:tc>
          <w:tcPr>
            <w:tcW w:w="1174" w:type="dxa"/>
            <w:shd w:val="clear" w:color="auto" w:fill="auto"/>
            <w:noWrap/>
            <w:vAlign w:val="bottom"/>
          </w:tcPr>
          <w:p w14:paraId="7F46D0CE" w14:textId="77777777" w:rsidR="00DE046C" w:rsidRPr="008D23E5" w:rsidRDefault="00DE046C" w:rsidP="00453510">
            <w:pPr>
              <w:spacing w:after="0" w:line="240" w:lineRule="auto"/>
              <w:rPr>
                <w:rFonts w:eastAsia="Times New Roman" w:cs="Arial"/>
                <w:color w:val="000000"/>
                <w:sz w:val="22"/>
                <w:lang w:val="es-MX" w:eastAsia="es-MX"/>
              </w:rPr>
            </w:pPr>
          </w:p>
        </w:tc>
        <w:tc>
          <w:tcPr>
            <w:tcW w:w="2120" w:type="dxa"/>
            <w:shd w:val="clear" w:color="auto" w:fill="auto"/>
            <w:vAlign w:val="center"/>
          </w:tcPr>
          <w:p w14:paraId="5AC571BC" w14:textId="77777777" w:rsidR="00DE046C" w:rsidRPr="008D23E5" w:rsidRDefault="00DE046C" w:rsidP="00453510">
            <w:pPr>
              <w:spacing w:after="0" w:line="240" w:lineRule="auto"/>
              <w:rPr>
                <w:rFonts w:ascii="Calibri" w:eastAsia="Times New Roman" w:hAnsi="Calibri" w:cs="Calibri"/>
                <w:color w:val="000000"/>
                <w:sz w:val="22"/>
                <w:lang w:val="es-MX" w:eastAsia="es-MX"/>
              </w:rPr>
            </w:pPr>
          </w:p>
        </w:tc>
        <w:tc>
          <w:tcPr>
            <w:tcW w:w="2264" w:type="dxa"/>
            <w:shd w:val="clear" w:color="auto" w:fill="auto"/>
            <w:vAlign w:val="center"/>
          </w:tcPr>
          <w:p w14:paraId="63A91FB9" w14:textId="77777777" w:rsidR="00DE046C" w:rsidRPr="008D23E5" w:rsidRDefault="00DE046C" w:rsidP="00453510">
            <w:pPr>
              <w:spacing w:after="0" w:line="240" w:lineRule="auto"/>
              <w:rPr>
                <w:rFonts w:ascii="Calibri" w:eastAsia="Times New Roman" w:hAnsi="Calibri" w:cs="Calibri"/>
                <w:color w:val="000000"/>
                <w:sz w:val="22"/>
                <w:lang w:val="es-MX" w:eastAsia="es-MX"/>
              </w:rPr>
            </w:pPr>
          </w:p>
        </w:tc>
        <w:tc>
          <w:tcPr>
            <w:tcW w:w="1638" w:type="dxa"/>
            <w:shd w:val="clear" w:color="auto" w:fill="auto"/>
            <w:noWrap/>
            <w:vAlign w:val="bottom"/>
          </w:tcPr>
          <w:p w14:paraId="6A32E1A8" w14:textId="77777777" w:rsidR="00DE046C" w:rsidRPr="008D23E5" w:rsidRDefault="00DE046C" w:rsidP="00453510">
            <w:pPr>
              <w:spacing w:after="0" w:line="240" w:lineRule="auto"/>
              <w:rPr>
                <w:rFonts w:eastAsia="Times New Roman" w:cs="Arial"/>
                <w:color w:val="000000"/>
                <w:sz w:val="22"/>
                <w:lang w:val="es-MX" w:eastAsia="es-MX"/>
              </w:rPr>
            </w:pPr>
          </w:p>
        </w:tc>
        <w:tc>
          <w:tcPr>
            <w:tcW w:w="0" w:type="auto"/>
            <w:shd w:val="clear" w:color="auto" w:fill="auto"/>
            <w:noWrap/>
            <w:vAlign w:val="bottom"/>
          </w:tcPr>
          <w:p w14:paraId="3D07E7FC" w14:textId="77777777" w:rsidR="00DE046C" w:rsidRPr="008D23E5" w:rsidRDefault="00DE046C" w:rsidP="00453510">
            <w:pPr>
              <w:spacing w:after="0" w:line="240" w:lineRule="auto"/>
              <w:rPr>
                <w:rFonts w:eastAsia="Times New Roman" w:cs="Arial"/>
                <w:color w:val="000000"/>
                <w:sz w:val="22"/>
                <w:lang w:val="es-MX" w:eastAsia="es-MX"/>
              </w:rPr>
            </w:pPr>
          </w:p>
        </w:tc>
        <w:tc>
          <w:tcPr>
            <w:tcW w:w="2264" w:type="dxa"/>
            <w:shd w:val="clear" w:color="auto" w:fill="auto"/>
            <w:noWrap/>
            <w:vAlign w:val="bottom"/>
          </w:tcPr>
          <w:p w14:paraId="735B9558" w14:textId="77777777" w:rsidR="00DE046C" w:rsidRPr="008D23E5" w:rsidRDefault="00DE046C" w:rsidP="00453510">
            <w:pPr>
              <w:spacing w:after="0" w:line="240" w:lineRule="auto"/>
              <w:rPr>
                <w:rFonts w:eastAsia="Times New Roman" w:cs="Arial"/>
                <w:color w:val="000000"/>
                <w:sz w:val="22"/>
                <w:lang w:val="es-MX" w:eastAsia="es-MX"/>
              </w:rPr>
            </w:pPr>
          </w:p>
        </w:tc>
        <w:tc>
          <w:tcPr>
            <w:tcW w:w="1638" w:type="dxa"/>
            <w:shd w:val="clear" w:color="auto" w:fill="auto"/>
            <w:noWrap/>
            <w:vAlign w:val="bottom"/>
          </w:tcPr>
          <w:p w14:paraId="1B7D5944" w14:textId="77777777" w:rsidR="00DE046C" w:rsidRPr="008D23E5" w:rsidRDefault="00DE046C" w:rsidP="00453510">
            <w:pPr>
              <w:spacing w:after="0" w:line="240" w:lineRule="auto"/>
              <w:rPr>
                <w:rFonts w:eastAsia="Times New Roman" w:cs="Arial"/>
                <w:color w:val="000000"/>
                <w:sz w:val="22"/>
                <w:lang w:val="es-MX" w:eastAsia="es-MX"/>
              </w:rPr>
            </w:pPr>
          </w:p>
        </w:tc>
      </w:tr>
    </w:tbl>
    <w:p w14:paraId="61B2507B" w14:textId="77777777" w:rsidR="00DE046C" w:rsidRPr="00DE046C" w:rsidRDefault="00DE046C" w:rsidP="00DE046C">
      <w:pPr>
        <w:pStyle w:val="Prrafodelista"/>
        <w:ind w:left="786"/>
        <w:rPr>
          <w:rFonts w:ascii="Calibri" w:eastAsia="Calibri" w:hAnsi="Calibri" w:cs="Calibri"/>
          <w:color w:val="000000" w:themeColor="text1"/>
          <w:sz w:val="22"/>
          <w:lang w:val="es-MX"/>
        </w:rPr>
      </w:pPr>
    </w:p>
    <w:p w14:paraId="10C67141" w14:textId="77777777" w:rsidR="00DE046C" w:rsidRPr="009B3F01" w:rsidRDefault="00DE046C" w:rsidP="00DE046C">
      <w:pPr>
        <w:pStyle w:val="Prrafodelista"/>
        <w:spacing w:after="0" w:line="240" w:lineRule="auto"/>
        <w:ind w:left="786"/>
        <w:rPr>
          <w:rFonts w:ascii="Calibri" w:eastAsia="Calibri" w:hAnsi="Calibri" w:cs="Calibri"/>
          <w:b/>
          <w:bCs/>
          <w:color w:val="000000" w:themeColor="text1"/>
          <w:sz w:val="22"/>
          <w:lang w:val="es-MX"/>
        </w:rPr>
      </w:pPr>
    </w:p>
    <w:p w14:paraId="27F373AD" w14:textId="77777777" w:rsidR="00DE046C" w:rsidRPr="00DE046C" w:rsidRDefault="00DE046C" w:rsidP="00DE046C">
      <w:pPr>
        <w:spacing w:after="0" w:line="240" w:lineRule="auto"/>
        <w:ind w:left="426"/>
        <w:rPr>
          <w:rFonts w:ascii="Calibri" w:eastAsia="Calibri" w:hAnsi="Calibri" w:cs="Calibri"/>
          <w:color w:val="000000" w:themeColor="text1"/>
          <w:sz w:val="22"/>
          <w:lang w:val="es-MX"/>
        </w:rPr>
      </w:pPr>
    </w:p>
    <w:p w14:paraId="41A97C01" w14:textId="77777777" w:rsidR="00DE046C" w:rsidRPr="00DE046C" w:rsidRDefault="00DE046C" w:rsidP="00DE046C">
      <w:pPr>
        <w:pStyle w:val="Prrafodelista"/>
        <w:spacing w:after="0" w:line="240" w:lineRule="auto"/>
        <w:ind w:left="786"/>
        <w:rPr>
          <w:rFonts w:ascii="Calibri" w:eastAsia="Calibri" w:hAnsi="Calibri" w:cs="Calibri"/>
          <w:color w:val="000000" w:themeColor="text1"/>
          <w:sz w:val="22"/>
          <w:lang w:val="es-MX"/>
        </w:rPr>
        <w:sectPr w:rsidR="00DE046C" w:rsidRPr="00DE046C" w:rsidSect="008953EB">
          <w:pgSz w:w="15840" w:h="12240" w:orient="landscape" w:code="1"/>
          <w:pgMar w:top="1701" w:right="1418" w:bottom="1041" w:left="1276" w:header="709" w:footer="400" w:gutter="0"/>
          <w:cols w:space="708"/>
          <w:docGrid w:linePitch="360"/>
        </w:sectPr>
      </w:pPr>
    </w:p>
    <w:p w14:paraId="1E070922" w14:textId="77777777" w:rsidR="00DE046C" w:rsidRPr="00DE046C" w:rsidRDefault="00DE046C" w:rsidP="00DE046C">
      <w:pPr>
        <w:pStyle w:val="Ttulo1"/>
        <w:rPr>
          <w:rFonts w:ascii="Calibri" w:eastAsia="Calibri" w:hAnsi="Calibri" w:cs="Calibri"/>
          <w:b/>
          <w:color w:val="000000" w:themeColor="text1"/>
          <w:sz w:val="22"/>
          <w:szCs w:val="22"/>
        </w:rPr>
      </w:pPr>
      <w:bookmarkStart w:id="1618" w:name="_Toc202189055"/>
      <w:bookmarkStart w:id="1619" w:name="_Toc202189072"/>
      <w:r w:rsidRPr="00DE046C">
        <w:rPr>
          <w:rFonts w:ascii="Calibri" w:eastAsia="Calibri" w:hAnsi="Calibri" w:cs="Calibri"/>
          <w:b/>
          <w:color w:val="000000" w:themeColor="text1"/>
          <w:sz w:val="22"/>
          <w:szCs w:val="22"/>
        </w:rPr>
        <w:lastRenderedPageBreak/>
        <w:t>9. Mecanismo de Sugerencias, Quejas y Reclamos.</w:t>
      </w:r>
    </w:p>
    <w:p w14:paraId="0EF61DDE" w14:textId="77777777" w:rsidR="00DE046C" w:rsidRPr="00DE046C" w:rsidRDefault="00DE046C" w:rsidP="00DE046C">
      <w:pPr>
        <w:rPr>
          <w:rFonts w:ascii="Calibri" w:eastAsia="Calibri" w:hAnsi="Calibri" w:cs="Calibri"/>
          <w:i/>
          <w:iCs/>
          <w:color w:val="2E74B5" w:themeColor="accent1" w:themeShade="BF"/>
          <w:sz w:val="22"/>
        </w:rPr>
      </w:pPr>
      <w:r w:rsidRPr="00DE046C">
        <w:rPr>
          <w:rFonts w:ascii="Calibri" w:eastAsia="Calibri" w:hAnsi="Calibri" w:cs="Calibri"/>
          <w:i/>
          <w:iCs/>
          <w:color w:val="2E74B5" w:themeColor="accent1" w:themeShade="BF"/>
          <w:sz w:val="22"/>
        </w:rPr>
        <w:t>En esta sección, se describirán los mecanismos, canales, responsables, cronograma del MSQR que utilizara la organización para atender a las partes interesadas y afectadas.</w:t>
      </w:r>
    </w:p>
    <w:p w14:paraId="12E49030" w14:textId="77777777" w:rsidR="00DE046C" w:rsidRPr="00DE046C" w:rsidRDefault="00DE046C" w:rsidP="00DE046C">
      <w:pPr>
        <w:pStyle w:val="Ttulo1"/>
        <w:rPr>
          <w:rFonts w:ascii="Calibri" w:eastAsia="Calibri" w:hAnsi="Calibri" w:cs="Calibri"/>
          <w:b/>
          <w:color w:val="000000" w:themeColor="text1"/>
          <w:sz w:val="22"/>
          <w:szCs w:val="22"/>
        </w:rPr>
      </w:pPr>
      <w:r w:rsidRPr="00DE046C">
        <w:rPr>
          <w:rFonts w:ascii="Calibri" w:eastAsia="Calibri" w:hAnsi="Calibri" w:cs="Calibri"/>
          <w:b/>
          <w:color w:val="000000" w:themeColor="text1"/>
          <w:sz w:val="22"/>
          <w:szCs w:val="22"/>
        </w:rPr>
        <w:t>10. Estrategias de Comunicación</w:t>
      </w:r>
    </w:p>
    <w:p w14:paraId="657C404D" w14:textId="77777777" w:rsidR="00DE046C" w:rsidRPr="003D6902" w:rsidRDefault="00DE046C" w:rsidP="00DE046C">
      <w:r w:rsidRPr="00DE046C">
        <w:rPr>
          <w:rFonts w:ascii="Calibri" w:eastAsia="Calibri" w:hAnsi="Calibri" w:cs="Calibri"/>
          <w:i/>
          <w:iCs/>
          <w:color w:val="2E74B5" w:themeColor="accent1" w:themeShade="BF"/>
          <w:sz w:val="22"/>
        </w:rPr>
        <w:t>En esta sección dar detalles de la estrategia de comunicación que utilizara la organización.</w:t>
      </w:r>
    </w:p>
    <w:p w14:paraId="6ABBB305" w14:textId="77777777" w:rsidR="00DE046C" w:rsidRPr="00DE046C" w:rsidRDefault="00DE046C" w:rsidP="00DE046C">
      <w:pPr>
        <w:pStyle w:val="Ttulo1"/>
        <w:rPr>
          <w:rFonts w:ascii="Calibri" w:eastAsia="Calibri" w:hAnsi="Calibri" w:cs="Calibri"/>
          <w:b/>
          <w:caps/>
          <w:color w:val="000000" w:themeColor="text1"/>
          <w:sz w:val="22"/>
          <w:szCs w:val="22"/>
        </w:rPr>
      </w:pPr>
      <w:r w:rsidRPr="00DE046C">
        <w:rPr>
          <w:rFonts w:ascii="Calibri" w:eastAsia="Calibri" w:hAnsi="Calibri" w:cs="Calibri"/>
          <w:b/>
          <w:color w:val="000000" w:themeColor="text1"/>
          <w:sz w:val="22"/>
          <w:szCs w:val="22"/>
        </w:rPr>
        <w:t>11. Cronograma de implementación y estimación de costos</w:t>
      </w:r>
      <w:bookmarkEnd w:id="1618"/>
      <w:bookmarkEnd w:id="1619"/>
    </w:p>
    <w:p w14:paraId="3DCFB9FB" w14:textId="77777777" w:rsidR="00DE046C" w:rsidRPr="00DE046C" w:rsidRDefault="00DE046C" w:rsidP="00DE046C">
      <w:pPr>
        <w:spacing w:after="0" w:line="240" w:lineRule="auto"/>
        <w:rPr>
          <w:rFonts w:ascii="Calibri" w:eastAsia="Calibri" w:hAnsi="Calibri" w:cs="Calibri"/>
          <w:i/>
          <w:iCs/>
          <w:color w:val="2E74B5" w:themeColor="accent1" w:themeShade="BF"/>
          <w:sz w:val="22"/>
        </w:rPr>
      </w:pPr>
      <w:r w:rsidRPr="00DE046C">
        <w:rPr>
          <w:rFonts w:ascii="Calibri" w:eastAsia="Calibri" w:hAnsi="Calibri" w:cs="Calibri"/>
          <w:b/>
          <w:bCs/>
          <w:color w:val="000000" w:themeColor="text1"/>
          <w:sz w:val="22"/>
        </w:rPr>
        <w:t xml:space="preserve"> </w:t>
      </w:r>
      <w:r w:rsidRPr="00DE046C">
        <w:rPr>
          <w:rFonts w:ascii="Calibri" w:eastAsia="Calibri" w:hAnsi="Calibri" w:cs="Calibri"/>
          <w:b/>
          <w:bCs/>
          <w:i/>
          <w:iCs/>
          <w:color w:val="2E74B5" w:themeColor="accent1" w:themeShade="BF"/>
          <w:sz w:val="22"/>
        </w:rPr>
        <w:t>(</w:t>
      </w:r>
      <w:r w:rsidRPr="00DE046C">
        <w:rPr>
          <w:rFonts w:ascii="Calibri" w:eastAsia="Calibri" w:hAnsi="Calibri" w:cs="Calibri"/>
          <w:i/>
          <w:iCs/>
          <w:color w:val="2E74B5" w:themeColor="accent1" w:themeShade="BF"/>
          <w:sz w:val="22"/>
        </w:rPr>
        <w:t>En esta sección se presenta el cronograma y presupuesto de implementación de las medidas de mitigación, actividades de participación y fortalecimiento capacidades.  La estimación de costos puede centrarse en los rubros que serán cubiertos por el organismo de ejecución del subproyecto. De contratarse un contratista de obra el contratista deberá calcular los costos de las medidas de mitigación que adoptará. No será necesario en caso de que ya esté incluido en otro lugar del Plan de Negocios).</w:t>
      </w:r>
    </w:p>
    <w:p w14:paraId="651EB2FD" w14:textId="77777777" w:rsidR="00DE046C" w:rsidRPr="00DE046C" w:rsidRDefault="00DE046C" w:rsidP="00DE046C">
      <w:pPr>
        <w:pStyle w:val="Prrafodelista"/>
        <w:spacing w:after="0" w:line="240" w:lineRule="auto"/>
        <w:ind w:left="786"/>
        <w:rPr>
          <w:rFonts w:ascii="Calibri" w:eastAsia="Calibri" w:hAnsi="Calibri" w:cs="Calibri"/>
          <w:i/>
          <w:iCs/>
          <w:color w:val="2E74B5" w:themeColor="accent1" w:themeShade="BF"/>
          <w:sz w:val="22"/>
        </w:rPr>
      </w:pPr>
    </w:p>
    <w:p w14:paraId="65C587D2" w14:textId="77777777" w:rsidR="00DE046C" w:rsidRPr="00DE046C" w:rsidRDefault="00DE046C" w:rsidP="00DE046C">
      <w:pPr>
        <w:spacing w:line="279" w:lineRule="auto"/>
        <w:rPr>
          <w:rFonts w:ascii="Calibri" w:eastAsia="Calibri" w:hAnsi="Calibri" w:cs="Calibri"/>
          <w:i/>
          <w:iCs/>
          <w:color w:val="2E74B5" w:themeColor="accent1" w:themeShade="BF"/>
          <w:sz w:val="22"/>
        </w:rPr>
      </w:pPr>
      <w:r w:rsidRPr="00DE046C">
        <w:rPr>
          <w:rFonts w:ascii="Calibri" w:eastAsia="Calibri" w:hAnsi="Calibri" w:cs="Calibri"/>
          <w:i/>
          <w:iCs/>
          <w:color w:val="2E74B5" w:themeColor="accent1" w:themeShade="BF"/>
          <w:sz w:val="22"/>
        </w:rPr>
        <w:t>11.1 Cronograma de Implementación.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96"/>
        <w:gridCol w:w="1225"/>
        <w:gridCol w:w="1325"/>
        <w:gridCol w:w="947"/>
        <w:gridCol w:w="30"/>
        <w:gridCol w:w="968"/>
        <w:gridCol w:w="947"/>
        <w:gridCol w:w="2482"/>
      </w:tblGrid>
      <w:tr w:rsidR="00DE046C" w:rsidRPr="006C6436" w14:paraId="48482841" w14:textId="77777777" w:rsidTr="00453510">
        <w:trPr>
          <w:tblHeader/>
          <w:tblCellSpacing w:w="15" w:type="dxa"/>
        </w:trPr>
        <w:tc>
          <w:tcPr>
            <w:tcW w:w="0" w:type="auto"/>
            <w:shd w:val="clear" w:color="auto" w:fill="5CC5DA"/>
            <w:vAlign w:val="center"/>
            <w:hideMark/>
          </w:tcPr>
          <w:p w14:paraId="65F8836A" w14:textId="77777777" w:rsidR="00DE046C" w:rsidRPr="00B317EE" w:rsidRDefault="00DE046C" w:rsidP="00453510">
            <w:pPr>
              <w:spacing w:after="0" w:line="240" w:lineRule="auto"/>
              <w:jc w:val="center"/>
              <w:rPr>
                <w:rFonts w:eastAsia="Times New Roman" w:cs="Arial"/>
                <w:b/>
                <w:bCs/>
                <w:sz w:val="20"/>
                <w:szCs w:val="20"/>
                <w:lang w:val="es-HN" w:eastAsia="es-HN"/>
              </w:rPr>
            </w:pPr>
            <w:r w:rsidRPr="00B317EE">
              <w:rPr>
                <w:rFonts w:eastAsia="Times New Roman" w:cs="Arial"/>
                <w:b/>
                <w:bCs/>
                <w:sz w:val="20"/>
                <w:szCs w:val="20"/>
                <w:lang w:val="es-HN" w:eastAsia="es-HN"/>
              </w:rPr>
              <w:t>Actividad</w:t>
            </w:r>
          </w:p>
        </w:tc>
        <w:tc>
          <w:tcPr>
            <w:tcW w:w="0" w:type="auto"/>
            <w:shd w:val="clear" w:color="auto" w:fill="5CC5DA"/>
            <w:vAlign w:val="center"/>
            <w:hideMark/>
          </w:tcPr>
          <w:p w14:paraId="09D66A94" w14:textId="77777777" w:rsidR="00DE046C" w:rsidRPr="00B317EE" w:rsidRDefault="00DE046C" w:rsidP="00453510">
            <w:pPr>
              <w:spacing w:after="0" w:line="240" w:lineRule="auto"/>
              <w:jc w:val="center"/>
              <w:rPr>
                <w:rFonts w:eastAsia="Times New Roman" w:cs="Arial"/>
                <w:b/>
                <w:bCs/>
                <w:sz w:val="20"/>
                <w:szCs w:val="20"/>
                <w:lang w:val="es-HN" w:eastAsia="es-HN"/>
              </w:rPr>
            </w:pPr>
            <w:r w:rsidRPr="00B317EE">
              <w:rPr>
                <w:rFonts w:eastAsia="Times New Roman" w:cs="Arial"/>
                <w:b/>
                <w:bCs/>
                <w:sz w:val="20"/>
                <w:szCs w:val="20"/>
                <w:lang w:val="es-HN" w:eastAsia="es-HN"/>
              </w:rPr>
              <w:t>Descripción</w:t>
            </w:r>
          </w:p>
        </w:tc>
        <w:tc>
          <w:tcPr>
            <w:tcW w:w="0" w:type="auto"/>
            <w:shd w:val="clear" w:color="auto" w:fill="5CC5DA"/>
            <w:vAlign w:val="center"/>
            <w:hideMark/>
          </w:tcPr>
          <w:p w14:paraId="01C366EB" w14:textId="77777777" w:rsidR="00DE046C" w:rsidRPr="00B317EE" w:rsidRDefault="00DE046C" w:rsidP="00453510">
            <w:pPr>
              <w:spacing w:after="0" w:line="240" w:lineRule="auto"/>
              <w:jc w:val="center"/>
              <w:rPr>
                <w:rFonts w:eastAsia="Times New Roman" w:cs="Arial"/>
                <w:b/>
                <w:bCs/>
                <w:sz w:val="20"/>
                <w:szCs w:val="20"/>
                <w:lang w:val="es-HN" w:eastAsia="es-HN"/>
              </w:rPr>
            </w:pPr>
            <w:r w:rsidRPr="00B317EE">
              <w:rPr>
                <w:rFonts w:eastAsia="Times New Roman" w:cs="Arial"/>
                <w:b/>
                <w:bCs/>
                <w:sz w:val="20"/>
                <w:szCs w:val="20"/>
                <w:lang w:val="es-HN" w:eastAsia="es-HN"/>
              </w:rPr>
              <w:t>Responsable</w:t>
            </w:r>
          </w:p>
        </w:tc>
        <w:tc>
          <w:tcPr>
            <w:tcW w:w="1094" w:type="dxa"/>
            <w:gridSpan w:val="2"/>
            <w:shd w:val="clear" w:color="auto" w:fill="5CC5DA"/>
            <w:vAlign w:val="center"/>
            <w:hideMark/>
          </w:tcPr>
          <w:p w14:paraId="404FECDC" w14:textId="77777777" w:rsidR="00DE046C" w:rsidRPr="00B317EE" w:rsidRDefault="00DE046C" w:rsidP="00453510">
            <w:pPr>
              <w:spacing w:after="0" w:line="240" w:lineRule="auto"/>
              <w:jc w:val="center"/>
              <w:rPr>
                <w:rFonts w:eastAsia="Times New Roman" w:cs="Arial"/>
                <w:b/>
                <w:bCs/>
                <w:sz w:val="20"/>
                <w:szCs w:val="20"/>
                <w:lang w:val="es-HN" w:eastAsia="es-HN"/>
              </w:rPr>
            </w:pPr>
            <w:r w:rsidRPr="00B317EE">
              <w:rPr>
                <w:rFonts w:eastAsia="Times New Roman" w:cs="Arial"/>
                <w:b/>
                <w:bCs/>
                <w:sz w:val="20"/>
                <w:szCs w:val="20"/>
                <w:lang w:val="es-HN" w:eastAsia="es-HN"/>
              </w:rPr>
              <w:t>Fecha de Inicio</w:t>
            </w:r>
          </w:p>
        </w:tc>
        <w:tc>
          <w:tcPr>
            <w:tcW w:w="938" w:type="dxa"/>
            <w:shd w:val="clear" w:color="auto" w:fill="5CC5DA"/>
            <w:vAlign w:val="center"/>
            <w:hideMark/>
          </w:tcPr>
          <w:p w14:paraId="553E8333" w14:textId="77777777" w:rsidR="00DE046C" w:rsidRPr="00B317EE" w:rsidRDefault="00DE046C" w:rsidP="00453510">
            <w:pPr>
              <w:spacing w:after="0" w:line="240" w:lineRule="auto"/>
              <w:jc w:val="center"/>
              <w:rPr>
                <w:rFonts w:eastAsia="Times New Roman" w:cs="Arial"/>
                <w:b/>
                <w:bCs/>
                <w:sz w:val="20"/>
                <w:szCs w:val="20"/>
                <w:lang w:val="es-HN" w:eastAsia="es-HN"/>
              </w:rPr>
            </w:pPr>
            <w:r w:rsidRPr="00B317EE">
              <w:rPr>
                <w:rFonts w:eastAsia="Times New Roman" w:cs="Arial"/>
                <w:b/>
                <w:bCs/>
                <w:sz w:val="20"/>
                <w:szCs w:val="20"/>
                <w:lang w:val="es-HN" w:eastAsia="es-HN"/>
              </w:rPr>
              <w:t>Fecha de Término</w:t>
            </w:r>
          </w:p>
        </w:tc>
        <w:tc>
          <w:tcPr>
            <w:tcW w:w="0" w:type="auto"/>
            <w:shd w:val="clear" w:color="auto" w:fill="5CC5DA"/>
            <w:vAlign w:val="center"/>
            <w:hideMark/>
          </w:tcPr>
          <w:p w14:paraId="5A3C0CC0" w14:textId="77777777" w:rsidR="00DE046C" w:rsidRPr="00B317EE" w:rsidRDefault="00DE046C" w:rsidP="00453510">
            <w:pPr>
              <w:spacing w:after="0" w:line="240" w:lineRule="auto"/>
              <w:jc w:val="center"/>
              <w:rPr>
                <w:rFonts w:eastAsia="Times New Roman" w:cs="Arial"/>
                <w:b/>
                <w:bCs/>
                <w:sz w:val="20"/>
                <w:szCs w:val="20"/>
                <w:lang w:val="es-HN" w:eastAsia="es-HN"/>
              </w:rPr>
            </w:pPr>
            <w:r w:rsidRPr="00B317EE">
              <w:rPr>
                <w:rFonts w:eastAsia="Times New Roman" w:cs="Arial"/>
                <w:b/>
                <w:bCs/>
                <w:sz w:val="20"/>
                <w:szCs w:val="20"/>
                <w:lang w:val="es-HN" w:eastAsia="es-HN"/>
              </w:rPr>
              <w:t>Duración</w:t>
            </w:r>
          </w:p>
        </w:tc>
        <w:tc>
          <w:tcPr>
            <w:tcW w:w="2437" w:type="dxa"/>
            <w:shd w:val="clear" w:color="auto" w:fill="5CC5DA"/>
            <w:vAlign w:val="center"/>
            <w:hideMark/>
          </w:tcPr>
          <w:p w14:paraId="4CC1F7B1" w14:textId="77777777" w:rsidR="00DE046C" w:rsidRPr="00B317EE" w:rsidRDefault="00DE046C" w:rsidP="00453510">
            <w:pPr>
              <w:spacing w:after="0" w:line="240" w:lineRule="auto"/>
              <w:jc w:val="center"/>
              <w:rPr>
                <w:rFonts w:eastAsia="Times New Roman" w:cs="Arial"/>
                <w:b/>
                <w:bCs/>
                <w:sz w:val="20"/>
                <w:szCs w:val="20"/>
                <w:lang w:val="es-HN" w:eastAsia="es-HN"/>
              </w:rPr>
            </w:pPr>
            <w:r w:rsidRPr="00B317EE">
              <w:rPr>
                <w:rFonts w:eastAsia="Times New Roman" w:cs="Arial"/>
                <w:b/>
                <w:bCs/>
                <w:sz w:val="20"/>
                <w:szCs w:val="20"/>
                <w:lang w:val="es-HN" w:eastAsia="es-HN"/>
              </w:rPr>
              <w:t>Dependencias</w:t>
            </w:r>
          </w:p>
        </w:tc>
      </w:tr>
      <w:tr w:rsidR="00DE046C" w:rsidRPr="006C6436" w14:paraId="2D4F4CB0" w14:textId="77777777" w:rsidTr="00453510">
        <w:trPr>
          <w:tblCellSpacing w:w="15" w:type="dxa"/>
        </w:trPr>
        <w:tc>
          <w:tcPr>
            <w:tcW w:w="0" w:type="auto"/>
            <w:vAlign w:val="center"/>
          </w:tcPr>
          <w:p w14:paraId="133D0F1F" w14:textId="77777777" w:rsidR="00DE046C" w:rsidRPr="00B317EE" w:rsidRDefault="00DE046C" w:rsidP="00453510">
            <w:pPr>
              <w:spacing w:after="0" w:line="240" w:lineRule="auto"/>
              <w:rPr>
                <w:rFonts w:eastAsia="Times New Roman" w:cs="Arial"/>
                <w:sz w:val="20"/>
                <w:szCs w:val="20"/>
                <w:lang w:val="es-HN" w:eastAsia="es-HN"/>
              </w:rPr>
            </w:pPr>
          </w:p>
        </w:tc>
        <w:tc>
          <w:tcPr>
            <w:tcW w:w="0" w:type="auto"/>
            <w:vAlign w:val="center"/>
          </w:tcPr>
          <w:p w14:paraId="2879D302" w14:textId="77777777" w:rsidR="00DE046C" w:rsidRPr="00B317EE" w:rsidRDefault="00DE046C" w:rsidP="00453510">
            <w:pPr>
              <w:spacing w:after="0" w:line="240" w:lineRule="auto"/>
              <w:rPr>
                <w:rFonts w:eastAsia="Times New Roman" w:cs="Arial"/>
                <w:sz w:val="20"/>
                <w:szCs w:val="20"/>
                <w:lang w:val="es-HN" w:eastAsia="es-HN"/>
              </w:rPr>
            </w:pPr>
          </w:p>
        </w:tc>
        <w:tc>
          <w:tcPr>
            <w:tcW w:w="0" w:type="auto"/>
            <w:vAlign w:val="center"/>
          </w:tcPr>
          <w:p w14:paraId="64A0B6C9" w14:textId="77777777" w:rsidR="00DE046C" w:rsidRPr="00B317EE" w:rsidRDefault="00DE046C" w:rsidP="00453510">
            <w:pPr>
              <w:spacing w:after="0" w:line="240" w:lineRule="auto"/>
              <w:rPr>
                <w:rFonts w:eastAsia="Times New Roman" w:cs="Arial"/>
                <w:sz w:val="20"/>
                <w:szCs w:val="20"/>
                <w:lang w:val="es-HN" w:eastAsia="es-HN"/>
              </w:rPr>
            </w:pPr>
          </w:p>
        </w:tc>
        <w:tc>
          <w:tcPr>
            <w:tcW w:w="0" w:type="auto"/>
            <w:vAlign w:val="center"/>
          </w:tcPr>
          <w:p w14:paraId="04912CAB" w14:textId="77777777" w:rsidR="00DE046C" w:rsidRPr="00B317EE" w:rsidRDefault="00DE046C" w:rsidP="00453510">
            <w:pPr>
              <w:spacing w:after="0" w:line="240" w:lineRule="auto"/>
              <w:rPr>
                <w:rFonts w:eastAsia="Times New Roman" w:cs="Arial"/>
                <w:sz w:val="20"/>
                <w:szCs w:val="20"/>
                <w:lang w:val="es-HN" w:eastAsia="es-HN"/>
              </w:rPr>
            </w:pPr>
          </w:p>
        </w:tc>
        <w:tc>
          <w:tcPr>
            <w:tcW w:w="0" w:type="auto"/>
            <w:gridSpan w:val="2"/>
            <w:vAlign w:val="center"/>
          </w:tcPr>
          <w:p w14:paraId="506B41F6" w14:textId="77777777" w:rsidR="00DE046C" w:rsidRPr="00B317EE" w:rsidRDefault="00DE046C" w:rsidP="00453510">
            <w:pPr>
              <w:spacing w:after="0" w:line="240" w:lineRule="auto"/>
              <w:rPr>
                <w:rFonts w:eastAsia="Times New Roman" w:cs="Arial"/>
                <w:sz w:val="20"/>
                <w:szCs w:val="20"/>
                <w:lang w:val="es-HN" w:eastAsia="es-HN"/>
              </w:rPr>
            </w:pPr>
          </w:p>
        </w:tc>
        <w:tc>
          <w:tcPr>
            <w:tcW w:w="0" w:type="auto"/>
            <w:vAlign w:val="center"/>
          </w:tcPr>
          <w:p w14:paraId="3DCE49CB" w14:textId="77777777" w:rsidR="00DE046C" w:rsidRPr="00B317EE" w:rsidRDefault="00DE046C" w:rsidP="00453510">
            <w:pPr>
              <w:spacing w:after="0" w:line="240" w:lineRule="auto"/>
              <w:rPr>
                <w:rFonts w:eastAsia="Times New Roman" w:cs="Arial"/>
                <w:sz w:val="20"/>
                <w:szCs w:val="20"/>
                <w:lang w:val="es-HN" w:eastAsia="es-HN"/>
              </w:rPr>
            </w:pPr>
          </w:p>
        </w:tc>
        <w:tc>
          <w:tcPr>
            <w:tcW w:w="2437" w:type="dxa"/>
            <w:vAlign w:val="center"/>
          </w:tcPr>
          <w:p w14:paraId="2DF1B8E7" w14:textId="77777777" w:rsidR="00DE046C" w:rsidRPr="00B317EE" w:rsidRDefault="00DE046C" w:rsidP="00453510">
            <w:pPr>
              <w:spacing w:after="0" w:line="240" w:lineRule="auto"/>
              <w:rPr>
                <w:rFonts w:eastAsia="Times New Roman" w:cs="Arial"/>
                <w:sz w:val="20"/>
                <w:szCs w:val="20"/>
                <w:lang w:val="es-HN" w:eastAsia="es-HN"/>
              </w:rPr>
            </w:pPr>
          </w:p>
        </w:tc>
      </w:tr>
    </w:tbl>
    <w:p w14:paraId="197370AE" w14:textId="77777777" w:rsidR="00DE046C" w:rsidRPr="00DE046C" w:rsidRDefault="00DE046C" w:rsidP="00DE046C">
      <w:pPr>
        <w:spacing w:line="279" w:lineRule="auto"/>
        <w:rPr>
          <w:rFonts w:ascii="Calibri" w:eastAsia="Calibri" w:hAnsi="Calibri" w:cs="Calibri"/>
          <w:i/>
          <w:iCs/>
          <w:color w:val="2E74B5" w:themeColor="accent1" w:themeShade="BF"/>
          <w:sz w:val="22"/>
        </w:rPr>
      </w:pPr>
      <w:r w:rsidRPr="00DE046C">
        <w:rPr>
          <w:rFonts w:ascii="Calibri" w:eastAsia="Calibri" w:hAnsi="Calibri" w:cs="Calibri"/>
          <w:i/>
          <w:iCs/>
          <w:color w:val="2E74B5" w:themeColor="accent1" w:themeShade="BF"/>
          <w:sz w:val="22"/>
        </w:rPr>
        <w:t>11.2 Estimación de costos de implementación.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62"/>
        <w:gridCol w:w="1225"/>
        <w:gridCol w:w="1882"/>
        <w:gridCol w:w="651"/>
      </w:tblGrid>
      <w:tr w:rsidR="00DE046C" w:rsidRPr="006C6436" w14:paraId="5518C3CB" w14:textId="77777777" w:rsidTr="00453510">
        <w:trPr>
          <w:tblHeader/>
          <w:tblCellSpacing w:w="15" w:type="dxa"/>
        </w:trPr>
        <w:tc>
          <w:tcPr>
            <w:tcW w:w="0" w:type="auto"/>
            <w:shd w:val="clear" w:color="auto" w:fill="5CC5DA"/>
            <w:vAlign w:val="center"/>
            <w:hideMark/>
          </w:tcPr>
          <w:p w14:paraId="7CB68213" w14:textId="77777777" w:rsidR="00DE046C" w:rsidRPr="00616806" w:rsidRDefault="00DE046C" w:rsidP="00453510">
            <w:pPr>
              <w:spacing w:after="0" w:line="240" w:lineRule="auto"/>
              <w:jc w:val="center"/>
              <w:rPr>
                <w:rFonts w:eastAsia="Times New Roman" w:cs="Arial"/>
                <w:b/>
                <w:bCs/>
                <w:sz w:val="20"/>
                <w:szCs w:val="20"/>
                <w:lang w:val="es-HN" w:eastAsia="es-HN"/>
              </w:rPr>
            </w:pPr>
            <w:r w:rsidRPr="00616806">
              <w:rPr>
                <w:rFonts w:eastAsia="Times New Roman" w:cs="Arial"/>
                <w:b/>
                <w:bCs/>
                <w:sz w:val="20"/>
                <w:szCs w:val="20"/>
                <w:lang w:val="es-HN" w:eastAsia="es-HN"/>
              </w:rPr>
              <w:t>Actividad</w:t>
            </w:r>
          </w:p>
        </w:tc>
        <w:tc>
          <w:tcPr>
            <w:tcW w:w="0" w:type="auto"/>
            <w:shd w:val="clear" w:color="auto" w:fill="5CC5DA"/>
            <w:vAlign w:val="center"/>
            <w:hideMark/>
          </w:tcPr>
          <w:p w14:paraId="00A8FBF5" w14:textId="77777777" w:rsidR="00DE046C" w:rsidRPr="00616806" w:rsidRDefault="00DE046C" w:rsidP="00453510">
            <w:pPr>
              <w:spacing w:after="0" w:line="240" w:lineRule="auto"/>
              <w:jc w:val="center"/>
              <w:rPr>
                <w:rFonts w:eastAsia="Times New Roman" w:cs="Arial"/>
                <w:b/>
                <w:bCs/>
                <w:sz w:val="20"/>
                <w:szCs w:val="20"/>
                <w:lang w:val="es-HN" w:eastAsia="es-HN"/>
              </w:rPr>
            </w:pPr>
            <w:r w:rsidRPr="00616806">
              <w:rPr>
                <w:rFonts w:eastAsia="Times New Roman" w:cs="Arial"/>
                <w:b/>
                <w:bCs/>
                <w:sz w:val="20"/>
                <w:szCs w:val="20"/>
                <w:lang w:val="es-HN" w:eastAsia="es-HN"/>
              </w:rPr>
              <w:t>Descripción</w:t>
            </w:r>
          </w:p>
        </w:tc>
        <w:tc>
          <w:tcPr>
            <w:tcW w:w="0" w:type="auto"/>
            <w:shd w:val="clear" w:color="auto" w:fill="5CC5DA"/>
            <w:vAlign w:val="center"/>
            <w:hideMark/>
          </w:tcPr>
          <w:p w14:paraId="6DD68C97" w14:textId="77777777" w:rsidR="00DE046C" w:rsidRPr="00616806" w:rsidRDefault="00DE046C" w:rsidP="00453510">
            <w:pPr>
              <w:spacing w:after="0" w:line="240" w:lineRule="auto"/>
              <w:jc w:val="center"/>
              <w:rPr>
                <w:rFonts w:eastAsia="Times New Roman" w:cs="Arial"/>
                <w:b/>
                <w:bCs/>
                <w:sz w:val="20"/>
                <w:szCs w:val="20"/>
                <w:lang w:val="es-HN" w:eastAsia="es-HN"/>
              </w:rPr>
            </w:pPr>
            <w:r w:rsidRPr="00616806">
              <w:rPr>
                <w:rFonts w:eastAsia="Times New Roman" w:cs="Arial"/>
                <w:b/>
                <w:bCs/>
                <w:sz w:val="20"/>
                <w:szCs w:val="20"/>
                <w:lang w:val="es-HN" w:eastAsia="es-HN"/>
              </w:rPr>
              <w:t>Costo Estimado (L)</w:t>
            </w:r>
          </w:p>
        </w:tc>
        <w:tc>
          <w:tcPr>
            <w:tcW w:w="0" w:type="auto"/>
            <w:shd w:val="clear" w:color="auto" w:fill="5CC5DA"/>
            <w:vAlign w:val="center"/>
            <w:hideMark/>
          </w:tcPr>
          <w:p w14:paraId="5ADC6B99" w14:textId="77777777" w:rsidR="00DE046C" w:rsidRPr="00616806" w:rsidRDefault="00DE046C" w:rsidP="00453510">
            <w:pPr>
              <w:spacing w:after="0" w:line="240" w:lineRule="auto"/>
              <w:jc w:val="center"/>
              <w:rPr>
                <w:rFonts w:eastAsia="Times New Roman" w:cs="Arial"/>
                <w:b/>
                <w:bCs/>
                <w:sz w:val="20"/>
                <w:szCs w:val="20"/>
                <w:lang w:val="es-HN" w:eastAsia="es-HN"/>
              </w:rPr>
            </w:pPr>
            <w:r w:rsidRPr="00616806">
              <w:rPr>
                <w:rFonts w:eastAsia="Times New Roman" w:cs="Arial"/>
                <w:b/>
                <w:bCs/>
                <w:sz w:val="20"/>
                <w:szCs w:val="20"/>
                <w:lang w:val="es-HN" w:eastAsia="es-HN"/>
              </w:rPr>
              <w:t>Notas</w:t>
            </w:r>
          </w:p>
        </w:tc>
      </w:tr>
      <w:tr w:rsidR="00DE046C" w:rsidRPr="006C6436" w14:paraId="2563CA51" w14:textId="77777777" w:rsidTr="00453510">
        <w:trPr>
          <w:tblCellSpacing w:w="15" w:type="dxa"/>
        </w:trPr>
        <w:tc>
          <w:tcPr>
            <w:tcW w:w="0" w:type="auto"/>
            <w:vAlign w:val="center"/>
            <w:hideMark/>
          </w:tcPr>
          <w:p w14:paraId="321C1C36" w14:textId="77777777" w:rsidR="00DE046C" w:rsidRPr="00A6625D" w:rsidRDefault="00DE046C" w:rsidP="00453510">
            <w:pPr>
              <w:spacing w:after="0" w:line="240" w:lineRule="auto"/>
              <w:rPr>
                <w:rFonts w:ascii="Calibri" w:eastAsia="Calibri" w:hAnsi="Calibri" w:cs="Calibri"/>
                <w:i/>
                <w:iCs/>
                <w:color w:val="2E74B5" w:themeColor="accent1" w:themeShade="BF"/>
                <w:sz w:val="22"/>
                <w:lang w:eastAsia="es-SV"/>
              </w:rPr>
            </w:pPr>
            <w:r w:rsidRPr="00A6625D">
              <w:rPr>
                <w:rFonts w:ascii="Calibri" w:eastAsia="Calibri" w:hAnsi="Calibri" w:cs="Calibri"/>
                <w:i/>
                <w:iCs/>
                <w:color w:val="2E74B5" w:themeColor="accent1" w:themeShade="BF"/>
                <w:sz w:val="22"/>
                <w:lang w:eastAsia="es-SV"/>
              </w:rPr>
              <w:t>1.1. Diagnóstico Inicial y Evaluación de Necesidades</w:t>
            </w:r>
          </w:p>
        </w:tc>
        <w:tc>
          <w:tcPr>
            <w:tcW w:w="0" w:type="auto"/>
            <w:vAlign w:val="center"/>
          </w:tcPr>
          <w:p w14:paraId="7B7318CF" w14:textId="77777777" w:rsidR="00DE046C" w:rsidRPr="00616806" w:rsidRDefault="00DE046C" w:rsidP="00453510">
            <w:pPr>
              <w:spacing w:after="0" w:line="240" w:lineRule="auto"/>
              <w:rPr>
                <w:rFonts w:eastAsia="Times New Roman" w:cs="Arial"/>
                <w:sz w:val="20"/>
                <w:szCs w:val="20"/>
                <w:lang w:val="es-HN" w:eastAsia="es-HN"/>
              </w:rPr>
            </w:pPr>
          </w:p>
        </w:tc>
        <w:tc>
          <w:tcPr>
            <w:tcW w:w="0" w:type="auto"/>
            <w:vAlign w:val="center"/>
          </w:tcPr>
          <w:p w14:paraId="098BAB33" w14:textId="77777777" w:rsidR="00DE046C" w:rsidRPr="00616806" w:rsidRDefault="00DE046C" w:rsidP="00453510">
            <w:pPr>
              <w:spacing w:after="0" w:line="240" w:lineRule="auto"/>
              <w:rPr>
                <w:rFonts w:eastAsia="Times New Roman" w:cs="Arial"/>
                <w:sz w:val="20"/>
                <w:szCs w:val="20"/>
                <w:lang w:val="es-HN" w:eastAsia="es-HN"/>
              </w:rPr>
            </w:pPr>
          </w:p>
        </w:tc>
        <w:tc>
          <w:tcPr>
            <w:tcW w:w="0" w:type="auto"/>
            <w:vAlign w:val="center"/>
          </w:tcPr>
          <w:p w14:paraId="4E336984" w14:textId="77777777" w:rsidR="00DE046C" w:rsidRPr="00616806" w:rsidRDefault="00DE046C" w:rsidP="00453510">
            <w:pPr>
              <w:spacing w:after="0" w:line="240" w:lineRule="auto"/>
              <w:rPr>
                <w:rFonts w:eastAsia="Times New Roman" w:cs="Arial"/>
                <w:sz w:val="20"/>
                <w:szCs w:val="20"/>
                <w:lang w:val="es-HN" w:eastAsia="es-HN"/>
              </w:rPr>
            </w:pPr>
          </w:p>
        </w:tc>
      </w:tr>
      <w:tr w:rsidR="00DE046C" w:rsidRPr="006C6436" w14:paraId="36A042DC" w14:textId="77777777" w:rsidTr="00453510">
        <w:trPr>
          <w:tblCellSpacing w:w="15" w:type="dxa"/>
        </w:trPr>
        <w:tc>
          <w:tcPr>
            <w:tcW w:w="0" w:type="auto"/>
            <w:vAlign w:val="center"/>
            <w:hideMark/>
          </w:tcPr>
          <w:p w14:paraId="00554558" w14:textId="77777777" w:rsidR="00DE046C" w:rsidRPr="00A6625D" w:rsidRDefault="00DE046C" w:rsidP="00453510">
            <w:pPr>
              <w:spacing w:after="0" w:line="240" w:lineRule="auto"/>
              <w:rPr>
                <w:rFonts w:ascii="Calibri" w:eastAsia="Calibri" w:hAnsi="Calibri" w:cs="Calibri"/>
                <w:i/>
                <w:iCs/>
                <w:color w:val="2E74B5" w:themeColor="accent1" w:themeShade="BF"/>
                <w:sz w:val="22"/>
                <w:lang w:eastAsia="es-SV"/>
              </w:rPr>
            </w:pPr>
            <w:r w:rsidRPr="00A6625D">
              <w:rPr>
                <w:rFonts w:ascii="Calibri" w:eastAsia="Calibri" w:hAnsi="Calibri" w:cs="Calibri"/>
                <w:i/>
                <w:iCs/>
                <w:color w:val="2E74B5" w:themeColor="accent1" w:themeShade="BF"/>
                <w:sz w:val="22"/>
                <w:lang w:eastAsia="es-SV"/>
              </w:rPr>
              <w:t>1.2. Talleres de Sensibilización y Participación Comunitaria</w:t>
            </w:r>
          </w:p>
        </w:tc>
        <w:tc>
          <w:tcPr>
            <w:tcW w:w="0" w:type="auto"/>
            <w:vAlign w:val="center"/>
          </w:tcPr>
          <w:p w14:paraId="6251F21F" w14:textId="77777777" w:rsidR="00DE046C" w:rsidRPr="00616806" w:rsidRDefault="00DE046C" w:rsidP="00453510">
            <w:pPr>
              <w:spacing w:after="0" w:line="240" w:lineRule="auto"/>
              <w:rPr>
                <w:rFonts w:eastAsia="Times New Roman" w:cs="Arial"/>
                <w:sz w:val="20"/>
                <w:szCs w:val="20"/>
                <w:lang w:val="es-HN" w:eastAsia="es-HN"/>
              </w:rPr>
            </w:pPr>
          </w:p>
        </w:tc>
        <w:tc>
          <w:tcPr>
            <w:tcW w:w="0" w:type="auto"/>
            <w:vAlign w:val="center"/>
          </w:tcPr>
          <w:p w14:paraId="7CC26F18" w14:textId="77777777" w:rsidR="00DE046C" w:rsidRPr="00616806" w:rsidRDefault="00DE046C" w:rsidP="00453510">
            <w:pPr>
              <w:spacing w:after="0" w:line="240" w:lineRule="auto"/>
              <w:rPr>
                <w:rFonts w:eastAsia="Times New Roman" w:cs="Arial"/>
                <w:sz w:val="20"/>
                <w:szCs w:val="20"/>
                <w:lang w:val="es-HN" w:eastAsia="es-HN"/>
              </w:rPr>
            </w:pPr>
          </w:p>
        </w:tc>
        <w:tc>
          <w:tcPr>
            <w:tcW w:w="0" w:type="auto"/>
            <w:vAlign w:val="center"/>
          </w:tcPr>
          <w:p w14:paraId="4A2CE028" w14:textId="77777777" w:rsidR="00DE046C" w:rsidRPr="00616806" w:rsidRDefault="00DE046C" w:rsidP="00453510">
            <w:pPr>
              <w:spacing w:after="0" w:line="240" w:lineRule="auto"/>
              <w:rPr>
                <w:rFonts w:eastAsia="Times New Roman" w:cs="Arial"/>
                <w:sz w:val="20"/>
                <w:szCs w:val="20"/>
                <w:lang w:val="es-HN" w:eastAsia="es-HN"/>
              </w:rPr>
            </w:pPr>
          </w:p>
        </w:tc>
      </w:tr>
      <w:tr w:rsidR="00DE046C" w:rsidRPr="006C6436" w14:paraId="20947FDC" w14:textId="77777777" w:rsidTr="00453510">
        <w:trPr>
          <w:tblCellSpacing w:w="15" w:type="dxa"/>
        </w:trPr>
        <w:tc>
          <w:tcPr>
            <w:tcW w:w="0" w:type="auto"/>
            <w:vAlign w:val="center"/>
            <w:hideMark/>
          </w:tcPr>
          <w:p w14:paraId="3D31D414" w14:textId="77777777" w:rsidR="00DE046C" w:rsidRPr="00A6625D" w:rsidRDefault="00DE046C" w:rsidP="00453510">
            <w:pPr>
              <w:spacing w:after="0" w:line="240" w:lineRule="auto"/>
              <w:rPr>
                <w:rFonts w:ascii="Calibri" w:eastAsia="Calibri" w:hAnsi="Calibri" w:cs="Calibri"/>
                <w:i/>
                <w:iCs/>
                <w:color w:val="2E74B5" w:themeColor="accent1" w:themeShade="BF"/>
                <w:sz w:val="22"/>
                <w:lang w:eastAsia="es-SV"/>
              </w:rPr>
            </w:pPr>
            <w:r w:rsidRPr="00A6625D">
              <w:rPr>
                <w:rFonts w:ascii="Calibri" w:eastAsia="Calibri" w:hAnsi="Calibri" w:cs="Calibri"/>
                <w:i/>
                <w:iCs/>
                <w:color w:val="2E74B5" w:themeColor="accent1" w:themeShade="BF"/>
                <w:sz w:val="22"/>
                <w:lang w:eastAsia="es-SV"/>
              </w:rPr>
              <w:t>1.3. Elaboración de Plan de Mitigación</w:t>
            </w:r>
          </w:p>
        </w:tc>
        <w:tc>
          <w:tcPr>
            <w:tcW w:w="0" w:type="auto"/>
            <w:vAlign w:val="center"/>
          </w:tcPr>
          <w:p w14:paraId="3BA1DB28" w14:textId="77777777" w:rsidR="00DE046C" w:rsidRPr="00616806" w:rsidRDefault="00DE046C" w:rsidP="00453510">
            <w:pPr>
              <w:spacing w:after="0" w:line="240" w:lineRule="auto"/>
              <w:rPr>
                <w:rFonts w:eastAsia="Times New Roman" w:cs="Arial"/>
                <w:sz w:val="20"/>
                <w:szCs w:val="20"/>
                <w:lang w:val="es-HN" w:eastAsia="es-HN"/>
              </w:rPr>
            </w:pPr>
          </w:p>
        </w:tc>
        <w:tc>
          <w:tcPr>
            <w:tcW w:w="0" w:type="auto"/>
            <w:vAlign w:val="center"/>
          </w:tcPr>
          <w:p w14:paraId="4B6169D8" w14:textId="77777777" w:rsidR="00DE046C" w:rsidRPr="00616806" w:rsidRDefault="00DE046C" w:rsidP="00453510">
            <w:pPr>
              <w:spacing w:after="0" w:line="240" w:lineRule="auto"/>
              <w:rPr>
                <w:rFonts w:eastAsia="Times New Roman" w:cs="Arial"/>
                <w:sz w:val="20"/>
                <w:szCs w:val="20"/>
                <w:lang w:val="es-HN" w:eastAsia="es-HN"/>
              </w:rPr>
            </w:pPr>
          </w:p>
        </w:tc>
        <w:tc>
          <w:tcPr>
            <w:tcW w:w="0" w:type="auto"/>
            <w:vAlign w:val="center"/>
          </w:tcPr>
          <w:p w14:paraId="732654EA" w14:textId="77777777" w:rsidR="00DE046C" w:rsidRPr="00616806" w:rsidRDefault="00DE046C" w:rsidP="00453510">
            <w:pPr>
              <w:spacing w:after="0" w:line="240" w:lineRule="auto"/>
              <w:rPr>
                <w:rFonts w:eastAsia="Times New Roman" w:cs="Arial"/>
                <w:sz w:val="20"/>
                <w:szCs w:val="20"/>
                <w:lang w:val="es-HN" w:eastAsia="es-HN"/>
              </w:rPr>
            </w:pPr>
          </w:p>
        </w:tc>
      </w:tr>
      <w:tr w:rsidR="00DE046C" w:rsidRPr="006C6436" w14:paraId="1527C62F" w14:textId="77777777" w:rsidTr="00453510">
        <w:trPr>
          <w:tblCellSpacing w:w="15" w:type="dxa"/>
        </w:trPr>
        <w:tc>
          <w:tcPr>
            <w:tcW w:w="0" w:type="auto"/>
            <w:vAlign w:val="center"/>
            <w:hideMark/>
          </w:tcPr>
          <w:p w14:paraId="7BF9CF4B" w14:textId="77777777" w:rsidR="00DE046C" w:rsidRPr="00A6625D" w:rsidRDefault="00DE046C" w:rsidP="00453510">
            <w:pPr>
              <w:spacing w:after="0" w:line="240" w:lineRule="auto"/>
              <w:rPr>
                <w:rFonts w:ascii="Calibri" w:eastAsia="Calibri" w:hAnsi="Calibri" w:cs="Calibri"/>
                <w:i/>
                <w:iCs/>
                <w:color w:val="2E74B5" w:themeColor="accent1" w:themeShade="BF"/>
                <w:sz w:val="22"/>
                <w:lang w:eastAsia="es-SV"/>
              </w:rPr>
            </w:pPr>
            <w:r w:rsidRPr="00A6625D">
              <w:rPr>
                <w:rFonts w:ascii="Calibri" w:eastAsia="Calibri" w:hAnsi="Calibri" w:cs="Calibri"/>
                <w:i/>
                <w:iCs/>
                <w:color w:val="2E74B5" w:themeColor="accent1" w:themeShade="BF"/>
                <w:sz w:val="22"/>
                <w:lang w:eastAsia="es-SV"/>
              </w:rPr>
              <w:t>1.4. Capacitación en Buenas Prácticas Agropecuarias</w:t>
            </w:r>
          </w:p>
        </w:tc>
        <w:tc>
          <w:tcPr>
            <w:tcW w:w="0" w:type="auto"/>
            <w:vAlign w:val="center"/>
          </w:tcPr>
          <w:p w14:paraId="39926F2D" w14:textId="77777777" w:rsidR="00DE046C" w:rsidRPr="00616806" w:rsidRDefault="00DE046C" w:rsidP="00453510">
            <w:pPr>
              <w:spacing w:after="0" w:line="240" w:lineRule="auto"/>
              <w:rPr>
                <w:rFonts w:eastAsia="Times New Roman" w:cs="Arial"/>
                <w:sz w:val="20"/>
                <w:szCs w:val="20"/>
                <w:lang w:val="es-HN" w:eastAsia="es-HN"/>
              </w:rPr>
            </w:pPr>
          </w:p>
        </w:tc>
        <w:tc>
          <w:tcPr>
            <w:tcW w:w="0" w:type="auto"/>
            <w:vAlign w:val="center"/>
          </w:tcPr>
          <w:p w14:paraId="41BFDFCC" w14:textId="77777777" w:rsidR="00DE046C" w:rsidRPr="00616806" w:rsidRDefault="00DE046C" w:rsidP="00453510">
            <w:pPr>
              <w:spacing w:after="0" w:line="240" w:lineRule="auto"/>
              <w:rPr>
                <w:rFonts w:eastAsia="Times New Roman" w:cs="Arial"/>
                <w:sz w:val="20"/>
                <w:szCs w:val="20"/>
                <w:lang w:val="es-HN" w:eastAsia="es-HN"/>
              </w:rPr>
            </w:pPr>
          </w:p>
        </w:tc>
        <w:tc>
          <w:tcPr>
            <w:tcW w:w="0" w:type="auto"/>
            <w:vAlign w:val="center"/>
          </w:tcPr>
          <w:p w14:paraId="78F975C4" w14:textId="77777777" w:rsidR="00DE046C" w:rsidRPr="00616806" w:rsidRDefault="00DE046C" w:rsidP="00453510">
            <w:pPr>
              <w:spacing w:after="0" w:line="240" w:lineRule="auto"/>
              <w:rPr>
                <w:rFonts w:eastAsia="Times New Roman" w:cs="Arial"/>
                <w:sz w:val="20"/>
                <w:szCs w:val="20"/>
                <w:lang w:val="es-HN" w:eastAsia="es-HN"/>
              </w:rPr>
            </w:pPr>
          </w:p>
        </w:tc>
      </w:tr>
      <w:tr w:rsidR="00DE046C" w:rsidRPr="006C6436" w14:paraId="35947367" w14:textId="77777777" w:rsidTr="00453510">
        <w:trPr>
          <w:tblCellSpacing w:w="15" w:type="dxa"/>
        </w:trPr>
        <w:tc>
          <w:tcPr>
            <w:tcW w:w="0" w:type="auto"/>
            <w:vAlign w:val="center"/>
            <w:hideMark/>
          </w:tcPr>
          <w:p w14:paraId="31EAB4CB" w14:textId="77777777" w:rsidR="00DE046C" w:rsidRPr="00A6625D" w:rsidRDefault="00DE046C" w:rsidP="00453510">
            <w:pPr>
              <w:spacing w:after="0" w:line="240" w:lineRule="auto"/>
              <w:rPr>
                <w:rFonts w:ascii="Calibri" w:eastAsia="Calibri" w:hAnsi="Calibri" w:cs="Calibri"/>
                <w:i/>
                <w:iCs/>
                <w:color w:val="2E74B5" w:themeColor="accent1" w:themeShade="BF"/>
                <w:sz w:val="22"/>
                <w:lang w:eastAsia="es-SV"/>
              </w:rPr>
            </w:pPr>
            <w:r w:rsidRPr="00A6625D">
              <w:rPr>
                <w:rFonts w:ascii="Calibri" w:eastAsia="Calibri" w:hAnsi="Calibri" w:cs="Calibri"/>
                <w:i/>
                <w:iCs/>
                <w:color w:val="2E74B5" w:themeColor="accent1" w:themeShade="BF"/>
                <w:sz w:val="22"/>
                <w:lang w:eastAsia="es-SV"/>
              </w:rPr>
              <w:t>1.5. Implementación de Medidas de Mitigación</w:t>
            </w:r>
          </w:p>
        </w:tc>
        <w:tc>
          <w:tcPr>
            <w:tcW w:w="0" w:type="auto"/>
            <w:vAlign w:val="center"/>
          </w:tcPr>
          <w:p w14:paraId="1426A0AC" w14:textId="77777777" w:rsidR="00DE046C" w:rsidRPr="00616806" w:rsidRDefault="00DE046C" w:rsidP="00453510">
            <w:pPr>
              <w:spacing w:after="0" w:line="240" w:lineRule="auto"/>
              <w:rPr>
                <w:rFonts w:eastAsia="Times New Roman" w:cs="Arial"/>
                <w:sz w:val="20"/>
                <w:szCs w:val="20"/>
                <w:lang w:val="es-HN" w:eastAsia="es-HN"/>
              </w:rPr>
            </w:pPr>
          </w:p>
        </w:tc>
        <w:tc>
          <w:tcPr>
            <w:tcW w:w="0" w:type="auto"/>
            <w:vAlign w:val="center"/>
          </w:tcPr>
          <w:p w14:paraId="28EEA08E" w14:textId="77777777" w:rsidR="00DE046C" w:rsidRPr="00616806" w:rsidRDefault="00DE046C" w:rsidP="00453510">
            <w:pPr>
              <w:spacing w:after="0" w:line="240" w:lineRule="auto"/>
              <w:rPr>
                <w:rFonts w:eastAsia="Times New Roman" w:cs="Arial"/>
                <w:sz w:val="20"/>
                <w:szCs w:val="20"/>
                <w:lang w:val="es-HN" w:eastAsia="es-HN"/>
              </w:rPr>
            </w:pPr>
          </w:p>
        </w:tc>
        <w:tc>
          <w:tcPr>
            <w:tcW w:w="0" w:type="auto"/>
            <w:vAlign w:val="center"/>
          </w:tcPr>
          <w:p w14:paraId="659238A8" w14:textId="77777777" w:rsidR="00DE046C" w:rsidRPr="00616806" w:rsidRDefault="00DE046C" w:rsidP="00453510">
            <w:pPr>
              <w:spacing w:after="0" w:line="240" w:lineRule="auto"/>
              <w:rPr>
                <w:rFonts w:eastAsia="Times New Roman" w:cs="Arial"/>
                <w:sz w:val="20"/>
                <w:szCs w:val="20"/>
                <w:lang w:val="es-HN" w:eastAsia="es-HN"/>
              </w:rPr>
            </w:pPr>
          </w:p>
        </w:tc>
      </w:tr>
      <w:tr w:rsidR="00DE046C" w:rsidRPr="006C6436" w14:paraId="056929E6" w14:textId="77777777" w:rsidTr="00453510">
        <w:trPr>
          <w:tblCellSpacing w:w="15" w:type="dxa"/>
        </w:trPr>
        <w:tc>
          <w:tcPr>
            <w:tcW w:w="0" w:type="auto"/>
            <w:vAlign w:val="center"/>
            <w:hideMark/>
          </w:tcPr>
          <w:p w14:paraId="1B1BFF40" w14:textId="77777777" w:rsidR="00DE046C" w:rsidRPr="00A6625D" w:rsidRDefault="00DE046C" w:rsidP="00453510">
            <w:pPr>
              <w:spacing w:after="0" w:line="240" w:lineRule="auto"/>
              <w:rPr>
                <w:rFonts w:ascii="Calibri" w:eastAsia="Calibri" w:hAnsi="Calibri" w:cs="Calibri"/>
                <w:i/>
                <w:iCs/>
                <w:color w:val="2E74B5" w:themeColor="accent1" w:themeShade="BF"/>
                <w:sz w:val="22"/>
                <w:lang w:eastAsia="es-SV"/>
              </w:rPr>
            </w:pPr>
            <w:r w:rsidRPr="00A6625D">
              <w:rPr>
                <w:rFonts w:ascii="Calibri" w:eastAsia="Calibri" w:hAnsi="Calibri" w:cs="Calibri"/>
                <w:i/>
                <w:iCs/>
                <w:color w:val="2E74B5" w:themeColor="accent1" w:themeShade="BF"/>
                <w:sz w:val="22"/>
                <w:lang w:eastAsia="es-SV"/>
              </w:rPr>
              <w:t>1.6. Fortalecimiento de Capacidades Organizacionales</w:t>
            </w:r>
          </w:p>
        </w:tc>
        <w:tc>
          <w:tcPr>
            <w:tcW w:w="0" w:type="auto"/>
            <w:vAlign w:val="center"/>
          </w:tcPr>
          <w:p w14:paraId="1C1C0302" w14:textId="77777777" w:rsidR="00DE046C" w:rsidRPr="00616806" w:rsidRDefault="00DE046C" w:rsidP="00453510">
            <w:pPr>
              <w:spacing w:after="0" w:line="240" w:lineRule="auto"/>
              <w:rPr>
                <w:rFonts w:eastAsia="Times New Roman" w:cs="Arial"/>
                <w:sz w:val="20"/>
                <w:szCs w:val="20"/>
                <w:lang w:val="es-HN" w:eastAsia="es-HN"/>
              </w:rPr>
            </w:pPr>
          </w:p>
        </w:tc>
        <w:tc>
          <w:tcPr>
            <w:tcW w:w="0" w:type="auto"/>
            <w:vAlign w:val="center"/>
          </w:tcPr>
          <w:p w14:paraId="79AC2583" w14:textId="77777777" w:rsidR="00DE046C" w:rsidRPr="00616806" w:rsidRDefault="00DE046C" w:rsidP="00453510">
            <w:pPr>
              <w:spacing w:after="0" w:line="240" w:lineRule="auto"/>
              <w:rPr>
                <w:rFonts w:eastAsia="Times New Roman" w:cs="Arial"/>
                <w:sz w:val="20"/>
                <w:szCs w:val="20"/>
                <w:lang w:val="es-HN" w:eastAsia="es-HN"/>
              </w:rPr>
            </w:pPr>
          </w:p>
        </w:tc>
        <w:tc>
          <w:tcPr>
            <w:tcW w:w="0" w:type="auto"/>
            <w:vAlign w:val="center"/>
          </w:tcPr>
          <w:p w14:paraId="5C27FEDC" w14:textId="77777777" w:rsidR="00DE046C" w:rsidRPr="00616806" w:rsidRDefault="00DE046C" w:rsidP="00453510">
            <w:pPr>
              <w:spacing w:after="0" w:line="240" w:lineRule="auto"/>
              <w:rPr>
                <w:rFonts w:eastAsia="Times New Roman" w:cs="Arial"/>
                <w:sz w:val="20"/>
                <w:szCs w:val="20"/>
                <w:lang w:val="es-HN" w:eastAsia="es-HN"/>
              </w:rPr>
            </w:pPr>
          </w:p>
        </w:tc>
      </w:tr>
      <w:tr w:rsidR="00DE046C" w:rsidRPr="006C6436" w14:paraId="275527A2" w14:textId="77777777" w:rsidTr="00453510">
        <w:trPr>
          <w:tblCellSpacing w:w="15" w:type="dxa"/>
        </w:trPr>
        <w:tc>
          <w:tcPr>
            <w:tcW w:w="0" w:type="auto"/>
            <w:vAlign w:val="center"/>
          </w:tcPr>
          <w:p w14:paraId="2E790637" w14:textId="77777777" w:rsidR="00DE046C" w:rsidRPr="00A6625D" w:rsidRDefault="00DE046C" w:rsidP="00453510">
            <w:pPr>
              <w:spacing w:after="0" w:line="240" w:lineRule="auto"/>
              <w:rPr>
                <w:rFonts w:ascii="Calibri" w:eastAsia="Calibri" w:hAnsi="Calibri" w:cs="Calibri"/>
                <w:i/>
                <w:iCs/>
                <w:color w:val="2E74B5" w:themeColor="accent1" w:themeShade="BF"/>
                <w:sz w:val="22"/>
                <w:lang w:eastAsia="es-SV"/>
              </w:rPr>
            </w:pPr>
            <w:r w:rsidRPr="00A6625D">
              <w:rPr>
                <w:rFonts w:ascii="Calibri" w:eastAsia="Calibri" w:hAnsi="Calibri" w:cs="Calibri"/>
                <w:i/>
                <w:iCs/>
                <w:color w:val="2E74B5" w:themeColor="accent1" w:themeShade="BF"/>
                <w:sz w:val="22"/>
                <w:lang w:eastAsia="es-SV"/>
              </w:rPr>
              <w:t>1.7 Implementación del Mecanismo de Quejas y Reclamos</w:t>
            </w:r>
          </w:p>
        </w:tc>
        <w:tc>
          <w:tcPr>
            <w:tcW w:w="0" w:type="auto"/>
            <w:vAlign w:val="center"/>
          </w:tcPr>
          <w:p w14:paraId="73F04584" w14:textId="77777777" w:rsidR="00DE046C" w:rsidRPr="00616806" w:rsidRDefault="00DE046C" w:rsidP="00453510">
            <w:pPr>
              <w:spacing w:after="0" w:line="240" w:lineRule="auto"/>
              <w:rPr>
                <w:rFonts w:eastAsia="Times New Roman" w:cs="Arial"/>
                <w:sz w:val="20"/>
                <w:szCs w:val="20"/>
                <w:lang w:val="es-HN" w:eastAsia="es-HN"/>
              </w:rPr>
            </w:pPr>
          </w:p>
        </w:tc>
        <w:tc>
          <w:tcPr>
            <w:tcW w:w="0" w:type="auto"/>
            <w:vAlign w:val="center"/>
          </w:tcPr>
          <w:p w14:paraId="63A7DB7A" w14:textId="77777777" w:rsidR="00DE046C" w:rsidRPr="00616806" w:rsidRDefault="00DE046C" w:rsidP="00453510">
            <w:pPr>
              <w:spacing w:after="0" w:line="240" w:lineRule="auto"/>
              <w:rPr>
                <w:rFonts w:eastAsia="Times New Roman" w:cs="Arial"/>
                <w:sz w:val="20"/>
                <w:szCs w:val="20"/>
                <w:lang w:val="es-HN" w:eastAsia="es-HN"/>
              </w:rPr>
            </w:pPr>
          </w:p>
        </w:tc>
        <w:tc>
          <w:tcPr>
            <w:tcW w:w="0" w:type="auto"/>
            <w:vAlign w:val="center"/>
          </w:tcPr>
          <w:p w14:paraId="399BC158" w14:textId="77777777" w:rsidR="00DE046C" w:rsidRPr="00616806" w:rsidRDefault="00DE046C" w:rsidP="00453510">
            <w:pPr>
              <w:spacing w:after="0" w:line="240" w:lineRule="auto"/>
              <w:rPr>
                <w:rFonts w:eastAsia="Times New Roman" w:cs="Arial"/>
                <w:sz w:val="20"/>
                <w:szCs w:val="20"/>
                <w:lang w:val="es-HN" w:eastAsia="es-HN"/>
              </w:rPr>
            </w:pPr>
          </w:p>
        </w:tc>
      </w:tr>
      <w:tr w:rsidR="00DE046C" w:rsidRPr="006C6436" w14:paraId="5BC7C6C3" w14:textId="77777777" w:rsidTr="00453510">
        <w:trPr>
          <w:tblCellSpacing w:w="15" w:type="dxa"/>
        </w:trPr>
        <w:tc>
          <w:tcPr>
            <w:tcW w:w="0" w:type="auto"/>
            <w:vAlign w:val="center"/>
          </w:tcPr>
          <w:p w14:paraId="08DE4374" w14:textId="77777777" w:rsidR="00DE046C" w:rsidRPr="00A6625D" w:rsidRDefault="00DE046C" w:rsidP="00453510">
            <w:pPr>
              <w:spacing w:after="0" w:line="240" w:lineRule="auto"/>
              <w:rPr>
                <w:rFonts w:ascii="Calibri" w:eastAsia="Calibri" w:hAnsi="Calibri" w:cs="Calibri"/>
                <w:i/>
                <w:iCs/>
                <w:color w:val="2E74B5" w:themeColor="accent1" w:themeShade="BF"/>
                <w:sz w:val="22"/>
                <w:lang w:eastAsia="es-SV"/>
              </w:rPr>
            </w:pPr>
            <w:r w:rsidRPr="00A6625D">
              <w:rPr>
                <w:rFonts w:ascii="Calibri" w:eastAsia="Calibri" w:hAnsi="Calibri" w:cs="Calibri"/>
                <w:i/>
                <w:iCs/>
                <w:color w:val="2E74B5" w:themeColor="accent1" w:themeShade="BF"/>
                <w:sz w:val="22"/>
                <w:lang w:eastAsia="es-SV"/>
              </w:rPr>
              <w:t>1.8 Implementación de Estrategia de Comunicación</w:t>
            </w:r>
          </w:p>
        </w:tc>
        <w:tc>
          <w:tcPr>
            <w:tcW w:w="0" w:type="auto"/>
            <w:vAlign w:val="center"/>
          </w:tcPr>
          <w:p w14:paraId="51CE6533" w14:textId="77777777" w:rsidR="00DE046C" w:rsidRPr="00616806" w:rsidRDefault="00DE046C" w:rsidP="00453510">
            <w:pPr>
              <w:spacing w:after="0" w:line="240" w:lineRule="auto"/>
              <w:rPr>
                <w:rFonts w:eastAsia="Times New Roman" w:cs="Arial"/>
                <w:sz w:val="20"/>
                <w:szCs w:val="20"/>
                <w:lang w:val="es-HN" w:eastAsia="es-HN"/>
              </w:rPr>
            </w:pPr>
          </w:p>
        </w:tc>
        <w:tc>
          <w:tcPr>
            <w:tcW w:w="0" w:type="auto"/>
            <w:vAlign w:val="center"/>
          </w:tcPr>
          <w:p w14:paraId="760D27DF" w14:textId="77777777" w:rsidR="00DE046C" w:rsidRPr="00616806" w:rsidRDefault="00DE046C" w:rsidP="00453510">
            <w:pPr>
              <w:spacing w:after="0" w:line="240" w:lineRule="auto"/>
              <w:rPr>
                <w:rFonts w:eastAsia="Times New Roman" w:cs="Arial"/>
                <w:sz w:val="20"/>
                <w:szCs w:val="20"/>
                <w:lang w:val="es-HN" w:eastAsia="es-HN"/>
              </w:rPr>
            </w:pPr>
          </w:p>
        </w:tc>
        <w:tc>
          <w:tcPr>
            <w:tcW w:w="0" w:type="auto"/>
            <w:vAlign w:val="center"/>
          </w:tcPr>
          <w:p w14:paraId="71BF87C0" w14:textId="77777777" w:rsidR="00DE046C" w:rsidRPr="00616806" w:rsidRDefault="00DE046C" w:rsidP="00453510">
            <w:pPr>
              <w:spacing w:after="0" w:line="240" w:lineRule="auto"/>
              <w:rPr>
                <w:rFonts w:eastAsia="Times New Roman" w:cs="Arial"/>
                <w:sz w:val="20"/>
                <w:szCs w:val="20"/>
                <w:lang w:val="es-HN" w:eastAsia="es-HN"/>
              </w:rPr>
            </w:pPr>
          </w:p>
        </w:tc>
      </w:tr>
      <w:tr w:rsidR="00DE046C" w:rsidRPr="006C6436" w14:paraId="1CF3C2DD" w14:textId="77777777" w:rsidTr="00453510">
        <w:trPr>
          <w:tblCellSpacing w:w="15" w:type="dxa"/>
        </w:trPr>
        <w:tc>
          <w:tcPr>
            <w:tcW w:w="0" w:type="auto"/>
            <w:vAlign w:val="center"/>
            <w:hideMark/>
          </w:tcPr>
          <w:p w14:paraId="1A2103FA" w14:textId="77777777" w:rsidR="00DE046C" w:rsidRPr="00A6625D" w:rsidRDefault="00DE046C" w:rsidP="00453510">
            <w:pPr>
              <w:spacing w:after="0" w:line="240" w:lineRule="auto"/>
              <w:rPr>
                <w:rFonts w:ascii="Calibri" w:eastAsia="Calibri" w:hAnsi="Calibri" w:cs="Calibri"/>
                <w:i/>
                <w:iCs/>
                <w:color w:val="2E74B5" w:themeColor="accent1" w:themeShade="BF"/>
                <w:sz w:val="22"/>
                <w:lang w:eastAsia="es-SV"/>
              </w:rPr>
            </w:pPr>
            <w:r w:rsidRPr="00A6625D">
              <w:rPr>
                <w:rFonts w:ascii="Calibri" w:eastAsia="Calibri" w:hAnsi="Calibri" w:cs="Calibri"/>
                <w:i/>
                <w:iCs/>
                <w:color w:val="2E74B5" w:themeColor="accent1" w:themeShade="BF"/>
                <w:sz w:val="22"/>
                <w:lang w:eastAsia="es-SV"/>
              </w:rPr>
              <w:t>1.9. Monitoreo y Evaluación de Implementación</w:t>
            </w:r>
          </w:p>
        </w:tc>
        <w:tc>
          <w:tcPr>
            <w:tcW w:w="0" w:type="auto"/>
            <w:vAlign w:val="center"/>
          </w:tcPr>
          <w:p w14:paraId="7FA25F30" w14:textId="77777777" w:rsidR="00DE046C" w:rsidRPr="00616806" w:rsidRDefault="00DE046C" w:rsidP="00453510">
            <w:pPr>
              <w:spacing w:after="0" w:line="240" w:lineRule="auto"/>
              <w:rPr>
                <w:rFonts w:eastAsia="Times New Roman" w:cs="Arial"/>
                <w:sz w:val="20"/>
                <w:szCs w:val="20"/>
                <w:lang w:val="es-HN" w:eastAsia="es-HN"/>
              </w:rPr>
            </w:pPr>
          </w:p>
        </w:tc>
        <w:tc>
          <w:tcPr>
            <w:tcW w:w="0" w:type="auto"/>
            <w:vAlign w:val="center"/>
          </w:tcPr>
          <w:p w14:paraId="132ABEAF" w14:textId="77777777" w:rsidR="00DE046C" w:rsidRPr="00616806" w:rsidRDefault="00DE046C" w:rsidP="00453510">
            <w:pPr>
              <w:spacing w:after="0" w:line="240" w:lineRule="auto"/>
              <w:rPr>
                <w:rFonts w:eastAsia="Times New Roman" w:cs="Arial"/>
                <w:sz w:val="20"/>
                <w:szCs w:val="20"/>
                <w:lang w:val="es-HN" w:eastAsia="es-HN"/>
              </w:rPr>
            </w:pPr>
          </w:p>
        </w:tc>
        <w:tc>
          <w:tcPr>
            <w:tcW w:w="0" w:type="auto"/>
            <w:vAlign w:val="center"/>
          </w:tcPr>
          <w:p w14:paraId="69E1F7FE" w14:textId="77777777" w:rsidR="00DE046C" w:rsidRPr="00616806" w:rsidRDefault="00DE046C" w:rsidP="00453510">
            <w:pPr>
              <w:spacing w:after="0" w:line="240" w:lineRule="auto"/>
              <w:rPr>
                <w:rFonts w:eastAsia="Times New Roman" w:cs="Arial"/>
                <w:sz w:val="20"/>
                <w:szCs w:val="20"/>
                <w:lang w:val="es-HN" w:eastAsia="es-HN"/>
              </w:rPr>
            </w:pPr>
          </w:p>
        </w:tc>
      </w:tr>
    </w:tbl>
    <w:p w14:paraId="4E8747DD" w14:textId="77777777" w:rsidR="00DE046C" w:rsidRPr="00A6625D" w:rsidRDefault="00DE046C" w:rsidP="00DE046C">
      <w:pPr>
        <w:pStyle w:val="Prrafodelista"/>
        <w:spacing w:line="279" w:lineRule="auto"/>
        <w:ind w:left="786"/>
        <w:rPr>
          <w:rFonts w:ascii="Calibri" w:eastAsia="Calibri" w:hAnsi="Calibri" w:cs="Calibri"/>
          <w:i/>
          <w:iCs/>
          <w:color w:val="2E74B5" w:themeColor="accent1" w:themeShade="BF"/>
          <w:sz w:val="22"/>
          <w:lang w:val="es-SV"/>
        </w:rPr>
      </w:pPr>
    </w:p>
    <w:p w14:paraId="502D7DAA" w14:textId="7C17DB59" w:rsidR="00DE046C" w:rsidRPr="00DE046C" w:rsidRDefault="00DE046C" w:rsidP="00DE046C">
      <w:pPr>
        <w:spacing w:line="279" w:lineRule="auto"/>
        <w:rPr>
          <w:rFonts w:ascii="Calibri" w:eastAsia="Calibri" w:hAnsi="Calibri" w:cs="Calibri"/>
          <w:color w:val="2E74B5" w:themeColor="accent1" w:themeShade="BF"/>
          <w:sz w:val="22"/>
          <w:lang w:val="es-MX"/>
        </w:rPr>
      </w:pPr>
      <w:r w:rsidRPr="00DE046C">
        <w:rPr>
          <w:rFonts w:ascii="Calibri" w:eastAsia="Calibri" w:hAnsi="Calibri" w:cs="Calibri"/>
          <w:i/>
          <w:iCs/>
          <w:color w:val="2E74B5" w:themeColor="accent1" w:themeShade="BF"/>
          <w:sz w:val="22"/>
        </w:rPr>
        <w:t>11.3 Total estimado de costos.</w:t>
      </w:r>
    </w:p>
    <w:p w14:paraId="7C3AC3DD" w14:textId="77777777" w:rsidR="00DE046C" w:rsidRPr="00913C93" w:rsidRDefault="00DE046C" w:rsidP="00DE046C">
      <w:pPr>
        <w:pStyle w:val="Ttulo1"/>
        <w:rPr>
          <w:rFonts w:ascii="Calibri" w:eastAsia="Calibri" w:hAnsi="Calibri" w:cs="Calibri"/>
          <w:b/>
          <w:bCs/>
          <w:caps/>
          <w:color w:val="000000" w:themeColor="text1"/>
          <w:sz w:val="22"/>
          <w:szCs w:val="22"/>
        </w:rPr>
      </w:pPr>
      <w:bookmarkStart w:id="1620" w:name="_Toc202189056"/>
      <w:bookmarkStart w:id="1621" w:name="_Toc202189073"/>
      <w:r>
        <w:rPr>
          <w:rFonts w:ascii="Calibri" w:eastAsia="Calibri" w:hAnsi="Calibri" w:cs="Calibri"/>
          <w:bCs/>
          <w:color w:val="000000" w:themeColor="text1"/>
          <w:sz w:val="22"/>
          <w:szCs w:val="22"/>
        </w:rPr>
        <w:t xml:space="preserve">12. </w:t>
      </w:r>
      <w:r w:rsidRPr="00F9076B">
        <w:rPr>
          <w:rFonts w:ascii="Calibri" w:eastAsia="Calibri" w:hAnsi="Calibri" w:cs="Calibri"/>
          <w:bCs/>
          <w:color w:val="000000" w:themeColor="text1"/>
          <w:sz w:val="22"/>
          <w:szCs w:val="22"/>
        </w:rPr>
        <w:t>Anexos al PGAS</w:t>
      </w:r>
      <w:bookmarkEnd w:id="1620"/>
      <w:bookmarkEnd w:id="1621"/>
    </w:p>
    <w:p w14:paraId="7578DEB5" w14:textId="39785958" w:rsidR="00DE046C" w:rsidRPr="00DE046C" w:rsidRDefault="00DE046C" w:rsidP="00DE046C">
      <w:pPr>
        <w:rPr>
          <w:rFonts w:ascii="Calibri" w:eastAsia="Calibri" w:hAnsi="Calibri" w:cs="Calibri"/>
          <w:i/>
          <w:iCs/>
          <w:color w:val="2E74B5" w:themeColor="accent1" w:themeShade="BF"/>
          <w:sz w:val="22"/>
        </w:rPr>
      </w:pPr>
      <w:r>
        <w:rPr>
          <w:rFonts w:ascii="Calibri" w:eastAsia="Calibri" w:hAnsi="Calibri" w:cs="Calibri"/>
          <w:i/>
          <w:iCs/>
          <w:color w:val="2E74B5" w:themeColor="accent1" w:themeShade="BF"/>
          <w:sz w:val="22"/>
        </w:rPr>
        <w:t>12. 1</w:t>
      </w:r>
      <w:r w:rsidRPr="00DE046C">
        <w:rPr>
          <w:rFonts w:ascii="Calibri" w:eastAsia="Calibri" w:hAnsi="Calibri" w:cs="Calibri"/>
          <w:i/>
          <w:iCs/>
          <w:color w:val="2E74B5" w:themeColor="accent1" w:themeShade="BF"/>
          <w:sz w:val="22"/>
        </w:rPr>
        <w:t xml:space="preserve">Guías de buenas prácticas en construcción que apliquen a la cadena de valor </w:t>
      </w:r>
    </w:p>
    <w:p w14:paraId="3904B579" w14:textId="7DB0DD4C" w:rsidR="00DE046C" w:rsidRPr="00DE046C" w:rsidRDefault="00DE046C" w:rsidP="00DE046C">
      <w:pPr>
        <w:rPr>
          <w:rFonts w:ascii="Calibri" w:eastAsia="Calibri" w:hAnsi="Calibri" w:cs="Calibri"/>
          <w:i/>
          <w:iCs/>
          <w:color w:val="2E74B5" w:themeColor="accent1" w:themeShade="BF"/>
          <w:sz w:val="22"/>
        </w:rPr>
      </w:pPr>
      <w:r>
        <w:rPr>
          <w:rFonts w:ascii="Calibri" w:eastAsia="Calibri" w:hAnsi="Calibri" w:cs="Calibri"/>
          <w:i/>
          <w:iCs/>
          <w:color w:val="2E74B5" w:themeColor="accent1" w:themeShade="BF"/>
          <w:sz w:val="22"/>
        </w:rPr>
        <w:t xml:space="preserve">12.2 </w:t>
      </w:r>
      <w:r w:rsidRPr="00DE046C">
        <w:rPr>
          <w:rFonts w:ascii="Calibri" w:eastAsia="Calibri" w:hAnsi="Calibri" w:cs="Calibri"/>
          <w:i/>
          <w:iCs/>
          <w:color w:val="2E74B5" w:themeColor="accent1" w:themeShade="BF"/>
          <w:sz w:val="22"/>
        </w:rPr>
        <w:t>Procedimientos</w:t>
      </w:r>
    </w:p>
    <w:p w14:paraId="04B2B635" w14:textId="6120B607" w:rsidR="00DE046C" w:rsidRPr="00DE046C" w:rsidRDefault="00DE046C" w:rsidP="00DE046C">
      <w:pPr>
        <w:rPr>
          <w:rFonts w:ascii="Calibri" w:eastAsia="Calibri" w:hAnsi="Calibri" w:cs="Calibri"/>
          <w:i/>
          <w:iCs/>
          <w:color w:val="2E74B5" w:themeColor="accent1" w:themeShade="BF"/>
          <w:sz w:val="22"/>
        </w:rPr>
      </w:pPr>
      <w:r>
        <w:rPr>
          <w:rFonts w:ascii="Calibri" w:eastAsia="Calibri" w:hAnsi="Calibri" w:cs="Calibri"/>
          <w:i/>
          <w:iCs/>
          <w:color w:val="2E74B5" w:themeColor="accent1" w:themeShade="BF"/>
          <w:sz w:val="22"/>
        </w:rPr>
        <w:lastRenderedPageBreak/>
        <w:t xml:space="preserve">12.3 </w:t>
      </w:r>
      <w:r w:rsidRPr="00DE046C">
        <w:rPr>
          <w:rFonts w:ascii="Calibri" w:eastAsia="Calibri" w:hAnsi="Calibri" w:cs="Calibri"/>
          <w:i/>
          <w:iCs/>
          <w:color w:val="2E74B5" w:themeColor="accent1" w:themeShade="BF"/>
          <w:sz w:val="22"/>
        </w:rPr>
        <w:t>Guías de salud y seguridad ocupacional constancia/registros de consultas, planes específicos que requieran, y otros documentos complementarios.</w:t>
      </w:r>
    </w:p>
    <w:p w14:paraId="5704BB29" w14:textId="3DB77298" w:rsidR="00DE046C" w:rsidRPr="00DE046C" w:rsidRDefault="00DE046C" w:rsidP="00DE046C">
      <w:pPr>
        <w:rPr>
          <w:rFonts w:ascii="Calibri" w:eastAsia="Calibri" w:hAnsi="Calibri" w:cs="Calibri"/>
          <w:i/>
          <w:iCs/>
          <w:color w:val="2E74B5" w:themeColor="accent1" w:themeShade="BF"/>
          <w:sz w:val="22"/>
        </w:rPr>
      </w:pPr>
      <w:r>
        <w:rPr>
          <w:rFonts w:ascii="Calibri" w:eastAsia="Calibri" w:hAnsi="Calibri" w:cs="Calibri"/>
          <w:i/>
          <w:iCs/>
          <w:color w:val="2E74B5" w:themeColor="accent1" w:themeShade="BF"/>
          <w:sz w:val="22"/>
        </w:rPr>
        <w:t xml:space="preserve">12.4 </w:t>
      </w:r>
      <w:r w:rsidRPr="00DE046C">
        <w:rPr>
          <w:rFonts w:ascii="Calibri" w:eastAsia="Calibri" w:hAnsi="Calibri" w:cs="Calibri"/>
          <w:i/>
          <w:iCs/>
          <w:color w:val="2E74B5" w:themeColor="accent1" w:themeShade="BF"/>
          <w:sz w:val="22"/>
        </w:rPr>
        <w:t>Información adicional del plan de negocios Diseños (si aplica)</w:t>
      </w:r>
    </w:p>
    <w:p w14:paraId="33018C09" w14:textId="77777777" w:rsidR="002729D8" w:rsidRPr="00FA4B2D" w:rsidRDefault="002729D8" w:rsidP="00B348AC">
      <w:pPr>
        <w:jc w:val="both"/>
        <w:rPr>
          <w:rFonts w:eastAsia="Calibri" w:cs="Arial"/>
          <w:i/>
          <w:iCs/>
          <w:color w:val="2E74B5" w:themeColor="accent1" w:themeShade="BF"/>
        </w:rPr>
      </w:pPr>
    </w:p>
    <w:p w14:paraId="16C7041D" w14:textId="30AC2C0F" w:rsidR="00666706" w:rsidRPr="00FA4B2D" w:rsidRDefault="002729D8" w:rsidP="00986AFB">
      <w:pPr>
        <w:rPr>
          <w:rFonts w:eastAsia="Calibri" w:cs="Arial"/>
          <w:b/>
          <w:bCs/>
        </w:rPr>
      </w:pPr>
      <w:r w:rsidRPr="00FA4B2D">
        <w:rPr>
          <w:rFonts w:eastAsia="Calibri" w:cs="Arial"/>
          <w:b/>
          <w:bCs/>
        </w:rPr>
        <w:t>1</w:t>
      </w:r>
      <w:r w:rsidR="00DE046C">
        <w:rPr>
          <w:rFonts w:eastAsia="Calibri" w:cs="Arial"/>
          <w:b/>
          <w:bCs/>
        </w:rPr>
        <w:t>3</w:t>
      </w:r>
      <w:r w:rsidRPr="00FA4B2D">
        <w:rPr>
          <w:rFonts w:eastAsia="Calibri" w:cs="Arial"/>
          <w:b/>
          <w:bCs/>
        </w:rPr>
        <w:t>.</w:t>
      </w:r>
      <w:r w:rsidRPr="00FA4B2D">
        <w:rPr>
          <w:rFonts w:eastAsia="Calibri" w:cs="Arial"/>
          <w:b/>
          <w:bCs/>
        </w:rPr>
        <w:tab/>
        <w:t>Anexo VII.  Proceso de Constancia de no requerir Licencia ambiental</w:t>
      </w:r>
    </w:p>
    <w:p w14:paraId="2F62157B" w14:textId="3D8A6149" w:rsidR="006A3DBC" w:rsidRPr="00FA4B2D" w:rsidRDefault="002729D8" w:rsidP="00641B76">
      <w:pPr>
        <w:rPr>
          <w:rFonts w:cs="Arial"/>
          <w:sz w:val="20"/>
          <w:szCs w:val="20"/>
        </w:rPr>
      </w:pPr>
      <w:r w:rsidRPr="00FA4B2D">
        <w:rPr>
          <w:rFonts w:eastAsia="Calibri" w:cs="Arial"/>
          <w:noProof/>
        </w:rPr>
        <w:drawing>
          <wp:inline distT="0" distB="0" distL="0" distR="0" wp14:anchorId="7FBFFFE8" wp14:editId="157ACC60">
            <wp:extent cx="5670550" cy="4076700"/>
            <wp:effectExtent l="0" t="0" r="6350" b="0"/>
            <wp:docPr id="16685760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576064" name=""/>
                    <pic:cNvPicPr/>
                  </pic:nvPicPr>
                  <pic:blipFill>
                    <a:blip r:embed="rId102"/>
                    <a:stretch>
                      <a:fillRect/>
                    </a:stretch>
                  </pic:blipFill>
                  <pic:spPr>
                    <a:xfrm>
                      <a:off x="0" y="0"/>
                      <a:ext cx="5670550" cy="4076700"/>
                    </a:xfrm>
                    <a:prstGeom prst="rect">
                      <a:avLst/>
                    </a:prstGeom>
                  </pic:spPr>
                </pic:pic>
              </a:graphicData>
            </a:graphic>
          </wp:inline>
        </w:drawing>
      </w:r>
    </w:p>
    <w:sectPr w:rsidR="006A3DBC" w:rsidRPr="00FA4B2D" w:rsidSect="005F4A92">
      <w:headerReference w:type="even" r:id="rId103"/>
      <w:headerReference w:type="default" r:id="rId104"/>
      <w:headerReference w:type="first" r:id="rId105"/>
      <w:pgSz w:w="12240" w:h="15840"/>
      <w:pgMar w:top="1417" w:right="1750" w:bottom="1417"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3DCA2" w14:textId="77777777" w:rsidR="000F20D9" w:rsidRDefault="000F20D9" w:rsidP="006A3DBC">
      <w:pPr>
        <w:spacing w:after="0" w:line="240" w:lineRule="auto"/>
      </w:pPr>
      <w:r>
        <w:separator/>
      </w:r>
    </w:p>
  </w:endnote>
  <w:endnote w:type="continuationSeparator" w:id="0">
    <w:p w14:paraId="266A42FA" w14:textId="77777777" w:rsidR="000F20D9" w:rsidRDefault="000F20D9" w:rsidP="006A3DBC">
      <w:pPr>
        <w:spacing w:after="0" w:line="240" w:lineRule="auto"/>
      </w:pPr>
      <w:r>
        <w:continuationSeparator/>
      </w:r>
    </w:p>
  </w:endnote>
  <w:endnote w:type="continuationNotice" w:id="1">
    <w:p w14:paraId="4B4A770A" w14:textId="77777777" w:rsidR="000F20D9" w:rsidRDefault="000F20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MT">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Quattrocento Sans">
    <w:charset w:val="00"/>
    <w:family w:val="swiss"/>
    <w:pitch w:val="variable"/>
    <w:sig w:usb0="800000BF" w:usb1="4000005B" w:usb2="00000000" w:usb3="00000000" w:csb0="00000001" w:csb1="00000000"/>
  </w:font>
  <w:font w:name="Pluto Bold">
    <w:panose1 w:val="020B0803020203060204"/>
    <w:charset w:val="00"/>
    <w:family w:val="swiss"/>
    <w:notTrueType/>
    <w:pitch w:val="variable"/>
    <w:sig w:usb0="A00000AF" w:usb1="5000207B"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FiraSans-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0730442"/>
      <w:docPartObj>
        <w:docPartGallery w:val="Page Numbers (Bottom of Page)"/>
        <w:docPartUnique/>
      </w:docPartObj>
    </w:sdtPr>
    <w:sdtContent>
      <w:p w14:paraId="6C380B3B" w14:textId="77777777" w:rsidR="000C062F" w:rsidRDefault="000C062F">
        <w:pPr>
          <w:pStyle w:val="Piedepgina"/>
          <w:jc w:val="right"/>
        </w:pPr>
        <w:r>
          <w:fldChar w:fldCharType="begin"/>
        </w:r>
        <w:r>
          <w:instrText>PAGE   \* MERGEFORMAT</w:instrText>
        </w:r>
        <w:r>
          <w:fldChar w:fldCharType="separate"/>
        </w:r>
        <w:r w:rsidR="007A74DE" w:rsidRPr="007A74DE">
          <w:rPr>
            <w:noProof/>
            <w:lang w:val="es-ES"/>
          </w:rPr>
          <w:t>279</w:t>
        </w:r>
        <w:r>
          <w:fldChar w:fldCharType="end"/>
        </w:r>
      </w:p>
    </w:sdtContent>
  </w:sdt>
  <w:p w14:paraId="3D13C69A" w14:textId="77777777" w:rsidR="000C062F" w:rsidRDefault="000C062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1D189" w14:textId="77777777" w:rsidR="000F20D9" w:rsidRDefault="000F20D9" w:rsidP="006A3DBC">
      <w:pPr>
        <w:spacing w:after="0" w:line="240" w:lineRule="auto"/>
      </w:pPr>
      <w:r>
        <w:separator/>
      </w:r>
    </w:p>
  </w:footnote>
  <w:footnote w:type="continuationSeparator" w:id="0">
    <w:p w14:paraId="63D2BC2F" w14:textId="77777777" w:rsidR="000F20D9" w:rsidRDefault="000F20D9" w:rsidP="006A3DBC">
      <w:pPr>
        <w:spacing w:after="0" w:line="240" w:lineRule="auto"/>
      </w:pPr>
      <w:r>
        <w:continuationSeparator/>
      </w:r>
    </w:p>
  </w:footnote>
  <w:footnote w:type="continuationNotice" w:id="1">
    <w:p w14:paraId="23A217B6" w14:textId="77777777" w:rsidR="000F20D9" w:rsidRDefault="000F20D9">
      <w:pPr>
        <w:spacing w:after="0" w:line="240" w:lineRule="auto"/>
      </w:pPr>
    </w:p>
  </w:footnote>
  <w:footnote w:id="2">
    <w:p w14:paraId="4E9B5BA6" w14:textId="77777777" w:rsidR="000C062F" w:rsidRPr="00903011" w:rsidRDefault="000C062F" w:rsidP="006A3DBC">
      <w:pPr>
        <w:pStyle w:val="Textonotapie"/>
        <w:jc w:val="both"/>
        <w:rPr>
          <w:rFonts w:cs="Arial"/>
          <w:lang w:val="es-ES"/>
        </w:rPr>
      </w:pPr>
      <w:r w:rsidRPr="00903011">
        <w:rPr>
          <w:rStyle w:val="Refdenotaalpie"/>
          <w:rFonts w:cs="Arial"/>
        </w:rPr>
        <w:footnoteRef/>
      </w:r>
      <w:r w:rsidRPr="00903011">
        <w:rPr>
          <w:rFonts w:cs="Arial"/>
        </w:rPr>
        <w:t xml:space="preserve"> </w:t>
      </w:r>
      <w:r w:rsidRPr="00903011">
        <w:rPr>
          <w:rFonts w:eastAsia="Cambria" w:cs="Arial"/>
        </w:rPr>
        <w:t>El 4 de agosto de 2016, el directorio ejecutivo del BM aprobó un nuevo Marco Ambiental y Social (MAS) para ayudar a proteger a las personas y el medio ambiente en los proyectos de inversión que financia. A partir del 1 de octubre de 2018, el MAS se aplica a todas las nuevas operaciones de financiamiento para proyectos de inversión.</w:t>
      </w:r>
    </w:p>
  </w:footnote>
  <w:footnote w:id="3">
    <w:p w14:paraId="3917C10D" w14:textId="77777777" w:rsidR="000C062F" w:rsidRPr="006F765C" w:rsidRDefault="000C062F" w:rsidP="006A3DBC">
      <w:pPr>
        <w:pStyle w:val="Textonotapie"/>
        <w:rPr>
          <w:rFonts w:cs="Arial"/>
        </w:rPr>
      </w:pPr>
      <w:r w:rsidRPr="006F765C">
        <w:rPr>
          <w:rStyle w:val="Refdenotaalpie"/>
          <w:rFonts w:cs="Arial"/>
        </w:rPr>
        <w:footnoteRef/>
      </w:r>
      <w:r w:rsidRPr="006F765C">
        <w:rPr>
          <w:rFonts w:cs="Arial"/>
        </w:rPr>
        <w:t xml:space="preserve"> </w:t>
      </w:r>
      <w:r w:rsidRPr="006F765C">
        <w:rPr>
          <w:rFonts w:eastAsia="Cambria" w:cs="Arial"/>
        </w:rPr>
        <w:t>Guías sobre medio ambiente, salud y seguridad. http://documents1.worldbank.org/curated/es/862351490601664460/pdf/112110-SPANISH-General-Guidelines.pdf</w:t>
      </w:r>
    </w:p>
  </w:footnote>
  <w:footnote w:id="4">
    <w:p w14:paraId="5F55F014" w14:textId="77777777" w:rsidR="000C062F" w:rsidRPr="00725DE6" w:rsidRDefault="000C062F" w:rsidP="006A3DBC">
      <w:pPr>
        <w:autoSpaceDE w:val="0"/>
        <w:autoSpaceDN w:val="0"/>
        <w:adjustRightInd w:val="0"/>
        <w:spacing w:after="0" w:line="240" w:lineRule="auto"/>
        <w:jc w:val="both"/>
        <w:rPr>
          <w:rFonts w:cs="Arial"/>
          <w:sz w:val="16"/>
          <w:szCs w:val="16"/>
        </w:rPr>
      </w:pPr>
      <w:r w:rsidRPr="00725DE6">
        <w:rPr>
          <w:rStyle w:val="Refdenotaalpie"/>
          <w:rFonts w:cs="Arial"/>
        </w:rPr>
        <w:footnoteRef/>
      </w:r>
      <w:r w:rsidRPr="000338B1">
        <w:rPr>
          <w:rFonts w:cs="Arial"/>
        </w:rPr>
        <w:t xml:space="preserve"> </w:t>
      </w:r>
      <w:r w:rsidRPr="00725DE6">
        <w:rPr>
          <w:rFonts w:cs="Arial"/>
          <w:sz w:val="16"/>
          <w:szCs w:val="16"/>
          <w:lang w:val="es-ES"/>
        </w:rPr>
        <w:t>Los hábitats naturales son áreas conformadas por conjuntos viables de plantas o especies animales de origen en gran parte nativo, o áreas en las que la actividad humana no ha modificado esencialmente las funciones ecológicas primarias y la composición de especies de un área.</w:t>
      </w:r>
    </w:p>
  </w:footnote>
  <w:footnote w:id="5">
    <w:p w14:paraId="7EE81FBB" w14:textId="77777777" w:rsidR="000C062F" w:rsidRPr="00725DE6" w:rsidRDefault="000C062F" w:rsidP="006A3DBC">
      <w:pPr>
        <w:autoSpaceDE w:val="0"/>
        <w:autoSpaceDN w:val="0"/>
        <w:adjustRightInd w:val="0"/>
        <w:spacing w:after="0" w:line="240" w:lineRule="auto"/>
        <w:jc w:val="both"/>
        <w:rPr>
          <w:rFonts w:cs="Arial"/>
          <w:sz w:val="16"/>
          <w:szCs w:val="16"/>
          <w:lang w:val="es-ES"/>
        </w:rPr>
      </w:pPr>
      <w:r w:rsidRPr="00725DE6">
        <w:rPr>
          <w:rStyle w:val="Refdenotaalpie"/>
          <w:rFonts w:cs="Arial"/>
        </w:rPr>
        <w:footnoteRef/>
      </w:r>
      <w:r w:rsidRPr="000338B1">
        <w:rPr>
          <w:rFonts w:cs="Arial"/>
        </w:rPr>
        <w:t xml:space="preserve"> </w:t>
      </w:r>
      <w:r w:rsidRPr="00725DE6">
        <w:rPr>
          <w:rFonts w:cs="Arial"/>
          <w:sz w:val="16"/>
          <w:szCs w:val="16"/>
          <w:lang w:val="es-ES"/>
        </w:rPr>
        <w:t xml:space="preserve">Los hábitats críticos se definen como áreas de gran importancia o valor en términos de biodiversidad, e incluyen: </w:t>
      </w:r>
    </w:p>
    <w:p w14:paraId="2A163B6D" w14:textId="77777777" w:rsidR="000C062F" w:rsidRPr="00725DE6" w:rsidRDefault="000C062F" w:rsidP="006A3DBC">
      <w:pPr>
        <w:autoSpaceDE w:val="0"/>
        <w:autoSpaceDN w:val="0"/>
        <w:adjustRightInd w:val="0"/>
        <w:spacing w:after="0" w:line="240" w:lineRule="auto"/>
        <w:jc w:val="both"/>
        <w:rPr>
          <w:sz w:val="16"/>
          <w:szCs w:val="16"/>
        </w:rPr>
      </w:pPr>
      <w:r w:rsidRPr="00725DE6">
        <w:rPr>
          <w:rFonts w:cs="Arial"/>
          <w:sz w:val="16"/>
          <w:szCs w:val="16"/>
          <w:lang w:val="es-ES"/>
        </w:rPr>
        <w:t>a) hábitats de importancia significativa para especies en peligro de extinción o en peligro de extinción crítico, según se enumeran en la Lista Roja de Especies Amenazadas de la Unión Internacional para la Conservación de la Naturaleza (UICN) o enfoques nacionales equivalentes; b) hábitats de gran importancia para especies endémicas o de rango de distribución restringido; c) hábitats que respaldan concentraciones importantes a nivel mundial o nacional de especies migratorias o gregarias; d) ecosistemas altamente amenazados o únicos; y e) funciones ecológicas o características que son necesarias para mantener la viabilidad de los valores de biodiversidad descritos anteriormente en los incisos a) a d).</w:t>
      </w:r>
    </w:p>
  </w:footnote>
  <w:footnote w:id="6">
    <w:p w14:paraId="31F28D0E" w14:textId="77777777" w:rsidR="000C062F" w:rsidRPr="003309CB" w:rsidRDefault="000C062F" w:rsidP="006A3DBC">
      <w:pPr>
        <w:pStyle w:val="Textonotapie"/>
        <w:rPr>
          <w:rFonts w:cs="Arial"/>
          <w:lang w:val="es-HN"/>
        </w:rPr>
      </w:pPr>
      <w:r w:rsidRPr="003309CB">
        <w:rPr>
          <w:rStyle w:val="Refdenotaalpie"/>
          <w:rFonts w:cs="Arial"/>
        </w:rPr>
        <w:footnoteRef/>
      </w:r>
      <w:r w:rsidRPr="003309CB">
        <w:rPr>
          <w:rFonts w:cs="Arial"/>
        </w:rPr>
        <w:t xml:space="preserve"> https://icf.gob.hn/region-forestal-la-mosquitia/</w:t>
      </w:r>
    </w:p>
  </w:footnote>
  <w:footnote w:id="7">
    <w:p w14:paraId="411A1E5D" w14:textId="77777777" w:rsidR="000C062F" w:rsidRPr="001F1822" w:rsidRDefault="000C062F" w:rsidP="006A3DBC">
      <w:pPr>
        <w:pStyle w:val="Textonotapie"/>
        <w:rPr>
          <w:sz w:val="18"/>
        </w:rPr>
      </w:pPr>
      <w:r w:rsidRPr="001F1822">
        <w:rPr>
          <w:rStyle w:val="Refdenotaalpie"/>
        </w:rPr>
        <w:footnoteRef/>
      </w:r>
      <w:r w:rsidRPr="001F1822">
        <w:t xml:space="preserve"> Unión Europea, MOSEF 2017. Análisis Forestal de Honduras</w:t>
      </w:r>
      <w:r w:rsidRPr="001F1822">
        <w:rPr>
          <w:sz w:val="18"/>
        </w:rPr>
        <w:t>.</w:t>
      </w:r>
    </w:p>
  </w:footnote>
  <w:footnote w:id="8">
    <w:p w14:paraId="220BAC2E" w14:textId="77777777" w:rsidR="000C062F" w:rsidRPr="005917AC" w:rsidRDefault="000C062F" w:rsidP="006A3DBC">
      <w:pPr>
        <w:pStyle w:val="Textonotapie"/>
      </w:pPr>
      <w:r w:rsidRPr="00F714AD">
        <w:rPr>
          <w:rStyle w:val="Refdenotaalpie"/>
          <w:color w:val="000000" w:themeColor="text1"/>
        </w:rPr>
        <w:footnoteRef/>
      </w:r>
      <w:r w:rsidRPr="00F714AD">
        <w:rPr>
          <w:color w:val="000000" w:themeColor="text1"/>
        </w:rPr>
        <w:t xml:space="preserve"> </w:t>
      </w:r>
      <w:r w:rsidRPr="00F714AD">
        <w:rPr>
          <w:rFonts w:ascii="Calibri" w:hAnsi="Calibri" w:cs="Calibri"/>
          <w:color w:val="000000" w:themeColor="text1"/>
          <w:sz w:val="16"/>
          <w:szCs w:val="16"/>
          <w:lang w:val="es-ES"/>
        </w:rPr>
        <w:t>http://datazone.birdlife.org/userfiles/file/IBAs/AmCntryPDFs/Honduras.pdf</w:t>
      </w:r>
    </w:p>
  </w:footnote>
  <w:footnote w:id="9">
    <w:p w14:paraId="34D924BF" w14:textId="77777777" w:rsidR="000C062F" w:rsidRPr="00E65956" w:rsidRDefault="000C062F" w:rsidP="006A3DBC">
      <w:pPr>
        <w:pStyle w:val="Textonotapie"/>
        <w:rPr>
          <w:rFonts w:cs="Arial"/>
        </w:rPr>
      </w:pPr>
      <w:r w:rsidRPr="00E65956">
        <w:rPr>
          <w:rStyle w:val="Refdenotaalpie"/>
          <w:rFonts w:cs="Arial"/>
        </w:rPr>
        <w:footnoteRef/>
      </w:r>
      <w:r w:rsidRPr="00E65956">
        <w:rPr>
          <w:rFonts w:cs="Arial"/>
        </w:rPr>
        <w:t xml:space="preserve"> La información para la elaboración del mapa de las áreas protegidas privadas ya ha sido solicitada formalmente. Esta información será incluida posteriormente como actualización al MGAS.</w:t>
      </w:r>
    </w:p>
  </w:footnote>
  <w:footnote w:id="10">
    <w:p w14:paraId="09638A88" w14:textId="77777777" w:rsidR="000C062F" w:rsidRPr="005E73AF" w:rsidRDefault="000C062F" w:rsidP="006A3DBC">
      <w:pPr>
        <w:pStyle w:val="Textonotapie"/>
        <w:rPr>
          <w:rFonts w:cs="Arial"/>
        </w:rPr>
      </w:pPr>
      <w:r w:rsidRPr="005E73AF">
        <w:rPr>
          <w:rStyle w:val="Refdenotaalpie"/>
          <w:rFonts w:cs="Arial"/>
        </w:rPr>
        <w:footnoteRef/>
      </w:r>
      <w:r w:rsidRPr="005E73AF">
        <w:rPr>
          <w:rFonts w:cs="Arial"/>
        </w:rPr>
        <w:t xml:space="preserve"> http://www.miambiente.gob.hn/blog/view/honduras-designa-su-decimo-humedal-de-importancia-internacional-el-sistema-de-humedales-de-santa-elena-sitio-ramsar-n2334#:~:text=Los%20humedales%20son%20vitales%20para,plantas%20y%20animales%20para%20sobrevivi</w:t>
      </w:r>
    </w:p>
  </w:footnote>
  <w:footnote w:id="11">
    <w:p w14:paraId="4AC64066" w14:textId="77777777" w:rsidR="000C062F" w:rsidRPr="00496D70" w:rsidRDefault="000C062F" w:rsidP="006A3DBC">
      <w:pPr>
        <w:pStyle w:val="Textonotapie"/>
        <w:rPr>
          <w:lang w:val="es-ES"/>
        </w:rPr>
      </w:pPr>
      <w:r w:rsidRPr="00496D70">
        <w:rPr>
          <w:rStyle w:val="Refdenotaalpie"/>
        </w:rPr>
        <w:footnoteRef/>
      </w:r>
      <w:r w:rsidRPr="00496D70">
        <w:t xml:space="preserve"> </w:t>
      </w:r>
      <w:r w:rsidRPr="00496D70">
        <w:rPr>
          <w:lang w:val="es-ES"/>
        </w:rPr>
        <w:t xml:space="preserve">Disponible en: http://amuprolago.yojoa.org/eflora.htm </w:t>
      </w:r>
    </w:p>
  </w:footnote>
  <w:footnote w:id="12">
    <w:p w14:paraId="32A15D5A" w14:textId="77777777" w:rsidR="000C062F" w:rsidRPr="008A16AA" w:rsidRDefault="000C062F" w:rsidP="006A3DBC">
      <w:pPr>
        <w:pStyle w:val="Textonotapie"/>
        <w:rPr>
          <w:rFonts w:cs="Arial"/>
        </w:rPr>
      </w:pPr>
      <w:r w:rsidRPr="008A16AA">
        <w:rPr>
          <w:rStyle w:val="Refdenotaalpie"/>
          <w:rFonts w:cs="Arial"/>
        </w:rPr>
        <w:footnoteRef/>
      </w:r>
      <w:r w:rsidRPr="008A16AA">
        <w:rPr>
          <w:rFonts w:cs="Arial"/>
        </w:rPr>
        <w:t xml:space="preserve"> La información para la elaboración del mapa de los sitios RAMSAR con sus límites, ya ha sido solicitada formalmente. Esta información será incluida posteriormente como actualización al MGAS.</w:t>
      </w:r>
    </w:p>
  </w:footnote>
  <w:footnote w:id="13">
    <w:p w14:paraId="7387066E" w14:textId="77777777" w:rsidR="000C062F" w:rsidRPr="001F1822" w:rsidRDefault="000C062F" w:rsidP="006A3DBC">
      <w:pPr>
        <w:pStyle w:val="Textonotapie"/>
        <w:rPr>
          <w:lang w:val="es-US"/>
        </w:rPr>
      </w:pPr>
      <w:r w:rsidRPr="001F1822">
        <w:rPr>
          <w:rStyle w:val="Refdenotaalpie"/>
        </w:rPr>
        <w:footnoteRef/>
      </w:r>
      <w:r w:rsidRPr="001F1822">
        <w:rPr>
          <w:lang w:val="es-US"/>
        </w:rPr>
        <w:t xml:space="preserve"> Perfil Ambiental País de Honduras. GIZ, Comisión Europea. J Palerm, E. Florez Payarez, H. Nusselder 2013.</w:t>
      </w:r>
    </w:p>
  </w:footnote>
  <w:footnote w:id="14">
    <w:p w14:paraId="1E0EA7C5" w14:textId="77777777" w:rsidR="000C062F" w:rsidRPr="00F2074B" w:rsidRDefault="000C062F" w:rsidP="006A3DBC">
      <w:pPr>
        <w:pStyle w:val="Textonotapie"/>
        <w:rPr>
          <w:sz w:val="18"/>
          <w:szCs w:val="18"/>
          <w:lang w:val="es-HN"/>
        </w:rPr>
      </w:pPr>
      <w:r w:rsidRPr="001F1822">
        <w:rPr>
          <w:rStyle w:val="Refdenotaalpie"/>
        </w:rPr>
        <w:footnoteRef/>
      </w:r>
      <w:r w:rsidRPr="001F1822">
        <w:rPr>
          <w:lang w:val="en-US"/>
        </w:rPr>
        <w:t xml:space="preserve"> </w:t>
      </w:r>
      <w:r w:rsidRPr="00F2074B">
        <w:rPr>
          <w:sz w:val="18"/>
          <w:szCs w:val="18"/>
          <w:lang w:val="en-US"/>
        </w:rPr>
        <w:t xml:space="preserve">Famine Early Warning Systems Network (FEWS NET). </w:t>
      </w:r>
      <w:r w:rsidRPr="00F2074B">
        <w:rPr>
          <w:sz w:val="18"/>
          <w:szCs w:val="18"/>
          <w:lang w:val="es-HN"/>
        </w:rPr>
        <w:t>HONDURAS Zonas de Medios de Vida y Descripción. Febrero 2014</w:t>
      </w:r>
      <w:r>
        <w:rPr>
          <w:sz w:val="18"/>
          <w:szCs w:val="18"/>
          <w:lang w:val="es-HN"/>
        </w:rPr>
        <w:t>.</w:t>
      </w:r>
    </w:p>
  </w:footnote>
  <w:footnote w:id="15">
    <w:p w14:paraId="3346E325" w14:textId="77777777" w:rsidR="000C062F" w:rsidRPr="00F2074B" w:rsidRDefault="000C062F" w:rsidP="006A3DBC">
      <w:pPr>
        <w:pStyle w:val="Textonotapie"/>
        <w:rPr>
          <w:sz w:val="18"/>
          <w:szCs w:val="18"/>
          <w:lang w:val="es-HN"/>
        </w:rPr>
      </w:pPr>
      <w:r w:rsidRPr="001F1822">
        <w:rPr>
          <w:rStyle w:val="Refdenotaalpie"/>
        </w:rPr>
        <w:footnoteRef/>
      </w:r>
      <w:r w:rsidRPr="001F1822">
        <w:t xml:space="preserve"> </w:t>
      </w:r>
      <w:r w:rsidRPr="00F2074B">
        <w:rPr>
          <w:sz w:val="18"/>
          <w:szCs w:val="18"/>
        </w:rPr>
        <w:t>Secretaria de Gobernación y Justicia. 2008. Nufio Cristina. Categorización Municipal</w:t>
      </w:r>
      <w:r>
        <w:rPr>
          <w:sz w:val="18"/>
          <w:szCs w:val="18"/>
        </w:rPr>
        <w:t>.</w:t>
      </w:r>
    </w:p>
  </w:footnote>
  <w:footnote w:id="16">
    <w:p w14:paraId="4184CD38" w14:textId="77777777" w:rsidR="000C062F" w:rsidRPr="00F2074B" w:rsidRDefault="000C062F" w:rsidP="006A3DBC">
      <w:pPr>
        <w:pStyle w:val="Textonotapie"/>
        <w:rPr>
          <w:sz w:val="18"/>
          <w:szCs w:val="18"/>
          <w:lang w:val="es-HN"/>
        </w:rPr>
      </w:pPr>
      <w:r w:rsidRPr="001F1822">
        <w:rPr>
          <w:rStyle w:val="Refdenotaalpie"/>
        </w:rPr>
        <w:footnoteRef/>
      </w:r>
      <w:r w:rsidRPr="001F1822">
        <w:t xml:space="preserve"> </w:t>
      </w:r>
      <w:r w:rsidRPr="00F2074B">
        <w:rPr>
          <w:sz w:val="18"/>
          <w:szCs w:val="18"/>
          <w:lang w:val="es-HN"/>
        </w:rPr>
        <w:t>Encuesta</w:t>
      </w:r>
      <w:r w:rsidRPr="00F2074B">
        <w:rPr>
          <w:spacing w:val="-4"/>
          <w:sz w:val="18"/>
          <w:szCs w:val="18"/>
          <w:lang w:val="es-HN"/>
        </w:rPr>
        <w:t xml:space="preserve"> </w:t>
      </w:r>
      <w:r w:rsidRPr="00F2074B">
        <w:rPr>
          <w:sz w:val="18"/>
          <w:szCs w:val="18"/>
          <w:lang w:val="es-HN"/>
        </w:rPr>
        <w:t>nacional</w:t>
      </w:r>
      <w:r w:rsidRPr="00F2074B">
        <w:rPr>
          <w:spacing w:val="-4"/>
          <w:sz w:val="18"/>
          <w:szCs w:val="18"/>
          <w:lang w:val="es-HN"/>
        </w:rPr>
        <w:t xml:space="preserve"> </w:t>
      </w:r>
      <w:r w:rsidRPr="00F2074B">
        <w:rPr>
          <w:sz w:val="18"/>
          <w:szCs w:val="18"/>
          <w:lang w:val="es-HN"/>
        </w:rPr>
        <w:t>de</w:t>
      </w:r>
      <w:r w:rsidRPr="00F2074B">
        <w:rPr>
          <w:spacing w:val="-4"/>
          <w:sz w:val="18"/>
          <w:szCs w:val="18"/>
          <w:lang w:val="es-HN"/>
        </w:rPr>
        <w:t xml:space="preserve"> </w:t>
      </w:r>
      <w:r w:rsidRPr="00F2074B">
        <w:rPr>
          <w:sz w:val="18"/>
          <w:szCs w:val="18"/>
          <w:lang w:val="es-HN"/>
        </w:rPr>
        <w:t>Demografía</w:t>
      </w:r>
      <w:r w:rsidRPr="00F2074B">
        <w:rPr>
          <w:spacing w:val="-4"/>
          <w:sz w:val="18"/>
          <w:szCs w:val="18"/>
          <w:lang w:val="es-HN"/>
        </w:rPr>
        <w:t xml:space="preserve"> </w:t>
      </w:r>
      <w:r w:rsidRPr="00F2074B">
        <w:rPr>
          <w:sz w:val="18"/>
          <w:szCs w:val="18"/>
          <w:lang w:val="es-HN"/>
        </w:rPr>
        <w:t>y</w:t>
      </w:r>
      <w:r w:rsidRPr="00F2074B">
        <w:rPr>
          <w:spacing w:val="-3"/>
          <w:sz w:val="18"/>
          <w:szCs w:val="18"/>
          <w:lang w:val="es-HN"/>
        </w:rPr>
        <w:t xml:space="preserve"> </w:t>
      </w:r>
      <w:r w:rsidRPr="00F2074B">
        <w:rPr>
          <w:sz w:val="18"/>
          <w:szCs w:val="18"/>
          <w:lang w:val="es-HN"/>
        </w:rPr>
        <w:t>Salud</w:t>
      </w:r>
      <w:r w:rsidRPr="00F2074B">
        <w:rPr>
          <w:spacing w:val="-3"/>
          <w:sz w:val="18"/>
          <w:szCs w:val="18"/>
          <w:lang w:val="es-HN"/>
        </w:rPr>
        <w:t xml:space="preserve"> </w:t>
      </w:r>
      <w:r w:rsidRPr="00F2074B">
        <w:rPr>
          <w:sz w:val="18"/>
          <w:szCs w:val="18"/>
          <w:lang w:val="es-HN"/>
        </w:rPr>
        <w:t>(ENDESA)</w:t>
      </w:r>
      <w:r w:rsidRPr="00F2074B">
        <w:rPr>
          <w:spacing w:val="-4"/>
          <w:sz w:val="18"/>
          <w:szCs w:val="18"/>
          <w:lang w:val="es-HN"/>
        </w:rPr>
        <w:t xml:space="preserve"> </w:t>
      </w:r>
      <w:r w:rsidRPr="00F2074B">
        <w:rPr>
          <w:sz w:val="18"/>
          <w:szCs w:val="18"/>
          <w:lang w:val="es-HN"/>
        </w:rPr>
        <w:t>2011-2012.</w:t>
      </w:r>
    </w:p>
  </w:footnote>
  <w:footnote w:id="17">
    <w:p w14:paraId="1EC1C1D3" w14:textId="77777777" w:rsidR="000C062F" w:rsidRPr="00F2074B" w:rsidRDefault="000C062F" w:rsidP="006A3DBC">
      <w:pPr>
        <w:pStyle w:val="Textonotapie"/>
        <w:rPr>
          <w:sz w:val="18"/>
          <w:szCs w:val="18"/>
          <w:lang w:val="es-HN"/>
        </w:rPr>
      </w:pPr>
      <w:r w:rsidRPr="001F1822">
        <w:rPr>
          <w:rStyle w:val="Refdenotaalpie"/>
        </w:rPr>
        <w:footnoteRef/>
      </w:r>
      <w:r w:rsidRPr="001F1822">
        <w:t xml:space="preserve"> </w:t>
      </w:r>
      <w:r w:rsidRPr="00F2074B">
        <w:rPr>
          <w:sz w:val="18"/>
          <w:szCs w:val="18"/>
          <w:lang w:val="es-HN"/>
        </w:rPr>
        <w:t>Encuesta</w:t>
      </w:r>
      <w:r w:rsidRPr="00F2074B">
        <w:rPr>
          <w:spacing w:val="-4"/>
          <w:sz w:val="18"/>
          <w:szCs w:val="18"/>
          <w:lang w:val="es-HN"/>
        </w:rPr>
        <w:t xml:space="preserve"> </w:t>
      </w:r>
      <w:r w:rsidRPr="00F2074B">
        <w:rPr>
          <w:sz w:val="18"/>
          <w:szCs w:val="18"/>
          <w:lang w:val="es-HN"/>
        </w:rPr>
        <w:t>nacional</w:t>
      </w:r>
      <w:r w:rsidRPr="00F2074B">
        <w:rPr>
          <w:spacing w:val="-4"/>
          <w:sz w:val="18"/>
          <w:szCs w:val="18"/>
          <w:lang w:val="es-HN"/>
        </w:rPr>
        <w:t xml:space="preserve"> </w:t>
      </w:r>
      <w:r w:rsidRPr="00F2074B">
        <w:rPr>
          <w:sz w:val="18"/>
          <w:szCs w:val="18"/>
          <w:lang w:val="es-HN"/>
        </w:rPr>
        <w:t>de</w:t>
      </w:r>
      <w:r w:rsidRPr="00F2074B">
        <w:rPr>
          <w:spacing w:val="-4"/>
          <w:sz w:val="18"/>
          <w:szCs w:val="18"/>
          <w:lang w:val="es-HN"/>
        </w:rPr>
        <w:t xml:space="preserve"> </w:t>
      </w:r>
      <w:r w:rsidRPr="00F2074B">
        <w:rPr>
          <w:sz w:val="18"/>
          <w:szCs w:val="18"/>
          <w:lang w:val="es-HN"/>
        </w:rPr>
        <w:t>Demografía</w:t>
      </w:r>
      <w:r w:rsidRPr="00F2074B">
        <w:rPr>
          <w:spacing w:val="-4"/>
          <w:sz w:val="18"/>
          <w:szCs w:val="18"/>
          <w:lang w:val="es-HN"/>
        </w:rPr>
        <w:t xml:space="preserve"> </w:t>
      </w:r>
      <w:r w:rsidRPr="00F2074B">
        <w:rPr>
          <w:sz w:val="18"/>
          <w:szCs w:val="18"/>
          <w:lang w:val="es-HN"/>
        </w:rPr>
        <w:t>y</w:t>
      </w:r>
      <w:r w:rsidRPr="00F2074B">
        <w:rPr>
          <w:spacing w:val="-3"/>
          <w:sz w:val="18"/>
          <w:szCs w:val="18"/>
          <w:lang w:val="es-HN"/>
        </w:rPr>
        <w:t xml:space="preserve"> </w:t>
      </w:r>
      <w:r w:rsidRPr="00F2074B">
        <w:rPr>
          <w:sz w:val="18"/>
          <w:szCs w:val="18"/>
          <w:lang w:val="es-HN"/>
        </w:rPr>
        <w:t>Salud</w:t>
      </w:r>
      <w:r w:rsidRPr="00F2074B">
        <w:rPr>
          <w:spacing w:val="-3"/>
          <w:sz w:val="18"/>
          <w:szCs w:val="18"/>
          <w:lang w:val="es-HN"/>
        </w:rPr>
        <w:t xml:space="preserve"> </w:t>
      </w:r>
      <w:r w:rsidRPr="00F2074B">
        <w:rPr>
          <w:sz w:val="18"/>
          <w:szCs w:val="18"/>
          <w:lang w:val="es-HN"/>
        </w:rPr>
        <w:t>(ENDESA)</w:t>
      </w:r>
      <w:r w:rsidRPr="00F2074B">
        <w:rPr>
          <w:spacing w:val="-4"/>
          <w:sz w:val="18"/>
          <w:szCs w:val="18"/>
          <w:lang w:val="es-HN"/>
        </w:rPr>
        <w:t xml:space="preserve"> </w:t>
      </w:r>
      <w:r w:rsidRPr="00F2074B">
        <w:rPr>
          <w:sz w:val="18"/>
          <w:szCs w:val="18"/>
          <w:lang w:val="es-HN"/>
        </w:rPr>
        <w:t>2011-2012</w:t>
      </w:r>
      <w:r>
        <w:rPr>
          <w:sz w:val="18"/>
          <w:szCs w:val="18"/>
          <w:lang w:val="es-HN"/>
        </w:rPr>
        <w:t>.</w:t>
      </w:r>
    </w:p>
  </w:footnote>
  <w:footnote w:id="18">
    <w:p w14:paraId="0A358563" w14:textId="77777777" w:rsidR="000C062F" w:rsidRPr="00586073" w:rsidRDefault="000C062F" w:rsidP="006A3DBC">
      <w:pPr>
        <w:pStyle w:val="Textonotapie"/>
        <w:rPr>
          <w:lang w:val="es-HN"/>
        </w:rPr>
      </w:pPr>
      <w:r>
        <w:rPr>
          <w:rStyle w:val="Refdenotaalpie"/>
        </w:rPr>
        <w:footnoteRef/>
      </w:r>
      <w:r>
        <w:t xml:space="preserve"> </w:t>
      </w:r>
      <w:r w:rsidRPr="00586073">
        <w:t>https://ine.gob.hn/v4/2023/12/01/cifras-del-mercado-laboral-junio-2023/</w:t>
      </w:r>
    </w:p>
  </w:footnote>
  <w:footnote w:id="19">
    <w:p w14:paraId="424AD040" w14:textId="77777777" w:rsidR="000C062F" w:rsidRPr="001F1822" w:rsidRDefault="000C062F" w:rsidP="006A3DBC">
      <w:pPr>
        <w:pStyle w:val="Textonotapie"/>
      </w:pPr>
      <w:r w:rsidRPr="001F1822">
        <w:rPr>
          <w:rStyle w:val="Refdenotaalpie"/>
        </w:rPr>
        <w:footnoteRef/>
      </w:r>
      <w:r w:rsidRPr="001F1822">
        <w:t xml:space="preserve"> Integración de la Innovación para la Competitividad Rural en Honduras - COMRURAL II (P168385). Septiembre de 2018</w:t>
      </w:r>
      <w:r>
        <w:t>.</w:t>
      </w:r>
    </w:p>
  </w:footnote>
  <w:footnote w:id="20">
    <w:p w14:paraId="4B240450" w14:textId="52FDD352" w:rsidR="000C062F" w:rsidRPr="0054358B" w:rsidRDefault="000C062F" w:rsidP="006A3DBC">
      <w:pPr>
        <w:pStyle w:val="Textonotapie"/>
        <w:rPr>
          <w:rFonts w:cs="Arial"/>
          <w:lang w:val="es-HN"/>
        </w:rPr>
      </w:pPr>
      <w:r>
        <w:rPr>
          <w:rStyle w:val="Refdenotaalpie"/>
        </w:rPr>
        <w:footnoteRef/>
      </w:r>
      <w:r>
        <w:t xml:space="preserve"> </w:t>
      </w:r>
      <w:r w:rsidRPr="0054358B">
        <w:rPr>
          <w:rFonts w:cs="Arial"/>
        </w:rPr>
        <w:t>https://www.se.gob.hn/media/files/articles/MARCO_DE_GESTION_AMBIENTAL_Y_SOCIAL.pdf</w:t>
      </w:r>
    </w:p>
  </w:footnote>
  <w:footnote w:id="21">
    <w:p w14:paraId="3FC63B77" w14:textId="77777777" w:rsidR="000C062F" w:rsidRPr="0054358B" w:rsidRDefault="000C062F" w:rsidP="006A3DBC">
      <w:pPr>
        <w:pStyle w:val="Textonotapie"/>
        <w:rPr>
          <w:rFonts w:cs="Arial"/>
          <w:lang w:val="es-HN"/>
        </w:rPr>
      </w:pPr>
      <w:r>
        <w:rPr>
          <w:rStyle w:val="Refdenotaalpie"/>
        </w:rPr>
        <w:footnoteRef/>
      </w:r>
      <w:r>
        <w:t xml:space="preserve"> </w:t>
      </w:r>
      <w:r w:rsidRPr="0054358B">
        <w:rPr>
          <w:rFonts w:cs="Arial"/>
        </w:rPr>
        <w:t>https://www.bancomundial.org/es/country/honduras/overview</w:t>
      </w:r>
    </w:p>
  </w:footnote>
  <w:footnote w:id="22">
    <w:p w14:paraId="32E42C3B" w14:textId="77777777" w:rsidR="000C062F" w:rsidRPr="001F1822" w:rsidRDefault="000C062F" w:rsidP="006A3DBC">
      <w:pPr>
        <w:pStyle w:val="Textonotapie"/>
      </w:pPr>
      <w:r w:rsidRPr="001F1822">
        <w:rPr>
          <w:rStyle w:val="Refdenotaalpie"/>
        </w:rPr>
        <w:footnoteRef/>
      </w:r>
      <w:r w:rsidRPr="001F1822">
        <w:t xml:space="preserve"> FEWS NET. HONDURAS Zonas de Medios de Vida y Descripciones. Marzo 2014</w:t>
      </w:r>
      <w:r>
        <w:t>.</w:t>
      </w:r>
    </w:p>
  </w:footnote>
  <w:footnote w:id="23">
    <w:p w14:paraId="688DA057" w14:textId="71BFED54" w:rsidR="000C062F" w:rsidRPr="007E7FC9" w:rsidRDefault="000C062F" w:rsidP="006A3DBC">
      <w:pPr>
        <w:pStyle w:val="Textonotapie"/>
        <w:rPr>
          <w:lang w:val="es-HN"/>
        </w:rPr>
      </w:pPr>
      <w:r>
        <w:rPr>
          <w:rStyle w:val="Refdenotaalpie"/>
        </w:rPr>
        <w:footnoteRef/>
      </w:r>
      <w:r>
        <w:t xml:space="preserve"> </w:t>
      </w:r>
      <w:r w:rsidRPr="001616DF">
        <w:rPr>
          <w:rFonts w:cs="Arial"/>
        </w:rPr>
        <w:t>Organización Internacional para las Migraciones (OIM). 2021. Estudio sobre la Migración Laboral en</w:t>
      </w:r>
      <w:r>
        <w:rPr>
          <w:rFonts w:cs="Arial"/>
        </w:rPr>
        <w:t xml:space="preserve"> </w:t>
      </w:r>
      <w:r w:rsidRPr="001616DF">
        <w:rPr>
          <w:rFonts w:cs="Arial"/>
        </w:rPr>
        <w:t>Honduras. OIM. San José, Costa Rica.</w:t>
      </w:r>
    </w:p>
  </w:footnote>
  <w:footnote w:id="24">
    <w:p w14:paraId="1C4D186D" w14:textId="77777777" w:rsidR="000C062F" w:rsidRPr="001F1822" w:rsidRDefault="000C062F" w:rsidP="006A3DBC">
      <w:pPr>
        <w:pStyle w:val="Textonotapie"/>
        <w:rPr>
          <w:lang w:val="es-HN"/>
        </w:rPr>
      </w:pPr>
      <w:r w:rsidRPr="001F1822">
        <w:rPr>
          <w:rStyle w:val="Refdenotaalpie"/>
        </w:rPr>
        <w:footnoteRef/>
      </w:r>
      <w:r w:rsidRPr="001F1822">
        <w:rPr>
          <w:lang w:val="es-HN"/>
        </w:rPr>
        <w:t xml:space="preserve"> </w:t>
      </w:r>
      <w:r w:rsidRPr="00C7375B">
        <w:rPr>
          <w:rFonts w:cs="Arial"/>
          <w:lang w:val="es-HN"/>
        </w:rPr>
        <w:t>http://www.latribuna.hn/2017/10/04/remesas-se-acercan-15-del-pib-hondureno/</w:t>
      </w:r>
    </w:p>
  </w:footnote>
  <w:footnote w:id="25">
    <w:p w14:paraId="54AED9E0" w14:textId="77777777" w:rsidR="000C062F" w:rsidRPr="001F1822" w:rsidRDefault="000C062F" w:rsidP="006A3DBC">
      <w:pPr>
        <w:pStyle w:val="Textonotapie"/>
      </w:pPr>
      <w:r w:rsidRPr="001F1822">
        <w:rPr>
          <w:rStyle w:val="Refdenotaalpie"/>
        </w:rPr>
        <w:footnoteRef/>
      </w:r>
      <w:r w:rsidRPr="001F1822">
        <w:t xml:space="preserve"> UNAH – IUDPAS Instituto Universitario en Democracia, Paz y Seguridad. Observatorio de la Violencia. Boletín Enero- diciembre de 2017. Edición 48 de marzo de 2018</w:t>
      </w:r>
      <w:r>
        <w:t>.</w:t>
      </w:r>
    </w:p>
  </w:footnote>
  <w:footnote w:id="26">
    <w:p w14:paraId="52E93CC4" w14:textId="77777777" w:rsidR="000C062F" w:rsidRPr="0061577A" w:rsidRDefault="000C062F" w:rsidP="006A3DBC">
      <w:pPr>
        <w:pStyle w:val="Textonotapie"/>
        <w:rPr>
          <w:rFonts w:cs="Arial"/>
        </w:rPr>
      </w:pPr>
      <w:r w:rsidRPr="0061577A">
        <w:rPr>
          <w:rStyle w:val="Refdenotaalpie"/>
          <w:rFonts w:cs="Arial"/>
        </w:rPr>
        <w:footnoteRef/>
      </w:r>
      <w:r w:rsidRPr="0061577A">
        <w:rPr>
          <w:rFonts w:cs="Arial"/>
        </w:rPr>
        <w:t xml:space="preserve"> https://www.sepol.hn/artisistem/images/sepol-images/files/Microsoft%20PowerPoint%20-%20INFOGRAFICO%20ANUAL(2023).pdf</w:t>
      </w:r>
    </w:p>
  </w:footnote>
  <w:footnote w:id="27">
    <w:p w14:paraId="58CD159A" w14:textId="77777777" w:rsidR="000C062F" w:rsidRPr="00C65925" w:rsidRDefault="000C062F" w:rsidP="006A3DBC">
      <w:pPr>
        <w:pStyle w:val="Textonotapie"/>
        <w:rPr>
          <w:rFonts w:cs="Arial"/>
        </w:rPr>
      </w:pPr>
      <w:r w:rsidRPr="00C65925">
        <w:rPr>
          <w:rStyle w:val="Refdenotaalpie"/>
          <w:rFonts w:cs="Arial"/>
        </w:rPr>
        <w:footnoteRef/>
      </w:r>
      <w:r w:rsidRPr="00C65925">
        <w:rPr>
          <w:rFonts w:cs="Arial"/>
        </w:rPr>
        <w:t xml:space="preserve"> https://www.catie.ac.cr/2023/09/19/ganaderia-de-honduras-inicia-su-transformacion-hacia-una-economia-baja-en-emisiones-y-resiliente/#:~:text=Con%20un%20aporte%20del%2013,su%20impacto%20ambiental%20y%20climático</w:t>
      </w:r>
    </w:p>
  </w:footnote>
  <w:footnote w:id="28">
    <w:p w14:paraId="4EC28C16" w14:textId="77777777" w:rsidR="000C062F" w:rsidRPr="001F1822" w:rsidRDefault="000C062F" w:rsidP="006A3DBC">
      <w:pPr>
        <w:pStyle w:val="Textonotapie"/>
        <w:rPr>
          <w:lang w:val="es-HN"/>
        </w:rPr>
      </w:pPr>
      <w:r w:rsidRPr="001F1822">
        <w:rPr>
          <w:rStyle w:val="Refdenotaalpie"/>
        </w:rPr>
        <w:footnoteRef/>
      </w:r>
      <w:r w:rsidRPr="001F1822">
        <w:t xml:space="preserve">https://unitecupv2011mmfr.wordpress.com/2011/07/04/medios-de-transporte-utilizados-en-honduras/ </w:t>
      </w:r>
    </w:p>
  </w:footnote>
  <w:footnote w:id="29">
    <w:p w14:paraId="18850B5A" w14:textId="77777777" w:rsidR="000C062F" w:rsidRPr="004A216D" w:rsidRDefault="000C062F" w:rsidP="006A3DBC">
      <w:pPr>
        <w:pStyle w:val="Textonotapie"/>
        <w:rPr>
          <w:lang w:val="es-HN"/>
        </w:rPr>
      </w:pPr>
      <w:r>
        <w:rPr>
          <w:rStyle w:val="Refdenotaalpie"/>
        </w:rPr>
        <w:footnoteRef/>
      </w:r>
      <w:r>
        <w:t xml:space="preserve"> </w:t>
      </w:r>
      <w:r w:rsidRPr="004A216D">
        <w:t>http://181.115.7.199/binhnd/RpWebEngine.exe/Portal?BASE=PROYPOB&amp;lang=ESP</w:t>
      </w:r>
    </w:p>
  </w:footnote>
  <w:footnote w:id="30">
    <w:p w14:paraId="431129A0" w14:textId="77777777" w:rsidR="000C062F" w:rsidRPr="00263566" w:rsidRDefault="000C062F" w:rsidP="006A3DBC">
      <w:pPr>
        <w:pStyle w:val="Textonotapie"/>
        <w:jc w:val="both"/>
      </w:pPr>
      <w:r w:rsidRPr="00263566">
        <w:rPr>
          <w:rStyle w:val="Refdenotaalpie"/>
        </w:rPr>
        <w:footnoteRef/>
      </w:r>
      <w:r w:rsidRPr="00263566">
        <w:t xml:space="preserve"> </w:t>
      </w:r>
      <w:r w:rsidRPr="00263566">
        <w:rPr>
          <w:sz w:val="16"/>
        </w:rPr>
        <w:t>Existen valores controvertidos entre el Censo del INE y el autocenso de la organización representativa de los Nahua que estima una población de 20,000 personas pertenecientes a ese pueblo indígena. Nota Técnica Honduras 2008. Herman Gebauer.</w:t>
      </w:r>
    </w:p>
  </w:footnote>
  <w:footnote w:id="31">
    <w:p w14:paraId="0476C63B" w14:textId="77777777" w:rsidR="000C062F" w:rsidRPr="009C398A" w:rsidRDefault="000C062F" w:rsidP="006A3DBC">
      <w:pPr>
        <w:pStyle w:val="Textonotapie"/>
        <w:rPr>
          <w:rFonts w:cs="Arial"/>
        </w:rPr>
      </w:pPr>
      <w:r w:rsidRPr="009C398A">
        <w:rPr>
          <w:rStyle w:val="Refdenotaalpie"/>
          <w:rFonts w:cs="Arial"/>
        </w:rPr>
        <w:footnoteRef/>
      </w:r>
      <w:r w:rsidRPr="009C398A">
        <w:rPr>
          <w:rFonts w:cs="Arial"/>
        </w:rPr>
        <w:t xml:space="preserve"> </w:t>
      </w:r>
      <w:r w:rsidRPr="009C398A">
        <w:rPr>
          <w:rFonts w:cs="Arial"/>
          <w:sz w:val="18"/>
          <w:szCs w:val="18"/>
        </w:rPr>
        <w:t>El retraso en el crecimiento se refiere a un niño que es demasiado pequeño para su edad. El retraso en el crecimiento es la incapacidad de crecer tanto física como cognitivamente y es el resultado de la desnutrición crónica o recurrente.</w:t>
      </w:r>
    </w:p>
  </w:footnote>
  <w:footnote w:id="32">
    <w:p w14:paraId="5B9F7683" w14:textId="77777777" w:rsidR="000C062F" w:rsidRPr="009C398A" w:rsidRDefault="000C062F" w:rsidP="006A3DBC">
      <w:pPr>
        <w:pStyle w:val="Textonotapie"/>
        <w:rPr>
          <w:rFonts w:cs="Arial"/>
        </w:rPr>
      </w:pPr>
      <w:r w:rsidRPr="009C398A">
        <w:rPr>
          <w:rStyle w:val="Refdenotaalpie"/>
          <w:rFonts w:cs="Arial"/>
        </w:rPr>
        <w:footnoteRef/>
      </w:r>
      <w:r w:rsidRPr="009C398A">
        <w:rPr>
          <w:rFonts w:cs="Arial"/>
        </w:rPr>
        <w:t xml:space="preserve"> </w:t>
      </w:r>
      <w:r w:rsidRPr="009C398A">
        <w:rPr>
          <w:rFonts w:cs="Arial"/>
          <w:sz w:val="18"/>
          <w:szCs w:val="18"/>
        </w:rPr>
        <w:t>Sobre peso se refiere a un niño que es demasiado pesado para su estatura. Esta forma de malnutrición resulta de gastar muy pocas calorías para la cantidad consumida de alimentos y bebidas y aumenta el riesgo de enfermedades no transmisibles en el futuro.</w:t>
      </w:r>
    </w:p>
  </w:footnote>
  <w:footnote w:id="33">
    <w:p w14:paraId="0F925875" w14:textId="77777777" w:rsidR="000C062F" w:rsidRPr="004C0843" w:rsidRDefault="000C062F" w:rsidP="006A3DBC">
      <w:pPr>
        <w:pStyle w:val="Textonotapie"/>
      </w:pPr>
      <w:r w:rsidRPr="009C398A">
        <w:rPr>
          <w:rStyle w:val="Refdenotaalpie"/>
          <w:rFonts w:cs="Arial"/>
        </w:rPr>
        <w:footnoteRef/>
      </w:r>
      <w:r w:rsidRPr="009C398A">
        <w:rPr>
          <w:rFonts w:cs="Arial"/>
        </w:rPr>
        <w:t xml:space="preserve"> </w:t>
      </w:r>
      <w:r w:rsidRPr="009C398A">
        <w:rPr>
          <w:rFonts w:cs="Arial"/>
          <w:sz w:val="18"/>
          <w:szCs w:val="18"/>
        </w:rPr>
        <w:t>Emaciación se refiere a un niño que es demasiado delgado para su altura.</w:t>
      </w:r>
    </w:p>
  </w:footnote>
  <w:footnote w:id="34">
    <w:p w14:paraId="7C584450" w14:textId="77777777" w:rsidR="000C062F" w:rsidRPr="00DF4F7D" w:rsidRDefault="000C062F" w:rsidP="006A3DBC">
      <w:pPr>
        <w:pStyle w:val="Textonotapie"/>
        <w:rPr>
          <w:lang w:val="es-SV"/>
        </w:rPr>
      </w:pPr>
      <w:r w:rsidRPr="00BE5F25">
        <w:rPr>
          <w:rFonts w:ascii="Segoe UI" w:hAnsi="Segoe UI"/>
          <w:iCs/>
          <w:sz w:val="17"/>
          <w:szCs w:val="18"/>
          <w:lang w:val="es-SV" w:eastAsia="es-SV"/>
        </w:rPr>
        <w:footnoteRef/>
      </w:r>
      <w:r w:rsidRPr="00BE5F25">
        <w:rPr>
          <w:rFonts w:ascii="Segoe UI" w:hAnsi="Segoe UI"/>
          <w:iCs/>
          <w:sz w:val="17"/>
          <w:szCs w:val="18"/>
          <w:lang w:val="es-SV" w:eastAsia="es-SV"/>
        </w:rPr>
        <w:t xml:space="preserve"> Disponible en https://dashboardendesa.ine.gob.hn/dashboardVictimizacion</w:t>
      </w:r>
    </w:p>
  </w:footnote>
  <w:footnote w:id="35">
    <w:p w14:paraId="614199A9" w14:textId="77777777" w:rsidR="000C062F" w:rsidRPr="00BE5F25" w:rsidRDefault="000C062F" w:rsidP="006A3DBC">
      <w:pPr>
        <w:pStyle w:val="Textonotapie"/>
        <w:rPr>
          <w:rFonts w:ascii="Segoe UI" w:hAnsi="Segoe UI"/>
          <w:iCs/>
          <w:sz w:val="17"/>
          <w:szCs w:val="18"/>
          <w:lang w:val="es-SV" w:eastAsia="es-SV"/>
        </w:rPr>
      </w:pPr>
      <w:r w:rsidRPr="00BE5F25">
        <w:rPr>
          <w:rFonts w:ascii="Segoe UI" w:hAnsi="Segoe UI"/>
          <w:iCs/>
          <w:sz w:val="17"/>
          <w:szCs w:val="18"/>
          <w:lang w:val="es-SV" w:eastAsia="es-SV"/>
        </w:rPr>
        <w:footnoteRef/>
      </w:r>
      <w:r w:rsidRPr="00BE5F25">
        <w:rPr>
          <w:rFonts w:ascii="Segoe UI" w:hAnsi="Segoe UI"/>
          <w:iCs/>
          <w:sz w:val="17"/>
          <w:szCs w:val="18"/>
          <w:lang w:val="es-SV" w:eastAsia="es-SV"/>
        </w:rPr>
        <w:t xml:space="preserve">  El INE define robo como "tomar o tratar de tomar algo, usando la fuerza o amenazando con usar la fuerza".</w:t>
      </w:r>
    </w:p>
  </w:footnote>
  <w:footnote w:id="36">
    <w:p w14:paraId="2CB0D81D" w14:textId="77777777" w:rsidR="000C062F" w:rsidRPr="001F1822" w:rsidRDefault="000C062F" w:rsidP="006A3DBC">
      <w:pPr>
        <w:pStyle w:val="Textonotapie"/>
        <w:rPr>
          <w:lang w:val="es-HN"/>
        </w:rPr>
      </w:pPr>
      <w:r w:rsidRPr="001F1822">
        <w:rPr>
          <w:rStyle w:val="Refdenotaalpie"/>
        </w:rPr>
        <w:footnoteRef/>
      </w:r>
      <w:r w:rsidRPr="001F1822">
        <w:rPr>
          <w:lang w:val="es-HN"/>
        </w:rPr>
        <w:t xml:space="preserve"> Martínez María Antonia y Rosales Sara Elisa. El Acceso de la Mujer a la Tierra en Honduras. Fundación Arias, San José:1995</w:t>
      </w:r>
    </w:p>
  </w:footnote>
  <w:footnote w:id="37">
    <w:p w14:paraId="175FA3B5" w14:textId="77777777" w:rsidR="000C062F" w:rsidRPr="001F1822" w:rsidRDefault="000C062F" w:rsidP="006A3DBC">
      <w:pPr>
        <w:pStyle w:val="Textonotapie"/>
      </w:pPr>
      <w:r w:rsidRPr="001F1822">
        <w:rPr>
          <w:rStyle w:val="Refdenotaalpie"/>
        </w:rPr>
        <w:footnoteRef/>
      </w:r>
      <w:r w:rsidRPr="001F1822">
        <w:t xml:space="preserve"> Dra. Margarita Oseguera de Ochoa. Instituto Nacional de la Mujer (INAM), Informe de Investigación Mujer Rural Hondureña. Junio 2003.</w:t>
      </w:r>
    </w:p>
  </w:footnote>
  <w:footnote w:id="38">
    <w:p w14:paraId="4B18220E" w14:textId="77777777" w:rsidR="000C062F" w:rsidRPr="001F1822" w:rsidRDefault="000C062F" w:rsidP="006A3DBC">
      <w:pPr>
        <w:pStyle w:val="Textonotapie"/>
        <w:rPr>
          <w:lang w:val="es-HN"/>
        </w:rPr>
      </w:pPr>
      <w:r w:rsidRPr="001F1822">
        <w:rPr>
          <w:rStyle w:val="Refdenotaalpie"/>
          <w:sz w:val="18"/>
        </w:rPr>
        <w:footnoteRef/>
      </w:r>
      <w:r w:rsidRPr="001F1822">
        <w:rPr>
          <w:sz w:val="18"/>
          <w:lang w:val="es-HN"/>
        </w:rPr>
        <w:t xml:space="preserve"> </w:t>
      </w:r>
      <w:r w:rsidRPr="001F1822">
        <w:rPr>
          <w:lang w:val="es-HN"/>
        </w:rPr>
        <w:t>https://www.hispantv.com/noticias/honduras/379534/peligro-jovenes-asesinato-observatorio-violencia</w:t>
      </w:r>
    </w:p>
  </w:footnote>
  <w:footnote w:id="39">
    <w:p w14:paraId="77DF61FA" w14:textId="77777777" w:rsidR="000C062F" w:rsidRPr="001F1822" w:rsidRDefault="000C062F" w:rsidP="006A3DBC">
      <w:pPr>
        <w:pStyle w:val="Textonotapie"/>
        <w:rPr>
          <w:sz w:val="18"/>
          <w:lang w:val="es-HN"/>
        </w:rPr>
      </w:pPr>
      <w:r w:rsidRPr="001F1822">
        <w:rPr>
          <w:rStyle w:val="Refdenotaalpie"/>
        </w:rPr>
        <w:footnoteRef/>
      </w:r>
      <w:r w:rsidRPr="001F1822">
        <w:rPr>
          <w:lang w:val="es-HN"/>
        </w:rPr>
        <w:t xml:space="preserve"> https://www.unicef.org/honduras/14352_23534.htm</w:t>
      </w:r>
    </w:p>
  </w:footnote>
  <w:footnote w:id="40">
    <w:p w14:paraId="4FBEAD6E" w14:textId="77777777" w:rsidR="000C062F" w:rsidRPr="0061577A" w:rsidRDefault="000C062F" w:rsidP="006A3DBC">
      <w:pPr>
        <w:pStyle w:val="Textonotapie"/>
        <w:rPr>
          <w:rFonts w:cs="Arial"/>
          <w:lang w:val="es-PE"/>
        </w:rPr>
      </w:pPr>
      <w:r w:rsidRPr="0061577A">
        <w:rPr>
          <w:rStyle w:val="Refdenotaalpie"/>
          <w:rFonts w:cs="Arial"/>
        </w:rPr>
        <w:footnoteRef/>
      </w:r>
      <w:r w:rsidRPr="0061577A">
        <w:rPr>
          <w:rFonts w:cs="Arial"/>
        </w:rPr>
        <w:t xml:space="preserve"> Fuente</w:t>
      </w:r>
      <w:r w:rsidRPr="0061577A">
        <w:rPr>
          <w:rFonts w:cs="Arial"/>
          <w:lang w:val="es-PE"/>
        </w:rPr>
        <w:t xml:space="preserve">: </w:t>
      </w:r>
      <w:hyperlink r:id="rId1" w:history="1">
        <w:r w:rsidRPr="0061577A">
          <w:rPr>
            <w:rStyle w:val="Hipervnculo"/>
            <w:rFonts w:cs="Arial"/>
            <w:lang w:val="es-PE"/>
          </w:rPr>
          <w:t>https://www.dol.gov/agencies/ilab/resources/reports/child-labor/honduras</w:t>
        </w:r>
      </w:hyperlink>
    </w:p>
  </w:footnote>
  <w:footnote w:id="41">
    <w:p w14:paraId="43C0CD14" w14:textId="77777777" w:rsidR="000C062F" w:rsidRDefault="000C062F" w:rsidP="006A3DBC">
      <w:pPr>
        <w:pStyle w:val="Textonotapie"/>
      </w:pPr>
      <w:r>
        <w:rPr>
          <w:rStyle w:val="Refdenotaalpie"/>
        </w:rPr>
        <w:footnoteRef/>
      </w:r>
      <w:r>
        <w:t xml:space="preserve"> Plan de Participación de Partes Interesadas COMRURAL III.</w:t>
      </w:r>
    </w:p>
  </w:footnote>
  <w:footnote w:id="42">
    <w:p w14:paraId="568847C3" w14:textId="77777777" w:rsidR="000C062F" w:rsidRPr="00C479C5" w:rsidRDefault="000C062F" w:rsidP="006A3DBC">
      <w:pPr>
        <w:spacing w:after="0" w:line="240" w:lineRule="auto"/>
        <w:jc w:val="both"/>
        <w:rPr>
          <w:rFonts w:cs="Arial"/>
          <w:bCs/>
          <w:w w:val="105"/>
          <w:sz w:val="18"/>
          <w:szCs w:val="21"/>
        </w:rPr>
      </w:pPr>
      <w:r w:rsidRPr="00C479C5">
        <w:rPr>
          <w:rStyle w:val="Refdenotaalpie"/>
          <w:rFonts w:cs="Arial"/>
          <w:sz w:val="18"/>
        </w:rPr>
        <w:footnoteRef/>
      </w:r>
      <w:r w:rsidRPr="00C479C5">
        <w:rPr>
          <w:rFonts w:cs="Arial"/>
          <w:sz w:val="18"/>
          <w:szCs w:val="20"/>
        </w:rPr>
        <w:t xml:space="preserve"> </w:t>
      </w:r>
      <w:r w:rsidRPr="00C479C5">
        <w:rPr>
          <w:rFonts w:cs="Arial"/>
          <w:bCs/>
          <w:w w:val="105"/>
          <w:sz w:val="18"/>
          <w:szCs w:val="21"/>
          <w:lang w:val="es-GT"/>
        </w:rPr>
        <w:t xml:space="preserve">Al tratarse de grupos de participantes con muchos niños pequeños que acompañan a las madres a eventos, se puede pagar a algunas mujeres para cuidar a los niños, creando un tipo de “guardería temporal” durante el período del evento. Es de especial importancia para fomentar la participación de madres solteras (muchas veces de edad joven). El costo de esta remuneración debe formar parte del costo del evento. </w:t>
      </w:r>
    </w:p>
  </w:footnote>
  <w:footnote w:id="43">
    <w:p w14:paraId="4535F954" w14:textId="77777777" w:rsidR="000C062F" w:rsidRPr="003C27EE" w:rsidRDefault="000C062F" w:rsidP="006A3DBC">
      <w:pPr>
        <w:spacing w:after="0" w:line="240" w:lineRule="auto"/>
        <w:jc w:val="both"/>
        <w:rPr>
          <w:rFonts w:cs="Calibri"/>
          <w:color w:val="000000"/>
          <w:sz w:val="18"/>
          <w:lang w:val="es-ES_tradnl"/>
        </w:rPr>
      </w:pPr>
      <w:r w:rsidRPr="00C479C5">
        <w:rPr>
          <w:rStyle w:val="Refdenotaalpie"/>
          <w:rFonts w:cs="Arial"/>
        </w:rPr>
        <w:footnoteRef/>
      </w:r>
      <w:r w:rsidRPr="00C479C5">
        <w:rPr>
          <w:rFonts w:cs="Arial"/>
          <w:lang w:val="es-GT"/>
        </w:rPr>
        <w:t xml:space="preserve"> </w:t>
      </w:r>
      <w:r w:rsidRPr="00C479C5">
        <w:rPr>
          <w:rFonts w:cs="Arial"/>
          <w:color w:val="000000"/>
          <w:sz w:val="18"/>
          <w:lang w:val="es-ES_tradnl"/>
        </w:rPr>
        <w:t>Es buena práctica, al realizar eventos en el marco del Proyecto en las comunidades, organizar desde antes los servicios de alimentación (un refrigerio y/o almuerzo) para los y las participantes y los hijos pequeños que los acompañen. Para ello se debería utilizar, en la medida de lo posible, servicios locales de mujeres que se sabe que no participarán en el evento, para así generar pequeños, pero importantes ingresos locales.</w:t>
      </w:r>
    </w:p>
  </w:footnote>
  <w:footnote w:id="44">
    <w:p w14:paraId="42AADE29" w14:textId="77777777" w:rsidR="000C062F" w:rsidRPr="001F1822" w:rsidRDefault="000C062F" w:rsidP="006A3DBC">
      <w:pPr>
        <w:pStyle w:val="Textonotapie"/>
        <w:rPr>
          <w:lang w:val="es-HN"/>
        </w:rPr>
      </w:pPr>
      <w:r w:rsidRPr="001F1822">
        <w:rPr>
          <w:rStyle w:val="Refdenotaalpie"/>
        </w:rPr>
        <w:footnoteRef/>
      </w:r>
      <w:r w:rsidRPr="001F1822">
        <w:t xml:space="preserve"> Integración de la Innovación para la Competitividad Rural en Honduras - COMRURAL II (P168385), </w:t>
      </w:r>
      <w:r>
        <w:t>s</w:t>
      </w:r>
      <w:r w:rsidRPr="001F1822">
        <w:t>eptiembre de 2018</w:t>
      </w:r>
      <w:r>
        <w:t>.</w:t>
      </w:r>
    </w:p>
  </w:footnote>
  <w:footnote w:id="45">
    <w:p w14:paraId="3019B226" w14:textId="77777777" w:rsidR="000C062F" w:rsidRPr="00466D12" w:rsidRDefault="000C062F" w:rsidP="006A3DBC">
      <w:pPr>
        <w:pStyle w:val="Prrafodelista"/>
        <w:numPr>
          <w:ilvl w:val="0"/>
          <w:numId w:val="40"/>
        </w:numPr>
        <w:ind w:left="720"/>
        <w:jc w:val="both"/>
        <w:rPr>
          <w:rFonts w:ascii="Calibri" w:hAnsi="Calibri" w:cs="Calibri"/>
          <w:sz w:val="18"/>
          <w:szCs w:val="18"/>
          <w:lang w:val="es-ES"/>
        </w:rPr>
      </w:pPr>
      <w:r>
        <w:rPr>
          <w:rStyle w:val="Refdenotaalpie"/>
        </w:rPr>
        <w:footnoteRef/>
      </w:r>
      <w:r>
        <w:t xml:space="preserve"> </w:t>
      </w:r>
      <w:hyperlink r:id="rId2" w:history="1">
        <w:r w:rsidRPr="00466D12">
          <w:rPr>
            <w:rStyle w:val="Hipervnculo"/>
            <w:rFonts w:ascii="Calibri" w:hAnsi="Calibri" w:cs="Calibri"/>
            <w:sz w:val="18"/>
            <w:szCs w:val="18"/>
          </w:rPr>
          <w:t>https://www.cnpml-honduras.org/documentos-tecnicos/</w:t>
        </w:r>
      </w:hyperlink>
    </w:p>
    <w:p w14:paraId="64D41AD1" w14:textId="77777777" w:rsidR="000C062F" w:rsidRPr="008969AC" w:rsidRDefault="000C062F" w:rsidP="006A3DBC">
      <w:pPr>
        <w:pStyle w:val="Textonotapie"/>
        <w:rPr>
          <w:lang w:val="es-ES"/>
        </w:rPr>
      </w:pPr>
    </w:p>
  </w:footnote>
  <w:footnote w:id="46">
    <w:p w14:paraId="3815BAEA" w14:textId="77777777" w:rsidR="000C062F" w:rsidRPr="00466D12" w:rsidRDefault="000C062F" w:rsidP="006A3DBC">
      <w:pPr>
        <w:ind w:left="708"/>
        <w:contextualSpacing/>
        <w:jc w:val="both"/>
        <w:rPr>
          <w:rFonts w:ascii="Calibri" w:hAnsi="Calibri" w:cs="Calibri"/>
          <w:sz w:val="18"/>
          <w:szCs w:val="18"/>
          <w:lang w:val="es-ES"/>
        </w:rPr>
      </w:pPr>
      <w:r>
        <w:rPr>
          <w:rStyle w:val="Refdenotaalpie"/>
        </w:rPr>
        <w:footnoteRef/>
      </w:r>
      <w:r>
        <w:t xml:space="preserve"> </w:t>
      </w:r>
      <w:hyperlink r:id="rId3" w:history="1">
        <w:r w:rsidRPr="00466D12">
          <w:rPr>
            <w:rStyle w:val="Hipervnculo"/>
            <w:rFonts w:ascii="Calibri" w:hAnsi="Calibri" w:cs="Calibri"/>
            <w:sz w:val="18"/>
            <w:szCs w:val="18"/>
            <w:lang w:val="es-ES"/>
          </w:rPr>
          <w:t>https://www.cnpml-honduras.org/documentos-tecnicos/</w:t>
        </w:r>
      </w:hyperlink>
    </w:p>
    <w:p w14:paraId="34B06791" w14:textId="77777777" w:rsidR="000C062F" w:rsidRPr="0093480A" w:rsidRDefault="000C062F" w:rsidP="006A3DBC">
      <w:pPr>
        <w:pStyle w:val="Textonotapie"/>
        <w:rPr>
          <w:lang w:val="es-ES"/>
        </w:rPr>
      </w:pPr>
    </w:p>
  </w:footnote>
  <w:footnote w:id="47">
    <w:p w14:paraId="6E82073B" w14:textId="6EA0D4E4" w:rsidR="000C062F" w:rsidRPr="000E0ED6" w:rsidRDefault="000C062F" w:rsidP="006A3DBC">
      <w:pPr>
        <w:pStyle w:val="Textonotapie"/>
        <w:jc w:val="both"/>
        <w:rPr>
          <w:rFonts w:cs="Arial"/>
        </w:rPr>
      </w:pPr>
      <w:r w:rsidRPr="000E0ED6">
        <w:rPr>
          <w:rStyle w:val="Refdenotaalpie"/>
          <w:rFonts w:cs="Arial"/>
        </w:rPr>
        <w:footnoteRef/>
      </w:r>
      <w:r w:rsidRPr="000E0ED6">
        <w:rPr>
          <w:rFonts w:cs="Arial"/>
        </w:rPr>
        <w:t xml:space="preserve"> </w:t>
      </w:r>
      <w:r>
        <w:rPr>
          <w:rFonts w:cs="Arial"/>
        </w:rPr>
        <w:t>S</w:t>
      </w:r>
      <w:r w:rsidRPr="000E0ED6">
        <w:rPr>
          <w:rFonts w:cs="Arial"/>
        </w:rPr>
        <w:t>e exceptúan de la exclusión aquellas represas destinadas la irrigación que no tengan más de dos metros de altura, con capacidad de llenado no superior a un espejo de agua de una hectárea y se haya sometido al  proceso de evaluación de Impacto Ambiental; para todos aquellos planes de negocio con proyectos de  riego, el diseño de la represa deberá considerar, la libre movilización de los recursos bióticos de agua dulce (caudal ecológico), y terrestre, evitando que la misma impida o limite la capacidad de las especies para reproducirse.</w:t>
      </w:r>
    </w:p>
  </w:footnote>
  <w:footnote w:id="48">
    <w:p w14:paraId="30007CEB" w14:textId="77777777" w:rsidR="007A1D1C" w:rsidRPr="005D6744" w:rsidRDefault="007A1D1C" w:rsidP="007A1D1C">
      <w:pPr>
        <w:tabs>
          <w:tab w:val="left" w:pos="5298"/>
        </w:tabs>
        <w:autoSpaceDE w:val="0"/>
        <w:autoSpaceDN w:val="0"/>
        <w:adjustRightInd w:val="0"/>
        <w:spacing w:after="0" w:line="240" w:lineRule="auto"/>
        <w:rPr>
          <w:lang w:val="es-ES"/>
        </w:rPr>
      </w:pPr>
      <w:r>
        <w:rPr>
          <w:rStyle w:val="Refdenotaalpie"/>
        </w:rPr>
        <w:footnoteRef/>
      </w:r>
      <w:r>
        <w:t xml:space="preserve"> </w:t>
      </w:r>
      <w:r>
        <w:rPr>
          <w:rFonts w:ascii="FiraSans-Light" w:hAnsi="FiraSans-Light" w:cs="FiraSans-Light"/>
          <w:sz w:val="18"/>
          <w:szCs w:val="18"/>
          <w:lang w:val="es-ES"/>
        </w:rPr>
        <w:t>Los hábitats naturales son áreas conformadas por conjuntos viables de plantas o especies animales de origen en gran parte nativo, o áreas en las que la actividad humana no ha modificado esencialmente las funciones ecológicas primarias y la composición de especies de un área.</w:t>
      </w:r>
    </w:p>
  </w:footnote>
  <w:footnote w:id="49">
    <w:p w14:paraId="1DC518B8" w14:textId="77777777" w:rsidR="007A1D1C" w:rsidRDefault="007A1D1C" w:rsidP="007A1D1C">
      <w:pPr>
        <w:autoSpaceDE w:val="0"/>
        <w:autoSpaceDN w:val="0"/>
        <w:adjustRightInd w:val="0"/>
        <w:spacing w:after="0" w:line="240" w:lineRule="auto"/>
        <w:jc w:val="both"/>
        <w:rPr>
          <w:rFonts w:ascii="FiraSans-Light" w:hAnsi="FiraSans-Light" w:cs="FiraSans-Light"/>
          <w:sz w:val="18"/>
          <w:szCs w:val="18"/>
          <w:lang w:val="es-ES"/>
        </w:rPr>
      </w:pPr>
      <w:r>
        <w:rPr>
          <w:rStyle w:val="Refdenotaalpie"/>
        </w:rPr>
        <w:footnoteRef/>
      </w:r>
      <w:r>
        <w:t xml:space="preserve"> </w:t>
      </w:r>
      <w:r>
        <w:rPr>
          <w:rFonts w:ascii="FiraSans-Light" w:hAnsi="FiraSans-Light" w:cs="FiraSans-Light"/>
          <w:sz w:val="18"/>
          <w:szCs w:val="18"/>
          <w:lang w:val="es-ES"/>
        </w:rPr>
        <w:t xml:space="preserve">Los hábitats críticos se definen como áreas de gran importancia o valor en términos de biodiversidad, e incluyen: </w:t>
      </w:r>
    </w:p>
    <w:p w14:paraId="2D51FA0D" w14:textId="77777777" w:rsidR="007A1D1C" w:rsidRPr="008F1DF1" w:rsidRDefault="007A1D1C" w:rsidP="007A1D1C">
      <w:pPr>
        <w:autoSpaceDE w:val="0"/>
        <w:autoSpaceDN w:val="0"/>
        <w:adjustRightInd w:val="0"/>
        <w:spacing w:after="0" w:line="240" w:lineRule="auto"/>
        <w:jc w:val="both"/>
      </w:pPr>
      <w:r>
        <w:rPr>
          <w:rFonts w:ascii="FiraSans-Light" w:hAnsi="FiraSans-Light" w:cs="FiraSans-Light"/>
          <w:sz w:val="18"/>
          <w:szCs w:val="18"/>
          <w:lang w:val="es-ES"/>
        </w:rPr>
        <w:t>a) hábitats de importancia significativa para especies en peligro de extinción o en peligro de extinción crítico, según se enumeran en la Lista Roja de Especies Amenazadas de la Unión Internacional para la Conservación de la Naturaleza (UICN) o enfoques nacionales equivalentes; b) hábitats de gran importancia para especies endémicas o de rango de distribución restringido; c) hábitats que respaldan concentraciones importantes a nivel mundial o nacional de especies migratorias o gregarias; d) ecosistemas altamente amenazados o únicos; e) funciones ecológicas o características que son necesarias para mantener la viabilidad de los valores de biodiversidad descritos anteriormente en los incisos a) a d).</w:t>
      </w:r>
    </w:p>
  </w:footnote>
  <w:footnote w:id="50">
    <w:p w14:paraId="3CF288D5" w14:textId="77777777" w:rsidR="007A1D1C" w:rsidRPr="004F7EDF" w:rsidRDefault="007A1D1C" w:rsidP="007A1D1C">
      <w:pPr>
        <w:pStyle w:val="Textonotapie"/>
        <w:rPr>
          <w:sz w:val="18"/>
          <w:szCs w:val="18"/>
        </w:rPr>
      </w:pPr>
      <w:r>
        <w:rPr>
          <w:rStyle w:val="Refdenotaalpie"/>
        </w:rPr>
        <w:footnoteRef/>
      </w:r>
      <w:r>
        <w:t xml:space="preserve"> </w:t>
      </w:r>
      <w:r w:rsidRPr="004F7EDF">
        <w:rPr>
          <w:sz w:val="18"/>
          <w:szCs w:val="18"/>
        </w:rPr>
        <w:t xml:space="preserve">Artículo </w:t>
      </w:r>
      <w:r>
        <w:rPr>
          <w:sz w:val="18"/>
          <w:szCs w:val="18"/>
        </w:rPr>
        <w:t xml:space="preserve">123 de la Ley Forestal, Áreas Protegidas y Vida silvestre, Decreto No. 98-2007. </w:t>
      </w:r>
    </w:p>
  </w:footnote>
  <w:footnote w:id="51">
    <w:p w14:paraId="3F78317D" w14:textId="77777777" w:rsidR="007A1D1C" w:rsidRPr="0039249E" w:rsidRDefault="007A1D1C" w:rsidP="007A1D1C">
      <w:pPr>
        <w:pStyle w:val="Textonotapie"/>
        <w:rPr>
          <w:sz w:val="18"/>
          <w:szCs w:val="18"/>
        </w:rPr>
      </w:pPr>
      <w:r>
        <w:rPr>
          <w:rStyle w:val="Refdenotaalpie"/>
        </w:rPr>
        <w:footnoteRef/>
      </w:r>
      <w:r>
        <w:t xml:space="preserve"> </w:t>
      </w:r>
      <w:r w:rsidRPr="0039249E">
        <w:rPr>
          <w:sz w:val="18"/>
          <w:szCs w:val="18"/>
        </w:rPr>
        <w:t xml:space="preserve">Artículo </w:t>
      </w:r>
      <w:r>
        <w:rPr>
          <w:sz w:val="18"/>
          <w:szCs w:val="18"/>
        </w:rPr>
        <w:t xml:space="preserve">123 de la Ley Forestal, Áreas Protegidas y Vida silvestre, Decreto No. 98-2007. </w:t>
      </w:r>
    </w:p>
  </w:footnote>
  <w:footnote w:id="52">
    <w:p w14:paraId="010F67A6" w14:textId="77777777" w:rsidR="007A1D1C" w:rsidRPr="00A92CE2" w:rsidRDefault="007A1D1C" w:rsidP="007A1D1C">
      <w:pPr>
        <w:autoSpaceDE w:val="0"/>
        <w:autoSpaceDN w:val="0"/>
        <w:adjustRightInd w:val="0"/>
        <w:spacing w:after="0" w:line="240" w:lineRule="auto"/>
        <w:jc w:val="both"/>
        <w:rPr>
          <w:lang w:val="es-ES"/>
        </w:rPr>
      </w:pPr>
      <w:r>
        <w:rPr>
          <w:rStyle w:val="Refdenotaalpie"/>
        </w:rPr>
        <w:footnoteRef/>
      </w:r>
      <w:r>
        <w:rPr>
          <w:rFonts w:ascii="FiraSans-Light" w:hAnsi="FiraSans-Light" w:cs="FiraSans-Light"/>
          <w:sz w:val="18"/>
          <w:szCs w:val="18"/>
          <w:lang w:val="es-ES"/>
        </w:rPr>
        <w:t>Los hábitats modificados son áreas que pueden contener una gran proporción de plantas o especies animales de origen no nativo, o en los que la actividad humana ha modificado sustancialmente las funciones ecológicas primarias y la composición de especies de un área. Entre los hábitats modificados se pueden incluir, por ejemplo, áreas dedicadas a la agricultura, plantaciones forestales, zonas costeras y humedales reclamados.</w:t>
      </w:r>
    </w:p>
  </w:footnote>
  <w:footnote w:id="53">
    <w:p w14:paraId="4707F99C" w14:textId="77777777" w:rsidR="007A1D1C" w:rsidRPr="001A4C6B" w:rsidRDefault="007A1D1C" w:rsidP="007A1D1C">
      <w:pPr>
        <w:tabs>
          <w:tab w:val="left" w:pos="5298"/>
        </w:tabs>
        <w:autoSpaceDE w:val="0"/>
        <w:autoSpaceDN w:val="0"/>
        <w:adjustRightInd w:val="0"/>
        <w:spacing w:after="0" w:line="240" w:lineRule="auto"/>
        <w:jc w:val="both"/>
      </w:pPr>
      <w:r>
        <w:rPr>
          <w:rStyle w:val="Refdenotaalpie"/>
        </w:rPr>
        <w:footnoteRef/>
      </w:r>
      <w:r>
        <w:t xml:space="preserve"> </w:t>
      </w:r>
      <w:r>
        <w:rPr>
          <w:rFonts w:ascii="FiraSans-Light" w:hAnsi="FiraSans-Light" w:cs="FiraSans-Light"/>
          <w:sz w:val="18"/>
          <w:szCs w:val="18"/>
          <w:lang w:val="es-ES"/>
        </w:rPr>
        <w:t>Los hábitats naturales son áreas conformadas por conjuntos viables de plantas o especies animales de origen en gran parte nativo, o áreas en las que la actividad humana no ha modificado esencialmente las funciones ecológicas primarias y la composición de especies de un área.</w:t>
      </w:r>
    </w:p>
  </w:footnote>
  <w:footnote w:id="54">
    <w:p w14:paraId="17FFB941" w14:textId="77777777" w:rsidR="007A1D1C" w:rsidRPr="0039249E" w:rsidRDefault="007A1D1C" w:rsidP="007A1D1C">
      <w:pPr>
        <w:pStyle w:val="Textonotapie"/>
        <w:jc w:val="both"/>
        <w:rPr>
          <w:rFonts w:ascii="FiraSans-Light" w:hAnsi="FiraSans-Light" w:cs="FiraSans-Light"/>
          <w:sz w:val="18"/>
          <w:szCs w:val="18"/>
          <w:lang w:val="es-ES"/>
        </w:rPr>
      </w:pPr>
      <w:r>
        <w:rPr>
          <w:rStyle w:val="Refdenotaalpie"/>
        </w:rPr>
        <w:footnoteRef/>
      </w:r>
      <w:r>
        <w:t xml:space="preserve"> </w:t>
      </w:r>
      <w:r w:rsidRPr="0039249E">
        <w:rPr>
          <w:rFonts w:ascii="FiraSans-Light" w:hAnsi="FiraSans-Light" w:cs="FiraSans-Light"/>
          <w:sz w:val="18"/>
          <w:szCs w:val="18"/>
          <w:lang w:val="es-ES"/>
        </w:rPr>
        <w:t xml:space="preserve">Los criterios </w:t>
      </w:r>
      <w:r>
        <w:rPr>
          <w:rFonts w:ascii="FiraSans-Light" w:hAnsi="FiraSans-Light" w:cs="FiraSans-Light"/>
          <w:sz w:val="18"/>
          <w:szCs w:val="18"/>
          <w:lang w:val="es-ES"/>
        </w:rPr>
        <w:t xml:space="preserve">para identificar impactos adversos significativos en áreas naturales a aplicar son: 1) Que no hay alternativa técnica y financieramente viable, 2) que se complementen medidas de mitigación adecuadas, 3) que garantice que no haya pérdidas de biodiversidad. </w:t>
      </w:r>
    </w:p>
  </w:footnote>
  <w:footnote w:id="55">
    <w:p w14:paraId="4872C0EA" w14:textId="77777777" w:rsidR="007A1D1C" w:rsidRPr="004F7EDF" w:rsidRDefault="007A1D1C" w:rsidP="007A1D1C">
      <w:pPr>
        <w:pStyle w:val="Textonotapie"/>
        <w:rPr>
          <w:sz w:val="18"/>
          <w:szCs w:val="18"/>
        </w:rPr>
      </w:pPr>
      <w:r>
        <w:rPr>
          <w:rStyle w:val="Refdenotaalpie"/>
        </w:rPr>
        <w:footnoteRef/>
      </w:r>
      <w:r>
        <w:t xml:space="preserve"> </w:t>
      </w:r>
      <w:r w:rsidRPr="004F7EDF">
        <w:rPr>
          <w:sz w:val="18"/>
          <w:szCs w:val="18"/>
        </w:rPr>
        <w:t xml:space="preserve">Artículo </w:t>
      </w:r>
      <w:r>
        <w:rPr>
          <w:sz w:val="18"/>
          <w:szCs w:val="18"/>
        </w:rPr>
        <w:t xml:space="preserve">123 de la Ley Forestal, Áreas Protegidas y Vida silvestre, Decreto No. 98-2007. </w:t>
      </w:r>
    </w:p>
  </w:footnote>
  <w:footnote w:id="56">
    <w:p w14:paraId="755FA3BA" w14:textId="77777777" w:rsidR="007A1D1C" w:rsidRPr="001A4C6B" w:rsidRDefault="007A1D1C" w:rsidP="007A1D1C">
      <w:pPr>
        <w:tabs>
          <w:tab w:val="left" w:pos="5298"/>
        </w:tabs>
        <w:autoSpaceDE w:val="0"/>
        <w:autoSpaceDN w:val="0"/>
        <w:adjustRightInd w:val="0"/>
        <w:spacing w:after="0" w:line="240" w:lineRule="auto"/>
        <w:jc w:val="both"/>
      </w:pPr>
      <w:r>
        <w:rPr>
          <w:rStyle w:val="Refdenotaalpie"/>
        </w:rPr>
        <w:footnoteRef/>
      </w:r>
      <w:r>
        <w:t xml:space="preserve"> </w:t>
      </w:r>
      <w:r>
        <w:rPr>
          <w:rFonts w:ascii="FiraSans-Light" w:hAnsi="FiraSans-Light" w:cs="FiraSans-Light"/>
          <w:sz w:val="18"/>
          <w:szCs w:val="18"/>
          <w:lang w:val="es-ES"/>
        </w:rPr>
        <w:t>Los hábitats naturales son áreas conformadas por conjuntos viables de plantas o especies animales de origen en gran parte nativo, o áreas en las que la actividad humana no ha modificado esencialmente las funciones ecológicas primarias y la composición de especies de un área.</w:t>
      </w:r>
    </w:p>
  </w:footnote>
  <w:footnote w:id="57">
    <w:p w14:paraId="711904CA" w14:textId="77777777" w:rsidR="007A1D1C" w:rsidRPr="005A42F0" w:rsidRDefault="007A1D1C" w:rsidP="007A1D1C">
      <w:pPr>
        <w:pStyle w:val="Textonotapie"/>
        <w:jc w:val="both"/>
        <w:rPr>
          <w:rFonts w:ascii="FiraSans-Light" w:hAnsi="FiraSans-Light" w:cs="FiraSans-Light"/>
          <w:sz w:val="18"/>
          <w:szCs w:val="18"/>
          <w:lang w:val="es-ES"/>
        </w:rPr>
      </w:pPr>
      <w:r>
        <w:rPr>
          <w:rStyle w:val="Refdenotaalpie"/>
        </w:rPr>
        <w:footnoteRef/>
      </w:r>
      <w:r>
        <w:t xml:space="preserve"> </w:t>
      </w:r>
      <w:r w:rsidRPr="005A42F0">
        <w:rPr>
          <w:rFonts w:ascii="FiraSans-Light" w:hAnsi="FiraSans-Light" w:cs="FiraSans-Light"/>
          <w:sz w:val="18"/>
          <w:szCs w:val="18"/>
          <w:lang w:val="es-ES"/>
        </w:rPr>
        <w:t xml:space="preserve">Los criterios </w:t>
      </w:r>
      <w:r>
        <w:rPr>
          <w:rFonts w:ascii="FiraSans-Light" w:hAnsi="FiraSans-Light" w:cs="FiraSans-Light"/>
          <w:sz w:val="18"/>
          <w:szCs w:val="18"/>
          <w:lang w:val="es-ES"/>
        </w:rPr>
        <w:t xml:space="preserve">para identificar impactos adversos significativos en áreas naturales a aplicar son: 1) Que no hay alternativa técnica y financieramente viable, 2) que se complementen medidas de mitigación adecuadas, 3) que garantice que no haya pérdidas de biodiversidad. </w:t>
      </w:r>
    </w:p>
  </w:footnote>
  <w:footnote w:id="58">
    <w:p w14:paraId="67D99AB6" w14:textId="77777777" w:rsidR="007A1D1C" w:rsidRPr="004F7EDF" w:rsidRDefault="007A1D1C" w:rsidP="007A1D1C">
      <w:pPr>
        <w:pStyle w:val="Textonotapie"/>
        <w:rPr>
          <w:sz w:val="18"/>
          <w:szCs w:val="18"/>
        </w:rPr>
      </w:pPr>
      <w:r>
        <w:rPr>
          <w:rStyle w:val="Refdenotaalpie"/>
        </w:rPr>
        <w:footnoteRef/>
      </w:r>
      <w:r>
        <w:t xml:space="preserve"> </w:t>
      </w:r>
      <w:r w:rsidRPr="004F7EDF">
        <w:rPr>
          <w:sz w:val="18"/>
          <w:szCs w:val="18"/>
        </w:rPr>
        <w:t xml:space="preserve">Artículo </w:t>
      </w:r>
      <w:r>
        <w:rPr>
          <w:sz w:val="18"/>
          <w:szCs w:val="18"/>
        </w:rPr>
        <w:t xml:space="preserve">123 de la Ley Forestal, Áreas Protegidas y Vida silvestre, Decreto No. 98-2007. </w:t>
      </w:r>
    </w:p>
  </w:footnote>
  <w:footnote w:id="59">
    <w:p w14:paraId="6AB5A18A" w14:textId="0886667B" w:rsidR="000C062F" w:rsidRPr="00192B47" w:rsidRDefault="000C062F">
      <w:pPr>
        <w:pStyle w:val="Textonotapie"/>
      </w:pPr>
      <w:r>
        <w:rPr>
          <w:rStyle w:val="Refdenotaalpie"/>
        </w:rPr>
        <w:footnoteRef/>
      </w:r>
      <w:r>
        <w:t xml:space="preserve"> </w:t>
      </w:r>
      <w:r w:rsidRPr="00192B47">
        <w:t>https://honduras.eregulations.org/media/Ley_de_la_Propiedad.pdf</w:t>
      </w:r>
    </w:p>
  </w:footnote>
  <w:footnote w:id="60">
    <w:p w14:paraId="0D5C4F4F" w14:textId="77777777" w:rsidR="000C062F" w:rsidRPr="00625001" w:rsidRDefault="000C062F" w:rsidP="006A3DBC">
      <w:pPr>
        <w:pStyle w:val="Textonotapie"/>
        <w:rPr>
          <w:rFonts w:cs="Arial"/>
        </w:rPr>
      </w:pPr>
      <w:r w:rsidRPr="00625001">
        <w:rPr>
          <w:rStyle w:val="Refdenotaalpie"/>
          <w:rFonts w:cs="Arial"/>
        </w:rPr>
        <w:footnoteRef/>
      </w:r>
      <w:r w:rsidRPr="00625001">
        <w:rPr>
          <w:rFonts w:cs="Arial"/>
        </w:rPr>
        <w:t xml:space="preserve"> Protocolo-Bioseguridad-para-Oficinas-Gubernamentales-y-Centros-de-Atencio%CC%81n-al-pu%CC%81blico-usuarios-Versio%CC%81n-3-27-05-20%20(1).pdf</w:t>
      </w:r>
    </w:p>
  </w:footnote>
  <w:footnote w:id="61">
    <w:p w14:paraId="295B3A54" w14:textId="77777777" w:rsidR="000C062F" w:rsidRPr="005F4A3A" w:rsidRDefault="000C062F" w:rsidP="006A3DBC">
      <w:pPr>
        <w:pStyle w:val="Textonotapie"/>
        <w:rPr>
          <w:rFonts w:cs="Arial"/>
          <w:sz w:val="18"/>
          <w:szCs w:val="18"/>
          <w:lang w:val="es-HN"/>
        </w:rPr>
      </w:pPr>
      <w:r w:rsidRPr="005F4A3A">
        <w:rPr>
          <w:rStyle w:val="Refdenotaalpie"/>
          <w:rFonts w:cs="Arial"/>
          <w:sz w:val="18"/>
          <w:szCs w:val="18"/>
        </w:rPr>
        <w:footnoteRef/>
      </w:r>
      <w:r w:rsidRPr="005F4A3A">
        <w:rPr>
          <w:rFonts w:cs="Arial"/>
          <w:sz w:val="18"/>
          <w:szCs w:val="18"/>
        </w:rPr>
        <w:t xml:space="preserve"> </w:t>
      </w:r>
      <w:r w:rsidRPr="005F4A3A">
        <w:rPr>
          <w:rFonts w:cs="Arial"/>
          <w:sz w:val="18"/>
          <w:szCs w:val="18"/>
          <w:lang w:val="es-HN"/>
        </w:rPr>
        <w:t>En gestión asignación de número de teléfono fijo para la oficina regional.</w:t>
      </w:r>
    </w:p>
  </w:footnote>
  <w:footnote w:id="62">
    <w:p w14:paraId="199E7711" w14:textId="77777777" w:rsidR="000C062F" w:rsidRPr="001C46DE" w:rsidRDefault="000C062F" w:rsidP="00A95C18">
      <w:pPr>
        <w:pStyle w:val="Textonotapie"/>
        <w:rPr>
          <w:sz w:val="18"/>
        </w:rPr>
      </w:pPr>
      <w:r w:rsidRPr="001C46DE">
        <w:rPr>
          <w:rStyle w:val="Refdenotaalpie"/>
          <w:sz w:val="18"/>
        </w:rPr>
        <w:footnoteRef/>
      </w:r>
      <w:r w:rsidRPr="001C46DE">
        <w:rPr>
          <w:sz w:val="18"/>
        </w:rPr>
        <w:t xml:space="preserve"> Adicionalmente a los criterios del EAS 4, Se tomarán en cuenta los lineamientos establecidos en los Principios voluntarios de seguridad y derechos humanos y en el Manual de Buenas Prácticas de la IFC Empleo de fuerzas de seguridad: Evaluación y gestión de riesgos e impactos https://www.ifc.org/wps/wcm/connect/5e74e4d6-f977-49f3-85cb-e626519b0e49/p_handbook_SecurityForces_2017_Spanish.pdf?MOD=AJPERES&amp;CVID=lYhvjUt</w:t>
      </w:r>
    </w:p>
  </w:footnote>
  <w:footnote w:id="63">
    <w:p w14:paraId="51C1165C" w14:textId="77777777" w:rsidR="000C062F" w:rsidRPr="007518AC" w:rsidRDefault="000C062F" w:rsidP="006A3DBC">
      <w:pPr>
        <w:pStyle w:val="Textonotapie"/>
        <w:jc w:val="both"/>
        <w:rPr>
          <w:rFonts w:cs="Arial"/>
        </w:rPr>
      </w:pPr>
      <w:r w:rsidRPr="007518AC">
        <w:rPr>
          <w:rStyle w:val="Refdenotaalpie"/>
          <w:rFonts w:cs="Arial"/>
        </w:rPr>
        <w:footnoteRef/>
      </w:r>
      <w:r w:rsidRPr="007518AC">
        <w:rPr>
          <w:rFonts w:cs="Arial"/>
        </w:rPr>
        <w:t xml:space="preserve"> El proceso de consulta se describe en el documento </w:t>
      </w:r>
      <w:r>
        <w:rPr>
          <w:rFonts w:cs="Arial"/>
        </w:rPr>
        <w:t>PPPI de</w:t>
      </w:r>
      <w:r w:rsidRPr="007518AC">
        <w:rPr>
          <w:rFonts w:cs="Arial"/>
        </w:rPr>
        <w:t xml:space="preserve"> COMRURAL III, el cual se puede encontrar en http://</w:t>
      </w:r>
      <w:hyperlink r:id="rId4" w:history="1">
        <w:r w:rsidRPr="007518AC">
          <w:rPr>
            <w:rStyle w:val="Hipervnculo"/>
            <w:rFonts w:cs="Arial"/>
          </w:rPr>
          <w:t>www.comrural.hn</w:t>
        </w:r>
      </w:hyperlink>
      <w:r w:rsidRPr="007518AC">
        <w:rPr>
          <w:rFonts w:cs="Arial"/>
        </w:rPr>
        <w:t xml:space="preserve"> </w:t>
      </w:r>
    </w:p>
  </w:footnote>
  <w:footnote w:id="64">
    <w:p w14:paraId="7783ADC5" w14:textId="77777777" w:rsidR="000C062F" w:rsidRPr="001C46DE" w:rsidRDefault="000C062F" w:rsidP="006A3DBC">
      <w:pPr>
        <w:pStyle w:val="Textonotapie"/>
        <w:rPr>
          <w:lang w:val="es-HN"/>
        </w:rPr>
      </w:pPr>
      <w:r w:rsidRPr="001C46DE">
        <w:rPr>
          <w:rStyle w:val="Refdenotaalpie"/>
        </w:rPr>
        <w:footnoteRef/>
      </w:r>
      <w:r w:rsidRPr="001C46DE">
        <w:t xml:space="preserve"> http://www.pgrd-copeco.gob.hn/wp-content/uploads/2018/08/Manual-de-Operaciones-Componente-Contingente-Respuesta-a-Emergencias_Honduras.pdf</w:t>
      </w:r>
    </w:p>
  </w:footnote>
  <w:footnote w:id="65">
    <w:p w14:paraId="4599628D" w14:textId="77777777" w:rsidR="007A1D1C" w:rsidRPr="00A23F29" w:rsidRDefault="007A1D1C" w:rsidP="00BB0D25">
      <w:pPr>
        <w:pStyle w:val="Textonotapie"/>
        <w:jc w:val="both"/>
        <w:rPr>
          <w:lang w:val="es-HN"/>
        </w:rPr>
      </w:pPr>
      <w:r w:rsidRPr="455EC727">
        <w:rPr>
          <w:rStyle w:val="Refdenotaalpie"/>
        </w:rPr>
        <w:footnoteRef/>
      </w:r>
      <w:r w:rsidRPr="00A23F29">
        <w:rPr>
          <w:lang w:val="es-HN"/>
        </w:rPr>
        <w:t xml:space="preserve"> </w:t>
      </w:r>
      <w:r w:rsidRPr="00BB0D25">
        <w:rPr>
          <w:rFonts w:ascii="Calibri" w:eastAsia="Calibri" w:hAnsi="Calibri" w:cs="Calibri"/>
        </w:rPr>
        <w:t>La ficha debe incluir como anexo copia del documento de propiedad para ser revisado por el especialista legal del proyecto. Adicionalmente puede incluir copia de levantamiento topográficos y otros relacionado con el terreno.</w:t>
      </w:r>
    </w:p>
  </w:footnote>
  <w:footnote w:id="66">
    <w:p w14:paraId="2D6C2187" w14:textId="77777777" w:rsidR="000C062F" w:rsidRPr="0030133F" w:rsidRDefault="000C062F" w:rsidP="005D7F0C">
      <w:pPr>
        <w:pStyle w:val="Textonotapie"/>
        <w:rPr>
          <w:rFonts w:cs="Arial"/>
          <w:lang w:val="es-HN"/>
        </w:rPr>
      </w:pPr>
      <w:r w:rsidRPr="0030133F">
        <w:rPr>
          <w:rStyle w:val="Refdenotaalpie"/>
          <w:rFonts w:cs="Arial"/>
        </w:rPr>
        <w:footnoteRef/>
      </w:r>
      <w:r w:rsidRPr="0030133F">
        <w:rPr>
          <w:rFonts w:cs="Arial"/>
          <w:lang w:val="es-HN"/>
        </w:rPr>
        <w:t xml:space="preserve"> Describir las características particulares en relación con distancia a locales comerciales u otros que facilitan la ubicación de la dirección de la sede de la organización. </w:t>
      </w:r>
    </w:p>
  </w:footnote>
  <w:footnote w:id="67">
    <w:p w14:paraId="284EFA5B" w14:textId="77777777" w:rsidR="000C062F" w:rsidRPr="00EE475A" w:rsidRDefault="000C062F" w:rsidP="005D7F0C">
      <w:pPr>
        <w:spacing w:after="0" w:line="240" w:lineRule="auto"/>
        <w:jc w:val="both"/>
        <w:rPr>
          <w:rFonts w:cs="Arial"/>
          <w:sz w:val="16"/>
          <w:szCs w:val="16"/>
        </w:rPr>
      </w:pPr>
      <w:r w:rsidRPr="00EE475A">
        <w:rPr>
          <w:rStyle w:val="Refdenotaalpie"/>
          <w:rFonts w:cs="Arial"/>
        </w:rPr>
        <w:footnoteRef/>
      </w:r>
      <w:r w:rsidRPr="00EE475A">
        <w:rPr>
          <w:rFonts w:cs="Arial"/>
          <w:sz w:val="16"/>
          <w:szCs w:val="16"/>
        </w:rPr>
        <w:t>Los negocios verdes son modelos de negocio que incorporan las mejores prácticas ambientales, sociales y económicas-financieras para generar bienes y servicios con un enfoque de sostenibilidad, fomentando así la competitividad y brindando nuevas oportunidades a aquellas empresas que creen en un desarrollo más inclusivo de la sociedad y contribuyen al crecimiento económico y al desarrollo de paisajes sostenibles, reduciendo así la huella de la producción en el ambiente y promoviendo alianzas entre los diferentes actores e incluyendo oportunidades de crecimiento a las poblaciones locales. </w:t>
      </w:r>
    </w:p>
    <w:p w14:paraId="78E74561" w14:textId="77777777" w:rsidR="000C062F" w:rsidRPr="00D3167E" w:rsidRDefault="000C062F" w:rsidP="005D7F0C">
      <w:pPr>
        <w:pStyle w:val="Textonotapie"/>
        <w:rPr>
          <w:lang w:val="es-ES"/>
        </w:rPr>
      </w:pPr>
    </w:p>
  </w:footnote>
  <w:footnote w:id="68">
    <w:p w14:paraId="5B5D8FA6" w14:textId="77777777" w:rsidR="000C062F" w:rsidRPr="00F349AB" w:rsidRDefault="000C062F" w:rsidP="005D7F0C">
      <w:pPr>
        <w:pStyle w:val="Textonotapie"/>
        <w:rPr>
          <w:i/>
          <w:iCs/>
          <w:sz w:val="22"/>
          <w:szCs w:val="22"/>
          <w:lang w:val="es-HN"/>
        </w:rPr>
      </w:pPr>
      <w:r w:rsidRPr="00F349AB">
        <w:rPr>
          <w:rStyle w:val="Refdenotaalpie"/>
          <w:iCs/>
        </w:rPr>
        <w:footnoteRef/>
      </w:r>
      <w:r w:rsidRPr="00F349AB">
        <w:rPr>
          <w:iCs/>
          <w:lang w:val="es-HN"/>
        </w:rPr>
        <w:t xml:space="preserve"> </w:t>
      </w:r>
      <w:r w:rsidRPr="00247FF6">
        <w:rPr>
          <w:rFonts w:eastAsiaTheme="minorEastAsia"/>
          <w:sz w:val="16"/>
          <w:szCs w:val="16"/>
          <w:lang w:val="es-ES"/>
        </w:rPr>
        <w:t>Aliados Comerciales: la agroindustria, exportadores, comercializadores, distribuidores especializados, procesadores, supermercados, cadenas de restaurantes y otros</w:t>
      </w:r>
      <w:r w:rsidRPr="00785D5A">
        <w:rPr>
          <w:rFonts w:eastAsiaTheme="minorEastAsia"/>
          <w:sz w:val="16"/>
          <w:szCs w:val="16"/>
          <w:lang w:val="es-ES"/>
        </w:rPr>
        <w:t>.</w:t>
      </w:r>
    </w:p>
  </w:footnote>
  <w:footnote w:id="69">
    <w:p w14:paraId="2209BE9C" w14:textId="77777777" w:rsidR="000C062F" w:rsidRPr="00774A94" w:rsidRDefault="000C062F" w:rsidP="00C3565C">
      <w:pPr>
        <w:pStyle w:val="Textonotapie"/>
        <w:rPr>
          <w:rFonts w:eastAsiaTheme="minorEastAsia"/>
          <w:i/>
          <w:sz w:val="16"/>
          <w:szCs w:val="16"/>
          <w:lang w:val="es-ES"/>
        </w:rPr>
      </w:pPr>
      <w:r w:rsidRPr="00981503">
        <w:rPr>
          <w:rStyle w:val="Refdenotaalpie"/>
          <w:rFonts w:eastAsiaTheme="minorEastAsia"/>
        </w:rPr>
        <w:footnoteRef/>
      </w:r>
      <w:r w:rsidRPr="00981503">
        <w:rPr>
          <w:lang w:val="es-HN"/>
        </w:rPr>
        <w:t xml:space="preserve"> </w:t>
      </w:r>
      <w:r w:rsidRPr="00774A94">
        <w:rPr>
          <w:rFonts w:eastAsiaTheme="minorEastAsia"/>
          <w:sz w:val="16"/>
          <w:szCs w:val="16"/>
          <w:lang w:val="es-ES"/>
        </w:rPr>
        <w:t xml:space="preserve">Número absoluto </w:t>
      </w:r>
    </w:p>
  </w:footnote>
  <w:footnote w:id="70">
    <w:p w14:paraId="6AE23B30" w14:textId="77777777" w:rsidR="000C062F" w:rsidRPr="00774A94" w:rsidRDefault="000C062F" w:rsidP="00C3565C">
      <w:pPr>
        <w:pStyle w:val="Textonotapie"/>
        <w:rPr>
          <w:rFonts w:eastAsiaTheme="minorEastAsia"/>
          <w:i/>
          <w:sz w:val="16"/>
          <w:szCs w:val="16"/>
          <w:lang w:val="es-ES"/>
        </w:rPr>
      </w:pPr>
      <w:r w:rsidRPr="00774A94">
        <w:rPr>
          <w:rFonts w:eastAsiaTheme="minorEastAsia"/>
          <w:sz w:val="16"/>
          <w:szCs w:val="16"/>
          <w:lang w:val="es-ES"/>
        </w:rPr>
        <w:footnoteRef/>
      </w:r>
      <w:r w:rsidRPr="00774A94">
        <w:rPr>
          <w:rFonts w:eastAsiaTheme="minorEastAsia"/>
          <w:sz w:val="16"/>
          <w:szCs w:val="16"/>
          <w:lang w:val="es-ES"/>
        </w:rPr>
        <w:t xml:space="preserve"> Es la división del número existente entre el total (membresía, participantes y cargos directivos)</w:t>
      </w:r>
    </w:p>
  </w:footnote>
  <w:footnote w:id="71">
    <w:p w14:paraId="04059C73" w14:textId="77777777" w:rsidR="000C062F" w:rsidRPr="00BC033F" w:rsidRDefault="000C062F" w:rsidP="00C3565C">
      <w:pPr>
        <w:pStyle w:val="Textonotapie"/>
        <w:rPr>
          <w:lang w:val="es-MX"/>
        </w:rPr>
      </w:pPr>
      <w:r>
        <w:rPr>
          <w:rStyle w:val="Refdenotaalpie"/>
          <w:rFonts w:eastAsiaTheme="minorEastAsia"/>
        </w:rPr>
        <w:footnoteRef/>
      </w:r>
      <w:r w:rsidRPr="00981503">
        <w:rPr>
          <w:lang w:val="es-HN"/>
        </w:rPr>
        <w:t xml:space="preserve"> </w:t>
      </w:r>
      <w:r>
        <w:rPr>
          <w:lang w:val="es-MX"/>
        </w:rPr>
        <w:t>Si aplica en organizaciones con integrantes de pueblos indígenas/afrodescendientes</w:t>
      </w:r>
    </w:p>
  </w:footnote>
  <w:footnote w:id="72">
    <w:p w14:paraId="6B8CFEAA" w14:textId="77777777" w:rsidR="00DE046C" w:rsidRPr="009604DD" w:rsidRDefault="00DE046C" w:rsidP="00DE046C">
      <w:pPr>
        <w:pStyle w:val="Textonotapie"/>
        <w:rPr>
          <w:b/>
          <w:bCs/>
          <w:sz w:val="18"/>
          <w:szCs w:val="18"/>
          <w:lang w:val="es-MX"/>
        </w:rPr>
      </w:pPr>
      <w:r w:rsidRPr="009604DD">
        <w:rPr>
          <w:b/>
          <w:bCs/>
          <w:sz w:val="18"/>
          <w:szCs w:val="18"/>
          <w:lang w:val="es-MX"/>
        </w:rPr>
        <w:footnoteRef/>
      </w:r>
      <w:r w:rsidRPr="009604DD">
        <w:rPr>
          <w:b/>
          <w:bCs/>
          <w:sz w:val="18"/>
          <w:szCs w:val="18"/>
          <w:lang w:val="es-MX"/>
        </w:rPr>
        <w:t xml:space="preserve"> Tomar como referencia las actividades principales del plan de negocios y resumirlas </w:t>
      </w:r>
      <w:r>
        <w:rPr>
          <w:b/>
          <w:bCs/>
          <w:sz w:val="18"/>
          <w:szCs w:val="18"/>
          <w:lang w:val="es-MX"/>
        </w:rPr>
        <w:t xml:space="preserve">(Revisar las guías de buenas prácticas de construcción </w:t>
      </w:r>
    </w:p>
  </w:footnote>
  <w:footnote w:id="73">
    <w:p w14:paraId="1B12B9BE" w14:textId="77777777" w:rsidR="00DE046C" w:rsidRPr="009604DD" w:rsidRDefault="00DE046C" w:rsidP="00DE046C">
      <w:pPr>
        <w:pStyle w:val="Textonotapie"/>
        <w:rPr>
          <w:b/>
          <w:bCs/>
          <w:sz w:val="18"/>
          <w:szCs w:val="18"/>
          <w:lang w:val="es-MX"/>
        </w:rPr>
      </w:pPr>
      <w:r w:rsidRPr="009604DD">
        <w:rPr>
          <w:b/>
          <w:bCs/>
          <w:sz w:val="18"/>
          <w:szCs w:val="18"/>
          <w:lang w:val="es-MX"/>
        </w:rPr>
        <w:footnoteRef/>
      </w:r>
      <w:r w:rsidRPr="009604DD">
        <w:rPr>
          <w:b/>
          <w:bCs/>
          <w:sz w:val="18"/>
          <w:szCs w:val="18"/>
          <w:lang w:val="es-MX"/>
        </w:rPr>
        <w:t xml:space="preserve"> Redactar en primera persona</w:t>
      </w:r>
      <w:r>
        <w:rPr>
          <w:b/>
          <w:bCs/>
          <w:sz w:val="18"/>
          <w:szCs w:val="18"/>
          <w:lang w:val="es-MX"/>
        </w:rPr>
        <w:t xml:space="preserve">, apoyarse de las actividades de la plantilla financiera </w:t>
      </w:r>
    </w:p>
  </w:footnote>
  <w:footnote w:id="74">
    <w:p w14:paraId="386C7CC6" w14:textId="77777777" w:rsidR="00DE046C" w:rsidRPr="00427E64" w:rsidRDefault="00DE046C" w:rsidP="00DE046C">
      <w:pPr>
        <w:pStyle w:val="Textonotapie"/>
        <w:rPr>
          <w:lang w:val="es-MX"/>
        </w:rPr>
      </w:pPr>
      <w:r w:rsidRPr="009604DD">
        <w:rPr>
          <w:rStyle w:val="Refdenotaalpie"/>
          <w:sz w:val="18"/>
          <w:szCs w:val="18"/>
        </w:rPr>
        <w:footnoteRef/>
      </w:r>
      <w:r w:rsidRPr="009604DD">
        <w:rPr>
          <w:b/>
          <w:bCs/>
          <w:sz w:val="18"/>
          <w:szCs w:val="18"/>
          <w:lang w:val="es-MX"/>
        </w:rPr>
        <w:t xml:space="preserve"> La información ecológica y geográfica se encuentra en planes de ordenamiento territorial, memorias técnicas y PGAS presentados a SERNA.</w:t>
      </w:r>
    </w:p>
  </w:footnote>
  <w:footnote w:id="75">
    <w:p w14:paraId="34FB8E19" w14:textId="77777777" w:rsidR="00DE046C" w:rsidRPr="009338AD" w:rsidRDefault="00DE046C" w:rsidP="00DE046C">
      <w:pPr>
        <w:pStyle w:val="Textonotapie"/>
        <w:rPr>
          <w:lang w:val="es-MX"/>
        </w:rPr>
      </w:pPr>
      <w:r w:rsidRPr="009338AD">
        <w:rPr>
          <w:b/>
          <w:bCs/>
          <w:sz w:val="18"/>
          <w:szCs w:val="18"/>
          <w:lang w:val="es-MX"/>
        </w:rPr>
        <w:footnoteRef/>
      </w:r>
      <w:r w:rsidRPr="009338AD">
        <w:rPr>
          <w:b/>
          <w:bCs/>
          <w:sz w:val="18"/>
          <w:szCs w:val="18"/>
          <w:lang w:val="es-MX"/>
        </w:rPr>
        <w:t xml:space="preserve"> Ver anexo de escritura de terreno</w:t>
      </w:r>
      <w:r>
        <w:rPr>
          <w:lang w:val="es-MX"/>
        </w:rPr>
        <w:t xml:space="preserve"> </w:t>
      </w:r>
    </w:p>
  </w:footnote>
  <w:footnote w:id="76">
    <w:p w14:paraId="31872A94" w14:textId="77777777" w:rsidR="00DE046C" w:rsidRPr="00CF56A7" w:rsidRDefault="00DE046C" w:rsidP="00DE046C">
      <w:pPr>
        <w:pStyle w:val="Textonotapie"/>
        <w:rPr>
          <w:b/>
          <w:bCs/>
          <w:sz w:val="18"/>
          <w:szCs w:val="18"/>
          <w:lang w:val="es-MX"/>
        </w:rPr>
      </w:pPr>
      <w:r w:rsidRPr="009338AD">
        <w:rPr>
          <w:b/>
          <w:bCs/>
          <w:sz w:val="18"/>
          <w:szCs w:val="18"/>
          <w:lang w:val="es-MX"/>
        </w:rPr>
        <w:footnoteRef/>
      </w:r>
      <w:r w:rsidRPr="009338AD">
        <w:rPr>
          <w:b/>
          <w:bCs/>
          <w:sz w:val="18"/>
          <w:szCs w:val="18"/>
          <w:lang w:val="es-MX"/>
        </w:rPr>
        <w:t xml:space="preserve"> Ver Anexos de perfil y plan de negocios </w:t>
      </w:r>
      <w:r>
        <w:rPr>
          <w:b/>
          <w:bCs/>
          <w:sz w:val="18"/>
          <w:szCs w:val="18"/>
          <w:lang w:val="es-MX"/>
        </w:rPr>
        <w:t xml:space="preserve">(incluye actividades de socialización de plan de negocios. </w:t>
      </w:r>
    </w:p>
  </w:footnote>
  <w:footnote w:id="77">
    <w:p w14:paraId="29792CE9" w14:textId="77777777" w:rsidR="00DE046C" w:rsidRPr="00CF56A7" w:rsidRDefault="00DE046C" w:rsidP="00DE046C">
      <w:pPr>
        <w:pStyle w:val="Textonotapie"/>
        <w:rPr>
          <w:b/>
          <w:bCs/>
          <w:sz w:val="18"/>
          <w:szCs w:val="18"/>
          <w:lang w:val="es-MX"/>
        </w:rPr>
      </w:pPr>
      <w:r w:rsidRPr="00CF56A7">
        <w:rPr>
          <w:sz w:val="18"/>
          <w:szCs w:val="18"/>
          <w:lang w:val="es-MX"/>
        </w:rPr>
        <w:footnoteRef/>
      </w:r>
      <w:r w:rsidRPr="00CF56A7">
        <w:rPr>
          <w:b/>
          <w:bCs/>
          <w:sz w:val="18"/>
          <w:szCs w:val="18"/>
          <w:lang w:val="es-MX"/>
        </w:rPr>
        <w:t xml:space="preserve"> Revisar riesgos e impactos del MGAS, ComRural III, los riesgos identificados en memorias técnicas o PGA presentados a SERNA, revisar guías de buenas practicas en las diferentes fases de la cadena, específicamente lo que aplique al plan de negocios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9EF3D" w14:textId="29C6B0CB" w:rsidR="000C062F" w:rsidRPr="006A3DBC" w:rsidRDefault="000C062F" w:rsidP="006A3DBC">
    <w:pPr>
      <w:pStyle w:val="Encabezado"/>
    </w:pPr>
    <w:r>
      <w:rPr>
        <w:noProof/>
        <w:lang w:val="es-HN" w:eastAsia="es-HN"/>
      </w:rPr>
      <w:drawing>
        <wp:anchor distT="0" distB="0" distL="114300" distR="114300" simplePos="0" relativeHeight="251658240" behindDoc="1" locked="0" layoutInCell="1" allowOverlap="1" wp14:anchorId="4AE374E5" wp14:editId="130859F9">
          <wp:simplePos x="0" y="0"/>
          <wp:positionH relativeFrom="page">
            <wp:align>left</wp:align>
          </wp:positionH>
          <wp:positionV relativeFrom="paragraph">
            <wp:posOffset>-449580</wp:posOffset>
          </wp:positionV>
          <wp:extent cx="7755051" cy="10035540"/>
          <wp:effectExtent l="0" t="0" r="0" b="3810"/>
          <wp:wrapNone/>
          <wp:docPr id="612370022" name="Imagen 61237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ndo-paginas.jpg"/>
                  <pic:cNvPicPr/>
                </pic:nvPicPr>
                <pic:blipFill>
                  <a:blip r:embed="rId1">
                    <a:extLst>
                      <a:ext uri="{28A0092B-C50C-407E-A947-70E740481C1C}">
                        <a14:useLocalDpi xmlns:a14="http://schemas.microsoft.com/office/drawing/2010/main" val="0"/>
                      </a:ext>
                    </a:extLst>
                  </a:blip>
                  <a:stretch>
                    <a:fillRect/>
                  </a:stretch>
                </pic:blipFill>
                <pic:spPr>
                  <a:xfrm>
                    <a:off x="0" y="0"/>
                    <a:ext cx="7759817" cy="10041708"/>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207C3" w14:textId="77777777" w:rsidR="000C062F" w:rsidRDefault="000C062F">
    <w:pPr>
      <w:pStyle w:val="Encabezad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BBA26" w14:textId="77777777" w:rsidR="000C062F" w:rsidRDefault="000C062F">
    <w:pPr>
      <w:pStyle w:val="Encabezad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D50ED" w14:textId="2E2EE235" w:rsidR="000C062F" w:rsidRDefault="000C062F" w:rsidP="005F4A92">
    <w:pPr>
      <w:pStyle w:val="Encabezado"/>
    </w:pPr>
    <w:r>
      <w:rPr>
        <w:noProof/>
        <w:lang w:val="es-HN" w:eastAsia="es-HN"/>
      </w:rPr>
      <w:drawing>
        <wp:anchor distT="0" distB="0" distL="114300" distR="114300" simplePos="0" relativeHeight="251658244" behindDoc="1" locked="0" layoutInCell="1" allowOverlap="1" wp14:anchorId="20A8E826" wp14:editId="04CF582A">
          <wp:simplePos x="0" y="0"/>
          <wp:positionH relativeFrom="page">
            <wp:align>right</wp:align>
          </wp:positionH>
          <wp:positionV relativeFrom="paragraph">
            <wp:posOffset>-449368</wp:posOffset>
          </wp:positionV>
          <wp:extent cx="7766174" cy="10049933"/>
          <wp:effectExtent l="0" t="0" r="6350" b="889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ondo-paginas.jpg"/>
                  <pic:cNvPicPr/>
                </pic:nvPicPr>
                <pic:blipFill>
                  <a:blip r:embed="rId1">
                    <a:extLst>
                      <a:ext uri="{28A0092B-C50C-407E-A947-70E740481C1C}">
                        <a14:useLocalDpi xmlns:a14="http://schemas.microsoft.com/office/drawing/2010/main" val="0"/>
                      </a:ext>
                    </a:extLst>
                  </a:blip>
                  <a:stretch>
                    <a:fillRect/>
                  </a:stretch>
                </pic:blipFill>
                <pic:spPr>
                  <a:xfrm>
                    <a:off x="0" y="0"/>
                    <a:ext cx="7766174" cy="10049933"/>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54BF7" w14:textId="77777777" w:rsidR="000C062F" w:rsidRDefault="000C062F">
    <w:pPr>
      <w:pStyle w:val="Encabezad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15D1A" w14:textId="77777777" w:rsidR="000C062F" w:rsidRDefault="000C062F">
    <w:pPr>
      <w:pStyle w:val="Encabezad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83ACE" w14:textId="201F9B0D" w:rsidR="000C062F" w:rsidRDefault="000C062F" w:rsidP="005F4A92">
    <w:pPr>
      <w:pStyle w:val="Encabezado"/>
    </w:pPr>
    <w:r>
      <w:rPr>
        <w:noProof/>
        <w:lang w:val="es-HN" w:eastAsia="es-HN"/>
      </w:rPr>
      <w:drawing>
        <wp:anchor distT="0" distB="0" distL="114300" distR="114300" simplePos="0" relativeHeight="251658245" behindDoc="1" locked="0" layoutInCell="1" allowOverlap="1" wp14:anchorId="7A760A31" wp14:editId="2375FA2A">
          <wp:simplePos x="0" y="0"/>
          <wp:positionH relativeFrom="page">
            <wp:align>left</wp:align>
          </wp:positionH>
          <wp:positionV relativeFrom="paragraph">
            <wp:posOffset>-449581</wp:posOffset>
          </wp:positionV>
          <wp:extent cx="7740003" cy="10016067"/>
          <wp:effectExtent l="0" t="0" r="0" b="4445"/>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ondo-paginas.jpg"/>
                  <pic:cNvPicPr/>
                </pic:nvPicPr>
                <pic:blipFill>
                  <a:blip r:embed="rId1">
                    <a:extLst>
                      <a:ext uri="{28A0092B-C50C-407E-A947-70E740481C1C}">
                        <a14:useLocalDpi xmlns:a14="http://schemas.microsoft.com/office/drawing/2010/main" val="0"/>
                      </a:ext>
                    </a:extLst>
                  </a:blip>
                  <a:stretch>
                    <a:fillRect/>
                  </a:stretch>
                </pic:blipFill>
                <pic:spPr>
                  <a:xfrm>
                    <a:off x="0" y="0"/>
                    <a:ext cx="7740003" cy="10016067"/>
                  </a:xfrm>
                  <a:prstGeom prst="rect">
                    <a:avLst/>
                  </a:prstGeom>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E3528" w14:textId="77777777" w:rsidR="000C062F" w:rsidRDefault="000C062F">
    <w:pPr>
      <w:pStyle w:val="Encabezad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FD675" w14:textId="77777777" w:rsidR="000C062F" w:rsidRDefault="000C062F">
    <w:pPr>
      <w:pStyle w:val="Encabezad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4443F" w14:textId="019534A3" w:rsidR="000C062F" w:rsidRDefault="000C062F" w:rsidP="005F4A92">
    <w:pPr>
      <w:pStyle w:val="Encabezado"/>
    </w:pPr>
    <w:r>
      <w:rPr>
        <w:noProof/>
        <w:lang w:val="es-HN" w:eastAsia="es-HN"/>
      </w:rPr>
      <w:drawing>
        <wp:anchor distT="0" distB="0" distL="114300" distR="114300" simplePos="0" relativeHeight="251658246" behindDoc="1" locked="0" layoutInCell="1" allowOverlap="1" wp14:anchorId="3F5772CE" wp14:editId="71ADD591">
          <wp:simplePos x="0" y="0"/>
          <wp:positionH relativeFrom="page">
            <wp:align>right</wp:align>
          </wp:positionH>
          <wp:positionV relativeFrom="paragraph">
            <wp:posOffset>-449368</wp:posOffset>
          </wp:positionV>
          <wp:extent cx="7766174" cy="10049933"/>
          <wp:effectExtent l="0" t="0" r="6350" b="889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ondo-paginas.jpg"/>
                  <pic:cNvPicPr/>
                </pic:nvPicPr>
                <pic:blipFill>
                  <a:blip r:embed="rId1">
                    <a:extLst>
                      <a:ext uri="{28A0092B-C50C-407E-A947-70E740481C1C}">
                        <a14:useLocalDpi xmlns:a14="http://schemas.microsoft.com/office/drawing/2010/main" val="0"/>
                      </a:ext>
                    </a:extLst>
                  </a:blip>
                  <a:stretch>
                    <a:fillRect/>
                  </a:stretch>
                </pic:blipFill>
                <pic:spPr>
                  <a:xfrm>
                    <a:off x="0" y="0"/>
                    <a:ext cx="7766174" cy="10049933"/>
                  </a:xfrm>
                  <a:prstGeom prst="rect">
                    <a:avLst/>
                  </a:prstGeom>
                </pic:spPr>
              </pic:pic>
            </a:graphicData>
          </a:graphic>
          <wp14:sizeRelH relativeFrom="page">
            <wp14:pctWidth>0</wp14:pctWidth>
          </wp14:sizeRelH>
          <wp14:sizeRelV relativeFrom="page">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444E5" w14:textId="77777777" w:rsidR="000C062F" w:rsidRDefault="000C062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1C520" w14:textId="77777777" w:rsidR="000C062F" w:rsidRDefault="000C062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A6602" w14:textId="60E08122" w:rsidR="000C062F" w:rsidRDefault="000C062F" w:rsidP="005F4A92">
    <w:pPr>
      <w:pStyle w:val="Encabezado"/>
    </w:pPr>
    <w:r>
      <w:rPr>
        <w:noProof/>
        <w:lang w:val="es-HN" w:eastAsia="es-HN"/>
      </w:rPr>
      <w:drawing>
        <wp:anchor distT="0" distB="0" distL="114300" distR="114300" simplePos="0" relativeHeight="251658241" behindDoc="0" locked="0" layoutInCell="1" allowOverlap="1" wp14:anchorId="47A95212" wp14:editId="33C64B75">
          <wp:simplePos x="0" y="0"/>
          <wp:positionH relativeFrom="page">
            <wp:align>left</wp:align>
          </wp:positionH>
          <wp:positionV relativeFrom="paragraph">
            <wp:posOffset>-440901</wp:posOffset>
          </wp:positionV>
          <wp:extent cx="6070600" cy="7856431"/>
          <wp:effectExtent l="0" t="0" r="6350" b="0"/>
          <wp:wrapNone/>
          <wp:docPr id="952948711" name="Imagen 952948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ondo-pagina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73411" cy="7860069"/>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41005" w14:textId="77777777" w:rsidR="000C062F" w:rsidRDefault="000C062F">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0DD1F" w14:textId="77777777" w:rsidR="000C062F" w:rsidRDefault="000C062F">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A71DB" w14:textId="050C67FF" w:rsidR="000C062F" w:rsidRDefault="000C062F" w:rsidP="005F4A92">
    <w:pPr>
      <w:pStyle w:val="Encabezado"/>
    </w:pPr>
    <w:r>
      <w:rPr>
        <w:noProof/>
        <w:lang w:val="es-HN" w:eastAsia="es-HN"/>
      </w:rPr>
      <w:drawing>
        <wp:anchor distT="0" distB="0" distL="114300" distR="114300" simplePos="0" relativeHeight="251658242" behindDoc="1" locked="0" layoutInCell="1" allowOverlap="1" wp14:anchorId="304E8633" wp14:editId="46095A84">
          <wp:simplePos x="0" y="0"/>
          <wp:positionH relativeFrom="page">
            <wp:align>left</wp:align>
          </wp:positionH>
          <wp:positionV relativeFrom="paragraph">
            <wp:posOffset>-449369</wp:posOffset>
          </wp:positionV>
          <wp:extent cx="7755467" cy="10036078"/>
          <wp:effectExtent l="0" t="0" r="0" b="3810"/>
          <wp:wrapNone/>
          <wp:docPr id="50160631" name="Imagen 5016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ndo-paginas.jpg"/>
                  <pic:cNvPicPr/>
                </pic:nvPicPr>
                <pic:blipFill>
                  <a:blip r:embed="rId1">
                    <a:extLst>
                      <a:ext uri="{28A0092B-C50C-407E-A947-70E740481C1C}">
                        <a14:useLocalDpi xmlns:a14="http://schemas.microsoft.com/office/drawing/2010/main" val="0"/>
                      </a:ext>
                    </a:extLst>
                  </a:blip>
                  <a:stretch>
                    <a:fillRect/>
                  </a:stretch>
                </pic:blipFill>
                <pic:spPr>
                  <a:xfrm>
                    <a:off x="0" y="0"/>
                    <a:ext cx="7758028" cy="10039392"/>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41B13" w14:textId="77777777" w:rsidR="000C062F" w:rsidRDefault="000C062F">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6C654" w14:textId="77777777" w:rsidR="000C062F" w:rsidRDefault="000C062F">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A08A0" w14:textId="7EE7AD40" w:rsidR="000C062F" w:rsidRPr="00C24D0B" w:rsidRDefault="000C062F" w:rsidP="00C24D0B">
    <w:pPr>
      <w:pStyle w:val="Encabezado"/>
    </w:pPr>
    <w:r>
      <w:rPr>
        <w:noProof/>
        <w:lang w:val="es-HN" w:eastAsia="es-HN"/>
      </w:rPr>
      <w:drawing>
        <wp:anchor distT="0" distB="0" distL="114300" distR="114300" simplePos="0" relativeHeight="251658243" behindDoc="1" locked="0" layoutInCell="1" allowOverlap="1" wp14:anchorId="08DB624C" wp14:editId="02E464E4">
          <wp:simplePos x="0" y="0"/>
          <wp:positionH relativeFrom="page">
            <wp:align>left</wp:align>
          </wp:positionH>
          <wp:positionV relativeFrom="paragraph">
            <wp:posOffset>-449368</wp:posOffset>
          </wp:positionV>
          <wp:extent cx="5935133" cy="7681113"/>
          <wp:effectExtent l="0" t="0" r="889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ondo-pagina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38897" cy="76859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70C25F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9F9B05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5206A3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DFCE66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FAC785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55BEBB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1F24983"/>
    <w:multiLevelType w:val="hybridMultilevel"/>
    <w:tmpl w:val="E53E1D98"/>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7" w15:restartNumberingAfterBreak="0">
    <w:nsid w:val="024C5D22"/>
    <w:multiLevelType w:val="hybridMultilevel"/>
    <w:tmpl w:val="CF1E4998"/>
    <w:lvl w:ilvl="0" w:tplc="B2B094E4">
      <w:start w:val="1"/>
      <w:numFmt w:val="lowerLetter"/>
      <w:lvlText w:val="%1)"/>
      <w:lvlJc w:val="left"/>
      <w:pPr>
        <w:ind w:left="720" w:hanging="360"/>
      </w:pPr>
      <w:rPr>
        <w:b w:val="0"/>
        <w:bCs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2EE0E81"/>
    <w:multiLevelType w:val="hybridMultilevel"/>
    <w:tmpl w:val="3362915E"/>
    <w:lvl w:ilvl="0" w:tplc="480A0003">
      <w:start w:val="1"/>
      <w:numFmt w:val="bullet"/>
      <w:lvlText w:val="o"/>
      <w:lvlJc w:val="left"/>
      <w:pPr>
        <w:ind w:left="900" w:hanging="360"/>
      </w:pPr>
      <w:rPr>
        <w:rFonts w:ascii="Courier New" w:hAnsi="Courier New" w:hint="default"/>
      </w:rPr>
    </w:lvl>
    <w:lvl w:ilvl="1" w:tplc="480A0003" w:tentative="1">
      <w:start w:val="1"/>
      <w:numFmt w:val="bullet"/>
      <w:lvlText w:val="o"/>
      <w:lvlJc w:val="left"/>
      <w:pPr>
        <w:ind w:left="1620" w:hanging="360"/>
      </w:pPr>
      <w:rPr>
        <w:rFonts w:ascii="Courier New" w:hAnsi="Courier New" w:hint="default"/>
      </w:rPr>
    </w:lvl>
    <w:lvl w:ilvl="2" w:tplc="480A0005" w:tentative="1">
      <w:start w:val="1"/>
      <w:numFmt w:val="bullet"/>
      <w:lvlText w:val=""/>
      <w:lvlJc w:val="left"/>
      <w:pPr>
        <w:ind w:left="2340" w:hanging="360"/>
      </w:pPr>
      <w:rPr>
        <w:rFonts w:ascii="Wingdings" w:hAnsi="Wingdings" w:hint="default"/>
      </w:rPr>
    </w:lvl>
    <w:lvl w:ilvl="3" w:tplc="480A0001" w:tentative="1">
      <w:start w:val="1"/>
      <w:numFmt w:val="bullet"/>
      <w:lvlText w:val=""/>
      <w:lvlJc w:val="left"/>
      <w:pPr>
        <w:ind w:left="3060" w:hanging="360"/>
      </w:pPr>
      <w:rPr>
        <w:rFonts w:ascii="Symbol" w:hAnsi="Symbol" w:hint="default"/>
      </w:rPr>
    </w:lvl>
    <w:lvl w:ilvl="4" w:tplc="480A0003" w:tentative="1">
      <w:start w:val="1"/>
      <w:numFmt w:val="bullet"/>
      <w:lvlText w:val="o"/>
      <w:lvlJc w:val="left"/>
      <w:pPr>
        <w:ind w:left="3780" w:hanging="360"/>
      </w:pPr>
      <w:rPr>
        <w:rFonts w:ascii="Courier New" w:hAnsi="Courier New" w:hint="default"/>
      </w:rPr>
    </w:lvl>
    <w:lvl w:ilvl="5" w:tplc="480A0005" w:tentative="1">
      <w:start w:val="1"/>
      <w:numFmt w:val="bullet"/>
      <w:lvlText w:val=""/>
      <w:lvlJc w:val="left"/>
      <w:pPr>
        <w:ind w:left="4500" w:hanging="360"/>
      </w:pPr>
      <w:rPr>
        <w:rFonts w:ascii="Wingdings" w:hAnsi="Wingdings" w:hint="default"/>
      </w:rPr>
    </w:lvl>
    <w:lvl w:ilvl="6" w:tplc="480A0001" w:tentative="1">
      <w:start w:val="1"/>
      <w:numFmt w:val="bullet"/>
      <w:lvlText w:val=""/>
      <w:lvlJc w:val="left"/>
      <w:pPr>
        <w:ind w:left="5220" w:hanging="360"/>
      </w:pPr>
      <w:rPr>
        <w:rFonts w:ascii="Symbol" w:hAnsi="Symbol" w:hint="default"/>
      </w:rPr>
    </w:lvl>
    <w:lvl w:ilvl="7" w:tplc="480A0003" w:tentative="1">
      <w:start w:val="1"/>
      <w:numFmt w:val="bullet"/>
      <w:lvlText w:val="o"/>
      <w:lvlJc w:val="left"/>
      <w:pPr>
        <w:ind w:left="5940" w:hanging="360"/>
      </w:pPr>
      <w:rPr>
        <w:rFonts w:ascii="Courier New" w:hAnsi="Courier New" w:hint="default"/>
      </w:rPr>
    </w:lvl>
    <w:lvl w:ilvl="8" w:tplc="480A0005" w:tentative="1">
      <w:start w:val="1"/>
      <w:numFmt w:val="bullet"/>
      <w:lvlText w:val=""/>
      <w:lvlJc w:val="left"/>
      <w:pPr>
        <w:ind w:left="6660" w:hanging="360"/>
      </w:pPr>
      <w:rPr>
        <w:rFonts w:ascii="Wingdings" w:hAnsi="Wingdings" w:hint="default"/>
      </w:rPr>
    </w:lvl>
  </w:abstractNum>
  <w:abstractNum w:abstractNumId="9" w15:restartNumberingAfterBreak="0">
    <w:nsid w:val="031E4C54"/>
    <w:multiLevelType w:val="hybridMultilevel"/>
    <w:tmpl w:val="130AE59C"/>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10" w15:restartNumberingAfterBreak="0">
    <w:nsid w:val="03952966"/>
    <w:multiLevelType w:val="hybridMultilevel"/>
    <w:tmpl w:val="6ED09730"/>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 w15:restartNumberingAfterBreak="0">
    <w:nsid w:val="05A944F6"/>
    <w:multiLevelType w:val="hybridMultilevel"/>
    <w:tmpl w:val="3992F12A"/>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2" w15:restartNumberingAfterBreak="0">
    <w:nsid w:val="05F70956"/>
    <w:multiLevelType w:val="hybridMultilevel"/>
    <w:tmpl w:val="CD0820A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064655A7"/>
    <w:multiLevelType w:val="hybridMultilevel"/>
    <w:tmpl w:val="5128C96C"/>
    <w:lvl w:ilvl="0" w:tplc="E81AE10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08F26F90"/>
    <w:multiLevelType w:val="hybridMultilevel"/>
    <w:tmpl w:val="62AE132C"/>
    <w:lvl w:ilvl="0" w:tplc="440A0017">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09E30C4F"/>
    <w:multiLevelType w:val="hybridMultilevel"/>
    <w:tmpl w:val="E206AE1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cs="Wingdings" w:hint="default"/>
      </w:rPr>
    </w:lvl>
    <w:lvl w:ilvl="3" w:tplc="2C0A0001" w:tentative="1">
      <w:start w:val="1"/>
      <w:numFmt w:val="bullet"/>
      <w:lvlText w:val=""/>
      <w:lvlJc w:val="left"/>
      <w:pPr>
        <w:ind w:left="2880" w:hanging="360"/>
      </w:pPr>
      <w:rPr>
        <w:rFonts w:ascii="Symbol" w:hAnsi="Symbol" w:cs="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cs="Wingdings" w:hint="default"/>
      </w:rPr>
    </w:lvl>
    <w:lvl w:ilvl="6" w:tplc="2C0A0001" w:tentative="1">
      <w:start w:val="1"/>
      <w:numFmt w:val="bullet"/>
      <w:lvlText w:val=""/>
      <w:lvlJc w:val="left"/>
      <w:pPr>
        <w:ind w:left="5040" w:hanging="360"/>
      </w:pPr>
      <w:rPr>
        <w:rFonts w:ascii="Symbol" w:hAnsi="Symbol" w:cs="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09E550B5"/>
    <w:multiLevelType w:val="hybridMultilevel"/>
    <w:tmpl w:val="FDB49F0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0A9D4F98"/>
    <w:multiLevelType w:val="multilevel"/>
    <w:tmpl w:val="0A9D4F98"/>
    <w:lvl w:ilvl="0">
      <w:start w:val="1"/>
      <w:numFmt w:val="decimal"/>
      <w:lvlText w:val="%1."/>
      <w:lvlJc w:val="left"/>
      <w:pPr>
        <w:ind w:left="696" w:hanging="360"/>
      </w:pPr>
    </w:lvl>
    <w:lvl w:ilvl="1">
      <w:start w:val="1"/>
      <w:numFmt w:val="lowerLetter"/>
      <w:lvlText w:val="%2."/>
      <w:lvlJc w:val="left"/>
      <w:pPr>
        <w:ind w:left="1416" w:hanging="360"/>
      </w:pPr>
    </w:lvl>
    <w:lvl w:ilvl="2">
      <w:start w:val="1"/>
      <w:numFmt w:val="lowerRoman"/>
      <w:lvlText w:val="%3."/>
      <w:lvlJc w:val="right"/>
      <w:pPr>
        <w:ind w:left="2136" w:hanging="180"/>
      </w:pPr>
    </w:lvl>
    <w:lvl w:ilvl="3">
      <w:start w:val="1"/>
      <w:numFmt w:val="decimal"/>
      <w:lvlText w:val="%4."/>
      <w:lvlJc w:val="left"/>
      <w:pPr>
        <w:ind w:left="2856" w:hanging="360"/>
      </w:pPr>
    </w:lvl>
    <w:lvl w:ilvl="4">
      <w:start w:val="1"/>
      <w:numFmt w:val="lowerLetter"/>
      <w:lvlText w:val="%5."/>
      <w:lvlJc w:val="left"/>
      <w:pPr>
        <w:ind w:left="3576" w:hanging="360"/>
      </w:pPr>
    </w:lvl>
    <w:lvl w:ilvl="5">
      <w:start w:val="1"/>
      <w:numFmt w:val="lowerRoman"/>
      <w:lvlText w:val="%6."/>
      <w:lvlJc w:val="right"/>
      <w:pPr>
        <w:ind w:left="4296" w:hanging="180"/>
      </w:pPr>
    </w:lvl>
    <w:lvl w:ilvl="6">
      <w:start w:val="1"/>
      <w:numFmt w:val="decimal"/>
      <w:lvlText w:val="%7."/>
      <w:lvlJc w:val="left"/>
      <w:pPr>
        <w:ind w:left="5016" w:hanging="360"/>
      </w:pPr>
    </w:lvl>
    <w:lvl w:ilvl="7">
      <w:start w:val="1"/>
      <w:numFmt w:val="lowerLetter"/>
      <w:lvlText w:val="%8."/>
      <w:lvlJc w:val="left"/>
      <w:pPr>
        <w:ind w:left="5736" w:hanging="360"/>
      </w:pPr>
    </w:lvl>
    <w:lvl w:ilvl="8">
      <w:start w:val="1"/>
      <w:numFmt w:val="lowerRoman"/>
      <w:lvlText w:val="%9."/>
      <w:lvlJc w:val="right"/>
      <w:pPr>
        <w:ind w:left="6456" w:hanging="180"/>
      </w:pPr>
    </w:lvl>
  </w:abstractNum>
  <w:abstractNum w:abstractNumId="18" w15:restartNumberingAfterBreak="0">
    <w:nsid w:val="0D925C2D"/>
    <w:multiLevelType w:val="hybridMultilevel"/>
    <w:tmpl w:val="38AC914A"/>
    <w:lvl w:ilvl="0" w:tplc="2C0A0001">
      <w:start w:val="1"/>
      <w:numFmt w:val="bullet"/>
      <w:lvlText w:val=""/>
      <w:lvlJc w:val="left"/>
      <w:pPr>
        <w:ind w:left="360" w:hanging="360"/>
      </w:pPr>
      <w:rPr>
        <w:rFonts w:ascii="Symbol" w:hAnsi="Symbol" w:hint="default"/>
      </w:rPr>
    </w:lvl>
    <w:lvl w:ilvl="1" w:tplc="4A9A4444">
      <w:start w:val="1"/>
      <w:numFmt w:val="bullet"/>
      <w:lvlText w:val="o"/>
      <w:lvlJc w:val="left"/>
      <w:pPr>
        <w:ind w:left="1542" w:hanging="360"/>
      </w:pPr>
      <w:rPr>
        <w:rFonts w:ascii="Courier New" w:hAnsi="Courier New" w:cs="Courier New" w:hint="default"/>
      </w:rPr>
    </w:lvl>
    <w:lvl w:ilvl="2" w:tplc="2C0A0005">
      <w:start w:val="1"/>
      <w:numFmt w:val="bullet"/>
      <w:lvlText w:val=""/>
      <w:lvlJc w:val="left"/>
      <w:pPr>
        <w:ind w:left="2262" w:hanging="360"/>
      </w:pPr>
      <w:rPr>
        <w:rFonts w:ascii="Wingdings" w:hAnsi="Wingdings" w:hint="default"/>
      </w:rPr>
    </w:lvl>
    <w:lvl w:ilvl="3" w:tplc="2C0A0001" w:tentative="1">
      <w:start w:val="1"/>
      <w:numFmt w:val="bullet"/>
      <w:lvlText w:val=""/>
      <w:lvlJc w:val="left"/>
      <w:pPr>
        <w:ind w:left="2982" w:hanging="360"/>
      </w:pPr>
      <w:rPr>
        <w:rFonts w:ascii="Symbol" w:hAnsi="Symbol" w:hint="default"/>
      </w:rPr>
    </w:lvl>
    <w:lvl w:ilvl="4" w:tplc="2C0A0003" w:tentative="1">
      <w:start w:val="1"/>
      <w:numFmt w:val="bullet"/>
      <w:lvlText w:val="o"/>
      <w:lvlJc w:val="left"/>
      <w:pPr>
        <w:ind w:left="3702" w:hanging="360"/>
      </w:pPr>
      <w:rPr>
        <w:rFonts w:ascii="Courier New" w:hAnsi="Courier New" w:cs="Courier New" w:hint="default"/>
      </w:rPr>
    </w:lvl>
    <w:lvl w:ilvl="5" w:tplc="2C0A0005" w:tentative="1">
      <w:start w:val="1"/>
      <w:numFmt w:val="bullet"/>
      <w:lvlText w:val=""/>
      <w:lvlJc w:val="left"/>
      <w:pPr>
        <w:ind w:left="4422" w:hanging="360"/>
      </w:pPr>
      <w:rPr>
        <w:rFonts w:ascii="Wingdings" w:hAnsi="Wingdings" w:hint="default"/>
      </w:rPr>
    </w:lvl>
    <w:lvl w:ilvl="6" w:tplc="2C0A0001" w:tentative="1">
      <w:start w:val="1"/>
      <w:numFmt w:val="bullet"/>
      <w:lvlText w:val=""/>
      <w:lvlJc w:val="left"/>
      <w:pPr>
        <w:ind w:left="5142" w:hanging="360"/>
      </w:pPr>
      <w:rPr>
        <w:rFonts w:ascii="Symbol" w:hAnsi="Symbol" w:hint="default"/>
      </w:rPr>
    </w:lvl>
    <w:lvl w:ilvl="7" w:tplc="2C0A0003" w:tentative="1">
      <w:start w:val="1"/>
      <w:numFmt w:val="bullet"/>
      <w:lvlText w:val="o"/>
      <w:lvlJc w:val="left"/>
      <w:pPr>
        <w:ind w:left="5862" w:hanging="360"/>
      </w:pPr>
      <w:rPr>
        <w:rFonts w:ascii="Courier New" w:hAnsi="Courier New" w:cs="Courier New" w:hint="default"/>
      </w:rPr>
    </w:lvl>
    <w:lvl w:ilvl="8" w:tplc="2C0A0005" w:tentative="1">
      <w:start w:val="1"/>
      <w:numFmt w:val="bullet"/>
      <w:lvlText w:val=""/>
      <w:lvlJc w:val="left"/>
      <w:pPr>
        <w:ind w:left="6582" w:hanging="360"/>
      </w:pPr>
      <w:rPr>
        <w:rFonts w:ascii="Wingdings" w:hAnsi="Wingdings" w:hint="default"/>
      </w:rPr>
    </w:lvl>
  </w:abstractNum>
  <w:abstractNum w:abstractNumId="19" w15:restartNumberingAfterBreak="0">
    <w:nsid w:val="0DE24B2B"/>
    <w:multiLevelType w:val="hybridMultilevel"/>
    <w:tmpl w:val="4A16C4E4"/>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20" w15:restartNumberingAfterBreak="0">
    <w:nsid w:val="0EC67D5D"/>
    <w:multiLevelType w:val="hybridMultilevel"/>
    <w:tmpl w:val="65F6EC68"/>
    <w:lvl w:ilvl="0" w:tplc="51EAD800">
      <w:start w:val="1"/>
      <w:numFmt w:val="lowerLetter"/>
      <w:lvlText w:val="(%1)"/>
      <w:lvlJc w:val="left"/>
      <w:pPr>
        <w:ind w:left="1440" w:hanging="360"/>
      </w:pPr>
      <w:rPr>
        <w:rFonts w:hint="default"/>
      </w:rPr>
    </w:lvl>
    <w:lvl w:ilvl="1" w:tplc="4C0A0019" w:tentative="1">
      <w:start w:val="1"/>
      <w:numFmt w:val="lowerLetter"/>
      <w:lvlText w:val="%2."/>
      <w:lvlJc w:val="left"/>
      <w:pPr>
        <w:ind w:left="2160" w:hanging="360"/>
      </w:pPr>
    </w:lvl>
    <w:lvl w:ilvl="2" w:tplc="4C0A001B" w:tentative="1">
      <w:start w:val="1"/>
      <w:numFmt w:val="lowerRoman"/>
      <w:lvlText w:val="%3."/>
      <w:lvlJc w:val="right"/>
      <w:pPr>
        <w:ind w:left="2880" w:hanging="180"/>
      </w:pPr>
    </w:lvl>
    <w:lvl w:ilvl="3" w:tplc="4C0A000F" w:tentative="1">
      <w:start w:val="1"/>
      <w:numFmt w:val="decimal"/>
      <w:lvlText w:val="%4."/>
      <w:lvlJc w:val="left"/>
      <w:pPr>
        <w:ind w:left="3600" w:hanging="360"/>
      </w:pPr>
    </w:lvl>
    <w:lvl w:ilvl="4" w:tplc="4C0A0019" w:tentative="1">
      <w:start w:val="1"/>
      <w:numFmt w:val="lowerLetter"/>
      <w:lvlText w:val="%5."/>
      <w:lvlJc w:val="left"/>
      <w:pPr>
        <w:ind w:left="4320" w:hanging="360"/>
      </w:pPr>
    </w:lvl>
    <w:lvl w:ilvl="5" w:tplc="4C0A001B" w:tentative="1">
      <w:start w:val="1"/>
      <w:numFmt w:val="lowerRoman"/>
      <w:lvlText w:val="%6."/>
      <w:lvlJc w:val="right"/>
      <w:pPr>
        <w:ind w:left="5040" w:hanging="180"/>
      </w:pPr>
    </w:lvl>
    <w:lvl w:ilvl="6" w:tplc="4C0A000F" w:tentative="1">
      <w:start w:val="1"/>
      <w:numFmt w:val="decimal"/>
      <w:lvlText w:val="%7."/>
      <w:lvlJc w:val="left"/>
      <w:pPr>
        <w:ind w:left="5760" w:hanging="360"/>
      </w:pPr>
    </w:lvl>
    <w:lvl w:ilvl="7" w:tplc="4C0A0019" w:tentative="1">
      <w:start w:val="1"/>
      <w:numFmt w:val="lowerLetter"/>
      <w:lvlText w:val="%8."/>
      <w:lvlJc w:val="left"/>
      <w:pPr>
        <w:ind w:left="6480" w:hanging="360"/>
      </w:pPr>
    </w:lvl>
    <w:lvl w:ilvl="8" w:tplc="4C0A001B" w:tentative="1">
      <w:start w:val="1"/>
      <w:numFmt w:val="lowerRoman"/>
      <w:lvlText w:val="%9."/>
      <w:lvlJc w:val="right"/>
      <w:pPr>
        <w:ind w:left="7200" w:hanging="180"/>
      </w:pPr>
    </w:lvl>
  </w:abstractNum>
  <w:abstractNum w:abstractNumId="21" w15:restartNumberingAfterBreak="0">
    <w:nsid w:val="0EEA5824"/>
    <w:multiLevelType w:val="hybridMultilevel"/>
    <w:tmpl w:val="6622B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030294B"/>
    <w:multiLevelType w:val="hybridMultilevel"/>
    <w:tmpl w:val="959879D2"/>
    <w:lvl w:ilvl="0" w:tplc="8F9265CC">
      <w:numFmt w:val="bullet"/>
      <w:lvlText w:val="•"/>
      <w:lvlJc w:val="left"/>
      <w:pPr>
        <w:ind w:left="1425" w:hanging="705"/>
      </w:pPr>
      <w:rPr>
        <w:rFonts w:ascii="Arial" w:eastAsiaTheme="minorHAnsi" w:hAnsi="Arial" w:cs="Aria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3" w15:restartNumberingAfterBreak="0">
    <w:nsid w:val="10B05994"/>
    <w:multiLevelType w:val="hybridMultilevel"/>
    <w:tmpl w:val="B76415DC"/>
    <w:lvl w:ilvl="0" w:tplc="48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15:restartNumberingAfterBreak="0">
    <w:nsid w:val="11965AF7"/>
    <w:multiLevelType w:val="multilevel"/>
    <w:tmpl w:val="91FABD14"/>
    <w:lvl w:ilvl="0">
      <w:start w:val="1"/>
      <w:numFmt w:val="decimal"/>
      <w:lvlText w:val="%1."/>
      <w:lvlJc w:val="left"/>
      <w:pPr>
        <w:ind w:left="360" w:hanging="360"/>
      </w:pPr>
    </w:lvl>
    <w:lvl w:ilvl="1">
      <w:start w:val="1"/>
      <w:numFmt w:val="decimal"/>
      <w:lvlText w:val="%1.%2."/>
      <w:lvlJc w:val="left"/>
      <w:pPr>
        <w:ind w:left="792" w:hanging="432"/>
      </w:pPr>
      <w:rPr>
        <w:color w:val="767171" w:themeColor="background2" w:themeShade="80"/>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520280C"/>
    <w:multiLevelType w:val="hybridMultilevel"/>
    <w:tmpl w:val="1F542000"/>
    <w:lvl w:ilvl="0" w:tplc="480A000F">
      <w:start w:val="1"/>
      <w:numFmt w:val="decimal"/>
      <w:lvlText w:val="%1."/>
      <w:lvlJc w:val="left"/>
      <w:pPr>
        <w:ind w:left="1080" w:hanging="360"/>
      </w:pPr>
    </w:lvl>
    <w:lvl w:ilvl="1" w:tplc="480A0019">
      <w:start w:val="1"/>
      <w:numFmt w:val="lowerLetter"/>
      <w:lvlText w:val="%2."/>
      <w:lvlJc w:val="left"/>
      <w:pPr>
        <w:ind w:left="1800" w:hanging="360"/>
      </w:pPr>
    </w:lvl>
    <w:lvl w:ilvl="2" w:tplc="480A001B">
      <w:start w:val="1"/>
      <w:numFmt w:val="lowerRoman"/>
      <w:lvlText w:val="%3."/>
      <w:lvlJc w:val="right"/>
      <w:pPr>
        <w:ind w:left="2520" w:hanging="180"/>
      </w:pPr>
    </w:lvl>
    <w:lvl w:ilvl="3" w:tplc="480A000F">
      <w:start w:val="1"/>
      <w:numFmt w:val="decimal"/>
      <w:lvlText w:val="%4."/>
      <w:lvlJc w:val="left"/>
      <w:pPr>
        <w:ind w:left="3240" w:hanging="360"/>
      </w:pPr>
    </w:lvl>
    <w:lvl w:ilvl="4" w:tplc="480A0019">
      <w:start w:val="1"/>
      <w:numFmt w:val="lowerLetter"/>
      <w:lvlText w:val="%5."/>
      <w:lvlJc w:val="left"/>
      <w:pPr>
        <w:ind w:left="3960" w:hanging="360"/>
      </w:pPr>
    </w:lvl>
    <w:lvl w:ilvl="5" w:tplc="480A001B">
      <w:start w:val="1"/>
      <w:numFmt w:val="lowerRoman"/>
      <w:lvlText w:val="%6."/>
      <w:lvlJc w:val="right"/>
      <w:pPr>
        <w:ind w:left="4680" w:hanging="180"/>
      </w:pPr>
    </w:lvl>
    <w:lvl w:ilvl="6" w:tplc="480A000F">
      <w:start w:val="1"/>
      <w:numFmt w:val="decimal"/>
      <w:lvlText w:val="%7."/>
      <w:lvlJc w:val="left"/>
      <w:pPr>
        <w:ind w:left="5400" w:hanging="360"/>
      </w:pPr>
    </w:lvl>
    <w:lvl w:ilvl="7" w:tplc="480A0019">
      <w:start w:val="1"/>
      <w:numFmt w:val="lowerLetter"/>
      <w:lvlText w:val="%8."/>
      <w:lvlJc w:val="left"/>
      <w:pPr>
        <w:ind w:left="6120" w:hanging="360"/>
      </w:pPr>
    </w:lvl>
    <w:lvl w:ilvl="8" w:tplc="480A001B">
      <w:start w:val="1"/>
      <w:numFmt w:val="lowerRoman"/>
      <w:lvlText w:val="%9."/>
      <w:lvlJc w:val="right"/>
      <w:pPr>
        <w:ind w:left="6840" w:hanging="180"/>
      </w:pPr>
    </w:lvl>
  </w:abstractNum>
  <w:abstractNum w:abstractNumId="26" w15:restartNumberingAfterBreak="0">
    <w:nsid w:val="1754371D"/>
    <w:multiLevelType w:val="hybridMultilevel"/>
    <w:tmpl w:val="13200DCA"/>
    <w:lvl w:ilvl="0" w:tplc="E81AE10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17DD1C51"/>
    <w:multiLevelType w:val="hybridMultilevel"/>
    <w:tmpl w:val="2E26E2C8"/>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8" w15:restartNumberingAfterBreak="0">
    <w:nsid w:val="18E4AC66"/>
    <w:multiLevelType w:val="hybridMultilevel"/>
    <w:tmpl w:val="FFFFFFFF"/>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1FAE0E04"/>
    <w:multiLevelType w:val="hybridMultilevel"/>
    <w:tmpl w:val="ABFC68C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0" w15:restartNumberingAfterBreak="0">
    <w:nsid w:val="21090A4C"/>
    <w:multiLevelType w:val="hybridMultilevel"/>
    <w:tmpl w:val="817A841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1" w15:restartNumberingAfterBreak="0">
    <w:nsid w:val="22D8668D"/>
    <w:multiLevelType w:val="hybridMultilevel"/>
    <w:tmpl w:val="568CA510"/>
    <w:lvl w:ilvl="0" w:tplc="8A882734">
      <w:start w:val="1"/>
      <w:numFmt w:val="decimal"/>
      <w:lvlText w:val="%1."/>
      <w:lvlJc w:val="left"/>
      <w:pPr>
        <w:ind w:left="720" w:hanging="360"/>
      </w:pPr>
      <w:rPr>
        <w:rFonts w:cs="Times New Roman" w:hint="default"/>
        <w:b/>
        <w:i/>
      </w:rPr>
    </w:lvl>
    <w:lvl w:ilvl="1" w:tplc="480A0019" w:tentative="1">
      <w:start w:val="1"/>
      <w:numFmt w:val="lowerLetter"/>
      <w:lvlText w:val="%2."/>
      <w:lvlJc w:val="left"/>
      <w:pPr>
        <w:ind w:left="1440" w:hanging="360"/>
      </w:pPr>
      <w:rPr>
        <w:rFonts w:cs="Times New Roman"/>
      </w:rPr>
    </w:lvl>
    <w:lvl w:ilvl="2" w:tplc="480A001B" w:tentative="1">
      <w:start w:val="1"/>
      <w:numFmt w:val="lowerRoman"/>
      <w:lvlText w:val="%3."/>
      <w:lvlJc w:val="right"/>
      <w:pPr>
        <w:ind w:left="2160" w:hanging="180"/>
      </w:pPr>
      <w:rPr>
        <w:rFonts w:cs="Times New Roman"/>
      </w:rPr>
    </w:lvl>
    <w:lvl w:ilvl="3" w:tplc="480A000F" w:tentative="1">
      <w:start w:val="1"/>
      <w:numFmt w:val="decimal"/>
      <w:lvlText w:val="%4."/>
      <w:lvlJc w:val="left"/>
      <w:pPr>
        <w:ind w:left="2880" w:hanging="360"/>
      </w:pPr>
      <w:rPr>
        <w:rFonts w:cs="Times New Roman"/>
      </w:rPr>
    </w:lvl>
    <w:lvl w:ilvl="4" w:tplc="480A0019" w:tentative="1">
      <w:start w:val="1"/>
      <w:numFmt w:val="lowerLetter"/>
      <w:lvlText w:val="%5."/>
      <w:lvlJc w:val="left"/>
      <w:pPr>
        <w:ind w:left="3600" w:hanging="360"/>
      </w:pPr>
      <w:rPr>
        <w:rFonts w:cs="Times New Roman"/>
      </w:rPr>
    </w:lvl>
    <w:lvl w:ilvl="5" w:tplc="480A001B" w:tentative="1">
      <w:start w:val="1"/>
      <w:numFmt w:val="lowerRoman"/>
      <w:lvlText w:val="%6."/>
      <w:lvlJc w:val="right"/>
      <w:pPr>
        <w:ind w:left="4320" w:hanging="180"/>
      </w:pPr>
      <w:rPr>
        <w:rFonts w:cs="Times New Roman"/>
      </w:rPr>
    </w:lvl>
    <w:lvl w:ilvl="6" w:tplc="480A000F" w:tentative="1">
      <w:start w:val="1"/>
      <w:numFmt w:val="decimal"/>
      <w:lvlText w:val="%7."/>
      <w:lvlJc w:val="left"/>
      <w:pPr>
        <w:ind w:left="5040" w:hanging="360"/>
      </w:pPr>
      <w:rPr>
        <w:rFonts w:cs="Times New Roman"/>
      </w:rPr>
    </w:lvl>
    <w:lvl w:ilvl="7" w:tplc="480A0019" w:tentative="1">
      <w:start w:val="1"/>
      <w:numFmt w:val="lowerLetter"/>
      <w:lvlText w:val="%8."/>
      <w:lvlJc w:val="left"/>
      <w:pPr>
        <w:ind w:left="5760" w:hanging="360"/>
      </w:pPr>
      <w:rPr>
        <w:rFonts w:cs="Times New Roman"/>
      </w:rPr>
    </w:lvl>
    <w:lvl w:ilvl="8" w:tplc="480A001B" w:tentative="1">
      <w:start w:val="1"/>
      <w:numFmt w:val="lowerRoman"/>
      <w:lvlText w:val="%9."/>
      <w:lvlJc w:val="right"/>
      <w:pPr>
        <w:ind w:left="6480" w:hanging="180"/>
      </w:pPr>
      <w:rPr>
        <w:rFonts w:cs="Times New Roman"/>
      </w:rPr>
    </w:lvl>
  </w:abstractNum>
  <w:abstractNum w:abstractNumId="32" w15:restartNumberingAfterBreak="0">
    <w:nsid w:val="23D1309D"/>
    <w:multiLevelType w:val="hybridMultilevel"/>
    <w:tmpl w:val="8EB893FE"/>
    <w:lvl w:ilvl="0" w:tplc="F49A747A">
      <w:start w:val="1"/>
      <w:numFmt w:val="decimal"/>
      <w:lvlText w:val="%1."/>
      <w:lvlJc w:val="left"/>
      <w:pPr>
        <w:ind w:left="360" w:hanging="360"/>
      </w:pPr>
      <w:rPr>
        <w:rFonts w:ascii="Arial" w:hAnsi="Arial" w:cs="Arial" w:hint="default"/>
        <w:b/>
        <w:bCs/>
        <w:sz w:val="20"/>
        <w:szCs w:val="20"/>
      </w:rPr>
    </w:lvl>
    <w:lvl w:ilvl="1" w:tplc="1208225E">
      <w:start w:val="1"/>
      <w:numFmt w:val="lowerLetter"/>
      <w:lvlText w:val="%2."/>
      <w:lvlJc w:val="left"/>
      <w:pPr>
        <w:ind w:left="1080" w:hanging="360"/>
      </w:pPr>
      <w:rPr>
        <w:lang w:val="es-HN"/>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245F1507"/>
    <w:multiLevelType w:val="hybridMultilevel"/>
    <w:tmpl w:val="85441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4685252"/>
    <w:multiLevelType w:val="hybridMultilevel"/>
    <w:tmpl w:val="7818935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5" w15:restartNumberingAfterBreak="0">
    <w:nsid w:val="24797D9A"/>
    <w:multiLevelType w:val="multilevel"/>
    <w:tmpl w:val="1298BCC4"/>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6" w15:restartNumberingAfterBreak="0">
    <w:nsid w:val="25A84CE4"/>
    <w:multiLevelType w:val="multilevel"/>
    <w:tmpl w:val="AA167BFA"/>
    <w:lvl w:ilvl="0">
      <w:start w:val="1"/>
      <w:numFmt w:val="decimal"/>
      <w:lvlText w:val="%1."/>
      <w:lvlJc w:val="left"/>
      <w:pPr>
        <w:ind w:left="360" w:hanging="360"/>
      </w:pPr>
    </w:lvl>
    <w:lvl w:ilvl="1">
      <w:start w:val="1"/>
      <w:numFmt w:val="decimal"/>
      <w:lvlText w:val="%1.%2."/>
      <w:lvlJc w:val="left"/>
      <w:pPr>
        <w:ind w:left="792" w:hanging="432"/>
      </w:pPr>
      <w:rPr>
        <w:color w:val="767171" w:themeColor="background2" w:themeShade="80"/>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25C818A3"/>
    <w:multiLevelType w:val="hybridMultilevel"/>
    <w:tmpl w:val="59241490"/>
    <w:lvl w:ilvl="0" w:tplc="480A0003">
      <w:start w:val="1"/>
      <w:numFmt w:val="bullet"/>
      <w:lvlText w:val="o"/>
      <w:lvlJc w:val="left"/>
      <w:pPr>
        <w:ind w:left="360" w:hanging="360"/>
      </w:pPr>
      <w:rPr>
        <w:rFonts w:ascii="Courier New" w:hAnsi="Courier New" w:cs="Courier New"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38" w15:restartNumberingAfterBreak="0">
    <w:nsid w:val="263A382F"/>
    <w:multiLevelType w:val="hybridMultilevel"/>
    <w:tmpl w:val="443ADD0A"/>
    <w:lvl w:ilvl="0" w:tplc="25A45086">
      <w:numFmt w:val="bullet"/>
      <w:lvlText w:val="•"/>
      <w:lvlJc w:val="left"/>
      <w:pPr>
        <w:ind w:left="822" w:hanging="360"/>
      </w:pPr>
      <w:rPr>
        <w:rFonts w:ascii="SymbolMT" w:eastAsiaTheme="minorHAnsi" w:hAnsi="SymbolMT" w:cs="SymbolMT" w:hint="default"/>
      </w:rPr>
    </w:lvl>
    <w:lvl w:ilvl="1" w:tplc="2C0A0003" w:tentative="1">
      <w:start w:val="1"/>
      <w:numFmt w:val="bullet"/>
      <w:lvlText w:val="o"/>
      <w:lvlJc w:val="left"/>
      <w:pPr>
        <w:ind w:left="1542" w:hanging="360"/>
      </w:pPr>
      <w:rPr>
        <w:rFonts w:ascii="Courier New" w:hAnsi="Courier New" w:cs="Courier New" w:hint="default"/>
      </w:rPr>
    </w:lvl>
    <w:lvl w:ilvl="2" w:tplc="2C0A0005" w:tentative="1">
      <w:start w:val="1"/>
      <w:numFmt w:val="bullet"/>
      <w:lvlText w:val=""/>
      <w:lvlJc w:val="left"/>
      <w:pPr>
        <w:ind w:left="2262" w:hanging="360"/>
      </w:pPr>
      <w:rPr>
        <w:rFonts w:ascii="Wingdings" w:hAnsi="Wingdings" w:hint="default"/>
      </w:rPr>
    </w:lvl>
    <w:lvl w:ilvl="3" w:tplc="2C0A0001" w:tentative="1">
      <w:start w:val="1"/>
      <w:numFmt w:val="bullet"/>
      <w:lvlText w:val=""/>
      <w:lvlJc w:val="left"/>
      <w:pPr>
        <w:ind w:left="2982" w:hanging="360"/>
      </w:pPr>
      <w:rPr>
        <w:rFonts w:ascii="Symbol" w:hAnsi="Symbol" w:hint="default"/>
      </w:rPr>
    </w:lvl>
    <w:lvl w:ilvl="4" w:tplc="2C0A0003" w:tentative="1">
      <w:start w:val="1"/>
      <w:numFmt w:val="bullet"/>
      <w:lvlText w:val="o"/>
      <w:lvlJc w:val="left"/>
      <w:pPr>
        <w:ind w:left="3702" w:hanging="360"/>
      </w:pPr>
      <w:rPr>
        <w:rFonts w:ascii="Courier New" w:hAnsi="Courier New" w:cs="Courier New" w:hint="default"/>
      </w:rPr>
    </w:lvl>
    <w:lvl w:ilvl="5" w:tplc="2C0A0005" w:tentative="1">
      <w:start w:val="1"/>
      <w:numFmt w:val="bullet"/>
      <w:lvlText w:val=""/>
      <w:lvlJc w:val="left"/>
      <w:pPr>
        <w:ind w:left="4422" w:hanging="360"/>
      </w:pPr>
      <w:rPr>
        <w:rFonts w:ascii="Wingdings" w:hAnsi="Wingdings" w:hint="default"/>
      </w:rPr>
    </w:lvl>
    <w:lvl w:ilvl="6" w:tplc="2C0A0001" w:tentative="1">
      <w:start w:val="1"/>
      <w:numFmt w:val="bullet"/>
      <w:lvlText w:val=""/>
      <w:lvlJc w:val="left"/>
      <w:pPr>
        <w:ind w:left="5142" w:hanging="360"/>
      </w:pPr>
      <w:rPr>
        <w:rFonts w:ascii="Symbol" w:hAnsi="Symbol" w:hint="default"/>
      </w:rPr>
    </w:lvl>
    <w:lvl w:ilvl="7" w:tplc="2C0A0003" w:tentative="1">
      <w:start w:val="1"/>
      <w:numFmt w:val="bullet"/>
      <w:lvlText w:val="o"/>
      <w:lvlJc w:val="left"/>
      <w:pPr>
        <w:ind w:left="5862" w:hanging="360"/>
      </w:pPr>
      <w:rPr>
        <w:rFonts w:ascii="Courier New" w:hAnsi="Courier New" w:cs="Courier New" w:hint="default"/>
      </w:rPr>
    </w:lvl>
    <w:lvl w:ilvl="8" w:tplc="2C0A0005" w:tentative="1">
      <w:start w:val="1"/>
      <w:numFmt w:val="bullet"/>
      <w:lvlText w:val=""/>
      <w:lvlJc w:val="left"/>
      <w:pPr>
        <w:ind w:left="6582" w:hanging="360"/>
      </w:pPr>
      <w:rPr>
        <w:rFonts w:ascii="Wingdings" w:hAnsi="Wingdings" w:hint="default"/>
      </w:rPr>
    </w:lvl>
  </w:abstractNum>
  <w:abstractNum w:abstractNumId="39" w15:restartNumberingAfterBreak="0">
    <w:nsid w:val="295273A1"/>
    <w:multiLevelType w:val="hybridMultilevel"/>
    <w:tmpl w:val="1F788AF8"/>
    <w:lvl w:ilvl="0" w:tplc="04090017">
      <w:start w:val="1"/>
      <w:numFmt w:val="lowerLetter"/>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40" w15:restartNumberingAfterBreak="0">
    <w:nsid w:val="298165CF"/>
    <w:multiLevelType w:val="multilevel"/>
    <w:tmpl w:val="298165CF"/>
    <w:lvl w:ilvl="0">
      <w:start w:val="1"/>
      <w:numFmt w:val="lowerLetter"/>
      <w:lvlText w:val="%1."/>
      <w:lvlJc w:val="left"/>
      <w:pPr>
        <w:ind w:left="839" w:hanging="360"/>
      </w:pPr>
    </w:lvl>
    <w:lvl w:ilvl="1">
      <w:start w:val="1"/>
      <w:numFmt w:val="lowerLetter"/>
      <w:lvlText w:val="%2."/>
      <w:lvlJc w:val="left"/>
      <w:pPr>
        <w:ind w:left="1559" w:hanging="360"/>
      </w:pPr>
    </w:lvl>
    <w:lvl w:ilvl="2">
      <w:start w:val="1"/>
      <w:numFmt w:val="lowerRoman"/>
      <w:lvlText w:val="%3."/>
      <w:lvlJc w:val="right"/>
      <w:pPr>
        <w:ind w:left="2279" w:hanging="180"/>
      </w:pPr>
    </w:lvl>
    <w:lvl w:ilvl="3">
      <w:start w:val="1"/>
      <w:numFmt w:val="decimal"/>
      <w:lvlText w:val="%4."/>
      <w:lvlJc w:val="left"/>
      <w:pPr>
        <w:ind w:left="2999" w:hanging="360"/>
      </w:pPr>
    </w:lvl>
    <w:lvl w:ilvl="4">
      <w:start w:val="1"/>
      <w:numFmt w:val="lowerLetter"/>
      <w:lvlText w:val="%5."/>
      <w:lvlJc w:val="left"/>
      <w:pPr>
        <w:ind w:left="3719" w:hanging="360"/>
      </w:pPr>
    </w:lvl>
    <w:lvl w:ilvl="5">
      <w:start w:val="1"/>
      <w:numFmt w:val="lowerRoman"/>
      <w:lvlText w:val="%6."/>
      <w:lvlJc w:val="right"/>
      <w:pPr>
        <w:ind w:left="4439" w:hanging="180"/>
      </w:pPr>
    </w:lvl>
    <w:lvl w:ilvl="6">
      <w:start w:val="1"/>
      <w:numFmt w:val="decimal"/>
      <w:lvlText w:val="%7."/>
      <w:lvlJc w:val="left"/>
      <w:pPr>
        <w:ind w:left="5159" w:hanging="360"/>
      </w:pPr>
    </w:lvl>
    <w:lvl w:ilvl="7">
      <w:start w:val="1"/>
      <w:numFmt w:val="lowerLetter"/>
      <w:lvlText w:val="%8."/>
      <w:lvlJc w:val="left"/>
      <w:pPr>
        <w:ind w:left="5879" w:hanging="360"/>
      </w:pPr>
    </w:lvl>
    <w:lvl w:ilvl="8">
      <w:start w:val="1"/>
      <w:numFmt w:val="lowerRoman"/>
      <w:lvlText w:val="%9."/>
      <w:lvlJc w:val="right"/>
      <w:pPr>
        <w:ind w:left="6599" w:hanging="180"/>
      </w:pPr>
    </w:lvl>
  </w:abstractNum>
  <w:abstractNum w:abstractNumId="41" w15:restartNumberingAfterBreak="0">
    <w:nsid w:val="298A4E82"/>
    <w:multiLevelType w:val="hybridMultilevel"/>
    <w:tmpl w:val="68309326"/>
    <w:lvl w:ilvl="0" w:tplc="5B0C2D66">
      <w:start w:val="1"/>
      <w:numFmt w:val="decimal"/>
      <w:lvlText w:val="%1."/>
      <w:lvlJc w:val="left"/>
      <w:pPr>
        <w:ind w:left="360" w:hanging="360"/>
      </w:pPr>
      <w:rPr>
        <w:rFonts w:hint="default"/>
        <w:b/>
        <w:bCs/>
      </w:rPr>
    </w:lvl>
    <w:lvl w:ilvl="1" w:tplc="84FA10A2">
      <w:start w:val="1"/>
      <w:numFmt w:val="lowerLetter"/>
      <w:lvlText w:val="%2."/>
      <w:lvlJc w:val="left"/>
      <w:pPr>
        <w:ind w:left="1080" w:hanging="360"/>
      </w:pPr>
      <w:rPr>
        <w:rFonts w:ascii="Times New Roman" w:hAnsi="Times New Roman" w:cs="Times New Roman" w:hint="default"/>
        <w:lang w:val="es-HN"/>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15:restartNumberingAfterBreak="0">
    <w:nsid w:val="2A291F40"/>
    <w:multiLevelType w:val="hybridMultilevel"/>
    <w:tmpl w:val="42727186"/>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43" w15:restartNumberingAfterBreak="0">
    <w:nsid w:val="2ED55B88"/>
    <w:multiLevelType w:val="hybridMultilevel"/>
    <w:tmpl w:val="57A0EA7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4" w15:restartNumberingAfterBreak="0">
    <w:nsid w:val="30A13B44"/>
    <w:multiLevelType w:val="hybridMultilevel"/>
    <w:tmpl w:val="C51675E2"/>
    <w:lvl w:ilvl="0" w:tplc="D9DED71C">
      <w:start w:val="4"/>
      <w:numFmt w:val="bullet"/>
      <w:lvlText w:val="-"/>
      <w:lvlJc w:val="left"/>
      <w:pPr>
        <w:ind w:left="360" w:hanging="360"/>
      </w:pPr>
      <w:rPr>
        <w:rFonts w:ascii="Tahoma" w:eastAsiaTheme="minorHAnsi"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5" w15:restartNumberingAfterBreak="0">
    <w:nsid w:val="31AA7945"/>
    <w:multiLevelType w:val="hybridMultilevel"/>
    <w:tmpl w:val="5ABEBE7C"/>
    <w:lvl w:ilvl="0" w:tplc="480A0011">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46" w15:restartNumberingAfterBreak="0">
    <w:nsid w:val="31C51207"/>
    <w:multiLevelType w:val="hybridMultilevel"/>
    <w:tmpl w:val="AF643A22"/>
    <w:lvl w:ilvl="0" w:tplc="52D04E24">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331612D7"/>
    <w:multiLevelType w:val="hybridMultilevel"/>
    <w:tmpl w:val="C302D13A"/>
    <w:lvl w:ilvl="0" w:tplc="480A000F">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48" w15:restartNumberingAfterBreak="0">
    <w:nsid w:val="337A10A0"/>
    <w:multiLevelType w:val="hybridMultilevel"/>
    <w:tmpl w:val="B3EABEF0"/>
    <w:lvl w:ilvl="0" w:tplc="48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9" w15:restartNumberingAfterBreak="0">
    <w:nsid w:val="33CF4B48"/>
    <w:multiLevelType w:val="hybridMultilevel"/>
    <w:tmpl w:val="9844E0D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0" w15:restartNumberingAfterBreak="0">
    <w:nsid w:val="34AD07E3"/>
    <w:multiLevelType w:val="hybridMultilevel"/>
    <w:tmpl w:val="8DC6810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1" w15:restartNumberingAfterBreak="0">
    <w:nsid w:val="34D765D0"/>
    <w:multiLevelType w:val="hybridMultilevel"/>
    <w:tmpl w:val="54248344"/>
    <w:lvl w:ilvl="0" w:tplc="48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2" w15:restartNumberingAfterBreak="0">
    <w:nsid w:val="35D33122"/>
    <w:multiLevelType w:val="hybridMultilevel"/>
    <w:tmpl w:val="EEC8220C"/>
    <w:lvl w:ilvl="0" w:tplc="48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67433A7"/>
    <w:multiLevelType w:val="hybridMultilevel"/>
    <w:tmpl w:val="8E8401D8"/>
    <w:lvl w:ilvl="0" w:tplc="52D04E24">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36E81477"/>
    <w:multiLevelType w:val="hybridMultilevel"/>
    <w:tmpl w:val="34DC6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87E65C5"/>
    <w:multiLevelType w:val="hybridMultilevel"/>
    <w:tmpl w:val="03F64D50"/>
    <w:lvl w:ilvl="0" w:tplc="04090001">
      <w:start w:val="1"/>
      <w:numFmt w:val="bullet"/>
      <w:lvlText w:val=""/>
      <w:lvlJc w:val="left"/>
      <w:pPr>
        <w:ind w:left="360" w:hanging="360"/>
      </w:pPr>
      <w:rPr>
        <w:rFonts w:ascii="Symbol" w:hAnsi="Symbol" w:hint="default"/>
      </w:rPr>
    </w:lvl>
    <w:lvl w:ilvl="1" w:tplc="5B089458">
      <w:start w:val="1"/>
      <w:numFmt w:val="lowerLetter"/>
      <w:lvlText w:val="%2)"/>
      <w:lvlJc w:val="left"/>
      <w:pPr>
        <w:ind w:left="1425" w:hanging="705"/>
      </w:pPr>
      <w:rPr>
        <w:rFonts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6" w15:restartNumberingAfterBreak="0">
    <w:nsid w:val="38CA765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15:restartNumberingAfterBreak="0">
    <w:nsid w:val="39803568"/>
    <w:multiLevelType w:val="hybridMultilevel"/>
    <w:tmpl w:val="37E4B74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8" w15:restartNumberingAfterBreak="0">
    <w:nsid w:val="3AE5288F"/>
    <w:multiLevelType w:val="hybridMultilevel"/>
    <w:tmpl w:val="3BC2D09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9" w15:restartNumberingAfterBreak="0">
    <w:nsid w:val="3B624C98"/>
    <w:multiLevelType w:val="hybridMultilevel"/>
    <w:tmpl w:val="5BD45FE0"/>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0" w15:restartNumberingAfterBreak="0">
    <w:nsid w:val="3DC56143"/>
    <w:multiLevelType w:val="hybridMultilevel"/>
    <w:tmpl w:val="593A79BC"/>
    <w:lvl w:ilvl="0" w:tplc="A454A932">
      <w:start w:val="1"/>
      <w:numFmt w:val="lowerLetter"/>
      <w:lvlText w:val="%1)"/>
      <w:lvlJc w:val="left"/>
      <w:pPr>
        <w:ind w:left="720" w:hanging="360"/>
      </w:pPr>
      <w:rPr>
        <w:rFonts w:asciiTheme="minorHAnsi" w:hAnsiTheme="minorHAnsi" w:cstheme="minorBidi" w:hint="default"/>
        <w:color w:val="auto"/>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1" w15:restartNumberingAfterBreak="0">
    <w:nsid w:val="3E103AED"/>
    <w:multiLevelType w:val="hybridMultilevel"/>
    <w:tmpl w:val="1DF83B9C"/>
    <w:lvl w:ilvl="0" w:tplc="480A000F">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62" w15:restartNumberingAfterBreak="0">
    <w:nsid w:val="3FE14EB3"/>
    <w:multiLevelType w:val="hybridMultilevel"/>
    <w:tmpl w:val="E19E213E"/>
    <w:lvl w:ilvl="0" w:tplc="480A0017">
      <w:start w:val="1"/>
      <w:numFmt w:val="lowerLetter"/>
      <w:lvlText w:val="%1)"/>
      <w:lvlJc w:val="left"/>
      <w:pPr>
        <w:ind w:left="360" w:hanging="360"/>
      </w:pPr>
    </w:lvl>
    <w:lvl w:ilvl="1" w:tplc="480A0019">
      <w:start w:val="1"/>
      <w:numFmt w:val="lowerLetter"/>
      <w:lvlText w:val="%2."/>
      <w:lvlJc w:val="left"/>
      <w:pPr>
        <w:ind w:left="1080" w:hanging="360"/>
      </w:pPr>
    </w:lvl>
    <w:lvl w:ilvl="2" w:tplc="480A001B">
      <w:start w:val="1"/>
      <w:numFmt w:val="lowerRoman"/>
      <w:lvlText w:val="%3."/>
      <w:lvlJc w:val="right"/>
      <w:pPr>
        <w:ind w:left="1800" w:hanging="180"/>
      </w:pPr>
    </w:lvl>
    <w:lvl w:ilvl="3" w:tplc="480A000F">
      <w:start w:val="1"/>
      <w:numFmt w:val="decimal"/>
      <w:lvlText w:val="%4."/>
      <w:lvlJc w:val="left"/>
      <w:pPr>
        <w:ind w:left="2520" w:hanging="360"/>
      </w:pPr>
    </w:lvl>
    <w:lvl w:ilvl="4" w:tplc="480A0019">
      <w:start w:val="1"/>
      <w:numFmt w:val="lowerLetter"/>
      <w:lvlText w:val="%5."/>
      <w:lvlJc w:val="left"/>
      <w:pPr>
        <w:ind w:left="3240" w:hanging="360"/>
      </w:pPr>
    </w:lvl>
    <w:lvl w:ilvl="5" w:tplc="480A001B">
      <w:start w:val="1"/>
      <w:numFmt w:val="lowerRoman"/>
      <w:lvlText w:val="%6."/>
      <w:lvlJc w:val="right"/>
      <w:pPr>
        <w:ind w:left="3960" w:hanging="180"/>
      </w:pPr>
    </w:lvl>
    <w:lvl w:ilvl="6" w:tplc="480A000F">
      <w:start w:val="1"/>
      <w:numFmt w:val="decimal"/>
      <w:lvlText w:val="%7."/>
      <w:lvlJc w:val="left"/>
      <w:pPr>
        <w:ind w:left="4680" w:hanging="360"/>
      </w:pPr>
    </w:lvl>
    <w:lvl w:ilvl="7" w:tplc="480A0019">
      <w:start w:val="1"/>
      <w:numFmt w:val="lowerLetter"/>
      <w:lvlText w:val="%8."/>
      <w:lvlJc w:val="left"/>
      <w:pPr>
        <w:ind w:left="5400" w:hanging="360"/>
      </w:pPr>
    </w:lvl>
    <w:lvl w:ilvl="8" w:tplc="480A001B">
      <w:start w:val="1"/>
      <w:numFmt w:val="lowerRoman"/>
      <w:lvlText w:val="%9."/>
      <w:lvlJc w:val="right"/>
      <w:pPr>
        <w:ind w:left="6120" w:hanging="180"/>
      </w:pPr>
    </w:lvl>
  </w:abstractNum>
  <w:abstractNum w:abstractNumId="63" w15:restartNumberingAfterBreak="0">
    <w:nsid w:val="411C1593"/>
    <w:multiLevelType w:val="hybridMultilevel"/>
    <w:tmpl w:val="D19A9BDE"/>
    <w:lvl w:ilvl="0" w:tplc="48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4" w15:restartNumberingAfterBreak="0">
    <w:nsid w:val="411F022D"/>
    <w:multiLevelType w:val="hybridMultilevel"/>
    <w:tmpl w:val="39B4254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443267E6"/>
    <w:multiLevelType w:val="hybridMultilevel"/>
    <w:tmpl w:val="808CF158"/>
    <w:lvl w:ilvl="0" w:tplc="480A0001">
      <w:start w:val="1"/>
      <w:numFmt w:val="bullet"/>
      <w:lvlText w:val=""/>
      <w:lvlJc w:val="left"/>
      <w:pPr>
        <w:ind w:left="1428" w:hanging="360"/>
      </w:pPr>
      <w:rPr>
        <w:rFonts w:ascii="Symbol" w:hAnsi="Symbol" w:hint="default"/>
      </w:rPr>
    </w:lvl>
    <w:lvl w:ilvl="1" w:tplc="480A0003" w:tentative="1">
      <w:start w:val="1"/>
      <w:numFmt w:val="bullet"/>
      <w:lvlText w:val="o"/>
      <w:lvlJc w:val="left"/>
      <w:pPr>
        <w:ind w:left="2148" w:hanging="360"/>
      </w:pPr>
      <w:rPr>
        <w:rFonts w:ascii="Courier New" w:hAnsi="Courier New" w:cs="Courier New" w:hint="default"/>
      </w:rPr>
    </w:lvl>
    <w:lvl w:ilvl="2" w:tplc="480A0005" w:tentative="1">
      <w:start w:val="1"/>
      <w:numFmt w:val="bullet"/>
      <w:lvlText w:val=""/>
      <w:lvlJc w:val="left"/>
      <w:pPr>
        <w:ind w:left="2868" w:hanging="360"/>
      </w:pPr>
      <w:rPr>
        <w:rFonts w:ascii="Wingdings" w:hAnsi="Wingdings" w:hint="default"/>
      </w:rPr>
    </w:lvl>
    <w:lvl w:ilvl="3" w:tplc="480A0001" w:tentative="1">
      <w:start w:val="1"/>
      <w:numFmt w:val="bullet"/>
      <w:lvlText w:val=""/>
      <w:lvlJc w:val="left"/>
      <w:pPr>
        <w:ind w:left="3588" w:hanging="360"/>
      </w:pPr>
      <w:rPr>
        <w:rFonts w:ascii="Symbol" w:hAnsi="Symbol" w:hint="default"/>
      </w:rPr>
    </w:lvl>
    <w:lvl w:ilvl="4" w:tplc="480A0003" w:tentative="1">
      <w:start w:val="1"/>
      <w:numFmt w:val="bullet"/>
      <w:lvlText w:val="o"/>
      <w:lvlJc w:val="left"/>
      <w:pPr>
        <w:ind w:left="4308" w:hanging="360"/>
      </w:pPr>
      <w:rPr>
        <w:rFonts w:ascii="Courier New" w:hAnsi="Courier New" w:cs="Courier New" w:hint="default"/>
      </w:rPr>
    </w:lvl>
    <w:lvl w:ilvl="5" w:tplc="480A0005" w:tentative="1">
      <w:start w:val="1"/>
      <w:numFmt w:val="bullet"/>
      <w:lvlText w:val=""/>
      <w:lvlJc w:val="left"/>
      <w:pPr>
        <w:ind w:left="5028" w:hanging="360"/>
      </w:pPr>
      <w:rPr>
        <w:rFonts w:ascii="Wingdings" w:hAnsi="Wingdings" w:hint="default"/>
      </w:rPr>
    </w:lvl>
    <w:lvl w:ilvl="6" w:tplc="480A0001" w:tentative="1">
      <w:start w:val="1"/>
      <w:numFmt w:val="bullet"/>
      <w:lvlText w:val=""/>
      <w:lvlJc w:val="left"/>
      <w:pPr>
        <w:ind w:left="5748" w:hanging="360"/>
      </w:pPr>
      <w:rPr>
        <w:rFonts w:ascii="Symbol" w:hAnsi="Symbol" w:hint="default"/>
      </w:rPr>
    </w:lvl>
    <w:lvl w:ilvl="7" w:tplc="480A0003" w:tentative="1">
      <w:start w:val="1"/>
      <w:numFmt w:val="bullet"/>
      <w:lvlText w:val="o"/>
      <w:lvlJc w:val="left"/>
      <w:pPr>
        <w:ind w:left="6468" w:hanging="360"/>
      </w:pPr>
      <w:rPr>
        <w:rFonts w:ascii="Courier New" w:hAnsi="Courier New" w:cs="Courier New" w:hint="default"/>
      </w:rPr>
    </w:lvl>
    <w:lvl w:ilvl="8" w:tplc="480A0005" w:tentative="1">
      <w:start w:val="1"/>
      <w:numFmt w:val="bullet"/>
      <w:lvlText w:val=""/>
      <w:lvlJc w:val="left"/>
      <w:pPr>
        <w:ind w:left="7188" w:hanging="360"/>
      </w:pPr>
      <w:rPr>
        <w:rFonts w:ascii="Wingdings" w:hAnsi="Wingdings" w:hint="default"/>
      </w:rPr>
    </w:lvl>
  </w:abstractNum>
  <w:abstractNum w:abstractNumId="66" w15:restartNumberingAfterBreak="0">
    <w:nsid w:val="4452516B"/>
    <w:multiLevelType w:val="hybridMultilevel"/>
    <w:tmpl w:val="BBD8E346"/>
    <w:lvl w:ilvl="0" w:tplc="CE98561E">
      <w:start w:val="1"/>
      <w:numFmt w:val="bullet"/>
      <w:lvlText w:val="-"/>
      <w:lvlJc w:val="left"/>
      <w:pPr>
        <w:ind w:left="720" w:hanging="360"/>
      </w:pPr>
      <w:rPr>
        <w:rFonts w:ascii="Arial" w:eastAsia="Times New Roman" w:hAnsi="Arial" w:hint="default"/>
        <w:w w:val="99"/>
        <w:sz w:val="20"/>
      </w:rPr>
    </w:lvl>
    <w:lvl w:ilvl="1" w:tplc="480A0003" w:tentative="1">
      <w:start w:val="1"/>
      <w:numFmt w:val="bullet"/>
      <w:lvlText w:val="o"/>
      <w:lvlJc w:val="left"/>
      <w:pPr>
        <w:ind w:left="1440" w:hanging="360"/>
      </w:pPr>
      <w:rPr>
        <w:rFonts w:ascii="Courier New" w:hAnsi="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7" w15:restartNumberingAfterBreak="0">
    <w:nsid w:val="4469456A"/>
    <w:multiLevelType w:val="hybridMultilevel"/>
    <w:tmpl w:val="7C9E610E"/>
    <w:lvl w:ilvl="0" w:tplc="CFB614F8">
      <w:start w:val="1"/>
      <w:numFmt w:val="bullet"/>
      <w:lvlText w:val="-"/>
      <w:lvlJc w:val="left"/>
      <w:pPr>
        <w:ind w:left="720" w:hanging="360"/>
      </w:pPr>
      <w:rPr>
        <w:rFonts w:ascii="Calibri" w:hAnsi="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8" w15:restartNumberingAfterBreak="0">
    <w:nsid w:val="44D904D0"/>
    <w:multiLevelType w:val="hybridMultilevel"/>
    <w:tmpl w:val="E910871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9" w15:restartNumberingAfterBreak="0">
    <w:nsid w:val="44FA6D2A"/>
    <w:multiLevelType w:val="hybridMultilevel"/>
    <w:tmpl w:val="23C00728"/>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0" w15:restartNumberingAfterBreak="0">
    <w:nsid w:val="44FFF29D"/>
    <w:multiLevelType w:val="hybridMultilevel"/>
    <w:tmpl w:val="4AD41146"/>
    <w:lvl w:ilvl="0" w:tplc="F5B02832">
      <w:start w:val="1"/>
      <w:numFmt w:val="decimal"/>
      <w:lvlText w:val="%1."/>
      <w:lvlJc w:val="left"/>
      <w:pPr>
        <w:ind w:left="786" w:hanging="360"/>
      </w:pPr>
    </w:lvl>
    <w:lvl w:ilvl="1" w:tplc="60DEAB0C">
      <w:start w:val="1"/>
      <w:numFmt w:val="lowerLetter"/>
      <w:lvlText w:val="%2."/>
      <w:lvlJc w:val="left"/>
      <w:pPr>
        <w:ind w:left="1506" w:hanging="360"/>
      </w:pPr>
    </w:lvl>
    <w:lvl w:ilvl="2" w:tplc="82C41D7A">
      <w:start w:val="1"/>
      <w:numFmt w:val="lowerRoman"/>
      <w:lvlText w:val="%3."/>
      <w:lvlJc w:val="right"/>
      <w:pPr>
        <w:ind w:left="2226" w:hanging="180"/>
      </w:pPr>
    </w:lvl>
    <w:lvl w:ilvl="3" w:tplc="5A7A5B68">
      <w:start w:val="1"/>
      <w:numFmt w:val="decimal"/>
      <w:lvlText w:val="%4."/>
      <w:lvlJc w:val="left"/>
      <w:pPr>
        <w:ind w:left="2946" w:hanging="360"/>
      </w:pPr>
    </w:lvl>
    <w:lvl w:ilvl="4" w:tplc="1B4C97B4">
      <w:start w:val="1"/>
      <w:numFmt w:val="lowerLetter"/>
      <w:lvlText w:val="%5."/>
      <w:lvlJc w:val="left"/>
      <w:pPr>
        <w:ind w:left="3666" w:hanging="360"/>
      </w:pPr>
    </w:lvl>
    <w:lvl w:ilvl="5" w:tplc="420E9F92">
      <w:start w:val="1"/>
      <w:numFmt w:val="lowerRoman"/>
      <w:lvlText w:val="%6."/>
      <w:lvlJc w:val="right"/>
      <w:pPr>
        <w:ind w:left="4386" w:hanging="180"/>
      </w:pPr>
    </w:lvl>
    <w:lvl w:ilvl="6" w:tplc="31AAB1B0">
      <w:start w:val="1"/>
      <w:numFmt w:val="decimal"/>
      <w:lvlText w:val="%7."/>
      <w:lvlJc w:val="left"/>
      <w:pPr>
        <w:ind w:left="5106" w:hanging="360"/>
      </w:pPr>
    </w:lvl>
    <w:lvl w:ilvl="7" w:tplc="5DB2E900">
      <w:start w:val="1"/>
      <w:numFmt w:val="lowerLetter"/>
      <w:lvlText w:val="%8."/>
      <w:lvlJc w:val="left"/>
      <w:pPr>
        <w:ind w:left="5826" w:hanging="360"/>
      </w:pPr>
    </w:lvl>
    <w:lvl w:ilvl="8" w:tplc="4358F9CA">
      <w:start w:val="1"/>
      <w:numFmt w:val="lowerRoman"/>
      <w:lvlText w:val="%9."/>
      <w:lvlJc w:val="right"/>
      <w:pPr>
        <w:ind w:left="6546" w:hanging="180"/>
      </w:pPr>
    </w:lvl>
  </w:abstractNum>
  <w:abstractNum w:abstractNumId="71" w15:restartNumberingAfterBreak="0">
    <w:nsid w:val="458721C5"/>
    <w:multiLevelType w:val="hybridMultilevel"/>
    <w:tmpl w:val="82465DD8"/>
    <w:lvl w:ilvl="0" w:tplc="52D04E24">
      <w:numFmt w:val="bullet"/>
      <w:lvlText w:val="-"/>
      <w:lvlJc w:val="left"/>
      <w:pPr>
        <w:ind w:left="720" w:hanging="360"/>
      </w:pPr>
      <w:rPr>
        <w:rFonts w:ascii="Calibri" w:eastAsiaTheme="minorHAnsi" w:hAnsi="Calibri" w:cs="Calibri"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2" w15:restartNumberingAfterBreak="0">
    <w:nsid w:val="46783DF4"/>
    <w:multiLevelType w:val="hybridMultilevel"/>
    <w:tmpl w:val="E01ACC72"/>
    <w:lvl w:ilvl="0" w:tplc="2C0A0019">
      <w:start w:val="1"/>
      <w:numFmt w:val="lowerLetter"/>
      <w:lvlText w:val="%1."/>
      <w:lvlJc w:val="left"/>
      <w:pPr>
        <w:ind w:left="360" w:hanging="360"/>
      </w:pPr>
    </w:lvl>
    <w:lvl w:ilvl="1" w:tplc="2C0A0019">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73" w15:restartNumberingAfterBreak="0">
    <w:nsid w:val="46E1691A"/>
    <w:multiLevelType w:val="hybridMultilevel"/>
    <w:tmpl w:val="F4C48ED4"/>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4" w15:restartNumberingAfterBreak="0">
    <w:nsid w:val="49A049E1"/>
    <w:multiLevelType w:val="hybridMultilevel"/>
    <w:tmpl w:val="9956E844"/>
    <w:lvl w:ilvl="0" w:tplc="48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5" w15:restartNumberingAfterBreak="0">
    <w:nsid w:val="4B123AF0"/>
    <w:multiLevelType w:val="hybridMultilevel"/>
    <w:tmpl w:val="E19E213E"/>
    <w:lvl w:ilvl="0" w:tplc="480A0017">
      <w:start w:val="1"/>
      <w:numFmt w:val="lowerLetter"/>
      <w:lvlText w:val="%1)"/>
      <w:lvlJc w:val="left"/>
      <w:pPr>
        <w:ind w:left="360" w:hanging="360"/>
      </w:pPr>
    </w:lvl>
    <w:lvl w:ilvl="1" w:tplc="480A0019">
      <w:start w:val="1"/>
      <w:numFmt w:val="lowerLetter"/>
      <w:lvlText w:val="%2."/>
      <w:lvlJc w:val="left"/>
      <w:pPr>
        <w:ind w:left="1080" w:hanging="360"/>
      </w:pPr>
    </w:lvl>
    <w:lvl w:ilvl="2" w:tplc="480A001B">
      <w:start w:val="1"/>
      <w:numFmt w:val="lowerRoman"/>
      <w:lvlText w:val="%3."/>
      <w:lvlJc w:val="right"/>
      <w:pPr>
        <w:ind w:left="1800" w:hanging="180"/>
      </w:pPr>
    </w:lvl>
    <w:lvl w:ilvl="3" w:tplc="480A000F">
      <w:start w:val="1"/>
      <w:numFmt w:val="decimal"/>
      <w:lvlText w:val="%4."/>
      <w:lvlJc w:val="left"/>
      <w:pPr>
        <w:ind w:left="2520" w:hanging="360"/>
      </w:pPr>
    </w:lvl>
    <w:lvl w:ilvl="4" w:tplc="480A0019">
      <w:start w:val="1"/>
      <w:numFmt w:val="lowerLetter"/>
      <w:lvlText w:val="%5."/>
      <w:lvlJc w:val="left"/>
      <w:pPr>
        <w:ind w:left="3240" w:hanging="360"/>
      </w:pPr>
    </w:lvl>
    <w:lvl w:ilvl="5" w:tplc="480A001B">
      <w:start w:val="1"/>
      <w:numFmt w:val="lowerRoman"/>
      <w:lvlText w:val="%6."/>
      <w:lvlJc w:val="right"/>
      <w:pPr>
        <w:ind w:left="3960" w:hanging="180"/>
      </w:pPr>
    </w:lvl>
    <w:lvl w:ilvl="6" w:tplc="480A000F">
      <w:start w:val="1"/>
      <w:numFmt w:val="decimal"/>
      <w:lvlText w:val="%7."/>
      <w:lvlJc w:val="left"/>
      <w:pPr>
        <w:ind w:left="4680" w:hanging="360"/>
      </w:pPr>
    </w:lvl>
    <w:lvl w:ilvl="7" w:tplc="480A0019">
      <w:start w:val="1"/>
      <w:numFmt w:val="lowerLetter"/>
      <w:lvlText w:val="%8."/>
      <w:lvlJc w:val="left"/>
      <w:pPr>
        <w:ind w:left="5400" w:hanging="360"/>
      </w:pPr>
    </w:lvl>
    <w:lvl w:ilvl="8" w:tplc="480A001B">
      <w:start w:val="1"/>
      <w:numFmt w:val="lowerRoman"/>
      <w:lvlText w:val="%9."/>
      <w:lvlJc w:val="right"/>
      <w:pPr>
        <w:ind w:left="6120" w:hanging="180"/>
      </w:pPr>
    </w:lvl>
  </w:abstractNum>
  <w:abstractNum w:abstractNumId="76" w15:restartNumberingAfterBreak="0">
    <w:nsid w:val="4C952C81"/>
    <w:multiLevelType w:val="hybridMultilevel"/>
    <w:tmpl w:val="0C4401C0"/>
    <w:lvl w:ilvl="0" w:tplc="04090019">
      <w:start w:val="1"/>
      <w:numFmt w:val="lowerLetter"/>
      <w:lvlText w:val="%1."/>
      <w:lvlJc w:val="left"/>
      <w:pPr>
        <w:ind w:left="1080" w:hanging="360"/>
      </w:pPr>
    </w:lvl>
    <w:lvl w:ilvl="1" w:tplc="480A0019">
      <w:start w:val="1"/>
      <w:numFmt w:val="lowerLetter"/>
      <w:lvlText w:val="%2."/>
      <w:lvlJc w:val="left"/>
      <w:pPr>
        <w:ind w:left="1800" w:hanging="360"/>
      </w:pPr>
    </w:lvl>
    <w:lvl w:ilvl="2" w:tplc="480A001B">
      <w:start w:val="1"/>
      <w:numFmt w:val="lowerRoman"/>
      <w:lvlText w:val="%3."/>
      <w:lvlJc w:val="right"/>
      <w:pPr>
        <w:ind w:left="2520" w:hanging="180"/>
      </w:pPr>
    </w:lvl>
    <w:lvl w:ilvl="3" w:tplc="480A000F">
      <w:start w:val="1"/>
      <w:numFmt w:val="decimal"/>
      <w:lvlText w:val="%4."/>
      <w:lvlJc w:val="left"/>
      <w:pPr>
        <w:ind w:left="3240" w:hanging="360"/>
      </w:pPr>
    </w:lvl>
    <w:lvl w:ilvl="4" w:tplc="480A0019">
      <w:start w:val="1"/>
      <w:numFmt w:val="lowerLetter"/>
      <w:lvlText w:val="%5."/>
      <w:lvlJc w:val="left"/>
      <w:pPr>
        <w:ind w:left="3960" w:hanging="360"/>
      </w:pPr>
    </w:lvl>
    <w:lvl w:ilvl="5" w:tplc="480A001B">
      <w:start w:val="1"/>
      <w:numFmt w:val="lowerRoman"/>
      <w:lvlText w:val="%6."/>
      <w:lvlJc w:val="right"/>
      <w:pPr>
        <w:ind w:left="4680" w:hanging="180"/>
      </w:pPr>
    </w:lvl>
    <w:lvl w:ilvl="6" w:tplc="480A000F">
      <w:start w:val="1"/>
      <w:numFmt w:val="decimal"/>
      <w:lvlText w:val="%7."/>
      <w:lvlJc w:val="left"/>
      <w:pPr>
        <w:ind w:left="5400" w:hanging="360"/>
      </w:pPr>
    </w:lvl>
    <w:lvl w:ilvl="7" w:tplc="480A0019">
      <w:start w:val="1"/>
      <w:numFmt w:val="lowerLetter"/>
      <w:lvlText w:val="%8."/>
      <w:lvlJc w:val="left"/>
      <w:pPr>
        <w:ind w:left="6120" w:hanging="360"/>
      </w:pPr>
    </w:lvl>
    <w:lvl w:ilvl="8" w:tplc="480A001B">
      <w:start w:val="1"/>
      <w:numFmt w:val="lowerRoman"/>
      <w:lvlText w:val="%9."/>
      <w:lvlJc w:val="right"/>
      <w:pPr>
        <w:ind w:left="6840" w:hanging="180"/>
      </w:pPr>
    </w:lvl>
  </w:abstractNum>
  <w:abstractNum w:abstractNumId="77" w15:restartNumberingAfterBreak="0">
    <w:nsid w:val="4D5E4D6D"/>
    <w:multiLevelType w:val="multilevel"/>
    <w:tmpl w:val="62A0F1F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bullet"/>
      <w:lvlText w:val=""/>
      <w:lvlJc w:val="left"/>
      <w:pPr>
        <w:ind w:left="72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4E1D72D3"/>
    <w:multiLevelType w:val="hybridMultilevel"/>
    <w:tmpl w:val="0CE4DF58"/>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79" w15:restartNumberingAfterBreak="0">
    <w:nsid w:val="4E3A4552"/>
    <w:multiLevelType w:val="hybridMultilevel"/>
    <w:tmpl w:val="3AE60D4A"/>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80" w15:restartNumberingAfterBreak="0">
    <w:nsid w:val="506C0D76"/>
    <w:multiLevelType w:val="hybridMultilevel"/>
    <w:tmpl w:val="3C0288B6"/>
    <w:lvl w:ilvl="0" w:tplc="480A0003">
      <w:start w:val="1"/>
      <w:numFmt w:val="bullet"/>
      <w:lvlText w:val="o"/>
      <w:lvlJc w:val="left"/>
      <w:pPr>
        <w:ind w:left="900" w:hanging="360"/>
      </w:pPr>
      <w:rPr>
        <w:rFonts w:ascii="Courier New" w:hAnsi="Courier New" w:hint="default"/>
      </w:rPr>
    </w:lvl>
    <w:lvl w:ilvl="1" w:tplc="480A0003" w:tentative="1">
      <w:start w:val="1"/>
      <w:numFmt w:val="bullet"/>
      <w:lvlText w:val="o"/>
      <w:lvlJc w:val="left"/>
      <w:pPr>
        <w:ind w:left="1620" w:hanging="360"/>
      </w:pPr>
      <w:rPr>
        <w:rFonts w:ascii="Courier New" w:hAnsi="Courier New" w:hint="default"/>
      </w:rPr>
    </w:lvl>
    <w:lvl w:ilvl="2" w:tplc="480A0005" w:tentative="1">
      <w:start w:val="1"/>
      <w:numFmt w:val="bullet"/>
      <w:lvlText w:val=""/>
      <w:lvlJc w:val="left"/>
      <w:pPr>
        <w:ind w:left="2340" w:hanging="360"/>
      </w:pPr>
      <w:rPr>
        <w:rFonts w:ascii="Wingdings" w:hAnsi="Wingdings" w:hint="default"/>
      </w:rPr>
    </w:lvl>
    <w:lvl w:ilvl="3" w:tplc="480A0001" w:tentative="1">
      <w:start w:val="1"/>
      <w:numFmt w:val="bullet"/>
      <w:lvlText w:val=""/>
      <w:lvlJc w:val="left"/>
      <w:pPr>
        <w:ind w:left="3060" w:hanging="360"/>
      </w:pPr>
      <w:rPr>
        <w:rFonts w:ascii="Symbol" w:hAnsi="Symbol" w:hint="default"/>
      </w:rPr>
    </w:lvl>
    <w:lvl w:ilvl="4" w:tplc="480A0003" w:tentative="1">
      <w:start w:val="1"/>
      <w:numFmt w:val="bullet"/>
      <w:lvlText w:val="o"/>
      <w:lvlJc w:val="left"/>
      <w:pPr>
        <w:ind w:left="3780" w:hanging="360"/>
      </w:pPr>
      <w:rPr>
        <w:rFonts w:ascii="Courier New" w:hAnsi="Courier New" w:hint="default"/>
      </w:rPr>
    </w:lvl>
    <w:lvl w:ilvl="5" w:tplc="480A0005" w:tentative="1">
      <w:start w:val="1"/>
      <w:numFmt w:val="bullet"/>
      <w:lvlText w:val=""/>
      <w:lvlJc w:val="left"/>
      <w:pPr>
        <w:ind w:left="4500" w:hanging="360"/>
      </w:pPr>
      <w:rPr>
        <w:rFonts w:ascii="Wingdings" w:hAnsi="Wingdings" w:hint="default"/>
      </w:rPr>
    </w:lvl>
    <w:lvl w:ilvl="6" w:tplc="480A0001" w:tentative="1">
      <w:start w:val="1"/>
      <w:numFmt w:val="bullet"/>
      <w:lvlText w:val=""/>
      <w:lvlJc w:val="left"/>
      <w:pPr>
        <w:ind w:left="5220" w:hanging="360"/>
      </w:pPr>
      <w:rPr>
        <w:rFonts w:ascii="Symbol" w:hAnsi="Symbol" w:hint="default"/>
      </w:rPr>
    </w:lvl>
    <w:lvl w:ilvl="7" w:tplc="480A0003" w:tentative="1">
      <w:start w:val="1"/>
      <w:numFmt w:val="bullet"/>
      <w:lvlText w:val="o"/>
      <w:lvlJc w:val="left"/>
      <w:pPr>
        <w:ind w:left="5940" w:hanging="360"/>
      </w:pPr>
      <w:rPr>
        <w:rFonts w:ascii="Courier New" w:hAnsi="Courier New" w:hint="default"/>
      </w:rPr>
    </w:lvl>
    <w:lvl w:ilvl="8" w:tplc="480A0005" w:tentative="1">
      <w:start w:val="1"/>
      <w:numFmt w:val="bullet"/>
      <w:lvlText w:val=""/>
      <w:lvlJc w:val="left"/>
      <w:pPr>
        <w:ind w:left="6660" w:hanging="360"/>
      </w:pPr>
      <w:rPr>
        <w:rFonts w:ascii="Wingdings" w:hAnsi="Wingdings" w:hint="default"/>
      </w:rPr>
    </w:lvl>
  </w:abstractNum>
  <w:abstractNum w:abstractNumId="81" w15:restartNumberingAfterBreak="0">
    <w:nsid w:val="511F694E"/>
    <w:multiLevelType w:val="hybridMultilevel"/>
    <w:tmpl w:val="28C2F2C4"/>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82" w15:restartNumberingAfterBreak="0">
    <w:nsid w:val="5184002B"/>
    <w:multiLevelType w:val="multilevel"/>
    <w:tmpl w:val="BCCEC652"/>
    <w:lvl w:ilvl="0">
      <w:start w:val="1"/>
      <w:numFmt w:val="decimal"/>
      <w:lvlText w:val="%1."/>
      <w:lvlJc w:val="left"/>
      <w:pPr>
        <w:ind w:left="1571" w:hanging="720"/>
      </w:pPr>
      <w:rPr>
        <w:rFonts w:ascii="Arial" w:hAnsi="Arial" w:cs="Arial" w:hint="default"/>
        <w:b/>
        <w:bCs/>
        <w:color w:val="767171" w:themeColor="background2" w:themeShade="80"/>
        <w:sz w:val="22"/>
        <w:szCs w:val="22"/>
      </w:rPr>
    </w:lvl>
    <w:lvl w:ilvl="1">
      <w:start w:val="4"/>
      <w:numFmt w:val="decimal"/>
      <w:isLgl/>
      <w:lvlText w:val="%1.%2"/>
      <w:lvlJc w:val="left"/>
      <w:pPr>
        <w:ind w:left="792" w:hanging="360"/>
      </w:pPr>
      <w:rPr>
        <w:rFonts w:hint="default"/>
      </w:rPr>
    </w:lvl>
    <w:lvl w:ilvl="2">
      <w:start w:val="1"/>
      <w:numFmt w:val="decimal"/>
      <w:isLgl/>
      <w:lvlText w:val="%1.%2.%3"/>
      <w:lvlJc w:val="left"/>
      <w:pPr>
        <w:ind w:left="1224"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728"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304" w:hanging="1440"/>
      </w:pPr>
      <w:rPr>
        <w:rFonts w:hint="default"/>
      </w:rPr>
    </w:lvl>
    <w:lvl w:ilvl="8">
      <w:start w:val="1"/>
      <w:numFmt w:val="decimal"/>
      <w:isLgl/>
      <w:lvlText w:val="%1.%2.%3.%4.%5.%6.%7.%8.%9"/>
      <w:lvlJc w:val="left"/>
      <w:pPr>
        <w:ind w:left="2376" w:hanging="1440"/>
      </w:pPr>
      <w:rPr>
        <w:rFonts w:hint="default"/>
      </w:rPr>
    </w:lvl>
  </w:abstractNum>
  <w:abstractNum w:abstractNumId="83" w15:restartNumberingAfterBreak="0">
    <w:nsid w:val="55E627AE"/>
    <w:multiLevelType w:val="hybridMultilevel"/>
    <w:tmpl w:val="5DEC7AEA"/>
    <w:lvl w:ilvl="0" w:tplc="CE98561E">
      <w:start w:val="1"/>
      <w:numFmt w:val="bullet"/>
      <w:lvlText w:val="-"/>
      <w:lvlJc w:val="left"/>
      <w:pPr>
        <w:ind w:left="187" w:hanging="123"/>
      </w:pPr>
      <w:rPr>
        <w:rFonts w:ascii="Arial" w:eastAsia="Arial" w:hAnsi="Arial" w:hint="default"/>
        <w:w w:val="99"/>
        <w:sz w:val="20"/>
        <w:szCs w:val="20"/>
      </w:rPr>
    </w:lvl>
    <w:lvl w:ilvl="1" w:tplc="480A0003">
      <w:start w:val="1"/>
      <w:numFmt w:val="bullet"/>
      <w:lvlText w:val="o"/>
      <w:lvlJc w:val="left"/>
      <w:pPr>
        <w:ind w:left="550" w:hanging="123"/>
      </w:pPr>
      <w:rPr>
        <w:rFonts w:ascii="Courier New" w:hAnsi="Courier New" w:cs="Courier New" w:hint="default"/>
      </w:rPr>
    </w:lvl>
    <w:lvl w:ilvl="2" w:tplc="64884B4A">
      <w:start w:val="1"/>
      <w:numFmt w:val="bullet"/>
      <w:lvlText w:val="•"/>
      <w:lvlJc w:val="left"/>
      <w:pPr>
        <w:ind w:left="920" w:hanging="123"/>
      </w:pPr>
      <w:rPr>
        <w:rFonts w:hint="default"/>
      </w:rPr>
    </w:lvl>
    <w:lvl w:ilvl="3" w:tplc="DDE2CBE4">
      <w:start w:val="1"/>
      <w:numFmt w:val="bullet"/>
      <w:lvlText w:val="•"/>
      <w:lvlJc w:val="left"/>
      <w:pPr>
        <w:ind w:left="1290" w:hanging="123"/>
      </w:pPr>
      <w:rPr>
        <w:rFonts w:hint="default"/>
      </w:rPr>
    </w:lvl>
    <w:lvl w:ilvl="4" w:tplc="6DB6689C">
      <w:start w:val="1"/>
      <w:numFmt w:val="bullet"/>
      <w:lvlText w:val="•"/>
      <w:lvlJc w:val="left"/>
      <w:pPr>
        <w:ind w:left="1660" w:hanging="123"/>
      </w:pPr>
      <w:rPr>
        <w:rFonts w:hint="default"/>
      </w:rPr>
    </w:lvl>
    <w:lvl w:ilvl="5" w:tplc="969664EE">
      <w:start w:val="1"/>
      <w:numFmt w:val="bullet"/>
      <w:lvlText w:val="•"/>
      <w:lvlJc w:val="left"/>
      <w:pPr>
        <w:ind w:left="2030" w:hanging="123"/>
      </w:pPr>
      <w:rPr>
        <w:rFonts w:hint="default"/>
      </w:rPr>
    </w:lvl>
    <w:lvl w:ilvl="6" w:tplc="64E4E334">
      <w:start w:val="1"/>
      <w:numFmt w:val="bullet"/>
      <w:lvlText w:val="•"/>
      <w:lvlJc w:val="left"/>
      <w:pPr>
        <w:ind w:left="2400" w:hanging="123"/>
      </w:pPr>
      <w:rPr>
        <w:rFonts w:hint="default"/>
      </w:rPr>
    </w:lvl>
    <w:lvl w:ilvl="7" w:tplc="C9AE8DFA">
      <w:start w:val="1"/>
      <w:numFmt w:val="bullet"/>
      <w:lvlText w:val="•"/>
      <w:lvlJc w:val="left"/>
      <w:pPr>
        <w:ind w:left="2770" w:hanging="123"/>
      </w:pPr>
      <w:rPr>
        <w:rFonts w:hint="default"/>
      </w:rPr>
    </w:lvl>
    <w:lvl w:ilvl="8" w:tplc="532896AE">
      <w:start w:val="1"/>
      <w:numFmt w:val="bullet"/>
      <w:lvlText w:val="•"/>
      <w:lvlJc w:val="left"/>
      <w:pPr>
        <w:ind w:left="3140" w:hanging="123"/>
      </w:pPr>
      <w:rPr>
        <w:rFonts w:hint="default"/>
      </w:rPr>
    </w:lvl>
  </w:abstractNum>
  <w:abstractNum w:abstractNumId="84" w15:restartNumberingAfterBreak="0">
    <w:nsid w:val="56624088"/>
    <w:multiLevelType w:val="multilevel"/>
    <w:tmpl w:val="62A0F1F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bullet"/>
      <w:lvlText w:val=""/>
      <w:lvlJc w:val="left"/>
      <w:pPr>
        <w:ind w:left="72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57CB613D"/>
    <w:multiLevelType w:val="hybridMultilevel"/>
    <w:tmpl w:val="462C739E"/>
    <w:lvl w:ilvl="0" w:tplc="1A0CBA3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7D9633C"/>
    <w:multiLevelType w:val="hybridMultilevel"/>
    <w:tmpl w:val="6488214E"/>
    <w:lvl w:ilvl="0" w:tplc="480A000F">
      <w:start w:val="1"/>
      <w:numFmt w:val="decimal"/>
      <w:lvlText w:val="%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F9DCF010">
      <w:numFmt w:val="bullet"/>
      <w:lvlText w:val="–"/>
      <w:lvlJc w:val="left"/>
      <w:pPr>
        <w:ind w:left="2880" w:hanging="360"/>
      </w:pPr>
      <w:rPr>
        <w:rFonts w:ascii="Calibri Light" w:eastAsiaTheme="minorEastAsia" w:hAnsi="Calibri Light" w:cs="Calibri Light" w:hint="default"/>
      </w:rPr>
    </w:lvl>
    <w:lvl w:ilvl="4" w:tplc="338A9B76">
      <w:start w:val="3"/>
      <w:numFmt w:val="bullet"/>
      <w:lvlText w:val="-"/>
      <w:lvlJc w:val="left"/>
      <w:pPr>
        <w:ind w:left="3600" w:hanging="360"/>
      </w:pPr>
      <w:rPr>
        <w:rFonts w:ascii="Calibri" w:eastAsiaTheme="minorEastAsia" w:hAnsi="Calibri" w:cs="Calibri" w:hint="default"/>
      </w:rPr>
    </w:lvl>
    <w:lvl w:ilvl="5" w:tplc="2F726DCC">
      <w:start w:val="3"/>
      <w:numFmt w:val="bullet"/>
      <w:lvlText w:val=""/>
      <w:lvlJc w:val="left"/>
      <w:pPr>
        <w:ind w:left="4500" w:hanging="360"/>
      </w:pPr>
      <w:rPr>
        <w:rFonts w:ascii="Wingdings" w:eastAsiaTheme="minorEastAsia" w:hAnsi="Wingdings" w:cstheme="minorBidi" w:hint="default"/>
      </w:r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87" w15:restartNumberingAfterBreak="0">
    <w:nsid w:val="592E0EC3"/>
    <w:multiLevelType w:val="hybridMultilevel"/>
    <w:tmpl w:val="526C8BCA"/>
    <w:lvl w:ilvl="0" w:tplc="480A0015">
      <w:start w:val="1"/>
      <w:numFmt w:val="upp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8" w15:restartNumberingAfterBreak="0">
    <w:nsid w:val="59305603"/>
    <w:multiLevelType w:val="hybridMultilevel"/>
    <w:tmpl w:val="D4822A50"/>
    <w:lvl w:ilvl="0" w:tplc="E81AE10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15:restartNumberingAfterBreak="0">
    <w:nsid w:val="59D4714F"/>
    <w:multiLevelType w:val="multilevel"/>
    <w:tmpl w:val="59D4714F"/>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5A953F4C"/>
    <w:multiLevelType w:val="hybridMultilevel"/>
    <w:tmpl w:val="2DF0D61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91" w15:restartNumberingAfterBreak="0">
    <w:nsid w:val="5CDF1055"/>
    <w:multiLevelType w:val="hybridMultilevel"/>
    <w:tmpl w:val="8C46DD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DD50899"/>
    <w:multiLevelType w:val="hybridMultilevel"/>
    <w:tmpl w:val="F2D22A12"/>
    <w:lvl w:ilvl="0" w:tplc="0C0A0013">
      <w:start w:val="1"/>
      <w:numFmt w:val="upperRoman"/>
      <w:lvlText w:val="%1."/>
      <w:lvlJc w:val="right"/>
      <w:pPr>
        <w:ind w:left="720" w:hanging="360"/>
      </w:pPr>
    </w:lvl>
    <w:lvl w:ilvl="1" w:tplc="52D04E24">
      <w:numFmt w:val="bullet"/>
      <w:lvlText w:val="-"/>
      <w:lvlJc w:val="left"/>
      <w:pPr>
        <w:ind w:left="1440" w:hanging="360"/>
      </w:pPr>
      <w:rPr>
        <w:rFonts w:ascii="Calibri" w:eastAsiaTheme="minorHAnsi" w:hAnsi="Calibri" w:cs="Calibri"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748"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5DF37F59"/>
    <w:multiLevelType w:val="hybridMultilevel"/>
    <w:tmpl w:val="B3EABEF0"/>
    <w:lvl w:ilvl="0" w:tplc="48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4" w15:restartNumberingAfterBreak="0">
    <w:nsid w:val="5ECF65BA"/>
    <w:multiLevelType w:val="hybridMultilevel"/>
    <w:tmpl w:val="FFFFFFFF"/>
    <w:lvl w:ilvl="0" w:tplc="D618E806">
      <w:start w:val="1"/>
      <w:numFmt w:val="bullet"/>
      <w:lvlText w:val=""/>
      <w:lvlJc w:val="left"/>
      <w:pPr>
        <w:ind w:left="720" w:hanging="360"/>
      </w:pPr>
      <w:rPr>
        <w:rFonts w:ascii="Symbol" w:hAnsi="Symbol" w:hint="default"/>
      </w:rPr>
    </w:lvl>
    <w:lvl w:ilvl="1" w:tplc="E6B43CD4">
      <w:start w:val="1"/>
      <w:numFmt w:val="bullet"/>
      <w:lvlText w:val="o"/>
      <w:lvlJc w:val="left"/>
      <w:pPr>
        <w:ind w:left="1440" w:hanging="360"/>
      </w:pPr>
      <w:rPr>
        <w:rFonts w:ascii="Courier New" w:hAnsi="Courier New" w:hint="default"/>
      </w:rPr>
    </w:lvl>
    <w:lvl w:ilvl="2" w:tplc="FF54EA6E">
      <w:start w:val="1"/>
      <w:numFmt w:val="bullet"/>
      <w:lvlText w:val=""/>
      <w:lvlJc w:val="left"/>
      <w:pPr>
        <w:ind w:left="2160" w:hanging="360"/>
      </w:pPr>
      <w:rPr>
        <w:rFonts w:ascii="Wingdings" w:hAnsi="Wingdings" w:hint="default"/>
      </w:rPr>
    </w:lvl>
    <w:lvl w:ilvl="3" w:tplc="05ACF45E">
      <w:start w:val="1"/>
      <w:numFmt w:val="bullet"/>
      <w:lvlText w:val=""/>
      <w:lvlJc w:val="left"/>
      <w:pPr>
        <w:ind w:left="2880" w:hanging="360"/>
      </w:pPr>
      <w:rPr>
        <w:rFonts w:ascii="Symbol" w:hAnsi="Symbol" w:hint="default"/>
      </w:rPr>
    </w:lvl>
    <w:lvl w:ilvl="4" w:tplc="62D4F0C0">
      <w:start w:val="1"/>
      <w:numFmt w:val="bullet"/>
      <w:lvlText w:val="o"/>
      <w:lvlJc w:val="left"/>
      <w:pPr>
        <w:ind w:left="3600" w:hanging="360"/>
      </w:pPr>
      <w:rPr>
        <w:rFonts w:ascii="Courier New" w:hAnsi="Courier New" w:hint="default"/>
      </w:rPr>
    </w:lvl>
    <w:lvl w:ilvl="5" w:tplc="B76A088A">
      <w:start w:val="1"/>
      <w:numFmt w:val="bullet"/>
      <w:lvlText w:val=""/>
      <w:lvlJc w:val="left"/>
      <w:pPr>
        <w:ind w:left="4320" w:hanging="360"/>
      </w:pPr>
      <w:rPr>
        <w:rFonts w:ascii="Wingdings" w:hAnsi="Wingdings" w:hint="default"/>
      </w:rPr>
    </w:lvl>
    <w:lvl w:ilvl="6" w:tplc="002E3F0E">
      <w:start w:val="1"/>
      <w:numFmt w:val="bullet"/>
      <w:lvlText w:val=""/>
      <w:lvlJc w:val="left"/>
      <w:pPr>
        <w:ind w:left="5040" w:hanging="360"/>
      </w:pPr>
      <w:rPr>
        <w:rFonts w:ascii="Symbol" w:hAnsi="Symbol" w:hint="default"/>
      </w:rPr>
    </w:lvl>
    <w:lvl w:ilvl="7" w:tplc="47A4E076">
      <w:start w:val="1"/>
      <w:numFmt w:val="bullet"/>
      <w:lvlText w:val="o"/>
      <w:lvlJc w:val="left"/>
      <w:pPr>
        <w:ind w:left="5760" w:hanging="360"/>
      </w:pPr>
      <w:rPr>
        <w:rFonts w:ascii="Courier New" w:hAnsi="Courier New" w:hint="default"/>
      </w:rPr>
    </w:lvl>
    <w:lvl w:ilvl="8" w:tplc="CB76FEB2">
      <w:start w:val="1"/>
      <w:numFmt w:val="bullet"/>
      <w:lvlText w:val=""/>
      <w:lvlJc w:val="left"/>
      <w:pPr>
        <w:ind w:left="6480" w:hanging="360"/>
      </w:pPr>
      <w:rPr>
        <w:rFonts w:ascii="Wingdings" w:hAnsi="Wingdings" w:hint="default"/>
      </w:rPr>
    </w:lvl>
  </w:abstractNum>
  <w:abstractNum w:abstractNumId="95" w15:restartNumberingAfterBreak="0">
    <w:nsid w:val="5F964251"/>
    <w:multiLevelType w:val="hybridMultilevel"/>
    <w:tmpl w:val="5F28FC00"/>
    <w:lvl w:ilvl="0" w:tplc="480A0019">
      <w:start w:val="1"/>
      <w:numFmt w:val="lowerLetter"/>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96" w15:restartNumberingAfterBreak="0">
    <w:nsid w:val="63464D49"/>
    <w:multiLevelType w:val="multilevel"/>
    <w:tmpl w:val="CF6C081A"/>
    <w:lvl w:ilvl="0">
      <w:start w:val="1"/>
      <w:numFmt w:val="decimal"/>
      <w:lvlText w:val="%1."/>
      <w:lvlJc w:val="left"/>
      <w:pPr>
        <w:ind w:left="360" w:hanging="360"/>
      </w:pPr>
    </w:lvl>
    <w:lvl w:ilvl="1">
      <w:start w:val="1"/>
      <w:numFmt w:val="decimal"/>
      <w:lvlText w:val="%1.%2."/>
      <w:lvlJc w:val="left"/>
      <w:pPr>
        <w:ind w:left="792" w:hanging="432"/>
      </w:pPr>
      <w:rPr>
        <w:color w:val="767171" w:themeColor="background2" w:themeShade="80"/>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638E0AF5"/>
    <w:multiLevelType w:val="hybridMultilevel"/>
    <w:tmpl w:val="EEFCDDFE"/>
    <w:lvl w:ilvl="0" w:tplc="480A000F">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98" w15:restartNumberingAfterBreak="0">
    <w:nsid w:val="67254C82"/>
    <w:multiLevelType w:val="hybridMultilevel"/>
    <w:tmpl w:val="B31EF62A"/>
    <w:lvl w:ilvl="0" w:tplc="0409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99" w15:restartNumberingAfterBreak="0">
    <w:nsid w:val="6746305C"/>
    <w:multiLevelType w:val="hybridMultilevel"/>
    <w:tmpl w:val="956CB7D8"/>
    <w:lvl w:ilvl="0" w:tplc="25A45086">
      <w:numFmt w:val="bullet"/>
      <w:lvlText w:val="•"/>
      <w:lvlJc w:val="left"/>
      <w:pPr>
        <w:ind w:left="720" w:hanging="360"/>
      </w:pPr>
      <w:rPr>
        <w:rFonts w:ascii="SymbolMT" w:eastAsiaTheme="minorHAnsi" w:hAnsi="SymbolMT" w:cs="SymbolMT"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00" w15:restartNumberingAfterBreak="0">
    <w:nsid w:val="681D5BE0"/>
    <w:multiLevelType w:val="hybridMultilevel"/>
    <w:tmpl w:val="4468A0C8"/>
    <w:lvl w:ilvl="0" w:tplc="829E8008">
      <w:start w:val="1"/>
      <w:numFmt w:val="lowerLetter"/>
      <w:lvlText w:val="%1)"/>
      <w:lvlJc w:val="left"/>
      <w:pPr>
        <w:ind w:left="720" w:hanging="360"/>
      </w:pPr>
      <w:rPr>
        <w:rFonts w:asciiTheme="minorHAnsi" w:hAnsiTheme="minorHAnsi" w:cstheme="minorBidi" w:hint="default"/>
        <w:color w:val="auto"/>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1" w15:restartNumberingAfterBreak="0">
    <w:nsid w:val="69F77099"/>
    <w:multiLevelType w:val="hybridMultilevel"/>
    <w:tmpl w:val="F294DC8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2" w15:restartNumberingAfterBreak="0">
    <w:nsid w:val="6A1D3157"/>
    <w:multiLevelType w:val="hybridMultilevel"/>
    <w:tmpl w:val="07FCAA0C"/>
    <w:lvl w:ilvl="0" w:tplc="CE44A5CA">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03" w15:restartNumberingAfterBreak="0">
    <w:nsid w:val="6D6809B7"/>
    <w:multiLevelType w:val="hybridMultilevel"/>
    <w:tmpl w:val="DC70448C"/>
    <w:lvl w:ilvl="0" w:tplc="48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4" w15:restartNumberingAfterBreak="0">
    <w:nsid w:val="6DB87711"/>
    <w:multiLevelType w:val="hybridMultilevel"/>
    <w:tmpl w:val="10ACF6BE"/>
    <w:lvl w:ilvl="0" w:tplc="480A0017">
      <w:start w:val="1"/>
      <w:numFmt w:val="lowerLetter"/>
      <w:lvlText w:val="%1)"/>
      <w:lvlJc w:val="left"/>
      <w:pPr>
        <w:ind w:left="360" w:hanging="360"/>
      </w:pPr>
    </w:lvl>
    <w:lvl w:ilvl="1" w:tplc="480A0019">
      <w:start w:val="1"/>
      <w:numFmt w:val="lowerLetter"/>
      <w:lvlText w:val="%2."/>
      <w:lvlJc w:val="left"/>
      <w:pPr>
        <w:ind w:left="1080" w:hanging="360"/>
      </w:pPr>
    </w:lvl>
    <w:lvl w:ilvl="2" w:tplc="480A001B">
      <w:start w:val="1"/>
      <w:numFmt w:val="lowerRoman"/>
      <w:lvlText w:val="%3."/>
      <w:lvlJc w:val="right"/>
      <w:pPr>
        <w:ind w:left="1800" w:hanging="180"/>
      </w:pPr>
    </w:lvl>
    <w:lvl w:ilvl="3" w:tplc="480A000F">
      <w:start w:val="1"/>
      <w:numFmt w:val="decimal"/>
      <w:lvlText w:val="%4."/>
      <w:lvlJc w:val="left"/>
      <w:pPr>
        <w:ind w:left="2520" w:hanging="360"/>
      </w:pPr>
    </w:lvl>
    <w:lvl w:ilvl="4" w:tplc="480A0019">
      <w:start w:val="1"/>
      <w:numFmt w:val="lowerLetter"/>
      <w:lvlText w:val="%5."/>
      <w:lvlJc w:val="left"/>
      <w:pPr>
        <w:ind w:left="3240" w:hanging="360"/>
      </w:pPr>
    </w:lvl>
    <w:lvl w:ilvl="5" w:tplc="480A001B">
      <w:start w:val="1"/>
      <w:numFmt w:val="lowerRoman"/>
      <w:lvlText w:val="%6."/>
      <w:lvlJc w:val="right"/>
      <w:pPr>
        <w:ind w:left="3960" w:hanging="180"/>
      </w:pPr>
    </w:lvl>
    <w:lvl w:ilvl="6" w:tplc="480A000F">
      <w:start w:val="1"/>
      <w:numFmt w:val="decimal"/>
      <w:lvlText w:val="%7."/>
      <w:lvlJc w:val="left"/>
      <w:pPr>
        <w:ind w:left="4680" w:hanging="360"/>
      </w:pPr>
    </w:lvl>
    <w:lvl w:ilvl="7" w:tplc="480A0019">
      <w:start w:val="1"/>
      <w:numFmt w:val="lowerLetter"/>
      <w:lvlText w:val="%8."/>
      <w:lvlJc w:val="left"/>
      <w:pPr>
        <w:ind w:left="5400" w:hanging="360"/>
      </w:pPr>
    </w:lvl>
    <w:lvl w:ilvl="8" w:tplc="480A001B">
      <w:start w:val="1"/>
      <w:numFmt w:val="lowerRoman"/>
      <w:lvlText w:val="%9."/>
      <w:lvlJc w:val="right"/>
      <w:pPr>
        <w:ind w:left="6120" w:hanging="180"/>
      </w:pPr>
    </w:lvl>
  </w:abstractNum>
  <w:abstractNum w:abstractNumId="105" w15:restartNumberingAfterBreak="0">
    <w:nsid w:val="6F247FA1"/>
    <w:multiLevelType w:val="multilevel"/>
    <w:tmpl w:val="6F247FA1"/>
    <w:lvl w:ilvl="0">
      <w:start w:val="1"/>
      <w:numFmt w:val="lowerLetter"/>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6F264554"/>
    <w:multiLevelType w:val="hybridMultilevel"/>
    <w:tmpl w:val="C67E54D8"/>
    <w:lvl w:ilvl="0" w:tplc="6D864112">
      <w:start w:val="1"/>
      <w:numFmt w:val="bullet"/>
      <w:lvlText w:val=""/>
      <w:lvlJc w:val="left"/>
      <w:pPr>
        <w:ind w:left="1080" w:hanging="360"/>
      </w:pPr>
      <w:rPr>
        <w:rFonts w:ascii="Wingdings" w:hAnsi="Wingdings" w:hint="default"/>
        <w:color w:val="auto"/>
      </w:rPr>
    </w:lvl>
    <w:lvl w:ilvl="1" w:tplc="480A0003" w:tentative="1">
      <w:start w:val="1"/>
      <w:numFmt w:val="bullet"/>
      <w:lvlText w:val="o"/>
      <w:lvlJc w:val="left"/>
      <w:pPr>
        <w:ind w:left="1800" w:hanging="360"/>
      </w:pPr>
      <w:rPr>
        <w:rFonts w:ascii="Courier New" w:hAnsi="Courier New" w:cs="Courier New" w:hint="default"/>
      </w:rPr>
    </w:lvl>
    <w:lvl w:ilvl="2" w:tplc="480A0005" w:tentative="1">
      <w:start w:val="1"/>
      <w:numFmt w:val="bullet"/>
      <w:lvlText w:val=""/>
      <w:lvlJc w:val="left"/>
      <w:pPr>
        <w:ind w:left="2520" w:hanging="360"/>
      </w:pPr>
      <w:rPr>
        <w:rFonts w:ascii="Wingdings" w:hAnsi="Wingdings" w:hint="default"/>
      </w:rPr>
    </w:lvl>
    <w:lvl w:ilvl="3" w:tplc="480A0001" w:tentative="1">
      <w:start w:val="1"/>
      <w:numFmt w:val="bullet"/>
      <w:lvlText w:val=""/>
      <w:lvlJc w:val="left"/>
      <w:pPr>
        <w:ind w:left="3240" w:hanging="360"/>
      </w:pPr>
      <w:rPr>
        <w:rFonts w:ascii="Symbol" w:hAnsi="Symbol" w:hint="default"/>
      </w:rPr>
    </w:lvl>
    <w:lvl w:ilvl="4" w:tplc="480A0003" w:tentative="1">
      <w:start w:val="1"/>
      <w:numFmt w:val="bullet"/>
      <w:lvlText w:val="o"/>
      <w:lvlJc w:val="left"/>
      <w:pPr>
        <w:ind w:left="3960" w:hanging="360"/>
      </w:pPr>
      <w:rPr>
        <w:rFonts w:ascii="Courier New" w:hAnsi="Courier New" w:cs="Courier New" w:hint="default"/>
      </w:rPr>
    </w:lvl>
    <w:lvl w:ilvl="5" w:tplc="480A0005" w:tentative="1">
      <w:start w:val="1"/>
      <w:numFmt w:val="bullet"/>
      <w:lvlText w:val=""/>
      <w:lvlJc w:val="left"/>
      <w:pPr>
        <w:ind w:left="4680" w:hanging="360"/>
      </w:pPr>
      <w:rPr>
        <w:rFonts w:ascii="Wingdings" w:hAnsi="Wingdings" w:hint="default"/>
      </w:rPr>
    </w:lvl>
    <w:lvl w:ilvl="6" w:tplc="480A0001" w:tentative="1">
      <w:start w:val="1"/>
      <w:numFmt w:val="bullet"/>
      <w:lvlText w:val=""/>
      <w:lvlJc w:val="left"/>
      <w:pPr>
        <w:ind w:left="5400" w:hanging="360"/>
      </w:pPr>
      <w:rPr>
        <w:rFonts w:ascii="Symbol" w:hAnsi="Symbol" w:hint="default"/>
      </w:rPr>
    </w:lvl>
    <w:lvl w:ilvl="7" w:tplc="480A0003" w:tentative="1">
      <w:start w:val="1"/>
      <w:numFmt w:val="bullet"/>
      <w:lvlText w:val="o"/>
      <w:lvlJc w:val="left"/>
      <w:pPr>
        <w:ind w:left="6120" w:hanging="360"/>
      </w:pPr>
      <w:rPr>
        <w:rFonts w:ascii="Courier New" w:hAnsi="Courier New" w:cs="Courier New" w:hint="default"/>
      </w:rPr>
    </w:lvl>
    <w:lvl w:ilvl="8" w:tplc="480A0005" w:tentative="1">
      <w:start w:val="1"/>
      <w:numFmt w:val="bullet"/>
      <w:lvlText w:val=""/>
      <w:lvlJc w:val="left"/>
      <w:pPr>
        <w:ind w:left="6840" w:hanging="360"/>
      </w:pPr>
      <w:rPr>
        <w:rFonts w:ascii="Wingdings" w:hAnsi="Wingdings" w:hint="default"/>
      </w:rPr>
    </w:lvl>
  </w:abstractNum>
  <w:abstractNum w:abstractNumId="107" w15:restartNumberingAfterBreak="0">
    <w:nsid w:val="6F404992"/>
    <w:multiLevelType w:val="hybridMultilevel"/>
    <w:tmpl w:val="6CA0B306"/>
    <w:lvl w:ilvl="0" w:tplc="48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706234A8"/>
    <w:multiLevelType w:val="hybridMultilevel"/>
    <w:tmpl w:val="8F961468"/>
    <w:lvl w:ilvl="0" w:tplc="48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 w15:restartNumberingAfterBreak="0">
    <w:nsid w:val="7084440D"/>
    <w:multiLevelType w:val="multilevel"/>
    <w:tmpl w:val="7084440D"/>
    <w:lvl w:ilvl="0">
      <w:start w:val="1"/>
      <w:numFmt w:val="lowerLetter"/>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711E5972"/>
    <w:multiLevelType w:val="hybridMultilevel"/>
    <w:tmpl w:val="4EC42672"/>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1" w15:restartNumberingAfterBreak="0">
    <w:nsid w:val="71383000"/>
    <w:multiLevelType w:val="hybridMultilevel"/>
    <w:tmpl w:val="58C4BA84"/>
    <w:lvl w:ilvl="0" w:tplc="ED80CE36">
      <w:start w:val="1"/>
      <w:numFmt w:val="bullet"/>
      <w:lvlText w:val=""/>
      <w:lvlJc w:val="left"/>
      <w:pPr>
        <w:ind w:left="1080" w:hanging="360"/>
      </w:pPr>
      <w:rPr>
        <w:rFonts w:ascii="Wingdings" w:hAnsi="Wingdings" w:hint="default"/>
        <w:color w:val="auto"/>
      </w:rPr>
    </w:lvl>
    <w:lvl w:ilvl="1" w:tplc="480A0003" w:tentative="1">
      <w:start w:val="1"/>
      <w:numFmt w:val="bullet"/>
      <w:lvlText w:val="o"/>
      <w:lvlJc w:val="left"/>
      <w:pPr>
        <w:ind w:left="1800" w:hanging="360"/>
      </w:pPr>
      <w:rPr>
        <w:rFonts w:ascii="Courier New" w:hAnsi="Courier New" w:cs="Courier New" w:hint="default"/>
      </w:rPr>
    </w:lvl>
    <w:lvl w:ilvl="2" w:tplc="480A0005" w:tentative="1">
      <w:start w:val="1"/>
      <w:numFmt w:val="bullet"/>
      <w:lvlText w:val=""/>
      <w:lvlJc w:val="left"/>
      <w:pPr>
        <w:ind w:left="2520" w:hanging="360"/>
      </w:pPr>
      <w:rPr>
        <w:rFonts w:ascii="Wingdings" w:hAnsi="Wingdings" w:hint="default"/>
      </w:rPr>
    </w:lvl>
    <w:lvl w:ilvl="3" w:tplc="480A0001" w:tentative="1">
      <w:start w:val="1"/>
      <w:numFmt w:val="bullet"/>
      <w:lvlText w:val=""/>
      <w:lvlJc w:val="left"/>
      <w:pPr>
        <w:ind w:left="3240" w:hanging="360"/>
      </w:pPr>
      <w:rPr>
        <w:rFonts w:ascii="Symbol" w:hAnsi="Symbol" w:hint="default"/>
      </w:rPr>
    </w:lvl>
    <w:lvl w:ilvl="4" w:tplc="480A0003" w:tentative="1">
      <w:start w:val="1"/>
      <w:numFmt w:val="bullet"/>
      <w:lvlText w:val="o"/>
      <w:lvlJc w:val="left"/>
      <w:pPr>
        <w:ind w:left="3960" w:hanging="360"/>
      </w:pPr>
      <w:rPr>
        <w:rFonts w:ascii="Courier New" w:hAnsi="Courier New" w:cs="Courier New" w:hint="default"/>
      </w:rPr>
    </w:lvl>
    <w:lvl w:ilvl="5" w:tplc="480A0005" w:tentative="1">
      <w:start w:val="1"/>
      <w:numFmt w:val="bullet"/>
      <w:lvlText w:val=""/>
      <w:lvlJc w:val="left"/>
      <w:pPr>
        <w:ind w:left="4680" w:hanging="360"/>
      </w:pPr>
      <w:rPr>
        <w:rFonts w:ascii="Wingdings" w:hAnsi="Wingdings" w:hint="default"/>
      </w:rPr>
    </w:lvl>
    <w:lvl w:ilvl="6" w:tplc="480A0001" w:tentative="1">
      <w:start w:val="1"/>
      <w:numFmt w:val="bullet"/>
      <w:lvlText w:val=""/>
      <w:lvlJc w:val="left"/>
      <w:pPr>
        <w:ind w:left="5400" w:hanging="360"/>
      </w:pPr>
      <w:rPr>
        <w:rFonts w:ascii="Symbol" w:hAnsi="Symbol" w:hint="default"/>
      </w:rPr>
    </w:lvl>
    <w:lvl w:ilvl="7" w:tplc="480A0003" w:tentative="1">
      <w:start w:val="1"/>
      <w:numFmt w:val="bullet"/>
      <w:lvlText w:val="o"/>
      <w:lvlJc w:val="left"/>
      <w:pPr>
        <w:ind w:left="6120" w:hanging="360"/>
      </w:pPr>
      <w:rPr>
        <w:rFonts w:ascii="Courier New" w:hAnsi="Courier New" w:cs="Courier New" w:hint="default"/>
      </w:rPr>
    </w:lvl>
    <w:lvl w:ilvl="8" w:tplc="480A0005" w:tentative="1">
      <w:start w:val="1"/>
      <w:numFmt w:val="bullet"/>
      <w:lvlText w:val=""/>
      <w:lvlJc w:val="left"/>
      <w:pPr>
        <w:ind w:left="6840" w:hanging="360"/>
      </w:pPr>
      <w:rPr>
        <w:rFonts w:ascii="Wingdings" w:hAnsi="Wingdings" w:hint="default"/>
      </w:rPr>
    </w:lvl>
  </w:abstractNum>
  <w:abstractNum w:abstractNumId="112" w15:restartNumberingAfterBreak="0">
    <w:nsid w:val="720E42C9"/>
    <w:multiLevelType w:val="hybridMultilevel"/>
    <w:tmpl w:val="2174BE54"/>
    <w:lvl w:ilvl="0" w:tplc="4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3" w15:restartNumberingAfterBreak="0">
    <w:nsid w:val="72241C36"/>
    <w:multiLevelType w:val="multilevel"/>
    <w:tmpl w:val="16CABBD4"/>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4" w15:restartNumberingAfterBreak="0">
    <w:nsid w:val="73D16E30"/>
    <w:multiLevelType w:val="hybridMultilevel"/>
    <w:tmpl w:val="B5A655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15" w15:restartNumberingAfterBreak="0">
    <w:nsid w:val="7485641B"/>
    <w:multiLevelType w:val="hybridMultilevel"/>
    <w:tmpl w:val="530EA7C2"/>
    <w:lvl w:ilvl="0" w:tplc="480A0001">
      <w:start w:val="1"/>
      <w:numFmt w:val="bullet"/>
      <w:lvlText w:val=""/>
      <w:lvlJc w:val="left"/>
      <w:pPr>
        <w:ind w:left="1068" w:hanging="360"/>
      </w:pPr>
      <w:rPr>
        <w:rFonts w:ascii="Symbol" w:hAnsi="Symbol" w:hint="default"/>
      </w:rPr>
    </w:lvl>
    <w:lvl w:ilvl="1" w:tplc="480A0003" w:tentative="1">
      <w:start w:val="1"/>
      <w:numFmt w:val="bullet"/>
      <w:lvlText w:val="o"/>
      <w:lvlJc w:val="left"/>
      <w:pPr>
        <w:ind w:left="1788" w:hanging="360"/>
      </w:pPr>
      <w:rPr>
        <w:rFonts w:ascii="Courier New" w:hAnsi="Courier New" w:cs="Courier New" w:hint="default"/>
      </w:rPr>
    </w:lvl>
    <w:lvl w:ilvl="2" w:tplc="480A0005" w:tentative="1">
      <w:start w:val="1"/>
      <w:numFmt w:val="bullet"/>
      <w:lvlText w:val=""/>
      <w:lvlJc w:val="left"/>
      <w:pPr>
        <w:ind w:left="2508" w:hanging="360"/>
      </w:pPr>
      <w:rPr>
        <w:rFonts w:ascii="Wingdings" w:hAnsi="Wingdings" w:hint="default"/>
      </w:rPr>
    </w:lvl>
    <w:lvl w:ilvl="3" w:tplc="480A0001" w:tentative="1">
      <w:start w:val="1"/>
      <w:numFmt w:val="bullet"/>
      <w:lvlText w:val=""/>
      <w:lvlJc w:val="left"/>
      <w:pPr>
        <w:ind w:left="3228" w:hanging="360"/>
      </w:pPr>
      <w:rPr>
        <w:rFonts w:ascii="Symbol" w:hAnsi="Symbol" w:hint="default"/>
      </w:rPr>
    </w:lvl>
    <w:lvl w:ilvl="4" w:tplc="480A0003" w:tentative="1">
      <w:start w:val="1"/>
      <w:numFmt w:val="bullet"/>
      <w:lvlText w:val="o"/>
      <w:lvlJc w:val="left"/>
      <w:pPr>
        <w:ind w:left="3948" w:hanging="360"/>
      </w:pPr>
      <w:rPr>
        <w:rFonts w:ascii="Courier New" w:hAnsi="Courier New" w:cs="Courier New" w:hint="default"/>
      </w:rPr>
    </w:lvl>
    <w:lvl w:ilvl="5" w:tplc="480A0005" w:tentative="1">
      <w:start w:val="1"/>
      <w:numFmt w:val="bullet"/>
      <w:lvlText w:val=""/>
      <w:lvlJc w:val="left"/>
      <w:pPr>
        <w:ind w:left="4668" w:hanging="360"/>
      </w:pPr>
      <w:rPr>
        <w:rFonts w:ascii="Wingdings" w:hAnsi="Wingdings" w:hint="default"/>
      </w:rPr>
    </w:lvl>
    <w:lvl w:ilvl="6" w:tplc="480A0001" w:tentative="1">
      <w:start w:val="1"/>
      <w:numFmt w:val="bullet"/>
      <w:lvlText w:val=""/>
      <w:lvlJc w:val="left"/>
      <w:pPr>
        <w:ind w:left="5388" w:hanging="360"/>
      </w:pPr>
      <w:rPr>
        <w:rFonts w:ascii="Symbol" w:hAnsi="Symbol" w:hint="default"/>
      </w:rPr>
    </w:lvl>
    <w:lvl w:ilvl="7" w:tplc="480A0003" w:tentative="1">
      <w:start w:val="1"/>
      <w:numFmt w:val="bullet"/>
      <w:lvlText w:val="o"/>
      <w:lvlJc w:val="left"/>
      <w:pPr>
        <w:ind w:left="6108" w:hanging="360"/>
      </w:pPr>
      <w:rPr>
        <w:rFonts w:ascii="Courier New" w:hAnsi="Courier New" w:cs="Courier New" w:hint="default"/>
      </w:rPr>
    </w:lvl>
    <w:lvl w:ilvl="8" w:tplc="480A0005" w:tentative="1">
      <w:start w:val="1"/>
      <w:numFmt w:val="bullet"/>
      <w:lvlText w:val=""/>
      <w:lvlJc w:val="left"/>
      <w:pPr>
        <w:ind w:left="6828" w:hanging="360"/>
      </w:pPr>
      <w:rPr>
        <w:rFonts w:ascii="Wingdings" w:hAnsi="Wingdings" w:hint="default"/>
      </w:rPr>
    </w:lvl>
  </w:abstractNum>
  <w:abstractNum w:abstractNumId="116" w15:restartNumberingAfterBreak="0">
    <w:nsid w:val="75D7C68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7" w15:restartNumberingAfterBreak="0">
    <w:nsid w:val="769D49C2"/>
    <w:multiLevelType w:val="hybridMultilevel"/>
    <w:tmpl w:val="2CB8E2A0"/>
    <w:lvl w:ilvl="0" w:tplc="480A000F">
      <w:start w:val="1"/>
      <w:numFmt w:val="decimal"/>
      <w:lvlText w:val="%1."/>
      <w:lvlJc w:val="left"/>
      <w:pPr>
        <w:ind w:left="360" w:hanging="360"/>
      </w:pPr>
    </w:lvl>
    <w:lvl w:ilvl="1" w:tplc="480A0019">
      <w:start w:val="1"/>
      <w:numFmt w:val="lowerLetter"/>
      <w:lvlText w:val="%2."/>
      <w:lvlJc w:val="left"/>
      <w:pPr>
        <w:ind w:left="1080" w:hanging="360"/>
      </w:pPr>
    </w:lvl>
    <w:lvl w:ilvl="2" w:tplc="480A001B">
      <w:start w:val="1"/>
      <w:numFmt w:val="lowerRoman"/>
      <w:lvlText w:val="%3."/>
      <w:lvlJc w:val="right"/>
      <w:pPr>
        <w:ind w:left="1800" w:hanging="180"/>
      </w:pPr>
    </w:lvl>
    <w:lvl w:ilvl="3" w:tplc="480A000F">
      <w:start w:val="1"/>
      <w:numFmt w:val="decimal"/>
      <w:lvlText w:val="%4."/>
      <w:lvlJc w:val="left"/>
      <w:pPr>
        <w:ind w:left="2520" w:hanging="360"/>
      </w:pPr>
    </w:lvl>
    <w:lvl w:ilvl="4" w:tplc="480A0019">
      <w:start w:val="1"/>
      <w:numFmt w:val="lowerLetter"/>
      <w:lvlText w:val="%5."/>
      <w:lvlJc w:val="left"/>
      <w:pPr>
        <w:ind w:left="3240" w:hanging="360"/>
      </w:pPr>
    </w:lvl>
    <w:lvl w:ilvl="5" w:tplc="480A001B">
      <w:start w:val="1"/>
      <w:numFmt w:val="lowerRoman"/>
      <w:lvlText w:val="%6."/>
      <w:lvlJc w:val="right"/>
      <w:pPr>
        <w:ind w:left="3960" w:hanging="180"/>
      </w:pPr>
    </w:lvl>
    <w:lvl w:ilvl="6" w:tplc="480A000F">
      <w:start w:val="1"/>
      <w:numFmt w:val="decimal"/>
      <w:lvlText w:val="%7."/>
      <w:lvlJc w:val="left"/>
      <w:pPr>
        <w:ind w:left="4680" w:hanging="360"/>
      </w:pPr>
    </w:lvl>
    <w:lvl w:ilvl="7" w:tplc="480A0019">
      <w:start w:val="1"/>
      <w:numFmt w:val="lowerLetter"/>
      <w:lvlText w:val="%8."/>
      <w:lvlJc w:val="left"/>
      <w:pPr>
        <w:ind w:left="5400" w:hanging="360"/>
      </w:pPr>
    </w:lvl>
    <w:lvl w:ilvl="8" w:tplc="480A001B">
      <w:start w:val="1"/>
      <w:numFmt w:val="lowerRoman"/>
      <w:lvlText w:val="%9."/>
      <w:lvlJc w:val="right"/>
      <w:pPr>
        <w:ind w:left="6120" w:hanging="180"/>
      </w:pPr>
    </w:lvl>
  </w:abstractNum>
  <w:abstractNum w:abstractNumId="118" w15:restartNumberingAfterBreak="0">
    <w:nsid w:val="7991122C"/>
    <w:multiLevelType w:val="multilevel"/>
    <w:tmpl w:val="7991122C"/>
    <w:lvl w:ilvl="0">
      <w:start w:val="1"/>
      <w:numFmt w:val="decimal"/>
      <w:lvlText w:val="%1."/>
      <w:lvlJc w:val="left"/>
      <w:pPr>
        <w:ind w:left="696" w:hanging="360"/>
      </w:pPr>
    </w:lvl>
    <w:lvl w:ilvl="1">
      <w:start w:val="1"/>
      <w:numFmt w:val="lowerLetter"/>
      <w:lvlText w:val="%2."/>
      <w:lvlJc w:val="left"/>
      <w:pPr>
        <w:ind w:left="1416" w:hanging="360"/>
      </w:pPr>
    </w:lvl>
    <w:lvl w:ilvl="2">
      <w:start w:val="1"/>
      <w:numFmt w:val="lowerRoman"/>
      <w:lvlText w:val="%3."/>
      <w:lvlJc w:val="right"/>
      <w:pPr>
        <w:ind w:left="2136" w:hanging="180"/>
      </w:pPr>
    </w:lvl>
    <w:lvl w:ilvl="3">
      <w:start w:val="1"/>
      <w:numFmt w:val="decimal"/>
      <w:lvlText w:val="%4."/>
      <w:lvlJc w:val="left"/>
      <w:pPr>
        <w:ind w:left="2856" w:hanging="360"/>
      </w:pPr>
    </w:lvl>
    <w:lvl w:ilvl="4">
      <w:start w:val="1"/>
      <w:numFmt w:val="lowerLetter"/>
      <w:lvlText w:val="%5."/>
      <w:lvlJc w:val="left"/>
      <w:pPr>
        <w:ind w:left="3576" w:hanging="360"/>
      </w:pPr>
    </w:lvl>
    <w:lvl w:ilvl="5">
      <w:start w:val="1"/>
      <w:numFmt w:val="lowerRoman"/>
      <w:lvlText w:val="%6."/>
      <w:lvlJc w:val="right"/>
      <w:pPr>
        <w:ind w:left="4296" w:hanging="180"/>
      </w:pPr>
    </w:lvl>
    <w:lvl w:ilvl="6">
      <w:start w:val="1"/>
      <w:numFmt w:val="decimal"/>
      <w:lvlText w:val="%7."/>
      <w:lvlJc w:val="left"/>
      <w:pPr>
        <w:ind w:left="5016" w:hanging="360"/>
      </w:pPr>
    </w:lvl>
    <w:lvl w:ilvl="7">
      <w:start w:val="1"/>
      <w:numFmt w:val="lowerLetter"/>
      <w:lvlText w:val="%8."/>
      <w:lvlJc w:val="left"/>
      <w:pPr>
        <w:ind w:left="5736" w:hanging="360"/>
      </w:pPr>
    </w:lvl>
    <w:lvl w:ilvl="8">
      <w:start w:val="1"/>
      <w:numFmt w:val="lowerRoman"/>
      <w:lvlText w:val="%9."/>
      <w:lvlJc w:val="right"/>
      <w:pPr>
        <w:ind w:left="6456" w:hanging="180"/>
      </w:pPr>
    </w:lvl>
  </w:abstractNum>
  <w:abstractNum w:abstractNumId="119" w15:restartNumberingAfterBreak="0">
    <w:nsid w:val="7B571BCF"/>
    <w:multiLevelType w:val="hybridMultilevel"/>
    <w:tmpl w:val="10ACF6BE"/>
    <w:lvl w:ilvl="0" w:tplc="480A0017">
      <w:start w:val="1"/>
      <w:numFmt w:val="lowerLetter"/>
      <w:lvlText w:val="%1)"/>
      <w:lvlJc w:val="left"/>
      <w:pPr>
        <w:ind w:left="360" w:hanging="360"/>
      </w:pPr>
    </w:lvl>
    <w:lvl w:ilvl="1" w:tplc="480A0019">
      <w:start w:val="1"/>
      <w:numFmt w:val="lowerLetter"/>
      <w:lvlText w:val="%2."/>
      <w:lvlJc w:val="left"/>
      <w:pPr>
        <w:ind w:left="1080" w:hanging="360"/>
      </w:pPr>
    </w:lvl>
    <w:lvl w:ilvl="2" w:tplc="480A001B">
      <w:start w:val="1"/>
      <w:numFmt w:val="lowerRoman"/>
      <w:lvlText w:val="%3."/>
      <w:lvlJc w:val="right"/>
      <w:pPr>
        <w:ind w:left="1800" w:hanging="180"/>
      </w:pPr>
    </w:lvl>
    <w:lvl w:ilvl="3" w:tplc="480A000F">
      <w:start w:val="1"/>
      <w:numFmt w:val="decimal"/>
      <w:lvlText w:val="%4."/>
      <w:lvlJc w:val="left"/>
      <w:pPr>
        <w:ind w:left="2520" w:hanging="360"/>
      </w:pPr>
    </w:lvl>
    <w:lvl w:ilvl="4" w:tplc="480A0019">
      <w:start w:val="1"/>
      <w:numFmt w:val="lowerLetter"/>
      <w:lvlText w:val="%5."/>
      <w:lvlJc w:val="left"/>
      <w:pPr>
        <w:ind w:left="3240" w:hanging="360"/>
      </w:pPr>
    </w:lvl>
    <w:lvl w:ilvl="5" w:tplc="480A001B">
      <w:start w:val="1"/>
      <w:numFmt w:val="lowerRoman"/>
      <w:lvlText w:val="%6."/>
      <w:lvlJc w:val="right"/>
      <w:pPr>
        <w:ind w:left="3960" w:hanging="180"/>
      </w:pPr>
    </w:lvl>
    <w:lvl w:ilvl="6" w:tplc="480A000F">
      <w:start w:val="1"/>
      <w:numFmt w:val="decimal"/>
      <w:lvlText w:val="%7."/>
      <w:lvlJc w:val="left"/>
      <w:pPr>
        <w:ind w:left="4680" w:hanging="360"/>
      </w:pPr>
    </w:lvl>
    <w:lvl w:ilvl="7" w:tplc="480A0019">
      <w:start w:val="1"/>
      <w:numFmt w:val="lowerLetter"/>
      <w:lvlText w:val="%8."/>
      <w:lvlJc w:val="left"/>
      <w:pPr>
        <w:ind w:left="5400" w:hanging="360"/>
      </w:pPr>
    </w:lvl>
    <w:lvl w:ilvl="8" w:tplc="480A001B">
      <w:start w:val="1"/>
      <w:numFmt w:val="lowerRoman"/>
      <w:lvlText w:val="%9."/>
      <w:lvlJc w:val="right"/>
      <w:pPr>
        <w:ind w:left="6120" w:hanging="180"/>
      </w:pPr>
    </w:lvl>
  </w:abstractNum>
  <w:abstractNum w:abstractNumId="120" w15:restartNumberingAfterBreak="0">
    <w:nsid w:val="7C6A36BC"/>
    <w:multiLevelType w:val="multilevel"/>
    <w:tmpl w:val="7C6A36B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7CEC3BDF"/>
    <w:multiLevelType w:val="hybridMultilevel"/>
    <w:tmpl w:val="FD24F054"/>
    <w:lvl w:ilvl="0" w:tplc="53B855A8">
      <w:start w:val="1"/>
      <w:numFmt w:val="decimal"/>
      <w:lvlText w:val="%1."/>
      <w:lvlJc w:val="left"/>
      <w:pPr>
        <w:ind w:left="360" w:hanging="360"/>
      </w:pPr>
      <w:rPr>
        <w:rFonts w:ascii="Arial" w:hAnsi="Arial" w:hint="default"/>
      </w:rPr>
    </w:lvl>
    <w:lvl w:ilvl="1" w:tplc="7A160732">
      <w:start w:val="1"/>
      <w:numFmt w:val="lowerLetter"/>
      <w:lvlText w:val="%2."/>
      <w:lvlJc w:val="left"/>
      <w:pPr>
        <w:ind w:left="1440" w:hanging="360"/>
      </w:pPr>
    </w:lvl>
    <w:lvl w:ilvl="2" w:tplc="5B3C8F7A">
      <w:start w:val="1"/>
      <w:numFmt w:val="lowerRoman"/>
      <w:lvlText w:val="%3."/>
      <w:lvlJc w:val="right"/>
      <w:pPr>
        <w:ind w:left="2160" w:hanging="180"/>
      </w:pPr>
    </w:lvl>
    <w:lvl w:ilvl="3" w:tplc="CDA0E918">
      <w:start w:val="1"/>
      <w:numFmt w:val="decimal"/>
      <w:lvlText w:val="%4."/>
      <w:lvlJc w:val="left"/>
      <w:pPr>
        <w:ind w:left="2880" w:hanging="360"/>
      </w:pPr>
    </w:lvl>
    <w:lvl w:ilvl="4" w:tplc="C88AD4C0">
      <w:start w:val="1"/>
      <w:numFmt w:val="lowerLetter"/>
      <w:lvlText w:val="%5."/>
      <w:lvlJc w:val="left"/>
      <w:pPr>
        <w:ind w:left="3600" w:hanging="360"/>
      </w:pPr>
    </w:lvl>
    <w:lvl w:ilvl="5" w:tplc="59186A26">
      <w:start w:val="1"/>
      <w:numFmt w:val="lowerRoman"/>
      <w:lvlText w:val="%6."/>
      <w:lvlJc w:val="right"/>
      <w:pPr>
        <w:ind w:left="4320" w:hanging="180"/>
      </w:pPr>
    </w:lvl>
    <w:lvl w:ilvl="6" w:tplc="98CC451C">
      <w:start w:val="1"/>
      <w:numFmt w:val="decimal"/>
      <w:lvlText w:val="%7."/>
      <w:lvlJc w:val="left"/>
      <w:pPr>
        <w:ind w:left="5040" w:hanging="360"/>
      </w:pPr>
    </w:lvl>
    <w:lvl w:ilvl="7" w:tplc="C7102512">
      <w:start w:val="1"/>
      <w:numFmt w:val="lowerLetter"/>
      <w:lvlText w:val="%8."/>
      <w:lvlJc w:val="left"/>
      <w:pPr>
        <w:ind w:left="5760" w:hanging="360"/>
      </w:pPr>
    </w:lvl>
    <w:lvl w:ilvl="8" w:tplc="87FE8EDA">
      <w:start w:val="1"/>
      <w:numFmt w:val="lowerRoman"/>
      <w:lvlText w:val="%9."/>
      <w:lvlJc w:val="right"/>
      <w:pPr>
        <w:ind w:left="6480" w:hanging="180"/>
      </w:pPr>
    </w:lvl>
  </w:abstractNum>
  <w:abstractNum w:abstractNumId="122" w15:restartNumberingAfterBreak="0">
    <w:nsid w:val="7DD2382A"/>
    <w:multiLevelType w:val="hybridMultilevel"/>
    <w:tmpl w:val="1A46443C"/>
    <w:lvl w:ilvl="0" w:tplc="480A0003">
      <w:start w:val="1"/>
      <w:numFmt w:val="bullet"/>
      <w:lvlText w:val="o"/>
      <w:lvlJc w:val="left"/>
      <w:pPr>
        <w:ind w:left="360" w:hanging="360"/>
      </w:pPr>
      <w:rPr>
        <w:rFonts w:ascii="Courier New" w:hAnsi="Courier New" w:cs="Courier New"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123" w15:restartNumberingAfterBreak="0">
    <w:nsid w:val="7E0A1BAA"/>
    <w:multiLevelType w:val="multilevel"/>
    <w:tmpl w:val="940C3100"/>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15:restartNumberingAfterBreak="0">
    <w:nsid w:val="7F857358"/>
    <w:multiLevelType w:val="hybridMultilevel"/>
    <w:tmpl w:val="FACC1872"/>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num w:numId="1" w16cid:durableId="957181431">
    <w:abstractNumId w:val="82"/>
  </w:num>
  <w:num w:numId="2" w16cid:durableId="2085715578">
    <w:abstractNumId w:val="21"/>
  </w:num>
  <w:num w:numId="3" w16cid:durableId="476412954">
    <w:abstractNumId w:val="115"/>
  </w:num>
  <w:num w:numId="4" w16cid:durableId="1260915364">
    <w:abstractNumId w:val="11"/>
  </w:num>
  <w:num w:numId="5" w16cid:durableId="61149386">
    <w:abstractNumId w:val="47"/>
  </w:num>
  <w:num w:numId="6" w16cid:durableId="509367907">
    <w:abstractNumId w:val="114"/>
  </w:num>
  <w:num w:numId="7" w16cid:durableId="685601372">
    <w:abstractNumId w:val="27"/>
  </w:num>
  <w:num w:numId="8" w16cid:durableId="415975225">
    <w:abstractNumId w:val="106"/>
  </w:num>
  <w:num w:numId="9" w16cid:durableId="1056315838">
    <w:abstractNumId w:val="111"/>
  </w:num>
  <w:num w:numId="10" w16cid:durableId="900025036">
    <w:abstractNumId w:val="69"/>
  </w:num>
  <w:num w:numId="11" w16cid:durableId="313486073">
    <w:abstractNumId w:val="33"/>
  </w:num>
  <w:num w:numId="12" w16cid:durableId="580793336">
    <w:abstractNumId w:val="73"/>
  </w:num>
  <w:num w:numId="13" w16cid:durableId="1898347592">
    <w:abstractNumId w:val="68"/>
  </w:num>
  <w:num w:numId="14" w16cid:durableId="1630354526">
    <w:abstractNumId w:val="29"/>
  </w:num>
  <w:num w:numId="15" w16cid:durableId="58721449">
    <w:abstractNumId w:val="97"/>
  </w:num>
  <w:num w:numId="16" w16cid:durableId="916744209">
    <w:abstractNumId w:val="45"/>
  </w:num>
  <w:num w:numId="17" w16cid:durableId="1732077041">
    <w:abstractNumId w:val="84"/>
  </w:num>
  <w:num w:numId="18" w16cid:durableId="935096867">
    <w:abstractNumId w:val="42"/>
  </w:num>
  <w:num w:numId="19" w16cid:durableId="773137849">
    <w:abstractNumId w:val="81"/>
  </w:num>
  <w:num w:numId="20" w16cid:durableId="641354108">
    <w:abstractNumId w:val="118"/>
  </w:num>
  <w:num w:numId="21" w16cid:durableId="1301618266">
    <w:abstractNumId w:val="89"/>
  </w:num>
  <w:num w:numId="22" w16cid:durableId="1160728301">
    <w:abstractNumId w:val="17"/>
  </w:num>
  <w:num w:numId="23" w16cid:durableId="1818109387">
    <w:abstractNumId w:val="120"/>
  </w:num>
  <w:num w:numId="24" w16cid:durableId="1533684284">
    <w:abstractNumId w:val="40"/>
  </w:num>
  <w:num w:numId="25" w16cid:durableId="2001618088">
    <w:abstractNumId w:val="109"/>
  </w:num>
  <w:num w:numId="26" w16cid:durableId="929848467">
    <w:abstractNumId w:val="105"/>
  </w:num>
  <w:num w:numId="27" w16cid:durableId="1688756313">
    <w:abstractNumId w:val="44"/>
  </w:num>
  <w:num w:numId="28" w16cid:durableId="889263430">
    <w:abstractNumId w:val="54"/>
  </w:num>
  <w:num w:numId="29" w16cid:durableId="1325011456">
    <w:abstractNumId w:val="55"/>
  </w:num>
  <w:num w:numId="30" w16cid:durableId="545332596">
    <w:abstractNumId w:val="98"/>
  </w:num>
  <w:num w:numId="31" w16cid:durableId="306860505">
    <w:abstractNumId w:val="92"/>
  </w:num>
  <w:num w:numId="32" w16cid:durableId="12809316">
    <w:abstractNumId w:val="12"/>
  </w:num>
  <w:num w:numId="33" w16cid:durableId="44529757">
    <w:abstractNumId w:val="36"/>
  </w:num>
  <w:num w:numId="34" w16cid:durableId="1670015951">
    <w:abstractNumId w:val="24"/>
  </w:num>
  <w:num w:numId="35" w16cid:durableId="215358563">
    <w:abstractNumId w:val="22"/>
  </w:num>
  <w:num w:numId="36" w16cid:durableId="2122258061">
    <w:abstractNumId w:val="99"/>
  </w:num>
  <w:num w:numId="37" w16cid:durableId="1724206628">
    <w:abstractNumId w:val="15"/>
  </w:num>
  <w:num w:numId="38" w16cid:durableId="1264605364">
    <w:abstractNumId w:val="34"/>
  </w:num>
  <w:num w:numId="39" w16cid:durableId="240988455">
    <w:abstractNumId w:val="23"/>
  </w:num>
  <w:num w:numId="40" w16cid:durableId="64185294">
    <w:abstractNumId w:val="51"/>
  </w:num>
  <w:num w:numId="41" w16cid:durableId="1069306103">
    <w:abstractNumId w:val="63"/>
  </w:num>
  <w:num w:numId="42" w16cid:durableId="700981915">
    <w:abstractNumId w:val="74"/>
  </w:num>
  <w:num w:numId="43" w16cid:durableId="554316891">
    <w:abstractNumId w:val="52"/>
  </w:num>
  <w:num w:numId="44" w16cid:durableId="1015808749">
    <w:abstractNumId w:val="108"/>
  </w:num>
  <w:num w:numId="45" w16cid:durableId="904611576">
    <w:abstractNumId w:val="32"/>
  </w:num>
  <w:num w:numId="46" w16cid:durableId="503403124">
    <w:abstractNumId w:val="7"/>
  </w:num>
  <w:num w:numId="47" w16cid:durableId="1395591093">
    <w:abstractNumId w:val="41"/>
  </w:num>
  <w:num w:numId="48" w16cid:durableId="1059548575">
    <w:abstractNumId w:val="90"/>
  </w:num>
  <w:num w:numId="49" w16cid:durableId="1271085660">
    <w:abstractNumId w:val="61"/>
  </w:num>
  <w:num w:numId="50" w16cid:durableId="1567955734">
    <w:abstractNumId w:val="37"/>
  </w:num>
  <w:num w:numId="51" w16cid:durableId="1578590024">
    <w:abstractNumId w:val="122"/>
  </w:num>
  <w:num w:numId="52" w16cid:durableId="1052853773">
    <w:abstractNumId w:val="95"/>
  </w:num>
  <w:num w:numId="53" w16cid:durableId="1308435002">
    <w:abstractNumId w:val="13"/>
  </w:num>
  <w:num w:numId="54" w16cid:durableId="1011446816">
    <w:abstractNumId w:val="26"/>
  </w:num>
  <w:num w:numId="55" w16cid:durableId="633098689">
    <w:abstractNumId w:val="102"/>
  </w:num>
  <w:num w:numId="56" w16cid:durableId="2093045281">
    <w:abstractNumId w:val="49"/>
  </w:num>
  <w:num w:numId="57" w16cid:durableId="803160298">
    <w:abstractNumId w:val="107"/>
  </w:num>
  <w:num w:numId="58" w16cid:durableId="249698122">
    <w:abstractNumId w:val="110"/>
  </w:num>
  <w:num w:numId="59" w16cid:durableId="634067178">
    <w:abstractNumId w:val="64"/>
  </w:num>
  <w:num w:numId="60" w16cid:durableId="1680354252">
    <w:abstractNumId w:val="16"/>
  </w:num>
  <w:num w:numId="61" w16cid:durableId="1520467835">
    <w:abstractNumId w:val="83"/>
  </w:num>
  <w:num w:numId="62" w16cid:durableId="549651638">
    <w:abstractNumId w:val="66"/>
  </w:num>
  <w:num w:numId="63" w16cid:durableId="348796771">
    <w:abstractNumId w:val="8"/>
  </w:num>
  <w:num w:numId="64" w16cid:durableId="1837957788">
    <w:abstractNumId w:val="80"/>
  </w:num>
  <w:num w:numId="65" w16cid:durableId="1823696559">
    <w:abstractNumId w:val="31"/>
  </w:num>
  <w:num w:numId="66" w16cid:durableId="1478954481">
    <w:abstractNumId w:val="94"/>
  </w:num>
  <w:num w:numId="67" w16cid:durableId="224535008">
    <w:abstractNumId w:val="48"/>
  </w:num>
  <w:num w:numId="68" w16cid:durableId="1357468598">
    <w:abstractNumId w:val="93"/>
  </w:num>
  <w:num w:numId="69" w16cid:durableId="116415032">
    <w:abstractNumId w:val="103"/>
  </w:num>
  <w:num w:numId="70" w16cid:durableId="622539164">
    <w:abstractNumId w:val="123"/>
  </w:num>
  <w:num w:numId="71" w16cid:durableId="1895776985">
    <w:abstractNumId w:val="96"/>
  </w:num>
  <w:num w:numId="72" w16cid:durableId="226040312">
    <w:abstractNumId w:val="86"/>
    <w:lvlOverride w:ilvl="0">
      <w:startOverride w:val="1"/>
    </w:lvlOverride>
    <w:lvlOverride w:ilvl="1">
      <w:startOverride w:val="1"/>
    </w:lvlOverride>
    <w:lvlOverride w:ilvl="2">
      <w:startOverride w:val="1"/>
    </w:lvlOverride>
    <w:lvlOverride w:ilvl="3"/>
    <w:lvlOverride w:ilvl="4"/>
    <w:lvlOverride w:ilvl="5"/>
    <w:lvlOverride w:ilvl="6">
      <w:startOverride w:val="1"/>
    </w:lvlOverride>
    <w:lvlOverride w:ilvl="7">
      <w:startOverride w:val="1"/>
    </w:lvlOverride>
    <w:lvlOverride w:ilvl="8">
      <w:startOverride w:val="1"/>
    </w:lvlOverride>
  </w:num>
  <w:num w:numId="73" w16cid:durableId="183818193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60877989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2749010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531723909">
    <w:abstractNumId w:val="18"/>
  </w:num>
  <w:num w:numId="77" w16cid:durableId="971327610">
    <w:abstractNumId w:val="38"/>
  </w:num>
  <w:num w:numId="78" w16cid:durableId="600144019">
    <w:abstractNumId w:val="6"/>
  </w:num>
  <w:num w:numId="79" w16cid:durableId="2007978690">
    <w:abstractNumId w:val="78"/>
  </w:num>
  <w:num w:numId="80" w16cid:durableId="1056859741">
    <w:abstractNumId w:val="87"/>
  </w:num>
  <w:num w:numId="81" w16cid:durableId="508375425">
    <w:abstractNumId w:val="65"/>
  </w:num>
  <w:num w:numId="82" w16cid:durableId="283776017">
    <w:abstractNumId w:val="35"/>
  </w:num>
  <w:num w:numId="83" w16cid:durableId="1766146676">
    <w:abstractNumId w:val="104"/>
  </w:num>
  <w:num w:numId="84" w16cid:durableId="1702900532">
    <w:abstractNumId w:val="62"/>
  </w:num>
  <w:num w:numId="85" w16cid:durableId="923801904">
    <w:abstractNumId w:val="9"/>
  </w:num>
  <w:num w:numId="86" w16cid:durableId="604504877">
    <w:abstractNumId w:val="19"/>
  </w:num>
  <w:num w:numId="87" w16cid:durableId="702024875">
    <w:abstractNumId w:val="124"/>
  </w:num>
  <w:num w:numId="88" w16cid:durableId="1272202896">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93535917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111705724">
    <w:abstractNumId w:val="10"/>
  </w:num>
  <w:num w:numId="91" w16cid:durableId="1018120570">
    <w:abstractNumId w:val="119"/>
  </w:num>
  <w:num w:numId="92" w16cid:durableId="1013458369">
    <w:abstractNumId w:val="75"/>
  </w:num>
  <w:num w:numId="93" w16cid:durableId="1540506051">
    <w:abstractNumId w:val="72"/>
  </w:num>
  <w:num w:numId="94" w16cid:durableId="684401793">
    <w:abstractNumId w:val="91"/>
  </w:num>
  <w:num w:numId="95" w16cid:durableId="1394618523">
    <w:abstractNumId w:val="85"/>
  </w:num>
  <w:num w:numId="96" w16cid:durableId="555432116">
    <w:abstractNumId w:val="67"/>
  </w:num>
  <w:num w:numId="97" w16cid:durableId="224882015">
    <w:abstractNumId w:val="112"/>
  </w:num>
  <w:num w:numId="98" w16cid:durableId="1406026160">
    <w:abstractNumId w:val="14"/>
  </w:num>
  <w:num w:numId="99" w16cid:durableId="1443647890">
    <w:abstractNumId w:val="101"/>
  </w:num>
  <w:num w:numId="100" w16cid:durableId="42759834">
    <w:abstractNumId w:val="113"/>
  </w:num>
  <w:num w:numId="101" w16cid:durableId="1574927971">
    <w:abstractNumId w:val="57"/>
  </w:num>
  <w:num w:numId="102" w16cid:durableId="1673415280">
    <w:abstractNumId w:val="58"/>
  </w:num>
  <w:num w:numId="103" w16cid:durableId="1754089474">
    <w:abstractNumId w:val="77"/>
  </w:num>
  <w:num w:numId="104" w16cid:durableId="1373307315">
    <w:abstractNumId w:val="2"/>
  </w:num>
  <w:num w:numId="105" w16cid:durableId="1685327663">
    <w:abstractNumId w:val="116"/>
  </w:num>
  <w:num w:numId="106" w16cid:durableId="678584851">
    <w:abstractNumId w:val="28"/>
  </w:num>
  <w:num w:numId="107" w16cid:durableId="1166483859">
    <w:abstractNumId w:val="3"/>
  </w:num>
  <w:num w:numId="108" w16cid:durableId="1210997692">
    <w:abstractNumId w:val="5"/>
  </w:num>
  <w:num w:numId="109" w16cid:durableId="329255459">
    <w:abstractNumId w:val="1"/>
  </w:num>
  <w:num w:numId="110" w16cid:durableId="1818063374">
    <w:abstractNumId w:val="4"/>
  </w:num>
  <w:num w:numId="111" w16cid:durableId="185758551">
    <w:abstractNumId w:val="56"/>
  </w:num>
  <w:num w:numId="112" w16cid:durableId="1529104924">
    <w:abstractNumId w:val="0"/>
  </w:num>
  <w:num w:numId="113" w16cid:durableId="1448351062">
    <w:abstractNumId w:val="43"/>
  </w:num>
  <w:num w:numId="114" w16cid:durableId="525094315">
    <w:abstractNumId w:val="53"/>
  </w:num>
  <w:num w:numId="115" w16cid:durableId="767316093">
    <w:abstractNumId w:val="79"/>
  </w:num>
  <w:num w:numId="116" w16cid:durableId="325864573">
    <w:abstractNumId w:val="46"/>
  </w:num>
  <w:num w:numId="117" w16cid:durableId="99303459">
    <w:abstractNumId w:val="71"/>
  </w:num>
  <w:num w:numId="118" w16cid:durableId="2121216886">
    <w:abstractNumId w:val="59"/>
  </w:num>
  <w:num w:numId="119" w16cid:durableId="287664598">
    <w:abstractNumId w:val="50"/>
  </w:num>
  <w:num w:numId="120" w16cid:durableId="1657683858">
    <w:abstractNumId w:val="30"/>
  </w:num>
  <w:num w:numId="121" w16cid:durableId="1840805969">
    <w:abstractNumId w:val="20"/>
  </w:num>
  <w:num w:numId="122" w16cid:durableId="1707869065">
    <w:abstractNumId w:val="60"/>
  </w:num>
  <w:num w:numId="123" w16cid:durableId="1989900306">
    <w:abstractNumId w:val="100"/>
  </w:num>
  <w:num w:numId="124" w16cid:durableId="1260021376">
    <w:abstractNumId w:val="39"/>
  </w:num>
  <w:num w:numId="125" w16cid:durableId="1793939265">
    <w:abstractNumId w:val="76"/>
  </w:num>
  <w:num w:numId="126" w16cid:durableId="919368574">
    <w:abstractNumId w:val="88"/>
  </w:num>
  <w:num w:numId="127" w16cid:durableId="914976689">
    <w:abstractNumId w:val="121"/>
  </w:num>
  <w:num w:numId="128" w16cid:durableId="217598362">
    <w:abstractNumId w:val="70"/>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DBC"/>
    <w:rsid w:val="0000017E"/>
    <w:rsid w:val="00001CD7"/>
    <w:rsid w:val="00004CE8"/>
    <w:rsid w:val="00007DC3"/>
    <w:rsid w:val="000103E1"/>
    <w:rsid w:val="00016847"/>
    <w:rsid w:val="000207DE"/>
    <w:rsid w:val="000234F3"/>
    <w:rsid w:val="00025FC1"/>
    <w:rsid w:val="0003094F"/>
    <w:rsid w:val="000324BE"/>
    <w:rsid w:val="000449A1"/>
    <w:rsid w:val="00045FFB"/>
    <w:rsid w:val="00057429"/>
    <w:rsid w:val="0006692B"/>
    <w:rsid w:val="0006757B"/>
    <w:rsid w:val="00074818"/>
    <w:rsid w:val="0007773E"/>
    <w:rsid w:val="000824E9"/>
    <w:rsid w:val="00082610"/>
    <w:rsid w:val="000828A0"/>
    <w:rsid w:val="0008376B"/>
    <w:rsid w:val="000868A4"/>
    <w:rsid w:val="000877D1"/>
    <w:rsid w:val="00093752"/>
    <w:rsid w:val="000A02A3"/>
    <w:rsid w:val="000A25DD"/>
    <w:rsid w:val="000A5680"/>
    <w:rsid w:val="000A703C"/>
    <w:rsid w:val="000B1B13"/>
    <w:rsid w:val="000B2463"/>
    <w:rsid w:val="000B7B90"/>
    <w:rsid w:val="000C062F"/>
    <w:rsid w:val="000C2E52"/>
    <w:rsid w:val="000D0F55"/>
    <w:rsid w:val="000D6ED2"/>
    <w:rsid w:val="000D7FA0"/>
    <w:rsid w:val="000E4ED8"/>
    <w:rsid w:val="000E6D86"/>
    <w:rsid w:val="000F0257"/>
    <w:rsid w:val="000F1DEF"/>
    <w:rsid w:val="000F20D9"/>
    <w:rsid w:val="000F3C4E"/>
    <w:rsid w:val="0010527E"/>
    <w:rsid w:val="00111875"/>
    <w:rsid w:val="00111A5F"/>
    <w:rsid w:val="00113EA1"/>
    <w:rsid w:val="00114A55"/>
    <w:rsid w:val="00124F61"/>
    <w:rsid w:val="001338EF"/>
    <w:rsid w:val="00134AAC"/>
    <w:rsid w:val="001574F5"/>
    <w:rsid w:val="00157FEE"/>
    <w:rsid w:val="001616DF"/>
    <w:rsid w:val="00163A7A"/>
    <w:rsid w:val="00167FDE"/>
    <w:rsid w:val="00171A35"/>
    <w:rsid w:val="00176300"/>
    <w:rsid w:val="00177AA4"/>
    <w:rsid w:val="00191047"/>
    <w:rsid w:val="00192B47"/>
    <w:rsid w:val="00194791"/>
    <w:rsid w:val="00195C4B"/>
    <w:rsid w:val="00197FFC"/>
    <w:rsid w:val="001A18CB"/>
    <w:rsid w:val="001A5A62"/>
    <w:rsid w:val="001A6DAE"/>
    <w:rsid w:val="001B16AB"/>
    <w:rsid w:val="001B1986"/>
    <w:rsid w:val="001B4B03"/>
    <w:rsid w:val="001B4D8F"/>
    <w:rsid w:val="001C5243"/>
    <w:rsid w:val="001C5CB3"/>
    <w:rsid w:val="001C62E4"/>
    <w:rsid w:val="001C6A5F"/>
    <w:rsid w:val="001D2A53"/>
    <w:rsid w:val="001D2A9D"/>
    <w:rsid w:val="001D2CF5"/>
    <w:rsid w:val="001E22ED"/>
    <w:rsid w:val="001E6CFE"/>
    <w:rsid w:val="001E7261"/>
    <w:rsid w:val="001E7B91"/>
    <w:rsid w:val="001F0B9D"/>
    <w:rsid w:val="001F565D"/>
    <w:rsid w:val="001FA0FE"/>
    <w:rsid w:val="00205C7B"/>
    <w:rsid w:val="00206355"/>
    <w:rsid w:val="00214545"/>
    <w:rsid w:val="002147FA"/>
    <w:rsid w:val="00221FA5"/>
    <w:rsid w:val="00224562"/>
    <w:rsid w:val="00235CE2"/>
    <w:rsid w:val="00243869"/>
    <w:rsid w:val="00255F1C"/>
    <w:rsid w:val="00256AF3"/>
    <w:rsid w:val="002619EE"/>
    <w:rsid w:val="0026205E"/>
    <w:rsid w:val="00270B08"/>
    <w:rsid w:val="002729D8"/>
    <w:rsid w:val="00272C4F"/>
    <w:rsid w:val="00276F2B"/>
    <w:rsid w:val="00277C93"/>
    <w:rsid w:val="00280FE8"/>
    <w:rsid w:val="00286CF1"/>
    <w:rsid w:val="00290E1E"/>
    <w:rsid w:val="00295E5A"/>
    <w:rsid w:val="00297CF9"/>
    <w:rsid w:val="002A08DB"/>
    <w:rsid w:val="002A1616"/>
    <w:rsid w:val="002A3033"/>
    <w:rsid w:val="002A3C94"/>
    <w:rsid w:val="002A7423"/>
    <w:rsid w:val="002B4A85"/>
    <w:rsid w:val="002B7276"/>
    <w:rsid w:val="002C75DD"/>
    <w:rsid w:val="002D41FB"/>
    <w:rsid w:val="002D460B"/>
    <w:rsid w:val="002D5FF4"/>
    <w:rsid w:val="002D6A45"/>
    <w:rsid w:val="002E10D3"/>
    <w:rsid w:val="002E12A7"/>
    <w:rsid w:val="002E1B0A"/>
    <w:rsid w:val="002E5FCE"/>
    <w:rsid w:val="002F6D3F"/>
    <w:rsid w:val="002F7559"/>
    <w:rsid w:val="003029D7"/>
    <w:rsid w:val="00306562"/>
    <w:rsid w:val="003126E6"/>
    <w:rsid w:val="00315957"/>
    <w:rsid w:val="003168C7"/>
    <w:rsid w:val="003232AE"/>
    <w:rsid w:val="0032764B"/>
    <w:rsid w:val="003326A0"/>
    <w:rsid w:val="00335245"/>
    <w:rsid w:val="003364F7"/>
    <w:rsid w:val="0033690B"/>
    <w:rsid w:val="00337DD6"/>
    <w:rsid w:val="00342ED7"/>
    <w:rsid w:val="00343D66"/>
    <w:rsid w:val="00345968"/>
    <w:rsid w:val="00346377"/>
    <w:rsid w:val="0034689C"/>
    <w:rsid w:val="00346D1C"/>
    <w:rsid w:val="00352939"/>
    <w:rsid w:val="00356651"/>
    <w:rsid w:val="003578A1"/>
    <w:rsid w:val="003639EA"/>
    <w:rsid w:val="003676FA"/>
    <w:rsid w:val="0037198C"/>
    <w:rsid w:val="00376049"/>
    <w:rsid w:val="003806CD"/>
    <w:rsid w:val="00381486"/>
    <w:rsid w:val="00383615"/>
    <w:rsid w:val="00384068"/>
    <w:rsid w:val="003842CC"/>
    <w:rsid w:val="00394626"/>
    <w:rsid w:val="00395861"/>
    <w:rsid w:val="003A0575"/>
    <w:rsid w:val="003A2FDE"/>
    <w:rsid w:val="003A399D"/>
    <w:rsid w:val="003B2664"/>
    <w:rsid w:val="003B4DD8"/>
    <w:rsid w:val="003C0630"/>
    <w:rsid w:val="003C6C8B"/>
    <w:rsid w:val="003D32FC"/>
    <w:rsid w:val="003D4667"/>
    <w:rsid w:val="003D5E43"/>
    <w:rsid w:val="003D759B"/>
    <w:rsid w:val="003E16AA"/>
    <w:rsid w:val="003E51E4"/>
    <w:rsid w:val="003E5286"/>
    <w:rsid w:val="003F2AF3"/>
    <w:rsid w:val="00405AAF"/>
    <w:rsid w:val="00411720"/>
    <w:rsid w:val="004141A0"/>
    <w:rsid w:val="0041522F"/>
    <w:rsid w:val="0042239F"/>
    <w:rsid w:val="00423A79"/>
    <w:rsid w:val="00424F53"/>
    <w:rsid w:val="00425D64"/>
    <w:rsid w:val="00431F08"/>
    <w:rsid w:val="00433D3A"/>
    <w:rsid w:val="00460C21"/>
    <w:rsid w:val="00462F49"/>
    <w:rsid w:val="004662A9"/>
    <w:rsid w:val="004841E4"/>
    <w:rsid w:val="00486091"/>
    <w:rsid w:val="004870A2"/>
    <w:rsid w:val="00487AAB"/>
    <w:rsid w:val="0049069F"/>
    <w:rsid w:val="004910C5"/>
    <w:rsid w:val="004A3A31"/>
    <w:rsid w:val="004A4FBC"/>
    <w:rsid w:val="004B01A5"/>
    <w:rsid w:val="004B310B"/>
    <w:rsid w:val="004B3DA6"/>
    <w:rsid w:val="004B4716"/>
    <w:rsid w:val="004B6E56"/>
    <w:rsid w:val="004C0F76"/>
    <w:rsid w:val="004C3E79"/>
    <w:rsid w:val="004D0EAB"/>
    <w:rsid w:val="004D1591"/>
    <w:rsid w:val="004D7A39"/>
    <w:rsid w:val="004E2A0C"/>
    <w:rsid w:val="004E77F5"/>
    <w:rsid w:val="004F479A"/>
    <w:rsid w:val="00501099"/>
    <w:rsid w:val="00505A7E"/>
    <w:rsid w:val="00507819"/>
    <w:rsid w:val="00507CE3"/>
    <w:rsid w:val="00507D3D"/>
    <w:rsid w:val="005145C2"/>
    <w:rsid w:val="00515C17"/>
    <w:rsid w:val="00526050"/>
    <w:rsid w:val="005268F9"/>
    <w:rsid w:val="005274C8"/>
    <w:rsid w:val="00531C74"/>
    <w:rsid w:val="005340DB"/>
    <w:rsid w:val="0053513D"/>
    <w:rsid w:val="005355F4"/>
    <w:rsid w:val="00537B35"/>
    <w:rsid w:val="0054358B"/>
    <w:rsid w:val="00546010"/>
    <w:rsid w:val="005547ED"/>
    <w:rsid w:val="0055560D"/>
    <w:rsid w:val="00557C91"/>
    <w:rsid w:val="00563BAC"/>
    <w:rsid w:val="00567E90"/>
    <w:rsid w:val="00570785"/>
    <w:rsid w:val="00571055"/>
    <w:rsid w:val="00574387"/>
    <w:rsid w:val="00582CC1"/>
    <w:rsid w:val="00583218"/>
    <w:rsid w:val="0058380A"/>
    <w:rsid w:val="00586741"/>
    <w:rsid w:val="00594B0B"/>
    <w:rsid w:val="005958CF"/>
    <w:rsid w:val="005A0A3D"/>
    <w:rsid w:val="005A1730"/>
    <w:rsid w:val="005A4D9C"/>
    <w:rsid w:val="005B0063"/>
    <w:rsid w:val="005B0BD1"/>
    <w:rsid w:val="005B1843"/>
    <w:rsid w:val="005B1A61"/>
    <w:rsid w:val="005B3B4F"/>
    <w:rsid w:val="005B5AED"/>
    <w:rsid w:val="005C59B3"/>
    <w:rsid w:val="005D0E86"/>
    <w:rsid w:val="005D644A"/>
    <w:rsid w:val="005D7A5B"/>
    <w:rsid w:val="005D7F0C"/>
    <w:rsid w:val="005E377A"/>
    <w:rsid w:val="005E3D52"/>
    <w:rsid w:val="005E4DFD"/>
    <w:rsid w:val="005E7790"/>
    <w:rsid w:val="005F0DEC"/>
    <w:rsid w:val="005F44B0"/>
    <w:rsid w:val="005F4A92"/>
    <w:rsid w:val="00610223"/>
    <w:rsid w:val="00613DED"/>
    <w:rsid w:val="0061577A"/>
    <w:rsid w:val="006162D7"/>
    <w:rsid w:val="00616E17"/>
    <w:rsid w:val="00617565"/>
    <w:rsid w:val="00617DA5"/>
    <w:rsid w:val="0062506D"/>
    <w:rsid w:val="00626B86"/>
    <w:rsid w:val="00640BD4"/>
    <w:rsid w:val="00641577"/>
    <w:rsid w:val="00641B76"/>
    <w:rsid w:val="006439D2"/>
    <w:rsid w:val="00647672"/>
    <w:rsid w:val="00651FD0"/>
    <w:rsid w:val="00654F8E"/>
    <w:rsid w:val="006623A4"/>
    <w:rsid w:val="00666706"/>
    <w:rsid w:val="006676EE"/>
    <w:rsid w:val="00670813"/>
    <w:rsid w:val="00674A29"/>
    <w:rsid w:val="00682DCC"/>
    <w:rsid w:val="00691217"/>
    <w:rsid w:val="006961E1"/>
    <w:rsid w:val="00696341"/>
    <w:rsid w:val="006A0175"/>
    <w:rsid w:val="006A110F"/>
    <w:rsid w:val="006A2145"/>
    <w:rsid w:val="006A3DBC"/>
    <w:rsid w:val="006A4039"/>
    <w:rsid w:val="006B147F"/>
    <w:rsid w:val="006B3F08"/>
    <w:rsid w:val="006B4013"/>
    <w:rsid w:val="006B7940"/>
    <w:rsid w:val="006C4F6E"/>
    <w:rsid w:val="006C6942"/>
    <w:rsid w:val="006D268E"/>
    <w:rsid w:val="006D2E47"/>
    <w:rsid w:val="006E075C"/>
    <w:rsid w:val="006E675E"/>
    <w:rsid w:val="006E6A16"/>
    <w:rsid w:val="006F1EFC"/>
    <w:rsid w:val="006F31CC"/>
    <w:rsid w:val="006F765C"/>
    <w:rsid w:val="00700EA1"/>
    <w:rsid w:val="007025DF"/>
    <w:rsid w:val="0070572C"/>
    <w:rsid w:val="00707FCD"/>
    <w:rsid w:val="007102B5"/>
    <w:rsid w:val="0071059D"/>
    <w:rsid w:val="00713C08"/>
    <w:rsid w:val="007148BC"/>
    <w:rsid w:val="00716FFF"/>
    <w:rsid w:val="0071781D"/>
    <w:rsid w:val="00717B04"/>
    <w:rsid w:val="00720C2A"/>
    <w:rsid w:val="00721040"/>
    <w:rsid w:val="00723110"/>
    <w:rsid w:val="00727EBB"/>
    <w:rsid w:val="00733919"/>
    <w:rsid w:val="00734383"/>
    <w:rsid w:val="00737D83"/>
    <w:rsid w:val="00743DB3"/>
    <w:rsid w:val="00756FFB"/>
    <w:rsid w:val="0076421E"/>
    <w:rsid w:val="0076708A"/>
    <w:rsid w:val="007703ED"/>
    <w:rsid w:val="00771180"/>
    <w:rsid w:val="007775DB"/>
    <w:rsid w:val="00777DBA"/>
    <w:rsid w:val="00781015"/>
    <w:rsid w:val="007857D7"/>
    <w:rsid w:val="00790B69"/>
    <w:rsid w:val="007912D2"/>
    <w:rsid w:val="00792F9D"/>
    <w:rsid w:val="007A1C92"/>
    <w:rsid w:val="007A1D1C"/>
    <w:rsid w:val="007A74DE"/>
    <w:rsid w:val="007B0411"/>
    <w:rsid w:val="007C0C03"/>
    <w:rsid w:val="007C3234"/>
    <w:rsid w:val="007C78E6"/>
    <w:rsid w:val="007E4391"/>
    <w:rsid w:val="007F4D40"/>
    <w:rsid w:val="00803454"/>
    <w:rsid w:val="008047B3"/>
    <w:rsid w:val="0081108E"/>
    <w:rsid w:val="00811897"/>
    <w:rsid w:val="00811CA8"/>
    <w:rsid w:val="00813A52"/>
    <w:rsid w:val="00813D0E"/>
    <w:rsid w:val="00816354"/>
    <w:rsid w:val="008217BC"/>
    <w:rsid w:val="008270E2"/>
    <w:rsid w:val="008320C0"/>
    <w:rsid w:val="00832A2D"/>
    <w:rsid w:val="00834594"/>
    <w:rsid w:val="00836A72"/>
    <w:rsid w:val="00837CAB"/>
    <w:rsid w:val="00842199"/>
    <w:rsid w:val="0085016B"/>
    <w:rsid w:val="00850CBC"/>
    <w:rsid w:val="00852653"/>
    <w:rsid w:val="00856B8B"/>
    <w:rsid w:val="00861571"/>
    <w:rsid w:val="00866CAA"/>
    <w:rsid w:val="00866FBB"/>
    <w:rsid w:val="008747C1"/>
    <w:rsid w:val="00875B9C"/>
    <w:rsid w:val="008822F8"/>
    <w:rsid w:val="00882BCA"/>
    <w:rsid w:val="00883042"/>
    <w:rsid w:val="00884DD0"/>
    <w:rsid w:val="00887925"/>
    <w:rsid w:val="00891BDD"/>
    <w:rsid w:val="00895306"/>
    <w:rsid w:val="008969D7"/>
    <w:rsid w:val="00897C01"/>
    <w:rsid w:val="00897C39"/>
    <w:rsid w:val="008A05E4"/>
    <w:rsid w:val="008A114D"/>
    <w:rsid w:val="008A2692"/>
    <w:rsid w:val="008A36FD"/>
    <w:rsid w:val="008A6560"/>
    <w:rsid w:val="008A7385"/>
    <w:rsid w:val="008B0FEF"/>
    <w:rsid w:val="008B204B"/>
    <w:rsid w:val="008B63BB"/>
    <w:rsid w:val="008C4273"/>
    <w:rsid w:val="008C7CE9"/>
    <w:rsid w:val="008D3742"/>
    <w:rsid w:val="008D411D"/>
    <w:rsid w:val="008D57E8"/>
    <w:rsid w:val="008D5DD5"/>
    <w:rsid w:val="008D67C7"/>
    <w:rsid w:val="008E491F"/>
    <w:rsid w:val="008E7C42"/>
    <w:rsid w:val="008F021C"/>
    <w:rsid w:val="008F2C5E"/>
    <w:rsid w:val="008F47CC"/>
    <w:rsid w:val="00902B1D"/>
    <w:rsid w:val="00903011"/>
    <w:rsid w:val="00906111"/>
    <w:rsid w:val="00907660"/>
    <w:rsid w:val="0091447E"/>
    <w:rsid w:val="00924CD4"/>
    <w:rsid w:val="00931789"/>
    <w:rsid w:val="009318F8"/>
    <w:rsid w:val="009402B4"/>
    <w:rsid w:val="009456BF"/>
    <w:rsid w:val="00954618"/>
    <w:rsid w:val="00957B30"/>
    <w:rsid w:val="00964B06"/>
    <w:rsid w:val="009662E6"/>
    <w:rsid w:val="0097036A"/>
    <w:rsid w:val="0098222B"/>
    <w:rsid w:val="009860C1"/>
    <w:rsid w:val="00986AFB"/>
    <w:rsid w:val="00996806"/>
    <w:rsid w:val="009971E1"/>
    <w:rsid w:val="009972CB"/>
    <w:rsid w:val="009A4773"/>
    <w:rsid w:val="009A5963"/>
    <w:rsid w:val="009A6DE9"/>
    <w:rsid w:val="009B189D"/>
    <w:rsid w:val="009B6DA7"/>
    <w:rsid w:val="009C0D20"/>
    <w:rsid w:val="009C2E29"/>
    <w:rsid w:val="009E1471"/>
    <w:rsid w:val="009E24D3"/>
    <w:rsid w:val="009E342E"/>
    <w:rsid w:val="009E3D23"/>
    <w:rsid w:val="009E6F63"/>
    <w:rsid w:val="009F53BB"/>
    <w:rsid w:val="009F69CB"/>
    <w:rsid w:val="00A010EE"/>
    <w:rsid w:val="00A033EE"/>
    <w:rsid w:val="00A1529E"/>
    <w:rsid w:val="00A15D3B"/>
    <w:rsid w:val="00A20261"/>
    <w:rsid w:val="00A21540"/>
    <w:rsid w:val="00A25F52"/>
    <w:rsid w:val="00A26608"/>
    <w:rsid w:val="00A26784"/>
    <w:rsid w:val="00A33503"/>
    <w:rsid w:val="00A43D98"/>
    <w:rsid w:val="00A43F19"/>
    <w:rsid w:val="00A47D81"/>
    <w:rsid w:val="00A549E7"/>
    <w:rsid w:val="00A56C09"/>
    <w:rsid w:val="00A73790"/>
    <w:rsid w:val="00A73B7A"/>
    <w:rsid w:val="00A75D8B"/>
    <w:rsid w:val="00A76FAA"/>
    <w:rsid w:val="00A81B72"/>
    <w:rsid w:val="00A84263"/>
    <w:rsid w:val="00A9263E"/>
    <w:rsid w:val="00A9326E"/>
    <w:rsid w:val="00A93D65"/>
    <w:rsid w:val="00A94AF6"/>
    <w:rsid w:val="00A9575E"/>
    <w:rsid w:val="00A95C18"/>
    <w:rsid w:val="00AA1F55"/>
    <w:rsid w:val="00AA7B5C"/>
    <w:rsid w:val="00AB2D90"/>
    <w:rsid w:val="00AB6D90"/>
    <w:rsid w:val="00AB7B4D"/>
    <w:rsid w:val="00AC0CC3"/>
    <w:rsid w:val="00AC4EF4"/>
    <w:rsid w:val="00AC6A20"/>
    <w:rsid w:val="00AC6A26"/>
    <w:rsid w:val="00AD15DC"/>
    <w:rsid w:val="00AE018E"/>
    <w:rsid w:val="00AE2590"/>
    <w:rsid w:val="00AE7BC7"/>
    <w:rsid w:val="00AF0A0E"/>
    <w:rsid w:val="00AF23C5"/>
    <w:rsid w:val="00B07AF6"/>
    <w:rsid w:val="00B07BA6"/>
    <w:rsid w:val="00B1167F"/>
    <w:rsid w:val="00B11EFF"/>
    <w:rsid w:val="00B13714"/>
    <w:rsid w:val="00B16ED1"/>
    <w:rsid w:val="00B203A5"/>
    <w:rsid w:val="00B207FC"/>
    <w:rsid w:val="00B310BA"/>
    <w:rsid w:val="00B348AC"/>
    <w:rsid w:val="00B351B5"/>
    <w:rsid w:val="00B413E3"/>
    <w:rsid w:val="00B441C9"/>
    <w:rsid w:val="00B442B6"/>
    <w:rsid w:val="00B45D22"/>
    <w:rsid w:val="00B45FDB"/>
    <w:rsid w:val="00B478A0"/>
    <w:rsid w:val="00B522D2"/>
    <w:rsid w:val="00B52936"/>
    <w:rsid w:val="00B53789"/>
    <w:rsid w:val="00B538C2"/>
    <w:rsid w:val="00B631E4"/>
    <w:rsid w:val="00B67117"/>
    <w:rsid w:val="00B742AE"/>
    <w:rsid w:val="00B80656"/>
    <w:rsid w:val="00B8268E"/>
    <w:rsid w:val="00B87795"/>
    <w:rsid w:val="00B953A1"/>
    <w:rsid w:val="00B962F3"/>
    <w:rsid w:val="00BA25E1"/>
    <w:rsid w:val="00BA614E"/>
    <w:rsid w:val="00BA6359"/>
    <w:rsid w:val="00BA73A5"/>
    <w:rsid w:val="00BB0D25"/>
    <w:rsid w:val="00BB4887"/>
    <w:rsid w:val="00BB5B3E"/>
    <w:rsid w:val="00BC21EB"/>
    <w:rsid w:val="00BC353C"/>
    <w:rsid w:val="00BC368F"/>
    <w:rsid w:val="00BC706F"/>
    <w:rsid w:val="00BC7886"/>
    <w:rsid w:val="00BC7A82"/>
    <w:rsid w:val="00BD141B"/>
    <w:rsid w:val="00BD3D63"/>
    <w:rsid w:val="00BD5886"/>
    <w:rsid w:val="00BE06A1"/>
    <w:rsid w:val="00BE2457"/>
    <w:rsid w:val="00BE6D5E"/>
    <w:rsid w:val="00BF4BCA"/>
    <w:rsid w:val="00C01FEF"/>
    <w:rsid w:val="00C039A0"/>
    <w:rsid w:val="00C2176D"/>
    <w:rsid w:val="00C24D0B"/>
    <w:rsid w:val="00C27E4F"/>
    <w:rsid w:val="00C30F60"/>
    <w:rsid w:val="00C344FD"/>
    <w:rsid w:val="00C34F7A"/>
    <w:rsid w:val="00C3565C"/>
    <w:rsid w:val="00C417AA"/>
    <w:rsid w:val="00C42C95"/>
    <w:rsid w:val="00C450D9"/>
    <w:rsid w:val="00C46AC4"/>
    <w:rsid w:val="00C54F55"/>
    <w:rsid w:val="00C57D5A"/>
    <w:rsid w:val="00C61ABF"/>
    <w:rsid w:val="00C636C1"/>
    <w:rsid w:val="00C67A21"/>
    <w:rsid w:val="00C70746"/>
    <w:rsid w:val="00C720D8"/>
    <w:rsid w:val="00C7375B"/>
    <w:rsid w:val="00C74CC2"/>
    <w:rsid w:val="00C77BA3"/>
    <w:rsid w:val="00C81834"/>
    <w:rsid w:val="00C84AD6"/>
    <w:rsid w:val="00C863B8"/>
    <w:rsid w:val="00C903AF"/>
    <w:rsid w:val="00C9190E"/>
    <w:rsid w:val="00C92F63"/>
    <w:rsid w:val="00C95282"/>
    <w:rsid w:val="00C96ACE"/>
    <w:rsid w:val="00C9765F"/>
    <w:rsid w:val="00CA3A2D"/>
    <w:rsid w:val="00CA5E14"/>
    <w:rsid w:val="00CB6161"/>
    <w:rsid w:val="00CB7ADA"/>
    <w:rsid w:val="00CC3498"/>
    <w:rsid w:val="00CC48C1"/>
    <w:rsid w:val="00CC4E42"/>
    <w:rsid w:val="00CC7E1C"/>
    <w:rsid w:val="00CD5A3D"/>
    <w:rsid w:val="00CE14DE"/>
    <w:rsid w:val="00CE1DE7"/>
    <w:rsid w:val="00CE4DEC"/>
    <w:rsid w:val="00CE770C"/>
    <w:rsid w:val="00CF0B97"/>
    <w:rsid w:val="00CF0F96"/>
    <w:rsid w:val="00CF4658"/>
    <w:rsid w:val="00CF4E29"/>
    <w:rsid w:val="00D0630F"/>
    <w:rsid w:val="00D2214D"/>
    <w:rsid w:val="00D22C97"/>
    <w:rsid w:val="00D243FC"/>
    <w:rsid w:val="00D24ACA"/>
    <w:rsid w:val="00D259DE"/>
    <w:rsid w:val="00D2687B"/>
    <w:rsid w:val="00D30988"/>
    <w:rsid w:val="00D32C13"/>
    <w:rsid w:val="00D333BA"/>
    <w:rsid w:val="00D33788"/>
    <w:rsid w:val="00D3758A"/>
    <w:rsid w:val="00D51D6E"/>
    <w:rsid w:val="00D536D0"/>
    <w:rsid w:val="00D6295D"/>
    <w:rsid w:val="00D64397"/>
    <w:rsid w:val="00D67B3C"/>
    <w:rsid w:val="00D70290"/>
    <w:rsid w:val="00D7178E"/>
    <w:rsid w:val="00D76555"/>
    <w:rsid w:val="00D836EA"/>
    <w:rsid w:val="00D87A32"/>
    <w:rsid w:val="00D90CFF"/>
    <w:rsid w:val="00D9647D"/>
    <w:rsid w:val="00DA186B"/>
    <w:rsid w:val="00DA7209"/>
    <w:rsid w:val="00DB1CDB"/>
    <w:rsid w:val="00DB642B"/>
    <w:rsid w:val="00DB720B"/>
    <w:rsid w:val="00DC2773"/>
    <w:rsid w:val="00DD0853"/>
    <w:rsid w:val="00DD1BAC"/>
    <w:rsid w:val="00DD327B"/>
    <w:rsid w:val="00DD6D99"/>
    <w:rsid w:val="00DD7742"/>
    <w:rsid w:val="00DD7838"/>
    <w:rsid w:val="00DE046C"/>
    <w:rsid w:val="00DE5ACA"/>
    <w:rsid w:val="00DF2A4E"/>
    <w:rsid w:val="00DF301E"/>
    <w:rsid w:val="00DF7059"/>
    <w:rsid w:val="00E02FC3"/>
    <w:rsid w:val="00E039B7"/>
    <w:rsid w:val="00E0513E"/>
    <w:rsid w:val="00E055EA"/>
    <w:rsid w:val="00E069C6"/>
    <w:rsid w:val="00E11023"/>
    <w:rsid w:val="00E12984"/>
    <w:rsid w:val="00E12EB7"/>
    <w:rsid w:val="00E13BBE"/>
    <w:rsid w:val="00E15D71"/>
    <w:rsid w:val="00E24BB7"/>
    <w:rsid w:val="00E26F29"/>
    <w:rsid w:val="00E341F2"/>
    <w:rsid w:val="00E409E1"/>
    <w:rsid w:val="00E41B0C"/>
    <w:rsid w:val="00E46207"/>
    <w:rsid w:val="00E47EBB"/>
    <w:rsid w:val="00E53A08"/>
    <w:rsid w:val="00E558D2"/>
    <w:rsid w:val="00E62A62"/>
    <w:rsid w:val="00E63820"/>
    <w:rsid w:val="00E650DF"/>
    <w:rsid w:val="00E674E6"/>
    <w:rsid w:val="00E67573"/>
    <w:rsid w:val="00E74505"/>
    <w:rsid w:val="00E75284"/>
    <w:rsid w:val="00E7639D"/>
    <w:rsid w:val="00E823AE"/>
    <w:rsid w:val="00E90037"/>
    <w:rsid w:val="00EA5078"/>
    <w:rsid w:val="00EB000E"/>
    <w:rsid w:val="00EB3BE3"/>
    <w:rsid w:val="00EB6102"/>
    <w:rsid w:val="00EC118A"/>
    <w:rsid w:val="00EC6B15"/>
    <w:rsid w:val="00ED5924"/>
    <w:rsid w:val="00EE3569"/>
    <w:rsid w:val="00EE384B"/>
    <w:rsid w:val="00EE50E2"/>
    <w:rsid w:val="00EE74F6"/>
    <w:rsid w:val="00EF0838"/>
    <w:rsid w:val="00EF13FC"/>
    <w:rsid w:val="00EF4C41"/>
    <w:rsid w:val="00EF7331"/>
    <w:rsid w:val="00F0211C"/>
    <w:rsid w:val="00F113B3"/>
    <w:rsid w:val="00F118B2"/>
    <w:rsid w:val="00F11B53"/>
    <w:rsid w:val="00F1299C"/>
    <w:rsid w:val="00F17653"/>
    <w:rsid w:val="00F1798C"/>
    <w:rsid w:val="00F24F2B"/>
    <w:rsid w:val="00F274B0"/>
    <w:rsid w:val="00F329B8"/>
    <w:rsid w:val="00F41C34"/>
    <w:rsid w:val="00F43384"/>
    <w:rsid w:val="00F5372F"/>
    <w:rsid w:val="00F53FC3"/>
    <w:rsid w:val="00F62B66"/>
    <w:rsid w:val="00F64589"/>
    <w:rsid w:val="00F71D5D"/>
    <w:rsid w:val="00F83179"/>
    <w:rsid w:val="00F90B0D"/>
    <w:rsid w:val="00F93A5D"/>
    <w:rsid w:val="00F94AC4"/>
    <w:rsid w:val="00F958E0"/>
    <w:rsid w:val="00FA2E2D"/>
    <w:rsid w:val="00FA4B2D"/>
    <w:rsid w:val="00FB427D"/>
    <w:rsid w:val="00FB587E"/>
    <w:rsid w:val="00FC1686"/>
    <w:rsid w:val="00FC737F"/>
    <w:rsid w:val="00FC77C0"/>
    <w:rsid w:val="00FD2338"/>
    <w:rsid w:val="00FD6F06"/>
    <w:rsid w:val="00FD7469"/>
    <w:rsid w:val="00FE56FC"/>
    <w:rsid w:val="00FF6D2A"/>
    <w:rsid w:val="01764C6C"/>
    <w:rsid w:val="0190E9EF"/>
    <w:rsid w:val="02482795"/>
    <w:rsid w:val="027894AC"/>
    <w:rsid w:val="02A45646"/>
    <w:rsid w:val="02E9F61F"/>
    <w:rsid w:val="02FD6A3A"/>
    <w:rsid w:val="03150F9D"/>
    <w:rsid w:val="031A9ACF"/>
    <w:rsid w:val="03240347"/>
    <w:rsid w:val="0347642F"/>
    <w:rsid w:val="03ABB018"/>
    <w:rsid w:val="03BECA01"/>
    <w:rsid w:val="04C5BF20"/>
    <w:rsid w:val="04CDC831"/>
    <w:rsid w:val="05099E9B"/>
    <w:rsid w:val="05F31C50"/>
    <w:rsid w:val="0647D592"/>
    <w:rsid w:val="064CF690"/>
    <w:rsid w:val="073354F9"/>
    <w:rsid w:val="07596D90"/>
    <w:rsid w:val="088CDFBA"/>
    <w:rsid w:val="08C1379B"/>
    <w:rsid w:val="097F91F1"/>
    <w:rsid w:val="0A57B315"/>
    <w:rsid w:val="0AB16D59"/>
    <w:rsid w:val="0AC9537C"/>
    <w:rsid w:val="0B1E9E01"/>
    <w:rsid w:val="0B1EB8F7"/>
    <w:rsid w:val="0B8C66C0"/>
    <w:rsid w:val="0BA387B8"/>
    <w:rsid w:val="0BA997D1"/>
    <w:rsid w:val="0BF7D677"/>
    <w:rsid w:val="0C0BC5A9"/>
    <w:rsid w:val="0C2D3BCD"/>
    <w:rsid w:val="0C34315E"/>
    <w:rsid w:val="0E0D9CA6"/>
    <w:rsid w:val="0E33AAC5"/>
    <w:rsid w:val="0E48F7AE"/>
    <w:rsid w:val="0E60BF34"/>
    <w:rsid w:val="0F3826ED"/>
    <w:rsid w:val="0F82B3EC"/>
    <w:rsid w:val="1046DA0C"/>
    <w:rsid w:val="1058DC4F"/>
    <w:rsid w:val="106FF556"/>
    <w:rsid w:val="10BEAB9F"/>
    <w:rsid w:val="1116822E"/>
    <w:rsid w:val="1134A666"/>
    <w:rsid w:val="1153F328"/>
    <w:rsid w:val="118363C1"/>
    <w:rsid w:val="119F621E"/>
    <w:rsid w:val="121BEA69"/>
    <w:rsid w:val="13B66F10"/>
    <w:rsid w:val="1429CA52"/>
    <w:rsid w:val="1440DAE7"/>
    <w:rsid w:val="149669F7"/>
    <w:rsid w:val="14EFBB81"/>
    <w:rsid w:val="15292F53"/>
    <w:rsid w:val="15511DFD"/>
    <w:rsid w:val="158881ED"/>
    <w:rsid w:val="15C770B2"/>
    <w:rsid w:val="1649A96E"/>
    <w:rsid w:val="1659CDF5"/>
    <w:rsid w:val="16633D30"/>
    <w:rsid w:val="16A6A3F7"/>
    <w:rsid w:val="17288E46"/>
    <w:rsid w:val="176641AA"/>
    <w:rsid w:val="176894E3"/>
    <w:rsid w:val="177B52A8"/>
    <w:rsid w:val="17938D57"/>
    <w:rsid w:val="179F80A0"/>
    <w:rsid w:val="17A6AF78"/>
    <w:rsid w:val="188584F1"/>
    <w:rsid w:val="18A091D7"/>
    <w:rsid w:val="18E4F1BB"/>
    <w:rsid w:val="191D6C75"/>
    <w:rsid w:val="19AEC30B"/>
    <w:rsid w:val="1A2345D5"/>
    <w:rsid w:val="1A33FC3D"/>
    <w:rsid w:val="1A49C048"/>
    <w:rsid w:val="1A59ED9C"/>
    <w:rsid w:val="1A7E204D"/>
    <w:rsid w:val="1AA8E7EC"/>
    <w:rsid w:val="1ABC58C9"/>
    <w:rsid w:val="1AE1F893"/>
    <w:rsid w:val="1B0E13B8"/>
    <w:rsid w:val="1BF0C513"/>
    <w:rsid w:val="1C07AD82"/>
    <w:rsid w:val="1C19B048"/>
    <w:rsid w:val="1C72A81F"/>
    <w:rsid w:val="1CEEFC45"/>
    <w:rsid w:val="1D428AD3"/>
    <w:rsid w:val="1D4EA55D"/>
    <w:rsid w:val="1D8160DA"/>
    <w:rsid w:val="1D97EBC8"/>
    <w:rsid w:val="1E09F300"/>
    <w:rsid w:val="1E0D379D"/>
    <w:rsid w:val="1E87C014"/>
    <w:rsid w:val="1F04DF98"/>
    <w:rsid w:val="1FF1F177"/>
    <w:rsid w:val="203BCE52"/>
    <w:rsid w:val="20525446"/>
    <w:rsid w:val="2070CBCE"/>
    <w:rsid w:val="207627FF"/>
    <w:rsid w:val="20ADB4BB"/>
    <w:rsid w:val="21398298"/>
    <w:rsid w:val="214EC2CA"/>
    <w:rsid w:val="21684BC8"/>
    <w:rsid w:val="21952CAD"/>
    <w:rsid w:val="2198309E"/>
    <w:rsid w:val="21FDA4E7"/>
    <w:rsid w:val="22637C50"/>
    <w:rsid w:val="226DBB65"/>
    <w:rsid w:val="2275DABD"/>
    <w:rsid w:val="229BC5CE"/>
    <w:rsid w:val="22C32FD4"/>
    <w:rsid w:val="232F40F9"/>
    <w:rsid w:val="23459891"/>
    <w:rsid w:val="2358EF3D"/>
    <w:rsid w:val="23A0D232"/>
    <w:rsid w:val="23AE4B36"/>
    <w:rsid w:val="23FBDFFB"/>
    <w:rsid w:val="245FF70A"/>
    <w:rsid w:val="246E20CE"/>
    <w:rsid w:val="24C38EDD"/>
    <w:rsid w:val="253E45F0"/>
    <w:rsid w:val="25786FFA"/>
    <w:rsid w:val="25989581"/>
    <w:rsid w:val="263F523E"/>
    <w:rsid w:val="2664BE3D"/>
    <w:rsid w:val="26EF3611"/>
    <w:rsid w:val="2762D334"/>
    <w:rsid w:val="279C2839"/>
    <w:rsid w:val="27C99E22"/>
    <w:rsid w:val="27D96AE7"/>
    <w:rsid w:val="281C7C5D"/>
    <w:rsid w:val="281E69A0"/>
    <w:rsid w:val="284C0E18"/>
    <w:rsid w:val="28E8B403"/>
    <w:rsid w:val="290DC865"/>
    <w:rsid w:val="2954B91A"/>
    <w:rsid w:val="2A15F345"/>
    <w:rsid w:val="2A299B90"/>
    <w:rsid w:val="2A37E973"/>
    <w:rsid w:val="2A5E1352"/>
    <w:rsid w:val="2AB19456"/>
    <w:rsid w:val="2B0E8E42"/>
    <w:rsid w:val="2B488133"/>
    <w:rsid w:val="2B75010A"/>
    <w:rsid w:val="2B9E7520"/>
    <w:rsid w:val="2BD913C1"/>
    <w:rsid w:val="2BF269F8"/>
    <w:rsid w:val="2C113312"/>
    <w:rsid w:val="2C1EF24B"/>
    <w:rsid w:val="2C3CE756"/>
    <w:rsid w:val="2CF1C6A3"/>
    <w:rsid w:val="2D834DB1"/>
    <w:rsid w:val="2DB3A4B1"/>
    <w:rsid w:val="2DFF8929"/>
    <w:rsid w:val="2E05529B"/>
    <w:rsid w:val="2E1A3761"/>
    <w:rsid w:val="2E525480"/>
    <w:rsid w:val="2EB381C9"/>
    <w:rsid w:val="2EB6F79F"/>
    <w:rsid w:val="2EDC4A01"/>
    <w:rsid w:val="2F045834"/>
    <w:rsid w:val="2F14C7FC"/>
    <w:rsid w:val="2F8C1B08"/>
    <w:rsid w:val="2FE1281D"/>
    <w:rsid w:val="2FFA0333"/>
    <w:rsid w:val="304DEF90"/>
    <w:rsid w:val="3056BE7D"/>
    <w:rsid w:val="308CE658"/>
    <w:rsid w:val="30975FDF"/>
    <w:rsid w:val="30C6F6B2"/>
    <w:rsid w:val="30CC4DBF"/>
    <w:rsid w:val="310ED580"/>
    <w:rsid w:val="3118271A"/>
    <w:rsid w:val="316D81F0"/>
    <w:rsid w:val="3177E123"/>
    <w:rsid w:val="3260253E"/>
    <w:rsid w:val="32F6A1EA"/>
    <w:rsid w:val="330AD250"/>
    <w:rsid w:val="336C0A03"/>
    <w:rsid w:val="3413C8F2"/>
    <w:rsid w:val="342F0D3E"/>
    <w:rsid w:val="34A8D4E5"/>
    <w:rsid w:val="34D000C2"/>
    <w:rsid w:val="3515E46A"/>
    <w:rsid w:val="354B6C27"/>
    <w:rsid w:val="35B6E252"/>
    <w:rsid w:val="371144A4"/>
    <w:rsid w:val="3729CE63"/>
    <w:rsid w:val="373242B2"/>
    <w:rsid w:val="378C148B"/>
    <w:rsid w:val="37B44ACB"/>
    <w:rsid w:val="37D54D4E"/>
    <w:rsid w:val="37DA24DD"/>
    <w:rsid w:val="37EEEB16"/>
    <w:rsid w:val="37F48E34"/>
    <w:rsid w:val="383054F1"/>
    <w:rsid w:val="388D6079"/>
    <w:rsid w:val="38C8B49F"/>
    <w:rsid w:val="38D80923"/>
    <w:rsid w:val="396AB2EB"/>
    <w:rsid w:val="39A71C0E"/>
    <w:rsid w:val="39B40491"/>
    <w:rsid w:val="39BF9C6A"/>
    <w:rsid w:val="39C62EE9"/>
    <w:rsid w:val="39F7C1BF"/>
    <w:rsid w:val="39FB9201"/>
    <w:rsid w:val="3A7FC69B"/>
    <w:rsid w:val="3AA8BA98"/>
    <w:rsid w:val="3AC3CB1C"/>
    <w:rsid w:val="3B191A18"/>
    <w:rsid w:val="3B63EDF1"/>
    <w:rsid w:val="3B691168"/>
    <w:rsid w:val="3B94981B"/>
    <w:rsid w:val="3BBA2999"/>
    <w:rsid w:val="3C78D2F6"/>
    <w:rsid w:val="3C83EB83"/>
    <w:rsid w:val="3C9BBFB2"/>
    <w:rsid w:val="3CAF1FD7"/>
    <w:rsid w:val="3DABDCD2"/>
    <w:rsid w:val="3DAEC439"/>
    <w:rsid w:val="3EBEDD20"/>
    <w:rsid w:val="3EFA8646"/>
    <w:rsid w:val="3F8A98B8"/>
    <w:rsid w:val="3FB1525D"/>
    <w:rsid w:val="3FB8C4D2"/>
    <w:rsid w:val="3FBF44B4"/>
    <w:rsid w:val="3FDE34F7"/>
    <w:rsid w:val="4033C7D3"/>
    <w:rsid w:val="40C41192"/>
    <w:rsid w:val="413D2BEA"/>
    <w:rsid w:val="4265895F"/>
    <w:rsid w:val="42943F5A"/>
    <w:rsid w:val="442A43EA"/>
    <w:rsid w:val="44B8E2C2"/>
    <w:rsid w:val="44CC1F9B"/>
    <w:rsid w:val="4514EE88"/>
    <w:rsid w:val="459DB1F2"/>
    <w:rsid w:val="45EED0A5"/>
    <w:rsid w:val="4663D459"/>
    <w:rsid w:val="4691D7B3"/>
    <w:rsid w:val="469CD370"/>
    <w:rsid w:val="475CE6D5"/>
    <w:rsid w:val="4760AF18"/>
    <w:rsid w:val="478123E5"/>
    <w:rsid w:val="47FA0268"/>
    <w:rsid w:val="4817AC67"/>
    <w:rsid w:val="485F225D"/>
    <w:rsid w:val="4868A03D"/>
    <w:rsid w:val="48A7E2EF"/>
    <w:rsid w:val="48D11B15"/>
    <w:rsid w:val="491488AA"/>
    <w:rsid w:val="494810D7"/>
    <w:rsid w:val="4A09885E"/>
    <w:rsid w:val="4A8941BF"/>
    <w:rsid w:val="4AA5C01A"/>
    <w:rsid w:val="4ACCB4D5"/>
    <w:rsid w:val="4B0B27B7"/>
    <w:rsid w:val="4C169907"/>
    <w:rsid w:val="4C325379"/>
    <w:rsid w:val="4C516A23"/>
    <w:rsid w:val="4CAAF662"/>
    <w:rsid w:val="4D91399D"/>
    <w:rsid w:val="4DB4B51C"/>
    <w:rsid w:val="4DB65B33"/>
    <w:rsid w:val="4E0CDDE5"/>
    <w:rsid w:val="4EFB35D7"/>
    <w:rsid w:val="4FDBA51E"/>
    <w:rsid w:val="50573AB2"/>
    <w:rsid w:val="50CD3EBF"/>
    <w:rsid w:val="51532481"/>
    <w:rsid w:val="51B30D83"/>
    <w:rsid w:val="51EB6C0A"/>
    <w:rsid w:val="5231B826"/>
    <w:rsid w:val="52419ABD"/>
    <w:rsid w:val="5255BE7C"/>
    <w:rsid w:val="5263E998"/>
    <w:rsid w:val="52CFE8AC"/>
    <w:rsid w:val="52F54421"/>
    <w:rsid w:val="531C3A66"/>
    <w:rsid w:val="536524EF"/>
    <w:rsid w:val="53B29A95"/>
    <w:rsid w:val="54C890C4"/>
    <w:rsid w:val="55147427"/>
    <w:rsid w:val="5577B9CF"/>
    <w:rsid w:val="55BD9B1E"/>
    <w:rsid w:val="55E3C992"/>
    <w:rsid w:val="5639EBA0"/>
    <w:rsid w:val="56525D5A"/>
    <w:rsid w:val="567B171E"/>
    <w:rsid w:val="568300AC"/>
    <w:rsid w:val="56F854F7"/>
    <w:rsid w:val="56FE49EE"/>
    <w:rsid w:val="5723B669"/>
    <w:rsid w:val="57769A53"/>
    <w:rsid w:val="585618FE"/>
    <w:rsid w:val="585C66BC"/>
    <w:rsid w:val="58715FA1"/>
    <w:rsid w:val="589AD105"/>
    <w:rsid w:val="58BEBFC5"/>
    <w:rsid w:val="58E7DC8E"/>
    <w:rsid w:val="595A0670"/>
    <w:rsid w:val="5A48F18A"/>
    <w:rsid w:val="5A57D66C"/>
    <w:rsid w:val="5AC1E8F3"/>
    <w:rsid w:val="5ADA9C49"/>
    <w:rsid w:val="5AE65DAA"/>
    <w:rsid w:val="5B51514D"/>
    <w:rsid w:val="5C05089C"/>
    <w:rsid w:val="5C58C2BD"/>
    <w:rsid w:val="5C5DEBCF"/>
    <w:rsid w:val="5C871C94"/>
    <w:rsid w:val="5CF5EBBB"/>
    <w:rsid w:val="5D74B206"/>
    <w:rsid w:val="5DD7C50F"/>
    <w:rsid w:val="5E228CF5"/>
    <w:rsid w:val="5E4B48A1"/>
    <w:rsid w:val="5E9E0308"/>
    <w:rsid w:val="5E9FC34F"/>
    <w:rsid w:val="5ECCDF86"/>
    <w:rsid w:val="5ED92B4D"/>
    <w:rsid w:val="5EEF4A83"/>
    <w:rsid w:val="5F245FF3"/>
    <w:rsid w:val="5F373851"/>
    <w:rsid w:val="5F829CFA"/>
    <w:rsid w:val="5F835CAA"/>
    <w:rsid w:val="5FBC9487"/>
    <w:rsid w:val="5FE71357"/>
    <w:rsid w:val="602845F6"/>
    <w:rsid w:val="6132D1D4"/>
    <w:rsid w:val="6147F20F"/>
    <w:rsid w:val="622F7B1C"/>
    <w:rsid w:val="6239DDC7"/>
    <w:rsid w:val="6265CF0A"/>
    <w:rsid w:val="626DCEC2"/>
    <w:rsid w:val="62CC61B6"/>
    <w:rsid w:val="63826BF9"/>
    <w:rsid w:val="63EE457A"/>
    <w:rsid w:val="640EAF61"/>
    <w:rsid w:val="645A05BA"/>
    <w:rsid w:val="6485B4AC"/>
    <w:rsid w:val="64CFB619"/>
    <w:rsid w:val="64DCFA99"/>
    <w:rsid w:val="65A236CC"/>
    <w:rsid w:val="65C7FAD0"/>
    <w:rsid w:val="65E11373"/>
    <w:rsid w:val="6605B117"/>
    <w:rsid w:val="6623E690"/>
    <w:rsid w:val="66D09CE2"/>
    <w:rsid w:val="66D69205"/>
    <w:rsid w:val="682DF359"/>
    <w:rsid w:val="68397497"/>
    <w:rsid w:val="68BD8D42"/>
    <w:rsid w:val="68ECE369"/>
    <w:rsid w:val="695A2267"/>
    <w:rsid w:val="6985E233"/>
    <w:rsid w:val="69C415AB"/>
    <w:rsid w:val="6A0FE7F5"/>
    <w:rsid w:val="6A2B3E1F"/>
    <w:rsid w:val="6A804306"/>
    <w:rsid w:val="6A9CA2EB"/>
    <w:rsid w:val="6AD4B438"/>
    <w:rsid w:val="6B26E673"/>
    <w:rsid w:val="6B3B393F"/>
    <w:rsid w:val="6B750BBC"/>
    <w:rsid w:val="6C49AEBB"/>
    <w:rsid w:val="6D75848D"/>
    <w:rsid w:val="6D98C7FB"/>
    <w:rsid w:val="6E1FC1D6"/>
    <w:rsid w:val="6EBC395F"/>
    <w:rsid w:val="6ECF93D2"/>
    <w:rsid w:val="6EF1BEF7"/>
    <w:rsid w:val="6FBBDA08"/>
    <w:rsid w:val="6FC6AD5E"/>
    <w:rsid w:val="6FC77C46"/>
    <w:rsid w:val="70ADD16F"/>
    <w:rsid w:val="70DB035A"/>
    <w:rsid w:val="70DFA131"/>
    <w:rsid w:val="70F64212"/>
    <w:rsid w:val="71DFE002"/>
    <w:rsid w:val="71F16551"/>
    <w:rsid w:val="7225D5BA"/>
    <w:rsid w:val="72E3F4AE"/>
    <w:rsid w:val="73D0E153"/>
    <w:rsid w:val="73F1A142"/>
    <w:rsid w:val="73FBA09A"/>
    <w:rsid w:val="743D9265"/>
    <w:rsid w:val="745121EF"/>
    <w:rsid w:val="74D792F3"/>
    <w:rsid w:val="7507C88D"/>
    <w:rsid w:val="750DF2E2"/>
    <w:rsid w:val="75818C78"/>
    <w:rsid w:val="758B69A4"/>
    <w:rsid w:val="75C92FEF"/>
    <w:rsid w:val="75D54A3F"/>
    <w:rsid w:val="75E290A8"/>
    <w:rsid w:val="767EFF62"/>
    <w:rsid w:val="76975174"/>
    <w:rsid w:val="776C3A97"/>
    <w:rsid w:val="779EEB6E"/>
    <w:rsid w:val="77B7233B"/>
    <w:rsid w:val="77C1EBA2"/>
    <w:rsid w:val="780AC277"/>
    <w:rsid w:val="78AEAF2B"/>
    <w:rsid w:val="78D2E6F2"/>
    <w:rsid w:val="79DD68E9"/>
    <w:rsid w:val="7A128A44"/>
    <w:rsid w:val="7A16674A"/>
    <w:rsid w:val="7B159057"/>
    <w:rsid w:val="7BAC4BFD"/>
    <w:rsid w:val="7BDA8835"/>
    <w:rsid w:val="7BF4E60D"/>
    <w:rsid w:val="7C0DBB5E"/>
    <w:rsid w:val="7C66EA7F"/>
    <w:rsid w:val="7CB51531"/>
    <w:rsid w:val="7CD711F1"/>
    <w:rsid w:val="7CF4C221"/>
    <w:rsid w:val="7D004178"/>
    <w:rsid w:val="7D5460CB"/>
    <w:rsid w:val="7DCA70AC"/>
    <w:rsid w:val="7DCC65E2"/>
    <w:rsid w:val="7DE18835"/>
    <w:rsid w:val="7DEBB7E5"/>
    <w:rsid w:val="7E4D1CE1"/>
    <w:rsid w:val="7E74CA94"/>
    <w:rsid w:val="7E765789"/>
    <w:rsid w:val="7E89B72D"/>
    <w:rsid w:val="7EB58203"/>
    <w:rsid w:val="7EEF1472"/>
    <w:rsid w:val="7F0C2A14"/>
    <w:rsid w:val="7F121F86"/>
    <w:rsid w:val="7F54CDBB"/>
    <w:rsid w:val="7FD90046"/>
  </w:rsids>
  <m:mathPr>
    <m:mathFont m:val="Cambria Math"/>
    <m:brkBin m:val="before"/>
    <m:brkBinSub m:val="--"/>
    <m:smallFrac m:val="0"/>
    <m:dispDef/>
    <m:lMargin m:val="0"/>
    <m:rMargin m:val="0"/>
    <m:defJc m:val="centerGroup"/>
    <m:wrapIndent m:val="1440"/>
    <m:intLim m:val="subSup"/>
    <m:naryLim m:val="undOvr"/>
  </m:mathPr>
  <w:themeFontLang w:val="es-H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8382EB"/>
  <w15:chartTrackingRefBased/>
  <w15:docId w15:val="{A83B3D61-A1D7-4975-A819-61BDE62CA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B2D"/>
    <w:rPr>
      <w:rFonts w:ascii="Arial" w:hAnsi="Arial"/>
      <w:color w:val="767171" w:themeColor="background2" w:themeShade="80"/>
      <w:sz w:val="24"/>
      <w:lang w:val="es-AR"/>
    </w:rPr>
  </w:style>
  <w:style w:type="paragraph" w:styleId="Ttulo1">
    <w:name w:val="heading 1"/>
    <w:basedOn w:val="Normal"/>
    <w:next w:val="Normal"/>
    <w:link w:val="Ttulo1Car"/>
    <w:uiPriority w:val="9"/>
    <w:qFormat/>
    <w:rsid w:val="006A3D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A3DB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6A3DBC"/>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Ttulo4">
    <w:name w:val="heading 4"/>
    <w:basedOn w:val="Normal"/>
    <w:next w:val="Normal"/>
    <w:link w:val="Ttulo4Car"/>
    <w:uiPriority w:val="9"/>
    <w:unhideWhenUsed/>
    <w:qFormat/>
    <w:rsid w:val="006A3DBC"/>
    <w:pPr>
      <w:keepNext/>
      <w:keepLines/>
      <w:spacing w:before="40" w:after="0" w:line="276" w:lineRule="auto"/>
      <w:outlineLvl w:val="3"/>
    </w:pPr>
    <w:rPr>
      <w:rFonts w:asciiTheme="majorHAnsi" w:eastAsiaTheme="majorEastAsia" w:hAnsiTheme="majorHAnsi" w:cstheme="majorBidi"/>
      <w:i/>
      <w:iCs/>
      <w:color w:val="2E74B5" w:themeColor="accent1" w:themeShade="B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3DBC"/>
    <w:rPr>
      <w:rFonts w:asciiTheme="majorHAnsi" w:eastAsiaTheme="majorEastAsia" w:hAnsiTheme="majorHAnsi" w:cstheme="majorBidi"/>
      <w:color w:val="2E74B5" w:themeColor="accent1" w:themeShade="BF"/>
      <w:sz w:val="32"/>
      <w:szCs w:val="32"/>
      <w:lang w:val="es-AR"/>
    </w:rPr>
  </w:style>
  <w:style w:type="character" w:customStyle="1" w:styleId="Ttulo2Car">
    <w:name w:val="Título 2 Car"/>
    <w:basedOn w:val="Fuentedeprrafopredeter"/>
    <w:link w:val="Ttulo2"/>
    <w:uiPriority w:val="9"/>
    <w:rsid w:val="006A3DBC"/>
    <w:rPr>
      <w:rFonts w:asciiTheme="majorHAnsi" w:eastAsiaTheme="majorEastAsia" w:hAnsiTheme="majorHAnsi" w:cstheme="majorBidi"/>
      <w:color w:val="2E74B5" w:themeColor="accent1" w:themeShade="BF"/>
      <w:sz w:val="26"/>
      <w:szCs w:val="26"/>
      <w:lang w:val="es-AR"/>
    </w:rPr>
  </w:style>
  <w:style w:type="character" w:customStyle="1" w:styleId="Ttulo3Car">
    <w:name w:val="Título 3 Car"/>
    <w:basedOn w:val="Fuentedeprrafopredeter"/>
    <w:link w:val="Ttulo3"/>
    <w:uiPriority w:val="9"/>
    <w:semiHidden/>
    <w:rsid w:val="006A3DBC"/>
    <w:rPr>
      <w:rFonts w:asciiTheme="majorHAnsi" w:eastAsiaTheme="majorEastAsia" w:hAnsiTheme="majorHAnsi" w:cstheme="majorBidi"/>
      <w:color w:val="1F4D78" w:themeColor="accent1" w:themeShade="7F"/>
      <w:sz w:val="24"/>
      <w:szCs w:val="24"/>
      <w:lang w:val="es-AR"/>
    </w:rPr>
  </w:style>
  <w:style w:type="character" w:customStyle="1" w:styleId="Ttulo4Car">
    <w:name w:val="Título 4 Car"/>
    <w:basedOn w:val="Fuentedeprrafopredeter"/>
    <w:link w:val="Ttulo4"/>
    <w:uiPriority w:val="9"/>
    <w:rsid w:val="006A3DBC"/>
    <w:rPr>
      <w:rFonts w:asciiTheme="majorHAnsi" w:eastAsiaTheme="majorEastAsia" w:hAnsiTheme="majorHAnsi" w:cstheme="majorBidi"/>
      <w:i/>
      <w:iCs/>
      <w:color w:val="2E74B5" w:themeColor="accent1" w:themeShade="BF"/>
      <w:lang w:val="es-ES"/>
    </w:rPr>
  </w:style>
  <w:style w:type="paragraph" w:styleId="Prrafodelista">
    <w:name w:val="List Paragraph"/>
    <w:aliases w:val="Bullets,Celula,References,List Bullet Mary,Articulo,List Paragraph 1,List_Paragraph,Multilevel para_II,List Paragraph1,List Paragraph-ExecSummary,Akapit z listą BS,List Paragraph (numbered (a)),IBL List Paragraph,List Paragraph nowy,Ha,3"/>
    <w:basedOn w:val="Normal"/>
    <w:link w:val="PrrafodelistaCar"/>
    <w:uiPriority w:val="34"/>
    <w:qFormat/>
    <w:rsid w:val="006A3DBC"/>
    <w:pPr>
      <w:ind w:left="720"/>
      <w:contextualSpacing/>
    </w:pPr>
  </w:style>
  <w:style w:type="character" w:customStyle="1" w:styleId="PrrafodelistaCar">
    <w:name w:val="Párrafo de lista Car"/>
    <w:aliases w:val="Bullets Car,Celula Car,References Car,List Bullet Mary Car,Articulo Car,List Paragraph 1 Car,List_Paragraph Car,Multilevel para_II Car,List Paragraph1 Car,List Paragraph-ExecSummary Car,Akapit z listą BS Car,IBL List Paragraph Car"/>
    <w:basedOn w:val="Fuentedeprrafopredeter"/>
    <w:link w:val="Prrafodelista"/>
    <w:uiPriority w:val="34"/>
    <w:qFormat/>
    <w:rsid w:val="006A3DBC"/>
    <w:rPr>
      <w:lang w:val="es-AR"/>
    </w:rPr>
  </w:style>
  <w:style w:type="paragraph" w:styleId="TtuloTDC">
    <w:name w:val="TOC Heading"/>
    <w:basedOn w:val="Ttulo1"/>
    <w:next w:val="Normal"/>
    <w:uiPriority w:val="39"/>
    <w:unhideWhenUsed/>
    <w:qFormat/>
    <w:rsid w:val="006A3DBC"/>
    <w:pPr>
      <w:outlineLvl w:val="9"/>
    </w:pPr>
    <w:rPr>
      <w:lang w:eastAsia="es-AR"/>
    </w:rPr>
  </w:style>
  <w:style w:type="paragraph" w:styleId="TDC1">
    <w:name w:val="toc 1"/>
    <w:basedOn w:val="Normal"/>
    <w:next w:val="Normal"/>
    <w:autoRedefine/>
    <w:uiPriority w:val="39"/>
    <w:unhideWhenUsed/>
    <w:rsid w:val="00CF0F96"/>
    <w:pPr>
      <w:tabs>
        <w:tab w:val="left" w:pos="440"/>
        <w:tab w:val="right" w:leader="dot" w:pos="8920"/>
      </w:tabs>
      <w:spacing w:after="0" w:line="240" w:lineRule="auto"/>
    </w:pPr>
    <w:rPr>
      <w:rFonts w:cs="Arial"/>
      <w:b/>
      <w:bCs/>
      <w:noProof/>
    </w:rPr>
  </w:style>
  <w:style w:type="character" w:styleId="Hipervnculo">
    <w:name w:val="Hyperlink"/>
    <w:basedOn w:val="Fuentedeprrafopredeter"/>
    <w:uiPriority w:val="99"/>
    <w:unhideWhenUsed/>
    <w:rsid w:val="006A3DBC"/>
    <w:rPr>
      <w:color w:val="0563C1" w:themeColor="hyperlink"/>
      <w:u w:val="single"/>
    </w:rPr>
  </w:style>
  <w:style w:type="character" w:customStyle="1" w:styleId="Bodytext9">
    <w:name w:val="Body text (9)_"/>
    <w:link w:val="Bodytext90"/>
    <w:rsid w:val="006A3DBC"/>
    <w:rPr>
      <w:rFonts w:ascii="Arial" w:eastAsia="Arial" w:hAnsi="Arial" w:cs="Arial"/>
      <w:sz w:val="21"/>
      <w:szCs w:val="21"/>
      <w:shd w:val="clear" w:color="auto" w:fill="FFFFFF"/>
    </w:rPr>
  </w:style>
  <w:style w:type="paragraph" w:customStyle="1" w:styleId="Bodytext90">
    <w:name w:val="Body text (9)"/>
    <w:basedOn w:val="Normal"/>
    <w:link w:val="Bodytext9"/>
    <w:rsid w:val="006A3DBC"/>
    <w:pPr>
      <w:shd w:val="clear" w:color="auto" w:fill="FFFFFF"/>
      <w:spacing w:after="0" w:line="0" w:lineRule="atLeast"/>
    </w:pPr>
    <w:rPr>
      <w:rFonts w:eastAsia="Arial" w:cs="Arial"/>
      <w:sz w:val="21"/>
      <w:szCs w:val="21"/>
      <w:lang w:val="es-HN"/>
    </w:rPr>
  </w:style>
  <w:style w:type="character" w:customStyle="1" w:styleId="BodytextCourierNew">
    <w:name w:val="Body text + Courier New"/>
    <w:aliases w:val="10,5 pt,9,Italic,Body text + 11,Bold"/>
    <w:rsid w:val="006A3DBC"/>
    <w:rPr>
      <w:rFonts w:ascii="Courier New" w:eastAsia="Courier New" w:hAnsi="Courier New" w:cs="Courier New"/>
      <w:b w:val="0"/>
      <w:bCs w:val="0"/>
      <w:i w:val="0"/>
      <w:iCs w:val="0"/>
      <w:smallCaps w:val="0"/>
      <w:strike w:val="0"/>
      <w:spacing w:val="0"/>
      <w:sz w:val="21"/>
      <w:szCs w:val="21"/>
    </w:rPr>
  </w:style>
  <w:style w:type="paragraph" w:customStyle="1" w:styleId="TextoTabla">
    <w:name w:val="Texto Tabla"/>
    <w:basedOn w:val="Normal"/>
    <w:rsid w:val="006A3DBC"/>
    <w:pPr>
      <w:spacing w:after="0" w:line="240" w:lineRule="auto"/>
      <w:jc w:val="both"/>
    </w:pPr>
    <w:rPr>
      <w:rFonts w:ascii="Times New Roman" w:eastAsia="Times New Roman" w:hAnsi="Times New Roman" w:cs="Times New Roman"/>
      <w:sz w:val="18"/>
      <w:szCs w:val="18"/>
      <w:lang w:eastAsia="es-ES"/>
    </w:rPr>
  </w:style>
  <w:style w:type="paragraph" w:styleId="TDC2">
    <w:name w:val="toc 2"/>
    <w:basedOn w:val="Normal"/>
    <w:next w:val="Normal"/>
    <w:autoRedefine/>
    <w:uiPriority w:val="39"/>
    <w:unhideWhenUsed/>
    <w:rsid w:val="000B7B90"/>
    <w:pPr>
      <w:tabs>
        <w:tab w:val="left" w:pos="1760"/>
        <w:tab w:val="right" w:leader="dot" w:pos="9062"/>
      </w:tabs>
      <w:spacing w:line="240" w:lineRule="auto"/>
      <w:ind w:left="1182" w:hanging="898"/>
      <w:jc w:val="both"/>
    </w:pPr>
    <w:rPr>
      <w:rFonts w:cs="Arial"/>
      <w:b/>
      <w:noProof/>
    </w:rPr>
  </w:style>
  <w:style w:type="table" w:styleId="Tablaconcuadrcula">
    <w:name w:val="Table Grid"/>
    <w:aliases w:val="Vale 4,Plain Table,表格样式,Table long document,mtbs,CV table,CV1,EY Table,none,unVao day nghe bai nay di ban http://nhatquanglan.xlphp.net/,TNS table,TABLICA_HAOP"/>
    <w:basedOn w:val="Tablanormal"/>
    <w:uiPriority w:val="59"/>
    <w:qFormat/>
    <w:rsid w:val="006A3DBC"/>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6A3DB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A3DBC"/>
    <w:rPr>
      <w:rFonts w:ascii="Segoe UI" w:hAnsi="Segoe UI" w:cs="Segoe UI"/>
      <w:sz w:val="18"/>
      <w:szCs w:val="18"/>
      <w:lang w:val="es-AR"/>
    </w:rPr>
  </w:style>
  <w:style w:type="paragraph" w:styleId="Encabezado">
    <w:name w:val="header"/>
    <w:basedOn w:val="Normal"/>
    <w:link w:val="EncabezadoCar"/>
    <w:uiPriority w:val="99"/>
    <w:unhideWhenUsed/>
    <w:rsid w:val="006A3DBC"/>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A3DBC"/>
    <w:rPr>
      <w:lang w:val="es-AR"/>
    </w:rPr>
  </w:style>
  <w:style w:type="paragraph" w:styleId="Piedepgina">
    <w:name w:val="footer"/>
    <w:basedOn w:val="Normal"/>
    <w:link w:val="PiedepginaCar"/>
    <w:uiPriority w:val="99"/>
    <w:unhideWhenUsed/>
    <w:rsid w:val="006A3DBC"/>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A3DBC"/>
    <w:rPr>
      <w:lang w:val="es-AR"/>
    </w:rPr>
  </w:style>
  <w:style w:type="paragraph" w:styleId="Textoindependiente">
    <w:name w:val="Body Text"/>
    <w:basedOn w:val="Normal"/>
    <w:link w:val="TextoindependienteCar"/>
    <w:uiPriority w:val="1"/>
    <w:qFormat/>
    <w:rsid w:val="006A3DBC"/>
    <w:pPr>
      <w:widowControl w:val="0"/>
      <w:spacing w:after="0" w:line="240" w:lineRule="auto"/>
      <w:ind w:left="102"/>
    </w:pPr>
    <w:rPr>
      <w:rFonts w:ascii="Times New Roman" w:eastAsia="Times New Roman" w:hAnsi="Times New Roman" w:cs="Times New Roman"/>
      <w:szCs w:val="24"/>
      <w:lang w:val="en-US"/>
    </w:rPr>
  </w:style>
  <w:style w:type="character" w:customStyle="1" w:styleId="TextoindependienteCar">
    <w:name w:val="Texto independiente Car"/>
    <w:basedOn w:val="Fuentedeprrafopredeter"/>
    <w:link w:val="Textoindependiente"/>
    <w:uiPriority w:val="1"/>
    <w:rsid w:val="006A3DBC"/>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6A3DBC"/>
    <w:pPr>
      <w:widowControl w:val="0"/>
      <w:spacing w:after="0" w:line="240" w:lineRule="auto"/>
    </w:pPr>
    <w:rPr>
      <w:rFonts w:ascii="Calibri" w:eastAsia="Calibri" w:hAnsi="Calibri" w:cs="Times New Roman"/>
      <w:lang w:val="en-US"/>
    </w:rPr>
  </w:style>
  <w:style w:type="paragraph" w:styleId="Textonotapie">
    <w:name w:val="footnote text"/>
    <w:aliases w:val="Footnote Text Char Char,Footnote Text Char,fn,ft,Footnote Text Char Char Car Car,ADB,ALTS FOOTNOTE,F,Footnote Text Char1,Note de bas de page Car Car,Note de bas de page Car Car Car,Note de bas de page Car Car Car2,Note de bas de page2,Car"/>
    <w:basedOn w:val="Normal"/>
    <w:link w:val="TextonotapieCar"/>
    <w:uiPriority w:val="99"/>
    <w:unhideWhenUsed/>
    <w:qFormat/>
    <w:rsid w:val="006A3DBC"/>
    <w:pPr>
      <w:spacing w:after="0" w:line="240" w:lineRule="auto"/>
    </w:pPr>
    <w:rPr>
      <w:sz w:val="20"/>
      <w:szCs w:val="20"/>
    </w:rPr>
  </w:style>
  <w:style w:type="character" w:customStyle="1" w:styleId="TextonotapieCar">
    <w:name w:val="Texto nota pie Car"/>
    <w:aliases w:val="Footnote Text Char Char Car,Footnote Text Char Car,fn Car,ft Car,Footnote Text Char Char Car Car Car,ADB Car,ALTS FOOTNOTE Car,F Car,Footnote Text Char1 Car,Note de bas de page Car Car Car1,Note de bas de page Car Car Car Car,Car Car"/>
    <w:basedOn w:val="Fuentedeprrafopredeter"/>
    <w:link w:val="Textonotapie"/>
    <w:uiPriority w:val="99"/>
    <w:qFormat/>
    <w:rsid w:val="006A3DBC"/>
    <w:rPr>
      <w:sz w:val="20"/>
      <w:szCs w:val="20"/>
      <w:lang w:val="es-AR"/>
    </w:rPr>
  </w:style>
  <w:style w:type="character" w:styleId="Refdenotaalpie">
    <w:name w:val="footnote reference"/>
    <w:aliases w:val=" BVI fnr,16 Point,Footnote Reference Number,Footnote Reference_LVL6,Footnote Reference_LVL61,Footnote Reference_LVL62,Footnote Reference_LVL63,Footnote Reference_LVL64,Ref,Ref1,Superscript 6 Point,de nota al pie,f,ftref,E FNZ,Footnot,R"/>
    <w:basedOn w:val="Fuentedeprrafopredeter"/>
    <w:link w:val="CharCharCharCharCarChar"/>
    <w:uiPriority w:val="99"/>
    <w:unhideWhenUsed/>
    <w:qFormat/>
    <w:rsid w:val="006A3DBC"/>
    <w:rPr>
      <w:vertAlign w:val="superscript"/>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link w:val="Refdenotaalpie"/>
    <w:uiPriority w:val="99"/>
    <w:rsid w:val="006A3DBC"/>
    <w:pPr>
      <w:spacing w:line="240" w:lineRule="exact"/>
      <w:jc w:val="both"/>
    </w:pPr>
    <w:rPr>
      <w:vertAlign w:val="superscript"/>
      <w:lang w:val="es-HN"/>
    </w:rPr>
  </w:style>
  <w:style w:type="character" w:styleId="Refdecomentario">
    <w:name w:val="annotation reference"/>
    <w:basedOn w:val="Fuentedeprrafopredeter"/>
    <w:uiPriority w:val="99"/>
    <w:unhideWhenUsed/>
    <w:qFormat/>
    <w:rsid w:val="006A3DBC"/>
    <w:rPr>
      <w:sz w:val="16"/>
      <w:szCs w:val="16"/>
    </w:rPr>
  </w:style>
  <w:style w:type="paragraph" w:styleId="Textocomentario">
    <w:name w:val="annotation text"/>
    <w:basedOn w:val="Normal"/>
    <w:link w:val="TextocomentarioCar"/>
    <w:uiPriority w:val="99"/>
    <w:unhideWhenUsed/>
    <w:qFormat/>
    <w:rsid w:val="006A3DBC"/>
    <w:pPr>
      <w:spacing w:line="240" w:lineRule="auto"/>
    </w:pPr>
    <w:rPr>
      <w:sz w:val="20"/>
      <w:szCs w:val="20"/>
    </w:rPr>
  </w:style>
  <w:style w:type="character" w:customStyle="1" w:styleId="TextocomentarioCar">
    <w:name w:val="Texto comentario Car"/>
    <w:basedOn w:val="Fuentedeprrafopredeter"/>
    <w:link w:val="Textocomentario"/>
    <w:uiPriority w:val="99"/>
    <w:qFormat/>
    <w:rsid w:val="006A3DBC"/>
    <w:rPr>
      <w:sz w:val="20"/>
      <w:szCs w:val="20"/>
      <w:lang w:val="es-AR"/>
    </w:rPr>
  </w:style>
  <w:style w:type="character" w:customStyle="1" w:styleId="AsuntodelcomentarioCar">
    <w:name w:val="Asunto del comentario Car"/>
    <w:basedOn w:val="TextocomentarioCar"/>
    <w:link w:val="Asuntodelcomentario"/>
    <w:uiPriority w:val="99"/>
    <w:semiHidden/>
    <w:rsid w:val="006A3DBC"/>
    <w:rPr>
      <w:b/>
      <w:bCs/>
      <w:sz w:val="20"/>
      <w:szCs w:val="20"/>
      <w:lang w:val="es-AR"/>
    </w:rPr>
  </w:style>
  <w:style w:type="paragraph" w:styleId="Asuntodelcomentario">
    <w:name w:val="annotation subject"/>
    <w:basedOn w:val="Textocomentario"/>
    <w:next w:val="Textocomentario"/>
    <w:link w:val="AsuntodelcomentarioCar"/>
    <w:uiPriority w:val="99"/>
    <w:semiHidden/>
    <w:unhideWhenUsed/>
    <w:rsid w:val="006A3DBC"/>
    <w:rPr>
      <w:b/>
      <w:bCs/>
    </w:rPr>
  </w:style>
  <w:style w:type="table" w:customStyle="1" w:styleId="Tabladecuadrcula4-nfasis61">
    <w:name w:val="Tabla de cuadrícula 4 - Énfasis 61"/>
    <w:basedOn w:val="Tablanormal"/>
    <w:uiPriority w:val="49"/>
    <w:rsid w:val="006A3DBC"/>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1clara-nfasis41">
    <w:name w:val="Tabla de cuadrícula 1 clara - Énfasis 41"/>
    <w:basedOn w:val="Tablanormal"/>
    <w:uiPriority w:val="46"/>
    <w:rsid w:val="006A3DBC"/>
    <w:pPr>
      <w:spacing w:after="0" w:line="240" w:lineRule="auto"/>
    </w:pPr>
    <w:rPr>
      <w:lang w:val="es-AR"/>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Tabladecuadrcula2-nfasis31">
    <w:name w:val="Tabla de cuadrícula 2 - Énfasis 31"/>
    <w:basedOn w:val="Tablanormal"/>
    <w:uiPriority w:val="47"/>
    <w:rsid w:val="006A3DBC"/>
    <w:pPr>
      <w:spacing w:after="0" w:line="240" w:lineRule="auto"/>
    </w:pPr>
    <w:rPr>
      <w:lang w:val="es-AR"/>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
    <w:name w:val="Table Grid1"/>
    <w:basedOn w:val="Tablanormal"/>
    <w:next w:val="Tablaconcuadrcula"/>
    <w:uiPriority w:val="39"/>
    <w:rsid w:val="006A3D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anormal"/>
    <w:next w:val="Tablaconcuadrcula"/>
    <w:uiPriority w:val="39"/>
    <w:rsid w:val="006A3D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6A3DBC"/>
    <w:pPr>
      <w:spacing w:after="200" w:line="276" w:lineRule="auto"/>
    </w:pPr>
    <w:rPr>
      <w:lang w:val="es-ES"/>
    </w:rPr>
  </w:style>
  <w:style w:type="table" w:customStyle="1" w:styleId="Tabladecuadrcula1clara-nfasis31">
    <w:name w:val="Tabla de cuadrícula 1 clara - Énfasis 31"/>
    <w:basedOn w:val="Tablanormal"/>
    <w:uiPriority w:val="46"/>
    <w:rsid w:val="006A3DBC"/>
    <w:pPr>
      <w:spacing w:after="0" w:line="240" w:lineRule="auto"/>
    </w:pPr>
    <w:rPr>
      <w:lang w:val="es-AR"/>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Descripcin">
    <w:name w:val="caption"/>
    <w:aliases w:val="Tabla,Figura Car,Figura Car Car,Tabla1,Tabla2,Título tabla/gráfica,T...,Título tabla/gráfica1,Título tabla/gráfica2,Título tabla/gráfica3,Título tabla/gráfica4,Título tabla/gráfica5,Título tabla/gráfica6,Título tabla/gráfica7,SCG_Epígrafe"/>
    <w:basedOn w:val="Normal"/>
    <w:next w:val="Normal"/>
    <w:link w:val="DescripcinCar"/>
    <w:uiPriority w:val="35"/>
    <w:unhideWhenUsed/>
    <w:qFormat/>
    <w:rsid w:val="006A3DBC"/>
    <w:pPr>
      <w:spacing w:after="200" w:line="240" w:lineRule="auto"/>
    </w:pPr>
    <w:rPr>
      <w:i/>
      <w:iCs/>
      <w:color w:val="44546A" w:themeColor="text2"/>
      <w:sz w:val="18"/>
      <w:szCs w:val="18"/>
    </w:rPr>
  </w:style>
  <w:style w:type="character" w:customStyle="1" w:styleId="DescripcinCar">
    <w:name w:val="Descripción Car"/>
    <w:aliases w:val="Tabla Car,Figura Car Car1,Figura Car Car Car,Tabla1 Car,Tabla2 Car,Título tabla/gráfica Car,T... Car,Título tabla/gráfica1 Car,Título tabla/gráfica2 Car,Título tabla/gráfica3 Car,Título tabla/gráfica4 Car,Título tabla/gráfica5 Car"/>
    <w:basedOn w:val="Fuentedeprrafopredeter"/>
    <w:link w:val="Descripcin"/>
    <w:uiPriority w:val="35"/>
    <w:locked/>
    <w:rsid w:val="006A3DBC"/>
    <w:rPr>
      <w:i/>
      <w:iCs/>
      <w:color w:val="44546A" w:themeColor="text2"/>
      <w:sz w:val="18"/>
      <w:szCs w:val="18"/>
      <w:lang w:val="es-AR"/>
    </w:rPr>
  </w:style>
  <w:style w:type="paragraph" w:customStyle="1" w:styleId="Default">
    <w:name w:val="Default"/>
    <w:rsid w:val="006A3DBC"/>
    <w:pPr>
      <w:autoSpaceDE w:val="0"/>
      <w:autoSpaceDN w:val="0"/>
      <w:adjustRightInd w:val="0"/>
      <w:spacing w:after="0" w:line="240" w:lineRule="auto"/>
    </w:pPr>
    <w:rPr>
      <w:rFonts w:ascii="Tahoma" w:hAnsi="Tahoma" w:cs="Tahoma"/>
      <w:color w:val="000000"/>
      <w:sz w:val="24"/>
      <w:szCs w:val="24"/>
      <w:lang w:val="es-ES"/>
    </w:rPr>
  </w:style>
  <w:style w:type="paragraph" w:styleId="NormalWeb">
    <w:name w:val="Normal (Web)"/>
    <w:basedOn w:val="Normal"/>
    <w:uiPriority w:val="99"/>
    <w:unhideWhenUsed/>
    <w:qFormat/>
    <w:rsid w:val="006A3DBC"/>
    <w:pPr>
      <w:spacing w:before="100" w:beforeAutospacing="1" w:after="100" w:afterAutospacing="1" w:line="240" w:lineRule="auto"/>
    </w:pPr>
    <w:rPr>
      <w:rFonts w:ascii="Times New Roman" w:eastAsia="Times New Roman" w:hAnsi="Times New Roman" w:cs="Times New Roman"/>
      <w:szCs w:val="24"/>
      <w:lang w:val="es-ES" w:eastAsia="es-ES"/>
    </w:rPr>
  </w:style>
  <w:style w:type="paragraph" w:styleId="Sinespaciado">
    <w:name w:val="No Spacing"/>
    <w:link w:val="SinespaciadoCar"/>
    <w:uiPriority w:val="1"/>
    <w:qFormat/>
    <w:rsid w:val="006A3DBC"/>
    <w:pPr>
      <w:spacing w:after="0" w:line="240" w:lineRule="auto"/>
    </w:pPr>
    <w:rPr>
      <w:lang w:val="es-AR"/>
    </w:rPr>
  </w:style>
  <w:style w:type="character" w:customStyle="1" w:styleId="SinespaciadoCar">
    <w:name w:val="Sin espaciado Car"/>
    <w:basedOn w:val="Fuentedeprrafopredeter"/>
    <w:link w:val="Sinespaciado"/>
    <w:uiPriority w:val="1"/>
    <w:rsid w:val="006A3DBC"/>
    <w:rPr>
      <w:lang w:val="es-AR"/>
    </w:rPr>
  </w:style>
  <w:style w:type="character" w:styleId="Textoennegrita">
    <w:name w:val="Strong"/>
    <w:basedOn w:val="Fuentedeprrafopredeter"/>
    <w:uiPriority w:val="22"/>
    <w:qFormat/>
    <w:rsid w:val="006A3DBC"/>
    <w:rPr>
      <w:b/>
      <w:bCs/>
    </w:rPr>
  </w:style>
  <w:style w:type="paragraph" w:customStyle="1" w:styleId="Normal1">
    <w:name w:val="Normal1"/>
    <w:rsid w:val="006A3DBC"/>
    <w:pPr>
      <w:spacing w:after="0" w:line="276" w:lineRule="auto"/>
    </w:pPr>
    <w:rPr>
      <w:rFonts w:ascii="Arial" w:eastAsia="Arial" w:hAnsi="Arial" w:cs="Arial"/>
      <w:lang w:val="uz-Cyrl-UZ" w:eastAsia="es-ES"/>
    </w:rPr>
  </w:style>
  <w:style w:type="character" w:styleId="nfasis">
    <w:name w:val="Emphasis"/>
    <w:basedOn w:val="Fuentedeprrafopredeter"/>
    <w:uiPriority w:val="20"/>
    <w:qFormat/>
    <w:rsid w:val="006A3DBC"/>
    <w:rPr>
      <w:i/>
      <w:iCs/>
    </w:rPr>
  </w:style>
  <w:style w:type="paragraph" w:styleId="Tabladeilustraciones">
    <w:name w:val="table of figures"/>
    <w:basedOn w:val="Normal"/>
    <w:next w:val="Normal"/>
    <w:uiPriority w:val="99"/>
    <w:unhideWhenUsed/>
    <w:rsid w:val="006A3DBC"/>
    <w:pPr>
      <w:spacing w:after="0"/>
    </w:pPr>
  </w:style>
  <w:style w:type="paragraph" w:customStyle="1" w:styleId="RefCharCarCharCar">
    <w:name w:val="Ref Char Car Char Car"/>
    <w:aliases w:val="de nota al pie Char Car Char Car,16 Point Char Car Char Car,Superscript 6 Point Char Car Char Car,ftref Char Car Char Car,BVI fnr Char Car Char Car,BVI fnr Car Car Char Car Char Car,Ref Car"/>
    <w:basedOn w:val="Normal"/>
    <w:uiPriority w:val="99"/>
    <w:rsid w:val="006A3DBC"/>
    <w:pPr>
      <w:spacing w:line="240" w:lineRule="exact"/>
    </w:pPr>
    <w:rPr>
      <w:rFonts w:ascii="Times New Roman" w:eastAsia="SimSun" w:hAnsi="Times New Roman" w:cs="Times New Roman"/>
      <w:sz w:val="20"/>
      <w:szCs w:val="20"/>
      <w:vertAlign w:val="superscript"/>
      <w:lang w:eastAsia="es-AR"/>
    </w:rPr>
  </w:style>
  <w:style w:type="table" w:customStyle="1" w:styleId="Tablaconcuadrcula1">
    <w:name w:val="Tabla con cuadrícula1"/>
    <w:basedOn w:val="Tablanormal"/>
    <w:next w:val="Tablaconcuadrcula"/>
    <w:uiPriority w:val="59"/>
    <w:qFormat/>
    <w:rsid w:val="006A3DBC"/>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conformatoprevioCar">
    <w:name w:val="HTML con formato previo Car"/>
    <w:basedOn w:val="Fuentedeprrafopredeter"/>
    <w:link w:val="HTMLconformatoprevio"/>
    <w:uiPriority w:val="99"/>
    <w:semiHidden/>
    <w:rsid w:val="006A3DBC"/>
    <w:rPr>
      <w:rFonts w:ascii="Courier New" w:eastAsia="Times New Roman" w:hAnsi="Courier New" w:cs="Courier New"/>
      <w:sz w:val="20"/>
      <w:szCs w:val="20"/>
      <w:lang w:val="es-ES" w:eastAsia="es-ES"/>
    </w:rPr>
  </w:style>
  <w:style w:type="paragraph" w:styleId="HTMLconformatoprevio">
    <w:name w:val="HTML Preformatted"/>
    <w:basedOn w:val="Normal"/>
    <w:link w:val="HTMLconformatoprevioCar"/>
    <w:uiPriority w:val="99"/>
    <w:semiHidden/>
    <w:unhideWhenUsed/>
    <w:rsid w:val="006A3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paragraph" w:customStyle="1" w:styleId="SCGTextodeinforme">
    <w:name w:val="SCG_Texto de informe"/>
    <w:qFormat/>
    <w:rsid w:val="006A3DBC"/>
    <w:pPr>
      <w:spacing w:after="360" w:line="280" w:lineRule="exact"/>
      <w:jc w:val="both"/>
    </w:pPr>
    <w:rPr>
      <w:rFonts w:ascii="Calibri Light" w:eastAsia="Calibri" w:hAnsi="Calibri Light" w:cs="Arial"/>
      <w:color w:val="595959"/>
      <w:lang w:val="es-PE"/>
    </w:rPr>
  </w:style>
  <w:style w:type="table" w:styleId="Tablanormal1">
    <w:name w:val="Plain Table 1"/>
    <w:basedOn w:val="Tablanormal"/>
    <w:uiPriority w:val="41"/>
    <w:rsid w:val="006A3D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6A3DBC"/>
    <w:pPr>
      <w:spacing w:after="100"/>
      <w:ind w:left="440"/>
    </w:pPr>
    <w:rPr>
      <w:rFonts w:eastAsiaTheme="minorEastAsia"/>
      <w:lang w:eastAsia="es-AR"/>
    </w:rPr>
  </w:style>
  <w:style w:type="paragraph" w:styleId="TDC4">
    <w:name w:val="toc 4"/>
    <w:basedOn w:val="Normal"/>
    <w:next w:val="Normal"/>
    <w:autoRedefine/>
    <w:uiPriority w:val="39"/>
    <w:unhideWhenUsed/>
    <w:rsid w:val="006A3DBC"/>
    <w:pPr>
      <w:spacing w:after="100"/>
      <w:ind w:left="660"/>
    </w:pPr>
    <w:rPr>
      <w:rFonts w:eastAsiaTheme="minorEastAsia"/>
      <w:lang w:eastAsia="es-AR"/>
    </w:rPr>
  </w:style>
  <w:style w:type="paragraph" w:styleId="TDC5">
    <w:name w:val="toc 5"/>
    <w:basedOn w:val="Normal"/>
    <w:next w:val="Normal"/>
    <w:autoRedefine/>
    <w:uiPriority w:val="39"/>
    <w:unhideWhenUsed/>
    <w:rsid w:val="006A3DBC"/>
    <w:pPr>
      <w:spacing w:after="100"/>
      <w:ind w:left="880"/>
    </w:pPr>
    <w:rPr>
      <w:rFonts w:eastAsiaTheme="minorEastAsia"/>
      <w:lang w:eastAsia="es-AR"/>
    </w:rPr>
  </w:style>
  <w:style w:type="paragraph" w:styleId="TDC6">
    <w:name w:val="toc 6"/>
    <w:basedOn w:val="Normal"/>
    <w:next w:val="Normal"/>
    <w:autoRedefine/>
    <w:uiPriority w:val="39"/>
    <w:unhideWhenUsed/>
    <w:rsid w:val="006A3DBC"/>
    <w:pPr>
      <w:spacing w:after="100"/>
      <w:ind w:left="1100"/>
    </w:pPr>
    <w:rPr>
      <w:rFonts w:eastAsiaTheme="minorEastAsia"/>
      <w:lang w:eastAsia="es-AR"/>
    </w:rPr>
  </w:style>
  <w:style w:type="paragraph" w:styleId="TDC7">
    <w:name w:val="toc 7"/>
    <w:basedOn w:val="Normal"/>
    <w:next w:val="Normal"/>
    <w:autoRedefine/>
    <w:uiPriority w:val="39"/>
    <w:unhideWhenUsed/>
    <w:rsid w:val="006A3DBC"/>
    <w:pPr>
      <w:spacing w:after="100"/>
      <w:ind w:left="1320"/>
    </w:pPr>
    <w:rPr>
      <w:rFonts w:eastAsiaTheme="minorEastAsia"/>
      <w:lang w:eastAsia="es-AR"/>
    </w:rPr>
  </w:style>
  <w:style w:type="paragraph" w:styleId="TDC8">
    <w:name w:val="toc 8"/>
    <w:basedOn w:val="Normal"/>
    <w:next w:val="Normal"/>
    <w:autoRedefine/>
    <w:uiPriority w:val="39"/>
    <w:unhideWhenUsed/>
    <w:rsid w:val="006A3DBC"/>
    <w:pPr>
      <w:spacing w:after="100"/>
      <w:ind w:left="1540"/>
    </w:pPr>
    <w:rPr>
      <w:rFonts w:eastAsiaTheme="minorEastAsia"/>
      <w:lang w:eastAsia="es-AR"/>
    </w:rPr>
  </w:style>
  <w:style w:type="paragraph" w:styleId="TDC9">
    <w:name w:val="toc 9"/>
    <w:basedOn w:val="Normal"/>
    <w:next w:val="Normal"/>
    <w:autoRedefine/>
    <w:uiPriority w:val="39"/>
    <w:unhideWhenUsed/>
    <w:rsid w:val="006A3DBC"/>
    <w:pPr>
      <w:spacing w:after="100"/>
      <w:ind w:left="1760"/>
    </w:pPr>
    <w:rPr>
      <w:rFonts w:eastAsiaTheme="minorEastAsia"/>
      <w:lang w:eastAsia="es-AR"/>
    </w:rPr>
  </w:style>
  <w:style w:type="table" w:customStyle="1" w:styleId="TableNormal1">
    <w:name w:val="Table Normal1"/>
    <w:uiPriority w:val="2"/>
    <w:semiHidden/>
    <w:unhideWhenUsed/>
    <w:qFormat/>
    <w:rsid w:val="006A3D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VIfnrCarCar">
    <w:name w:val="BVI fnr Car Car"/>
    <w:aliases w:val="BVI fnr Car,BVI fnr Car Car Car Car Char,BVI fnr Car Car Car Car Char תו תו Char Char,BVI fnr Car Car תו Char,BVI fnr Car תו Char,BVI fnr תו Char, BVI fnr Car Car Car Car Char"/>
    <w:basedOn w:val="Normal"/>
    <w:uiPriority w:val="99"/>
    <w:rsid w:val="006A3DBC"/>
    <w:pPr>
      <w:spacing w:before="120" w:after="0" w:line="240" w:lineRule="exact"/>
      <w:jc w:val="both"/>
    </w:pPr>
    <w:rPr>
      <w:kern w:val="2"/>
      <w:vertAlign w:val="superscript"/>
      <w:lang w:val="es-SV"/>
      <w14:ligatures w14:val="standardContextual"/>
    </w:rPr>
  </w:style>
  <w:style w:type="table" w:styleId="Tablaconcuadrculaclara">
    <w:name w:val="Grid Table Light"/>
    <w:basedOn w:val="Tablanormal"/>
    <w:uiPriority w:val="40"/>
    <w:rsid w:val="006A3DBC"/>
    <w:pPr>
      <w:spacing w:before="120" w:after="0" w:line="240" w:lineRule="auto"/>
      <w:jc w:val="both"/>
    </w:pPr>
    <w:rPr>
      <w:rFonts w:ascii="Quattrocento Sans" w:eastAsia="Quattrocento Sans" w:hAnsi="Quattrocento Sans" w:cs="Quattrocento Sans"/>
      <w:sz w:val="18"/>
      <w:szCs w:val="18"/>
      <w:lang w:val="es-SV" w:eastAsia="es-SV"/>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onar1">
    <w:name w:val="Mencionar1"/>
    <w:basedOn w:val="Fuentedeprrafopredeter"/>
    <w:uiPriority w:val="99"/>
    <w:unhideWhenUsed/>
    <w:rsid w:val="006A3DBC"/>
    <w:rPr>
      <w:color w:val="2B579A"/>
      <w:shd w:val="clear" w:color="auto" w:fill="E1DFDD"/>
    </w:rPr>
  </w:style>
  <w:style w:type="table" w:customStyle="1" w:styleId="Tablanormal21">
    <w:name w:val="Tabla normal 21"/>
    <w:basedOn w:val="Tablanormal"/>
    <w:uiPriority w:val="42"/>
    <w:rsid w:val="00C81834"/>
    <w:pPr>
      <w:spacing w:after="0" w:line="240" w:lineRule="auto"/>
    </w:pPr>
    <w:rPr>
      <w:lang w:val="es-A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n">
    <w:name w:val="Revision"/>
    <w:hidden/>
    <w:uiPriority w:val="99"/>
    <w:semiHidden/>
    <w:rsid w:val="00C81834"/>
    <w:pPr>
      <w:spacing w:after="0" w:line="240" w:lineRule="auto"/>
    </w:pPr>
    <w:rPr>
      <w:lang w:val="es-AR"/>
    </w:rPr>
  </w:style>
  <w:style w:type="table" w:customStyle="1" w:styleId="Tabladecuadrcula21">
    <w:name w:val="Tabla de cuadrícula 21"/>
    <w:basedOn w:val="Tablanormal"/>
    <w:uiPriority w:val="47"/>
    <w:rsid w:val="00C8183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C81834"/>
    <w:rPr>
      <w:color w:val="605E5C"/>
      <w:shd w:val="clear" w:color="auto" w:fill="E1DFDD"/>
    </w:rPr>
  </w:style>
  <w:style w:type="character" w:styleId="Hipervnculovisitado">
    <w:name w:val="FollowedHyperlink"/>
    <w:basedOn w:val="Fuentedeprrafopredeter"/>
    <w:uiPriority w:val="99"/>
    <w:semiHidden/>
    <w:unhideWhenUsed/>
    <w:rsid w:val="00C81834"/>
    <w:rPr>
      <w:color w:val="954F72" w:themeColor="followedHyperlink"/>
      <w:u w:val="single"/>
    </w:rPr>
  </w:style>
  <w:style w:type="character" w:customStyle="1" w:styleId="Mencinsinresolver2">
    <w:name w:val="Mención sin resolver2"/>
    <w:basedOn w:val="Fuentedeprrafopredeter"/>
    <w:uiPriority w:val="99"/>
    <w:semiHidden/>
    <w:unhideWhenUsed/>
    <w:rsid w:val="00C81834"/>
    <w:rPr>
      <w:color w:val="605E5C"/>
      <w:shd w:val="clear" w:color="auto" w:fill="E1DFDD"/>
    </w:rPr>
  </w:style>
  <w:style w:type="paragraph" w:customStyle="1" w:styleId="ModelNrmlSingle">
    <w:name w:val="ModelNrmlSingle"/>
    <w:basedOn w:val="Normal"/>
    <w:link w:val="ModelNrmlSingleChar"/>
    <w:rsid w:val="008A6560"/>
    <w:pPr>
      <w:spacing w:after="240" w:line="240" w:lineRule="auto"/>
      <w:ind w:firstLine="720"/>
      <w:jc w:val="both"/>
    </w:pPr>
    <w:rPr>
      <w:rFonts w:ascii="Times New Roman" w:eastAsia="Times New Roman" w:hAnsi="Times New Roman" w:cs="Times New Roman"/>
      <w:szCs w:val="20"/>
      <w:lang w:val="en-US"/>
    </w:rPr>
  </w:style>
  <w:style w:type="character" w:customStyle="1" w:styleId="ModelNrmlSingleChar">
    <w:name w:val="ModelNrmlSingle Char"/>
    <w:link w:val="ModelNrmlSingle"/>
    <w:rsid w:val="008A6560"/>
    <w:rPr>
      <w:rFonts w:ascii="Times New Roman" w:eastAsia="Times New Roman" w:hAnsi="Times New Roman" w:cs="Times New Roman"/>
      <w:szCs w:val="20"/>
      <w:lang w:val="en-US"/>
    </w:rPr>
  </w:style>
  <w:style w:type="character" w:customStyle="1" w:styleId="Mencionar2">
    <w:name w:val="Mencionar2"/>
    <w:basedOn w:val="Fuentedeprrafopredeter"/>
    <w:uiPriority w:val="99"/>
    <w:unhideWhenUsed/>
    <w:rsid w:val="00A21540"/>
    <w:rPr>
      <w:color w:val="2B579A"/>
      <w:shd w:val="clear" w:color="auto" w:fill="E1DFDD"/>
    </w:rPr>
  </w:style>
  <w:style w:type="table" w:customStyle="1" w:styleId="Tablaconcuadrcula2">
    <w:name w:val="Tabla con cuadrícula2"/>
    <w:basedOn w:val="Tablanormal"/>
    <w:next w:val="Tablaconcuadrcula"/>
    <w:uiPriority w:val="59"/>
    <w:rsid w:val="007A1D1C"/>
    <w:pPr>
      <w:spacing w:after="0" w:line="240" w:lineRule="auto"/>
    </w:pPr>
    <w:rPr>
      <w:rFonts w:eastAsia="Times New Roman"/>
      <w:sz w:val="24"/>
      <w:szCs w:val="24"/>
      <w:lang w:val="en-US"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uiPriority w:val="99"/>
    <w:rsid w:val="00DE046C"/>
    <w:pPr>
      <w:spacing w:before="120" w:line="240" w:lineRule="exact"/>
    </w:pPr>
    <w:rPr>
      <w:rFonts w:asciiTheme="minorHAnsi" w:hAnsiTheme="minorHAnsi"/>
      <w:color w:val="auto"/>
      <w:kern w:val="2"/>
      <w:sz w:val="22"/>
      <w:vertAlign w:val="superscript"/>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932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image" Target="media/image10.jpeg"/><Relationship Id="rId42" Type="http://schemas.openxmlformats.org/officeDocument/2006/relationships/image" Target="media/image15.png"/><Relationship Id="rId47" Type="http://schemas.openxmlformats.org/officeDocument/2006/relationships/image" Target="media/image20.jpeg"/><Relationship Id="rId63" Type="http://schemas.openxmlformats.org/officeDocument/2006/relationships/hyperlink" Target="https://www.ecured.cu/Agricultura" TargetMode="External"/><Relationship Id="rId68" Type="http://schemas.openxmlformats.org/officeDocument/2006/relationships/hyperlink" Target="https://www.ecured.cu/Honduras" TargetMode="External"/><Relationship Id="rId84" Type="http://schemas.openxmlformats.org/officeDocument/2006/relationships/hyperlink" Target="https://comrural.hn/comrural-iii/" TargetMode="External"/><Relationship Id="rId89" Type="http://schemas.openxmlformats.org/officeDocument/2006/relationships/header" Target="header11.xml"/><Relationship Id="rId16" Type="http://schemas.openxmlformats.org/officeDocument/2006/relationships/header" Target="header4.xml"/><Relationship Id="rId107" Type="http://schemas.openxmlformats.org/officeDocument/2006/relationships/theme" Target="theme/theme1.xml"/><Relationship Id="rId11" Type="http://schemas.openxmlformats.org/officeDocument/2006/relationships/hyperlink" Target="http://pubdocs.worldbank.org/en/345101522946582343/Environmental-Social-Framework-Spanish.pdf%23page=67&amp;zoom=80" TargetMode="External"/><Relationship Id="rId32" Type="http://schemas.openxmlformats.org/officeDocument/2006/relationships/hyperlink" Target="https://redhonduras.com/biodiversidad/parque-nacional-cusuco/" TargetMode="External"/><Relationship Id="rId37" Type="http://schemas.openxmlformats.org/officeDocument/2006/relationships/hyperlink" Target="https://redhonduras.com/biodiversidad/parque-nacional-trifinio-montecristo/" TargetMode="External"/><Relationship Id="rId53" Type="http://schemas.openxmlformats.org/officeDocument/2006/relationships/image" Target="media/image26.emf"/><Relationship Id="rId58" Type="http://schemas.openxmlformats.org/officeDocument/2006/relationships/image" Target="media/image31.emf"/><Relationship Id="rId74" Type="http://schemas.openxmlformats.org/officeDocument/2006/relationships/hyperlink" Target="https://www.cnpml-honduras.org/documentos-tecnicos" TargetMode="External"/><Relationship Id="rId79" Type="http://schemas.openxmlformats.org/officeDocument/2006/relationships/hyperlink" Target="https://nam11.safelinks.protection.outlook.com/?url=http%3A%2F%2Fwww.comrural.hn%2Fbuzon-de-quejas%2F&amp;data=04%7C01%7Cepiber%40worldbank.org%7C392203529a7743f0796a08d904e56047%7C31a2fec0266b4c67b56e2796d8f59c36%7C0%7C0%7C637546205473506723%7CUnknown%7CTWFpbGZsb3d8eyJWIjoiMC4wLjAwMDAiLCJQIjoiV2luMzIiLCJBTiI6Ik1haWwiLCJXVCI6Mn0%3D%7C1000&amp;sdata=j8SMVMpITEeOwx%2FAzEBIwXSkE%2B89anP%2FlDAAxrNz4YE%3D&amp;reserved=0" TargetMode="External"/><Relationship Id="rId102" Type="http://schemas.openxmlformats.org/officeDocument/2006/relationships/image" Target="media/image43.png"/><Relationship Id="rId5" Type="http://schemas.openxmlformats.org/officeDocument/2006/relationships/webSettings" Target="webSettings.xml"/><Relationship Id="rId90" Type="http://schemas.openxmlformats.org/officeDocument/2006/relationships/header" Target="header12.xml"/><Relationship Id="rId95" Type="http://schemas.openxmlformats.org/officeDocument/2006/relationships/image" Target="media/image36.png"/><Relationship Id="rId22" Type="http://schemas.openxmlformats.org/officeDocument/2006/relationships/image" Target="media/image11.jpeg"/><Relationship Id="rId27" Type="http://schemas.openxmlformats.org/officeDocument/2006/relationships/header" Target="header7.xml"/><Relationship Id="rId43" Type="http://schemas.openxmlformats.org/officeDocument/2006/relationships/image" Target="media/image16.jpeg"/><Relationship Id="rId48" Type="http://schemas.openxmlformats.org/officeDocument/2006/relationships/image" Target="media/image21.png"/><Relationship Id="rId64" Type="http://schemas.openxmlformats.org/officeDocument/2006/relationships/hyperlink" Target="https://www.ecured.cu/Mel%C3%B3n" TargetMode="External"/><Relationship Id="rId69" Type="http://schemas.openxmlformats.org/officeDocument/2006/relationships/hyperlink" Target="https://www.ecured.cu/Sur" TargetMode="External"/><Relationship Id="rId80" Type="http://schemas.openxmlformats.org/officeDocument/2006/relationships/hyperlink" Target="https://www.facebook.com/comrural" TargetMode="External"/><Relationship Id="rId85" Type="http://schemas.openxmlformats.org/officeDocument/2006/relationships/hyperlink" Target="https://usc-word-edit.officeapps.live.com/we/wordeditorframe.aspx?ui=en%2DUS&amp;rs=en%2DUS&amp;wopisrc=https%3A%2F%2Fworldbankgroup-my.sharepoint.com%2Fpersonal%2Fmhenriques1_worldbank_org%2F_vti_bin%2Fwopi.ashx%2Ffiles%2Fa59afc10d4d64e91910f3e5ed7067bf3&amp;wdenableroaming=1&amp;mscc=1&amp;wdodb=1&amp;hid=E7C7C37C-2D9B-47EF-8437-7DBB56CF5EE8&amp;wdorigin=BrowserReload.Sharing.ServerTransfer&amp;jsapi=1&amp;jsapiver=v1&amp;newsession=1&amp;corrid=ad118bcf-6a2e-4f3d-8ea8-b64c41675fe8&amp;usid=ad118bcf-6a2e-4f3d-8ea8-b64c41675fe8&amp;sftc=1&amp;cac=1&amp;mtf=1&amp;sfp=1&amp;instantedit=1&amp;wopicomplete=1&amp;wdredirectionreason=Unified_SingleFlush&amp;rct=Normal&amp;ctp=LeastProtected%22%20\l%20%22_ftn2" TargetMode="External"/><Relationship Id="rId12" Type="http://schemas.openxmlformats.org/officeDocument/2006/relationships/header" Target="header1.xml"/><Relationship Id="rId17" Type="http://schemas.openxmlformats.org/officeDocument/2006/relationships/image" Target="media/image6.jpg"/><Relationship Id="rId33" Type="http://schemas.openxmlformats.org/officeDocument/2006/relationships/hyperlink" Target="https://redhonduras.com/biodiversidad/parque-la-botija/" TargetMode="External"/><Relationship Id="rId38" Type="http://schemas.openxmlformats.org/officeDocument/2006/relationships/hyperlink" Target="https://redhonduras.com/biodiversidad/parque-nacional-sierra-de-agalta/" TargetMode="External"/><Relationship Id="rId59" Type="http://schemas.openxmlformats.org/officeDocument/2006/relationships/image" Target="media/image32.png"/><Relationship Id="rId103" Type="http://schemas.openxmlformats.org/officeDocument/2006/relationships/header" Target="header17.xml"/><Relationship Id="rId108" Type="http://schemas.microsoft.com/office/2019/05/relationships/documenttasks" Target="documenttasks/documenttasks1.xml"/><Relationship Id="rId20" Type="http://schemas.openxmlformats.org/officeDocument/2006/relationships/image" Target="media/image9.jpeg"/><Relationship Id="rId41" Type="http://schemas.openxmlformats.org/officeDocument/2006/relationships/hyperlink" Target="https://redhonduras.com/biodiversidad/colibri-esmeralda/" TargetMode="External"/><Relationship Id="rId54" Type="http://schemas.openxmlformats.org/officeDocument/2006/relationships/image" Target="media/image27.png"/><Relationship Id="rId62" Type="http://schemas.openxmlformats.org/officeDocument/2006/relationships/hyperlink" Target="https://www.ecured.cu/Turismo" TargetMode="External"/><Relationship Id="rId70" Type="http://schemas.openxmlformats.org/officeDocument/2006/relationships/hyperlink" Target="https://www.ecured.cu/Oc%C3%A9ano_Pac%C3%ADfico" TargetMode="External"/><Relationship Id="rId75" Type="http://schemas.openxmlformats.org/officeDocument/2006/relationships/header" Target="header8.xml"/><Relationship Id="rId83" Type="http://schemas.openxmlformats.org/officeDocument/2006/relationships/hyperlink" Target="mailto:info@comrural.hn" TargetMode="External"/><Relationship Id="rId88" Type="http://schemas.openxmlformats.org/officeDocument/2006/relationships/hyperlink" Target="http://miambiente.prohonduras.hn/MiAmbiente/login.html?dojo.locale=en_hn" TargetMode="External"/><Relationship Id="rId91" Type="http://schemas.openxmlformats.org/officeDocument/2006/relationships/header" Target="header13.xml"/><Relationship Id="rId96"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2.jpeg"/><Relationship Id="rId28" Type="http://schemas.openxmlformats.org/officeDocument/2006/relationships/image" Target="media/image14.jpeg"/><Relationship Id="rId36" Type="http://schemas.openxmlformats.org/officeDocument/2006/relationships/hyperlink" Target="https://redhonduras.com/biodiversidad/parque-nacional-celaque/" TargetMode="External"/><Relationship Id="rId49" Type="http://schemas.openxmlformats.org/officeDocument/2006/relationships/image" Target="media/image22.png"/><Relationship Id="rId57" Type="http://schemas.openxmlformats.org/officeDocument/2006/relationships/image" Target="media/image30.emf"/><Relationship Id="rId106"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https://redhonduras.com/biodiversidad/parque-capiro-calentura/" TargetMode="External"/><Relationship Id="rId44" Type="http://schemas.openxmlformats.org/officeDocument/2006/relationships/image" Target="media/image17.jpe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hyperlink" Target="https://www.ecured.cu/Sandia" TargetMode="External"/><Relationship Id="rId73" Type="http://schemas.openxmlformats.org/officeDocument/2006/relationships/hyperlink" Target="https://l.facebook.com/l.php?u=https%3A%2F%2Fredhonduras.com%2Fmapas%2Fmapa-etnias-grupos-indigenas-honduras%2F&amp;h=AT3_zId30ok1vP0xR7ziT-uvfKsHuzzEEpvEhjyOZibw56xsUnwOCnvOuBkQdkEg8VRv9F6ERkFphDmdgsVvMboSrp-SHqv5COjCb4dCN-dvRqRCz5Di059xBKRECk7pfdhDwB5xyJJg36zPY2sU&amp;__tn__=-UK-R&amp;c%5b0%5d=AT09xon1i_9oSVuP6hZlXu4WjVtu1J09TNBqtbOcmK1m5mIwGPTbj3WbcpyzILcXUOmQHcFgsfjig9CTKe9kifNfmY-H85fbucxnEGdpNhQ7LiEyb1jOaDNp7hlXc0Utfj4AwjvQVllSQ1keUozgoU3YKVSmz0EY0h20tC7vXEbHtu0eUSmu_T3UFv0YmYk" TargetMode="External"/><Relationship Id="rId78" Type="http://schemas.openxmlformats.org/officeDocument/2006/relationships/hyperlink" Target="http://www.comrural.hn" TargetMode="External"/><Relationship Id="rId81" Type="http://schemas.openxmlformats.org/officeDocument/2006/relationships/hyperlink" Target="https://www.instagram.com/proyectocomrural/" TargetMode="External"/><Relationship Id="rId86" Type="http://schemas.openxmlformats.org/officeDocument/2006/relationships/hyperlink" Target="https://usc-word-edit.officeapps.live.com/we/wordeditorframe.aspx?ui=en%2DUS&amp;rs=en%2DUS&amp;wopisrc=https%3A%2F%2Fworldbankgroup-my.sharepoint.com%2Fpersonal%2Fmhenriques1_worldbank_org%2F_vti_bin%2Fwopi.ashx%2Ffiles%2Fa59afc10d4d64e91910f3e5ed7067bf3&amp;wdenableroaming=1&amp;mscc=1&amp;wdodb=1&amp;hid=E7C7C37C-2D9B-47EF-8437-7DBB56CF5EE8&amp;wdorigin=BrowserReload.Sharing.ServerTransfer&amp;jsapi=1&amp;jsapiver=v1&amp;newsession=1&amp;corrid=ad118bcf-6a2e-4f3d-8ea8-b64c41675fe8&amp;usid=ad118bcf-6a2e-4f3d-8ea8-b64c41675fe8&amp;sftc=1&amp;cac=1&amp;mtf=1&amp;sfp=1&amp;instantedit=1&amp;wopicomplete=1&amp;wdredirectionreason=Unified_SingleFlush&amp;rct=Normal&amp;ctp=LeastProtected%22%20\l%20%22_ftn3" TargetMode="External"/><Relationship Id="rId94" Type="http://schemas.openxmlformats.org/officeDocument/2006/relationships/header" Target="header16.xml"/><Relationship Id="rId99" Type="http://schemas.openxmlformats.org/officeDocument/2006/relationships/image" Target="media/image40.png"/><Relationship Id="rId101"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image" Target="media/image7.jpeg"/><Relationship Id="rId39" Type="http://schemas.openxmlformats.org/officeDocument/2006/relationships/hyperlink" Target="https://redhonduras.com/biodiversidad/parque-montana-santa-barbara/" TargetMode="External"/><Relationship Id="rId34" Type="http://schemas.openxmlformats.org/officeDocument/2006/relationships/hyperlink" Target="https://redhonduras.com/biodiversidad/parque-montana-comayagua/" TargetMode="External"/><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header" Target="header9.xml"/><Relationship Id="rId97" Type="http://schemas.openxmlformats.org/officeDocument/2006/relationships/image" Target="media/image38.png"/><Relationship Id="rId104" Type="http://schemas.openxmlformats.org/officeDocument/2006/relationships/header" Target="header18.xml"/><Relationship Id="rId7" Type="http://schemas.openxmlformats.org/officeDocument/2006/relationships/endnotes" Target="endnotes.xml"/><Relationship Id="rId71" Type="http://schemas.openxmlformats.org/officeDocument/2006/relationships/hyperlink" Target="https://www.ecured.cu/Amapala_(Honduras)" TargetMode="External"/><Relationship Id="rId92" Type="http://schemas.openxmlformats.org/officeDocument/2006/relationships/header" Target="header14.xml"/><Relationship Id="rId2" Type="http://schemas.openxmlformats.org/officeDocument/2006/relationships/numbering" Target="numbering.xml"/><Relationship Id="rId29" Type="http://schemas.openxmlformats.org/officeDocument/2006/relationships/hyperlink" Target="https://redhonduras.com/biodiversidad/parque-nacional-pico-bonito/" TargetMode="External"/><Relationship Id="rId24" Type="http://schemas.openxmlformats.org/officeDocument/2006/relationships/image" Target="media/image13.jpg"/><Relationship Id="rId40" Type="http://schemas.openxmlformats.org/officeDocument/2006/relationships/hyperlink" Target="https://redhonduras.com/biodiversidad/parque-nacional-montana-de-yoro/" TargetMode="External"/><Relationship Id="rId45" Type="http://schemas.openxmlformats.org/officeDocument/2006/relationships/image" Target="media/image18.jpeg"/><Relationship Id="rId66" Type="http://schemas.openxmlformats.org/officeDocument/2006/relationships/hyperlink" Target="https://www.ecured.cu/Ca%C3%B1a_de_az%C3%BAcar" TargetMode="External"/><Relationship Id="rId87" Type="http://schemas.openxmlformats.org/officeDocument/2006/relationships/hyperlink" Target="http://www.incafe.org" TargetMode="External"/><Relationship Id="rId61" Type="http://schemas.openxmlformats.org/officeDocument/2006/relationships/image" Target="media/image34.jpg"/><Relationship Id="rId82" Type="http://schemas.openxmlformats.org/officeDocument/2006/relationships/hyperlink" Target="https://twitter.com/ComRuralHN" TargetMode="External"/><Relationship Id="rId19" Type="http://schemas.openxmlformats.org/officeDocument/2006/relationships/image" Target="media/image8.png"/><Relationship Id="rId14" Type="http://schemas.openxmlformats.org/officeDocument/2006/relationships/header" Target="header2.xml"/><Relationship Id="rId30" Type="http://schemas.openxmlformats.org/officeDocument/2006/relationships/hyperlink" Target="https://redhonduras.com/biodiversidad/parque-nacional-jeannette-kawas/" TargetMode="External"/><Relationship Id="rId35" Type="http://schemas.openxmlformats.org/officeDocument/2006/relationships/hyperlink" Target="https://redhonduras.com/biodiversidad/parque-nacional-la-tigra/" TargetMode="External"/><Relationship Id="rId56" Type="http://schemas.openxmlformats.org/officeDocument/2006/relationships/image" Target="media/image29.png"/><Relationship Id="rId77" Type="http://schemas.openxmlformats.org/officeDocument/2006/relationships/header" Target="header10.xml"/><Relationship Id="rId100" Type="http://schemas.openxmlformats.org/officeDocument/2006/relationships/image" Target="media/image41.png"/><Relationship Id="rId105" Type="http://schemas.openxmlformats.org/officeDocument/2006/relationships/header" Target="header19.xml"/><Relationship Id="rId8" Type="http://schemas.openxmlformats.org/officeDocument/2006/relationships/image" Target="media/image1.jpg"/><Relationship Id="rId51" Type="http://schemas.openxmlformats.org/officeDocument/2006/relationships/image" Target="media/image24.png"/><Relationship Id="rId72" Type="http://schemas.openxmlformats.org/officeDocument/2006/relationships/image" Target="media/image35.jpeg"/><Relationship Id="rId93" Type="http://schemas.openxmlformats.org/officeDocument/2006/relationships/header" Target="header15.xml"/><Relationship Id="rId98" Type="http://schemas.openxmlformats.org/officeDocument/2006/relationships/image" Target="media/image39.png"/><Relationship Id="rId3" Type="http://schemas.openxmlformats.org/officeDocument/2006/relationships/styles" Target="styles.xml"/><Relationship Id="rId25" Type="http://schemas.openxmlformats.org/officeDocument/2006/relationships/header" Target="header5.xml"/><Relationship Id="rId46" Type="http://schemas.openxmlformats.org/officeDocument/2006/relationships/image" Target="media/image19.jpeg"/><Relationship Id="rId67" Type="http://schemas.openxmlformats.org/officeDocument/2006/relationships/hyperlink" Target="https://www.ecured.cu/Industria"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cnpml-honduras.org/documentos-tecnicos/" TargetMode="External"/><Relationship Id="rId2" Type="http://schemas.openxmlformats.org/officeDocument/2006/relationships/hyperlink" Target="https://www.cnpml-honduras.org/documentos-tecnicos/" TargetMode="External"/><Relationship Id="rId1" Type="http://schemas.openxmlformats.org/officeDocument/2006/relationships/hyperlink" Target="https://www.dol.gov/agencies/ilab/resources/reports/child-labor/honduras" TargetMode="External"/><Relationship Id="rId4" Type="http://schemas.openxmlformats.org/officeDocument/2006/relationships/hyperlink" Target="http://www.comrural.h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12.xml.rels><?xml version="1.0" encoding="UTF-8" standalone="yes"?>
<Relationships xmlns="http://schemas.openxmlformats.org/package/2006/relationships"><Relationship Id="rId1" Type="http://schemas.openxmlformats.org/officeDocument/2006/relationships/image" Target="media/image4.jpg"/></Relationships>
</file>

<file path=word/_rels/header15.xml.rels><?xml version="1.0" encoding="UTF-8" standalone="yes"?>
<Relationships xmlns="http://schemas.openxmlformats.org/package/2006/relationships"><Relationship Id="rId1" Type="http://schemas.openxmlformats.org/officeDocument/2006/relationships/image" Target="media/image4.jpg"/></Relationships>
</file>

<file path=word/_rels/header18.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4.jpg"/></Relationships>
</file>

<file path=word/_rels/header9.xml.rels><?xml version="1.0" encoding="UTF-8" standalone="yes"?>
<Relationships xmlns="http://schemas.openxmlformats.org/package/2006/relationships"><Relationship Id="rId1" Type="http://schemas.openxmlformats.org/officeDocument/2006/relationships/image" Target="media/image5.jpeg"/></Relationships>
</file>

<file path=word/documenttasks/documenttasks1.xml><?xml version="1.0" encoding="utf-8"?>
<t:Tasks xmlns:t="http://schemas.microsoft.com/office/tasks/2019/documenttasks" xmlns:oel="http://schemas.microsoft.com/office/2019/extlst">
  <t:Task id="{CE86783D-61C6-4412-B431-CBBF5C892907}">
    <t:Anchor>
      <t:Comment id="536687401"/>
    </t:Anchor>
    <t:History>
      <t:Event id="{8781F571-FFA2-41B9-B1C7-E532B4BE1CFA}" time="2024-10-30T02:31:06.655Z">
        <t:Attribution userId="S::lillianjarquin@worldbank.org::8b169668-91d9-447e-9575-e045063383b4" userProvider="AD" userName="Lillian Esperanza Jarquin Chavarria"/>
        <t:Anchor>
          <t:Comment id="2064957510"/>
        </t:Anchor>
        <t:Create/>
      </t:Event>
      <t:Event id="{6C437F1C-62F9-46E3-A3BE-F7A433C92008}" time="2024-10-30T02:31:06.655Z">
        <t:Attribution userId="S::lillianjarquin@worldbank.org::8b169668-91d9-447e-9575-e045063383b4" userProvider="AD" userName="Lillian Esperanza Jarquin Chavarria"/>
        <t:Anchor>
          <t:Comment id="2064957510"/>
        </t:Anchor>
        <t:Assign userId="S::snunezcastillo@worldbank.org::ff34e3b2-09cd-4b14-88ee-56a08766b224" userProvider="AD" userName="Scarleth Nunez"/>
      </t:Event>
      <t:Event id="{E9FF8652-45C2-4840-AF86-1BE7325287FC}" time="2024-10-30T02:31:06.655Z">
        <t:Attribution userId="S::lillianjarquin@worldbank.org::8b169668-91d9-447e-9575-e045063383b4" userProvider="AD" userName="Lillian Esperanza Jarquin Chavarria"/>
        <t:Anchor>
          <t:Comment id="2064957510"/>
        </t:Anchor>
        <t:SetTitle title="@Scarleth Nunez sugiero eliminar la tabla y nada más dejar los datos del texto que le precede que entiendo que es el último censo que se ha hecho en HN."/>
      </t:Event>
    </t:History>
  </t:Task>
  <t:Task id="{B16C8485-C58D-4EC5-A339-4EC53FE6748F}">
    <t:Anchor>
      <t:Comment id="1361416631"/>
    </t:Anchor>
    <t:History>
      <t:Event id="{460C7BDE-06B7-4B9D-9BCF-AFB6DD435640}" time="2024-10-30T02:47:24.988Z">
        <t:Attribution userId="S::lillianjarquin@worldbank.org::8b169668-91d9-447e-9575-e045063383b4" userProvider="AD" userName="Lillian Esperanza Jarquin Chavarria"/>
        <t:Anchor>
          <t:Comment id="1636475967"/>
        </t:Anchor>
        <t:Create/>
      </t:Event>
      <t:Event id="{7FBAE532-41D7-4769-91A7-EAA49BED0443}" time="2024-10-30T02:47:24.988Z">
        <t:Attribution userId="S::lillianjarquin@worldbank.org::8b169668-91d9-447e-9575-e045063383b4" userProvider="AD" userName="Lillian Esperanza Jarquin Chavarria"/>
        <t:Anchor>
          <t:Comment id="1636475967"/>
        </t:Anchor>
        <t:Assign userId="S::jquinonezzepeda@worldbank.org::585a750f-7ce4-4053-8424-e4ed741e03b9" userProvider="AD" userName="Jorge Alberto Quinonez Zepeda"/>
      </t:Event>
      <t:Event id="{CC8AEE5B-A096-41A9-AE73-B5B2A7FC9E76}" time="2024-10-30T02:47:24.988Z">
        <t:Attribution userId="S::lillianjarquin@worldbank.org::8b169668-91d9-447e-9575-e045063383b4" userProvider="AD" userName="Lillian Esperanza Jarquin Chavarria"/>
        <t:Anchor>
          <t:Comment id="1636475967"/>
        </t:Anchor>
        <t:SetTitle title="@Jorge Alberto Quinonez Zepeda el texto es bastante confuso y quizás sea mejor tener una reunión breve con el equipo para que nos expliquen la idea y formular de manera más clara la idea, dado que es un asunto muy sensible."/>
      </t:Event>
    </t:History>
  </t:Task>
  <t:Task id="{67A88477-11CC-4781-B3F5-A69ED3D12FDB}">
    <t:Anchor>
      <t:Comment id="1928831960"/>
    </t:Anchor>
    <t:History>
      <t:Event id="{FDA05BF8-3DC6-4BF7-BBE9-897F089DD4F7}" time="2024-10-30T02:58:56.333Z">
        <t:Attribution userId="S::lillianjarquin@worldbank.org::8b169668-91d9-447e-9575-e045063383b4" userProvider="AD" userName="Lillian Esperanza Jarquin Chavarria"/>
        <t:Anchor>
          <t:Comment id="70874428"/>
        </t:Anchor>
        <t:Create/>
      </t:Event>
      <t:Event id="{4F91E70E-6B15-4E18-A018-18AF5DCF5F60}" time="2024-10-30T02:58:56.333Z">
        <t:Attribution userId="S::lillianjarquin@worldbank.org::8b169668-91d9-447e-9575-e045063383b4" userProvider="AD" userName="Lillian Esperanza Jarquin Chavarria"/>
        <t:Anchor>
          <t:Comment id="70874428"/>
        </t:Anchor>
        <t:Assign userId="S::jquinonezzepeda@worldbank.org::585a750f-7ce4-4053-8424-e4ed741e03b9" userProvider="AD" userName="Jorge Alberto Quinonez Zepeda"/>
      </t:Event>
      <t:Event id="{D9952775-2256-454A-8224-F137628FE309}" time="2024-10-30T02:58:56.333Z">
        <t:Attribution userId="S::lillianjarquin@worldbank.org::8b169668-91d9-447e-9575-e045063383b4" userProvider="AD" userName="Lillian Esperanza Jarquin Chavarria"/>
        <t:Anchor>
          <t:Comment id="70874428"/>
        </t:Anchor>
        <t:SetTitle title="@Jorge Alberto Quinonez Zepeda al igual que el otro comentario relacionado a la propiedad colectiva, esta respuesta requiere una discusión con el equipo AyS del proyecto, ya que están limitando las inversiones en todos los casos, a bienes y excluyendo …"/>
      </t:Event>
    </t:History>
  </t:Task>
</t:Task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Mon17</b:Tag>
    <b:SourceType>Report</b:SourceType>
    <b:Guid>{CA5AB347-5418-4EE8-865A-923D06F59376}</b:Guid>
    <b:Title>Generación de los Mapas Oficiales de Cuencas, Subcuencas y Microcuencas para el Territorio Hondureño </b:Title>
    <b:Year>2017</b:Year>
    <b:City>Alajuela</b:City>
    <b:Author>
      <b:Author>
        <b:NameList>
          <b:Person>
            <b:Last>F.</b:Last>
            <b:First>Monserrate</b:First>
          </b:Person>
          <b:Person>
            <b:Last>J.</b:Last>
            <b:First>Valencia</b:First>
          </b:Person>
          <b:Person>
            <b:Last>S.</b:Last>
            <b:First>Leverón</b:First>
          </b:Person>
          <b:Person>
            <b:Last>J.</b:Last>
            <b:First>Pineda</b:First>
          </b:Person>
          <b:Person>
            <b:Last>C.</b:Last>
            <b:First>Cartagena</b:First>
          </b:Person>
        </b:NameList>
      </b:Author>
    </b:Author>
    <b:RefOrder>1</b:RefOrder>
  </b:Source>
</b:Sources>
</file>

<file path=customXml/itemProps1.xml><?xml version="1.0" encoding="utf-8"?>
<ds:datastoreItem xmlns:ds="http://schemas.openxmlformats.org/officeDocument/2006/customXml" ds:itemID="{6A620B1B-0806-4100-BB26-3B829ACD3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302</Pages>
  <Words>100451</Words>
  <Characters>552483</Characters>
  <Application>Microsoft Office Word</Application>
  <DocSecurity>0</DocSecurity>
  <Lines>4604</Lines>
  <Paragraphs>1303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651631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López</dc:creator>
  <cp:keywords/>
  <dc:description/>
  <cp:lastModifiedBy>Pedro  López</cp:lastModifiedBy>
  <cp:revision>4</cp:revision>
  <cp:lastPrinted>2025-07-02T15:19:00Z</cp:lastPrinted>
  <dcterms:created xsi:type="dcterms:W3CDTF">2025-07-03T23:41:00Z</dcterms:created>
  <dcterms:modified xsi:type="dcterms:W3CDTF">2025-08-14T15:06:00Z</dcterms:modified>
</cp:coreProperties>
</file>